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40553" w14:textId="77777777" w:rsidR="006F299B" w:rsidRPr="004F1FB4" w:rsidRDefault="006F299B" w:rsidP="00020A22">
      <w:pPr>
        <w:pStyle w:val="Heading1"/>
        <w:numPr>
          <w:ilvl w:val="0"/>
          <w:numId w:val="0"/>
        </w:numPr>
        <w:pBdr>
          <w:bottom w:val="single" w:sz="6" w:space="0" w:color="DA291C"/>
        </w:pBdr>
        <w:rPr>
          <w:rFonts w:asciiTheme="minorHAnsi" w:hAnsiTheme="minorHAnsi" w:cstheme="minorHAnsi"/>
          <w:sz w:val="22"/>
          <w:szCs w:val="22"/>
        </w:rPr>
      </w:pPr>
      <w:bookmarkStart w:id="0" w:name="_Toc322083614"/>
      <w:r w:rsidRPr="001034D3">
        <w:t>Part</w:t>
      </w:r>
      <w:r>
        <w:t xml:space="preserve"> B: Statistical Methods</w:t>
      </w:r>
      <w:bookmarkEnd w:id="0"/>
    </w:p>
    <w:p w14:paraId="7D5D1D89" w14:textId="18FEF809" w:rsidR="006F299B" w:rsidRDefault="006F299B" w:rsidP="006F299B">
      <w:pPr>
        <w:rPr>
          <w:rFonts w:cstheme="minorHAnsi"/>
        </w:rPr>
      </w:pPr>
      <w:r w:rsidRPr="004F1FB4">
        <w:rPr>
          <w:rFonts w:cstheme="minorHAnsi"/>
        </w:rPr>
        <w:t xml:space="preserve">Part B of the Supporting Statement for the </w:t>
      </w:r>
      <w:r w:rsidR="00113D4B">
        <w:rPr>
          <w:rFonts w:cstheme="minorHAnsi"/>
        </w:rPr>
        <w:t xml:space="preserve">National Evaluation of Round 4 of the Trade Adjustment Assistance Community College </w:t>
      </w:r>
      <w:r w:rsidR="00F24B81">
        <w:rPr>
          <w:rFonts w:cstheme="minorHAnsi"/>
        </w:rPr>
        <w:t xml:space="preserve">and </w:t>
      </w:r>
      <w:r w:rsidR="00113D4B">
        <w:rPr>
          <w:rFonts w:cstheme="minorHAnsi"/>
        </w:rPr>
        <w:t>Career Training (TAACCCT) Grants Program</w:t>
      </w:r>
      <w:r w:rsidRPr="004F1FB4">
        <w:rPr>
          <w:rFonts w:cstheme="minorHAnsi"/>
        </w:rPr>
        <w:t xml:space="preserve"> – sponsored by </w:t>
      </w:r>
      <w:r w:rsidR="00682745">
        <w:rPr>
          <w:rFonts w:cstheme="minorHAnsi"/>
        </w:rPr>
        <w:t xml:space="preserve">the </w:t>
      </w:r>
      <w:r w:rsidR="00A52190">
        <w:rPr>
          <w:rFonts w:cstheme="minorHAnsi"/>
        </w:rPr>
        <w:t xml:space="preserve">Department of Labor (DOL) </w:t>
      </w:r>
      <w:r w:rsidR="00127986">
        <w:rPr>
          <w:rFonts w:cstheme="minorHAnsi"/>
        </w:rPr>
        <w:t xml:space="preserve">Chief Evaluation Office </w:t>
      </w:r>
      <w:r w:rsidR="00A52190">
        <w:rPr>
          <w:rFonts w:cstheme="minorHAnsi"/>
        </w:rPr>
        <w:t>(CEO)</w:t>
      </w:r>
      <w:r w:rsidRPr="004F1FB4">
        <w:rPr>
          <w:rFonts w:cstheme="minorHAnsi"/>
        </w:rPr>
        <w:t xml:space="preserve"> </w:t>
      </w:r>
      <w:r w:rsidR="00306773">
        <w:rPr>
          <w:rFonts w:cstheme="minorHAnsi"/>
        </w:rPr>
        <w:t xml:space="preserve">in partnership with the Employment and Training Administration (ETA) </w:t>
      </w:r>
      <w:r w:rsidRPr="004F1FB4">
        <w:rPr>
          <w:rFonts w:cstheme="minorHAnsi"/>
        </w:rPr>
        <w:t>– considers the issues pertaining to Collections of Information Employing Statistical Methods</w:t>
      </w:r>
      <w:r w:rsidR="00A72AB7">
        <w:rPr>
          <w:rFonts w:cstheme="minorHAnsi"/>
        </w:rPr>
        <w:t xml:space="preserve">. </w:t>
      </w:r>
      <w:r w:rsidR="00F06A1F">
        <w:rPr>
          <w:rFonts w:cstheme="minorHAnsi"/>
        </w:rPr>
        <w:t xml:space="preserve">CEO </w:t>
      </w:r>
      <w:r w:rsidR="00A76F57">
        <w:rPr>
          <w:rFonts w:cstheme="minorHAnsi"/>
        </w:rPr>
        <w:t xml:space="preserve">and ETA </w:t>
      </w:r>
      <w:r w:rsidR="00F06A1F">
        <w:rPr>
          <w:rFonts w:cstheme="minorHAnsi"/>
        </w:rPr>
        <w:t xml:space="preserve">contracted with </w:t>
      </w:r>
      <w:proofErr w:type="spellStart"/>
      <w:r w:rsidRPr="004F1FB4">
        <w:rPr>
          <w:rFonts w:cstheme="minorHAnsi"/>
        </w:rPr>
        <w:t>Abt</w:t>
      </w:r>
      <w:proofErr w:type="spellEnd"/>
      <w:r w:rsidRPr="004F1FB4">
        <w:rPr>
          <w:rFonts w:cstheme="minorHAnsi"/>
        </w:rPr>
        <w:t xml:space="preserve"> Associates</w:t>
      </w:r>
      <w:r w:rsidR="00F06A1F">
        <w:rPr>
          <w:rFonts w:cstheme="minorHAnsi"/>
        </w:rPr>
        <w:t>,</w:t>
      </w:r>
      <w:r w:rsidRPr="004F1FB4">
        <w:rPr>
          <w:rFonts w:cstheme="minorHAnsi"/>
        </w:rPr>
        <w:t xml:space="preserve"> Inc.</w:t>
      </w:r>
      <w:r w:rsidR="00F06A1F">
        <w:rPr>
          <w:rFonts w:cstheme="minorHAnsi"/>
        </w:rPr>
        <w:t xml:space="preserve"> to conduct the </w:t>
      </w:r>
      <w:r w:rsidRPr="004F1FB4">
        <w:rPr>
          <w:rFonts w:cstheme="minorHAnsi"/>
        </w:rPr>
        <w:t>study</w:t>
      </w:r>
      <w:r w:rsidR="00A72AB7">
        <w:rPr>
          <w:rFonts w:cstheme="minorHAnsi"/>
        </w:rPr>
        <w:t xml:space="preserve">. </w:t>
      </w:r>
      <w:r w:rsidR="00273FC1">
        <w:rPr>
          <w:rFonts w:cstheme="minorHAnsi"/>
        </w:rPr>
        <w:t xml:space="preserve">The </w:t>
      </w:r>
      <w:r w:rsidR="00113D4B">
        <w:rPr>
          <w:rFonts w:cstheme="minorHAnsi"/>
        </w:rPr>
        <w:t>study</w:t>
      </w:r>
      <w:r w:rsidR="00891F62">
        <w:rPr>
          <w:rFonts w:cstheme="minorHAnsi"/>
        </w:rPr>
        <w:t xml:space="preserve"> will evaluate the national</w:t>
      </w:r>
      <w:r w:rsidR="00891F62">
        <w:t xml:space="preserve"> TAACCCT grant program, using a multi-pronged approach including </w:t>
      </w:r>
      <w:r w:rsidR="00113D4B">
        <w:t>(</w:t>
      </w:r>
      <w:r w:rsidR="00891F62">
        <w:t xml:space="preserve">1) an </w:t>
      </w:r>
      <w:r w:rsidR="00BF378B">
        <w:t>Outcomes Study</w:t>
      </w:r>
      <w:r w:rsidR="00891F62">
        <w:t xml:space="preserve"> of selected Round 4 grantees</w:t>
      </w:r>
      <w:r w:rsidR="00AC627E">
        <w:t>,</w:t>
      </w:r>
      <w:r w:rsidR="00891F62">
        <w:t xml:space="preserve"> </w:t>
      </w:r>
      <w:r w:rsidR="00113D4B">
        <w:t>(</w:t>
      </w:r>
      <w:r w:rsidR="00891F62">
        <w:t>2) an implementation analysis</w:t>
      </w:r>
      <w:r w:rsidR="00AC627E">
        <w:t>,</w:t>
      </w:r>
      <w:r w:rsidR="00891F62">
        <w:t xml:space="preserve"> </w:t>
      </w:r>
      <w:r w:rsidR="00113D4B">
        <w:t xml:space="preserve">(3) a study of employer relationships, </w:t>
      </w:r>
      <w:r w:rsidR="00891F62">
        <w:t xml:space="preserve">and </w:t>
      </w:r>
      <w:r w:rsidR="00113D4B">
        <w:t>(4</w:t>
      </w:r>
      <w:r w:rsidR="00891F62">
        <w:t>) a synthesis of the independent third-party evaluations that all Round 4 grantees are required to procure</w:t>
      </w:r>
      <w:r w:rsidR="00891F62">
        <w:rPr>
          <w:rFonts w:cstheme="minorHAnsi"/>
        </w:rPr>
        <w:t>.</w:t>
      </w:r>
    </w:p>
    <w:p w14:paraId="78430F8C" w14:textId="77777777" w:rsidR="005C6FC4" w:rsidRDefault="005C6FC4" w:rsidP="006F299B">
      <w:pPr>
        <w:rPr>
          <w:rFonts w:cstheme="minorHAnsi"/>
        </w:rPr>
      </w:pPr>
      <w:r w:rsidRPr="009607B8">
        <w:t xml:space="preserve">The </w:t>
      </w:r>
      <w:r>
        <w:t>TAACCCT grant</w:t>
      </w:r>
      <w:r w:rsidRPr="009607B8">
        <w:t xml:space="preserve"> program provides community colleges and other eligible institutions of higher education with funds to expand and improve their ability to deliver education and career training programs that can be completed in two years or less</w:t>
      </w:r>
      <w:r>
        <w:t xml:space="preserve"> and</w:t>
      </w:r>
      <w:r w:rsidRPr="009607B8">
        <w:t xml:space="preserve"> are suited for workers who are eligible for training under the Trade Adjustment Assistance for Workers </w:t>
      </w:r>
      <w:r>
        <w:t xml:space="preserve">(TAA) </w:t>
      </w:r>
      <w:r w:rsidRPr="009607B8">
        <w:t>Program</w:t>
      </w:r>
      <w:r w:rsidR="00A72AB7">
        <w:t xml:space="preserve">. </w:t>
      </w:r>
      <w:r w:rsidR="00A52190">
        <w:t xml:space="preserve">DOL awarded </w:t>
      </w:r>
      <w:r>
        <w:t>49</w:t>
      </w:r>
      <w:r w:rsidRPr="009607B8">
        <w:t xml:space="preserve"> grants in Round 1 in FY 2011, </w:t>
      </w:r>
      <w:r>
        <w:t xml:space="preserve">72 </w:t>
      </w:r>
      <w:r w:rsidRPr="009607B8">
        <w:t>in Round 2 in FY 2012</w:t>
      </w:r>
      <w:r>
        <w:t>, 57 grants in Round 3 in FY 2013, and 71 grants in Round 4 in FY 2014</w:t>
      </w:r>
      <w:r w:rsidRPr="009607B8">
        <w:t xml:space="preserve">. </w:t>
      </w:r>
    </w:p>
    <w:p w14:paraId="3FB85496" w14:textId="77777777" w:rsidR="001813DE" w:rsidRDefault="0029088B" w:rsidP="006F299B">
      <w:pPr>
        <w:rPr>
          <w:rFonts w:cstheme="minorHAnsi"/>
        </w:rPr>
      </w:pPr>
      <w:r>
        <w:rPr>
          <w:rFonts w:cstheme="minorHAnsi"/>
        </w:rPr>
        <w:t xml:space="preserve">For the </w:t>
      </w:r>
      <w:r w:rsidR="00A52190">
        <w:rPr>
          <w:rFonts w:cstheme="minorHAnsi"/>
        </w:rPr>
        <w:t>O</w:t>
      </w:r>
      <w:r w:rsidR="00845080">
        <w:rPr>
          <w:rFonts w:cstheme="minorHAnsi"/>
        </w:rPr>
        <w:t>utcomes</w:t>
      </w:r>
      <w:r>
        <w:rPr>
          <w:rFonts w:cstheme="minorHAnsi"/>
        </w:rPr>
        <w:t xml:space="preserve"> </w:t>
      </w:r>
      <w:r w:rsidR="00A52190">
        <w:rPr>
          <w:rFonts w:cstheme="minorHAnsi"/>
        </w:rPr>
        <w:t>S</w:t>
      </w:r>
      <w:r>
        <w:rPr>
          <w:rFonts w:cstheme="minorHAnsi"/>
        </w:rPr>
        <w:t xml:space="preserve">tudy, </w:t>
      </w:r>
      <w:r w:rsidR="00C106E4">
        <w:rPr>
          <w:rFonts w:cstheme="minorHAnsi"/>
        </w:rPr>
        <w:t xml:space="preserve">the evaluation team </w:t>
      </w:r>
      <w:r w:rsidR="00A52190">
        <w:rPr>
          <w:rFonts w:cstheme="minorHAnsi"/>
        </w:rPr>
        <w:t xml:space="preserve">recommended and DOL </w:t>
      </w:r>
      <w:r w:rsidR="00845080">
        <w:rPr>
          <w:rFonts w:cstheme="minorHAnsi"/>
        </w:rPr>
        <w:t xml:space="preserve">selected a purposive sample of </w:t>
      </w:r>
      <w:r w:rsidR="000600BA">
        <w:rPr>
          <w:rFonts w:cstheme="minorHAnsi"/>
        </w:rPr>
        <w:t>nine</w:t>
      </w:r>
      <w:r w:rsidR="00845080">
        <w:rPr>
          <w:rFonts w:cstheme="minorHAnsi"/>
        </w:rPr>
        <w:t xml:space="preserve"> </w:t>
      </w:r>
      <w:r w:rsidR="005C6FC4">
        <w:rPr>
          <w:rFonts w:cstheme="minorHAnsi"/>
        </w:rPr>
        <w:t xml:space="preserve">Round 4 </w:t>
      </w:r>
      <w:r w:rsidR="00845080">
        <w:rPr>
          <w:rFonts w:cstheme="minorHAnsi"/>
        </w:rPr>
        <w:t>grantees</w:t>
      </w:r>
      <w:r w:rsidR="00A72AB7">
        <w:rPr>
          <w:rFonts w:cstheme="minorHAnsi"/>
        </w:rPr>
        <w:t xml:space="preserve">. </w:t>
      </w:r>
      <w:r w:rsidR="00845080">
        <w:rPr>
          <w:rFonts w:cstheme="minorHAnsi"/>
        </w:rPr>
        <w:t xml:space="preserve">Within these grantees, the evaluation </w:t>
      </w:r>
      <w:proofErr w:type="gramStart"/>
      <w:r w:rsidR="00845080">
        <w:rPr>
          <w:rFonts w:cstheme="minorHAnsi"/>
        </w:rPr>
        <w:t xml:space="preserve">team further </w:t>
      </w:r>
      <w:r w:rsidR="00A52190">
        <w:rPr>
          <w:rFonts w:cstheme="minorHAnsi"/>
        </w:rPr>
        <w:t xml:space="preserve">identified and recommended </w:t>
      </w:r>
      <w:r w:rsidR="00A319DC">
        <w:rPr>
          <w:rFonts w:cstheme="minorHAnsi"/>
        </w:rPr>
        <w:t>20</w:t>
      </w:r>
      <w:r w:rsidR="00845080">
        <w:rPr>
          <w:rFonts w:cstheme="minorHAnsi"/>
        </w:rPr>
        <w:t xml:space="preserve"> programs for </w:t>
      </w:r>
      <w:r w:rsidR="00A52190">
        <w:rPr>
          <w:rFonts w:cstheme="minorHAnsi"/>
        </w:rPr>
        <w:t xml:space="preserve">the </w:t>
      </w:r>
      <w:r w:rsidR="00845080">
        <w:rPr>
          <w:rFonts w:cstheme="minorHAnsi"/>
        </w:rPr>
        <w:t>study</w:t>
      </w:r>
      <w:r w:rsidR="00A52190">
        <w:rPr>
          <w:rFonts w:cstheme="minorHAnsi"/>
        </w:rPr>
        <w:t xml:space="preserve"> that </w:t>
      </w:r>
      <w:r w:rsidR="00845080">
        <w:rPr>
          <w:rFonts w:cstheme="minorHAnsi"/>
        </w:rPr>
        <w:t>comprise</w:t>
      </w:r>
      <w:proofErr w:type="gramEnd"/>
      <w:r w:rsidR="00845080">
        <w:rPr>
          <w:rFonts w:cstheme="minorHAnsi"/>
        </w:rPr>
        <w:t xml:space="preserve"> all TAACCCT-</w:t>
      </w:r>
      <w:r w:rsidR="00A52190">
        <w:rPr>
          <w:rFonts w:cstheme="minorHAnsi"/>
        </w:rPr>
        <w:t xml:space="preserve">supported </w:t>
      </w:r>
      <w:r w:rsidR="00845080">
        <w:rPr>
          <w:rFonts w:cstheme="minorHAnsi"/>
        </w:rPr>
        <w:t xml:space="preserve">programs that meet </w:t>
      </w:r>
      <w:r w:rsidR="00113D4B">
        <w:rPr>
          <w:rFonts w:cstheme="minorHAnsi"/>
        </w:rPr>
        <w:t xml:space="preserve">the </w:t>
      </w:r>
      <w:r w:rsidR="00845080">
        <w:rPr>
          <w:rFonts w:cstheme="minorHAnsi"/>
        </w:rPr>
        <w:t xml:space="preserve">study </w:t>
      </w:r>
      <w:r w:rsidR="00113D4B">
        <w:rPr>
          <w:rFonts w:cstheme="minorHAnsi"/>
        </w:rPr>
        <w:t>selection criteria described</w:t>
      </w:r>
      <w:r w:rsidR="00845080">
        <w:rPr>
          <w:rFonts w:cstheme="minorHAnsi"/>
        </w:rPr>
        <w:t xml:space="preserve"> below</w:t>
      </w:r>
      <w:r w:rsidR="00A72AB7">
        <w:rPr>
          <w:rFonts w:cstheme="minorHAnsi"/>
        </w:rPr>
        <w:t xml:space="preserve">. </w:t>
      </w:r>
      <w:r w:rsidR="00845080">
        <w:rPr>
          <w:rFonts w:cstheme="minorHAnsi"/>
        </w:rPr>
        <w:t xml:space="preserve">All students who enroll in these programs during </w:t>
      </w:r>
      <w:r w:rsidR="00B5001E">
        <w:rPr>
          <w:rFonts w:cstheme="minorHAnsi"/>
        </w:rPr>
        <w:t xml:space="preserve">the 2016-17 </w:t>
      </w:r>
      <w:r w:rsidR="00113D4B">
        <w:rPr>
          <w:rFonts w:cstheme="minorHAnsi"/>
        </w:rPr>
        <w:t xml:space="preserve">academic </w:t>
      </w:r>
      <w:proofErr w:type="gramStart"/>
      <w:r w:rsidR="00113D4B">
        <w:rPr>
          <w:rFonts w:cstheme="minorHAnsi"/>
        </w:rPr>
        <w:t>year</w:t>
      </w:r>
      <w:proofErr w:type="gramEnd"/>
      <w:r w:rsidR="00113D4B">
        <w:rPr>
          <w:rFonts w:cstheme="minorHAnsi"/>
        </w:rPr>
        <w:t xml:space="preserve"> </w:t>
      </w:r>
      <w:r w:rsidR="00845080">
        <w:rPr>
          <w:rFonts w:cstheme="minorHAnsi"/>
        </w:rPr>
        <w:t xml:space="preserve">will be </w:t>
      </w:r>
      <w:r w:rsidR="00B5001E">
        <w:rPr>
          <w:rFonts w:cstheme="minorHAnsi"/>
        </w:rPr>
        <w:t>invited</w:t>
      </w:r>
      <w:r w:rsidR="00845080">
        <w:rPr>
          <w:rFonts w:cstheme="minorHAnsi"/>
        </w:rPr>
        <w:t xml:space="preserve"> to participate in the </w:t>
      </w:r>
      <w:r w:rsidR="00A52190">
        <w:rPr>
          <w:rFonts w:cstheme="minorHAnsi"/>
        </w:rPr>
        <w:t>O</w:t>
      </w:r>
      <w:r w:rsidR="00845080">
        <w:rPr>
          <w:rFonts w:cstheme="minorHAnsi"/>
        </w:rPr>
        <w:t xml:space="preserve">utcomes </w:t>
      </w:r>
      <w:r w:rsidR="00A52190">
        <w:rPr>
          <w:rFonts w:cstheme="minorHAnsi"/>
        </w:rPr>
        <w:t>S</w:t>
      </w:r>
      <w:r w:rsidR="00845080">
        <w:rPr>
          <w:rFonts w:cstheme="minorHAnsi"/>
        </w:rPr>
        <w:t>tudy</w:t>
      </w:r>
      <w:r w:rsidR="00A72AB7">
        <w:rPr>
          <w:rFonts w:cstheme="minorHAnsi"/>
        </w:rPr>
        <w:t xml:space="preserve">. </w:t>
      </w:r>
      <w:r>
        <w:rPr>
          <w:rFonts w:cstheme="minorHAnsi"/>
        </w:rPr>
        <w:t xml:space="preserve">Baseline data will be collected on </w:t>
      </w:r>
      <w:r w:rsidR="00845080">
        <w:rPr>
          <w:rFonts w:cstheme="minorHAnsi"/>
        </w:rPr>
        <w:t>students</w:t>
      </w:r>
      <w:r>
        <w:rPr>
          <w:rFonts w:cstheme="minorHAnsi"/>
        </w:rPr>
        <w:t xml:space="preserve"> who consent to participate</w:t>
      </w:r>
      <w:r w:rsidR="00A72AB7">
        <w:rPr>
          <w:rFonts w:cstheme="minorHAnsi"/>
        </w:rPr>
        <w:t xml:space="preserve">. </w:t>
      </w:r>
      <w:r>
        <w:rPr>
          <w:rFonts w:cstheme="minorHAnsi"/>
        </w:rPr>
        <w:t xml:space="preserve">Administrative and follow-up survey data will be collected to measure </w:t>
      </w:r>
      <w:r w:rsidR="00113D4B">
        <w:rPr>
          <w:rFonts w:cstheme="minorHAnsi"/>
        </w:rPr>
        <w:t>participant</w:t>
      </w:r>
      <w:r w:rsidR="00F06A1F">
        <w:rPr>
          <w:rFonts w:cstheme="minorHAnsi"/>
        </w:rPr>
        <w:t xml:space="preserve"> outcome</w:t>
      </w:r>
      <w:r w:rsidR="00113D4B">
        <w:rPr>
          <w:rFonts w:cstheme="minorHAnsi"/>
        </w:rPr>
        <w:t>s</w:t>
      </w:r>
      <w:r w:rsidR="00A72AB7">
        <w:rPr>
          <w:rFonts w:cstheme="minorHAnsi"/>
        </w:rPr>
        <w:t xml:space="preserve">. </w:t>
      </w:r>
      <w:r w:rsidR="009B7D49">
        <w:rPr>
          <w:rFonts w:cstheme="minorHAnsi"/>
        </w:rPr>
        <w:t>To support the implementation analysis</w:t>
      </w:r>
      <w:r w:rsidR="00310505">
        <w:rPr>
          <w:rFonts w:cstheme="minorHAnsi"/>
        </w:rPr>
        <w:t>, th</w:t>
      </w:r>
      <w:r w:rsidR="00264401">
        <w:rPr>
          <w:rFonts w:cstheme="minorHAnsi"/>
        </w:rPr>
        <w:t>e</w:t>
      </w:r>
      <w:r w:rsidR="00A52190">
        <w:rPr>
          <w:rFonts w:cstheme="minorHAnsi"/>
        </w:rPr>
        <w:t xml:space="preserve"> evaluation team will administer </w:t>
      </w:r>
      <w:r w:rsidR="00264401">
        <w:rPr>
          <w:rFonts w:cstheme="minorHAnsi"/>
        </w:rPr>
        <w:t>a survey</w:t>
      </w:r>
      <w:r w:rsidR="00F06A1F">
        <w:rPr>
          <w:rFonts w:cstheme="minorHAnsi"/>
        </w:rPr>
        <w:t xml:space="preserve"> to</w:t>
      </w:r>
      <w:r w:rsidR="00264401">
        <w:rPr>
          <w:rFonts w:cstheme="minorHAnsi"/>
        </w:rPr>
        <w:t xml:space="preserve"> </w:t>
      </w:r>
      <w:r w:rsidR="00A52190">
        <w:rPr>
          <w:rFonts w:cstheme="minorHAnsi"/>
        </w:rPr>
        <w:t xml:space="preserve">all </w:t>
      </w:r>
      <w:r w:rsidR="00113D4B">
        <w:rPr>
          <w:rFonts w:cstheme="minorHAnsi"/>
        </w:rPr>
        <w:t>college</w:t>
      </w:r>
      <w:r w:rsidR="00A52190">
        <w:rPr>
          <w:rFonts w:cstheme="minorHAnsi"/>
        </w:rPr>
        <w:t>s involved in the 71 Round 4</w:t>
      </w:r>
      <w:r w:rsidR="00264401">
        <w:rPr>
          <w:rFonts w:cstheme="minorHAnsi"/>
        </w:rPr>
        <w:t xml:space="preserve"> grants</w:t>
      </w:r>
      <w:r w:rsidR="00A72AB7">
        <w:rPr>
          <w:rFonts w:cstheme="minorHAnsi"/>
        </w:rPr>
        <w:t xml:space="preserve">. </w:t>
      </w:r>
      <w:r w:rsidR="00A52190">
        <w:rPr>
          <w:rFonts w:cstheme="minorHAnsi"/>
        </w:rPr>
        <w:t xml:space="preserve">To learn more about how grantees develop strong partnerships with employers, the evaluation team will interview 50 </w:t>
      </w:r>
      <w:r w:rsidR="00445470">
        <w:rPr>
          <w:rFonts w:cstheme="minorHAnsi"/>
        </w:rPr>
        <w:t xml:space="preserve">purposively sampled </w:t>
      </w:r>
      <w:r w:rsidR="00A52190">
        <w:rPr>
          <w:rFonts w:cstheme="minorHAnsi"/>
        </w:rPr>
        <w:t>employers</w:t>
      </w:r>
      <w:r w:rsidR="00A72AB7">
        <w:rPr>
          <w:rFonts w:cstheme="minorHAnsi"/>
        </w:rPr>
        <w:t xml:space="preserve">. </w:t>
      </w:r>
    </w:p>
    <w:p w14:paraId="1D91D988" w14:textId="77777777" w:rsidR="00310505" w:rsidRDefault="00845080" w:rsidP="00310505">
      <w:pPr>
        <w:rPr>
          <w:rFonts w:cstheme="minorHAnsi"/>
        </w:rPr>
      </w:pPr>
      <w:r w:rsidRPr="00AF721A">
        <w:t>Data collection effor</w:t>
      </w:r>
      <w:r>
        <w:t xml:space="preserve">ts previously approved for the TAACCCT Round 4 </w:t>
      </w:r>
      <w:r w:rsidRPr="009335C4">
        <w:t xml:space="preserve">Evaluation under OMB Control Number 1291-0004 </w:t>
      </w:r>
      <w:proofErr w:type="gramStart"/>
      <w:r w:rsidRPr="009335C4">
        <w:t>include</w:t>
      </w:r>
      <w:proofErr w:type="gramEnd"/>
      <w:r w:rsidR="00445470">
        <w:t xml:space="preserve"> a</w:t>
      </w:r>
      <w:r w:rsidRPr="00AF721A">
        <w:t xml:space="preserve"> </w:t>
      </w:r>
      <w:r w:rsidRPr="006602D1">
        <w:t xml:space="preserve">baseline information </w:t>
      </w:r>
      <w:r w:rsidR="00445470">
        <w:t xml:space="preserve">form completed by study </w:t>
      </w:r>
      <w:r w:rsidRPr="006602D1">
        <w:t>participants in the grantees selected for the</w:t>
      </w:r>
      <w:r w:rsidR="00445470">
        <w:t xml:space="preserve"> O</w:t>
      </w:r>
      <w:r>
        <w:t>utcomes</w:t>
      </w:r>
      <w:r w:rsidRPr="006602D1">
        <w:t xml:space="preserve"> </w:t>
      </w:r>
      <w:r w:rsidR="00445470">
        <w:t>S</w:t>
      </w:r>
      <w:r w:rsidRPr="006602D1">
        <w:t xml:space="preserve">tudy and </w:t>
      </w:r>
      <w:r w:rsidR="00445470">
        <w:t>semi-structured discussion guides for use on implementation research visits to the nine Outcomes Study sites</w:t>
      </w:r>
      <w:r w:rsidR="00A76A32">
        <w:t xml:space="preserve">. </w:t>
      </w:r>
      <w:r w:rsidRPr="00AF721A">
        <w:t xml:space="preserve">These </w:t>
      </w:r>
      <w:r w:rsidR="00445470">
        <w:t xml:space="preserve">data </w:t>
      </w:r>
      <w:r w:rsidRPr="00AF721A">
        <w:t>collection activities will continue under the previously approved request.</w:t>
      </w:r>
      <w:r w:rsidR="00A76A32">
        <w:rPr>
          <w:rStyle w:val="FootnoteReference"/>
        </w:rPr>
        <w:footnoteReference w:id="1"/>
      </w:r>
      <w:r w:rsidR="00310505" w:rsidRPr="00310505">
        <w:rPr>
          <w:rFonts w:cstheme="minorHAnsi"/>
        </w:rPr>
        <w:t xml:space="preserve"> </w:t>
      </w:r>
    </w:p>
    <w:p w14:paraId="7F53047A" w14:textId="77777777" w:rsidR="00891F62" w:rsidRDefault="006F299B" w:rsidP="006F299B">
      <w:pPr>
        <w:rPr>
          <w:rFonts w:cstheme="minorHAnsi"/>
        </w:rPr>
      </w:pPr>
      <w:r w:rsidRPr="004F1FB4">
        <w:rPr>
          <w:rFonts w:cstheme="minorHAnsi"/>
        </w:rPr>
        <w:t xml:space="preserve">This submission seeks clearance for </w:t>
      </w:r>
      <w:r w:rsidR="00310505">
        <w:rPr>
          <w:rFonts w:cstheme="minorHAnsi"/>
        </w:rPr>
        <w:t>four</w:t>
      </w:r>
      <w:r w:rsidRPr="004F1FB4">
        <w:rPr>
          <w:rFonts w:cstheme="minorHAnsi"/>
        </w:rPr>
        <w:t xml:space="preserve"> data collection instrument</w:t>
      </w:r>
      <w:r w:rsidR="00891F62">
        <w:rPr>
          <w:rFonts w:cstheme="minorHAnsi"/>
        </w:rPr>
        <w:t>s:</w:t>
      </w:r>
    </w:p>
    <w:p w14:paraId="2EDFC6DD" w14:textId="77777777" w:rsidR="00891F62" w:rsidRPr="00891F62" w:rsidRDefault="00592AA5" w:rsidP="00170CF9">
      <w:pPr>
        <w:pStyle w:val="Bullets"/>
      </w:pPr>
      <w:r>
        <w:t xml:space="preserve">Follow-up </w:t>
      </w:r>
      <w:r w:rsidR="007433FA">
        <w:t>Survey</w:t>
      </w:r>
      <w:r w:rsidR="00891F62" w:rsidRPr="00891F62">
        <w:t xml:space="preserve"> (</w:t>
      </w:r>
      <w:r w:rsidR="00BF378B">
        <w:t>Outcomes Study</w:t>
      </w:r>
      <w:r w:rsidR="00891F62" w:rsidRPr="00891F62">
        <w:t>)</w:t>
      </w:r>
    </w:p>
    <w:p w14:paraId="59DCE094" w14:textId="77777777" w:rsidR="00891F62" w:rsidRDefault="00592AA5" w:rsidP="00170CF9">
      <w:pPr>
        <w:pStyle w:val="Bullets"/>
      </w:pPr>
      <w:r>
        <w:t>Participant Tracking Form (</w:t>
      </w:r>
      <w:r w:rsidR="00BF378B">
        <w:t>Outcomes Study</w:t>
      </w:r>
      <w:r>
        <w:t>)</w:t>
      </w:r>
    </w:p>
    <w:p w14:paraId="09A074DF" w14:textId="77777777" w:rsidR="00592AA5" w:rsidRPr="00891F62" w:rsidRDefault="00592AA5" w:rsidP="00170CF9">
      <w:pPr>
        <w:pStyle w:val="Bullets"/>
      </w:pPr>
      <w:r>
        <w:t>College Survey (implementation study)</w:t>
      </w:r>
    </w:p>
    <w:p w14:paraId="6BB04016" w14:textId="77777777" w:rsidR="00891F62" w:rsidRDefault="00445470" w:rsidP="00170CF9">
      <w:pPr>
        <w:pStyle w:val="Bullets"/>
      </w:pPr>
      <w:r>
        <w:lastRenderedPageBreak/>
        <w:t xml:space="preserve">Employer Interview (employer relationship </w:t>
      </w:r>
      <w:r w:rsidR="00592AA5">
        <w:t>study)</w:t>
      </w:r>
      <w:r w:rsidR="006F299B" w:rsidRPr="00891F62">
        <w:t xml:space="preserve">  </w:t>
      </w:r>
    </w:p>
    <w:p w14:paraId="47C4CDAB" w14:textId="18297D19" w:rsidR="00D76A6B" w:rsidRDefault="00D76A6B" w:rsidP="004E7D1D">
      <w:pPr>
        <w:rPr>
          <w:rFonts w:cstheme="minorHAnsi"/>
        </w:rPr>
      </w:pPr>
      <w:r>
        <w:rPr>
          <w:rFonts w:cstheme="minorHAnsi"/>
        </w:rPr>
        <w:t xml:space="preserve">The College Survey is very similar to one previously approved by OMB for colleges participating in Rounds 1 through 3 of the TAACCCT Grants </w:t>
      </w:r>
      <w:r w:rsidR="002B4A50" w:rsidRPr="002B4A50">
        <w:rPr>
          <w:rFonts w:cstheme="minorHAnsi"/>
        </w:rPr>
        <w:t>Program (OMB Control No. 1291-007, expiration date 10/31/2018</w:t>
      </w:r>
      <w:r w:rsidRPr="002B4A50">
        <w:rPr>
          <w:rFonts w:cstheme="minorHAnsi"/>
        </w:rPr>
        <w:t>)</w:t>
      </w:r>
      <w:r w:rsidR="00A72AB7">
        <w:rPr>
          <w:rFonts w:cstheme="minorHAnsi"/>
        </w:rPr>
        <w:t xml:space="preserve">. </w:t>
      </w:r>
      <w:r>
        <w:rPr>
          <w:rFonts w:cstheme="minorHAnsi"/>
        </w:rPr>
        <w:t xml:space="preserve">Questions </w:t>
      </w:r>
      <w:r w:rsidR="00445470">
        <w:rPr>
          <w:rFonts w:cstheme="minorHAnsi"/>
        </w:rPr>
        <w:t xml:space="preserve">regarding employer relationships were </w:t>
      </w:r>
      <w:r>
        <w:rPr>
          <w:rFonts w:cstheme="minorHAnsi"/>
        </w:rPr>
        <w:t xml:space="preserve">added to </w:t>
      </w:r>
      <w:r w:rsidR="005C6FC4">
        <w:rPr>
          <w:rFonts w:cstheme="minorHAnsi"/>
        </w:rPr>
        <w:t xml:space="preserve">ensure that the instrument covers priorities outlined in the Round 4 </w:t>
      </w:r>
      <w:r w:rsidR="00445470">
        <w:t>Solicitation for Grants Announcement (SGA)</w:t>
      </w:r>
      <w:r w:rsidR="00A72AB7">
        <w:rPr>
          <w:rFonts w:cstheme="minorHAnsi"/>
        </w:rPr>
        <w:t xml:space="preserve">. </w:t>
      </w:r>
      <w:r w:rsidR="00024207">
        <w:rPr>
          <w:rFonts w:cstheme="minorHAnsi"/>
        </w:rPr>
        <w:t xml:space="preserve">Data from the college survey will contribute to the implementation analysis and provide information for selecting employers for interviews as a part of the employer relationships study. </w:t>
      </w:r>
    </w:p>
    <w:p w14:paraId="6412E94B" w14:textId="77777777" w:rsidR="00D76A6B" w:rsidRDefault="00D76A6B" w:rsidP="004E7D1D">
      <w:pPr>
        <w:rPr>
          <w:rFonts w:cstheme="minorHAnsi"/>
        </w:rPr>
      </w:pPr>
      <w:r>
        <w:rPr>
          <w:rFonts w:cstheme="minorHAnsi"/>
        </w:rPr>
        <w:t xml:space="preserve">The Employer Interviews will be </w:t>
      </w:r>
      <w:r w:rsidR="00024207">
        <w:rPr>
          <w:rFonts w:cstheme="minorHAnsi"/>
        </w:rPr>
        <w:t xml:space="preserve">one-hour </w:t>
      </w:r>
      <w:r>
        <w:rPr>
          <w:rFonts w:cstheme="minorHAnsi"/>
        </w:rPr>
        <w:t>semi-structured</w:t>
      </w:r>
      <w:r w:rsidR="00DF6899">
        <w:rPr>
          <w:rFonts w:cstheme="minorHAnsi"/>
        </w:rPr>
        <w:t xml:space="preserve"> phone</w:t>
      </w:r>
      <w:r>
        <w:rPr>
          <w:rFonts w:cstheme="minorHAnsi"/>
        </w:rPr>
        <w:t xml:space="preserve"> interviews with Human Resources managers at </w:t>
      </w:r>
      <w:r w:rsidR="00445470">
        <w:rPr>
          <w:rFonts w:cstheme="minorHAnsi"/>
        </w:rPr>
        <w:t xml:space="preserve">companies </w:t>
      </w:r>
      <w:r>
        <w:rPr>
          <w:rFonts w:cstheme="minorHAnsi"/>
        </w:rPr>
        <w:t xml:space="preserve">that </w:t>
      </w:r>
      <w:r w:rsidR="00024207">
        <w:rPr>
          <w:rFonts w:cstheme="minorHAnsi"/>
        </w:rPr>
        <w:t xml:space="preserve">partner </w:t>
      </w:r>
      <w:r>
        <w:rPr>
          <w:rFonts w:cstheme="minorHAnsi"/>
        </w:rPr>
        <w:t xml:space="preserve">closely with </w:t>
      </w:r>
      <w:r w:rsidR="00445470">
        <w:rPr>
          <w:rFonts w:cstheme="minorHAnsi"/>
        </w:rPr>
        <w:t>Round 4 grantees</w:t>
      </w:r>
      <w:r w:rsidR="00A72AB7">
        <w:rPr>
          <w:rFonts w:cstheme="minorHAnsi"/>
        </w:rPr>
        <w:t xml:space="preserve">. </w:t>
      </w:r>
    </w:p>
    <w:p w14:paraId="448CC9B9" w14:textId="77777777" w:rsidR="006F299B" w:rsidRPr="004F1FB4" w:rsidRDefault="006F299B" w:rsidP="00137474">
      <w:pPr>
        <w:pStyle w:val="Heading2"/>
      </w:pPr>
      <w:bookmarkStart w:id="1" w:name="_Toc322083615"/>
      <w:r>
        <w:t xml:space="preserve">B.1 </w:t>
      </w:r>
      <w:r w:rsidRPr="004F1FB4">
        <w:t>Respondent Universe and Sampl</w:t>
      </w:r>
      <w:bookmarkEnd w:id="1"/>
      <w:r w:rsidR="0097600C">
        <w:t>ing Methods</w:t>
      </w:r>
      <w:r w:rsidRPr="004F1FB4">
        <w:t xml:space="preserve"> </w:t>
      </w:r>
    </w:p>
    <w:p w14:paraId="68239220" w14:textId="4334071B" w:rsidR="00342FF9" w:rsidRDefault="00445470" w:rsidP="00AD7A9B">
      <w:pPr>
        <w:pStyle w:val="BodyText"/>
      </w:pPr>
      <w:r>
        <w:t>Exhibit B.1 shows the</w:t>
      </w:r>
      <w:r w:rsidR="00AD7A9B">
        <w:t xml:space="preserve"> respondent universe </w:t>
      </w:r>
      <w:r>
        <w:t>and target response rate for each data collection item (</w:t>
      </w:r>
      <w:r w:rsidR="00AD7A9B">
        <w:t xml:space="preserve">the follow-up survey, </w:t>
      </w:r>
      <w:r w:rsidR="00B378FA">
        <w:t xml:space="preserve">participant tracking form, </w:t>
      </w:r>
      <w:r w:rsidR="00AD7A9B">
        <w:t>college survey, and employer interviews</w:t>
      </w:r>
      <w:r>
        <w:t>)</w:t>
      </w:r>
      <w:r w:rsidR="00A72AB7">
        <w:t xml:space="preserve">. </w:t>
      </w:r>
      <w:r>
        <w:t>As shown, DOL’s expected response rate ranges from 80 percent for the follow-up survey and employer interviews to 90 percent for the college survey</w:t>
      </w:r>
      <w:r w:rsidR="00A72AB7">
        <w:t xml:space="preserve">. </w:t>
      </w:r>
      <w:r w:rsidR="007122D4">
        <w:t xml:space="preserve">The 12-month follow-up survey was not administered to previous rounds to TAACCCT participants.  The </w:t>
      </w:r>
      <w:r w:rsidR="00C36E7A">
        <w:t xml:space="preserve">college survey was administered to previous rounds of TAACCCT grantees.  The response rate for Round 2 </w:t>
      </w:r>
      <w:r w:rsidR="00342FF9">
        <w:t xml:space="preserve">was </w:t>
      </w:r>
      <w:r w:rsidR="007122D4">
        <w:t>9</w:t>
      </w:r>
      <w:r w:rsidR="001531B1">
        <w:t>7</w:t>
      </w:r>
      <w:r w:rsidR="007122D4">
        <w:t xml:space="preserve"> percent</w:t>
      </w:r>
      <w:r w:rsidR="00342FF9">
        <w:t xml:space="preserve">. </w:t>
      </w:r>
      <w:r w:rsidR="00C36E7A">
        <w:t xml:space="preserve">Like the 12-month survey, the employer interviews are new to the evaluation of Round 4 TAACCCT grantees. The expected 80 percent response rate is </w:t>
      </w:r>
      <w:r w:rsidR="00C36E7A" w:rsidRPr="00C36E7A">
        <w:t>based on previous experience recruiting interview</w:t>
      </w:r>
      <w:r w:rsidR="00C36E7A">
        <w:t>ee</w:t>
      </w:r>
      <w:r w:rsidR="00C36E7A" w:rsidRPr="00C36E7A">
        <w:t>s</w:t>
      </w:r>
      <w:r w:rsidR="00C36E7A">
        <w:t xml:space="preserve"> for</w:t>
      </w:r>
      <w:r w:rsidR="00C36E7A" w:rsidRPr="00C36E7A">
        <w:t xml:space="preserve"> similar initiatives</w:t>
      </w:r>
      <w:r w:rsidR="001531B1">
        <w:t xml:space="preserve"> (e.g., Pathways for Achieving Careers and Education, Green Jobs and Health Care Impact Evaluation, Health Profession Opportunity Grants Impact Evaluation)</w:t>
      </w:r>
      <w:r w:rsidR="00C36E7A" w:rsidRPr="00C36E7A">
        <w:t xml:space="preserve">. </w:t>
      </w:r>
      <w:r w:rsidR="00C36E7A">
        <w:t xml:space="preserve"> </w:t>
      </w:r>
    </w:p>
    <w:p w14:paraId="37A9C040" w14:textId="77777777" w:rsidR="00AD7A9B" w:rsidRDefault="00EC3F3F" w:rsidP="00AD7A9B">
      <w:pPr>
        <w:pStyle w:val="BodyText"/>
      </w:pPr>
      <w:r>
        <w:t>Below is additional information about the respondent universe and sampling methods.</w:t>
      </w:r>
    </w:p>
    <w:p w14:paraId="06411CF0" w14:textId="77777777" w:rsidR="00AD7A9B" w:rsidRPr="00A30B71" w:rsidRDefault="00AD7A9B" w:rsidP="00AD7A9B">
      <w:pPr>
        <w:pStyle w:val="Caption"/>
        <w:tabs>
          <w:tab w:val="clear" w:pos="1440"/>
          <w:tab w:val="left" w:pos="1260"/>
        </w:tabs>
        <w:ind w:left="1350" w:hanging="1350"/>
      </w:pPr>
      <w:r>
        <w:t>Exhibit B.1</w:t>
      </w:r>
      <w:r w:rsidRPr="00A30B71">
        <w:t xml:space="preserve">: </w:t>
      </w:r>
      <w:r>
        <w:t xml:space="preserve">Sample Sizes and Response Rates </w:t>
      </w:r>
    </w:p>
    <w:tbl>
      <w:tblPr>
        <w:tblStyle w:val="TableGrid"/>
        <w:tblW w:w="0" w:type="auto"/>
        <w:tblLook w:val="04A0" w:firstRow="1" w:lastRow="0" w:firstColumn="1" w:lastColumn="0" w:noHBand="0" w:noVBand="1"/>
      </w:tblPr>
      <w:tblGrid>
        <w:gridCol w:w="2448"/>
        <w:gridCol w:w="1743"/>
        <w:gridCol w:w="1773"/>
        <w:gridCol w:w="1345"/>
      </w:tblGrid>
      <w:tr w:rsidR="00AD7A9B" w14:paraId="28F0FD9E" w14:textId="77777777" w:rsidTr="00BE31D1">
        <w:tc>
          <w:tcPr>
            <w:tcW w:w="2448" w:type="dxa"/>
          </w:tcPr>
          <w:p w14:paraId="0AFFD3D2" w14:textId="77777777" w:rsidR="00AD7A9B" w:rsidRDefault="00AD7A9B" w:rsidP="00BE31D1">
            <w:pPr>
              <w:pStyle w:val="BodyText"/>
              <w:keepNext/>
            </w:pPr>
            <w:r>
              <w:t>Data Collection</w:t>
            </w:r>
          </w:p>
        </w:tc>
        <w:tc>
          <w:tcPr>
            <w:tcW w:w="1743" w:type="dxa"/>
          </w:tcPr>
          <w:p w14:paraId="136DCE59" w14:textId="77777777" w:rsidR="00AD7A9B" w:rsidRDefault="00AD7A9B" w:rsidP="00BE31D1">
            <w:pPr>
              <w:pStyle w:val="BodyText"/>
              <w:keepNext/>
            </w:pPr>
            <w:r>
              <w:t>In Sample</w:t>
            </w:r>
          </w:p>
        </w:tc>
        <w:tc>
          <w:tcPr>
            <w:tcW w:w="1773" w:type="dxa"/>
          </w:tcPr>
          <w:p w14:paraId="7691E281" w14:textId="77777777" w:rsidR="00AD7A9B" w:rsidRDefault="00AD7A9B" w:rsidP="00BE31D1">
            <w:pPr>
              <w:pStyle w:val="BodyText"/>
              <w:keepNext/>
            </w:pPr>
            <w:r>
              <w:t>Completed</w:t>
            </w:r>
          </w:p>
        </w:tc>
        <w:tc>
          <w:tcPr>
            <w:tcW w:w="1345" w:type="dxa"/>
          </w:tcPr>
          <w:p w14:paraId="55AB5537" w14:textId="77777777" w:rsidR="00AD7A9B" w:rsidRDefault="00AD7A9B" w:rsidP="00BE31D1">
            <w:pPr>
              <w:pStyle w:val="BodyText"/>
              <w:keepNext/>
            </w:pPr>
            <w:r>
              <w:t>Response Rate</w:t>
            </w:r>
          </w:p>
        </w:tc>
      </w:tr>
      <w:tr w:rsidR="00AD7A9B" w14:paraId="4579416E" w14:textId="77777777" w:rsidTr="00532B4A">
        <w:tc>
          <w:tcPr>
            <w:tcW w:w="2448" w:type="dxa"/>
          </w:tcPr>
          <w:p w14:paraId="403E59AF" w14:textId="77777777" w:rsidR="00AD7A9B" w:rsidRDefault="00AD7A9B" w:rsidP="00BE31D1">
            <w:pPr>
              <w:pStyle w:val="BodyText"/>
              <w:keepNext/>
            </w:pPr>
            <w:r>
              <w:t>Follow-up survey</w:t>
            </w:r>
          </w:p>
        </w:tc>
        <w:tc>
          <w:tcPr>
            <w:tcW w:w="1743" w:type="dxa"/>
            <w:vAlign w:val="center"/>
          </w:tcPr>
          <w:p w14:paraId="33036CC3" w14:textId="77777777" w:rsidR="00AD7A9B" w:rsidRDefault="00AD7A9B" w:rsidP="00532B4A">
            <w:pPr>
              <w:pStyle w:val="BodyText"/>
              <w:keepNext/>
              <w:jc w:val="center"/>
            </w:pPr>
            <w:r>
              <w:t>5</w:t>
            </w:r>
            <w:r w:rsidR="00445470">
              <w:t>,</w:t>
            </w:r>
            <w:r>
              <w:t>000</w:t>
            </w:r>
          </w:p>
        </w:tc>
        <w:tc>
          <w:tcPr>
            <w:tcW w:w="1773" w:type="dxa"/>
            <w:vAlign w:val="center"/>
          </w:tcPr>
          <w:p w14:paraId="257034AE" w14:textId="77777777" w:rsidR="00AD7A9B" w:rsidRDefault="00AD7A9B" w:rsidP="00532B4A">
            <w:pPr>
              <w:pStyle w:val="BodyText"/>
              <w:keepNext/>
              <w:jc w:val="center"/>
            </w:pPr>
            <w:r>
              <w:t>4</w:t>
            </w:r>
            <w:r w:rsidR="00445470">
              <w:t>,</w:t>
            </w:r>
            <w:r>
              <w:t>000</w:t>
            </w:r>
          </w:p>
        </w:tc>
        <w:tc>
          <w:tcPr>
            <w:tcW w:w="1345" w:type="dxa"/>
            <w:vAlign w:val="center"/>
          </w:tcPr>
          <w:p w14:paraId="5CA1C7C2" w14:textId="77777777" w:rsidR="00AD7A9B" w:rsidRDefault="00AD7A9B" w:rsidP="00532B4A">
            <w:pPr>
              <w:pStyle w:val="BodyText"/>
              <w:keepNext/>
              <w:jc w:val="center"/>
            </w:pPr>
            <w:r>
              <w:t>80%</w:t>
            </w:r>
          </w:p>
        </w:tc>
      </w:tr>
      <w:tr w:rsidR="00AD7A9B" w14:paraId="0B2EEF5E" w14:textId="77777777" w:rsidTr="00532B4A">
        <w:tc>
          <w:tcPr>
            <w:tcW w:w="2448" w:type="dxa"/>
          </w:tcPr>
          <w:p w14:paraId="57CFFEA3" w14:textId="77777777" w:rsidR="00AD7A9B" w:rsidRDefault="00AD7A9B" w:rsidP="00BE31D1">
            <w:pPr>
              <w:pStyle w:val="BodyText"/>
              <w:keepNext/>
            </w:pPr>
            <w:r>
              <w:t>Tracking form</w:t>
            </w:r>
          </w:p>
        </w:tc>
        <w:tc>
          <w:tcPr>
            <w:tcW w:w="1743" w:type="dxa"/>
            <w:vAlign w:val="center"/>
          </w:tcPr>
          <w:p w14:paraId="61689FB6" w14:textId="77777777" w:rsidR="00AD7A9B" w:rsidRDefault="00AD7A9B" w:rsidP="00532B4A">
            <w:pPr>
              <w:pStyle w:val="BodyText"/>
              <w:keepNext/>
              <w:jc w:val="center"/>
            </w:pPr>
            <w:r>
              <w:t>5</w:t>
            </w:r>
            <w:r w:rsidR="00445470">
              <w:t>,</w:t>
            </w:r>
            <w:r>
              <w:t>000</w:t>
            </w:r>
          </w:p>
        </w:tc>
        <w:tc>
          <w:tcPr>
            <w:tcW w:w="1773" w:type="dxa"/>
            <w:vAlign w:val="center"/>
          </w:tcPr>
          <w:p w14:paraId="05C3E38F" w14:textId="77777777" w:rsidR="00AD7A9B" w:rsidRDefault="00B949CE" w:rsidP="00532B4A">
            <w:pPr>
              <w:pStyle w:val="BodyText"/>
              <w:keepNext/>
              <w:jc w:val="center"/>
            </w:pPr>
            <w:r>
              <w:t>N/A</w:t>
            </w:r>
          </w:p>
        </w:tc>
        <w:tc>
          <w:tcPr>
            <w:tcW w:w="1345" w:type="dxa"/>
            <w:vAlign w:val="center"/>
          </w:tcPr>
          <w:p w14:paraId="46FDA1A4" w14:textId="77777777" w:rsidR="00AD7A9B" w:rsidRDefault="00B949CE" w:rsidP="00532B4A">
            <w:pPr>
              <w:pStyle w:val="BodyText"/>
              <w:keepNext/>
              <w:jc w:val="center"/>
            </w:pPr>
            <w:r>
              <w:t>N/A</w:t>
            </w:r>
          </w:p>
        </w:tc>
      </w:tr>
      <w:tr w:rsidR="00AD7A9B" w14:paraId="5608CDE3" w14:textId="77777777" w:rsidTr="00532B4A">
        <w:tc>
          <w:tcPr>
            <w:tcW w:w="2448" w:type="dxa"/>
          </w:tcPr>
          <w:p w14:paraId="22A19402" w14:textId="77777777" w:rsidR="00AD7A9B" w:rsidRDefault="00AD7A9B" w:rsidP="00BE31D1">
            <w:pPr>
              <w:pStyle w:val="BodyText"/>
              <w:keepNext/>
            </w:pPr>
            <w:r>
              <w:t>College survey</w:t>
            </w:r>
          </w:p>
        </w:tc>
        <w:tc>
          <w:tcPr>
            <w:tcW w:w="1743" w:type="dxa"/>
            <w:vAlign w:val="center"/>
          </w:tcPr>
          <w:p w14:paraId="2BB7E6AC" w14:textId="77777777" w:rsidR="00AD7A9B" w:rsidRDefault="00AD7A9B" w:rsidP="00532B4A">
            <w:pPr>
              <w:pStyle w:val="BodyText"/>
              <w:keepNext/>
              <w:jc w:val="center"/>
            </w:pPr>
            <w:r>
              <w:t>272</w:t>
            </w:r>
          </w:p>
        </w:tc>
        <w:tc>
          <w:tcPr>
            <w:tcW w:w="1773" w:type="dxa"/>
            <w:vAlign w:val="center"/>
          </w:tcPr>
          <w:p w14:paraId="49191513" w14:textId="77777777" w:rsidR="00AD7A9B" w:rsidRDefault="00AD7A9B" w:rsidP="00532B4A">
            <w:pPr>
              <w:pStyle w:val="BodyText"/>
              <w:keepNext/>
              <w:jc w:val="center"/>
            </w:pPr>
            <w:r>
              <w:t>245</w:t>
            </w:r>
          </w:p>
        </w:tc>
        <w:tc>
          <w:tcPr>
            <w:tcW w:w="1345" w:type="dxa"/>
            <w:vAlign w:val="center"/>
          </w:tcPr>
          <w:p w14:paraId="624A4368" w14:textId="65F7F7F0" w:rsidR="00AD7A9B" w:rsidRDefault="00AD7A9B" w:rsidP="001531B1">
            <w:pPr>
              <w:pStyle w:val="BodyText"/>
              <w:keepNext/>
              <w:jc w:val="center"/>
            </w:pPr>
            <w:r>
              <w:t>90</w:t>
            </w:r>
            <w:r w:rsidR="00532B4A">
              <w:t>%</w:t>
            </w:r>
          </w:p>
        </w:tc>
      </w:tr>
      <w:tr w:rsidR="00AD7A9B" w14:paraId="432CD400" w14:textId="77777777" w:rsidTr="00532B4A">
        <w:tc>
          <w:tcPr>
            <w:tcW w:w="2448" w:type="dxa"/>
          </w:tcPr>
          <w:p w14:paraId="2ACF66E4" w14:textId="77777777" w:rsidR="00AD7A9B" w:rsidRDefault="00AD7A9B" w:rsidP="00BE31D1">
            <w:pPr>
              <w:pStyle w:val="BodyText"/>
              <w:keepNext/>
            </w:pPr>
            <w:r>
              <w:t>Employer interviews</w:t>
            </w:r>
          </w:p>
        </w:tc>
        <w:tc>
          <w:tcPr>
            <w:tcW w:w="1743" w:type="dxa"/>
            <w:vAlign w:val="center"/>
          </w:tcPr>
          <w:p w14:paraId="71AB021B" w14:textId="77777777" w:rsidR="00AD7A9B" w:rsidRDefault="007F7CC7" w:rsidP="00532B4A">
            <w:pPr>
              <w:pStyle w:val="BodyText"/>
              <w:keepNext/>
              <w:jc w:val="center"/>
            </w:pPr>
            <w:r>
              <w:t>50</w:t>
            </w:r>
          </w:p>
        </w:tc>
        <w:tc>
          <w:tcPr>
            <w:tcW w:w="1773" w:type="dxa"/>
            <w:vAlign w:val="center"/>
          </w:tcPr>
          <w:p w14:paraId="487CB860" w14:textId="77777777" w:rsidR="00AD7A9B" w:rsidRDefault="007F7CC7" w:rsidP="00532B4A">
            <w:pPr>
              <w:pStyle w:val="BodyText"/>
              <w:keepNext/>
              <w:jc w:val="center"/>
            </w:pPr>
            <w:r>
              <w:t>40</w:t>
            </w:r>
          </w:p>
        </w:tc>
        <w:tc>
          <w:tcPr>
            <w:tcW w:w="1345" w:type="dxa"/>
            <w:vAlign w:val="center"/>
          </w:tcPr>
          <w:p w14:paraId="73BA0A5F" w14:textId="77777777" w:rsidR="00AD7A9B" w:rsidRDefault="007F7CC7" w:rsidP="00532B4A">
            <w:pPr>
              <w:pStyle w:val="BodyText"/>
              <w:keepNext/>
              <w:jc w:val="center"/>
            </w:pPr>
            <w:r>
              <w:t>80</w:t>
            </w:r>
            <w:r w:rsidR="00532B4A">
              <w:t>%</w:t>
            </w:r>
          </w:p>
        </w:tc>
      </w:tr>
    </w:tbl>
    <w:p w14:paraId="29CDD6A6" w14:textId="77777777" w:rsidR="00AD7A9B" w:rsidRPr="00AD7A9B" w:rsidRDefault="00AD7A9B" w:rsidP="00522A16">
      <w:pPr>
        <w:pStyle w:val="BodyText"/>
      </w:pPr>
    </w:p>
    <w:p w14:paraId="58B05F31" w14:textId="77777777" w:rsidR="00522A16" w:rsidRPr="00932E88" w:rsidRDefault="004E7D1D" w:rsidP="00522A16">
      <w:pPr>
        <w:pStyle w:val="BodyText"/>
        <w:rPr>
          <w:i/>
        </w:rPr>
      </w:pPr>
      <w:r>
        <w:rPr>
          <w:i/>
        </w:rPr>
        <w:t xml:space="preserve">Follow-Up </w:t>
      </w:r>
      <w:r w:rsidR="007433FA">
        <w:rPr>
          <w:i/>
        </w:rPr>
        <w:t>Survey</w:t>
      </w:r>
      <w:r w:rsidR="00522A16">
        <w:rPr>
          <w:i/>
        </w:rPr>
        <w:t xml:space="preserve"> </w:t>
      </w:r>
    </w:p>
    <w:p w14:paraId="0140C02F" w14:textId="77777777" w:rsidR="00037B63" w:rsidRDefault="00EC3F3F" w:rsidP="00137474">
      <w:pPr>
        <w:pStyle w:val="BodyText"/>
      </w:pPr>
      <w:r>
        <w:t xml:space="preserve">The potential respondent universe for the 12-month follow-up survey is participants who enroll in </w:t>
      </w:r>
      <w:r w:rsidR="0045328F">
        <w:t>TAACCCT-</w:t>
      </w:r>
      <w:r>
        <w:t xml:space="preserve">supported </w:t>
      </w:r>
      <w:r w:rsidR="00037B63">
        <w:t xml:space="preserve">programs </w:t>
      </w:r>
      <w:r>
        <w:t>at nine grantees and who consent to be in the study</w:t>
      </w:r>
      <w:r w:rsidR="00A72AB7">
        <w:t xml:space="preserve">. </w:t>
      </w:r>
      <w:r>
        <w:t xml:space="preserve">The evaluator selected </w:t>
      </w:r>
      <w:r w:rsidR="00A319DC" w:rsidRPr="00A319DC">
        <w:t>20</w:t>
      </w:r>
      <w:r w:rsidR="00037B63" w:rsidRPr="00A319DC">
        <w:t xml:space="preserve"> </w:t>
      </w:r>
      <w:r>
        <w:t>programs using</w:t>
      </w:r>
      <w:r w:rsidR="0045328F">
        <w:t xml:space="preserve"> the following criteria:</w:t>
      </w:r>
      <w:r w:rsidR="00037B63">
        <w:t xml:space="preserve">  </w:t>
      </w:r>
    </w:p>
    <w:p w14:paraId="2C197556" w14:textId="77777777" w:rsidR="00037B63" w:rsidRDefault="0045328F" w:rsidP="009C5536">
      <w:pPr>
        <w:pStyle w:val="BodyText"/>
        <w:numPr>
          <w:ilvl w:val="0"/>
          <w:numId w:val="35"/>
        </w:numPr>
      </w:pPr>
      <w:r>
        <w:t>P</w:t>
      </w:r>
      <w:r w:rsidR="00037B63">
        <w:t xml:space="preserve">rograms anticipate enrolling at least 50 students during the </w:t>
      </w:r>
      <w:r w:rsidR="00EC3F3F">
        <w:t>2016-2017 academic year</w:t>
      </w:r>
      <w:r w:rsidR="00C148A7">
        <w:t>;</w:t>
      </w:r>
    </w:p>
    <w:p w14:paraId="67B728CD" w14:textId="77777777" w:rsidR="00F27D07" w:rsidRDefault="00F27D07" w:rsidP="009C5536">
      <w:pPr>
        <w:pStyle w:val="BodyText"/>
        <w:numPr>
          <w:ilvl w:val="0"/>
          <w:numId w:val="35"/>
        </w:numPr>
      </w:pPr>
      <w:r>
        <w:t xml:space="preserve">Programs </w:t>
      </w:r>
      <w:r w:rsidR="00F06A1F">
        <w:t xml:space="preserve">are </w:t>
      </w:r>
      <w:r>
        <w:t>at grantees where total enrollment in all eligible programs at the grantee is anticipated to be at least 200 students during the 2016-2017 academic year;</w:t>
      </w:r>
    </w:p>
    <w:p w14:paraId="78A52D87" w14:textId="77777777" w:rsidR="00037B63" w:rsidRDefault="0045328F" w:rsidP="009C5536">
      <w:pPr>
        <w:pStyle w:val="BodyText"/>
        <w:numPr>
          <w:ilvl w:val="0"/>
          <w:numId w:val="35"/>
        </w:numPr>
      </w:pPr>
      <w:r>
        <w:lastRenderedPageBreak/>
        <w:t>P</w:t>
      </w:r>
      <w:r w:rsidR="00037B63">
        <w:t xml:space="preserve">rograms </w:t>
      </w:r>
      <w:r w:rsidR="00EC3F3F">
        <w:t xml:space="preserve">are </w:t>
      </w:r>
      <w:r w:rsidR="00037B63">
        <w:t xml:space="preserve">designed to </w:t>
      </w:r>
      <w:r>
        <w:t>be completed</w:t>
      </w:r>
      <w:r w:rsidR="00037B63">
        <w:t xml:space="preserve"> within </w:t>
      </w:r>
      <w:r w:rsidR="00EC3F3F">
        <w:t>one academic year of enrollment</w:t>
      </w:r>
      <w:r w:rsidR="00037B63">
        <w:t xml:space="preserve">, with a preference for those designed to </w:t>
      </w:r>
      <w:r>
        <w:t>be completed</w:t>
      </w:r>
      <w:r w:rsidR="00037B63">
        <w:t xml:space="preserve"> within 6 months</w:t>
      </w:r>
      <w:r w:rsidR="00C148A7">
        <w:t>;</w:t>
      </w:r>
      <w:r w:rsidR="00037B63">
        <w:t xml:space="preserve">  </w:t>
      </w:r>
    </w:p>
    <w:p w14:paraId="73D08F86" w14:textId="77777777" w:rsidR="00037B63" w:rsidRDefault="00037B63" w:rsidP="009C5536">
      <w:pPr>
        <w:pStyle w:val="BodyText"/>
        <w:numPr>
          <w:ilvl w:val="0"/>
          <w:numId w:val="35"/>
        </w:numPr>
      </w:pPr>
      <w:r>
        <w:t>TAACCCT funding</w:t>
      </w:r>
      <w:r w:rsidR="00EC3F3F">
        <w:t xml:space="preserve"> </w:t>
      </w:r>
      <w:r>
        <w:t>represent</w:t>
      </w:r>
      <w:r w:rsidR="00EC3F3F">
        <w:t>s</w:t>
      </w:r>
      <w:r>
        <w:t xml:space="preserve"> a </w:t>
      </w:r>
      <w:r w:rsidR="00EC3F3F">
        <w:t>large</w:t>
      </w:r>
      <w:r w:rsidR="0045328F">
        <w:t xml:space="preserve"> </w:t>
      </w:r>
      <w:r>
        <w:t xml:space="preserve">share of total funding for </w:t>
      </w:r>
      <w:r w:rsidR="00EC3F3F">
        <w:t xml:space="preserve">the </w:t>
      </w:r>
      <w:r>
        <w:t>program design</w:t>
      </w:r>
      <w:r w:rsidR="0045328F">
        <w:t xml:space="preserve">, </w:t>
      </w:r>
      <w:r>
        <w:t>redesign</w:t>
      </w:r>
      <w:r w:rsidR="0045328F">
        <w:t>, or enhancement</w:t>
      </w:r>
      <w:r w:rsidR="00C148A7">
        <w:t>; and</w:t>
      </w:r>
      <w:r>
        <w:t xml:space="preserve"> </w:t>
      </w:r>
    </w:p>
    <w:p w14:paraId="231EEEB5" w14:textId="77777777" w:rsidR="00037B63" w:rsidRPr="00337E17" w:rsidRDefault="00037B63" w:rsidP="009C5536">
      <w:pPr>
        <w:pStyle w:val="BodyText"/>
        <w:numPr>
          <w:ilvl w:val="0"/>
          <w:numId w:val="35"/>
        </w:numPr>
      </w:pPr>
      <w:r>
        <w:t xml:space="preserve">The </w:t>
      </w:r>
      <w:r w:rsidR="00EC3F3F">
        <w:t xml:space="preserve">program results in a </w:t>
      </w:r>
      <w:r>
        <w:t xml:space="preserve">credential </w:t>
      </w:r>
      <w:r w:rsidR="00EC3F3F">
        <w:t xml:space="preserve">that </w:t>
      </w:r>
      <w:r w:rsidR="00AA4C7C">
        <w:t>meet</w:t>
      </w:r>
      <w:r w:rsidR="00EC3F3F">
        <w:t>s</w:t>
      </w:r>
      <w:r w:rsidR="00AA4C7C">
        <w:t xml:space="preserve"> the criteria </w:t>
      </w:r>
      <w:r w:rsidR="00C148A7">
        <w:t>developed by the</w:t>
      </w:r>
      <w:r w:rsidR="00EC3F3F">
        <w:t xml:space="preserve"> DOL</w:t>
      </w:r>
      <w:r w:rsidR="00C148A7">
        <w:t xml:space="preserve"> Employment and Training Administration</w:t>
      </w:r>
      <w:r w:rsidR="000D021B">
        <w:t xml:space="preserve"> (ETA)</w:t>
      </w:r>
      <w:r w:rsidR="00EC3F3F">
        <w:t>.</w:t>
      </w:r>
      <w:r w:rsidR="00EC3F3F" w:rsidRPr="00EC3F3F">
        <w:rPr>
          <w:rStyle w:val="FootnoteReference"/>
        </w:rPr>
        <w:t xml:space="preserve"> </w:t>
      </w:r>
      <w:r w:rsidR="00EC3F3F">
        <w:rPr>
          <w:rStyle w:val="FootnoteReference"/>
        </w:rPr>
        <w:footnoteReference w:id="2"/>
      </w:r>
      <w:r w:rsidR="00EC3F3F">
        <w:t xml:space="preserve">  </w:t>
      </w:r>
    </w:p>
    <w:p w14:paraId="74B8664D" w14:textId="77777777" w:rsidR="007433FA" w:rsidRPr="00932E88" w:rsidRDefault="007433FA" w:rsidP="007433FA">
      <w:pPr>
        <w:pStyle w:val="BodyText"/>
        <w:rPr>
          <w:i/>
        </w:rPr>
      </w:pPr>
      <w:r>
        <w:rPr>
          <w:i/>
        </w:rPr>
        <w:t xml:space="preserve">Participant Tracking Form </w:t>
      </w:r>
    </w:p>
    <w:p w14:paraId="61397BED" w14:textId="77777777" w:rsidR="007433FA" w:rsidRDefault="007433FA" w:rsidP="007433FA">
      <w:pPr>
        <w:pStyle w:val="BodyText"/>
      </w:pPr>
      <w:r>
        <w:t>The respondent universe is identical to that for the follow-up survey</w:t>
      </w:r>
      <w:r w:rsidR="00A72AB7">
        <w:t xml:space="preserve">. </w:t>
      </w:r>
      <w:r>
        <w:t>The purpose of the tracking form is to boost the response rate for the follow-up survey</w:t>
      </w:r>
      <w:r w:rsidR="00A72AB7">
        <w:t xml:space="preserve">. </w:t>
      </w:r>
      <w:r>
        <w:t xml:space="preserve">As such, </w:t>
      </w:r>
      <w:r w:rsidR="000D021B">
        <w:t xml:space="preserve">there will be </w:t>
      </w:r>
      <w:r w:rsidR="00CF5A8D">
        <w:t>no</w:t>
      </w:r>
      <w:r>
        <w:t xml:space="preserve"> </w:t>
      </w:r>
      <w:r w:rsidR="00CF5A8D">
        <w:t>subsampl</w:t>
      </w:r>
      <w:r w:rsidR="000D021B">
        <w:t>ing</w:t>
      </w:r>
      <w:r w:rsidR="00CF5A8D">
        <w:t xml:space="preserve">, nor </w:t>
      </w:r>
      <w:r w:rsidR="000D021B">
        <w:t xml:space="preserve">target </w:t>
      </w:r>
      <w:r>
        <w:t>response rate</w:t>
      </w:r>
      <w:r w:rsidR="00A72AB7">
        <w:t xml:space="preserve">. </w:t>
      </w:r>
    </w:p>
    <w:p w14:paraId="755418EC" w14:textId="77777777" w:rsidR="00143C04" w:rsidRPr="00932E88" w:rsidRDefault="00143C04" w:rsidP="00143C04">
      <w:pPr>
        <w:pStyle w:val="BodyText"/>
        <w:rPr>
          <w:i/>
        </w:rPr>
      </w:pPr>
      <w:r>
        <w:rPr>
          <w:i/>
        </w:rPr>
        <w:t>College Survey</w:t>
      </w:r>
    </w:p>
    <w:p w14:paraId="364D102B" w14:textId="77777777" w:rsidR="00143C04" w:rsidRPr="00D73689" w:rsidRDefault="00143C04" w:rsidP="00143C04">
      <w:pPr>
        <w:autoSpaceDE w:val="0"/>
        <w:autoSpaceDN w:val="0"/>
        <w:adjustRightInd w:val="0"/>
        <w:rPr>
          <w:bCs/>
        </w:rPr>
      </w:pPr>
      <w:r>
        <w:rPr>
          <w:bCs/>
        </w:rPr>
        <w:t xml:space="preserve">The respondent universe for the online college survey comprises </w:t>
      </w:r>
      <w:r w:rsidR="000D021B">
        <w:rPr>
          <w:bCs/>
        </w:rPr>
        <w:t xml:space="preserve">all </w:t>
      </w:r>
      <w:r w:rsidR="00CF5A8D">
        <w:rPr>
          <w:bCs/>
        </w:rPr>
        <w:t>272</w:t>
      </w:r>
      <w:r>
        <w:rPr>
          <w:bCs/>
        </w:rPr>
        <w:t xml:space="preserve"> colleges </w:t>
      </w:r>
      <w:r w:rsidR="000D021B">
        <w:rPr>
          <w:bCs/>
        </w:rPr>
        <w:t xml:space="preserve">that are part of the </w:t>
      </w:r>
      <w:r>
        <w:rPr>
          <w:bCs/>
        </w:rPr>
        <w:t>71 Round 4 grant</w:t>
      </w:r>
      <w:r w:rsidR="00CF5A8D">
        <w:rPr>
          <w:bCs/>
        </w:rPr>
        <w:t>ees</w:t>
      </w:r>
      <w:r w:rsidR="00A72AB7">
        <w:rPr>
          <w:bCs/>
        </w:rPr>
        <w:t xml:space="preserve">. </w:t>
      </w:r>
      <w:r w:rsidR="000D021B">
        <w:rPr>
          <w:bCs/>
        </w:rPr>
        <w:t>As noted, the</w:t>
      </w:r>
      <w:r>
        <w:rPr>
          <w:bCs/>
        </w:rPr>
        <w:t xml:space="preserve"> expected response rate is 90 percent</w:t>
      </w:r>
      <w:r w:rsidR="00A72AB7">
        <w:rPr>
          <w:bCs/>
        </w:rPr>
        <w:t xml:space="preserve">. </w:t>
      </w:r>
      <w:r>
        <w:rPr>
          <w:bCs/>
        </w:rPr>
        <w:t xml:space="preserve">The list of primary (and secondary, if available) respondent names and emails from each college will be developed in collaboration with </w:t>
      </w:r>
      <w:r w:rsidR="000D021B">
        <w:rPr>
          <w:bCs/>
        </w:rPr>
        <w:t>DOL</w:t>
      </w:r>
      <w:r>
        <w:rPr>
          <w:bCs/>
        </w:rPr>
        <w:t xml:space="preserve"> staff. </w:t>
      </w:r>
    </w:p>
    <w:p w14:paraId="457213F8" w14:textId="77777777" w:rsidR="00143C04" w:rsidRPr="00932E88" w:rsidRDefault="00143C04" w:rsidP="00143C04">
      <w:pPr>
        <w:pStyle w:val="BodyText"/>
        <w:rPr>
          <w:i/>
        </w:rPr>
      </w:pPr>
      <w:r>
        <w:rPr>
          <w:i/>
        </w:rPr>
        <w:t>Employer Interviews</w:t>
      </w:r>
    </w:p>
    <w:p w14:paraId="4474DC79" w14:textId="77777777" w:rsidR="003870D0" w:rsidRDefault="00462F99" w:rsidP="00462F99">
      <w:r>
        <w:t xml:space="preserve">The purpose of the employer study is to better understand how </w:t>
      </w:r>
      <w:r>
        <w:rPr>
          <w:i/>
          <w:iCs/>
        </w:rPr>
        <w:t>strong</w:t>
      </w:r>
      <w:r>
        <w:t xml:space="preserve"> employer relationships work and what lessons can be gleaned to encourage and support </w:t>
      </w:r>
      <w:r w:rsidR="003870D0">
        <w:t>successful</w:t>
      </w:r>
      <w:r>
        <w:t xml:space="preserve"> employer relationships through </w:t>
      </w:r>
      <w:r w:rsidR="009C5536">
        <w:t>DOL</w:t>
      </w:r>
      <w:r>
        <w:t xml:space="preserve"> programs. </w:t>
      </w:r>
      <w:r w:rsidR="009C5536">
        <w:t>The evaluation</w:t>
      </w:r>
      <w:r>
        <w:t xml:space="preserve"> team </w:t>
      </w:r>
      <w:r w:rsidR="00A622E9">
        <w:t>will</w:t>
      </w:r>
      <w:r>
        <w:t xml:space="preserve"> identify a sample of </w:t>
      </w:r>
      <w:r w:rsidR="009C5536">
        <w:t xml:space="preserve">50 </w:t>
      </w:r>
      <w:r>
        <w:t xml:space="preserve">employers that have strong relationships with their TAACCCT colleges using the data collected on employers from the college survey </w:t>
      </w:r>
      <w:r w:rsidRPr="00462F99">
        <w:rPr>
          <w:i/>
        </w:rPr>
        <w:t>and</w:t>
      </w:r>
      <w:r>
        <w:t xml:space="preserve"> represent a range of industries/occupations of training,</w:t>
      </w:r>
      <w:r w:rsidR="003870D0">
        <w:t xml:space="preserve"> new versus incumbent worker training, </w:t>
      </w:r>
      <w:r>
        <w:t xml:space="preserve">employer size, </w:t>
      </w:r>
      <w:r w:rsidR="003870D0">
        <w:t xml:space="preserve">and </w:t>
      </w:r>
      <w:r>
        <w:t xml:space="preserve">previous involvement </w:t>
      </w:r>
      <w:r w:rsidR="003870D0">
        <w:t>with the college</w:t>
      </w:r>
      <w:r w:rsidR="00A72AB7">
        <w:t xml:space="preserve">. </w:t>
      </w:r>
    </w:p>
    <w:p w14:paraId="523ADD75" w14:textId="77777777" w:rsidR="006F299B" w:rsidRPr="004F1FB4" w:rsidRDefault="006F299B" w:rsidP="00137474">
      <w:pPr>
        <w:pStyle w:val="Heading2"/>
      </w:pPr>
      <w:bookmarkStart w:id="2" w:name="_Toc322083616"/>
      <w:r w:rsidRPr="004F1FB4">
        <w:t>B.2</w:t>
      </w:r>
      <w:r>
        <w:t xml:space="preserve"> </w:t>
      </w:r>
      <w:r w:rsidRPr="004F1FB4">
        <w:t>Procedures for Collection of Information</w:t>
      </w:r>
      <w:bookmarkEnd w:id="2"/>
    </w:p>
    <w:p w14:paraId="374EA0A1" w14:textId="77777777" w:rsidR="006F299B" w:rsidRDefault="006F299B" w:rsidP="00137474">
      <w:pPr>
        <w:pStyle w:val="Heading4"/>
      </w:pPr>
      <w:r>
        <w:t xml:space="preserve">B.2.1 </w:t>
      </w:r>
      <w:r w:rsidRPr="004F1FB4">
        <w:t>Sample Design</w:t>
      </w:r>
    </w:p>
    <w:p w14:paraId="5E751322" w14:textId="77777777" w:rsidR="007433FA" w:rsidRPr="00932E88" w:rsidRDefault="007433FA" w:rsidP="007433FA">
      <w:pPr>
        <w:pStyle w:val="BodyText"/>
        <w:rPr>
          <w:i/>
        </w:rPr>
      </w:pPr>
      <w:r>
        <w:rPr>
          <w:i/>
        </w:rPr>
        <w:t xml:space="preserve">Follow-Up Survey </w:t>
      </w:r>
    </w:p>
    <w:p w14:paraId="4C6BE69A" w14:textId="77777777" w:rsidR="00DC55D3" w:rsidRDefault="00B378FA" w:rsidP="00137474">
      <w:pPr>
        <w:pStyle w:val="BodyText"/>
      </w:pPr>
      <w:r>
        <w:t>T</w:t>
      </w:r>
      <w:r w:rsidR="00C736AD">
        <w:t>he evaluation team</w:t>
      </w:r>
      <w:r w:rsidR="00170CF9">
        <w:t xml:space="preserve"> </w:t>
      </w:r>
      <w:r w:rsidR="006F299B" w:rsidRPr="004F1FB4">
        <w:t>expect</w:t>
      </w:r>
      <w:r w:rsidR="00C736AD">
        <w:t>s</w:t>
      </w:r>
      <w:r w:rsidR="006F299B" w:rsidRPr="004F1FB4">
        <w:t xml:space="preserve"> the</w:t>
      </w:r>
      <w:r>
        <w:t xml:space="preserve"> </w:t>
      </w:r>
      <w:r w:rsidR="00BF378B">
        <w:t>Outcomes Study</w:t>
      </w:r>
      <w:r w:rsidR="006F299B" w:rsidRPr="004F1FB4">
        <w:t xml:space="preserve"> sample to include approximately </w:t>
      </w:r>
      <w:r w:rsidR="005F5D79">
        <w:t>5,000</w:t>
      </w:r>
      <w:r w:rsidR="006F299B" w:rsidRPr="004F1FB4">
        <w:t xml:space="preserve"> individu</w:t>
      </w:r>
      <w:r w:rsidR="005F5D79">
        <w:t xml:space="preserve">als </w:t>
      </w:r>
      <w:r w:rsidR="005F5D79" w:rsidRPr="00A319DC">
        <w:t xml:space="preserve">who </w:t>
      </w:r>
      <w:r w:rsidR="00514CA9" w:rsidRPr="00A319DC">
        <w:t xml:space="preserve">will have enrolled in one of </w:t>
      </w:r>
      <w:r w:rsidR="00A319DC" w:rsidRPr="00A319DC">
        <w:t>20</w:t>
      </w:r>
      <w:r w:rsidR="00514CA9" w:rsidRPr="00A319DC">
        <w:t xml:space="preserve"> </w:t>
      </w:r>
      <w:r w:rsidR="005F5D79" w:rsidRPr="00A319DC">
        <w:t>TAACCCT-</w:t>
      </w:r>
      <w:r w:rsidRPr="00A319DC">
        <w:t xml:space="preserve">funded </w:t>
      </w:r>
      <w:r w:rsidR="005F5D79" w:rsidRPr="00A319DC">
        <w:t>programs</w:t>
      </w:r>
      <w:r w:rsidR="006F299B" w:rsidRPr="00A319DC">
        <w:t xml:space="preserve"> </w:t>
      </w:r>
      <w:r w:rsidR="00514CA9" w:rsidRPr="00A319DC">
        <w:t xml:space="preserve">in one of the </w:t>
      </w:r>
      <w:r w:rsidR="000600BA" w:rsidRPr="00A319DC">
        <w:t>nine</w:t>
      </w:r>
      <w:r w:rsidR="00514CA9" w:rsidRPr="00A319DC">
        <w:t xml:space="preserve"> </w:t>
      </w:r>
      <w:proofErr w:type="gramStart"/>
      <w:r w:rsidR="00514CA9" w:rsidRPr="00A319DC">
        <w:t>study</w:t>
      </w:r>
      <w:proofErr w:type="gramEnd"/>
      <w:r w:rsidR="00514CA9" w:rsidRPr="00A319DC">
        <w:t xml:space="preserve"> </w:t>
      </w:r>
      <w:r w:rsidR="005F5D79" w:rsidRPr="00A319DC">
        <w:t>TAACCCT</w:t>
      </w:r>
      <w:r w:rsidR="006F299B" w:rsidRPr="004F1FB4">
        <w:t xml:space="preserve"> grantees</w:t>
      </w:r>
      <w:r w:rsidR="00A72AB7">
        <w:t xml:space="preserve">. </w:t>
      </w:r>
      <w:r w:rsidR="009C5536">
        <w:t xml:space="preserve">As noted in B.1, </w:t>
      </w:r>
      <w:r>
        <w:t>e</w:t>
      </w:r>
      <w:r w:rsidR="00514CA9">
        <w:t xml:space="preserve">valuation </w:t>
      </w:r>
      <w:r>
        <w:t xml:space="preserve">team </w:t>
      </w:r>
      <w:r w:rsidR="009C5536">
        <w:t xml:space="preserve">recommended and DOL </w:t>
      </w:r>
      <w:r w:rsidR="00514CA9">
        <w:t xml:space="preserve">selected </w:t>
      </w:r>
      <w:r w:rsidR="000600BA">
        <w:t>nine</w:t>
      </w:r>
      <w:r w:rsidR="00514CA9">
        <w:t xml:space="preserve"> </w:t>
      </w:r>
      <w:r>
        <w:t xml:space="preserve">grantees </w:t>
      </w:r>
      <w:r w:rsidR="009C5536">
        <w:t>and</w:t>
      </w:r>
      <w:r w:rsidR="00514CA9" w:rsidRPr="00A319DC">
        <w:t xml:space="preserve"> </w:t>
      </w:r>
      <w:r w:rsidR="00A319DC" w:rsidRPr="00A319DC">
        <w:t>20</w:t>
      </w:r>
      <w:r w:rsidR="00514CA9" w:rsidRPr="00A319DC">
        <w:t xml:space="preserve"> programs </w:t>
      </w:r>
      <w:r w:rsidR="009C5536">
        <w:t>for inclusion in the Outcomes Study</w:t>
      </w:r>
      <w:r w:rsidR="00A72AB7">
        <w:t xml:space="preserve">. </w:t>
      </w:r>
      <w:r w:rsidR="006F299B" w:rsidRPr="003F6E89">
        <w:t>All</w:t>
      </w:r>
      <w:r w:rsidR="0002185C">
        <w:t xml:space="preserve"> </w:t>
      </w:r>
      <w:r w:rsidR="006F299B" w:rsidRPr="003F6E89">
        <w:t>individuals who</w:t>
      </w:r>
      <w:r w:rsidR="003901EA">
        <w:t xml:space="preserve"> enroll in one of these programs during the </w:t>
      </w:r>
      <w:r w:rsidR="009C5536">
        <w:t xml:space="preserve">2016-2017 academic </w:t>
      </w:r>
      <w:proofErr w:type="gramStart"/>
      <w:r w:rsidR="009C5536">
        <w:t>y</w:t>
      </w:r>
      <w:r w:rsidR="00236B02">
        <w:t>ear</w:t>
      </w:r>
      <w:proofErr w:type="gramEnd"/>
      <w:r w:rsidR="003901EA">
        <w:t xml:space="preserve"> </w:t>
      </w:r>
      <w:r w:rsidR="00F06A1F">
        <w:t>and consent to be in the study will be in the sample</w:t>
      </w:r>
      <w:r w:rsidR="00A72AB7">
        <w:t xml:space="preserve">. </w:t>
      </w:r>
      <w:r w:rsidR="00DC55D3">
        <w:t>A year</w:t>
      </w:r>
      <w:r w:rsidR="009C5536">
        <w:t xml:space="preserve"> after study enrollment, the evaluation team will contact </w:t>
      </w:r>
      <w:r w:rsidR="00F06A1F">
        <w:t xml:space="preserve">all </w:t>
      </w:r>
      <w:r w:rsidR="009C5536">
        <w:t>participants for a</w:t>
      </w:r>
      <w:r w:rsidR="00DC55D3">
        <w:t xml:space="preserve"> follow-up interview.</w:t>
      </w:r>
      <w:r w:rsidR="00F06A1F" w:rsidRPr="00F06A1F">
        <w:t xml:space="preserve"> </w:t>
      </w:r>
      <w:r w:rsidR="00F06A1F">
        <w:t>N</w:t>
      </w:r>
      <w:r w:rsidR="00F06A1F" w:rsidRPr="004F1FB4">
        <w:t xml:space="preserve">o </w:t>
      </w:r>
      <w:r w:rsidR="00F06A1F">
        <w:t>probability</w:t>
      </w:r>
      <w:r w:rsidR="00F06A1F" w:rsidRPr="004F1FB4">
        <w:t xml:space="preserve"> sampling will be conducted.</w:t>
      </w:r>
    </w:p>
    <w:p w14:paraId="627A8752" w14:textId="77777777" w:rsidR="00DC55D3" w:rsidRPr="00932E88" w:rsidRDefault="00DC55D3" w:rsidP="00DC55D3">
      <w:pPr>
        <w:pStyle w:val="BodyText"/>
        <w:rPr>
          <w:i/>
        </w:rPr>
      </w:pPr>
      <w:r>
        <w:rPr>
          <w:i/>
        </w:rPr>
        <w:t xml:space="preserve">Participant Tracking Form </w:t>
      </w:r>
    </w:p>
    <w:p w14:paraId="11A64BC7" w14:textId="77777777" w:rsidR="005A2ABC" w:rsidRPr="00426B73" w:rsidRDefault="00DC55D3" w:rsidP="005A2ABC">
      <w:pPr>
        <w:autoSpaceDE w:val="0"/>
        <w:autoSpaceDN w:val="0"/>
        <w:adjustRightInd w:val="0"/>
        <w:spacing w:after="0" w:line="240" w:lineRule="auto"/>
        <w:rPr>
          <w:szCs w:val="22"/>
        </w:rPr>
      </w:pPr>
      <w:r>
        <w:rPr>
          <w:szCs w:val="22"/>
        </w:rPr>
        <w:lastRenderedPageBreak/>
        <w:t xml:space="preserve">The sample will be </w:t>
      </w:r>
      <w:r w:rsidR="009C5536">
        <w:rPr>
          <w:szCs w:val="22"/>
        </w:rPr>
        <w:t>all study participants</w:t>
      </w:r>
      <w:r w:rsidR="00A72AB7">
        <w:rPr>
          <w:szCs w:val="22"/>
        </w:rPr>
        <w:t xml:space="preserve">. </w:t>
      </w:r>
    </w:p>
    <w:p w14:paraId="33B5D5DA" w14:textId="77777777" w:rsidR="005A2ABC" w:rsidRDefault="005A2ABC" w:rsidP="005A2ABC">
      <w:pPr>
        <w:autoSpaceDE w:val="0"/>
        <w:autoSpaceDN w:val="0"/>
        <w:adjustRightInd w:val="0"/>
        <w:spacing w:after="0" w:line="240" w:lineRule="auto"/>
        <w:rPr>
          <w:rFonts w:ascii="Arial" w:hAnsi="Arial" w:cs="Arial"/>
          <w:szCs w:val="22"/>
        </w:rPr>
      </w:pPr>
    </w:p>
    <w:p w14:paraId="61D9EDC0" w14:textId="77777777" w:rsidR="00DC55D3" w:rsidRPr="00932E88" w:rsidRDefault="00DC55D3" w:rsidP="00DC55D3">
      <w:pPr>
        <w:pStyle w:val="BodyText"/>
        <w:rPr>
          <w:i/>
        </w:rPr>
      </w:pPr>
      <w:r>
        <w:rPr>
          <w:i/>
        </w:rPr>
        <w:t>College Survey</w:t>
      </w:r>
    </w:p>
    <w:p w14:paraId="0082CBA0" w14:textId="77777777" w:rsidR="00DC55D3" w:rsidRPr="00DC55D3" w:rsidRDefault="0007557E" w:rsidP="005A2ABC">
      <w:pPr>
        <w:autoSpaceDE w:val="0"/>
        <w:autoSpaceDN w:val="0"/>
        <w:adjustRightInd w:val="0"/>
        <w:spacing w:after="0" w:line="240" w:lineRule="auto"/>
        <w:rPr>
          <w:szCs w:val="22"/>
        </w:rPr>
      </w:pPr>
      <w:r>
        <w:rPr>
          <w:szCs w:val="22"/>
        </w:rPr>
        <w:t>All 272 colleges</w:t>
      </w:r>
      <w:r w:rsidR="009C5536">
        <w:rPr>
          <w:szCs w:val="22"/>
        </w:rPr>
        <w:t xml:space="preserve"> that are part of</w:t>
      </w:r>
      <w:r>
        <w:rPr>
          <w:szCs w:val="22"/>
        </w:rPr>
        <w:t xml:space="preserve"> Round 4 TAACCCT </w:t>
      </w:r>
      <w:r w:rsidR="009C5536">
        <w:rPr>
          <w:szCs w:val="22"/>
        </w:rPr>
        <w:t xml:space="preserve">grants </w:t>
      </w:r>
      <w:r>
        <w:rPr>
          <w:szCs w:val="22"/>
        </w:rPr>
        <w:t xml:space="preserve">will be </w:t>
      </w:r>
      <w:r w:rsidR="00F06A1F">
        <w:rPr>
          <w:szCs w:val="22"/>
        </w:rPr>
        <w:t>surveyed</w:t>
      </w:r>
      <w:r w:rsidR="00A72AB7">
        <w:rPr>
          <w:szCs w:val="22"/>
        </w:rPr>
        <w:t xml:space="preserve">. </w:t>
      </w:r>
      <w:r w:rsidR="00DC55D3" w:rsidRPr="00DC55D3">
        <w:rPr>
          <w:szCs w:val="22"/>
        </w:rPr>
        <w:t xml:space="preserve"> </w:t>
      </w:r>
    </w:p>
    <w:p w14:paraId="34CA69AE" w14:textId="77777777" w:rsidR="00DC55D3" w:rsidRPr="00DC55D3" w:rsidRDefault="00DC55D3" w:rsidP="005A2ABC">
      <w:pPr>
        <w:autoSpaceDE w:val="0"/>
        <w:autoSpaceDN w:val="0"/>
        <w:adjustRightInd w:val="0"/>
        <w:spacing w:after="0" w:line="240" w:lineRule="auto"/>
        <w:rPr>
          <w:szCs w:val="22"/>
        </w:rPr>
      </w:pPr>
    </w:p>
    <w:p w14:paraId="544506A9" w14:textId="77777777" w:rsidR="009C5536" w:rsidRDefault="00DC55D3" w:rsidP="009C5536">
      <w:pPr>
        <w:pStyle w:val="BodyText"/>
        <w:rPr>
          <w:i/>
        </w:rPr>
      </w:pPr>
      <w:r>
        <w:rPr>
          <w:i/>
        </w:rPr>
        <w:t>Employer Interviews</w:t>
      </w:r>
    </w:p>
    <w:p w14:paraId="771D6D8D" w14:textId="77777777" w:rsidR="00CA7A9D" w:rsidRPr="009C5536" w:rsidRDefault="009C5536" w:rsidP="009C5536">
      <w:pPr>
        <w:pStyle w:val="BodyText"/>
        <w:rPr>
          <w:i/>
        </w:rPr>
      </w:pPr>
      <w:r>
        <w:t xml:space="preserve">The evaluation team will use the </w:t>
      </w:r>
      <w:r w:rsidR="00CA7A9D">
        <w:t xml:space="preserve">college survey </w:t>
      </w:r>
      <w:r>
        <w:t>to draw the sample</w:t>
      </w:r>
      <w:r w:rsidR="00A72AB7">
        <w:t xml:space="preserve">. </w:t>
      </w:r>
      <w:r>
        <w:t xml:space="preserve">Survey </w:t>
      </w:r>
      <w:r w:rsidR="00CA7A9D">
        <w:t xml:space="preserve">respondents </w:t>
      </w:r>
      <w:r>
        <w:t xml:space="preserve">will be </w:t>
      </w:r>
      <w:r w:rsidR="00CA7A9D">
        <w:t xml:space="preserve">asked to provide the names of up to five employers who they see as their strongest partners. They </w:t>
      </w:r>
      <w:r w:rsidR="00F06A1F">
        <w:t xml:space="preserve">will </w:t>
      </w:r>
      <w:r w:rsidR="00CA7A9D">
        <w:t xml:space="preserve">then </w:t>
      </w:r>
      <w:r w:rsidR="00F06A1F">
        <w:t xml:space="preserve">be </w:t>
      </w:r>
      <w:r w:rsidR="00CA7A9D" w:rsidRPr="00A622E9">
        <w:rPr>
          <w:szCs w:val="22"/>
        </w:rPr>
        <w:t>asked to provide addition information on each of these employers including:</w:t>
      </w:r>
    </w:p>
    <w:p w14:paraId="3F00AED0" w14:textId="77777777" w:rsidR="00CA7A9D" w:rsidRPr="00A622E9" w:rsidRDefault="00CA7A9D" w:rsidP="00CA7A9D">
      <w:pPr>
        <w:pStyle w:val="ListParagraph"/>
        <w:numPr>
          <w:ilvl w:val="0"/>
          <w:numId w:val="34"/>
        </w:numPr>
        <w:rPr>
          <w:rFonts w:ascii="Times New Roman" w:hAnsi="Times New Roman" w:cs="Times New Roman"/>
        </w:rPr>
      </w:pPr>
      <w:r w:rsidRPr="00A622E9">
        <w:rPr>
          <w:rFonts w:ascii="Times New Roman" w:hAnsi="Times New Roman" w:cs="Times New Roman"/>
        </w:rPr>
        <w:t>Previous relationships with the employer</w:t>
      </w:r>
      <w:r w:rsidR="009C5536">
        <w:rPr>
          <w:rFonts w:ascii="Times New Roman" w:hAnsi="Times New Roman" w:cs="Times New Roman"/>
        </w:rPr>
        <w:t>;</w:t>
      </w:r>
    </w:p>
    <w:p w14:paraId="183F2D51" w14:textId="77777777" w:rsidR="00CA7A9D" w:rsidRPr="00A622E9" w:rsidRDefault="00CA7A9D" w:rsidP="00CA7A9D">
      <w:pPr>
        <w:pStyle w:val="ListParagraph"/>
        <w:numPr>
          <w:ilvl w:val="0"/>
          <w:numId w:val="34"/>
        </w:numPr>
        <w:rPr>
          <w:rFonts w:ascii="Times New Roman" w:hAnsi="Times New Roman" w:cs="Times New Roman"/>
        </w:rPr>
      </w:pPr>
      <w:r w:rsidRPr="00A622E9">
        <w:rPr>
          <w:rFonts w:ascii="Times New Roman" w:hAnsi="Times New Roman" w:cs="Times New Roman"/>
        </w:rPr>
        <w:t>Whether they are sending their current employees for TAACCCT-</w:t>
      </w:r>
      <w:r w:rsidR="009C5536">
        <w:rPr>
          <w:rFonts w:ascii="Times New Roman" w:hAnsi="Times New Roman" w:cs="Times New Roman"/>
        </w:rPr>
        <w:t>supported</w:t>
      </w:r>
      <w:r w:rsidRPr="00A622E9">
        <w:rPr>
          <w:rFonts w:ascii="Times New Roman" w:hAnsi="Times New Roman" w:cs="Times New Roman"/>
        </w:rPr>
        <w:t xml:space="preserve"> training</w:t>
      </w:r>
      <w:r w:rsidR="009C5536">
        <w:rPr>
          <w:rFonts w:ascii="Times New Roman" w:hAnsi="Times New Roman" w:cs="Times New Roman"/>
        </w:rPr>
        <w:t>;</w:t>
      </w:r>
    </w:p>
    <w:p w14:paraId="4ABA4867" w14:textId="77777777" w:rsidR="00CA7A9D" w:rsidRPr="00A622E9" w:rsidRDefault="00CA7A9D" w:rsidP="00CA7A9D">
      <w:pPr>
        <w:pStyle w:val="ListParagraph"/>
        <w:numPr>
          <w:ilvl w:val="0"/>
          <w:numId w:val="34"/>
        </w:numPr>
        <w:rPr>
          <w:rFonts w:ascii="Times New Roman" w:hAnsi="Times New Roman" w:cs="Times New Roman"/>
        </w:rPr>
      </w:pPr>
      <w:r w:rsidRPr="00A622E9">
        <w:rPr>
          <w:rFonts w:ascii="Times New Roman" w:hAnsi="Times New Roman" w:cs="Times New Roman"/>
        </w:rPr>
        <w:t>Whether they are hiring graduates from TAACCCT-</w:t>
      </w:r>
      <w:r w:rsidR="009C5536">
        <w:rPr>
          <w:rFonts w:ascii="Times New Roman" w:hAnsi="Times New Roman" w:cs="Times New Roman"/>
        </w:rPr>
        <w:t>supported</w:t>
      </w:r>
      <w:r w:rsidRPr="00A622E9">
        <w:rPr>
          <w:rFonts w:ascii="Times New Roman" w:hAnsi="Times New Roman" w:cs="Times New Roman"/>
        </w:rPr>
        <w:t xml:space="preserve"> training</w:t>
      </w:r>
      <w:r w:rsidR="009C5536">
        <w:rPr>
          <w:rFonts w:ascii="Times New Roman" w:hAnsi="Times New Roman" w:cs="Times New Roman"/>
        </w:rPr>
        <w:t xml:space="preserve">; </w:t>
      </w:r>
    </w:p>
    <w:p w14:paraId="6778784C" w14:textId="77777777" w:rsidR="00CA7A9D" w:rsidRPr="00A622E9" w:rsidRDefault="00CA7A9D" w:rsidP="00CA7A9D">
      <w:pPr>
        <w:pStyle w:val="ListParagraph"/>
        <w:numPr>
          <w:ilvl w:val="0"/>
          <w:numId w:val="34"/>
        </w:numPr>
        <w:rPr>
          <w:rFonts w:ascii="Times New Roman" w:hAnsi="Times New Roman" w:cs="Times New Roman"/>
        </w:rPr>
      </w:pPr>
      <w:r w:rsidRPr="00A622E9">
        <w:rPr>
          <w:rFonts w:ascii="Times New Roman" w:hAnsi="Times New Roman" w:cs="Times New Roman"/>
        </w:rPr>
        <w:t>Types of activities employers have participated in</w:t>
      </w:r>
      <w:r w:rsidR="009C5536">
        <w:rPr>
          <w:rFonts w:ascii="Times New Roman" w:hAnsi="Times New Roman" w:cs="Times New Roman"/>
        </w:rPr>
        <w:t>; and</w:t>
      </w:r>
    </w:p>
    <w:p w14:paraId="13ABF67F" w14:textId="77777777" w:rsidR="00CA7A9D" w:rsidRPr="00A622E9" w:rsidRDefault="009C5536" w:rsidP="00CA7A9D">
      <w:pPr>
        <w:pStyle w:val="ListParagraph"/>
        <w:numPr>
          <w:ilvl w:val="0"/>
          <w:numId w:val="34"/>
        </w:numPr>
        <w:rPr>
          <w:rFonts w:ascii="Times New Roman" w:hAnsi="Times New Roman" w:cs="Times New Roman"/>
        </w:rPr>
      </w:pPr>
      <w:r>
        <w:rPr>
          <w:rFonts w:ascii="Times New Roman" w:hAnsi="Times New Roman" w:cs="Times New Roman"/>
        </w:rPr>
        <w:t xml:space="preserve">The </w:t>
      </w:r>
      <w:r w:rsidR="00CA7A9D" w:rsidRPr="00A622E9">
        <w:rPr>
          <w:rFonts w:ascii="Times New Roman" w:hAnsi="Times New Roman" w:cs="Times New Roman"/>
        </w:rPr>
        <w:t>roles of the employers</w:t>
      </w:r>
      <w:r>
        <w:rPr>
          <w:rFonts w:ascii="Times New Roman" w:hAnsi="Times New Roman" w:cs="Times New Roman"/>
        </w:rPr>
        <w:t>.</w:t>
      </w:r>
    </w:p>
    <w:p w14:paraId="471C156B" w14:textId="77777777" w:rsidR="00CA7A9D" w:rsidRPr="00A622E9" w:rsidRDefault="009C5536" w:rsidP="00CA7A9D">
      <w:pPr>
        <w:rPr>
          <w:szCs w:val="22"/>
        </w:rPr>
      </w:pPr>
      <w:r>
        <w:rPr>
          <w:color w:val="000000"/>
          <w:szCs w:val="22"/>
          <w:lang w:val="en"/>
        </w:rPr>
        <w:t xml:space="preserve">The evaluator will determine </w:t>
      </w:r>
      <w:r w:rsidR="00CA7A9D" w:rsidRPr="00A622E9">
        <w:rPr>
          <w:color w:val="000000"/>
          <w:szCs w:val="22"/>
          <w:lang w:val="en"/>
        </w:rPr>
        <w:t xml:space="preserve">the strength of the employer relationships </w:t>
      </w:r>
      <w:r w:rsidR="00A570FF">
        <w:rPr>
          <w:color w:val="000000"/>
          <w:szCs w:val="22"/>
          <w:lang w:val="en"/>
        </w:rPr>
        <w:t>using</w:t>
      </w:r>
      <w:r w:rsidR="00CA7A9D" w:rsidRPr="00A622E9">
        <w:rPr>
          <w:color w:val="000000"/>
          <w:szCs w:val="22"/>
          <w:lang w:val="en"/>
        </w:rPr>
        <w:t xml:space="preserve"> the list of employer activities in the Round 4 SGA and identify</w:t>
      </w:r>
      <w:r w:rsidR="00A570FF">
        <w:rPr>
          <w:color w:val="000000"/>
          <w:szCs w:val="22"/>
          <w:lang w:val="en"/>
        </w:rPr>
        <w:t>ing</w:t>
      </w:r>
      <w:r w:rsidR="00CA7A9D" w:rsidRPr="00A622E9">
        <w:rPr>
          <w:color w:val="000000"/>
          <w:szCs w:val="22"/>
          <w:lang w:val="en"/>
        </w:rPr>
        <w:t xml:space="preserve"> employers that participate in multiple activities</w:t>
      </w:r>
      <w:r w:rsidR="00A570FF">
        <w:rPr>
          <w:color w:val="000000"/>
          <w:szCs w:val="22"/>
          <w:lang w:val="en"/>
        </w:rPr>
        <w:t xml:space="preserve"> and then further refining the list </w:t>
      </w:r>
      <w:r>
        <w:rPr>
          <w:color w:val="000000"/>
          <w:szCs w:val="22"/>
          <w:lang w:val="en"/>
        </w:rPr>
        <w:t>us</w:t>
      </w:r>
      <w:r w:rsidR="00A570FF">
        <w:rPr>
          <w:color w:val="000000"/>
          <w:szCs w:val="22"/>
          <w:lang w:val="en"/>
        </w:rPr>
        <w:t>ing</w:t>
      </w:r>
      <w:r>
        <w:rPr>
          <w:color w:val="000000"/>
          <w:szCs w:val="22"/>
          <w:lang w:val="en"/>
        </w:rPr>
        <w:t xml:space="preserve"> a </w:t>
      </w:r>
      <w:r w:rsidR="00CA7A9D" w:rsidRPr="00A622E9">
        <w:rPr>
          <w:color w:val="000000"/>
          <w:szCs w:val="22"/>
          <w:lang w:val="en"/>
        </w:rPr>
        <w:t xml:space="preserve">Jobs for the Future </w:t>
      </w:r>
      <w:r>
        <w:rPr>
          <w:color w:val="000000"/>
          <w:szCs w:val="22"/>
          <w:lang w:val="en"/>
        </w:rPr>
        <w:t xml:space="preserve">scale </w:t>
      </w:r>
      <w:r w:rsidR="00CA7A9D" w:rsidRPr="00A622E9">
        <w:rPr>
          <w:color w:val="000000"/>
          <w:szCs w:val="22"/>
          <w:lang w:val="en"/>
        </w:rPr>
        <w:t>developed to identify strong employer partnerships</w:t>
      </w:r>
      <w:r w:rsidR="00A570FF">
        <w:rPr>
          <w:color w:val="000000"/>
          <w:szCs w:val="22"/>
          <w:lang w:val="en"/>
        </w:rPr>
        <w:t>.</w:t>
      </w:r>
      <w:r>
        <w:rPr>
          <w:rStyle w:val="FootnoteReference"/>
          <w:color w:val="000000"/>
          <w:szCs w:val="22"/>
          <w:lang w:val="en"/>
        </w:rPr>
        <w:footnoteReference w:id="3"/>
      </w:r>
      <w:r w:rsidR="00F41DD4">
        <w:rPr>
          <w:color w:val="000000"/>
          <w:szCs w:val="22"/>
          <w:lang w:val="en"/>
        </w:rPr>
        <w:t xml:space="preserve"> </w:t>
      </w:r>
      <w:r w:rsidR="00A570FF">
        <w:rPr>
          <w:color w:val="000000"/>
          <w:szCs w:val="22"/>
          <w:lang w:val="en"/>
        </w:rPr>
        <w:t xml:space="preserve">The evaluator will </w:t>
      </w:r>
      <w:r w:rsidR="00CA7A9D">
        <w:rPr>
          <w:color w:val="000000"/>
          <w:szCs w:val="22"/>
          <w:lang w:val="en"/>
        </w:rPr>
        <w:t xml:space="preserve">categorize potential employer respondents by the key characteristics for which a range of respondent types </w:t>
      </w:r>
      <w:r w:rsidR="00A570FF">
        <w:rPr>
          <w:color w:val="000000"/>
          <w:szCs w:val="22"/>
          <w:lang w:val="en"/>
        </w:rPr>
        <w:t>is desired.</w:t>
      </w:r>
    </w:p>
    <w:p w14:paraId="1B6E74F4" w14:textId="77777777" w:rsidR="006F299B" w:rsidRPr="004F1FB4" w:rsidRDefault="006F299B" w:rsidP="00137474">
      <w:pPr>
        <w:pStyle w:val="Heading4"/>
      </w:pPr>
      <w:r>
        <w:t xml:space="preserve">B.2.2 </w:t>
      </w:r>
      <w:r w:rsidRPr="004F1FB4">
        <w:t>Estimation Procedures</w:t>
      </w:r>
    </w:p>
    <w:p w14:paraId="77896843" w14:textId="77777777" w:rsidR="007433FA" w:rsidRPr="00932E88" w:rsidRDefault="007433FA" w:rsidP="008A6DB2">
      <w:pPr>
        <w:pStyle w:val="BodyText"/>
        <w:keepNext/>
        <w:rPr>
          <w:i/>
        </w:rPr>
      </w:pPr>
      <w:r>
        <w:rPr>
          <w:i/>
        </w:rPr>
        <w:t xml:space="preserve">Follow-Up Survey </w:t>
      </w:r>
    </w:p>
    <w:p w14:paraId="6D71D84F" w14:textId="77777777" w:rsidR="00943382" w:rsidRPr="007A30AB" w:rsidRDefault="00236B02" w:rsidP="00137474">
      <w:pPr>
        <w:pStyle w:val="BodyText"/>
        <w:rPr>
          <w:szCs w:val="22"/>
        </w:rPr>
      </w:pPr>
      <w:r>
        <w:rPr>
          <w:szCs w:val="22"/>
        </w:rPr>
        <w:t>T</w:t>
      </w:r>
      <w:r w:rsidR="00943382" w:rsidRPr="007A30AB">
        <w:rPr>
          <w:szCs w:val="22"/>
        </w:rPr>
        <w:t xml:space="preserve">he </w:t>
      </w:r>
      <w:r w:rsidR="00BF378B">
        <w:rPr>
          <w:szCs w:val="22"/>
        </w:rPr>
        <w:t>Outcomes Study</w:t>
      </w:r>
      <w:r>
        <w:rPr>
          <w:szCs w:val="22"/>
        </w:rPr>
        <w:t xml:space="preserve"> will address the following </w:t>
      </w:r>
      <w:r w:rsidR="00943382" w:rsidRPr="007A30AB">
        <w:rPr>
          <w:szCs w:val="22"/>
        </w:rPr>
        <w:t>research questions:</w:t>
      </w:r>
      <w:r w:rsidR="00A570FF" w:rsidRPr="007A30AB">
        <w:rPr>
          <w:rStyle w:val="FootnoteReference"/>
        </w:rPr>
        <w:footnoteReference w:id="4"/>
      </w:r>
    </w:p>
    <w:p w14:paraId="43844636" w14:textId="77777777" w:rsidR="005D2AFF" w:rsidRPr="007A30AB" w:rsidRDefault="005D2AFF" w:rsidP="005D2AFF">
      <w:pPr>
        <w:pStyle w:val="ListParagraph"/>
        <w:numPr>
          <w:ilvl w:val="0"/>
          <w:numId w:val="33"/>
        </w:numPr>
        <w:spacing w:after="120" w:line="264" w:lineRule="auto"/>
        <w:contextualSpacing w:val="0"/>
      </w:pPr>
      <w:r w:rsidRPr="007A30AB">
        <w:rPr>
          <w:rFonts w:ascii="Times New Roman" w:hAnsi="Times New Roman" w:cs="Times New Roman"/>
        </w:rPr>
        <w:t>What are the characteristics of TAACCCT participants in our study sample? How do they vary across different TAACCCT</w:t>
      </w:r>
      <w:r w:rsidR="00A570FF">
        <w:rPr>
          <w:rFonts w:ascii="Times New Roman" w:hAnsi="Times New Roman" w:cs="Times New Roman"/>
        </w:rPr>
        <w:t>-supported</w:t>
      </w:r>
      <w:r w:rsidRPr="007A30AB">
        <w:rPr>
          <w:rFonts w:ascii="Times New Roman" w:hAnsi="Times New Roman" w:cs="Times New Roman"/>
        </w:rPr>
        <w:t xml:space="preserve"> programs and colleges in the sample?</w:t>
      </w:r>
    </w:p>
    <w:p w14:paraId="448654AB" w14:textId="77777777" w:rsidR="005D2AFF" w:rsidRPr="007A30AB" w:rsidRDefault="005D2AFF" w:rsidP="005D2AFF">
      <w:pPr>
        <w:pStyle w:val="ListParagraph"/>
        <w:numPr>
          <w:ilvl w:val="0"/>
          <w:numId w:val="33"/>
        </w:numPr>
        <w:spacing w:after="120" w:line="264" w:lineRule="auto"/>
        <w:contextualSpacing w:val="0"/>
        <w:rPr>
          <w:rFonts w:ascii="Times New Roman" w:hAnsi="Times New Roman" w:cs="Times New Roman"/>
        </w:rPr>
      </w:pPr>
      <w:r w:rsidRPr="007A30AB">
        <w:rPr>
          <w:rFonts w:ascii="Times New Roman" w:hAnsi="Times New Roman" w:cs="Times New Roman"/>
        </w:rPr>
        <w:t xml:space="preserve">In which features of training programs and services do TAACCCT participants engage? What college and partner (e.g., workforce agency) services do they receive? What are their assessments of the services they receive? How does this differ across grants? </w:t>
      </w:r>
    </w:p>
    <w:p w14:paraId="706AEFCC" w14:textId="6462FC54" w:rsidR="005D2AFF" w:rsidRPr="007A30AB" w:rsidRDefault="005D2AFF" w:rsidP="005D2AFF">
      <w:pPr>
        <w:pStyle w:val="ListParagraph"/>
        <w:numPr>
          <w:ilvl w:val="0"/>
          <w:numId w:val="33"/>
        </w:numPr>
        <w:spacing w:after="120" w:line="264" w:lineRule="auto"/>
        <w:contextualSpacing w:val="0"/>
        <w:rPr>
          <w:rFonts w:ascii="Times New Roman" w:hAnsi="Times New Roman" w:cs="Times New Roman"/>
        </w:rPr>
      </w:pPr>
      <w:r w:rsidRPr="007A30AB">
        <w:rPr>
          <w:rFonts w:ascii="Times New Roman" w:hAnsi="Times New Roman" w:cs="Times New Roman"/>
        </w:rPr>
        <w:t>What educational outcomes do TAACCCT participants in short-term occupational training programs</w:t>
      </w:r>
      <w:r w:rsidR="00F92420">
        <w:rPr>
          <w:rFonts w:ascii="Times New Roman" w:hAnsi="Times New Roman" w:cs="Times New Roman"/>
        </w:rPr>
        <w:t xml:space="preserve"> achieve</w:t>
      </w:r>
      <w:r w:rsidRPr="007A30AB">
        <w:rPr>
          <w:rFonts w:ascii="Times New Roman" w:hAnsi="Times New Roman" w:cs="Times New Roman"/>
        </w:rPr>
        <w:t>? Do they see themselves on a career pathway? What are their plans for future training? What is the expected timeline?</w:t>
      </w:r>
    </w:p>
    <w:p w14:paraId="517E507B" w14:textId="77777777" w:rsidR="005D2AFF" w:rsidRPr="007A30AB" w:rsidRDefault="005D2AFF" w:rsidP="005D2AFF">
      <w:pPr>
        <w:pStyle w:val="ListParagraph"/>
        <w:numPr>
          <w:ilvl w:val="0"/>
          <w:numId w:val="33"/>
        </w:numPr>
        <w:spacing w:after="120" w:line="264" w:lineRule="auto"/>
        <w:contextualSpacing w:val="0"/>
        <w:rPr>
          <w:rFonts w:ascii="Times New Roman" w:hAnsi="Times New Roman" w:cs="Times New Roman"/>
        </w:rPr>
      </w:pPr>
      <w:r w:rsidRPr="007A30AB">
        <w:rPr>
          <w:rFonts w:ascii="Times New Roman" w:hAnsi="Times New Roman" w:cs="Times New Roman"/>
        </w:rPr>
        <w:t>Do participants obtain employment? If so, is this employment in the occupation for which they trained? What are their earnings? How does it compare to their earnings prior to entering TAACCCT-</w:t>
      </w:r>
      <w:r w:rsidR="00A570FF">
        <w:rPr>
          <w:rFonts w:ascii="Times New Roman" w:hAnsi="Times New Roman" w:cs="Times New Roman"/>
        </w:rPr>
        <w:t xml:space="preserve">supported </w:t>
      </w:r>
      <w:r w:rsidRPr="007A30AB">
        <w:rPr>
          <w:rFonts w:ascii="Times New Roman" w:hAnsi="Times New Roman" w:cs="Times New Roman"/>
        </w:rPr>
        <w:t>programs? What are the characteristics of their jobs?</w:t>
      </w:r>
    </w:p>
    <w:p w14:paraId="75E263C2" w14:textId="77777777" w:rsidR="005D2AFF" w:rsidRPr="007A30AB" w:rsidRDefault="005D2AFF" w:rsidP="005D2AFF">
      <w:pPr>
        <w:pStyle w:val="ListParagraph"/>
        <w:numPr>
          <w:ilvl w:val="0"/>
          <w:numId w:val="33"/>
        </w:numPr>
        <w:spacing w:after="120" w:line="264" w:lineRule="auto"/>
        <w:contextualSpacing w:val="0"/>
        <w:rPr>
          <w:rFonts w:ascii="Times New Roman" w:hAnsi="Times New Roman" w:cs="Times New Roman"/>
        </w:rPr>
      </w:pPr>
      <w:r w:rsidRPr="007A30AB">
        <w:rPr>
          <w:rFonts w:ascii="Times New Roman" w:hAnsi="Times New Roman" w:cs="Times New Roman"/>
        </w:rPr>
        <w:lastRenderedPageBreak/>
        <w:t>Which subgroups of participants</w:t>
      </w:r>
      <w:r w:rsidR="00A570FF">
        <w:rPr>
          <w:rFonts w:ascii="Times New Roman" w:hAnsi="Times New Roman" w:cs="Times New Roman"/>
        </w:rPr>
        <w:t xml:space="preserve"> </w:t>
      </w:r>
      <w:r w:rsidRPr="007A30AB">
        <w:rPr>
          <w:rFonts w:ascii="Times New Roman" w:hAnsi="Times New Roman" w:cs="Times New Roman"/>
        </w:rPr>
        <w:t>are most likely to complete TAACCCT-funded programs and begin jobs in their occupation of training?</w:t>
      </w:r>
    </w:p>
    <w:p w14:paraId="091A0AF5" w14:textId="77777777" w:rsidR="005D2AFF" w:rsidRPr="007A30AB" w:rsidRDefault="005D2AFF" w:rsidP="005D2AFF">
      <w:pPr>
        <w:pStyle w:val="ListParagraph"/>
        <w:numPr>
          <w:ilvl w:val="0"/>
          <w:numId w:val="33"/>
        </w:numPr>
        <w:spacing w:after="120" w:line="264" w:lineRule="auto"/>
        <w:contextualSpacing w:val="0"/>
        <w:rPr>
          <w:rFonts w:ascii="Times New Roman" w:hAnsi="Times New Roman" w:cs="Times New Roman"/>
        </w:rPr>
      </w:pPr>
      <w:r w:rsidRPr="007A30AB">
        <w:rPr>
          <w:rFonts w:ascii="Times New Roman" w:hAnsi="Times New Roman" w:cs="Times New Roman"/>
        </w:rPr>
        <w:t>Which types of TAACCCT programs and program features are associated with improved educational and employment outcomes for participants?</w:t>
      </w:r>
      <w:r w:rsidRPr="007A30AB">
        <w:rPr>
          <w:rStyle w:val="FootnoteReference"/>
          <w:rFonts w:ascii="Times New Roman" w:hAnsi="Times New Roman" w:cs="Times New Roman"/>
        </w:rPr>
        <w:footnoteReference w:id="5"/>
      </w:r>
      <w:r w:rsidRPr="007A30AB">
        <w:rPr>
          <w:rFonts w:ascii="Times New Roman" w:hAnsi="Times New Roman" w:cs="Times New Roman"/>
        </w:rPr>
        <w:t xml:space="preserve"> </w:t>
      </w:r>
    </w:p>
    <w:p w14:paraId="472307AF" w14:textId="77777777" w:rsidR="005D2AFF" w:rsidRPr="007A30AB" w:rsidRDefault="005D2AFF" w:rsidP="005D2AFF">
      <w:pPr>
        <w:pStyle w:val="ListParagraph"/>
        <w:numPr>
          <w:ilvl w:val="0"/>
          <w:numId w:val="33"/>
        </w:numPr>
        <w:spacing w:after="120" w:line="264" w:lineRule="auto"/>
        <w:contextualSpacing w:val="0"/>
        <w:rPr>
          <w:rFonts w:ascii="Times New Roman" w:hAnsi="Times New Roman" w:cs="Times New Roman"/>
        </w:rPr>
      </w:pPr>
      <w:r w:rsidRPr="007A30AB">
        <w:rPr>
          <w:rFonts w:ascii="Times New Roman" w:hAnsi="Times New Roman" w:cs="Times New Roman"/>
        </w:rPr>
        <w:t xml:space="preserve">Did household income change?  Are participants less likely to receive public assistance at follow-up than at baseline? </w:t>
      </w:r>
    </w:p>
    <w:p w14:paraId="25EAA4A2" w14:textId="06E3D33A" w:rsidR="00437374" w:rsidRDefault="00A570FF" w:rsidP="00137474">
      <w:pPr>
        <w:pStyle w:val="BodyText"/>
      </w:pPr>
      <w:r>
        <w:rPr>
          <w:szCs w:val="22"/>
        </w:rPr>
        <w:t>T</w:t>
      </w:r>
      <w:r w:rsidR="005D2AFF" w:rsidRPr="007A30AB">
        <w:rPr>
          <w:szCs w:val="22"/>
        </w:rPr>
        <w:t xml:space="preserve">hese research questions will be answered </w:t>
      </w:r>
      <w:r>
        <w:rPr>
          <w:szCs w:val="22"/>
        </w:rPr>
        <w:t xml:space="preserve">primarily </w:t>
      </w:r>
      <w:r w:rsidR="005D2AFF" w:rsidRPr="007A30AB">
        <w:rPr>
          <w:szCs w:val="22"/>
        </w:rPr>
        <w:t>with simple weighted tabulations of means and percentages</w:t>
      </w:r>
      <w:r w:rsidR="00437374" w:rsidRPr="007A30AB">
        <w:rPr>
          <w:szCs w:val="22"/>
        </w:rPr>
        <w:t xml:space="preserve"> along with corresponding estimated standard errors</w:t>
      </w:r>
      <w:r>
        <w:rPr>
          <w:szCs w:val="22"/>
        </w:rPr>
        <w:t>, with the exception of p</w:t>
      </w:r>
      <w:r w:rsidR="00236B02">
        <w:rPr>
          <w:szCs w:val="22"/>
        </w:rPr>
        <w:t>articipant e</w:t>
      </w:r>
      <w:r>
        <w:rPr>
          <w:szCs w:val="22"/>
        </w:rPr>
        <w:t xml:space="preserve">arnings, which </w:t>
      </w:r>
      <w:r w:rsidR="005D2AFF" w:rsidRPr="007A30AB">
        <w:rPr>
          <w:szCs w:val="22"/>
        </w:rPr>
        <w:t xml:space="preserve">will be measured using </w:t>
      </w:r>
      <w:r>
        <w:rPr>
          <w:szCs w:val="22"/>
        </w:rPr>
        <w:t xml:space="preserve">quarterly wage </w:t>
      </w:r>
      <w:r w:rsidR="00236B02">
        <w:rPr>
          <w:szCs w:val="22"/>
        </w:rPr>
        <w:t xml:space="preserve">data from </w:t>
      </w:r>
      <w:r w:rsidR="005D2AFF" w:rsidRPr="007A30AB">
        <w:rPr>
          <w:szCs w:val="22"/>
        </w:rPr>
        <w:t>the National Directory of New Hires (NDNH)</w:t>
      </w:r>
      <w:r w:rsidR="00A72AB7">
        <w:rPr>
          <w:szCs w:val="22"/>
        </w:rPr>
        <w:t xml:space="preserve">. </w:t>
      </w:r>
      <w:r>
        <w:rPr>
          <w:szCs w:val="22"/>
        </w:rPr>
        <w:t>All non-earnings o</w:t>
      </w:r>
      <w:r w:rsidR="005D2AFF">
        <w:t>utcomes will be measured with follow-up survey</w:t>
      </w:r>
      <w:r w:rsidR="00236B02">
        <w:t xml:space="preserve"> data</w:t>
      </w:r>
      <w:r>
        <w:t xml:space="preserve">; </w:t>
      </w:r>
      <w:r w:rsidR="005D2AFF">
        <w:t xml:space="preserve">weights will reflect modeled probabilities of </w:t>
      </w:r>
      <w:r w:rsidR="00EF61E5">
        <w:t>response</w:t>
      </w:r>
      <w:r w:rsidR="005D2AFF">
        <w:t xml:space="preserve"> to the survey</w:t>
      </w:r>
      <w:r w:rsidR="00A72AB7">
        <w:t xml:space="preserve">. </w:t>
      </w:r>
      <w:r w:rsidR="00236B02">
        <w:t>N</w:t>
      </w:r>
      <w:r w:rsidR="005D2AFF">
        <w:t>o weights will be used</w:t>
      </w:r>
      <w:r w:rsidR="00236B02">
        <w:t xml:space="preserve"> for the NDNH outcomes</w:t>
      </w:r>
      <w:r w:rsidR="00A72AB7">
        <w:t xml:space="preserve">. </w:t>
      </w:r>
      <w:r>
        <w:t xml:space="preserve">The evaluator </w:t>
      </w:r>
      <w:r w:rsidR="00E656CF">
        <w:t>will use s</w:t>
      </w:r>
      <w:r w:rsidR="00437374">
        <w:t xml:space="preserve">tandard hypothesis tests to determine whether changes over time and differences in observed outcomes for different groups are </w:t>
      </w:r>
      <w:r w:rsidR="00CE5622">
        <w:t>statistically significant</w:t>
      </w:r>
      <w:r w:rsidR="00A72AB7">
        <w:t xml:space="preserve">. </w:t>
      </w:r>
    </w:p>
    <w:p w14:paraId="2F1D9D93" w14:textId="54BAFC87" w:rsidR="00095D57" w:rsidRDefault="0076610F" w:rsidP="00137474">
      <w:pPr>
        <w:pStyle w:val="BodyText"/>
      </w:pPr>
      <w:r>
        <w:t xml:space="preserve">Because </w:t>
      </w:r>
      <w:r w:rsidR="00710101">
        <w:t xml:space="preserve">the evaluator </w:t>
      </w:r>
      <w:r>
        <w:t>will mak</w:t>
      </w:r>
      <w:r w:rsidR="00710101">
        <w:t>e</w:t>
      </w:r>
      <w:r>
        <w:t xml:space="preserve"> simple comparisons of means, there are no planned covariates.  The key outcome variables are defined by the research questions above</w:t>
      </w:r>
      <w:r w:rsidR="008403A8">
        <w:t xml:space="preserve">; </w:t>
      </w:r>
      <w:r>
        <w:t>stated briefly they are</w:t>
      </w:r>
      <w:r w:rsidR="00710101">
        <w:t xml:space="preserve"> </w:t>
      </w:r>
      <w:r>
        <w:t xml:space="preserve">educational progress and earnings.  </w:t>
      </w:r>
      <w:r w:rsidR="008F223D">
        <w:t xml:space="preserve">The subgroups are not known at this time. They </w:t>
      </w:r>
      <w:r w:rsidR="008403A8">
        <w:t xml:space="preserve">will </w:t>
      </w:r>
      <w:r w:rsidR="008F223D">
        <w:t xml:space="preserve">be defined in terms of variables measured in the </w:t>
      </w:r>
      <w:r w:rsidR="008403A8">
        <w:t>Baseline Information Form administered at the time of study intake. The</w:t>
      </w:r>
      <w:r w:rsidR="008F223D">
        <w:t xml:space="preserve"> subgroups </w:t>
      </w:r>
      <w:r w:rsidR="008403A8">
        <w:t xml:space="preserve">selected </w:t>
      </w:r>
      <w:r w:rsidR="008F223D">
        <w:t xml:space="preserve">will be determined </w:t>
      </w:r>
      <w:r w:rsidR="006A4A12">
        <w:t>empirically as a result of the research to answer research question #5 above</w:t>
      </w:r>
      <w:r w:rsidR="008F223D">
        <w:t xml:space="preserve">.    </w:t>
      </w:r>
    </w:p>
    <w:p w14:paraId="2D72AE2E" w14:textId="37B094EC" w:rsidR="00095D57" w:rsidRPr="00095D57" w:rsidRDefault="00095D57" w:rsidP="00137474">
      <w:pPr>
        <w:pStyle w:val="BodyText"/>
      </w:pPr>
      <w:r>
        <w:t xml:space="preserve">Item nonresponse will be imputed with SAS/MI with </w:t>
      </w:r>
      <w:r w:rsidR="006A4A12">
        <w:t>fully conditional specification (FCS) methods,</w:t>
      </w:r>
      <w:r w:rsidR="006A4A12">
        <w:rPr>
          <w:rStyle w:val="FootnoteReference"/>
        </w:rPr>
        <w:footnoteReference w:id="6"/>
      </w:r>
      <w:r>
        <w:t xml:space="preserve"> where each outcome is imputed based on models defined in terms of subgroups of interest.  Nonresponse-adjusted weights will be used to compensate for unit nonresponse.  </w:t>
      </w:r>
    </w:p>
    <w:p w14:paraId="55E98506" w14:textId="77777777" w:rsidR="00F11151" w:rsidRPr="00932E88" w:rsidRDefault="00F11151" w:rsidP="00F11151">
      <w:pPr>
        <w:pStyle w:val="BodyText"/>
        <w:rPr>
          <w:i/>
        </w:rPr>
      </w:pPr>
      <w:r>
        <w:rPr>
          <w:i/>
        </w:rPr>
        <w:t xml:space="preserve">Participant Tracking Form </w:t>
      </w:r>
    </w:p>
    <w:p w14:paraId="7AA1247F" w14:textId="77777777" w:rsidR="00F11151" w:rsidRPr="00426B73" w:rsidRDefault="00F11151" w:rsidP="00F11151">
      <w:pPr>
        <w:autoSpaceDE w:val="0"/>
        <w:autoSpaceDN w:val="0"/>
        <w:adjustRightInd w:val="0"/>
        <w:spacing w:after="0" w:line="240" w:lineRule="auto"/>
        <w:rPr>
          <w:szCs w:val="22"/>
        </w:rPr>
      </w:pPr>
      <w:r>
        <w:rPr>
          <w:szCs w:val="22"/>
        </w:rPr>
        <w:t>The data will not be analyzed</w:t>
      </w:r>
      <w:r w:rsidR="00A72AB7">
        <w:rPr>
          <w:szCs w:val="22"/>
        </w:rPr>
        <w:t xml:space="preserve">. </w:t>
      </w:r>
    </w:p>
    <w:p w14:paraId="13021CDE" w14:textId="77777777" w:rsidR="00F11151" w:rsidRDefault="00F11151" w:rsidP="00F11151">
      <w:pPr>
        <w:tabs>
          <w:tab w:val="left" w:pos="6161"/>
        </w:tabs>
        <w:autoSpaceDE w:val="0"/>
        <w:autoSpaceDN w:val="0"/>
        <w:adjustRightInd w:val="0"/>
        <w:spacing w:after="0" w:line="240" w:lineRule="auto"/>
        <w:rPr>
          <w:rFonts w:ascii="Arial" w:hAnsi="Arial" w:cs="Arial"/>
          <w:szCs w:val="22"/>
        </w:rPr>
      </w:pPr>
      <w:r>
        <w:rPr>
          <w:rFonts w:ascii="Arial" w:hAnsi="Arial" w:cs="Arial"/>
          <w:szCs w:val="22"/>
        </w:rPr>
        <w:tab/>
      </w:r>
    </w:p>
    <w:p w14:paraId="531A2685" w14:textId="77777777" w:rsidR="00F11151" w:rsidRPr="00932E88" w:rsidRDefault="00F11151" w:rsidP="00A305C3">
      <w:pPr>
        <w:pStyle w:val="BodyText"/>
        <w:keepNext/>
        <w:rPr>
          <w:i/>
        </w:rPr>
      </w:pPr>
      <w:r>
        <w:rPr>
          <w:i/>
        </w:rPr>
        <w:t>College Survey</w:t>
      </w:r>
    </w:p>
    <w:p w14:paraId="2D44AD29" w14:textId="77777777" w:rsidR="00F11151" w:rsidRPr="00DC55D3" w:rsidRDefault="0007557E" w:rsidP="00F11151">
      <w:pPr>
        <w:autoSpaceDE w:val="0"/>
        <w:autoSpaceDN w:val="0"/>
        <w:adjustRightInd w:val="0"/>
        <w:spacing w:after="0" w:line="240" w:lineRule="auto"/>
        <w:rPr>
          <w:szCs w:val="22"/>
        </w:rPr>
      </w:pPr>
      <w:r>
        <w:t>The college</w:t>
      </w:r>
      <w:r w:rsidRPr="001F1D9B">
        <w:t xml:space="preserve"> survey </w:t>
      </w:r>
      <w:r w:rsidR="00F06A1F">
        <w:t xml:space="preserve">will be used </w:t>
      </w:r>
      <w:r w:rsidRPr="001F1D9B">
        <w:t>to develop an inventory of grantee goals, activities, project context, and future project plans, not</w:t>
      </w:r>
      <w:r>
        <w:t xml:space="preserve"> to</w:t>
      </w:r>
      <w:r w:rsidRPr="001F1D9B">
        <w:t xml:space="preserve"> make statistical inferences about these efforts. </w:t>
      </w:r>
      <w:r>
        <w:t>The data analysis will be descriptive.</w:t>
      </w:r>
    </w:p>
    <w:p w14:paraId="3EB3C680" w14:textId="77777777" w:rsidR="00F11151" w:rsidRPr="00DC55D3" w:rsidRDefault="00F11151" w:rsidP="00F11151">
      <w:pPr>
        <w:autoSpaceDE w:val="0"/>
        <w:autoSpaceDN w:val="0"/>
        <w:adjustRightInd w:val="0"/>
        <w:spacing w:after="0" w:line="240" w:lineRule="auto"/>
        <w:rPr>
          <w:szCs w:val="22"/>
        </w:rPr>
      </w:pPr>
    </w:p>
    <w:p w14:paraId="11D2F6B8" w14:textId="77777777" w:rsidR="00F11151" w:rsidRPr="00932E88" w:rsidRDefault="00F11151" w:rsidP="002F5411">
      <w:pPr>
        <w:pStyle w:val="BodyText"/>
        <w:keepNext/>
        <w:rPr>
          <w:i/>
        </w:rPr>
      </w:pPr>
      <w:r>
        <w:rPr>
          <w:i/>
        </w:rPr>
        <w:t>Employer Interviews</w:t>
      </w:r>
    </w:p>
    <w:p w14:paraId="654F98A1" w14:textId="77777777" w:rsidR="00CA7A9D" w:rsidRPr="00DC55D3" w:rsidRDefault="00CA7A9D" w:rsidP="00CA7A9D">
      <w:pPr>
        <w:autoSpaceDE w:val="0"/>
        <w:autoSpaceDN w:val="0"/>
        <w:adjustRightInd w:val="0"/>
        <w:spacing w:after="0" w:line="240" w:lineRule="auto"/>
        <w:rPr>
          <w:szCs w:val="22"/>
        </w:rPr>
      </w:pPr>
      <w:r>
        <w:t>The employer interviews</w:t>
      </w:r>
      <w:r w:rsidR="00DF6899">
        <w:t xml:space="preserve"> are</w:t>
      </w:r>
      <w:r w:rsidRPr="001F1D9B">
        <w:t xml:space="preserve"> intended to develop </w:t>
      </w:r>
      <w:r>
        <w:t>a better understanding for how strong employer relationships work</w:t>
      </w:r>
      <w:r w:rsidRPr="001F1D9B">
        <w:t>, not</w:t>
      </w:r>
      <w:r>
        <w:t xml:space="preserve"> to</w:t>
      </w:r>
      <w:r w:rsidRPr="001F1D9B">
        <w:t xml:space="preserve"> make stat</w:t>
      </w:r>
      <w:r>
        <w:t xml:space="preserve">istical inferences about these </w:t>
      </w:r>
      <w:r w:rsidRPr="001F1D9B">
        <w:t>efforts</w:t>
      </w:r>
      <w:r w:rsidR="00A72AB7">
        <w:t xml:space="preserve">. </w:t>
      </w:r>
      <w:r w:rsidR="00F06A1F">
        <w:t xml:space="preserve">Qualitative </w:t>
      </w:r>
      <w:r>
        <w:t xml:space="preserve">data </w:t>
      </w:r>
      <w:r w:rsidR="00F06A1F">
        <w:t xml:space="preserve">will be </w:t>
      </w:r>
      <w:r>
        <w:t xml:space="preserve">collected and </w:t>
      </w:r>
      <w:r w:rsidR="00DF6899">
        <w:t xml:space="preserve">the </w:t>
      </w:r>
      <w:r>
        <w:t>analysis will be descriptive.</w:t>
      </w:r>
    </w:p>
    <w:p w14:paraId="399F43A3" w14:textId="77777777" w:rsidR="00383B62" w:rsidRPr="00574240" w:rsidRDefault="00383B62" w:rsidP="005A2ABC">
      <w:pPr>
        <w:autoSpaceDE w:val="0"/>
        <w:autoSpaceDN w:val="0"/>
        <w:adjustRightInd w:val="0"/>
        <w:spacing w:after="0" w:line="240" w:lineRule="auto"/>
        <w:rPr>
          <w:szCs w:val="22"/>
        </w:rPr>
      </w:pPr>
    </w:p>
    <w:p w14:paraId="2DF29451" w14:textId="77777777" w:rsidR="006F299B" w:rsidRPr="004F1FB4" w:rsidRDefault="006F299B" w:rsidP="00137474">
      <w:pPr>
        <w:pStyle w:val="Heading4"/>
      </w:pPr>
      <w:r>
        <w:lastRenderedPageBreak/>
        <w:t xml:space="preserve">B.2.3 </w:t>
      </w:r>
      <w:r w:rsidRPr="004F1FB4">
        <w:t>Degree of Accuracy Required</w:t>
      </w:r>
    </w:p>
    <w:p w14:paraId="4E30A192" w14:textId="77777777" w:rsidR="00CE5622" w:rsidRDefault="00CE5622" w:rsidP="00254900">
      <w:pPr>
        <w:pStyle w:val="body"/>
        <w:rPr>
          <w:rFonts w:ascii="Times New Roman" w:eastAsia="Times New Roman" w:hAnsi="Times New Roman" w:cs="Times New Roman"/>
        </w:rPr>
      </w:pPr>
      <w:r>
        <w:rPr>
          <w:rFonts w:ascii="Times New Roman" w:eastAsia="Times New Roman" w:hAnsi="Times New Roman" w:cs="Times New Roman"/>
        </w:rPr>
        <w:t>The report will include a number of comparisons between subgroups.  Each of these comparisons involves a target group and a reference group.  Questions will be of the form: is the average outcome better in the target group than in the reference group. “Better” will defined in terms of making better progress in completing training and in terms of achieving higher post-training earnings.  The target and reference groups will be defined in terms of gender, prior education, race, or other variables measured in the baseline information form (BIF). They could also be defined in terms of time as is the comparison of pre- and post-training earnings.</w:t>
      </w:r>
    </w:p>
    <w:p w14:paraId="3AB33615" w14:textId="4E3C9736" w:rsidR="00254900" w:rsidRDefault="002B4A50" w:rsidP="00254900">
      <w:pPr>
        <w:pStyle w:val="body"/>
        <w:rPr>
          <w:rFonts w:ascii="Times New Roman" w:eastAsia="Times New Roman" w:hAnsi="Times New Roman" w:cs="Times New Roman"/>
        </w:rPr>
      </w:pPr>
      <w:r>
        <w:rPr>
          <w:rFonts w:ascii="Times New Roman" w:eastAsia="Times New Roman" w:hAnsi="Times New Roman" w:cs="Times New Roman"/>
        </w:rPr>
        <w:t xml:space="preserve">The </w:t>
      </w:r>
      <w:r w:rsidR="001531B1" w:rsidRPr="00574240">
        <w:rPr>
          <w:rFonts w:ascii="Times New Roman" w:eastAsia="Times New Roman" w:hAnsi="Times New Roman" w:cs="Times New Roman"/>
        </w:rPr>
        <w:t xml:space="preserve">minimum detectable </w:t>
      </w:r>
      <w:r w:rsidR="001531B1">
        <w:rPr>
          <w:rFonts w:ascii="Times New Roman" w:eastAsia="Times New Roman" w:hAnsi="Times New Roman" w:cs="Times New Roman"/>
        </w:rPr>
        <w:t>difference (</w:t>
      </w:r>
      <w:r>
        <w:rPr>
          <w:rFonts w:ascii="Times New Roman" w:eastAsia="Times New Roman" w:hAnsi="Times New Roman" w:cs="Times New Roman"/>
        </w:rPr>
        <w:t>MDD</w:t>
      </w:r>
      <w:r w:rsidR="001531B1">
        <w:rPr>
          <w:rFonts w:ascii="Times New Roman" w:eastAsia="Times New Roman" w:hAnsi="Times New Roman" w:cs="Times New Roman"/>
        </w:rPr>
        <w:t>)</w:t>
      </w:r>
      <w:r w:rsidR="00FA2276" w:rsidRPr="00574240">
        <w:rPr>
          <w:rFonts w:ascii="Times New Roman" w:eastAsia="Times New Roman" w:hAnsi="Times New Roman" w:cs="Times New Roman"/>
        </w:rPr>
        <w:t xml:space="preserve"> is the smallest true </w:t>
      </w:r>
      <w:r>
        <w:rPr>
          <w:rFonts w:ascii="Times New Roman" w:eastAsia="Times New Roman" w:hAnsi="Times New Roman" w:cs="Times New Roman"/>
        </w:rPr>
        <w:t>difference between subgroups</w:t>
      </w:r>
      <w:r w:rsidR="00FA2276" w:rsidRPr="00574240">
        <w:rPr>
          <w:rFonts w:ascii="Times New Roman" w:eastAsia="Times New Roman" w:hAnsi="Times New Roman" w:cs="Times New Roman"/>
        </w:rPr>
        <w:t xml:space="preserve"> that a study will be able to detect at specified levels of power and statistical significance. Power refers to the probability of detecting a statistically significant </w:t>
      </w:r>
      <w:r>
        <w:rPr>
          <w:rFonts w:ascii="Times New Roman" w:eastAsia="Times New Roman" w:hAnsi="Times New Roman" w:cs="Times New Roman"/>
        </w:rPr>
        <w:t>difference</w:t>
      </w:r>
      <w:r w:rsidR="00FA2276" w:rsidRPr="00574240">
        <w:rPr>
          <w:rFonts w:ascii="Times New Roman" w:eastAsia="Times New Roman" w:hAnsi="Times New Roman" w:cs="Times New Roman"/>
        </w:rPr>
        <w:t xml:space="preserve"> of given size when it exists (i.e., avoiding Type II error) and typically is set to 80 percent. The statistical significance level in a hypothesis test equals the probability of rejecting the hypothesis of no impact when it is correct and there really is no </w:t>
      </w:r>
      <w:r>
        <w:rPr>
          <w:rFonts w:ascii="Times New Roman" w:eastAsia="Times New Roman" w:hAnsi="Times New Roman" w:cs="Times New Roman"/>
        </w:rPr>
        <w:t>difference</w:t>
      </w:r>
      <w:r w:rsidR="00FA2276" w:rsidRPr="00574240">
        <w:rPr>
          <w:rFonts w:ascii="Times New Roman" w:eastAsia="Times New Roman" w:hAnsi="Times New Roman" w:cs="Times New Roman"/>
        </w:rPr>
        <w:t xml:space="preserve"> (i.e., making a Type I error). The standard for statistical significance in the TAACCCT </w:t>
      </w:r>
      <w:r w:rsidR="00BF378B">
        <w:rPr>
          <w:rFonts w:ascii="Times New Roman" w:eastAsia="Times New Roman" w:hAnsi="Times New Roman" w:cs="Times New Roman"/>
        </w:rPr>
        <w:t>Outcomes Study</w:t>
      </w:r>
      <w:r w:rsidR="00FA2276" w:rsidRPr="00574240">
        <w:rPr>
          <w:rFonts w:ascii="Times New Roman" w:eastAsia="Times New Roman" w:hAnsi="Times New Roman" w:cs="Times New Roman"/>
        </w:rPr>
        <w:t xml:space="preserve"> will be </w:t>
      </w:r>
      <w:r w:rsidR="00682745">
        <w:rPr>
          <w:rFonts w:ascii="Times New Roman" w:eastAsia="Times New Roman" w:hAnsi="Times New Roman" w:cs="Times New Roman"/>
        </w:rPr>
        <w:t>0</w:t>
      </w:r>
      <w:r>
        <w:rPr>
          <w:rFonts w:ascii="Times New Roman" w:eastAsia="Times New Roman" w:hAnsi="Times New Roman" w:cs="Times New Roman"/>
        </w:rPr>
        <w:t>.05</w:t>
      </w:r>
      <w:r w:rsidR="00A72AB7">
        <w:rPr>
          <w:rFonts w:ascii="Times New Roman" w:eastAsia="Times New Roman" w:hAnsi="Times New Roman" w:cs="Times New Roman"/>
        </w:rPr>
        <w:t xml:space="preserve">. </w:t>
      </w:r>
      <w:r w:rsidR="00E55D53">
        <w:rPr>
          <w:rFonts w:ascii="Times New Roman" w:eastAsia="Times New Roman" w:hAnsi="Times New Roman" w:cs="Times New Roman"/>
        </w:rPr>
        <w:t>Two</w:t>
      </w:r>
      <w:r w:rsidR="00497F45">
        <w:rPr>
          <w:rFonts w:ascii="Times New Roman" w:eastAsia="Times New Roman" w:hAnsi="Times New Roman" w:cs="Times New Roman"/>
        </w:rPr>
        <w:t xml:space="preserve">-sided tests will be used because </w:t>
      </w:r>
      <w:r w:rsidR="00A570FF">
        <w:rPr>
          <w:rFonts w:ascii="Times New Roman" w:eastAsia="Times New Roman" w:hAnsi="Times New Roman" w:cs="Times New Roman"/>
        </w:rPr>
        <w:t xml:space="preserve">there is </w:t>
      </w:r>
      <w:r w:rsidR="00E55D53">
        <w:rPr>
          <w:rFonts w:ascii="Times New Roman" w:eastAsia="Times New Roman" w:hAnsi="Times New Roman" w:cs="Times New Roman"/>
        </w:rPr>
        <w:t>no prior</w:t>
      </w:r>
      <w:r w:rsidR="00A570FF">
        <w:rPr>
          <w:rFonts w:ascii="Times New Roman" w:eastAsia="Times New Roman" w:hAnsi="Times New Roman" w:cs="Times New Roman"/>
        </w:rPr>
        <w:t xml:space="preserve"> information </w:t>
      </w:r>
      <w:r w:rsidR="00E55D53">
        <w:rPr>
          <w:rFonts w:ascii="Times New Roman" w:eastAsia="Times New Roman" w:hAnsi="Times New Roman" w:cs="Times New Roman"/>
        </w:rPr>
        <w:t xml:space="preserve">about which programs </w:t>
      </w:r>
      <w:r w:rsidR="00254900">
        <w:rPr>
          <w:rFonts w:ascii="Times New Roman" w:eastAsia="Times New Roman" w:hAnsi="Times New Roman" w:cs="Times New Roman"/>
        </w:rPr>
        <w:t xml:space="preserve">lead to more educational progress and higher post-training earnings </w:t>
      </w:r>
      <w:r w:rsidR="00E55D53">
        <w:rPr>
          <w:rFonts w:ascii="Times New Roman" w:eastAsia="Times New Roman" w:hAnsi="Times New Roman" w:cs="Times New Roman"/>
        </w:rPr>
        <w:t>or what types of students will benefit more from them</w:t>
      </w:r>
      <w:r w:rsidR="00497F45">
        <w:rPr>
          <w:rFonts w:ascii="Times New Roman" w:eastAsia="Times New Roman" w:hAnsi="Times New Roman" w:cs="Times New Roman"/>
        </w:rPr>
        <w:t>.</w:t>
      </w:r>
      <w:r w:rsidR="00254900" w:rsidRPr="00254900">
        <w:rPr>
          <w:rFonts w:ascii="Times New Roman" w:eastAsia="Times New Roman" w:hAnsi="Times New Roman" w:cs="Times New Roman"/>
        </w:rPr>
        <w:t xml:space="preserve"> </w:t>
      </w:r>
    </w:p>
    <w:p w14:paraId="082E8785" w14:textId="2476B677" w:rsidR="00254900" w:rsidRDefault="00254900" w:rsidP="00254900">
      <w:pPr>
        <w:pStyle w:val="body"/>
        <w:rPr>
          <w:rFonts w:ascii="Times New Roman" w:eastAsia="Times New Roman" w:hAnsi="Times New Roman" w:cs="Times New Roman"/>
        </w:rPr>
      </w:pPr>
      <w:r>
        <w:rPr>
          <w:rFonts w:ascii="Times New Roman" w:eastAsia="Times New Roman" w:hAnsi="Times New Roman" w:cs="Times New Roman"/>
        </w:rPr>
        <w:t>Exhibit B.2</w:t>
      </w:r>
      <w:r w:rsidRPr="00574240">
        <w:rPr>
          <w:rFonts w:ascii="Times New Roman" w:eastAsia="Times New Roman" w:hAnsi="Times New Roman" w:cs="Times New Roman"/>
        </w:rPr>
        <w:t xml:space="preserve"> shows that the </w:t>
      </w:r>
      <w:r w:rsidR="00BF378B">
        <w:rPr>
          <w:rFonts w:ascii="Times New Roman" w:eastAsia="Times New Roman" w:hAnsi="Times New Roman" w:cs="Times New Roman"/>
        </w:rPr>
        <w:t>Outcomes Study</w:t>
      </w:r>
      <w:r w:rsidRPr="00574240">
        <w:rPr>
          <w:rFonts w:ascii="Times New Roman" w:eastAsia="Times New Roman" w:hAnsi="Times New Roman" w:cs="Times New Roman"/>
        </w:rPr>
        <w:t xml:space="preserve"> will be able to detect </w:t>
      </w:r>
      <w:r w:rsidR="00484053">
        <w:rPr>
          <w:rFonts w:ascii="Times New Roman" w:eastAsia="Times New Roman" w:hAnsi="Times New Roman" w:cs="Times New Roman"/>
        </w:rPr>
        <w:t xml:space="preserve">a </w:t>
      </w:r>
      <w:r>
        <w:rPr>
          <w:rFonts w:ascii="Times New Roman" w:eastAsia="Times New Roman" w:hAnsi="Times New Roman" w:cs="Times New Roman"/>
        </w:rPr>
        <w:t>difference</w:t>
      </w:r>
      <w:r w:rsidR="00484053">
        <w:rPr>
          <w:rFonts w:ascii="Times New Roman" w:eastAsia="Times New Roman" w:hAnsi="Times New Roman" w:cs="Times New Roman"/>
        </w:rPr>
        <w:t xml:space="preserve"> between a target group and a reference group</w:t>
      </w:r>
      <w:r>
        <w:rPr>
          <w:rFonts w:ascii="Times New Roman" w:eastAsia="Times New Roman" w:hAnsi="Times New Roman" w:cs="Times New Roman"/>
        </w:rPr>
        <w:t xml:space="preserve"> in</w:t>
      </w:r>
      <w:r w:rsidRPr="00574240">
        <w:rPr>
          <w:rFonts w:ascii="Times New Roman" w:eastAsia="Times New Roman" w:hAnsi="Times New Roman" w:cs="Times New Roman"/>
        </w:rPr>
        <w:t xml:space="preserve"> the percentage making substantial educational progress (e.g., receiving specif</w:t>
      </w:r>
      <w:r>
        <w:rPr>
          <w:rFonts w:ascii="Times New Roman" w:eastAsia="Times New Roman" w:hAnsi="Times New Roman" w:cs="Times New Roman"/>
        </w:rPr>
        <w:t>ied credentials) as small as 8.9</w:t>
      </w:r>
      <w:r w:rsidRPr="00574240">
        <w:rPr>
          <w:rFonts w:ascii="Times New Roman" w:eastAsia="Times New Roman" w:hAnsi="Times New Roman" w:cs="Times New Roman"/>
        </w:rPr>
        <w:t xml:space="preserve"> percentage points</w:t>
      </w:r>
      <w:r>
        <w:rPr>
          <w:rFonts w:ascii="Times New Roman" w:eastAsia="Times New Roman" w:hAnsi="Times New Roman" w:cs="Times New Roman"/>
        </w:rPr>
        <w:t xml:space="preserve"> if both groups being compared have a sample size of 500 each, or 13.9 percentages points if the two groups have a sample size of 200 each</w:t>
      </w:r>
      <w:r w:rsidRPr="00574240">
        <w:rPr>
          <w:rFonts w:ascii="Times New Roman" w:eastAsia="Times New Roman" w:hAnsi="Times New Roman" w:cs="Times New Roman"/>
        </w:rPr>
        <w:t>. The corresponding MD</w:t>
      </w:r>
      <w:r>
        <w:rPr>
          <w:rFonts w:ascii="Times New Roman" w:eastAsia="Times New Roman" w:hAnsi="Times New Roman" w:cs="Times New Roman"/>
        </w:rPr>
        <w:t>Ds</w:t>
      </w:r>
      <w:r w:rsidRPr="00574240">
        <w:rPr>
          <w:rFonts w:ascii="Times New Roman" w:eastAsia="Times New Roman" w:hAnsi="Times New Roman" w:cs="Times New Roman"/>
        </w:rPr>
        <w:t xml:space="preserve"> for quarterly earnings </w:t>
      </w:r>
      <w:r>
        <w:rPr>
          <w:rFonts w:ascii="Times New Roman" w:eastAsia="Times New Roman" w:hAnsi="Times New Roman" w:cs="Times New Roman"/>
        </w:rPr>
        <w:t>are $6</w:t>
      </w:r>
      <w:r w:rsidR="00863380">
        <w:rPr>
          <w:rFonts w:ascii="Times New Roman" w:eastAsia="Times New Roman" w:hAnsi="Times New Roman" w:cs="Times New Roman"/>
        </w:rPr>
        <w:t>2</w:t>
      </w:r>
      <w:r>
        <w:rPr>
          <w:rFonts w:ascii="Times New Roman" w:eastAsia="Times New Roman" w:hAnsi="Times New Roman" w:cs="Times New Roman"/>
        </w:rPr>
        <w:t>0 and $</w:t>
      </w:r>
      <w:r w:rsidR="00F828F8">
        <w:rPr>
          <w:rFonts w:ascii="Times New Roman" w:eastAsia="Times New Roman" w:hAnsi="Times New Roman" w:cs="Times New Roman"/>
        </w:rPr>
        <w:t>980</w:t>
      </w:r>
      <w:r w:rsidR="00A72AB7">
        <w:rPr>
          <w:rFonts w:ascii="Times New Roman" w:eastAsia="Times New Roman" w:hAnsi="Times New Roman" w:cs="Times New Roman"/>
        </w:rPr>
        <w:t xml:space="preserve">. </w:t>
      </w:r>
      <w:r w:rsidR="00923E07">
        <w:rPr>
          <w:rFonts w:ascii="Times New Roman" w:eastAsia="Times New Roman" w:hAnsi="Times New Roman" w:cs="Times New Roman"/>
        </w:rPr>
        <w:t>Statements will be made to the effect that outcomes are better or worse in the target group than in the reference group if the estimated difference in outcomes between the two groups is statistically significant</w:t>
      </w:r>
      <w:r w:rsidR="00A72AB7">
        <w:rPr>
          <w:rFonts w:ascii="Times New Roman" w:eastAsia="Times New Roman" w:hAnsi="Times New Roman" w:cs="Times New Roman"/>
        </w:rPr>
        <w:t xml:space="preserve">. </w:t>
      </w:r>
    </w:p>
    <w:p w14:paraId="5765AF6F" w14:textId="24FBE1FB" w:rsidR="002F5411" w:rsidRDefault="002F5411" w:rsidP="00254900">
      <w:pPr>
        <w:pStyle w:val="body"/>
        <w:rPr>
          <w:rFonts w:ascii="Times New Roman" w:eastAsia="Times New Roman" w:hAnsi="Times New Roman" w:cs="Times New Roman"/>
        </w:rPr>
      </w:pPr>
      <w:r>
        <w:rPr>
          <w:rFonts w:ascii="Times New Roman" w:eastAsia="Times New Roman" w:hAnsi="Times New Roman" w:cs="Times New Roman"/>
        </w:rPr>
        <w:t xml:space="preserve">Differences of this magnitude would </w:t>
      </w:r>
      <w:r w:rsidR="008403A8">
        <w:rPr>
          <w:rFonts w:ascii="Times New Roman" w:eastAsia="Times New Roman" w:hAnsi="Times New Roman" w:cs="Times New Roman"/>
        </w:rPr>
        <w:t xml:space="preserve">likely </w:t>
      </w:r>
      <w:r>
        <w:rPr>
          <w:rFonts w:ascii="Times New Roman" w:eastAsia="Times New Roman" w:hAnsi="Times New Roman" w:cs="Times New Roman"/>
        </w:rPr>
        <w:t xml:space="preserve">be of interest to policy makers and practitioners. </w:t>
      </w:r>
      <w:r w:rsidR="000A76B4">
        <w:rPr>
          <w:rFonts w:ascii="Times New Roman" w:eastAsia="Times New Roman" w:hAnsi="Times New Roman" w:cs="Times New Roman"/>
        </w:rPr>
        <w:t xml:space="preserve"> Fein (2016) in examining risk factors for college success found many ways to split the population of ever-enrolled students into groups with very different success rates of receiving credentials.  For example, Fein found a 21-point difference in terms of self-reported high school average grades (As versus Cs or lower); a 9-point difference in terms of expected need (at enrollment) to work while attending school (less than 20 hours per week versus 35 or more hours per week); and a 13-point difference in terms of self-assess academic discipline (top quartile versus bottom quartile).  </w:t>
      </w:r>
      <w:r w:rsidR="004C3705">
        <w:rPr>
          <w:rFonts w:ascii="Times New Roman" w:eastAsia="Times New Roman" w:hAnsi="Times New Roman" w:cs="Times New Roman"/>
        </w:rPr>
        <w:t xml:space="preserve">Exhibit B.3 shows non-experimental estimates of returns </w:t>
      </w:r>
      <w:r w:rsidR="004D511B">
        <w:rPr>
          <w:rFonts w:ascii="Times New Roman" w:eastAsia="Times New Roman" w:hAnsi="Times New Roman" w:cs="Times New Roman"/>
        </w:rPr>
        <w:t xml:space="preserve">of various sizes </w:t>
      </w:r>
      <w:r w:rsidR="004C3705">
        <w:rPr>
          <w:rFonts w:ascii="Times New Roman" w:eastAsia="Times New Roman" w:hAnsi="Times New Roman" w:cs="Times New Roman"/>
        </w:rPr>
        <w:t xml:space="preserve">on education for similar populations.  </w:t>
      </w:r>
      <w:r w:rsidR="00C81DF3">
        <w:rPr>
          <w:rFonts w:ascii="Times New Roman" w:eastAsia="Times New Roman" w:hAnsi="Times New Roman" w:cs="Times New Roman"/>
        </w:rPr>
        <w:t xml:space="preserve">One of the studies shows a return on short-term credentials greater than $620 </w:t>
      </w:r>
      <w:r w:rsidR="004D511B">
        <w:rPr>
          <w:rFonts w:ascii="Times New Roman" w:eastAsia="Times New Roman" w:hAnsi="Times New Roman" w:cs="Times New Roman"/>
        </w:rPr>
        <w:t>p</w:t>
      </w:r>
      <w:r w:rsidR="00C81DF3">
        <w:rPr>
          <w:rFonts w:ascii="Times New Roman" w:eastAsia="Times New Roman" w:hAnsi="Times New Roman" w:cs="Times New Roman"/>
        </w:rPr>
        <w:t>er quarter</w:t>
      </w:r>
      <w:r w:rsidR="004D511B">
        <w:rPr>
          <w:rFonts w:ascii="Times New Roman" w:eastAsia="Times New Roman" w:hAnsi="Times New Roman" w:cs="Times New Roman"/>
        </w:rPr>
        <w:t xml:space="preserve"> and several show similar or higher rates of return on longer-term credentials (the outcomes study includes short-term and longer-term (one year) programs). </w:t>
      </w:r>
    </w:p>
    <w:p w14:paraId="7C119C28" w14:textId="77777777" w:rsidR="00FA2276" w:rsidRPr="00A30B71" w:rsidRDefault="00FA2276" w:rsidP="00383B62">
      <w:pPr>
        <w:pStyle w:val="Caption"/>
        <w:tabs>
          <w:tab w:val="clear" w:pos="1440"/>
          <w:tab w:val="left" w:pos="1260"/>
        </w:tabs>
        <w:ind w:left="1350" w:hanging="1350"/>
      </w:pPr>
      <w:r>
        <w:lastRenderedPageBreak/>
        <w:t>Exhibit B.</w:t>
      </w:r>
      <w:r w:rsidR="005178C3">
        <w:t>2</w:t>
      </w:r>
      <w:r w:rsidRPr="00A30B71">
        <w:t xml:space="preserve">: Minimum Detectable </w:t>
      </w:r>
      <w:r w:rsidR="00E55D53">
        <w:t>Differences</w:t>
      </w:r>
      <w:r w:rsidRPr="00A30B71">
        <w:t xml:space="preserve"> </w:t>
      </w:r>
      <w:r w:rsidR="00E55D53">
        <w:t>(MDD</w:t>
      </w:r>
      <w:r w:rsidR="000E322C">
        <w:t xml:space="preserve">s) </w:t>
      </w:r>
      <w:r w:rsidR="005D44D2">
        <w:t xml:space="preserve">for </w:t>
      </w:r>
      <w:r w:rsidR="00E55D53">
        <w:t>Comparing a Target Group to a Reference Group</w:t>
      </w:r>
      <w:r w:rsidR="005D44D2">
        <w:t xml:space="preserve"> </w:t>
      </w:r>
      <w:r>
        <w:t>at each Grantee (with assumptions)</w:t>
      </w:r>
    </w:p>
    <w:tbl>
      <w:tblPr>
        <w:tblStyle w:val="TableGrid1"/>
        <w:tblW w:w="9132"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90"/>
        <w:gridCol w:w="3173"/>
        <w:gridCol w:w="3069"/>
      </w:tblGrid>
      <w:tr w:rsidR="00FA2276" w:rsidRPr="00E20961" w14:paraId="4EAD4983" w14:textId="77777777" w:rsidTr="004E555A">
        <w:trPr>
          <w:trHeight w:val="672"/>
        </w:trPr>
        <w:tc>
          <w:tcPr>
            <w:tcW w:w="2890" w:type="dxa"/>
            <w:shd w:val="clear" w:color="auto" w:fill="C3C6A8" w:themeFill="accent4"/>
            <w:vAlign w:val="bottom"/>
          </w:tcPr>
          <w:p w14:paraId="4AA09621" w14:textId="77777777" w:rsidR="00FA2276" w:rsidRPr="00170CF9" w:rsidRDefault="00FA2276" w:rsidP="005178C3">
            <w:pPr>
              <w:pStyle w:val="Table"/>
              <w:keepNext/>
              <w:spacing w:before="60" w:after="60"/>
              <w:rPr>
                <w:sz w:val="18"/>
                <w:szCs w:val="18"/>
              </w:rPr>
            </w:pPr>
            <w:r w:rsidRPr="00170CF9">
              <w:rPr>
                <w:sz w:val="18"/>
                <w:szCs w:val="18"/>
              </w:rPr>
              <w:t>Statistic</w:t>
            </w:r>
          </w:p>
        </w:tc>
        <w:tc>
          <w:tcPr>
            <w:tcW w:w="3173" w:type="dxa"/>
            <w:shd w:val="clear" w:color="auto" w:fill="C3C6A8" w:themeFill="accent4"/>
            <w:vAlign w:val="bottom"/>
          </w:tcPr>
          <w:p w14:paraId="0DAC4389" w14:textId="77777777" w:rsidR="00FA2276" w:rsidRPr="00170CF9" w:rsidRDefault="00FA2276" w:rsidP="005178C3">
            <w:pPr>
              <w:pStyle w:val="Table"/>
              <w:keepNext/>
              <w:spacing w:before="60" w:after="60"/>
              <w:rPr>
                <w:sz w:val="18"/>
                <w:szCs w:val="18"/>
              </w:rPr>
            </w:pPr>
            <w:r w:rsidRPr="00170CF9">
              <w:rPr>
                <w:sz w:val="18"/>
                <w:szCs w:val="18"/>
              </w:rPr>
              <w:t xml:space="preserve">Percent with Substantial Educational Progress </w:t>
            </w:r>
          </w:p>
        </w:tc>
        <w:tc>
          <w:tcPr>
            <w:tcW w:w="3069" w:type="dxa"/>
            <w:shd w:val="clear" w:color="auto" w:fill="C3C6A8" w:themeFill="accent4"/>
            <w:vAlign w:val="bottom"/>
          </w:tcPr>
          <w:p w14:paraId="24A7A68E" w14:textId="77777777" w:rsidR="00FA2276" w:rsidRPr="00170CF9" w:rsidRDefault="00FA2276" w:rsidP="005178C3">
            <w:pPr>
              <w:pStyle w:val="Table"/>
              <w:keepNext/>
              <w:spacing w:before="60" w:after="60"/>
              <w:rPr>
                <w:sz w:val="18"/>
                <w:szCs w:val="18"/>
              </w:rPr>
            </w:pPr>
            <w:r w:rsidRPr="00170CF9">
              <w:rPr>
                <w:sz w:val="18"/>
                <w:szCs w:val="18"/>
              </w:rPr>
              <w:t xml:space="preserve">Average Quarterly Earnings </w:t>
            </w:r>
          </w:p>
        </w:tc>
      </w:tr>
      <w:tr w:rsidR="00FA2276" w:rsidRPr="00E20961" w14:paraId="65F7711F" w14:textId="77777777" w:rsidTr="004E555A">
        <w:trPr>
          <w:trHeight w:val="541"/>
        </w:trPr>
        <w:tc>
          <w:tcPr>
            <w:tcW w:w="2890" w:type="dxa"/>
            <w:shd w:val="clear" w:color="auto" w:fill="D0D3D4" w:themeFill="accent3"/>
            <w:vAlign w:val="center"/>
          </w:tcPr>
          <w:p w14:paraId="68E9FBB5" w14:textId="77777777" w:rsidR="00FA2276" w:rsidRPr="00170CF9" w:rsidRDefault="00E55D53" w:rsidP="005178C3">
            <w:pPr>
              <w:pStyle w:val="Table"/>
              <w:keepNext/>
              <w:spacing w:before="120" w:after="120"/>
              <w:rPr>
                <w:b/>
                <w:sz w:val="18"/>
                <w:szCs w:val="18"/>
              </w:rPr>
            </w:pPr>
            <w:r>
              <w:rPr>
                <w:sz w:val="18"/>
                <w:szCs w:val="18"/>
              </w:rPr>
              <w:t>MDD given two groups with n=500 each</w:t>
            </w:r>
          </w:p>
        </w:tc>
        <w:tc>
          <w:tcPr>
            <w:tcW w:w="3173" w:type="dxa"/>
            <w:shd w:val="clear" w:color="auto" w:fill="D0D3D4" w:themeFill="accent3"/>
            <w:vAlign w:val="center"/>
          </w:tcPr>
          <w:p w14:paraId="736A35C7" w14:textId="77777777" w:rsidR="00FA2276" w:rsidRPr="00170CF9" w:rsidRDefault="00F20015" w:rsidP="005178C3">
            <w:pPr>
              <w:pStyle w:val="Table"/>
              <w:keepNext/>
              <w:spacing w:before="120" w:after="120"/>
              <w:rPr>
                <w:b/>
                <w:sz w:val="18"/>
                <w:szCs w:val="18"/>
              </w:rPr>
            </w:pPr>
            <w:r>
              <w:rPr>
                <w:sz w:val="18"/>
                <w:szCs w:val="18"/>
              </w:rPr>
              <w:t>8.</w:t>
            </w:r>
            <w:r w:rsidR="00F828F8">
              <w:rPr>
                <w:sz w:val="18"/>
                <w:szCs w:val="18"/>
              </w:rPr>
              <w:t>9</w:t>
            </w:r>
            <w:r>
              <w:rPr>
                <w:sz w:val="18"/>
                <w:szCs w:val="18"/>
              </w:rPr>
              <w:t xml:space="preserve"> p.p.</w:t>
            </w:r>
          </w:p>
        </w:tc>
        <w:tc>
          <w:tcPr>
            <w:tcW w:w="3069" w:type="dxa"/>
            <w:shd w:val="clear" w:color="auto" w:fill="D0D3D4" w:themeFill="accent3"/>
            <w:vAlign w:val="center"/>
          </w:tcPr>
          <w:p w14:paraId="4C9E0A21" w14:textId="77777777" w:rsidR="00FA2276" w:rsidRPr="00170CF9" w:rsidRDefault="00F20015" w:rsidP="005178C3">
            <w:pPr>
              <w:pStyle w:val="Table"/>
              <w:keepNext/>
              <w:spacing w:before="120" w:after="120"/>
              <w:rPr>
                <w:b/>
                <w:sz w:val="18"/>
                <w:szCs w:val="18"/>
              </w:rPr>
            </w:pPr>
            <w:r>
              <w:rPr>
                <w:sz w:val="18"/>
                <w:szCs w:val="18"/>
              </w:rPr>
              <w:t>$</w:t>
            </w:r>
            <w:r w:rsidR="00B54987">
              <w:rPr>
                <w:sz w:val="18"/>
                <w:szCs w:val="18"/>
              </w:rPr>
              <w:t>62</w:t>
            </w:r>
            <w:r>
              <w:rPr>
                <w:sz w:val="18"/>
                <w:szCs w:val="18"/>
              </w:rPr>
              <w:t>0</w:t>
            </w:r>
          </w:p>
        </w:tc>
      </w:tr>
      <w:tr w:rsidR="00E55D53" w:rsidRPr="00E20961" w14:paraId="14AA4904" w14:textId="77777777" w:rsidTr="00055DCB">
        <w:trPr>
          <w:trHeight w:val="541"/>
        </w:trPr>
        <w:tc>
          <w:tcPr>
            <w:tcW w:w="2890" w:type="dxa"/>
            <w:shd w:val="clear" w:color="auto" w:fill="D0D3D4" w:themeFill="accent3"/>
            <w:vAlign w:val="center"/>
          </w:tcPr>
          <w:p w14:paraId="60BBA9FF" w14:textId="77777777" w:rsidR="00E55D53" w:rsidRPr="00170CF9" w:rsidRDefault="00E55D53" w:rsidP="00055DCB">
            <w:pPr>
              <w:pStyle w:val="Table"/>
              <w:keepNext/>
              <w:spacing w:before="120" w:after="120"/>
              <w:rPr>
                <w:b/>
                <w:sz w:val="18"/>
                <w:szCs w:val="18"/>
              </w:rPr>
            </w:pPr>
            <w:r>
              <w:rPr>
                <w:sz w:val="18"/>
                <w:szCs w:val="18"/>
              </w:rPr>
              <w:t>MDD given two groups with n=200 each</w:t>
            </w:r>
          </w:p>
        </w:tc>
        <w:tc>
          <w:tcPr>
            <w:tcW w:w="3173" w:type="dxa"/>
            <w:shd w:val="clear" w:color="auto" w:fill="D0D3D4" w:themeFill="accent3"/>
            <w:vAlign w:val="center"/>
          </w:tcPr>
          <w:p w14:paraId="1A757F85" w14:textId="77777777" w:rsidR="00E55D53" w:rsidRPr="00170CF9" w:rsidRDefault="00F20015" w:rsidP="00055DCB">
            <w:pPr>
              <w:pStyle w:val="Table"/>
              <w:keepNext/>
              <w:spacing w:before="120" w:after="120"/>
              <w:rPr>
                <w:b/>
                <w:sz w:val="18"/>
                <w:szCs w:val="18"/>
              </w:rPr>
            </w:pPr>
            <w:r>
              <w:rPr>
                <w:sz w:val="18"/>
                <w:szCs w:val="18"/>
              </w:rPr>
              <w:t>1</w:t>
            </w:r>
            <w:r w:rsidR="00F11151">
              <w:rPr>
                <w:sz w:val="18"/>
                <w:szCs w:val="18"/>
              </w:rPr>
              <w:t>3.9</w:t>
            </w:r>
            <w:r>
              <w:rPr>
                <w:sz w:val="18"/>
                <w:szCs w:val="18"/>
              </w:rPr>
              <w:t xml:space="preserve"> p.p.</w:t>
            </w:r>
          </w:p>
        </w:tc>
        <w:tc>
          <w:tcPr>
            <w:tcW w:w="3069" w:type="dxa"/>
            <w:shd w:val="clear" w:color="auto" w:fill="D0D3D4" w:themeFill="accent3"/>
            <w:vAlign w:val="center"/>
          </w:tcPr>
          <w:p w14:paraId="28A9C9AA" w14:textId="77777777" w:rsidR="00E55D53" w:rsidRPr="00170CF9" w:rsidRDefault="00F20015" w:rsidP="00055DCB">
            <w:pPr>
              <w:pStyle w:val="Table"/>
              <w:keepNext/>
              <w:spacing w:before="120" w:after="120"/>
              <w:rPr>
                <w:b/>
                <w:sz w:val="18"/>
                <w:szCs w:val="18"/>
              </w:rPr>
            </w:pPr>
            <w:r>
              <w:rPr>
                <w:sz w:val="18"/>
                <w:szCs w:val="18"/>
              </w:rPr>
              <w:t>$</w:t>
            </w:r>
            <w:r w:rsidR="00F828F8">
              <w:rPr>
                <w:sz w:val="18"/>
                <w:szCs w:val="18"/>
              </w:rPr>
              <w:t>980</w:t>
            </w:r>
          </w:p>
        </w:tc>
      </w:tr>
      <w:tr w:rsidR="00FA2276" w:rsidRPr="00E20961" w14:paraId="5DFD35DB" w14:textId="77777777" w:rsidTr="004E555A">
        <w:trPr>
          <w:trHeight w:val="525"/>
        </w:trPr>
        <w:tc>
          <w:tcPr>
            <w:tcW w:w="2890" w:type="dxa"/>
            <w:vAlign w:val="center"/>
          </w:tcPr>
          <w:p w14:paraId="63BFD227" w14:textId="77777777" w:rsidR="00FA2276" w:rsidRPr="00170CF9" w:rsidRDefault="00E55D53" w:rsidP="005178C3">
            <w:pPr>
              <w:pStyle w:val="Table"/>
              <w:keepNext/>
              <w:spacing w:before="120" w:after="120"/>
              <w:rPr>
                <w:b/>
                <w:sz w:val="18"/>
                <w:szCs w:val="18"/>
              </w:rPr>
            </w:pPr>
            <w:r>
              <w:rPr>
                <w:sz w:val="18"/>
                <w:szCs w:val="18"/>
              </w:rPr>
              <w:t>Mean in reference group</w:t>
            </w:r>
          </w:p>
        </w:tc>
        <w:tc>
          <w:tcPr>
            <w:tcW w:w="3173" w:type="dxa"/>
            <w:vAlign w:val="center"/>
          </w:tcPr>
          <w:p w14:paraId="50EE08BE" w14:textId="77777777" w:rsidR="00FA2276" w:rsidRPr="00170CF9" w:rsidRDefault="00FA2276" w:rsidP="005178C3">
            <w:pPr>
              <w:pStyle w:val="Table"/>
              <w:keepNext/>
              <w:spacing w:before="120" w:after="120"/>
              <w:rPr>
                <w:b/>
                <w:sz w:val="18"/>
                <w:szCs w:val="18"/>
              </w:rPr>
            </w:pPr>
            <w:r w:rsidRPr="00170CF9">
              <w:rPr>
                <w:sz w:val="18"/>
                <w:szCs w:val="18"/>
              </w:rPr>
              <w:t>50.0</w:t>
            </w:r>
          </w:p>
        </w:tc>
        <w:tc>
          <w:tcPr>
            <w:tcW w:w="3069" w:type="dxa"/>
            <w:vAlign w:val="center"/>
          </w:tcPr>
          <w:p w14:paraId="56D25469" w14:textId="77777777" w:rsidR="00FA2276" w:rsidRPr="00170CF9" w:rsidRDefault="00FA2276" w:rsidP="005178C3">
            <w:pPr>
              <w:pStyle w:val="Table"/>
              <w:keepNext/>
              <w:spacing w:before="120" w:after="120"/>
              <w:rPr>
                <w:b/>
                <w:sz w:val="18"/>
                <w:szCs w:val="18"/>
              </w:rPr>
            </w:pPr>
            <w:r w:rsidRPr="00170CF9">
              <w:rPr>
                <w:sz w:val="18"/>
                <w:szCs w:val="18"/>
              </w:rPr>
              <w:t>$2,</w:t>
            </w:r>
            <w:r w:rsidR="00D05F08">
              <w:rPr>
                <w:sz w:val="18"/>
                <w:szCs w:val="18"/>
              </w:rPr>
              <w:t>600</w:t>
            </w:r>
          </w:p>
        </w:tc>
      </w:tr>
      <w:tr w:rsidR="00E55D53" w:rsidRPr="00E20961" w14:paraId="30A3DEB3" w14:textId="77777777" w:rsidTr="00055DCB">
        <w:trPr>
          <w:trHeight w:val="525"/>
        </w:trPr>
        <w:tc>
          <w:tcPr>
            <w:tcW w:w="2890" w:type="dxa"/>
            <w:vAlign w:val="center"/>
          </w:tcPr>
          <w:p w14:paraId="5607FA1C" w14:textId="77777777" w:rsidR="00E55D53" w:rsidRPr="00170CF9" w:rsidRDefault="00E55D53" w:rsidP="00E55D53">
            <w:pPr>
              <w:pStyle w:val="Table"/>
              <w:keepNext/>
              <w:spacing w:before="120" w:after="120"/>
              <w:rPr>
                <w:b/>
                <w:sz w:val="18"/>
                <w:szCs w:val="18"/>
              </w:rPr>
            </w:pPr>
            <w:r>
              <w:rPr>
                <w:sz w:val="18"/>
                <w:szCs w:val="18"/>
              </w:rPr>
              <w:t>Standard deviation in reference group</w:t>
            </w:r>
          </w:p>
        </w:tc>
        <w:tc>
          <w:tcPr>
            <w:tcW w:w="3173" w:type="dxa"/>
            <w:vAlign w:val="center"/>
          </w:tcPr>
          <w:p w14:paraId="0B12DF10" w14:textId="77777777" w:rsidR="00E55D53" w:rsidRPr="00170CF9" w:rsidRDefault="00E55D53" w:rsidP="00055DCB">
            <w:pPr>
              <w:pStyle w:val="Table"/>
              <w:keepNext/>
              <w:spacing w:before="120" w:after="120"/>
              <w:rPr>
                <w:b/>
                <w:sz w:val="18"/>
                <w:szCs w:val="18"/>
              </w:rPr>
            </w:pPr>
            <w:r w:rsidRPr="00170CF9">
              <w:rPr>
                <w:sz w:val="18"/>
                <w:szCs w:val="18"/>
              </w:rPr>
              <w:t>50.0</w:t>
            </w:r>
          </w:p>
        </w:tc>
        <w:tc>
          <w:tcPr>
            <w:tcW w:w="3069" w:type="dxa"/>
            <w:vAlign w:val="center"/>
          </w:tcPr>
          <w:p w14:paraId="6E0428F3" w14:textId="77777777" w:rsidR="00E55D53" w:rsidRPr="00170CF9" w:rsidRDefault="00E55D53" w:rsidP="00055DCB">
            <w:pPr>
              <w:pStyle w:val="Table"/>
              <w:keepNext/>
              <w:spacing w:before="120" w:after="120"/>
              <w:rPr>
                <w:b/>
                <w:sz w:val="18"/>
                <w:szCs w:val="18"/>
              </w:rPr>
            </w:pPr>
            <w:r w:rsidRPr="00170CF9">
              <w:rPr>
                <w:sz w:val="18"/>
                <w:szCs w:val="18"/>
              </w:rPr>
              <w:t>$</w:t>
            </w:r>
            <w:r w:rsidR="00D05F08">
              <w:rPr>
                <w:sz w:val="18"/>
                <w:szCs w:val="18"/>
              </w:rPr>
              <w:t>3</w:t>
            </w:r>
            <w:r w:rsidRPr="00170CF9">
              <w:rPr>
                <w:sz w:val="18"/>
                <w:szCs w:val="18"/>
              </w:rPr>
              <w:t>,</w:t>
            </w:r>
            <w:r w:rsidR="00D05F08">
              <w:rPr>
                <w:sz w:val="18"/>
                <w:szCs w:val="18"/>
              </w:rPr>
              <w:t>500</w:t>
            </w:r>
          </w:p>
        </w:tc>
      </w:tr>
      <w:tr w:rsidR="00FA2276" w:rsidRPr="00E20961" w14:paraId="0F0AF8E8" w14:textId="77777777" w:rsidTr="004E555A">
        <w:trPr>
          <w:trHeight w:val="820"/>
        </w:trPr>
        <w:tc>
          <w:tcPr>
            <w:tcW w:w="2890" w:type="dxa"/>
            <w:vAlign w:val="center"/>
          </w:tcPr>
          <w:p w14:paraId="19A34C93" w14:textId="77777777" w:rsidR="00FA2276" w:rsidRPr="00170CF9" w:rsidRDefault="00FA2276" w:rsidP="005178C3">
            <w:pPr>
              <w:pStyle w:val="Table"/>
              <w:keepNext/>
              <w:spacing w:before="120" w:after="120"/>
              <w:rPr>
                <w:sz w:val="18"/>
                <w:szCs w:val="18"/>
              </w:rPr>
            </w:pPr>
            <w:r w:rsidRPr="00170CF9">
              <w:rPr>
                <w:sz w:val="18"/>
                <w:szCs w:val="18"/>
              </w:rPr>
              <w:t>Threshold p-value for statistical significance</w:t>
            </w:r>
            <w:r w:rsidR="00B90693">
              <w:rPr>
                <w:sz w:val="18"/>
                <w:szCs w:val="18"/>
              </w:rPr>
              <w:t xml:space="preserve"> with two-sided test</w:t>
            </w:r>
          </w:p>
        </w:tc>
        <w:tc>
          <w:tcPr>
            <w:tcW w:w="3173" w:type="dxa"/>
            <w:vAlign w:val="center"/>
          </w:tcPr>
          <w:p w14:paraId="28BD6B2F" w14:textId="77777777" w:rsidR="00FA2276" w:rsidRPr="00170CF9" w:rsidRDefault="00E55D53" w:rsidP="005178C3">
            <w:pPr>
              <w:pStyle w:val="Table"/>
              <w:keepNext/>
              <w:spacing w:before="120" w:after="120"/>
              <w:rPr>
                <w:sz w:val="18"/>
                <w:szCs w:val="18"/>
              </w:rPr>
            </w:pPr>
            <w:r>
              <w:rPr>
                <w:sz w:val="18"/>
                <w:szCs w:val="18"/>
              </w:rPr>
              <w:t>0.05</w:t>
            </w:r>
          </w:p>
        </w:tc>
        <w:tc>
          <w:tcPr>
            <w:tcW w:w="3069" w:type="dxa"/>
            <w:vAlign w:val="center"/>
          </w:tcPr>
          <w:p w14:paraId="05C5C45E" w14:textId="77777777" w:rsidR="00FA2276" w:rsidRPr="00170CF9" w:rsidRDefault="00E55D53" w:rsidP="005178C3">
            <w:pPr>
              <w:pStyle w:val="Table"/>
              <w:keepNext/>
              <w:spacing w:before="120" w:after="120"/>
              <w:rPr>
                <w:sz w:val="18"/>
                <w:szCs w:val="18"/>
              </w:rPr>
            </w:pPr>
            <w:r>
              <w:rPr>
                <w:sz w:val="18"/>
                <w:szCs w:val="18"/>
              </w:rPr>
              <w:t>0.05</w:t>
            </w:r>
          </w:p>
        </w:tc>
      </w:tr>
      <w:tr w:rsidR="00FA2276" w:rsidRPr="00E20961" w14:paraId="36C3BE27" w14:textId="77777777" w:rsidTr="004E555A">
        <w:trPr>
          <w:trHeight w:val="525"/>
        </w:trPr>
        <w:tc>
          <w:tcPr>
            <w:tcW w:w="2890" w:type="dxa"/>
            <w:vAlign w:val="center"/>
          </w:tcPr>
          <w:p w14:paraId="32FB9CF2" w14:textId="77777777" w:rsidR="00FA2276" w:rsidRPr="00170CF9" w:rsidRDefault="00FA2276" w:rsidP="005178C3">
            <w:pPr>
              <w:pStyle w:val="Table"/>
              <w:keepNext/>
              <w:spacing w:before="120" w:after="120"/>
              <w:rPr>
                <w:sz w:val="18"/>
                <w:szCs w:val="18"/>
              </w:rPr>
            </w:pPr>
            <w:r w:rsidRPr="00170CF9">
              <w:rPr>
                <w:sz w:val="18"/>
                <w:szCs w:val="18"/>
              </w:rPr>
              <w:t>Power</w:t>
            </w:r>
          </w:p>
        </w:tc>
        <w:tc>
          <w:tcPr>
            <w:tcW w:w="3173" w:type="dxa"/>
            <w:vAlign w:val="center"/>
          </w:tcPr>
          <w:p w14:paraId="79C0C062" w14:textId="77777777" w:rsidR="00FA2276" w:rsidRPr="00170CF9" w:rsidRDefault="00FA2276" w:rsidP="005178C3">
            <w:pPr>
              <w:pStyle w:val="Table"/>
              <w:keepNext/>
              <w:spacing w:before="120" w:after="120"/>
              <w:rPr>
                <w:sz w:val="18"/>
                <w:szCs w:val="18"/>
              </w:rPr>
            </w:pPr>
            <w:r w:rsidRPr="00170CF9">
              <w:rPr>
                <w:sz w:val="18"/>
                <w:szCs w:val="18"/>
              </w:rPr>
              <w:t>0.80</w:t>
            </w:r>
          </w:p>
        </w:tc>
        <w:tc>
          <w:tcPr>
            <w:tcW w:w="3069" w:type="dxa"/>
            <w:vAlign w:val="center"/>
          </w:tcPr>
          <w:p w14:paraId="72A172F3" w14:textId="77777777" w:rsidR="00FA2276" w:rsidRPr="00170CF9" w:rsidRDefault="00FA2276" w:rsidP="005178C3">
            <w:pPr>
              <w:pStyle w:val="Table"/>
              <w:keepNext/>
              <w:spacing w:before="120" w:after="120"/>
              <w:rPr>
                <w:sz w:val="18"/>
                <w:szCs w:val="18"/>
              </w:rPr>
            </w:pPr>
            <w:r w:rsidRPr="00170CF9">
              <w:rPr>
                <w:sz w:val="18"/>
                <w:szCs w:val="18"/>
              </w:rPr>
              <w:t>0.80</w:t>
            </w:r>
          </w:p>
        </w:tc>
      </w:tr>
    </w:tbl>
    <w:p w14:paraId="0E62AAF9" w14:textId="77777777" w:rsidR="00FA2276" w:rsidRPr="0045330E" w:rsidRDefault="00FA2276" w:rsidP="00FA2276">
      <w:pPr>
        <w:spacing w:line="240" w:lineRule="auto"/>
        <w:rPr>
          <w:sz w:val="20"/>
        </w:rPr>
      </w:pPr>
      <w:r w:rsidRPr="0045330E">
        <w:rPr>
          <w:sz w:val="20"/>
        </w:rPr>
        <w:t xml:space="preserve">Note:  </w:t>
      </w:r>
      <w:r w:rsidR="00B90693">
        <w:rPr>
          <w:sz w:val="20"/>
        </w:rPr>
        <w:t xml:space="preserve">The assumptions about earnings are based on the </w:t>
      </w:r>
      <w:r w:rsidR="00D05F08">
        <w:rPr>
          <w:sz w:val="20"/>
        </w:rPr>
        <w:t xml:space="preserve">fourth </w:t>
      </w:r>
      <w:r w:rsidR="00B90693">
        <w:rPr>
          <w:sz w:val="20"/>
        </w:rPr>
        <w:t>quarter following randomization in the control group for the evaluation of HPOG, a grants program of the Administration for Children and Families</w:t>
      </w:r>
      <w:r w:rsidR="00D05F08">
        <w:rPr>
          <w:sz w:val="20"/>
        </w:rPr>
        <w:t xml:space="preserve"> (</w:t>
      </w:r>
      <w:proofErr w:type="spellStart"/>
      <w:r w:rsidR="00D05F08">
        <w:rPr>
          <w:sz w:val="20"/>
        </w:rPr>
        <w:t>Harvill</w:t>
      </w:r>
      <w:proofErr w:type="spellEnd"/>
      <w:r w:rsidR="00D05F08">
        <w:rPr>
          <w:sz w:val="20"/>
        </w:rPr>
        <w:t xml:space="preserve"> et al., 2015)</w:t>
      </w:r>
      <w:r w:rsidR="00A72AB7">
        <w:rPr>
          <w:sz w:val="20"/>
        </w:rPr>
        <w:t xml:space="preserve">. </w:t>
      </w:r>
      <w:r w:rsidR="00F06A1F">
        <w:rPr>
          <w:sz w:val="20"/>
        </w:rPr>
        <w:t>The evaluation team determined t</w:t>
      </w:r>
      <w:r w:rsidR="0089612A">
        <w:rPr>
          <w:sz w:val="20"/>
        </w:rPr>
        <w:t>his</w:t>
      </w:r>
      <w:r w:rsidR="00F06A1F">
        <w:rPr>
          <w:sz w:val="20"/>
        </w:rPr>
        <w:t xml:space="preserve"> wa</w:t>
      </w:r>
      <w:r w:rsidR="0089612A">
        <w:rPr>
          <w:sz w:val="20"/>
        </w:rPr>
        <w:t xml:space="preserve">s the </w:t>
      </w:r>
      <w:r w:rsidR="00923E07">
        <w:rPr>
          <w:sz w:val="20"/>
        </w:rPr>
        <w:t>most relevant</w:t>
      </w:r>
      <w:r w:rsidR="0089612A">
        <w:rPr>
          <w:sz w:val="20"/>
        </w:rPr>
        <w:t xml:space="preserve"> information </w:t>
      </w:r>
      <w:r w:rsidR="00F06A1F">
        <w:rPr>
          <w:sz w:val="20"/>
        </w:rPr>
        <w:t xml:space="preserve">available </w:t>
      </w:r>
      <w:r w:rsidR="0089612A">
        <w:rPr>
          <w:sz w:val="20"/>
        </w:rPr>
        <w:t>on the variance of post-training earnings of low-skill adults.</w:t>
      </w:r>
    </w:p>
    <w:p w14:paraId="7A45CCE6" w14:textId="77777777" w:rsidR="00C103B5" w:rsidRDefault="00B54987" w:rsidP="00660396">
      <w:pPr>
        <w:pStyle w:val="body"/>
        <w:keepNext/>
        <w:rPr>
          <w:rFonts w:ascii="Times New Roman" w:eastAsia="Times New Roman" w:hAnsi="Times New Roman" w:cs="Times New Roman"/>
        </w:rPr>
      </w:pPr>
      <w:r>
        <w:rPr>
          <w:rFonts w:ascii="Times New Roman" w:eastAsia="Times New Roman" w:hAnsi="Times New Roman" w:cs="Times New Roman"/>
        </w:rPr>
        <w:t>The MDD</w:t>
      </w:r>
      <w:r w:rsidR="00C103B5">
        <w:rPr>
          <w:rFonts w:ascii="Times New Roman" w:eastAsia="Times New Roman" w:hAnsi="Times New Roman" w:cs="Times New Roman"/>
        </w:rPr>
        <w:t xml:space="preserve"> on quarterly earnings </w:t>
      </w:r>
      <w:r>
        <w:rPr>
          <w:rFonts w:ascii="Times New Roman" w:eastAsia="Times New Roman" w:hAnsi="Times New Roman" w:cs="Times New Roman"/>
        </w:rPr>
        <w:t xml:space="preserve">for two groups with n=500 each </w:t>
      </w:r>
      <w:r w:rsidR="00C103B5">
        <w:rPr>
          <w:rFonts w:ascii="Times New Roman" w:eastAsia="Times New Roman" w:hAnsi="Times New Roman" w:cs="Times New Roman"/>
        </w:rPr>
        <w:t xml:space="preserve">was calculated as </w:t>
      </w:r>
    </w:p>
    <w:p w14:paraId="62D28778" w14:textId="77777777" w:rsidR="00C103B5" w:rsidRDefault="00F828F8" w:rsidP="00FA2276">
      <w:pPr>
        <w:pStyle w:val="body"/>
        <w:rPr>
          <w:rFonts w:ascii="Times New Roman" w:eastAsia="Times New Roman" w:hAnsi="Times New Roman" w:cs="Times New Roman"/>
        </w:rPr>
      </w:pPr>
      <w:r w:rsidRPr="00F20015">
        <w:rPr>
          <w:rFonts w:ascii="Times New Roman" w:eastAsia="Times New Roman" w:hAnsi="Times New Roman" w:cs="Times New Roman"/>
          <w:position w:val="-58"/>
        </w:rPr>
        <w:object w:dxaOrig="4320" w:dyaOrig="1800" w14:anchorId="764B4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0.65pt" o:ole="">
            <v:imagedata r:id="rId9" o:title=""/>
          </v:shape>
          <o:OLEObject Type="Embed" ProgID="Equation.DSMT4" ShapeID="_x0000_i1025" DrawAspect="Content" ObjectID="_1542637246" r:id="rId10"/>
        </w:object>
      </w:r>
    </w:p>
    <w:p w14:paraId="41A3E06F" w14:textId="77777777" w:rsidR="00C103B5" w:rsidRDefault="00B54987" w:rsidP="0018194A">
      <w:pPr>
        <w:pStyle w:val="body"/>
        <w:keepNext/>
        <w:rPr>
          <w:rFonts w:ascii="Times New Roman" w:eastAsia="Times New Roman" w:hAnsi="Times New Roman" w:cs="Times New Roman"/>
        </w:rPr>
      </w:pPr>
      <w:r>
        <w:rPr>
          <w:rFonts w:ascii="Times New Roman" w:eastAsia="Times New Roman" w:hAnsi="Times New Roman" w:cs="Times New Roman"/>
        </w:rPr>
        <w:lastRenderedPageBreak/>
        <w:t>The MDD</w:t>
      </w:r>
      <w:r w:rsidR="000535A5">
        <w:rPr>
          <w:rFonts w:ascii="Times New Roman" w:eastAsia="Times New Roman" w:hAnsi="Times New Roman" w:cs="Times New Roman"/>
        </w:rPr>
        <w:t xml:space="preserve"> for substantial educational progress was defined as the smallest value of </w:t>
      </w:r>
      <w:r w:rsidR="000535A5" w:rsidRPr="000535A5">
        <w:rPr>
          <w:rFonts w:ascii="Times New Roman" w:eastAsia="Times New Roman" w:hAnsi="Times New Roman" w:cs="Times New Roman"/>
          <w:position w:val="-6"/>
        </w:rPr>
        <w:object w:dxaOrig="220" w:dyaOrig="279" w14:anchorId="413EDF40">
          <v:shape id="_x0000_i1026" type="#_x0000_t75" style="width:11.35pt;height:14pt" o:ole="">
            <v:imagedata r:id="rId11" o:title=""/>
          </v:shape>
          <o:OLEObject Type="Embed" ProgID="Equation.DSMT4" ShapeID="_x0000_i1026" DrawAspect="Content" ObjectID="_1542637247" r:id="rId12"/>
        </w:object>
      </w:r>
      <w:r w:rsidR="000535A5">
        <w:rPr>
          <w:rFonts w:ascii="Times New Roman" w:eastAsia="Times New Roman" w:hAnsi="Times New Roman" w:cs="Times New Roman"/>
        </w:rPr>
        <w:t xml:space="preserve"> such that </w:t>
      </w:r>
    </w:p>
    <w:p w14:paraId="46E5D3FF" w14:textId="77777777" w:rsidR="000535A5" w:rsidRPr="00574240" w:rsidRDefault="00B54987" w:rsidP="00FA2276">
      <w:pPr>
        <w:pStyle w:val="body"/>
        <w:rPr>
          <w:rFonts w:ascii="Times New Roman" w:eastAsia="Times New Roman" w:hAnsi="Times New Roman" w:cs="Times New Roman"/>
        </w:rPr>
      </w:pPr>
      <w:r w:rsidRPr="000535A5">
        <w:rPr>
          <w:rFonts w:ascii="Times New Roman" w:eastAsia="Times New Roman" w:hAnsi="Times New Roman" w:cs="Times New Roman"/>
          <w:position w:val="-200"/>
        </w:rPr>
        <w:object w:dxaOrig="5420" w:dyaOrig="4120" w14:anchorId="24077E95">
          <v:shape id="_x0000_i1027" type="#_x0000_t75" style="width:272pt;height:206.65pt" o:ole="">
            <v:imagedata r:id="rId13" o:title=""/>
          </v:shape>
          <o:OLEObject Type="Embed" ProgID="Equation.DSMT4" ShapeID="_x0000_i1027" DrawAspect="Content" ObjectID="_1542637248" r:id="rId14"/>
        </w:object>
      </w:r>
    </w:p>
    <w:p w14:paraId="7A02B706" w14:textId="77777777" w:rsidR="00F11151" w:rsidRPr="00932E88" w:rsidRDefault="00F11151" w:rsidP="00F11151">
      <w:pPr>
        <w:pStyle w:val="BodyText"/>
        <w:rPr>
          <w:i/>
        </w:rPr>
      </w:pPr>
      <w:r>
        <w:rPr>
          <w:i/>
        </w:rPr>
        <w:t xml:space="preserve">Participant Tracking Form </w:t>
      </w:r>
    </w:p>
    <w:p w14:paraId="553455C4" w14:textId="77777777" w:rsidR="00F11151" w:rsidRPr="00426B73" w:rsidRDefault="00F11151" w:rsidP="00F11151">
      <w:pPr>
        <w:autoSpaceDE w:val="0"/>
        <w:autoSpaceDN w:val="0"/>
        <w:adjustRightInd w:val="0"/>
        <w:spacing w:after="0" w:line="240" w:lineRule="auto"/>
        <w:rPr>
          <w:szCs w:val="22"/>
        </w:rPr>
      </w:pPr>
      <w:r>
        <w:rPr>
          <w:szCs w:val="22"/>
        </w:rPr>
        <w:t>The</w:t>
      </w:r>
      <w:r w:rsidR="007A30AB">
        <w:rPr>
          <w:szCs w:val="22"/>
        </w:rPr>
        <w:t>se</w:t>
      </w:r>
      <w:r>
        <w:rPr>
          <w:szCs w:val="22"/>
        </w:rPr>
        <w:t xml:space="preserve"> data will not be analyzed</w:t>
      </w:r>
      <w:r w:rsidR="00A72AB7">
        <w:rPr>
          <w:szCs w:val="22"/>
        </w:rPr>
        <w:t xml:space="preserve">. </w:t>
      </w:r>
    </w:p>
    <w:p w14:paraId="53CB3251" w14:textId="77777777" w:rsidR="00F11151" w:rsidRDefault="00F11151" w:rsidP="00F11151">
      <w:pPr>
        <w:tabs>
          <w:tab w:val="left" w:pos="6161"/>
        </w:tabs>
        <w:autoSpaceDE w:val="0"/>
        <w:autoSpaceDN w:val="0"/>
        <w:adjustRightInd w:val="0"/>
        <w:spacing w:after="0" w:line="240" w:lineRule="auto"/>
        <w:rPr>
          <w:rFonts w:ascii="Arial" w:hAnsi="Arial" w:cs="Arial"/>
          <w:szCs w:val="22"/>
        </w:rPr>
      </w:pPr>
      <w:r>
        <w:rPr>
          <w:rFonts w:ascii="Arial" w:hAnsi="Arial" w:cs="Arial"/>
          <w:szCs w:val="22"/>
        </w:rPr>
        <w:tab/>
      </w:r>
    </w:p>
    <w:p w14:paraId="35563FC4" w14:textId="77777777" w:rsidR="00F11151" w:rsidRPr="00932E88" w:rsidRDefault="00F11151" w:rsidP="00F11151">
      <w:pPr>
        <w:pStyle w:val="BodyText"/>
        <w:rPr>
          <w:i/>
        </w:rPr>
      </w:pPr>
      <w:r>
        <w:rPr>
          <w:i/>
        </w:rPr>
        <w:t>College Survey</w:t>
      </w:r>
    </w:p>
    <w:p w14:paraId="48D92316" w14:textId="77777777" w:rsidR="00F11151" w:rsidRPr="00DC55D3" w:rsidRDefault="0007557E" w:rsidP="0007557E">
      <w:pPr>
        <w:autoSpaceDE w:val="0"/>
        <w:autoSpaceDN w:val="0"/>
        <w:adjustRightInd w:val="0"/>
        <w:spacing w:after="0" w:line="240" w:lineRule="auto"/>
        <w:rPr>
          <w:szCs w:val="22"/>
        </w:rPr>
      </w:pPr>
      <w:r>
        <w:t>For the college survey, n</w:t>
      </w:r>
      <w:r w:rsidRPr="001F1D9B">
        <w:t>o statistical techniques will be used to</w:t>
      </w:r>
      <w:r w:rsidRPr="00385F88">
        <w:t xml:space="preserve"> </w:t>
      </w:r>
      <w:r w:rsidR="008A6DB2">
        <w:t>draw inferences</w:t>
      </w:r>
      <w:r w:rsidR="00A72AB7">
        <w:t xml:space="preserve">. </w:t>
      </w:r>
    </w:p>
    <w:p w14:paraId="4D23D783" w14:textId="77777777" w:rsidR="00F11151" w:rsidRPr="00DC55D3" w:rsidRDefault="00F11151" w:rsidP="0007557E">
      <w:pPr>
        <w:autoSpaceDE w:val="0"/>
        <w:autoSpaceDN w:val="0"/>
        <w:adjustRightInd w:val="0"/>
        <w:spacing w:after="0" w:line="240" w:lineRule="auto"/>
        <w:rPr>
          <w:szCs w:val="22"/>
        </w:rPr>
      </w:pPr>
    </w:p>
    <w:p w14:paraId="730F923B" w14:textId="77777777" w:rsidR="00F11151" w:rsidRPr="00932E88" w:rsidRDefault="00F11151" w:rsidP="0007557E">
      <w:pPr>
        <w:pStyle w:val="BodyText"/>
        <w:rPr>
          <w:i/>
        </w:rPr>
      </w:pPr>
      <w:r>
        <w:rPr>
          <w:i/>
        </w:rPr>
        <w:t>Employer Interviews</w:t>
      </w:r>
    </w:p>
    <w:p w14:paraId="3769D2E0" w14:textId="77777777" w:rsidR="008A6DB2" w:rsidRPr="00DC55D3" w:rsidRDefault="008A6DB2" w:rsidP="008A6DB2">
      <w:pPr>
        <w:autoSpaceDE w:val="0"/>
        <w:autoSpaceDN w:val="0"/>
        <w:adjustRightInd w:val="0"/>
        <w:spacing w:after="0" w:line="240" w:lineRule="auto"/>
        <w:rPr>
          <w:szCs w:val="22"/>
        </w:rPr>
      </w:pPr>
      <w:r>
        <w:t>For the employer interviews, n</w:t>
      </w:r>
      <w:r w:rsidRPr="001F1D9B">
        <w:t>o statistical techniques will be used to</w:t>
      </w:r>
      <w:r w:rsidRPr="00385F88">
        <w:t xml:space="preserve"> </w:t>
      </w:r>
      <w:r>
        <w:t>draw inferences</w:t>
      </w:r>
      <w:r w:rsidR="00A72AB7">
        <w:t xml:space="preserve">. </w:t>
      </w:r>
    </w:p>
    <w:p w14:paraId="71CBB583" w14:textId="77777777" w:rsidR="00F11151" w:rsidRPr="00426B73" w:rsidRDefault="00F11151" w:rsidP="0007557E">
      <w:pPr>
        <w:autoSpaceDE w:val="0"/>
        <w:autoSpaceDN w:val="0"/>
        <w:adjustRightInd w:val="0"/>
        <w:spacing w:after="0" w:line="240" w:lineRule="auto"/>
        <w:rPr>
          <w:szCs w:val="22"/>
        </w:rPr>
      </w:pPr>
    </w:p>
    <w:p w14:paraId="3CAC38C8" w14:textId="77777777" w:rsidR="004C3705" w:rsidRDefault="004C3705">
      <w:pPr>
        <w:spacing w:after="0" w:line="240" w:lineRule="auto"/>
        <w:rPr>
          <w:rFonts w:ascii="Calibri" w:eastAsiaTheme="minorHAnsi" w:hAnsi="Calibri" w:cs="Calibri"/>
          <w:b/>
          <w:color w:val="000000"/>
          <w:sz w:val="24"/>
          <w:szCs w:val="24"/>
        </w:rPr>
      </w:pPr>
      <w:r>
        <w:rPr>
          <w:b/>
        </w:rPr>
        <w:br w:type="page"/>
      </w:r>
    </w:p>
    <w:p w14:paraId="35645115" w14:textId="5E59F8D7" w:rsidR="004C3705" w:rsidRDefault="004C3705" w:rsidP="004C3705">
      <w:pPr>
        <w:pStyle w:val="Default"/>
        <w:rPr>
          <w:b/>
        </w:rPr>
      </w:pPr>
      <w:r>
        <w:rPr>
          <w:b/>
        </w:rPr>
        <w:lastRenderedPageBreak/>
        <w:t xml:space="preserve">Exhibit </w:t>
      </w:r>
      <w:proofErr w:type="gramStart"/>
      <w:r>
        <w:rPr>
          <w:b/>
        </w:rPr>
        <w:t>B.3</w:t>
      </w:r>
      <w:r w:rsidRPr="00157D29">
        <w:rPr>
          <w:b/>
        </w:rPr>
        <w:t xml:space="preserve">  </w:t>
      </w:r>
      <w:r>
        <w:rPr>
          <w:b/>
        </w:rPr>
        <w:t>Recent</w:t>
      </w:r>
      <w:proofErr w:type="gramEnd"/>
      <w:r>
        <w:rPr>
          <w:b/>
        </w:rPr>
        <w:t xml:space="preserve"> Non-Experimental Estimates of Return to Training, by Length of Training</w:t>
      </w:r>
    </w:p>
    <w:p w14:paraId="64875E88" w14:textId="77777777" w:rsidR="004C3705" w:rsidRDefault="004C3705" w:rsidP="004C3705">
      <w:pPr>
        <w:pStyle w:val="Default"/>
        <w:rPr>
          <w:b/>
        </w:rPr>
      </w:pPr>
    </w:p>
    <w:tbl>
      <w:tblPr>
        <w:tblW w:w="8519" w:type="dxa"/>
        <w:tblInd w:w="93" w:type="dxa"/>
        <w:tblLook w:val="04A0" w:firstRow="1" w:lastRow="0" w:firstColumn="1" w:lastColumn="0" w:noHBand="0" w:noVBand="1"/>
      </w:tblPr>
      <w:tblGrid>
        <w:gridCol w:w="3255"/>
        <w:gridCol w:w="1480"/>
        <w:gridCol w:w="1984"/>
        <w:gridCol w:w="1800"/>
      </w:tblGrid>
      <w:tr w:rsidR="004C3705" w:rsidRPr="00936617" w14:paraId="3B05D43B" w14:textId="77777777" w:rsidTr="004C3705">
        <w:trPr>
          <w:trHeight w:val="300"/>
        </w:trPr>
        <w:tc>
          <w:tcPr>
            <w:tcW w:w="3255" w:type="dxa"/>
            <w:tcBorders>
              <w:top w:val="single" w:sz="4" w:space="0" w:color="auto"/>
              <w:left w:val="nil"/>
              <w:bottom w:val="single" w:sz="4" w:space="0" w:color="auto"/>
              <w:right w:val="nil"/>
            </w:tcBorders>
            <w:shd w:val="clear" w:color="auto" w:fill="auto"/>
            <w:noWrap/>
            <w:vAlign w:val="center"/>
            <w:hideMark/>
          </w:tcPr>
          <w:p w14:paraId="38426152" w14:textId="77777777" w:rsidR="004C3705" w:rsidRPr="00936617" w:rsidRDefault="004C3705" w:rsidP="00852F56">
            <w:pPr>
              <w:spacing w:after="0" w:line="240" w:lineRule="auto"/>
              <w:rPr>
                <w:rFonts w:ascii="Calibri" w:hAnsi="Calibri"/>
                <w:b/>
                <w:bCs/>
                <w:color w:val="000000"/>
                <w:szCs w:val="22"/>
              </w:rPr>
            </w:pPr>
            <w:r w:rsidRPr="00936617">
              <w:rPr>
                <w:rFonts w:ascii="Calibri" w:hAnsi="Calibri"/>
                <w:b/>
                <w:bCs/>
                <w:color w:val="000000"/>
                <w:szCs w:val="22"/>
              </w:rPr>
              <w:t>Publication</w:t>
            </w:r>
          </w:p>
        </w:tc>
        <w:tc>
          <w:tcPr>
            <w:tcW w:w="5264" w:type="dxa"/>
            <w:gridSpan w:val="3"/>
            <w:tcBorders>
              <w:top w:val="single" w:sz="4" w:space="0" w:color="auto"/>
              <w:left w:val="nil"/>
              <w:bottom w:val="single" w:sz="4" w:space="0" w:color="auto"/>
              <w:right w:val="nil"/>
            </w:tcBorders>
            <w:shd w:val="clear" w:color="auto" w:fill="auto"/>
            <w:noWrap/>
            <w:vAlign w:val="bottom"/>
            <w:hideMark/>
          </w:tcPr>
          <w:p w14:paraId="659C5F6D" w14:textId="77777777" w:rsidR="004C3705" w:rsidRPr="00936617" w:rsidRDefault="004C3705" w:rsidP="00852F56">
            <w:pPr>
              <w:spacing w:after="0" w:line="240" w:lineRule="auto"/>
              <w:jc w:val="center"/>
              <w:rPr>
                <w:rFonts w:ascii="Calibri" w:hAnsi="Calibri"/>
                <w:b/>
                <w:bCs/>
                <w:color w:val="000000"/>
                <w:szCs w:val="22"/>
              </w:rPr>
            </w:pPr>
            <w:r w:rsidRPr="00936617">
              <w:rPr>
                <w:rFonts w:ascii="Calibri" w:hAnsi="Calibri"/>
                <w:b/>
                <w:bCs/>
                <w:color w:val="000000"/>
                <w:szCs w:val="22"/>
              </w:rPr>
              <w:t>Credential Earned</w:t>
            </w:r>
          </w:p>
        </w:tc>
      </w:tr>
      <w:tr w:rsidR="004C3705" w:rsidRPr="00936617" w14:paraId="74F7255D" w14:textId="77777777" w:rsidTr="004C3705">
        <w:trPr>
          <w:trHeight w:val="900"/>
        </w:trPr>
        <w:tc>
          <w:tcPr>
            <w:tcW w:w="3255" w:type="dxa"/>
            <w:tcBorders>
              <w:top w:val="nil"/>
              <w:left w:val="nil"/>
              <w:bottom w:val="single" w:sz="4" w:space="0" w:color="auto"/>
              <w:right w:val="nil"/>
            </w:tcBorders>
            <w:shd w:val="clear" w:color="auto" w:fill="auto"/>
            <w:noWrap/>
            <w:vAlign w:val="bottom"/>
            <w:hideMark/>
          </w:tcPr>
          <w:p w14:paraId="69ABAA08"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w:t>
            </w:r>
          </w:p>
        </w:tc>
        <w:tc>
          <w:tcPr>
            <w:tcW w:w="1480" w:type="dxa"/>
            <w:tcBorders>
              <w:top w:val="nil"/>
              <w:left w:val="nil"/>
              <w:bottom w:val="single" w:sz="4" w:space="0" w:color="auto"/>
              <w:right w:val="nil"/>
            </w:tcBorders>
            <w:shd w:val="clear" w:color="auto" w:fill="auto"/>
            <w:vAlign w:val="center"/>
            <w:hideMark/>
          </w:tcPr>
          <w:p w14:paraId="79A6E37F" w14:textId="77777777" w:rsidR="004C3705" w:rsidRPr="00936617" w:rsidRDefault="004C3705" w:rsidP="00852F56">
            <w:pPr>
              <w:spacing w:after="0" w:line="240" w:lineRule="auto"/>
              <w:jc w:val="center"/>
              <w:rPr>
                <w:rFonts w:ascii="Calibri" w:hAnsi="Calibri"/>
                <w:b/>
                <w:bCs/>
                <w:color w:val="000000"/>
                <w:szCs w:val="22"/>
              </w:rPr>
            </w:pPr>
            <w:r w:rsidRPr="00936617">
              <w:rPr>
                <w:rFonts w:ascii="Calibri" w:hAnsi="Calibri"/>
                <w:b/>
                <w:bCs/>
                <w:color w:val="000000"/>
                <w:szCs w:val="22"/>
              </w:rPr>
              <w:t>Short-term certificate/ certificate</w:t>
            </w:r>
          </w:p>
        </w:tc>
        <w:tc>
          <w:tcPr>
            <w:tcW w:w="1984" w:type="dxa"/>
            <w:tcBorders>
              <w:top w:val="nil"/>
              <w:left w:val="nil"/>
              <w:bottom w:val="single" w:sz="4" w:space="0" w:color="auto"/>
              <w:right w:val="nil"/>
            </w:tcBorders>
            <w:shd w:val="clear" w:color="auto" w:fill="auto"/>
            <w:vAlign w:val="center"/>
            <w:hideMark/>
          </w:tcPr>
          <w:p w14:paraId="1272833D" w14:textId="77777777" w:rsidR="004C3705" w:rsidRPr="00936617" w:rsidRDefault="004C3705" w:rsidP="00852F56">
            <w:pPr>
              <w:spacing w:after="0" w:line="240" w:lineRule="auto"/>
              <w:jc w:val="center"/>
              <w:rPr>
                <w:rFonts w:ascii="Calibri" w:hAnsi="Calibri"/>
                <w:b/>
                <w:bCs/>
                <w:color w:val="000000"/>
                <w:szCs w:val="22"/>
              </w:rPr>
            </w:pPr>
            <w:r w:rsidRPr="00936617">
              <w:rPr>
                <w:rFonts w:ascii="Calibri" w:hAnsi="Calibri"/>
                <w:b/>
                <w:bCs/>
                <w:color w:val="000000"/>
                <w:szCs w:val="22"/>
              </w:rPr>
              <w:t>Long-term certificate/diploma</w:t>
            </w:r>
          </w:p>
        </w:tc>
        <w:tc>
          <w:tcPr>
            <w:tcW w:w="1800" w:type="dxa"/>
            <w:tcBorders>
              <w:top w:val="nil"/>
              <w:left w:val="nil"/>
              <w:bottom w:val="single" w:sz="4" w:space="0" w:color="auto"/>
              <w:right w:val="nil"/>
            </w:tcBorders>
            <w:shd w:val="clear" w:color="auto" w:fill="auto"/>
            <w:vAlign w:val="center"/>
            <w:hideMark/>
          </w:tcPr>
          <w:p w14:paraId="4E2177A0" w14:textId="77777777" w:rsidR="004C3705" w:rsidRPr="00936617" w:rsidRDefault="004C3705" w:rsidP="00852F56">
            <w:pPr>
              <w:spacing w:after="0" w:line="240" w:lineRule="auto"/>
              <w:jc w:val="center"/>
              <w:rPr>
                <w:rFonts w:ascii="Calibri" w:hAnsi="Calibri"/>
                <w:b/>
                <w:bCs/>
                <w:color w:val="000000"/>
                <w:szCs w:val="22"/>
              </w:rPr>
            </w:pPr>
            <w:r w:rsidRPr="00936617">
              <w:rPr>
                <w:rFonts w:ascii="Calibri" w:hAnsi="Calibri"/>
                <w:b/>
                <w:bCs/>
                <w:color w:val="000000"/>
                <w:szCs w:val="22"/>
              </w:rPr>
              <w:t>Associate degree</w:t>
            </w:r>
          </w:p>
        </w:tc>
      </w:tr>
      <w:tr w:rsidR="004C3705" w:rsidRPr="00936617" w14:paraId="0AB0A8E8" w14:textId="77777777" w:rsidTr="004C3705">
        <w:trPr>
          <w:trHeight w:val="300"/>
        </w:trPr>
        <w:tc>
          <w:tcPr>
            <w:tcW w:w="3255" w:type="dxa"/>
            <w:tcBorders>
              <w:top w:val="nil"/>
              <w:left w:val="nil"/>
              <w:bottom w:val="nil"/>
              <w:right w:val="nil"/>
            </w:tcBorders>
            <w:shd w:val="clear" w:color="auto" w:fill="auto"/>
            <w:noWrap/>
            <w:vAlign w:val="bottom"/>
            <w:hideMark/>
          </w:tcPr>
          <w:p w14:paraId="486164BC"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xml:space="preserve">Bahr et al, 2015 (MI) </w:t>
            </w:r>
            <w:r>
              <w:rPr>
                <w:rFonts w:ascii="Calibri" w:hAnsi="Calibri"/>
                <w:color w:val="000000"/>
                <w:szCs w:val="22"/>
              </w:rPr>
              <w:t>–</w:t>
            </w:r>
            <w:r w:rsidRPr="00936617">
              <w:rPr>
                <w:rFonts w:ascii="Calibri" w:hAnsi="Calibri"/>
                <w:color w:val="000000"/>
                <w:szCs w:val="22"/>
              </w:rPr>
              <w:t xml:space="preserve"> </w:t>
            </w:r>
            <w:r w:rsidRPr="00936617">
              <w:rPr>
                <w:rFonts w:ascii="Calibri" w:hAnsi="Calibri"/>
                <w:b/>
                <w:bCs/>
                <w:color w:val="000000"/>
                <w:szCs w:val="22"/>
              </w:rPr>
              <w:t>Males</w:t>
            </w:r>
          </w:p>
        </w:tc>
        <w:tc>
          <w:tcPr>
            <w:tcW w:w="1480" w:type="dxa"/>
            <w:tcBorders>
              <w:top w:val="nil"/>
              <w:left w:val="nil"/>
              <w:bottom w:val="nil"/>
              <w:right w:val="nil"/>
            </w:tcBorders>
            <w:shd w:val="clear" w:color="auto" w:fill="auto"/>
            <w:noWrap/>
            <w:vAlign w:val="bottom"/>
            <w:hideMark/>
          </w:tcPr>
          <w:p w14:paraId="5B625530"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1,345**</w:t>
            </w:r>
          </w:p>
        </w:tc>
        <w:tc>
          <w:tcPr>
            <w:tcW w:w="1984" w:type="dxa"/>
            <w:tcBorders>
              <w:top w:val="nil"/>
              <w:left w:val="nil"/>
              <w:bottom w:val="nil"/>
              <w:right w:val="nil"/>
            </w:tcBorders>
            <w:shd w:val="clear" w:color="auto" w:fill="auto"/>
            <w:noWrap/>
            <w:vAlign w:val="bottom"/>
            <w:hideMark/>
          </w:tcPr>
          <w:p w14:paraId="666B0AEC"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918.0***</w:t>
            </w:r>
          </w:p>
        </w:tc>
        <w:tc>
          <w:tcPr>
            <w:tcW w:w="1800" w:type="dxa"/>
            <w:tcBorders>
              <w:top w:val="nil"/>
              <w:left w:val="nil"/>
              <w:bottom w:val="nil"/>
              <w:right w:val="nil"/>
            </w:tcBorders>
            <w:shd w:val="clear" w:color="auto" w:fill="auto"/>
            <w:noWrap/>
            <w:vAlign w:val="bottom"/>
            <w:hideMark/>
          </w:tcPr>
          <w:p w14:paraId="338EDC92"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1,441***</w:t>
            </w:r>
          </w:p>
        </w:tc>
      </w:tr>
      <w:tr w:rsidR="004C3705" w:rsidRPr="00936617" w14:paraId="2E2ABDC8" w14:textId="77777777" w:rsidTr="004C3705">
        <w:trPr>
          <w:trHeight w:val="300"/>
        </w:trPr>
        <w:tc>
          <w:tcPr>
            <w:tcW w:w="3255" w:type="dxa"/>
            <w:tcBorders>
              <w:top w:val="nil"/>
              <w:left w:val="nil"/>
              <w:bottom w:val="nil"/>
              <w:right w:val="nil"/>
            </w:tcBorders>
            <w:shd w:val="clear" w:color="auto" w:fill="auto"/>
            <w:noWrap/>
            <w:vAlign w:val="bottom"/>
            <w:hideMark/>
          </w:tcPr>
          <w:p w14:paraId="364C73EB"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2E07DB95"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(572.6)</w:t>
            </w:r>
          </w:p>
        </w:tc>
        <w:tc>
          <w:tcPr>
            <w:tcW w:w="1984" w:type="dxa"/>
            <w:tcBorders>
              <w:top w:val="nil"/>
              <w:left w:val="nil"/>
              <w:bottom w:val="nil"/>
              <w:right w:val="nil"/>
            </w:tcBorders>
            <w:shd w:val="clear" w:color="auto" w:fill="auto"/>
            <w:noWrap/>
            <w:vAlign w:val="bottom"/>
            <w:hideMark/>
          </w:tcPr>
          <w:p w14:paraId="7E7FBB77"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(276.5)</w:t>
            </w:r>
          </w:p>
        </w:tc>
        <w:tc>
          <w:tcPr>
            <w:tcW w:w="1800" w:type="dxa"/>
            <w:tcBorders>
              <w:top w:val="nil"/>
              <w:left w:val="nil"/>
              <w:bottom w:val="nil"/>
              <w:right w:val="nil"/>
            </w:tcBorders>
            <w:shd w:val="clear" w:color="auto" w:fill="auto"/>
            <w:noWrap/>
            <w:vAlign w:val="bottom"/>
            <w:hideMark/>
          </w:tcPr>
          <w:p w14:paraId="0547CA5B"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(162.8)</w:t>
            </w:r>
          </w:p>
        </w:tc>
      </w:tr>
      <w:tr w:rsidR="004C3705" w:rsidRPr="00936617" w14:paraId="7C81B349" w14:textId="77777777" w:rsidTr="004C3705">
        <w:trPr>
          <w:trHeight w:val="300"/>
        </w:trPr>
        <w:tc>
          <w:tcPr>
            <w:tcW w:w="3255" w:type="dxa"/>
            <w:tcBorders>
              <w:top w:val="nil"/>
              <w:left w:val="nil"/>
              <w:bottom w:val="nil"/>
              <w:right w:val="nil"/>
            </w:tcBorders>
            <w:shd w:val="clear" w:color="auto" w:fill="auto"/>
            <w:noWrap/>
            <w:vAlign w:val="bottom"/>
            <w:hideMark/>
          </w:tcPr>
          <w:p w14:paraId="38BF6864"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xml:space="preserve">Bahr et al, 2015 (MI) </w:t>
            </w:r>
            <w:r>
              <w:rPr>
                <w:rFonts w:ascii="Calibri" w:hAnsi="Calibri"/>
                <w:color w:val="000000"/>
                <w:szCs w:val="22"/>
              </w:rPr>
              <w:t>–</w:t>
            </w:r>
            <w:r w:rsidRPr="00936617">
              <w:rPr>
                <w:rFonts w:ascii="Calibri" w:hAnsi="Calibri"/>
                <w:color w:val="000000"/>
                <w:szCs w:val="22"/>
              </w:rPr>
              <w:t xml:space="preserve"> </w:t>
            </w:r>
            <w:r w:rsidRPr="00936617">
              <w:rPr>
                <w:rFonts w:ascii="Calibri" w:hAnsi="Calibri"/>
                <w:b/>
                <w:bCs/>
                <w:color w:val="000000"/>
                <w:szCs w:val="22"/>
              </w:rPr>
              <w:t>Females</w:t>
            </w:r>
          </w:p>
        </w:tc>
        <w:tc>
          <w:tcPr>
            <w:tcW w:w="1480" w:type="dxa"/>
            <w:tcBorders>
              <w:top w:val="nil"/>
              <w:left w:val="nil"/>
              <w:bottom w:val="nil"/>
              <w:right w:val="nil"/>
            </w:tcBorders>
            <w:shd w:val="clear" w:color="auto" w:fill="auto"/>
            <w:noWrap/>
            <w:vAlign w:val="bottom"/>
            <w:hideMark/>
          </w:tcPr>
          <w:p w14:paraId="221489CA"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267.6</w:t>
            </w:r>
          </w:p>
        </w:tc>
        <w:tc>
          <w:tcPr>
            <w:tcW w:w="1984" w:type="dxa"/>
            <w:tcBorders>
              <w:top w:val="nil"/>
              <w:left w:val="nil"/>
              <w:bottom w:val="nil"/>
              <w:right w:val="nil"/>
            </w:tcBorders>
            <w:shd w:val="clear" w:color="auto" w:fill="auto"/>
            <w:noWrap/>
            <w:vAlign w:val="bottom"/>
            <w:hideMark/>
          </w:tcPr>
          <w:p w14:paraId="08F6CC79"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619.6**</w:t>
            </w:r>
          </w:p>
        </w:tc>
        <w:tc>
          <w:tcPr>
            <w:tcW w:w="1800" w:type="dxa"/>
            <w:tcBorders>
              <w:top w:val="nil"/>
              <w:left w:val="nil"/>
              <w:bottom w:val="nil"/>
              <w:right w:val="nil"/>
            </w:tcBorders>
            <w:shd w:val="clear" w:color="auto" w:fill="auto"/>
            <w:noWrap/>
            <w:vAlign w:val="bottom"/>
            <w:hideMark/>
          </w:tcPr>
          <w:p w14:paraId="7F0EF95F"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2,346***</w:t>
            </w:r>
          </w:p>
        </w:tc>
      </w:tr>
      <w:tr w:rsidR="004C3705" w:rsidRPr="00936617" w14:paraId="1501ACAA" w14:textId="77777777" w:rsidTr="004C3705">
        <w:trPr>
          <w:trHeight w:val="300"/>
        </w:trPr>
        <w:tc>
          <w:tcPr>
            <w:tcW w:w="3255" w:type="dxa"/>
            <w:tcBorders>
              <w:top w:val="nil"/>
              <w:left w:val="nil"/>
              <w:bottom w:val="nil"/>
              <w:right w:val="nil"/>
            </w:tcBorders>
            <w:shd w:val="clear" w:color="auto" w:fill="auto"/>
            <w:noWrap/>
            <w:vAlign w:val="bottom"/>
            <w:hideMark/>
          </w:tcPr>
          <w:p w14:paraId="16C7E870"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0E2CE057"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(232.2)</w:t>
            </w:r>
          </w:p>
        </w:tc>
        <w:tc>
          <w:tcPr>
            <w:tcW w:w="1984" w:type="dxa"/>
            <w:tcBorders>
              <w:top w:val="nil"/>
              <w:left w:val="nil"/>
              <w:bottom w:val="nil"/>
              <w:right w:val="nil"/>
            </w:tcBorders>
            <w:shd w:val="clear" w:color="auto" w:fill="auto"/>
            <w:noWrap/>
            <w:vAlign w:val="bottom"/>
            <w:hideMark/>
          </w:tcPr>
          <w:p w14:paraId="6AA7204D"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(262.1)</w:t>
            </w:r>
          </w:p>
        </w:tc>
        <w:tc>
          <w:tcPr>
            <w:tcW w:w="1800" w:type="dxa"/>
            <w:tcBorders>
              <w:top w:val="nil"/>
              <w:left w:val="nil"/>
              <w:bottom w:val="nil"/>
              <w:right w:val="nil"/>
            </w:tcBorders>
            <w:shd w:val="clear" w:color="auto" w:fill="auto"/>
            <w:noWrap/>
            <w:vAlign w:val="bottom"/>
            <w:hideMark/>
          </w:tcPr>
          <w:p w14:paraId="288F1ABE"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(139.0)</w:t>
            </w:r>
          </w:p>
        </w:tc>
      </w:tr>
      <w:tr w:rsidR="004C3705" w:rsidRPr="00936617" w14:paraId="2EC116D3" w14:textId="77777777" w:rsidTr="004C3705">
        <w:trPr>
          <w:trHeight w:val="300"/>
        </w:trPr>
        <w:tc>
          <w:tcPr>
            <w:tcW w:w="3255" w:type="dxa"/>
            <w:tcBorders>
              <w:top w:val="nil"/>
              <w:left w:val="nil"/>
              <w:bottom w:val="nil"/>
              <w:right w:val="nil"/>
            </w:tcBorders>
            <w:shd w:val="clear" w:color="auto" w:fill="auto"/>
            <w:noWrap/>
            <w:vAlign w:val="bottom"/>
            <w:hideMark/>
          </w:tcPr>
          <w:p w14:paraId="7C49ADBA" w14:textId="77777777" w:rsidR="004C3705" w:rsidRPr="00936617" w:rsidRDefault="004C3705" w:rsidP="00852F56">
            <w:pPr>
              <w:spacing w:after="0" w:line="240" w:lineRule="auto"/>
              <w:rPr>
                <w:rFonts w:ascii="Calibri" w:hAnsi="Calibri"/>
                <w:color w:val="000000"/>
                <w:szCs w:val="22"/>
              </w:rPr>
            </w:pPr>
            <w:proofErr w:type="spellStart"/>
            <w:r w:rsidRPr="00936617">
              <w:rPr>
                <w:rFonts w:ascii="Calibri" w:hAnsi="Calibri"/>
                <w:color w:val="000000"/>
                <w:szCs w:val="22"/>
              </w:rPr>
              <w:t>Dagdar</w:t>
            </w:r>
            <w:proofErr w:type="spellEnd"/>
            <w:r w:rsidRPr="00936617">
              <w:rPr>
                <w:rFonts w:ascii="Calibri" w:hAnsi="Calibri"/>
                <w:color w:val="000000"/>
                <w:szCs w:val="22"/>
              </w:rPr>
              <w:t xml:space="preserve"> and Trimble, 2015 (WA) </w:t>
            </w:r>
            <w:r>
              <w:rPr>
                <w:rFonts w:ascii="Calibri" w:hAnsi="Calibri"/>
                <w:color w:val="000000"/>
                <w:szCs w:val="22"/>
              </w:rPr>
              <w:t>–</w:t>
            </w:r>
            <w:r w:rsidRPr="00936617">
              <w:rPr>
                <w:rFonts w:ascii="Calibri" w:hAnsi="Calibri"/>
                <w:color w:val="000000"/>
                <w:szCs w:val="22"/>
              </w:rPr>
              <w:t xml:space="preserve"> </w:t>
            </w:r>
            <w:r w:rsidRPr="00936617">
              <w:rPr>
                <w:rFonts w:ascii="Calibri" w:hAnsi="Calibri"/>
                <w:b/>
                <w:bCs/>
                <w:color w:val="000000"/>
                <w:szCs w:val="22"/>
              </w:rPr>
              <w:t>Males</w:t>
            </w:r>
          </w:p>
        </w:tc>
        <w:tc>
          <w:tcPr>
            <w:tcW w:w="1480" w:type="dxa"/>
            <w:tcBorders>
              <w:top w:val="nil"/>
              <w:left w:val="nil"/>
              <w:bottom w:val="nil"/>
              <w:right w:val="nil"/>
            </w:tcBorders>
            <w:shd w:val="clear" w:color="auto" w:fill="auto"/>
            <w:noWrap/>
            <w:vAlign w:val="bottom"/>
            <w:hideMark/>
          </w:tcPr>
          <w:p w14:paraId="319AACB6"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-3,861</w:t>
            </w:r>
          </w:p>
        </w:tc>
        <w:tc>
          <w:tcPr>
            <w:tcW w:w="1984" w:type="dxa"/>
            <w:tcBorders>
              <w:top w:val="nil"/>
              <w:left w:val="nil"/>
              <w:bottom w:val="nil"/>
              <w:right w:val="nil"/>
            </w:tcBorders>
            <w:shd w:val="clear" w:color="auto" w:fill="auto"/>
            <w:noWrap/>
            <w:vAlign w:val="bottom"/>
            <w:hideMark/>
          </w:tcPr>
          <w:p w14:paraId="15E08A6D"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2,963**</w:t>
            </w:r>
          </w:p>
        </w:tc>
        <w:tc>
          <w:tcPr>
            <w:tcW w:w="1800" w:type="dxa"/>
            <w:tcBorders>
              <w:top w:val="nil"/>
              <w:left w:val="nil"/>
              <w:bottom w:val="nil"/>
              <w:right w:val="nil"/>
            </w:tcBorders>
            <w:shd w:val="clear" w:color="auto" w:fill="auto"/>
            <w:noWrap/>
            <w:vAlign w:val="bottom"/>
            <w:hideMark/>
          </w:tcPr>
          <w:p w14:paraId="622B35F0"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3,667***</w:t>
            </w:r>
          </w:p>
        </w:tc>
      </w:tr>
      <w:tr w:rsidR="004C3705" w:rsidRPr="00936617" w14:paraId="10A98380" w14:textId="77777777" w:rsidTr="004C3705">
        <w:trPr>
          <w:trHeight w:val="300"/>
        </w:trPr>
        <w:tc>
          <w:tcPr>
            <w:tcW w:w="3255" w:type="dxa"/>
            <w:tcBorders>
              <w:top w:val="nil"/>
              <w:left w:val="nil"/>
              <w:bottom w:val="nil"/>
              <w:right w:val="nil"/>
            </w:tcBorders>
            <w:shd w:val="clear" w:color="auto" w:fill="auto"/>
            <w:noWrap/>
            <w:vAlign w:val="bottom"/>
            <w:hideMark/>
          </w:tcPr>
          <w:p w14:paraId="40955FF0"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3D8E585F"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(2,397)</w:t>
            </w:r>
          </w:p>
        </w:tc>
        <w:tc>
          <w:tcPr>
            <w:tcW w:w="1984" w:type="dxa"/>
            <w:tcBorders>
              <w:top w:val="nil"/>
              <w:left w:val="nil"/>
              <w:bottom w:val="nil"/>
              <w:right w:val="nil"/>
            </w:tcBorders>
            <w:shd w:val="clear" w:color="auto" w:fill="auto"/>
            <w:noWrap/>
            <w:vAlign w:val="bottom"/>
            <w:hideMark/>
          </w:tcPr>
          <w:p w14:paraId="18E11AB7"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(1,096)</w:t>
            </w:r>
          </w:p>
        </w:tc>
        <w:tc>
          <w:tcPr>
            <w:tcW w:w="1800" w:type="dxa"/>
            <w:tcBorders>
              <w:top w:val="nil"/>
              <w:left w:val="nil"/>
              <w:bottom w:val="nil"/>
              <w:right w:val="nil"/>
            </w:tcBorders>
            <w:shd w:val="clear" w:color="auto" w:fill="auto"/>
            <w:noWrap/>
            <w:vAlign w:val="bottom"/>
            <w:hideMark/>
          </w:tcPr>
          <w:p w14:paraId="0ECAAF08"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(743.6)</w:t>
            </w:r>
          </w:p>
        </w:tc>
      </w:tr>
      <w:tr w:rsidR="004C3705" w:rsidRPr="00936617" w14:paraId="4FEE951A" w14:textId="77777777" w:rsidTr="004C3705">
        <w:trPr>
          <w:trHeight w:val="300"/>
        </w:trPr>
        <w:tc>
          <w:tcPr>
            <w:tcW w:w="3255" w:type="dxa"/>
            <w:tcBorders>
              <w:top w:val="nil"/>
              <w:left w:val="nil"/>
              <w:bottom w:val="nil"/>
              <w:right w:val="nil"/>
            </w:tcBorders>
            <w:shd w:val="clear" w:color="auto" w:fill="auto"/>
            <w:noWrap/>
            <w:vAlign w:val="bottom"/>
            <w:hideMark/>
          </w:tcPr>
          <w:p w14:paraId="522684D0" w14:textId="77777777" w:rsidR="004C3705" w:rsidRPr="00936617" w:rsidRDefault="004C3705" w:rsidP="00852F56">
            <w:pPr>
              <w:spacing w:after="0" w:line="240" w:lineRule="auto"/>
              <w:rPr>
                <w:rFonts w:ascii="Calibri" w:hAnsi="Calibri"/>
                <w:color w:val="000000"/>
                <w:szCs w:val="22"/>
              </w:rPr>
            </w:pPr>
            <w:proofErr w:type="spellStart"/>
            <w:r w:rsidRPr="00936617">
              <w:rPr>
                <w:rFonts w:ascii="Calibri" w:hAnsi="Calibri"/>
                <w:color w:val="000000"/>
                <w:szCs w:val="22"/>
              </w:rPr>
              <w:t>Dagdar</w:t>
            </w:r>
            <w:proofErr w:type="spellEnd"/>
            <w:r w:rsidRPr="00936617">
              <w:rPr>
                <w:rFonts w:ascii="Calibri" w:hAnsi="Calibri"/>
                <w:color w:val="000000"/>
                <w:szCs w:val="22"/>
              </w:rPr>
              <w:t xml:space="preserve"> and Trimble, 2015 (WA) </w:t>
            </w:r>
            <w:r w:rsidRPr="00936617">
              <w:rPr>
                <w:rFonts w:ascii="Calibri" w:hAnsi="Calibri"/>
                <w:b/>
                <w:bCs/>
                <w:color w:val="000000"/>
                <w:szCs w:val="22"/>
              </w:rPr>
              <w:t>-</w:t>
            </w:r>
            <w:r w:rsidRPr="00936617">
              <w:rPr>
                <w:rFonts w:ascii="Calibri" w:hAnsi="Calibri"/>
                <w:color w:val="000000"/>
                <w:szCs w:val="22"/>
              </w:rPr>
              <w:t xml:space="preserve"> </w:t>
            </w:r>
            <w:r w:rsidRPr="00936617">
              <w:rPr>
                <w:rFonts w:ascii="Calibri" w:hAnsi="Calibri"/>
                <w:b/>
                <w:bCs/>
                <w:color w:val="000000"/>
                <w:szCs w:val="22"/>
              </w:rPr>
              <w:t xml:space="preserve">Females </w:t>
            </w:r>
          </w:p>
        </w:tc>
        <w:tc>
          <w:tcPr>
            <w:tcW w:w="1480" w:type="dxa"/>
            <w:tcBorders>
              <w:top w:val="nil"/>
              <w:left w:val="nil"/>
              <w:bottom w:val="nil"/>
              <w:right w:val="nil"/>
            </w:tcBorders>
            <w:shd w:val="clear" w:color="auto" w:fill="auto"/>
            <w:noWrap/>
            <w:vAlign w:val="bottom"/>
            <w:hideMark/>
          </w:tcPr>
          <w:p w14:paraId="2AC20C0F"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-519.8</w:t>
            </w:r>
          </w:p>
        </w:tc>
        <w:tc>
          <w:tcPr>
            <w:tcW w:w="1984" w:type="dxa"/>
            <w:tcBorders>
              <w:top w:val="nil"/>
              <w:left w:val="nil"/>
              <w:bottom w:val="nil"/>
              <w:right w:val="nil"/>
            </w:tcBorders>
            <w:shd w:val="clear" w:color="auto" w:fill="auto"/>
            <w:noWrap/>
            <w:vAlign w:val="bottom"/>
            <w:hideMark/>
          </w:tcPr>
          <w:p w14:paraId="715575E3"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6,069***</w:t>
            </w:r>
          </w:p>
        </w:tc>
        <w:tc>
          <w:tcPr>
            <w:tcW w:w="1800" w:type="dxa"/>
            <w:tcBorders>
              <w:top w:val="nil"/>
              <w:left w:val="nil"/>
              <w:bottom w:val="nil"/>
              <w:right w:val="nil"/>
            </w:tcBorders>
            <w:shd w:val="clear" w:color="auto" w:fill="auto"/>
            <w:noWrap/>
            <w:vAlign w:val="bottom"/>
            <w:hideMark/>
          </w:tcPr>
          <w:p w14:paraId="76986884"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4,207***</w:t>
            </w:r>
          </w:p>
        </w:tc>
      </w:tr>
      <w:tr w:rsidR="004C3705" w:rsidRPr="00936617" w14:paraId="6345C119" w14:textId="77777777" w:rsidTr="004C3705">
        <w:trPr>
          <w:trHeight w:val="300"/>
        </w:trPr>
        <w:tc>
          <w:tcPr>
            <w:tcW w:w="3255" w:type="dxa"/>
            <w:tcBorders>
              <w:top w:val="nil"/>
              <w:left w:val="nil"/>
              <w:bottom w:val="nil"/>
              <w:right w:val="nil"/>
            </w:tcBorders>
            <w:shd w:val="clear" w:color="auto" w:fill="auto"/>
            <w:noWrap/>
            <w:vAlign w:val="bottom"/>
            <w:hideMark/>
          </w:tcPr>
          <w:p w14:paraId="0EDAD7BF"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7C9370EE"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(1,112)</w:t>
            </w:r>
          </w:p>
        </w:tc>
        <w:tc>
          <w:tcPr>
            <w:tcW w:w="1984" w:type="dxa"/>
            <w:tcBorders>
              <w:top w:val="nil"/>
              <w:left w:val="nil"/>
              <w:bottom w:val="nil"/>
              <w:right w:val="nil"/>
            </w:tcBorders>
            <w:shd w:val="clear" w:color="auto" w:fill="auto"/>
            <w:noWrap/>
            <w:vAlign w:val="bottom"/>
            <w:hideMark/>
          </w:tcPr>
          <w:p w14:paraId="3F6063A8"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(1,216)</w:t>
            </w:r>
          </w:p>
        </w:tc>
        <w:tc>
          <w:tcPr>
            <w:tcW w:w="1800" w:type="dxa"/>
            <w:tcBorders>
              <w:top w:val="nil"/>
              <w:left w:val="nil"/>
              <w:bottom w:val="nil"/>
              <w:right w:val="nil"/>
            </w:tcBorders>
            <w:shd w:val="clear" w:color="auto" w:fill="auto"/>
            <w:noWrap/>
            <w:vAlign w:val="bottom"/>
            <w:hideMark/>
          </w:tcPr>
          <w:p w14:paraId="6FDBEDFC"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(425.4)</w:t>
            </w:r>
          </w:p>
        </w:tc>
      </w:tr>
      <w:tr w:rsidR="004C3705" w:rsidRPr="00936617" w14:paraId="023FE248" w14:textId="77777777" w:rsidTr="004C3705">
        <w:trPr>
          <w:trHeight w:val="300"/>
        </w:trPr>
        <w:tc>
          <w:tcPr>
            <w:tcW w:w="3255" w:type="dxa"/>
            <w:tcBorders>
              <w:top w:val="nil"/>
              <w:left w:val="nil"/>
              <w:bottom w:val="nil"/>
              <w:right w:val="nil"/>
            </w:tcBorders>
            <w:shd w:val="clear" w:color="auto" w:fill="auto"/>
            <w:noWrap/>
            <w:vAlign w:val="bottom"/>
            <w:hideMark/>
          </w:tcPr>
          <w:p w14:paraId="060DD326"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xml:space="preserve">Jepsen, </w:t>
            </w:r>
            <w:proofErr w:type="spellStart"/>
            <w:r w:rsidRPr="00936617">
              <w:rPr>
                <w:rFonts w:ascii="Calibri" w:hAnsi="Calibri"/>
                <w:color w:val="000000"/>
                <w:szCs w:val="22"/>
              </w:rPr>
              <w:t>Troske</w:t>
            </w:r>
            <w:proofErr w:type="spellEnd"/>
            <w:r w:rsidRPr="00936617">
              <w:rPr>
                <w:rFonts w:ascii="Calibri" w:hAnsi="Calibri"/>
                <w:color w:val="000000"/>
                <w:szCs w:val="22"/>
              </w:rPr>
              <w:t xml:space="preserve">, and </w:t>
            </w:r>
            <w:proofErr w:type="spellStart"/>
            <w:r w:rsidRPr="00936617">
              <w:rPr>
                <w:rFonts w:ascii="Calibri" w:hAnsi="Calibri"/>
                <w:color w:val="000000"/>
                <w:szCs w:val="22"/>
              </w:rPr>
              <w:t>Coomes</w:t>
            </w:r>
            <w:proofErr w:type="spellEnd"/>
            <w:r w:rsidRPr="00936617">
              <w:rPr>
                <w:rFonts w:ascii="Calibri" w:hAnsi="Calibri"/>
                <w:color w:val="000000"/>
                <w:szCs w:val="22"/>
              </w:rPr>
              <w:t xml:space="preserve">, 2014 (KY) - </w:t>
            </w:r>
            <w:r w:rsidRPr="00936617">
              <w:rPr>
                <w:rFonts w:ascii="Calibri" w:hAnsi="Calibri"/>
                <w:b/>
                <w:bCs/>
                <w:color w:val="000000"/>
                <w:szCs w:val="22"/>
              </w:rPr>
              <w:t>Males</w:t>
            </w:r>
          </w:p>
        </w:tc>
        <w:tc>
          <w:tcPr>
            <w:tcW w:w="1480" w:type="dxa"/>
            <w:tcBorders>
              <w:top w:val="nil"/>
              <w:left w:val="nil"/>
              <w:bottom w:val="nil"/>
              <w:right w:val="nil"/>
            </w:tcBorders>
            <w:shd w:val="clear" w:color="auto" w:fill="auto"/>
            <w:noWrap/>
            <w:vAlign w:val="bottom"/>
            <w:hideMark/>
          </w:tcPr>
          <w:p w14:paraId="5B69FDF8"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297*</w:t>
            </w:r>
          </w:p>
        </w:tc>
        <w:tc>
          <w:tcPr>
            <w:tcW w:w="1984" w:type="dxa"/>
            <w:tcBorders>
              <w:top w:val="nil"/>
              <w:left w:val="nil"/>
              <w:bottom w:val="nil"/>
              <w:right w:val="nil"/>
            </w:tcBorders>
            <w:shd w:val="clear" w:color="auto" w:fill="auto"/>
            <w:noWrap/>
            <w:vAlign w:val="bottom"/>
            <w:hideMark/>
          </w:tcPr>
          <w:p w14:paraId="0C40F088"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1,265***</w:t>
            </w:r>
          </w:p>
        </w:tc>
        <w:tc>
          <w:tcPr>
            <w:tcW w:w="1800" w:type="dxa"/>
            <w:tcBorders>
              <w:top w:val="nil"/>
              <w:left w:val="nil"/>
              <w:bottom w:val="nil"/>
              <w:right w:val="nil"/>
            </w:tcBorders>
            <w:shd w:val="clear" w:color="auto" w:fill="auto"/>
            <w:noWrap/>
            <w:vAlign w:val="bottom"/>
            <w:hideMark/>
          </w:tcPr>
          <w:p w14:paraId="3258584A"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1,484***</w:t>
            </w:r>
          </w:p>
        </w:tc>
      </w:tr>
      <w:tr w:rsidR="004C3705" w:rsidRPr="00936617" w14:paraId="7445A69F" w14:textId="77777777" w:rsidTr="004C3705">
        <w:trPr>
          <w:trHeight w:val="300"/>
        </w:trPr>
        <w:tc>
          <w:tcPr>
            <w:tcW w:w="3255" w:type="dxa"/>
            <w:tcBorders>
              <w:top w:val="nil"/>
              <w:left w:val="nil"/>
              <w:bottom w:val="nil"/>
              <w:right w:val="nil"/>
            </w:tcBorders>
            <w:shd w:val="clear" w:color="auto" w:fill="auto"/>
            <w:noWrap/>
            <w:vAlign w:val="bottom"/>
            <w:hideMark/>
          </w:tcPr>
          <w:p w14:paraId="67D89E00"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7C324888"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(160)</w:t>
            </w:r>
          </w:p>
        </w:tc>
        <w:tc>
          <w:tcPr>
            <w:tcW w:w="1984" w:type="dxa"/>
            <w:tcBorders>
              <w:top w:val="nil"/>
              <w:left w:val="nil"/>
              <w:bottom w:val="nil"/>
              <w:right w:val="nil"/>
            </w:tcBorders>
            <w:shd w:val="clear" w:color="auto" w:fill="auto"/>
            <w:noWrap/>
            <w:vAlign w:val="bottom"/>
            <w:hideMark/>
          </w:tcPr>
          <w:p w14:paraId="301574C8"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(183)</w:t>
            </w:r>
          </w:p>
        </w:tc>
        <w:tc>
          <w:tcPr>
            <w:tcW w:w="1800" w:type="dxa"/>
            <w:tcBorders>
              <w:top w:val="nil"/>
              <w:left w:val="nil"/>
              <w:bottom w:val="nil"/>
              <w:right w:val="nil"/>
            </w:tcBorders>
            <w:shd w:val="clear" w:color="auto" w:fill="auto"/>
            <w:noWrap/>
            <w:vAlign w:val="bottom"/>
            <w:hideMark/>
          </w:tcPr>
          <w:p w14:paraId="422DDB5F"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(149)</w:t>
            </w:r>
          </w:p>
        </w:tc>
      </w:tr>
      <w:tr w:rsidR="004C3705" w:rsidRPr="00936617" w14:paraId="3686E2F0" w14:textId="77777777" w:rsidTr="004C3705">
        <w:trPr>
          <w:trHeight w:val="300"/>
        </w:trPr>
        <w:tc>
          <w:tcPr>
            <w:tcW w:w="3255" w:type="dxa"/>
            <w:tcBorders>
              <w:top w:val="nil"/>
              <w:left w:val="nil"/>
              <w:bottom w:val="nil"/>
              <w:right w:val="nil"/>
            </w:tcBorders>
            <w:shd w:val="clear" w:color="auto" w:fill="auto"/>
            <w:noWrap/>
            <w:vAlign w:val="bottom"/>
            <w:hideMark/>
          </w:tcPr>
          <w:p w14:paraId="2F161D2C"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xml:space="preserve">Jepsen, </w:t>
            </w:r>
            <w:proofErr w:type="spellStart"/>
            <w:r w:rsidRPr="00936617">
              <w:rPr>
                <w:rFonts w:ascii="Calibri" w:hAnsi="Calibri"/>
                <w:color w:val="000000"/>
                <w:szCs w:val="22"/>
              </w:rPr>
              <w:t>Troske</w:t>
            </w:r>
            <w:proofErr w:type="spellEnd"/>
            <w:r w:rsidRPr="00936617">
              <w:rPr>
                <w:rFonts w:ascii="Calibri" w:hAnsi="Calibri"/>
                <w:color w:val="000000"/>
                <w:szCs w:val="22"/>
              </w:rPr>
              <w:t xml:space="preserve">, and </w:t>
            </w:r>
            <w:proofErr w:type="spellStart"/>
            <w:r w:rsidRPr="00936617">
              <w:rPr>
                <w:rFonts w:ascii="Calibri" w:hAnsi="Calibri"/>
                <w:color w:val="000000"/>
                <w:szCs w:val="22"/>
              </w:rPr>
              <w:t>Coomes</w:t>
            </w:r>
            <w:proofErr w:type="spellEnd"/>
            <w:r w:rsidRPr="00936617">
              <w:rPr>
                <w:rFonts w:ascii="Calibri" w:hAnsi="Calibri"/>
                <w:color w:val="000000"/>
                <w:szCs w:val="22"/>
              </w:rPr>
              <w:t xml:space="preserve">, 2014 (KY) - </w:t>
            </w:r>
            <w:r w:rsidRPr="00936617">
              <w:rPr>
                <w:rFonts w:ascii="Calibri" w:hAnsi="Calibri"/>
                <w:b/>
                <w:bCs/>
                <w:color w:val="000000"/>
                <w:szCs w:val="22"/>
              </w:rPr>
              <w:t>Females</w:t>
            </w:r>
          </w:p>
        </w:tc>
        <w:tc>
          <w:tcPr>
            <w:tcW w:w="1480" w:type="dxa"/>
            <w:tcBorders>
              <w:top w:val="nil"/>
              <w:left w:val="nil"/>
              <w:bottom w:val="nil"/>
              <w:right w:val="nil"/>
            </w:tcBorders>
            <w:shd w:val="clear" w:color="auto" w:fill="auto"/>
            <w:noWrap/>
            <w:vAlign w:val="bottom"/>
            <w:hideMark/>
          </w:tcPr>
          <w:p w14:paraId="7E69DAC0"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299***</w:t>
            </w:r>
          </w:p>
        </w:tc>
        <w:tc>
          <w:tcPr>
            <w:tcW w:w="1984" w:type="dxa"/>
            <w:tcBorders>
              <w:top w:val="nil"/>
              <w:left w:val="nil"/>
              <w:bottom w:val="nil"/>
              <w:right w:val="nil"/>
            </w:tcBorders>
            <w:shd w:val="clear" w:color="auto" w:fill="auto"/>
            <w:noWrap/>
            <w:vAlign w:val="bottom"/>
            <w:hideMark/>
          </w:tcPr>
          <w:p w14:paraId="3DF9F9AD"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1,914***</w:t>
            </w:r>
          </w:p>
        </w:tc>
        <w:tc>
          <w:tcPr>
            <w:tcW w:w="1800" w:type="dxa"/>
            <w:tcBorders>
              <w:top w:val="nil"/>
              <w:left w:val="nil"/>
              <w:bottom w:val="nil"/>
              <w:right w:val="nil"/>
            </w:tcBorders>
            <w:shd w:val="clear" w:color="auto" w:fill="auto"/>
            <w:noWrap/>
            <w:vAlign w:val="bottom"/>
            <w:hideMark/>
          </w:tcPr>
          <w:p w14:paraId="39EC3A57"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2,363***</w:t>
            </w:r>
          </w:p>
        </w:tc>
      </w:tr>
      <w:tr w:rsidR="004C3705" w:rsidRPr="00936617" w14:paraId="5F5E59A7" w14:textId="77777777" w:rsidTr="004C3705">
        <w:trPr>
          <w:trHeight w:val="300"/>
        </w:trPr>
        <w:tc>
          <w:tcPr>
            <w:tcW w:w="3255" w:type="dxa"/>
            <w:tcBorders>
              <w:top w:val="nil"/>
              <w:left w:val="nil"/>
              <w:bottom w:val="nil"/>
              <w:right w:val="nil"/>
            </w:tcBorders>
            <w:shd w:val="clear" w:color="auto" w:fill="auto"/>
            <w:noWrap/>
            <w:vAlign w:val="bottom"/>
            <w:hideMark/>
          </w:tcPr>
          <w:p w14:paraId="6FBCE807"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3D1E4263"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(73)</w:t>
            </w:r>
          </w:p>
        </w:tc>
        <w:tc>
          <w:tcPr>
            <w:tcW w:w="1984" w:type="dxa"/>
            <w:tcBorders>
              <w:top w:val="nil"/>
              <w:left w:val="nil"/>
              <w:bottom w:val="nil"/>
              <w:right w:val="nil"/>
            </w:tcBorders>
            <w:shd w:val="clear" w:color="auto" w:fill="auto"/>
            <w:noWrap/>
            <w:vAlign w:val="bottom"/>
            <w:hideMark/>
          </w:tcPr>
          <w:p w14:paraId="4CE5B4BE"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(110)</w:t>
            </w:r>
          </w:p>
        </w:tc>
        <w:tc>
          <w:tcPr>
            <w:tcW w:w="1800" w:type="dxa"/>
            <w:tcBorders>
              <w:top w:val="nil"/>
              <w:left w:val="nil"/>
              <w:bottom w:val="nil"/>
              <w:right w:val="nil"/>
            </w:tcBorders>
            <w:shd w:val="clear" w:color="auto" w:fill="auto"/>
            <w:noWrap/>
            <w:vAlign w:val="bottom"/>
            <w:hideMark/>
          </w:tcPr>
          <w:p w14:paraId="2353C2A1"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(81)</w:t>
            </w:r>
          </w:p>
        </w:tc>
      </w:tr>
      <w:tr w:rsidR="004C3705" w:rsidRPr="00936617" w14:paraId="3C1E4C14" w14:textId="77777777" w:rsidTr="004C3705">
        <w:trPr>
          <w:trHeight w:val="300"/>
        </w:trPr>
        <w:tc>
          <w:tcPr>
            <w:tcW w:w="3255" w:type="dxa"/>
            <w:tcBorders>
              <w:top w:val="nil"/>
              <w:left w:val="nil"/>
              <w:bottom w:val="nil"/>
              <w:right w:val="nil"/>
            </w:tcBorders>
            <w:shd w:val="clear" w:color="auto" w:fill="auto"/>
            <w:noWrap/>
            <w:vAlign w:val="bottom"/>
            <w:hideMark/>
          </w:tcPr>
          <w:p w14:paraId="41A23A3A"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xml:space="preserve">Belfield, Liu and Trimble, 2014 (NC) - </w:t>
            </w:r>
            <w:r w:rsidRPr="00936617">
              <w:rPr>
                <w:rFonts w:ascii="Calibri" w:hAnsi="Calibri"/>
                <w:b/>
                <w:bCs/>
                <w:color w:val="000000"/>
                <w:szCs w:val="22"/>
              </w:rPr>
              <w:t>Males</w:t>
            </w:r>
          </w:p>
        </w:tc>
        <w:tc>
          <w:tcPr>
            <w:tcW w:w="1480" w:type="dxa"/>
            <w:tcBorders>
              <w:top w:val="nil"/>
              <w:left w:val="nil"/>
              <w:bottom w:val="nil"/>
              <w:right w:val="nil"/>
            </w:tcBorders>
            <w:shd w:val="clear" w:color="auto" w:fill="auto"/>
            <w:noWrap/>
            <w:vAlign w:val="bottom"/>
            <w:hideMark/>
          </w:tcPr>
          <w:p w14:paraId="07A0A5C1"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$476***</w:t>
            </w:r>
          </w:p>
        </w:tc>
        <w:tc>
          <w:tcPr>
            <w:tcW w:w="1984" w:type="dxa"/>
            <w:tcBorders>
              <w:top w:val="nil"/>
              <w:left w:val="nil"/>
              <w:bottom w:val="nil"/>
              <w:right w:val="nil"/>
            </w:tcBorders>
            <w:shd w:val="clear" w:color="auto" w:fill="auto"/>
            <w:noWrap/>
            <w:vAlign w:val="bottom"/>
            <w:hideMark/>
          </w:tcPr>
          <w:p w14:paraId="3903990F"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$564***</w:t>
            </w:r>
          </w:p>
        </w:tc>
        <w:tc>
          <w:tcPr>
            <w:tcW w:w="1800" w:type="dxa"/>
            <w:tcBorders>
              <w:top w:val="nil"/>
              <w:left w:val="nil"/>
              <w:bottom w:val="nil"/>
              <w:right w:val="nil"/>
            </w:tcBorders>
            <w:shd w:val="clear" w:color="auto" w:fill="auto"/>
            <w:noWrap/>
            <w:vAlign w:val="bottom"/>
            <w:hideMark/>
          </w:tcPr>
          <w:p w14:paraId="5A1393EA"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$1,133***</w:t>
            </w:r>
          </w:p>
        </w:tc>
      </w:tr>
      <w:tr w:rsidR="004C3705" w:rsidRPr="00936617" w14:paraId="3D44F71B" w14:textId="77777777" w:rsidTr="004C3705">
        <w:trPr>
          <w:trHeight w:val="300"/>
        </w:trPr>
        <w:tc>
          <w:tcPr>
            <w:tcW w:w="3255" w:type="dxa"/>
            <w:tcBorders>
              <w:top w:val="nil"/>
              <w:left w:val="nil"/>
              <w:bottom w:val="nil"/>
              <w:right w:val="nil"/>
            </w:tcBorders>
            <w:shd w:val="clear" w:color="auto" w:fill="auto"/>
            <w:noWrap/>
            <w:vAlign w:val="bottom"/>
            <w:hideMark/>
          </w:tcPr>
          <w:p w14:paraId="71596D76" w14:textId="77777777" w:rsidR="004C3705" w:rsidRPr="00936617" w:rsidRDefault="004C3705" w:rsidP="00852F56">
            <w:pPr>
              <w:spacing w:after="0" w:line="240" w:lineRule="auto"/>
              <w:rPr>
                <w:rFonts w:ascii="Calibri" w:hAnsi="Calibri"/>
                <w:color w:val="000000"/>
                <w:szCs w:val="22"/>
              </w:rPr>
            </w:pPr>
          </w:p>
        </w:tc>
        <w:tc>
          <w:tcPr>
            <w:tcW w:w="1480" w:type="dxa"/>
            <w:tcBorders>
              <w:top w:val="nil"/>
              <w:left w:val="nil"/>
              <w:bottom w:val="nil"/>
              <w:right w:val="nil"/>
            </w:tcBorders>
            <w:shd w:val="clear" w:color="auto" w:fill="auto"/>
            <w:noWrap/>
            <w:vAlign w:val="bottom"/>
            <w:hideMark/>
          </w:tcPr>
          <w:p w14:paraId="0EC92BAD"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(54.54)</w:t>
            </w:r>
          </w:p>
        </w:tc>
        <w:tc>
          <w:tcPr>
            <w:tcW w:w="1984" w:type="dxa"/>
            <w:tcBorders>
              <w:top w:val="nil"/>
              <w:left w:val="nil"/>
              <w:bottom w:val="nil"/>
              <w:right w:val="nil"/>
            </w:tcBorders>
            <w:shd w:val="clear" w:color="auto" w:fill="auto"/>
            <w:noWrap/>
            <w:vAlign w:val="bottom"/>
            <w:hideMark/>
          </w:tcPr>
          <w:p w14:paraId="569D3D39"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(85.91)</w:t>
            </w:r>
          </w:p>
        </w:tc>
        <w:tc>
          <w:tcPr>
            <w:tcW w:w="1800" w:type="dxa"/>
            <w:tcBorders>
              <w:top w:val="nil"/>
              <w:left w:val="nil"/>
              <w:bottom w:val="nil"/>
              <w:right w:val="nil"/>
            </w:tcBorders>
            <w:shd w:val="clear" w:color="auto" w:fill="auto"/>
            <w:noWrap/>
            <w:vAlign w:val="bottom"/>
            <w:hideMark/>
          </w:tcPr>
          <w:p w14:paraId="6942A871"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(43.44)</w:t>
            </w:r>
          </w:p>
        </w:tc>
      </w:tr>
      <w:tr w:rsidR="004C3705" w:rsidRPr="00936617" w14:paraId="3A2A125E" w14:textId="77777777" w:rsidTr="004C3705">
        <w:trPr>
          <w:trHeight w:val="300"/>
        </w:trPr>
        <w:tc>
          <w:tcPr>
            <w:tcW w:w="3255" w:type="dxa"/>
            <w:tcBorders>
              <w:top w:val="nil"/>
              <w:left w:val="nil"/>
              <w:bottom w:val="nil"/>
              <w:right w:val="nil"/>
            </w:tcBorders>
            <w:shd w:val="clear" w:color="auto" w:fill="auto"/>
            <w:noWrap/>
            <w:vAlign w:val="bottom"/>
            <w:hideMark/>
          </w:tcPr>
          <w:p w14:paraId="19C88A8C"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xml:space="preserve">Belfield, Liu and Trimble, 2014 (NC) - </w:t>
            </w:r>
            <w:r w:rsidRPr="00936617">
              <w:rPr>
                <w:rFonts w:ascii="Calibri" w:hAnsi="Calibri"/>
                <w:b/>
                <w:bCs/>
                <w:color w:val="000000"/>
                <w:szCs w:val="22"/>
              </w:rPr>
              <w:t>Females</w:t>
            </w:r>
          </w:p>
        </w:tc>
        <w:tc>
          <w:tcPr>
            <w:tcW w:w="1480" w:type="dxa"/>
            <w:tcBorders>
              <w:top w:val="nil"/>
              <w:left w:val="nil"/>
              <w:bottom w:val="nil"/>
              <w:right w:val="nil"/>
            </w:tcBorders>
            <w:shd w:val="clear" w:color="auto" w:fill="auto"/>
            <w:noWrap/>
            <w:vAlign w:val="bottom"/>
            <w:hideMark/>
          </w:tcPr>
          <w:p w14:paraId="3D77D821"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$157***</w:t>
            </w:r>
          </w:p>
        </w:tc>
        <w:tc>
          <w:tcPr>
            <w:tcW w:w="1984" w:type="dxa"/>
            <w:tcBorders>
              <w:top w:val="nil"/>
              <w:left w:val="nil"/>
              <w:bottom w:val="nil"/>
              <w:right w:val="nil"/>
            </w:tcBorders>
            <w:shd w:val="clear" w:color="auto" w:fill="auto"/>
            <w:noWrap/>
            <w:vAlign w:val="bottom"/>
            <w:hideMark/>
          </w:tcPr>
          <w:p w14:paraId="39AB3777"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$1,565***</w:t>
            </w:r>
          </w:p>
        </w:tc>
        <w:tc>
          <w:tcPr>
            <w:tcW w:w="1800" w:type="dxa"/>
            <w:tcBorders>
              <w:top w:val="nil"/>
              <w:left w:val="nil"/>
              <w:bottom w:val="nil"/>
              <w:right w:val="nil"/>
            </w:tcBorders>
            <w:shd w:val="clear" w:color="auto" w:fill="auto"/>
            <w:noWrap/>
            <w:vAlign w:val="bottom"/>
            <w:hideMark/>
          </w:tcPr>
          <w:p w14:paraId="787BA306"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$1,907***</w:t>
            </w:r>
          </w:p>
        </w:tc>
      </w:tr>
      <w:tr w:rsidR="004C3705" w:rsidRPr="00936617" w14:paraId="6BD0B57B" w14:textId="77777777" w:rsidTr="004C3705">
        <w:trPr>
          <w:trHeight w:val="300"/>
        </w:trPr>
        <w:tc>
          <w:tcPr>
            <w:tcW w:w="3255" w:type="dxa"/>
            <w:tcBorders>
              <w:top w:val="nil"/>
              <w:left w:val="nil"/>
              <w:bottom w:val="single" w:sz="4" w:space="0" w:color="auto"/>
              <w:right w:val="nil"/>
            </w:tcBorders>
            <w:shd w:val="clear" w:color="auto" w:fill="auto"/>
            <w:noWrap/>
            <w:vAlign w:val="bottom"/>
            <w:hideMark/>
          </w:tcPr>
          <w:p w14:paraId="7B0F7D48" w14:textId="77777777" w:rsidR="004C3705" w:rsidRPr="00936617" w:rsidRDefault="004C3705" w:rsidP="00852F56">
            <w:pPr>
              <w:spacing w:after="0" w:line="240" w:lineRule="auto"/>
              <w:rPr>
                <w:rFonts w:ascii="Calibri" w:hAnsi="Calibri"/>
                <w:color w:val="000000"/>
                <w:szCs w:val="22"/>
              </w:rPr>
            </w:pPr>
            <w:r w:rsidRPr="00936617">
              <w:rPr>
                <w:rFonts w:ascii="Calibri" w:hAnsi="Calibri"/>
                <w:color w:val="000000"/>
                <w:szCs w:val="22"/>
              </w:rPr>
              <w:t> </w:t>
            </w:r>
          </w:p>
        </w:tc>
        <w:tc>
          <w:tcPr>
            <w:tcW w:w="1480" w:type="dxa"/>
            <w:tcBorders>
              <w:top w:val="nil"/>
              <w:left w:val="nil"/>
              <w:bottom w:val="single" w:sz="4" w:space="0" w:color="auto"/>
              <w:right w:val="nil"/>
            </w:tcBorders>
            <w:shd w:val="clear" w:color="auto" w:fill="auto"/>
            <w:noWrap/>
            <w:vAlign w:val="bottom"/>
            <w:hideMark/>
          </w:tcPr>
          <w:p w14:paraId="1C462AE5"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(36.47)</w:t>
            </w:r>
          </w:p>
        </w:tc>
        <w:tc>
          <w:tcPr>
            <w:tcW w:w="1984" w:type="dxa"/>
            <w:tcBorders>
              <w:top w:val="nil"/>
              <w:left w:val="nil"/>
              <w:bottom w:val="single" w:sz="4" w:space="0" w:color="auto"/>
              <w:right w:val="nil"/>
            </w:tcBorders>
            <w:shd w:val="clear" w:color="auto" w:fill="auto"/>
            <w:noWrap/>
            <w:vAlign w:val="bottom"/>
            <w:hideMark/>
          </w:tcPr>
          <w:p w14:paraId="4AE850B5"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(50.05)</w:t>
            </w:r>
          </w:p>
        </w:tc>
        <w:tc>
          <w:tcPr>
            <w:tcW w:w="1800" w:type="dxa"/>
            <w:tcBorders>
              <w:top w:val="nil"/>
              <w:left w:val="nil"/>
              <w:bottom w:val="single" w:sz="4" w:space="0" w:color="auto"/>
              <w:right w:val="nil"/>
            </w:tcBorders>
            <w:shd w:val="clear" w:color="auto" w:fill="auto"/>
            <w:noWrap/>
            <w:vAlign w:val="bottom"/>
            <w:hideMark/>
          </w:tcPr>
          <w:p w14:paraId="4D6D0E76" w14:textId="77777777" w:rsidR="004C3705" w:rsidRPr="00936617" w:rsidRDefault="004C3705" w:rsidP="00852F56">
            <w:pPr>
              <w:spacing w:after="0" w:line="240" w:lineRule="auto"/>
              <w:jc w:val="center"/>
              <w:rPr>
                <w:rFonts w:ascii="Calibri" w:hAnsi="Calibri"/>
                <w:color w:val="000000"/>
                <w:szCs w:val="22"/>
              </w:rPr>
            </w:pPr>
            <w:r w:rsidRPr="00936617">
              <w:rPr>
                <w:rFonts w:ascii="Calibri" w:hAnsi="Calibri"/>
                <w:color w:val="000000"/>
                <w:szCs w:val="22"/>
              </w:rPr>
              <w:t>(30.28)</w:t>
            </w:r>
          </w:p>
        </w:tc>
      </w:tr>
      <w:tr w:rsidR="004C3705" w:rsidRPr="00936617" w14:paraId="677588BF" w14:textId="77777777" w:rsidTr="004C3705">
        <w:trPr>
          <w:trHeight w:val="2595"/>
        </w:trPr>
        <w:tc>
          <w:tcPr>
            <w:tcW w:w="8519" w:type="dxa"/>
            <w:gridSpan w:val="4"/>
            <w:tcBorders>
              <w:top w:val="single" w:sz="4" w:space="0" w:color="auto"/>
              <w:left w:val="nil"/>
              <w:bottom w:val="nil"/>
              <w:right w:val="nil"/>
            </w:tcBorders>
            <w:shd w:val="clear" w:color="auto" w:fill="auto"/>
            <w:vAlign w:val="bottom"/>
            <w:hideMark/>
          </w:tcPr>
          <w:p w14:paraId="40CF301C" w14:textId="77777777" w:rsidR="004C3705" w:rsidRPr="00936617" w:rsidRDefault="004C3705" w:rsidP="00852F56">
            <w:pPr>
              <w:spacing w:after="0" w:line="240" w:lineRule="auto"/>
              <w:rPr>
                <w:rFonts w:ascii="Calibri" w:hAnsi="Calibri"/>
                <w:color w:val="000000"/>
                <w:sz w:val="18"/>
                <w:szCs w:val="18"/>
              </w:rPr>
            </w:pPr>
            <w:r w:rsidRPr="00936617">
              <w:rPr>
                <w:rFonts w:ascii="Calibri" w:hAnsi="Calibri"/>
                <w:color w:val="000000"/>
                <w:sz w:val="18"/>
                <w:szCs w:val="18"/>
              </w:rPr>
              <w:t xml:space="preserve">Notes: Standard errors in parentheses. Earnings returns are quarterly for all studies reported except </w:t>
            </w:r>
            <w:proofErr w:type="spellStart"/>
            <w:r w:rsidRPr="00936617">
              <w:rPr>
                <w:rFonts w:ascii="Calibri" w:hAnsi="Calibri"/>
                <w:color w:val="000000"/>
                <w:sz w:val="18"/>
                <w:szCs w:val="18"/>
              </w:rPr>
              <w:t>Dagdar</w:t>
            </w:r>
            <w:proofErr w:type="spellEnd"/>
            <w:r w:rsidRPr="00936617">
              <w:rPr>
                <w:rFonts w:ascii="Calibri" w:hAnsi="Calibri"/>
                <w:color w:val="000000"/>
                <w:sz w:val="18"/>
                <w:szCs w:val="18"/>
              </w:rPr>
              <w:t xml:space="preserve"> and Trimble (2015) which reports annual returns to earnings. </w:t>
            </w:r>
            <w:r w:rsidRPr="00936617">
              <w:rPr>
                <w:rFonts w:ascii="Calibri" w:hAnsi="Calibri"/>
                <w:color w:val="000000"/>
                <w:sz w:val="18"/>
                <w:szCs w:val="18"/>
              </w:rPr>
              <w:br/>
              <w:t xml:space="preserve">Bahr et al. (2015) describe a short-term certificate as a program requiring fewer than 15 credit hours and a long-term certificate as a program requiring 15 or more credit hours to complete. </w:t>
            </w:r>
            <w:proofErr w:type="spellStart"/>
            <w:r w:rsidRPr="00936617">
              <w:rPr>
                <w:rFonts w:ascii="Calibri" w:hAnsi="Calibri"/>
                <w:color w:val="000000"/>
                <w:sz w:val="18"/>
                <w:szCs w:val="18"/>
              </w:rPr>
              <w:t>Dagdar</w:t>
            </w:r>
            <w:proofErr w:type="spellEnd"/>
            <w:r w:rsidRPr="00936617">
              <w:rPr>
                <w:rFonts w:ascii="Calibri" w:hAnsi="Calibri"/>
                <w:color w:val="000000"/>
                <w:sz w:val="18"/>
                <w:szCs w:val="18"/>
              </w:rPr>
              <w:t xml:space="preserve"> and Trimble (2015) describe a short-term certificate as a program requiring less than one year of full-time study and a long-term certificate as a program requiring more than one year of full-time study to complete. </w:t>
            </w:r>
            <w:proofErr w:type="spellStart"/>
            <w:r w:rsidRPr="00936617">
              <w:rPr>
                <w:rFonts w:ascii="Calibri" w:hAnsi="Calibri"/>
                <w:color w:val="000000"/>
                <w:sz w:val="18"/>
                <w:szCs w:val="18"/>
              </w:rPr>
              <w:t>Jespen</w:t>
            </w:r>
            <w:proofErr w:type="spellEnd"/>
            <w:r w:rsidRPr="00936617">
              <w:rPr>
                <w:rFonts w:ascii="Calibri" w:hAnsi="Calibri"/>
                <w:color w:val="000000"/>
                <w:sz w:val="18"/>
                <w:szCs w:val="18"/>
              </w:rPr>
              <w:t xml:space="preserve">, </w:t>
            </w:r>
            <w:proofErr w:type="spellStart"/>
            <w:r w:rsidRPr="00936617">
              <w:rPr>
                <w:rFonts w:ascii="Calibri" w:hAnsi="Calibri"/>
                <w:color w:val="000000"/>
                <w:sz w:val="18"/>
                <w:szCs w:val="18"/>
              </w:rPr>
              <w:t>Troske</w:t>
            </w:r>
            <w:proofErr w:type="spellEnd"/>
            <w:r w:rsidRPr="00936617">
              <w:rPr>
                <w:rFonts w:ascii="Calibri" w:hAnsi="Calibri"/>
                <w:color w:val="000000"/>
                <w:sz w:val="18"/>
                <w:szCs w:val="18"/>
              </w:rPr>
              <w:t xml:space="preserve"> and </w:t>
            </w:r>
            <w:proofErr w:type="spellStart"/>
            <w:r w:rsidRPr="00936617">
              <w:rPr>
                <w:rFonts w:ascii="Calibri" w:hAnsi="Calibri"/>
                <w:color w:val="000000"/>
                <w:sz w:val="18"/>
                <w:szCs w:val="18"/>
              </w:rPr>
              <w:t>Coomes</w:t>
            </w:r>
            <w:proofErr w:type="spellEnd"/>
            <w:r w:rsidRPr="00936617">
              <w:rPr>
                <w:rFonts w:ascii="Calibri" w:hAnsi="Calibri"/>
                <w:color w:val="000000"/>
                <w:sz w:val="18"/>
                <w:szCs w:val="18"/>
              </w:rPr>
              <w:t xml:space="preserve"> (2014) describe a certificate as a program lasting one or two semesters of study and a diploma as a program lasting more than one year of study to complete. Belfield, Liu and Trimble (2014) describe a certificate as a program requiring 12-18 credit hours that can be completed in </w:t>
            </w:r>
            <w:proofErr w:type="gramStart"/>
            <w:r w:rsidRPr="00936617">
              <w:rPr>
                <w:rFonts w:ascii="Calibri" w:hAnsi="Calibri"/>
                <w:color w:val="000000"/>
                <w:sz w:val="18"/>
                <w:szCs w:val="18"/>
              </w:rPr>
              <w:t>under</w:t>
            </w:r>
            <w:proofErr w:type="gramEnd"/>
            <w:r w:rsidRPr="00936617">
              <w:rPr>
                <w:rFonts w:ascii="Calibri" w:hAnsi="Calibri"/>
                <w:color w:val="000000"/>
                <w:sz w:val="18"/>
                <w:szCs w:val="18"/>
              </w:rPr>
              <w:t xml:space="preserve"> one year and a diploma as a program requiring 36-48 credit hours to complete. An associate degree is typically a two year program requiring a set number of credit hours to complete. </w:t>
            </w:r>
          </w:p>
        </w:tc>
      </w:tr>
      <w:tr w:rsidR="004C3705" w:rsidRPr="00936617" w14:paraId="0D2465E1" w14:textId="77777777" w:rsidTr="004C3705">
        <w:trPr>
          <w:trHeight w:val="300"/>
        </w:trPr>
        <w:tc>
          <w:tcPr>
            <w:tcW w:w="3255" w:type="dxa"/>
            <w:tcBorders>
              <w:top w:val="nil"/>
              <w:left w:val="nil"/>
              <w:bottom w:val="nil"/>
              <w:right w:val="nil"/>
            </w:tcBorders>
            <w:shd w:val="clear" w:color="auto" w:fill="auto"/>
            <w:noWrap/>
            <w:vAlign w:val="bottom"/>
            <w:hideMark/>
          </w:tcPr>
          <w:p w14:paraId="230BFAC7" w14:textId="77777777" w:rsidR="004C3705" w:rsidRPr="00936617" w:rsidRDefault="004C3705" w:rsidP="00852F56">
            <w:pPr>
              <w:spacing w:after="0" w:line="240" w:lineRule="auto"/>
              <w:rPr>
                <w:rFonts w:ascii="Calibri" w:hAnsi="Calibri"/>
                <w:color w:val="000000"/>
                <w:sz w:val="18"/>
                <w:szCs w:val="18"/>
              </w:rPr>
            </w:pPr>
            <w:r w:rsidRPr="00936617">
              <w:rPr>
                <w:rFonts w:ascii="Calibri" w:hAnsi="Calibri"/>
                <w:color w:val="000000"/>
                <w:sz w:val="18"/>
                <w:szCs w:val="18"/>
              </w:rPr>
              <w:t>*p&lt;.10; **p&lt;.05; ***p&lt;.01</w:t>
            </w:r>
          </w:p>
        </w:tc>
        <w:tc>
          <w:tcPr>
            <w:tcW w:w="1480" w:type="dxa"/>
            <w:tcBorders>
              <w:top w:val="nil"/>
              <w:left w:val="nil"/>
              <w:bottom w:val="nil"/>
              <w:right w:val="nil"/>
            </w:tcBorders>
            <w:shd w:val="clear" w:color="auto" w:fill="auto"/>
            <w:noWrap/>
            <w:vAlign w:val="bottom"/>
            <w:hideMark/>
          </w:tcPr>
          <w:p w14:paraId="1DA073A5" w14:textId="77777777" w:rsidR="004C3705" w:rsidRPr="00936617" w:rsidRDefault="004C3705" w:rsidP="00852F56">
            <w:pPr>
              <w:spacing w:after="0" w:line="240" w:lineRule="auto"/>
              <w:rPr>
                <w:rFonts w:ascii="Calibri" w:hAnsi="Calibri"/>
                <w:color w:val="000000"/>
                <w:szCs w:val="22"/>
              </w:rPr>
            </w:pPr>
          </w:p>
        </w:tc>
        <w:tc>
          <w:tcPr>
            <w:tcW w:w="1984" w:type="dxa"/>
            <w:tcBorders>
              <w:top w:val="nil"/>
              <w:left w:val="nil"/>
              <w:bottom w:val="nil"/>
              <w:right w:val="nil"/>
            </w:tcBorders>
            <w:shd w:val="clear" w:color="auto" w:fill="auto"/>
            <w:noWrap/>
            <w:vAlign w:val="bottom"/>
            <w:hideMark/>
          </w:tcPr>
          <w:p w14:paraId="2F814221" w14:textId="77777777" w:rsidR="004C3705" w:rsidRPr="00936617" w:rsidRDefault="004C3705" w:rsidP="00852F56">
            <w:pPr>
              <w:spacing w:after="0" w:line="240" w:lineRule="auto"/>
              <w:rPr>
                <w:rFonts w:ascii="Calibri" w:hAnsi="Calibri"/>
                <w:color w:val="000000"/>
                <w:szCs w:val="22"/>
              </w:rPr>
            </w:pPr>
          </w:p>
        </w:tc>
        <w:tc>
          <w:tcPr>
            <w:tcW w:w="1800" w:type="dxa"/>
            <w:tcBorders>
              <w:top w:val="nil"/>
              <w:left w:val="nil"/>
              <w:bottom w:val="nil"/>
              <w:right w:val="nil"/>
            </w:tcBorders>
            <w:shd w:val="clear" w:color="auto" w:fill="auto"/>
            <w:noWrap/>
            <w:vAlign w:val="bottom"/>
            <w:hideMark/>
          </w:tcPr>
          <w:p w14:paraId="0CD2C6E1" w14:textId="77777777" w:rsidR="004C3705" w:rsidRPr="00936617" w:rsidRDefault="004C3705" w:rsidP="00852F56">
            <w:pPr>
              <w:spacing w:after="0" w:line="240" w:lineRule="auto"/>
              <w:rPr>
                <w:rFonts w:ascii="Calibri" w:hAnsi="Calibri"/>
                <w:color w:val="000000"/>
                <w:szCs w:val="22"/>
              </w:rPr>
            </w:pPr>
          </w:p>
        </w:tc>
      </w:tr>
    </w:tbl>
    <w:p w14:paraId="48652ECC" w14:textId="77777777" w:rsidR="004C3705" w:rsidRPr="00157D29" w:rsidRDefault="004C3705" w:rsidP="004C3705">
      <w:pPr>
        <w:pStyle w:val="Default"/>
        <w:rPr>
          <w:b/>
        </w:rPr>
      </w:pPr>
    </w:p>
    <w:p w14:paraId="2EFF5023" w14:textId="77777777" w:rsidR="006F299B" w:rsidRPr="004F1FB4" w:rsidRDefault="006F299B" w:rsidP="0007557E">
      <w:pPr>
        <w:pStyle w:val="Heading4"/>
        <w:keepNext w:val="0"/>
      </w:pPr>
      <w:r>
        <w:t xml:space="preserve">B.2.4 </w:t>
      </w:r>
      <w:r w:rsidRPr="004F1FB4">
        <w:t>Who Will Collect the Information and How It Will Be Done</w:t>
      </w:r>
    </w:p>
    <w:p w14:paraId="13B217C6" w14:textId="77777777" w:rsidR="00EA59B2" w:rsidRPr="00EA59B2" w:rsidRDefault="00EA59B2" w:rsidP="0007557E">
      <w:pPr>
        <w:rPr>
          <w:rFonts w:cstheme="minorHAnsi"/>
          <w:i/>
        </w:rPr>
      </w:pPr>
      <w:r>
        <w:rPr>
          <w:rFonts w:cstheme="minorHAnsi"/>
          <w:i/>
        </w:rPr>
        <w:t xml:space="preserve">Follow-Up Survey </w:t>
      </w:r>
    </w:p>
    <w:p w14:paraId="3246BE3A" w14:textId="77777777" w:rsidR="00211097" w:rsidRDefault="00211097" w:rsidP="00211097">
      <w:pPr>
        <w:rPr>
          <w:rFonts w:cstheme="minorHAnsi"/>
        </w:rPr>
      </w:pPr>
      <w:r>
        <w:t>The evaluation team will</w:t>
      </w:r>
      <w:r w:rsidR="00F06A1F">
        <w:t xml:space="preserve"> use three modes to</w:t>
      </w:r>
      <w:r>
        <w:t xml:space="preserve"> administer the 12-month follow-up survey: self-administered web, telephone, and in person</w:t>
      </w:r>
      <w:r w:rsidR="00A72AB7">
        <w:t xml:space="preserve">. </w:t>
      </w:r>
      <w:r w:rsidR="00F06A1F">
        <w:t>First p</w:t>
      </w:r>
      <w:r>
        <w:t>articipants will be invited to complete a web</w:t>
      </w:r>
      <w:r w:rsidR="00F06A1F">
        <w:t>-based</w:t>
      </w:r>
      <w:r>
        <w:t xml:space="preserve"> </w:t>
      </w:r>
      <w:r>
        <w:lastRenderedPageBreak/>
        <w:t xml:space="preserve">survey. </w:t>
      </w:r>
      <w:r w:rsidR="00F06A1F">
        <w:t>T</w:t>
      </w:r>
      <w:r>
        <w:t>hose who have not completed the survey after 6 weeks</w:t>
      </w:r>
      <w:r w:rsidR="00F06A1F">
        <w:t xml:space="preserve"> </w:t>
      </w:r>
      <w:r>
        <w:t xml:space="preserve">will be contacted by </w:t>
      </w:r>
      <w:r w:rsidR="00F06A1F">
        <w:t xml:space="preserve">the </w:t>
      </w:r>
      <w:r>
        <w:t>phone</w:t>
      </w:r>
      <w:r w:rsidR="00F06A1F">
        <w:t xml:space="preserve"> center</w:t>
      </w:r>
      <w:r>
        <w:t xml:space="preserve">. The phone interviews are conducted by professional interviewers working in a centralized computer-assisted telephone interview (CATI) system that allows real-time error checking and observation by supervisors. If a person cannot be contacted by phone after 4 weeks, </w:t>
      </w:r>
      <w:r w:rsidR="00F06A1F">
        <w:t xml:space="preserve">the evaluator </w:t>
      </w:r>
      <w:r>
        <w:t>will attempt to conduct the survey in-person. In-person interviewing efforts are expected to last 8 to 10 weeks.</w:t>
      </w:r>
    </w:p>
    <w:p w14:paraId="5EFC92DB" w14:textId="77777777" w:rsidR="00EA59B2" w:rsidRDefault="00EA59B2" w:rsidP="0007557E">
      <w:pPr>
        <w:rPr>
          <w:rFonts w:cstheme="minorHAnsi"/>
          <w:i/>
        </w:rPr>
      </w:pPr>
      <w:r>
        <w:rPr>
          <w:rFonts w:cstheme="minorHAnsi"/>
          <w:i/>
        </w:rPr>
        <w:t xml:space="preserve">Participant Tracking Form </w:t>
      </w:r>
    </w:p>
    <w:p w14:paraId="1A9AC8F5" w14:textId="77777777" w:rsidR="00EA59B2" w:rsidRPr="00F00C57" w:rsidRDefault="00A570FF" w:rsidP="0007557E">
      <w:pPr>
        <w:rPr>
          <w:rFonts w:cstheme="minorHAnsi"/>
        </w:rPr>
      </w:pPr>
      <w:r>
        <w:rPr>
          <w:rFonts w:cstheme="minorHAnsi"/>
        </w:rPr>
        <w:t xml:space="preserve">The evaluation team </w:t>
      </w:r>
      <w:r w:rsidR="007A30AB">
        <w:rPr>
          <w:rFonts w:cstheme="minorHAnsi"/>
        </w:rPr>
        <w:t xml:space="preserve">will </w:t>
      </w:r>
      <w:r w:rsidR="00DB7BE8">
        <w:rPr>
          <w:rFonts w:cstheme="minorHAnsi"/>
        </w:rPr>
        <w:t>send a</w:t>
      </w:r>
      <w:r w:rsidR="00C77DF7">
        <w:rPr>
          <w:rFonts w:cstheme="minorHAnsi"/>
        </w:rPr>
        <w:t xml:space="preserve"> </w:t>
      </w:r>
      <w:r w:rsidR="00DB7BE8">
        <w:rPr>
          <w:rFonts w:cstheme="minorHAnsi"/>
        </w:rPr>
        <w:t xml:space="preserve">welcome packet </w:t>
      </w:r>
      <w:r w:rsidR="00C77DF7">
        <w:rPr>
          <w:rFonts w:cstheme="minorHAnsi"/>
        </w:rPr>
        <w:t>that describes the study to each participant</w:t>
      </w:r>
      <w:r w:rsidR="00F41DD4">
        <w:rPr>
          <w:rFonts w:cstheme="minorHAnsi"/>
        </w:rPr>
        <w:t xml:space="preserve"> approximately one</w:t>
      </w:r>
      <w:r w:rsidR="00DB7BE8">
        <w:rPr>
          <w:rFonts w:cstheme="minorHAnsi"/>
        </w:rPr>
        <w:t xml:space="preserve"> month post</w:t>
      </w:r>
      <w:r w:rsidR="00C77DF7">
        <w:rPr>
          <w:rFonts w:cstheme="minorHAnsi"/>
        </w:rPr>
        <w:t xml:space="preserve"> </w:t>
      </w:r>
      <w:r w:rsidR="00DB7BE8">
        <w:rPr>
          <w:rFonts w:cstheme="minorHAnsi"/>
        </w:rPr>
        <w:t xml:space="preserve">enrollment. The evaluation team will then </w:t>
      </w:r>
      <w:r w:rsidR="00C77DF7">
        <w:rPr>
          <w:rFonts w:cstheme="minorHAnsi"/>
        </w:rPr>
        <w:t xml:space="preserve">contact study participant for updated information through a letter or email at </w:t>
      </w:r>
      <w:r>
        <w:rPr>
          <w:rFonts w:cstheme="minorHAnsi"/>
        </w:rPr>
        <w:t>three points in time: 3 months, 6 months</w:t>
      </w:r>
      <w:r w:rsidR="00C77DF7">
        <w:rPr>
          <w:rFonts w:cstheme="minorHAnsi"/>
        </w:rPr>
        <w:t>,</w:t>
      </w:r>
      <w:r>
        <w:rPr>
          <w:rFonts w:cstheme="minorHAnsi"/>
        </w:rPr>
        <w:t xml:space="preserve"> and 9 months post enrollment</w:t>
      </w:r>
      <w:r w:rsidR="00A72AB7">
        <w:rPr>
          <w:rFonts w:cstheme="minorHAnsi"/>
        </w:rPr>
        <w:t xml:space="preserve">. </w:t>
      </w:r>
    </w:p>
    <w:p w14:paraId="3F1C19F9" w14:textId="77777777" w:rsidR="00EA59B2" w:rsidRDefault="00EA59B2" w:rsidP="00211CA1">
      <w:pPr>
        <w:keepNext/>
        <w:rPr>
          <w:rFonts w:cstheme="minorHAnsi"/>
        </w:rPr>
      </w:pPr>
      <w:r>
        <w:rPr>
          <w:rFonts w:cstheme="minorHAnsi"/>
          <w:i/>
        </w:rPr>
        <w:t>College Survey</w:t>
      </w:r>
    </w:p>
    <w:p w14:paraId="341D3D6D" w14:textId="77777777" w:rsidR="00756879" w:rsidRPr="00DF6899" w:rsidRDefault="00431980" w:rsidP="00756879">
      <w:pPr>
        <w:rPr>
          <w:szCs w:val="22"/>
        </w:rPr>
      </w:pPr>
      <w:r>
        <w:rPr>
          <w:szCs w:val="22"/>
        </w:rPr>
        <w:t>The evaluation team will</w:t>
      </w:r>
      <w:r w:rsidR="00DF6899" w:rsidRPr="00DF6899">
        <w:rPr>
          <w:szCs w:val="22"/>
        </w:rPr>
        <w:t xml:space="preserve"> administer the </w:t>
      </w:r>
      <w:r>
        <w:rPr>
          <w:szCs w:val="22"/>
        </w:rPr>
        <w:t xml:space="preserve">web-based </w:t>
      </w:r>
      <w:r w:rsidR="00DF6899" w:rsidRPr="00DF6899">
        <w:rPr>
          <w:szCs w:val="22"/>
        </w:rPr>
        <w:t xml:space="preserve">college survey. </w:t>
      </w:r>
    </w:p>
    <w:p w14:paraId="60CA3B83" w14:textId="77777777" w:rsidR="00EA59B2" w:rsidRPr="00EA59B2" w:rsidRDefault="00EA59B2" w:rsidP="005178C3">
      <w:pPr>
        <w:keepNext/>
        <w:rPr>
          <w:rFonts w:cstheme="minorHAnsi"/>
          <w:i/>
        </w:rPr>
      </w:pPr>
      <w:r>
        <w:rPr>
          <w:rFonts w:cstheme="minorHAnsi"/>
          <w:i/>
        </w:rPr>
        <w:t>Employer Interviews</w:t>
      </w:r>
    </w:p>
    <w:p w14:paraId="495A0447" w14:textId="77777777" w:rsidR="00EA59B2" w:rsidRDefault="00431980" w:rsidP="005178C3">
      <w:pPr>
        <w:keepNext/>
        <w:rPr>
          <w:rFonts w:cstheme="minorHAnsi"/>
        </w:rPr>
      </w:pPr>
      <w:r>
        <w:rPr>
          <w:rFonts w:cstheme="minorHAnsi"/>
        </w:rPr>
        <w:t xml:space="preserve">The evaluator will conduct </w:t>
      </w:r>
      <w:r w:rsidR="007F05BB">
        <w:rPr>
          <w:rFonts w:cstheme="minorHAnsi"/>
        </w:rPr>
        <w:t xml:space="preserve">one-hour interviews with employers by phone. The interviews will be semi-structured so that questions may not be asked in the order in the guide and interviewers may spend more time on certain questions that are more relevant than others to the particular interviewee. A two-person team – one senior interviewer and a </w:t>
      </w:r>
      <w:r>
        <w:rPr>
          <w:rFonts w:cstheme="minorHAnsi"/>
        </w:rPr>
        <w:t>note taker</w:t>
      </w:r>
      <w:r w:rsidR="007F05BB">
        <w:rPr>
          <w:rFonts w:cstheme="minorHAnsi"/>
        </w:rPr>
        <w:t xml:space="preserve"> – will conduct the interview. Interviewers may record the interview if the interviewee agrees to ensure all details are captured. </w:t>
      </w:r>
    </w:p>
    <w:p w14:paraId="1D630305" w14:textId="77777777" w:rsidR="006F299B" w:rsidRDefault="006F299B" w:rsidP="00842C2C">
      <w:pPr>
        <w:pStyle w:val="Heading4"/>
      </w:pPr>
      <w:r w:rsidRPr="004F1FB4">
        <w:t>B.2.5</w:t>
      </w:r>
      <w:r w:rsidRPr="004F1FB4">
        <w:tab/>
        <w:t>Procedures with Special Populations</w:t>
      </w:r>
    </w:p>
    <w:p w14:paraId="7A778784" w14:textId="77777777" w:rsidR="002C38F1" w:rsidRDefault="00431980" w:rsidP="002C38F1">
      <w:pPr>
        <w:autoSpaceDE w:val="0"/>
        <w:autoSpaceDN w:val="0"/>
        <w:adjustRightInd w:val="0"/>
        <w:spacing w:after="0" w:line="240" w:lineRule="auto"/>
      </w:pPr>
      <w:r>
        <w:t xml:space="preserve">There are no </w:t>
      </w:r>
      <w:r w:rsidR="002C38F1">
        <w:t xml:space="preserve">special populations </w:t>
      </w:r>
      <w:r>
        <w:t xml:space="preserve">included </w:t>
      </w:r>
      <w:r w:rsidR="002C38F1">
        <w:t>in the planned data collection efforts</w:t>
      </w:r>
      <w:r w:rsidR="00A72AB7">
        <w:t xml:space="preserve">. </w:t>
      </w:r>
      <w:r w:rsidR="002C38F1">
        <w:t xml:space="preserve">  </w:t>
      </w:r>
    </w:p>
    <w:p w14:paraId="5696D5B4" w14:textId="77777777" w:rsidR="002C38F1" w:rsidRDefault="002C38F1" w:rsidP="002C38F1">
      <w:pPr>
        <w:autoSpaceDE w:val="0"/>
        <w:autoSpaceDN w:val="0"/>
        <w:adjustRightInd w:val="0"/>
        <w:spacing w:after="0" w:line="240" w:lineRule="auto"/>
        <w:rPr>
          <w:szCs w:val="22"/>
        </w:rPr>
      </w:pPr>
    </w:p>
    <w:p w14:paraId="739132E1" w14:textId="77777777" w:rsidR="00497F45" w:rsidRPr="004F1FB4" w:rsidRDefault="00497F45" w:rsidP="00497F45">
      <w:pPr>
        <w:pStyle w:val="Heading4"/>
      </w:pPr>
      <w:r>
        <w:t>B.2.6 Use of Periodic Data Collection Cycles to Reduce Burden</w:t>
      </w:r>
    </w:p>
    <w:p w14:paraId="2459CF6F" w14:textId="77777777" w:rsidR="0024405F" w:rsidRDefault="0024405F" w:rsidP="00497F45">
      <w:pPr>
        <w:autoSpaceDE w:val="0"/>
        <w:autoSpaceDN w:val="0"/>
        <w:adjustRightInd w:val="0"/>
        <w:spacing w:after="0" w:line="240" w:lineRule="auto"/>
        <w:rPr>
          <w:szCs w:val="22"/>
        </w:rPr>
      </w:pPr>
      <w:r>
        <w:t>The 12-month follow-up survey will be administered once.</w:t>
      </w:r>
      <w:r w:rsidRPr="005A5135">
        <w:t xml:space="preserve"> </w:t>
      </w:r>
      <w:r>
        <w:t xml:space="preserve">Building on experience conducting follow-up surveys with similar populations, the evaluator is implementing proactive tracking of study participants between the time of study intake and the follow-up survey. These efforts are intended to update study participant contact information. </w:t>
      </w:r>
      <w:r w:rsidR="00431980">
        <w:t xml:space="preserve">The evaluator </w:t>
      </w:r>
      <w:r>
        <w:t xml:space="preserve">will send participants </w:t>
      </w:r>
      <w:r w:rsidR="00897E2A">
        <w:t>an initial welcome packet and then</w:t>
      </w:r>
      <w:r w:rsidR="00431980">
        <w:t xml:space="preserve"> tracking notification</w:t>
      </w:r>
      <w:r w:rsidR="003034D8">
        <w:t>s</w:t>
      </w:r>
      <w:r w:rsidR="00431980">
        <w:t xml:space="preserve"> 3</w:t>
      </w:r>
      <w:r w:rsidR="003034D8">
        <w:t xml:space="preserve"> months</w:t>
      </w:r>
      <w:r w:rsidR="00431980">
        <w:t xml:space="preserve">, 6 </w:t>
      </w:r>
      <w:r w:rsidR="003034D8">
        <w:t xml:space="preserve">months </w:t>
      </w:r>
      <w:r w:rsidR="00431980">
        <w:t xml:space="preserve">and 9 months after study </w:t>
      </w:r>
      <w:r>
        <w:t>enrollment</w:t>
      </w:r>
      <w:r w:rsidR="00431980">
        <w:t>.</w:t>
      </w:r>
    </w:p>
    <w:p w14:paraId="2477AC2B" w14:textId="77777777" w:rsidR="0024405F" w:rsidRDefault="0024405F" w:rsidP="00497F45">
      <w:pPr>
        <w:autoSpaceDE w:val="0"/>
        <w:autoSpaceDN w:val="0"/>
        <w:adjustRightInd w:val="0"/>
        <w:spacing w:after="0" w:line="240" w:lineRule="auto"/>
        <w:rPr>
          <w:szCs w:val="22"/>
        </w:rPr>
      </w:pPr>
    </w:p>
    <w:p w14:paraId="1E14B51B" w14:textId="77777777" w:rsidR="00497F45" w:rsidRPr="00574240" w:rsidRDefault="00497F45" w:rsidP="00497F45">
      <w:pPr>
        <w:autoSpaceDE w:val="0"/>
        <w:autoSpaceDN w:val="0"/>
        <w:adjustRightInd w:val="0"/>
        <w:spacing w:after="0" w:line="240" w:lineRule="auto"/>
        <w:rPr>
          <w:szCs w:val="22"/>
        </w:rPr>
      </w:pPr>
      <w:r w:rsidRPr="00574240">
        <w:rPr>
          <w:szCs w:val="22"/>
        </w:rPr>
        <w:t xml:space="preserve">The </w:t>
      </w:r>
      <w:r w:rsidR="0024405F">
        <w:rPr>
          <w:szCs w:val="22"/>
        </w:rPr>
        <w:t>college survey and employer interviews</w:t>
      </w:r>
      <w:r w:rsidRPr="00574240">
        <w:rPr>
          <w:szCs w:val="22"/>
        </w:rPr>
        <w:t xml:space="preserve"> are one-time data collection efforts.</w:t>
      </w:r>
    </w:p>
    <w:p w14:paraId="1B748B3A" w14:textId="77777777" w:rsidR="006F299B" w:rsidRPr="004F1FB4" w:rsidRDefault="006F299B" w:rsidP="00842C2C">
      <w:pPr>
        <w:pStyle w:val="Heading2"/>
      </w:pPr>
      <w:bookmarkStart w:id="3" w:name="_Toc322083617"/>
      <w:r w:rsidRPr="004F1FB4">
        <w:t>B.3</w:t>
      </w:r>
      <w:r w:rsidRPr="004F1FB4">
        <w:tab/>
        <w:t>Methods to Maximize Response Rates</w:t>
      </w:r>
      <w:bookmarkEnd w:id="3"/>
      <w:r w:rsidR="0097600C">
        <w:t xml:space="preserve"> and Deal with Non-response</w:t>
      </w:r>
    </w:p>
    <w:p w14:paraId="610DEF4F" w14:textId="77777777" w:rsidR="003676F5" w:rsidRDefault="00AC1F8B" w:rsidP="00AC1F8B">
      <w:pPr>
        <w:pStyle w:val="Heading4"/>
      </w:pPr>
      <w:r>
        <w:t xml:space="preserve">B.3.1 </w:t>
      </w:r>
      <w:r w:rsidR="007A30AB">
        <w:t xml:space="preserve">Follow-Up Survey </w:t>
      </w:r>
    </w:p>
    <w:p w14:paraId="6EA28F39" w14:textId="77777777" w:rsidR="00AC1F8B" w:rsidRDefault="00AC1F8B" w:rsidP="007A30AB">
      <w:r w:rsidRPr="001C0FB6">
        <w:t xml:space="preserve">The methods to maximize response rates </w:t>
      </w:r>
      <w:r>
        <w:t>are discussed with regard first to participant tracking and locating, and then regarding the use of monetary tokens of appreciation.</w:t>
      </w:r>
    </w:p>
    <w:p w14:paraId="6D5D82A1" w14:textId="77777777" w:rsidR="00AC1F8B" w:rsidRPr="00AC1F8B" w:rsidRDefault="00AC1F8B" w:rsidP="007A30AB">
      <w:pPr>
        <w:rPr>
          <w:i/>
        </w:rPr>
      </w:pPr>
      <w:r>
        <w:rPr>
          <w:i/>
        </w:rPr>
        <w:t>Participant Tracking and Locating</w:t>
      </w:r>
    </w:p>
    <w:p w14:paraId="37693D52" w14:textId="77777777" w:rsidR="0069561A" w:rsidRDefault="0069561A" w:rsidP="0069561A">
      <w:r>
        <w:t xml:space="preserve">Participant tracking to maximize the response to the 12-month follow-up survey includes active outreach to study participants and passive tracking. The active tracking begins with a welcome packet, sent to all </w:t>
      </w:r>
      <w:r w:rsidR="00C77DF7">
        <w:t xml:space="preserve">study participants </w:t>
      </w:r>
      <w:r>
        <w:t>approximately one month after enrollment</w:t>
      </w:r>
      <w:r w:rsidR="00C77DF7">
        <w:t xml:space="preserve"> that includes </w:t>
      </w:r>
      <w:r>
        <w:t xml:space="preserve">a welcome letter, a study brochure, and </w:t>
      </w:r>
      <w:r w:rsidR="00C77DF7">
        <w:t xml:space="preserve">address to a </w:t>
      </w:r>
      <w:r>
        <w:t>website</w:t>
      </w:r>
      <w:r w:rsidR="00C77DF7">
        <w:t xml:space="preserve"> with Frequently Asked Questions about the </w:t>
      </w:r>
      <w:r w:rsidR="00C77DF7">
        <w:lastRenderedPageBreak/>
        <w:t>survey and associated tracking efforts</w:t>
      </w:r>
      <w:r>
        <w:t xml:space="preserve">. Additionally, </w:t>
      </w:r>
      <w:r w:rsidR="00C77DF7">
        <w:t xml:space="preserve">the evaluator </w:t>
      </w:r>
      <w:r>
        <w:t>will send tracking letter</w:t>
      </w:r>
      <w:r w:rsidR="00C77DF7">
        <w:t>s</w:t>
      </w:r>
      <w:r>
        <w:t xml:space="preserve"> 3 months and 9 months after enrollment</w:t>
      </w:r>
      <w:r w:rsidR="00C77DF7">
        <w:t xml:space="preserve"> that</w:t>
      </w:r>
      <w:r>
        <w:t xml:space="preserve"> ask </w:t>
      </w:r>
      <w:r w:rsidR="00C77DF7">
        <w:t xml:space="preserve">study participants </w:t>
      </w:r>
      <w:r>
        <w:t>to update their contact information.</w:t>
      </w:r>
      <w:r>
        <w:rPr>
          <w:rStyle w:val="FootnoteReference"/>
        </w:rPr>
        <w:footnoteReference w:id="7"/>
      </w:r>
      <w:r>
        <w:t xml:space="preserve"> Also a text or email will be sent approximately 6 months following study </w:t>
      </w:r>
      <w:r w:rsidR="00C77DF7">
        <w:t>enrollment</w:t>
      </w:r>
      <w:r>
        <w:t xml:space="preserve"> to remind</w:t>
      </w:r>
      <w:r w:rsidR="00C77DF7">
        <w:t xml:space="preserve"> participants about the study and upcoming survey</w:t>
      </w:r>
      <w:r>
        <w:t xml:space="preserve">. </w:t>
      </w:r>
    </w:p>
    <w:p w14:paraId="5B623CBE" w14:textId="77777777" w:rsidR="005A2ABC" w:rsidRDefault="00C77DF7" w:rsidP="007A30AB">
      <w:pPr>
        <w:pStyle w:val="BodyText"/>
      </w:pPr>
      <w:r>
        <w:t xml:space="preserve">In terms of passive tracking, the evaluator </w:t>
      </w:r>
      <w:r w:rsidR="007A30AB">
        <w:t xml:space="preserve">will </w:t>
      </w:r>
      <w:r w:rsidR="007A30AB" w:rsidRPr="00185072">
        <w:t>conduct</w:t>
      </w:r>
      <w:r w:rsidR="007A30AB">
        <w:t xml:space="preserve"> several database searches to obtain additional contact information</w:t>
      </w:r>
      <w:r w:rsidR="00A72AB7">
        <w:t xml:space="preserve">. </w:t>
      </w:r>
    </w:p>
    <w:p w14:paraId="62C12993" w14:textId="1483A8DA" w:rsidR="00AC1F8B" w:rsidRDefault="00AC1F8B" w:rsidP="007A30AB">
      <w:pPr>
        <w:pStyle w:val="BodyText"/>
      </w:pPr>
      <w:r>
        <w:rPr>
          <w:i/>
        </w:rPr>
        <w:t>Tokens of Appreciation</w:t>
      </w:r>
      <w:r w:rsidR="00A72AB7">
        <w:rPr>
          <w:i/>
        </w:rPr>
        <w:t xml:space="preserve"> </w:t>
      </w:r>
    </w:p>
    <w:p w14:paraId="2764E377" w14:textId="77777777" w:rsidR="00AC1F8B" w:rsidRDefault="00AC1F8B" w:rsidP="007A30AB">
      <w:pPr>
        <w:pStyle w:val="BodyText"/>
      </w:pPr>
      <w:r>
        <w:t xml:space="preserve">Offering appropriate monetary gifts to study participants in appreciation for their time can help ensure a high response rate, which </w:t>
      </w:r>
      <w:r w:rsidR="00355D1F">
        <w:t>reduces the danger of nonresponse bias</w:t>
      </w:r>
      <w:r>
        <w:t xml:space="preserve">. Those who complete the follow-up survey will receive a $25 </w:t>
      </w:r>
      <w:r w:rsidR="00431980">
        <w:t xml:space="preserve">check </w:t>
      </w:r>
      <w:r>
        <w:t>as a token of appreciation for their time.</w:t>
      </w:r>
      <w:r w:rsidR="00C77DF7">
        <w:t xml:space="preserve"> Tracking letters at </w:t>
      </w:r>
      <w:r w:rsidR="00A72AB7">
        <w:t xml:space="preserve">3 months and 6 months post study enrollment </w:t>
      </w:r>
      <w:r w:rsidR="00C77DF7">
        <w:t xml:space="preserve">will include a $2 token of appreciation. </w:t>
      </w:r>
    </w:p>
    <w:p w14:paraId="647717C2" w14:textId="77777777" w:rsidR="00AC1F8B" w:rsidRPr="00AC1F8B" w:rsidRDefault="00AC1F8B" w:rsidP="00EB08DD">
      <w:pPr>
        <w:pStyle w:val="BodyText"/>
        <w:keepNext/>
        <w:rPr>
          <w:i/>
        </w:rPr>
      </w:pPr>
      <w:r>
        <w:rPr>
          <w:i/>
        </w:rPr>
        <w:t>Sample Control during the Data Collection Period</w:t>
      </w:r>
      <w:r w:rsidR="00355D1F">
        <w:rPr>
          <w:i/>
        </w:rPr>
        <w:t xml:space="preserve"> for Follow-up Survey</w:t>
      </w:r>
    </w:p>
    <w:p w14:paraId="47D74AE9" w14:textId="77777777" w:rsidR="00AC1F8B" w:rsidRDefault="00AC1F8B" w:rsidP="00AC1F8B">
      <w:r>
        <w:t xml:space="preserve">During the data collection period, the </w:t>
      </w:r>
      <w:r w:rsidR="00BF378B">
        <w:t>evaluation team</w:t>
      </w:r>
      <w:r>
        <w:t xml:space="preserve"> will </w:t>
      </w:r>
      <w:r w:rsidRPr="00185072">
        <w:t>minimize</w:t>
      </w:r>
      <w:r>
        <w:t xml:space="preserve"> non-response levels and the risk of non-response bias in the following ways:</w:t>
      </w:r>
    </w:p>
    <w:p w14:paraId="2961B9E4" w14:textId="77777777" w:rsidR="00AC1F8B" w:rsidRDefault="00AC1F8B" w:rsidP="00342FF9">
      <w:pPr>
        <w:pStyle w:val="Bullets"/>
        <w:spacing w:after="0"/>
      </w:pPr>
      <w:r w:rsidRPr="0069074F">
        <w:t>Using an advance letter</w:t>
      </w:r>
      <w:r w:rsidR="00D5385B">
        <w:t xml:space="preserve"> and email</w:t>
      </w:r>
      <w:r w:rsidRPr="0069074F">
        <w:t xml:space="preserve"> that clearly conveys the purpose of the survey to study participants, the </w:t>
      </w:r>
      <w:r w:rsidR="00C77DF7">
        <w:t>monetary gift</w:t>
      </w:r>
      <w:r w:rsidRPr="0069074F">
        <w:t xml:space="preserve">, and reassurances about </w:t>
      </w:r>
      <w:r>
        <w:t>privacy</w:t>
      </w:r>
      <w:r w:rsidR="00C77DF7">
        <w:t xml:space="preserve"> to ease concerns about the survey.</w:t>
      </w:r>
      <w:r>
        <w:t xml:space="preserve"> </w:t>
      </w:r>
    </w:p>
    <w:p w14:paraId="2525333A" w14:textId="77777777" w:rsidR="00D5385B" w:rsidRDefault="00C77DF7" w:rsidP="00342FF9">
      <w:pPr>
        <w:pStyle w:val="Bullets"/>
        <w:spacing w:after="0"/>
      </w:pPr>
      <w:r>
        <w:t xml:space="preserve">Starting with </w:t>
      </w:r>
      <w:r w:rsidR="00D5385B">
        <w:t xml:space="preserve">a </w:t>
      </w:r>
      <w:r>
        <w:t>self-administered</w:t>
      </w:r>
      <w:r w:rsidR="00D5385B">
        <w:t xml:space="preserve"> web survey</w:t>
      </w:r>
      <w:r>
        <w:t xml:space="preserve">, </w:t>
      </w:r>
      <w:proofErr w:type="gramStart"/>
      <w:r>
        <w:t>which is expected to be a</w:t>
      </w:r>
      <w:r w:rsidR="00D5385B">
        <w:t xml:space="preserve"> convenient option for the study population.</w:t>
      </w:r>
      <w:proofErr w:type="gramEnd"/>
    </w:p>
    <w:p w14:paraId="1F2AF1EB" w14:textId="77777777" w:rsidR="00AC1F8B" w:rsidRDefault="00AC1F8B" w:rsidP="00342FF9">
      <w:pPr>
        <w:pStyle w:val="Bullets"/>
        <w:spacing w:after="0"/>
      </w:pPr>
      <w:r>
        <w:t xml:space="preserve">Using updated contact information captured through </w:t>
      </w:r>
      <w:r w:rsidR="00190C91">
        <w:t xml:space="preserve">tracking efforts </w:t>
      </w:r>
      <w:r>
        <w:t xml:space="preserve">to </w:t>
      </w:r>
      <w:r w:rsidR="00190C91">
        <w:t xml:space="preserve">help </w:t>
      </w:r>
      <w:r>
        <w:t xml:space="preserve">the </w:t>
      </w:r>
      <w:r w:rsidR="00BF378B">
        <w:t>evaluation team</w:t>
      </w:r>
      <w:r>
        <w:t xml:space="preserve"> locate </w:t>
      </w:r>
      <w:r w:rsidR="00190C91">
        <w:t xml:space="preserve">participants </w:t>
      </w:r>
      <w:r>
        <w:t xml:space="preserve">for the </w:t>
      </w:r>
      <w:r w:rsidR="00190C91">
        <w:t>survey.</w:t>
      </w:r>
    </w:p>
    <w:p w14:paraId="4D8F808A" w14:textId="77777777" w:rsidR="00AC1F8B" w:rsidRDefault="00AC1F8B" w:rsidP="00342FF9">
      <w:pPr>
        <w:pStyle w:val="Bullets"/>
        <w:spacing w:after="0"/>
      </w:pPr>
      <w:r w:rsidRPr="0069074F">
        <w:t xml:space="preserve">Taking additional tracking and locating steps, as needed, when </w:t>
      </w:r>
      <w:r>
        <w:t xml:space="preserve">the </w:t>
      </w:r>
      <w:r w:rsidR="00BF378B">
        <w:t>evaluation team</w:t>
      </w:r>
      <w:r w:rsidRPr="0069074F">
        <w:t xml:space="preserve"> do</w:t>
      </w:r>
      <w:r>
        <w:t>es</w:t>
      </w:r>
      <w:r w:rsidRPr="0069074F">
        <w:t xml:space="preserve"> not find sample members at the phone numbers or addresses previously collected.</w:t>
      </w:r>
    </w:p>
    <w:p w14:paraId="15430281" w14:textId="77777777" w:rsidR="00355D1F" w:rsidRPr="0069074F" w:rsidRDefault="00355D1F" w:rsidP="00342FF9">
      <w:pPr>
        <w:pStyle w:val="Bullets"/>
        <w:spacing w:after="0"/>
      </w:pPr>
      <w:r w:rsidRPr="0069074F">
        <w:t xml:space="preserve">Using trained interviewers </w:t>
      </w:r>
      <w:r>
        <w:t>(in the phone center</w:t>
      </w:r>
      <w:r w:rsidR="00431980">
        <w:t xml:space="preserve"> and field</w:t>
      </w:r>
      <w:r>
        <w:t xml:space="preserve">) </w:t>
      </w:r>
      <w:r w:rsidRPr="0069074F">
        <w:t xml:space="preserve">who are skilled at working with </w:t>
      </w:r>
      <w:r>
        <w:t>the sample population</w:t>
      </w:r>
      <w:r w:rsidRPr="0069074F">
        <w:t xml:space="preserve"> and maintaining rapport with respondents, to minimize the number of break-offs</w:t>
      </w:r>
      <w:r>
        <w:t xml:space="preserve">, and thus the </w:t>
      </w:r>
      <w:r w:rsidRPr="0069074F">
        <w:t>incidence of non-response bias</w:t>
      </w:r>
      <w:r>
        <w:t xml:space="preserve">. </w:t>
      </w:r>
    </w:p>
    <w:p w14:paraId="46C3D692" w14:textId="77777777" w:rsidR="00AC1F8B" w:rsidRDefault="00AC1F8B" w:rsidP="00342FF9">
      <w:pPr>
        <w:pStyle w:val="Bullets"/>
        <w:spacing w:after="0"/>
      </w:pPr>
      <w:r>
        <w:t xml:space="preserve">Employing a rigorous telephone process to ensure that all available contact information is utilized to make contact with participants. </w:t>
      </w:r>
    </w:p>
    <w:p w14:paraId="620B725C" w14:textId="77777777" w:rsidR="00AC1F8B" w:rsidRPr="0069074F" w:rsidRDefault="00AC1F8B" w:rsidP="00342FF9">
      <w:pPr>
        <w:pStyle w:val="Bullets"/>
        <w:spacing w:after="0"/>
      </w:pPr>
      <w:r>
        <w:t>Administering the survey in person in instances where the participant cannot be surveyed by phone.</w:t>
      </w:r>
    </w:p>
    <w:p w14:paraId="6C2F0CA9" w14:textId="521DBF59" w:rsidR="00AC1F8B" w:rsidRDefault="00AC1F8B" w:rsidP="00AC1F8B">
      <w:pPr>
        <w:pStyle w:val="BulletsLast"/>
      </w:pPr>
      <w:r w:rsidRPr="0069074F">
        <w:t>Requiring the survey supervisors to m</w:t>
      </w:r>
      <w:r>
        <w:t xml:space="preserve">anage the sample in a manner that helps to ensure that response rates achieved are </w:t>
      </w:r>
      <w:r w:rsidRPr="0069074F">
        <w:t>relatively equal</w:t>
      </w:r>
      <w:r>
        <w:t xml:space="preserve"> across sites.</w:t>
      </w:r>
      <w:r w:rsidRPr="0069074F">
        <w:t xml:space="preserve"> </w:t>
      </w:r>
    </w:p>
    <w:p w14:paraId="6405960B" w14:textId="77777777" w:rsidR="005A2ABC" w:rsidRDefault="00AC1F8B" w:rsidP="00AC1F8B">
      <w:pPr>
        <w:pStyle w:val="Heading4"/>
      </w:pPr>
      <w:r>
        <w:t xml:space="preserve">B.3.2 </w:t>
      </w:r>
      <w:r w:rsidR="00E17128">
        <w:t>College Survey</w:t>
      </w:r>
    </w:p>
    <w:p w14:paraId="455A1E81" w14:textId="77777777" w:rsidR="00431980" w:rsidRDefault="00431980" w:rsidP="009018F5">
      <w:pPr>
        <w:rPr>
          <w:lang w:val="en"/>
        </w:rPr>
      </w:pPr>
      <w:r>
        <w:rPr>
          <w:lang w:val="en"/>
        </w:rPr>
        <w:t>T</w:t>
      </w:r>
      <w:r w:rsidR="009018F5">
        <w:rPr>
          <w:lang w:val="en"/>
        </w:rPr>
        <w:t>he</w:t>
      </w:r>
      <w:r w:rsidR="003034D8">
        <w:rPr>
          <w:lang w:val="en"/>
        </w:rPr>
        <w:t xml:space="preserve"> evaluation team will take the following</w:t>
      </w:r>
      <w:r w:rsidR="009018F5">
        <w:rPr>
          <w:lang w:val="en"/>
        </w:rPr>
        <w:t xml:space="preserve"> steps</w:t>
      </w:r>
      <w:r w:rsidR="003034D8">
        <w:rPr>
          <w:lang w:val="en"/>
        </w:rPr>
        <w:t xml:space="preserve"> to achieve a high </w:t>
      </w:r>
      <w:r>
        <w:rPr>
          <w:lang w:val="en"/>
        </w:rPr>
        <w:t>response rate</w:t>
      </w:r>
      <w:r w:rsidR="009018F5">
        <w:rPr>
          <w:lang w:val="en"/>
        </w:rPr>
        <w:t xml:space="preserve">. </w:t>
      </w:r>
    </w:p>
    <w:p w14:paraId="2D511408" w14:textId="77777777" w:rsidR="009018F5" w:rsidRPr="00431980" w:rsidRDefault="009018F5" w:rsidP="00431980">
      <w:pPr>
        <w:pStyle w:val="ListParagraph"/>
        <w:numPr>
          <w:ilvl w:val="0"/>
          <w:numId w:val="36"/>
        </w:numPr>
        <w:rPr>
          <w:rFonts w:ascii="Times New Roman" w:hAnsi="Times New Roman" w:cs="Times New Roman"/>
          <w:lang w:val="en"/>
        </w:rPr>
      </w:pPr>
      <w:r w:rsidRPr="00431980">
        <w:rPr>
          <w:rFonts w:ascii="Times New Roman" w:hAnsi="Times New Roman" w:cs="Times New Roman"/>
          <w:lang w:val="en"/>
        </w:rPr>
        <w:t xml:space="preserve">Reminding grantees and their partner colleges </w:t>
      </w:r>
      <w:r w:rsidR="00431980">
        <w:rPr>
          <w:rFonts w:ascii="Times New Roman" w:hAnsi="Times New Roman" w:cs="Times New Roman"/>
          <w:lang w:val="en"/>
        </w:rPr>
        <w:t xml:space="preserve">that participation in evaluation activities is a requirement of their grant </w:t>
      </w:r>
      <w:r w:rsidRPr="00431980">
        <w:rPr>
          <w:rFonts w:ascii="Times New Roman" w:hAnsi="Times New Roman" w:cs="Times New Roman"/>
          <w:lang w:val="en"/>
        </w:rPr>
        <w:t>in the documentation accompanying the survey.</w:t>
      </w:r>
    </w:p>
    <w:p w14:paraId="1A7A303B" w14:textId="77777777" w:rsidR="009018F5" w:rsidRPr="0038611E" w:rsidRDefault="009018F5" w:rsidP="00431980">
      <w:pPr>
        <w:pStyle w:val="ListParagraph"/>
        <w:numPr>
          <w:ilvl w:val="0"/>
          <w:numId w:val="36"/>
        </w:numPr>
        <w:rPr>
          <w:rFonts w:ascii="Times New Roman" w:hAnsi="Times New Roman" w:cs="Times New Roman"/>
          <w:lang w:val="en"/>
        </w:rPr>
      </w:pPr>
      <w:r w:rsidRPr="0038611E">
        <w:rPr>
          <w:rFonts w:ascii="Times New Roman" w:hAnsi="Times New Roman" w:cs="Times New Roman"/>
        </w:rPr>
        <w:lastRenderedPageBreak/>
        <w:t xml:space="preserve">DOL will send advance letters to all grant directors one month before the survey (see </w:t>
      </w:r>
      <w:r w:rsidR="00F41DD4">
        <w:rPr>
          <w:rFonts w:ascii="Times New Roman" w:hAnsi="Times New Roman" w:cs="Times New Roman"/>
        </w:rPr>
        <w:t>Appendix D</w:t>
      </w:r>
      <w:r w:rsidRPr="0038611E">
        <w:rPr>
          <w:rFonts w:ascii="Times New Roman" w:hAnsi="Times New Roman" w:cs="Times New Roman"/>
        </w:rPr>
        <w:t xml:space="preserve">). The letter will specify the date on which the survey is scheduled to be sent, the formats in which it will be available (online or in a Microsoft Word version, if needed), the time expected to complete the survey, and the survey’s originator (the Urban Institute). </w:t>
      </w:r>
    </w:p>
    <w:p w14:paraId="5C98F92F" w14:textId="77777777" w:rsidR="0038611E" w:rsidRPr="0038611E" w:rsidRDefault="009018F5" w:rsidP="0038611E">
      <w:pPr>
        <w:pStyle w:val="ListParagraph"/>
        <w:numPr>
          <w:ilvl w:val="0"/>
          <w:numId w:val="36"/>
        </w:numPr>
        <w:rPr>
          <w:rFonts w:ascii="Times New Roman" w:hAnsi="Times New Roman" w:cs="Times New Roman"/>
        </w:rPr>
      </w:pPr>
      <w:r w:rsidRPr="0038611E">
        <w:rPr>
          <w:rFonts w:ascii="Times New Roman" w:hAnsi="Times New Roman" w:cs="Times New Roman"/>
        </w:rPr>
        <w:t>On the scheduled date, the</w:t>
      </w:r>
      <w:r w:rsidR="0038611E" w:rsidRPr="0038611E">
        <w:rPr>
          <w:rFonts w:ascii="Times New Roman" w:hAnsi="Times New Roman" w:cs="Times New Roman"/>
        </w:rPr>
        <w:t xml:space="preserve"> evaluator </w:t>
      </w:r>
      <w:r w:rsidRPr="0038611E">
        <w:rPr>
          <w:rFonts w:ascii="Times New Roman" w:hAnsi="Times New Roman" w:cs="Times New Roman"/>
        </w:rPr>
        <w:t xml:space="preserve">will e-mail all primary college contacts with the link to the online survey and instruction for completion. The respondents will be provided with a contact should they encounter any problems or questions as they complete the survey. </w:t>
      </w:r>
    </w:p>
    <w:p w14:paraId="739C714A" w14:textId="77777777" w:rsidR="009018F5" w:rsidRPr="0038611E" w:rsidRDefault="0038611E" w:rsidP="0038611E">
      <w:pPr>
        <w:pStyle w:val="ListParagraph"/>
        <w:numPr>
          <w:ilvl w:val="0"/>
          <w:numId w:val="36"/>
        </w:numPr>
        <w:rPr>
          <w:rFonts w:ascii="Times New Roman" w:hAnsi="Times New Roman" w:cs="Times New Roman"/>
        </w:rPr>
      </w:pPr>
      <w:r w:rsidRPr="0038611E">
        <w:rPr>
          <w:rFonts w:ascii="Times New Roman" w:hAnsi="Times New Roman" w:cs="Times New Roman"/>
        </w:rPr>
        <w:t xml:space="preserve">Using </w:t>
      </w:r>
      <w:proofErr w:type="spellStart"/>
      <w:r w:rsidR="00BF1A56" w:rsidRPr="0038611E">
        <w:rPr>
          <w:rFonts w:ascii="Times New Roman" w:hAnsi="Times New Roman" w:cs="Times New Roman"/>
        </w:rPr>
        <w:t>Qualtrics</w:t>
      </w:r>
      <w:proofErr w:type="spellEnd"/>
      <w:r w:rsidRPr="0038611E">
        <w:rPr>
          <w:rFonts w:ascii="Times New Roman" w:hAnsi="Times New Roman" w:cs="Times New Roman"/>
        </w:rPr>
        <w:t xml:space="preserve"> software</w:t>
      </w:r>
      <w:r w:rsidR="009018F5" w:rsidRPr="0038611E">
        <w:rPr>
          <w:rFonts w:ascii="Times New Roman" w:hAnsi="Times New Roman" w:cs="Times New Roman"/>
        </w:rPr>
        <w:t xml:space="preserve">, the </w:t>
      </w:r>
      <w:r w:rsidRPr="0038611E">
        <w:rPr>
          <w:rFonts w:ascii="Times New Roman" w:hAnsi="Times New Roman" w:cs="Times New Roman"/>
        </w:rPr>
        <w:t xml:space="preserve">evaluator </w:t>
      </w:r>
      <w:r w:rsidR="009018F5" w:rsidRPr="0038611E">
        <w:rPr>
          <w:rFonts w:ascii="Times New Roman" w:hAnsi="Times New Roman" w:cs="Times New Roman"/>
        </w:rPr>
        <w:t>will track who has started the survey and monitor their progress and follow up with those grantees that have not started or completed the survey. Follow-up with the grantee respondents will be done through periodic e-mail reminders.</w:t>
      </w:r>
    </w:p>
    <w:p w14:paraId="53B30F54" w14:textId="77777777" w:rsidR="009018F5" w:rsidRPr="0038611E" w:rsidRDefault="0038611E" w:rsidP="0038611E">
      <w:pPr>
        <w:pStyle w:val="ListParagraph"/>
        <w:numPr>
          <w:ilvl w:val="0"/>
          <w:numId w:val="36"/>
        </w:numPr>
        <w:rPr>
          <w:rFonts w:ascii="Times New Roman" w:hAnsi="Times New Roman" w:cs="Times New Roman"/>
        </w:rPr>
      </w:pPr>
      <w:r w:rsidRPr="0038611E">
        <w:rPr>
          <w:rFonts w:ascii="Times New Roman" w:hAnsi="Times New Roman" w:cs="Times New Roman"/>
        </w:rPr>
        <w:t xml:space="preserve">Using </w:t>
      </w:r>
      <w:r w:rsidR="009018F5" w:rsidRPr="0038611E">
        <w:rPr>
          <w:rFonts w:ascii="Times New Roman" w:hAnsi="Times New Roman" w:cs="Times New Roman"/>
        </w:rPr>
        <w:t>a</w:t>
      </w:r>
      <w:r w:rsidRPr="0038611E">
        <w:rPr>
          <w:rFonts w:ascii="Times New Roman" w:hAnsi="Times New Roman" w:cs="Times New Roman"/>
        </w:rPr>
        <w:t xml:space="preserve"> PC-based tracking system, the evaluator will </w:t>
      </w:r>
      <w:r w:rsidR="009018F5" w:rsidRPr="0038611E">
        <w:rPr>
          <w:rFonts w:ascii="Times New Roman" w:hAnsi="Times New Roman" w:cs="Times New Roman"/>
        </w:rPr>
        <w:t>monitor the receipt of surveys, status of follow-up reminders, attachments provided by respondents, completion of data entry, and need for further clarification. As each survey is reviewed, follow-up e-mails and telephone calls will be made to those respondents whose surveys contain errors, unclear responses, or missing information</w:t>
      </w:r>
      <w:r w:rsidR="00A72AB7">
        <w:rPr>
          <w:rFonts w:ascii="Times New Roman" w:hAnsi="Times New Roman" w:cs="Times New Roman"/>
        </w:rPr>
        <w:t xml:space="preserve">. </w:t>
      </w:r>
    </w:p>
    <w:p w14:paraId="175FF5A4" w14:textId="77777777" w:rsidR="00E17128" w:rsidRPr="00E17128" w:rsidRDefault="00AC1F8B" w:rsidP="00AC1F8B">
      <w:pPr>
        <w:pStyle w:val="Heading4"/>
      </w:pPr>
      <w:r>
        <w:t xml:space="preserve">B.3.3 </w:t>
      </w:r>
      <w:r w:rsidR="00E17128">
        <w:t>Employer Interviews</w:t>
      </w:r>
    </w:p>
    <w:p w14:paraId="575F4C2C" w14:textId="77777777" w:rsidR="009018F5" w:rsidRDefault="0015340C" w:rsidP="009018F5">
      <w:pPr>
        <w:keepNext/>
        <w:rPr>
          <w:rFonts w:cstheme="minorHAnsi"/>
        </w:rPr>
      </w:pPr>
      <w:r>
        <w:rPr>
          <w:rFonts w:cstheme="minorHAnsi"/>
        </w:rPr>
        <w:t>The team will work closely with the TAACCCT colleges to identify key contact(s) at each employer selected and their contact information. The team will then reach out to each employer, introducing the evaluation team and the study and requesting a one-hour phone interview. The college lead will be copied on any communication to ensure the employer is comfortable with this request</w:t>
      </w:r>
      <w:r w:rsidR="00A72AB7">
        <w:rPr>
          <w:rFonts w:cstheme="minorHAnsi"/>
        </w:rPr>
        <w:t xml:space="preserve">. </w:t>
      </w:r>
      <w:r>
        <w:rPr>
          <w:rFonts w:cstheme="minorHAnsi"/>
        </w:rPr>
        <w:t xml:space="preserve">Should the employer not respond to the first request, </w:t>
      </w:r>
      <w:r w:rsidR="0038611E">
        <w:rPr>
          <w:rFonts w:cstheme="minorHAnsi"/>
        </w:rPr>
        <w:t xml:space="preserve">the evaluator </w:t>
      </w:r>
      <w:r>
        <w:rPr>
          <w:rFonts w:cstheme="minorHAnsi"/>
        </w:rPr>
        <w:t xml:space="preserve">will first follow up with another email and then call the employer directly if they do not respond. If these methods fail, the team will contact the college and request that they encourage the employer to participate and address any concerns the employer may have about participating. </w:t>
      </w:r>
    </w:p>
    <w:p w14:paraId="7DFA2BA4" w14:textId="77777777" w:rsidR="006F299B" w:rsidRPr="004F1FB4" w:rsidRDefault="006F299B" w:rsidP="00842C2C">
      <w:pPr>
        <w:pStyle w:val="Heading2"/>
      </w:pPr>
      <w:bookmarkStart w:id="4" w:name="_Toc322083618"/>
      <w:r w:rsidRPr="004F1FB4">
        <w:t>B.4</w:t>
      </w:r>
      <w:r w:rsidRPr="004F1FB4">
        <w:tab/>
        <w:t>Tests of Procedures</w:t>
      </w:r>
      <w:bookmarkEnd w:id="4"/>
    </w:p>
    <w:p w14:paraId="016935DB" w14:textId="77777777" w:rsidR="008E43BE" w:rsidRPr="00EA59B2" w:rsidRDefault="008E43BE" w:rsidP="008E43BE">
      <w:pPr>
        <w:rPr>
          <w:rFonts w:cstheme="minorHAnsi"/>
          <w:i/>
        </w:rPr>
      </w:pPr>
      <w:r>
        <w:rPr>
          <w:rFonts w:cstheme="minorHAnsi"/>
          <w:i/>
        </w:rPr>
        <w:t xml:space="preserve">Follow-Up Survey </w:t>
      </w:r>
    </w:p>
    <w:p w14:paraId="3C43CF07" w14:textId="77777777" w:rsidR="008E43BE" w:rsidRDefault="008E43BE" w:rsidP="008E43BE">
      <w:pPr>
        <w:rPr>
          <w:rFonts w:cstheme="minorHAnsi"/>
        </w:rPr>
      </w:pPr>
      <w:r>
        <w:rPr>
          <w:rFonts w:cstheme="minorHAnsi"/>
        </w:rPr>
        <w:t>As noted in yellow boxes throughout the draft instrument (</w:t>
      </w:r>
      <w:r w:rsidR="00F41DD4">
        <w:rPr>
          <w:rFonts w:cstheme="minorHAnsi"/>
        </w:rPr>
        <w:t>Appendix B.1</w:t>
      </w:r>
      <w:r>
        <w:rPr>
          <w:rFonts w:cstheme="minorHAnsi"/>
        </w:rPr>
        <w:t xml:space="preserve">), most of the questions in the follow-up survey instrument have been used in other data collection efforts:  </w:t>
      </w:r>
    </w:p>
    <w:p w14:paraId="106A096D"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w:t>
      </w:r>
      <w:r>
        <w:rPr>
          <w:rFonts w:ascii="Times New Roman" w:hAnsi="Times New Roman" w:cs="Times New Roman"/>
        </w:rPr>
        <w:t>B</w:t>
      </w:r>
      <w:r w:rsidR="008E43BE" w:rsidRPr="0038611E">
        <w:rPr>
          <w:rFonts w:ascii="Times New Roman" w:hAnsi="Times New Roman" w:cs="Times New Roman"/>
        </w:rPr>
        <w:t xml:space="preserve">aseline </w:t>
      </w:r>
      <w:r>
        <w:rPr>
          <w:rFonts w:ascii="Times New Roman" w:hAnsi="Times New Roman" w:cs="Times New Roman"/>
        </w:rPr>
        <w:t>I</w:t>
      </w:r>
      <w:r w:rsidR="008E43BE" w:rsidRPr="0038611E">
        <w:rPr>
          <w:rFonts w:ascii="Times New Roman" w:hAnsi="Times New Roman" w:cs="Times New Roman"/>
        </w:rPr>
        <w:t xml:space="preserve">nformation </w:t>
      </w:r>
      <w:r>
        <w:rPr>
          <w:rFonts w:ascii="Times New Roman" w:hAnsi="Times New Roman" w:cs="Times New Roman"/>
        </w:rPr>
        <w:t>F</w:t>
      </w:r>
      <w:r w:rsidR="008E43BE" w:rsidRPr="0038611E">
        <w:rPr>
          <w:rFonts w:ascii="Times New Roman" w:hAnsi="Times New Roman" w:cs="Times New Roman"/>
        </w:rPr>
        <w:t xml:space="preserve">orm for this evaluation (OMB No. 1291-0004); </w:t>
      </w:r>
    </w:p>
    <w:p w14:paraId="4EF85D49"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Health Profession Opportunity Grants (HPOG) (OMB No. </w:t>
      </w:r>
      <w:hyperlink r:id="rId15" w:history="1">
        <w:r w:rsidR="008E43BE" w:rsidRPr="0038611E">
          <w:rPr>
            <w:rFonts w:ascii="Times New Roman" w:hAnsi="Times New Roman" w:cs="Times New Roman"/>
          </w:rPr>
          <w:t>0970-0394</w:t>
        </w:r>
      </w:hyperlink>
      <w:r w:rsidR="008E43BE" w:rsidRPr="0038611E">
        <w:rPr>
          <w:rFonts w:ascii="Times New Roman" w:hAnsi="Times New Roman" w:cs="Times New Roman"/>
        </w:rPr>
        <w:t xml:space="preserve"> )/Pathways for Advancing Careers and Education (PACE) (OMB No. </w:t>
      </w:r>
      <w:hyperlink r:id="rId16" w:history="1">
        <w:r w:rsidR="008E43BE" w:rsidRPr="0038611E">
          <w:rPr>
            <w:rFonts w:ascii="Times New Roman" w:hAnsi="Times New Roman" w:cs="Times New Roman"/>
          </w:rPr>
          <w:t>0970-0397</w:t>
        </w:r>
      </w:hyperlink>
      <w:r w:rsidR="008E43BE" w:rsidRPr="0038611E">
        <w:rPr>
          <w:rFonts w:ascii="Times New Roman" w:hAnsi="Times New Roman" w:cs="Times New Roman"/>
        </w:rPr>
        <w:t xml:space="preserve">) 36-Month Survey currently being conducted by </w:t>
      </w:r>
      <w:proofErr w:type="spellStart"/>
      <w:r w:rsidR="008E43BE" w:rsidRPr="0038611E">
        <w:rPr>
          <w:rFonts w:ascii="Times New Roman" w:hAnsi="Times New Roman" w:cs="Times New Roman"/>
        </w:rPr>
        <w:t>Abt</w:t>
      </w:r>
      <w:proofErr w:type="spellEnd"/>
      <w:r w:rsidR="008E43BE" w:rsidRPr="0038611E">
        <w:rPr>
          <w:rFonts w:ascii="Times New Roman" w:hAnsi="Times New Roman" w:cs="Times New Roman"/>
        </w:rPr>
        <w:t xml:space="preserve"> Associates for the Department of Health and Human Services; </w:t>
      </w:r>
    </w:p>
    <w:p w14:paraId="291F8653"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Green Jobs and Health Care Impact Survey, recently conducted by </w:t>
      </w:r>
      <w:proofErr w:type="spellStart"/>
      <w:r w:rsidR="008E43BE" w:rsidRPr="0038611E">
        <w:rPr>
          <w:rFonts w:ascii="Times New Roman" w:hAnsi="Times New Roman" w:cs="Times New Roman"/>
        </w:rPr>
        <w:t>Abt</w:t>
      </w:r>
      <w:proofErr w:type="spellEnd"/>
      <w:r w:rsidR="008E43BE" w:rsidRPr="0038611E">
        <w:rPr>
          <w:rFonts w:ascii="Times New Roman" w:hAnsi="Times New Roman" w:cs="Times New Roman"/>
        </w:rPr>
        <w:t xml:space="preserve"> Associates for the Department of Labor (OMB No. </w:t>
      </w:r>
      <w:hyperlink r:id="rId17" w:history="1">
        <w:r w:rsidR="008E43BE" w:rsidRPr="0038611E">
          <w:rPr>
            <w:rFonts w:ascii="Times New Roman" w:hAnsi="Times New Roman" w:cs="Times New Roman"/>
          </w:rPr>
          <w:t>1205-0506</w:t>
        </w:r>
      </w:hyperlink>
      <w:r w:rsidR="008E43BE" w:rsidRPr="0038611E">
        <w:rPr>
          <w:rFonts w:ascii="Times New Roman" w:hAnsi="Times New Roman" w:cs="Times New Roman"/>
        </w:rPr>
        <w:t xml:space="preserve">); </w:t>
      </w:r>
    </w:p>
    <w:p w14:paraId="3970D899"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PACE 15-month follow-up survey recently conducted by </w:t>
      </w:r>
      <w:proofErr w:type="spellStart"/>
      <w:r w:rsidR="008E43BE" w:rsidRPr="0038611E">
        <w:rPr>
          <w:rFonts w:ascii="Times New Roman" w:hAnsi="Times New Roman" w:cs="Times New Roman"/>
        </w:rPr>
        <w:t>Abt</w:t>
      </w:r>
      <w:proofErr w:type="spellEnd"/>
      <w:r w:rsidR="008E43BE" w:rsidRPr="0038611E">
        <w:rPr>
          <w:rFonts w:ascii="Times New Roman" w:hAnsi="Times New Roman" w:cs="Times New Roman"/>
        </w:rPr>
        <w:t xml:space="preserve"> Associates for the Department of Health and Human Services</w:t>
      </w:r>
      <w:r w:rsidR="008E43BE" w:rsidRPr="0038611E" w:rsidDel="00CC6C25">
        <w:rPr>
          <w:rFonts w:ascii="Times New Roman" w:hAnsi="Times New Roman" w:cs="Times New Roman"/>
        </w:rPr>
        <w:t xml:space="preserve"> </w:t>
      </w:r>
      <w:r w:rsidR="008E43BE" w:rsidRPr="0038611E">
        <w:rPr>
          <w:rFonts w:ascii="Times New Roman" w:hAnsi="Times New Roman" w:cs="Times New Roman"/>
        </w:rPr>
        <w:t xml:space="preserve">(OMB No. </w:t>
      </w:r>
      <w:hyperlink r:id="rId18" w:history="1">
        <w:r w:rsidR="008E43BE" w:rsidRPr="0038611E">
          <w:rPr>
            <w:rFonts w:ascii="Times New Roman" w:hAnsi="Times New Roman" w:cs="Times New Roman"/>
          </w:rPr>
          <w:t>0970-0397</w:t>
        </w:r>
      </w:hyperlink>
      <w:r w:rsidR="008E43BE" w:rsidRPr="0038611E">
        <w:rPr>
          <w:rFonts w:ascii="Times New Roman" w:hAnsi="Times New Roman" w:cs="Times New Roman"/>
        </w:rPr>
        <w:t xml:space="preserve">); </w:t>
      </w:r>
    </w:p>
    <w:p w14:paraId="39323322"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HPOG 15-month follow-up survey being conducted by </w:t>
      </w:r>
      <w:proofErr w:type="spellStart"/>
      <w:r w:rsidR="008E43BE" w:rsidRPr="0038611E">
        <w:rPr>
          <w:rFonts w:ascii="Times New Roman" w:hAnsi="Times New Roman" w:cs="Times New Roman"/>
        </w:rPr>
        <w:t>Abt</w:t>
      </w:r>
      <w:proofErr w:type="spellEnd"/>
      <w:r w:rsidR="008E43BE" w:rsidRPr="0038611E">
        <w:rPr>
          <w:rFonts w:ascii="Times New Roman" w:hAnsi="Times New Roman" w:cs="Times New Roman"/>
        </w:rPr>
        <w:t xml:space="preserve"> Associates for the Department of Health and Human Services</w:t>
      </w:r>
      <w:r w:rsidR="008E43BE" w:rsidRPr="0038611E" w:rsidDel="00CC6C25">
        <w:rPr>
          <w:rFonts w:ascii="Times New Roman" w:hAnsi="Times New Roman" w:cs="Times New Roman"/>
        </w:rPr>
        <w:t xml:space="preserve"> </w:t>
      </w:r>
      <w:r w:rsidR="008E43BE" w:rsidRPr="0038611E">
        <w:rPr>
          <w:rFonts w:ascii="Times New Roman" w:hAnsi="Times New Roman" w:cs="Times New Roman"/>
        </w:rPr>
        <w:t xml:space="preserve">(OMB No. 0970-0394); </w:t>
      </w:r>
    </w:p>
    <w:p w14:paraId="55E0791D"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WIA Adult and Dislocated Worker Programs Gold Standard Evaluation 15-month survey conducted by Mathematica Policy Research for the Department of Labor (OMB No. </w:t>
      </w:r>
      <w:r w:rsidR="008E43BE" w:rsidRPr="0038611E">
        <w:rPr>
          <w:rFonts w:ascii="Times New Roman" w:hAnsi="Times New Roman" w:cs="Times New Roman"/>
          <w:color w:val="000000"/>
        </w:rPr>
        <w:t>1205-0504</w:t>
      </w:r>
      <w:r w:rsidR="008E43BE" w:rsidRPr="0038611E">
        <w:rPr>
          <w:rFonts w:ascii="Times New Roman" w:hAnsi="Times New Roman" w:cs="Times New Roman"/>
        </w:rPr>
        <w:t xml:space="preserve">); </w:t>
      </w:r>
    </w:p>
    <w:p w14:paraId="1F933E9B" w14:textId="77777777" w:rsidR="008E43BE" w:rsidRPr="0038611E"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lastRenderedPageBreak/>
        <w:t>T</w:t>
      </w:r>
      <w:r w:rsidR="008E43BE" w:rsidRPr="0038611E">
        <w:rPr>
          <w:rFonts w:ascii="Times New Roman" w:hAnsi="Times New Roman" w:cs="Times New Roman"/>
        </w:rPr>
        <w:t xml:space="preserve">he Job Search Assistance (JSA) Strategies Evaluation Six-Month Follow-Up Survey conducted by </w:t>
      </w:r>
      <w:proofErr w:type="spellStart"/>
      <w:r w:rsidR="008E43BE" w:rsidRPr="0038611E">
        <w:rPr>
          <w:rFonts w:ascii="Times New Roman" w:hAnsi="Times New Roman" w:cs="Times New Roman"/>
        </w:rPr>
        <w:t>Abt</w:t>
      </w:r>
      <w:proofErr w:type="spellEnd"/>
      <w:r w:rsidR="008E43BE" w:rsidRPr="0038611E">
        <w:rPr>
          <w:rFonts w:ascii="Times New Roman" w:hAnsi="Times New Roman" w:cs="Times New Roman"/>
        </w:rPr>
        <w:t xml:space="preserve"> Associates for the Department of Health and Human Services (OMB No.0970-0440); and </w:t>
      </w:r>
    </w:p>
    <w:p w14:paraId="6ED57774" w14:textId="77777777" w:rsidR="008E43BE" w:rsidRPr="003034D8" w:rsidRDefault="0038611E" w:rsidP="0038611E">
      <w:pPr>
        <w:pStyle w:val="ListParagraph"/>
        <w:numPr>
          <w:ilvl w:val="0"/>
          <w:numId w:val="37"/>
        </w:numPr>
        <w:rPr>
          <w:rFonts w:ascii="Times New Roman" w:hAnsi="Times New Roman" w:cs="Times New Roman"/>
        </w:rPr>
      </w:pPr>
      <w:r>
        <w:rPr>
          <w:rFonts w:ascii="Times New Roman" w:hAnsi="Times New Roman" w:cs="Times New Roman"/>
        </w:rPr>
        <w:t>T</w:t>
      </w:r>
      <w:r w:rsidR="008E43BE" w:rsidRPr="0038611E">
        <w:rPr>
          <w:rFonts w:ascii="Times New Roman" w:hAnsi="Times New Roman" w:cs="Times New Roman"/>
        </w:rPr>
        <w:t xml:space="preserve">he TAA Follow-Up </w:t>
      </w:r>
      <w:r w:rsidR="008E43BE" w:rsidRPr="003034D8">
        <w:rPr>
          <w:rFonts w:ascii="Times New Roman" w:hAnsi="Times New Roman" w:cs="Times New Roman"/>
        </w:rPr>
        <w:t>for Baseline Completers, conducted by Mathematica Policy Research for the Department of Labor (OMB No. 1205-0460).</w:t>
      </w:r>
    </w:p>
    <w:p w14:paraId="426C403C" w14:textId="7A52ECCA" w:rsidR="008F27EA" w:rsidRDefault="005E2757" w:rsidP="005E2757">
      <w:pPr>
        <w:pStyle w:val="BodyText"/>
      </w:pPr>
      <w:r>
        <w:t xml:space="preserve">The </w:t>
      </w:r>
      <w:r w:rsidR="008F27EA">
        <w:t xml:space="preserve">evaluator </w:t>
      </w:r>
      <w:proofErr w:type="gramStart"/>
      <w:r>
        <w:t>pretested</w:t>
      </w:r>
      <w:proofErr w:type="gramEnd"/>
      <w:r>
        <w:t xml:space="preserve"> the </w:t>
      </w:r>
      <w:r w:rsidR="008F27EA">
        <w:t xml:space="preserve">survey </w:t>
      </w:r>
      <w:r>
        <w:t>with nine respondents from a TAACCCT grantee college,</w:t>
      </w:r>
      <w:r w:rsidRPr="005E2757">
        <w:t xml:space="preserve"> </w:t>
      </w:r>
      <w:r>
        <w:t>with characteristics comparable to the study participants.  Following the pretests, respondents were debriefed about the clarity of the questions and any potential problems with the instruments.</w:t>
      </w:r>
      <w:r w:rsidR="008F27EA">
        <w:t xml:space="preserve"> These pretests </w:t>
      </w:r>
      <w:r>
        <w:t xml:space="preserve">provided a </w:t>
      </w:r>
      <w:r w:rsidR="008F27EA">
        <w:t>definitive estimate about the length of the survey</w:t>
      </w:r>
      <w:r>
        <w:t xml:space="preserve"> (18.56 minutes)</w:t>
      </w:r>
      <w:r w:rsidR="008F27EA">
        <w:t xml:space="preserve"> and the </w:t>
      </w:r>
      <w:r>
        <w:t xml:space="preserve">clarity of </w:t>
      </w:r>
      <w:r w:rsidR="008F27EA">
        <w:t>various components</w:t>
      </w:r>
      <w:r>
        <w:t xml:space="preserve">. Based on the pretest findings the evaluator made </w:t>
      </w:r>
      <w:r w:rsidR="008F27EA">
        <w:t xml:space="preserve">improvements in </w:t>
      </w:r>
      <w:r w:rsidR="00554A48">
        <w:t>i</w:t>
      </w:r>
      <w:r w:rsidR="008F27EA">
        <w:t>ntroduction scripts</w:t>
      </w:r>
      <w:r>
        <w:t xml:space="preserve"> and</w:t>
      </w:r>
      <w:r w:rsidR="008F27EA">
        <w:t xml:space="preserve"> wording</w:t>
      </w:r>
      <w:r>
        <w:t xml:space="preserve"> of specific questions.</w:t>
      </w:r>
      <w:r w:rsidR="008F27EA">
        <w:t xml:space="preserve"> The instrument submitted for OMB review </w:t>
      </w:r>
      <w:r>
        <w:t>is</w:t>
      </w:r>
      <w:r w:rsidR="008F27EA">
        <w:t xml:space="preserve"> final and ready for use by the respondents.</w:t>
      </w:r>
    </w:p>
    <w:p w14:paraId="5D591F68" w14:textId="77777777" w:rsidR="008E43BE" w:rsidRDefault="008E43BE" w:rsidP="008E43BE">
      <w:pPr>
        <w:rPr>
          <w:rFonts w:cstheme="minorHAnsi"/>
          <w:i/>
        </w:rPr>
      </w:pPr>
      <w:r>
        <w:rPr>
          <w:rFonts w:cstheme="minorHAnsi"/>
          <w:i/>
        </w:rPr>
        <w:t xml:space="preserve">Participant Tracking Form </w:t>
      </w:r>
    </w:p>
    <w:p w14:paraId="3F16C055" w14:textId="5038309D" w:rsidR="008E43BE" w:rsidRPr="00F00C57" w:rsidRDefault="008E43BE" w:rsidP="008E43BE">
      <w:pPr>
        <w:rPr>
          <w:rFonts w:cstheme="minorHAnsi"/>
        </w:rPr>
      </w:pPr>
      <w:r>
        <w:rPr>
          <w:rFonts w:cstheme="minorHAnsi"/>
        </w:rPr>
        <w:t xml:space="preserve">This form has been used </w:t>
      </w:r>
      <w:r w:rsidR="00190C91">
        <w:rPr>
          <w:rFonts w:cstheme="minorHAnsi"/>
        </w:rPr>
        <w:t>for</w:t>
      </w:r>
      <w:r>
        <w:rPr>
          <w:rFonts w:cstheme="minorHAnsi"/>
        </w:rPr>
        <w:t xml:space="preserve"> other </w:t>
      </w:r>
      <w:r w:rsidR="00190C91">
        <w:rPr>
          <w:rFonts w:cstheme="minorHAnsi"/>
        </w:rPr>
        <w:t>studies</w:t>
      </w:r>
      <w:r>
        <w:rPr>
          <w:rFonts w:cstheme="minorHAnsi"/>
        </w:rPr>
        <w:t xml:space="preserve">; accordingly, </w:t>
      </w:r>
      <w:r w:rsidR="00190C91">
        <w:rPr>
          <w:rFonts w:cstheme="minorHAnsi"/>
        </w:rPr>
        <w:t>it wil</w:t>
      </w:r>
      <w:bookmarkStart w:id="5" w:name="_GoBack"/>
      <w:bookmarkEnd w:id="5"/>
      <w:r w:rsidR="00190C91">
        <w:rPr>
          <w:rFonts w:cstheme="minorHAnsi"/>
        </w:rPr>
        <w:t xml:space="preserve">l not be </w:t>
      </w:r>
      <w:r>
        <w:rPr>
          <w:rFonts w:cstheme="minorHAnsi"/>
        </w:rPr>
        <w:t>pretest</w:t>
      </w:r>
      <w:r w:rsidR="00190C91">
        <w:rPr>
          <w:rFonts w:cstheme="minorHAnsi"/>
        </w:rPr>
        <w:t>ed</w:t>
      </w:r>
      <w:r>
        <w:t>.</w:t>
      </w:r>
    </w:p>
    <w:p w14:paraId="66DD57C4" w14:textId="77777777" w:rsidR="008E43BE" w:rsidRDefault="008E43BE" w:rsidP="008E43BE">
      <w:pPr>
        <w:rPr>
          <w:rFonts w:cstheme="minorHAnsi"/>
        </w:rPr>
      </w:pPr>
      <w:r>
        <w:rPr>
          <w:rFonts w:cstheme="minorHAnsi"/>
          <w:i/>
        </w:rPr>
        <w:t>College Survey</w:t>
      </w:r>
    </w:p>
    <w:p w14:paraId="547CE0B4" w14:textId="5A52FD03" w:rsidR="008E43BE" w:rsidRDefault="000D375D" w:rsidP="008E43BE">
      <w:pPr>
        <w:keepNext/>
        <w:rPr>
          <w:rFonts w:cstheme="minorHAnsi"/>
        </w:rPr>
      </w:pPr>
      <w:r>
        <w:rPr>
          <w:rFonts w:cstheme="minorHAnsi"/>
        </w:rPr>
        <w:t>The college survey was pretested as a part of the Rounds 1-3 TAACCCT</w:t>
      </w:r>
      <w:r w:rsidR="0038611E">
        <w:rPr>
          <w:rFonts w:cstheme="minorHAnsi"/>
        </w:rPr>
        <w:t xml:space="preserve"> OMB</w:t>
      </w:r>
      <w:r>
        <w:rPr>
          <w:rFonts w:cstheme="minorHAnsi"/>
        </w:rPr>
        <w:t xml:space="preserve"> package</w:t>
      </w:r>
      <w:r w:rsidR="0038611E">
        <w:rPr>
          <w:rFonts w:cstheme="minorHAnsi"/>
        </w:rPr>
        <w:t xml:space="preserve"> (Control No. </w:t>
      </w:r>
      <w:r w:rsidR="0038611E" w:rsidRPr="0038611E">
        <w:rPr>
          <w:rFonts w:cstheme="minorHAnsi"/>
        </w:rPr>
        <w:t>1291-007</w:t>
      </w:r>
      <w:r w:rsidR="0038611E">
        <w:rPr>
          <w:rFonts w:cstheme="minorHAnsi"/>
        </w:rPr>
        <w:t>)</w:t>
      </w:r>
      <w:r>
        <w:rPr>
          <w:rFonts w:cstheme="minorHAnsi"/>
        </w:rPr>
        <w:t xml:space="preserve">. </w:t>
      </w:r>
      <w:r w:rsidR="005E2757">
        <w:rPr>
          <w:rFonts w:cstheme="minorHAnsi"/>
        </w:rPr>
        <w:t xml:space="preserve"> The eight n</w:t>
      </w:r>
      <w:r>
        <w:rPr>
          <w:rFonts w:cstheme="minorHAnsi"/>
        </w:rPr>
        <w:t xml:space="preserve">ew questions </w:t>
      </w:r>
      <w:r w:rsidR="005E2757">
        <w:rPr>
          <w:rFonts w:cstheme="minorHAnsi"/>
        </w:rPr>
        <w:t xml:space="preserve">were </w:t>
      </w:r>
      <w:r>
        <w:rPr>
          <w:rFonts w:cstheme="minorHAnsi"/>
        </w:rPr>
        <w:t xml:space="preserve">reviewed by </w:t>
      </w:r>
      <w:r w:rsidR="005E2757">
        <w:rPr>
          <w:rFonts w:cstheme="minorHAnsi"/>
        </w:rPr>
        <w:t xml:space="preserve">three </w:t>
      </w:r>
      <w:r>
        <w:rPr>
          <w:rFonts w:cstheme="minorHAnsi"/>
        </w:rPr>
        <w:t xml:space="preserve">TAACCCT </w:t>
      </w:r>
      <w:r w:rsidR="0038611E">
        <w:rPr>
          <w:rFonts w:cstheme="minorHAnsi"/>
        </w:rPr>
        <w:t xml:space="preserve">grantee </w:t>
      </w:r>
      <w:r>
        <w:rPr>
          <w:rFonts w:cstheme="minorHAnsi"/>
        </w:rPr>
        <w:t xml:space="preserve">colleges. </w:t>
      </w:r>
      <w:r w:rsidR="005E2757">
        <w:rPr>
          <w:rFonts w:cstheme="minorHAnsi"/>
        </w:rPr>
        <w:t xml:space="preserve">Comments were incorporated into the final instrument. </w:t>
      </w:r>
    </w:p>
    <w:p w14:paraId="55C545D0" w14:textId="77777777" w:rsidR="008E43BE" w:rsidRPr="00EA59B2" w:rsidRDefault="008E43BE" w:rsidP="008E43BE">
      <w:pPr>
        <w:keepNext/>
        <w:rPr>
          <w:rFonts w:cstheme="minorHAnsi"/>
          <w:i/>
        </w:rPr>
      </w:pPr>
      <w:r>
        <w:rPr>
          <w:rFonts w:cstheme="minorHAnsi"/>
          <w:i/>
        </w:rPr>
        <w:t>Employer Interviews</w:t>
      </w:r>
    </w:p>
    <w:p w14:paraId="0C141009" w14:textId="5F4F4E51" w:rsidR="008E43BE" w:rsidRDefault="000D375D" w:rsidP="00211CA1">
      <w:pPr>
        <w:rPr>
          <w:rFonts w:cstheme="minorHAnsi"/>
        </w:rPr>
      </w:pPr>
      <w:r>
        <w:rPr>
          <w:rFonts w:cstheme="minorHAnsi"/>
        </w:rPr>
        <w:t xml:space="preserve">The guide contains questions that are similar to those included in guides from </w:t>
      </w:r>
      <w:r w:rsidR="00190C91">
        <w:rPr>
          <w:rFonts w:cstheme="minorHAnsi"/>
        </w:rPr>
        <w:t>other</w:t>
      </w:r>
      <w:r>
        <w:rPr>
          <w:rFonts w:cstheme="minorHAnsi"/>
        </w:rPr>
        <w:t xml:space="preserve"> grant-funded efforts</w:t>
      </w:r>
      <w:r w:rsidR="00554A48">
        <w:rPr>
          <w:rFonts w:cstheme="minorHAnsi"/>
        </w:rPr>
        <w:t>; accordingly it will not be pretested</w:t>
      </w:r>
      <w:r>
        <w:rPr>
          <w:rFonts w:cstheme="minorHAnsi"/>
        </w:rPr>
        <w:t xml:space="preserve">. </w:t>
      </w:r>
    </w:p>
    <w:p w14:paraId="78B7EA14" w14:textId="77777777" w:rsidR="006F299B" w:rsidRPr="004F1FB4" w:rsidRDefault="006F299B" w:rsidP="00D5385B">
      <w:pPr>
        <w:pStyle w:val="Heading2"/>
      </w:pPr>
      <w:bookmarkStart w:id="6" w:name="_Toc322083619"/>
      <w:r w:rsidRPr="004F1FB4">
        <w:t>B.5</w:t>
      </w:r>
      <w:r w:rsidRPr="004F1FB4">
        <w:tab/>
        <w:t>Individuals Consulted on Statistical Aspects of the Design</w:t>
      </w:r>
      <w:bookmarkEnd w:id="6"/>
    </w:p>
    <w:p w14:paraId="429C060A" w14:textId="77777777" w:rsidR="006F299B" w:rsidRPr="003F6E89" w:rsidRDefault="006F299B" w:rsidP="00763127">
      <w:pPr>
        <w:pStyle w:val="BodyText"/>
        <w:rPr>
          <w:color w:val="000000" w:themeColor="text1"/>
        </w:rPr>
      </w:pPr>
      <w:r w:rsidRPr="003F6E89">
        <w:rPr>
          <w:color w:val="000000" w:themeColor="text1"/>
        </w:rPr>
        <w:t xml:space="preserve">The individuals listed in Exhibit </w:t>
      </w:r>
      <w:r w:rsidR="003F6E89" w:rsidRPr="003034D8">
        <w:rPr>
          <w:color w:val="000000" w:themeColor="text1"/>
        </w:rPr>
        <w:t>B5.1</w:t>
      </w:r>
      <w:r w:rsidRPr="003F6E89">
        <w:rPr>
          <w:color w:val="000000" w:themeColor="text1"/>
        </w:rPr>
        <w:t xml:space="preserve"> made a contribution to the design of the evaluation</w:t>
      </w:r>
      <w:r w:rsidR="00A72AB7">
        <w:rPr>
          <w:color w:val="000000" w:themeColor="text1"/>
        </w:rPr>
        <w:t xml:space="preserve">. </w:t>
      </w:r>
      <w:r w:rsidR="006C6F3B">
        <w:rPr>
          <w:color w:val="000000" w:themeColor="text1"/>
        </w:rPr>
        <w:t>Follow-up d</w:t>
      </w:r>
      <w:r w:rsidR="002F4256">
        <w:rPr>
          <w:color w:val="000000" w:themeColor="text1"/>
        </w:rPr>
        <w:t xml:space="preserve">ata collection for the </w:t>
      </w:r>
      <w:r w:rsidR="00BF378B">
        <w:rPr>
          <w:color w:val="000000" w:themeColor="text1"/>
        </w:rPr>
        <w:t>Outcomes Study</w:t>
      </w:r>
      <w:r w:rsidR="00763127">
        <w:rPr>
          <w:color w:val="000000" w:themeColor="text1"/>
        </w:rPr>
        <w:t xml:space="preserve"> </w:t>
      </w:r>
      <w:r w:rsidR="002F4256">
        <w:rPr>
          <w:color w:val="000000" w:themeColor="text1"/>
        </w:rPr>
        <w:t xml:space="preserve">will be conducted by </w:t>
      </w:r>
      <w:proofErr w:type="spellStart"/>
      <w:r w:rsidR="002F4256">
        <w:rPr>
          <w:color w:val="000000" w:themeColor="text1"/>
        </w:rPr>
        <w:t>Abt</w:t>
      </w:r>
      <w:proofErr w:type="spellEnd"/>
      <w:r w:rsidR="002F4256">
        <w:rPr>
          <w:color w:val="000000" w:themeColor="text1"/>
        </w:rPr>
        <w:t xml:space="preserve"> SRBI, a subsidiary of </w:t>
      </w:r>
      <w:proofErr w:type="spellStart"/>
      <w:r w:rsidR="002F4256">
        <w:rPr>
          <w:color w:val="000000" w:themeColor="text1"/>
        </w:rPr>
        <w:t>Abt</w:t>
      </w:r>
      <w:proofErr w:type="spellEnd"/>
      <w:r w:rsidR="002F4256">
        <w:rPr>
          <w:color w:val="000000" w:themeColor="text1"/>
        </w:rPr>
        <w:t xml:space="preserve"> Associates, under the </w:t>
      </w:r>
      <w:r w:rsidR="00CF12ED">
        <w:rPr>
          <w:color w:val="000000" w:themeColor="text1"/>
        </w:rPr>
        <w:t xml:space="preserve">general </w:t>
      </w:r>
      <w:r w:rsidR="002F4256">
        <w:rPr>
          <w:color w:val="000000" w:themeColor="text1"/>
        </w:rPr>
        <w:t>direction of Ms. Gardiner</w:t>
      </w:r>
      <w:r w:rsidR="00763127">
        <w:rPr>
          <w:color w:val="000000" w:themeColor="text1"/>
        </w:rPr>
        <w:t xml:space="preserve">, Project Director. Administration of the college survey and employer interviews will be conducted by the Urban Institute, under the general direction of Ms. Eyster, Co-Principal Investigator. </w:t>
      </w:r>
      <w:r w:rsidR="002F4256">
        <w:rPr>
          <w:color w:val="000000" w:themeColor="text1"/>
        </w:rPr>
        <w:t xml:space="preserve">The data collected for the </w:t>
      </w:r>
      <w:r w:rsidR="00BF378B">
        <w:rPr>
          <w:color w:val="000000" w:themeColor="text1"/>
        </w:rPr>
        <w:t>Outcomes Study</w:t>
      </w:r>
      <w:r w:rsidR="002F4256">
        <w:rPr>
          <w:color w:val="000000" w:themeColor="text1"/>
        </w:rPr>
        <w:t xml:space="preserve"> will be analyzed under</w:t>
      </w:r>
      <w:r w:rsidR="00763127">
        <w:rPr>
          <w:color w:val="000000" w:themeColor="text1"/>
        </w:rPr>
        <w:t xml:space="preserve"> the direction of Mr. Judkins. </w:t>
      </w:r>
      <w:r w:rsidR="002F4256">
        <w:rPr>
          <w:color w:val="000000" w:themeColor="text1"/>
        </w:rPr>
        <w:t xml:space="preserve">Both the </w:t>
      </w:r>
      <w:r w:rsidR="00763127">
        <w:rPr>
          <w:color w:val="000000" w:themeColor="text1"/>
        </w:rPr>
        <w:t>collection</w:t>
      </w:r>
      <w:r w:rsidR="002F4256">
        <w:rPr>
          <w:color w:val="000000" w:themeColor="text1"/>
        </w:rPr>
        <w:t xml:space="preserve"> and analysis of </w:t>
      </w:r>
      <w:r w:rsidR="00CF12ED">
        <w:rPr>
          <w:color w:val="000000" w:themeColor="text1"/>
        </w:rPr>
        <w:t xml:space="preserve">data for the </w:t>
      </w:r>
      <w:r w:rsidR="00763127">
        <w:rPr>
          <w:color w:val="000000" w:themeColor="text1"/>
        </w:rPr>
        <w:t>implementation and employer studies</w:t>
      </w:r>
      <w:r w:rsidR="002F4256">
        <w:rPr>
          <w:color w:val="000000" w:themeColor="text1"/>
        </w:rPr>
        <w:t xml:space="preserve"> will be under the direction of Ms. Gardiner</w:t>
      </w:r>
      <w:r w:rsidR="00763127">
        <w:rPr>
          <w:color w:val="000000" w:themeColor="text1"/>
        </w:rPr>
        <w:t xml:space="preserve"> and Ms. Eyster</w:t>
      </w:r>
      <w:r w:rsidR="00A72AB7">
        <w:rPr>
          <w:color w:val="000000" w:themeColor="text1"/>
        </w:rPr>
        <w:t xml:space="preserve">. </w:t>
      </w:r>
    </w:p>
    <w:p w14:paraId="76A08260" w14:textId="77777777" w:rsidR="00842C2C" w:rsidRPr="003F6E89" w:rsidRDefault="00842C2C" w:rsidP="002F4256">
      <w:pPr>
        <w:pStyle w:val="Exhibit"/>
        <w:keepNext/>
        <w:rPr>
          <w:color w:val="000000" w:themeColor="text1"/>
        </w:rPr>
      </w:pPr>
      <w:r w:rsidRPr="003F6E89">
        <w:rPr>
          <w:color w:val="000000" w:themeColor="text1"/>
        </w:rPr>
        <w:t xml:space="preserve">Exhibit </w:t>
      </w:r>
      <w:r w:rsidR="003F6E89" w:rsidRPr="003F6E89">
        <w:rPr>
          <w:color w:val="000000" w:themeColor="text1"/>
        </w:rPr>
        <w:t>B5.1</w:t>
      </w:r>
      <w:r w:rsidR="00B62090">
        <w:rPr>
          <w:color w:val="000000" w:themeColor="text1"/>
        </w:rPr>
        <w:t>: Individuals Consulted</w:t>
      </w:r>
    </w:p>
    <w:tbl>
      <w:tblPr>
        <w:tblStyle w:val="TableGrid"/>
        <w:tblW w:w="913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43" w:type="dxa"/>
          <w:right w:w="43" w:type="dxa"/>
        </w:tblCellMar>
        <w:tblLook w:val="04A0" w:firstRow="1" w:lastRow="0" w:firstColumn="1" w:lastColumn="0" w:noHBand="0" w:noVBand="1"/>
      </w:tblPr>
      <w:tblGrid>
        <w:gridCol w:w="2766"/>
        <w:gridCol w:w="2587"/>
        <w:gridCol w:w="3780"/>
      </w:tblGrid>
      <w:tr w:rsidR="00842C2C" w:rsidRPr="003A17F4" w14:paraId="2D58362D" w14:textId="77777777" w:rsidTr="00222854">
        <w:tc>
          <w:tcPr>
            <w:tcW w:w="2766" w:type="dxa"/>
            <w:shd w:val="clear" w:color="auto" w:fill="C3C6A8"/>
          </w:tcPr>
          <w:p w14:paraId="06B6876D" w14:textId="77777777" w:rsidR="00842C2C" w:rsidRPr="00170CF9" w:rsidRDefault="00842C2C" w:rsidP="00636BFC">
            <w:pPr>
              <w:spacing w:before="60" w:after="60"/>
              <w:jc w:val="center"/>
              <w:rPr>
                <w:rFonts w:ascii="Arial" w:hAnsi="Arial" w:cs="Arial"/>
                <w:b/>
                <w:sz w:val="18"/>
                <w:szCs w:val="18"/>
              </w:rPr>
            </w:pPr>
            <w:r w:rsidRPr="00170CF9">
              <w:rPr>
                <w:rFonts w:ascii="Arial" w:hAnsi="Arial" w:cs="Arial"/>
                <w:b/>
                <w:sz w:val="18"/>
                <w:szCs w:val="18"/>
              </w:rPr>
              <w:t>Name</w:t>
            </w:r>
          </w:p>
        </w:tc>
        <w:tc>
          <w:tcPr>
            <w:tcW w:w="2587" w:type="dxa"/>
            <w:shd w:val="clear" w:color="auto" w:fill="C3C6A8"/>
          </w:tcPr>
          <w:p w14:paraId="23761F77" w14:textId="77777777" w:rsidR="00842C2C" w:rsidRPr="00170CF9" w:rsidRDefault="00842C2C" w:rsidP="00636BFC">
            <w:pPr>
              <w:spacing w:before="60" w:after="60"/>
              <w:jc w:val="center"/>
              <w:rPr>
                <w:rFonts w:ascii="Arial" w:hAnsi="Arial" w:cs="Arial"/>
                <w:b/>
                <w:sz w:val="18"/>
                <w:szCs w:val="18"/>
              </w:rPr>
            </w:pPr>
            <w:r w:rsidRPr="00170CF9">
              <w:rPr>
                <w:rFonts w:ascii="Arial" w:hAnsi="Arial" w:cs="Arial"/>
                <w:b/>
                <w:sz w:val="18"/>
                <w:szCs w:val="18"/>
              </w:rPr>
              <w:t>Telephone Number</w:t>
            </w:r>
          </w:p>
        </w:tc>
        <w:tc>
          <w:tcPr>
            <w:tcW w:w="3780" w:type="dxa"/>
            <w:shd w:val="clear" w:color="auto" w:fill="C3C6A8"/>
          </w:tcPr>
          <w:p w14:paraId="05A1DAEC" w14:textId="77777777" w:rsidR="00842C2C" w:rsidRPr="00170CF9" w:rsidRDefault="00842C2C" w:rsidP="00636BFC">
            <w:pPr>
              <w:spacing w:before="60" w:after="60"/>
              <w:jc w:val="center"/>
              <w:rPr>
                <w:rFonts w:ascii="Arial" w:hAnsi="Arial" w:cs="Arial"/>
                <w:b/>
                <w:sz w:val="18"/>
                <w:szCs w:val="18"/>
              </w:rPr>
            </w:pPr>
            <w:r w:rsidRPr="00170CF9">
              <w:rPr>
                <w:rFonts w:ascii="Arial" w:hAnsi="Arial" w:cs="Arial"/>
                <w:b/>
                <w:sz w:val="18"/>
                <w:szCs w:val="18"/>
              </w:rPr>
              <w:t>Role in Study</w:t>
            </w:r>
          </w:p>
        </w:tc>
      </w:tr>
      <w:tr w:rsidR="00842C2C" w:rsidRPr="003A17F4" w14:paraId="38DB8594" w14:textId="77777777" w:rsidTr="00222854">
        <w:tc>
          <w:tcPr>
            <w:tcW w:w="2766" w:type="dxa"/>
          </w:tcPr>
          <w:p w14:paraId="2C2316CB" w14:textId="77777777" w:rsidR="00842C2C" w:rsidRPr="00170CF9" w:rsidRDefault="00BB5141" w:rsidP="00636BFC">
            <w:pPr>
              <w:spacing w:before="60" w:after="60"/>
              <w:rPr>
                <w:rFonts w:ascii="Arial" w:hAnsi="Arial" w:cs="Arial"/>
                <w:sz w:val="18"/>
                <w:szCs w:val="18"/>
              </w:rPr>
            </w:pPr>
            <w:r w:rsidRPr="00170CF9">
              <w:rPr>
                <w:rFonts w:ascii="Arial" w:hAnsi="Arial" w:cs="Arial"/>
                <w:sz w:val="18"/>
                <w:szCs w:val="18"/>
              </w:rPr>
              <w:t>Karen Gardiner</w:t>
            </w:r>
          </w:p>
        </w:tc>
        <w:tc>
          <w:tcPr>
            <w:tcW w:w="2587" w:type="dxa"/>
          </w:tcPr>
          <w:p w14:paraId="592E374C" w14:textId="77777777" w:rsidR="00842C2C" w:rsidRPr="00170CF9" w:rsidRDefault="003A17F4" w:rsidP="00DF11DE">
            <w:pPr>
              <w:spacing w:before="60" w:after="60"/>
              <w:rPr>
                <w:rFonts w:ascii="Arial" w:hAnsi="Arial" w:cs="Arial"/>
                <w:sz w:val="18"/>
                <w:szCs w:val="18"/>
              </w:rPr>
            </w:pPr>
            <w:r w:rsidRPr="00170CF9">
              <w:rPr>
                <w:rFonts w:ascii="Arial" w:hAnsi="Arial" w:cs="Arial"/>
                <w:sz w:val="18"/>
                <w:szCs w:val="18"/>
              </w:rPr>
              <w:t>(</w:t>
            </w:r>
            <w:r w:rsidR="00BB5141" w:rsidRPr="00170CF9">
              <w:rPr>
                <w:rFonts w:ascii="Arial" w:hAnsi="Arial" w:cs="Arial"/>
                <w:sz w:val="18"/>
                <w:szCs w:val="18"/>
              </w:rPr>
              <w:t>301</w:t>
            </w:r>
            <w:r w:rsidRPr="00170CF9">
              <w:rPr>
                <w:rFonts w:ascii="Arial" w:hAnsi="Arial" w:cs="Arial"/>
                <w:sz w:val="18"/>
                <w:szCs w:val="18"/>
              </w:rPr>
              <w:t xml:space="preserve">) </w:t>
            </w:r>
            <w:r w:rsidR="00BB5141" w:rsidRPr="00170CF9">
              <w:rPr>
                <w:rFonts w:ascii="Arial" w:hAnsi="Arial" w:cs="Arial"/>
                <w:sz w:val="18"/>
                <w:szCs w:val="18"/>
              </w:rPr>
              <w:t>347-5</w:t>
            </w:r>
            <w:r w:rsidR="00DF11DE">
              <w:rPr>
                <w:rFonts w:ascii="Arial" w:hAnsi="Arial" w:cs="Arial"/>
                <w:sz w:val="18"/>
                <w:szCs w:val="18"/>
              </w:rPr>
              <w:t>116</w:t>
            </w:r>
          </w:p>
        </w:tc>
        <w:tc>
          <w:tcPr>
            <w:tcW w:w="3780" w:type="dxa"/>
          </w:tcPr>
          <w:p w14:paraId="5D0C385F" w14:textId="77777777" w:rsidR="00842C2C" w:rsidRPr="00170CF9" w:rsidRDefault="00842C2C" w:rsidP="00636BFC">
            <w:pPr>
              <w:spacing w:before="60" w:after="60"/>
              <w:rPr>
                <w:rFonts w:ascii="Arial" w:hAnsi="Arial" w:cs="Arial"/>
                <w:sz w:val="18"/>
                <w:szCs w:val="18"/>
              </w:rPr>
            </w:pPr>
            <w:r w:rsidRPr="00170CF9">
              <w:rPr>
                <w:rFonts w:ascii="Arial" w:hAnsi="Arial" w:cs="Arial"/>
                <w:sz w:val="18"/>
                <w:szCs w:val="18"/>
              </w:rPr>
              <w:t>Project Director</w:t>
            </w:r>
          </w:p>
        </w:tc>
      </w:tr>
      <w:tr w:rsidR="00842C2C" w:rsidRPr="003A17F4" w14:paraId="43E46890" w14:textId="77777777" w:rsidTr="00222854">
        <w:tc>
          <w:tcPr>
            <w:tcW w:w="2766" w:type="dxa"/>
          </w:tcPr>
          <w:p w14:paraId="58A05C46" w14:textId="77777777" w:rsidR="00842C2C" w:rsidRPr="00170CF9" w:rsidRDefault="00BB5141" w:rsidP="00636BFC">
            <w:pPr>
              <w:spacing w:before="60" w:after="60"/>
              <w:rPr>
                <w:rFonts w:ascii="Arial" w:hAnsi="Arial" w:cs="Arial"/>
                <w:sz w:val="18"/>
                <w:szCs w:val="18"/>
              </w:rPr>
            </w:pPr>
            <w:r w:rsidRPr="00170CF9">
              <w:rPr>
                <w:rFonts w:ascii="Arial" w:hAnsi="Arial" w:cs="Arial"/>
                <w:sz w:val="18"/>
                <w:szCs w:val="18"/>
              </w:rPr>
              <w:t>David Judkins</w:t>
            </w:r>
          </w:p>
        </w:tc>
        <w:tc>
          <w:tcPr>
            <w:tcW w:w="2587" w:type="dxa"/>
          </w:tcPr>
          <w:p w14:paraId="1B00DDA5" w14:textId="77777777" w:rsidR="00842C2C" w:rsidRPr="00170CF9" w:rsidRDefault="003A17F4" w:rsidP="00636BFC">
            <w:pPr>
              <w:spacing w:before="60" w:after="60"/>
              <w:rPr>
                <w:rFonts w:ascii="Arial" w:hAnsi="Arial" w:cs="Arial"/>
                <w:sz w:val="18"/>
                <w:szCs w:val="18"/>
              </w:rPr>
            </w:pPr>
            <w:r w:rsidRPr="00170CF9">
              <w:rPr>
                <w:rFonts w:ascii="Arial" w:hAnsi="Arial" w:cs="Arial"/>
                <w:sz w:val="18"/>
                <w:szCs w:val="18"/>
              </w:rPr>
              <w:t>(</w:t>
            </w:r>
            <w:r w:rsidR="00842C2C" w:rsidRPr="00170CF9">
              <w:rPr>
                <w:rFonts w:ascii="Arial" w:hAnsi="Arial" w:cs="Arial"/>
                <w:sz w:val="18"/>
                <w:szCs w:val="18"/>
              </w:rPr>
              <w:t>301</w:t>
            </w:r>
            <w:r w:rsidRPr="00170CF9">
              <w:rPr>
                <w:rFonts w:ascii="Arial" w:hAnsi="Arial" w:cs="Arial"/>
                <w:sz w:val="18"/>
                <w:szCs w:val="18"/>
              </w:rPr>
              <w:t xml:space="preserve">) </w:t>
            </w:r>
            <w:r w:rsidR="00D91C3B" w:rsidRPr="00170CF9">
              <w:rPr>
                <w:rFonts w:ascii="Arial" w:hAnsi="Arial" w:cs="Arial"/>
                <w:sz w:val="18"/>
                <w:szCs w:val="18"/>
              </w:rPr>
              <w:t>347-595</w:t>
            </w:r>
            <w:r w:rsidRPr="00170CF9">
              <w:rPr>
                <w:rFonts w:ascii="Arial" w:hAnsi="Arial" w:cs="Arial"/>
                <w:sz w:val="18"/>
                <w:szCs w:val="18"/>
              </w:rPr>
              <w:t>2</w:t>
            </w:r>
          </w:p>
        </w:tc>
        <w:tc>
          <w:tcPr>
            <w:tcW w:w="3780" w:type="dxa"/>
          </w:tcPr>
          <w:p w14:paraId="0B43D238" w14:textId="77777777" w:rsidR="00842C2C" w:rsidRPr="00170CF9" w:rsidRDefault="00BB5141" w:rsidP="00636BFC">
            <w:pPr>
              <w:spacing w:before="60" w:after="60"/>
              <w:rPr>
                <w:rFonts w:ascii="Arial" w:hAnsi="Arial" w:cs="Arial"/>
                <w:sz w:val="18"/>
                <w:szCs w:val="18"/>
              </w:rPr>
            </w:pPr>
            <w:r w:rsidRPr="00170CF9">
              <w:rPr>
                <w:rFonts w:ascii="Arial" w:hAnsi="Arial" w:cs="Arial"/>
                <w:sz w:val="18"/>
                <w:szCs w:val="18"/>
              </w:rPr>
              <w:t>Co-</w:t>
            </w:r>
            <w:r w:rsidR="00842C2C" w:rsidRPr="00170CF9">
              <w:rPr>
                <w:rFonts w:ascii="Arial" w:hAnsi="Arial" w:cs="Arial"/>
                <w:sz w:val="18"/>
                <w:szCs w:val="18"/>
              </w:rPr>
              <w:t>Principal Investigator</w:t>
            </w:r>
          </w:p>
        </w:tc>
      </w:tr>
      <w:tr w:rsidR="00842C2C" w:rsidRPr="003A17F4" w14:paraId="18EF605B" w14:textId="77777777" w:rsidTr="00222854">
        <w:tc>
          <w:tcPr>
            <w:tcW w:w="2766" w:type="dxa"/>
          </w:tcPr>
          <w:p w14:paraId="2C8C3B53" w14:textId="77777777" w:rsidR="00842C2C" w:rsidRPr="00170CF9" w:rsidRDefault="00BB5141" w:rsidP="00636BFC">
            <w:pPr>
              <w:spacing w:before="60" w:after="60"/>
              <w:rPr>
                <w:rFonts w:ascii="Arial" w:hAnsi="Arial" w:cs="Arial"/>
                <w:sz w:val="18"/>
                <w:szCs w:val="18"/>
              </w:rPr>
            </w:pPr>
            <w:r w:rsidRPr="00170CF9">
              <w:rPr>
                <w:rFonts w:ascii="Arial" w:hAnsi="Arial" w:cs="Arial"/>
                <w:sz w:val="18"/>
                <w:szCs w:val="18"/>
              </w:rPr>
              <w:t>Lauren Eyster</w:t>
            </w:r>
          </w:p>
        </w:tc>
        <w:tc>
          <w:tcPr>
            <w:tcW w:w="2587" w:type="dxa"/>
          </w:tcPr>
          <w:p w14:paraId="1ACC9EEB" w14:textId="77777777" w:rsidR="00842C2C" w:rsidRPr="00170CF9" w:rsidRDefault="003A0028" w:rsidP="00636BFC">
            <w:pPr>
              <w:spacing w:before="60" w:after="60"/>
              <w:rPr>
                <w:rFonts w:ascii="Arial" w:hAnsi="Arial" w:cs="Arial"/>
                <w:sz w:val="18"/>
                <w:szCs w:val="18"/>
              </w:rPr>
            </w:pPr>
            <w:r w:rsidRPr="00170CF9">
              <w:rPr>
                <w:rFonts w:ascii="Arial" w:hAnsi="Arial" w:cs="Arial"/>
                <w:sz w:val="18"/>
                <w:szCs w:val="18"/>
              </w:rPr>
              <w:t>(202) 261-5621</w:t>
            </w:r>
          </w:p>
        </w:tc>
        <w:tc>
          <w:tcPr>
            <w:tcW w:w="3780" w:type="dxa"/>
          </w:tcPr>
          <w:p w14:paraId="36F966F4" w14:textId="77777777" w:rsidR="00842C2C" w:rsidRPr="00170CF9" w:rsidRDefault="00BB5141" w:rsidP="00636BFC">
            <w:pPr>
              <w:spacing w:before="60" w:after="60"/>
              <w:rPr>
                <w:rFonts w:ascii="Arial" w:hAnsi="Arial" w:cs="Arial"/>
                <w:sz w:val="18"/>
                <w:szCs w:val="18"/>
              </w:rPr>
            </w:pPr>
            <w:r w:rsidRPr="00170CF9">
              <w:rPr>
                <w:rFonts w:ascii="Arial" w:hAnsi="Arial" w:cs="Arial"/>
                <w:sz w:val="18"/>
                <w:szCs w:val="18"/>
              </w:rPr>
              <w:t xml:space="preserve">Co-Principal Investigator </w:t>
            </w:r>
          </w:p>
        </w:tc>
      </w:tr>
    </w:tbl>
    <w:p w14:paraId="32504200" w14:textId="77777777" w:rsidR="00842C2C" w:rsidRPr="007C63A3" w:rsidRDefault="00842C2C" w:rsidP="00842C2C">
      <w:pPr>
        <w:rPr>
          <w:rFonts w:cstheme="minorHAnsi"/>
        </w:rPr>
      </w:pPr>
    </w:p>
    <w:p w14:paraId="4C00C3A7" w14:textId="77777777" w:rsidR="006F299B" w:rsidRPr="007C63A3" w:rsidRDefault="006F299B" w:rsidP="005178C3">
      <w:pPr>
        <w:keepNext/>
        <w:rPr>
          <w:rFonts w:cstheme="minorHAnsi"/>
        </w:rPr>
      </w:pPr>
      <w:r w:rsidRPr="007C63A3">
        <w:rPr>
          <w:rFonts w:cstheme="minorHAnsi"/>
        </w:rPr>
        <w:lastRenderedPageBreak/>
        <w:t>Inquiries regarding the statistical aspects of the study’s planned analysis should be directed to:</w:t>
      </w:r>
    </w:p>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500"/>
        <w:gridCol w:w="3072"/>
      </w:tblGrid>
      <w:tr w:rsidR="00636BFC" w14:paraId="78E70A85" w14:textId="77777777" w:rsidTr="00636BFC">
        <w:tc>
          <w:tcPr>
            <w:tcW w:w="1728" w:type="dxa"/>
          </w:tcPr>
          <w:p w14:paraId="545ECCB6" w14:textId="77777777" w:rsidR="00636BFC" w:rsidRDefault="00636BFC" w:rsidP="005178C3">
            <w:pPr>
              <w:keepNext/>
              <w:spacing w:after="0"/>
              <w:rPr>
                <w:rFonts w:cstheme="minorHAnsi"/>
              </w:rPr>
            </w:pPr>
            <w:r w:rsidRPr="00A10898">
              <w:rPr>
                <w:rFonts w:cstheme="minorHAnsi"/>
              </w:rPr>
              <w:t>David Judkins</w:t>
            </w:r>
          </w:p>
        </w:tc>
        <w:tc>
          <w:tcPr>
            <w:tcW w:w="4500" w:type="dxa"/>
          </w:tcPr>
          <w:p w14:paraId="53E0434C" w14:textId="77777777" w:rsidR="00636BFC" w:rsidRDefault="00636BFC" w:rsidP="005178C3">
            <w:pPr>
              <w:keepNext/>
              <w:spacing w:after="0"/>
              <w:rPr>
                <w:rFonts w:cstheme="minorHAnsi"/>
              </w:rPr>
            </w:pPr>
            <w:r w:rsidRPr="00A10898">
              <w:rPr>
                <w:rFonts w:cstheme="minorHAnsi"/>
              </w:rPr>
              <w:t>Co-Principal Investigator</w:t>
            </w:r>
          </w:p>
        </w:tc>
        <w:tc>
          <w:tcPr>
            <w:tcW w:w="3072" w:type="dxa"/>
          </w:tcPr>
          <w:p w14:paraId="5D82AB00" w14:textId="77777777" w:rsidR="00636BFC" w:rsidRDefault="00636BFC" w:rsidP="008362CF">
            <w:pPr>
              <w:keepNext/>
              <w:spacing w:after="0"/>
              <w:rPr>
                <w:rFonts w:cstheme="minorHAnsi"/>
              </w:rPr>
            </w:pPr>
            <w:r w:rsidRPr="00A10898">
              <w:rPr>
                <w:rFonts w:cstheme="minorHAnsi"/>
              </w:rPr>
              <w:t>301-347-595</w:t>
            </w:r>
            <w:r w:rsidR="008362CF">
              <w:rPr>
                <w:rFonts w:cstheme="minorHAnsi"/>
              </w:rPr>
              <w:t>2</w:t>
            </w:r>
          </w:p>
        </w:tc>
      </w:tr>
      <w:tr w:rsidR="00636BFC" w14:paraId="6A375616" w14:textId="77777777" w:rsidTr="00636BFC">
        <w:tc>
          <w:tcPr>
            <w:tcW w:w="1728" w:type="dxa"/>
          </w:tcPr>
          <w:p w14:paraId="528B8341" w14:textId="77777777" w:rsidR="00636BFC" w:rsidRDefault="00636BFC" w:rsidP="005178C3">
            <w:pPr>
              <w:keepNext/>
              <w:spacing w:after="0"/>
              <w:rPr>
                <w:rFonts w:cstheme="minorHAnsi"/>
              </w:rPr>
            </w:pPr>
            <w:r w:rsidRPr="00A10898">
              <w:rPr>
                <w:rFonts w:cstheme="minorHAnsi"/>
              </w:rPr>
              <w:t>Dr. Molly Irwin</w:t>
            </w:r>
          </w:p>
        </w:tc>
        <w:tc>
          <w:tcPr>
            <w:tcW w:w="4500" w:type="dxa"/>
          </w:tcPr>
          <w:p w14:paraId="4D374707" w14:textId="77777777" w:rsidR="00636BFC" w:rsidRDefault="008A75F0" w:rsidP="005178C3">
            <w:pPr>
              <w:keepNext/>
              <w:spacing w:after="0"/>
              <w:rPr>
                <w:rFonts w:cstheme="minorHAnsi"/>
              </w:rPr>
            </w:pPr>
            <w:r>
              <w:rPr>
                <w:rFonts w:cstheme="minorHAnsi"/>
              </w:rPr>
              <w:t>Senior Evaluation Specialist</w:t>
            </w:r>
            <w:r w:rsidR="00636BFC">
              <w:rPr>
                <w:rFonts w:cstheme="minorHAnsi"/>
              </w:rPr>
              <w:t xml:space="preserve">, </w:t>
            </w:r>
            <w:r w:rsidR="00636BFC" w:rsidRPr="00A10898">
              <w:rPr>
                <w:rFonts w:cstheme="minorHAnsi"/>
              </w:rPr>
              <w:t>Chief Evaluation Office, DOL</w:t>
            </w:r>
          </w:p>
        </w:tc>
        <w:tc>
          <w:tcPr>
            <w:tcW w:w="3072" w:type="dxa"/>
          </w:tcPr>
          <w:p w14:paraId="5CACBF64" w14:textId="77777777" w:rsidR="00636BFC" w:rsidRDefault="00976632" w:rsidP="005178C3">
            <w:pPr>
              <w:keepNext/>
              <w:spacing w:after="0"/>
              <w:rPr>
                <w:rFonts w:cstheme="minorHAnsi"/>
              </w:rPr>
            </w:pPr>
            <w:r>
              <w:rPr>
                <w:rFonts w:cstheme="minorHAnsi"/>
              </w:rPr>
              <w:t>202-693-5091</w:t>
            </w:r>
          </w:p>
        </w:tc>
      </w:tr>
    </w:tbl>
    <w:p w14:paraId="67EE865F" w14:textId="77777777" w:rsidR="00036ECE" w:rsidRDefault="00036ECE" w:rsidP="005178C3">
      <w:pPr>
        <w:spacing w:after="0" w:line="240" w:lineRule="auto"/>
        <w:rPr>
          <w:szCs w:val="22"/>
        </w:rPr>
      </w:pPr>
    </w:p>
    <w:p w14:paraId="44A5D86E" w14:textId="77777777" w:rsidR="00216025" w:rsidRDefault="00216025" w:rsidP="00216025">
      <w:pPr>
        <w:pStyle w:val="Heading1"/>
        <w:numPr>
          <w:ilvl w:val="0"/>
          <w:numId w:val="0"/>
        </w:numPr>
      </w:pPr>
      <w:bookmarkStart w:id="7" w:name="_Toc419820632"/>
      <w:r>
        <w:lastRenderedPageBreak/>
        <w:t>References</w:t>
      </w:r>
      <w:bookmarkEnd w:id="7"/>
    </w:p>
    <w:p w14:paraId="296CDFB6" w14:textId="77777777" w:rsidR="004D6E23" w:rsidRDefault="004D6E23" w:rsidP="005178C3">
      <w:pPr>
        <w:spacing w:after="0" w:line="240" w:lineRule="auto"/>
        <w:rPr>
          <w:szCs w:val="22"/>
        </w:rPr>
      </w:pPr>
    </w:p>
    <w:p w14:paraId="224BE419" w14:textId="77777777" w:rsidR="00794F81" w:rsidRPr="00794F81" w:rsidRDefault="00794F81" w:rsidP="00794F81">
      <w:pPr>
        <w:pStyle w:val="ResumePublications"/>
        <w:spacing w:after="240"/>
        <w:ind w:left="360" w:hanging="360"/>
        <w:rPr>
          <w:sz w:val="22"/>
          <w:szCs w:val="22"/>
        </w:rPr>
      </w:pPr>
      <w:proofErr w:type="gramStart"/>
      <w:r w:rsidRPr="00794F81">
        <w:rPr>
          <w:sz w:val="22"/>
          <w:szCs w:val="22"/>
        </w:rPr>
        <w:t xml:space="preserve">Bahr, Peter Riley, Susan </w:t>
      </w:r>
      <w:proofErr w:type="spellStart"/>
      <w:r w:rsidRPr="00794F81">
        <w:rPr>
          <w:sz w:val="22"/>
          <w:szCs w:val="22"/>
        </w:rPr>
        <w:t>Dynarski</w:t>
      </w:r>
      <w:proofErr w:type="spellEnd"/>
      <w:r w:rsidRPr="00794F81">
        <w:rPr>
          <w:sz w:val="22"/>
          <w:szCs w:val="22"/>
        </w:rPr>
        <w:t xml:space="preserve">, Brian Jacob, Daniel </w:t>
      </w:r>
      <w:proofErr w:type="spellStart"/>
      <w:r w:rsidRPr="00794F81">
        <w:rPr>
          <w:sz w:val="22"/>
          <w:szCs w:val="22"/>
        </w:rPr>
        <w:t>Kreisman</w:t>
      </w:r>
      <w:proofErr w:type="spellEnd"/>
      <w:r w:rsidRPr="00794F81">
        <w:rPr>
          <w:sz w:val="22"/>
          <w:szCs w:val="22"/>
        </w:rPr>
        <w:t xml:space="preserve">, Alfredo Sosa, and Mark </w:t>
      </w:r>
      <w:proofErr w:type="spellStart"/>
      <w:r w:rsidRPr="00794F81">
        <w:rPr>
          <w:sz w:val="22"/>
          <w:szCs w:val="22"/>
        </w:rPr>
        <w:t>Wiederpsan</w:t>
      </w:r>
      <w:proofErr w:type="spellEnd"/>
      <w:r w:rsidRPr="00794F81">
        <w:rPr>
          <w:sz w:val="22"/>
          <w:szCs w:val="22"/>
        </w:rPr>
        <w:t>.</w:t>
      </w:r>
      <w:proofErr w:type="gramEnd"/>
      <w:r w:rsidRPr="00794F81">
        <w:rPr>
          <w:sz w:val="22"/>
          <w:szCs w:val="22"/>
        </w:rPr>
        <w:t xml:space="preserve"> 2015. Labor market returns to community college awards: Evidence from Michigan. </w:t>
      </w:r>
      <w:proofErr w:type="gramStart"/>
      <w:r w:rsidRPr="00794F81">
        <w:rPr>
          <w:sz w:val="22"/>
          <w:szCs w:val="22"/>
        </w:rPr>
        <w:t>(A CAPSEE Working Paper).</w:t>
      </w:r>
      <w:proofErr w:type="gramEnd"/>
      <w:r w:rsidRPr="00794F81">
        <w:rPr>
          <w:sz w:val="22"/>
          <w:szCs w:val="22"/>
        </w:rPr>
        <w:t xml:space="preserve"> New </w:t>
      </w:r>
      <w:proofErr w:type="gramStart"/>
      <w:r w:rsidRPr="00794F81">
        <w:rPr>
          <w:sz w:val="22"/>
          <w:szCs w:val="22"/>
        </w:rPr>
        <w:t>York.:</w:t>
      </w:r>
      <w:proofErr w:type="gramEnd"/>
      <w:r w:rsidRPr="00794F81">
        <w:rPr>
          <w:sz w:val="22"/>
          <w:szCs w:val="22"/>
        </w:rPr>
        <w:t xml:space="preserve"> Center for Analysis of Postsecondary Education and Employment, Teachers College, Columbia University. http://capseecenter.org/wp-content/uploads/2015/03/labor-market-returns-michigan.pdf  </w:t>
      </w:r>
    </w:p>
    <w:p w14:paraId="547A65BA" w14:textId="77777777" w:rsidR="00794F81" w:rsidRPr="00794F81" w:rsidRDefault="00794F81" w:rsidP="00794F81">
      <w:pPr>
        <w:pStyle w:val="ResumePublications"/>
        <w:spacing w:after="240"/>
        <w:ind w:left="360" w:hanging="360"/>
        <w:rPr>
          <w:sz w:val="22"/>
          <w:szCs w:val="22"/>
        </w:rPr>
      </w:pPr>
      <w:proofErr w:type="gramStart"/>
      <w:r w:rsidRPr="00794F81">
        <w:rPr>
          <w:sz w:val="22"/>
          <w:szCs w:val="22"/>
        </w:rPr>
        <w:t>Belfield, Clive, Yuen Ting Liu, and Madeline Joy Trimble.</w:t>
      </w:r>
      <w:proofErr w:type="gramEnd"/>
      <w:r w:rsidRPr="00794F81">
        <w:rPr>
          <w:sz w:val="22"/>
          <w:szCs w:val="22"/>
        </w:rPr>
        <w:t xml:space="preserve"> 2014. The Medium-Term Labor Market Returns to Community College Awards: Evidence from North Carolina. </w:t>
      </w:r>
      <w:proofErr w:type="gramStart"/>
      <w:r w:rsidRPr="00794F81">
        <w:rPr>
          <w:sz w:val="22"/>
          <w:szCs w:val="22"/>
        </w:rPr>
        <w:t>(A CAPSEE Working Paper).</w:t>
      </w:r>
      <w:proofErr w:type="gramEnd"/>
      <w:r w:rsidRPr="00794F81">
        <w:rPr>
          <w:sz w:val="22"/>
          <w:szCs w:val="22"/>
        </w:rPr>
        <w:t xml:space="preserve"> New York: Center for Analysis of Postsecondary Education and Employment, Teachers College, Columbia University. http://capseecenter.org/medium-term-labor-market-return-to-community-college-awards/</w:t>
      </w:r>
    </w:p>
    <w:p w14:paraId="769D77D2" w14:textId="77777777" w:rsidR="00794F81" w:rsidRDefault="00794F81" w:rsidP="00794F81">
      <w:pPr>
        <w:pStyle w:val="ResumePublications"/>
        <w:spacing w:after="240"/>
        <w:ind w:left="360" w:hanging="360"/>
        <w:rPr>
          <w:sz w:val="22"/>
          <w:szCs w:val="22"/>
        </w:rPr>
      </w:pPr>
      <w:proofErr w:type="spellStart"/>
      <w:proofErr w:type="gramStart"/>
      <w:r w:rsidRPr="00794F81">
        <w:rPr>
          <w:sz w:val="22"/>
          <w:szCs w:val="22"/>
        </w:rPr>
        <w:t>Dadgar</w:t>
      </w:r>
      <w:proofErr w:type="spellEnd"/>
      <w:r w:rsidRPr="00794F81">
        <w:rPr>
          <w:sz w:val="22"/>
          <w:szCs w:val="22"/>
        </w:rPr>
        <w:t>, Mina, and Madeline Joy Trimble.</w:t>
      </w:r>
      <w:proofErr w:type="gramEnd"/>
      <w:r w:rsidRPr="00794F81">
        <w:rPr>
          <w:sz w:val="22"/>
          <w:szCs w:val="22"/>
        </w:rPr>
        <w:t xml:space="preserve"> 2015. “Labor Market Returns to Sub-Baccalaureate Credentials: How Much Does a Community College Degree or Certificate Pay?” Educational Evaluation and Policy Analysis 37(4): 399–418. </w:t>
      </w:r>
    </w:p>
    <w:p w14:paraId="2F85A489" w14:textId="03664257" w:rsidR="000A76B4" w:rsidRPr="000A317C" w:rsidRDefault="000A76B4" w:rsidP="000A76B4">
      <w:pPr>
        <w:pStyle w:val="ResumePublications"/>
        <w:spacing w:after="240"/>
        <w:ind w:left="360" w:hanging="360"/>
        <w:rPr>
          <w:sz w:val="22"/>
          <w:szCs w:val="22"/>
        </w:rPr>
      </w:pPr>
      <w:r w:rsidRPr="0021612C">
        <w:rPr>
          <w:sz w:val="22"/>
          <w:szCs w:val="22"/>
        </w:rPr>
        <w:t xml:space="preserve">Fein, D. (2016).  </w:t>
      </w:r>
      <w:r w:rsidRPr="0021612C">
        <w:rPr>
          <w:i/>
          <w:sz w:val="22"/>
          <w:szCs w:val="22"/>
        </w:rPr>
        <w:t>Risk Factors for College Success: Insights from Adults in Nine Career Pathways Programs</w:t>
      </w:r>
      <w:r w:rsidRPr="0021612C">
        <w:rPr>
          <w:sz w:val="22"/>
          <w:szCs w:val="22"/>
        </w:rPr>
        <w:t xml:space="preserve">.  OPRE Brief #2016-36.  </w:t>
      </w:r>
      <w:r w:rsidRPr="0021612C">
        <w:rPr>
          <w:color w:val="333333"/>
          <w:sz w:val="22"/>
          <w:szCs w:val="22"/>
          <w:lang w:val="en"/>
        </w:rPr>
        <w:t xml:space="preserve">Office of Planning, Research, and Evaluation, Administration for Children and Families, U.S. Department of Health and Human Services (OPRE) </w:t>
      </w:r>
      <w:r w:rsidRPr="000A317C">
        <w:rPr>
          <w:sz w:val="22"/>
          <w:szCs w:val="22"/>
        </w:rPr>
        <w:t xml:space="preserve">http://www.career-pathways.org/wp-content/uploads/2016/06/PACE-Risk-Factors-for-College-Success_FINAL_05-16-2016.pdf </w:t>
      </w:r>
    </w:p>
    <w:p w14:paraId="50CF043C" w14:textId="2D5613FC" w:rsidR="00D05F08" w:rsidRPr="000A317C" w:rsidRDefault="00D05F08" w:rsidP="00794F81">
      <w:pPr>
        <w:pStyle w:val="ResumePublications"/>
        <w:spacing w:after="240"/>
        <w:ind w:left="360" w:hanging="360"/>
        <w:rPr>
          <w:sz w:val="22"/>
          <w:szCs w:val="22"/>
        </w:rPr>
      </w:pPr>
      <w:proofErr w:type="spellStart"/>
      <w:proofErr w:type="gramStart"/>
      <w:r w:rsidRPr="000A317C">
        <w:rPr>
          <w:sz w:val="22"/>
          <w:szCs w:val="22"/>
        </w:rPr>
        <w:t>Harvill</w:t>
      </w:r>
      <w:proofErr w:type="spellEnd"/>
      <w:r w:rsidRPr="000A317C">
        <w:rPr>
          <w:sz w:val="22"/>
          <w:szCs w:val="22"/>
        </w:rPr>
        <w:t xml:space="preserve">, E.L., </w:t>
      </w:r>
      <w:proofErr w:type="spellStart"/>
      <w:r w:rsidRPr="000A317C">
        <w:rPr>
          <w:sz w:val="22"/>
          <w:szCs w:val="22"/>
        </w:rPr>
        <w:t>Sahni</w:t>
      </w:r>
      <w:proofErr w:type="spellEnd"/>
      <w:r w:rsidRPr="000A317C">
        <w:rPr>
          <w:sz w:val="22"/>
          <w:szCs w:val="22"/>
        </w:rPr>
        <w:t>, S.D., Peck, L.R., &amp; Strawn, J. (2015).</w:t>
      </w:r>
      <w:proofErr w:type="gramEnd"/>
      <w:r w:rsidRPr="000A317C">
        <w:rPr>
          <w:sz w:val="22"/>
          <w:szCs w:val="22"/>
        </w:rPr>
        <w:t xml:space="preserve"> </w:t>
      </w:r>
      <w:r w:rsidRPr="000A317C">
        <w:rPr>
          <w:i/>
          <w:iCs/>
          <w:sz w:val="22"/>
          <w:szCs w:val="22"/>
        </w:rPr>
        <w:t>Evaluation and System Design for Career Pathways Programs: 2nd Generation of HPOG Evaluation Design Recommendation Report</w:t>
      </w:r>
      <w:r w:rsidR="00A72AB7" w:rsidRPr="000A317C">
        <w:rPr>
          <w:sz w:val="22"/>
          <w:szCs w:val="22"/>
        </w:rPr>
        <w:t xml:space="preserve">. </w:t>
      </w:r>
      <w:r w:rsidRPr="000A317C">
        <w:rPr>
          <w:sz w:val="22"/>
          <w:szCs w:val="22"/>
        </w:rPr>
        <w:t xml:space="preserve">Bethesda, MD: </w:t>
      </w:r>
      <w:proofErr w:type="spellStart"/>
      <w:r w:rsidRPr="000A317C">
        <w:rPr>
          <w:sz w:val="22"/>
          <w:szCs w:val="22"/>
        </w:rPr>
        <w:t>Abt</w:t>
      </w:r>
      <w:proofErr w:type="spellEnd"/>
      <w:r w:rsidRPr="000A317C">
        <w:rPr>
          <w:sz w:val="22"/>
          <w:szCs w:val="22"/>
        </w:rPr>
        <w:t xml:space="preserve"> Associates Inc. Draft available as appendix at https://www.fbo.gov/index?s=opportunity&amp;mode=form&amp;id=5bd90aebdd2132ef54c1bb0c9e474baf&amp;tab=core&amp;_cview=1</w:t>
      </w:r>
    </w:p>
    <w:p w14:paraId="2D630804" w14:textId="4B374A6F" w:rsidR="00794F81" w:rsidRPr="00794F81" w:rsidRDefault="00794F81" w:rsidP="00794F81">
      <w:pPr>
        <w:pStyle w:val="ResumePublications"/>
        <w:spacing w:after="240"/>
        <w:ind w:left="360" w:hanging="360"/>
        <w:rPr>
          <w:sz w:val="22"/>
          <w:szCs w:val="22"/>
        </w:rPr>
      </w:pPr>
      <w:proofErr w:type="gramStart"/>
      <w:r w:rsidRPr="000A317C">
        <w:rPr>
          <w:sz w:val="22"/>
          <w:szCs w:val="22"/>
        </w:rPr>
        <w:t>Jeps</w:t>
      </w:r>
      <w:r w:rsidRPr="00794F81">
        <w:rPr>
          <w:sz w:val="22"/>
          <w:szCs w:val="22"/>
        </w:rPr>
        <w:t xml:space="preserve">on, Christopher, Kenneth </w:t>
      </w:r>
      <w:proofErr w:type="spellStart"/>
      <w:r w:rsidRPr="00794F81">
        <w:rPr>
          <w:sz w:val="22"/>
          <w:szCs w:val="22"/>
        </w:rPr>
        <w:t>Troske</w:t>
      </w:r>
      <w:proofErr w:type="spellEnd"/>
      <w:r w:rsidRPr="00794F81">
        <w:rPr>
          <w:sz w:val="22"/>
          <w:szCs w:val="22"/>
        </w:rPr>
        <w:t xml:space="preserve">, and Paul </w:t>
      </w:r>
      <w:proofErr w:type="spellStart"/>
      <w:r w:rsidRPr="00794F81">
        <w:rPr>
          <w:sz w:val="22"/>
          <w:szCs w:val="22"/>
        </w:rPr>
        <w:t>Coomes</w:t>
      </w:r>
      <w:proofErr w:type="spellEnd"/>
      <w:r w:rsidRPr="00794F81">
        <w:rPr>
          <w:sz w:val="22"/>
          <w:szCs w:val="22"/>
        </w:rPr>
        <w:t>.</w:t>
      </w:r>
      <w:proofErr w:type="gramEnd"/>
      <w:r w:rsidRPr="00794F81">
        <w:rPr>
          <w:sz w:val="22"/>
          <w:szCs w:val="22"/>
        </w:rPr>
        <w:t xml:space="preserve"> 2014. “The Labor-Market Returns to Community College Degrees, Diplomas, and Certificates.” Journal of Labor Economics 32(1): 95-121. </w:t>
      </w:r>
    </w:p>
    <w:p w14:paraId="30E257B3" w14:textId="77777777" w:rsidR="004D6E23" w:rsidRPr="0033439F" w:rsidRDefault="004D6E23" w:rsidP="005178C3">
      <w:pPr>
        <w:spacing w:after="0" w:line="240" w:lineRule="auto"/>
        <w:rPr>
          <w:szCs w:val="22"/>
        </w:rPr>
      </w:pPr>
    </w:p>
    <w:sectPr w:rsidR="004D6E23" w:rsidRPr="0033439F" w:rsidSect="006F299B">
      <w:footerReference w:type="default" r:id="rId19"/>
      <w:pgSz w:w="12240" w:h="15840" w:code="1"/>
      <w:pgMar w:top="1440" w:right="1440" w:bottom="1440" w:left="1800" w:header="108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B554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02683" w14:textId="77777777" w:rsidR="00F24F66" w:rsidRDefault="00F24F66" w:rsidP="00D979EA">
      <w:r>
        <w:separator/>
      </w:r>
    </w:p>
  </w:endnote>
  <w:endnote w:type="continuationSeparator" w:id="0">
    <w:p w14:paraId="5E13160D" w14:textId="77777777" w:rsidR="00F24F66" w:rsidRDefault="00F24F66"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3584" w14:textId="2F1DDB65" w:rsidR="001F0070" w:rsidRPr="0066134E" w:rsidRDefault="001F0070" w:rsidP="003F6E89">
    <w:pPr>
      <w:pStyle w:val="Footer"/>
      <w:tabs>
        <w:tab w:val="clear" w:pos="4507"/>
      </w:tabs>
    </w:pPr>
    <w:proofErr w:type="spellStart"/>
    <w:r w:rsidRPr="00967D7C">
      <w:rPr>
        <w:color w:val="DA291C"/>
      </w:rPr>
      <w:t>Abt</w:t>
    </w:r>
    <w:proofErr w:type="spellEnd"/>
    <w:r w:rsidRPr="00967D7C">
      <w:rPr>
        <w:color w:val="DA291C"/>
      </w:rPr>
      <w:t xml:space="preserve"> Associates Inc.</w:t>
    </w:r>
    <w:r w:rsidRPr="0066134E">
      <w:rPr>
        <w:rStyle w:val="PageNumber"/>
        <w:b/>
      </w:rPr>
      <w:tab/>
    </w:r>
    <w:r w:rsidRPr="003F6E89">
      <w:rPr>
        <w:rStyle w:val="PageNumber"/>
        <w:b/>
      </w:rPr>
      <w:t xml:space="preserve">Supporting Statement for OMB Clearance Request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37633">
      <w:rPr>
        <w:rStyle w:val="PageNumber"/>
        <w:b/>
        <w:noProof/>
        <w:color w:val="DA291C"/>
      </w:rPr>
      <w:t>13</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911D9" w14:textId="77777777" w:rsidR="00F24F66" w:rsidRDefault="00F24F66" w:rsidP="00D979EA">
      <w:r>
        <w:separator/>
      </w:r>
    </w:p>
  </w:footnote>
  <w:footnote w:type="continuationSeparator" w:id="0">
    <w:p w14:paraId="7819B6C4" w14:textId="77777777" w:rsidR="00F24F66" w:rsidRDefault="00F24F66" w:rsidP="00D979EA">
      <w:r>
        <w:continuationSeparator/>
      </w:r>
    </w:p>
  </w:footnote>
  <w:footnote w:id="1">
    <w:p w14:paraId="632DA841" w14:textId="77777777" w:rsidR="00A76A32" w:rsidRDefault="00A76A32">
      <w:pPr>
        <w:pStyle w:val="FootnoteText"/>
      </w:pPr>
      <w:r>
        <w:rPr>
          <w:rStyle w:val="FootnoteReference"/>
        </w:rPr>
        <w:footnoteRef/>
      </w:r>
      <w:r>
        <w:t xml:space="preserve"> The planned impact evaluation </w:t>
      </w:r>
      <w:r w:rsidR="00445470">
        <w:t>was</w:t>
      </w:r>
      <w:r>
        <w:t xml:space="preserve"> replaced with an </w:t>
      </w:r>
      <w:r w:rsidR="00EE0831">
        <w:t>Outcomes Study</w:t>
      </w:r>
      <w:r w:rsidR="00445470">
        <w:t xml:space="preserve"> that will use one of </w:t>
      </w:r>
      <w:r>
        <w:t xml:space="preserve">the </w:t>
      </w:r>
      <w:r w:rsidR="00445470">
        <w:t xml:space="preserve">data collection </w:t>
      </w:r>
      <w:r>
        <w:t xml:space="preserve">instruments planned for the impact study </w:t>
      </w:r>
      <w:r w:rsidR="00445470">
        <w:t xml:space="preserve">and cleared under </w:t>
      </w:r>
      <w:r w:rsidR="00445470" w:rsidRPr="00445470">
        <w:t>OMB Control No. 1291-004</w:t>
      </w:r>
      <w:r w:rsidR="00445470">
        <w:t xml:space="preserve"> (the Baseline Information Form). The </w:t>
      </w:r>
      <w:r w:rsidR="00EE0831">
        <w:t>Outcomes Study</w:t>
      </w:r>
      <w:r w:rsidR="00445470">
        <w:t xml:space="preserve"> will have </w:t>
      </w:r>
      <w:r>
        <w:t xml:space="preserve">a similar sample size </w:t>
      </w:r>
      <w:r w:rsidR="00445470">
        <w:t>(</w:t>
      </w:r>
      <w:r>
        <w:t>5</w:t>
      </w:r>
      <w:r w:rsidR="00445470">
        <w:t>,</w:t>
      </w:r>
      <w:r>
        <w:t>000</w:t>
      </w:r>
      <w:r w:rsidR="00445470">
        <w:t xml:space="preserve">). </w:t>
      </w:r>
      <w:r>
        <w:t xml:space="preserve">The </w:t>
      </w:r>
      <w:r w:rsidR="00EE0831">
        <w:t>Outcomes Study</w:t>
      </w:r>
      <w:r>
        <w:t xml:space="preserve"> will document the progress and outcomes of students who start TAACCCT-funded programs.</w:t>
      </w:r>
    </w:p>
  </w:footnote>
  <w:footnote w:id="2">
    <w:p w14:paraId="699CA3A5" w14:textId="77777777" w:rsidR="00EC3F3F" w:rsidRDefault="00EC3F3F" w:rsidP="00EC3F3F">
      <w:pPr>
        <w:pStyle w:val="FootnoteText"/>
      </w:pPr>
      <w:r>
        <w:rPr>
          <w:rStyle w:val="FootnoteReference"/>
        </w:rPr>
        <w:footnoteRef/>
      </w:r>
      <w:r>
        <w:t xml:space="preserve"> A</w:t>
      </w:r>
      <w:r w:rsidRPr="00EC3F3F">
        <w:t xml:space="preserve"> Training and Employment Guidance Letter</w:t>
      </w:r>
      <w:r>
        <w:t xml:space="preserve"> (</w:t>
      </w:r>
      <w:r w:rsidRPr="00EC3F3F">
        <w:t>Number 15-10</w:t>
      </w:r>
      <w:r>
        <w:t>) described the criteria</w:t>
      </w:r>
      <w:r w:rsidRPr="00EC3F3F">
        <w:t>. Specifically, the TEGL states, “A credential is awarded in recognition of an individual’s attainment of measurable technical or occupational skills necessary to obtain employment or advance within an occupation” (p. 6)</w:t>
      </w:r>
      <w:r w:rsidR="00A72AB7">
        <w:t xml:space="preserve">. </w:t>
      </w:r>
      <w:r>
        <w:t xml:space="preserve">See </w:t>
      </w:r>
      <w:hyperlink r:id="rId1" w:history="1">
        <w:r w:rsidRPr="00A52314">
          <w:rPr>
            <w:rStyle w:val="Hyperlink"/>
          </w:rPr>
          <w:t>https://wdr.doleta.gov/directives/attach/TEGL15-10.pdf</w:t>
        </w:r>
      </w:hyperlink>
      <w:r>
        <w:t xml:space="preserve"> </w:t>
      </w:r>
    </w:p>
  </w:footnote>
  <w:footnote w:id="3">
    <w:p w14:paraId="393EEF92" w14:textId="77777777" w:rsidR="009C5536" w:rsidRDefault="009C5536">
      <w:pPr>
        <w:pStyle w:val="FootnoteText"/>
      </w:pPr>
      <w:r>
        <w:rPr>
          <w:rStyle w:val="FootnoteReference"/>
        </w:rPr>
        <w:footnoteRef/>
      </w:r>
      <w:r>
        <w:t xml:space="preserve"> See </w:t>
      </w:r>
      <w:r w:rsidRPr="009C5536">
        <w:t>http://www.jff.org/sites/default/files/publications/materials/A-Resource-Guide-to-Employer-Engagement-011315.pdf, page 5</w:t>
      </w:r>
      <w:r>
        <w:t>.</w:t>
      </w:r>
    </w:p>
  </w:footnote>
  <w:footnote w:id="4">
    <w:p w14:paraId="3E798CD4" w14:textId="77777777" w:rsidR="00A570FF" w:rsidRDefault="00A570FF" w:rsidP="00A570FF">
      <w:pPr>
        <w:pStyle w:val="FootnoteText"/>
      </w:pPr>
      <w:r>
        <w:rPr>
          <w:rStyle w:val="FootnoteReference"/>
        </w:rPr>
        <w:footnoteRef/>
      </w:r>
      <w:r>
        <w:t xml:space="preserve"> Because </w:t>
      </w:r>
      <w:r w:rsidRPr="00064401">
        <w:t xml:space="preserve">grantees selected for the </w:t>
      </w:r>
      <w:r w:rsidR="00EE0831">
        <w:t>Outcomes Study</w:t>
      </w:r>
      <w:r w:rsidRPr="00064401">
        <w:t xml:space="preserve"> will not be a random selection of all grantees, </w:t>
      </w:r>
      <w:r w:rsidR="00F06A1F">
        <w:t xml:space="preserve">the evaluator </w:t>
      </w:r>
      <w:r w:rsidRPr="00064401">
        <w:t xml:space="preserve">will need to </w:t>
      </w:r>
      <w:r>
        <w:t xml:space="preserve">exercise caution </w:t>
      </w:r>
      <w:r w:rsidRPr="00064401">
        <w:t xml:space="preserve">about </w:t>
      </w:r>
      <w:r>
        <w:t xml:space="preserve">making </w:t>
      </w:r>
      <w:r w:rsidRPr="00064401">
        <w:t>generalizations to all TAACCCT participants</w:t>
      </w:r>
      <w:r>
        <w:t xml:space="preserve">. This caveat applies to all of the research questions. </w:t>
      </w:r>
    </w:p>
  </w:footnote>
  <w:footnote w:id="5">
    <w:p w14:paraId="581C8438" w14:textId="77777777" w:rsidR="005D2AFF" w:rsidRDefault="005D2AFF" w:rsidP="005D2AFF">
      <w:pPr>
        <w:pStyle w:val="FootnoteText"/>
      </w:pPr>
      <w:r>
        <w:rPr>
          <w:rStyle w:val="FootnoteReference"/>
        </w:rPr>
        <w:footnoteRef/>
      </w:r>
      <w:r>
        <w:t xml:space="preserve"> </w:t>
      </w:r>
      <w:r w:rsidRPr="00740134">
        <w:t>This research question is less clearly answerable than the others</w:t>
      </w:r>
      <w:r>
        <w:t xml:space="preserve">. </w:t>
      </w:r>
      <w:r w:rsidRPr="00740134">
        <w:t xml:space="preserve">Whether we will be able successfully answer this question depends on the number of distinct programs and the success of our implementation analysis in </w:t>
      </w:r>
      <w:r>
        <w:t xml:space="preserve">categorizing and </w:t>
      </w:r>
      <w:r w:rsidRPr="00740134">
        <w:t>quantifying different approaches to spending TAACCCT grant funds.</w:t>
      </w:r>
    </w:p>
  </w:footnote>
  <w:footnote w:id="6">
    <w:p w14:paraId="0C4DE94B" w14:textId="436FE3EA" w:rsidR="006A4A12" w:rsidRDefault="006A4A12">
      <w:pPr>
        <w:pStyle w:val="FootnoteText"/>
      </w:pPr>
      <w:r>
        <w:rPr>
          <w:rStyle w:val="FootnoteReference"/>
        </w:rPr>
        <w:footnoteRef/>
      </w:r>
      <w:r>
        <w:t xml:space="preserve"> </w:t>
      </w:r>
      <w:r w:rsidRPr="006A4A12">
        <w:t>https://support.sas.com/documentation/cdl/en/statug/63962/HTML/default/viewer.htm#statug_mi_sect008.htm</w:t>
      </w:r>
    </w:p>
  </w:footnote>
  <w:footnote w:id="7">
    <w:p w14:paraId="59094510" w14:textId="77777777" w:rsidR="0069561A" w:rsidRDefault="0069561A">
      <w:pPr>
        <w:pStyle w:val="FootnoteText"/>
      </w:pPr>
      <w:r>
        <w:rPr>
          <w:rStyle w:val="FootnoteReference"/>
        </w:rPr>
        <w:footnoteRef/>
      </w:r>
      <w:r>
        <w:t xml:space="preserve"> For students enrolled in the study in the fall of 2016 prior to OMB approval for tracking will be sent a first tracking letter as soon as OMB approval is obtained, which is expected to be somewhat later than 3 months</w:t>
      </w:r>
      <w:r w:rsidR="00A72AB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132"/>
    <w:multiLevelType w:val="hybridMultilevel"/>
    <w:tmpl w:val="64B4CEDE"/>
    <w:lvl w:ilvl="0" w:tplc="04090001">
      <w:start w:val="1"/>
      <w:numFmt w:val="bullet"/>
      <w:lvlText w:val=""/>
      <w:lvlJc w:val="left"/>
      <w:pPr>
        <w:ind w:left="720" w:hanging="360"/>
      </w:pPr>
      <w:rPr>
        <w:rFonts w:ascii="Symbol" w:hAnsi="Symbol" w:hint="default"/>
      </w:rPr>
    </w:lvl>
    <w:lvl w:ilvl="1" w:tplc="AAEA8088">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20CC1"/>
    <w:multiLevelType w:val="hybridMultilevel"/>
    <w:tmpl w:val="F624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E371633"/>
    <w:multiLevelType w:val="hybridMultilevel"/>
    <w:tmpl w:val="8B420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9516D"/>
    <w:multiLevelType w:val="hybridMultilevel"/>
    <w:tmpl w:val="1CC89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55D1975"/>
    <w:multiLevelType w:val="multilevel"/>
    <w:tmpl w:val="A1E8CE00"/>
    <w:lvl w:ilvl="0">
      <w:start w:val="1"/>
      <w:numFmt w:val="decimal"/>
      <w:lvlText w:val="%1."/>
      <w:lvlJc w:val="left"/>
      <w:pPr>
        <w:ind w:left="1080" w:hanging="720"/>
      </w:pPr>
      <w:rPr>
        <w:b/>
        <w:bCs w:val="0"/>
        <w:i w:val="0"/>
        <w:iCs w:val="0"/>
        <w:caps w:val="0"/>
        <w:smallCaps w:val="0"/>
        <w:strike w:val="0"/>
        <w:dstrike w:val="0"/>
        <w:noProof w:val="0"/>
        <w:vanish w:val="0"/>
        <w:color w:val="F0F4F6" w:themeColor="background1" w:themeTint="33"/>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27853FD"/>
    <w:multiLevelType w:val="hybridMultilevel"/>
    <w:tmpl w:val="C92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313533"/>
    <w:multiLevelType w:val="hybridMultilevel"/>
    <w:tmpl w:val="6A1E7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BF2303"/>
    <w:multiLevelType w:val="hybridMultilevel"/>
    <w:tmpl w:val="C07E5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F26868"/>
    <w:multiLevelType w:val="hybridMultilevel"/>
    <w:tmpl w:val="91FABF4C"/>
    <w:lvl w:ilvl="0" w:tplc="84D45B80">
      <w:start w:val="1"/>
      <w:numFmt w:val="upperRoman"/>
      <w:lvlText w:val="%1."/>
      <w:lvlJc w:val="left"/>
      <w:pPr>
        <w:tabs>
          <w:tab w:val="num" w:pos="1080"/>
        </w:tabs>
        <w:ind w:left="1080" w:hanging="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DC2FA9"/>
    <w:multiLevelType w:val="hybridMultilevel"/>
    <w:tmpl w:val="3A1E2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755BC"/>
    <w:multiLevelType w:val="hybridMultilevel"/>
    <w:tmpl w:val="BB346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17458F"/>
    <w:multiLevelType w:val="hybridMultilevel"/>
    <w:tmpl w:val="92542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F63D57"/>
    <w:multiLevelType w:val="hybridMultilevel"/>
    <w:tmpl w:val="3B8CEA92"/>
    <w:lvl w:ilvl="0" w:tplc="05B8C9F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F20A01"/>
    <w:multiLevelType w:val="hybridMultilevel"/>
    <w:tmpl w:val="11B495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A1102C"/>
    <w:multiLevelType w:val="hybridMultilevel"/>
    <w:tmpl w:val="3DFA05F2"/>
    <w:lvl w:ilvl="0" w:tplc="93269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4">
    <w:nsid w:val="74F81F68"/>
    <w:multiLevelType w:val="hybridMultilevel"/>
    <w:tmpl w:val="31C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3D660E"/>
    <w:multiLevelType w:val="hybridMultilevel"/>
    <w:tmpl w:val="049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B91024"/>
    <w:multiLevelType w:val="hybridMultilevel"/>
    <w:tmpl w:val="0CD488FA"/>
    <w:lvl w:ilvl="0" w:tplc="56347F9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63DA6"/>
    <w:multiLevelType w:val="singleLevel"/>
    <w:tmpl w:val="65D896DE"/>
    <w:lvl w:ilvl="0">
      <w:start w:val="1"/>
      <w:numFmt w:val="bullet"/>
      <w:pStyle w:val="Bullets"/>
      <w:lvlText w:val=""/>
      <w:lvlJc w:val="left"/>
      <w:pPr>
        <w:ind w:left="360" w:hanging="360"/>
      </w:pPr>
      <w:rPr>
        <w:rFonts w:ascii="Symbol" w:hAnsi="Symbol" w:hint="default"/>
        <w:color w:val="auto"/>
        <w:sz w:val="22"/>
      </w:rPr>
    </w:lvl>
  </w:abstractNum>
  <w:abstractNum w:abstractNumId="2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7"/>
  </w:num>
  <w:num w:numId="4">
    <w:abstractNumId w:val="10"/>
  </w:num>
  <w:num w:numId="5">
    <w:abstractNumId w:val="28"/>
  </w:num>
  <w:num w:numId="6">
    <w:abstractNumId w:val="19"/>
  </w:num>
  <w:num w:numId="7">
    <w:abstractNumId w:val="8"/>
  </w:num>
  <w:num w:numId="8">
    <w:abstractNumId w:val="2"/>
  </w:num>
  <w:num w:numId="9">
    <w:abstractNumId w:val="14"/>
  </w:num>
  <w:num w:numId="10">
    <w:abstractNumId w:val="21"/>
  </w:num>
  <w:num w:numId="11">
    <w:abstractNumId w:val="5"/>
    <w:lvlOverride w:ilvl="0">
      <w:startOverride w:val="1"/>
    </w:lvlOverride>
  </w:num>
  <w:num w:numId="12">
    <w:abstractNumId w:val="5"/>
    <w:lvlOverride w:ilvl="0">
      <w:startOverride w:val="1"/>
    </w:lvlOverride>
  </w:num>
  <w:num w:numId="13">
    <w:abstractNumId w:val="18"/>
  </w:num>
  <w:num w:numId="14">
    <w:abstractNumId w:val="10"/>
  </w:num>
  <w:num w:numId="15">
    <w:abstractNumId w:val="4"/>
  </w:num>
  <w:num w:numId="16">
    <w:abstractNumId w:val="16"/>
  </w:num>
  <w:num w:numId="17">
    <w:abstractNumId w:val="0"/>
  </w:num>
  <w:num w:numId="18">
    <w:abstractNumId w:val="12"/>
  </w:num>
  <w:num w:numId="19">
    <w:abstractNumId w:val="11"/>
  </w:num>
  <w:num w:numId="20">
    <w:abstractNumId w:val="6"/>
  </w:num>
  <w:num w:numId="21">
    <w:abstractNumId w:val="1"/>
  </w:num>
  <w:num w:numId="22">
    <w:abstractNumId w:val="9"/>
  </w:num>
  <w:num w:numId="23">
    <w:abstractNumId w:val="7"/>
  </w:num>
  <w:num w:numId="24">
    <w:abstractNumId w:val="25"/>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13"/>
  </w:num>
  <w:num w:numId="32">
    <w:abstractNumId w:val="15"/>
  </w:num>
  <w:num w:numId="33">
    <w:abstractNumId w:val="26"/>
  </w:num>
  <w:num w:numId="34">
    <w:abstractNumId w:val="24"/>
  </w:num>
  <w:num w:numId="35">
    <w:abstractNumId w:val="20"/>
  </w:num>
  <w:num w:numId="36">
    <w:abstractNumId w:val="3"/>
  </w:num>
  <w:num w:numId="37">
    <w:abstractNumId w:val="17"/>
  </w:num>
  <w:num w:numId="38">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Judkins">
    <w15:presenceInfo w15:providerId="Windows Live" w15:userId="8a0d0cae5b4847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481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0018"/>
    <w:rsid w:val="00000FE9"/>
    <w:rsid w:val="0000376B"/>
    <w:rsid w:val="00003A2C"/>
    <w:rsid w:val="00006B3A"/>
    <w:rsid w:val="000136F3"/>
    <w:rsid w:val="00016E17"/>
    <w:rsid w:val="00020A22"/>
    <w:rsid w:val="0002185C"/>
    <w:rsid w:val="0002216E"/>
    <w:rsid w:val="00024207"/>
    <w:rsid w:val="00036ECE"/>
    <w:rsid w:val="00037B63"/>
    <w:rsid w:val="00040E00"/>
    <w:rsid w:val="00046728"/>
    <w:rsid w:val="000525E0"/>
    <w:rsid w:val="000535A5"/>
    <w:rsid w:val="00053EEF"/>
    <w:rsid w:val="000543DC"/>
    <w:rsid w:val="00055022"/>
    <w:rsid w:val="0005671C"/>
    <w:rsid w:val="0005750B"/>
    <w:rsid w:val="000600BA"/>
    <w:rsid w:val="0006045E"/>
    <w:rsid w:val="000623C6"/>
    <w:rsid w:val="00063AFF"/>
    <w:rsid w:val="0006587B"/>
    <w:rsid w:val="00070322"/>
    <w:rsid w:val="000713DF"/>
    <w:rsid w:val="0007557E"/>
    <w:rsid w:val="0007783C"/>
    <w:rsid w:val="00077B49"/>
    <w:rsid w:val="00077F6F"/>
    <w:rsid w:val="00080B4A"/>
    <w:rsid w:val="0008244A"/>
    <w:rsid w:val="00082D01"/>
    <w:rsid w:val="0008447D"/>
    <w:rsid w:val="00087856"/>
    <w:rsid w:val="000902AA"/>
    <w:rsid w:val="000950AD"/>
    <w:rsid w:val="00095D40"/>
    <w:rsid w:val="00095D57"/>
    <w:rsid w:val="000A00A2"/>
    <w:rsid w:val="000A1C6D"/>
    <w:rsid w:val="000A317C"/>
    <w:rsid w:val="000A61EF"/>
    <w:rsid w:val="000A76B4"/>
    <w:rsid w:val="000A7D69"/>
    <w:rsid w:val="000B33D1"/>
    <w:rsid w:val="000C0A39"/>
    <w:rsid w:val="000C18D2"/>
    <w:rsid w:val="000C2597"/>
    <w:rsid w:val="000C3040"/>
    <w:rsid w:val="000C484C"/>
    <w:rsid w:val="000D0179"/>
    <w:rsid w:val="000D021B"/>
    <w:rsid w:val="000D2FD8"/>
    <w:rsid w:val="000D375D"/>
    <w:rsid w:val="000D53F1"/>
    <w:rsid w:val="000D5777"/>
    <w:rsid w:val="000E322C"/>
    <w:rsid w:val="000E6B75"/>
    <w:rsid w:val="000F47B7"/>
    <w:rsid w:val="000F53F4"/>
    <w:rsid w:val="00102988"/>
    <w:rsid w:val="001034D7"/>
    <w:rsid w:val="00104F2A"/>
    <w:rsid w:val="00107A04"/>
    <w:rsid w:val="0011092A"/>
    <w:rsid w:val="0011170B"/>
    <w:rsid w:val="00111CB5"/>
    <w:rsid w:val="00113D4B"/>
    <w:rsid w:val="001178CA"/>
    <w:rsid w:val="00120D5C"/>
    <w:rsid w:val="00127986"/>
    <w:rsid w:val="001307A5"/>
    <w:rsid w:val="00137474"/>
    <w:rsid w:val="00143C04"/>
    <w:rsid w:val="001467ED"/>
    <w:rsid w:val="00152153"/>
    <w:rsid w:val="001531B1"/>
    <w:rsid w:val="0015340C"/>
    <w:rsid w:val="00157E04"/>
    <w:rsid w:val="00160657"/>
    <w:rsid w:val="00160B87"/>
    <w:rsid w:val="001677DC"/>
    <w:rsid w:val="00170CF9"/>
    <w:rsid w:val="00172119"/>
    <w:rsid w:val="00173F26"/>
    <w:rsid w:val="001746D2"/>
    <w:rsid w:val="00177861"/>
    <w:rsid w:val="001813DE"/>
    <w:rsid w:val="0018194A"/>
    <w:rsid w:val="00181BDA"/>
    <w:rsid w:val="001845BD"/>
    <w:rsid w:val="00190C91"/>
    <w:rsid w:val="001960DE"/>
    <w:rsid w:val="001A04CE"/>
    <w:rsid w:val="001A0E0A"/>
    <w:rsid w:val="001A12C0"/>
    <w:rsid w:val="001A23B5"/>
    <w:rsid w:val="001A403F"/>
    <w:rsid w:val="001A4633"/>
    <w:rsid w:val="001A5C54"/>
    <w:rsid w:val="001A683E"/>
    <w:rsid w:val="001B0C68"/>
    <w:rsid w:val="001B0F76"/>
    <w:rsid w:val="001B4509"/>
    <w:rsid w:val="001C036E"/>
    <w:rsid w:val="001C0891"/>
    <w:rsid w:val="001C10AF"/>
    <w:rsid w:val="001C4CE6"/>
    <w:rsid w:val="001D41BE"/>
    <w:rsid w:val="001D4FDD"/>
    <w:rsid w:val="001D69EB"/>
    <w:rsid w:val="001E2CF1"/>
    <w:rsid w:val="001E5150"/>
    <w:rsid w:val="001F0070"/>
    <w:rsid w:val="001F49BF"/>
    <w:rsid w:val="001F7AEF"/>
    <w:rsid w:val="00200E58"/>
    <w:rsid w:val="002064D3"/>
    <w:rsid w:val="002106BF"/>
    <w:rsid w:val="00211097"/>
    <w:rsid w:val="00211CA1"/>
    <w:rsid w:val="00216025"/>
    <w:rsid w:val="0021612C"/>
    <w:rsid w:val="00216B09"/>
    <w:rsid w:val="002176B8"/>
    <w:rsid w:val="002216AD"/>
    <w:rsid w:val="00221D99"/>
    <w:rsid w:val="00222854"/>
    <w:rsid w:val="00223A9F"/>
    <w:rsid w:val="002251AA"/>
    <w:rsid w:val="0022674D"/>
    <w:rsid w:val="00227977"/>
    <w:rsid w:val="0023449A"/>
    <w:rsid w:val="00235CB8"/>
    <w:rsid w:val="00235F88"/>
    <w:rsid w:val="00236B02"/>
    <w:rsid w:val="00237C88"/>
    <w:rsid w:val="00241772"/>
    <w:rsid w:val="0024405F"/>
    <w:rsid w:val="00251F31"/>
    <w:rsid w:val="0025208E"/>
    <w:rsid w:val="00254900"/>
    <w:rsid w:val="00255975"/>
    <w:rsid w:val="00264401"/>
    <w:rsid w:val="00265CA5"/>
    <w:rsid w:val="002702F7"/>
    <w:rsid w:val="00273EAA"/>
    <w:rsid w:val="00273FC1"/>
    <w:rsid w:val="00275398"/>
    <w:rsid w:val="00276702"/>
    <w:rsid w:val="0028328D"/>
    <w:rsid w:val="002838F5"/>
    <w:rsid w:val="00285BB6"/>
    <w:rsid w:val="00287183"/>
    <w:rsid w:val="0029088B"/>
    <w:rsid w:val="0029491C"/>
    <w:rsid w:val="00295A2B"/>
    <w:rsid w:val="00295C47"/>
    <w:rsid w:val="00296F1B"/>
    <w:rsid w:val="002A4078"/>
    <w:rsid w:val="002A5CE0"/>
    <w:rsid w:val="002B2F3C"/>
    <w:rsid w:val="002B4062"/>
    <w:rsid w:val="002B4A50"/>
    <w:rsid w:val="002C14CE"/>
    <w:rsid w:val="002C32AB"/>
    <w:rsid w:val="002C38F1"/>
    <w:rsid w:val="002C41F9"/>
    <w:rsid w:val="002C4495"/>
    <w:rsid w:val="002C5AC8"/>
    <w:rsid w:val="002C6C06"/>
    <w:rsid w:val="002C76AB"/>
    <w:rsid w:val="002D4536"/>
    <w:rsid w:val="002D6268"/>
    <w:rsid w:val="002E235A"/>
    <w:rsid w:val="002E310E"/>
    <w:rsid w:val="002E65B6"/>
    <w:rsid w:val="002E796B"/>
    <w:rsid w:val="002F2C61"/>
    <w:rsid w:val="002F38F6"/>
    <w:rsid w:val="002F4256"/>
    <w:rsid w:val="002F48C8"/>
    <w:rsid w:val="002F5411"/>
    <w:rsid w:val="002F55CE"/>
    <w:rsid w:val="002F6E62"/>
    <w:rsid w:val="002F76F5"/>
    <w:rsid w:val="00302A2C"/>
    <w:rsid w:val="003034D8"/>
    <w:rsid w:val="00306773"/>
    <w:rsid w:val="00310505"/>
    <w:rsid w:val="00310C8D"/>
    <w:rsid w:val="00314136"/>
    <w:rsid w:val="00314A8A"/>
    <w:rsid w:val="00320DF6"/>
    <w:rsid w:val="00324143"/>
    <w:rsid w:val="00324EC2"/>
    <w:rsid w:val="003279F2"/>
    <w:rsid w:val="00331A40"/>
    <w:rsid w:val="0033439F"/>
    <w:rsid w:val="00337E17"/>
    <w:rsid w:val="003410B7"/>
    <w:rsid w:val="00342BA9"/>
    <w:rsid w:val="00342FF9"/>
    <w:rsid w:val="003432B2"/>
    <w:rsid w:val="003455BC"/>
    <w:rsid w:val="00346F17"/>
    <w:rsid w:val="00354503"/>
    <w:rsid w:val="00355D1F"/>
    <w:rsid w:val="003623F0"/>
    <w:rsid w:val="003676F5"/>
    <w:rsid w:val="00370164"/>
    <w:rsid w:val="003711CD"/>
    <w:rsid w:val="003719AD"/>
    <w:rsid w:val="00380DB1"/>
    <w:rsid w:val="00381CB8"/>
    <w:rsid w:val="00383B62"/>
    <w:rsid w:val="00383BFC"/>
    <w:rsid w:val="00384611"/>
    <w:rsid w:val="00384CA0"/>
    <w:rsid w:val="0038611E"/>
    <w:rsid w:val="00386F09"/>
    <w:rsid w:val="003870BA"/>
    <w:rsid w:val="003870D0"/>
    <w:rsid w:val="003901EA"/>
    <w:rsid w:val="0039538A"/>
    <w:rsid w:val="00395A89"/>
    <w:rsid w:val="003A0028"/>
    <w:rsid w:val="003A17F4"/>
    <w:rsid w:val="003A2FA8"/>
    <w:rsid w:val="003A3403"/>
    <w:rsid w:val="003B4770"/>
    <w:rsid w:val="003B7D8F"/>
    <w:rsid w:val="003C20BF"/>
    <w:rsid w:val="003C3A85"/>
    <w:rsid w:val="003C3DC4"/>
    <w:rsid w:val="003C712F"/>
    <w:rsid w:val="003D5616"/>
    <w:rsid w:val="003D5630"/>
    <w:rsid w:val="003E42C4"/>
    <w:rsid w:val="003E666B"/>
    <w:rsid w:val="003F3E19"/>
    <w:rsid w:val="003F42FD"/>
    <w:rsid w:val="003F6E89"/>
    <w:rsid w:val="00403F96"/>
    <w:rsid w:val="004179F2"/>
    <w:rsid w:val="00423092"/>
    <w:rsid w:val="004247AC"/>
    <w:rsid w:val="004253E8"/>
    <w:rsid w:val="00426B73"/>
    <w:rsid w:val="00427EA9"/>
    <w:rsid w:val="00431693"/>
    <w:rsid w:val="00431980"/>
    <w:rsid w:val="004319BC"/>
    <w:rsid w:val="00433155"/>
    <w:rsid w:val="004350B0"/>
    <w:rsid w:val="004356DF"/>
    <w:rsid w:val="00436CE5"/>
    <w:rsid w:val="00437374"/>
    <w:rsid w:val="00445470"/>
    <w:rsid w:val="0045328F"/>
    <w:rsid w:val="0045437A"/>
    <w:rsid w:val="00460607"/>
    <w:rsid w:val="00462F99"/>
    <w:rsid w:val="00464B29"/>
    <w:rsid w:val="00470985"/>
    <w:rsid w:val="00470AB4"/>
    <w:rsid w:val="00470D4B"/>
    <w:rsid w:val="00472E16"/>
    <w:rsid w:val="004734DF"/>
    <w:rsid w:val="004736EB"/>
    <w:rsid w:val="0047466C"/>
    <w:rsid w:val="00484053"/>
    <w:rsid w:val="0048556B"/>
    <w:rsid w:val="00486943"/>
    <w:rsid w:val="004875A6"/>
    <w:rsid w:val="00495B91"/>
    <w:rsid w:val="00497F45"/>
    <w:rsid w:val="004A5408"/>
    <w:rsid w:val="004B630F"/>
    <w:rsid w:val="004C1797"/>
    <w:rsid w:val="004C18DF"/>
    <w:rsid w:val="004C29E5"/>
    <w:rsid w:val="004C2B46"/>
    <w:rsid w:val="004C3705"/>
    <w:rsid w:val="004C3AD6"/>
    <w:rsid w:val="004C5E23"/>
    <w:rsid w:val="004D4C6D"/>
    <w:rsid w:val="004D511B"/>
    <w:rsid w:val="004D6E23"/>
    <w:rsid w:val="004E0069"/>
    <w:rsid w:val="004E01A4"/>
    <w:rsid w:val="004E555A"/>
    <w:rsid w:val="004E7D1D"/>
    <w:rsid w:val="004F2550"/>
    <w:rsid w:val="004F3A0F"/>
    <w:rsid w:val="004F6742"/>
    <w:rsid w:val="004F709B"/>
    <w:rsid w:val="00503049"/>
    <w:rsid w:val="00514CA9"/>
    <w:rsid w:val="005178C3"/>
    <w:rsid w:val="00522A16"/>
    <w:rsid w:val="00530B3E"/>
    <w:rsid w:val="00532B4A"/>
    <w:rsid w:val="00534B03"/>
    <w:rsid w:val="00534C33"/>
    <w:rsid w:val="00536DB4"/>
    <w:rsid w:val="0054025D"/>
    <w:rsid w:val="0055123E"/>
    <w:rsid w:val="00554A48"/>
    <w:rsid w:val="00555E0E"/>
    <w:rsid w:val="00560FD8"/>
    <w:rsid w:val="00563383"/>
    <w:rsid w:val="00574240"/>
    <w:rsid w:val="00574572"/>
    <w:rsid w:val="00581C65"/>
    <w:rsid w:val="00581E37"/>
    <w:rsid w:val="00585CA4"/>
    <w:rsid w:val="00592AA5"/>
    <w:rsid w:val="00593AFC"/>
    <w:rsid w:val="00597948"/>
    <w:rsid w:val="005A2ABC"/>
    <w:rsid w:val="005B1AC5"/>
    <w:rsid w:val="005B6A25"/>
    <w:rsid w:val="005B6ACF"/>
    <w:rsid w:val="005C3946"/>
    <w:rsid w:val="005C4647"/>
    <w:rsid w:val="005C58FA"/>
    <w:rsid w:val="005C6FC4"/>
    <w:rsid w:val="005D0FF2"/>
    <w:rsid w:val="005D2AFF"/>
    <w:rsid w:val="005D44D2"/>
    <w:rsid w:val="005D4DF2"/>
    <w:rsid w:val="005E0CF2"/>
    <w:rsid w:val="005E2757"/>
    <w:rsid w:val="005E2AEA"/>
    <w:rsid w:val="005E6334"/>
    <w:rsid w:val="005E6B70"/>
    <w:rsid w:val="005E7FE3"/>
    <w:rsid w:val="005F5D79"/>
    <w:rsid w:val="00601239"/>
    <w:rsid w:val="006035AF"/>
    <w:rsid w:val="006103E6"/>
    <w:rsid w:val="00611973"/>
    <w:rsid w:val="006122D8"/>
    <w:rsid w:val="0061247A"/>
    <w:rsid w:val="006157E6"/>
    <w:rsid w:val="00615938"/>
    <w:rsid w:val="00620AE6"/>
    <w:rsid w:val="00620FF4"/>
    <w:rsid w:val="0063014E"/>
    <w:rsid w:val="00633775"/>
    <w:rsid w:val="0063586A"/>
    <w:rsid w:val="00635E36"/>
    <w:rsid w:val="00636BFC"/>
    <w:rsid w:val="0064559A"/>
    <w:rsid w:val="00647889"/>
    <w:rsid w:val="0065112D"/>
    <w:rsid w:val="00651FA9"/>
    <w:rsid w:val="00653E2F"/>
    <w:rsid w:val="00660396"/>
    <w:rsid w:val="0066134E"/>
    <w:rsid w:val="006679A9"/>
    <w:rsid w:val="0067286C"/>
    <w:rsid w:val="00674194"/>
    <w:rsid w:val="00674B1F"/>
    <w:rsid w:val="006814BB"/>
    <w:rsid w:val="00682745"/>
    <w:rsid w:val="006840EB"/>
    <w:rsid w:val="006856B0"/>
    <w:rsid w:val="00685884"/>
    <w:rsid w:val="0069342C"/>
    <w:rsid w:val="006951B9"/>
    <w:rsid w:val="0069561A"/>
    <w:rsid w:val="006A0712"/>
    <w:rsid w:val="006A4A12"/>
    <w:rsid w:val="006A4FFF"/>
    <w:rsid w:val="006A541C"/>
    <w:rsid w:val="006A5B3B"/>
    <w:rsid w:val="006B1969"/>
    <w:rsid w:val="006B1DA6"/>
    <w:rsid w:val="006B377B"/>
    <w:rsid w:val="006C6103"/>
    <w:rsid w:val="006C6F3B"/>
    <w:rsid w:val="006C7A4C"/>
    <w:rsid w:val="006C7C04"/>
    <w:rsid w:val="006D0CE1"/>
    <w:rsid w:val="006D406B"/>
    <w:rsid w:val="006D6E50"/>
    <w:rsid w:val="006E2B32"/>
    <w:rsid w:val="006E5A62"/>
    <w:rsid w:val="006F299B"/>
    <w:rsid w:val="006F2B34"/>
    <w:rsid w:val="007057ED"/>
    <w:rsid w:val="0070672F"/>
    <w:rsid w:val="00707708"/>
    <w:rsid w:val="00707F00"/>
    <w:rsid w:val="00710101"/>
    <w:rsid w:val="007105A6"/>
    <w:rsid w:val="007122D4"/>
    <w:rsid w:val="00715417"/>
    <w:rsid w:val="0071542F"/>
    <w:rsid w:val="007216E3"/>
    <w:rsid w:val="007222D7"/>
    <w:rsid w:val="00722A2E"/>
    <w:rsid w:val="00724F52"/>
    <w:rsid w:val="00726294"/>
    <w:rsid w:val="00726DD4"/>
    <w:rsid w:val="00726FF2"/>
    <w:rsid w:val="00730F56"/>
    <w:rsid w:val="00733C58"/>
    <w:rsid w:val="0073677C"/>
    <w:rsid w:val="007433FA"/>
    <w:rsid w:val="00744E2C"/>
    <w:rsid w:val="00745A91"/>
    <w:rsid w:val="0074650D"/>
    <w:rsid w:val="00752119"/>
    <w:rsid w:val="00752740"/>
    <w:rsid w:val="00754408"/>
    <w:rsid w:val="007560B0"/>
    <w:rsid w:val="00756879"/>
    <w:rsid w:val="0076084B"/>
    <w:rsid w:val="00762DD6"/>
    <w:rsid w:val="00763127"/>
    <w:rsid w:val="007631C7"/>
    <w:rsid w:val="00763CCC"/>
    <w:rsid w:val="00764280"/>
    <w:rsid w:val="0076610F"/>
    <w:rsid w:val="007751E3"/>
    <w:rsid w:val="00776C72"/>
    <w:rsid w:val="007807DC"/>
    <w:rsid w:val="0078258F"/>
    <w:rsid w:val="007846BC"/>
    <w:rsid w:val="00790C7A"/>
    <w:rsid w:val="00792131"/>
    <w:rsid w:val="00794B6E"/>
    <w:rsid w:val="00794F81"/>
    <w:rsid w:val="007969A4"/>
    <w:rsid w:val="007A0114"/>
    <w:rsid w:val="007A30AB"/>
    <w:rsid w:val="007A7201"/>
    <w:rsid w:val="007B1321"/>
    <w:rsid w:val="007B1904"/>
    <w:rsid w:val="007B5E91"/>
    <w:rsid w:val="007C37CC"/>
    <w:rsid w:val="007D02FF"/>
    <w:rsid w:val="007D6370"/>
    <w:rsid w:val="007E092F"/>
    <w:rsid w:val="007E4943"/>
    <w:rsid w:val="007E5112"/>
    <w:rsid w:val="007E5EC0"/>
    <w:rsid w:val="007F03D9"/>
    <w:rsid w:val="007F05BB"/>
    <w:rsid w:val="007F3520"/>
    <w:rsid w:val="007F7C06"/>
    <w:rsid w:val="007F7CC7"/>
    <w:rsid w:val="0080098A"/>
    <w:rsid w:val="00801761"/>
    <w:rsid w:val="008111EB"/>
    <w:rsid w:val="008130C9"/>
    <w:rsid w:val="00813D02"/>
    <w:rsid w:val="008144ED"/>
    <w:rsid w:val="00814833"/>
    <w:rsid w:val="0082033D"/>
    <w:rsid w:val="008222AD"/>
    <w:rsid w:val="00824B92"/>
    <w:rsid w:val="00825C64"/>
    <w:rsid w:val="00826631"/>
    <w:rsid w:val="0083104D"/>
    <w:rsid w:val="008349AE"/>
    <w:rsid w:val="00834E0B"/>
    <w:rsid w:val="0083546D"/>
    <w:rsid w:val="008362CF"/>
    <w:rsid w:val="008403A8"/>
    <w:rsid w:val="00842C2C"/>
    <w:rsid w:val="0084427B"/>
    <w:rsid w:val="00845080"/>
    <w:rsid w:val="00846D77"/>
    <w:rsid w:val="00847E3D"/>
    <w:rsid w:val="00852480"/>
    <w:rsid w:val="0085630D"/>
    <w:rsid w:val="00856632"/>
    <w:rsid w:val="008615B4"/>
    <w:rsid w:val="00863380"/>
    <w:rsid w:val="00864030"/>
    <w:rsid w:val="00867308"/>
    <w:rsid w:val="0089099B"/>
    <w:rsid w:val="00891F62"/>
    <w:rsid w:val="0089612A"/>
    <w:rsid w:val="00897E2A"/>
    <w:rsid w:val="008A5201"/>
    <w:rsid w:val="008A5A2C"/>
    <w:rsid w:val="008A6DB2"/>
    <w:rsid w:val="008A75F0"/>
    <w:rsid w:val="008B0543"/>
    <w:rsid w:val="008C0888"/>
    <w:rsid w:val="008C3505"/>
    <w:rsid w:val="008D30EA"/>
    <w:rsid w:val="008D4649"/>
    <w:rsid w:val="008D55C8"/>
    <w:rsid w:val="008D769B"/>
    <w:rsid w:val="008E20DE"/>
    <w:rsid w:val="008E2A56"/>
    <w:rsid w:val="008E43BE"/>
    <w:rsid w:val="008F1770"/>
    <w:rsid w:val="008F223D"/>
    <w:rsid w:val="008F27EA"/>
    <w:rsid w:val="008F2FB5"/>
    <w:rsid w:val="008F739B"/>
    <w:rsid w:val="009013C5"/>
    <w:rsid w:val="009018F5"/>
    <w:rsid w:val="00901BD5"/>
    <w:rsid w:val="009061A4"/>
    <w:rsid w:val="0090743B"/>
    <w:rsid w:val="00910BA6"/>
    <w:rsid w:val="00911BD5"/>
    <w:rsid w:val="00912E02"/>
    <w:rsid w:val="00914EC0"/>
    <w:rsid w:val="00923623"/>
    <w:rsid w:val="00923E07"/>
    <w:rsid w:val="0093066F"/>
    <w:rsid w:val="009315EE"/>
    <w:rsid w:val="00932E88"/>
    <w:rsid w:val="009333AB"/>
    <w:rsid w:val="0093440F"/>
    <w:rsid w:val="00942024"/>
    <w:rsid w:val="00943382"/>
    <w:rsid w:val="00944550"/>
    <w:rsid w:val="00950085"/>
    <w:rsid w:val="009550AD"/>
    <w:rsid w:val="009565D4"/>
    <w:rsid w:val="00961E10"/>
    <w:rsid w:val="00964D1D"/>
    <w:rsid w:val="00964F6A"/>
    <w:rsid w:val="00967D7C"/>
    <w:rsid w:val="0097214E"/>
    <w:rsid w:val="00972AFF"/>
    <w:rsid w:val="00973E4C"/>
    <w:rsid w:val="0097434F"/>
    <w:rsid w:val="0097600C"/>
    <w:rsid w:val="00976632"/>
    <w:rsid w:val="00977D73"/>
    <w:rsid w:val="00980220"/>
    <w:rsid w:val="00985F4F"/>
    <w:rsid w:val="009862FA"/>
    <w:rsid w:val="00990A9C"/>
    <w:rsid w:val="0099262A"/>
    <w:rsid w:val="0099739B"/>
    <w:rsid w:val="009A025A"/>
    <w:rsid w:val="009A05F3"/>
    <w:rsid w:val="009A15CA"/>
    <w:rsid w:val="009A4246"/>
    <w:rsid w:val="009B56DA"/>
    <w:rsid w:val="009B7D49"/>
    <w:rsid w:val="009C42CD"/>
    <w:rsid w:val="009C5536"/>
    <w:rsid w:val="009D13BB"/>
    <w:rsid w:val="009D50EB"/>
    <w:rsid w:val="009D61F4"/>
    <w:rsid w:val="009E32F5"/>
    <w:rsid w:val="009E34AC"/>
    <w:rsid w:val="009E5A33"/>
    <w:rsid w:val="009E6279"/>
    <w:rsid w:val="009F1F1A"/>
    <w:rsid w:val="009F237E"/>
    <w:rsid w:val="009F2649"/>
    <w:rsid w:val="009F704C"/>
    <w:rsid w:val="00A0215D"/>
    <w:rsid w:val="00A06666"/>
    <w:rsid w:val="00A079EF"/>
    <w:rsid w:val="00A105E0"/>
    <w:rsid w:val="00A10898"/>
    <w:rsid w:val="00A24FCA"/>
    <w:rsid w:val="00A27534"/>
    <w:rsid w:val="00A3018B"/>
    <w:rsid w:val="00A305C3"/>
    <w:rsid w:val="00A3128D"/>
    <w:rsid w:val="00A319DC"/>
    <w:rsid w:val="00A324EA"/>
    <w:rsid w:val="00A33A46"/>
    <w:rsid w:val="00A3471F"/>
    <w:rsid w:val="00A45A40"/>
    <w:rsid w:val="00A45B43"/>
    <w:rsid w:val="00A4794A"/>
    <w:rsid w:val="00A5124D"/>
    <w:rsid w:val="00A52190"/>
    <w:rsid w:val="00A52527"/>
    <w:rsid w:val="00A533DE"/>
    <w:rsid w:val="00A53D74"/>
    <w:rsid w:val="00A53E2B"/>
    <w:rsid w:val="00A570FF"/>
    <w:rsid w:val="00A622E9"/>
    <w:rsid w:val="00A70DFA"/>
    <w:rsid w:val="00A71A77"/>
    <w:rsid w:val="00A72AB7"/>
    <w:rsid w:val="00A730C1"/>
    <w:rsid w:val="00A737CE"/>
    <w:rsid w:val="00A74166"/>
    <w:rsid w:val="00A76A32"/>
    <w:rsid w:val="00A76F57"/>
    <w:rsid w:val="00A817CE"/>
    <w:rsid w:val="00A86C95"/>
    <w:rsid w:val="00A90F87"/>
    <w:rsid w:val="00A928FA"/>
    <w:rsid w:val="00A950B5"/>
    <w:rsid w:val="00AA08ED"/>
    <w:rsid w:val="00AA4C7C"/>
    <w:rsid w:val="00AA7B0B"/>
    <w:rsid w:val="00AB3167"/>
    <w:rsid w:val="00AB32CF"/>
    <w:rsid w:val="00AB4548"/>
    <w:rsid w:val="00AB4BAB"/>
    <w:rsid w:val="00AB4FEC"/>
    <w:rsid w:val="00AB7637"/>
    <w:rsid w:val="00AB7A6D"/>
    <w:rsid w:val="00AC0C31"/>
    <w:rsid w:val="00AC1F8B"/>
    <w:rsid w:val="00AC59EB"/>
    <w:rsid w:val="00AC627E"/>
    <w:rsid w:val="00AD2235"/>
    <w:rsid w:val="00AD6564"/>
    <w:rsid w:val="00AD7A9B"/>
    <w:rsid w:val="00AE093E"/>
    <w:rsid w:val="00AE0A04"/>
    <w:rsid w:val="00AE28D1"/>
    <w:rsid w:val="00AE3E70"/>
    <w:rsid w:val="00AE6BD5"/>
    <w:rsid w:val="00B02599"/>
    <w:rsid w:val="00B03BF9"/>
    <w:rsid w:val="00B058CF"/>
    <w:rsid w:val="00B05E82"/>
    <w:rsid w:val="00B11D0F"/>
    <w:rsid w:val="00B14060"/>
    <w:rsid w:val="00B16B3C"/>
    <w:rsid w:val="00B24BAF"/>
    <w:rsid w:val="00B2507C"/>
    <w:rsid w:val="00B255B7"/>
    <w:rsid w:val="00B25EE3"/>
    <w:rsid w:val="00B269D4"/>
    <w:rsid w:val="00B3357C"/>
    <w:rsid w:val="00B36809"/>
    <w:rsid w:val="00B378FA"/>
    <w:rsid w:val="00B42531"/>
    <w:rsid w:val="00B45298"/>
    <w:rsid w:val="00B45829"/>
    <w:rsid w:val="00B5001E"/>
    <w:rsid w:val="00B51E0E"/>
    <w:rsid w:val="00B53ADE"/>
    <w:rsid w:val="00B54987"/>
    <w:rsid w:val="00B574B1"/>
    <w:rsid w:val="00B61677"/>
    <w:rsid w:val="00B61C4A"/>
    <w:rsid w:val="00B61EC9"/>
    <w:rsid w:val="00B62090"/>
    <w:rsid w:val="00B6232C"/>
    <w:rsid w:val="00B629F4"/>
    <w:rsid w:val="00B632EE"/>
    <w:rsid w:val="00B679AD"/>
    <w:rsid w:val="00B7123F"/>
    <w:rsid w:val="00B7744A"/>
    <w:rsid w:val="00B82D4D"/>
    <w:rsid w:val="00B87EE6"/>
    <w:rsid w:val="00B90693"/>
    <w:rsid w:val="00B9260A"/>
    <w:rsid w:val="00B93FF4"/>
    <w:rsid w:val="00B949CE"/>
    <w:rsid w:val="00B96ABD"/>
    <w:rsid w:val="00B97F3F"/>
    <w:rsid w:val="00BA5983"/>
    <w:rsid w:val="00BA73C6"/>
    <w:rsid w:val="00BA7BA0"/>
    <w:rsid w:val="00BB5141"/>
    <w:rsid w:val="00BC62CD"/>
    <w:rsid w:val="00BD42E5"/>
    <w:rsid w:val="00BE02A5"/>
    <w:rsid w:val="00BE1FF6"/>
    <w:rsid w:val="00BE2D0F"/>
    <w:rsid w:val="00BE711C"/>
    <w:rsid w:val="00BF18DC"/>
    <w:rsid w:val="00BF1A56"/>
    <w:rsid w:val="00BF378B"/>
    <w:rsid w:val="00C03D52"/>
    <w:rsid w:val="00C04B4F"/>
    <w:rsid w:val="00C103B5"/>
    <w:rsid w:val="00C106E4"/>
    <w:rsid w:val="00C13DE2"/>
    <w:rsid w:val="00C14408"/>
    <w:rsid w:val="00C14776"/>
    <w:rsid w:val="00C148A7"/>
    <w:rsid w:val="00C17F58"/>
    <w:rsid w:val="00C20BE7"/>
    <w:rsid w:val="00C307E7"/>
    <w:rsid w:val="00C34A92"/>
    <w:rsid w:val="00C35829"/>
    <w:rsid w:val="00C36E7A"/>
    <w:rsid w:val="00C370A7"/>
    <w:rsid w:val="00C43356"/>
    <w:rsid w:val="00C520A3"/>
    <w:rsid w:val="00C57E90"/>
    <w:rsid w:val="00C62F1C"/>
    <w:rsid w:val="00C6380F"/>
    <w:rsid w:val="00C65A80"/>
    <w:rsid w:val="00C736AD"/>
    <w:rsid w:val="00C744A3"/>
    <w:rsid w:val="00C767D1"/>
    <w:rsid w:val="00C77DF7"/>
    <w:rsid w:val="00C81DB5"/>
    <w:rsid w:val="00C81DF3"/>
    <w:rsid w:val="00C837F5"/>
    <w:rsid w:val="00C85F93"/>
    <w:rsid w:val="00C900FF"/>
    <w:rsid w:val="00C90AE7"/>
    <w:rsid w:val="00C93919"/>
    <w:rsid w:val="00CA2E0C"/>
    <w:rsid w:val="00CA38A8"/>
    <w:rsid w:val="00CA7A9D"/>
    <w:rsid w:val="00CA7FB3"/>
    <w:rsid w:val="00CB12EB"/>
    <w:rsid w:val="00CB3FC8"/>
    <w:rsid w:val="00CB442A"/>
    <w:rsid w:val="00CB66A6"/>
    <w:rsid w:val="00CB6C1C"/>
    <w:rsid w:val="00CC63C0"/>
    <w:rsid w:val="00CD4B2E"/>
    <w:rsid w:val="00CD4DE4"/>
    <w:rsid w:val="00CD5478"/>
    <w:rsid w:val="00CD6527"/>
    <w:rsid w:val="00CD6B3F"/>
    <w:rsid w:val="00CD7504"/>
    <w:rsid w:val="00CE5622"/>
    <w:rsid w:val="00CF12ED"/>
    <w:rsid w:val="00CF2466"/>
    <w:rsid w:val="00CF38F7"/>
    <w:rsid w:val="00CF3E63"/>
    <w:rsid w:val="00CF561E"/>
    <w:rsid w:val="00CF5A8D"/>
    <w:rsid w:val="00CF5F51"/>
    <w:rsid w:val="00D0273C"/>
    <w:rsid w:val="00D05F08"/>
    <w:rsid w:val="00D143BA"/>
    <w:rsid w:val="00D15185"/>
    <w:rsid w:val="00D20DD2"/>
    <w:rsid w:val="00D2699B"/>
    <w:rsid w:val="00D26B6F"/>
    <w:rsid w:val="00D34EEE"/>
    <w:rsid w:val="00D36E67"/>
    <w:rsid w:val="00D37BAF"/>
    <w:rsid w:val="00D40A64"/>
    <w:rsid w:val="00D46C86"/>
    <w:rsid w:val="00D51337"/>
    <w:rsid w:val="00D51B1E"/>
    <w:rsid w:val="00D52184"/>
    <w:rsid w:val="00D5385B"/>
    <w:rsid w:val="00D54E6F"/>
    <w:rsid w:val="00D71743"/>
    <w:rsid w:val="00D73095"/>
    <w:rsid w:val="00D76A6B"/>
    <w:rsid w:val="00D836D2"/>
    <w:rsid w:val="00D84F8F"/>
    <w:rsid w:val="00D918A7"/>
    <w:rsid w:val="00D91C3B"/>
    <w:rsid w:val="00D925F7"/>
    <w:rsid w:val="00D960FF"/>
    <w:rsid w:val="00D96598"/>
    <w:rsid w:val="00D979EA"/>
    <w:rsid w:val="00DA014B"/>
    <w:rsid w:val="00DA02B9"/>
    <w:rsid w:val="00DA42EA"/>
    <w:rsid w:val="00DA61E6"/>
    <w:rsid w:val="00DA656C"/>
    <w:rsid w:val="00DA7FEA"/>
    <w:rsid w:val="00DB269B"/>
    <w:rsid w:val="00DB2E3E"/>
    <w:rsid w:val="00DB7BE8"/>
    <w:rsid w:val="00DC02B5"/>
    <w:rsid w:val="00DC55D3"/>
    <w:rsid w:val="00DD27D1"/>
    <w:rsid w:val="00DD4409"/>
    <w:rsid w:val="00DD5176"/>
    <w:rsid w:val="00DE143B"/>
    <w:rsid w:val="00DE221A"/>
    <w:rsid w:val="00DE2334"/>
    <w:rsid w:val="00DE5C1E"/>
    <w:rsid w:val="00DE78D9"/>
    <w:rsid w:val="00DF11DE"/>
    <w:rsid w:val="00DF599C"/>
    <w:rsid w:val="00DF5D8A"/>
    <w:rsid w:val="00DF6899"/>
    <w:rsid w:val="00DF68F0"/>
    <w:rsid w:val="00DF6CDE"/>
    <w:rsid w:val="00E0113D"/>
    <w:rsid w:val="00E01E09"/>
    <w:rsid w:val="00E039CB"/>
    <w:rsid w:val="00E04E9C"/>
    <w:rsid w:val="00E065C4"/>
    <w:rsid w:val="00E07F01"/>
    <w:rsid w:val="00E1423B"/>
    <w:rsid w:val="00E15A93"/>
    <w:rsid w:val="00E17128"/>
    <w:rsid w:val="00E20AF1"/>
    <w:rsid w:val="00E316A8"/>
    <w:rsid w:val="00E317E1"/>
    <w:rsid w:val="00E33231"/>
    <w:rsid w:val="00E435B5"/>
    <w:rsid w:val="00E5070E"/>
    <w:rsid w:val="00E55D53"/>
    <w:rsid w:val="00E569C9"/>
    <w:rsid w:val="00E6186E"/>
    <w:rsid w:val="00E61DF0"/>
    <w:rsid w:val="00E62DE5"/>
    <w:rsid w:val="00E656CF"/>
    <w:rsid w:val="00E70701"/>
    <w:rsid w:val="00E72F03"/>
    <w:rsid w:val="00E73AC8"/>
    <w:rsid w:val="00E7429A"/>
    <w:rsid w:val="00E75D89"/>
    <w:rsid w:val="00E84434"/>
    <w:rsid w:val="00E9511F"/>
    <w:rsid w:val="00EA0512"/>
    <w:rsid w:val="00EA59B2"/>
    <w:rsid w:val="00EB08DD"/>
    <w:rsid w:val="00EB30F5"/>
    <w:rsid w:val="00EB4A14"/>
    <w:rsid w:val="00EB5299"/>
    <w:rsid w:val="00EB5C8B"/>
    <w:rsid w:val="00EC3CC1"/>
    <w:rsid w:val="00EC3F3F"/>
    <w:rsid w:val="00EC47CA"/>
    <w:rsid w:val="00EC5F47"/>
    <w:rsid w:val="00ED263C"/>
    <w:rsid w:val="00ED2A92"/>
    <w:rsid w:val="00ED2B55"/>
    <w:rsid w:val="00ED3BFF"/>
    <w:rsid w:val="00ED503D"/>
    <w:rsid w:val="00EE0831"/>
    <w:rsid w:val="00EE11FD"/>
    <w:rsid w:val="00EE1D07"/>
    <w:rsid w:val="00EE2DA2"/>
    <w:rsid w:val="00EE4B98"/>
    <w:rsid w:val="00EF28DF"/>
    <w:rsid w:val="00EF61A5"/>
    <w:rsid w:val="00EF61E5"/>
    <w:rsid w:val="00F00C57"/>
    <w:rsid w:val="00F00D22"/>
    <w:rsid w:val="00F030AA"/>
    <w:rsid w:val="00F050EB"/>
    <w:rsid w:val="00F06A1F"/>
    <w:rsid w:val="00F11151"/>
    <w:rsid w:val="00F13235"/>
    <w:rsid w:val="00F145E8"/>
    <w:rsid w:val="00F1494E"/>
    <w:rsid w:val="00F20015"/>
    <w:rsid w:val="00F23798"/>
    <w:rsid w:val="00F24699"/>
    <w:rsid w:val="00F24B81"/>
    <w:rsid w:val="00F24F66"/>
    <w:rsid w:val="00F260AC"/>
    <w:rsid w:val="00F26DFB"/>
    <w:rsid w:val="00F27043"/>
    <w:rsid w:val="00F27D07"/>
    <w:rsid w:val="00F327B4"/>
    <w:rsid w:val="00F32C54"/>
    <w:rsid w:val="00F32E6E"/>
    <w:rsid w:val="00F37633"/>
    <w:rsid w:val="00F41461"/>
    <w:rsid w:val="00F41DD4"/>
    <w:rsid w:val="00F4263A"/>
    <w:rsid w:val="00F42B60"/>
    <w:rsid w:val="00F47CA4"/>
    <w:rsid w:val="00F47E96"/>
    <w:rsid w:val="00F50A3A"/>
    <w:rsid w:val="00F52DFF"/>
    <w:rsid w:val="00F53A4C"/>
    <w:rsid w:val="00F5526E"/>
    <w:rsid w:val="00F569E1"/>
    <w:rsid w:val="00F62A1E"/>
    <w:rsid w:val="00F64DB9"/>
    <w:rsid w:val="00F65513"/>
    <w:rsid w:val="00F75913"/>
    <w:rsid w:val="00F82350"/>
    <w:rsid w:val="00F828F8"/>
    <w:rsid w:val="00F85399"/>
    <w:rsid w:val="00F92420"/>
    <w:rsid w:val="00F93183"/>
    <w:rsid w:val="00F96D00"/>
    <w:rsid w:val="00FA035F"/>
    <w:rsid w:val="00FA2276"/>
    <w:rsid w:val="00FA4CF0"/>
    <w:rsid w:val="00FA512D"/>
    <w:rsid w:val="00FA686C"/>
    <w:rsid w:val="00FA6932"/>
    <w:rsid w:val="00FA6CEA"/>
    <w:rsid w:val="00FB1945"/>
    <w:rsid w:val="00FB3972"/>
    <w:rsid w:val="00FB70DE"/>
    <w:rsid w:val="00FC0EBA"/>
    <w:rsid w:val="00FC0EDD"/>
    <w:rsid w:val="00FC2BD1"/>
    <w:rsid w:val="00FD17C2"/>
    <w:rsid w:val="00FD634F"/>
    <w:rsid w:val="00FE0A7C"/>
    <w:rsid w:val="00FE2611"/>
    <w:rsid w:val="00FF2067"/>
    <w:rsid w:val="00FF2AB0"/>
    <w:rsid w:val="00FF3FFA"/>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1e1ff,#069,#bad1e8,#afd787,#cde6b4,#d1e8ba,#0000ac"/>
    </o:shapedefaults>
    <o:shapelayout v:ext="edit">
      <o:idmap v:ext="edit" data="1"/>
    </o:shapelayout>
  </w:shapeDefaults>
  <w:decimalSymbol w:val="."/>
  <w:listSeparator w:val=","/>
  <w14:docId w14:val="126B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qFormat/>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6F299B"/>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uiPriority w:val="9"/>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5B6ACF"/>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826631"/>
    <w:rPr>
      <w:rFonts w:ascii="Arial" w:hAnsi="Arial"/>
      <w:b/>
      <w:color w:val="DA291C"/>
    </w:rPr>
  </w:style>
  <w:style w:type="paragraph" w:customStyle="1" w:styleId="ListBulleted">
    <w:name w:val="ListBulleted"/>
    <w:qFormat/>
    <w:rsid w:val="00FA2276"/>
    <w:pPr>
      <w:numPr>
        <w:numId w:val="19"/>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numPr>
        <w:ilvl w:val="0"/>
        <w:numId w:val="0"/>
      </w:num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color w:val="DA291C" w:themeColor="accent1"/>
      <w:sz w:val="24"/>
    </w:rPr>
  </w:style>
  <w:style w:type="paragraph" w:styleId="Revision">
    <w:name w:val="Revision"/>
    <w:hidden/>
    <w:uiPriority w:val="99"/>
    <w:semiHidden/>
    <w:rsid w:val="006A4FFF"/>
    <w:rPr>
      <w:sz w:val="22"/>
    </w:rPr>
  </w:style>
  <w:style w:type="paragraph" w:customStyle="1" w:styleId="R2-ResBullet">
    <w:name w:val="R2-Res Bullet"/>
    <w:rsid w:val="002C14CE"/>
    <w:pPr>
      <w:tabs>
        <w:tab w:val="left" w:pos="720"/>
      </w:tabs>
      <w:spacing w:line="240" w:lineRule="exact"/>
      <w:ind w:left="720" w:hanging="432"/>
      <w:jc w:val="both"/>
    </w:pPr>
    <w:rPr>
      <w:sz w:val="22"/>
    </w:rPr>
  </w:style>
  <w:style w:type="character" w:customStyle="1" w:styleId="BulletsChar">
    <w:name w:val="Bullets Char"/>
    <w:link w:val="Bullets"/>
    <w:locked/>
    <w:rsid w:val="00AC1F8B"/>
    <w:rPr>
      <w:sz w:val="22"/>
    </w:rPr>
  </w:style>
  <w:style w:type="character" w:styleId="FollowedHyperlink">
    <w:name w:val="FollowedHyperlink"/>
    <w:basedOn w:val="DefaultParagraphFont"/>
    <w:rsid w:val="00337E17"/>
    <w:rPr>
      <w:color w:val="0070C0" w:themeColor="followedHyperlink"/>
      <w:u w:val="single"/>
    </w:rPr>
  </w:style>
  <w:style w:type="paragraph" w:customStyle="1" w:styleId="ResumePublications">
    <w:name w:val="Resume Publications"/>
    <w:basedOn w:val="Normal"/>
    <w:rsid w:val="00D05F08"/>
    <w:pPr>
      <w:snapToGrid w:val="0"/>
      <w:spacing w:after="0" w:line="240" w:lineRule="auto"/>
      <w:ind w:firstLine="360"/>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qFormat/>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6F299B"/>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uiPriority w:val="9"/>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5B6ACF"/>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826631"/>
    <w:rPr>
      <w:rFonts w:ascii="Arial" w:hAnsi="Arial"/>
      <w:b/>
      <w:color w:val="DA291C"/>
    </w:rPr>
  </w:style>
  <w:style w:type="paragraph" w:customStyle="1" w:styleId="ListBulleted">
    <w:name w:val="ListBulleted"/>
    <w:qFormat/>
    <w:rsid w:val="00FA2276"/>
    <w:pPr>
      <w:numPr>
        <w:numId w:val="19"/>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numPr>
        <w:ilvl w:val="0"/>
        <w:numId w:val="0"/>
      </w:num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color w:val="DA291C" w:themeColor="accent1"/>
      <w:sz w:val="24"/>
    </w:rPr>
  </w:style>
  <w:style w:type="paragraph" w:styleId="Revision">
    <w:name w:val="Revision"/>
    <w:hidden/>
    <w:uiPriority w:val="99"/>
    <w:semiHidden/>
    <w:rsid w:val="006A4FFF"/>
    <w:rPr>
      <w:sz w:val="22"/>
    </w:rPr>
  </w:style>
  <w:style w:type="paragraph" w:customStyle="1" w:styleId="R2-ResBullet">
    <w:name w:val="R2-Res Bullet"/>
    <w:rsid w:val="002C14CE"/>
    <w:pPr>
      <w:tabs>
        <w:tab w:val="left" w:pos="720"/>
      </w:tabs>
      <w:spacing w:line="240" w:lineRule="exact"/>
      <w:ind w:left="720" w:hanging="432"/>
      <w:jc w:val="both"/>
    </w:pPr>
    <w:rPr>
      <w:sz w:val="22"/>
    </w:rPr>
  </w:style>
  <w:style w:type="character" w:customStyle="1" w:styleId="BulletsChar">
    <w:name w:val="Bullets Char"/>
    <w:link w:val="Bullets"/>
    <w:locked/>
    <w:rsid w:val="00AC1F8B"/>
    <w:rPr>
      <w:sz w:val="22"/>
    </w:rPr>
  </w:style>
  <w:style w:type="character" w:styleId="FollowedHyperlink">
    <w:name w:val="FollowedHyperlink"/>
    <w:basedOn w:val="DefaultParagraphFont"/>
    <w:rsid w:val="00337E17"/>
    <w:rPr>
      <w:color w:val="0070C0" w:themeColor="followedHyperlink"/>
      <w:u w:val="single"/>
    </w:rPr>
  </w:style>
  <w:style w:type="paragraph" w:customStyle="1" w:styleId="ResumePublications">
    <w:name w:val="Resume Publications"/>
    <w:basedOn w:val="Normal"/>
    <w:rsid w:val="00D05F08"/>
    <w:pPr>
      <w:snapToGrid w:val="0"/>
      <w:spacing w:after="0" w:line="240" w:lineRule="auto"/>
      <w:ind w:firstLine="36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9814">
      <w:bodyDiv w:val="1"/>
      <w:marLeft w:val="0"/>
      <w:marRight w:val="0"/>
      <w:marTop w:val="0"/>
      <w:marBottom w:val="0"/>
      <w:divBdr>
        <w:top w:val="none" w:sz="0" w:space="0" w:color="auto"/>
        <w:left w:val="none" w:sz="0" w:space="0" w:color="auto"/>
        <w:bottom w:val="none" w:sz="0" w:space="0" w:color="auto"/>
        <w:right w:val="none" w:sz="0" w:space="0" w:color="auto"/>
      </w:divBdr>
    </w:div>
    <w:div w:id="1093093678">
      <w:bodyDiv w:val="1"/>
      <w:marLeft w:val="0"/>
      <w:marRight w:val="0"/>
      <w:marTop w:val="0"/>
      <w:marBottom w:val="0"/>
      <w:divBdr>
        <w:top w:val="none" w:sz="0" w:space="0" w:color="auto"/>
        <w:left w:val="none" w:sz="0" w:space="0" w:color="auto"/>
        <w:bottom w:val="none" w:sz="0" w:space="0" w:color="auto"/>
        <w:right w:val="none" w:sz="0" w:space="0" w:color="auto"/>
      </w:divBdr>
    </w:div>
    <w:div w:id="1300845484">
      <w:bodyDiv w:val="1"/>
      <w:marLeft w:val="0"/>
      <w:marRight w:val="0"/>
      <w:marTop w:val="0"/>
      <w:marBottom w:val="0"/>
      <w:divBdr>
        <w:top w:val="none" w:sz="0" w:space="0" w:color="auto"/>
        <w:left w:val="none" w:sz="0" w:space="0" w:color="auto"/>
        <w:bottom w:val="none" w:sz="0" w:space="0" w:color="auto"/>
        <w:right w:val="none" w:sz="0" w:space="0" w:color="auto"/>
      </w:divBdr>
      <w:divsChild>
        <w:div w:id="1221019214">
          <w:marLeft w:val="0"/>
          <w:marRight w:val="0"/>
          <w:marTop w:val="0"/>
          <w:marBottom w:val="0"/>
          <w:divBdr>
            <w:top w:val="none" w:sz="0" w:space="0" w:color="auto"/>
            <w:left w:val="none" w:sz="0" w:space="0" w:color="auto"/>
            <w:bottom w:val="none" w:sz="0" w:space="0" w:color="auto"/>
            <w:right w:val="none" w:sz="0" w:space="0" w:color="auto"/>
          </w:divBdr>
          <w:divsChild>
            <w:div w:id="74327461">
              <w:marLeft w:val="0"/>
              <w:marRight w:val="0"/>
              <w:marTop w:val="0"/>
              <w:marBottom w:val="0"/>
              <w:divBdr>
                <w:top w:val="none" w:sz="0" w:space="0" w:color="auto"/>
                <w:left w:val="none" w:sz="0" w:space="0" w:color="auto"/>
                <w:bottom w:val="none" w:sz="0" w:space="0" w:color="auto"/>
                <w:right w:val="none" w:sz="0" w:space="0" w:color="auto"/>
              </w:divBdr>
              <w:divsChild>
                <w:div w:id="547423766">
                  <w:marLeft w:val="-225"/>
                  <w:marRight w:val="-225"/>
                  <w:marTop w:val="0"/>
                  <w:marBottom w:val="0"/>
                  <w:divBdr>
                    <w:top w:val="none" w:sz="0" w:space="0" w:color="auto"/>
                    <w:left w:val="none" w:sz="0" w:space="0" w:color="auto"/>
                    <w:bottom w:val="none" w:sz="0" w:space="0" w:color="auto"/>
                    <w:right w:val="none" w:sz="0" w:space="0" w:color="auto"/>
                  </w:divBdr>
                  <w:divsChild>
                    <w:div w:id="824660091">
                      <w:marLeft w:val="0"/>
                      <w:marRight w:val="0"/>
                      <w:marTop w:val="0"/>
                      <w:marBottom w:val="0"/>
                      <w:divBdr>
                        <w:top w:val="none" w:sz="0" w:space="0" w:color="auto"/>
                        <w:left w:val="none" w:sz="0" w:space="0" w:color="auto"/>
                        <w:bottom w:val="none" w:sz="0" w:space="0" w:color="auto"/>
                        <w:right w:val="none" w:sz="0" w:space="0" w:color="auto"/>
                      </w:divBdr>
                      <w:divsChild>
                        <w:div w:id="1821847149">
                          <w:marLeft w:val="0"/>
                          <w:marRight w:val="0"/>
                          <w:marTop w:val="0"/>
                          <w:marBottom w:val="0"/>
                          <w:divBdr>
                            <w:top w:val="none" w:sz="0" w:space="0" w:color="auto"/>
                            <w:left w:val="none" w:sz="0" w:space="0" w:color="auto"/>
                            <w:bottom w:val="none" w:sz="0" w:space="0" w:color="auto"/>
                            <w:right w:val="none" w:sz="0" w:space="0" w:color="auto"/>
                          </w:divBdr>
                          <w:divsChild>
                            <w:div w:id="131605743">
                              <w:marLeft w:val="-225"/>
                              <w:marRight w:val="-225"/>
                              <w:marTop w:val="0"/>
                              <w:marBottom w:val="0"/>
                              <w:divBdr>
                                <w:top w:val="none" w:sz="0" w:space="0" w:color="auto"/>
                                <w:left w:val="none" w:sz="0" w:space="0" w:color="auto"/>
                                <w:bottom w:val="none" w:sz="0" w:space="0" w:color="auto"/>
                                <w:right w:val="none" w:sz="0" w:space="0" w:color="auto"/>
                              </w:divBdr>
                              <w:divsChild>
                                <w:div w:id="430274338">
                                  <w:marLeft w:val="0"/>
                                  <w:marRight w:val="0"/>
                                  <w:marTop w:val="0"/>
                                  <w:marBottom w:val="0"/>
                                  <w:divBdr>
                                    <w:top w:val="none" w:sz="0" w:space="0" w:color="auto"/>
                                    <w:left w:val="none" w:sz="0" w:space="0" w:color="auto"/>
                                    <w:bottom w:val="none" w:sz="0" w:space="0" w:color="auto"/>
                                    <w:right w:val="none" w:sz="0" w:space="0" w:color="auto"/>
                                  </w:divBdr>
                                  <w:divsChild>
                                    <w:div w:id="1872838384">
                                      <w:marLeft w:val="0"/>
                                      <w:marRight w:val="0"/>
                                      <w:marTop w:val="0"/>
                                      <w:marBottom w:val="0"/>
                                      <w:divBdr>
                                        <w:top w:val="none" w:sz="0" w:space="0" w:color="auto"/>
                                        <w:left w:val="none" w:sz="0" w:space="0" w:color="auto"/>
                                        <w:bottom w:val="none" w:sz="0" w:space="0" w:color="auto"/>
                                        <w:right w:val="none" w:sz="0" w:space="0" w:color="auto"/>
                                      </w:divBdr>
                                      <w:divsChild>
                                        <w:div w:id="1414399149">
                                          <w:marLeft w:val="0"/>
                                          <w:marRight w:val="0"/>
                                          <w:marTop w:val="0"/>
                                          <w:marBottom w:val="0"/>
                                          <w:divBdr>
                                            <w:top w:val="none" w:sz="0" w:space="0" w:color="auto"/>
                                            <w:left w:val="none" w:sz="0" w:space="0" w:color="auto"/>
                                            <w:bottom w:val="none" w:sz="0" w:space="0" w:color="auto"/>
                                            <w:right w:val="none" w:sz="0" w:space="0" w:color="auto"/>
                                          </w:divBdr>
                                          <w:divsChild>
                                            <w:div w:id="1001349482">
                                              <w:marLeft w:val="0"/>
                                              <w:marRight w:val="0"/>
                                              <w:marTop w:val="0"/>
                                              <w:marBottom w:val="0"/>
                                              <w:divBdr>
                                                <w:top w:val="none" w:sz="0" w:space="0" w:color="auto"/>
                                                <w:left w:val="none" w:sz="0" w:space="0" w:color="auto"/>
                                                <w:bottom w:val="none" w:sz="0" w:space="0" w:color="auto"/>
                                                <w:right w:val="none" w:sz="0" w:space="0" w:color="auto"/>
                                              </w:divBdr>
                                              <w:divsChild>
                                                <w:div w:id="2035036095">
                                                  <w:marLeft w:val="0"/>
                                                  <w:marRight w:val="0"/>
                                                  <w:marTop w:val="0"/>
                                                  <w:marBottom w:val="0"/>
                                                  <w:divBdr>
                                                    <w:top w:val="none" w:sz="0" w:space="0" w:color="auto"/>
                                                    <w:left w:val="none" w:sz="0" w:space="0" w:color="auto"/>
                                                    <w:bottom w:val="none" w:sz="0" w:space="0" w:color="auto"/>
                                                    <w:right w:val="none" w:sz="0" w:space="0" w:color="auto"/>
                                                  </w:divBdr>
                                                  <w:divsChild>
                                                    <w:div w:id="14818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reginfo.gov/public/do/PRAOMBHistory?ombControlNumber=0970-039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reginfo.gov/public/do/PRAOMBHistory?ombControlNumber=1205-0506"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reginfo.gov/public/do/PRAOMBHistory?ombControlNumber=0970-03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reginfo.gov/public/do/PRAOMBHistory?ombControlNumber=0970-0394"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https://wdr.doleta.gov/directives/attach/TEGL15-10.pdf"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0388-4FF0-42BD-8D31-A4EB3235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4815</Words>
  <Characters>28193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32943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Eyster, Lauren</dc:creator>
  <cp:lastModifiedBy>Karen Gardiner</cp:lastModifiedBy>
  <cp:revision>4</cp:revision>
  <cp:lastPrinted>2016-11-07T13:31:00Z</cp:lastPrinted>
  <dcterms:created xsi:type="dcterms:W3CDTF">2016-12-07T22:28:00Z</dcterms:created>
  <dcterms:modified xsi:type="dcterms:W3CDTF">2016-12-07T22:34:00Z</dcterms:modified>
</cp:coreProperties>
</file>