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CF" w:rsidRDefault="005B6ACF" w:rsidP="005B6ACF">
      <w:pPr>
        <w:pStyle w:val="Heading1"/>
        <w:numPr>
          <w:ilvl w:val="0"/>
          <w:numId w:val="0"/>
        </w:numPr>
        <w:spacing w:after="200"/>
      </w:pPr>
      <w:bookmarkStart w:id="0" w:name="_Toc466359622"/>
      <w:bookmarkStart w:id="1" w:name="_GoBack"/>
      <w:bookmarkEnd w:id="1"/>
      <w:r w:rsidRPr="001034D3">
        <w:t>Part A: Justification</w:t>
      </w:r>
      <w:bookmarkEnd w:id="0"/>
    </w:p>
    <w:p w:rsidR="00293E1A" w:rsidRDefault="00293E1A" w:rsidP="00293E1A">
      <w:pPr>
        <w:pStyle w:val="Heading2"/>
      </w:pPr>
      <w:bookmarkStart w:id="2" w:name="_Toc419820613"/>
      <w:bookmarkStart w:id="3" w:name="_Toc466359623"/>
      <w:r>
        <w:t>Overview</w:t>
      </w:r>
      <w:bookmarkEnd w:id="2"/>
      <w:bookmarkEnd w:id="3"/>
    </w:p>
    <w:p w:rsidR="00BA690F" w:rsidRDefault="00AB7A6D" w:rsidP="00ED2B55">
      <w:r w:rsidRPr="00AB7A6D">
        <w:t>The Department of Labor (DOL) contracted with Abt Associates in partnership with the Urban Institute</w:t>
      </w:r>
      <w:r w:rsidR="009C5672">
        <w:t>, NORC</w:t>
      </w:r>
      <w:r w:rsidR="0078301D">
        <w:t xml:space="preserve"> at the University of Chicago</w:t>
      </w:r>
      <w:r w:rsidR="009C5672">
        <w:t>, George Washington University, and Capital Research Corporation</w:t>
      </w:r>
      <w:r w:rsidRPr="00AB7A6D">
        <w:t xml:space="preserve"> to conduct </w:t>
      </w:r>
      <w:r w:rsidR="00293E1A">
        <w:t>the N</w:t>
      </w:r>
      <w:r w:rsidR="009C5672">
        <w:t>ational</w:t>
      </w:r>
      <w:r w:rsidR="009C5672" w:rsidRPr="00AB7A6D">
        <w:t xml:space="preserve"> </w:t>
      </w:r>
      <w:r w:rsidR="00293E1A">
        <w:t>E</w:t>
      </w:r>
      <w:r w:rsidRPr="00AB7A6D">
        <w:t xml:space="preserve">valuation of Round 4 of the </w:t>
      </w:r>
      <w:r w:rsidR="006D6E50">
        <w:t>Trade Adjustment Assistance Community College and Career Training (</w:t>
      </w:r>
      <w:r w:rsidRPr="00AB7A6D">
        <w:t>TAACCCT</w:t>
      </w:r>
      <w:r w:rsidR="006D6E50">
        <w:t>)</w:t>
      </w:r>
      <w:r w:rsidRPr="00AB7A6D">
        <w:t xml:space="preserve"> grant program</w:t>
      </w:r>
      <w:r w:rsidR="009C5672">
        <w:t>. DOL</w:t>
      </w:r>
      <w:r>
        <w:t xml:space="preserve"> is seeking approval from OMB under the Paperwork Reduction Act </w:t>
      </w:r>
      <w:r w:rsidR="00D66737">
        <w:t xml:space="preserve">(PRA) </w:t>
      </w:r>
      <w:r>
        <w:t>for data collection instruments associated with the evaluation</w:t>
      </w:r>
      <w:r w:rsidRPr="00AB7A6D">
        <w:t xml:space="preserve">.  </w:t>
      </w:r>
      <w:r w:rsidR="00ED2B55" w:rsidRPr="00AB7A6D">
        <w:t>The TAACCCT</w:t>
      </w:r>
      <w:r w:rsidR="00ED2B55">
        <w:t xml:space="preserve"> grant program provides community colleges and other eligible institutions of higher education with funds to expand and improve their ability to deliver education and career training programs that can be completed in two years or less and are suited for workers who are eligible for training under the Trade Adjustment Assistance for Workers (TAA) Program. TAACCCT</w:t>
      </w:r>
      <w:r w:rsidR="00C837F5">
        <w:t xml:space="preserve">-supported programs </w:t>
      </w:r>
      <w:r w:rsidR="00ED2B55">
        <w:t>prepare participants for employment in high-wage, high-skill occupations. Through these multi-year grants, DOL is helping to ensure that institutions of higher education are helping adults succeed in acquiring the skills, degrees, and credentials needed for high-wage, high-skill employment while also meeting the needs of employers for skilled workers. DOL is implementing the TAACCCT program in partne</w:t>
      </w:r>
      <w:r w:rsidR="000713DF">
        <w:t xml:space="preserve">rship with the U.S. Department </w:t>
      </w:r>
      <w:r w:rsidR="00ED2B55">
        <w:t xml:space="preserve">of Education. A total of 49 grants were awarded in Round 1 in FY 2011, 72 in Round 2 in FY 2012, 57 in Round 3 in FY 2013, and 71 in Round 4 in FY 2014. Some of the grants were awarded to single institutions and others to consortia of institutions. </w:t>
      </w:r>
    </w:p>
    <w:p w:rsidR="00293E1A" w:rsidRDefault="00A45A40" w:rsidP="002D6947">
      <w:r>
        <w:t>OMB</w:t>
      </w:r>
      <w:r w:rsidR="00C65198">
        <w:t xml:space="preserve"> previously cleared </w:t>
      </w:r>
      <w:r w:rsidR="00293E1A">
        <w:t>three</w:t>
      </w:r>
      <w:r w:rsidR="00C65198">
        <w:t xml:space="preserve"> </w:t>
      </w:r>
      <w:r w:rsidR="007214D4">
        <w:t xml:space="preserve">information collection requests (ICRs) </w:t>
      </w:r>
      <w:r w:rsidR="00C65198">
        <w:t xml:space="preserve">for this </w:t>
      </w:r>
      <w:r w:rsidR="00293E1A">
        <w:t xml:space="preserve">and prior </w:t>
      </w:r>
      <w:r w:rsidR="00C65198">
        <w:t>round</w:t>
      </w:r>
      <w:r w:rsidR="00293E1A">
        <w:t>s</w:t>
      </w:r>
      <w:r w:rsidR="00C65198">
        <w:t xml:space="preserve"> of TAACCCT.  </w:t>
      </w:r>
      <w:r w:rsidR="00293E1A">
        <w:t xml:space="preserve">Under </w:t>
      </w:r>
      <w:r w:rsidR="00C65198">
        <w:t>OMB Control No. 1291-00</w:t>
      </w:r>
      <w:r w:rsidR="00F335EA">
        <w:t>0</w:t>
      </w:r>
      <w:r w:rsidR="00C65198">
        <w:t>4, OMB approved a baseline information form (BIF)</w:t>
      </w:r>
      <w:r w:rsidR="007214D4">
        <w:t xml:space="preserve"> </w:t>
      </w:r>
      <w:r w:rsidR="00F64143">
        <w:t>and a s</w:t>
      </w:r>
      <w:r w:rsidR="009C5672">
        <w:t>elf-</w:t>
      </w:r>
      <w:r w:rsidR="00F64143">
        <w:t>a</w:t>
      </w:r>
      <w:r w:rsidR="009C5672">
        <w:t xml:space="preserve">dministered </w:t>
      </w:r>
      <w:r w:rsidR="00F64143">
        <w:t>q</w:t>
      </w:r>
      <w:r w:rsidR="009C5672">
        <w:t xml:space="preserve">uestionnaire (SAQ) </w:t>
      </w:r>
      <w:r w:rsidR="007214D4">
        <w:t>for an Impact Study of</w:t>
      </w:r>
      <w:r w:rsidR="00293E1A">
        <w:t xml:space="preserve"> selected</w:t>
      </w:r>
      <w:r w:rsidR="007214D4">
        <w:t xml:space="preserve"> Round 4 </w:t>
      </w:r>
      <w:r w:rsidR="00293E1A">
        <w:t xml:space="preserve">grantees </w:t>
      </w:r>
      <w:r w:rsidR="007214D4">
        <w:t>and a semi-structure</w:t>
      </w:r>
      <w:r w:rsidR="009C5672">
        <w:t>d</w:t>
      </w:r>
      <w:r w:rsidR="007214D4">
        <w:t xml:space="preserve"> interview guide for an implementation study of Round 4</w:t>
      </w:r>
      <w:r w:rsidR="00D66737">
        <w:t xml:space="preserve"> grantees</w:t>
      </w:r>
      <w:r w:rsidR="007214D4">
        <w:t xml:space="preserve">.  </w:t>
      </w:r>
      <w:r w:rsidR="00293E1A">
        <w:t xml:space="preserve">Under </w:t>
      </w:r>
      <w:r w:rsidR="007214D4">
        <w:t>OMB Control No. 1291-00</w:t>
      </w:r>
      <w:r w:rsidR="00AE52E1">
        <w:t>0</w:t>
      </w:r>
      <w:r w:rsidR="007214D4">
        <w:t>7, OMB</w:t>
      </w:r>
      <w:r>
        <w:t xml:space="preserve"> </w:t>
      </w:r>
      <w:r w:rsidR="007214D4">
        <w:t>approved a semi-structure</w:t>
      </w:r>
      <w:r w:rsidR="0078301D">
        <w:t>d</w:t>
      </w:r>
      <w:r w:rsidR="007214D4">
        <w:t xml:space="preserve"> interview guide for </w:t>
      </w:r>
      <w:r w:rsidR="00BA690F">
        <w:t>site visits</w:t>
      </w:r>
      <w:r w:rsidR="007214D4">
        <w:t xml:space="preserve"> to grantees in Rounds 1-3, a guide for focus groups</w:t>
      </w:r>
      <w:r w:rsidR="00062030">
        <w:t xml:space="preserve"> involving students served by Rounds 1-3</w:t>
      </w:r>
      <w:r w:rsidR="00293E1A">
        <w:t xml:space="preserve"> grantees</w:t>
      </w:r>
      <w:r w:rsidR="007214D4">
        <w:t xml:space="preserve">, and a College Survey for </w:t>
      </w:r>
      <w:r w:rsidR="00293E1A">
        <w:t xml:space="preserve">all </w:t>
      </w:r>
      <w:r w:rsidR="007214D4">
        <w:t>colleges associated with</w:t>
      </w:r>
      <w:r w:rsidR="00BA690F">
        <w:t xml:space="preserve"> Rounds 1-3</w:t>
      </w:r>
      <w:r w:rsidR="00D66737">
        <w:t xml:space="preserve"> grantees</w:t>
      </w:r>
      <w:r w:rsidR="007214D4">
        <w:t>.</w:t>
      </w:r>
      <w:r w:rsidR="00062030">
        <w:t xml:space="preserve">  </w:t>
      </w:r>
      <w:r w:rsidR="00293E1A">
        <w:t xml:space="preserve">A </w:t>
      </w:r>
      <w:r w:rsidR="00062030">
        <w:t xml:space="preserve">third </w:t>
      </w:r>
      <w:r w:rsidR="00BA690F" w:rsidRPr="008A6A3B">
        <w:t xml:space="preserve">ICR </w:t>
      </w:r>
      <w:r w:rsidR="00062030">
        <w:t>was</w:t>
      </w:r>
      <w:r w:rsidR="00BA690F" w:rsidRPr="008A6A3B">
        <w:t xml:space="preserve"> for an extension of the collection of performance information for the TAACCCT </w:t>
      </w:r>
      <w:r w:rsidR="00062030">
        <w:t xml:space="preserve">grants (Control No. 1205-0489).  Information is still being collected under all three ICRs.  </w:t>
      </w:r>
    </w:p>
    <w:p w:rsidR="00293E1A" w:rsidRDefault="00293E1A" w:rsidP="002D6947">
      <w:r>
        <w:t>The Round 4 evaluation, funded by the DOL Chief Evaluation Office (CEO)</w:t>
      </w:r>
      <w:r w:rsidR="004E10A0">
        <w:t xml:space="preserve"> in partnership with the Employment and Training Administration (ETA)</w:t>
      </w:r>
      <w:r>
        <w:t xml:space="preserve">, will use a multi-pronged approach including 1) an </w:t>
      </w:r>
      <w:r w:rsidR="001F4961">
        <w:t>O</w:t>
      </w:r>
      <w:r>
        <w:t xml:space="preserve">utcomes </w:t>
      </w:r>
      <w:r w:rsidR="001F4961">
        <w:t>S</w:t>
      </w:r>
      <w:r>
        <w:t>tudy</w:t>
      </w:r>
      <w:r>
        <w:rPr>
          <w:rStyle w:val="FootnoteReference"/>
        </w:rPr>
        <w:footnoteReference w:id="1"/>
      </w:r>
      <w:r>
        <w:t xml:space="preserve"> of 9 selected grantees, 2) an implementation st</w:t>
      </w:r>
      <w:r w:rsidR="00F64143">
        <w:t>udy, 3) a synthesis of grantee t</w:t>
      </w:r>
      <w:r>
        <w:t xml:space="preserve">hird </w:t>
      </w:r>
      <w:r w:rsidR="00F64143">
        <w:t>p</w:t>
      </w:r>
      <w:r>
        <w:t xml:space="preserve">arty </w:t>
      </w:r>
      <w:r w:rsidR="00F64143">
        <w:t>e</w:t>
      </w:r>
      <w:r>
        <w:t xml:space="preserve">valuations, and 4) a study of strong grantee-employer partnerships. </w:t>
      </w:r>
    </w:p>
    <w:p w:rsidR="00F440B1" w:rsidRDefault="00293E1A" w:rsidP="002D6947">
      <w:r>
        <w:t xml:space="preserve">In this document, </w:t>
      </w:r>
      <w:r w:rsidR="001F4961">
        <w:t>CEO</w:t>
      </w:r>
      <w:r w:rsidR="00A40044">
        <w:t xml:space="preserve"> and ETA</w:t>
      </w:r>
      <w:r w:rsidR="001F4961">
        <w:t xml:space="preserve"> </w:t>
      </w:r>
      <w:r>
        <w:t xml:space="preserve">request OMB clearance for </w:t>
      </w:r>
      <w:r w:rsidR="00D66737">
        <w:t>the following</w:t>
      </w:r>
      <w:r>
        <w:t xml:space="preserve"> Round 4 data c</w:t>
      </w:r>
      <w:r w:rsidR="001F4961">
        <w:t xml:space="preserve">ollection activities: 1) a </w:t>
      </w:r>
      <w:r w:rsidR="00D66737">
        <w:t xml:space="preserve">follow-up </w:t>
      </w:r>
      <w:r w:rsidR="001F4961">
        <w:t xml:space="preserve">survey </w:t>
      </w:r>
      <w:r w:rsidR="00C4420C">
        <w:t xml:space="preserve">of </w:t>
      </w:r>
      <w:r w:rsidR="005B5DD1">
        <w:t>Outcomes S</w:t>
      </w:r>
      <w:r w:rsidR="00F440B1">
        <w:t>tudy</w:t>
      </w:r>
      <w:r w:rsidR="00C4420C">
        <w:t xml:space="preserve"> participants</w:t>
      </w:r>
      <w:r w:rsidR="001F4961">
        <w:t xml:space="preserve">, 2) a </w:t>
      </w:r>
      <w:r w:rsidR="00AE52E1">
        <w:t xml:space="preserve">participant </w:t>
      </w:r>
      <w:r w:rsidR="001F4961">
        <w:t>trackin</w:t>
      </w:r>
      <w:r w:rsidR="00AE52E1">
        <w:t>g form</w:t>
      </w:r>
      <w:r w:rsidR="001F4961">
        <w:t xml:space="preserve"> for </w:t>
      </w:r>
      <w:r w:rsidR="001F4961">
        <w:lastRenderedPageBreak/>
        <w:t>Outcomes Study participants, 3) a college survey for the</w:t>
      </w:r>
      <w:r w:rsidR="00CF73AE">
        <w:t xml:space="preserve"> implementation </w:t>
      </w:r>
      <w:r w:rsidR="00F440B1">
        <w:t>study</w:t>
      </w:r>
      <w:r w:rsidR="001F4961">
        <w:t xml:space="preserve">, and 4) </w:t>
      </w:r>
      <w:r w:rsidR="00F440B1">
        <w:t xml:space="preserve">a </w:t>
      </w:r>
      <w:r w:rsidR="001F4961">
        <w:t xml:space="preserve">discussion guide for a </w:t>
      </w:r>
      <w:r w:rsidR="00F440B1">
        <w:t xml:space="preserve">qualitative study of </w:t>
      </w:r>
      <w:r w:rsidR="001F4961">
        <w:t>strong grantee</w:t>
      </w:r>
      <w:r w:rsidR="00F440B1">
        <w:t xml:space="preserve">-employer relationships.  </w:t>
      </w:r>
    </w:p>
    <w:p w:rsidR="00EC21A6" w:rsidRDefault="00EC21A6" w:rsidP="00EC21A6">
      <w:pPr>
        <w:pStyle w:val="Heading2"/>
      </w:pPr>
      <w:bookmarkStart w:id="4" w:name="_Toc466359624"/>
      <w:r w:rsidRPr="001034D3">
        <w:t>A</w:t>
      </w:r>
      <w:r>
        <w:t>1</w:t>
      </w:r>
      <w:r w:rsidRPr="001034D3">
        <w:t xml:space="preserve">: </w:t>
      </w:r>
      <w:r w:rsidRPr="00220515">
        <w:t xml:space="preserve">Necessity for the </w:t>
      </w:r>
      <w:r>
        <w:t>D</w:t>
      </w:r>
      <w:r w:rsidRPr="00220515">
        <w:t xml:space="preserve">ata </w:t>
      </w:r>
      <w:r>
        <w:t>C</w:t>
      </w:r>
      <w:r w:rsidRPr="00220515">
        <w:t>ollection</w:t>
      </w:r>
      <w:bookmarkEnd w:id="4"/>
    </w:p>
    <w:p w:rsidR="00826631" w:rsidRDefault="00826631" w:rsidP="00826631">
      <w:pPr>
        <w:pStyle w:val="BodyText"/>
      </w:pPr>
      <w:r>
        <w:t xml:space="preserve">The TAACCCT program is authorized by Division B of the American Recovery and Reinvestment Act of 2009 (P.L. 111-152), and the Health Care and Education Reconciliation Act of 2010 </w:t>
      </w:r>
      <w:r w:rsidR="00B7123F">
        <w:t xml:space="preserve">appropriated </w:t>
      </w:r>
      <w:r>
        <w:t xml:space="preserve">$500,000,000 annually from Fiscal Years 2011-2014 for competitive grants to eligible institutions of higher education. The program aims to improve education and employment outcomes for TAA-eligible workers and other adults attending community college and other higher education institutions by helping these institutions build capacity to provide effective occupationally-focused education and training programs of two years or less in </w:t>
      </w:r>
      <w:r w:rsidR="00D46C86">
        <w:t xml:space="preserve">duration in </w:t>
      </w:r>
      <w:r>
        <w:t xml:space="preserve">the 50 States, the District of Columbia and Puerto Rico. Funding for evaluation activities under this program have been designated by </w:t>
      </w:r>
      <w:r w:rsidR="00D66737">
        <w:t>the DOL Employment and Training Administration (</w:t>
      </w:r>
      <w:r w:rsidR="00561019">
        <w:t>ETA</w:t>
      </w:r>
      <w:r w:rsidR="00D66737">
        <w:t>)</w:t>
      </w:r>
      <w:r>
        <w:t xml:space="preserve"> for third-party evaluations of each grant and by </w:t>
      </w:r>
      <w:r w:rsidR="00561019">
        <w:t>CEO</w:t>
      </w:r>
      <w:r>
        <w:t xml:space="preserve"> for a national evaluation. These evaluation activities will assist DOL in identifying evidence-based programs that are the most promising for TAA-eligible workers and other adults, examining how capacity building and systems reform in community colleges can be achieved, and developing strategies for research and evaluation of similar interventions. </w:t>
      </w:r>
    </w:p>
    <w:p w:rsidR="00826631" w:rsidRPr="007B5E91" w:rsidRDefault="00826631" w:rsidP="006D6E50">
      <w:pPr>
        <w:pStyle w:val="Heading4"/>
        <w:keepNext w:val="0"/>
        <w:spacing w:before="0" w:after="180"/>
        <w:rPr>
          <w:rFonts w:ascii="Times New Roman" w:hAnsi="Times New Roman"/>
          <w:b w:val="0"/>
          <w:color w:val="auto"/>
          <w:sz w:val="22"/>
        </w:rPr>
      </w:pPr>
      <w:r w:rsidRPr="00826631">
        <w:rPr>
          <w:rFonts w:ascii="Times New Roman" w:hAnsi="Times New Roman"/>
          <w:b w:val="0"/>
          <w:color w:val="auto"/>
          <w:sz w:val="22"/>
        </w:rPr>
        <w:t>The Department of Labor Solicitation for Grant Application</w:t>
      </w:r>
      <w:r w:rsidR="006103E6">
        <w:rPr>
          <w:rFonts w:ascii="Times New Roman" w:hAnsi="Times New Roman"/>
          <w:b w:val="0"/>
          <w:color w:val="auto"/>
          <w:sz w:val="22"/>
        </w:rPr>
        <w:t>s</w:t>
      </w:r>
      <w:r w:rsidRPr="00826631">
        <w:rPr>
          <w:rFonts w:ascii="Times New Roman" w:hAnsi="Times New Roman"/>
          <w:b w:val="0"/>
          <w:color w:val="auto"/>
          <w:sz w:val="22"/>
        </w:rPr>
        <w:t xml:space="preserve"> for Round 4 (SGA/DFA PY 13-10) established that awarding of funds may require the cooperation of the grantee in a</w:t>
      </w:r>
      <w:r w:rsidR="00064EE7">
        <w:rPr>
          <w:rFonts w:ascii="Times New Roman" w:hAnsi="Times New Roman"/>
          <w:b w:val="0"/>
          <w:color w:val="auto"/>
          <w:sz w:val="22"/>
        </w:rPr>
        <w:t xml:space="preserve"> national</w:t>
      </w:r>
      <w:r w:rsidRPr="00826631">
        <w:rPr>
          <w:rFonts w:ascii="Times New Roman" w:hAnsi="Times New Roman"/>
          <w:b w:val="0"/>
          <w:color w:val="auto"/>
          <w:sz w:val="22"/>
        </w:rPr>
        <w:t xml:space="preserve"> evaluation </w:t>
      </w:r>
      <w:r w:rsidR="00064EE7">
        <w:rPr>
          <w:rFonts w:ascii="Times New Roman" w:hAnsi="Times New Roman"/>
          <w:b w:val="0"/>
          <w:color w:val="auto"/>
          <w:sz w:val="22"/>
        </w:rPr>
        <w:t>to assess the</w:t>
      </w:r>
      <w:r w:rsidR="00064EE7" w:rsidRPr="00826631">
        <w:rPr>
          <w:rFonts w:ascii="Times New Roman" w:hAnsi="Times New Roman"/>
          <w:b w:val="0"/>
          <w:color w:val="auto"/>
          <w:sz w:val="22"/>
        </w:rPr>
        <w:t xml:space="preserve"> </w:t>
      </w:r>
      <w:r w:rsidRPr="00826631">
        <w:rPr>
          <w:rFonts w:ascii="Times New Roman" w:hAnsi="Times New Roman"/>
          <w:b w:val="0"/>
          <w:color w:val="auto"/>
          <w:sz w:val="22"/>
        </w:rPr>
        <w:t xml:space="preserve">overall performance of the </w:t>
      </w:r>
      <w:r>
        <w:rPr>
          <w:rFonts w:ascii="Times New Roman" w:hAnsi="Times New Roman"/>
          <w:b w:val="0"/>
          <w:color w:val="auto"/>
          <w:sz w:val="22"/>
        </w:rPr>
        <w:t>TAACCCT grants.</w:t>
      </w:r>
      <w:r>
        <w:rPr>
          <w:rStyle w:val="FootnoteReference"/>
          <w:rFonts w:ascii="Times New Roman" w:hAnsi="Times New Roman"/>
          <w:b w:val="0"/>
          <w:color w:val="auto"/>
          <w:sz w:val="22"/>
        </w:rPr>
        <w:footnoteReference w:id="2"/>
      </w:r>
      <w:r w:rsidRPr="007B5E91">
        <w:rPr>
          <w:rFonts w:ascii="Times New Roman" w:hAnsi="Times New Roman"/>
          <w:b w:val="0"/>
          <w:color w:val="auto"/>
          <w:sz w:val="22"/>
        </w:rPr>
        <w:t xml:space="preserve"> </w:t>
      </w:r>
    </w:p>
    <w:p w:rsidR="00AB7A6D" w:rsidRPr="00FF2AB0" w:rsidRDefault="00064EE7" w:rsidP="00D66737">
      <w:pPr>
        <w:pStyle w:val="Heading4"/>
        <w:keepNext w:val="0"/>
        <w:spacing w:before="0" w:after="180"/>
        <w:rPr>
          <w:rFonts w:ascii="Times New Roman" w:hAnsi="Times New Roman"/>
          <w:b w:val="0"/>
          <w:color w:val="auto"/>
          <w:sz w:val="22"/>
          <w:highlight w:val="yellow"/>
        </w:rPr>
      </w:pPr>
      <w:r>
        <w:rPr>
          <w:rFonts w:ascii="Times New Roman" w:hAnsi="Times New Roman"/>
          <w:b w:val="0"/>
          <w:color w:val="auto"/>
          <w:sz w:val="22"/>
        </w:rPr>
        <w:t>CEO</w:t>
      </w:r>
      <w:r w:rsidR="00AB7A6D" w:rsidRPr="00B53ADE">
        <w:rPr>
          <w:rFonts w:ascii="Times New Roman" w:hAnsi="Times New Roman"/>
          <w:b w:val="0"/>
          <w:color w:val="auto"/>
          <w:sz w:val="22"/>
        </w:rPr>
        <w:t xml:space="preserve"> </w:t>
      </w:r>
      <w:r w:rsidR="00A40044">
        <w:rPr>
          <w:rFonts w:ascii="Times New Roman" w:hAnsi="Times New Roman"/>
          <w:b w:val="0"/>
          <w:color w:val="auto"/>
          <w:sz w:val="22"/>
        </w:rPr>
        <w:t xml:space="preserve">and ETA </w:t>
      </w:r>
      <w:r w:rsidR="00AB7A6D" w:rsidRPr="00B53ADE">
        <w:rPr>
          <w:rFonts w:ascii="Times New Roman" w:hAnsi="Times New Roman"/>
          <w:b w:val="0"/>
          <w:color w:val="auto"/>
          <w:sz w:val="22"/>
        </w:rPr>
        <w:t xml:space="preserve">seek to document and assess the </w:t>
      </w:r>
      <w:r w:rsidR="00AB7A6D" w:rsidRPr="007B5E91">
        <w:rPr>
          <w:rFonts w:ascii="Times New Roman" w:hAnsi="Times New Roman"/>
          <w:b w:val="0"/>
          <w:color w:val="auto"/>
          <w:sz w:val="22"/>
        </w:rPr>
        <w:t>overall TAACCCT grant program through a national</w:t>
      </w:r>
      <w:r w:rsidR="00AB7A6D">
        <w:rPr>
          <w:rFonts w:ascii="Times New Roman" w:hAnsi="Times New Roman"/>
          <w:b w:val="0"/>
          <w:color w:val="auto"/>
          <w:sz w:val="22"/>
        </w:rPr>
        <w:t xml:space="preserve"> evaluation. For Round 4, the evaluation </w:t>
      </w:r>
      <w:r w:rsidR="00AB7A6D" w:rsidRPr="007B5E91">
        <w:rPr>
          <w:rFonts w:ascii="Times New Roman" w:hAnsi="Times New Roman"/>
          <w:b w:val="0"/>
          <w:color w:val="auto"/>
          <w:sz w:val="22"/>
        </w:rPr>
        <w:t xml:space="preserve">encompasses an </w:t>
      </w:r>
      <w:r w:rsidR="00D66737">
        <w:rPr>
          <w:rFonts w:ascii="Times New Roman" w:hAnsi="Times New Roman"/>
          <w:b w:val="0"/>
          <w:color w:val="auto"/>
          <w:sz w:val="22"/>
        </w:rPr>
        <w:t>O</w:t>
      </w:r>
      <w:r w:rsidR="006A3E5A">
        <w:rPr>
          <w:rFonts w:ascii="Times New Roman" w:hAnsi="Times New Roman"/>
          <w:b w:val="0"/>
          <w:color w:val="auto"/>
          <w:sz w:val="22"/>
        </w:rPr>
        <w:t>utcomes</w:t>
      </w:r>
      <w:r w:rsidR="00AB7A6D">
        <w:rPr>
          <w:rFonts w:ascii="Times New Roman" w:hAnsi="Times New Roman"/>
          <w:b w:val="0"/>
          <w:color w:val="auto"/>
          <w:sz w:val="22"/>
        </w:rPr>
        <w:t xml:space="preserve"> </w:t>
      </w:r>
      <w:r w:rsidR="00D66737">
        <w:rPr>
          <w:rFonts w:ascii="Times New Roman" w:hAnsi="Times New Roman"/>
          <w:b w:val="0"/>
          <w:color w:val="auto"/>
          <w:sz w:val="22"/>
        </w:rPr>
        <w:t>S</w:t>
      </w:r>
      <w:r w:rsidR="00AB7A6D">
        <w:rPr>
          <w:rFonts w:ascii="Times New Roman" w:hAnsi="Times New Roman"/>
          <w:b w:val="0"/>
          <w:color w:val="auto"/>
          <w:sz w:val="22"/>
        </w:rPr>
        <w:t xml:space="preserve">tudy of </w:t>
      </w:r>
      <w:r w:rsidR="006A3E5A">
        <w:rPr>
          <w:rFonts w:ascii="Times New Roman" w:hAnsi="Times New Roman"/>
          <w:b w:val="0"/>
          <w:color w:val="auto"/>
          <w:sz w:val="22"/>
        </w:rPr>
        <w:t xml:space="preserve">participants at </w:t>
      </w:r>
      <w:r w:rsidR="00AB7A6D">
        <w:rPr>
          <w:rFonts w:ascii="Times New Roman" w:hAnsi="Times New Roman"/>
          <w:b w:val="0"/>
          <w:color w:val="auto"/>
          <w:sz w:val="22"/>
        </w:rPr>
        <w:t>selected grantees,</w:t>
      </w:r>
      <w:r w:rsidR="00AB7A6D" w:rsidRPr="007B5E91">
        <w:rPr>
          <w:rFonts w:ascii="Times New Roman" w:hAnsi="Times New Roman"/>
          <w:b w:val="0"/>
          <w:color w:val="auto"/>
          <w:sz w:val="22"/>
        </w:rPr>
        <w:t xml:space="preserve"> a</w:t>
      </w:r>
      <w:r w:rsidR="00D46C86">
        <w:rPr>
          <w:rFonts w:ascii="Times New Roman" w:hAnsi="Times New Roman"/>
          <w:b w:val="0"/>
          <w:color w:val="auto"/>
          <w:sz w:val="22"/>
        </w:rPr>
        <w:t>n</w:t>
      </w:r>
      <w:r w:rsidR="00AB7A6D" w:rsidRPr="007B5E91">
        <w:rPr>
          <w:rFonts w:ascii="Times New Roman" w:hAnsi="Times New Roman"/>
          <w:b w:val="0"/>
          <w:color w:val="auto"/>
          <w:sz w:val="22"/>
        </w:rPr>
        <w:t xml:space="preserve"> implementation analysis, </w:t>
      </w:r>
      <w:r w:rsidR="00AB7A6D">
        <w:rPr>
          <w:rFonts w:ascii="Times New Roman" w:hAnsi="Times New Roman"/>
          <w:b w:val="0"/>
          <w:color w:val="auto"/>
          <w:sz w:val="22"/>
        </w:rPr>
        <w:t>a synthesis of third-party evaluations</w:t>
      </w:r>
      <w:r>
        <w:rPr>
          <w:rFonts w:ascii="Times New Roman" w:hAnsi="Times New Roman"/>
          <w:b w:val="0"/>
          <w:color w:val="auto"/>
          <w:sz w:val="22"/>
        </w:rPr>
        <w:t xml:space="preserve">, and a study of </w:t>
      </w:r>
      <w:r w:rsidR="00F64143">
        <w:rPr>
          <w:rFonts w:ascii="Times New Roman" w:hAnsi="Times New Roman"/>
          <w:b w:val="0"/>
          <w:color w:val="auto"/>
          <w:sz w:val="22"/>
        </w:rPr>
        <w:t>strong grantee-</w:t>
      </w:r>
      <w:r>
        <w:rPr>
          <w:rFonts w:ascii="Times New Roman" w:hAnsi="Times New Roman"/>
          <w:b w:val="0"/>
          <w:color w:val="auto"/>
          <w:sz w:val="22"/>
        </w:rPr>
        <w:t>employer partnerships</w:t>
      </w:r>
      <w:r w:rsidR="00AB7A6D" w:rsidRPr="007B5E91">
        <w:rPr>
          <w:rFonts w:ascii="Times New Roman" w:hAnsi="Times New Roman"/>
          <w:b w:val="0"/>
          <w:color w:val="auto"/>
          <w:sz w:val="22"/>
        </w:rPr>
        <w:t xml:space="preserve">. </w:t>
      </w:r>
      <w:r w:rsidR="00AB7A6D">
        <w:rPr>
          <w:rFonts w:ascii="Times New Roman" w:hAnsi="Times New Roman"/>
          <w:b w:val="0"/>
          <w:color w:val="auto"/>
          <w:sz w:val="22"/>
        </w:rPr>
        <w:t xml:space="preserve">Building on work of the national evaluations of Rounds 1-3, the evaluation of Round 4 grants is designed to </w:t>
      </w:r>
      <w:r w:rsidR="00AB7A6D" w:rsidRPr="007B5E91">
        <w:rPr>
          <w:rFonts w:ascii="Times New Roman" w:hAnsi="Times New Roman"/>
          <w:b w:val="0"/>
          <w:color w:val="auto"/>
          <w:sz w:val="22"/>
        </w:rPr>
        <w:t xml:space="preserve">present a national view of the effectiveness of the grants in </w:t>
      </w:r>
      <w:r w:rsidR="00AB7A6D">
        <w:rPr>
          <w:rFonts w:ascii="Times New Roman" w:hAnsi="Times New Roman"/>
          <w:b w:val="0"/>
          <w:color w:val="auto"/>
          <w:sz w:val="22"/>
        </w:rPr>
        <w:t xml:space="preserve">building capacity in community </w:t>
      </w:r>
      <w:r w:rsidR="00AB7A6D" w:rsidRPr="007B5E91">
        <w:rPr>
          <w:rFonts w:ascii="Times New Roman" w:hAnsi="Times New Roman"/>
          <w:b w:val="0"/>
          <w:color w:val="auto"/>
          <w:sz w:val="22"/>
        </w:rPr>
        <w:t>colleges across the nation that result in improved employment outcomes f</w:t>
      </w:r>
      <w:r w:rsidR="00AB7A6D">
        <w:rPr>
          <w:rFonts w:ascii="Times New Roman" w:hAnsi="Times New Roman"/>
          <w:b w:val="0"/>
          <w:color w:val="auto"/>
          <w:sz w:val="22"/>
        </w:rPr>
        <w:t xml:space="preserve">or participants, the </w:t>
      </w:r>
      <w:r w:rsidR="00AB7A6D" w:rsidRPr="007B5E91">
        <w:rPr>
          <w:rFonts w:ascii="Times New Roman" w:hAnsi="Times New Roman"/>
          <w:b w:val="0"/>
          <w:color w:val="auto"/>
          <w:sz w:val="22"/>
        </w:rPr>
        <w:t>challenges encountered in the implementation of the grants</w:t>
      </w:r>
      <w:r w:rsidR="006103E6">
        <w:rPr>
          <w:rFonts w:ascii="Times New Roman" w:hAnsi="Times New Roman"/>
          <w:b w:val="0"/>
          <w:color w:val="auto"/>
          <w:sz w:val="22"/>
        </w:rPr>
        <w:t>,</w:t>
      </w:r>
      <w:r w:rsidR="00AB7A6D" w:rsidRPr="007B5E91">
        <w:rPr>
          <w:rFonts w:ascii="Times New Roman" w:hAnsi="Times New Roman"/>
          <w:b w:val="0"/>
          <w:color w:val="auto"/>
          <w:sz w:val="22"/>
        </w:rPr>
        <w:t xml:space="preserve"> an</w:t>
      </w:r>
      <w:r w:rsidR="00AB7A6D">
        <w:rPr>
          <w:rFonts w:ascii="Times New Roman" w:hAnsi="Times New Roman"/>
          <w:b w:val="0"/>
          <w:color w:val="auto"/>
          <w:sz w:val="22"/>
        </w:rPr>
        <w:t xml:space="preserve">d ways to improve outcomes. </w:t>
      </w:r>
    </w:p>
    <w:p w:rsidR="00ED2B55" w:rsidRDefault="00ED2B55" w:rsidP="00ED2B55">
      <w:r>
        <w:t xml:space="preserve">This evaluation is designed to answer the following research questions: </w:t>
      </w:r>
    </w:p>
    <w:p w:rsidR="006B1969" w:rsidRPr="006B1969" w:rsidRDefault="00ED2B55" w:rsidP="00170CF9">
      <w:pPr>
        <w:pStyle w:val="Bullets"/>
      </w:pPr>
      <w:r w:rsidRPr="006B1969">
        <w:t>What service delivery and/or system reform innovations resulted in improved employment outcomes and increased skills for partici</w:t>
      </w:r>
      <w:r w:rsidR="006B1969" w:rsidRPr="006B1969">
        <w:t xml:space="preserve">pants? </w:t>
      </w:r>
    </w:p>
    <w:p w:rsidR="003676F5" w:rsidRPr="006B1969" w:rsidRDefault="00ED2B55" w:rsidP="00170CF9">
      <w:pPr>
        <w:pStyle w:val="Bullets"/>
      </w:pPr>
      <w:r w:rsidRPr="006B1969">
        <w:t>Under what conditions can these innovations most effectively be replicated?</w:t>
      </w:r>
    </w:p>
    <w:p w:rsidR="00ED2B55" w:rsidRPr="006B1969" w:rsidRDefault="003676F5" w:rsidP="00170CF9">
      <w:pPr>
        <w:pStyle w:val="Bullets"/>
      </w:pPr>
      <w:r w:rsidRPr="006B1969">
        <w:t xml:space="preserve">What </w:t>
      </w:r>
      <w:r w:rsidR="006A3E5A">
        <w:t>outcome</w:t>
      </w:r>
      <w:r w:rsidR="005943CC">
        <w:t>s</w:t>
      </w:r>
      <w:r w:rsidRPr="006B1969">
        <w:t xml:space="preserve"> were achieved by the participants of the TAACCCT Round 4 grantees’ training programs?</w:t>
      </w:r>
      <w:r w:rsidR="00ED2B55" w:rsidRPr="006B1969">
        <w:t xml:space="preserve"> </w:t>
      </w:r>
    </w:p>
    <w:p w:rsidR="00ED2B55" w:rsidRPr="006B1969" w:rsidRDefault="00ED2B55" w:rsidP="00170CF9">
      <w:pPr>
        <w:pStyle w:val="Bullets"/>
      </w:pPr>
      <w:r w:rsidRPr="006B1969">
        <w:t>What are the types of emerging ideas for service delive</w:t>
      </w:r>
      <w:r w:rsidR="00593AFC" w:rsidRPr="006B1969">
        <w:t xml:space="preserve">ry change and/or system reform </w:t>
      </w:r>
      <w:r w:rsidRPr="006B1969">
        <w:t xml:space="preserve">that seem the most promising for further research? Under what conditions are these ideas most effective? </w:t>
      </w:r>
    </w:p>
    <w:p w:rsidR="00ED2B55" w:rsidRPr="006B1969" w:rsidRDefault="00ED2B55" w:rsidP="00170CF9">
      <w:pPr>
        <w:pStyle w:val="Bullets"/>
      </w:pPr>
      <w:r w:rsidRPr="006B1969">
        <w:lastRenderedPageBreak/>
        <w:t xml:space="preserve">What directions for future research on the country’s public workforce system, and workforce development in general, were learned? </w:t>
      </w:r>
    </w:p>
    <w:p w:rsidR="006F299B" w:rsidRDefault="006F299B" w:rsidP="006F299B">
      <w:r>
        <w:t xml:space="preserve">To address these research questions, </w:t>
      </w:r>
      <w:r w:rsidR="007F3520">
        <w:t>the evaluation of Round 4 TAACCCT</w:t>
      </w:r>
      <w:r>
        <w:t xml:space="preserve"> will include the following:</w:t>
      </w:r>
    </w:p>
    <w:p w:rsidR="006F299B" w:rsidRDefault="007F3520" w:rsidP="008615B4">
      <w:pPr>
        <w:pStyle w:val="Numbers"/>
        <w:numPr>
          <w:ilvl w:val="0"/>
          <w:numId w:val="11"/>
        </w:numPr>
        <w:tabs>
          <w:tab w:val="clear" w:pos="1080"/>
          <w:tab w:val="num" w:pos="720"/>
        </w:tabs>
        <w:ind w:left="720"/>
      </w:pPr>
      <w:r>
        <w:t>B</w:t>
      </w:r>
      <w:r w:rsidR="006F299B">
        <w:t>aseline data collection (</w:t>
      </w:r>
      <w:r w:rsidR="006A3E5A">
        <w:t>at programs selected for the Outcomes Study</w:t>
      </w:r>
      <w:r w:rsidR="006F299B">
        <w:t>)</w:t>
      </w:r>
    </w:p>
    <w:p w:rsidR="007F3520" w:rsidRDefault="007F3520" w:rsidP="008615B4">
      <w:pPr>
        <w:pStyle w:val="Numbers"/>
      </w:pPr>
      <w:r>
        <w:t xml:space="preserve">Implementation site visits </w:t>
      </w:r>
      <w:r w:rsidR="00D46C86">
        <w:t>(</w:t>
      </w:r>
      <w:r w:rsidR="00583A7C">
        <w:t xml:space="preserve">at </w:t>
      </w:r>
      <w:r w:rsidR="00C4420C">
        <w:t xml:space="preserve">Outcomes Study </w:t>
      </w:r>
      <w:r w:rsidR="00D46C86">
        <w:t>sites)</w:t>
      </w:r>
    </w:p>
    <w:p w:rsidR="00EC21A6" w:rsidRDefault="00EC21A6" w:rsidP="008615B4">
      <w:pPr>
        <w:pStyle w:val="Numbers"/>
      </w:pPr>
      <w:r>
        <w:t>A participant tracking form (for students in programs selected for the Outcomes Study)</w:t>
      </w:r>
    </w:p>
    <w:p w:rsidR="006F299B" w:rsidRDefault="002F2C61" w:rsidP="008615B4">
      <w:pPr>
        <w:pStyle w:val="Numbers"/>
      </w:pPr>
      <w:r>
        <w:t xml:space="preserve">A </w:t>
      </w:r>
      <w:r w:rsidR="006F299B">
        <w:t>12-month follow</w:t>
      </w:r>
      <w:r w:rsidR="00D46C86">
        <w:t>-</w:t>
      </w:r>
      <w:r w:rsidR="006F299B">
        <w:t xml:space="preserve">up </w:t>
      </w:r>
      <w:r w:rsidR="00D46C86">
        <w:t xml:space="preserve">participant </w:t>
      </w:r>
      <w:r w:rsidR="006F299B">
        <w:t xml:space="preserve">survey (for </w:t>
      </w:r>
      <w:r w:rsidR="006A3E5A">
        <w:t>students in programs selected for the Outcomes Study</w:t>
      </w:r>
      <w:r w:rsidR="006F299B">
        <w:t>)</w:t>
      </w:r>
    </w:p>
    <w:p w:rsidR="006F299B" w:rsidRDefault="002F2C61" w:rsidP="008615B4">
      <w:pPr>
        <w:pStyle w:val="Numbers"/>
      </w:pPr>
      <w:r>
        <w:t>A c</w:t>
      </w:r>
      <w:r w:rsidR="007F3520">
        <w:t xml:space="preserve">ollege </w:t>
      </w:r>
      <w:r w:rsidR="006F299B">
        <w:t>survey (of all</w:t>
      </w:r>
      <w:r w:rsidR="00D46C86">
        <w:t xml:space="preserve"> colleges participating in</w:t>
      </w:r>
      <w:r w:rsidR="007F3520">
        <w:t xml:space="preserve"> Round 4</w:t>
      </w:r>
      <w:r w:rsidR="006F299B">
        <w:t xml:space="preserve"> </w:t>
      </w:r>
      <w:r w:rsidR="007F3520">
        <w:t>TAACCCT</w:t>
      </w:r>
      <w:r w:rsidR="00470D4B">
        <w:t xml:space="preserve"> </w:t>
      </w:r>
      <w:r w:rsidR="00D46C86">
        <w:t>grants</w:t>
      </w:r>
      <w:r w:rsidR="006F299B">
        <w:t>)</w:t>
      </w:r>
    </w:p>
    <w:p w:rsidR="007F3520" w:rsidRDefault="00583A7C" w:rsidP="007F3520">
      <w:pPr>
        <w:pStyle w:val="Numbers"/>
      </w:pPr>
      <w:r>
        <w:t>Employer interviews</w:t>
      </w:r>
    </w:p>
    <w:p w:rsidR="002F2C61" w:rsidRDefault="002F2C61" w:rsidP="007F3520">
      <w:pPr>
        <w:pStyle w:val="Numbers"/>
      </w:pPr>
      <w:r>
        <w:t>A match to the National Directory of New Hires (NDNH) to obtain earnings histories</w:t>
      </w:r>
      <w:r w:rsidR="006A3E5A">
        <w:t xml:space="preserve"> (for students in programs selected for the Outcomes Study)</w:t>
      </w:r>
    </w:p>
    <w:p w:rsidR="0071542F" w:rsidRDefault="006F299B" w:rsidP="006F299B">
      <w:pPr>
        <w:rPr>
          <w:rFonts w:cstheme="minorHAnsi"/>
        </w:rPr>
      </w:pPr>
      <w:r>
        <w:t xml:space="preserve">This submission is to request clearance for the </w:t>
      </w:r>
      <w:r w:rsidR="00EC21A6">
        <w:t xml:space="preserve">third through sixth </w:t>
      </w:r>
      <w:r w:rsidR="00D46C86">
        <w:t xml:space="preserve">data collection </w:t>
      </w:r>
      <w:r>
        <w:t>component</w:t>
      </w:r>
      <w:r w:rsidR="007F3520">
        <w:t>s</w:t>
      </w:r>
      <w:r>
        <w:t xml:space="preserve"> listed above.  </w:t>
      </w:r>
      <w:r w:rsidR="006A3E5A">
        <w:rPr>
          <w:szCs w:val="22"/>
        </w:rPr>
        <w:t xml:space="preserve">All </w:t>
      </w:r>
      <w:r w:rsidR="00C4420C">
        <w:rPr>
          <w:szCs w:val="22"/>
        </w:rPr>
        <w:t>four</w:t>
      </w:r>
      <w:r w:rsidR="0071542F" w:rsidRPr="0071542F">
        <w:rPr>
          <w:szCs w:val="22"/>
        </w:rPr>
        <w:t xml:space="preserve"> proposed data collection activities – the </w:t>
      </w:r>
      <w:r w:rsidR="00D66737">
        <w:rPr>
          <w:szCs w:val="22"/>
        </w:rPr>
        <w:t>p</w:t>
      </w:r>
      <w:r w:rsidR="00EC21A6">
        <w:rPr>
          <w:szCs w:val="22"/>
        </w:rPr>
        <w:t xml:space="preserve">articipant </w:t>
      </w:r>
      <w:r w:rsidR="00D66737">
        <w:rPr>
          <w:szCs w:val="22"/>
        </w:rPr>
        <w:t>t</w:t>
      </w:r>
      <w:r w:rsidR="00EC21A6">
        <w:rPr>
          <w:szCs w:val="22"/>
        </w:rPr>
        <w:t xml:space="preserve">racking </w:t>
      </w:r>
      <w:r w:rsidR="00D66737">
        <w:rPr>
          <w:szCs w:val="22"/>
        </w:rPr>
        <w:t>f</w:t>
      </w:r>
      <w:r w:rsidR="00EC21A6">
        <w:rPr>
          <w:szCs w:val="22"/>
        </w:rPr>
        <w:t xml:space="preserve">orm, the </w:t>
      </w:r>
      <w:r w:rsidR="00D66737">
        <w:rPr>
          <w:szCs w:val="22"/>
        </w:rPr>
        <w:t>f</w:t>
      </w:r>
      <w:r w:rsidR="006A3E5A">
        <w:rPr>
          <w:szCs w:val="22"/>
        </w:rPr>
        <w:t xml:space="preserve">ollow-up </w:t>
      </w:r>
      <w:r w:rsidR="00D66737">
        <w:rPr>
          <w:szCs w:val="22"/>
        </w:rPr>
        <w:t>s</w:t>
      </w:r>
      <w:r w:rsidR="006A3E5A">
        <w:rPr>
          <w:szCs w:val="22"/>
        </w:rPr>
        <w:t xml:space="preserve">urvey, the </w:t>
      </w:r>
      <w:r w:rsidR="00D66737">
        <w:rPr>
          <w:szCs w:val="22"/>
        </w:rPr>
        <w:t>c</w:t>
      </w:r>
      <w:r w:rsidR="006A3E5A">
        <w:rPr>
          <w:szCs w:val="22"/>
        </w:rPr>
        <w:t xml:space="preserve">ollege </w:t>
      </w:r>
      <w:r w:rsidR="00D66737">
        <w:rPr>
          <w:szCs w:val="22"/>
        </w:rPr>
        <w:t>s</w:t>
      </w:r>
      <w:r w:rsidR="006A3E5A">
        <w:rPr>
          <w:szCs w:val="22"/>
        </w:rPr>
        <w:t xml:space="preserve">urvey, and the </w:t>
      </w:r>
      <w:r w:rsidR="00D66737">
        <w:rPr>
          <w:szCs w:val="22"/>
        </w:rPr>
        <w:t>e</w:t>
      </w:r>
      <w:r w:rsidR="006A3E5A">
        <w:rPr>
          <w:szCs w:val="22"/>
        </w:rPr>
        <w:t xml:space="preserve">mployer </w:t>
      </w:r>
      <w:r w:rsidR="00D66737">
        <w:rPr>
          <w:szCs w:val="22"/>
        </w:rPr>
        <w:t>s</w:t>
      </w:r>
      <w:r w:rsidR="006A3E5A">
        <w:rPr>
          <w:szCs w:val="22"/>
        </w:rPr>
        <w:t>tudy</w:t>
      </w:r>
      <w:r w:rsidR="0071542F" w:rsidRPr="0071542F">
        <w:rPr>
          <w:szCs w:val="22"/>
        </w:rPr>
        <w:t xml:space="preserve"> – are necessary to ensure that the evaluation can adequately document and asse</w:t>
      </w:r>
      <w:r w:rsidR="006A3E5A">
        <w:rPr>
          <w:szCs w:val="22"/>
        </w:rPr>
        <w:t xml:space="preserve">ss the overall TAACCCT program.  Data collection plans for the first two components have been approved, as discussed above.  </w:t>
      </w:r>
      <w:r w:rsidR="002F2C61">
        <w:rPr>
          <w:rFonts w:cstheme="minorHAnsi"/>
        </w:rPr>
        <w:t xml:space="preserve">The </w:t>
      </w:r>
      <w:r w:rsidR="00EC21A6">
        <w:rPr>
          <w:rFonts w:cstheme="minorHAnsi"/>
        </w:rPr>
        <w:t>seventh</w:t>
      </w:r>
      <w:r w:rsidR="002F2C61">
        <w:rPr>
          <w:rFonts w:cstheme="minorHAnsi"/>
        </w:rPr>
        <w:t xml:space="preserve"> component is not subject to PRA review, but it is an important part of the evaluation design that greatly reduces the response burden on study participants</w:t>
      </w:r>
      <w:r w:rsidR="00D46C86">
        <w:rPr>
          <w:rFonts w:cstheme="minorHAnsi"/>
        </w:rPr>
        <w:t xml:space="preserve"> by decreasing the length of the 12-month follow-up survey</w:t>
      </w:r>
      <w:r w:rsidR="002F2C61">
        <w:rPr>
          <w:rFonts w:cstheme="minorHAnsi"/>
        </w:rPr>
        <w:t xml:space="preserve">. </w:t>
      </w:r>
    </w:p>
    <w:p w:rsidR="006F299B" w:rsidRDefault="006F299B" w:rsidP="008615B4">
      <w:pPr>
        <w:pStyle w:val="Heading2"/>
      </w:pPr>
      <w:bookmarkStart w:id="5" w:name="_Toc466359625"/>
      <w:r w:rsidRPr="001034D3">
        <w:t xml:space="preserve">A2: </w:t>
      </w:r>
      <w:r w:rsidR="00790C7A">
        <w:t>Purpose and Users of Information</w:t>
      </w:r>
      <w:bookmarkEnd w:id="5"/>
    </w:p>
    <w:p w:rsidR="00581C65" w:rsidRDefault="00790C7A" w:rsidP="00403F96">
      <w:r>
        <w:t xml:space="preserve">The immediate users of data collected </w:t>
      </w:r>
      <w:r w:rsidR="008C235D">
        <w:t>under this ICR</w:t>
      </w:r>
      <w:r>
        <w:t xml:space="preserve"> will be</w:t>
      </w:r>
      <w:r w:rsidR="00D46C86">
        <w:t xml:space="preserve"> the</w:t>
      </w:r>
      <w:r>
        <w:t xml:space="preserve"> </w:t>
      </w:r>
      <w:r w:rsidR="00D66737">
        <w:t>evaluation team (</w:t>
      </w:r>
      <w:r>
        <w:t>Abt Associates</w:t>
      </w:r>
      <w:r w:rsidR="008C235D">
        <w:t>)</w:t>
      </w:r>
      <w:r>
        <w:t xml:space="preserve">, who will use the data </w:t>
      </w:r>
      <w:r w:rsidR="00061B81">
        <w:t xml:space="preserve">from the participant survey </w:t>
      </w:r>
      <w:r>
        <w:t>to</w:t>
      </w:r>
      <w:r w:rsidR="00D52184">
        <w:t xml:space="preserve"> </w:t>
      </w:r>
      <w:r w:rsidR="008C235D">
        <w:t>measure outcomes achieved in select programs</w:t>
      </w:r>
      <w:r w:rsidR="0064544D">
        <w:t xml:space="preserve"> at nine grantees</w:t>
      </w:r>
      <w:r w:rsidR="00583A7C">
        <w:t xml:space="preserve">. </w:t>
      </w:r>
      <w:r w:rsidR="00061B81">
        <w:t xml:space="preserve">The evaluation team will use college survey data </w:t>
      </w:r>
      <w:r w:rsidR="00583A7C">
        <w:t>to</w:t>
      </w:r>
      <w:r w:rsidR="008C235D">
        <w:t xml:space="preserve"> understand the ways that the grantees spend their grant dollars on program design and improvement</w:t>
      </w:r>
      <w:r w:rsidR="00061B81">
        <w:t>. The team will rely on data from the employer interviews to produce a special study on strong employer relationships</w:t>
      </w:r>
      <w:r w:rsidR="008C235D">
        <w:t xml:space="preserve">.  </w:t>
      </w:r>
    </w:p>
    <w:p w:rsidR="00D52184" w:rsidRPr="00B7123F" w:rsidRDefault="00581C65" w:rsidP="00A52527">
      <w:r>
        <w:t xml:space="preserve">Indirect users of both types of data will </w:t>
      </w:r>
      <w:r w:rsidR="00D46C86">
        <w:t>be</w:t>
      </w:r>
      <w:r>
        <w:t xml:space="preserve"> policy analysts at DOL, Congress, and </w:t>
      </w:r>
      <w:r w:rsidR="0090254A">
        <w:t xml:space="preserve">others </w:t>
      </w:r>
      <w:r>
        <w:t xml:space="preserve">who may base future policies, at least in part, on the findings of the evaluation.  Program designers will also be indirect users of the information through the findings of the evaluation.  </w:t>
      </w:r>
      <w:r w:rsidR="00D52184" w:rsidRPr="00B7123F">
        <w:t>Community colleges seeking to serve a range of students and tie their program</w:t>
      </w:r>
      <w:r w:rsidR="0041000B">
        <w:t>s</w:t>
      </w:r>
      <w:r w:rsidR="00D52184" w:rsidRPr="00B7123F">
        <w:t xml:space="preserve"> to local labor demand, and students looking for information about </w:t>
      </w:r>
      <w:r w:rsidR="0041000B">
        <w:t>the outcomes</w:t>
      </w:r>
      <w:r w:rsidR="0041000B" w:rsidRPr="00B7123F">
        <w:t xml:space="preserve"> </w:t>
      </w:r>
      <w:r w:rsidR="00D52184" w:rsidRPr="00B7123F">
        <w:t xml:space="preserve">of available programs </w:t>
      </w:r>
      <w:r w:rsidR="00BA6FAA">
        <w:t>will</w:t>
      </w:r>
      <w:r w:rsidR="00D52184" w:rsidRPr="00B7123F">
        <w:t xml:space="preserve"> also </w:t>
      </w:r>
      <w:r w:rsidR="00BA6FAA">
        <w:t xml:space="preserve">be able to </w:t>
      </w:r>
      <w:r w:rsidR="00D52184" w:rsidRPr="00B7123F">
        <w:t xml:space="preserve">make use of </w:t>
      </w:r>
      <w:r w:rsidR="00BA6FAA">
        <w:t>the planned final report</w:t>
      </w:r>
      <w:r w:rsidR="00D52184" w:rsidRPr="00B7123F">
        <w:t>. All materials developed from the analyses of these data collection efforts are intended to reach multiple audiences including:</w:t>
      </w:r>
    </w:p>
    <w:p w:rsidR="00D52184" w:rsidRPr="002F38F6" w:rsidRDefault="00D52184" w:rsidP="00170CF9">
      <w:pPr>
        <w:pStyle w:val="Bullets"/>
      </w:pPr>
      <w:r w:rsidRPr="002F38F6">
        <w:t xml:space="preserve">DOL and other federal </w:t>
      </w:r>
      <w:r w:rsidR="00170CF9">
        <w:t>agency staff</w:t>
      </w:r>
    </w:p>
    <w:p w:rsidR="00D52184" w:rsidRPr="002F38F6" w:rsidRDefault="00D52184" w:rsidP="00170CF9">
      <w:pPr>
        <w:pStyle w:val="Bullets"/>
      </w:pPr>
      <w:r w:rsidRPr="002F38F6">
        <w:t>Institutions of higher education and their trade groups</w:t>
      </w:r>
    </w:p>
    <w:p w:rsidR="00D52184" w:rsidRPr="002F38F6" w:rsidRDefault="00D52184" w:rsidP="00170CF9">
      <w:pPr>
        <w:pStyle w:val="Bullets"/>
      </w:pPr>
      <w:r w:rsidRPr="002F38F6">
        <w:t>State and local workforce agencies and organizations</w:t>
      </w:r>
    </w:p>
    <w:p w:rsidR="00D52184" w:rsidRPr="002F38F6" w:rsidRDefault="00D52184" w:rsidP="00170CF9">
      <w:pPr>
        <w:pStyle w:val="Bullets"/>
      </w:pPr>
      <w:r w:rsidRPr="002F38F6">
        <w:lastRenderedPageBreak/>
        <w:t>Industry groups</w:t>
      </w:r>
    </w:p>
    <w:p w:rsidR="00D52184" w:rsidRPr="002F38F6" w:rsidRDefault="00D52184" w:rsidP="00170CF9">
      <w:pPr>
        <w:pStyle w:val="Bullets"/>
      </w:pPr>
      <w:r w:rsidRPr="002F38F6">
        <w:t>Researchers</w:t>
      </w:r>
    </w:p>
    <w:p w:rsidR="00D52184" w:rsidRPr="002F38F6" w:rsidRDefault="00D52184" w:rsidP="00170CF9">
      <w:pPr>
        <w:pStyle w:val="Bullets"/>
      </w:pPr>
      <w:r w:rsidRPr="002F38F6">
        <w:t xml:space="preserve">Policymakers at the </w:t>
      </w:r>
      <w:r w:rsidR="00D46C86">
        <w:t xml:space="preserve">local, </w:t>
      </w:r>
      <w:r w:rsidRPr="002F38F6">
        <w:t>state and federal levels of government looking to design similar</w:t>
      </w:r>
      <w:r w:rsidR="002F38F6" w:rsidRPr="002F38F6">
        <w:t xml:space="preserve"> </w:t>
      </w:r>
      <w:r w:rsidRPr="002F38F6">
        <w:t>programs</w:t>
      </w:r>
    </w:p>
    <w:p w:rsidR="00D52184" w:rsidRPr="002F38F6" w:rsidRDefault="00D52184" w:rsidP="00170CF9">
      <w:pPr>
        <w:pStyle w:val="Bullets"/>
      </w:pPr>
      <w:r w:rsidRPr="002F38F6">
        <w:t>Others interested in understanding the experiences and lessons from the community</w:t>
      </w:r>
      <w:r w:rsidR="002F38F6" w:rsidRPr="002F38F6">
        <w:t xml:space="preserve"> </w:t>
      </w:r>
      <w:r w:rsidRPr="002F38F6">
        <w:t>college training and capacity-building programs</w:t>
      </w:r>
    </w:p>
    <w:p w:rsidR="00BA7BA0" w:rsidRPr="002F38F6" w:rsidRDefault="00BA7BA0" w:rsidP="00403F96">
      <w:pPr>
        <w:rPr>
          <w:szCs w:val="22"/>
        </w:rPr>
      </w:pPr>
      <w:r w:rsidRPr="002F38F6">
        <w:rPr>
          <w:szCs w:val="22"/>
        </w:rPr>
        <w:t xml:space="preserve">Finally, a Public Use File </w:t>
      </w:r>
      <w:r w:rsidR="00BA6FAA">
        <w:rPr>
          <w:szCs w:val="22"/>
        </w:rPr>
        <w:t xml:space="preserve">covering information about </w:t>
      </w:r>
      <w:r w:rsidR="0064544D">
        <w:rPr>
          <w:szCs w:val="22"/>
        </w:rPr>
        <w:t xml:space="preserve">study participants </w:t>
      </w:r>
      <w:r w:rsidRPr="002F38F6">
        <w:rPr>
          <w:szCs w:val="22"/>
        </w:rPr>
        <w:t xml:space="preserve">will be prepared and made available to </w:t>
      </w:r>
      <w:r w:rsidR="00D46C86">
        <w:rPr>
          <w:szCs w:val="22"/>
        </w:rPr>
        <w:t xml:space="preserve">future </w:t>
      </w:r>
      <w:r w:rsidRPr="002F38F6">
        <w:rPr>
          <w:szCs w:val="22"/>
        </w:rPr>
        <w:t>researchers.</w:t>
      </w:r>
    </w:p>
    <w:p w:rsidR="006F299B" w:rsidRDefault="006F299B" w:rsidP="008615B4">
      <w:pPr>
        <w:pStyle w:val="Heading2"/>
      </w:pPr>
      <w:bookmarkStart w:id="6" w:name="_Toc466359626"/>
      <w:r w:rsidRPr="001034D3">
        <w:t xml:space="preserve">A3: Improved </w:t>
      </w:r>
      <w:r w:rsidR="00222854">
        <w:t>I</w:t>
      </w:r>
      <w:r w:rsidR="00222854" w:rsidRPr="001034D3">
        <w:t xml:space="preserve">nformation </w:t>
      </w:r>
      <w:r w:rsidR="00222854">
        <w:t>Tech</w:t>
      </w:r>
      <w:r w:rsidR="00222854" w:rsidRPr="001034D3">
        <w:t xml:space="preserve">nology </w:t>
      </w:r>
      <w:r w:rsidR="00222854">
        <w:t>t</w:t>
      </w:r>
      <w:r w:rsidR="00222854" w:rsidRPr="001034D3">
        <w:t xml:space="preserve">o </w:t>
      </w:r>
      <w:r w:rsidR="00222854">
        <w:t>R</w:t>
      </w:r>
      <w:r w:rsidR="00222854" w:rsidRPr="001034D3">
        <w:t xml:space="preserve">educe </w:t>
      </w:r>
      <w:r w:rsidR="00222854">
        <w:t>B</w:t>
      </w:r>
      <w:r w:rsidR="00222854" w:rsidRPr="001034D3">
        <w:t>urden</w:t>
      </w:r>
      <w:bookmarkEnd w:id="6"/>
    </w:p>
    <w:p w:rsidR="00C74E18" w:rsidRPr="00C74E18" w:rsidRDefault="00C74E18" w:rsidP="001F7AEF">
      <w:pPr>
        <w:rPr>
          <w:i/>
        </w:rPr>
      </w:pPr>
      <w:r>
        <w:rPr>
          <w:i/>
        </w:rPr>
        <w:t>Follow-Up Survey</w:t>
      </w:r>
    </w:p>
    <w:p w:rsidR="00250421" w:rsidRDefault="00250421" w:rsidP="001F7AEF">
      <w:r>
        <w:t xml:space="preserve">The follow-up survey administration will use </w:t>
      </w:r>
      <w:r w:rsidR="00AE4E76">
        <w:t xml:space="preserve">a </w:t>
      </w:r>
      <w:r w:rsidR="00E13A20">
        <w:t>tri</w:t>
      </w:r>
      <w:r w:rsidR="00AE4E76">
        <w:t>-modal approach</w:t>
      </w:r>
      <w:r w:rsidR="00E13A20">
        <w:t xml:space="preserve"> of web, telephone follow-up, and in-person follow-up.  All three modes will use the same</w:t>
      </w:r>
      <w:r w:rsidR="00AE4E76">
        <w:t xml:space="preserve"> </w:t>
      </w:r>
      <w:r>
        <w:t xml:space="preserve">Computer-Assisted Interviewing (CAI) technology. CAI technology reduces </w:t>
      </w:r>
      <w:r w:rsidRPr="000C6A8D">
        <w:t>respondent</w:t>
      </w:r>
      <w:r>
        <w:t xml:space="preserve"> burden, as </w:t>
      </w:r>
      <w:r w:rsidR="00E13A20">
        <w:t xml:space="preserve">respondents and </w:t>
      </w:r>
      <w:r>
        <w:t xml:space="preserve">interviewers can proceed more quickly and accurately through the survey instruments, minimizing the interview length. Computerized questionnaires ensure that the skip patterns work properly, minimizing respondent burden by not asking inappropriate or non-applicable questions. 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w:t>
      </w:r>
    </w:p>
    <w:p w:rsidR="00C74E18" w:rsidRDefault="00C74E18" w:rsidP="001F7AEF">
      <w:pPr>
        <w:rPr>
          <w:i/>
        </w:rPr>
      </w:pPr>
      <w:r>
        <w:rPr>
          <w:i/>
        </w:rPr>
        <w:t>Participant Tracking Form</w:t>
      </w:r>
    </w:p>
    <w:p w:rsidR="00C74E18" w:rsidRPr="00C74E18" w:rsidRDefault="00265950" w:rsidP="001F7AEF">
      <w:r w:rsidRPr="00265950">
        <w:t>The tracking letter o</w:t>
      </w:r>
      <w:r>
        <w:t>ffers both a website and a toll-free number</w:t>
      </w:r>
      <w:r w:rsidRPr="00265950">
        <w:t xml:space="preserve"> that respondent</w:t>
      </w:r>
      <w:r>
        <w:t>s</w:t>
      </w:r>
      <w:r w:rsidRPr="00265950">
        <w:t xml:space="preserve"> </w:t>
      </w:r>
      <w:r>
        <w:t>may</w:t>
      </w:r>
      <w:r w:rsidRPr="00265950">
        <w:t xml:space="preserve"> use for updating their contact inf</w:t>
      </w:r>
      <w:r w:rsidR="0064544D">
        <w:t>ormation</w:t>
      </w:r>
      <w:r w:rsidR="00E13A20">
        <w:t xml:space="preserve"> if they </w:t>
      </w:r>
      <w:r w:rsidR="006A7F7E">
        <w:t>find that less burdensome than</w:t>
      </w:r>
      <w:r w:rsidR="00E13A20">
        <w:t xml:space="preserve"> the traditional option of a paper form and</w:t>
      </w:r>
      <w:r w:rsidR="0064544D">
        <w:t xml:space="preserve"> b</w:t>
      </w:r>
      <w:r w:rsidRPr="00265950">
        <w:t>usiness return envelope.</w:t>
      </w:r>
    </w:p>
    <w:p w:rsidR="00C74E18" w:rsidRPr="00C74E18" w:rsidRDefault="00C74E18" w:rsidP="001F7AEF">
      <w:pPr>
        <w:rPr>
          <w:i/>
        </w:rPr>
      </w:pPr>
      <w:r>
        <w:rPr>
          <w:i/>
        </w:rPr>
        <w:t>College Survey</w:t>
      </w:r>
    </w:p>
    <w:p w:rsidR="003D5E0E" w:rsidRPr="003D5E0E" w:rsidRDefault="001947A9" w:rsidP="00250421">
      <w:r>
        <w:t xml:space="preserve">Respondents </w:t>
      </w:r>
      <w:r w:rsidR="00250421">
        <w:t xml:space="preserve">will </w:t>
      </w:r>
      <w:r>
        <w:t>receive a link and password to a web-based</w:t>
      </w:r>
      <w:r w:rsidR="00250421">
        <w:t xml:space="preserve"> version of the</w:t>
      </w:r>
      <w:r w:rsidR="00C74E18">
        <w:t xml:space="preserve"> college</w:t>
      </w:r>
      <w:r w:rsidR="00250421">
        <w:t xml:space="preserve"> survey.  The survey </w:t>
      </w:r>
      <w:r w:rsidR="005805E4">
        <w:t xml:space="preserve">will </w:t>
      </w:r>
      <w:r w:rsidR="00250421">
        <w:t xml:space="preserve">be created in </w:t>
      </w:r>
      <w:r w:rsidR="001B5327">
        <w:t>Qualtrics</w:t>
      </w:r>
      <w:r w:rsidR="00250421">
        <w:t xml:space="preserve">, a commercial software application for development and administration of online surveys.  The automated skip patterns embedded in the online survey place less of a burden on the respondent than the customary “if-then go to” instructions of a paper and pencil questionnaire. </w:t>
      </w:r>
      <w:r>
        <w:t>T</w:t>
      </w:r>
      <w:r w:rsidR="00250421">
        <w:t>he questionnaire will be in modular formats that allow the primary respondent to pass sections or questions on to other staff members who may be better equipped to address particular topics.</w:t>
      </w:r>
    </w:p>
    <w:p w:rsidR="006F299B" w:rsidRDefault="006F299B" w:rsidP="008615B4">
      <w:pPr>
        <w:pStyle w:val="Heading2"/>
      </w:pPr>
      <w:bookmarkStart w:id="7" w:name="_Toc466359627"/>
      <w:r w:rsidRPr="006236E7">
        <w:t xml:space="preserve">A4: Efforts to </w:t>
      </w:r>
      <w:r w:rsidR="00222854" w:rsidRPr="006236E7">
        <w:t>Identify Duplication</w:t>
      </w:r>
      <w:bookmarkEnd w:id="7"/>
    </w:p>
    <w:p w:rsidR="00431693" w:rsidRDefault="00E435B5" w:rsidP="00E40583">
      <w:pPr>
        <w:tabs>
          <w:tab w:val="left" w:pos="0"/>
          <w:tab w:val="left" w:pos="720"/>
          <w:tab w:val="left" w:pos="1094"/>
          <w:tab w:val="left" w:pos="1440"/>
          <w:tab w:val="left" w:pos="1800"/>
          <w:tab w:val="left" w:pos="8985"/>
        </w:tabs>
      </w:pPr>
      <w:r>
        <w:t xml:space="preserve">This will be the </w:t>
      </w:r>
      <w:r w:rsidR="00F0079F">
        <w:t xml:space="preserve">first </w:t>
      </w:r>
      <w:r w:rsidR="008D20B4">
        <w:t>Outcomes Study</w:t>
      </w:r>
      <w:r>
        <w:t xml:space="preserve"> of </w:t>
      </w:r>
      <w:r w:rsidR="008B2129">
        <w:t>the TAACCCT grant program</w:t>
      </w:r>
      <w:r w:rsidR="00F0079F">
        <w:t xml:space="preserve">, and the first to present a </w:t>
      </w:r>
      <w:r w:rsidR="00F0079F" w:rsidRPr="00F0079F">
        <w:t xml:space="preserve">national view of </w:t>
      </w:r>
      <w:r w:rsidR="00302897" w:rsidRPr="00302897">
        <w:t xml:space="preserve">the characteristics of TAACCCT participants, their service receipt, and their outcomes related to education, employment, earnings and receipt of public benefits. </w:t>
      </w:r>
    </w:p>
    <w:p w:rsidR="00C174F2" w:rsidRDefault="001644A0" w:rsidP="00E40583">
      <w:pPr>
        <w:spacing w:after="0"/>
      </w:pPr>
      <w:r>
        <w:lastRenderedPageBreak/>
        <w:t>Regarding the follow-up survey, t</w:t>
      </w:r>
      <w:r w:rsidR="00C174F2">
        <w:t xml:space="preserve">here is minimal duplication of data collection. The follow-up survey will ask about employment status despite the availability of some employment information in the NDNH data. This survey question is necessary as a screener to asking about job characteristics, information not available through NDNH. Additionally the follow-up survey will ask about participation in education and training programs and attainment of credentials. Some data on college records and service receipt </w:t>
      </w:r>
      <w:r w:rsidR="0064544D">
        <w:t xml:space="preserve">are collected by </w:t>
      </w:r>
      <w:r w:rsidR="00C174F2">
        <w:t>grantee</w:t>
      </w:r>
      <w:r w:rsidR="0064544D">
        <w:t xml:space="preserve"> colleges; however, </w:t>
      </w:r>
      <w:r w:rsidR="00C174F2">
        <w:t>th</w:t>
      </w:r>
      <w:r w:rsidR="0064544D">
        <w:t xml:space="preserve">ey are </w:t>
      </w:r>
      <w:r w:rsidR="00C174F2">
        <w:t>college</w:t>
      </w:r>
      <w:r w:rsidR="0064544D">
        <w:t xml:space="preserve"> </w:t>
      </w:r>
      <w:r w:rsidR="00C174F2">
        <w:t xml:space="preserve">specific </w:t>
      </w:r>
      <w:r w:rsidR="0064544D">
        <w:t xml:space="preserve">and likely of </w:t>
      </w:r>
      <w:r w:rsidR="00D66737">
        <w:t>varying quality. For the O</w:t>
      </w:r>
      <w:r w:rsidR="00C174F2">
        <w:t xml:space="preserve">utcomes </w:t>
      </w:r>
      <w:r w:rsidR="00D66737">
        <w:t>S</w:t>
      </w:r>
      <w:r w:rsidR="00C174F2">
        <w:t xml:space="preserve">tudy, it is critical that the evaluation team collect identical information from study participants across all </w:t>
      </w:r>
      <w:r w:rsidR="0064544D">
        <w:t>nine grantees</w:t>
      </w:r>
      <w:r w:rsidR="00C174F2">
        <w:t>.</w:t>
      </w:r>
      <w:r>
        <w:t xml:space="preserve"> Similarly, there is no other method to track study participants between the time of study intake and the follow-up survey. </w:t>
      </w:r>
    </w:p>
    <w:p w:rsidR="00C174F2" w:rsidRDefault="00C174F2" w:rsidP="00E40583">
      <w:pPr>
        <w:spacing w:after="0"/>
      </w:pPr>
    </w:p>
    <w:p w:rsidR="00B24BAF" w:rsidRDefault="001644A0" w:rsidP="00A32924">
      <w:r>
        <w:t xml:space="preserve">Regarding the college survey, grantees </w:t>
      </w:r>
      <w:r w:rsidR="00A32924" w:rsidRPr="00A32924">
        <w:t xml:space="preserve">currently </w:t>
      </w:r>
      <w:r>
        <w:t xml:space="preserve">submit </w:t>
      </w:r>
      <w:r w:rsidR="00A32924" w:rsidRPr="00A32924">
        <w:t xml:space="preserve">narrative quarterly reports to </w:t>
      </w:r>
      <w:r>
        <w:t xml:space="preserve">DOL, but not in a </w:t>
      </w:r>
      <w:r w:rsidR="00A32924" w:rsidRPr="00A32924">
        <w:t xml:space="preserve">standardized way that allows data analysis and does not present the detail needed for a national evaluation. </w:t>
      </w:r>
      <w:r w:rsidR="00B942CB">
        <w:t xml:space="preserve">In contrast to the quarterly reports, the college survey collects data in an objective and quantifiable </w:t>
      </w:r>
      <w:r w:rsidR="003F2832">
        <w:t>manner</w:t>
      </w:r>
      <w:r w:rsidR="00B942CB">
        <w:t xml:space="preserve"> that </w:t>
      </w:r>
      <w:r w:rsidR="003F2832">
        <w:t xml:space="preserve">is necessary for analysis and summation in the evaluation report. </w:t>
      </w:r>
      <w:r w:rsidR="00A44C0F" w:rsidRPr="00A44C0F">
        <w:t>In addition, the survey captures data at the college level, not just at the grantee level, allowing us to understand the breadth of activities undertaken with TAACCCT grant funds.</w:t>
      </w:r>
      <w:r>
        <w:t>Regarding employer interviews, the evaluator will collect limited information d</w:t>
      </w:r>
      <w:r w:rsidR="00B27F8E">
        <w:t xml:space="preserve">uring </w:t>
      </w:r>
      <w:r w:rsidR="00D66737">
        <w:t xml:space="preserve">9 implementation research </w:t>
      </w:r>
      <w:r w:rsidR="00B27F8E">
        <w:t xml:space="preserve">site visits </w:t>
      </w:r>
      <w:r>
        <w:t xml:space="preserve">about the role of </w:t>
      </w:r>
      <w:r w:rsidR="00B27F8E">
        <w:t>employers</w:t>
      </w:r>
      <w:r>
        <w:t xml:space="preserve"> in the grant programs</w:t>
      </w:r>
      <w:r w:rsidR="00B27F8E">
        <w:t xml:space="preserve">. </w:t>
      </w:r>
      <w:r>
        <w:t>The employer interview protocol is designed to collect in-depth information on a subset of employers selected for the strength of their relationship with grantees</w:t>
      </w:r>
      <w:r w:rsidR="00112F98">
        <w:t>.</w:t>
      </w:r>
      <w:r>
        <w:t xml:space="preserve"> </w:t>
      </w:r>
      <w:r w:rsidR="00112F98">
        <w:t xml:space="preserve"> </w:t>
      </w:r>
    </w:p>
    <w:p w:rsidR="006F299B" w:rsidRDefault="006F299B" w:rsidP="008615B4">
      <w:pPr>
        <w:pStyle w:val="Heading2"/>
      </w:pPr>
      <w:bookmarkStart w:id="8" w:name="_Toc466359628"/>
      <w:r w:rsidRPr="004E0069">
        <w:t xml:space="preserve">A5: Involvement of </w:t>
      </w:r>
      <w:r w:rsidR="00222854" w:rsidRPr="004E0069">
        <w:t>Small Organizations</w:t>
      </w:r>
      <w:bookmarkEnd w:id="8"/>
    </w:p>
    <w:p w:rsidR="001C036E" w:rsidRDefault="00600187" w:rsidP="00B24BAF">
      <w:r>
        <w:t xml:space="preserve">The data collection </w:t>
      </w:r>
      <w:r w:rsidR="00112F98">
        <w:t xml:space="preserve">for the employer study may involve small businesses. </w:t>
      </w:r>
      <w:r w:rsidR="006D30D6">
        <w:t xml:space="preserve"> </w:t>
      </w:r>
      <w:r w:rsidR="0090254A">
        <w:t>The data collected u</w:t>
      </w:r>
      <w:r w:rsidR="00823183">
        <w:t>nder this request is the minimal</w:t>
      </w:r>
      <w:r w:rsidR="0090254A">
        <w:t xml:space="preserve"> necessary</w:t>
      </w:r>
      <w:r w:rsidR="001F5F69">
        <w:t xml:space="preserve"> for the small businesses involved</w:t>
      </w:r>
      <w:r w:rsidR="00ED682A">
        <w:t>.</w:t>
      </w:r>
      <w:r w:rsidR="0090254A">
        <w:t xml:space="preserve"> </w:t>
      </w:r>
      <w:r w:rsidR="00ED682A">
        <w:t xml:space="preserve"> </w:t>
      </w:r>
      <w:r w:rsidR="006D30D6">
        <w:t xml:space="preserve">None of the other data collection operations will involve small businesses.  </w:t>
      </w:r>
    </w:p>
    <w:p w:rsidR="006F299B" w:rsidRPr="0087138F" w:rsidRDefault="006F299B" w:rsidP="008615B4">
      <w:pPr>
        <w:pStyle w:val="Heading2"/>
      </w:pPr>
      <w:bookmarkStart w:id="9" w:name="_Toc466359629"/>
      <w:r w:rsidRPr="0087138F">
        <w:t xml:space="preserve">A6: Consequences of </w:t>
      </w:r>
      <w:r w:rsidR="00222854" w:rsidRPr="0087138F">
        <w:t>Less Frequent Data Collection</w:t>
      </w:r>
      <w:bookmarkEnd w:id="9"/>
    </w:p>
    <w:p w:rsidR="005943CC" w:rsidRDefault="00BE053D" w:rsidP="00216B09">
      <w:r>
        <w:t xml:space="preserve">The follow-up survey will be administered </w:t>
      </w:r>
      <w:r w:rsidR="005943CC">
        <w:t xml:space="preserve">approximately 12 months after </w:t>
      </w:r>
      <w:r w:rsidR="0010512D">
        <w:t xml:space="preserve">study intake </w:t>
      </w:r>
      <w:r>
        <w:t>to participants</w:t>
      </w:r>
      <w:r w:rsidR="005943CC">
        <w:t xml:space="preserve">. </w:t>
      </w:r>
      <w:r>
        <w:t>T</w:t>
      </w:r>
      <w:r w:rsidR="005943CC">
        <w:t xml:space="preserve">his is the only follow-up survey </w:t>
      </w:r>
      <w:r>
        <w:t>planned</w:t>
      </w:r>
      <w:r w:rsidR="005943CC">
        <w:t>. It is a one-time data collection activity, so it would not be possible to collect this data less frequently. While the evaluation</w:t>
      </w:r>
      <w:r w:rsidR="005943CC" w:rsidRPr="00280915">
        <w:t xml:space="preserve"> could still report on the </w:t>
      </w:r>
      <w:r w:rsidR="005943CC">
        <w:t>employment outcomes</w:t>
      </w:r>
      <w:r w:rsidR="005943CC" w:rsidRPr="00280915">
        <w:t xml:space="preserve"> of </w:t>
      </w:r>
      <w:r w:rsidR="005943CC">
        <w:t>TAACCCT-funded programs</w:t>
      </w:r>
      <w:r w:rsidR="005943CC" w:rsidRPr="00280915">
        <w:t xml:space="preserve"> </w:t>
      </w:r>
      <w:r>
        <w:t xml:space="preserve">in the absence of a survey </w:t>
      </w:r>
      <w:r w:rsidR="005943CC" w:rsidRPr="00280915">
        <w:t>using NDNH data</w:t>
      </w:r>
      <w:r w:rsidR="005943CC">
        <w:t>, the survey allows for a look at a broader set of education and employment-related outcomes</w:t>
      </w:r>
      <w:r>
        <w:t xml:space="preserve"> of interest to DOL</w:t>
      </w:r>
      <w:r w:rsidR="005943CC">
        <w:t xml:space="preserve">, including </w:t>
      </w:r>
      <w:r w:rsidR="0010512D">
        <w:t xml:space="preserve">attainment of credentials, enrollment in and completion of other education and training programs, </w:t>
      </w:r>
      <w:r w:rsidR="005943CC">
        <w:t>characteristics of job</w:t>
      </w:r>
      <w:r w:rsidR="0010512D">
        <w:t>s</w:t>
      </w:r>
      <w:r w:rsidR="005943CC">
        <w:t>, total income, and public benefit receipt.</w:t>
      </w:r>
    </w:p>
    <w:p w:rsidR="0010512D" w:rsidRPr="00C74E18" w:rsidRDefault="00D66737" w:rsidP="0010512D">
      <w:r>
        <w:t xml:space="preserve">Achieving </w:t>
      </w:r>
      <w:r w:rsidR="00F64143">
        <w:t xml:space="preserve">a high </w:t>
      </w:r>
      <w:r>
        <w:t xml:space="preserve">response rate </w:t>
      </w:r>
      <w:r w:rsidR="0026362B" w:rsidRPr="0026362B">
        <w:t xml:space="preserve">is dependent on being able to successfully re-contact study participants. Conducting quarterly tracking activities </w:t>
      </w:r>
      <w:r w:rsidR="00BE053D">
        <w:t xml:space="preserve">that provide study participants the opportunity to update their contact information </w:t>
      </w:r>
      <w:r w:rsidR="0026362B" w:rsidRPr="0026362B">
        <w:t xml:space="preserve">increases the </w:t>
      </w:r>
      <w:r w:rsidR="00BE053D">
        <w:t xml:space="preserve">likelihood that the evaluator will be able to locate the participant for the </w:t>
      </w:r>
      <w:r w:rsidR="0026362B" w:rsidRPr="0026362B">
        <w:t xml:space="preserve">follow-up survey. </w:t>
      </w:r>
    </w:p>
    <w:p w:rsidR="00216B09" w:rsidRDefault="00061AA3" w:rsidP="00216B09">
      <w:r>
        <w:t>The college survey, administered once, is critical to the implementation study, which will document how TAACCCT-funded programs are operated</w:t>
      </w:r>
      <w:r w:rsidR="00D66737">
        <w:t xml:space="preserve"> across all grantees</w:t>
      </w:r>
      <w:r>
        <w:t xml:space="preserve">. </w:t>
      </w:r>
      <w:r w:rsidR="00B341BF">
        <w:t xml:space="preserve">Given the significant expenditures involved in the TAACCCT grants, and the role that this and similar grant programs are intended to play in shaping the nation’s workforce system, it is </w:t>
      </w:r>
      <w:r>
        <w:t xml:space="preserve">important </w:t>
      </w:r>
      <w:r w:rsidR="00B341BF">
        <w:t xml:space="preserve">to </w:t>
      </w:r>
      <w:r w:rsidR="00B341BF" w:rsidRPr="001E65AA">
        <w:t>document the different models and projects that are operating under the initiative, examine and assess the implementation to date, and identify innovative features and potentially promising strategies.</w:t>
      </w:r>
      <w:r w:rsidR="00B341BF">
        <w:t xml:space="preserve">  The </w:t>
      </w:r>
      <w:r w:rsidR="00112F98">
        <w:t xml:space="preserve">college </w:t>
      </w:r>
      <w:r w:rsidR="00B341BF">
        <w:t xml:space="preserve">survey represents the </w:t>
      </w:r>
      <w:r w:rsidR="00B341BF">
        <w:lastRenderedPageBreak/>
        <w:t xml:space="preserve">only opportunity to gather comprehensive and in-depth information on implementation from all grantees in Round 4.  </w:t>
      </w:r>
    </w:p>
    <w:p w:rsidR="007F3873" w:rsidRPr="007F3873" w:rsidRDefault="00112F98" w:rsidP="00216B09">
      <w:pPr>
        <w:rPr>
          <w:rFonts w:cstheme="minorHAnsi"/>
        </w:rPr>
      </w:pPr>
      <w:r>
        <w:t xml:space="preserve">The team will conduct interviews with employers only one time. </w:t>
      </w:r>
      <w:r w:rsidR="00061AA3">
        <w:t xml:space="preserve">This data will be the only information available to document the development and nature of strong partnerships, which will inform future DOL grant programs. </w:t>
      </w:r>
    </w:p>
    <w:p w:rsidR="006F299B" w:rsidRDefault="006F299B" w:rsidP="008615B4">
      <w:pPr>
        <w:pStyle w:val="Heading2"/>
      </w:pPr>
      <w:bookmarkStart w:id="10" w:name="_Toc466359630"/>
      <w:r w:rsidRPr="001034D3">
        <w:t xml:space="preserve">A7: Special </w:t>
      </w:r>
      <w:r w:rsidR="00911BD5">
        <w:t>C</w:t>
      </w:r>
      <w:r w:rsidRPr="001034D3">
        <w:t>ircumstances</w:t>
      </w:r>
      <w:bookmarkEnd w:id="10"/>
    </w:p>
    <w:p w:rsidR="006F299B" w:rsidRPr="00E001CD" w:rsidRDefault="006F299B" w:rsidP="006F299B">
      <w:r>
        <w:t xml:space="preserve">There are no special circumstances for the proposed data collection. </w:t>
      </w:r>
    </w:p>
    <w:p w:rsidR="006F299B" w:rsidRDefault="006F299B" w:rsidP="008615B4">
      <w:pPr>
        <w:pStyle w:val="Heading2"/>
      </w:pPr>
      <w:bookmarkStart w:id="11" w:name="_Toc466359631"/>
      <w:r w:rsidRPr="001034D3">
        <w:t xml:space="preserve">A8: FRN and </w:t>
      </w:r>
      <w:r w:rsidR="00911BD5">
        <w:t>C</w:t>
      </w:r>
      <w:r w:rsidRPr="001034D3">
        <w:t>onsultation</w:t>
      </w:r>
      <w:bookmarkEnd w:id="11"/>
    </w:p>
    <w:p w:rsidR="00762DD6" w:rsidRPr="00762DD6" w:rsidRDefault="00762DD6" w:rsidP="00762DD6">
      <w:pPr>
        <w:pStyle w:val="Heading4"/>
      </w:pPr>
      <w:r>
        <w:t>Federal Register Notice and Comments</w:t>
      </w:r>
    </w:p>
    <w:p w:rsidR="00BA690F" w:rsidRDefault="006F299B" w:rsidP="00C520A3">
      <w:pPr>
        <w:pStyle w:val="BodyText"/>
      </w:pPr>
      <w:r>
        <w:t xml:space="preserve">In accordance with the Paperwork Reduction Act of 1995 (Pub. L. 104-13 and Office of Management and Budget (OMB) regulations at 5 CFR Part 1320 (60 FR 44978, August 29, 1995)), </w:t>
      </w:r>
      <w:r w:rsidR="00FB1945">
        <w:t>DOL</w:t>
      </w:r>
      <w:r>
        <w:t xml:space="preserve"> published a notice in the Federal Register announcing the agency’s intention to request an OMB review of this information collection activity. This notice was published on </w:t>
      </w:r>
      <w:r w:rsidR="00B341BF">
        <w:t>Wednesday, June 22, 2016</w:t>
      </w:r>
      <w:r>
        <w:t xml:space="preserve">, Volume </w:t>
      </w:r>
      <w:r w:rsidR="00BA7BA0">
        <w:t>8</w:t>
      </w:r>
      <w:r w:rsidR="00B341BF">
        <w:t>1</w:t>
      </w:r>
      <w:r>
        <w:t xml:space="preserve">, Number </w:t>
      </w:r>
      <w:r w:rsidR="00B341BF">
        <w:t>120</w:t>
      </w:r>
      <w:r>
        <w:t>, page</w:t>
      </w:r>
      <w:r w:rsidR="00BA7BA0">
        <w:t>s</w:t>
      </w:r>
      <w:r>
        <w:t xml:space="preserve"> </w:t>
      </w:r>
      <w:r w:rsidR="00B341BF">
        <w:t>40,720 to 40,721</w:t>
      </w:r>
      <w:r>
        <w:t xml:space="preserve">, and provided a </w:t>
      </w:r>
      <w:r w:rsidR="000C484C">
        <w:t xml:space="preserve">60 </w:t>
      </w:r>
      <w:r>
        <w:t xml:space="preserve">day period for public comment.  A copy of this notice is </w:t>
      </w:r>
      <w:r w:rsidR="00972AFF">
        <w:t>included</w:t>
      </w:r>
      <w:r>
        <w:t xml:space="preserve"> as </w:t>
      </w:r>
      <w:r w:rsidR="00CA7FB3">
        <w:t xml:space="preserve">Appendix </w:t>
      </w:r>
      <w:r w:rsidR="0054595A">
        <w:t>C</w:t>
      </w:r>
      <w:r w:rsidRPr="00324E64">
        <w:t xml:space="preserve">.  </w:t>
      </w:r>
      <w:r>
        <w:t xml:space="preserve">During the notice and comment period, </w:t>
      </w:r>
      <w:r w:rsidRPr="00FE002D">
        <w:t xml:space="preserve">the government </w:t>
      </w:r>
      <w:r w:rsidR="00C520A3" w:rsidRPr="00FE002D">
        <w:t xml:space="preserve">did not </w:t>
      </w:r>
      <w:r w:rsidRPr="00FE002D">
        <w:t xml:space="preserve">receive </w:t>
      </w:r>
      <w:r w:rsidR="00C520A3" w:rsidRPr="00FE002D">
        <w:t xml:space="preserve">any </w:t>
      </w:r>
      <w:r w:rsidR="001F5F69">
        <w:t xml:space="preserve">public </w:t>
      </w:r>
      <w:r w:rsidR="00C520A3" w:rsidRPr="00FE002D">
        <w:t>comment or r</w:t>
      </w:r>
      <w:r w:rsidR="00FB1945" w:rsidRPr="00FE002D">
        <w:t>equest</w:t>
      </w:r>
      <w:r w:rsidRPr="00FE002D">
        <w:t xml:space="preserve"> for copies of the instrument</w:t>
      </w:r>
      <w:r w:rsidR="00B341BF" w:rsidRPr="00FE002D">
        <w:t>s</w:t>
      </w:r>
      <w:r w:rsidRPr="00FE002D">
        <w:t>.</w:t>
      </w:r>
      <w:r w:rsidRPr="00762DD6">
        <w:t xml:space="preserve"> </w:t>
      </w:r>
    </w:p>
    <w:p w:rsidR="002251AA" w:rsidRPr="00762DD6" w:rsidRDefault="002251AA" w:rsidP="002251AA">
      <w:pPr>
        <w:pStyle w:val="Heading4"/>
      </w:pPr>
      <w:r w:rsidRPr="00762DD6">
        <w:t xml:space="preserve">Consultation </w:t>
      </w:r>
      <w:r w:rsidR="004E7945">
        <w:t xml:space="preserve">Outside of the Agency </w:t>
      </w:r>
    </w:p>
    <w:p w:rsidR="00871F6E" w:rsidRDefault="00871F6E" w:rsidP="002251AA">
      <w:pPr>
        <w:pStyle w:val="BodyText"/>
      </w:pPr>
      <w:r>
        <w:t xml:space="preserve">The individuals listed in Exhibit A8 made a contribution to the project and are external to DOL. </w:t>
      </w:r>
    </w:p>
    <w:p w:rsidR="00871F6E" w:rsidRDefault="00871F6E" w:rsidP="002251AA">
      <w:pPr>
        <w:pStyle w:val="BodyText"/>
        <w:rPr>
          <w:rFonts w:ascii="Arial" w:hAnsi="Arial" w:cs="Arial"/>
          <w:b/>
          <w:sz w:val="20"/>
        </w:rPr>
      </w:pPr>
      <w:r>
        <w:rPr>
          <w:rFonts w:ascii="Arial" w:hAnsi="Arial" w:cs="Arial"/>
          <w:b/>
          <w:sz w:val="20"/>
        </w:rPr>
        <w:t>Exhibit A8: Individuals Consulted Outside of the Agency</w:t>
      </w:r>
    </w:p>
    <w:tbl>
      <w:tblPr>
        <w:tblStyle w:val="TableGrid"/>
        <w:tblW w:w="913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766"/>
        <w:gridCol w:w="2587"/>
        <w:gridCol w:w="3780"/>
      </w:tblGrid>
      <w:tr w:rsidR="00871F6E" w:rsidRPr="003A17F4" w:rsidTr="0008471B">
        <w:tc>
          <w:tcPr>
            <w:tcW w:w="2766" w:type="dxa"/>
            <w:shd w:val="clear" w:color="auto" w:fill="C3C6A8"/>
          </w:tcPr>
          <w:p w:rsidR="00871F6E" w:rsidRPr="00170CF9" w:rsidRDefault="00871F6E" w:rsidP="0008471B">
            <w:pPr>
              <w:spacing w:before="60" w:after="60"/>
              <w:jc w:val="center"/>
              <w:rPr>
                <w:rFonts w:ascii="Arial" w:hAnsi="Arial" w:cs="Arial"/>
                <w:b/>
                <w:sz w:val="18"/>
                <w:szCs w:val="18"/>
              </w:rPr>
            </w:pPr>
            <w:r w:rsidRPr="00170CF9">
              <w:rPr>
                <w:rFonts w:ascii="Arial" w:hAnsi="Arial" w:cs="Arial"/>
                <w:b/>
                <w:sz w:val="18"/>
                <w:szCs w:val="18"/>
              </w:rPr>
              <w:t>Name</w:t>
            </w:r>
          </w:p>
        </w:tc>
        <w:tc>
          <w:tcPr>
            <w:tcW w:w="2587" w:type="dxa"/>
            <w:shd w:val="clear" w:color="auto" w:fill="C3C6A8"/>
          </w:tcPr>
          <w:p w:rsidR="00871F6E" w:rsidRPr="00170CF9" w:rsidRDefault="00871F6E" w:rsidP="0008471B">
            <w:pPr>
              <w:spacing w:before="60" w:after="60"/>
              <w:jc w:val="center"/>
              <w:rPr>
                <w:rFonts w:ascii="Arial" w:hAnsi="Arial" w:cs="Arial"/>
                <w:b/>
                <w:sz w:val="18"/>
                <w:szCs w:val="18"/>
              </w:rPr>
            </w:pPr>
            <w:r w:rsidRPr="00170CF9">
              <w:rPr>
                <w:rFonts w:ascii="Arial" w:hAnsi="Arial" w:cs="Arial"/>
                <w:b/>
                <w:sz w:val="18"/>
                <w:szCs w:val="18"/>
              </w:rPr>
              <w:t>Telephone Number</w:t>
            </w:r>
          </w:p>
        </w:tc>
        <w:tc>
          <w:tcPr>
            <w:tcW w:w="3780" w:type="dxa"/>
            <w:shd w:val="clear" w:color="auto" w:fill="C3C6A8"/>
          </w:tcPr>
          <w:p w:rsidR="00871F6E" w:rsidRPr="00170CF9" w:rsidRDefault="00871F6E" w:rsidP="0008471B">
            <w:pPr>
              <w:spacing w:before="60" w:after="60"/>
              <w:jc w:val="center"/>
              <w:rPr>
                <w:rFonts w:ascii="Arial" w:hAnsi="Arial" w:cs="Arial"/>
                <w:b/>
                <w:sz w:val="18"/>
                <w:szCs w:val="18"/>
              </w:rPr>
            </w:pPr>
            <w:r w:rsidRPr="00170CF9">
              <w:rPr>
                <w:rFonts w:ascii="Arial" w:hAnsi="Arial" w:cs="Arial"/>
                <w:b/>
                <w:sz w:val="18"/>
                <w:szCs w:val="18"/>
              </w:rPr>
              <w:t>Role in Study</w:t>
            </w:r>
          </w:p>
        </w:tc>
      </w:tr>
      <w:tr w:rsidR="00871F6E" w:rsidRPr="003A17F4" w:rsidTr="0008471B">
        <w:tc>
          <w:tcPr>
            <w:tcW w:w="2766"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Karen Gardiner</w:t>
            </w:r>
          </w:p>
        </w:tc>
        <w:tc>
          <w:tcPr>
            <w:tcW w:w="2587"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(301) 347-5</w:t>
            </w:r>
            <w:r>
              <w:rPr>
                <w:rFonts w:ascii="Arial" w:hAnsi="Arial" w:cs="Arial"/>
                <w:sz w:val="18"/>
                <w:szCs w:val="18"/>
              </w:rPr>
              <w:t>116</w:t>
            </w:r>
          </w:p>
        </w:tc>
        <w:tc>
          <w:tcPr>
            <w:tcW w:w="3780"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Project Director</w:t>
            </w:r>
          </w:p>
        </w:tc>
      </w:tr>
      <w:tr w:rsidR="00871F6E" w:rsidRPr="003A17F4" w:rsidTr="0008471B">
        <w:tc>
          <w:tcPr>
            <w:tcW w:w="2766"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David Judkins</w:t>
            </w:r>
          </w:p>
        </w:tc>
        <w:tc>
          <w:tcPr>
            <w:tcW w:w="2587"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(301) 347-5952</w:t>
            </w:r>
          </w:p>
        </w:tc>
        <w:tc>
          <w:tcPr>
            <w:tcW w:w="3780"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Co-Principal Investigator</w:t>
            </w:r>
          </w:p>
        </w:tc>
      </w:tr>
      <w:tr w:rsidR="00871F6E" w:rsidRPr="003A17F4" w:rsidTr="0008471B">
        <w:tc>
          <w:tcPr>
            <w:tcW w:w="2766"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Lauren Eyster</w:t>
            </w:r>
          </w:p>
        </w:tc>
        <w:tc>
          <w:tcPr>
            <w:tcW w:w="2587"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(202) 261-5621</w:t>
            </w:r>
          </w:p>
        </w:tc>
        <w:tc>
          <w:tcPr>
            <w:tcW w:w="3780" w:type="dxa"/>
          </w:tcPr>
          <w:p w:rsidR="00871F6E" w:rsidRPr="00170CF9" w:rsidRDefault="00871F6E" w:rsidP="0008471B">
            <w:pPr>
              <w:spacing w:before="60" w:after="60"/>
              <w:rPr>
                <w:rFonts w:ascii="Arial" w:hAnsi="Arial" w:cs="Arial"/>
                <w:sz w:val="18"/>
                <w:szCs w:val="18"/>
              </w:rPr>
            </w:pPr>
            <w:r w:rsidRPr="00170CF9">
              <w:rPr>
                <w:rFonts w:ascii="Arial" w:hAnsi="Arial" w:cs="Arial"/>
                <w:sz w:val="18"/>
                <w:szCs w:val="18"/>
              </w:rPr>
              <w:t xml:space="preserve">Co-Principal Investigator </w:t>
            </w:r>
          </w:p>
        </w:tc>
      </w:tr>
      <w:tr w:rsidR="00871F6E" w:rsidRPr="003A17F4" w:rsidTr="0008471B">
        <w:tc>
          <w:tcPr>
            <w:tcW w:w="2766" w:type="dxa"/>
          </w:tcPr>
          <w:p w:rsidR="00871F6E" w:rsidRPr="00170CF9" w:rsidRDefault="00871F6E" w:rsidP="0008471B">
            <w:pPr>
              <w:spacing w:before="60" w:after="60"/>
              <w:rPr>
                <w:rFonts w:ascii="Arial" w:hAnsi="Arial" w:cs="Arial"/>
                <w:sz w:val="18"/>
                <w:szCs w:val="18"/>
              </w:rPr>
            </w:pPr>
            <w:r>
              <w:rPr>
                <w:rFonts w:ascii="Arial" w:hAnsi="Arial" w:cs="Arial"/>
                <w:sz w:val="18"/>
                <w:szCs w:val="18"/>
              </w:rPr>
              <w:t>Burt Barnow</w:t>
            </w:r>
          </w:p>
        </w:tc>
        <w:tc>
          <w:tcPr>
            <w:tcW w:w="2587" w:type="dxa"/>
          </w:tcPr>
          <w:p w:rsidR="00871F6E" w:rsidRPr="00170CF9" w:rsidRDefault="00871F6E" w:rsidP="0008471B">
            <w:pPr>
              <w:spacing w:before="60" w:after="60"/>
              <w:rPr>
                <w:rFonts w:ascii="Arial" w:hAnsi="Arial" w:cs="Arial"/>
                <w:sz w:val="18"/>
                <w:szCs w:val="18"/>
              </w:rPr>
            </w:pPr>
            <w:r>
              <w:rPr>
                <w:rFonts w:ascii="Arial" w:hAnsi="Arial" w:cs="Arial"/>
                <w:sz w:val="18"/>
                <w:szCs w:val="18"/>
              </w:rPr>
              <w:t>(202) 994-6379</w:t>
            </w:r>
          </w:p>
        </w:tc>
        <w:tc>
          <w:tcPr>
            <w:tcW w:w="3780" w:type="dxa"/>
          </w:tcPr>
          <w:p w:rsidR="00871F6E" w:rsidRPr="00170CF9" w:rsidRDefault="00871F6E" w:rsidP="0008471B">
            <w:pPr>
              <w:spacing w:before="60" w:after="60"/>
              <w:rPr>
                <w:rFonts w:ascii="Arial" w:hAnsi="Arial" w:cs="Arial"/>
                <w:sz w:val="18"/>
                <w:szCs w:val="18"/>
              </w:rPr>
            </w:pPr>
            <w:r>
              <w:rPr>
                <w:rFonts w:ascii="Arial" w:hAnsi="Arial" w:cs="Arial"/>
                <w:sz w:val="18"/>
                <w:szCs w:val="18"/>
              </w:rPr>
              <w:t>Project Advisor and Task Lead</w:t>
            </w:r>
          </w:p>
        </w:tc>
      </w:tr>
    </w:tbl>
    <w:p w:rsidR="002251AA" w:rsidRDefault="00871F6E" w:rsidP="002251AA">
      <w:pPr>
        <w:pStyle w:val="BodyText"/>
      </w:pPr>
      <w:r>
        <w:t xml:space="preserve"> </w:t>
      </w:r>
      <w:r w:rsidR="002251AA" w:rsidRPr="00762DD6">
        <w:t xml:space="preserve"> </w:t>
      </w:r>
    </w:p>
    <w:p w:rsidR="006F299B" w:rsidRDefault="006F299B" w:rsidP="008615B4">
      <w:pPr>
        <w:pStyle w:val="Heading2"/>
      </w:pPr>
      <w:bookmarkStart w:id="12" w:name="_Toc466359632"/>
      <w:r>
        <w:t>A</w:t>
      </w:r>
      <w:r w:rsidRPr="001034D3">
        <w:t xml:space="preserve">9: Payment of </w:t>
      </w:r>
      <w:r w:rsidR="00911BD5">
        <w:t>R</w:t>
      </w:r>
      <w:r w:rsidRPr="001034D3">
        <w:t>espondents</w:t>
      </w:r>
      <w:bookmarkEnd w:id="12"/>
    </w:p>
    <w:p w:rsidR="007F3873" w:rsidRDefault="002A3FB8" w:rsidP="007F3873">
      <w:r>
        <w:t xml:space="preserve">For the follow-up survey to be most successful, the evaluator determined that monetary gifts should be provided to study participants in appreciation of the time they spend </w:t>
      </w:r>
      <w:r w:rsidR="00F64143">
        <w:t>on</w:t>
      </w:r>
      <w:r>
        <w:t xml:space="preserve"> data collection activities.  These tokens of appreciation are a </w:t>
      </w:r>
      <w:r w:rsidR="007F3873" w:rsidRPr="0043080C">
        <w:t>powerful tool for maintaining low attrition rates in longitudinal studies</w:t>
      </w:r>
      <w:r w:rsidR="007F3873">
        <w:t xml:space="preserve">. </w:t>
      </w:r>
      <w:r w:rsidR="007F3873" w:rsidRPr="00B9658D">
        <w:t>The use</w:t>
      </w:r>
      <w:r w:rsidR="007F3873" w:rsidRPr="00632344">
        <w:t xml:space="preserve"> of </w:t>
      </w:r>
      <w:r>
        <w:t xml:space="preserve">monetary gifts </w:t>
      </w:r>
      <w:r w:rsidR="007F3873" w:rsidRPr="00632344">
        <w:t xml:space="preserve">for the </w:t>
      </w:r>
      <w:r w:rsidR="007F3873">
        <w:t xml:space="preserve">follow-up survey </w:t>
      </w:r>
      <w:r w:rsidR="007F3873" w:rsidRPr="00632344">
        <w:t xml:space="preserve">can help </w:t>
      </w:r>
      <w:r w:rsidR="007F3873">
        <w:t xml:space="preserve">maximize </w:t>
      </w:r>
      <w:r w:rsidR="007F3873" w:rsidRPr="00632344">
        <w:rPr>
          <w:bCs/>
          <w:iCs/>
        </w:rPr>
        <w:t>response rate</w:t>
      </w:r>
      <w:r w:rsidR="007F3873">
        <w:rPr>
          <w:bCs/>
          <w:iCs/>
        </w:rPr>
        <w:t xml:space="preserve">s. </w:t>
      </w:r>
      <w:r w:rsidR="007F3873" w:rsidRPr="00632344">
        <w:t xml:space="preserve">Three factors helped to determine the </w:t>
      </w:r>
      <w:r>
        <w:t xml:space="preserve">gift </w:t>
      </w:r>
      <w:r w:rsidR="007F3873" w:rsidRPr="00632344">
        <w:t xml:space="preserve">amount for </w:t>
      </w:r>
      <w:r w:rsidR="007F3873">
        <w:t>the follow-up survey</w:t>
      </w:r>
      <w:r w:rsidR="007F3873" w:rsidRPr="00632344">
        <w:t>:</w:t>
      </w:r>
    </w:p>
    <w:p w:rsidR="007F3873" w:rsidRPr="005F36F7" w:rsidRDefault="007F3873" w:rsidP="007F3873">
      <w:pPr>
        <w:pStyle w:val="Bullets"/>
      </w:pPr>
      <w:r w:rsidRPr="005F36F7">
        <w:t>Respondent burden</w:t>
      </w:r>
      <w:r w:rsidR="00FC50D3">
        <w:t>;</w:t>
      </w:r>
    </w:p>
    <w:p w:rsidR="007F3873" w:rsidRPr="005F36F7" w:rsidRDefault="007F3873" w:rsidP="007F3873">
      <w:pPr>
        <w:pStyle w:val="Bullets"/>
      </w:pPr>
      <w:r w:rsidRPr="005F36F7">
        <w:t>Costs associated with participating in the interview at that time</w:t>
      </w:r>
      <w:r w:rsidR="00FC50D3">
        <w:t>; and</w:t>
      </w:r>
      <w:r w:rsidRPr="005F36F7">
        <w:t xml:space="preserve"> </w:t>
      </w:r>
    </w:p>
    <w:p w:rsidR="007F3873" w:rsidRDefault="007F3873" w:rsidP="007F3873">
      <w:pPr>
        <w:pStyle w:val="BulletsLast"/>
      </w:pPr>
      <w:r w:rsidRPr="005F36F7">
        <w:t>Other studies of comparable populations and burden</w:t>
      </w:r>
      <w:r w:rsidR="00FC50D3">
        <w:t>.</w:t>
      </w:r>
    </w:p>
    <w:p w:rsidR="007F3873" w:rsidRPr="002A68F2" w:rsidRDefault="007F3873" w:rsidP="007F3873">
      <w:r w:rsidRPr="002A68F2">
        <w:lastRenderedPageBreak/>
        <w:t>Previous research has shown that sam</w:t>
      </w:r>
      <w:r>
        <w:t>ple members with certain socioe</w:t>
      </w:r>
      <w:r w:rsidRPr="002A68F2">
        <w:t>conomic characteristics are significantly more likely to respond</w:t>
      </w:r>
      <w:r w:rsidR="002A3FB8">
        <w:t xml:space="preserve"> to surveys when there is a monetary gift</w:t>
      </w:r>
      <w:r>
        <w:t xml:space="preserve">. </w:t>
      </w:r>
      <w:r w:rsidRPr="002A68F2">
        <w:t>In particular, sample members with low incomes and/or low educational attainment have</w:t>
      </w:r>
      <w:r>
        <w:t xml:space="preserve"> proven responsive to incentives </w:t>
      </w:r>
      <w:r w:rsidRPr="002A68F2">
        <w:t>(Duffer et al. 1994; Educational Testing Service 1991</w:t>
      </w:r>
      <w:r>
        <w:t>)</w:t>
      </w:r>
      <w:r w:rsidRPr="002A68F2">
        <w:t>.</w:t>
      </w:r>
    </w:p>
    <w:p w:rsidR="006F299B" w:rsidRDefault="007F3873" w:rsidP="008615B4">
      <w:pPr>
        <w:pStyle w:val="BodyText"/>
      </w:pPr>
      <w:r w:rsidRPr="00852FAF">
        <w:t xml:space="preserve">Sample members that complete the </w:t>
      </w:r>
      <w:r w:rsidR="00D66737">
        <w:t>12-</w:t>
      </w:r>
      <w:r w:rsidRPr="00852FAF">
        <w:t xml:space="preserve">month follow-up interview will receive a </w:t>
      </w:r>
      <w:r w:rsidR="002A3FB8">
        <w:t xml:space="preserve">check </w:t>
      </w:r>
      <w:r w:rsidRPr="00CD4068">
        <w:t>for $25 as</w:t>
      </w:r>
      <w:r w:rsidRPr="00852FAF">
        <w:t xml:space="preserve"> a token of appreciation for their time. </w:t>
      </w:r>
      <w:r>
        <w:t>The Round 4 TAACCCT 12-month follow-up survey is comparable to other surveys of similar populations conducted by Abt Associates, such as the Pathways for Advancing Careers and Education (PACE) Evaluation 15-month follow-up survey and the Health Profession Opportunity Grants (HPOG) Evaluation 15-month follow-up survey (both conducted for the Administration of Children and Families at HHS</w:t>
      </w:r>
      <w:r w:rsidRPr="0085756C">
        <w:t>), and the Green Jobs and Health Care Impact Evaluation</w:t>
      </w:r>
      <w:r>
        <w:t xml:space="preserve"> 18-month</w:t>
      </w:r>
      <w:r w:rsidRPr="0085756C">
        <w:t xml:space="preserve"> follow-up survey (conducted for DOL</w:t>
      </w:r>
      <w:r w:rsidR="00D66737">
        <w:t>).</w:t>
      </w:r>
    </w:p>
    <w:p w:rsidR="0001313F" w:rsidRDefault="0026362B" w:rsidP="0001313F">
      <w:pPr>
        <w:pStyle w:val="BodyText"/>
      </w:pPr>
      <w:r w:rsidRPr="0026362B">
        <w:t>For the</w:t>
      </w:r>
      <w:r w:rsidR="00827478">
        <w:t xml:space="preserve"> study participant</w:t>
      </w:r>
      <w:r w:rsidRPr="0026362B">
        <w:t xml:space="preserve"> tracking letters mailed at 3 months and 9 months</w:t>
      </w:r>
      <w:r w:rsidR="005A5C99">
        <w:t xml:space="preserve"> </w:t>
      </w:r>
      <w:r w:rsidRPr="0026362B">
        <w:t xml:space="preserve">post </w:t>
      </w:r>
      <w:r w:rsidR="00827478">
        <w:t xml:space="preserve">study </w:t>
      </w:r>
      <w:r w:rsidRPr="0026362B">
        <w:t>enrollment</w:t>
      </w:r>
      <w:r w:rsidR="005A5C99">
        <w:t xml:space="preserve"> (but not following study intake and at 6 months)</w:t>
      </w:r>
      <w:r w:rsidRPr="0026362B">
        <w:t>, $2 in cash will be included in the letter</w:t>
      </w:r>
      <w:r w:rsidR="00787FDA">
        <w:t xml:space="preserve"> as a thank you for updating or confirming contact information</w:t>
      </w:r>
      <w:r w:rsidRPr="0026362B">
        <w:t>.</w:t>
      </w:r>
      <w:r w:rsidR="00C47C17">
        <w:t xml:space="preserve"> An extensive body of research documents </w:t>
      </w:r>
      <w:r w:rsidR="00787FDA">
        <w:t>the effectiveness of prepayments (see Church 1993, Yammarino, Skinner, and Childers 1991; Edwards et al. 2002;</w:t>
      </w:r>
      <w:r w:rsidR="00C67A45">
        <w:t xml:space="preserve"> </w:t>
      </w:r>
      <w:r w:rsidR="00787FDA">
        <w:t>Edwards et al. 2005).</w:t>
      </w:r>
    </w:p>
    <w:p w:rsidR="007F3873" w:rsidRDefault="0001313F" w:rsidP="008615B4">
      <w:pPr>
        <w:pStyle w:val="BodyText"/>
      </w:pPr>
      <w:r>
        <w:t xml:space="preserve">Respondents </w:t>
      </w:r>
      <w:r w:rsidR="00827478">
        <w:t xml:space="preserve">of the college survey and employer interviews </w:t>
      </w:r>
      <w:r>
        <w:t>will not receive</w:t>
      </w:r>
      <w:r w:rsidR="00827478">
        <w:t xml:space="preserve"> </w:t>
      </w:r>
      <w:r>
        <w:t xml:space="preserve">payment. </w:t>
      </w:r>
    </w:p>
    <w:p w:rsidR="006F299B" w:rsidRDefault="006F299B" w:rsidP="008615B4">
      <w:pPr>
        <w:pStyle w:val="Heading2"/>
      </w:pPr>
      <w:bookmarkStart w:id="13" w:name="_Toc466359633"/>
      <w:r w:rsidRPr="00D534E2">
        <w:t xml:space="preserve">A10: </w:t>
      </w:r>
      <w:r w:rsidR="00AC21FD">
        <w:t xml:space="preserve">Privacy </w:t>
      </w:r>
      <w:r w:rsidRPr="00D534E2">
        <w:t xml:space="preserve">of </w:t>
      </w:r>
      <w:r w:rsidR="00911BD5">
        <w:t>R</w:t>
      </w:r>
      <w:r w:rsidRPr="00D534E2">
        <w:t>espondents</w:t>
      </w:r>
      <w:bookmarkEnd w:id="13"/>
    </w:p>
    <w:p w:rsidR="0001313F" w:rsidRPr="008E061D" w:rsidRDefault="0001313F" w:rsidP="0001313F">
      <w:pPr>
        <w:pStyle w:val="BodyText"/>
      </w:pPr>
      <w:r>
        <w:t xml:space="preserve">The </w:t>
      </w:r>
      <w:r w:rsidR="00111C0D">
        <w:t>evaluation team</w:t>
      </w:r>
      <w:r>
        <w:t xml:space="preserve"> developed strong protocols to help</w:t>
      </w:r>
      <w:r w:rsidRPr="00E11EEB">
        <w:t xml:space="preserve"> maintain the privacy of respondents to the</w:t>
      </w:r>
      <w:r>
        <w:t xml:space="preserve"> extent permitted by law. </w:t>
      </w:r>
      <w:r w:rsidRPr="00E11EEB">
        <w:t xml:space="preserve">All research staff working </w:t>
      </w:r>
      <w:r>
        <w:t>with personally identifiable information (PII) will follow strict procedures</w:t>
      </w:r>
      <w:r w:rsidRPr="00E11EEB">
        <w:t xml:space="preserve"> to protect private information </w:t>
      </w:r>
      <w:r>
        <w:t>and they will</w:t>
      </w:r>
      <w:r w:rsidRPr="00E11EEB">
        <w:t xml:space="preserve"> sign </w:t>
      </w:r>
      <w:r w:rsidR="009356E9">
        <w:t>the standard DOL contractor nondisclosure agreement,</w:t>
      </w:r>
      <w:r w:rsidRPr="00E11EEB">
        <w:t xml:space="preserve"> stating that they will keep all information gathered private to the extent permissible by law. All papers that contain </w:t>
      </w:r>
      <w:r>
        <w:t>respondent</w:t>
      </w:r>
      <w:r w:rsidRPr="00E11EEB">
        <w:t xml:space="preserve"> names or other identifying information will </w:t>
      </w:r>
      <w:r>
        <w:t>reside</w:t>
      </w:r>
      <w:r w:rsidRPr="00E11EEB">
        <w:t xml:space="preserve"> in locked areas and</w:t>
      </w:r>
      <w:r>
        <w:t xml:space="preserve"> passwords will protect</w:t>
      </w:r>
      <w:r w:rsidRPr="00E11EEB">
        <w:t xml:space="preserve"> any </w:t>
      </w:r>
      <w:r w:rsidRPr="008E061D">
        <w:t>computer documents containing identifying information</w:t>
      </w:r>
      <w:r>
        <w:t xml:space="preserve">. </w:t>
      </w:r>
    </w:p>
    <w:p w:rsidR="007F3873" w:rsidRDefault="00CD526E" w:rsidP="007F3873">
      <w:pPr>
        <w:pStyle w:val="BodyText"/>
        <w:rPr>
          <w:szCs w:val="22"/>
        </w:rPr>
      </w:pPr>
      <w:r>
        <w:t>The</w:t>
      </w:r>
      <w:r w:rsidR="007F3873" w:rsidRPr="00451408">
        <w:rPr>
          <w:szCs w:val="22"/>
        </w:rPr>
        <w:t xml:space="preserve"> </w:t>
      </w:r>
      <w:r w:rsidR="00111C0D">
        <w:rPr>
          <w:szCs w:val="22"/>
        </w:rPr>
        <w:t>evaluation team</w:t>
      </w:r>
      <w:r w:rsidR="007F3873" w:rsidRPr="00451408">
        <w:rPr>
          <w:szCs w:val="22"/>
        </w:rPr>
        <w:t xml:space="preserve"> will take the following </w:t>
      </w:r>
      <w:r>
        <w:rPr>
          <w:szCs w:val="22"/>
        </w:rPr>
        <w:t xml:space="preserve">actions </w:t>
      </w:r>
      <w:r w:rsidR="007F3873" w:rsidRPr="00451408">
        <w:rPr>
          <w:szCs w:val="22"/>
        </w:rPr>
        <w:t xml:space="preserve">to protect </w:t>
      </w:r>
      <w:r w:rsidR="00DF1628">
        <w:rPr>
          <w:szCs w:val="22"/>
        </w:rPr>
        <w:t xml:space="preserve">survey </w:t>
      </w:r>
      <w:r w:rsidR="007F3873" w:rsidRPr="00451408">
        <w:rPr>
          <w:szCs w:val="22"/>
        </w:rPr>
        <w:t>respondents’ privacy:</w:t>
      </w:r>
    </w:p>
    <w:p w:rsidR="007F3873" w:rsidRPr="001458B0" w:rsidRDefault="007F3873" w:rsidP="007F3873">
      <w:pPr>
        <w:pStyle w:val="Bullets"/>
        <w:rPr>
          <w:szCs w:val="22"/>
        </w:rPr>
      </w:pPr>
      <w:r w:rsidRPr="00FD7951">
        <w:rPr>
          <w:b/>
        </w:rPr>
        <w:t>Us</w:t>
      </w:r>
      <w:r>
        <w:rPr>
          <w:b/>
        </w:rPr>
        <w:t>e</w:t>
      </w:r>
      <w:r w:rsidRPr="00FD7951">
        <w:rPr>
          <w:b/>
        </w:rPr>
        <w:t xml:space="preserve"> rigorous security measures for </w:t>
      </w:r>
      <w:r w:rsidR="004A7241">
        <w:rPr>
          <w:b/>
        </w:rPr>
        <w:t xml:space="preserve">follow-up </w:t>
      </w:r>
      <w:r>
        <w:rPr>
          <w:b/>
        </w:rPr>
        <w:t>survey</w:t>
      </w:r>
      <w:r w:rsidRPr="00FD7951">
        <w:rPr>
          <w:b/>
        </w:rPr>
        <w:t xml:space="preserve"> data. </w:t>
      </w:r>
      <w:r w:rsidR="00DF1628">
        <w:t xml:space="preserve">The contractor </w:t>
      </w:r>
      <w:r>
        <w:t>ha</w:t>
      </w:r>
      <w:r w:rsidR="00DF1628">
        <w:t>s</w:t>
      </w:r>
      <w:r>
        <w:t xml:space="preserve"> established safeguards that provide for the privacy of data</w:t>
      </w:r>
      <w:r w:rsidR="00F64143">
        <w:t xml:space="preserve"> from</w:t>
      </w:r>
      <w:r>
        <w:t xml:space="preserve"> </w:t>
      </w:r>
      <w:r w:rsidR="00F64143">
        <w:t xml:space="preserve">participants </w:t>
      </w:r>
      <w:r>
        <w:t xml:space="preserve">on all of its studies. </w:t>
      </w:r>
      <w:r w:rsidRPr="001458B0">
        <w:rPr>
          <w:szCs w:val="22"/>
        </w:rPr>
        <w:t>All data users are aware of and trained on their responsibilities to protect participants’ personal information, including the limitations on uses and disclosures of data</w:t>
      </w:r>
      <w:r>
        <w:rPr>
          <w:szCs w:val="22"/>
        </w:rPr>
        <w:t xml:space="preserve">. </w:t>
      </w:r>
      <w:r w:rsidRPr="001458B0">
        <w:rPr>
          <w:szCs w:val="22"/>
        </w:rPr>
        <w:t xml:space="preserve">All personal data (identifiable and de-identified data analyses files) will </w:t>
      </w:r>
      <w:r>
        <w:rPr>
          <w:szCs w:val="22"/>
        </w:rPr>
        <w:t>reside</w:t>
      </w:r>
      <w:r w:rsidRPr="001458B0">
        <w:rPr>
          <w:szCs w:val="22"/>
        </w:rPr>
        <w:t xml:space="preserve"> on a secure workstation or server that is protected by a firewall and complex passwords, in a directory that can only be accessed by the network administrators and the analysts actively working on the data. Survey data collected are stored in secure CATI servers</w:t>
      </w:r>
      <w:r>
        <w:rPr>
          <w:szCs w:val="22"/>
        </w:rPr>
        <w:t xml:space="preserve">. </w:t>
      </w:r>
      <w:r w:rsidRPr="001458B0">
        <w:rPr>
          <w:szCs w:val="22"/>
        </w:rPr>
        <w:t xml:space="preserve">Data transfer to and from Abt and Abt SRBI </w:t>
      </w:r>
      <w:r w:rsidR="00DF1628">
        <w:rPr>
          <w:szCs w:val="22"/>
        </w:rPr>
        <w:t xml:space="preserve">(survey firm) </w:t>
      </w:r>
      <w:r w:rsidRPr="001458B0">
        <w:rPr>
          <w:szCs w:val="22"/>
        </w:rPr>
        <w:t xml:space="preserve">will </w:t>
      </w:r>
      <w:r>
        <w:rPr>
          <w:szCs w:val="22"/>
        </w:rPr>
        <w:t>occur</w:t>
      </w:r>
      <w:r w:rsidRPr="001458B0">
        <w:rPr>
          <w:szCs w:val="22"/>
        </w:rPr>
        <w:t xml:space="preserve"> through Abt’s secure online file transfer platform that utilizes FIPS 140-2 validated cryptographic modules. </w:t>
      </w:r>
      <w:r w:rsidR="00F64143">
        <w:rPr>
          <w:szCs w:val="22"/>
        </w:rPr>
        <w:t xml:space="preserve">Evaluators </w:t>
      </w:r>
      <w:r>
        <w:rPr>
          <w:szCs w:val="22"/>
        </w:rPr>
        <w:t>assign g</w:t>
      </w:r>
      <w:r w:rsidRPr="001458B0">
        <w:rPr>
          <w:szCs w:val="22"/>
        </w:rPr>
        <w:t>eneric study identifiers – not based on PII – for each study participant to link participant data</w:t>
      </w:r>
      <w:r>
        <w:rPr>
          <w:szCs w:val="22"/>
        </w:rPr>
        <w:t>. PII is removed from a</w:t>
      </w:r>
      <w:r w:rsidRPr="001458B0">
        <w:rPr>
          <w:szCs w:val="22"/>
        </w:rPr>
        <w:t>ll electronic files prior to analysis</w:t>
      </w:r>
      <w:r>
        <w:rPr>
          <w:szCs w:val="22"/>
        </w:rPr>
        <w:t>.</w:t>
      </w:r>
    </w:p>
    <w:p w:rsidR="007F3873" w:rsidRDefault="007F3873" w:rsidP="007F3873">
      <w:pPr>
        <w:pStyle w:val="Bullets"/>
      </w:pPr>
      <w:r w:rsidRPr="002F385B">
        <w:rPr>
          <w:b/>
        </w:rPr>
        <w:t xml:space="preserve">Notification of data security breaches. </w:t>
      </w:r>
      <w:r w:rsidRPr="002F385B">
        <w:t xml:space="preserve">All study partners, including the </w:t>
      </w:r>
      <w:r w:rsidR="00F64143">
        <w:t>grantees</w:t>
      </w:r>
      <w:r w:rsidRPr="002F385B">
        <w:t xml:space="preserve"> that are participating in the </w:t>
      </w:r>
      <w:r w:rsidR="00F64143">
        <w:t xml:space="preserve">outcomes </w:t>
      </w:r>
      <w:r w:rsidRPr="002F385B">
        <w:t xml:space="preserve">evaluation, are aware that they must notify Abt Associates within one hour of a breach of PII </w:t>
      </w:r>
      <w:r>
        <w:t>privacy</w:t>
      </w:r>
      <w:r w:rsidRPr="002F385B">
        <w:t xml:space="preserve"> per OMB rules. Study partners are also aware that they must notify Abt within 24 hours from the time any study partner knows of a breach/deviation from the </w:t>
      </w:r>
      <w:r w:rsidRPr="002F385B">
        <w:lastRenderedPageBreak/>
        <w:t>data security plan</w:t>
      </w:r>
      <w:r w:rsidR="00F64143">
        <w:t xml:space="preserve"> developed for the study</w:t>
      </w:r>
      <w:r w:rsidRPr="00F64143">
        <w:t xml:space="preserve">. </w:t>
      </w:r>
      <w:r w:rsidR="00F64143" w:rsidRPr="00F64143">
        <w:t>Evaluators</w:t>
      </w:r>
      <w:r w:rsidR="00F64143">
        <w:rPr>
          <w:b/>
        </w:rPr>
        <w:t xml:space="preserve"> </w:t>
      </w:r>
      <w:r w:rsidRPr="002F385B">
        <w:t>will notify</w:t>
      </w:r>
      <w:r>
        <w:t xml:space="preserve"> DOL</w:t>
      </w:r>
      <w:r w:rsidRPr="002F385B">
        <w:t xml:space="preserve"> of any data security breaches, including breaches of protocol no later than 24 hours after Abt staff is made aware of the breach</w:t>
      </w:r>
      <w:r>
        <w:t xml:space="preserve">. </w:t>
      </w:r>
    </w:p>
    <w:p w:rsidR="007F3873" w:rsidRPr="002F385B" w:rsidRDefault="007F3873" w:rsidP="007F3873">
      <w:pPr>
        <w:pStyle w:val="BulletsLast"/>
      </w:pPr>
      <w:r w:rsidRPr="002F385B">
        <w:rPr>
          <w:b/>
        </w:rPr>
        <w:t xml:space="preserve">Restricting access to the study network folder. </w:t>
      </w:r>
      <w:r w:rsidRPr="002F385B">
        <w:t xml:space="preserve">Secure servers will store all data collected that contains PII for the </w:t>
      </w:r>
      <w:r w:rsidR="0001313F">
        <w:t xml:space="preserve">Round 4 TAACCCT </w:t>
      </w:r>
      <w:r w:rsidR="008D20B4">
        <w:t>Outcomes Study</w:t>
      </w:r>
      <w:r w:rsidRPr="002F385B">
        <w:t>. Access to the study network will be restricted by assigning a password to each relevant staff member.</w:t>
      </w:r>
    </w:p>
    <w:p w:rsidR="007F3873" w:rsidRDefault="007F3873" w:rsidP="007F3873">
      <w:pPr>
        <w:pStyle w:val="BodyText"/>
      </w:pPr>
      <w:r w:rsidRPr="00451408">
        <w:t>In addition to these study-specific procedures, the evaluator has extensive corporate administrative and security systems to prevent the unauthorized release of personal records</w:t>
      </w:r>
      <w:r>
        <w:t>. These systems include</w:t>
      </w:r>
      <w:r w:rsidRPr="00451408">
        <w:t xml:space="preserve"> state-of-the-art hardware and software for encryption that meets federal standards and other methods of data protection (e.g., requirements for regular password updating), as well as physical security that includes limited key card access and locked data storage areas.</w:t>
      </w:r>
    </w:p>
    <w:p w:rsidR="004A7241" w:rsidRDefault="00DF1628" w:rsidP="00DF1628">
      <w:r>
        <w:t>Respondents</w:t>
      </w:r>
      <w:r w:rsidR="004A7241">
        <w:t xml:space="preserve"> to the follow-up survey</w:t>
      </w:r>
      <w:r>
        <w:t xml:space="preserve"> will </w:t>
      </w:r>
      <w:r w:rsidR="0001313F" w:rsidRPr="00604D07">
        <w:t>be assured that their responses will be kept private</w:t>
      </w:r>
      <w:r w:rsidR="00F143A1">
        <w:t xml:space="preserve"> to the extent allowed by law</w:t>
      </w:r>
      <w:r>
        <w:t xml:space="preserve"> and </w:t>
      </w:r>
      <w:r w:rsidR="0001313F">
        <w:t xml:space="preserve">will not be shared with anyone outside of the </w:t>
      </w:r>
      <w:r w:rsidR="00111C0D">
        <w:t>evaluation team</w:t>
      </w:r>
      <w:r w:rsidR="0001313F">
        <w:t xml:space="preserve"> in a manner that would allow respondent identification unless the </w:t>
      </w:r>
      <w:r w:rsidR="00111C0D">
        <w:t>evaluation team</w:t>
      </w:r>
      <w:r w:rsidR="0001313F">
        <w:t xml:space="preserve"> is legally ordered otherwise</w:t>
      </w:r>
      <w:r w:rsidR="00E32FE4">
        <w:t>.</w:t>
      </w:r>
      <w:r w:rsidR="0001313F">
        <w:t xml:space="preserve"> All findings from the survey will be presented at the aggregate level and with a minimum cell size of 3</w:t>
      </w:r>
      <w:r w:rsidR="00D66737">
        <w:t xml:space="preserve"> to avoid re-identification</w:t>
      </w:r>
      <w:r w:rsidR="0001313F">
        <w:t xml:space="preserve">.  </w:t>
      </w:r>
      <w:r w:rsidR="0001313F" w:rsidRPr="00604D07">
        <w:t xml:space="preserve">Please see the first pages of each data collection instrument – </w:t>
      </w:r>
      <w:r w:rsidR="0054595A">
        <w:t>Appendix</w:t>
      </w:r>
      <w:r w:rsidR="0001313F">
        <w:t xml:space="preserve"> </w:t>
      </w:r>
      <w:r w:rsidR="0054595A">
        <w:t>B</w:t>
      </w:r>
      <w:r w:rsidR="0001313F">
        <w:t xml:space="preserve"> </w:t>
      </w:r>
      <w:r w:rsidR="0001313F" w:rsidRPr="00604D07">
        <w:t>–</w:t>
      </w:r>
      <w:r w:rsidR="0001313F">
        <w:t xml:space="preserve"> </w:t>
      </w:r>
      <w:r w:rsidR="0001313F" w:rsidRPr="007E74B7">
        <w:t>for the respondent privacy statement</w:t>
      </w:r>
      <w:r w:rsidR="0001313F">
        <w:t>s imbedded in the informed consent procedures</w:t>
      </w:r>
      <w:r w:rsidR="0001313F" w:rsidRPr="007E74B7">
        <w:t>.</w:t>
      </w:r>
      <w:r w:rsidR="0001313F" w:rsidRPr="00CB27A8">
        <w:t xml:space="preserve"> </w:t>
      </w:r>
      <w:r>
        <w:t xml:space="preserve"> </w:t>
      </w:r>
    </w:p>
    <w:p w:rsidR="0001313F" w:rsidRPr="004E6A81" w:rsidRDefault="004A7241" w:rsidP="00DF1628">
      <w:r w:rsidRPr="00CA185D">
        <w:t xml:space="preserve">The </w:t>
      </w:r>
      <w:r>
        <w:t xml:space="preserve">college </w:t>
      </w:r>
      <w:r w:rsidRPr="00CA185D">
        <w:t xml:space="preserve">survey </w:t>
      </w:r>
      <w:r>
        <w:t xml:space="preserve">will not collect PII.  </w:t>
      </w:r>
      <w:r w:rsidR="0001313F">
        <w:t xml:space="preserve">While the survey is still active, access to any data with identifying information will be limited only to contractor staff directly working on the survey and will require special usernames and passwords.  Once the survey is closed to respondents, responses will be downloaded for analysis from the </w:t>
      </w:r>
      <w:r w:rsidR="0001313F" w:rsidRPr="0086017D">
        <w:t xml:space="preserve">SQL </w:t>
      </w:r>
      <w:r w:rsidR="0001313F">
        <w:t>s</w:t>
      </w:r>
      <w:r w:rsidR="0001313F" w:rsidRPr="0086017D">
        <w:t>erver database</w:t>
      </w:r>
      <w:r w:rsidR="0001313F">
        <w:t xml:space="preserve"> and kept on a controlled access, encrypted network drive.  Hard copies of the survey will be entered into the electronic format and kept in a locked file cabinet.  All survey hard copies will be shredded upon completion of the evaluation.</w:t>
      </w:r>
    </w:p>
    <w:p w:rsidR="00F13F86" w:rsidRPr="004E6A81" w:rsidRDefault="00F13F86" w:rsidP="00DF1628">
      <w:r>
        <w:t xml:space="preserve">Similar to the college survey, </w:t>
      </w:r>
      <w:r w:rsidRPr="00CA185D">
        <w:t xml:space="preserve">the </w:t>
      </w:r>
      <w:r>
        <w:t xml:space="preserve">employers interviewed of for the employer study </w:t>
      </w:r>
      <w:r w:rsidRPr="00604D07">
        <w:t>will be assured that their responses will be kept private</w:t>
      </w:r>
      <w:r w:rsidRPr="00CA185D">
        <w:t xml:space="preserve"> </w:t>
      </w:r>
      <w:r w:rsidR="00F143A1">
        <w:t xml:space="preserve">allowed by law </w:t>
      </w:r>
      <w:r w:rsidRPr="00CA185D">
        <w:t>and</w:t>
      </w:r>
      <w:r>
        <w:t xml:space="preserve"> will not be shared with anyone outside of the </w:t>
      </w:r>
      <w:r w:rsidR="00396BFA">
        <w:t xml:space="preserve">evaluation </w:t>
      </w:r>
      <w:r>
        <w:t xml:space="preserve">team in a manner that would allow respondent identification unless the team is legally ordered otherwise. </w:t>
      </w:r>
      <w:r>
        <w:rPr>
          <w:rFonts w:cs="Arial"/>
        </w:rPr>
        <w:t xml:space="preserve">To protect the privacy of the employer respondents, interview notes (with identifiers) and recordings will be secured and destroyed once findings are published.  </w:t>
      </w:r>
    </w:p>
    <w:p w:rsidR="006F299B" w:rsidRPr="004205E1" w:rsidRDefault="006F299B" w:rsidP="008615B4">
      <w:pPr>
        <w:pStyle w:val="Heading2"/>
      </w:pPr>
      <w:bookmarkStart w:id="14" w:name="_Toc466359634"/>
      <w:r w:rsidRPr="004205E1">
        <w:t xml:space="preserve">A11: Sensitive </w:t>
      </w:r>
      <w:r w:rsidR="008615B4">
        <w:t>Q</w:t>
      </w:r>
      <w:r w:rsidRPr="004205E1">
        <w:t>uestions</w:t>
      </w:r>
      <w:bookmarkEnd w:id="14"/>
    </w:p>
    <w:p w:rsidR="00B574B1" w:rsidRDefault="00CD53D5" w:rsidP="00B574B1">
      <w:pPr>
        <w:tabs>
          <w:tab w:val="left" w:pos="0"/>
          <w:tab w:val="left" w:pos="720"/>
          <w:tab w:val="left" w:pos="1094"/>
          <w:tab w:val="left" w:pos="1440"/>
          <w:tab w:val="left" w:pos="1800"/>
          <w:tab w:val="left" w:pos="8985"/>
        </w:tabs>
      </w:pPr>
      <w:r>
        <w:t xml:space="preserve">None of the questions on the 12-month follow-up survey are sensitive in nature. The </w:t>
      </w:r>
      <w:r w:rsidR="00F71098">
        <w:t>only somewhat</w:t>
      </w:r>
      <w:r>
        <w:t xml:space="preserve"> sensi</w:t>
      </w:r>
      <w:r w:rsidR="00D5160A">
        <w:t>tive questions relate to income and</w:t>
      </w:r>
      <w:r>
        <w:t xml:space="preserve"> public benefit receipt. </w:t>
      </w:r>
      <w:r w:rsidR="00D5160A">
        <w:t>S</w:t>
      </w:r>
      <w:r>
        <w:t>ince TAACCCT programs should result in increased income and reduced public benefit receipt, these ar</w:t>
      </w:r>
      <w:r w:rsidR="00D5160A">
        <w:t xml:space="preserve">e important domains to measure. </w:t>
      </w:r>
      <w:r>
        <w:t xml:space="preserve">Interviewers will remind study participants </w:t>
      </w:r>
      <w:r w:rsidRPr="002542A7">
        <w:t xml:space="preserve">during the </w:t>
      </w:r>
      <w:r>
        <w:t>interviewing process</w:t>
      </w:r>
      <w:r w:rsidRPr="002542A7">
        <w:t xml:space="preserve"> that </w:t>
      </w:r>
      <w:r>
        <w:t>they may refuse to answer individual items. Interviewers will also provide assurances to participants that their</w:t>
      </w:r>
      <w:r w:rsidRPr="002542A7">
        <w:t xml:space="preserve"> responses will be kept </w:t>
      </w:r>
      <w:r>
        <w:t>private</w:t>
      </w:r>
      <w:r w:rsidRPr="002542A7">
        <w:t xml:space="preserve"> to enc</w:t>
      </w:r>
      <w:r>
        <w:t>ourage candid responses.</w:t>
      </w:r>
      <w:r w:rsidR="00B574B1">
        <w:t xml:space="preserve"> </w:t>
      </w:r>
    </w:p>
    <w:p w:rsidR="00D5160A" w:rsidRDefault="00DF1628" w:rsidP="00D5160A">
      <w:pPr>
        <w:pStyle w:val="BodyText"/>
      </w:pPr>
      <w:r>
        <w:t xml:space="preserve">None of the questions on the </w:t>
      </w:r>
      <w:r w:rsidR="0026362B" w:rsidRPr="0026362B">
        <w:t>tracking form</w:t>
      </w:r>
      <w:r>
        <w:t>, college survey and employer interview protocol are sensitive</w:t>
      </w:r>
      <w:r w:rsidR="0026362B" w:rsidRPr="0026362B">
        <w:t>.</w:t>
      </w:r>
      <w:r>
        <w:t xml:space="preserve"> </w:t>
      </w:r>
    </w:p>
    <w:p w:rsidR="006F299B" w:rsidRDefault="006F299B" w:rsidP="008615B4">
      <w:pPr>
        <w:pStyle w:val="Heading2"/>
      </w:pPr>
      <w:bookmarkStart w:id="15" w:name="_Toc466359635"/>
      <w:r w:rsidRPr="001034D3">
        <w:t xml:space="preserve">A12: Estimation of Information </w:t>
      </w:r>
      <w:r w:rsidR="008615B4">
        <w:t>C</w:t>
      </w:r>
      <w:r w:rsidRPr="001034D3">
        <w:t xml:space="preserve">ollection </w:t>
      </w:r>
      <w:r w:rsidR="008615B4">
        <w:t>B</w:t>
      </w:r>
      <w:r w:rsidRPr="001034D3">
        <w:t>urden</w:t>
      </w:r>
      <w:bookmarkEnd w:id="15"/>
    </w:p>
    <w:p w:rsidR="00231EAF" w:rsidRPr="00231EAF" w:rsidRDefault="00276A50" w:rsidP="00276A50">
      <w:r>
        <w:t>Exhibit A12 presents the estimated respondent burden on study participants for the follow-up survey, participant tracking form, college survey, and employer interviews.</w:t>
      </w:r>
    </w:p>
    <w:p w:rsidR="00231EAF" w:rsidRDefault="00231EAF" w:rsidP="00231EAF">
      <w:pPr>
        <w:pStyle w:val="BodyText"/>
        <w:tabs>
          <w:tab w:val="left" w:pos="3780"/>
        </w:tabs>
      </w:pPr>
      <w:r>
        <w:lastRenderedPageBreak/>
        <w:t xml:space="preserve">The evaluator estimates that </w:t>
      </w:r>
      <w:r w:rsidR="002A7953">
        <w:t xml:space="preserve">the follow-up survey </w:t>
      </w:r>
      <w:r>
        <w:t>will take respondents approximately 20 minutes (0.33 hours) on average to complete</w:t>
      </w:r>
      <w:r w:rsidR="002A7953">
        <w:t xml:space="preserve"> and the participant tracking form will take </w:t>
      </w:r>
      <w:r>
        <w:t>five minutes (0.083 hours) to complete</w:t>
      </w:r>
      <w:r w:rsidR="002A7953">
        <w:t xml:space="preserve"> each of the two times it is administered</w:t>
      </w:r>
      <w:r>
        <w:t xml:space="preserve">. The evaluation team used estimates from similar surveys, for the PACE Evaluation 15-month follow-up survey </w:t>
      </w:r>
      <w:r w:rsidR="003F2832" w:rsidRPr="0038611E">
        <w:t xml:space="preserve">(OMB No. </w:t>
      </w:r>
      <w:hyperlink r:id="rId9" w:history="1">
        <w:r w:rsidR="003F2832" w:rsidRPr="0038611E">
          <w:t>0970-0397</w:t>
        </w:r>
      </w:hyperlink>
      <w:r w:rsidR="003F2832" w:rsidRPr="0038611E">
        <w:t>)</w:t>
      </w:r>
      <w:r w:rsidR="003F2832">
        <w:t xml:space="preserve"> </w:t>
      </w:r>
      <w:r>
        <w:t>and the HPOG Impact Evaluation 15-month follow-up survey</w:t>
      </w:r>
      <w:r w:rsidR="003F2832">
        <w:t xml:space="preserve"> </w:t>
      </w:r>
      <w:r w:rsidR="003F2832" w:rsidRPr="0038611E">
        <w:t>(OMB No. 0970-0394)</w:t>
      </w:r>
      <w:r>
        <w:t>, both conducted for HHS, and the G</w:t>
      </w:r>
      <w:r w:rsidR="002A7953">
        <w:t>reen Jobs-</w:t>
      </w:r>
      <w:r>
        <w:t>H</w:t>
      </w:r>
      <w:r w:rsidR="002A7953">
        <w:t xml:space="preserve">ealth </w:t>
      </w:r>
      <w:r>
        <w:t>C</w:t>
      </w:r>
      <w:r w:rsidR="002A7953">
        <w:t>are</w:t>
      </w:r>
      <w:r>
        <w:t xml:space="preserve"> Impact Evaluation 18-month survey</w:t>
      </w:r>
      <w:r w:rsidR="003F2832">
        <w:t xml:space="preserve"> </w:t>
      </w:r>
      <w:r w:rsidR="003F2832" w:rsidRPr="0038611E">
        <w:t xml:space="preserve">(OMB No. </w:t>
      </w:r>
      <w:hyperlink r:id="rId10" w:history="1">
        <w:r w:rsidR="003F2832" w:rsidRPr="0038611E">
          <w:t>1205-0506</w:t>
        </w:r>
      </w:hyperlink>
      <w:r w:rsidR="003F2832" w:rsidRPr="0038611E">
        <w:t>)</w:t>
      </w:r>
      <w:r>
        <w:t xml:space="preserve">, conducted for DOL. The burden estimate is based on a total sample of 4,000 respondents (based on an 80 percent response rate for 5,000 field surveys). The burden is annualized by three years. </w:t>
      </w:r>
    </w:p>
    <w:p w:rsidR="00231EAF" w:rsidRDefault="00231EAF" w:rsidP="00231EAF">
      <w:pPr>
        <w:pStyle w:val="BodyText"/>
        <w:tabs>
          <w:tab w:val="left" w:pos="3780"/>
        </w:tabs>
        <w:rPr>
          <w:bCs/>
        </w:rPr>
      </w:pPr>
      <w:r>
        <w:t>The evaluat</w:t>
      </w:r>
      <w:r w:rsidR="00396BFA">
        <w:t xml:space="preserve">ion team </w:t>
      </w:r>
      <w:r>
        <w:t xml:space="preserve">estimates </w:t>
      </w:r>
      <w:r w:rsidR="00396BFA">
        <w:t xml:space="preserve">the college survey </w:t>
      </w:r>
      <w:r>
        <w:t xml:space="preserve">will take an average of 1.5 hours to complete. The evaluation team used the survey </w:t>
      </w:r>
      <w:r w:rsidR="0076599C">
        <w:t xml:space="preserve">response time </w:t>
      </w:r>
      <w:r>
        <w:t>for Round</w:t>
      </w:r>
      <w:r w:rsidR="0076599C">
        <w:t xml:space="preserve"> 2 colleges</w:t>
      </w:r>
      <w:r>
        <w:t xml:space="preserve"> </w:t>
      </w:r>
      <w:r w:rsidR="0076599C">
        <w:t xml:space="preserve">plus an additional 5 minutes for the new questions on </w:t>
      </w:r>
      <w:r w:rsidR="00D776C5">
        <w:t>employer partners</w:t>
      </w:r>
      <w:r>
        <w:t xml:space="preserve"> to estimate this average response time. </w:t>
      </w:r>
      <w:r>
        <w:rPr>
          <w:bCs/>
        </w:rPr>
        <w:t xml:space="preserve">Respondents will be primary representatives of the participating colleges (including the grant organization) deemed to have sufficient knowledge of the TAACCCT grant activities to complete the survey.  Specifically, the respondent will most likely be the program coordinator or an administrator at the college. The estimated response rate is 90 percent. Although participation in evaluation activities is required as a condition of the grant award, </w:t>
      </w:r>
      <w:r w:rsidR="00396BFA">
        <w:rPr>
          <w:bCs/>
        </w:rPr>
        <w:t xml:space="preserve">it is likely that due </w:t>
      </w:r>
      <w:r>
        <w:rPr>
          <w:bCs/>
        </w:rPr>
        <w:t xml:space="preserve">to changes in staffing, about 10 percent of </w:t>
      </w:r>
      <w:r w:rsidR="00F13F86">
        <w:rPr>
          <w:bCs/>
        </w:rPr>
        <w:t xml:space="preserve">colleges </w:t>
      </w:r>
      <w:r>
        <w:rPr>
          <w:bCs/>
        </w:rPr>
        <w:t>will not respond to the survey.</w:t>
      </w:r>
    </w:p>
    <w:p w:rsidR="00276A50" w:rsidRPr="00231EAF" w:rsidRDefault="00F13F86" w:rsidP="00276A50">
      <w:pPr>
        <w:pStyle w:val="BodyText"/>
        <w:tabs>
          <w:tab w:val="left" w:pos="3780"/>
        </w:tabs>
      </w:pPr>
      <w:r>
        <w:rPr>
          <w:bCs/>
        </w:rPr>
        <w:t>The employer</w:t>
      </w:r>
      <w:r w:rsidR="002A7953">
        <w:rPr>
          <w:bCs/>
        </w:rPr>
        <w:t xml:space="preserve"> interview</w:t>
      </w:r>
      <w:r>
        <w:rPr>
          <w:bCs/>
        </w:rPr>
        <w:t xml:space="preserve">s are expected to take approximately one hour. </w:t>
      </w:r>
      <w:r w:rsidR="002A7953">
        <w:rPr>
          <w:bCs/>
        </w:rPr>
        <w:t xml:space="preserve">Employers will be selected based on the strength of their </w:t>
      </w:r>
      <w:r w:rsidR="00396BFA">
        <w:rPr>
          <w:bCs/>
        </w:rPr>
        <w:t>relationship with grantees.</w:t>
      </w:r>
      <w:r w:rsidR="00084B2B">
        <w:rPr>
          <w:bCs/>
        </w:rPr>
        <w:t xml:space="preserve"> </w:t>
      </w:r>
      <w:r w:rsidR="00396BFA">
        <w:rPr>
          <w:bCs/>
        </w:rPr>
        <w:t xml:space="preserve">Respondents are most likely to be the human resources managers at firms. </w:t>
      </w:r>
      <w:r w:rsidR="00084B2B">
        <w:rPr>
          <w:bCs/>
        </w:rPr>
        <w:t xml:space="preserve">As these are highly engaged employers however, </w:t>
      </w:r>
      <w:r w:rsidR="00DA268C">
        <w:rPr>
          <w:bCs/>
        </w:rPr>
        <w:t xml:space="preserve">the evaluator </w:t>
      </w:r>
      <w:r w:rsidR="00084B2B">
        <w:rPr>
          <w:bCs/>
        </w:rPr>
        <w:t>expect</w:t>
      </w:r>
      <w:r w:rsidR="00DA268C">
        <w:rPr>
          <w:bCs/>
        </w:rPr>
        <w:t>s</w:t>
      </w:r>
      <w:r w:rsidR="00084B2B">
        <w:rPr>
          <w:bCs/>
        </w:rPr>
        <w:t xml:space="preserve"> a high response rate of 80 percent based on previous experience with recruiting for interviews from similar DOL grant initiatives. </w:t>
      </w:r>
    </w:p>
    <w:p w:rsidR="00386F09" w:rsidRDefault="00386F09" w:rsidP="00383B62">
      <w:pPr>
        <w:pStyle w:val="Exhibit"/>
        <w:keepNext/>
        <w:ind w:left="1440" w:hanging="1440"/>
      </w:pPr>
      <w:r w:rsidRPr="00346F17">
        <w:t xml:space="preserve">Exhibit A12: </w:t>
      </w:r>
      <w:r w:rsidR="00690539">
        <w:t xml:space="preserve">Annualized </w:t>
      </w:r>
      <w:r w:rsidR="00231EAF">
        <w:t xml:space="preserve">Estimated </w:t>
      </w:r>
      <w:r w:rsidR="00690539">
        <w:t>Respondent Hour and Cost Burden for t</w:t>
      </w:r>
      <w:r w:rsidR="00231EAF">
        <w:t>he Follow-Up Survey, Participant Tracking Form, College Survey, and Employer Interviews</w:t>
      </w:r>
      <w:r>
        <w:t xml:space="preserve"> </w:t>
      </w:r>
    </w:p>
    <w:tbl>
      <w:tblPr>
        <w:tblW w:w="8889" w:type="dxa"/>
        <w:tblInd w:w="93" w:type="dxa"/>
        <w:tblLook w:val="04A0" w:firstRow="1" w:lastRow="0" w:firstColumn="1" w:lastColumn="0" w:noHBand="0" w:noVBand="1"/>
      </w:tblPr>
      <w:tblGrid>
        <w:gridCol w:w="1148"/>
        <w:gridCol w:w="1357"/>
        <w:gridCol w:w="1357"/>
        <w:gridCol w:w="1257"/>
        <w:gridCol w:w="1077"/>
        <w:gridCol w:w="846"/>
        <w:gridCol w:w="927"/>
        <w:gridCol w:w="920"/>
      </w:tblGrid>
      <w:tr w:rsidR="00FC0C10" w:rsidRPr="00357AC1" w:rsidTr="00690539">
        <w:trPr>
          <w:cantSplit/>
          <w:trHeight w:val="1535"/>
        </w:trPr>
        <w:tc>
          <w:tcPr>
            <w:tcW w:w="1148"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Instrument</w:t>
            </w:r>
          </w:p>
        </w:tc>
        <w:tc>
          <w:tcPr>
            <w:tcW w:w="1357"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Total Number of Respondents</w:t>
            </w:r>
          </w:p>
        </w:tc>
        <w:tc>
          <w:tcPr>
            <w:tcW w:w="1357" w:type="dxa"/>
            <w:tcBorders>
              <w:top w:val="single" w:sz="8" w:space="0" w:color="7F7F7F"/>
              <w:left w:val="nil"/>
              <w:bottom w:val="single" w:sz="4" w:space="0" w:color="auto"/>
              <w:right w:val="single" w:sz="8" w:space="0" w:color="7F7F7F"/>
            </w:tcBorders>
            <w:shd w:val="clear" w:color="000000" w:fill="C3C6A8"/>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Annual Number of Respondents</w:t>
            </w:r>
          </w:p>
        </w:tc>
        <w:tc>
          <w:tcPr>
            <w:tcW w:w="1257"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Number of Responses Per Respondent</w:t>
            </w:r>
          </w:p>
        </w:tc>
        <w:tc>
          <w:tcPr>
            <w:tcW w:w="1077"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Average Burden Hours Per Response</w:t>
            </w:r>
          </w:p>
          <w:p w:rsidR="00690539" w:rsidRPr="00357AC1" w:rsidRDefault="00690539" w:rsidP="00357AC1">
            <w:pPr>
              <w:spacing w:after="0" w:line="240" w:lineRule="auto"/>
              <w:jc w:val="center"/>
              <w:rPr>
                <w:rFonts w:ascii="Arial" w:hAnsi="Arial" w:cs="Arial"/>
                <w:b/>
                <w:bCs/>
                <w:color w:val="000000"/>
                <w:sz w:val="18"/>
                <w:szCs w:val="18"/>
              </w:rPr>
            </w:pPr>
            <w:r>
              <w:rPr>
                <w:rFonts w:ascii="Arial" w:hAnsi="Arial" w:cs="Arial"/>
                <w:b/>
                <w:bCs/>
                <w:color w:val="000000"/>
                <w:sz w:val="18"/>
                <w:szCs w:val="18"/>
              </w:rPr>
              <w:t>(in Hours)</w:t>
            </w:r>
          </w:p>
        </w:tc>
        <w:tc>
          <w:tcPr>
            <w:tcW w:w="846"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Pr="00357AC1" w:rsidRDefault="00690539" w:rsidP="00357AC1">
            <w:pPr>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Total </w:t>
            </w:r>
            <w:r w:rsidR="00FC0C10" w:rsidRPr="00FC0C10">
              <w:rPr>
                <w:rFonts w:ascii="Arial" w:hAnsi="Arial" w:cs="Arial"/>
                <w:b/>
                <w:bCs/>
                <w:color w:val="000000"/>
                <w:sz w:val="18"/>
                <w:szCs w:val="18"/>
              </w:rPr>
              <w:t>Burden</w:t>
            </w:r>
            <w:r w:rsidRPr="00FC0C10">
              <w:rPr>
                <w:rFonts w:ascii="Arial" w:hAnsi="Arial" w:cs="Arial"/>
                <w:b/>
                <w:bCs/>
                <w:color w:val="000000"/>
                <w:sz w:val="18"/>
                <w:szCs w:val="18"/>
              </w:rPr>
              <w:t xml:space="preserve"> </w:t>
            </w:r>
            <w:r w:rsidRPr="00357AC1">
              <w:rPr>
                <w:rFonts w:ascii="Arial" w:hAnsi="Arial" w:cs="Arial"/>
                <w:b/>
                <w:bCs/>
                <w:color w:val="000000"/>
                <w:sz w:val="18"/>
                <w:szCs w:val="18"/>
              </w:rPr>
              <w:t>Hours</w:t>
            </w:r>
          </w:p>
        </w:tc>
        <w:tc>
          <w:tcPr>
            <w:tcW w:w="927"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Average Hourly Wage</w:t>
            </w:r>
          </w:p>
        </w:tc>
        <w:tc>
          <w:tcPr>
            <w:tcW w:w="920" w:type="dxa"/>
            <w:tcBorders>
              <w:top w:val="single" w:sz="8" w:space="0" w:color="7F7F7F"/>
              <w:left w:val="single" w:sz="8" w:space="0" w:color="7F7F7F"/>
              <w:bottom w:val="single" w:sz="8" w:space="0" w:color="7F7F7F"/>
              <w:right w:val="single" w:sz="8" w:space="0" w:color="7F7F7F"/>
            </w:tcBorders>
            <w:shd w:val="clear" w:color="000000" w:fill="C3C6A8"/>
            <w:vAlign w:val="center"/>
            <w:hideMark/>
          </w:tcPr>
          <w:p w:rsidR="00690539" w:rsidRPr="00357AC1" w:rsidRDefault="00690539" w:rsidP="00690539">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 xml:space="preserve">Total </w:t>
            </w:r>
            <w:r>
              <w:rPr>
                <w:rFonts w:ascii="Arial" w:hAnsi="Arial" w:cs="Arial"/>
                <w:b/>
                <w:bCs/>
                <w:color w:val="000000"/>
                <w:sz w:val="18"/>
                <w:szCs w:val="18"/>
              </w:rPr>
              <w:t xml:space="preserve">Burden </w:t>
            </w:r>
            <w:r w:rsidRPr="00357AC1">
              <w:rPr>
                <w:rFonts w:ascii="Arial" w:hAnsi="Arial" w:cs="Arial"/>
                <w:b/>
                <w:bCs/>
                <w:color w:val="000000"/>
                <w:sz w:val="18"/>
                <w:szCs w:val="18"/>
              </w:rPr>
              <w:t xml:space="preserve"> Cost</w:t>
            </w:r>
          </w:p>
        </w:tc>
      </w:tr>
      <w:tr w:rsidR="00FC0C10" w:rsidRPr="00357AC1" w:rsidTr="00690539">
        <w:trPr>
          <w:cantSplit/>
          <w:trHeight w:val="315"/>
        </w:trPr>
        <w:tc>
          <w:tcPr>
            <w:tcW w:w="1148"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rPr>
                <w:rFonts w:ascii="Arial" w:hAnsi="Arial" w:cs="Arial"/>
                <w:color w:val="000000"/>
                <w:sz w:val="18"/>
                <w:szCs w:val="18"/>
              </w:rPr>
            </w:pPr>
            <w:r w:rsidRPr="00357AC1">
              <w:rPr>
                <w:rFonts w:ascii="Arial" w:hAnsi="Arial" w:cs="Arial"/>
                <w:color w:val="000000"/>
                <w:sz w:val="18"/>
                <w:szCs w:val="18"/>
              </w:rPr>
              <w:t>Follow-Up Survey</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4,000</w:t>
            </w:r>
            <w:r w:rsidRPr="00357AC1">
              <w:rPr>
                <w:rFonts w:ascii="Arial" w:hAnsi="Arial" w:cs="Arial"/>
                <w:color w:val="000000"/>
                <w:sz w:val="18"/>
                <w:szCs w:val="18"/>
                <w:vertAlign w:val="superscript"/>
              </w:rPr>
              <w:t>a</w:t>
            </w:r>
          </w:p>
        </w:tc>
        <w:tc>
          <w:tcPr>
            <w:tcW w:w="1357" w:type="dxa"/>
            <w:tcBorders>
              <w:top w:val="single" w:sz="4" w:space="0" w:color="auto"/>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1,333</w:t>
            </w:r>
          </w:p>
        </w:tc>
        <w:tc>
          <w:tcPr>
            <w:tcW w:w="12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w:t>
            </w:r>
          </w:p>
        </w:tc>
        <w:tc>
          <w:tcPr>
            <w:tcW w:w="107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0.33</w:t>
            </w:r>
          </w:p>
        </w:tc>
        <w:tc>
          <w:tcPr>
            <w:tcW w:w="846"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440</w:t>
            </w:r>
          </w:p>
        </w:tc>
        <w:tc>
          <w:tcPr>
            <w:tcW w:w="92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7.25</w:t>
            </w:r>
            <w:r w:rsidRPr="00357AC1">
              <w:rPr>
                <w:rFonts w:ascii="Arial" w:hAnsi="Arial" w:cs="Arial"/>
                <w:color w:val="000000"/>
                <w:sz w:val="18"/>
                <w:szCs w:val="18"/>
                <w:vertAlign w:val="superscript"/>
              </w:rPr>
              <w:t>b</w:t>
            </w:r>
          </w:p>
        </w:tc>
        <w:tc>
          <w:tcPr>
            <w:tcW w:w="920"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$3,190</w:t>
            </w:r>
          </w:p>
        </w:tc>
      </w:tr>
      <w:tr w:rsidR="00FC0C10" w:rsidRPr="00357AC1" w:rsidTr="00690539">
        <w:trPr>
          <w:cantSplit/>
          <w:trHeight w:val="480"/>
        </w:trPr>
        <w:tc>
          <w:tcPr>
            <w:tcW w:w="1148"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rPr>
                <w:rFonts w:ascii="Arial" w:hAnsi="Arial" w:cs="Arial"/>
                <w:color w:val="000000"/>
                <w:sz w:val="18"/>
                <w:szCs w:val="18"/>
              </w:rPr>
            </w:pPr>
            <w:r w:rsidRPr="00357AC1">
              <w:rPr>
                <w:rFonts w:ascii="Arial" w:hAnsi="Arial" w:cs="Arial"/>
                <w:color w:val="000000"/>
                <w:sz w:val="18"/>
                <w:szCs w:val="18"/>
              </w:rPr>
              <w:t>Participant Tracking Form</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5,000</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1,667</w:t>
            </w:r>
          </w:p>
        </w:tc>
        <w:tc>
          <w:tcPr>
            <w:tcW w:w="12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2</w:t>
            </w:r>
          </w:p>
        </w:tc>
        <w:tc>
          <w:tcPr>
            <w:tcW w:w="107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0.083</w:t>
            </w:r>
          </w:p>
        </w:tc>
        <w:tc>
          <w:tcPr>
            <w:tcW w:w="846"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277</w:t>
            </w:r>
          </w:p>
        </w:tc>
        <w:tc>
          <w:tcPr>
            <w:tcW w:w="92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 xml:space="preserve">$7.25 </w:t>
            </w:r>
          </w:p>
        </w:tc>
        <w:tc>
          <w:tcPr>
            <w:tcW w:w="920"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$2,008</w:t>
            </w:r>
          </w:p>
        </w:tc>
      </w:tr>
      <w:tr w:rsidR="00FC0C10" w:rsidRPr="00357AC1" w:rsidTr="00690539">
        <w:trPr>
          <w:cantSplit/>
          <w:trHeight w:val="315"/>
        </w:trPr>
        <w:tc>
          <w:tcPr>
            <w:tcW w:w="1148"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rPr>
                <w:rFonts w:ascii="Arial" w:hAnsi="Arial" w:cs="Arial"/>
                <w:color w:val="000000"/>
                <w:sz w:val="18"/>
                <w:szCs w:val="18"/>
              </w:rPr>
            </w:pPr>
            <w:r w:rsidRPr="00357AC1">
              <w:rPr>
                <w:rFonts w:ascii="Arial" w:hAnsi="Arial" w:cs="Arial"/>
                <w:color w:val="000000"/>
                <w:sz w:val="18"/>
                <w:szCs w:val="18"/>
              </w:rPr>
              <w:t>College Survey</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245</w:t>
            </w:r>
            <w:r w:rsidRPr="00357AC1">
              <w:rPr>
                <w:rFonts w:ascii="Arial" w:hAnsi="Arial" w:cs="Arial"/>
                <w:color w:val="000000"/>
                <w:sz w:val="18"/>
                <w:szCs w:val="18"/>
                <w:vertAlign w:val="superscript"/>
              </w:rPr>
              <w:t>c</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82</w:t>
            </w:r>
          </w:p>
        </w:tc>
        <w:tc>
          <w:tcPr>
            <w:tcW w:w="12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w:t>
            </w:r>
          </w:p>
        </w:tc>
        <w:tc>
          <w:tcPr>
            <w:tcW w:w="107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1.5</w:t>
            </w:r>
          </w:p>
        </w:tc>
        <w:tc>
          <w:tcPr>
            <w:tcW w:w="846"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123</w:t>
            </w:r>
          </w:p>
        </w:tc>
        <w:tc>
          <w:tcPr>
            <w:tcW w:w="92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43.79</w:t>
            </w:r>
            <w:r w:rsidRPr="00357AC1">
              <w:rPr>
                <w:rFonts w:ascii="Arial" w:hAnsi="Arial" w:cs="Arial"/>
                <w:color w:val="000000"/>
                <w:sz w:val="18"/>
                <w:szCs w:val="18"/>
                <w:vertAlign w:val="superscript"/>
              </w:rPr>
              <w:t>d</w:t>
            </w:r>
          </w:p>
        </w:tc>
        <w:tc>
          <w:tcPr>
            <w:tcW w:w="920"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$5,386</w:t>
            </w:r>
          </w:p>
        </w:tc>
      </w:tr>
      <w:tr w:rsidR="00FC0C10" w:rsidRPr="00357AC1" w:rsidTr="00690539">
        <w:trPr>
          <w:cantSplit/>
          <w:trHeight w:val="315"/>
        </w:trPr>
        <w:tc>
          <w:tcPr>
            <w:tcW w:w="1148"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rPr>
                <w:rFonts w:ascii="Arial" w:hAnsi="Arial" w:cs="Arial"/>
                <w:color w:val="000000"/>
                <w:sz w:val="18"/>
                <w:szCs w:val="18"/>
              </w:rPr>
            </w:pPr>
            <w:r w:rsidRPr="00357AC1">
              <w:rPr>
                <w:rFonts w:ascii="Arial" w:hAnsi="Arial" w:cs="Arial"/>
                <w:color w:val="000000"/>
                <w:sz w:val="18"/>
                <w:szCs w:val="18"/>
              </w:rPr>
              <w:t>Employer Interviews</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40</w:t>
            </w:r>
            <w:r w:rsidRPr="00357AC1">
              <w:rPr>
                <w:rFonts w:ascii="Arial" w:hAnsi="Arial" w:cs="Arial"/>
                <w:color w:val="000000"/>
                <w:sz w:val="18"/>
                <w:szCs w:val="18"/>
                <w:vertAlign w:val="superscript"/>
              </w:rPr>
              <w:t>e</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12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w:t>
            </w:r>
          </w:p>
        </w:tc>
        <w:tc>
          <w:tcPr>
            <w:tcW w:w="107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color w:val="000000"/>
                <w:sz w:val="18"/>
                <w:szCs w:val="18"/>
              </w:rPr>
            </w:pPr>
            <w:r w:rsidRPr="00357AC1">
              <w:rPr>
                <w:rFonts w:ascii="Arial" w:hAnsi="Arial" w:cs="Arial"/>
                <w:color w:val="000000"/>
                <w:sz w:val="18"/>
                <w:szCs w:val="18"/>
              </w:rPr>
              <w:t>1</w:t>
            </w:r>
          </w:p>
        </w:tc>
        <w:tc>
          <w:tcPr>
            <w:tcW w:w="846" w:type="dxa"/>
            <w:tcBorders>
              <w:top w:val="nil"/>
              <w:left w:val="nil"/>
              <w:bottom w:val="single" w:sz="8" w:space="0" w:color="7F7F7F"/>
              <w:right w:val="single" w:sz="8" w:space="0" w:color="7F7F7F"/>
            </w:tcBorders>
            <w:shd w:val="clear" w:color="auto" w:fill="auto"/>
            <w:vAlign w:val="center"/>
            <w:hideMark/>
          </w:tcPr>
          <w:p w:rsidR="00690539" w:rsidRPr="005C6CCD" w:rsidRDefault="00690539" w:rsidP="00357AC1">
            <w:pPr>
              <w:spacing w:after="0" w:line="240" w:lineRule="auto"/>
              <w:jc w:val="center"/>
              <w:rPr>
                <w:rFonts w:ascii="Arial" w:hAnsi="Arial" w:cs="Arial"/>
                <w:color w:val="000000"/>
                <w:sz w:val="18"/>
                <w:szCs w:val="18"/>
              </w:rPr>
            </w:pPr>
            <w:r w:rsidRPr="005C6CCD">
              <w:rPr>
                <w:rFonts w:ascii="Arial" w:hAnsi="Arial" w:cs="Arial"/>
                <w:color w:val="000000"/>
                <w:sz w:val="18"/>
                <w:szCs w:val="18"/>
              </w:rPr>
              <w:t>13</w:t>
            </w:r>
          </w:p>
        </w:tc>
        <w:tc>
          <w:tcPr>
            <w:tcW w:w="927" w:type="dxa"/>
            <w:tcBorders>
              <w:top w:val="nil"/>
              <w:left w:val="nil"/>
              <w:bottom w:val="single" w:sz="8" w:space="0" w:color="7F7F7F"/>
              <w:right w:val="single" w:sz="8" w:space="0" w:color="7F7F7F"/>
            </w:tcBorders>
            <w:shd w:val="clear" w:color="auto" w:fill="auto"/>
            <w:vAlign w:val="center"/>
            <w:hideMark/>
          </w:tcPr>
          <w:p w:rsidR="00690539" w:rsidRPr="005C6CCD" w:rsidRDefault="00690539" w:rsidP="00357AC1">
            <w:pPr>
              <w:spacing w:after="0" w:line="240" w:lineRule="auto"/>
              <w:jc w:val="center"/>
              <w:rPr>
                <w:rFonts w:ascii="Arial" w:hAnsi="Arial" w:cs="Arial"/>
                <w:color w:val="000000"/>
                <w:sz w:val="18"/>
                <w:szCs w:val="18"/>
              </w:rPr>
            </w:pPr>
            <w:r w:rsidRPr="005C6CCD">
              <w:rPr>
                <w:rFonts w:ascii="Arial" w:hAnsi="Arial" w:cs="Arial"/>
                <w:color w:val="000000"/>
                <w:sz w:val="18"/>
                <w:szCs w:val="18"/>
              </w:rPr>
              <w:t>56.29</w:t>
            </w:r>
            <w:r w:rsidRPr="005C6CCD">
              <w:rPr>
                <w:rFonts w:ascii="Arial" w:hAnsi="Arial" w:cs="Arial"/>
                <w:color w:val="000000"/>
                <w:sz w:val="18"/>
                <w:szCs w:val="18"/>
                <w:vertAlign w:val="superscript"/>
              </w:rPr>
              <w:t>f</w:t>
            </w:r>
          </w:p>
        </w:tc>
        <w:tc>
          <w:tcPr>
            <w:tcW w:w="920" w:type="dxa"/>
            <w:tcBorders>
              <w:top w:val="nil"/>
              <w:left w:val="nil"/>
              <w:bottom w:val="single" w:sz="8" w:space="0" w:color="7F7F7F"/>
              <w:right w:val="single" w:sz="8" w:space="0" w:color="7F7F7F"/>
            </w:tcBorders>
            <w:shd w:val="clear" w:color="auto" w:fill="auto"/>
            <w:vAlign w:val="center"/>
            <w:hideMark/>
          </w:tcPr>
          <w:p w:rsidR="00690539" w:rsidRPr="005C6CCD" w:rsidRDefault="00690539" w:rsidP="00357AC1">
            <w:pPr>
              <w:spacing w:after="0" w:line="240" w:lineRule="auto"/>
              <w:jc w:val="center"/>
              <w:rPr>
                <w:rFonts w:ascii="Arial" w:hAnsi="Arial" w:cs="Arial"/>
                <w:color w:val="000000"/>
                <w:sz w:val="18"/>
                <w:szCs w:val="18"/>
              </w:rPr>
            </w:pPr>
            <w:r>
              <w:rPr>
                <w:rFonts w:ascii="Arial" w:hAnsi="Arial" w:cs="Arial"/>
                <w:color w:val="000000"/>
                <w:sz w:val="18"/>
                <w:szCs w:val="18"/>
              </w:rPr>
              <w:t>$732</w:t>
            </w:r>
          </w:p>
        </w:tc>
      </w:tr>
      <w:tr w:rsidR="00FC0C10" w:rsidRPr="00357AC1" w:rsidTr="00690539">
        <w:trPr>
          <w:cantSplit/>
          <w:trHeight w:val="315"/>
        </w:trPr>
        <w:tc>
          <w:tcPr>
            <w:tcW w:w="1148" w:type="dxa"/>
            <w:tcBorders>
              <w:top w:val="nil"/>
              <w:left w:val="single" w:sz="8" w:space="0" w:color="7F7F7F"/>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rPr>
                <w:rFonts w:ascii="Arial" w:hAnsi="Arial" w:cs="Arial"/>
                <w:b/>
                <w:bCs/>
                <w:color w:val="000000"/>
                <w:sz w:val="18"/>
                <w:szCs w:val="18"/>
              </w:rPr>
            </w:pPr>
            <w:r w:rsidRPr="00357AC1">
              <w:rPr>
                <w:rFonts w:ascii="Arial" w:hAnsi="Arial"/>
                <w:b/>
                <w:bCs/>
                <w:color w:val="000000"/>
                <w:sz w:val="18"/>
                <w:szCs w:val="18"/>
              </w:rPr>
              <w:t>Total</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 </w:t>
            </w:r>
          </w:p>
        </w:tc>
        <w:tc>
          <w:tcPr>
            <w:tcW w:w="13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 </w:t>
            </w:r>
          </w:p>
        </w:tc>
        <w:tc>
          <w:tcPr>
            <w:tcW w:w="125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 </w:t>
            </w:r>
          </w:p>
        </w:tc>
        <w:tc>
          <w:tcPr>
            <w:tcW w:w="107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 </w:t>
            </w:r>
          </w:p>
        </w:tc>
        <w:tc>
          <w:tcPr>
            <w:tcW w:w="846"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Pr>
                <w:rFonts w:ascii="Arial" w:hAnsi="Arial" w:cs="Arial"/>
                <w:b/>
                <w:bCs/>
                <w:color w:val="000000"/>
                <w:sz w:val="18"/>
                <w:szCs w:val="18"/>
              </w:rPr>
              <w:t>853</w:t>
            </w:r>
            <w:r w:rsidRPr="00357AC1">
              <w:rPr>
                <w:rFonts w:ascii="Arial" w:hAnsi="Arial" w:cs="Arial"/>
                <w:b/>
                <w:bCs/>
                <w:color w:val="000000"/>
                <w:sz w:val="18"/>
                <w:szCs w:val="18"/>
              </w:rPr>
              <w:t> </w:t>
            </w:r>
          </w:p>
        </w:tc>
        <w:tc>
          <w:tcPr>
            <w:tcW w:w="927"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 </w:t>
            </w:r>
          </w:p>
        </w:tc>
        <w:tc>
          <w:tcPr>
            <w:tcW w:w="920" w:type="dxa"/>
            <w:tcBorders>
              <w:top w:val="nil"/>
              <w:left w:val="nil"/>
              <w:bottom w:val="single" w:sz="8" w:space="0" w:color="7F7F7F"/>
              <w:right w:val="single" w:sz="8" w:space="0" w:color="7F7F7F"/>
            </w:tcBorders>
            <w:shd w:val="clear" w:color="auto" w:fill="auto"/>
            <w:vAlign w:val="center"/>
            <w:hideMark/>
          </w:tcPr>
          <w:p w:rsidR="00690539" w:rsidRPr="00357AC1" w:rsidRDefault="00690539" w:rsidP="00357AC1">
            <w:pPr>
              <w:spacing w:after="0" w:line="240" w:lineRule="auto"/>
              <w:jc w:val="center"/>
              <w:rPr>
                <w:rFonts w:ascii="Arial" w:hAnsi="Arial" w:cs="Arial"/>
                <w:b/>
                <w:bCs/>
                <w:color w:val="000000"/>
                <w:sz w:val="18"/>
                <w:szCs w:val="18"/>
              </w:rPr>
            </w:pPr>
            <w:r w:rsidRPr="00357AC1">
              <w:rPr>
                <w:rFonts w:ascii="Arial" w:hAnsi="Arial" w:cs="Arial"/>
                <w:b/>
                <w:bCs/>
                <w:color w:val="000000"/>
                <w:sz w:val="18"/>
                <w:szCs w:val="18"/>
              </w:rPr>
              <w:t>$11,316</w:t>
            </w:r>
          </w:p>
        </w:tc>
      </w:tr>
    </w:tbl>
    <w:p w:rsidR="00386F09" w:rsidRPr="00633775" w:rsidRDefault="00633775" w:rsidP="00357AC1">
      <w:pPr>
        <w:pStyle w:val="Bullets"/>
        <w:numPr>
          <w:ilvl w:val="0"/>
          <w:numId w:val="0"/>
        </w:numPr>
        <w:spacing w:after="0"/>
        <w:ind w:left="360" w:hanging="360"/>
        <w:rPr>
          <w:sz w:val="18"/>
          <w:szCs w:val="18"/>
        </w:rPr>
      </w:pPr>
      <w:r w:rsidRPr="00633775">
        <w:rPr>
          <w:sz w:val="18"/>
          <w:szCs w:val="18"/>
          <w:vertAlign w:val="superscript"/>
        </w:rPr>
        <w:t>a</w:t>
      </w:r>
      <w:r w:rsidR="00357AC1">
        <w:rPr>
          <w:sz w:val="18"/>
          <w:szCs w:val="18"/>
        </w:rPr>
        <w:t xml:space="preserve"> </w:t>
      </w:r>
      <w:r w:rsidR="009C3A35">
        <w:rPr>
          <w:sz w:val="18"/>
          <w:szCs w:val="18"/>
        </w:rPr>
        <w:t>This assumes a sample of 5,000 with an 80 percent response rate</w:t>
      </w:r>
      <w:r w:rsidR="008D4649" w:rsidRPr="00633775">
        <w:rPr>
          <w:sz w:val="18"/>
          <w:szCs w:val="18"/>
        </w:rPr>
        <w:t xml:space="preserve">. </w:t>
      </w:r>
    </w:p>
    <w:p w:rsidR="00633775" w:rsidRDefault="00633775" w:rsidP="00357AC1">
      <w:pPr>
        <w:pStyle w:val="Bullets"/>
        <w:numPr>
          <w:ilvl w:val="0"/>
          <w:numId w:val="0"/>
        </w:numPr>
        <w:spacing w:after="0"/>
        <w:ind w:left="360" w:hanging="360"/>
        <w:rPr>
          <w:sz w:val="18"/>
          <w:szCs w:val="18"/>
        </w:rPr>
      </w:pPr>
      <w:r w:rsidRPr="00633775">
        <w:rPr>
          <w:sz w:val="18"/>
          <w:szCs w:val="18"/>
          <w:vertAlign w:val="superscript"/>
        </w:rPr>
        <w:t>b</w:t>
      </w:r>
      <w:r w:rsidRPr="00633775">
        <w:rPr>
          <w:sz w:val="18"/>
          <w:szCs w:val="18"/>
        </w:rPr>
        <w:t xml:space="preserve"> The hourly wage of $7.25 is the federal minimum wage (effective July 24, 2009) </w:t>
      </w:r>
      <w:r w:rsidR="009E4C83" w:rsidRPr="00F5540E">
        <w:rPr>
          <w:sz w:val="18"/>
          <w:szCs w:val="18"/>
        </w:rPr>
        <w:t>http://www.dol.gov/dol/topic/wages/minimumwage.htm</w:t>
      </w:r>
      <w:r>
        <w:rPr>
          <w:sz w:val="18"/>
          <w:szCs w:val="18"/>
        </w:rPr>
        <w:t>.</w:t>
      </w:r>
    </w:p>
    <w:p w:rsidR="00357AC1" w:rsidRPr="00357AC1" w:rsidRDefault="009C3A35" w:rsidP="00357AC1">
      <w:pPr>
        <w:pStyle w:val="FootnoteText"/>
        <w:spacing w:after="0"/>
      </w:pPr>
      <w:r>
        <w:rPr>
          <w:vertAlign w:val="superscript"/>
        </w:rPr>
        <w:t>c</w:t>
      </w:r>
      <w:r w:rsidR="009E4C83">
        <w:rPr>
          <w:vertAlign w:val="superscript"/>
        </w:rPr>
        <w:t xml:space="preserve"> </w:t>
      </w:r>
      <w:r w:rsidR="00357AC1">
        <w:t xml:space="preserve">This assumes a sample of 272 with a 90 percent response rate. </w:t>
      </w:r>
    </w:p>
    <w:p w:rsidR="003E3004" w:rsidRDefault="00357AC1" w:rsidP="00357AC1">
      <w:pPr>
        <w:pStyle w:val="FootnoteText"/>
        <w:spacing w:after="0"/>
        <w:rPr>
          <w:sz w:val="18"/>
          <w:szCs w:val="18"/>
        </w:rPr>
      </w:pPr>
      <w:r w:rsidRPr="00486A43">
        <w:rPr>
          <w:sz w:val="18"/>
          <w:szCs w:val="18"/>
          <w:vertAlign w:val="superscript"/>
        </w:rPr>
        <w:t>d</w:t>
      </w:r>
      <w:r w:rsidRPr="005026B4">
        <w:rPr>
          <w:sz w:val="18"/>
          <w:szCs w:val="18"/>
        </w:rPr>
        <w:t xml:space="preserve"> </w:t>
      </w:r>
      <w:r w:rsidR="009E4C83" w:rsidRPr="005026B4">
        <w:rPr>
          <w:sz w:val="18"/>
          <w:szCs w:val="18"/>
        </w:rPr>
        <w:t xml:space="preserve">The median hourly wage </w:t>
      </w:r>
      <w:r w:rsidR="003E3004" w:rsidRPr="005026B4">
        <w:rPr>
          <w:sz w:val="18"/>
          <w:szCs w:val="18"/>
        </w:rPr>
        <w:t xml:space="preserve">for </w:t>
      </w:r>
      <w:r w:rsidR="00F5540E">
        <w:rPr>
          <w:sz w:val="18"/>
          <w:szCs w:val="18"/>
        </w:rPr>
        <w:t>Education Administrators</w:t>
      </w:r>
      <w:r w:rsidR="003E3004" w:rsidRPr="005026B4">
        <w:rPr>
          <w:sz w:val="18"/>
          <w:szCs w:val="18"/>
        </w:rPr>
        <w:t xml:space="preserve"> </w:t>
      </w:r>
      <w:r w:rsidR="009E4C83" w:rsidRPr="005026B4">
        <w:rPr>
          <w:sz w:val="18"/>
          <w:szCs w:val="18"/>
        </w:rPr>
        <w:t xml:space="preserve">was calculated based on information from the Bureau of Labor Statistics; May </w:t>
      </w:r>
      <w:r w:rsidR="00F5540E">
        <w:rPr>
          <w:sz w:val="18"/>
          <w:szCs w:val="18"/>
        </w:rPr>
        <w:t>2015</w:t>
      </w:r>
      <w:r w:rsidR="009E4C83" w:rsidRPr="005026B4">
        <w:rPr>
          <w:sz w:val="18"/>
          <w:szCs w:val="18"/>
        </w:rPr>
        <w:t xml:space="preserve"> National Industry-Specific Occupational Employment and Wage Estimates found at </w:t>
      </w:r>
      <w:r w:rsidR="00F5540E" w:rsidRPr="00F5540E">
        <w:rPr>
          <w:sz w:val="18"/>
          <w:szCs w:val="18"/>
        </w:rPr>
        <w:t>http://www.bls.gov/oes/current/naics4_611300.htm</w:t>
      </w:r>
      <w:r w:rsidR="009E4C83" w:rsidRPr="005026B4">
        <w:rPr>
          <w:sz w:val="18"/>
          <w:szCs w:val="18"/>
        </w:rPr>
        <w:t>: Education administrators, postsecondary (</w:t>
      </w:r>
      <w:r w:rsidR="00EE0109">
        <w:rPr>
          <w:sz w:val="18"/>
          <w:szCs w:val="18"/>
        </w:rPr>
        <w:t xml:space="preserve">NAICS 611300, </w:t>
      </w:r>
      <w:r w:rsidR="009E4C83" w:rsidRPr="005026B4">
        <w:rPr>
          <w:sz w:val="18"/>
          <w:szCs w:val="18"/>
        </w:rPr>
        <w:t>SOC code 11-9033) wage rate of $43.</w:t>
      </w:r>
      <w:r w:rsidR="00F5540E">
        <w:rPr>
          <w:sz w:val="18"/>
          <w:szCs w:val="18"/>
        </w:rPr>
        <w:t>78</w:t>
      </w:r>
      <w:r w:rsidR="00BC56BD">
        <w:rPr>
          <w:sz w:val="18"/>
          <w:szCs w:val="18"/>
        </w:rPr>
        <w:t>.</w:t>
      </w:r>
    </w:p>
    <w:p w:rsidR="00357AC1" w:rsidRDefault="00357AC1" w:rsidP="00357AC1">
      <w:pPr>
        <w:pStyle w:val="FootnoteText"/>
        <w:spacing w:after="0"/>
        <w:rPr>
          <w:sz w:val="18"/>
          <w:szCs w:val="18"/>
        </w:rPr>
      </w:pPr>
      <w:r>
        <w:rPr>
          <w:sz w:val="18"/>
          <w:szCs w:val="18"/>
          <w:vertAlign w:val="superscript"/>
        </w:rPr>
        <w:lastRenderedPageBreak/>
        <w:t>e</w:t>
      </w:r>
      <w:r w:rsidR="00BB4B2F">
        <w:rPr>
          <w:sz w:val="18"/>
          <w:szCs w:val="18"/>
        </w:rPr>
        <w:t xml:space="preserve"> </w:t>
      </w:r>
      <w:r>
        <w:rPr>
          <w:sz w:val="18"/>
          <w:szCs w:val="18"/>
        </w:rPr>
        <w:t xml:space="preserve">This assumes a sample of 50 with an 80 percent response rate. </w:t>
      </w:r>
    </w:p>
    <w:p w:rsidR="00BB4B2F" w:rsidRDefault="00357AC1" w:rsidP="009E4C83">
      <w:pPr>
        <w:pStyle w:val="FootnoteText"/>
        <w:rPr>
          <w:sz w:val="18"/>
          <w:szCs w:val="18"/>
        </w:rPr>
      </w:pPr>
      <w:r w:rsidRPr="00357AC1">
        <w:rPr>
          <w:sz w:val="18"/>
          <w:szCs w:val="18"/>
          <w:vertAlign w:val="superscript"/>
        </w:rPr>
        <w:t xml:space="preserve">f </w:t>
      </w:r>
      <w:r w:rsidR="00BB4B2F" w:rsidRPr="00486A43">
        <w:rPr>
          <w:sz w:val="18"/>
          <w:szCs w:val="18"/>
        </w:rPr>
        <w:t xml:space="preserve">The median hourly wage for Human Resource Managers was calculated based on information from the Bureau of Labor Statistics; </w:t>
      </w:r>
      <w:r w:rsidR="00486A43" w:rsidRPr="00486A43">
        <w:rPr>
          <w:sz w:val="18"/>
          <w:szCs w:val="18"/>
        </w:rPr>
        <w:t xml:space="preserve">National Occupational Employment and Wages, May 2015, 11-3121 Human Resources Managers, found at </w:t>
      </w:r>
      <w:r w:rsidR="00BB4B2F" w:rsidRPr="00486A43">
        <w:rPr>
          <w:sz w:val="18"/>
          <w:szCs w:val="18"/>
        </w:rPr>
        <w:t>http://www.bls.gov/oes/current/oes113121.htm</w:t>
      </w:r>
      <w:r w:rsidR="00486A43" w:rsidRPr="00486A43">
        <w:rPr>
          <w:sz w:val="18"/>
          <w:szCs w:val="18"/>
        </w:rPr>
        <w:t>.</w:t>
      </w:r>
    </w:p>
    <w:p w:rsidR="006F299B" w:rsidRDefault="006F299B" w:rsidP="00137474">
      <w:pPr>
        <w:pStyle w:val="Heading2"/>
      </w:pPr>
      <w:bookmarkStart w:id="16" w:name="_Toc466359636"/>
      <w:r w:rsidRPr="001034D3">
        <w:t xml:space="preserve">A13: Cost </w:t>
      </w:r>
      <w:r w:rsidR="00911BD5" w:rsidRPr="001034D3">
        <w:t xml:space="preserve">Burden </w:t>
      </w:r>
      <w:r w:rsidR="00911BD5">
        <w:t>t</w:t>
      </w:r>
      <w:r w:rsidR="00911BD5" w:rsidRPr="001034D3">
        <w:t xml:space="preserve">o Respondents </w:t>
      </w:r>
      <w:r w:rsidR="00911BD5">
        <w:t>o</w:t>
      </w:r>
      <w:r w:rsidR="00911BD5" w:rsidRPr="001034D3">
        <w:t>r Record Keepers</w:t>
      </w:r>
      <w:bookmarkEnd w:id="16"/>
    </w:p>
    <w:p w:rsidR="00BE02A5" w:rsidRDefault="00BE02A5" w:rsidP="006F299B">
      <w:r w:rsidRPr="00BE02A5">
        <w:t>There are no direct costs to respondents, and they will incur no start-up or ongoing financial costs. The cost to respondents involves solel</w:t>
      </w:r>
      <w:r w:rsidR="00276A50">
        <w:t xml:space="preserve">y the time involved in completing the follow-up survey, participant tracking form, college survey, or employer interviews. These costs are </w:t>
      </w:r>
      <w:r w:rsidRPr="00BE02A5">
        <w:t xml:space="preserve">captured in the burden estimates in </w:t>
      </w:r>
      <w:r w:rsidR="00FF4B27">
        <w:t>Exhibit A12</w:t>
      </w:r>
      <w:r w:rsidRPr="00BE02A5">
        <w:t>.</w:t>
      </w:r>
    </w:p>
    <w:p w:rsidR="006F299B" w:rsidRPr="001034D3" w:rsidRDefault="006F299B" w:rsidP="00137474">
      <w:pPr>
        <w:pStyle w:val="Heading2"/>
      </w:pPr>
      <w:bookmarkStart w:id="17" w:name="_Toc466359637"/>
      <w:r w:rsidRPr="001034D3">
        <w:t xml:space="preserve">A14: Estimate of </w:t>
      </w:r>
      <w:r w:rsidR="00911BD5">
        <w:t>C</w:t>
      </w:r>
      <w:r w:rsidRPr="001034D3">
        <w:t xml:space="preserve">ost to the Federal </w:t>
      </w:r>
      <w:r w:rsidR="00911BD5">
        <w:t>G</w:t>
      </w:r>
      <w:r w:rsidRPr="001034D3">
        <w:t>overnment</w:t>
      </w:r>
      <w:bookmarkEnd w:id="17"/>
    </w:p>
    <w:p w:rsidR="006F299B" w:rsidRDefault="006F299B" w:rsidP="006F299B">
      <w:pPr>
        <w:rPr>
          <w:rFonts w:cstheme="minorHAnsi"/>
          <w:bCs/>
        </w:rPr>
      </w:pPr>
      <w:r>
        <w:t xml:space="preserve">The information collection activity and associated instruments have been developed by the evaluation contractor, Abt Associates, in performance of </w:t>
      </w:r>
      <w:r w:rsidRPr="00BC3984">
        <w:rPr>
          <w:rFonts w:cstheme="minorHAnsi"/>
          <w:bCs/>
        </w:rPr>
        <w:t xml:space="preserve">Contract Number: </w:t>
      </w:r>
      <w:r w:rsidR="001D69EB">
        <w:rPr>
          <w:rFonts w:cstheme="minorHAnsi"/>
          <w:bCs/>
        </w:rPr>
        <w:t>GSA MOBIS 874-01, Order Number: DOL-ETA-14-F-00013.</w:t>
      </w:r>
      <w:r w:rsidR="00B05E82" w:rsidRPr="00B05E82">
        <w:t xml:space="preserve"> </w:t>
      </w:r>
      <w:r w:rsidR="00A40044">
        <w:t xml:space="preserve">CEO and ETA are </w:t>
      </w:r>
      <w:r w:rsidR="00B05E82" w:rsidRPr="00B05E82">
        <w:rPr>
          <w:rFonts w:cstheme="minorHAnsi"/>
          <w:bCs/>
        </w:rPr>
        <w:t xml:space="preserve">funding the costs of the study.  The proposed </w:t>
      </w:r>
      <w:r w:rsidR="00276A50">
        <w:rPr>
          <w:rFonts w:cstheme="minorHAnsi"/>
          <w:bCs/>
        </w:rPr>
        <w:t>follow-up survey, participant tracking form, college survey, and employers interviews</w:t>
      </w:r>
      <w:r w:rsidR="00B05E82" w:rsidRPr="00B05E82">
        <w:rPr>
          <w:rFonts w:cstheme="minorHAnsi"/>
          <w:bCs/>
        </w:rPr>
        <w:t xml:space="preserve"> will </w:t>
      </w:r>
      <w:r w:rsidR="00A40044">
        <w:rPr>
          <w:rFonts w:cstheme="minorHAnsi"/>
          <w:bCs/>
        </w:rPr>
        <w:t xml:space="preserve">be fielded starting  within one month of receiving OMB approval (participant tracking form), September 2017 (participant survey and college survey), January 2018 for the </w:t>
      </w:r>
      <w:r w:rsidR="00B05E82" w:rsidRPr="00B05E82">
        <w:rPr>
          <w:rFonts w:cstheme="minorHAnsi"/>
          <w:bCs/>
        </w:rPr>
        <w:t xml:space="preserve"> </w:t>
      </w:r>
      <w:r w:rsidR="00A40044">
        <w:rPr>
          <w:rFonts w:cstheme="minorHAnsi"/>
          <w:bCs/>
        </w:rPr>
        <w:t xml:space="preserve">employer interviews </w:t>
      </w:r>
      <w:r w:rsidR="00B05E82" w:rsidRPr="00B05E82">
        <w:rPr>
          <w:rFonts w:cstheme="minorHAnsi"/>
          <w:bCs/>
        </w:rPr>
        <w:t xml:space="preserve">and will end no later than </w:t>
      </w:r>
      <w:r w:rsidR="00A40044">
        <w:rPr>
          <w:rFonts w:cstheme="minorHAnsi"/>
          <w:bCs/>
        </w:rPr>
        <w:t>September 29, 2019</w:t>
      </w:r>
      <w:r w:rsidR="00B05E82" w:rsidRPr="00B05E82">
        <w:rPr>
          <w:rFonts w:cstheme="minorHAnsi"/>
          <w:bCs/>
        </w:rPr>
        <w:t xml:space="preserve">. </w:t>
      </w:r>
    </w:p>
    <w:p w:rsidR="00B05E82" w:rsidRPr="00B05E82" w:rsidRDefault="00B05E82" w:rsidP="00B05E82">
      <w:pPr>
        <w:rPr>
          <w:rFonts w:cstheme="minorHAnsi"/>
          <w:bCs/>
        </w:rPr>
      </w:pPr>
      <w:r w:rsidRPr="00B05E82">
        <w:rPr>
          <w:rFonts w:cstheme="minorHAnsi"/>
          <w:bCs/>
        </w:rPr>
        <w:t xml:space="preserve">The total annualized cost to the federal government is </w:t>
      </w:r>
      <w:r w:rsidRPr="00A14CAC">
        <w:rPr>
          <w:rFonts w:cstheme="minorHAnsi"/>
          <w:bCs/>
        </w:rPr>
        <w:t>$</w:t>
      </w:r>
      <w:r w:rsidR="004304D6">
        <w:rPr>
          <w:rFonts w:cstheme="minorHAnsi"/>
          <w:bCs/>
        </w:rPr>
        <w:t>1,05</w:t>
      </w:r>
      <w:r w:rsidR="007867D2">
        <w:rPr>
          <w:rFonts w:cstheme="minorHAnsi"/>
          <w:bCs/>
        </w:rPr>
        <w:t>6</w:t>
      </w:r>
      <w:r w:rsidR="004304D6">
        <w:rPr>
          <w:rFonts w:cstheme="minorHAnsi"/>
          <w:bCs/>
        </w:rPr>
        <w:t>,</w:t>
      </w:r>
      <w:r w:rsidR="007867D2">
        <w:rPr>
          <w:rFonts w:cstheme="minorHAnsi"/>
          <w:bCs/>
        </w:rPr>
        <w:t>042</w:t>
      </w:r>
      <w:r w:rsidRPr="00B05E82">
        <w:rPr>
          <w:rFonts w:cstheme="minorHAnsi"/>
          <w:bCs/>
        </w:rPr>
        <w:t>.  Costs result from t</w:t>
      </w:r>
      <w:r>
        <w:rPr>
          <w:rFonts w:cstheme="minorHAnsi"/>
          <w:bCs/>
        </w:rPr>
        <w:t>he following two</w:t>
      </w:r>
      <w:r w:rsidRPr="00B05E82">
        <w:rPr>
          <w:rFonts w:cstheme="minorHAnsi"/>
          <w:bCs/>
        </w:rPr>
        <w:t xml:space="preserve"> categories: </w:t>
      </w:r>
    </w:p>
    <w:p w:rsidR="00B05E82" w:rsidRPr="00B05E82" w:rsidRDefault="00B05E82" w:rsidP="00B05E82">
      <w:pPr>
        <w:rPr>
          <w:rFonts w:cstheme="minorHAnsi"/>
          <w:bCs/>
        </w:rPr>
      </w:pPr>
      <w:r w:rsidRPr="00B05E82">
        <w:rPr>
          <w:rFonts w:cstheme="minorHAnsi"/>
          <w:bCs/>
        </w:rPr>
        <w:t>1.</w:t>
      </w:r>
      <w:r w:rsidRPr="00B05E82">
        <w:rPr>
          <w:rFonts w:cstheme="minorHAnsi"/>
          <w:bCs/>
        </w:rPr>
        <w:tab/>
        <w:t>The estimated cost to the federal government for the contractor to carry out this study is</w:t>
      </w:r>
      <w:r w:rsidR="001C70BD">
        <w:rPr>
          <w:rFonts w:cstheme="minorHAnsi"/>
          <w:bCs/>
        </w:rPr>
        <w:t xml:space="preserve"> $2,640,309 for follow-up survey data collection (including instrument development), $192,530 for fielding the participant tracking forms, $254,184 for the employer study, and $26,009 for the college survey. Annualized over three years, this comes to (($2,640,309 + $192,530 + $254,184 + $26,009)/3 = $1,037,677</w:t>
      </w:r>
      <w:r w:rsidRPr="00A14CAC">
        <w:rPr>
          <w:rFonts w:cstheme="minorHAnsi"/>
          <w:bCs/>
        </w:rPr>
        <w:t>.</w:t>
      </w:r>
    </w:p>
    <w:p w:rsidR="00C20C17" w:rsidRDefault="00B05E82" w:rsidP="00B05E82">
      <w:pPr>
        <w:rPr>
          <w:rFonts w:cstheme="minorHAnsi"/>
          <w:bCs/>
        </w:rPr>
      </w:pPr>
      <w:r w:rsidRPr="00B05E82">
        <w:rPr>
          <w:rFonts w:cstheme="minorHAnsi"/>
          <w:bCs/>
        </w:rPr>
        <w:t>2.</w:t>
      </w:r>
      <w:r w:rsidRPr="00B05E82">
        <w:rPr>
          <w:rFonts w:cstheme="minorHAnsi"/>
          <w:bCs/>
        </w:rPr>
        <w:tab/>
      </w:r>
      <w:r w:rsidR="00C20C17" w:rsidRPr="00C20C17">
        <w:rPr>
          <w:rFonts w:cstheme="minorHAnsi"/>
          <w:bCs/>
        </w:rPr>
        <w:t>DOL expects the annual level of effort for Federal government technical staff to oversee the contract will require 200 hours for one Washington D.C.-based l GS-14, Step 4 employee earning $57.39 per hour</w:t>
      </w:r>
      <w:r w:rsidR="007867D2">
        <w:rPr>
          <w:rFonts w:cstheme="minorHAnsi"/>
          <w:bCs/>
        </w:rPr>
        <w:t xml:space="preserve"> (</w:t>
      </w:r>
      <w:r w:rsidR="007867D2" w:rsidRPr="007867D2">
        <w:rPr>
          <w:rFonts w:cstheme="minorHAnsi"/>
          <w:bCs/>
        </w:rPr>
        <w:t xml:space="preserve">See Office of Personnel Management 2016 Hourly Salary Table: </w:t>
      </w:r>
      <w:hyperlink r:id="rId11" w:history="1">
        <w:r w:rsidR="007867D2" w:rsidRPr="004F0688">
          <w:rPr>
            <w:rStyle w:val="Hyperlink"/>
            <w:rFonts w:cstheme="minorHAnsi"/>
            <w:bCs/>
          </w:rPr>
          <w:t>https://www.opm.gov/policy-data-oversight/pay-leave/salaries-wages/salary-tables/pdf/2016/DCB_h.pdf</w:t>
        </w:r>
      </w:hyperlink>
      <w:r w:rsidR="007867D2">
        <w:rPr>
          <w:rFonts w:cstheme="minorHAnsi"/>
          <w:bCs/>
        </w:rPr>
        <w:t xml:space="preserve"> )</w:t>
      </w:r>
      <w:r w:rsidR="00C20C17" w:rsidRPr="00C20C17">
        <w:rPr>
          <w:rFonts w:cstheme="minorHAnsi"/>
          <w:bCs/>
        </w:rPr>
        <w:t xml:space="preserve">.   To account for fringe benefits and other overhead costs the agency applies a multiplication factor of 1.6. </w:t>
      </w:r>
      <w:r w:rsidR="007867D2">
        <w:rPr>
          <w:rFonts w:cstheme="minorHAnsi"/>
          <w:bCs/>
        </w:rPr>
        <w:t>T</w:t>
      </w:r>
      <w:r w:rsidR="007867D2" w:rsidRPr="007867D2">
        <w:rPr>
          <w:rFonts w:cstheme="minorHAnsi"/>
          <w:bCs/>
        </w:rPr>
        <w:t>he data collection period covered by this justification is three years, so the estimated total cost for performance of these duties is $55,095.</w:t>
      </w:r>
      <w:r w:rsidR="007867D2">
        <w:rPr>
          <w:rFonts w:cstheme="minorHAnsi"/>
          <w:bCs/>
        </w:rPr>
        <w:t xml:space="preserve"> T</w:t>
      </w:r>
      <w:r w:rsidR="00C20C17" w:rsidRPr="00C20C17">
        <w:rPr>
          <w:rFonts w:cstheme="minorHAnsi"/>
          <w:bCs/>
        </w:rPr>
        <w:t xml:space="preserve">he estimated annual cost borne by DOL for these duties is $18,365.  </w:t>
      </w:r>
    </w:p>
    <w:p w:rsidR="006F299B" w:rsidRDefault="006F299B" w:rsidP="00137474">
      <w:pPr>
        <w:pStyle w:val="Heading2"/>
      </w:pPr>
      <w:bookmarkStart w:id="18" w:name="_Toc466359638"/>
      <w:r w:rsidRPr="00297B36">
        <w:t xml:space="preserve">A15: Change in </w:t>
      </w:r>
      <w:r w:rsidR="00911BD5">
        <w:t>B</w:t>
      </w:r>
      <w:r w:rsidRPr="001034D3">
        <w:t>urden</w:t>
      </w:r>
      <w:bookmarkEnd w:id="18"/>
    </w:p>
    <w:p w:rsidR="006F299B" w:rsidRPr="0076035F" w:rsidRDefault="006F299B" w:rsidP="006F299B">
      <w:r>
        <w:t xml:space="preserve">This is a new </w:t>
      </w:r>
      <w:r w:rsidR="00F5526E">
        <w:t>data collection</w:t>
      </w:r>
      <w:r>
        <w:t xml:space="preserve">. </w:t>
      </w:r>
    </w:p>
    <w:p w:rsidR="006F299B" w:rsidRPr="00B34B48" w:rsidRDefault="006F299B" w:rsidP="00137474">
      <w:pPr>
        <w:pStyle w:val="Heading2"/>
      </w:pPr>
      <w:bookmarkStart w:id="19" w:name="_Toc466359639"/>
      <w:r w:rsidRPr="00B34B48">
        <w:t xml:space="preserve">A16: Plan and </w:t>
      </w:r>
      <w:r w:rsidR="00911BD5" w:rsidRPr="00B34B48">
        <w:t xml:space="preserve">Time Schedule </w:t>
      </w:r>
      <w:r w:rsidR="00911BD5">
        <w:t>f</w:t>
      </w:r>
      <w:r w:rsidR="00911BD5" w:rsidRPr="00B34B48">
        <w:t xml:space="preserve">or Information Collection, Tabulation </w:t>
      </w:r>
      <w:r w:rsidR="00911BD5">
        <w:t>a</w:t>
      </w:r>
      <w:r w:rsidR="00911BD5" w:rsidRPr="00B34B48">
        <w:t>nd Publication</w:t>
      </w:r>
      <w:bookmarkEnd w:id="19"/>
    </w:p>
    <w:p w:rsidR="006F299B" w:rsidRPr="00B7709E" w:rsidRDefault="006F299B" w:rsidP="00137474">
      <w:pPr>
        <w:pStyle w:val="Heading4"/>
      </w:pPr>
      <w:r w:rsidRPr="00B7709E">
        <w:t xml:space="preserve">16.1 Analysis </w:t>
      </w:r>
      <w:r w:rsidR="00911BD5">
        <w:t>P</w:t>
      </w:r>
      <w:r w:rsidRPr="00B7709E">
        <w:t>lan</w:t>
      </w:r>
    </w:p>
    <w:p w:rsidR="00111CB5" w:rsidRPr="005A5C99" w:rsidRDefault="00674B1F" w:rsidP="00111CB5">
      <w:pPr>
        <w:spacing w:after="200" w:line="240" w:lineRule="auto"/>
        <w:rPr>
          <w:rFonts w:eastAsia="Calibri"/>
          <w:szCs w:val="22"/>
        </w:rPr>
      </w:pPr>
      <w:r w:rsidRPr="005A5C99">
        <w:rPr>
          <w:rFonts w:eastAsia="Calibri"/>
          <w:szCs w:val="22"/>
        </w:rPr>
        <w:t xml:space="preserve">The evaluation </w:t>
      </w:r>
      <w:r w:rsidR="00111CB5" w:rsidRPr="005A5C99">
        <w:rPr>
          <w:rFonts w:eastAsia="Calibri"/>
          <w:szCs w:val="22"/>
        </w:rPr>
        <w:t>will cover implementation</w:t>
      </w:r>
      <w:r w:rsidR="005A5C99" w:rsidRPr="005A5C99">
        <w:rPr>
          <w:rFonts w:eastAsia="Calibri"/>
          <w:szCs w:val="22"/>
        </w:rPr>
        <w:t xml:space="preserve">, </w:t>
      </w:r>
      <w:r w:rsidR="001F33AC" w:rsidRPr="005A5C99">
        <w:rPr>
          <w:rFonts w:eastAsia="Calibri"/>
          <w:szCs w:val="22"/>
        </w:rPr>
        <w:t>outcomes</w:t>
      </w:r>
      <w:r w:rsidR="00111CB5" w:rsidRPr="005A5C99">
        <w:rPr>
          <w:rFonts w:eastAsia="Calibri"/>
          <w:szCs w:val="22"/>
        </w:rPr>
        <w:t xml:space="preserve"> </w:t>
      </w:r>
      <w:r w:rsidR="005A5C99" w:rsidRPr="005A5C99">
        <w:rPr>
          <w:rFonts w:eastAsia="Calibri"/>
          <w:szCs w:val="22"/>
        </w:rPr>
        <w:t xml:space="preserve">and employer relationship </w:t>
      </w:r>
      <w:r w:rsidR="00111CB5" w:rsidRPr="005A5C99">
        <w:rPr>
          <w:rFonts w:eastAsia="Calibri"/>
          <w:szCs w:val="22"/>
        </w:rPr>
        <w:t>analys</w:t>
      </w:r>
      <w:r w:rsidR="005A5C99" w:rsidRPr="005A5C99">
        <w:rPr>
          <w:rFonts w:eastAsia="Calibri"/>
          <w:szCs w:val="22"/>
        </w:rPr>
        <w:t>e</w:t>
      </w:r>
      <w:r w:rsidR="00111CB5" w:rsidRPr="005A5C99">
        <w:rPr>
          <w:rFonts w:eastAsia="Calibri"/>
          <w:szCs w:val="22"/>
        </w:rPr>
        <w:t xml:space="preserve">s.  </w:t>
      </w:r>
    </w:p>
    <w:p w:rsidR="005805E4" w:rsidRPr="005A5C99" w:rsidRDefault="00111CB5" w:rsidP="000C2597">
      <w:pPr>
        <w:rPr>
          <w:rFonts w:eastAsia="Calibri"/>
          <w:szCs w:val="22"/>
        </w:rPr>
      </w:pPr>
      <w:r w:rsidRPr="005A5C99">
        <w:rPr>
          <w:rFonts w:eastAsia="Calibri"/>
          <w:b/>
          <w:szCs w:val="22"/>
        </w:rPr>
        <w:lastRenderedPageBreak/>
        <w:t xml:space="preserve">Implementation Analysis.  </w:t>
      </w:r>
      <w:r w:rsidR="00674B1F" w:rsidRPr="005A5C99">
        <w:rPr>
          <w:rFonts w:eastAsia="Calibri"/>
          <w:szCs w:val="22"/>
        </w:rPr>
        <w:t xml:space="preserve">The evaluation team </w:t>
      </w:r>
      <w:r w:rsidRPr="005A5C99">
        <w:rPr>
          <w:rFonts w:eastAsia="Calibri"/>
          <w:szCs w:val="22"/>
        </w:rPr>
        <w:t xml:space="preserve">will analyze 1) data collected as part of the site visits to the </w:t>
      </w:r>
      <w:r w:rsidR="00487372" w:rsidRPr="005A5C99">
        <w:rPr>
          <w:rFonts w:eastAsia="Calibri"/>
          <w:szCs w:val="22"/>
        </w:rPr>
        <w:t>nine</w:t>
      </w:r>
      <w:r w:rsidRPr="005A5C99">
        <w:rPr>
          <w:rFonts w:eastAsia="Calibri"/>
          <w:szCs w:val="22"/>
        </w:rPr>
        <w:t xml:space="preserve"> </w:t>
      </w:r>
      <w:r w:rsidR="008D20B4">
        <w:rPr>
          <w:rFonts w:eastAsia="Calibri"/>
          <w:szCs w:val="22"/>
        </w:rPr>
        <w:t>Outcomes Study</w:t>
      </w:r>
      <w:r w:rsidRPr="005A5C99">
        <w:rPr>
          <w:rFonts w:eastAsia="Calibri"/>
          <w:szCs w:val="22"/>
        </w:rPr>
        <w:t xml:space="preserve"> sites</w:t>
      </w:r>
      <w:r w:rsidR="001F33AC" w:rsidRPr="005A5C99">
        <w:rPr>
          <w:rFonts w:eastAsia="Calibri"/>
          <w:szCs w:val="22"/>
        </w:rPr>
        <w:t xml:space="preserve"> (approved under</w:t>
      </w:r>
      <w:r w:rsidR="003833A5" w:rsidRPr="005A5C99">
        <w:rPr>
          <w:rFonts w:eastAsia="Calibri"/>
          <w:szCs w:val="22"/>
        </w:rPr>
        <w:t xml:space="preserve"> OMB Control No.</w:t>
      </w:r>
      <w:r w:rsidR="001F33AC" w:rsidRPr="005A5C99">
        <w:rPr>
          <w:rFonts w:eastAsia="Calibri"/>
          <w:szCs w:val="22"/>
        </w:rPr>
        <w:t xml:space="preserve"> 1291-004)</w:t>
      </w:r>
      <w:r w:rsidR="005C1CD0">
        <w:rPr>
          <w:rFonts w:eastAsia="Calibri"/>
          <w:szCs w:val="22"/>
        </w:rPr>
        <w:t>,</w:t>
      </w:r>
      <w:r w:rsidR="00F64143">
        <w:rPr>
          <w:rFonts w:eastAsia="Calibri"/>
          <w:szCs w:val="22"/>
        </w:rPr>
        <w:t xml:space="preserve"> </w:t>
      </w:r>
      <w:r w:rsidR="001F33AC" w:rsidRPr="005A5C99">
        <w:rPr>
          <w:rFonts w:eastAsia="Calibri"/>
          <w:szCs w:val="22"/>
        </w:rPr>
        <w:t>2</w:t>
      </w:r>
      <w:r w:rsidRPr="005A5C99">
        <w:rPr>
          <w:rFonts w:eastAsia="Calibri"/>
          <w:szCs w:val="22"/>
        </w:rPr>
        <w:t>) data collected from the college survey</w:t>
      </w:r>
      <w:r w:rsidR="005C1CD0">
        <w:rPr>
          <w:rFonts w:eastAsia="Calibri"/>
          <w:szCs w:val="22"/>
        </w:rPr>
        <w:t>, and 3) data collected from the employer interviews</w:t>
      </w:r>
      <w:r w:rsidRPr="005A5C99">
        <w:rPr>
          <w:rFonts w:eastAsia="Calibri"/>
          <w:szCs w:val="22"/>
        </w:rPr>
        <w:t>.</w:t>
      </w:r>
      <w:r w:rsidR="007E207E">
        <w:rPr>
          <w:rStyle w:val="FootnoteReference"/>
          <w:rFonts w:eastAsia="Calibri"/>
          <w:szCs w:val="22"/>
        </w:rPr>
        <w:footnoteReference w:id="3"/>
      </w:r>
      <w:r w:rsidRPr="005A5C99">
        <w:rPr>
          <w:rFonts w:eastAsia="Calibri"/>
          <w:szCs w:val="22"/>
        </w:rPr>
        <w:t xml:space="preserve"> For the </w:t>
      </w:r>
      <w:r w:rsidR="00487372" w:rsidRPr="005A5C99">
        <w:rPr>
          <w:rFonts w:eastAsia="Calibri"/>
          <w:szCs w:val="22"/>
        </w:rPr>
        <w:t>nine</w:t>
      </w:r>
      <w:r w:rsidR="001F33AC" w:rsidRPr="005A5C99">
        <w:rPr>
          <w:rFonts w:eastAsia="Calibri"/>
          <w:szCs w:val="22"/>
        </w:rPr>
        <w:t xml:space="preserve"> </w:t>
      </w:r>
      <w:r w:rsidR="008D20B4">
        <w:rPr>
          <w:rFonts w:eastAsia="Calibri"/>
          <w:szCs w:val="22"/>
        </w:rPr>
        <w:t>Outcomes Study</w:t>
      </w:r>
      <w:r w:rsidRPr="005A5C99">
        <w:rPr>
          <w:rFonts w:eastAsia="Calibri"/>
          <w:szCs w:val="22"/>
        </w:rPr>
        <w:t xml:space="preserve"> sites, following the site visits </w:t>
      </w:r>
      <w:r w:rsidR="00674B1F" w:rsidRPr="005A5C99">
        <w:rPr>
          <w:rFonts w:eastAsia="Calibri"/>
          <w:szCs w:val="22"/>
        </w:rPr>
        <w:t xml:space="preserve">the team </w:t>
      </w:r>
      <w:r w:rsidRPr="005A5C99">
        <w:rPr>
          <w:rFonts w:eastAsia="Calibri"/>
          <w:szCs w:val="22"/>
        </w:rPr>
        <w:t xml:space="preserve">will organize data collected into short summaries that align with the TAACCCT conceptual framework (see Appendix A). This will provide a portrait of each grantee in terms of identified workforce needs, grant activities, capacity building operations, expected outcomes, and program context. These summaries will suggest exploratory questions for the </w:t>
      </w:r>
      <w:r w:rsidR="008D20B4">
        <w:rPr>
          <w:rFonts w:eastAsia="Calibri"/>
          <w:szCs w:val="22"/>
        </w:rPr>
        <w:t>Outcomes Study</w:t>
      </w:r>
      <w:r w:rsidRPr="005A5C99">
        <w:rPr>
          <w:rFonts w:eastAsia="Calibri"/>
          <w:szCs w:val="22"/>
        </w:rPr>
        <w:t xml:space="preserve"> and will help </w:t>
      </w:r>
      <w:r w:rsidR="00AC627E" w:rsidRPr="005A5C99">
        <w:rPr>
          <w:rFonts w:eastAsia="Calibri"/>
          <w:szCs w:val="22"/>
        </w:rPr>
        <w:t xml:space="preserve">the team </w:t>
      </w:r>
      <w:r w:rsidRPr="005A5C99">
        <w:rPr>
          <w:rFonts w:eastAsia="Calibri"/>
          <w:szCs w:val="22"/>
        </w:rPr>
        <w:t xml:space="preserve">interpret </w:t>
      </w:r>
      <w:r w:rsidR="008D20B4">
        <w:rPr>
          <w:rFonts w:eastAsia="Calibri"/>
          <w:szCs w:val="22"/>
        </w:rPr>
        <w:t>Outcomes Study</w:t>
      </w:r>
      <w:r w:rsidRPr="005A5C99">
        <w:rPr>
          <w:rFonts w:eastAsia="Calibri"/>
          <w:szCs w:val="22"/>
        </w:rPr>
        <w:t xml:space="preserve"> findings. </w:t>
      </w:r>
      <w:r w:rsidR="00674B1F" w:rsidRPr="005A5C99">
        <w:rPr>
          <w:rFonts w:eastAsia="Calibri"/>
          <w:szCs w:val="22"/>
        </w:rPr>
        <w:t xml:space="preserve">The evaluation team </w:t>
      </w:r>
      <w:r w:rsidRPr="005A5C99">
        <w:rPr>
          <w:rFonts w:eastAsia="Calibri"/>
          <w:szCs w:val="22"/>
        </w:rPr>
        <w:t xml:space="preserve">will also synthesize the findings to describe the similarities, differences, implementation successes and challenges across the </w:t>
      </w:r>
      <w:r w:rsidR="00487372" w:rsidRPr="005A5C99">
        <w:rPr>
          <w:rFonts w:eastAsia="Calibri"/>
          <w:szCs w:val="22"/>
        </w:rPr>
        <w:t>nine</w:t>
      </w:r>
      <w:r w:rsidR="00241159" w:rsidRPr="005A5C99">
        <w:rPr>
          <w:rFonts w:eastAsia="Calibri"/>
          <w:szCs w:val="22"/>
        </w:rPr>
        <w:t xml:space="preserve"> </w:t>
      </w:r>
      <w:r w:rsidRPr="005A5C99">
        <w:rPr>
          <w:rFonts w:eastAsia="Calibri"/>
          <w:szCs w:val="22"/>
        </w:rPr>
        <w:t xml:space="preserve">grantees. Special topics analyses will follow a similar model; </w:t>
      </w:r>
      <w:r w:rsidR="003D3131" w:rsidRPr="005A5C99">
        <w:rPr>
          <w:rFonts w:eastAsia="Calibri"/>
          <w:szCs w:val="22"/>
        </w:rPr>
        <w:t>the evaluators</w:t>
      </w:r>
      <w:r w:rsidRPr="005A5C99">
        <w:rPr>
          <w:rFonts w:eastAsia="Calibri"/>
          <w:szCs w:val="22"/>
        </w:rPr>
        <w:t xml:space="preserve"> will create summary reports that highlight key findings. </w:t>
      </w:r>
      <w:r w:rsidR="005A5C99" w:rsidRPr="005A5C99">
        <w:rPr>
          <w:rFonts w:eastAsia="Calibri"/>
          <w:szCs w:val="22"/>
        </w:rPr>
        <w:t xml:space="preserve"> For the </w:t>
      </w:r>
      <w:r w:rsidR="005805E4" w:rsidRPr="005A5C99">
        <w:rPr>
          <w:szCs w:val="22"/>
        </w:rPr>
        <w:t>college survey</w:t>
      </w:r>
      <w:r w:rsidR="005A5C99" w:rsidRPr="005A5C99">
        <w:rPr>
          <w:szCs w:val="22"/>
        </w:rPr>
        <w:t xml:space="preserve">, the </w:t>
      </w:r>
      <w:r w:rsidR="005805E4" w:rsidRPr="005A5C99">
        <w:rPr>
          <w:szCs w:val="22"/>
        </w:rPr>
        <w:t>in Qualtrics</w:t>
      </w:r>
      <w:r w:rsidR="005A5C99" w:rsidRPr="005A5C99">
        <w:rPr>
          <w:szCs w:val="22"/>
        </w:rPr>
        <w:t xml:space="preserve"> </w:t>
      </w:r>
      <w:r w:rsidR="005805E4" w:rsidRPr="005A5C99">
        <w:rPr>
          <w:szCs w:val="22"/>
        </w:rPr>
        <w:t xml:space="preserve">software </w:t>
      </w:r>
      <w:r w:rsidR="005A5C99" w:rsidRPr="005A5C99">
        <w:rPr>
          <w:szCs w:val="22"/>
        </w:rPr>
        <w:t>enables</w:t>
      </w:r>
      <w:r w:rsidR="005805E4" w:rsidRPr="005A5C99">
        <w:rPr>
          <w:szCs w:val="22"/>
        </w:rPr>
        <w:t xml:space="preserve"> the automatic tabulation of responses that reduces both the hours of staff time needed for survey processing and the possibility of introducing human error into the data.  </w:t>
      </w:r>
    </w:p>
    <w:p w:rsidR="003833A5" w:rsidRPr="005A5C99" w:rsidRDefault="001F33AC" w:rsidP="003833A5">
      <w:pPr>
        <w:rPr>
          <w:rFonts w:eastAsia="Calibri"/>
          <w:szCs w:val="22"/>
        </w:rPr>
      </w:pPr>
      <w:r w:rsidRPr="005A5C99">
        <w:rPr>
          <w:rFonts w:eastAsia="Calibri"/>
          <w:b/>
          <w:szCs w:val="22"/>
        </w:rPr>
        <w:t>Outcomes</w:t>
      </w:r>
      <w:r w:rsidR="00111CB5" w:rsidRPr="005A5C99">
        <w:rPr>
          <w:rFonts w:eastAsia="Calibri"/>
          <w:b/>
          <w:szCs w:val="22"/>
        </w:rPr>
        <w:t xml:space="preserve"> Analysis.</w:t>
      </w:r>
      <w:r w:rsidRPr="005A5C99">
        <w:rPr>
          <w:rFonts w:eastAsia="Calibri"/>
          <w:b/>
          <w:szCs w:val="22"/>
        </w:rPr>
        <w:t xml:space="preserve">  </w:t>
      </w:r>
      <w:r w:rsidRPr="005A5C99">
        <w:rPr>
          <w:rFonts w:eastAsia="Calibri"/>
          <w:szCs w:val="22"/>
        </w:rPr>
        <w:t>The research questions for the outcomes analysis will be mostly answered with tabulations of means and percentages along wit</w:t>
      </w:r>
      <w:r w:rsidR="00A250A4" w:rsidRPr="005A5C99">
        <w:rPr>
          <w:rFonts w:eastAsia="Calibri"/>
          <w:szCs w:val="22"/>
        </w:rPr>
        <w:t>h corresponding standard errors</w:t>
      </w:r>
      <w:r w:rsidR="00111CB5" w:rsidRPr="005A5C99">
        <w:rPr>
          <w:rFonts w:eastAsia="Calibri"/>
          <w:szCs w:val="22"/>
        </w:rPr>
        <w:t>.</w:t>
      </w:r>
      <w:r w:rsidR="00A250A4" w:rsidRPr="005A5C99">
        <w:rPr>
          <w:rFonts w:eastAsia="Calibri"/>
          <w:szCs w:val="22"/>
        </w:rPr>
        <w:t xml:space="preserve">  Comparisons will be made between groups defined both by program characteristics and by </w:t>
      </w:r>
      <w:r w:rsidR="003833A5" w:rsidRPr="005A5C99">
        <w:rPr>
          <w:rFonts w:eastAsia="Calibri"/>
          <w:szCs w:val="22"/>
        </w:rPr>
        <w:t xml:space="preserve">participant </w:t>
      </w:r>
      <w:r w:rsidR="00A250A4" w:rsidRPr="005A5C99">
        <w:rPr>
          <w:rFonts w:eastAsia="Calibri"/>
          <w:szCs w:val="22"/>
        </w:rPr>
        <w:t xml:space="preserve">characteristics. The </w:t>
      </w:r>
      <w:r w:rsidR="003833A5" w:rsidRPr="005A5C99">
        <w:rPr>
          <w:rFonts w:eastAsia="Calibri"/>
          <w:szCs w:val="22"/>
        </w:rPr>
        <w:t>f</w:t>
      </w:r>
      <w:r w:rsidR="00A250A4" w:rsidRPr="005A5C99">
        <w:rPr>
          <w:rFonts w:eastAsia="Calibri"/>
          <w:szCs w:val="22"/>
        </w:rPr>
        <w:t>ollow</w:t>
      </w:r>
      <w:r w:rsidR="003833A5" w:rsidRPr="005A5C99">
        <w:rPr>
          <w:rFonts w:eastAsia="Calibri"/>
          <w:szCs w:val="22"/>
        </w:rPr>
        <w:t>-</w:t>
      </w:r>
      <w:r w:rsidR="00A250A4" w:rsidRPr="005A5C99">
        <w:rPr>
          <w:rFonts w:eastAsia="Calibri"/>
          <w:szCs w:val="22"/>
        </w:rPr>
        <w:t xml:space="preserve">up </w:t>
      </w:r>
      <w:r w:rsidR="003833A5" w:rsidRPr="005A5C99">
        <w:rPr>
          <w:rFonts w:eastAsia="Calibri"/>
          <w:szCs w:val="22"/>
        </w:rPr>
        <w:t>s</w:t>
      </w:r>
      <w:r w:rsidR="00A250A4" w:rsidRPr="005A5C99">
        <w:rPr>
          <w:rFonts w:eastAsia="Calibri"/>
          <w:szCs w:val="22"/>
        </w:rPr>
        <w:t>urvey instrument will support analyses of four major topic areas:</w:t>
      </w:r>
      <w:r w:rsidR="003833A5" w:rsidRPr="005A5C99">
        <w:rPr>
          <w:rFonts w:eastAsia="Calibri"/>
          <w:szCs w:val="22"/>
        </w:rPr>
        <w:t xml:space="preserve"> </w:t>
      </w:r>
    </w:p>
    <w:p w:rsidR="003833A5" w:rsidRPr="005A5C99" w:rsidRDefault="003833A5" w:rsidP="003833A5">
      <w:pPr>
        <w:pStyle w:val="ListParagraph"/>
        <w:numPr>
          <w:ilvl w:val="0"/>
          <w:numId w:val="40"/>
        </w:numPr>
        <w:rPr>
          <w:rFonts w:ascii="Times New Roman" w:hAnsi="Times New Roman" w:cs="Times New Roman"/>
        </w:rPr>
      </w:pPr>
      <w:r w:rsidRPr="005A5C99">
        <w:rPr>
          <w:rFonts w:ascii="Times New Roman" w:eastAsia="Calibri" w:hAnsi="Times New Roman" w:cs="Times New Roman"/>
          <w:i/>
        </w:rPr>
        <w:t>T</w:t>
      </w:r>
      <w:r w:rsidR="00A250A4" w:rsidRPr="005A5C99">
        <w:rPr>
          <w:rFonts w:ascii="Times New Roman" w:hAnsi="Times New Roman" w:cs="Times New Roman"/>
          <w:i/>
        </w:rPr>
        <w:t>raining receipt, quality, and educational progress</w:t>
      </w:r>
      <w:r w:rsidRPr="005A5C99">
        <w:rPr>
          <w:rFonts w:ascii="Times New Roman" w:hAnsi="Times New Roman" w:cs="Times New Roman"/>
        </w:rPr>
        <w:t xml:space="preserve">. Questions focus on occupational training, such as how long students persisted in the program, how many credits they earned (including credit for prior learning), how many hours of instruction they engaged in, what credentials they earned, and their impressions of the training. The survey includes questions related to hands-on training opportunities (e.g., in labs or simulations) and the specific occupational skills participants acquire.  </w:t>
      </w:r>
    </w:p>
    <w:p w:rsidR="003833A5" w:rsidRPr="005A5C99" w:rsidRDefault="003833A5" w:rsidP="003833A5">
      <w:pPr>
        <w:pStyle w:val="ListParagraph"/>
        <w:numPr>
          <w:ilvl w:val="0"/>
          <w:numId w:val="40"/>
        </w:numPr>
        <w:rPr>
          <w:rFonts w:ascii="Times New Roman" w:hAnsi="Times New Roman" w:cs="Times New Roman"/>
        </w:rPr>
      </w:pPr>
      <w:r w:rsidRPr="005A5C99">
        <w:rPr>
          <w:rFonts w:ascii="Times New Roman" w:hAnsi="Times New Roman" w:cs="Times New Roman"/>
          <w:i/>
        </w:rPr>
        <w:t>T</w:t>
      </w:r>
      <w:r w:rsidR="00A250A4" w:rsidRPr="005A5C99">
        <w:rPr>
          <w:rFonts w:ascii="Times New Roman" w:hAnsi="Times New Roman" w:cs="Times New Roman"/>
          <w:i/>
        </w:rPr>
        <w:t>raining-related supports</w:t>
      </w:r>
      <w:r w:rsidRPr="005A5C99">
        <w:rPr>
          <w:rFonts w:ascii="Times New Roman" w:hAnsi="Times New Roman" w:cs="Times New Roman"/>
        </w:rPr>
        <w:t>. These include tutoring, career advising, and job search services, as well as who provided the assistance and whether this assistance yielded useful job leads. Additional questions focus on how participants finance their training.</w:t>
      </w:r>
    </w:p>
    <w:p w:rsidR="003833A5" w:rsidRPr="005A5C99" w:rsidRDefault="003833A5" w:rsidP="003833A5">
      <w:pPr>
        <w:pStyle w:val="ListParagraph"/>
        <w:numPr>
          <w:ilvl w:val="0"/>
          <w:numId w:val="40"/>
        </w:numPr>
        <w:rPr>
          <w:rFonts w:ascii="Times New Roman" w:hAnsi="Times New Roman" w:cs="Times New Roman"/>
        </w:rPr>
      </w:pPr>
      <w:r w:rsidRPr="005A5C99">
        <w:rPr>
          <w:rFonts w:ascii="Times New Roman" w:hAnsi="Times New Roman" w:cs="Times New Roman"/>
          <w:i/>
        </w:rPr>
        <w:t>E</w:t>
      </w:r>
      <w:r w:rsidR="00A250A4" w:rsidRPr="005A5C99">
        <w:rPr>
          <w:rFonts w:ascii="Times New Roman" w:hAnsi="Times New Roman" w:cs="Times New Roman"/>
          <w:i/>
        </w:rPr>
        <w:t>mployment characteristics</w:t>
      </w:r>
      <w:r w:rsidRPr="005A5C99">
        <w:rPr>
          <w:rFonts w:ascii="Times New Roman" w:hAnsi="Times New Roman" w:cs="Times New Roman"/>
        </w:rPr>
        <w:t>. These focus on employment characteristics that are not available through administrative (NDNH) records, such as post-training hourly wages, whether the job is in the area in which the participant trained and whether the job has benefits provided by the employer.</w:t>
      </w:r>
    </w:p>
    <w:p w:rsidR="00A250A4" w:rsidRDefault="003833A5" w:rsidP="003833A5">
      <w:pPr>
        <w:pStyle w:val="ListParagraph"/>
        <w:numPr>
          <w:ilvl w:val="0"/>
          <w:numId w:val="40"/>
        </w:numPr>
        <w:rPr>
          <w:rFonts w:ascii="Times New Roman" w:hAnsi="Times New Roman" w:cs="Times New Roman"/>
        </w:rPr>
      </w:pPr>
      <w:r w:rsidRPr="005A5C99">
        <w:rPr>
          <w:rFonts w:ascii="Times New Roman" w:hAnsi="Times New Roman" w:cs="Times New Roman"/>
          <w:i/>
        </w:rPr>
        <w:t>I</w:t>
      </w:r>
      <w:r w:rsidR="00A250A4" w:rsidRPr="005A5C99">
        <w:rPr>
          <w:rFonts w:ascii="Times New Roman" w:hAnsi="Times New Roman" w:cs="Times New Roman"/>
          <w:i/>
        </w:rPr>
        <w:t>ncome and receipt of public benefits</w:t>
      </w:r>
      <w:r w:rsidRPr="005A5C99">
        <w:rPr>
          <w:rFonts w:ascii="Times New Roman" w:hAnsi="Times New Roman" w:cs="Times New Roman"/>
        </w:rPr>
        <w:t>.</w:t>
      </w:r>
      <w:r w:rsidR="00A250A4" w:rsidRPr="005A5C99">
        <w:rPr>
          <w:rFonts w:ascii="Times New Roman" w:hAnsi="Times New Roman" w:cs="Times New Roman"/>
        </w:rPr>
        <w:t xml:space="preserve"> </w:t>
      </w:r>
      <w:r w:rsidR="00CB1341" w:rsidRPr="005A5C99">
        <w:rPr>
          <w:rFonts w:ascii="Times New Roman" w:hAnsi="Times New Roman" w:cs="Times New Roman"/>
        </w:rPr>
        <w:t xml:space="preserve">These include total household income, household composition (i.e., the number of adults and children, which will be used to calculate income relative to poverty), and public assistance benefits received.  </w:t>
      </w:r>
    </w:p>
    <w:p w:rsidR="006F299B" w:rsidRPr="00B7709E" w:rsidRDefault="006F299B" w:rsidP="00137474">
      <w:pPr>
        <w:pStyle w:val="Heading4"/>
      </w:pPr>
      <w:r w:rsidRPr="00B7709E">
        <w:t xml:space="preserve">16.2 Time </w:t>
      </w:r>
      <w:r w:rsidR="00911BD5">
        <w:t>S</w:t>
      </w:r>
      <w:r w:rsidRPr="00B7709E">
        <w:t xml:space="preserve">chedule and </w:t>
      </w:r>
      <w:r w:rsidR="00911BD5">
        <w:t>P</w:t>
      </w:r>
      <w:r w:rsidRPr="00B7709E">
        <w:t>ublications</w:t>
      </w:r>
    </w:p>
    <w:p w:rsidR="006F299B" w:rsidRPr="00137474" w:rsidRDefault="006F299B" w:rsidP="00137474">
      <w:pPr>
        <w:pStyle w:val="BodyText"/>
      </w:pPr>
      <w:r w:rsidRPr="00137474">
        <w:t>For</w:t>
      </w:r>
      <w:r w:rsidR="00F569E1">
        <w:t xml:space="preserve"> </w:t>
      </w:r>
      <w:r w:rsidR="0016398E">
        <w:t>administration of the follow-up survey, participant tracking form, college survey, and employer interviews</w:t>
      </w:r>
      <w:r w:rsidRPr="00137474">
        <w:t xml:space="preserve">, </w:t>
      </w:r>
      <w:r w:rsidR="00F569E1">
        <w:t xml:space="preserve">CEO </w:t>
      </w:r>
      <w:r w:rsidR="00A40044">
        <w:t>and ETA are</w:t>
      </w:r>
      <w:r w:rsidRPr="00137474">
        <w:t xml:space="preserve"> seeking OMB approval beginning </w:t>
      </w:r>
      <w:r w:rsidR="00A40044">
        <w:t xml:space="preserve">within one month of approval </w:t>
      </w:r>
      <w:r w:rsidRPr="00137474">
        <w:t xml:space="preserve">and ending </w:t>
      </w:r>
      <w:r w:rsidR="00A40044">
        <w:t>September 29, 2019</w:t>
      </w:r>
      <w:r w:rsidRPr="00137474">
        <w:t xml:space="preserve">.  </w:t>
      </w:r>
    </w:p>
    <w:p w:rsidR="006F299B" w:rsidRPr="00137474" w:rsidRDefault="006F299B" w:rsidP="00137474">
      <w:pPr>
        <w:pStyle w:val="BodyText"/>
      </w:pPr>
      <w:r w:rsidRPr="00137474">
        <w:lastRenderedPageBreak/>
        <w:t xml:space="preserve">Exhibit 16.2 presents an overview of the project schedule for information collection.  It also identifies deliverables associated with each major data collection activity.  </w:t>
      </w:r>
    </w:p>
    <w:p w:rsidR="00137474" w:rsidRPr="0098277E" w:rsidRDefault="00137474" w:rsidP="006A0712">
      <w:pPr>
        <w:pStyle w:val="Exhibit"/>
        <w:keepNext/>
      </w:pPr>
      <w:r w:rsidRPr="0098277E">
        <w:t xml:space="preserve">Exhibit </w:t>
      </w:r>
      <w:r w:rsidR="00620FF4">
        <w:t>A</w:t>
      </w:r>
      <w:r w:rsidRPr="0098277E">
        <w:t>16.2</w:t>
      </w:r>
      <w:r>
        <w:t xml:space="preserve"> Overview of Project Data Collection Schedule</w:t>
      </w:r>
    </w:p>
    <w:tbl>
      <w:tblPr>
        <w:tblStyle w:val="TableGrid"/>
        <w:tblW w:w="921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40"/>
        <w:gridCol w:w="2898"/>
        <w:gridCol w:w="3078"/>
      </w:tblGrid>
      <w:tr w:rsidR="00137474" w:rsidRPr="00426B73" w:rsidTr="00AC627E">
        <w:trPr>
          <w:trHeight w:val="98"/>
        </w:trPr>
        <w:tc>
          <w:tcPr>
            <w:tcW w:w="3240" w:type="dxa"/>
            <w:shd w:val="clear" w:color="auto" w:fill="C3C6A8"/>
          </w:tcPr>
          <w:p w:rsidR="00137474" w:rsidRPr="00426B73" w:rsidRDefault="00137474" w:rsidP="006A0712">
            <w:pPr>
              <w:pStyle w:val="BodyText"/>
              <w:keepNext/>
              <w:spacing w:after="0"/>
              <w:rPr>
                <w:rFonts w:ascii="Arial" w:hAnsi="Arial" w:cs="Arial"/>
                <w:b/>
                <w:sz w:val="20"/>
              </w:rPr>
            </w:pPr>
            <w:r w:rsidRPr="00426B73">
              <w:rPr>
                <w:rFonts w:ascii="Arial" w:hAnsi="Arial" w:cs="Arial"/>
                <w:b/>
                <w:sz w:val="20"/>
              </w:rPr>
              <w:t>Data Collection Activity</w:t>
            </w:r>
          </w:p>
        </w:tc>
        <w:tc>
          <w:tcPr>
            <w:tcW w:w="2898" w:type="dxa"/>
            <w:shd w:val="clear" w:color="auto" w:fill="C3C6A8"/>
          </w:tcPr>
          <w:p w:rsidR="00137474" w:rsidRPr="00426B73" w:rsidRDefault="00137474" w:rsidP="006A0712">
            <w:pPr>
              <w:pStyle w:val="BodyText"/>
              <w:keepNext/>
              <w:spacing w:after="0"/>
              <w:rPr>
                <w:rFonts w:ascii="Arial" w:hAnsi="Arial" w:cs="Arial"/>
                <w:b/>
                <w:sz w:val="20"/>
              </w:rPr>
            </w:pPr>
            <w:r w:rsidRPr="00426B73">
              <w:rPr>
                <w:rFonts w:ascii="Arial" w:hAnsi="Arial" w:cs="Arial"/>
                <w:b/>
                <w:sz w:val="20"/>
              </w:rPr>
              <w:t>Timing</w:t>
            </w:r>
          </w:p>
        </w:tc>
        <w:tc>
          <w:tcPr>
            <w:tcW w:w="3078" w:type="dxa"/>
            <w:shd w:val="clear" w:color="auto" w:fill="C3C6A8"/>
          </w:tcPr>
          <w:p w:rsidR="00137474" w:rsidRPr="00426B73" w:rsidRDefault="00137474" w:rsidP="006A0712">
            <w:pPr>
              <w:pStyle w:val="BodyText"/>
              <w:keepNext/>
              <w:spacing w:after="0"/>
              <w:rPr>
                <w:rFonts w:ascii="Arial" w:hAnsi="Arial" w:cs="Arial"/>
                <w:b/>
                <w:sz w:val="20"/>
              </w:rPr>
            </w:pPr>
            <w:r w:rsidRPr="00426B73">
              <w:rPr>
                <w:rFonts w:ascii="Arial" w:hAnsi="Arial" w:cs="Arial"/>
                <w:b/>
                <w:sz w:val="20"/>
              </w:rPr>
              <w:t>Associated Publications</w:t>
            </w:r>
          </w:p>
        </w:tc>
      </w:tr>
      <w:tr w:rsidR="00137474" w:rsidRPr="00426B73" w:rsidTr="00AC627E">
        <w:tc>
          <w:tcPr>
            <w:tcW w:w="3240" w:type="dxa"/>
          </w:tcPr>
          <w:p w:rsidR="00137474" w:rsidRPr="00170CF9" w:rsidRDefault="00137474" w:rsidP="0016398E">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170CF9">
              <w:rPr>
                <w:rFonts w:ascii="Arial" w:hAnsi="Arial" w:cs="Arial"/>
                <w:sz w:val="18"/>
                <w:szCs w:val="18"/>
              </w:rPr>
              <w:t>12-month follow up survey</w:t>
            </w:r>
          </w:p>
        </w:tc>
        <w:tc>
          <w:tcPr>
            <w:tcW w:w="2898" w:type="dxa"/>
          </w:tcPr>
          <w:p w:rsidR="00137474" w:rsidRPr="00170CF9" w:rsidRDefault="00137474" w:rsidP="0016398E">
            <w:pPr>
              <w:pStyle w:val="BodyText"/>
              <w:keepNext/>
              <w:spacing w:after="0"/>
              <w:rPr>
                <w:rFonts w:ascii="Arial" w:hAnsi="Arial" w:cs="Arial"/>
                <w:sz w:val="18"/>
                <w:szCs w:val="18"/>
              </w:rPr>
            </w:pPr>
            <w:r w:rsidRPr="00170CF9">
              <w:rPr>
                <w:rFonts w:ascii="Arial" w:hAnsi="Arial" w:cs="Arial"/>
                <w:sz w:val="18"/>
                <w:szCs w:val="18"/>
              </w:rPr>
              <w:t xml:space="preserve">From </w:t>
            </w:r>
            <w:r w:rsidR="0016398E">
              <w:rPr>
                <w:rFonts w:ascii="Arial" w:hAnsi="Arial" w:cs="Arial"/>
                <w:sz w:val="18"/>
                <w:szCs w:val="18"/>
              </w:rPr>
              <w:t>September 2017</w:t>
            </w:r>
            <w:r w:rsidR="00B36809" w:rsidRPr="00170CF9">
              <w:rPr>
                <w:rFonts w:ascii="Arial" w:hAnsi="Arial" w:cs="Arial"/>
                <w:sz w:val="18"/>
                <w:szCs w:val="18"/>
              </w:rPr>
              <w:t xml:space="preserve"> – </w:t>
            </w:r>
            <w:r w:rsidR="0016398E">
              <w:rPr>
                <w:rFonts w:ascii="Arial" w:hAnsi="Arial" w:cs="Arial"/>
                <w:sz w:val="18"/>
                <w:szCs w:val="18"/>
              </w:rPr>
              <w:t>November 2018</w:t>
            </w:r>
            <w:r w:rsidRPr="00170CF9">
              <w:rPr>
                <w:rFonts w:ascii="Arial" w:hAnsi="Arial" w:cs="Arial"/>
                <w:sz w:val="18"/>
                <w:szCs w:val="18"/>
              </w:rPr>
              <w:t xml:space="preserve"> </w:t>
            </w:r>
          </w:p>
        </w:tc>
        <w:tc>
          <w:tcPr>
            <w:tcW w:w="3078" w:type="dxa"/>
          </w:tcPr>
          <w:p w:rsidR="00137474" w:rsidRPr="00170CF9" w:rsidRDefault="00B36809" w:rsidP="006A0712">
            <w:pPr>
              <w:pStyle w:val="BodyText"/>
              <w:keepNext/>
              <w:spacing w:after="0"/>
              <w:rPr>
                <w:rFonts w:ascii="Arial" w:hAnsi="Arial" w:cs="Arial"/>
                <w:sz w:val="18"/>
                <w:szCs w:val="18"/>
              </w:rPr>
            </w:pPr>
            <w:r w:rsidRPr="00170CF9">
              <w:rPr>
                <w:rFonts w:ascii="Arial" w:hAnsi="Arial" w:cs="Arial"/>
                <w:sz w:val="18"/>
                <w:szCs w:val="18"/>
              </w:rPr>
              <w:t>F</w:t>
            </w:r>
            <w:r w:rsidR="00137474" w:rsidRPr="00170CF9">
              <w:rPr>
                <w:rFonts w:ascii="Arial" w:hAnsi="Arial" w:cs="Arial"/>
                <w:sz w:val="18"/>
                <w:szCs w:val="18"/>
              </w:rPr>
              <w:t>inal report</w:t>
            </w:r>
          </w:p>
        </w:tc>
      </w:tr>
      <w:tr w:rsidR="0016398E" w:rsidRPr="00426B73" w:rsidTr="00AC627E">
        <w:tc>
          <w:tcPr>
            <w:tcW w:w="3240" w:type="dxa"/>
          </w:tcPr>
          <w:p w:rsidR="0016398E" w:rsidRPr="00170CF9" w:rsidRDefault="0016398E" w:rsidP="006A0712">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Pr>
                <w:rFonts w:ascii="Arial" w:hAnsi="Arial" w:cs="Arial"/>
                <w:sz w:val="18"/>
                <w:szCs w:val="18"/>
              </w:rPr>
              <w:t>Participant Tracking Form</w:t>
            </w:r>
          </w:p>
        </w:tc>
        <w:tc>
          <w:tcPr>
            <w:tcW w:w="2898" w:type="dxa"/>
          </w:tcPr>
          <w:p w:rsidR="0016398E" w:rsidRDefault="003F2832" w:rsidP="003F2832">
            <w:pPr>
              <w:pStyle w:val="BodyText"/>
              <w:keepNext/>
              <w:spacing w:after="0"/>
              <w:rPr>
                <w:rFonts w:ascii="Arial" w:hAnsi="Arial" w:cs="Arial"/>
                <w:sz w:val="18"/>
                <w:szCs w:val="18"/>
              </w:rPr>
            </w:pPr>
            <w:r>
              <w:rPr>
                <w:rFonts w:ascii="Arial" w:hAnsi="Arial" w:cs="Arial"/>
                <w:sz w:val="18"/>
                <w:szCs w:val="18"/>
              </w:rPr>
              <w:t xml:space="preserve">Within one month of OMB approval </w:t>
            </w:r>
          </w:p>
        </w:tc>
        <w:tc>
          <w:tcPr>
            <w:tcW w:w="3078" w:type="dxa"/>
          </w:tcPr>
          <w:p w:rsidR="0016398E" w:rsidRPr="00170CF9" w:rsidRDefault="0016398E" w:rsidP="006A0712">
            <w:pPr>
              <w:pStyle w:val="BodyText"/>
              <w:keepNext/>
              <w:spacing w:after="0"/>
              <w:rPr>
                <w:rFonts w:ascii="Arial" w:hAnsi="Arial" w:cs="Arial"/>
                <w:sz w:val="18"/>
                <w:szCs w:val="18"/>
              </w:rPr>
            </w:pPr>
            <w:r>
              <w:rPr>
                <w:rFonts w:ascii="Arial" w:hAnsi="Arial" w:cs="Arial"/>
                <w:sz w:val="18"/>
                <w:szCs w:val="18"/>
              </w:rPr>
              <w:t>N/A</w:t>
            </w:r>
          </w:p>
        </w:tc>
      </w:tr>
      <w:tr w:rsidR="00137474" w:rsidRPr="00426B73" w:rsidTr="00AC627E">
        <w:tc>
          <w:tcPr>
            <w:tcW w:w="3240" w:type="dxa"/>
          </w:tcPr>
          <w:p w:rsidR="00137474" w:rsidRPr="00170CF9" w:rsidRDefault="00B36809" w:rsidP="006A0712">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170CF9">
              <w:rPr>
                <w:rFonts w:ascii="Arial" w:hAnsi="Arial" w:cs="Arial"/>
                <w:sz w:val="18"/>
                <w:szCs w:val="18"/>
              </w:rPr>
              <w:t>College survey</w:t>
            </w:r>
          </w:p>
        </w:tc>
        <w:tc>
          <w:tcPr>
            <w:tcW w:w="2898" w:type="dxa"/>
          </w:tcPr>
          <w:p w:rsidR="00137474" w:rsidRPr="00170CF9" w:rsidRDefault="0016398E" w:rsidP="006A0712">
            <w:pPr>
              <w:pStyle w:val="BodyText"/>
              <w:keepNext/>
              <w:spacing w:after="0"/>
              <w:rPr>
                <w:rFonts w:ascii="Arial" w:hAnsi="Arial" w:cs="Arial"/>
                <w:sz w:val="18"/>
                <w:szCs w:val="18"/>
              </w:rPr>
            </w:pPr>
            <w:r>
              <w:rPr>
                <w:rFonts w:ascii="Arial" w:hAnsi="Arial" w:cs="Arial"/>
                <w:sz w:val="18"/>
                <w:szCs w:val="18"/>
              </w:rPr>
              <w:t>September 2017 – December 2017</w:t>
            </w:r>
          </w:p>
        </w:tc>
        <w:tc>
          <w:tcPr>
            <w:tcW w:w="3078" w:type="dxa"/>
          </w:tcPr>
          <w:p w:rsidR="00137474" w:rsidRPr="00170CF9" w:rsidRDefault="00B36809" w:rsidP="006A0712">
            <w:pPr>
              <w:pStyle w:val="BodyText"/>
              <w:keepNext/>
              <w:spacing w:after="0"/>
              <w:rPr>
                <w:rFonts w:ascii="Arial" w:hAnsi="Arial" w:cs="Arial"/>
                <w:sz w:val="18"/>
                <w:szCs w:val="18"/>
              </w:rPr>
            </w:pPr>
            <w:r w:rsidRPr="00170CF9">
              <w:rPr>
                <w:rFonts w:ascii="Arial" w:hAnsi="Arial" w:cs="Arial"/>
                <w:sz w:val="18"/>
                <w:szCs w:val="18"/>
              </w:rPr>
              <w:t>F</w:t>
            </w:r>
            <w:r w:rsidR="00137474" w:rsidRPr="00170CF9">
              <w:rPr>
                <w:rFonts w:ascii="Arial" w:hAnsi="Arial" w:cs="Arial"/>
                <w:sz w:val="18"/>
                <w:szCs w:val="18"/>
              </w:rPr>
              <w:t>inal report</w:t>
            </w:r>
          </w:p>
        </w:tc>
      </w:tr>
      <w:tr w:rsidR="00985F4F" w:rsidRPr="00426B73" w:rsidTr="00AC627E">
        <w:tc>
          <w:tcPr>
            <w:tcW w:w="3240" w:type="dxa"/>
          </w:tcPr>
          <w:p w:rsidR="00985F4F" w:rsidRPr="00301CC0" w:rsidRDefault="00B36809" w:rsidP="0016398E">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301CC0">
              <w:rPr>
                <w:rFonts w:ascii="Arial" w:hAnsi="Arial" w:cs="Arial"/>
                <w:sz w:val="18"/>
                <w:szCs w:val="18"/>
              </w:rPr>
              <w:t xml:space="preserve">Employer </w:t>
            </w:r>
            <w:r w:rsidR="0016398E" w:rsidRPr="00301CC0">
              <w:rPr>
                <w:rFonts w:ascii="Arial" w:hAnsi="Arial" w:cs="Arial"/>
                <w:sz w:val="18"/>
                <w:szCs w:val="18"/>
              </w:rPr>
              <w:t>interviews</w:t>
            </w:r>
          </w:p>
        </w:tc>
        <w:tc>
          <w:tcPr>
            <w:tcW w:w="2898" w:type="dxa"/>
          </w:tcPr>
          <w:p w:rsidR="00985F4F" w:rsidRPr="00301CC0" w:rsidRDefault="00486A43" w:rsidP="006A0712">
            <w:pPr>
              <w:pStyle w:val="BodyText"/>
              <w:keepNext/>
              <w:spacing w:after="0"/>
              <w:rPr>
                <w:rFonts w:ascii="Arial" w:hAnsi="Arial" w:cs="Arial"/>
                <w:sz w:val="18"/>
                <w:szCs w:val="18"/>
              </w:rPr>
            </w:pPr>
            <w:r w:rsidRPr="00301CC0">
              <w:rPr>
                <w:rFonts w:ascii="Arial" w:hAnsi="Arial" w:cs="Arial"/>
                <w:sz w:val="18"/>
                <w:szCs w:val="18"/>
              </w:rPr>
              <w:t>January 2018 – April 2018</w:t>
            </w:r>
          </w:p>
        </w:tc>
        <w:tc>
          <w:tcPr>
            <w:tcW w:w="3078" w:type="dxa"/>
          </w:tcPr>
          <w:p w:rsidR="00985F4F" w:rsidRPr="00170CF9" w:rsidRDefault="00486A43" w:rsidP="006A0712">
            <w:pPr>
              <w:pStyle w:val="BodyText"/>
              <w:keepNext/>
              <w:spacing w:after="0"/>
              <w:rPr>
                <w:rFonts w:ascii="Arial" w:hAnsi="Arial" w:cs="Arial"/>
                <w:sz w:val="18"/>
                <w:szCs w:val="18"/>
              </w:rPr>
            </w:pPr>
            <w:r w:rsidRPr="00301CC0">
              <w:rPr>
                <w:rFonts w:ascii="Arial" w:hAnsi="Arial" w:cs="Arial"/>
                <w:sz w:val="18"/>
                <w:szCs w:val="18"/>
              </w:rPr>
              <w:t>Report on Employer Relationships</w:t>
            </w:r>
          </w:p>
        </w:tc>
      </w:tr>
    </w:tbl>
    <w:p w:rsidR="006F299B" w:rsidRPr="004F1FB4" w:rsidRDefault="006F299B" w:rsidP="00137474">
      <w:pPr>
        <w:pStyle w:val="Heading2"/>
      </w:pPr>
      <w:bookmarkStart w:id="20" w:name="_Toc466359640"/>
      <w:r w:rsidRPr="004F1FB4">
        <w:t xml:space="preserve">A17: Reasons not to </w:t>
      </w:r>
      <w:r w:rsidR="00911BD5">
        <w:t>D</w:t>
      </w:r>
      <w:r w:rsidRPr="004F1FB4">
        <w:t>isplay OMB Expiration Date</w:t>
      </w:r>
      <w:bookmarkEnd w:id="20"/>
    </w:p>
    <w:p w:rsidR="006F299B" w:rsidRPr="004F1FB4" w:rsidRDefault="006F299B" w:rsidP="00137474">
      <w:pPr>
        <w:pStyle w:val="BodyText"/>
      </w:pPr>
      <w:r w:rsidRPr="004F1FB4">
        <w:t xml:space="preserve">All instruments created for </w:t>
      </w:r>
      <w:r w:rsidR="0016398E">
        <w:t xml:space="preserve">the Round 4 TAACCCT </w:t>
      </w:r>
      <w:r w:rsidR="00F569E1">
        <w:t>national evaluation</w:t>
      </w:r>
      <w:r w:rsidRPr="004F1FB4">
        <w:t xml:space="preserve"> will display the OMB approval number</w:t>
      </w:r>
      <w:r w:rsidR="0016398E">
        <w:t>s</w:t>
      </w:r>
      <w:r w:rsidR="00F5526E">
        <w:t xml:space="preserve"> and the expiration date</w:t>
      </w:r>
      <w:r w:rsidR="0016398E">
        <w:t>s</w:t>
      </w:r>
      <w:r w:rsidR="00F5526E">
        <w:t xml:space="preserve"> for OMB approval</w:t>
      </w:r>
      <w:r w:rsidR="0016398E">
        <w:t>s</w:t>
      </w:r>
      <w:r w:rsidRPr="004F1FB4">
        <w:t>.</w:t>
      </w:r>
    </w:p>
    <w:p w:rsidR="006F299B" w:rsidRPr="004F1FB4" w:rsidRDefault="006F299B" w:rsidP="00137474">
      <w:pPr>
        <w:pStyle w:val="Heading2"/>
      </w:pPr>
      <w:bookmarkStart w:id="21" w:name="_Toc466359641"/>
      <w:r w:rsidRPr="004F1FB4">
        <w:t>A18: Exceptions to Certification for Paperwork Reduction Act Submissions</w:t>
      </w:r>
      <w:bookmarkEnd w:id="21"/>
    </w:p>
    <w:p w:rsidR="006F299B" w:rsidRDefault="006F299B" w:rsidP="00137474">
      <w:pPr>
        <w:pStyle w:val="BodyText"/>
      </w:pPr>
      <w:r w:rsidRPr="004F1FB4">
        <w:t>No exceptions are necessary for this information collection.</w:t>
      </w:r>
    </w:p>
    <w:p w:rsidR="00CC525B" w:rsidRDefault="00CC525B" w:rsidP="00CC525B">
      <w:pPr>
        <w:pStyle w:val="Heading2"/>
      </w:pPr>
      <w:bookmarkStart w:id="22" w:name="_Toc466359642"/>
      <w:r>
        <w:t>References</w:t>
      </w:r>
      <w:bookmarkEnd w:id="22"/>
    </w:p>
    <w:p w:rsidR="007A5EA4" w:rsidRPr="002244DD" w:rsidRDefault="007A5EA4" w:rsidP="007A5EA4">
      <w:pPr>
        <w:pStyle w:val="BodyText"/>
        <w:ind w:left="360" w:hanging="360"/>
        <w:rPr>
          <w:rFonts w:eastAsiaTheme="minorHAnsi"/>
          <w:szCs w:val="22"/>
        </w:rPr>
      </w:pPr>
      <w:r w:rsidRPr="00630689">
        <w:rPr>
          <w:rFonts w:eastAsiaTheme="minorHAnsi"/>
          <w:szCs w:val="22"/>
        </w:rPr>
        <w:t xml:space="preserve">Church, Allan H. 1993. “The Effective of Incentives on Mail Survey Response Rates: A Meta-Analysis.” </w:t>
      </w:r>
      <w:r w:rsidRPr="00630689">
        <w:rPr>
          <w:rFonts w:eastAsiaTheme="minorHAnsi"/>
          <w:i/>
          <w:szCs w:val="22"/>
        </w:rPr>
        <w:t>Public Opinion Quarterly</w:t>
      </w:r>
      <w:r w:rsidRPr="00630689">
        <w:rPr>
          <w:rFonts w:eastAsiaTheme="minorHAnsi"/>
          <w:szCs w:val="22"/>
        </w:rPr>
        <w:t xml:space="preserve"> 57:62-79.</w:t>
      </w:r>
    </w:p>
    <w:p w:rsidR="00CC525B" w:rsidRDefault="00CC525B" w:rsidP="007A5EA4">
      <w:pPr>
        <w:pStyle w:val="BodyText"/>
        <w:ind w:left="360" w:hanging="360"/>
      </w:pPr>
      <w:r>
        <w:t xml:space="preserve">Duffer, A., J. Lessler, M. Weeks, &amp; M. Mosher 1994. </w:t>
      </w:r>
      <w:r w:rsidRPr="00843857">
        <w:rPr>
          <w:iCs/>
        </w:rPr>
        <w:t>Effects of Incentive Payments on Response Rates and Field Costs in a Pretest of a National CAPI Survey</w:t>
      </w:r>
      <w:r w:rsidRPr="00843857">
        <w:t xml:space="preserve">. </w:t>
      </w:r>
      <w:r w:rsidRPr="00843857">
        <w:rPr>
          <w:i/>
        </w:rPr>
        <w:t>Proceedings of the Survey Research Methods Section of the American Statistical Association</w:t>
      </w:r>
      <w:r>
        <w:t>, Vol. 2, pp. 1386-1391.</w:t>
      </w:r>
    </w:p>
    <w:p w:rsidR="00CC525B" w:rsidRDefault="00CC525B" w:rsidP="007A5EA4">
      <w:pPr>
        <w:pStyle w:val="BodyText"/>
        <w:ind w:left="360" w:hanging="360"/>
      </w:pPr>
      <w:r>
        <w:t>Educational Testing Service. 1991. National Adult Literacy Survey Addendum to Clearance Package, Volume II: Analyses of the NALS Field Test (pp. 2-3).</w:t>
      </w:r>
    </w:p>
    <w:p w:rsidR="007A5EA4" w:rsidRPr="00800709" w:rsidRDefault="007A5EA4" w:rsidP="007A5EA4">
      <w:pPr>
        <w:pStyle w:val="BodyText"/>
        <w:ind w:left="360" w:hanging="360"/>
        <w:rPr>
          <w:rFonts w:eastAsiaTheme="minorHAnsi"/>
          <w:szCs w:val="22"/>
        </w:rPr>
      </w:pPr>
      <w:r w:rsidRPr="00630689">
        <w:rPr>
          <w:rFonts w:eastAsiaTheme="minorHAnsi"/>
          <w:szCs w:val="22"/>
        </w:rPr>
        <w:t xml:space="preserve">Edwards, P., Cooper, R., </w:t>
      </w:r>
      <w:r w:rsidRPr="005229BE">
        <w:rPr>
          <w:rFonts w:eastAsiaTheme="minorHAnsi"/>
          <w:szCs w:val="22"/>
        </w:rPr>
        <w:t xml:space="preserve">Roberts, I., and Frost, C. 2005. </w:t>
      </w:r>
      <w:r w:rsidRPr="001A12C7">
        <w:rPr>
          <w:rFonts w:eastAsiaTheme="minorHAnsi"/>
          <w:szCs w:val="22"/>
        </w:rPr>
        <w:t xml:space="preserve">Meta-Analysis of Randomised Trials of Monetary Incentives and Response to Mailed Questionnaires. </w:t>
      </w:r>
      <w:r w:rsidRPr="00800709">
        <w:rPr>
          <w:rFonts w:eastAsiaTheme="minorHAnsi"/>
          <w:i/>
          <w:szCs w:val="22"/>
        </w:rPr>
        <w:t>Journal of Epidemiology and Community Health</w:t>
      </w:r>
      <w:r w:rsidRPr="00800709">
        <w:rPr>
          <w:rFonts w:eastAsiaTheme="minorHAnsi"/>
          <w:szCs w:val="22"/>
        </w:rPr>
        <w:t xml:space="preserve"> 59:987-99.</w:t>
      </w:r>
    </w:p>
    <w:p w:rsidR="007A5EA4" w:rsidRPr="002244DD" w:rsidRDefault="007A5EA4" w:rsidP="007A5EA4">
      <w:pPr>
        <w:pStyle w:val="BodyText"/>
        <w:ind w:left="360" w:hanging="360"/>
        <w:rPr>
          <w:rFonts w:eastAsiaTheme="minorHAnsi"/>
          <w:szCs w:val="22"/>
        </w:rPr>
      </w:pPr>
      <w:r w:rsidRPr="00800709">
        <w:rPr>
          <w:rFonts w:eastAsiaTheme="minorHAnsi"/>
          <w:szCs w:val="22"/>
        </w:rPr>
        <w:t xml:space="preserve">Edwards, P., Roberts, I., Clarke, M., </w:t>
      </w:r>
      <w:r w:rsidRPr="002244DD">
        <w:rPr>
          <w:rFonts w:eastAsiaTheme="minorHAnsi"/>
          <w:szCs w:val="22"/>
        </w:rPr>
        <w:t xml:space="preserve">DiGuiseppi, C., Pratap, S., Wentz, R., and Kwan, I. 2002. Increasing Response Rates to Postal Questionnaires: Systematic Review. </w:t>
      </w:r>
      <w:r w:rsidRPr="002244DD">
        <w:rPr>
          <w:rFonts w:eastAsiaTheme="minorHAnsi"/>
          <w:i/>
          <w:szCs w:val="22"/>
        </w:rPr>
        <w:t>British Medical Journal</w:t>
      </w:r>
      <w:r w:rsidRPr="002244DD">
        <w:rPr>
          <w:rFonts w:eastAsiaTheme="minorHAnsi"/>
          <w:szCs w:val="22"/>
        </w:rPr>
        <w:t xml:space="preserve"> 324:1883-85.</w:t>
      </w:r>
    </w:p>
    <w:p w:rsidR="007A5EA4" w:rsidRPr="002244DD" w:rsidRDefault="007A5EA4" w:rsidP="007A5EA4">
      <w:pPr>
        <w:pStyle w:val="BodyText"/>
        <w:ind w:left="360" w:hanging="360"/>
        <w:rPr>
          <w:rFonts w:eastAsiaTheme="minorHAnsi"/>
          <w:szCs w:val="22"/>
        </w:rPr>
      </w:pPr>
      <w:r w:rsidRPr="00630689">
        <w:rPr>
          <w:rFonts w:eastAsiaTheme="minorHAnsi"/>
          <w:szCs w:val="22"/>
        </w:rPr>
        <w:t xml:space="preserve">Yammarino, F., </w:t>
      </w:r>
      <w:r w:rsidRPr="005229BE">
        <w:rPr>
          <w:rFonts w:eastAsiaTheme="minorHAnsi"/>
          <w:szCs w:val="22"/>
        </w:rPr>
        <w:t>Skinner, S. and Childers, T. (</w:t>
      </w:r>
      <w:r w:rsidRPr="001A12C7">
        <w:rPr>
          <w:rFonts w:eastAsiaTheme="minorHAnsi"/>
          <w:szCs w:val="22"/>
        </w:rPr>
        <w:t xml:space="preserve"> 1991). Understanding Mail Survey Response Behavior: A Meta-Analysis.</w:t>
      </w:r>
      <w:r w:rsidRPr="00630689">
        <w:rPr>
          <w:rFonts w:eastAsiaTheme="minorHAnsi"/>
          <w:szCs w:val="22"/>
        </w:rPr>
        <w:t xml:space="preserve"> </w:t>
      </w:r>
      <w:r w:rsidRPr="00800709">
        <w:rPr>
          <w:rFonts w:eastAsiaTheme="minorHAnsi"/>
          <w:i/>
          <w:szCs w:val="22"/>
        </w:rPr>
        <w:t>Public Opinion Quarterly</w:t>
      </w:r>
      <w:r w:rsidRPr="00800709">
        <w:rPr>
          <w:rFonts w:eastAsiaTheme="minorHAnsi"/>
          <w:szCs w:val="22"/>
        </w:rPr>
        <w:t xml:space="preserve"> 55:613-39.</w:t>
      </w:r>
      <w:r w:rsidRPr="00800709">
        <w:rPr>
          <w:szCs w:val="22"/>
        </w:rPr>
        <w:t xml:space="preserve"> </w:t>
      </w:r>
    </w:p>
    <w:p w:rsidR="007A5EA4" w:rsidRPr="00CC525B" w:rsidRDefault="007A5EA4" w:rsidP="00CC525B">
      <w:pPr>
        <w:pStyle w:val="BodyText"/>
      </w:pPr>
    </w:p>
    <w:sectPr w:rsidR="007A5EA4" w:rsidRPr="00CC525B" w:rsidSect="006F299B">
      <w:footerReference w:type="default" r:id="rId12"/>
      <w:pgSz w:w="12240" w:h="15840" w:code="1"/>
      <w:pgMar w:top="1440" w:right="1440" w:bottom="1440" w:left="180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4D" w:rsidRDefault="0064544D" w:rsidP="00D979EA">
      <w:r>
        <w:separator/>
      </w:r>
    </w:p>
  </w:endnote>
  <w:endnote w:type="continuationSeparator" w:id="0">
    <w:p w:rsidR="0064544D" w:rsidRDefault="0064544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4D" w:rsidRPr="0066134E" w:rsidRDefault="0064544D" w:rsidP="003F6E89">
    <w:pPr>
      <w:pStyle w:val="Footer"/>
      <w:tabs>
        <w:tab w:val="clear" w:pos="4507"/>
      </w:tabs>
    </w:pPr>
    <w:r w:rsidRPr="00967D7C">
      <w:rPr>
        <w:color w:val="DA291C"/>
      </w:rPr>
      <w:t>Abt Associates Inc.</w:t>
    </w:r>
    <w:r w:rsidRPr="0066134E">
      <w:rPr>
        <w:rStyle w:val="PageNumber"/>
        <w:b/>
      </w:rPr>
      <w:tab/>
    </w:r>
    <w:r>
      <w:rPr>
        <w:rStyle w:val="PageNumber"/>
        <w:b/>
      </w:rPr>
      <w:t>DRAFT-</w:t>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9315D">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4D" w:rsidRDefault="0064544D" w:rsidP="00D979EA">
      <w:r>
        <w:separator/>
      </w:r>
    </w:p>
  </w:footnote>
  <w:footnote w:type="continuationSeparator" w:id="0">
    <w:p w:rsidR="0064544D" w:rsidRDefault="0064544D" w:rsidP="00D979EA">
      <w:r>
        <w:continuationSeparator/>
      </w:r>
    </w:p>
  </w:footnote>
  <w:footnote w:id="1">
    <w:p w:rsidR="0064544D" w:rsidRDefault="0064544D" w:rsidP="00293E1A">
      <w:pPr>
        <w:pStyle w:val="FootnoteText"/>
      </w:pPr>
      <w:r>
        <w:rPr>
          <w:rStyle w:val="FootnoteReference"/>
        </w:rPr>
        <w:footnoteRef/>
      </w:r>
      <w:r>
        <w:t xml:space="preserve"> Since the approval in October of 2015 by OMB of </w:t>
      </w:r>
      <w:r w:rsidR="00D66737">
        <w:t xml:space="preserve">baseline data collection </w:t>
      </w:r>
      <w:r>
        <w:t>for the planned Impact Study</w:t>
      </w:r>
      <w:r w:rsidR="00D66737">
        <w:t xml:space="preserve"> under Control No. 1291-00</w:t>
      </w:r>
      <w:r w:rsidR="00AE52E1">
        <w:t>0</w:t>
      </w:r>
      <w:r w:rsidR="00D66737">
        <w:t>4</w:t>
      </w:r>
      <w:r>
        <w:t xml:space="preserve">, the evaluation plan has changed. DOL and the evaluation team concluded that the 71 Round 4 grants were </w:t>
      </w:r>
      <w:r w:rsidR="00D66737">
        <w:t xml:space="preserve">not </w:t>
      </w:r>
      <w:r>
        <w:t xml:space="preserve">appropriate for an impact study. The programs that were of sufficient size for an impact study either had very dispersed activities or there was no natural point where random assignment could occur. After careful consideration </w:t>
      </w:r>
      <w:r w:rsidR="00D66737">
        <w:t>DOL</w:t>
      </w:r>
      <w:r>
        <w:t xml:space="preserve"> </w:t>
      </w:r>
      <w:r w:rsidR="00D66737">
        <w:t xml:space="preserve">opted </w:t>
      </w:r>
      <w:r>
        <w:t>to replace the planned Impact Study with an Outcomes Study. The BIF approved for the Impact Study will be used for the Outcomes Study. The SAQ will not be used.</w:t>
      </w:r>
    </w:p>
  </w:footnote>
  <w:footnote w:id="2">
    <w:p w:rsidR="0064544D" w:rsidRDefault="0064544D" w:rsidP="00826631">
      <w:pPr>
        <w:pStyle w:val="FootnoteText"/>
      </w:pPr>
      <w:r>
        <w:rPr>
          <w:rStyle w:val="FootnoteReference"/>
        </w:rPr>
        <w:footnoteRef/>
      </w:r>
      <w:r>
        <w:t xml:space="preserve"> </w:t>
      </w:r>
      <w:r w:rsidRPr="00B7123F">
        <w:t>The Round 4 SGA (as well as SGAs for prior rounds) can be found at</w:t>
      </w:r>
      <w:r>
        <w:t xml:space="preserve"> </w:t>
      </w:r>
      <w:r w:rsidRPr="00B7123F">
        <w:t>http://www.doleta.gov/taaccct/applicantinfo.cfm.</w:t>
      </w:r>
    </w:p>
  </w:footnote>
  <w:footnote w:id="3">
    <w:p w:rsidR="007E207E" w:rsidRDefault="007E207E">
      <w:pPr>
        <w:pStyle w:val="FootnoteText"/>
      </w:pPr>
      <w:r>
        <w:rPr>
          <w:rStyle w:val="FootnoteReference"/>
        </w:rPr>
        <w:footnoteRef/>
      </w:r>
      <w:r>
        <w:t xml:space="preserve"> </w:t>
      </w:r>
      <w:r w:rsidR="00392197">
        <w:t xml:space="preserve">The employer interviews will be analyzed in the same manner as the implementation study, but will be included in a separate report.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DC74D2E"/>
    <w:multiLevelType w:val="hybridMultilevel"/>
    <w:tmpl w:val="667E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9501957"/>
    <w:multiLevelType w:val="hybridMultilevel"/>
    <w:tmpl w:val="7E5AAFCA"/>
    <w:lvl w:ilvl="0" w:tplc="04090015">
      <w:start w:val="1"/>
      <w:numFmt w:val="upperLetter"/>
      <w:lvlText w:val="%1."/>
      <w:lvlJc w:val="left"/>
      <w:pPr>
        <w:ind w:left="720" w:hanging="360"/>
      </w:pPr>
    </w:lvl>
    <w:lvl w:ilvl="1" w:tplc="50BE12D8">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13C5F"/>
    <w:multiLevelType w:val="hybridMultilevel"/>
    <w:tmpl w:val="6F6E3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3FBC4FB3"/>
    <w:multiLevelType w:val="hybridMultilevel"/>
    <w:tmpl w:val="94DC3700"/>
    <w:lvl w:ilvl="0" w:tplc="9B76ADF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0C4177"/>
    <w:multiLevelType w:val="hybridMultilevel"/>
    <w:tmpl w:val="7A688D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51DC2FA9"/>
    <w:multiLevelType w:val="hybridMultilevel"/>
    <w:tmpl w:val="3A1E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A81C45"/>
    <w:multiLevelType w:val="hybridMultilevel"/>
    <w:tmpl w:val="5816B0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2FF70A9"/>
    <w:multiLevelType w:val="hybridMultilevel"/>
    <w:tmpl w:val="ADC2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B91024"/>
    <w:multiLevelType w:val="hybridMultilevel"/>
    <w:tmpl w:val="0CD488FA"/>
    <w:lvl w:ilvl="0" w:tplc="56347F9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4"/>
  </w:num>
  <w:num w:numId="3">
    <w:abstractNumId w:val="28"/>
  </w:num>
  <w:num w:numId="4">
    <w:abstractNumId w:val="12"/>
  </w:num>
  <w:num w:numId="5">
    <w:abstractNumId w:val="29"/>
  </w:num>
  <w:num w:numId="6">
    <w:abstractNumId w:val="21"/>
  </w:num>
  <w:num w:numId="7">
    <w:abstractNumId w:val="10"/>
  </w:num>
  <w:num w:numId="8">
    <w:abstractNumId w:val="2"/>
  </w:num>
  <w:num w:numId="9">
    <w:abstractNumId w:val="16"/>
  </w:num>
  <w:num w:numId="10">
    <w:abstractNumId w:val="23"/>
  </w:num>
  <w:num w:numId="11">
    <w:abstractNumId w:val="5"/>
    <w:lvlOverride w:ilvl="0">
      <w:startOverride w:val="1"/>
    </w:lvlOverride>
  </w:num>
  <w:num w:numId="12">
    <w:abstractNumId w:val="5"/>
    <w:lvlOverride w:ilvl="0">
      <w:startOverride w:val="1"/>
    </w:lvlOverride>
  </w:num>
  <w:num w:numId="13">
    <w:abstractNumId w:val="20"/>
  </w:num>
  <w:num w:numId="14">
    <w:abstractNumId w:val="12"/>
  </w:num>
  <w:num w:numId="15">
    <w:abstractNumId w:val="4"/>
  </w:num>
  <w:num w:numId="16">
    <w:abstractNumId w:val="19"/>
  </w:num>
  <w:num w:numId="17">
    <w:abstractNumId w:val="0"/>
  </w:num>
  <w:num w:numId="18">
    <w:abstractNumId w:val="15"/>
  </w:num>
  <w:num w:numId="19">
    <w:abstractNumId w:val="14"/>
  </w:num>
  <w:num w:numId="20">
    <w:abstractNumId w:val="6"/>
  </w:num>
  <w:num w:numId="21">
    <w:abstractNumId w:val="1"/>
  </w:num>
  <w:num w:numId="22">
    <w:abstractNumId w:val="11"/>
  </w:num>
  <w:num w:numId="23">
    <w:abstractNumId w:val="8"/>
  </w:num>
  <w:num w:numId="24">
    <w:abstractNumId w:val="26"/>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12"/>
  </w:num>
  <w:num w:numId="32">
    <w:abstractNumId w:val="17"/>
  </w:num>
  <w:num w:numId="33">
    <w:abstractNumId w:val="25"/>
  </w:num>
  <w:num w:numId="34">
    <w:abstractNumId w:val="18"/>
  </w:num>
  <w:num w:numId="35">
    <w:abstractNumId w:val="22"/>
  </w:num>
  <w:num w:numId="36">
    <w:abstractNumId w:val="27"/>
  </w:num>
  <w:num w:numId="37">
    <w:abstractNumId w:val="7"/>
  </w:num>
  <w:num w:numId="38">
    <w:abstractNumId w:val="9"/>
  </w:num>
  <w:num w:numId="39">
    <w:abstractNumId w:val="3"/>
  </w:num>
  <w:num w:numId="40">
    <w:abstractNumId w:val="13"/>
  </w:num>
  <w:num w:numId="4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93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6B3A"/>
    <w:rsid w:val="0001313F"/>
    <w:rsid w:val="000136F3"/>
    <w:rsid w:val="00016E17"/>
    <w:rsid w:val="00017C54"/>
    <w:rsid w:val="0002185C"/>
    <w:rsid w:val="0002216E"/>
    <w:rsid w:val="000316BD"/>
    <w:rsid w:val="00036ECE"/>
    <w:rsid w:val="0003748F"/>
    <w:rsid w:val="00040E00"/>
    <w:rsid w:val="00046728"/>
    <w:rsid w:val="000525E0"/>
    <w:rsid w:val="00052B26"/>
    <w:rsid w:val="00053EEF"/>
    <w:rsid w:val="000543DC"/>
    <w:rsid w:val="00055022"/>
    <w:rsid w:val="0005750B"/>
    <w:rsid w:val="0006045E"/>
    <w:rsid w:val="000612A5"/>
    <w:rsid w:val="00061AA3"/>
    <w:rsid w:val="00061B81"/>
    <w:rsid w:val="00062030"/>
    <w:rsid w:val="000623C6"/>
    <w:rsid w:val="00064EE7"/>
    <w:rsid w:val="0006587B"/>
    <w:rsid w:val="00070322"/>
    <w:rsid w:val="000713DF"/>
    <w:rsid w:val="0007783C"/>
    <w:rsid w:val="0008244A"/>
    <w:rsid w:val="00082D01"/>
    <w:rsid w:val="0008447D"/>
    <w:rsid w:val="00084B2B"/>
    <w:rsid w:val="00087856"/>
    <w:rsid w:val="00087C96"/>
    <w:rsid w:val="000902AA"/>
    <w:rsid w:val="000950AD"/>
    <w:rsid w:val="00095D40"/>
    <w:rsid w:val="000A00A2"/>
    <w:rsid w:val="000A1C6D"/>
    <w:rsid w:val="000A61EF"/>
    <w:rsid w:val="000A7D69"/>
    <w:rsid w:val="000B33D1"/>
    <w:rsid w:val="000B49FE"/>
    <w:rsid w:val="000B6493"/>
    <w:rsid w:val="000B7BF9"/>
    <w:rsid w:val="000C0A39"/>
    <w:rsid w:val="000C2597"/>
    <w:rsid w:val="000C3040"/>
    <w:rsid w:val="000C484C"/>
    <w:rsid w:val="000C7A9F"/>
    <w:rsid w:val="000D0179"/>
    <w:rsid w:val="000D53F1"/>
    <w:rsid w:val="000D5777"/>
    <w:rsid w:val="000E322C"/>
    <w:rsid w:val="000E6B75"/>
    <w:rsid w:val="000F47B7"/>
    <w:rsid w:val="000F53F4"/>
    <w:rsid w:val="001034D7"/>
    <w:rsid w:val="00104F2A"/>
    <w:rsid w:val="0010512D"/>
    <w:rsid w:val="00107A04"/>
    <w:rsid w:val="0011170B"/>
    <w:rsid w:val="00111C0D"/>
    <w:rsid w:val="00111CB5"/>
    <w:rsid w:val="00112F98"/>
    <w:rsid w:val="001178CA"/>
    <w:rsid w:val="00127986"/>
    <w:rsid w:val="001307A5"/>
    <w:rsid w:val="00137474"/>
    <w:rsid w:val="001467ED"/>
    <w:rsid w:val="00152153"/>
    <w:rsid w:val="00157E04"/>
    <w:rsid w:val="00160657"/>
    <w:rsid w:val="00160B87"/>
    <w:rsid w:val="0016398E"/>
    <w:rsid w:val="001644A0"/>
    <w:rsid w:val="001677DC"/>
    <w:rsid w:val="00170CF9"/>
    <w:rsid w:val="00172119"/>
    <w:rsid w:val="001746B9"/>
    <w:rsid w:val="001746D2"/>
    <w:rsid w:val="00177861"/>
    <w:rsid w:val="00181BDA"/>
    <w:rsid w:val="001845BD"/>
    <w:rsid w:val="0019315D"/>
    <w:rsid w:val="001947A9"/>
    <w:rsid w:val="001960DE"/>
    <w:rsid w:val="001A04CE"/>
    <w:rsid w:val="001A0E0A"/>
    <w:rsid w:val="001A12C0"/>
    <w:rsid w:val="001A23B5"/>
    <w:rsid w:val="001A3848"/>
    <w:rsid w:val="001A403F"/>
    <w:rsid w:val="001A4633"/>
    <w:rsid w:val="001B0C68"/>
    <w:rsid w:val="001B4509"/>
    <w:rsid w:val="001B5327"/>
    <w:rsid w:val="001C036E"/>
    <w:rsid w:val="001C0891"/>
    <w:rsid w:val="001C10AF"/>
    <w:rsid w:val="001C4CE6"/>
    <w:rsid w:val="001C70BD"/>
    <w:rsid w:val="001D4FDD"/>
    <w:rsid w:val="001D69EB"/>
    <w:rsid w:val="001E2CF1"/>
    <w:rsid w:val="001F33AC"/>
    <w:rsid w:val="001F4961"/>
    <w:rsid w:val="001F49BF"/>
    <w:rsid w:val="001F5F69"/>
    <w:rsid w:val="001F7AEF"/>
    <w:rsid w:val="00200E58"/>
    <w:rsid w:val="002064D3"/>
    <w:rsid w:val="002106BF"/>
    <w:rsid w:val="00216B09"/>
    <w:rsid w:val="002176B8"/>
    <w:rsid w:val="002216AD"/>
    <w:rsid w:val="00221D99"/>
    <w:rsid w:val="00222854"/>
    <w:rsid w:val="00223A9F"/>
    <w:rsid w:val="002251AA"/>
    <w:rsid w:val="0022674D"/>
    <w:rsid w:val="00227977"/>
    <w:rsid w:val="00231EAF"/>
    <w:rsid w:val="0023449A"/>
    <w:rsid w:val="00235CB8"/>
    <w:rsid w:val="00235F88"/>
    <w:rsid w:val="00241159"/>
    <w:rsid w:val="00241772"/>
    <w:rsid w:val="002443E6"/>
    <w:rsid w:val="00250421"/>
    <w:rsid w:val="00250F78"/>
    <w:rsid w:val="00251F31"/>
    <w:rsid w:val="0025208E"/>
    <w:rsid w:val="00253D8B"/>
    <w:rsid w:val="00255975"/>
    <w:rsid w:val="0026362B"/>
    <w:rsid w:val="00265950"/>
    <w:rsid w:val="00265CA5"/>
    <w:rsid w:val="002702F7"/>
    <w:rsid w:val="00273EAA"/>
    <w:rsid w:val="00273FC1"/>
    <w:rsid w:val="00275398"/>
    <w:rsid w:val="00276702"/>
    <w:rsid w:val="00276A50"/>
    <w:rsid w:val="00280194"/>
    <w:rsid w:val="0028328D"/>
    <w:rsid w:val="002838F5"/>
    <w:rsid w:val="00285BB6"/>
    <w:rsid w:val="00287183"/>
    <w:rsid w:val="00292005"/>
    <w:rsid w:val="00293E1A"/>
    <w:rsid w:val="0029491C"/>
    <w:rsid w:val="00295A2B"/>
    <w:rsid w:val="00295C47"/>
    <w:rsid w:val="00296F1B"/>
    <w:rsid w:val="002A04BD"/>
    <w:rsid w:val="002A3FB8"/>
    <w:rsid w:val="002A4078"/>
    <w:rsid w:val="002A5CE0"/>
    <w:rsid w:val="002A7953"/>
    <w:rsid w:val="002B2F3C"/>
    <w:rsid w:val="002B5EC4"/>
    <w:rsid w:val="002C32AB"/>
    <w:rsid w:val="002C41F9"/>
    <w:rsid w:val="002C4495"/>
    <w:rsid w:val="002C5AC8"/>
    <w:rsid w:val="002C6C06"/>
    <w:rsid w:val="002C76AB"/>
    <w:rsid w:val="002D33CD"/>
    <w:rsid w:val="002D4536"/>
    <w:rsid w:val="002D6268"/>
    <w:rsid w:val="002D6947"/>
    <w:rsid w:val="002D7456"/>
    <w:rsid w:val="002E235A"/>
    <w:rsid w:val="002E310E"/>
    <w:rsid w:val="002E4778"/>
    <w:rsid w:val="002E65B6"/>
    <w:rsid w:val="002F2C61"/>
    <w:rsid w:val="002F38F6"/>
    <w:rsid w:val="002F48C8"/>
    <w:rsid w:val="002F55CE"/>
    <w:rsid w:val="002F6E62"/>
    <w:rsid w:val="002F76F5"/>
    <w:rsid w:val="00300006"/>
    <w:rsid w:val="00301CC0"/>
    <w:rsid w:val="00302897"/>
    <w:rsid w:val="00302A2C"/>
    <w:rsid w:val="00310C8D"/>
    <w:rsid w:val="00314A8A"/>
    <w:rsid w:val="00320DF6"/>
    <w:rsid w:val="00324EC2"/>
    <w:rsid w:val="003279F2"/>
    <w:rsid w:val="00331A40"/>
    <w:rsid w:val="0033439F"/>
    <w:rsid w:val="00342BA9"/>
    <w:rsid w:val="003432B2"/>
    <w:rsid w:val="003455BC"/>
    <w:rsid w:val="003456D5"/>
    <w:rsid w:val="00346F17"/>
    <w:rsid w:val="0035287D"/>
    <w:rsid w:val="00354503"/>
    <w:rsid w:val="00357AC1"/>
    <w:rsid w:val="003623F0"/>
    <w:rsid w:val="003676F5"/>
    <w:rsid w:val="00370164"/>
    <w:rsid w:val="003708BF"/>
    <w:rsid w:val="003711CD"/>
    <w:rsid w:val="00374DD1"/>
    <w:rsid w:val="00380DB1"/>
    <w:rsid w:val="00381CB8"/>
    <w:rsid w:val="003833A5"/>
    <w:rsid w:val="00383B62"/>
    <w:rsid w:val="00383BFC"/>
    <w:rsid w:val="00384611"/>
    <w:rsid w:val="00384BEB"/>
    <w:rsid w:val="00384CA0"/>
    <w:rsid w:val="00385888"/>
    <w:rsid w:val="00386F09"/>
    <w:rsid w:val="003870BA"/>
    <w:rsid w:val="00392197"/>
    <w:rsid w:val="00395A89"/>
    <w:rsid w:val="00396BFA"/>
    <w:rsid w:val="0039784B"/>
    <w:rsid w:val="003A0028"/>
    <w:rsid w:val="003A17F4"/>
    <w:rsid w:val="003A2FA8"/>
    <w:rsid w:val="003A3403"/>
    <w:rsid w:val="003B4770"/>
    <w:rsid w:val="003B7D8F"/>
    <w:rsid w:val="003C20BF"/>
    <w:rsid w:val="003C3A85"/>
    <w:rsid w:val="003C3DC4"/>
    <w:rsid w:val="003C712F"/>
    <w:rsid w:val="003D3131"/>
    <w:rsid w:val="003D5616"/>
    <w:rsid w:val="003D5E0E"/>
    <w:rsid w:val="003E3004"/>
    <w:rsid w:val="003E42C4"/>
    <w:rsid w:val="003E666B"/>
    <w:rsid w:val="003F2832"/>
    <w:rsid w:val="003F3E19"/>
    <w:rsid w:val="003F42FD"/>
    <w:rsid w:val="003F6E89"/>
    <w:rsid w:val="00403531"/>
    <w:rsid w:val="00403F96"/>
    <w:rsid w:val="0041000B"/>
    <w:rsid w:val="004179F2"/>
    <w:rsid w:val="00423092"/>
    <w:rsid w:val="004253E8"/>
    <w:rsid w:val="00426B73"/>
    <w:rsid w:val="00427EA9"/>
    <w:rsid w:val="004304D6"/>
    <w:rsid w:val="00431693"/>
    <w:rsid w:val="004319BC"/>
    <w:rsid w:val="004350B0"/>
    <w:rsid w:val="00436608"/>
    <w:rsid w:val="00436CE5"/>
    <w:rsid w:val="0045437A"/>
    <w:rsid w:val="00454DA6"/>
    <w:rsid w:val="004627AE"/>
    <w:rsid w:val="00467274"/>
    <w:rsid w:val="00470AB4"/>
    <w:rsid w:val="00470D4B"/>
    <w:rsid w:val="00472E16"/>
    <w:rsid w:val="004734DF"/>
    <w:rsid w:val="004736EB"/>
    <w:rsid w:val="0047466C"/>
    <w:rsid w:val="0047718D"/>
    <w:rsid w:val="00480FDA"/>
    <w:rsid w:val="00486943"/>
    <w:rsid w:val="00486A43"/>
    <w:rsid w:val="00487372"/>
    <w:rsid w:val="00495B91"/>
    <w:rsid w:val="004A5408"/>
    <w:rsid w:val="004A7241"/>
    <w:rsid w:val="004B630F"/>
    <w:rsid w:val="004C18DF"/>
    <w:rsid w:val="004C29E5"/>
    <w:rsid w:val="004C2B46"/>
    <w:rsid w:val="004C5E23"/>
    <w:rsid w:val="004D2D9A"/>
    <w:rsid w:val="004D4C6D"/>
    <w:rsid w:val="004E0069"/>
    <w:rsid w:val="004E01A4"/>
    <w:rsid w:val="004E10A0"/>
    <w:rsid w:val="004E3035"/>
    <w:rsid w:val="004E506F"/>
    <w:rsid w:val="004E555A"/>
    <w:rsid w:val="004E5B08"/>
    <w:rsid w:val="004E7945"/>
    <w:rsid w:val="004F2550"/>
    <w:rsid w:val="004F3A0F"/>
    <w:rsid w:val="004F6742"/>
    <w:rsid w:val="004F709B"/>
    <w:rsid w:val="005026B4"/>
    <w:rsid w:val="00502E9F"/>
    <w:rsid w:val="00503049"/>
    <w:rsid w:val="00516991"/>
    <w:rsid w:val="00522A16"/>
    <w:rsid w:val="0052640E"/>
    <w:rsid w:val="00530B3E"/>
    <w:rsid w:val="00534B03"/>
    <w:rsid w:val="00534C33"/>
    <w:rsid w:val="00536DB4"/>
    <w:rsid w:val="0054025D"/>
    <w:rsid w:val="0054595A"/>
    <w:rsid w:val="0055123E"/>
    <w:rsid w:val="00555BA2"/>
    <w:rsid w:val="00555E0E"/>
    <w:rsid w:val="00561019"/>
    <w:rsid w:val="00563383"/>
    <w:rsid w:val="00574240"/>
    <w:rsid w:val="00574572"/>
    <w:rsid w:val="005805E4"/>
    <w:rsid w:val="00581C65"/>
    <w:rsid w:val="00581E37"/>
    <w:rsid w:val="00583A7C"/>
    <w:rsid w:val="00584B5C"/>
    <w:rsid w:val="00585CA4"/>
    <w:rsid w:val="00593AFC"/>
    <w:rsid w:val="005943CC"/>
    <w:rsid w:val="00597948"/>
    <w:rsid w:val="005A2ABC"/>
    <w:rsid w:val="005A5C99"/>
    <w:rsid w:val="005B1AC5"/>
    <w:rsid w:val="005B1B25"/>
    <w:rsid w:val="005B5DD1"/>
    <w:rsid w:val="005B6A25"/>
    <w:rsid w:val="005B6ACF"/>
    <w:rsid w:val="005C1CD0"/>
    <w:rsid w:val="005C4647"/>
    <w:rsid w:val="005C6CCD"/>
    <w:rsid w:val="005D0FF2"/>
    <w:rsid w:val="005D162C"/>
    <w:rsid w:val="005D44D2"/>
    <w:rsid w:val="005D5BD5"/>
    <w:rsid w:val="005E0CF2"/>
    <w:rsid w:val="005E2AEA"/>
    <w:rsid w:val="005E6334"/>
    <w:rsid w:val="005E6B70"/>
    <w:rsid w:val="005F2EE3"/>
    <w:rsid w:val="005F595C"/>
    <w:rsid w:val="005F5D79"/>
    <w:rsid w:val="005F773B"/>
    <w:rsid w:val="00600187"/>
    <w:rsid w:val="00601239"/>
    <w:rsid w:val="006035AF"/>
    <w:rsid w:val="006103E6"/>
    <w:rsid w:val="00611973"/>
    <w:rsid w:val="006122D8"/>
    <w:rsid w:val="0061247A"/>
    <w:rsid w:val="00612C52"/>
    <w:rsid w:val="006157E6"/>
    <w:rsid w:val="00615938"/>
    <w:rsid w:val="00620AE6"/>
    <w:rsid w:val="00620FF4"/>
    <w:rsid w:val="0063014E"/>
    <w:rsid w:val="00633775"/>
    <w:rsid w:val="00635E36"/>
    <w:rsid w:val="00636BFC"/>
    <w:rsid w:val="0064544D"/>
    <w:rsid w:val="00647889"/>
    <w:rsid w:val="0065112D"/>
    <w:rsid w:val="00651FA9"/>
    <w:rsid w:val="00653E2F"/>
    <w:rsid w:val="0066134E"/>
    <w:rsid w:val="006679A9"/>
    <w:rsid w:val="00674194"/>
    <w:rsid w:val="00674B1F"/>
    <w:rsid w:val="006814BB"/>
    <w:rsid w:val="006840EB"/>
    <w:rsid w:val="00690539"/>
    <w:rsid w:val="0069342C"/>
    <w:rsid w:val="006951B9"/>
    <w:rsid w:val="006A0712"/>
    <w:rsid w:val="006A3E5A"/>
    <w:rsid w:val="006A541C"/>
    <w:rsid w:val="006A5B3B"/>
    <w:rsid w:val="006A7F7E"/>
    <w:rsid w:val="006B1969"/>
    <w:rsid w:val="006B1DA6"/>
    <w:rsid w:val="006B377B"/>
    <w:rsid w:val="006B6412"/>
    <w:rsid w:val="006C43D8"/>
    <w:rsid w:val="006C6103"/>
    <w:rsid w:val="006C7A4C"/>
    <w:rsid w:val="006D0CE1"/>
    <w:rsid w:val="006D30D6"/>
    <w:rsid w:val="006D406B"/>
    <w:rsid w:val="006D6E50"/>
    <w:rsid w:val="006E2AD2"/>
    <w:rsid w:val="006E2B32"/>
    <w:rsid w:val="006E3CAB"/>
    <w:rsid w:val="006F299B"/>
    <w:rsid w:val="006F2B34"/>
    <w:rsid w:val="006F4B03"/>
    <w:rsid w:val="007057ED"/>
    <w:rsid w:val="0070672F"/>
    <w:rsid w:val="00707708"/>
    <w:rsid w:val="007105A6"/>
    <w:rsid w:val="00715417"/>
    <w:rsid w:val="0071542F"/>
    <w:rsid w:val="007214D4"/>
    <w:rsid w:val="007216E3"/>
    <w:rsid w:val="00722A2E"/>
    <w:rsid w:val="00724F52"/>
    <w:rsid w:val="00726DD4"/>
    <w:rsid w:val="00730F56"/>
    <w:rsid w:val="00733AC1"/>
    <w:rsid w:val="00733C58"/>
    <w:rsid w:val="0073677C"/>
    <w:rsid w:val="00744E2C"/>
    <w:rsid w:val="00752119"/>
    <w:rsid w:val="00754408"/>
    <w:rsid w:val="0075473D"/>
    <w:rsid w:val="007560B0"/>
    <w:rsid w:val="00757EE9"/>
    <w:rsid w:val="0076084B"/>
    <w:rsid w:val="00762DD6"/>
    <w:rsid w:val="007631C7"/>
    <w:rsid w:val="00763CCC"/>
    <w:rsid w:val="00764280"/>
    <w:rsid w:val="0076599C"/>
    <w:rsid w:val="00771B5A"/>
    <w:rsid w:val="007751E3"/>
    <w:rsid w:val="00776C72"/>
    <w:rsid w:val="007807DC"/>
    <w:rsid w:val="0078258F"/>
    <w:rsid w:val="0078301D"/>
    <w:rsid w:val="007846BC"/>
    <w:rsid w:val="007867D2"/>
    <w:rsid w:val="00787FDA"/>
    <w:rsid w:val="00790C7A"/>
    <w:rsid w:val="00792131"/>
    <w:rsid w:val="007922C0"/>
    <w:rsid w:val="00794B6E"/>
    <w:rsid w:val="007969A4"/>
    <w:rsid w:val="007A0114"/>
    <w:rsid w:val="007A4E15"/>
    <w:rsid w:val="007A5EA4"/>
    <w:rsid w:val="007B1321"/>
    <w:rsid w:val="007B1904"/>
    <w:rsid w:val="007B5E91"/>
    <w:rsid w:val="007C302E"/>
    <w:rsid w:val="007C37CC"/>
    <w:rsid w:val="007D02FF"/>
    <w:rsid w:val="007D1415"/>
    <w:rsid w:val="007D6370"/>
    <w:rsid w:val="007E092F"/>
    <w:rsid w:val="007E1E0D"/>
    <w:rsid w:val="007E207E"/>
    <w:rsid w:val="007E4943"/>
    <w:rsid w:val="007E5112"/>
    <w:rsid w:val="007E5EC0"/>
    <w:rsid w:val="007F2082"/>
    <w:rsid w:val="007F3520"/>
    <w:rsid w:val="007F3873"/>
    <w:rsid w:val="007F7C06"/>
    <w:rsid w:val="0080098A"/>
    <w:rsid w:val="00801761"/>
    <w:rsid w:val="00810B00"/>
    <w:rsid w:val="008111EB"/>
    <w:rsid w:val="008130C9"/>
    <w:rsid w:val="00813D02"/>
    <w:rsid w:val="00814833"/>
    <w:rsid w:val="0081715E"/>
    <w:rsid w:val="0082033D"/>
    <w:rsid w:val="008222AD"/>
    <w:rsid w:val="00823183"/>
    <w:rsid w:val="00824B92"/>
    <w:rsid w:val="00826631"/>
    <w:rsid w:val="00827478"/>
    <w:rsid w:val="0083104D"/>
    <w:rsid w:val="008349AE"/>
    <w:rsid w:val="00834E0B"/>
    <w:rsid w:val="00842C2C"/>
    <w:rsid w:val="0084427B"/>
    <w:rsid w:val="00846D77"/>
    <w:rsid w:val="00847E3D"/>
    <w:rsid w:val="00852480"/>
    <w:rsid w:val="00856632"/>
    <w:rsid w:val="008615B4"/>
    <w:rsid w:val="00867308"/>
    <w:rsid w:val="00871F6E"/>
    <w:rsid w:val="00885477"/>
    <w:rsid w:val="008861DD"/>
    <w:rsid w:val="0089099B"/>
    <w:rsid w:val="00891F62"/>
    <w:rsid w:val="00896044"/>
    <w:rsid w:val="008A6A3B"/>
    <w:rsid w:val="008B0543"/>
    <w:rsid w:val="008B2129"/>
    <w:rsid w:val="008B7D43"/>
    <w:rsid w:val="008C0888"/>
    <w:rsid w:val="008C235D"/>
    <w:rsid w:val="008C3505"/>
    <w:rsid w:val="008D20B4"/>
    <w:rsid w:val="008D30EA"/>
    <w:rsid w:val="008D4649"/>
    <w:rsid w:val="008D55C8"/>
    <w:rsid w:val="008D611E"/>
    <w:rsid w:val="008E20DE"/>
    <w:rsid w:val="008E2A56"/>
    <w:rsid w:val="008F1770"/>
    <w:rsid w:val="008F23A9"/>
    <w:rsid w:val="008F2FB5"/>
    <w:rsid w:val="009013C5"/>
    <w:rsid w:val="00901BD5"/>
    <w:rsid w:val="0090254A"/>
    <w:rsid w:val="009061A4"/>
    <w:rsid w:val="00911BD5"/>
    <w:rsid w:val="00912E02"/>
    <w:rsid w:val="00923623"/>
    <w:rsid w:val="009315EE"/>
    <w:rsid w:val="00932E43"/>
    <w:rsid w:val="00932E88"/>
    <w:rsid w:val="0093440F"/>
    <w:rsid w:val="009356E9"/>
    <w:rsid w:val="00942024"/>
    <w:rsid w:val="00944550"/>
    <w:rsid w:val="00950085"/>
    <w:rsid w:val="009550AD"/>
    <w:rsid w:val="009565D4"/>
    <w:rsid w:val="00961E10"/>
    <w:rsid w:val="009636CF"/>
    <w:rsid w:val="00964F6A"/>
    <w:rsid w:val="009663E4"/>
    <w:rsid w:val="00967D7C"/>
    <w:rsid w:val="0097214E"/>
    <w:rsid w:val="00972AFF"/>
    <w:rsid w:val="0097331A"/>
    <w:rsid w:val="0097600C"/>
    <w:rsid w:val="00976131"/>
    <w:rsid w:val="00977D73"/>
    <w:rsid w:val="00985F4F"/>
    <w:rsid w:val="0099262A"/>
    <w:rsid w:val="009955AD"/>
    <w:rsid w:val="0099739B"/>
    <w:rsid w:val="009A025A"/>
    <w:rsid w:val="009A05F3"/>
    <w:rsid w:val="009B104E"/>
    <w:rsid w:val="009B27AA"/>
    <w:rsid w:val="009B56DA"/>
    <w:rsid w:val="009C3A35"/>
    <w:rsid w:val="009C42CD"/>
    <w:rsid w:val="009C5672"/>
    <w:rsid w:val="009D13BB"/>
    <w:rsid w:val="009D50EB"/>
    <w:rsid w:val="009D61F4"/>
    <w:rsid w:val="009E32F5"/>
    <w:rsid w:val="009E34AC"/>
    <w:rsid w:val="009E4C83"/>
    <w:rsid w:val="009E5A33"/>
    <w:rsid w:val="009E6279"/>
    <w:rsid w:val="009F1F1A"/>
    <w:rsid w:val="009F2649"/>
    <w:rsid w:val="009F704C"/>
    <w:rsid w:val="00A0215D"/>
    <w:rsid w:val="00A06666"/>
    <w:rsid w:val="00A079EF"/>
    <w:rsid w:val="00A105E0"/>
    <w:rsid w:val="00A10898"/>
    <w:rsid w:val="00A14CAC"/>
    <w:rsid w:val="00A24FCA"/>
    <w:rsid w:val="00A250A4"/>
    <w:rsid w:val="00A27534"/>
    <w:rsid w:val="00A3018B"/>
    <w:rsid w:val="00A3128D"/>
    <w:rsid w:val="00A324EA"/>
    <w:rsid w:val="00A32924"/>
    <w:rsid w:val="00A33A46"/>
    <w:rsid w:val="00A3471F"/>
    <w:rsid w:val="00A40044"/>
    <w:rsid w:val="00A44C0F"/>
    <w:rsid w:val="00A45A40"/>
    <w:rsid w:val="00A45B43"/>
    <w:rsid w:val="00A4794A"/>
    <w:rsid w:val="00A5124D"/>
    <w:rsid w:val="00A52527"/>
    <w:rsid w:val="00A533DE"/>
    <w:rsid w:val="00A53D74"/>
    <w:rsid w:val="00A53E2B"/>
    <w:rsid w:val="00A817CE"/>
    <w:rsid w:val="00A928FA"/>
    <w:rsid w:val="00A93D67"/>
    <w:rsid w:val="00A94FED"/>
    <w:rsid w:val="00A950B5"/>
    <w:rsid w:val="00AA08ED"/>
    <w:rsid w:val="00AA7B0B"/>
    <w:rsid w:val="00AB3167"/>
    <w:rsid w:val="00AB32CF"/>
    <w:rsid w:val="00AB4548"/>
    <w:rsid w:val="00AB4BAB"/>
    <w:rsid w:val="00AB5B05"/>
    <w:rsid w:val="00AB7637"/>
    <w:rsid w:val="00AB7A6D"/>
    <w:rsid w:val="00AC0C31"/>
    <w:rsid w:val="00AC21FD"/>
    <w:rsid w:val="00AC30EB"/>
    <w:rsid w:val="00AC59EB"/>
    <w:rsid w:val="00AC627E"/>
    <w:rsid w:val="00AD2235"/>
    <w:rsid w:val="00AD2A2A"/>
    <w:rsid w:val="00AD6564"/>
    <w:rsid w:val="00AE093E"/>
    <w:rsid w:val="00AE0A04"/>
    <w:rsid w:val="00AE4E76"/>
    <w:rsid w:val="00AE52E1"/>
    <w:rsid w:val="00AF46DD"/>
    <w:rsid w:val="00AF483F"/>
    <w:rsid w:val="00B02599"/>
    <w:rsid w:val="00B058CF"/>
    <w:rsid w:val="00B058EE"/>
    <w:rsid w:val="00B05E82"/>
    <w:rsid w:val="00B11D0F"/>
    <w:rsid w:val="00B14060"/>
    <w:rsid w:val="00B16B3C"/>
    <w:rsid w:val="00B24BAF"/>
    <w:rsid w:val="00B255B7"/>
    <w:rsid w:val="00B25EE3"/>
    <w:rsid w:val="00B269D4"/>
    <w:rsid w:val="00B26E47"/>
    <w:rsid w:val="00B27F8E"/>
    <w:rsid w:val="00B3357C"/>
    <w:rsid w:val="00B341BF"/>
    <w:rsid w:val="00B36809"/>
    <w:rsid w:val="00B45829"/>
    <w:rsid w:val="00B53ADE"/>
    <w:rsid w:val="00B545BD"/>
    <w:rsid w:val="00B574B1"/>
    <w:rsid w:val="00B61677"/>
    <w:rsid w:val="00B61C4A"/>
    <w:rsid w:val="00B61EC9"/>
    <w:rsid w:val="00B62090"/>
    <w:rsid w:val="00B6232C"/>
    <w:rsid w:val="00B632EE"/>
    <w:rsid w:val="00B679AD"/>
    <w:rsid w:val="00B7123F"/>
    <w:rsid w:val="00B71A5E"/>
    <w:rsid w:val="00B7744A"/>
    <w:rsid w:val="00B8240F"/>
    <w:rsid w:val="00B82D4D"/>
    <w:rsid w:val="00B87EE6"/>
    <w:rsid w:val="00B9260A"/>
    <w:rsid w:val="00B939FB"/>
    <w:rsid w:val="00B93FF4"/>
    <w:rsid w:val="00B942CB"/>
    <w:rsid w:val="00B96254"/>
    <w:rsid w:val="00B96ABD"/>
    <w:rsid w:val="00BA5983"/>
    <w:rsid w:val="00BA690F"/>
    <w:rsid w:val="00BA6A9E"/>
    <w:rsid w:val="00BA6FAA"/>
    <w:rsid w:val="00BA73C6"/>
    <w:rsid w:val="00BA7BA0"/>
    <w:rsid w:val="00BB4B2F"/>
    <w:rsid w:val="00BB5141"/>
    <w:rsid w:val="00BC56BD"/>
    <w:rsid w:val="00BD42E5"/>
    <w:rsid w:val="00BE02A5"/>
    <w:rsid w:val="00BE053D"/>
    <w:rsid w:val="00BE2D0F"/>
    <w:rsid w:val="00BE711C"/>
    <w:rsid w:val="00BF18DC"/>
    <w:rsid w:val="00C03D52"/>
    <w:rsid w:val="00C04B4F"/>
    <w:rsid w:val="00C13DE2"/>
    <w:rsid w:val="00C14408"/>
    <w:rsid w:val="00C14776"/>
    <w:rsid w:val="00C174F2"/>
    <w:rsid w:val="00C17F58"/>
    <w:rsid w:val="00C20BE7"/>
    <w:rsid w:val="00C20C17"/>
    <w:rsid w:val="00C307E7"/>
    <w:rsid w:val="00C34408"/>
    <w:rsid w:val="00C34A92"/>
    <w:rsid w:val="00C35829"/>
    <w:rsid w:val="00C370A7"/>
    <w:rsid w:val="00C43356"/>
    <w:rsid w:val="00C4420C"/>
    <w:rsid w:val="00C45953"/>
    <w:rsid w:val="00C47960"/>
    <w:rsid w:val="00C47C17"/>
    <w:rsid w:val="00C520A3"/>
    <w:rsid w:val="00C56849"/>
    <w:rsid w:val="00C57E90"/>
    <w:rsid w:val="00C62F1C"/>
    <w:rsid w:val="00C6380F"/>
    <w:rsid w:val="00C65198"/>
    <w:rsid w:val="00C65A80"/>
    <w:rsid w:val="00C67A45"/>
    <w:rsid w:val="00C736AD"/>
    <w:rsid w:val="00C744A3"/>
    <w:rsid w:val="00C74E18"/>
    <w:rsid w:val="00C81DB5"/>
    <w:rsid w:val="00C837F5"/>
    <w:rsid w:val="00C85F93"/>
    <w:rsid w:val="00C900FF"/>
    <w:rsid w:val="00C977A5"/>
    <w:rsid w:val="00CA2E0C"/>
    <w:rsid w:val="00CA7FB3"/>
    <w:rsid w:val="00CB1341"/>
    <w:rsid w:val="00CB3C06"/>
    <w:rsid w:val="00CB3FC8"/>
    <w:rsid w:val="00CB442A"/>
    <w:rsid w:val="00CB66A6"/>
    <w:rsid w:val="00CB6C1C"/>
    <w:rsid w:val="00CC525B"/>
    <w:rsid w:val="00CC63C0"/>
    <w:rsid w:val="00CD4068"/>
    <w:rsid w:val="00CD4B2E"/>
    <w:rsid w:val="00CD4DE4"/>
    <w:rsid w:val="00CD526E"/>
    <w:rsid w:val="00CD53D5"/>
    <w:rsid w:val="00CD5478"/>
    <w:rsid w:val="00CD6527"/>
    <w:rsid w:val="00CD6B3F"/>
    <w:rsid w:val="00CF310F"/>
    <w:rsid w:val="00CF3E63"/>
    <w:rsid w:val="00CF561E"/>
    <w:rsid w:val="00CF73AE"/>
    <w:rsid w:val="00D00F73"/>
    <w:rsid w:val="00D0273C"/>
    <w:rsid w:val="00D143BA"/>
    <w:rsid w:val="00D20DD2"/>
    <w:rsid w:val="00D34EEE"/>
    <w:rsid w:val="00D36E67"/>
    <w:rsid w:val="00D37BAF"/>
    <w:rsid w:val="00D40A64"/>
    <w:rsid w:val="00D46C86"/>
    <w:rsid w:val="00D51337"/>
    <w:rsid w:val="00D5160A"/>
    <w:rsid w:val="00D51B1E"/>
    <w:rsid w:val="00D52184"/>
    <w:rsid w:val="00D54E6F"/>
    <w:rsid w:val="00D65FDF"/>
    <w:rsid w:val="00D66737"/>
    <w:rsid w:val="00D71743"/>
    <w:rsid w:val="00D73095"/>
    <w:rsid w:val="00D776C5"/>
    <w:rsid w:val="00D808EA"/>
    <w:rsid w:val="00D836D2"/>
    <w:rsid w:val="00D918A7"/>
    <w:rsid w:val="00D91C3B"/>
    <w:rsid w:val="00D925F7"/>
    <w:rsid w:val="00D9574F"/>
    <w:rsid w:val="00D960FF"/>
    <w:rsid w:val="00D96598"/>
    <w:rsid w:val="00D979EA"/>
    <w:rsid w:val="00DA014B"/>
    <w:rsid w:val="00DA02B9"/>
    <w:rsid w:val="00DA268C"/>
    <w:rsid w:val="00DA42EA"/>
    <w:rsid w:val="00DA61E6"/>
    <w:rsid w:val="00DA7D22"/>
    <w:rsid w:val="00DA7FEA"/>
    <w:rsid w:val="00DB0130"/>
    <w:rsid w:val="00DB269B"/>
    <w:rsid w:val="00DB2E3E"/>
    <w:rsid w:val="00DC02B5"/>
    <w:rsid w:val="00DD27D1"/>
    <w:rsid w:val="00DD2EDE"/>
    <w:rsid w:val="00DD4409"/>
    <w:rsid w:val="00DD5176"/>
    <w:rsid w:val="00DE143B"/>
    <w:rsid w:val="00DE221A"/>
    <w:rsid w:val="00DE2334"/>
    <w:rsid w:val="00DE5C1E"/>
    <w:rsid w:val="00DE75A9"/>
    <w:rsid w:val="00DF1628"/>
    <w:rsid w:val="00DF599C"/>
    <w:rsid w:val="00DF68F0"/>
    <w:rsid w:val="00DF6CDE"/>
    <w:rsid w:val="00E0113D"/>
    <w:rsid w:val="00E039CB"/>
    <w:rsid w:val="00E065C4"/>
    <w:rsid w:val="00E07EBE"/>
    <w:rsid w:val="00E07F01"/>
    <w:rsid w:val="00E1243B"/>
    <w:rsid w:val="00E13A20"/>
    <w:rsid w:val="00E1423B"/>
    <w:rsid w:val="00E15A93"/>
    <w:rsid w:val="00E16148"/>
    <w:rsid w:val="00E17945"/>
    <w:rsid w:val="00E20154"/>
    <w:rsid w:val="00E20AF1"/>
    <w:rsid w:val="00E316A8"/>
    <w:rsid w:val="00E317E1"/>
    <w:rsid w:val="00E32FE4"/>
    <w:rsid w:val="00E33231"/>
    <w:rsid w:val="00E40583"/>
    <w:rsid w:val="00E435B5"/>
    <w:rsid w:val="00E569C9"/>
    <w:rsid w:val="00E6186E"/>
    <w:rsid w:val="00E70701"/>
    <w:rsid w:val="00E72F03"/>
    <w:rsid w:val="00E73AC8"/>
    <w:rsid w:val="00E73F45"/>
    <w:rsid w:val="00E7429A"/>
    <w:rsid w:val="00E75D89"/>
    <w:rsid w:val="00E84434"/>
    <w:rsid w:val="00E9511F"/>
    <w:rsid w:val="00E95FBF"/>
    <w:rsid w:val="00EA0512"/>
    <w:rsid w:val="00EB30F5"/>
    <w:rsid w:val="00EB4A14"/>
    <w:rsid w:val="00EB4D95"/>
    <w:rsid w:val="00EB5299"/>
    <w:rsid w:val="00EB5C8B"/>
    <w:rsid w:val="00EC1780"/>
    <w:rsid w:val="00EC21A6"/>
    <w:rsid w:val="00EC3CC1"/>
    <w:rsid w:val="00EC3D78"/>
    <w:rsid w:val="00EC47CA"/>
    <w:rsid w:val="00EC5F47"/>
    <w:rsid w:val="00EC7143"/>
    <w:rsid w:val="00ED263C"/>
    <w:rsid w:val="00ED2A92"/>
    <w:rsid w:val="00ED2B55"/>
    <w:rsid w:val="00ED3BFF"/>
    <w:rsid w:val="00ED503D"/>
    <w:rsid w:val="00ED682A"/>
    <w:rsid w:val="00EE0109"/>
    <w:rsid w:val="00EE11FD"/>
    <w:rsid w:val="00EE1D07"/>
    <w:rsid w:val="00EE2DA2"/>
    <w:rsid w:val="00EE4B98"/>
    <w:rsid w:val="00EE54E3"/>
    <w:rsid w:val="00F0079F"/>
    <w:rsid w:val="00F030AA"/>
    <w:rsid w:val="00F050EB"/>
    <w:rsid w:val="00F13235"/>
    <w:rsid w:val="00F13F86"/>
    <w:rsid w:val="00F143A1"/>
    <w:rsid w:val="00F145E8"/>
    <w:rsid w:val="00F1494E"/>
    <w:rsid w:val="00F2358D"/>
    <w:rsid w:val="00F23798"/>
    <w:rsid w:val="00F260AC"/>
    <w:rsid w:val="00F26DFB"/>
    <w:rsid w:val="00F27043"/>
    <w:rsid w:val="00F327B4"/>
    <w:rsid w:val="00F32C54"/>
    <w:rsid w:val="00F32E6E"/>
    <w:rsid w:val="00F335EA"/>
    <w:rsid w:val="00F37D17"/>
    <w:rsid w:val="00F41461"/>
    <w:rsid w:val="00F4263A"/>
    <w:rsid w:val="00F42B60"/>
    <w:rsid w:val="00F440B1"/>
    <w:rsid w:val="00F463F1"/>
    <w:rsid w:val="00F47E96"/>
    <w:rsid w:val="00F50A3A"/>
    <w:rsid w:val="00F53A4C"/>
    <w:rsid w:val="00F5526E"/>
    <w:rsid w:val="00F5540E"/>
    <w:rsid w:val="00F569E1"/>
    <w:rsid w:val="00F62A1E"/>
    <w:rsid w:val="00F64143"/>
    <w:rsid w:val="00F64260"/>
    <w:rsid w:val="00F64DB9"/>
    <w:rsid w:val="00F65513"/>
    <w:rsid w:val="00F71098"/>
    <w:rsid w:val="00F7138F"/>
    <w:rsid w:val="00F82350"/>
    <w:rsid w:val="00F85399"/>
    <w:rsid w:val="00F93183"/>
    <w:rsid w:val="00F96D00"/>
    <w:rsid w:val="00FA035F"/>
    <w:rsid w:val="00FA2276"/>
    <w:rsid w:val="00FA4FA5"/>
    <w:rsid w:val="00FA512D"/>
    <w:rsid w:val="00FA686C"/>
    <w:rsid w:val="00FA6932"/>
    <w:rsid w:val="00FA6CEA"/>
    <w:rsid w:val="00FB1945"/>
    <w:rsid w:val="00FB3972"/>
    <w:rsid w:val="00FB70DE"/>
    <w:rsid w:val="00FC0C10"/>
    <w:rsid w:val="00FC0EBA"/>
    <w:rsid w:val="00FC0EDD"/>
    <w:rsid w:val="00FC2BD1"/>
    <w:rsid w:val="00FC50D3"/>
    <w:rsid w:val="00FC6D87"/>
    <w:rsid w:val="00FD17C2"/>
    <w:rsid w:val="00FD1BA1"/>
    <w:rsid w:val="00FD634F"/>
    <w:rsid w:val="00FE002D"/>
    <w:rsid w:val="00FE0A7C"/>
    <w:rsid w:val="00FE2611"/>
    <w:rsid w:val="00FF2067"/>
    <w:rsid w:val="00FF2AB0"/>
    <w:rsid w:val="00FF3FFA"/>
    <w:rsid w:val="00FF4B27"/>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character" w:customStyle="1" w:styleId="BulletsChar">
    <w:name w:val="Bullets Char"/>
    <w:link w:val="Bullets"/>
    <w:locked/>
    <w:rsid w:val="007F387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character" w:customStyle="1" w:styleId="BulletsChar">
    <w:name w:val="Bullets Char"/>
    <w:link w:val="Bullets"/>
    <w:locked/>
    <w:rsid w:val="007F38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34243">
      <w:bodyDiv w:val="1"/>
      <w:marLeft w:val="0"/>
      <w:marRight w:val="0"/>
      <w:marTop w:val="0"/>
      <w:marBottom w:val="0"/>
      <w:divBdr>
        <w:top w:val="none" w:sz="0" w:space="0" w:color="auto"/>
        <w:left w:val="none" w:sz="0" w:space="0" w:color="auto"/>
        <w:bottom w:val="none" w:sz="0" w:space="0" w:color="auto"/>
        <w:right w:val="none" w:sz="0" w:space="0" w:color="auto"/>
      </w:divBdr>
      <w:divsChild>
        <w:div w:id="42993308">
          <w:marLeft w:val="0"/>
          <w:marRight w:val="0"/>
          <w:marTop w:val="0"/>
          <w:marBottom w:val="0"/>
          <w:divBdr>
            <w:top w:val="none" w:sz="0" w:space="0" w:color="auto"/>
            <w:left w:val="none" w:sz="0" w:space="0" w:color="auto"/>
            <w:bottom w:val="none" w:sz="0" w:space="0" w:color="auto"/>
            <w:right w:val="none" w:sz="0" w:space="0" w:color="auto"/>
          </w:divBdr>
          <w:divsChild>
            <w:div w:id="147986277">
              <w:marLeft w:val="0"/>
              <w:marRight w:val="0"/>
              <w:marTop w:val="0"/>
              <w:marBottom w:val="0"/>
              <w:divBdr>
                <w:top w:val="none" w:sz="0" w:space="0" w:color="auto"/>
                <w:left w:val="none" w:sz="0" w:space="0" w:color="auto"/>
                <w:bottom w:val="none" w:sz="0" w:space="0" w:color="auto"/>
                <w:right w:val="none" w:sz="0" w:space="0" w:color="auto"/>
              </w:divBdr>
              <w:divsChild>
                <w:div w:id="864831410">
                  <w:marLeft w:val="0"/>
                  <w:marRight w:val="0"/>
                  <w:marTop w:val="0"/>
                  <w:marBottom w:val="0"/>
                  <w:divBdr>
                    <w:top w:val="none" w:sz="0" w:space="0" w:color="auto"/>
                    <w:left w:val="none" w:sz="0" w:space="0" w:color="auto"/>
                    <w:bottom w:val="none" w:sz="0" w:space="0" w:color="auto"/>
                    <w:right w:val="none" w:sz="0" w:space="0" w:color="auto"/>
                  </w:divBdr>
                  <w:divsChild>
                    <w:div w:id="15333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97850095">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16658660">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6/DCB_h.pdf" TargetMode="External"/><Relationship Id="rId5" Type="http://schemas.openxmlformats.org/officeDocument/2006/relationships/settings" Target="settings.xml"/><Relationship Id="rId10" Type="http://schemas.openxmlformats.org/officeDocument/2006/relationships/hyperlink" Target="http://www.reginfo.gov/public/do/PRAOMBHistory?ombControlNumber=1205-0506" TargetMode="External"/><Relationship Id="rId4" Type="http://schemas.microsoft.com/office/2007/relationships/stylesWithEffects" Target="stylesWithEffects.xml"/><Relationship Id="rId9" Type="http://schemas.openxmlformats.org/officeDocument/2006/relationships/hyperlink" Target="http://www.reginfo.gov/public/do/PRAOMBHistory?ombControlNumber=0970-039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35B6-7C17-4874-8B3E-03CFB9F6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12</Pages>
  <Words>5309</Words>
  <Characters>30770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36007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Irwin, Molly E - ASP</cp:lastModifiedBy>
  <cp:revision>2</cp:revision>
  <cp:lastPrinted>2016-07-22T15:55:00Z</cp:lastPrinted>
  <dcterms:created xsi:type="dcterms:W3CDTF">2016-11-28T22:09:00Z</dcterms:created>
  <dcterms:modified xsi:type="dcterms:W3CDTF">2016-11-28T22:09:00Z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