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56D67E" w14:textId="77777777" w:rsidR="001945CA" w:rsidRPr="00512B62" w:rsidRDefault="00B50861" w:rsidP="009F4D1C">
      <w:pPr>
        <w:jc w:val="center"/>
        <w:rPr>
          <w:sz w:val="28"/>
          <w:szCs w:val="28"/>
        </w:rPr>
      </w:pPr>
      <w:r w:rsidRPr="00512B62">
        <w:rPr>
          <w:sz w:val="28"/>
          <w:szCs w:val="28"/>
        </w:rPr>
        <w:t>Department of the Treasury</w:t>
      </w:r>
    </w:p>
    <w:p w14:paraId="4F6F99C2" w14:textId="77777777" w:rsidR="007E69B3" w:rsidRPr="00512B62" w:rsidRDefault="00B50861" w:rsidP="009F4D1C">
      <w:pPr>
        <w:jc w:val="center"/>
        <w:rPr>
          <w:sz w:val="28"/>
          <w:szCs w:val="28"/>
        </w:rPr>
      </w:pPr>
      <w:r w:rsidRPr="00512B62">
        <w:rPr>
          <w:sz w:val="28"/>
          <w:szCs w:val="28"/>
        </w:rPr>
        <w:t>Departmental Offices</w:t>
      </w:r>
    </w:p>
    <w:p w14:paraId="076A763B" w14:textId="10CB5D6E" w:rsidR="003C068B" w:rsidRPr="00512B62" w:rsidRDefault="00512B62" w:rsidP="00A73FE3">
      <w:pPr>
        <w:jc w:val="center"/>
        <w:rPr>
          <w:b/>
        </w:rPr>
      </w:pPr>
      <w:r w:rsidRPr="00512B62">
        <w:rPr>
          <w:b/>
        </w:rPr>
        <w:t xml:space="preserve">Application </w:t>
      </w:r>
      <w:r w:rsidR="00165343">
        <w:rPr>
          <w:b/>
        </w:rPr>
        <w:t xml:space="preserve">and Reports </w:t>
      </w:r>
      <w:r w:rsidRPr="00512B62">
        <w:rPr>
          <w:b/>
        </w:rPr>
        <w:t xml:space="preserve">for </w:t>
      </w:r>
      <w:r w:rsidR="000E07A3">
        <w:rPr>
          <w:b/>
        </w:rPr>
        <w:t xml:space="preserve">the </w:t>
      </w:r>
      <w:r w:rsidR="00165343">
        <w:rPr>
          <w:b/>
        </w:rPr>
        <w:t xml:space="preserve">Direct Component </w:t>
      </w:r>
      <w:r w:rsidR="000E07A3">
        <w:rPr>
          <w:b/>
        </w:rPr>
        <w:t xml:space="preserve">and the Centers of Excellence Research Grants Program </w:t>
      </w:r>
      <w:r w:rsidR="00165343">
        <w:rPr>
          <w:b/>
        </w:rPr>
        <w:t xml:space="preserve">of the </w:t>
      </w:r>
      <w:r w:rsidR="00B31CDA">
        <w:rPr>
          <w:b/>
        </w:rPr>
        <w:t>O</w:t>
      </w:r>
      <w:bookmarkStart w:id="0" w:name="_GoBack"/>
      <w:bookmarkEnd w:id="0"/>
      <w:r w:rsidR="00B31CDA">
        <w:rPr>
          <w:b/>
        </w:rPr>
        <w:t>ffice of Gulf Coast Restoration, Office of</w:t>
      </w:r>
      <w:r w:rsidR="00F23B72">
        <w:rPr>
          <w:b/>
        </w:rPr>
        <w:t xml:space="preserve"> </w:t>
      </w:r>
      <w:r w:rsidR="00BC1BAC">
        <w:rPr>
          <w:b/>
        </w:rPr>
        <w:t>Fiscal Assistant Secretary</w:t>
      </w:r>
      <w:r w:rsidR="00B31CDA">
        <w:rPr>
          <w:b/>
        </w:rPr>
        <w:t xml:space="preserve"> </w:t>
      </w:r>
    </w:p>
    <w:p w14:paraId="1A46653E" w14:textId="77777777" w:rsidR="00512B62" w:rsidRDefault="00512B62" w:rsidP="00512B62">
      <w:pPr>
        <w:jc w:val="center"/>
        <w:rPr>
          <w:i/>
        </w:rPr>
      </w:pPr>
      <w:r w:rsidRPr="00512B62">
        <w:rPr>
          <w:i/>
        </w:rPr>
        <w:t>Supporting Statement and Request for Clearance</w:t>
      </w:r>
    </w:p>
    <w:p w14:paraId="19A6AAA8" w14:textId="77777777" w:rsidR="00110D39" w:rsidRPr="00110D39" w:rsidRDefault="00B601FF" w:rsidP="00512B62">
      <w:pPr>
        <w:jc w:val="center"/>
      </w:pPr>
      <w:r>
        <w:t>OMB No. 1505-0250</w:t>
      </w:r>
    </w:p>
    <w:p w14:paraId="29EDAC2D" w14:textId="77777777" w:rsidR="000E1D60" w:rsidRDefault="000E1D60" w:rsidP="00A73FE3">
      <w:pPr>
        <w:jc w:val="center"/>
      </w:pPr>
    </w:p>
    <w:p w14:paraId="1DF2F638" w14:textId="77777777" w:rsidR="00A73FE3" w:rsidRPr="0025604D" w:rsidRDefault="00A73FE3"/>
    <w:p w14:paraId="0CDC7AD8" w14:textId="77777777" w:rsidR="00B50861" w:rsidRPr="002551F6" w:rsidRDefault="00F41911" w:rsidP="00F41911">
      <w:pPr>
        <w:numPr>
          <w:ilvl w:val="0"/>
          <w:numId w:val="12"/>
        </w:numPr>
        <w:rPr>
          <w:b/>
          <w:u w:val="single"/>
        </w:rPr>
      </w:pPr>
      <w:r w:rsidRPr="002551F6">
        <w:rPr>
          <w:b/>
        </w:rPr>
        <w:t xml:space="preserve"> </w:t>
      </w:r>
      <w:r w:rsidR="00B50861" w:rsidRPr="002551F6">
        <w:rPr>
          <w:b/>
          <w:u w:val="single"/>
        </w:rPr>
        <w:t>Circumstances necessitating the collection of information</w:t>
      </w:r>
    </w:p>
    <w:p w14:paraId="0161624D" w14:textId="77777777" w:rsidR="00990870" w:rsidRPr="0025604D" w:rsidRDefault="00990870" w:rsidP="00990870">
      <w:pPr>
        <w:ind w:left="360"/>
        <w:rPr>
          <w:u w:val="single"/>
        </w:rPr>
      </w:pPr>
    </w:p>
    <w:p w14:paraId="1004CF6F" w14:textId="6FC874C3" w:rsidR="00AF0BF9" w:rsidRPr="002551F6" w:rsidRDefault="00A73FE3" w:rsidP="00B716A8">
      <w:r w:rsidRPr="002551F6">
        <w:t xml:space="preserve">Authorized under the </w:t>
      </w:r>
      <w:r w:rsidR="000E07A3" w:rsidRPr="002551F6">
        <w:t>Resources and Ecosystems Sustainability, Tourist Opportunities, and Revived Economies of the Gulf Coast States Act (RESTORE</w:t>
      </w:r>
      <w:r w:rsidR="009E4CDC">
        <w:t xml:space="preserve"> Act</w:t>
      </w:r>
      <w:r w:rsidR="000E07A3" w:rsidRPr="002551F6">
        <w:t>)</w:t>
      </w:r>
      <w:r w:rsidR="002E4398">
        <w:t xml:space="preserve"> (P.L. 112-141)</w:t>
      </w:r>
      <w:r w:rsidR="000E07A3" w:rsidRPr="002551F6">
        <w:t>, t</w:t>
      </w:r>
      <w:r w:rsidRPr="002551F6">
        <w:t xml:space="preserve">he Department of the Treasury </w:t>
      </w:r>
      <w:r w:rsidR="00260CEB" w:rsidRPr="002551F6">
        <w:t>implement</w:t>
      </w:r>
      <w:r w:rsidR="009E4CDC">
        <w:t>s</w:t>
      </w:r>
      <w:r w:rsidR="00260CEB" w:rsidRPr="002551F6">
        <w:t xml:space="preserve"> </w:t>
      </w:r>
      <w:r w:rsidRPr="002551F6">
        <w:t xml:space="preserve">several </w:t>
      </w:r>
      <w:r w:rsidR="00260CEB" w:rsidRPr="002551F6">
        <w:t xml:space="preserve">provisions of the Act, more specifically </w:t>
      </w:r>
      <w:r w:rsidR="000E07A3" w:rsidRPr="002551F6">
        <w:t>the Direct Component and the Centers of Excellence Research</w:t>
      </w:r>
      <w:r w:rsidR="002920BD">
        <w:t xml:space="preserve"> Grants Program</w:t>
      </w:r>
      <w:r w:rsidR="000E07A3" w:rsidRPr="002551F6">
        <w:t>.</w:t>
      </w:r>
      <w:r w:rsidR="009B6FA0" w:rsidRPr="002551F6">
        <w:t xml:space="preserve">  </w:t>
      </w:r>
      <w:r w:rsidR="000E07A3" w:rsidRPr="002551F6">
        <w:t xml:space="preserve">These programs </w:t>
      </w:r>
      <w:r w:rsidR="00CD58CD" w:rsidRPr="002551F6">
        <w:t xml:space="preserve">require Treasury to </w:t>
      </w:r>
      <w:r w:rsidR="00B31CDA">
        <w:t>award</w:t>
      </w:r>
      <w:r w:rsidR="00CD58CD" w:rsidRPr="002551F6">
        <w:t xml:space="preserve"> </w:t>
      </w:r>
      <w:r w:rsidR="000E07A3" w:rsidRPr="002551F6">
        <w:t>grants from the Gulf Coast Restoration Trust Fund</w:t>
      </w:r>
      <w:r w:rsidR="009259D5">
        <w:t xml:space="preserve"> (Trust Fund) equally to the five Gulf Coast States</w:t>
      </w:r>
      <w:r w:rsidR="00860267" w:rsidRPr="002551F6">
        <w:t xml:space="preserve"> </w:t>
      </w:r>
      <w:r w:rsidR="000E07A3" w:rsidRPr="002551F6">
        <w:t xml:space="preserve">impacted by </w:t>
      </w:r>
      <w:r w:rsidR="00B64EA2">
        <w:t xml:space="preserve">the </w:t>
      </w:r>
      <w:r w:rsidR="000E07A3" w:rsidRPr="00106A18">
        <w:rPr>
          <w:i/>
        </w:rPr>
        <w:t xml:space="preserve">Deepwater Horizon </w:t>
      </w:r>
      <w:r w:rsidR="000E07A3" w:rsidRPr="002551F6">
        <w:t>Oil Spill</w:t>
      </w:r>
      <w:r w:rsidR="00860267" w:rsidRPr="002551F6">
        <w:t xml:space="preserve">.  </w:t>
      </w:r>
      <w:r w:rsidR="000E07A3" w:rsidRPr="002551F6">
        <w:t xml:space="preserve">The </w:t>
      </w:r>
      <w:r w:rsidR="009259D5">
        <w:t xml:space="preserve">Direct Component </w:t>
      </w:r>
      <w:r w:rsidR="009E4CDC">
        <w:t>recipients include</w:t>
      </w:r>
      <w:r w:rsidR="000E07A3" w:rsidRPr="002551F6">
        <w:t xml:space="preserve"> Alabama, </w:t>
      </w:r>
      <w:r w:rsidR="009E4CDC" w:rsidRPr="002551F6">
        <w:t xml:space="preserve">23 </w:t>
      </w:r>
      <w:r w:rsidR="009E4CDC">
        <w:t xml:space="preserve">Florida </w:t>
      </w:r>
      <w:r w:rsidR="009E4CDC" w:rsidRPr="002551F6">
        <w:t>counties</w:t>
      </w:r>
      <w:r w:rsidR="009E4CDC">
        <w:t>,</w:t>
      </w:r>
      <w:r w:rsidR="009E4CDC" w:rsidRPr="002551F6">
        <w:t xml:space="preserve"> </w:t>
      </w:r>
      <w:r w:rsidR="000E07A3" w:rsidRPr="002551F6">
        <w:t xml:space="preserve">Louisiana, </w:t>
      </w:r>
      <w:r w:rsidR="009E4CDC" w:rsidRPr="002551F6">
        <w:t xml:space="preserve">20 </w:t>
      </w:r>
      <w:r w:rsidR="009E4CDC">
        <w:t xml:space="preserve">Louisiana </w:t>
      </w:r>
      <w:r w:rsidR="009E4CDC" w:rsidRPr="002551F6">
        <w:t>parishes</w:t>
      </w:r>
      <w:r w:rsidR="009E4CDC">
        <w:t xml:space="preserve">, </w:t>
      </w:r>
      <w:r w:rsidR="000E07A3" w:rsidRPr="002551F6">
        <w:t xml:space="preserve">Mississippi, and Texas.  </w:t>
      </w:r>
      <w:r w:rsidR="009259D5">
        <w:t>Alabama, Florida, Louisiana, Mississippi, and Texas equally share the Centers of Excellence Research Grants Program allocations from Trust Fund deposits</w:t>
      </w:r>
      <w:r w:rsidR="00B31CDA">
        <w:t>.</w:t>
      </w:r>
    </w:p>
    <w:p w14:paraId="2396964A" w14:textId="77777777" w:rsidR="00AF0BF9" w:rsidRPr="002551F6" w:rsidRDefault="00AF0BF9" w:rsidP="00B716A8"/>
    <w:p w14:paraId="6310665E" w14:textId="2090FB70" w:rsidR="006678F4" w:rsidRDefault="006678F4" w:rsidP="006678F4">
      <w:r>
        <w:t>In general, f</w:t>
      </w:r>
      <w:r w:rsidR="00AF0BF9" w:rsidRPr="002551F6">
        <w:t>or the Direct Component,</w:t>
      </w:r>
      <w:r>
        <w:t xml:space="preserve"> </w:t>
      </w:r>
      <w:r w:rsidRPr="006678F4">
        <w:t>the following projects, programs, and activities are eligible for funding under the Direct Component</w:t>
      </w:r>
      <w:r>
        <w:t>,</w:t>
      </w:r>
      <w:r w:rsidRPr="006678F4">
        <w:t xml:space="preserve"> </w:t>
      </w:r>
      <w:r>
        <w:t>based on t</w:t>
      </w:r>
      <w:r w:rsidRPr="006678F4">
        <w:t xml:space="preserve">he eligibility </w:t>
      </w:r>
      <w:r>
        <w:t>criteria</w:t>
      </w:r>
      <w:r w:rsidRPr="006678F4">
        <w:t xml:space="preserve"> desc</w:t>
      </w:r>
      <w:r>
        <w:t>ribed in Treasury’s regulations</w:t>
      </w:r>
      <w:r w:rsidR="0058262E">
        <w:t>.</w:t>
      </w:r>
      <w:r w:rsidRPr="006678F4">
        <w:t xml:space="preserve"> </w:t>
      </w:r>
      <w:r w:rsidR="0058262E">
        <w:t xml:space="preserve"> </w:t>
      </w:r>
      <w:r w:rsidR="0058262E">
        <w:rPr>
          <w:i/>
        </w:rPr>
        <w:t>S</w:t>
      </w:r>
      <w:r w:rsidRPr="00106A18">
        <w:rPr>
          <w:i/>
        </w:rPr>
        <w:t>ee 31 CFR 34.201</w:t>
      </w:r>
      <w:r w:rsidR="0058262E">
        <w:rPr>
          <w:i/>
        </w:rPr>
        <w:t>.</w:t>
      </w:r>
      <w:r w:rsidR="00B64EA2">
        <w:t xml:space="preserve"> </w:t>
      </w:r>
    </w:p>
    <w:p w14:paraId="0733FF4D" w14:textId="127C2E90" w:rsidR="006678F4" w:rsidRDefault="006678F4" w:rsidP="00106A18">
      <w:pPr>
        <w:numPr>
          <w:ilvl w:val="0"/>
          <w:numId w:val="16"/>
        </w:numPr>
      </w:pPr>
      <w:r>
        <w:t>Restoration and protection of the natural resources, ecosystems, fisheries, marine and wildlife habitats, beaches and coastal wetlands of the Gulf Coast region</w:t>
      </w:r>
    </w:p>
    <w:p w14:paraId="70D5F25B" w14:textId="77777777" w:rsidR="006678F4" w:rsidRDefault="006678F4" w:rsidP="00106A18">
      <w:pPr>
        <w:numPr>
          <w:ilvl w:val="0"/>
          <w:numId w:val="16"/>
        </w:numPr>
      </w:pPr>
      <w:r>
        <w:t>Mitigation of damage to fish, wildlife, and natural resources</w:t>
      </w:r>
    </w:p>
    <w:p w14:paraId="5ABF6E8A" w14:textId="77777777" w:rsidR="006678F4" w:rsidRDefault="006678F4" w:rsidP="00106A18">
      <w:pPr>
        <w:numPr>
          <w:ilvl w:val="0"/>
          <w:numId w:val="16"/>
        </w:numPr>
      </w:pPr>
      <w:r>
        <w:t>Implementation of a federally approved marine, coastal, or comprehensive conservation management plan, including fisheries monitoring</w:t>
      </w:r>
    </w:p>
    <w:p w14:paraId="7D008A1B" w14:textId="77777777" w:rsidR="006678F4" w:rsidRDefault="006678F4" w:rsidP="00106A18">
      <w:pPr>
        <w:numPr>
          <w:ilvl w:val="0"/>
          <w:numId w:val="16"/>
        </w:numPr>
      </w:pPr>
      <w:r>
        <w:t>Workforce development and job creation</w:t>
      </w:r>
    </w:p>
    <w:p w14:paraId="18BF362E" w14:textId="77777777" w:rsidR="006678F4" w:rsidRDefault="006678F4" w:rsidP="00106A18">
      <w:pPr>
        <w:numPr>
          <w:ilvl w:val="0"/>
          <w:numId w:val="16"/>
        </w:numPr>
      </w:pPr>
      <w:r>
        <w:t>Improvements to or on State parks located in coastal areas affected by the Deepwater Horizon oil spill</w:t>
      </w:r>
      <w:r w:rsidRPr="006678F4">
        <w:t xml:space="preserve"> </w:t>
      </w:r>
    </w:p>
    <w:p w14:paraId="7A8E4CA9" w14:textId="77777777" w:rsidR="006678F4" w:rsidRDefault="006678F4" w:rsidP="00106A18">
      <w:pPr>
        <w:numPr>
          <w:ilvl w:val="0"/>
          <w:numId w:val="16"/>
        </w:numPr>
      </w:pPr>
      <w:r>
        <w:t>Infrastructure projects benefitting the economy or ecological resources, including port infrastructure</w:t>
      </w:r>
    </w:p>
    <w:p w14:paraId="401FFA50" w14:textId="4EC11C16" w:rsidR="006678F4" w:rsidRDefault="006678F4" w:rsidP="00106A18">
      <w:pPr>
        <w:numPr>
          <w:ilvl w:val="0"/>
          <w:numId w:val="16"/>
        </w:numPr>
      </w:pPr>
      <w:r>
        <w:t>Coastal flood protection and related infrastructure</w:t>
      </w:r>
    </w:p>
    <w:p w14:paraId="25D29FC3" w14:textId="77777777" w:rsidR="006678F4" w:rsidRDefault="006678F4" w:rsidP="00106A18">
      <w:pPr>
        <w:numPr>
          <w:ilvl w:val="0"/>
          <w:numId w:val="16"/>
        </w:numPr>
      </w:pPr>
      <w:r>
        <w:t xml:space="preserve">Planning assistance </w:t>
      </w:r>
    </w:p>
    <w:p w14:paraId="1C47C75F" w14:textId="77777777" w:rsidR="006678F4" w:rsidRDefault="006678F4" w:rsidP="00106A18">
      <w:pPr>
        <w:numPr>
          <w:ilvl w:val="0"/>
          <w:numId w:val="16"/>
        </w:numPr>
      </w:pPr>
      <w:r>
        <w:t>Administrative costs</w:t>
      </w:r>
    </w:p>
    <w:p w14:paraId="08B83E96" w14:textId="615F447E" w:rsidR="006678F4" w:rsidRDefault="006678F4" w:rsidP="00106A18">
      <w:pPr>
        <w:numPr>
          <w:ilvl w:val="0"/>
          <w:numId w:val="16"/>
        </w:numPr>
      </w:pPr>
      <w:r>
        <w:t>Promotion of tourism in the Gulf Coast region, including recreational fishing</w:t>
      </w:r>
    </w:p>
    <w:p w14:paraId="1F45C760" w14:textId="77777777" w:rsidR="006678F4" w:rsidRDefault="006678F4" w:rsidP="00106A18">
      <w:pPr>
        <w:numPr>
          <w:ilvl w:val="0"/>
          <w:numId w:val="16"/>
        </w:numPr>
      </w:pPr>
      <w:r>
        <w:t>Promotion of the consumption of seafood harvested from the Gulf Coast region</w:t>
      </w:r>
      <w:r w:rsidR="003F59C0">
        <w:t>.</w:t>
      </w:r>
    </w:p>
    <w:p w14:paraId="52FE8145" w14:textId="77777777" w:rsidR="006678F4" w:rsidRDefault="006678F4" w:rsidP="006678F4"/>
    <w:p w14:paraId="08B21447" w14:textId="6D318A3B" w:rsidR="00AF0BF9" w:rsidRPr="00106A18" w:rsidRDefault="00AF0BF9" w:rsidP="00106A18">
      <w:pPr>
        <w:jc w:val="both"/>
        <w:rPr>
          <w:i/>
        </w:rPr>
      </w:pPr>
      <w:r w:rsidRPr="002551F6">
        <w:t xml:space="preserve">For the Centers of Excellence </w:t>
      </w:r>
      <w:r w:rsidR="009E4CDC">
        <w:t xml:space="preserve">Research Grants </w:t>
      </w:r>
      <w:r w:rsidRPr="002551F6">
        <w:t>Program,</w:t>
      </w:r>
      <w:r w:rsidR="009259D5">
        <w:t xml:space="preserve"> each Gulf Coast State may establish one or more centers of excellence to</w:t>
      </w:r>
      <w:r w:rsidRPr="002551F6">
        <w:t xml:space="preserve"> </w:t>
      </w:r>
      <w:r w:rsidR="009259D5">
        <w:t xml:space="preserve">focus on science, technology, and monitoring </w:t>
      </w:r>
      <w:r w:rsidRPr="002551F6">
        <w:t>research only on the Gulf Coast Region</w:t>
      </w:r>
      <w:r w:rsidR="005E5A57">
        <w:t xml:space="preserve"> based on five eligible disciplines</w:t>
      </w:r>
      <w:r w:rsidR="0058262E">
        <w:t>.</w:t>
      </w:r>
      <w:r w:rsidR="005E5A57">
        <w:t xml:space="preserve"> </w:t>
      </w:r>
      <w:r w:rsidR="0058262E">
        <w:t xml:space="preserve"> </w:t>
      </w:r>
      <w:r w:rsidR="0058262E">
        <w:rPr>
          <w:i/>
        </w:rPr>
        <w:t>Se</w:t>
      </w:r>
      <w:r w:rsidR="005E5A57">
        <w:rPr>
          <w:i/>
        </w:rPr>
        <w:t>e 31 CFR 34.704</w:t>
      </w:r>
      <w:r w:rsidR="0058262E">
        <w:rPr>
          <w:i/>
        </w:rPr>
        <w:t>.</w:t>
      </w:r>
    </w:p>
    <w:p w14:paraId="32C0A3F6" w14:textId="77777777" w:rsidR="00390A50" w:rsidRPr="002551F6" w:rsidRDefault="00390A50" w:rsidP="006678F4"/>
    <w:p w14:paraId="235EE8BD" w14:textId="77777777" w:rsidR="00390A50" w:rsidRDefault="00390A50" w:rsidP="00106A18">
      <w:pPr>
        <w:numPr>
          <w:ilvl w:val="0"/>
          <w:numId w:val="18"/>
        </w:numPr>
      </w:pPr>
      <w:r>
        <w:lastRenderedPageBreak/>
        <w:t>Coastal and deltaic sustainability, restoration, and protection, including solutions and technology that allow citizens to live in a safe and sustainable manner in a coastal delta in the Gulf Coast Region</w:t>
      </w:r>
    </w:p>
    <w:p w14:paraId="0B13625F" w14:textId="77777777" w:rsidR="00390A50" w:rsidRDefault="00390A50" w:rsidP="00106A18">
      <w:pPr>
        <w:numPr>
          <w:ilvl w:val="0"/>
          <w:numId w:val="18"/>
        </w:numPr>
      </w:pPr>
      <w:r>
        <w:t>Coastal fisheries and wildlife ecosystem research and monitoring in the Gulf Coast Region</w:t>
      </w:r>
    </w:p>
    <w:p w14:paraId="01B18379" w14:textId="77777777" w:rsidR="00390A50" w:rsidRDefault="00390A50" w:rsidP="00106A18">
      <w:pPr>
        <w:numPr>
          <w:ilvl w:val="0"/>
          <w:numId w:val="18"/>
        </w:numPr>
      </w:pPr>
      <w:r>
        <w:t>Offshore energy development, including research and technology to improve the sustainable and safe development of energy resources in the Gulf of Mexico</w:t>
      </w:r>
    </w:p>
    <w:p w14:paraId="120D6BD6" w14:textId="77777777" w:rsidR="00390A50" w:rsidRDefault="00390A50" w:rsidP="00106A18">
      <w:pPr>
        <w:numPr>
          <w:ilvl w:val="0"/>
          <w:numId w:val="18"/>
        </w:numPr>
      </w:pPr>
      <w:r>
        <w:t>Sustainable and resilient growth, economic and commercial development in the Gulf Coast Region</w:t>
      </w:r>
    </w:p>
    <w:p w14:paraId="27EEB109" w14:textId="77777777" w:rsidR="00775C08" w:rsidRPr="0025604D" w:rsidRDefault="00390A50" w:rsidP="00106A18">
      <w:pPr>
        <w:numPr>
          <w:ilvl w:val="0"/>
          <w:numId w:val="18"/>
        </w:numPr>
      </w:pPr>
      <w:r>
        <w:t>Comprehensive observation, monitoring, and mapping of the Gulf of Mexico</w:t>
      </w:r>
      <w:r w:rsidR="003F59C0">
        <w:t>.</w:t>
      </w:r>
    </w:p>
    <w:p w14:paraId="0B0A6AE8" w14:textId="77777777" w:rsidR="005E5A57" w:rsidRDefault="005E5A57" w:rsidP="00106A18">
      <w:pPr>
        <w:ind w:left="720"/>
        <w:rPr>
          <w:b/>
        </w:rPr>
      </w:pPr>
    </w:p>
    <w:p w14:paraId="79C3B3A7" w14:textId="77777777" w:rsidR="00E13A9C" w:rsidRPr="00106A18" w:rsidRDefault="00E13A9C" w:rsidP="00106A18">
      <w:pPr>
        <w:ind w:left="720"/>
        <w:rPr>
          <w:b/>
        </w:rPr>
      </w:pPr>
    </w:p>
    <w:p w14:paraId="29B40872" w14:textId="77777777" w:rsidR="003C1AB8" w:rsidRPr="002551F6" w:rsidRDefault="00F72D0B" w:rsidP="00F41911">
      <w:pPr>
        <w:numPr>
          <w:ilvl w:val="0"/>
          <w:numId w:val="12"/>
        </w:numPr>
        <w:rPr>
          <w:b/>
        </w:rPr>
      </w:pPr>
      <w:r w:rsidRPr="002551F6">
        <w:rPr>
          <w:b/>
          <w:u w:val="single"/>
        </w:rPr>
        <w:t>U</w:t>
      </w:r>
      <w:r w:rsidR="003C1AB8" w:rsidRPr="002551F6">
        <w:rPr>
          <w:b/>
          <w:u w:val="single"/>
        </w:rPr>
        <w:t>se of the data</w:t>
      </w:r>
    </w:p>
    <w:p w14:paraId="7AB4BFCC" w14:textId="77777777" w:rsidR="003C1AB8" w:rsidRPr="002551F6" w:rsidRDefault="003C1AB8" w:rsidP="003C1AB8">
      <w:pPr>
        <w:rPr>
          <w:u w:val="single"/>
        </w:rPr>
      </w:pPr>
    </w:p>
    <w:p w14:paraId="032EF2C5" w14:textId="69F3A3E4" w:rsidR="00856DD0" w:rsidRPr="002551F6" w:rsidRDefault="006536E9" w:rsidP="003C1AB8">
      <w:r w:rsidRPr="002551F6">
        <w:t xml:space="preserve">The </w:t>
      </w:r>
      <w:r w:rsidR="009E4CDC">
        <w:t xml:space="preserve">collection </w:t>
      </w:r>
      <w:r w:rsidRPr="002551F6">
        <w:t>information</w:t>
      </w:r>
      <w:r w:rsidR="009E4CDC">
        <w:t>:</w:t>
      </w:r>
      <w:r w:rsidRPr="002551F6">
        <w:t xml:space="preserve"> </w:t>
      </w:r>
      <w:r w:rsidR="002920BD">
        <w:t xml:space="preserve"> </w:t>
      </w:r>
      <w:r w:rsidRPr="002551F6">
        <w:t xml:space="preserve"> </w:t>
      </w:r>
      <w:r w:rsidR="00EC5FAF" w:rsidRPr="002551F6">
        <w:t>(1) identif</w:t>
      </w:r>
      <w:r w:rsidR="009E4CDC">
        <w:t>ies</w:t>
      </w:r>
      <w:r w:rsidR="00EC5FAF" w:rsidRPr="002551F6">
        <w:t xml:space="preserve"> eligible recipients</w:t>
      </w:r>
      <w:r w:rsidR="00A73817">
        <w:t xml:space="preserve"> and activities</w:t>
      </w:r>
      <w:r w:rsidR="00EC5FAF" w:rsidRPr="002551F6">
        <w:t xml:space="preserve">; </w:t>
      </w:r>
      <w:r w:rsidR="005D099C" w:rsidRPr="002551F6">
        <w:t>(2)</w:t>
      </w:r>
      <w:r w:rsidR="00B64EA2">
        <w:t xml:space="preserve"> </w:t>
      </w:r>
      <w:r w:rsidR="00860267" w:rsidRPr="002551F6">
        <w:t>determine</w:t>
      </w:r>
      <w:r w:rsidR="009E4CDC">
        <w:t>s</w:t>
      </w:r>
      <w:r w:rsidR="00860267" w:rsidRPr="002551F6">
        <w:t xml:space="preserve"> the </w:t>
      </w:r>
      <w:r w:rsidR="002920BD">
        <w:t>a</w:t>
      </w:r>
      <w:r w:rsidR="00860267" w:rsidRPr="002551F6">
        <w:t>ppropriate amount of funding;</w:t>
      </w:r>
      <w:r w:rsidR="001648D5" w:rsidRPr="002551F6">
        <w:t xml:space="preserve"> (</w:t>
      </w:r>
      <w:r w:rsidR="005D099C" w:rsidRPr="002551F6">
        <w:t>3</w:t>
      </w:r>
      <w:r w:rsidR="001648D5" w:rsidRPr="002551F6">
        <w:t xml:space="preserve">) </w:t>
      </w:r>
      <w:r w:rsidR="00860267" w:rsidRPr="002551F6">
        <w:t>ensure</w:t>
      </w:r>
      <w:r w:rsidR="009E4CDC">
        <w:t>s</w:t>
      </w:r>
      <w:r w:rsidR="00860267" w:rsidRPr="002551F6">
        <w:t xml:space="preserve"> </w:t>
      </w:r>
      <w:r w:rsidR="005D099C" w:rsidRPr="002551F6">
        <w:t xml:space="preserve">compliance </w:t>
      </w:r>
      <w:r w:rsidR="00860267" w:rsidRPr="002551F6">
        <w:t xml:space="preserve">with </w:t>
      </w:r>
      <w:r w:rsidR="009E4CDC">
        <w:t xml:space="preserve">the RESTORE </w:t>
      </w:r>
      <w:r w:rsidR="004A7CC6">
        <w:t>Act</w:t>
      </w:r>
      <w:r w:rsidR="005E5A57">
        <w:t>, the regulation</w:t>
      </w:r>
      <w:r w:rsidR="004A7CC6">
        <w:t xml:space="preserve"> </w:t>
      </w:r>
      <w:r w:rsidR="004A7CC6">
        <w:rPr>
          <w:i/>
        </w:rPr>
        <w:t>(31CFR Part 34)</w:t>
      </w:r>
      <w:r w:rsidR="005E5A57">
        <w:t xml:space="preserve">, </w:t>
      </w:r>
      <w:r w:rsidR="009E4CDC">
        <w:t xml:space="preserve">and Federal </w:t>
      </w:r>
      <w:r w:rsidR="00860267" w:rsidRPr="002551F6">
        <w:t>laws</w:t>
      </w:r>
      <w:r w:rsidR="009E4CDC">
        <w:t xml:space="preserve"> and policies on grants</w:t>
      </w:r>
      <w:r w:rsidR="004A7CC6">
        <w:t xml:space="preserve"> </w:t>
      </w:r>
      <w:r w:rsidR="004A7CC6">
        <w:rPr>
          <w:i/>
        </w:rPr>
        <w:t>(</w:t>
      </w:r>
      <w:r w:rsidR="004A7CC6" w:rsidRPr="004A7CC6">
        <w:rPr>
          <w:i/>
        </w:rPr>
        <w:t>O</w:t>
      </w:r>
      <w:r w:rsidR="004A7CC6">
        <w:rPr>
          <w:i/>
        </w:rPr>
        <w:t xml:space="preserve">ffice of </w:t>
      </w:r>
      <w:r w:rsidR="004A7CC6" w:rsidRPr="004A7CC6">
        <w:rPr>
          <w:i/>
        </w:rPr>
        <w:t>M</w:t>
      </w:r>
      <w:r w:rsidR="004A7CC6">
        <w:rPr>
          <w:i/>
        </w:rPr>
        <w:t xml:space="preserve">anagement and </w:t>
      </w:r>
      <w:r w:rsidR="004A7CC6" w:rsidRPr="004A7CC6">
        <w:rPr>
          <w:i/>
        </w:rPr>
        <w:t>B</w:t>
      </w:r>
      <w:r w:rsidR="004A7CC6">
        <w:rPr>
          <w:i/>
        </w:rPr>
        <w:t>udget</w:t>
      </w:r>
      <w:r w:rsidR="004A7CC6" w:rsidRPr="004A7CC6">
        <w:rPr>
          <w:i/>
        </w:rPr>
        <w:t>’s Uniform Administrative Requirements, Cost Principles, and Audit Requirements for Federal Awards</w:t>
      </w:r>
      <w:r w:rsidR="004A7CC6">
        <w:rPr>
          <w:i/>
        </w:rPr>
        <w:t xml:space="preserve"> 2 CF</w:t>
      </w:r>
      <w:r w:rsidR="004A7CC6" w:rsidRPr="004A7CC6">
        <w:rPr>
          <w:i/>
        </w:rPr>
        <w:t>R</w:t>
      </w:r>
      <w:r w:rsidR="0058262E">
        <w:rPr>
          <w:i/>
        </w:rPr>
        <w:t xml:space="preserve"> </w:t>
      </w:r>
      <w:r w:rsidR="004A7CC6" w:rsidRPr="004A7CC6">
        <w:rPr>
          <w:i/>
        </w:rPr>
        <w:t>200</w:t>
      </w:r>
      <w:r w:rsidR="0013796F">
        <w:rPr>
          <w:i/>
        </w:rPr>
        <w:t>,</w:t>
      </w:r>
      <w:r w:rsidR="00BC1BAC">
        <w:rPr>
          <w:i/>
        </w:rPr>
        <w:t xml:space="preserve"> herein </w:t>
      </w:r>
      <w:r w:rsidR="0013796F">
        <w:rPr>
          <w:i/>
        </w:rPr>
        <w:t>OMB Uniform Guidance</w:t>
      </w:r>
      <w:r w:rsidR="004A7CC6">
        <w:rPr>
          <w:i/>
        </w:rPr>
        <w:t>)</w:t>
      </w:r>
      <w:r w:rsidR="00860267" w:rsidRPr="002551F6">
        <w:t>; (4)</w:t>
      </w:r>
      <w:r w:rsidR="00AF0BF9" w:rsidRPr="002551F6">
        <w:t xml:space="preserve"> track</w:t>
      </w:r>
      <w:r w:rsidR="009E4CDC">
        <w:t>s</w:t>
      </w:r>
      <w:r w:rsidR="00AF0BF9" w:rsidRPr="002551F6">
        <w:t xml:space="preserve"> </w:t>
      </w:r>
      <w:r w:rsidR="009E4CDC">
        <w:t xml:space="preserve">recipients’ </w:t>
      </w:r>
      <w:r w:rsidR="00AF0BF9" w:rsidRPr="002551F6">
        <w:t>progress; and (5)</w:t>
      </w:r>
      <w:r w:rsidR="00860267" w:rsidRPr="002551F6">
        <w:t xml:space="preserve"> report</w:t>
      </w:r>
      <w:r w:rsidR="009E4CDC">
        <w:t>s</w:t>
      </w:r>
      <w:r w:rsidR="00860267" w:rsidRPr="002551F6">
        <w:t xml:space="preserve"> on the effectiveness of</w:t>
      </w:r>
      <w:r w:rsidR="0072166B" w:rsidRPr="002551F6">
        <w:t xml:space="preserve"> the program</w:t>
      </w:r>
      <w:r w:rsidR="005D099C" w:rsidRPr="002551F6">
        <w:t>.</w:t>
      </w:r>
      <w:r w:rsidR="0072166B" w:rsidRPr="002551F6">
        <w:t xml:space="preserve"> </w:t>
      </w:r>
    </w:p>
    <w:p w14:paraId="3B241435" w14:textId="77777777" w:rsidR="0072166B" w:rsidRDefault="0072166B" w:rsidP="003C1AB8"/>
    <w:p w14:paraId="63D0161C" w14:textId="77777777" w:rsidR="00E13A9C" w:rsidRPr="002551F6" w:rsidRDefault="00E13A9C" w:rsidP="003C1AB8"/>
    <w:p w14:paraId="72280846" w14:textId="77777777" w:rsidR="003C1AB8" w:rsidRPr="002551F6" w:rsidRDefault="003C1AB8" w:rsidP="00181F21">
      <w:pPr>
        <w:keepNext/>
        <w:ind w:left="720" w:hanging="360"/>
        <w:rPr>
          <w:b/>
        </w:rPr>
      </w:pPr>
      <w:r w:rsidRPr="002551F6">
        <w:rPr>
          <w:b/>
        </w:rPr>
        <w:t xml:space="preserve">3.  </w:t>
      </w:r>
      <w:r w:rsidR="00F72D0B" w:rsidRPr="002551F6">
        <w:rPr>
          <w:b/>
          <w:u w:val="single"/>
        </w:rPr>
        <w:t>Use of information technology</w:t>
      </w:r>
      <w:r w:rsidRPr="002551F6">
        <w:rPr>
          <w:b/>
        </w:rPr>
        <w:t xml:space="preserve"> </w:t>
      </w:r>
    </w:p>
    <w:p w14:paraId="04D2602B" w14:textId="77777777" w:rsidR="003C1AB8" w:rsidRPr="0025604D" w:rsidRDefault="003C1AB8" w:rsidP="00961823">
      <w:pPr>
        <w:keepNext/>
      </w:pPr>
    </w:p>
    <w:p w14:paraId="15BFF2F8" w14:textId="3645520B" w:rsidR="00F72D0B" w:rsidRPr="002551F6" w:rsidRDefault="001F31FB" w:rsidP="00F72D0B">
      <w:r w:rsidRPr="001F31FB">
        <w:t>Treasury uses the Department of Health and Human Services (HHS’s) GrantSolutions.gov shared-service provider system to manage the application submission process.  Eligible recipients</w:t>
      </w:r>
      <w:r w:rsidR="00062B59" w:rsidRPr="002551F6">
        <w:t xml:space="preserve"> </w:t>
      </w:r>
      <w:r w:rsidR="00F6095F" w:rsidRPr="002551F6">
        <w:t>complete fillable form</w:t>
      </w:r>
      <w:r w:rsidR="002920BD">
        <w:t>s</w:t>
      </w:r>
      <w:r w:rsidR="00F6095F" w:rsidRPr="002551F6">
        <w:t xml:space="preserve"> and return the </w:t>
      </w:r>
      <w:r>
        <w:t xml:space="preserve">grant </w:t>
      </w:r>
      <w:r w:rsidR="00F6095F" w:rsidRPr="002551F6">
        <w:t xml:space="preserve">application </w:t>
      </w:r>
      <w:r w:rsidR="00F4591C">
        <w:t xml:space="preserve">electronically </w:t>
      </w:r>
      <w:r w:rsidR="00860267" w:rsidRPr="002551F6">
        <w:t>via</w:t>
      </w:r>
      <w:r>
        <w:t xml:space="preserve"> GrantSolutions.gov</w:t>
      </w:r>
      <w:r w:rsidR="00E13A9C">
        <w:t>.</w:t>
      </w:r>
      <w:r w:rsidR="00860267" w:rsidRPr="002551F6">
        <w:t xml:space="preserve"> </w:t>
      </w:r>
      <w:r w:rsidR="00062B59" w:rsidRPr="002551F6">
        <w:t xml:space="preserve"> </w:t>
      </w:r>
      <w:r>
        <w:t xml:space="preserve">Eligible recipients </w:t>
      </w:r>
      <w:r w:rsidR="002920BD">
        <w:t xml:space="preserve">complete </w:t>
      </w:r>
      <w:r w:rsidR="002920BD" w:rsidRPr="002551F6">
        <w:t>fillable</w:t>
      </w:r>
      <w:r w:rsidR="002920BD">
        <w:t xml:space="preserve"> </w:t>
      </w:r>
      <w:r w:rsidR="00D367C2">
        <w:t>multiyear plan form</w:t>
      </w:r>
      <w:r w:rsidR="003F59C0">
        <w:t>s</w:t>
      </w:r>
      <w:r w:rsidR="00D367C2">
        <w:t xml:space="preserve"> and </w:t>
      </w:r>
      <w:r w:rsidR="003F59C0">
        <w:t xml:space="preserve">an </w:t>
      </w:r>
      <w:r w:rsidR="002920BD">
        <w:t>operational self-assessment</w:t>
      </w:r>
      <w:r w:rsidR="002920BD" w:rsidRPr="002551F6">
        <w:t xml:space="preserve"> form </w:t>
      </w:r>
      <w:r w:rsidR="002920BD">
        <w:t xml:space="preserve">electronically </w:t>
      </w:r>
      <w:r w:rsidR="002920BD" w:rsidRPr="002551F6">
        <w:t>and return</w:t>
      </w:r>
      <w:r w:rsidR="002920BD">
        <w:t xml:space="preserve"> </w:t>
      </w:r>
      <w:r w:rsidR="005E5A57">
        <w:t>those forms</w:t>
      </w:r>
      <w:r w:rsidR="00FE40CB">
        <w:t xml:space="preserve"> </w:t>
      </w:r>
      <w:r>
        <w:t xml:space="preserve">directly </w:t>
      </w:r>
      <w:r w:rsidR="002920BD">
        <w:t xml:space="preserve">to Treasury.  </w:t>
      </w:r>
      <w:r>
        <w:t xml:space="preserve">Eligible recipients </w:t>
      </w:r>
      <w:r w:rsidR="002551F6" w:rsidRPr="002551F6">
        <w:t xml:space="preserve">enter progress information on </w:t>
      </w:r>
      <w:r w:rsidR="00112D71">
        <w:t>fillable forms</w:t>
      </w:r>
      <w:r w:rsidR="00112D71" w:rsidRPr="002551F6">
        <w:t xml:space="preserve"> </w:t>
      </w:r>
      <w:r w:rsidR="002551F6" w:rsidRPr="002551F6">
        <w:t xml:space="preserve">and submit the progress reports </w:t>
      </w:r>
      <w:r w:rsidR="00F4591C">
        <w:t>electronically</w:t>
      </w:r>
      <w:r>
        <w:t xml:space="preserve"> through GrantSolutions.gov</w:t>
      </w:r>
      <w:r w:rsidR="002551F6" w:rsidRPr="002551F6">
        <w:t xml:space="preserve">.  </w:t>
      </w:r>
      <w:r w:rsidR="00062B59" w:rsidRPr="002551F6">
        <w:t xml:space="preserve">Data from </w:t>
      </w:r>
      <w:r w:rsidR="003F59C0">
        <w:t xml:space="preserve">grant </w:t>
      </w:r>
      <w:r w:rsidR="00062B59" w:rsidRPr="002551F6">
        <w:t xml:space="preserve">applications </w:t>
      </w:r>
      <w:r w:rsidR="002551F6" w:rsidRPr="002551F6">
        <w:t xml:space="preserve">and reports </w:t>
      </w:r>
      <w:r w:rsidR="004A7CC6">
        <w:t>are</w:t>
      </w:r>
      <w:r w:rsidR="00FE40CB">
        <w:t xml:space="preserve"> </w:t>
      </w:r>
      <w:r w:rsidR="00062B59" w:rsidRPr="002551F6">
        <w:t>stored electronically.</w:t>
      </w:r>
    </w:p>
    <w:p w14:paraId="7FD8C10C" w14:textId="40ED2788" w:rsidR="00D24A88" w:rsidRDefault="00D24A88" w:rsidP="00F72D0B"/>
    <w:p w14:paraId="428D358D" w14:textId="77777777" w:rsidR="00E13A9C" w:rsidRPr="0025604D" w:rsidRDefault="00E13A9C" w:rsidP="00F72D0B"/>
    <w:p w14:paraId="3972E8F7" w14:textId="77777777" w:rsidR="00F72D0B" w:rsidRPr="002551F6" w:rsidRDefault="00F72D0B" w:rsidP="00181F21">
      <w:pPr>
        <w:ind w:left="720" w:hanging="360"/>
        <w:rPr>
          <w:b/>
        </w:rPr>
      </w:pPr>
      <w:r w:rsidRPr="002551F6">
        <w:rPr>
          <w:b/>
        </w:rPr>
        <w:t xml:space="preserve">4.  </w:t>
      </w:r>
      <w:r w:rsidRPr="002551F6">
        <w:rPr>
          <w:b/>
          <w:u w:val="single"/>
        </w:rPr>
        <w:t>Efforts to identify duplication</w:t>
      </w:r>
      <w:r w:rsidRPr="002551F6">
        <w:rPr>
          <w:b/>
        </w:rPr>
        <w:t xml:space="preserve">   </w:t>
      </w:r>
    </w:p>
    <w:p w14:paraId="08600C19" w14:textId="77777777" w:rsidR="00406DAA" w:rsidRDefault="00406DAA" w:rsidP="00CC4534"/>
    <w:p w14:paraId="67BCCFAE" w14:textId="77777777" w:rsidR="00F72D0B" w:rsidRPr="002551F6" w:rsidRDefault="00F72D0B" w:rsidP="00856DD0">
      <w:r w:rsidRPr="002551F6">
        <w:t xml:space="preserve">The information </w:t>
      </w:r>
      <w:r w:rsidR="002551F6" w:rsidRPr="002551F6">
        <w:t xml:space="preserve">is not known to </w:t>
      </w:r>
      <w:r w:rsidR="005A5C1B" w:rsidRPr="002551F6">
        <w:t xml:space="preserve">overlap with </w:t>
      </w:r>
      <w:r w:rsidR="002551F6" w:rsidRPr="002551F6">
        <w:t xml:space="preserve">any other </w:t>
      </w:r>
      <w:r w:rsidR="005A5C1B" w:rsidRPr="002551F6">
        <w:t xml:space="preserve">data collected </w:t>
      </w:r>
      <w:r w:rsidR="0054191E" w:rsidRPr="002551F6">
        <w:t>under previously approved information</w:t>
      </w:r>
      <w:r w:rsidR="00B64EA2">
        <w:t xml:space="preserve"> collections</w:t>
      </w:r>
      <w:r w:rsidR="0054191E" w:rsidRPr="002551F6">
        <w:t xml:space="preserve">.  </w:t>
      </w:r>
      <w:r w:rsidR="00D24A88" w:rsidRPr="002551F6">
        <w:t xml:space="preserve">  </w:t>
      </w:r>
    </w:p>
    <w:p w14:paraId="517833AE" w14:textId="77777777" w:rsidR="00D24A88" w:rsidRDefault="00D24A88" w:rsidP="00F72D0B"/>
    <w:p w14:paraId="3E4C2788" w14:textId="77777777" w:rsidR="00E13A9C" w:rsidRPr="0025604D" w:rsidRDefault="00E13A9C" w:rsidP="00F72D0B"/>
    <w:p w14:paraId="0B638284" w14:textId="77777777" w:rsidR="00F72D0B" w:rsidRPr="002551F6" w:rsidRDefault="00F72D0B" w:rsidP="00181F21">
      <w:pPr>
        <w:ind w:firstLine="360"/>
        <w:rPr>
          <w:b/>
          <w:u w:val="single"/>
        </w:rPr>
      </w:pPr>
      <w:r w:rsidRPr="002551F6">
        <w:rPr>
          <w:b/>
        </w:rPr>
        <w:t xml:space="preserve">5.  </w:t>
      </w:r>
      <w:r w:rsidRPr="002551F6">
        <w:rPr>
          <w:b/>
          <w:u w:val="single"/>
        </w:rPr>
        <w:t xml:space="preserve">Impact on small </w:t>
      </w:r>
      <w:r w:rsidR="004B7407">
        <w:rPr>
          <w:b/>
          <w:u w:val="single"/>
        </w:rPr>
        <w:t xml:space="preserve">businesses and </w:t>
      </w:r>
      <w:r w:rsidRPr="002551F6">
        <w:rPr>
          <w:b/>
          <w:u w:val="single"/>
        </w:rPr>
        <w:t>entities</w:t>
      </w:r>
    </w:p>
    <w:p w14:paraId="0392AF70" w14:textId="77777777" w:rsidR="00F72D0B" w:rsidRPr="0025604D" w:rsidRDefault="00F72D0B" w:rsidP="00F72D0B"/>
    <w:p w14:paraId="2D6118FB" w14:textId="5F2BB0C3" w:rsidR="00F72D0B" w:rsidRPr="002551F6" w:rsidRDefault="00913A34" w:rsidP="00F72D0B">
      <w:r>
        <w:t>T</w:t>
      </w:r>
      <w:r w:rsidR="007614AA" w:rsidRPr="002551F6">
        <w:t>his</w:t>
      </w:r>
      <w:r>
        <w:t xml:space="preserve"> collection is</w:t>
      </w:r>
      <w:r w:rsidR="007614AA" w:rsidRPr="002551F6">
        <w:t xml:space="preserve"> </w:t>
      </w:r>
      <w:r w:rsidR="00FE40CB">
        <w:t>limited to certain s</w:t>
      </w:r>
      <w:r w:rsidR="002551F6" w:rsidRPr="002551F6">
        <w:t>tates, counties, and parishes</w:t>
      </w:r>
      <w:r w:rsidR="001F31FB">
        <w:t xml:space="preserve"> named as eligible entity recipients in the RESTORE Act and regulation</w:t>
      </w:r>
      <w:r>
        <w:t>.</w:t>
      </w:r>
      <w:r w:rsidR="00D24A88" w:rsidRPr="002551F6">
        <w:t xml:space="preserve">  </w:t>
      </w:r>
      <w:r w:rsidR="00802F36">
        <w:t>All efforts have been made to minimize burden on small entities therein.</w:t>
      </w:r>
    </w:p>
    <w:p w14:paraId="01081EFE" w14:textId="77777777" w:rsidR="00D24A88" w:rsidRDefault="00D24A88" w:rsidP="00F72D0B"/>
    <w:p w14:paraId="2F99A687" w14:textId="77777777" w:rsidR="00F72D0B" w:rsidRPr="002551F6" w:rsidRDefault="00F72D0B" w:rsidP="00181F21">
      <w:pPr>
        <w:ind w:firstLine="360"/>
        <w:rPr>
          <w:b/>
          <w:u w:val="single"/>
        </w:rPr>
      </w:pPr>
      <w:r w:rsidRPr="002551F6">
        <w:rPr>
          <w:b/>
        </w:rPr>
        <w:lastRenderedPageBreak/>
        <w:t xml:space="preserve">6.  </w:t>
      </w:r>
      <w:r w:rsidRPr="002551F6">
        <w:rPr>
          <w:b/>
          <w:u w:val="single"/>
        </w:rPr>
        <w:t>Consequences of less frequent collection and obstacles to burden reduction</w:t>
      </w:r>
    </w:p>
    <w:p w14:paraId="349661FC" w14:textId="77777777" w:rsidR="00F72D0B" w:rsidRPr="002551F6" w:rsidRDefault="00F72D0B" w:rsidP="00F72D0B"/>
    <w:p w14:paraId="0839D6D5" w14:textId="55F32DD1" w:rsidR="00D24A88" w:rsidRPr="002551F6" w:rsidRDefault="004B7407" w:rsidP="008A5AEA">
      <w:r>
        <w:t xml:space="preserve">Collection is at a minimum: </w:t>
      </w:r>
      <w:r w:rsidR="0058262E">
        <w:t xml:space="preserve"> g</w:t>
      </w:r>
      <w:r w:rsidR="003F59C0">
        <w:t>rant a</w:t>
      </w:r>
      <w:r>
        <w:t xml:space="preserve">pplications for when funds are available; </w:t>
      </w:r>
      <w:r w:rsidR="00112D71">
        <w:t>semi-annual</w:t>
      </w:r>
      <w:r w:rsidR="00BB4BD8">
        <w:t xml:space="preserve"> </w:t>
      </w:r>
      <w:r>
        <w:t>reporting to assess progress</w:t>
      </w:r>
      <w:r w:rsidR="005E5A57">
        <w:t xml:space="preserve"> of the activity funded by the awarded grant</w:t>
      </w:r>
      <w:r w:rsidR="002920BD">
        <w:t xml:space="preserve">; </w:t>
      </w:r>
      <w:r w:rsidR="00D367C2">
        <w:t>multiyear plan</w:t>
      </w:r>
      <w:r w:rsidR="005E5A57">
        <w:t xml:space="preserve"> submission subject to the</w:t>
      </w:r>
      <w:r w:rsidR="001F31FB">
        <w:t xml:space="preserve"> eligible recipient’s</w:t>
      </w:r>
      <w:r w:rsidR="005E5A57">
        <w:t xml:space="preserve"> time tables</w:t>
      </w:r>
      <w:r w:rsidR="00D367C2">
        <w:t>;</w:t>
      </w:r>
      <w:r w:rsidR="005E5A57">
        <w:t xml:space="preserve"> and</w:t>
      </w:r>
      <w:r w:rsidR="00D367C2">
        <w:t xml:space="preserve"> </w:t>
      </w:r>
      <w:r w:rsidR="002920BD">
        <w:t>operational self-assessment updated annually</w:t>
      </w:r>
      <w:r>
        <w:t>.</w:t>
      </w:r>
    </w:p>
    <w:p w14:paraId="2DF34FC8" w14:textId="77777777" w:rsidR="00F72D0B" w:rsidRDefault="006B22D1" w:rsidP="00F72D0B">
      <w:r w:rsidRPr="002551F6">
        <w:t xml:space="preserve"> </w:t>
      </w:r>
    </w:p>
    <w:p w14:paraId="6A4875CC" w14:textId="77777777" w:rsidR="003F59C0" w:rsidRPr="002551F6" w:rsidRDefault="003F59C0" w:rsidP="00F72D0B"/>
    <w:p w14:paraId="78DBF5E6" w14:textId="77777777" w:rsidR="00F72D0B" w:rsidRPr="002551F6" w:rsidRDefault="00CB003A" w:rsidP="00181F21">
      <w:pPr>
        <w:ind w:firstLine="360"/>
        <w:rPr>
          <w:b/>
          <w:u w:val="single"/>
        </w:rPr>
      </w:pPr>
      <w:r w:rsidRPr="002551F6">
        <w:rPr>
          <w:b/>
        </w:rPr>
        <w:t xml:space="preserve">7.  </w:t>
      </w:r>
      <w:r w:rsidRPr="002551F6">
        <w:rPr>
          <w:b/>
          <w:u w:val="single"/>
        </w:rPr>
        <w:t>Circumstances requiring special information collection</w:t>
      </w:r>
    </w:p>
    <w:p w14:paraId="29757889" w14:textId="77777777" w:rsidR="00FB7F1C" w:rsidRPr="002551F6" w:rsidRDefault="00FB7F1C" w:rsidP="00CB003A">
      <w:pPr>
        <w:rPr>
          <w:u w:val="single"/>
        </w:rPr>
      </w:pPr>
    </w:p>
    <w:p w14:paraId="1A9DDC8A" w14:textId="0B42EAF3" w:rsidR="00D24A88" w:rsidRPr="002551F6" w:rsidRDefault="00802F36" w:rsidP="00D24A88">
      <w:r>
        <w:t>There are no special circumstances causing the information collection to be conducted in a manner</w:t>
      </w:r>
      <w:r w:rsidR="001F31FB">
        <w:t xml:space="preserve"> described</w:t>
      </w:r>
      <w:r>
        <w:t xml:space="preserve"> in 5 CFR 1320.6</w:t>
      </w:r>
      <w:r w:rsidR="00D24A88" w:rsidRPr="002551F6">
        <w:t>.</w:t>
      </w:r>
      <w:r w:rsidR="009B6FA0" w:rsidRPr="002551F6">
        <w:t xml:space="preserve"> </w:t>
      </w:r>
    </w:p>
    <w:p w14:paraId="35225986" w14:textId="77777777" w:rsidR="00CB003A" w:rsidRDefault="00CB003A" w:rsidP="00CB003A"/>
    <w:p w14:paraId="209A2F66" w14:textId="77777777" w:rsidR="00E13A9C" w:rsidRDefault="00E13A9C" w:rsidP="00CB003A"/>
    <w:p w14:paraId="01D136C9" w14:textId="77777777" w:rsidR="00CB003A" w:rsidRPr="002551F6" w:rsidRDefault="00147A26" w:rsidP="00181F21">
      <w:pPr>
        <w:ind w:firstLine="360"/>
        <w:rPr>
          <w:b/>
          <w:u w:val="single"/>
        </w:rPr>
      </w:pPr>
      <w:r w:rsidRPr="00B36755">
        <w:rPr>
          <w:b/>
        </w:rPr>
        <w:t xml:space="preserve">8.  </w:t>
      </w:r>
      <w:r w:rsidR="00CB003A" w:rsidRPr="00B36755">
        <w:rPr>
          <w:b/>
          <w:u w:val="single"/>
        </w:rPr>
        <w:t>Solicitation of comments on information collection</w:t>
      </w:r>
    </w:p>
    <w:p w14:paraId="522F6CF9" w14:textId="77777777" w:rsidR="00CB003A" w:rsidRPr="002551F6" w:rsidRDefault="00CB003A" w:rsidP="00CB003A"/>
    <w:p w14:paraId="7ACBD7ED" w14:textId="1884B05D" w:rsidR="00A81BCB" w:rsidRDefault="006929AD" w:rsidP="00FE40CB">
      <w:r>
        <w:t xml:space="preserve">Treasury published a </w:t>
      </w:r>
      <w:r w:rsidR="00940B2A">
        <w:t xml:space="preserve">notice </w:t>
      </w:r>
      <w:r w:rsidR="00FE40CB">
        <w:t>soliciting comments on information collection</w:t>
      </w:r>
      <w:r w:rsidR="00940B2A">
        <w:t xml:space="preserve"> </w:t>
      </w:r>
      <w:r w:rsidR="00E13A9C">
        <w:t xml:space="preserve">in </w:t>
      </w:r>
      <w:r w:rsidR="00940B2A">
        <w:t xml:space="preserve">the </w:t>
      </w:r>
      <w:r w:rsidR="00940B2A" w:rsidRPr="00940B2A">
        <w:rPr>
          <w:i/>
        </w:rPr>
        <w:t>Federal Register</w:t>
      </w:r>
      <w:r w:rsidR="00940B2A">
        <w:t xml:space="preserve"> on </w:t>
      </w:r>
      <w:r w:rsidR="005E5A57" w:rsidRPr="00106A18">
        <w:t xml:space="preserve">April </w:t>
      </w:r>
      <w:r w:rsidR="005A1476" w:rsidRPr="00106A18">
        <w:t>28, 2016</w:t>
      </w:r>
      <w:r w:rsidR="001F31FB">
        <w:t xml:space="preserve">.  </w:t>
      </w:r>
      <w:r w:rsidR="001F31FB">
        <w:rPr>
          <w:i/>
        </w:rPr>
        <w:t>See</w:t>
      </w:r>
      <w:r>
        <w:t xml:space="preserve"> </w:t>
      </w:r>
      <w:r w:rsidR="005A1476" w:rsidRPr="00B36755">
        <w:rPr>
          <w:i/>
        </w:rPr>
        <w:t>81</w:t>
      </w:r>
      <w:r w:rsidR="00FE40CB" w:rsidRPr="00B36755">
        <w:rPr>
          <w:i/>
        </w:rPr>
        <w:t xml:space="preserve"> </w:t>
      </w:r>
      <w:r w:rsidR="00940B2A" w:rsidRPr="00B36755">
        <w:rPr>
          <w:i/>
        </w:rPr>
        <w:t xml:space="preserve">FR </w:t>
      </w:r>
      <w:r w:rsidR="005A1476" w:rsidRPr="00B36755">
        <w:rPr>
          <w:i/>
        </w:rPr>
        <w:t>25493</w:t>
      </w:r>
      <w:r w:rsidR="004A7CC6">
        <w:t xml:space="preserve">.  </w:t>
      </w:r>
      <w:r w:rsidR="00963D0A">
        <w:t xml:space="preserve">Treasury received comments from five respondents.  </w:t>
      </w:r>
    </w:p>
    <w:p w14:paraId="00679B1A" w14:textId="77777777" w:rsidR="00A81BCB" w:rsidRDefault="00A81BCB" w:rsidP="00FE40CB"/>
    <w:p w14:paraId="29E26F72" w14:textId="0D6E2D88" w:rsidR="00A137BE" w:rsidRPr="00A137BE" w:rsidRDefault="00A81BCB" w:rsidP="00A137BE">
      <w:r>
        <w:t xml:space="preserve">Two </w:t>
      </w:r>
      <w:r w:rsidR="00587D50">
        <w:t xml:space="preserve">respondents </w:t>
      </w:r>
      <w:r w:rsidR="00963D0A">
        <w:t>requested more detailed directions</w:t>
      </w:r>
      <w:r w:rsidR="001F31FB">
        <w:t xml:space="preserve"> to assist eligible recipients prepare</w:t>
      </w:r>
      <w:r w:rsidR="00963D0A">
        <w:t xml:space="preserve"> </w:t>
      </w:r>
      <w:r w:rsidR="003F59C0">
        <w:t>m</w:t>
      </w:r>
      <w:r w:rsidR="00963D0A">
        <w:t xml:space="preserve">ultiyear </w:t>
      </w:r>
      <w:r w:rsidR="003F59C0">
        <w:t>i</w:t>
      </w:r>
      <w:r w:rsidR="00963D0A">
        <w:t xml:space="preserve">mplementation </w:t>
      </w:r>
      <w:r w:rsidR="003F59C0">
        <w:t>p</w:t>
      </w:r>
      <w:r w:rsidR="00963D0A">
        <w:t xml:space="preserve">lans and address </w:t>
      </w:r>
      <w:r w:rsidR="003F59C0">
        <w:t>b</w:t>
      </w:r>
      <w:r w:rsidR="00963D0A">
        <w:t xml:space="preserve">est </w:t>
      </w:r>
      <w:r w:rsidR="003F59C0">
        <w:t>a</w:t>
      </w:r>
      <w:r w:rsidR="00963D0A">
        <w:t xml:space="preserve">vailable </w:t>
      </w:r>
      <w:r w:rsidR="003F59C0">
        <w:t>s</w:t>
      </w:r>
      <w:r w:rsidR="00963D0A">
        <w:t xml:space="preserve">cience </w:t>
      </w:r>
      <w:r w:rsidR="003F59C0">
        <w:t>grant application requirements for</w:t>
      </w:r>
      <w:r w:rsidR="00963D0A">
        <w:t xml:space="preserve"> projects designed to </w:t>
      </w:r>
      <w:r w:rsidR="003F59C0">
        <w:t xml:space="preserve">protect or </w:t>
      </w:r>
      <w:r w:rsidR="00963D0A">
        <w:t xml:space="preserve">restore </w:t>
      </w:r>
      <w:r w:rsidR="003F59C0">
        <w:t>natural resources</w:t>
      </w:r>
      <w:r w:rsidR="00A137BE">
        <w:t>.</w:t>
      </w:r>
      <w:r w:rsidR="00E13A9C">
        <w:t xml:space="preserve"> </w:t>
      </w:r>
      <w:r w:rsidR="00A137BE">
        <w:t>They also requested</w:t>
      </w:r>
      <w:r>
        <w:t xml:space="preserve"> sample application forms</w:t>
      </w:r>
      <w:r w:rsidR="0013796F">
        <w:t>.</w:t>
      </w:r>
      <w:r w:rsidR="00A137BE" w:rsidRPr="00A137BE">
        <w:t xml:space="preserve">  In response to the comments, Treasury changed the multiyear plan matrix and narrative forms by providing clearer directions to help eligible recipients complete their forms.  Treasury</w:t>
      </w:r>
      <w:r w:rsidR="00E13A9C">
        <w:t xml:space="preserve"> modified the grant application </w:t>
      </w:r>
      <w:r w:rsidR="00A137BE" w:rsidRPr="00A137BE">
        <w:t>narrative form to clarify the information needed to address the best available science requirements.</w:t>
      </w:r>
      <w:r w:rsidR="00A137BE">
        <w:t xml:space="preserve">  </w:t>
      </w:r>
      <w:r w:rsidR="00A137BE" w:rsidRPr="00A137BE">
        <w:t>Treasury will continue to offer technical assistance to eligible recipients as they prepare application and reporting forms.</w:t>
      </w:r>
    </w:p>
    <w:p w14:paraId="66F3D450" w14:textId="77777777" w:rsidR="00A81BCB" w:rsidRDefault="00A81BCB" w:rsidP="00FE40CB"/>
    <w:p w14:paraId="00746FE5" w14:textId="4B74A50A" w:rsidR="00C3022F" w:rsidRDefault="00A137BE" w:rsidP="00FE40CB">
      <w:r>
        <w:t>Two</w:t>
      </w:r>
      <w:r w:rsidR="00A81BCB">
        <w:t xml:space="preserve"> </w:t>
      </w:r>
      <w:r w:rsidR="00587D50">
        <w:t>respondent</w:t>
      </w:r>
      <w:r>
        <w:t xml:space="preserve">s observed </w:t>
      </w:r>
      <w:r w:rsidR="0013796F">
        <w:t>that some</w:t>
      </w:r>
      <w:r w:rsidR="00797276">
        <w:t xml:space="preserve"> </w:t>
      </w:r>
      <w:r w:rsidR="00A81BCB">
        <w:t>hyper</w:t>
      </w:r>
      <w:r w:rsidR="004A7CC6">
        <w:t xml:space="preserve">links </w:t>
      </w:r>
      <w:r w:rsidR="0013796F">
        <w:t>on the Environmental Checklist were inoperable</w:t>
      </w:r>
      <w:r>
        <w:t xml:space="preserve"> and recommended several clarifying edits.</w:t>
      </w:r>
      <w:r w:rsidR="00E13A9C">
        <w:t xml:space="preserve"> </w:t>
      </w:r>
      <w:r w:rsidR="0013796F">
        <w:t xml:space="preserve"> </w:t>
      </w:r>
      <w:r w:rsidR="00A81BCB">
        <w:t xml:space="preserve">In response, </w:t>
      </w:r>
      <w:r w:rsidR="00963D0A">
        <w:t xml:space="preserve">Treasury </w:t>
      </w:r>
      <w:r w:rsidR="00E13A9C">
        <w:t>modified the form</w:t>
      </w:r>
      <w:r>
        <w:t xml:space="preserve"> to address the comments and </w:t>
      </w:r>
      <w:r w:rsidR="00A81BCB">
        <w:t xml:space="preserve">corrected the </w:t>
      </w:r>
      <w:r w:rsidR="00587D50">
        <w:t>hyperlinks</w:t>
      </w:r>
      <w:r>
        <w:t>.  P</w:t>
      </w:r>
      <w:r w:rsidR="00A81BCB">
        <w:t>eriodically</w:t>
      </w:r>
      <w:r>
        <w:t>, Treasury will</w:t>
      </w:r>
      <w:r w:rsidR="00A81BCB">
        <w:t xml:space="preserve"> </w:t>
      </w:r>
      <w:r w:rsidR="00963D0A">
        <w:t xml:space="preserve">review the </w:t>
      </w:r>
      <w:r w:rsidR="00E45F6B">
        <w:t xml:space="preserve">Environmental </w:t>
      </w:r>
      <w:r w:rsidR="00474021">
        <w:t>Checklist</w:t>
      </w:r>
      <w:r>
        <w:t xml:space="preserve"> links and resolve </w:t>
      </w:r>
      <w:r w:rsidR="00963D0A">
        <w:t xml:space="preserve">inoperable </w:t>
      </w:r>
      <w:r w:rsidR="00A81BCB">
        <w:t>hyper</w:t>
      </w:r>
      <w:r w:rsidR="00963D0A">
        <w:t>links</w:t>
      </w:r>
      <w:r w:rsidR="00474021">
        <w:t xml:space="preserve">.  </w:t>
      </w:r>
    </w:p>
    <w:p w14:paraId="0DF549BC" w14:textId="77777777" w:rsidR="00EC0DB0" w:rsidRDefault="00EC0DB0" w:rsidP="00FE40CB"/>
    <w:p w14:paraId="161A64DA" w14:textId="5320FA79" w:rsidR="00C3022F" w:rsidRDefault="00587D50" w:rsidP="00FE40CB">
      <w:r>
        <w:t>One respondent</w:t>
      </w:r>
      <w:r w:rsidR="00A81BCB">
        <w:t xml:space="preserve"> </w:t>
      </w:r>
      <w:r w:rsidR="00A137BE">
        <w:t xml:space="preserve">raised </w:t>
      </w:r>
      <w:r w:rsidR="00C3022F">
        <w:t xml:space="preserve">questions </w:t>
      </w:r>
      <w:r w:rsidR="00A81BCB">
        <w:t>about</w:t>
      </w:r>
      <w:r w:rsidR="00C3022F">
        <w:t xml:space="preserve"> the </w:t>
      </w:r>
      <w:r w:rsidR="0013796F" w:rsidRPr="00BA67F9">
        <w:t>OMB Uniform Guidance</w:t>
      </w:r>
      <w:r w:rsidR="00C3022F">
        <w:t xml:space="preserve">. </w:t>
      </w:r>
      <w:r w:rsidR="00A137BE" w:rsidRPr="00A137BE">
        <w:t xml:space="preserve">Although the comments do not apply to the information collection directly, Treasury offers technical assistance to eligible recipients on the Uniform Guidance.  </w:t>
      </w:r>
      <w:r w:rsidR="00C3022F">
        <w:t xml:space="preserve"> </w:t>
      </w:r>
      <w:r w:rsidR="00A137BE">
        <w:t xml:space="preserve">A vendor engaged by </w:t>
      </w:r>
      <w:r w:rsidR="00C3022F">
        <w:t>Treasury</w:t>
      </w:r>
      <w:r w:rsidR="005B4124">
        <w:t xml:space="preserve"> conducted six</w:t>
      </w:r>
      <w:r w:rsidR="00C3022F">
        <w:t xml:space="preserve"> grants management training</w:t>
      </w:r>
      <w:r w:rsidR="005B4124">
        <w:t xml:space="preserve"> classes in the Gulf Coast region for </w:t>
      </w:r>
      <w:r w:rsidR="00E92231">
        <w:t>personnel from eligible states, counties, and parishes.</w:t>
      </w:r>
      <w:r w:rsidR="00C3022F">
        <w:t xml:space="preserve">  Treasury </w:t>
      </w:r>
      <w:r w:rsidR="003A59D2">
        <w:t>will</w:t>
      </w:r>
      <w:r w:rsidR="00C3022F">
        <w:t xml:space="preserve"> continue to offer </w:t>
      </w:r>
      <w:r w:rsidR="005B4124">
        <w:t xml:space="preserve">grants management </w:t>
      </w:r>
      <w:r w:rsidR="00C3022F">
        <w:t>technical assistance</w:t>
      </w:r>
      <w:r w:rsidR="00E92231">
        <w:t xml:space="preserve"> </w:t>
      </w:r>
      <w:r w:rsidR="003A59D2">
        <w:t xml:space="preserve">to eligible </w:t>
      </w:r>
      <w:r w:rsidR="005B4124">
        <w:t xml:space="preserve">applicants and recipients </w:t>
      </w:r>
      <w:r w:rsidR="00E92231">
        <w:t>in the future</w:t>
      </w:r>
      <w:r w:rsidR="00C3022F">
        <w:t>.</w:t>
      </w:r>
    </w:p>
    <w:p w14:paraId="0D9BBCFA" w14:textId="77777777" w:rsidR="00C3022F" w:rsidRDefault="00C3022F" w:rsidP="00FE40CB"/>
    <w:p w14:paraId="788011D3" w14:textId="5ED0628A" w:rsidR="003506E7" w:rsidRDefault="00C3022F" w:rsidP="00FE40CB">
      <w:r>
        <w:t xml:space="preserve">One </w:t>
      </w:r>
      <w:r w:rsidR="00587D50">
        <w:t>respondent</w:t>
      </w:r>
      <w:r w:rsidR="0048426A">
        <w:t xml:space="preserve"> </w:t>
      </w:r>
      <w:r w:rsidR="005B4124">
        <w:t>observed</w:t>
      </w:r>
      <w:r w:rsidR="003506E7">
        <w:t xml:space="preserve"> that the 3% administrative cost cap </w:t>
      </w:r>
      <w:r w:rsidR="005B4124">
        <w:t xml:space="preserve">under </w:t>
      </w:r>
      <w:r w:rsidR="003506E7">
        <w:t>the RESTORE Act</w:t>
      </w:r>
      <w:r w:rsidR="005B4124">
        <w:t xml:space="preserve"> appears to be insufficient to develop an application and manage a grant.  </w:t>
      </w:r>
      <w:r w:rsidR="005B4124" w:rsidRPr="005B4124">
        <w:t xml:space="preserve">Although the comment does not apply to the information collection directly, Treasury provides technical assistance and meets with eligible recipients to discuss and help resolve issues related to RESTORE Act-specific </w:t>
      </w:r>
      <w:r w:rsidR="005B4124" w:rsidRPr="005B4124">
        <w:lastRenderedPageBreak/>
        <w:t xml:space="preserve">requirements (e.g., the 3% administrative costs cap and indirect costs).  Treasury will continue to offer this technical assistance to eligible recipients in the future. </w:t>
      </w:r>
    </w:p>
    <w:p w14:paraId="6DF4F023" w14:textId="77777777" w:rsidR="003506E7" w:rsidRDefault="003506E7" w:rsidP="00FE40CB"/>
    <w:p w14:paraId="12FAC65D" w14:textId="381D32B9" w:rsidR="00302265" w:rsidRPr="00302265" w:rsidRDefault="00E8245B" w:rsidP="00302265">
      <w:r>
        <w:t xml:space="preserve">One </w:t>
      </w:r>
      <w:r w:rsidR="00587D50">
        <w:t xml:space="preserve">respondent </w:t>
      </w:r>
      <w:r w:rsidR="00C31808">
        <w:t xml:space="preserve">asked </w:t>
      </w:r>
      <w:r>
        <w:t>whether</w:t>
      </w:r>
      <w:r w:rsidR="00302265">
        <w:t xml:space="preserve"> an eligible recipient could submit a grant application that includes</w:t>
      </w:r>
      <w:r>
        <w:t xml:space="preserve"> </w:t>
      </w:r>
      <w:r w:rsidR="00C3022F">
        <w:t>financing</w:t>
      </w:r>
      <w:r>
        <w:t xml:space="preserve"> costs </w:t>
      </w:r>
      <w:r w:rsidR="00302265">
        <w:t xml:space="preserve">for </w:t>
      </w:r>
      <w:r>
        <w:t>a project</w:t>
      </w:r>
      <w:r w:rsidR="00C31808">
        <w:t xml:space="preserve"> </w:t>
      </w:r>
      <w:r w:rsidR="00E13A9C">
        <w:t xml:space="preserve">begun </w:t>
      </w:r>
      <w:r w:rsidR="00C31808">
        <w:t xml:space="preserve">before grant funds are available for distribution.  </w:t>
      </w:r>
      <w:r w:rsidR="00E13A9C">
        <w:t xml:space="preserve">Although the comment does not apply to the information collection directly, </w:t>
      </w:r>
      <w:r w:rsidR="00C31808">
        <w:t>Treasury has addressed this and other p</w:t>
      </w:r>
      <w:r w:rsidR="00AF115F">
        <w:t>olicy matter</w:t>
      </w:r>
      <w:r w:rsidR="00C31808">
        <w:t xml:space="preserve">s </w:t>
      </w:r>
      <w:r w:rsidR="00AF115F">
        <w:t>in f</w:t>
      </w:r>
      <w:r w:rsidR="00C3022F">
        <w:t xml:space="preserve">requently </w:t>
      </w:r>
      <w:r w:rsidR="00AF115F">
        <w:t>a</w:t>
      </w:r>
      <w:r w:rsidR="00C3022F">
        <w:t xml:space="preserve">sked </w:t>
      </w:r>
      <w:r w:rsidR="00AF115F">
        <w:t>q</w:t>
      </w:r>
      <w:r w:rsidR="00C3022F">
        <w:t>uestions</w:t>
      </w:r>
      <w:r w:rsidR="00AF115F">
        <w:t xml:space="preserve"> (FAQs)</w:t>
      </w:r>
      <w:r w:rsidR="00C3022F">
        <w:t xml:space="preserve"> </w:t>
      </w:r>
      <w:r w:rsidR="00AF115F">
        <w:t>and guidance documents</w:t>
      </w:r>
      <w:r w:rsidR="00C31808">
        <w:t xml:space="preserve"> published</w:t>
      </w:r>
      <w:r w:rsidR="00302265">
        <w:t xml:space="preserve"> periodically</w:t>
      </w:r>
      <w:r w:rsidR="00C31808">
        <w:t xml:space="preserve"> on its website</w:t>
      </w:r>
      <w:r w:rsidR="00302265">
        <w:t xml:space="preserve"> </w:t>
      </w:r>
      <w:r w:rsidR="00E13A9C">
        <w:t>and distributed to</w:t>
      </w:r>
      <w:r w:rsidR="00302265" w:rsidRPr="00302265">
        <w:t xml:space="preserve"> eligible recipients.  Treasury will continue to provide FAQs to eligible recipients and publish guidance documents on its website.  </w:t>
      </w:r>
    </w:p>
    <w:p w14:paraId="2AAD8060" w14:textId="1477E3EB" w:rsidR="002551F6" w:rsidRDefault="00C31808" w:rsidP="00FE40CB">
      <w:r>
        <w:t xml:space="preserve"> </w:t>
      </w:r>
      <w:r w:rsidR="00302265">
        <w:t xml:space="preserve"> </w:t>
      </w:r>
    </w:p>
    <w:p w14:paraId="21E767A5" w14:textId="4000A153" w:rsidR="00302265" w:rsidRPr="00302265" w:rsidRDefault="00302265" w:rsidP="00302265">
      <w:r w:rsidRPr="00302265">
        <w:t>One respondent indicated it faced startup costs associated with the cost of applying for and receiving RESTORE Act grants.  However</w:t>
      </w:r>
      <w:r w:rsidR="001B591E">
        <w:t>,</w:t>
      </w:r>
      <w:r w:rsidRPr="00302265">
        <w:t xml:space="preserve"> the cost of apply</w:t>
      </w:r>
      <w:r w:rsidR="003E59BE">
        <w:t>ing</w:t>
      </w:r>
      <w:r w:rsidRPr="00302265">
        <w:t xml:space="preserve"> for federal grants in general is not specifically related to the RESTORE Act and this information collection.  </w:t>
      </w:r>
    </w:p>
    <w:p w14:paraId="3BADCF73" w14:textId="77777777" w:rsidR="00302265" w:rsidRPr="002551F6" w:rsidRDefault="00302265" w:rsidP="00FE40CB"/>
    <w:p w14:paraId="5D22B1E3" w14:textId="77777777" w:rsidR="002551F6" w:rsidRPr="002551F6" w:rsidRDefault="002551F6" w:rsidP="00CB003A"/>
    <w:p w14:paraId="170F2CD8" w14:textId="714A5E06" w:rsidR="00147A26" w:rsidRPr="002551F6" w:rsidRDefault="00147A26" w:rsidP="00FB7F1C">
      <w:pPr>
        <w:keepNext/>
        <w:ind w:firstLine="360"/>
        <w:rPr>
          <w:b/>
        </w:rPr>
      </w:pPr>
      <w:r w:rsidRPr="002551F6">
        <w:rPr>
          <w:b/>
        </w:rPr>
        <w:t xml:space="preserve">9.  </w:t>
      </w:r>
      <w:r w:rsidRPr="002551F6">
        <w:rPr>
          <w:b/>
          <w:u w:val="single"/>
        </w:rPr>
        <w:t>Provision of payments to record</w:t>
      </w:r>
      <w:r w:rsidR="0058262E">
        <w:rPr>
          <w:b/>
          <w:u w:val="single"/>
        </w:rPr>
        <w:t xml:space="preserve"> </w:t>
      </w:r>
      <w:r w:rsidRPr="002551F6">
        <w:rPr>
          <w:b/>
          <w:u w:val="single"/>
        </w:rPr>
        <w:t>keepers</w:t>
      </w:r>
    </w:p>
    <w:p w14:paraId="3C380E65" w14:textId="77777777" w:rsidR="00147A26" w:rsidRPr="00C9704D" w:rsidRDefault="00147A26" w:rsidP="00FB7F1C">
      <w:pPr>
        <w:keepNext/>
      </w:pPr>
    </w:p>
    <w:p w14:paraId="4D8D0DCF" w14:textId="77777777" w:rsidR="00256911" w:rsidRPr="00C9704D" w:rsidRDefault="00E96BF2" w:rsidP="00CB003A">
      <w:r>
        <w:t>No payments or gifts are provided to respondents</w:t>
      </w:r>
      <w:r w:rsidR="009B6FA0" w:rsidRPr="00C9704D">
        <w:t>.</w:t>
      </w:r>
    </w:p>
    <w:p w14:paraId="3757A53A" w14:textId="77777777" w:rsidR="00D24A88" w:rsidRDefault="00D24A88" w:rsidP="00CB003A"/>
    <w:p w14:paraId="7725F7F3" w14:textId="77777777" w:rsidR="00BA51F9" w:rsidRPr="00C9704D" w:rsidRDefault="00BA51F9" w:rsidP="00CB003A"/>
    <w:p w14:paraId="386A728B" w14:textId="77777777" w:rsidR="00147A26" w:rsidRPr="00C9704D" w:rsidRDefault="00147A26" w:rsidP="00666B6D">
      <w:pPr>
        <w:keepNext/>
        <w:ind w:firstLine="360"/>
        <w:rPr>
          <w:b/>
        </w:rPr>
      </w:pPr>
      <w:r w:rsidRPr="00C9704D">
        <w:rPr>
          <w:b/>
        </w:rPr>
        <w:t xml:space="preserve">10.  </w:t>
      </w:r>
      <w:r w:rsidRPr="00C9704D">
        <w:rPr>
          <w:b/>
          <w:u w:val="single"/>
        </w:rPr>
        <w:t>Assurance of confidentiality</w:t>
      </w:r>
    </w:p>
    <w:p w14:paraId="66B91B7B" w14:textId="77777777" w:rsidR="00147A26" w:rsidRPr="0025604D" w:rsidRDefault="00147A26" w:rsidP="00666B6D">
      <w:pPr>
        <w:keepNext/>
      </w:pPr>
    </w:p>
    <w:p w14:paraId="6660277B" w14:textId="77777777" w:rsidR="00E146F2" w:rsidRDefault="00E146F2" w:rsidP="00E146F2">
      <w:pPr>
        <w:autoSpaceDE w:val="0"/>
        <w:autoSpaceDN w:val="0"/>
      </w:pPr>
      <w:r>
        <w:t>The Department is subject to all Federal regulations with respect to confidentiality of the information provided in this collection of information and provides no other assurances of confidentiality to respondents.</w:t>
      </w:r>
    </w:p>
    <w:p w14:paraId="11D785CF" w14:textId="77777777" w:rsidR="002551F6" w:rsidRDefault="002551F6" w:rsidP="00CB003A"/>
    <w:p w14:paraId="5619105B" w14:textId="77777777" w:rsidR="00E13A9C" w:rsidRPr="00C9704D" w:rsidRDefault="00E13A9C" w:rsidP="00CB003A"/>
    <w:p w14:paraId="14350DCD" w14:textId="77777777" w:rsidR="00147A26" w:rsidRPr="00C9704D" w:rsidRDefault="00147A26" w:rsidP="00181F21">
      <w:pPr>
        <w:ind w:firstLine="360"/>
        <w:rPr>
          <w:b/>
          <w:u w:val="single"/>
        </w:rPr>
      </w:pPr>
      <w:r w:rsidRPr="00C9704D">
        <w:rPr>
          <w:b/>
        </w:rPr>
        <w:t xml:space="preserve">11.  </w:t>
      </w:r>
      <w:r w:rsidRPr="00C9704D">
        <w:rPr>
          <w:b/>
          <w:u w:val="single"/>
        </w:rPr>
        <w:t>Justification of sensitive questions</w:t>
      </w:r>
    </w:p>
    <w:p w14:paraId="525F1C68" w14:textId="77777777" w:rsidR="00147A26" w:rsidRPr="0025604D" w:rsidRDefault="00147A26" w:rsidP="00CB003A"/>
    <w:p w14:paraId="25D19EB2" w14:textId="77777777" w:rsidR="00147A26" w:rsidRDefault="00913A34" w:rsidP="00CB003A">
      <w:r>
        <w:t xml:space="preserve">No </w:t>
      </w:r>
      <w:r w:rsidR="00FE40CB">
        <w:t xml:space="preserve">personally </w:t>
      </w:r>
      <w:r>
        <w:t>identifiable information (PII) is collected</w:t>
      </w:r>
      <w:r w:rsidR="00475731" w:rsidRPr="00C9704D">
        <w:t>.</w:t>
      </w:r>
    </w:p>
    <w:p w14:paraId="75C1CF21" w14:textId="77777777" w:rsidR="00A95A75" w:rsidRDefault="00A95A75" w:rsidP="00CB003A"/>
    <w:p w14:paraId="1A9544A8" w14:textId="77777777" w:rsidR="00E13A9C" w:rsidRDefault="00E13A9C" w:rsidP="00CB003A"/>
    <w:p w14:paraId="2734153C" w14:textId="6B77B373" w:rsidR="00A95A75" w:rsidRDefault="00E13A9C" w:rsidP="004B0AEF">
      <w:pPr>
        <w:ind w:firstLine="360"/>
        <w:rPr>
          <w:b/>
          <w:u w:val="single"/>
        </w:rPr>
      </w:pPr>
      <w:r>
        <w:rPr>
          <w:b/>
        </w:rPr>
        <w:br w:type="page"/>
      </w:r>
      <w:r w:rsidR="00A95A75">
        <w:rPr>
          <w:b/>
        </w:rPr>
        <w:lastRenderedPageBreak/>
        <w:t xml:space="preserve">12.  </w:t>
      </w:r>
      <w:r w:rsidR="00A95A75">
        <w:rPr>
          <w:b/>
          <w:u w:val="single"/>
        </w:rPr>
        <w:t xml:space="preserve">Justification </w:t>
      </w:r>
    </w:p>
    <w:p w14:paraId="141F5606" w14:textId="77777777" w:rsidR="004063EA" w:rsidRDefault="004063EA" w:rsidP="004B0AEF">
      <w:pPr>
        <w:ind w:firstLine="360"/>
        <w:rPr>
          <w:b/>
          <w:u w:val="single"/>
        </w:rPr>
      </w:pPr>
    </w:p>
    <w:tbl>
      <w:tblPr>
        <w:tblW w:w="9777" w:type="dxa"/>
        <w:tblInd w:w="93" w:type="dxa"/>
        <w:tblLook w:val="04A0" w:firstRow="1" w:lastRow="0" w:firstColumn="1" w:lastColumn="0" w:noHBand="0" w:noVBand="1"/>
      </w:tblPr>
      <w:tblGrid>
        <w:gridCol w:w="2180"/>
        <w:gridCol w:w="1615"/>
        <w:gridCol w:w="1240"/>
        <w:gridCol w:w="1200"/>
        <w:gridCol w:w="1182"/>
        <w:gridCol w:w="1060"/>
        <w:gridCol w:w="1300"/>
      </w:tblGrid>
      <w:tr w:rsidR="00F23B72" w14:paraId="4B362E6F" w14:textId="77777777" w:rsidTr="00F77798">
        <w:trPr>
          <w:trHeight w:val="1110"/>
        </w:trPr>
        <w:tc>
          <w:tcPr>
            <w:tcW w:w="2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133D2A3" w14:textId="77777777" w:rsidR="00F23B72" w:rsidRDefault="00F23B72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bookmarkStart w:id="1" w:name="RANGE!A1:G18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Reporting</w:t>
            </w:r>
            <w:bookmarkEnd w:id="1"/>
          </w:p>
        </w:tc>
        <w:tc>
          <w:tcPr>
            <w:tcW w:w="16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24825F" w14:textId="77777777" w:rsidR="00F23B72" w:rsidRDefault="00F23B7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# Respondents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AA311A" w14:textId="77777777" w:rsidR="00F23B72" w:rsidRDefault="00F23B7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# Responses Per Respondent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2AB44B" w14:textId="77777777" w:rsidR="00F23B72" w:rsidRDefault="00F23B7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Total annual Responses</w:t>
            </w:r>
          </w:p>
        </w:tc>
        <w:tc>
          <w:tcPr>
            <w:tcW w:w="11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539935" w14:textId="77777777" w:rsidR="00F23B72" w:rsidRDefault="00F23B7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Hours per response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2958C0" w14:textId="77777777" w:rsidR="00F23B72" w:rsidRDefault="00F23B7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Total Burden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3E9711" w14:textId="77777777" w:rsidR="00F23B72" w:rsidRDefault="00F23B7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Cost to Respondent (@ $150 per hrs.)</w:t>
            </w:r>
          </w:p>
        </w:tc>
      </w:tr>
      <w:tr w:rsidR="00F23B72" w14:paraId="351716E0" w14:textId="77777777" w:rsidTr="00F77798">
        <w:trPr>
          <w:trHeight w:val="53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A02832" w14:textId="77777777" w:rsidR="00F23B72" w:rsidRDefault="00F23B7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Operational Self-Assessment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32F822" w14:textId="77777777" w:rsidR="00F23B72" w:rsidRDefault="00F23B7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65EE78" w14:textId="77777777" w:rsidR="00F23B72" w:rsidRDefault="00F23B7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7A3B52" w14:textId="77777777" w:rsidR="00F23B72" w:rsidRDefault="00F23B7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42AECD" w14:textId="77777777" w:rsidR="00F23B72" w:rsidRDefault="00F23B7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38CB9C" w14:textId="77777777" w:rsidR="00F23B72" w:rsidRDefault="00F23B7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8E7F10B" w14:textId="77777777" w:rsidR="00F23B72" w:rsidRDefault="00F23B7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$14,400 </w:t>
            </w:r>
          </w:p>
        </w:tc>
      </w:tr>
      <w:tr w:rsidR="00F23B72" w14:paraId="6564AFEB" w14:textId="77777777" w:rsidTr="00F77798">
        <w:trPr>
          <w:trHeight w:val="33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D56E15" w14:textId="77777777" w:rsidR="00F23B72" w:rsidRDefault="00F23B7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Multiyear Plan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ED0C40" w14:textId="77777777" w:rsidR="00F23B72" w:rsidRDefault="00F23B7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FBA6F4" w14:textId="77777777" w:rsidR="00F23B72" w:rsidRDefault="00F23B7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409EDB" w14:textId="77777777" w:rsidR="00F23B72" w:rsidRDefault="00F23B7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23.5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1B0495" w14:textId="77777777" w:rsidR="00F23B72" w:rsidRDefault="00F23B7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8BBDD8" w14:textId="77777777" w:rsidR="00F23B72" w:rsidRDefault="00F23B7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117.5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CFEC8A8" w14:textId="77777777" w:rsidR="00F23B72" w:rsidRDefault="00F23B7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$17,625 </w:t>
            </w:r>
          </w:p>
        </w:tc>
      </w:tr>
      <w:tr w:rsidR="00F23B72" w14:paraId="478477D7" w14:textId="77777777" w:rsidTr="00F77798">
        <w:trPr>
          <w:trHeight w:val="53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BDB0DF" w14:textId="77777777" w:rsidR="00F23B72" w:rsidRDefault="00F23B7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Application - Direct Component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37476F" w14:textId="77777777" w:rsidR="00F23B72" w:rsidRDefault="00F23B7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DBC40CB" w14:textId="77777777" w:rsidR="00F23B72" w:rsidRDefault="00F23B7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A0E92EB" w14:textId="77777777" w:rsidR="00F23B72" w:rsidRDefault="00F23B7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47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C274626" w14:textId="77777777" w:rsidR="00F23B72" w:rsidRDefault="00F23B7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9BACE30" w14:textId="77777777" w:rsidR="00F23B72" w:rsidRDefault="00F23B7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376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E84CB9E" w14:textId="77777777" w:rsidR="00F23B72" w:rsidRDefault="00F23B7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$56,400 </w:t>
            </w:r>
          </w:p>
        </w:tc>
      </w:tr>
      <w:tr w:rsidR="00F23B72" w14:paraId="1EB69010" w14:textId="77777777" w:rsidTr="00F23B72">
        <w:trPr>
          <w:trHeight w:val="86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F64E4B" w14:textId="77777777" w:rsidR="00F23B72" w:rsidRDefault="00F23B7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Application - Centers of Excellence Research Grants Program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7266F42" w14:textId="77777777" w:rsidR="00F23B72" w:rsidRDefault="00F23B7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88712EA" w14:textId="77777777" w:rsidR="00F23B72" w:rsidRDefault="00F23B7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0ED6FFB" w14:textId="77777777" w:rsidR="00F23B72" w:rsidRDefault="00F23B7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FEDA2E9" w14:textId="77777777" w:rsidR="00F23B72" w:rsidRDefault="00F23B7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A8F9D5C" w14:textId="77777777" w:rsidR="00F23B72" w:rsidRDefault="00F23B7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294BA2A" w14:textId="77777777" w:rsidR="00F23B72" w:rsidRDefault="00F23B7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$6,000 </w:t>
            </w:r>
          </w:p>
        </w:tc>
      </w:tr>
      <w:tr w:rsidR="00F23B72" w14:paraId="1CF4C5E6" w14:textId="77777777" w:rsidTr="00F77798">
        <w:trPr>
          <w:trHeight w:val="85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C16F22" w14:textId="77777777" w:rsidR="00F23B72" w:rsidRDefault="00F23B7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Direct Component Activity Milestones Report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D15A79" w14:textId="77777777" w:rsidR="00F23B72" w:rsidRDefault="00F23B7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18895BF" w14:textId="77777777" w:rsidR="00F23B72" w:rsidRDefault="00F23B7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FE5864C" w14:textId="77777777" w:rsidR="00F23B72" w:rsidRDefault="00F23B7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94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35DD724" w14:textId="77777777" w:rsidR="00F23B72" w:rsidRDefault="00F23B7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2136F80" w14:textId="77777777" w:rsidR="00F23B72" w:rsidRDefault="00F23B7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EA938CC" w14:textId="77777777" w:rsidR="00F23B72" w:rsidRDefault="00F23B7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$14,100 </w:t>
            </w:r>
          </w:p>
        </w:tc>
      </w:tr>
      <w:tr w:rsidR="00F23B72" w14:paraId="7E407944" w14:textId="77777777" w:rsidTr="00F23B72">
        <w:trPr>
          <w:trHeight w:val="83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58CF95" w14:textId="77777777" w:rsidR="00F23B72" w:rsidRDefault="00F23B7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Direct Component Activity Status of Performance Report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B208ED2" w14:textId="77777777" w:rsidR="00F23B72" w:rsidRDefault="00F23B7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B140CB1" w14:textId="77777777" w:rsidR="00F23B72" w:rsidRDefault="00F23B7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B37CCA0" w14:textId="77777777" w:rsidR="00F23B72" w:rsidRDefault="00F23B7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94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6B1E64D" w14:textId="77777777" w:rsidR="00F23B72" w:rsidRDefault="00F23B7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1DCD916" w14:textId="77777777" w:rsidR="00F23B72" w:rsidRDefault="00F23B7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080F4E9" w14:textId="77777777" w:rsidR="00F23B72" w:rsidRDefault="00F23B7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$28,200 </w:t>
            </w:r>
          </w:p>
        </w:tc>
      </w:tr>
      <w:tr w:rsidR="00F23B72" w14:paraId="58667D53" w14:textId="77777777" w:rsidTr="00F23B72">
        <w:trPr>
          <w:trHeight w:val="112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7911C1" w14:textId="77777777" w:rsidR="00F23B72" w:rsidRDefault="00F23B7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Centers of Excellence Research Grants Program Activity Milestones Report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1AAC9BD" w14:textId="77777777" w:rsidR="00F23B72" w:rsidRDefault="00F23B7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00A5370" w14:textId="77777777" w:rsidR="00F23B72" w:rsidRDefault="00F23B7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72FF296" w14:textId="77777777" w:rsidR="00F23B72" w:rsidRDefault="00F23B7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57A4AEB" w14:textId="77777777" w:rsidR="00F23B72" w:rsidRDefault="00F23B7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F98FED4" w14:textId="77777777" w:rsidR="00F23B72" w:rsidRDefault="00F23B7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B74BC3E" w14:textId="77777777" w:rsidR="00F23B72" w:rsidRDefault="00F23B7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$1,500 </w:t>
            </w:r>
          </w:p>
        </w:tc>
      </w:tr>
      <w:tr w:rsidR="00F23B72" w14:paraId="2DA89BD4" w14:textId="77777777" w:rsidTr="00F23B72">
        <w:trPr>
          <w:trHeight w:val="112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E2BB15" w14:textId="77777777" w:rsidR="00F23B72" w:rsidRDefault="00F23B7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Centers of Excellence Research Grants Program Status of Performance Report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B2FFDFB" w14:textId="77777777" w:rsidR="00F23B72" w:rsidRDefault="00F23B7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B2F487F" w14:textId="77777777" w:rsidR="00F23B72" w:rsidRDefault="00F23B7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FFD0075" w14:textId="77777777" w:rsidR="00F23B72" w:rsidRDefault="00F23B7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8077DEA" w14:textId="77777777" w:rsidR="00F23B72" w:rsidRDefault="00F23B7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2766C20" w14:textId="77777777" w:rsidR="00F23B72" w:rsidRDefault="00F23B7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41ED39B" w14:textId="77777777" w:rsidR="00F23B72" w:rsidRDefault="00F23B7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$3,000 </w:t>
            </w:r>
          </w:p>
        </w:tc>
      </w:tr>
      <w:tr w:rsidR="00F23B72" w14:paraId="65974FD4" w14:textId="77777777" w:rsidTr="00F23B72">
        <w:trPr>
          <w:trHeight w:val="27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86EE889" w14:textId="77777777" w:rsidR="00F23B72" w:rsidRDefault="00F23B72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Total Reporting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1DBA56A" w14:textId="77777777" w:rsidR="00F23B72" w:rsidRDefault="00F23B72" w:rsidP="00F7779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2659E96" w14:textId="77777777" w:rsidR="00F23B72" w:rsidRDefault="00F23B7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F81BA7A" w14:textId="77777777" w:rsidR="00F23B72" w:rsidRDefault="00F23B7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331.5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EDBE04B" w14:textId="77777777" w:rsidR="00F23B72" w:rsidRDefault="00F23B7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2.840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4386E65" w14:textId="77777777" w:rsidR="00F23B72" w:rsidRDefault="00F23B7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942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3EFE7AA" w14:textId="77777777" w:rsidR="00F23B72" w:rsidRDefault="00F23B7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$141,225 </w:t>
            </w:r>
          </w:p>
        </w:tc>
      </w:tr>
      <w:tr w:rsidR="00F23B72" w14:paraId="6507F30D" w14:textId="77777777" w:rsidTr="00F23B72">
        <w:trPr>
          <w:trHeight w:val="13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DE6781" w14:textId="77777777" w:rsidR="00F23B72" w:rsidRDefault="00F23B7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35CADC" w14:textId="77777777" w:rsidR="00F23B72" w:rsidRDefault="00F23B7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B40B4D" w14:textId="77777777" w:rsidR="00F23B72" w:rsidRDefault="00F23B7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225759" w14:textId="77777777" w:rsidR="00F23B72" w:rsidRDefault="00F23B7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7DCB05" w14:textId="77777777" w:rsidR="00F23B72" w:rsidRDefault="00F23B7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E268EB" w14:textId="77777777" w:rsidR="00F23B72" w:rsidRDefault="00F23B7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DFBAA4" w14:textId="77777777" w:rsidR="00F23B72" w:rsidRDefault="00F23B7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F23B72" w14:paraId="44E79213" w14:textId="77777777" w:rsidTr="00F77798">
        <w:trPr>
          <w:trHeight w:val="1050"/>
        </w:trPr>
        <w:tc>
          <w:tcPr>
            <w:tcW w:w="2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D0432E1" w14:textId="77777777" w:rsidR="00F23B72" w:rsidRDefault="00F23B72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Recordkeeping </w:t>
            </w:r>
          </w:p>
        </w:tc>
        <w:tc>
          <w:tcPr>
            <w:tcW w:w="16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20D6EE" w14:textId="356EA8B1" w:rsidR="00F23B72" w:rsidRDefault="00F23B7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# Record</w:t>
            </w:r>
            <w:r w:rsidR="0058262E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keepers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E21F3B" w14:textId="77777777" w:rsidR="00F23B72" w:rsidRDefault="00F23B7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D5122B" w14:textId="77777777" w:rsidR="00F23B72" w:rsidRDefault="00F23B7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26DF80" w14:textId="77777777" w:rsidR="00F23B72" w:rsidRDefault="00F23B7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591036" w14:textId="77777777" w:rsidR="00F23B72" w:rsidRDefault="00F23B7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Total Burden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CFB1E0" w14:textId="77777777" w:rsidR="00F23B72" w:rsidRDefault="00F23B7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Cost to Respondent (@ $150 per hrs.)</w:t>
            </w:r>
          </w:p>
        </w:tc>
      </w:tr>
      <w:tr w:rsidR="00F23B72" w14:paraId="7D806633" w14:textId="77777777" w:rsidTr="00F77798">
        <w:trPr>
          <w:trHeight w:val="58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DBC97C" w14:textId="77777777" w:rsidR="00F23B72" w:rsidRDefault="00F23B7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Application - Direct Component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CD40B6" w14:textId="77777777" w:rsidR="00F23B72" w:rsidRDefault="00F23B7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1385579" w14:textId="77777777" w:rsidR="00F23B72" w:rsidRDefault="00F23B7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933B4C9" w14:textId="77777777" w:rsidR="00F23B72" w:rsidRDefault="00F23B7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FAB54D8" w14:textId="77777777" w:rsidR="00F23B72" w:rsidRDefault="00F23B7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AE2A36F" w14:textId="77777777" w:rsidR="00F23B72" w:rsidRDefault="00F23B7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4,700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3A49F4F" w14:textId="77777777" w:rsidR="00F23B72" w:rsidRDefault="00F23B7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$705,000 </w:t>
            </w:r>
          </w:p>
        </w:tc>
      </w:tr>
      <w:tr w:rsidR="00F23B72" w14:paraId="2DB21634" w14:textId="77777777" w:rsidTr="00F23B72">
        <w:trPr>
          <w:trHeight w:val="800"/>
        </w:trPr>
        <w:tc>
          <w:tcPr>
            <w:tcW w:w="2180" w:type="dxa"/>
            <w:tcBorders>
              <w:top w:val="nil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DD9DD3" w14:textId="77777777" w:rsidR="00F23B72" w:rsidRDefault="00F23B7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Application - Centers of Excellence Research Grants Program</w:t>
            </w:r>
          </w:p>
        </w:tc>
        <w:tc>
          <w:tcPr>
            <w:tcW w:w="1615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DFC85AF" w14:textId="77777777" w:rsidR="00F23B72" w:rsidRDefault="00F23B7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BA18935" w14:textId="77777777" w:rsidR="00F23B72" w:rsidRDefault="00F23B7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F1968AE" w14:textId="77777777" w:rsidR="00F23B72" w:rsidRDefault="00F23B7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CD1BE6B" w14:textId="77777777" w:rsidR="00F23B72" w:rsidRDefault="00F23B7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582D53B" w14:textId="77777777" w:rsidR="00F23B72" w:rsidRDefault="00F23B7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30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73B0169" w14:textId="77777777" w:rsidR="00F23B72" w:rsidRDefault="00F23B7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$75,000 </w:t>
            </w:r>
          </w:p>
        </w:tc>
      </w:tr>
      <w:tr w:rsidR="00F23B72" w14:paraId="5332C6CF" w14:textId="77777777" w:rsidTr="00F23B72">
        <w:trPr>
          <w:trHeight w:val="32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40A8283" w14:textId="77777777" w:rsidR="00F23B72" w:rsidRDefault="00F23B72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Total Recordkeeping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23DA937" w14:textId="77777777" w:rsidR="00F23B72" w:rsidRDefault="00F23B7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29183B6" w14:textId="77777777" w:rsidR="00F23B72" w:rsidRDefault="00F23B7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376CA10" w14:textId="77777777" w:rsidR="00F23B72" w:rsidRDefault="00F23B7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F32A5B2" w14:textId="77777777" w:rsidR="00F23B72" w:rsidRDefault="00F23B7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50B8E5C" w14:textId="77777777" w:rsidR="00F23B72" w:rsidRDefault="00F23B7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5,200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7611A18" w14:textId="77777777" w:rsidR="00F23B72" w:rsidRDefault="00F23B7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$780,000 </w:t>
            </w:r>
          </w:p>
        </w:tc>
      </w:tr>
      <w:tr w:rsidR="00F23B72" w14:paraId="324508BB" w14:textId="77777777" w:rsidTr="00F23B72">
        <w:trPr>
          <w:trHeight w:val="32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E01E6F6" w14:textId="77777777" w:rsidR="00F23B72" w:rsidRDefault="00F23B72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Total Burden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A065D90" w14:textId="77777777" w:rsidR="00F23B72" w:rsidRDefault="00F23B7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14009E5" w14:textId="77777777" w:rsidR="00F23B72" w:rsidRDefault="00F23B7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0C872F5" w14:textId="77777777" w:rsidR="00F23B72" w:rsidRDefault="00F23B7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383.5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4EECF89" w14:textId="77777777" w:rsidR="00F23B72" w:rsidRDefault="00F23B7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16.0143416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89C8CE4" w14:textId="77777777" w:rsidR="00F23B72" w:rsidRDefault="00F23B7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B3675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6,142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8D5EF2B" w14:textId="77777777" w:rsidR="00F23B72" w:rsidRDefault="00F23B7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$921,225 </w:t>
            </w:r>
          </w:p>
        </w:tc>
      </w:tr>
    </w:tbl>
    <w:p w14:paraId="1D6CCC0C" w14:textId="77777777" w:rsidR="005A1476" w:rsidRDefault="005A1476"/>
    <w:p w14:paraId="3822291A" w14:textId="08EFE02E" w:rsidR="00FB7F1C" w:rsidRPr="00C9704D" w:rsidRDefault="00E13A9C" w:rsidP="00B36755">
      <w:pPr>
        <w:keepNext/>
        <w:rPr>
          <w:b/>
        </w:rPr>
      </w:pPr>
      <w:r>
        <w:rPr>
          <w:b/>
        </w:rPr>
        <w:br w:type="page"/>
      </w:r>
      <w:r w:rsidR="00961823" w:rsidRPr="00B36755">
        <w:rPr>
          <w:b/>
        </w:rPr>
        <w:lastRenderedPageBreak/>
        <w:t xml:space="preserve">13.  </w:t>
      </w:r>
      <w:r w:rsidR="00961823" w:rsidRPr="00B36755">
        <w:rPr>
          <w:b/>
          <w:u w:val="single"/>
        </w:rPr>
        <w:t>Estimated total annual cost burden to respondents</w:t>
      </w:r>
      <w:r w:rsidR="00FB7F1C" w:rsidRPr="00C9704D">
        <w:rPr>
          <w:b/>
          <w:u w:val="single"/>
        </w:rPr>
        <w:t> </w:t>
      </w:r>
      <w:r w:rsidR="00FB7F1C" w:rsidRPr="00C9704D">
        <w:rPr>
          <w:b/>
        </w:rPr>
        <w:t> </w:t>
      </w:r>
    </w:p>
    <w:p w14:paraId="118FAE07" w14:textId="77777777" w:rsidR="00403DA0" w:rsidRDefault="00403DA0" w:rsidP="00CB003A"/>
    <w:p w14:paraId="2B1F34FA" w14:textId="286CB085" w:rsidR="004B7407" w:rsidRDefault="004B7407" w:rsidP="00B36755">
      <w:r w:rsidRPr="00BC1BAC">
        <w:t xml:space="preserve">There </w:t>
      </w:r>
      <w:r w:rsidR="00A10CD2">
        <w:t>are</w:t>
      </w:r>
      <w:r w:rsidR="00E13A9C">
        <w:t xml:space="preserve"> </w:t>
      </w:r>
      <w:r w:rsidRPr="00BC1BAC">
        <w:t xml:space="preserve">no annualized capital/startup costs for the </w:t>
      </w:r>
      <w:r w:rsidR="00302265">
        <w:t xml:space="preserve">eligible recipients </w:t>
      </w:r>
      <w:r w:rsidRPr="00BC1BAC">
        <w:t>to provide this information</w:t>
      </w:r>
      <w:r w:rsidR="00302265">
        <w:t xml:space="preserve"> collection.</w:t>
      </w:r>
      <w:r w:rsidR="00302265" w:rsidRPr="00302265">
        <w:t xml:space="preserve">  Receiving grant awards under the RESTORE Act specifically does not require grantees to incur startup costs beyond those costs generally associated with receiving federal financial assistance.</w:t>
      </w:r>
      <w:r w:rsidR="001374B1">
        <w:t xml:space="preserve">  </w:t>
      </w:r>
    </w:p>
    <w:p w14:paraId="67403362" w14:textId="77777777" w:rsidR="00BC1BAC" w:rsidRDefault="00BC1BAC" w:rsidP="00CB003A"/>
    <w:p w14:paraId="3DF2F5DD" w14:textId="77777777" w:rsidR="00E13A9C" w:rsidRDefault="00E13A9C" w:rsidP="00CB003A"/>
    <w:p w14:paraId="25002B44" w14:textId="77777777" w:rsidR="00961823" w:rsidRPr="00C9704D" w:rsidRDefault="00961823" w:rsidP="00181F21">
      <w:pPr>
        <w:ind w:firstLine="360"/>
        <w:rPr>
          <w:b/>
        </w:rPr>
      </w:pPr>
      <w:r w:rsidRPr="00C9704D">
        <w:rPr>
          <w:b/>
        </w:rPr>
        <w:t xml:space="preserve">14.  </w:t>
      </w:r>
      <w:r w:rsidRPr="00C9704D">
        <w:rPr>
          <w:b/>
          <w:u w:val="single"/>
        </w:rPr>
        <w:t>Estimated cost to the federal government</w:t>
      </w:r>
      <w:r w:rsidRPr="00C9704D">
        <w:rPr>
          <w:b/>
        </w:rPr>
        <w:t>.</w:t>
      </w:r>
    </w:p>
    <w:p w14:paraId="1288A26D" w14:textId="77777777" w:rsidR="00961823" w:rsidRPr="00AA65FC" w:rsidRDefault="00961823" w:rsidP="00CB003A"/>
    <w:p w14:paraId="1ECBF775" w14:textId="77777777" w:rsidR="00961823" w:rsidRPr="00110D39" w:rsidRDefault="00802F36" w:rsidP="00CB003A">
      <w:r>
        <w:t>There are no additional costs incurred to the government as a result of implementing the information collection</w:t>
      </w:r>
      <w:r w:rsidR="00BA5A05" w:rsidRPr="00110D39">
        <w:t xml:space="preserve">.  </w:t>
      </w:r>
    </w:p>
    <w:p w14:paraId="11E0FE67" w14:textId="77777777" w:rsidR="00AA65FC" w:rsidRDefault="00AA65FC" w:rsidP="00CB003A"/>
    <w:p w14:paraId="2CCEF5C1" w14:textId="77777777" w:rsidR="00E13A9C" w:rsidRPr="00110D39" w:rsidRDefault="00E13A9C" w:rsidP="00CB003A"/>
    <w:p w14:paraId="7F8C600C" w14:textId="77777777" w:rsidR="00961823" w:rsidRPr="00C9704D" w:rsidRDefault="00961823" w:rsidP="00666B6D">
      <w:pPr>
        <w:keepNext/>
        <w:ind w:firstLine="360"/>
        <w:rPr>
          <w:b/>
        </w:rPr>
      </w:pPr>
      <w:r w:rsidRPr="00B36755">
        <w:rPr>
          <w:b/>
        </w:rPr>
        <w:t xml:space="preserve">15.  </w:t>
      </w:r>
      <w:r w:rsidRPr="00B36755">
        <w:rPr>
          <w:b/>
          <w:u w:val="single"/>
        </w:rPr>
        <w:t>Reasons for change in burden</w:t>
      </w:r>
    </w:p>
    <w:p w14:paraId="474DBA20" w14:textId="77777777" w:rsidR="00961823" w:rsidRPr="0025604D" w:rsidRDefault="00961823" w:rsidP="00666B6D">
      <w:pPr>
        <w:keepNext/>
      </w:pPr>
    </w:p>
    <w:p w14:paraId="0BEA2A94" w14:textId="1E0BF91F" w:rsidR="00156E23" w:rsidRPr="0025604D" w:rsidRDefault="00114490" w:rsidP="00CB003A">
      <w:r>
        <w:t>T</w:t>
      </w:r>
      <w:r w:rsidR="005A1476">
        <w:t>he total burden is</w:t>
      </w:r>
      <w:r w:rsidR="00BB766F">
        <w:t xml:space="preserve"> </w:t>
      </w:r>
      <w:r>
        <w:t>6,</w:t>
      </w:r>
      <w:r w:rsidR="00BB766F">
        <w:t>142 hours</w:t>
      </w:r>
      <w:r w:rsidR="00A10CD2">
        <w:t>, 722 hours less than the</w:t>
      </w:r>
      <w:r w:rsidR="00BB766F">
        <w:t xml:space="preserve"> </w:t>
      </w:r>
      <w:r>
        <w:t>August 2014 initial estimate</w:t>
      </w:r>
      <w:r w:rsidR="00A10CD2">
        <w:t xml:space="preserve"> of</w:t>
      </w:r>
      <w:r>
        <w:t xml:space="preserve"> </w:t>
      </w:r>
      <w:r w:rsidR="00BB766F">
        <w:t>6,864 hours.</w:t>
      </w:r>
      <w:r w:rsidR="00A10CD2">
        <w:t xml:space="preserve">  Treasury attributes this reduction to (1) </w:t>
      </w:r>
      <w:r w:rsidR="00302265">
        <w:t>r</w:t>
      </w:r>
      <w:r w:rsidR="00A10CD2">
        <w:t xml:space="preserve">evisions Treasury made </w:t>
      </w:r>
      <w:r w:rsidR="00BB766F">
        <w:t>to the</w:t>
      </w:r>
      <w:r w:rsidR="00802F36">
        <w:t xml:space="preserve"> </w:t>
      </w:r>
      <w:r w:rsidR="00A10CD2">
        <w:t xml:space="preserve">grant application form; (2) Treasury’s provision of </w:t>
      </w:r>
      <w:r w:rsidR="00BB766F">
        <w:t>more detailed instructions</w:t>
      </w:r>
      <w:r>
        <w:t xml:space="preserve"> </w:t>
      </w:r>
      <w:r w:rsidR="00A10CD2">
        <w:t xml:space="preserve">for completing reports </w:t>
      </w:r>
      <w:r w:rsidR="00302265">
        <w:t xml:space="preserve">to eligible </w:t>
      </w:r>
      <w:r w:rsidR="00A10CD2">
        <w:t>recipients; and (3) grant recipients</w:t>
      </w:r>
      <w:r>
        <w:t xml:space="preserve"> </w:t>
      </w:r>
      <w:r w:rsidR="001D4D0C">
        <w:t>gaining familiarity with</w:t>
      </w:r>
      <w:r>
        <w:t xml:space="preserve"> </w:t>
      </w:r>
      <w:r w:rsidR="00302265">
        <w:t xml:space="preserve">the </w:t>
      </w:r>
      <w:r w:rsidR="00A10CD2">
        <w:t xml:space="preserve">RESTORE </w:t>
      </w:r>
      <w:r>
        <w:t xml:space="preserve">Act </w:t>
      </w:r>
      <w:r w:rsidR="001D4D0C">
        <w:t xml:space="preserve">and </w:t>
      </w:r>
      <w:r>
        <w:t>Federal laws and policies</w:t>
      </w:r>
      <w:r w:rsidR="00302265">
        <w:t xml:space="preserve"> on grants</w:t>
      </w:r>
      <w:r w:rsidR="001D4D0C">
        <w:t>.</w:t>
      </w:r>
    </w:p>
    <w:p w14:paraId="31703826" w14:textId="77777777" w:rsidR="00403DA0" w:rsidRDefault="00403DA0" w:rsidP="00CB003A"/>
    <w:p w14:paraId="1AB6B81E" w14:textId="77777777" w:rsidR="00E13A9C" w:rsidRPr="0025604D" w:rsidRDefault="00E13A9C" w:rsidP="00CB003A"/>
    <w:p w14:paraId="3926CF1D" w14:textId="77777777" w:rsidR="00961823" w:rsidRPr="00C9704D" w:rsidRDefault="00961823" w:rsidP="00181F21">
      <w:pPr>
        <w:keepNext/>
        <w:ind w:firstLine="360"/>
        <w:rPr>
          <w:b/>
        </w:rPr>
      </w:pPr>
      <w:r w:rsidRPr="00C9704D">
        <w:rPr>
          <w:b/>
        </w:rPr>
        <w:t xml:space="preserve">16.  </w:t>
      </w:r>
      <w:r w:rsidRPr="00C9704D">
        <w:rPr>
          <w:b/>
          <w:u w:val="single"/>
        </w:rPr>
        <w:t>Plans for tabulation, statistical analysis</w:t>
      </w:r>
      <w:r w:rsidR="00A2596F" w:rsidRPr="00C9704D">
        <w:rPr>
          <w:b/>
          <w:u w:val="single"/>
        </w:rPr>
        <w:t xml:space="preserve"> and publication</w:t>
      </w:r>
    </w:p>
    <w:p w14:paraId="20E4660D" w14:textId="77777777" w:rsidR="00A2596F" w:rsidRPr="00C9704D" w:rsidRDefault="00A2596F" w:rsidP="00CB003A"/>
    <w:p w14:paraId="752BC461" w14:textId="77777777" w:rsidR="00A2596F" w:rsidRPr="00C9704D" w:rsidRDefault="00D97B1A" w:rsidP="00DA5F5B">
      <w:r>
        <w:t xml:space="preserve">There are no plans for publication.  </w:t>
      </w:r>
      <w:r w:rsidR="00BA5A05" w:rsidRPr="00C9704D">
        <w:t xml:space="preserve">The Treasury Department will conduct numerous types of analysis on these data.  </w:t>
      </w:r>
      <w:r w:rsidR="0064314F" w:rsidRPr="00C9704D">
        <w:t xml:space="preserve">These analyses will include assessments of </w:t>
      </w:r>
      <w:r w:rsidR="00B64EA2">
        <w:t xml:space="preserve">eligibility and </w:t>
      </w:r>
      <w:r w:rsidR="0064314F" w:rsidRPr="00C9704D">
        <w:t>effectiveness of program</w:t>
      </w:r>
      <w:r w:rsidR="00B64EA2">
        <w:t xml:space="preserve"> activi</w:t>
      </w:r>
      <w:r w:rsidR="001819B9">
        <w:t>ti</w:t>
      </w:r>
      <w:r w:rsidR="00B64EA2">
        <w:t>es</w:t>
      </w:r>
      <w:r w:rsidR="0064314F" w:rsidRPr="00C9704D">
        <w:t xml:space="preserve"> (e.g. </w:t>
      </w:r>
      <w:r w:rsidR="00CF2CA4">
        <w:t>types of activities</w:t>
      </w:r>
      <w:r w:rsidR="0064314F" w:rsidRPr="00C9704D">
        <w:t xml:space="preserve">, </w:t>
      </w:r>
      <w:r w:rsidR="00860267" w:rsidRPr="00C9704D">
        <w:t>amounts funded</w:t>
      </w:r>
      <w:r w:rsidR="005D099C" w:rsidRPr="00C9704D">
        <w:t>)</w:t>
      </w:r>
      <w:r w:rsidR="0064314F" w:rsidRPr="00C9704D">
        <w:t xml:space="preserve"> as well as compliance checks.  </w:t>
      </w:r>
      <w:r w:rsidR="00256911" w:rsidRPr="00C9704D">
        <w:t xml:space="preserve"> </w:t>
      </w:r>
    </w:p>
    <w:p w14:paraId="2B19BE44" w14:textId="77777777" w:rsidR="00A2596F" w:rsidRDefault="00A2596F" w:rsidP="00CB003A"/>
    <w:p w14:paraId="6EC229EB" w14:textId="77777777" w:rsidR="00E13A9C" w:rsidRDefault="00E13A9C" w:rsidP="00CB003A"/>
    <w:p w14:paraId="15A5084E" w14:textId="77777777" w:rsidR="00A2596F" w:rsidRPr="00C9704D" w:rsidRDefault="00A2596F" w:rsidP="00181F21">
      <w:pPr>
        <w:ind w:firstLine="360"/>
        <w:rPr>
          <w:b/>
        </w:rPr>
      </w:pPr>
      <w:r w:rsidRPr="00C9704D">
        <w:rPr>
          <w:b/>
        </w:rPr>
        <w:t xml:space="preserve">17.  </w:t>
      </w:r>
      <w:r w:rsidRPr="00C9704D">
        <w:rPr>
          <w:b/>
          <w:u w:val="single"/>
        </w:rPr>
        <w:t>Reasons why displaying the OMB expiration date is inappropriate</w:t>
      </w:r>
    </w:p>
    <w:p w14:paraId="773C4464" w14:textId="77777777" w:rsidR="00A2596F" w:rsidRPr="0025604D" w:rsidRDefault="00A2596F" w:rsidP="00CB003A"/>
    <w:p w14:paraId="5E18A909" w14:textId="77777777" w:rsidR="00A2596F" w:rsidRPr="000C3C83" w:rsidRDefault="006B47EB" w:rsidP="006B22D1">
      <w:r>
        <w:t>Display of the expiration date may be confusing to respondents.  Non-display of expiration date is requested.</w:t>
      </w:r>
    </w:p>
    <w:p w14:paraId="7319B015" w14:textId="77777777" w:rsidR="00403DA0" w:rsidRDefault="00403DA0" w:rsidP="00CB003A"/>
    <w:p w14:paraId="29CF001A" w14:textId="77777777" w:rsidR="00E13A9C" w:rsidRPr="0025604D" w:rsidRDefault="00E13A9C" w:rsidP="00CB003A"/>
    <w:p w14:paraId="3B851276" w14:textId="77777777" w:rsidR="004B7407" w:rsidRPr="004B7407" w:rsidRDefault="004B7407" w:rsidP="004B7407">
      <w:pPr>
        <w:ind w:firstLine="360"/>
        <w:rPr>
          <w:b/>
        </w:rPr>
      </w:pPr>
      <w:r w:rsidRPr="004B7407">
        <w:rPr>
          <w:b/>
        </w:rPr>
        <w:t>1</w:t>
      </w:r>
      <w:r w:rsidR="00D97B1A">
        <w:rPr>
          <w:b/>
        </w:rPr>
        <w:t>8</w:t>
      </w:r>
      <w:r w:rsidRPr="004B7407">
        <w:rPr>
          <w:b/>
        </w:rPr>
        <w:t xml:space="preserve">. </w:t>
      </w:r>
      <w:r>
        <w:rPr>
          <w:b/>
        </w:rPr>
        <w:t xml:space="preserve"> </w:t>
      </w:r>
      <w:r>
        <w:rPr>
          <w:b/>
          <w:u w:val="single"/>
        </w:rPr>
        <w:t>Exceptions to c</w:t>
      </w:r>
      <w:r w:rsidR="00D97B1A">
        <w:rPr>
          <w:b/>
          <w:u w:val="single"/>
        </w:rPr>
        <w:t>er</w:t>
      </w:r>
      <w:r>
        <w:rPr>
          <w:b/>
          <w:u w:val="single"/>
        </w:rPr>
        <w:t>tifica</w:t>
      </w:r>
      <w:r w:rsidR="00D97B1A">
        <w:rPr>
          <w:b/>
          <w:u w:val="single"/>
        </w:rPr>
        <w:t>ti</w:t>
      </w:r>
      <w:r>
        <w:rPr>
          <w:b/>
          <w:u w:val="single"/>
        </w:rPr>
        <w:t>on requirement</w:t>
      </w:r>
    </w:p>
    <w:p w14:paraId="7B2203DE" w14:textId="77777777" w:rsidR="004B7407" w:rsidRDefault="004B7407" w:rsidP="00A90BAB"/>
    <w:p w14:paraId="62FB5508" w14:textId="77777777" w:rsidR="00156E23" w:rsidRPr="0025604D" w:rsidRDefault="008D0548" w:rsidP="00A90BAB">
      <w:r>
        <w:t>T</w:t>
      </w:r>
      <w:r w:rsidR="000E1F44" w:rsidRPr="0025604D">
        <w:t>here are no exceptions to the certification statement.</w:t>
      </w:r>
    </w:p>
    <w:sectPr w:rsidR="00156E23" w:rsidRPr="0025604D" w:rsidSect="00512B62"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6CA5FE" w14:textId="77777777" w:rsidR="00CE78C0" w:rsidRDefault="00CE78C0">
      <w:r>
        <w:separator/>
      </w:r>
    </w:p>
  </w:endnote>
  <w:endnote w:type="continuationSeparator" w:id="0">
    <w:p w14:paraId="3961401F" w14:textId="77777777" w:rsidR="00CE78C0" w:rsidRDefault="00CE7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F9F7A2" w14:textId="77777777" w:rsidR="009F5937" w:rsidRDefault="009F5937" w:rsidP="0010555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69DF8FD" w14:textId="77777777" w:rsidR="009F5937" w:rsidRDefault="009F593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927319" w14:textId="77777777" w:rsidR="009F5937" w:rsidRDefault="009F5937" w:rsidP="0010555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86BF1">
      <w:rPr>
        <w:rStyle w:val="PageNumber"/>
        <w:noProof/>
      </w:rPr>
      <w:t>6</w:t>
    </w:r>
    <w:r>
      <w:rPr>
        <w:rStyle w:val="PageNumber"/>
      </w:rPr>
      <w:fldChar w:fldCharType="end"/>
    </w:r>
  </w:p>
  <w:p w14:paraId="23564D57" w14:textId="77777777" w:rsidR="009F5937" w:rsidRDefault="009F593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E60049" w14:textId="77777777" w:rsidR="00CE78C0" w:rsidRDefault="00CE78C0">
      <w:r>
        <w:separator/>
      </w:r>
    </w:p>
  </w:footnote>
  <w:footnote w:type="continuationSeparator" w:id="0">
    <w:p w14:paraId="2B406BE9" w14:textId="77777777" w:rsidR="00CE78C0" w:rsidRDefault="00CE78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71E9F"/>
    <w:multiLevelType w:val="hybridMultilevel"/>
    <w:tmpl w:val="CE3C90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397529"/>
    <w:multiLevelType w:val="hybridMultilevel"/>
    <w:tmpl w:val="1EB8F01E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4325482"/>
    <w:multiLevelType w:val="hybridMultilevel"/>
    <w:tmpl w:val="2DC4065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5740C24"/>
    <w:multiLevelType w:val="hybridMultilevel"/>
    <w:tmpl w:val="6CC6634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FD364FF"/>
    <w:multiLevelType w:val="hybridMultilevel"/>
    <w:tmpl w:val="9BACBC18"/>
    <w:lvl w:ilvl="0" w:tplc="9DD457E4">
      <w:start w:val="1"/>
      <w:numFmt w:val="decimal"/>
      <w:lvlText w:val="(%1)"/>
      <w:lvlJc w:val="righ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0CCE8F06">
      <w:start w:val="2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  <w:u w:val="single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7CF341C"/>
    <w:multiLevelType w:val="hybridMultilevel"/>
    <w:tmpl w:val="5DDACAAE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9E40D9F"/>
    <w:multiLevelType w:val="hybridMultilevel"/>
    <w:tmpl w:val="A346368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D273B6D"/>
    <w:multiLevelType w:val="hybridMultilevel"/>
    <w:tmpl w:val="81F89D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CCE8F06">
      <w:start w:val="2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  <w:u w:val="single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4AA7A5E"/>
    <w:multiLevelType w:val="hybridMultilevel"/>
    <w:tmpl w:val="DE6A2BA4"/>
    <w:lvl w:ilvl="0" w:tplc="9DD457E4">
      <w:start w:val="1"/>
      <w:numFmt w:val="decimal"/>
      <w:lvlText w:val="(%1)"/>
      <w:lvlJc w:val="right"/>
      <w:pPr>
        <w:ind w:left="720" w:hanging="360"/>
      </w:pPr>
      <w:rPr>
        <w:rFonts w:hint="default"/>
        <w:b w:val="0"/>
      </w:rPr>
    </w:lvl>
    <w:lvl w:ilvl="1" w:tplc="982C6084">
      <w:numFmt w:val="bullet"/>
      <w:lvlText w:val="•"/>
      <w:lvlJc w:val="left"/>
      <w:pPr>
        <w:ind w:left="1800" w:hanging="72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524FFC"/>
    <w:multiLevelType w:val="hybridMultilevel"/>
    <w:tmpl w:val="E0F2369E"/>
    <w:lvl w:ilvl="0" w:tplc="04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C80018C"/>
    <w:multiLevelType w:val="hybridMultilevel"/>
    <w:tmpl w:val="76E2302C"/>
    <w:lvl w:ilvl="0" w:tplc="04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CCC655F"/>
    <w:multiLevelType w:val="hybridMultilevel"/>
    <w:tmpl w:val="86E21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99316C5"/>
    <w:multiLevelType w:val="hybridMultilevel"/>
    <w:tmpl w:val="A814A2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48A58CB"/>
    <w:multiLevelType w:val="hybridMultilevel"/>
    <w:tmpl w:val="CB2E28FE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5293300"/>
    <w:multiLevelType w:val="hybridMultilevel"/>
    <w:tmpl w:val="3CCE3D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6A05313"/>
    <w:multiLevelType w:val="hybridMultilevel"/>
    <w:tmpl w:val="3E62A118"/>
    <w:lvl w:ilvl="0" w:tplc="B080AEBE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7223731"/>
    <w:multiLevelType w:val="hybridMultilevel"/>
    <w:tmpl w:val="6F48BA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C5466C4"/>
    <w:multiLevelType w:val="hybridMultilevel"/>
    <w:tmpl w:val="D6DEBB8C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3"/>
  </w:num>
  <w:num w:numId="3">
    <w:abstractNumId w:val="17"/>
  </w:num>
  <w:num w:numId="4">
    <w:abstractNumId w:val="6"/>
  </w:num>
  <w:num w:numId="5">
    <w:abstractNumId w:val="16"/>
  </w:num>
  <w:num w:numId="6">
    <w:abstractNumId w:val="5"/>
  </w:num>
  <w:num w:numId="7">
    <w:abstractNumId w:val="1"/>
  </w:num>
  <w:num w:numId="8">
    <w:abstractNumId w:val="10"/>
  </w:num>
  <w:num w:numId="9">
    <w:abstractNumId w:val="9"/>
  </w:num>
  <w:num w:numId="10">
    <w:abstractNumId w:val="12"/>
  </w:num>
  <w:num w:numId="11">
    <w:abstractNumId w:val="2"/>
  </w:num>
  <w:num w:numId="12">
    <w:abstractNumId w:val="7"/>
  </w:num>
  <w:num w:numId="13">
    <w:abstractNumId w:val="11"/>
  </w:num>
  <w:num w:numId="14">
    <w:abstractNumId w:val="14"/>
  </w:num>
  <w:num w:numId="15">
    <w:abstractNumId w:val="0"/>
  </w:num>
  <w:num w:numId="16">
    <w:abstractNumId w:val="8"/>
  </w:num>
  <w:num w:numId="17">
    <w:abstractNumId w:val="15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0861"/>
    <w:rsid w:val="000047C3"/>
    <w:rsid w:val="000105BD"/>
    <w:rsid w:val="000141C3"/>
    <w:rsid w:val="0001560A"/>
    <w:rsid w:val="00017845"/>
    <w:rsid w:val="000204E2"/>
    <w:rsid w:val="00021D40"/>
    <w:rsid w:val="00022F56"/>
    <w:rsid w:val="00032DA3"/>
    <w:rsid w:val="00053EBD"/>
    <w:rsid w:val="00062B59"/>
    <w:rsid w:val="00073704"/>
    <w:rsid w:val="000762A9"/>
    <w:rsid w:val="00090033"/>
    <w:rsid w:val="000B0264"/>
    <w:rsid w:val="000C1553"/>
    <w:rsid w:val="000C3C83"/>
    <w:rsid w:val="000C7031"/>
    <w:rsid w:val="000E07A3"/>
    <w:rsid w:val="000E1D60"/>
    <w:rsid w:val="000E1F44"/>
    <w:rsid w:val="000E24F5"/>
    <w:rsid w:val="000F2AE6"/>
    <w:rsid w:val="000F53C2"/>
    <w:rsid w:val="001022FC"/>
    <w:rsid w:val="00105553"/>
    <w:rsid w:val="00106A18"/>
    <w:rsid w:val="00110D39"/>
    <w:rsid w:val="001110E6"/>
    <w:rsid w:val="00112D71"/>
    <w:rsid w:val="001139DB"/>
    <w:rsid w:val="00113C21"/>
    <w:rsid w:val="00114490"/>
    <w:rsid w:val="00122583"/>
    <w:rsid w:val="001374B1"/>
    <w:rsid w:val="0013796F"/>
    <w:rsid w:val="00146E55"/>
    <w:rsid w:val="00147A26"/>
    <w:rsid w:val="00156E23"/>
    <w:rsid w:val="00161711"/>
    <w:rsid w:val="001648D5"/>
    <w:rsid w:val="00165343"/>
    <w:rsid w:val="00166F8F"/>
    <w:rsid w:val="00170A86"/>
    <w:rsid w:val="00171230"/>
    <w:rsid w:val="001742C4"/>
    <w:rsid w:val="00174A47"/>
    <w:rsid w:val="001819B9"/>
    <w:rsid w:val="001819F2"/>
    <w:rsid w:val="00181F21"/>
    <w:rsid w:val="0018375D"/>
    <w:rsid w:val="00186409"/>
    <w:rsid w:val="00187672"/>
    <w:rsid w:val="001945CA"/>
    <w:rsid w:val="001A1B5B"/>
    <w:rsid w:val="001A71B7"/>
    <w:rsid w:val="001A7272"/>
    <w:rsid w:val="001B591E"/>
    <w:rsid w:val="001D4D0C"/>
    <w:rsid w:val="001E0C02"/>
    <w:rsid w:val="001E4BCF"/>
    <w:rsid w:val="001F31FB"/>
    <w:rsid w:val="0022132A"/>
    <w:rsid w:val="00225E39"/>
    <w:rsid w:val="00237FAA"/>
    <w:rsid w:val="0024000F"/>
    <w:rsid w:val="002465AC"/>
    <w:rsid w:val="00252599"/>
    <w:rsid w:val="002551F6"/>
    <w:rsid w:val="0025604D"/>
    <w:rsid w:val="00256911"/>
    <w:rsid w:val="00260CEB"/>
    <w:rsid w:val="00271992"/>
    <w:rsid w:val="00275D84"/>
    <w:rsid w:val="00276E84"/>
    <w:rsid w:val="00277F1D"/>
    <w:rsid w:val="0028499E"/>
    <w:rsid w:val="002920BD"/>
    <w:rsid w:val="00293974"/>
    <w:rsid w:val="002B6FA7"/>
    <w:rsid w:val="002C1CB0"/>
    <w:rsid w:val="002C2A5D"/>
    <w:rsid w:val="002C3FA6"/>
    <w:rsid w:val="002D268B"/>
    <w:rsid w:val="002E4398"/>
    <w:rsid w:val="002F2729"/>
    <w:rsid w:val="002F4085"/>
    <w:rsid w:val="00302265"/>
    <w:rsid w:val="00314168"/>
    <w:rsid w:val="003265D6"/>
    <w:rsid w:val="003506E7"/>
    <w:rsid w:val="00365005"/>
    <w:rsid w:val="00370853"/>
    <w:rsid w:val="00380639"/>
    <w:rsid w:val="00390A50"/>
    <w:rsid w:val="00394A61"/>
    <w:rsid w:val="003A0E21"/>
    <w:rsid w:val="003A59D2"/>
    <w:rsid w:val="003B6624"/>
    <w:rsid w:val="003B792F"/>
    <w:rsid w:val="003C068B"/>
    <w:rsid w:val="003C1AB8"/>
    <w:rsid w:val="003E59BE"/>
    <w:rsid w:val="003F3118"/>
    <w:rsid w:val="003F59C0"/>
    <w:rsid w:val="00403DA0"/>
    <w:rsid w:val="004063EA"/>
    <w:rsid w:val="00406DAA"/>
    <w:rsid w:val="0044510E"/>
    <w:rsid w:val="00460B20"/>
    <w:rsid w:val="00474021"/>
    <w:rsid w:val="00475731"/>
    <w:rsid w:val="0048426A"/>
    <w:rsid w:val="004A7CC6"/>
    <w:rsid w:val="004B06B5"/>
    <w:rsid w:val="004B0AEF"/>
    <w:rsid w:val="004B1400"/>
    <w:rsid w:val="004B32A0"/>
    <w:rsid w:val="004B7407"/>
    <w:rsid w:val="004E3665"/>
    <w:rsid w:val="004E6996"/>
    <w:rsid w:val="004F09CA"/>
    <w:rsid w:val="004F5145"/>
    <w:rsid w:val="004F79CC"/>
    <w:rsid w:val="00512B62"/>
    <w:rsid w:val="0052662E"/>
    <w:rsid w:val="00534EA9"/>
    <w:rsid w:val="00535AD0"/>
    <w:rsid w:val="005366FC"/>
    <w:rsid w:val="0054191E"/>
    <w:rsid w:val="005678EC"/>
    <w:rsid w:val="00572D2C"/>
    <w:rsid w:val="005744E4"/>
    <w:rsid w:val="00577B83"/>
    <w:rsid w:val="0058262E"/>
    <w:rsid w:val="00586BF1"/>
    <w:rsid w:val="00587447"/>
    <w:rsid w:val="00587D50"/>
    <w:rsid w:val="00597B8E"/>
    <w:rsid w:val="005A1476"/>
    <w:rsid w:val="005A1D4B"/>
    <w:rsid w:val="005A5C1B"/>
    <w:rsid w:val="005B4124"/>
    <w:rsid w:val="005C533B"/>
    <w:rsid w:val="005C7887"/>
    <w:rsid w:val="005D099C"/>
    <w:rsid w:val="005E5A57"/>
    <w:rsid w:val="0060168D"/>
    <w:rsid w:val="006049CB"/>
    <w:rsid w:val="00610580"/>
    <w:rsid w:val="00612025"/>
    <w:rsid w:val="006137E1"/>
    <w:rsid w:val="00616A24"/>
    <w:rsid w:val="0063065F"/>
    <w:rsid w:val="00633442"/>
    <w:rsid w:val="0064051D"/>
    <w:rsid w:val="0064314F"/>
    <w:rsid w:val="006536E9"/>
    <w:rsid w:val="00666B6D"/>
    <w:rsid w:val="006678F4"/>
    <w:rsid w:val="00680A45"/>
    <w:rsid w:val="00681FB6"/>
    <w:rsid w:val="00685C0A"/>
    <w:rsid w:val="00686C1F"/>
    <w:rsid w:val="006929AD"/>
    <w:rsid w:val="006B22D1"/>
    <w:rsid w:val="006B3E5B"/>
    <w:rsid w:val="006B47EB"/>
    <w:rsid w:val="006B6DF9"/>
    <w:rsid w:val="006C101A"/>
    <w:rsid w:val="006E02EB"/>
    <w:rsid w:val="006F02DD"/>
    <w:rsid w:val="00707BDE"/>
    <w:rsid w:val="0072166B"/>
    <w:rsid w:val="007313DF"/>
    <w:rsid w:val="00741F3C"/>
    <w:rsid w:val="00744AC4"/>
    <w:rsid w:val="00756FAF"/>
    <w:rsid w:val="007614AA"/>
    <w:rsid w:val="00764D4B"/>
    <w:rsid w:val="00775C08"/>
    <w:rsid w:val="00780878"/>
    <w:rsid w:val="00781EF6"/>
    <w:rsid w:val="00786629"/>
    <w:rsid w:val="00795CCA"/>
    <w:rsid w:val="00795EFD"/>
    <w:rsid w:val="00797276"/>
    <w:rsid w:val="007A0410"/>
    <w:rsid w:val="007E596A"/>
    <w:rsid w:val="007E69B3"/>
    <w:rsid w:val="007F0335"/>
    <w:rsid w:val="007F0AC9"/>
    <w:rsid w:val="00802F36"/>
    <w:rsid w:val="00810E73"/>
    <w:rsid w:val="00811E1F"/>
    <w:rsid w:val="00821205"/>
    <w:rsid w:val="00856DD0"/>
    <w:rsid w:val="00860267"/>
    <w:rsid w:val="00861BDE"/>
    <w:rsid w:val="0087613A"/>
    <w:rsid w:val="008821EF"/>
    <w:rsid w:val="00891D3E"/>
    <w:rsid w:val="00896327"/>
    <w:rsid w:val="008A5AEA"/>
    <w:rsid w:val="008B64D0"/>
    <w:rsid w:val="008B7CB1"/>
    <w:rsid w:val="008C31DD"/>
    <w:rsid w:val="008D0548"/>
    <w:rsid w:val="008D211C"/>
    <w:rsid w:val="008D6002"/>
    <w:rsid w:val="00907541"/>
    <w:rsid w:val="00913A34"/>
    <w:rsid w:val="009175C3"/>
    <w:rsid w:val="00921EA8"/>
    <w:rsid w:val="009259D5"/>
    <w:rsid w:val="00940B2A"/>
    <w:rsid w:val="00950A9E"/>
    <w:rsid w:val="00953166"/>
    <w:rsid w:val="00960D41"/>
    <w:rsid w:val="00961823"/>
    <w:rsid w:val="00963D0A"/>
    <w:rsid w:val="00970625"/>
    <w:rsid w:val="00977D3A"/>
    <w:rsid w:val="00983B56"/>
    <w:rsid w:val="00986077"/>
    <w:rsid w:val="00990870"/>
    <w:rsid w:val="009957B3"/>
    <w:rsid w:val="009A1A7C"/>
    <w:rsid w:val="009B6250"/>
    <w:rsid w:val="009B6FA0"/>
    <w:rsid w:val="009B7C7D"/>
    <w:rsid w:val="009D6D37"/>
    <w:rsid w:val="009E4CDC"/>
    <w:rsid w:val="009E5FD8"/>
    <w:rsid w:val="009F45CC"/>
    <w:rsid w:val="009F4D1C"/>
    <w:rsid w:val="009F5937"/>
    <w:rsid w:val="00A00740"/>
    <w:rsid w:val="00A014CE"/>
    <w:rsid w:val="00A10A09"/>
    <w:rsid w:val="00A10CD2"/>
    <w:rsid w:val="00A137BE"/>
    <w:rsid w:val="00A14618"/>
    <w:rsid w:val="00A22870"/>
    <w:rsid w:val="00A2596F"/>
    <w:rsid w:val="00A41E99"/>
    <w:rsid w:val="00A51E18"/>
    <w:rsid w:val="00A6381F"/>
    <w:rsid w:val="00A67505"/>
    <w:rsid w:val="00A70FB9"/>
    <w:rsid w:val="00A73817"/>
    <w:rsid w:val="00A73FE3"/>
    <w:rsid w:val="00A75336"/>
    <w:rsid w:val="00A81BCB"/>
    <w:rsid w:val="00A90BAB"/>
    <w:rsid w:val="00A91D99"/>
    <w:rsid w:val="00A95A75"/>
    <w:rsid w:val="00AA13C1"/>
    <w:rsid w:val="00AA65FC"/>
    <w:rsid w:val="00AE07D3"/>
    <w:rsid w:val="00AE7799"/>
    <w:rsid w:val="00AF0BF9"/>
    <w:rsid w:val="00AF115F"/>
    <w:rsid w:val="00B002FE"/>
    <w:rsid w:val="00B10AC2"/>
    <w:rsid w:val="00B21358"/>
    <w:rsid w:val="00B31CDA"/>
    <w:rsid w:val="00B36755"/>
    <w:rsid w:val="00B3747A"/>
    <w:rsid w:val="00B50861"/>
    <w:rsid w:val="00B52D55"/>
    <w:rsid w:val="00B601FF"/>
    <w:rsid w:val="00B61494"/>
    <w:rsid w:val="00B64EA2"/>
    <w:rsid w:val="00B716A8"/>
    <w:rsid w:val="00BA0D32"/>
    <w:rsid w:val="00BA51F9"/>
    <w:rsid w:val="00BA59A6"/>
    <w:rsid w:val="00BA5A05"/>
    <w:rsid w:val="00BA67F9"/>
    <w:rsid w:val="00BB4BD8"/>
    <w:rsid w:val="00BB766F"/>
    <w:rsid w:val="00BC16C0"/>
    <w:rsid w:val="00BC1BAC"/>
    <w:rsid w:val="00BE34DF"/>
    <w:rsid w:val="00BE4F64"/>
    <w:rsid w:val="00BF7366"/>
    <w:rsid w:val="00C00259"/>
    <w:rsid w:val="00C0391A"/>
    <w:rsid w:val="00C06D3B"/>
    <w:rsid w:val="00C27364"/>
    <w:rsid w:val="00C3022F"/>
    <w:rsid w:val="00C31808"/>
    <w:rsid w:val="00C34ABE"/>
    <w:rsid w:val="00C36F16"/>
    <w:rsid w:val="00C60DF5"/>
    <w:rsid w:val="00C632D7"/>
    <w:rsid w:val="00C75252"/>
    <w:rsid w:val="00C81F65"/>
    <w:rsid w:val="00C954EA"/>
    <w:rsid w:val="00C9704D"/>
    <w:rsid w:val="00CB003A"/>
    <w:rsid w:val="00CC0B33"/>
    <w:rsid w:val="00CC4534"/>
    <w:rsid w:val="00CD58CD"/>
    <w:rsid w:val="00CE2D06"/>
    <w:rsid w:val="00CE332E"/>
    <w:rsid w:val="00CE78C0"/>
    <w:rsid w:val="00CF2CA4"/>
    <w:rsid w:val="00CF4A47"/>
    <w:rsid w:val="00D01021"/>
    <w:rsid w:val="00D12A06"/>
    <w:rsid w:val="00D24A88"/>
    <w:rsid w:val="00D367C2"/>
    <w:rsid w:val="00D77556"/>
    <w:rsid w:val="00D8477F"/>
    <w:rsid w:val="00D87D0B"/>
    <w:rsid w:val="00D905A2"/>
    <w:rsid w:val="00D97B1A"/>
    <w:rsid w:val="00DA033B"/>
    <w:rsid w:val="00DA35D5"/>
    <w:rsid w:val="00DA5F5B"/>
    <w:rsid w:val="00DB29A8"/>
    <w:rsid w:val="00DD050F"/>
    <w:rsid w:val="00DD6046"/>
    <w:rsid w:val="00DD6760"/>
    <w:rsid w:val="00DE7858"/>
    <w:rsid w:val="00DF17C1"/>
    <w:rsid w:val="00DF3373"/>
    <w:rsid w:val="00E03DE3"/>
    <w:rsid w:val="00E07A7C"/>
    <w:rsid w:val="00E13A9C"/>
    <w:rsid w:val="00E146F2"/>
    <w:rsid w:val="00E20513"/>
    <w:rsid w:val="00E238E9"/>
    <w:rsid w:val="00E24973"/>
    <w:rsid w:val="00E45F6B"/>
    <w:rsid w:val="00E71397"/>
    <w:rsid w:val="00E77A64"/>
    <w:rsid w:val="00E8070F"/>
    <w:rsid w:val="00E80CE1"/>
    <w:rsid w:val="00E8245B"/>
    <w:rsid w:val="00E92231"/>
    <w:rsid w:val="00E96BF2"/>
    <w:rsid w:val="00EB5E62"/>
    <w:rsid w:val="00EC0DB0"/>
    <w:rsid w:val="00EC5FAF"/>
    <w:rsid w:val="00ED4EC9"/>
    <w:rsid w:val="00EE0B0E"/>
    <w:rsid w:val="00EF748D"/>
    <w:rsid w:val="00EF781C"/>
    <w:rsid w:val="00F02CD8"/>
    <w:rsid w:val="00F23B72"/>
    <w:rsid w:val="00F24F5A"/>
    <w:rsid w:val="00F27C5F"/>
    <w:rsid w:val="00F31337"/>
    <w:rsid w:val="00F41911"/>
    <w:rsid w:val="00F4591C"/>
    <w:rsid w:val="00F51DC7"/>
    <w:rsid w:val="00F56D95"/>
    <w:rsid w:val="00F6095F"/>
    <w:rsid w:val="00F72D0B"/>
    <w:rsid w:val="00F7395C"/>
    <w:rsid w:val="00F75F2D"/>
    <w:rsid w:val="00F77798"/>
    <w:rsid w:val="00F9526D"/>
    <w:rsid w:val="00FA30DB"/>
    <w:rsid w:val="00FA49D0"/>
    <w:rsid w:val="00FA6B23"/>
    <w:rsid w:val="00FB0552"/>
    <w:rsid w:val="00FB7F1C"/>
    <w:rsid w:val="00FC174E"/>
    <w:rsid w:val="00FC2B60"/>
    <w:rsid w:val="00FD0BF8"/>
    <w:rsid w:val="00FD0D7E"/>
    <w:rsid w:val="00FE40CB"/>
    <w:rsid w:val="00FE5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795CCA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EB5E6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B5E62"/>
  </w:style>
  <w:style w:type="paragraph" w:styleId="Header">
    <w:name w:val="header"/>
    <w:basedOn w:val="Normal"/>
    <w:rsid w:val="00EB5E62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403D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C06D3B"/>
    <w:rPr>
      <w:sz w:val="16"/>
      <w:szCs w:val="16"/>
    </w:rPr>
  </w:style>
  <w:style w:type="paragraph" w:styleId="CommentText">
    <w:name w:val="annotation text"/>
    <w:basedOn w:val="Normal"/>
    <w:link w:val="CommentTextChar"/>
    <w:rsid w:val="00C06D3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06D3B"/>
  </w:style>
  <w:style w:type="paragraph" w:styleId="CommentSubject">
    <w:name w:val="annotation subject"/>
    <w:basedOn w:val="CommentText"/>
    <w:next w:val="CommentText"/>
    <w:link w:val="CommentSubjectChar"/>
    <w:rsid w:val="00C06D3B"/>
    <w:rPr>
      <w:b/>
      <w:bCs/>
    </w:rPr>
  </w:style>
  <w:style w:type="character" w:customStyle="1" w:styleId="CommentSubjectChar">
    <w:name w:val="Comment Subject Char"/>
    <w:link w:val="CommentSubject"/>
    <w:rsid w:val="00C06D3B"/>
    <w:rPr>
      <w:b/>
      <w:bCs/>
    </w:rPr>
  </w:style>
  <w:style w:type="paragraph" w:styleId="Revision">
    <w:name w:val="Revision"/>
    <w:hidden/>
    <w:uiPriority w:val="99"/>
    <w:semiHidden/>
    <w:rsid w:val="00474021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795CCA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EB5E6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B5E62"/>
  </w:style>
  <w:style w:type="paragraph" w:styleId="Header">
    <w:name w:val="header"/>
    <w:basedOn w:val="Normal"/>
    <w:rsid w:val="00EB5E62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403D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C06D3B"/>
    <w:rPr>
      <w:sz w:val="16"/>
      <w:szCs w:val="16"/>
    </w:rPr>
  </w:style>
  <w:style w:type="paragraph" w:styleId="CommentText">
    <w:name w:val="annotation text"/>
    <w:basedOn w:val="Normal"/>
    <w:link w:val="CommentTextChar"/>
    <w:rsid w:val="00C06D3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06D3B"/>
  </w:style>
  <w:style w:type="paragraph" w:styleId="CommentSubject">
    <w:name w:val="annotation subject"/>
    <w:basedOn w:val="CommentText"/>
    <w:next w:val="CommentText"/>
    <w:link w:val="CommentSubjectChar"/>
    <w:rsid w:val="00C06D3B"/>
    <w:rPr>
      <w:b/>
      <w:bCs/>
    </w:rPr>
  </w:style>
  <w:style w:type="character" w:customStyle="1" w:styleId="CommentSubjectChar">
    <w:name w:val="Comment Subject Char"/>
    <w:link w:val="CommentSubject"/>
    <w:rsid w:val="00C06D3B"/>
    <w:rPr>
      <w:b/>
      <w:bCs/>
    </w:rPr>
  </w:style>
  <w:style w:type="paragraph" w:styleId="Revision">
    <w:name w:val="Revision"/>
    <w:hidden/>
    <w:uiPriority w:val="99"/>
    <w:semiHidden/>
    <w:rsid w:val="0047402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30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2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1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B61C3B-9619-4819-B137-09508B6E9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1657</Words>
  <Characters>10094</Characters>
  <Application>Microsoft Office Word</Application>
  <DocSecurity>0</DocSecurity>
  <Lines>214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#1505-0250 supporting statement</vt:lpstr>
    </vt:vector>
  </TitlesOfParts>
  <Company>U.S. Department of the Treasury</Company>
  <LinksUpToDate>false</LinksUpToDate>
  <CharactersWithSpaces>11643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#1505-0250 supporting statement</dc:title>
  <dc:creator>jev</dc:creator>
  <dc:description>Office of Gulf Coast Restoration information collection</dc:description>
  <cp:lastModifiedBy>B. Simms, PTR</cp:lastModifiedBy>
  <cp:revision>2</cp:revision>
  <cp:lastPrinted>2016-07-20T13:46:00Z</cp:lastPrinted>
  <dcterms:created xsi:type="dcterms:W3CDTF">2016-08-01T23:48:00Z</dcterms:created>
  <dcterms:modified xsi:type="dcterms:W3CDTF">2016-08-01T23:48:00Z</dcterms:modified>
</cp:coreProperties>
</file>