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62D5B" w14:textId="77777777" w:rsidR="000F53C2" w:rsidRDefault="000F53C2"/>
    <w:p w14:paraId="7856B17B" w14:textId="77777777" w:rsidR="007E69B3" w:rsidRPr="0025604D" w:rsidRDefault="00B50861" w:rsidP="009F4D1C">
      <w:pPr>
        <w:jc w:val="center"/>
      </w:pPr>
      <w:r w:rsidRPr="0025604D">
        <w:t>Department of the Treasury, Departmental Offices</w:t>
      </w:r>
    </w:p>
    <w:p w14:paraId="30E3A915" w14:textId="77777777" w:rsidR="00B50861" w:rsidRPr="0025604D" w:rsidRDefault="00B50861" w:rsidP="009F4D1C">
      <w:pPr>
        <w:jc w:val="center"/>
      </w:pPr>
      <w:r w:rsidRPr="0025604D">
        <w:t>Supporting Statement and Request for Clearance</w:t>
      </w:r>
    </w:p>
    <w:p w14:paraId="28DA4599" w14:textId="77777777" w:rsidR="003C068B" w:rsidRDefault="00A73FE3" w:rsidP="00A73FE3">
      <w:pPr>
        <w:jc w:val="center"/>
      </w:pPr>
      <w:r>
        <w:t xml:space="preserve">Troubled Asset </w:t>
      </w:r>
      <w:r w:rsidRPr="00BF7366">
        <w:t>Relief Program – Making Home Affordable Participants</w:t>
      </w:r>
    </w:p>
    <w:p w14:paraId="58ACD68C" w14:textId="77777777" w:rsidR="00A73FE3" w:rsidRPr="0025604D" w:rsidRDefault="00A73FE3"/>
    <w:p w14:paraId="79AF9C23" w14:textId="77777777" w:rsidR="00B50861" w:rsidRDefault="00F41911" w:rsidP="00F41911">
      <w:pPr>
        <w:numPr>
          <w:ilvl w:val="0"/>
          <w:numId w:val="12"/>
        </w:numPr>
        <w:rPr>
          <w:u w:val="single"/>
        </w:rPr>
      </w:pPr>
      <w:r w:rsidRPr="0025604D">
        <w:t xml:space="preserve"> </w:t>
      </w:r>
      <w:r w:rsidR="00B50861" w:rsidRPr="0025604D">
        <w:rPr>
          <w:u w:val="single"/>
        </w:rPr>
        <w:t>Circumstances necessitating the collection of information</w:t>
      </w:r>
    </w:p>
    <w:p w14:paraId="6105DE67" w14:textId="77777777" w:rsidR="00990870" w:rsidRPr="0025604D" w:rsidRDefault="00990870" w:rsidP="00990870">
      <w:pPr>
        <w:ind w:left="360"/>
        <w:rPr>
          <w:u w:val="single"/>
        </w:rPr>
      </w:pPr>
    </w:p>
    <w:p w14:paraId="393200A4" w14:textId="61C9B868" w:rsidR="00256911" w:rsidRPr="003265D6" w:rsidRDefault="00A73FE3" w:rsidP="00B716A8">
      <w:r>
        <w:t>Authorized under the Emergency Economic Stabilization Act (EESA) of 2008 (Public Law 110-343), the Department of the Treasury has implemented several aspects of the Troubled Asset Relief Program</w:t>
      </w:r>
      <w:r w:rsidR="008661BA">
        <w:t xml:space="preserve"> (TARP)</w:t>
      </w:r>
      <w:r>
        <w:t xml:space="preserve">.  Among these components is a voluntary foreclosure prevention program – </w:t>
      </w:r>
      <w:r w:rsidR="008661BA">
        <w:t xml:space="preserve">the </w:t>
      </w:r>
      <w:r>
        <w:t xml:space="preserve">Making Home Affordable (MHA) program, under which the Department </w:t>
      </w:r>
      <w:r w:rsidR="00F54B3D">
        <w:t>uses</w:t>
      </w:r>
      <w:r>
        <w:t xml:space="preserve"> TARP capital to lower the mortgage payments of qualifying borrowers.</w:t>
      </w:r>
      <w:r w:rsidR="00BF7366">
        <w:t xml:space="preserve">  The Treasury </w:t>
      </w:r>
      <w:r w:rsidR="00F54B3D">
        <w:t>does</w:t>
      </w:r>
      <w:r w:rsidR="00BF7366">
        <w:t xml:space="preserve"> this through agreements with mortgage servicers </w:t>
      </w:r>
      <w:r w:rsidR="00F54B3D">
        <w:t xml:space="preserve">(Servicer Participation Agreements, or SPAs) </w:t>
      </w:r>
      <w:r w:rsidR="00BF7366">
        <w:t xml:space="preserve">to modify loans on their systems. </w:t>
      </w:r>
      <w:r>
        <w:t xml:space="preserve"> </w:t>
      </w:r>
      <w:r w:rsidR="00FE3274">
        <w:t>Pursuant to the Consolidated Appropriations Act, 2016 (P.L. 114-113), the MHA program terminates on December 31, 2016, except with respect to certain loan modification applications made before such date.</w:t>
      </w:r>
      <w:r w:rsidR="00C50703">
        <w:t xml:space="preserve">  The MHA program has </w:t>
      </w:r>
      <w:bookmarkStart w:id="0" w:name="_GoBack"/>
      <w:bookmarkEnd w:id="0"/>
      <w:r w:rsidR="00C50703" w:rsidRPr="00C50703">
        <w:t>several subcomponents: HAMP (Home Affordable Modification Program), 2MP (Second Lien Modification Program), HAFA (Home Affordable Foreclosure Alternatives) and FHA (Federal Housing Administration)/ RD (Rural Development) HAMP.</w:t>
      </w:r>
    </w:p>
    <w:p w14:paraId="57BB1854" w14:textId="77777777" w:rsidR="005D5588" w:rsidRPr="0025604D" w:rsidRDefault="005D5588" w:rsidP="00CE2D06"/>
    <w:p w14:paraId="3FA126EE" w14:textId="77777777" w:rsidR="003C1AB8" w:rsidRPr="0025604D" w:rsidRDefault="00F72D0B" w:rsidP="00F41911">
      <w:pPr>
        <w:numPr>
          <w:ilvl w:val="0"/>
          <w:numId w:val="12"/>
        </w:numPr>
      </w:pPr>
      <w:r w:rsidRPr="0025604D">
        <w:rPr>
          <w:u w:val="single"/>
        </w:rPr>
        <w:t>U</w:t>
      </w:r>
      <w:r w:rsidR="003C1AB8" w:rsidRPr="0025604D">
        <w:rPr>
          <w:u w:val="single"/>
        </w:rPr>
        <w:t>se of the data</w:t>
      </w:r>
    </w:p>
    <w:p w14:paraId="245F5F31" w14:textId="77777777" w:rsidR="003C1AB8" w:rsidRPr="0025604D" w:rsidRDefault="003C1AB8" w:rsidP="003C1AB8">
      <w:pPr>
        <w:rPr>
          <w:u w:val="single"/>
        </w:rPr>
      </w:pPr>
    </w:p>
    <w:p w14:paraId="79D38F66" w14:textId="027AA8BE" w:rsidR="00856DD0" w:rsidRDefault="006536E9" w:rsidP="003C1AB8">
      <w:r>
        <w:t xml:space="preserve">The information </w:t>
      </w:r>
      <w:r w:rsidR="008E6FAB">
        <w:t>is</w:t>
      </w:r>
      <w:r>
        <w:t xml:space="preserve"> used to </w:t>
      </w:r>
      <w:r w:rsidR="0072166B">
        <w:t xml:space="preserve">set the servicers up on the data system, ensure that the servicers can be paid for the loan modifications that they undertake, check for compliance, and report out on the effectiveness of the program.  </w:t>
      </w:r>
    </w:p>
    <w:p w14:paraId="2D12E20E" w14:textId="77777777" w:rsidR="005D5588" w:rsidRPr="0025604D" w:rsidRDefault="005D5588" w:rsidP="003C1AB8"/>
    <w:p w14:paraId="48770DE6" w14:textId="77777777"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14:paraId="1A5D1017" w14:textId="77777777" w:rsidR="003C1AB8" w:rsidRPr="0025604D" w:rsidRDefault="003C1AB8" w:rsidP="00961823">
      <w:pPr>
        <w:keepNext/>
      </w:pPr>
    </w:p>
    <w:p w14:paraId="7F3F0C88" w14:textId="5A4DC74C" w:rsidR="00F72D0B" w:rsidRDefault="0072166B" w:rsidP="00F72D0B">
      <w:r w:rsidRPr="00BF7366">
        <w:t xml:space="preserve">Data will be collected in a number of formats.  Most </w:t>
      </w:r>
      <w:r w:rsidR="004104BF">
        <w:t xml:space="preserve">loan-level </w:t>
      </w:r>
      <w:r w:rsidRPr="00BF7366">
        <w:t xml:space="preserve">data will come into Fannie Mae (The </w:t>
      </w:r>
      <w:r w:rsidR="005D5588">
        <w:t xml:space="preserve">Department of the </w:t>
      </w:r>
      <w:r w:rsidRPr="00BF7366">
        <w:t>Treasury</w:t>
      </w:r>
      <w:r w:rsidR="005D5588">
        <w:t>’s</w:t>
      </w:r>
      <w:r w:rsidRPr="00BF7366">
        <w:t xml:space="preserve"> agent) in the form of a </w:t>
      </w:r>
      <w:r w:rsidR="00BF7366" w:rsidRPr="00BF7366">
        <w:t xml:space="preserve">business-to-business </w:t>
      </w:r>
      <w:r w:rsidRPr="00BF7366">
        <w:t>data feed.  Some supplemental dat</w:t>
      </w:r>
      <w:r w:rsidR="00D54A8F">
        <w:t xml:space="preserve">a </w:t>
      </w:r>
      <w:r w:rsidR="00557980">
        <w:t>is</w:t>
      </w:r>
      <w:r w:rsidR="00D54A8F">
        <w:t xml:space="preserve"> provided </w:t>
      </w:r>
      <w:r w:rsidR="00557980">
        <w:t>via electronic transmission (e.g. Excel workbook)</w:t>
      </w:r>
      <w:r w:rsidRPr="00BF7366">
        <w:t xml:space="preserve"> and will be transmitted</w:t>
      </w:r>
      <w:r w:rsidR="00335AA6">
        <w:t xml:space="preserve"> </w:t>
      </w:r>
      <w:r w:rsidRPr="00BF7366">
        <w:t xml:space="preserve">through </w:t>
      </w:r>
      <w:r w:rsidR="005A5C1B" w:rsidRPr="00BF7366">
        <w:t>email or a web interface</w:t>
      </w:r>
      <w:r w:rsidR="00380639" w:rsidRPr="00BF7366">
        <w:t>.</w:t>
      </w:r>
    </w:p>
    <w:p w14:paraId="5204270F" w14:textId="77777777" w:rsidR="00D24A88" w:rsidRPr="0025604D" w:rsidRDefault="00D24A88" w:rsidP="00F72D0B"/>
    <w:p w14:paraId="045B3E13" w14:textId="77777777" w:rsidR="00F72D0B" w:rsidRPr="0025604D" w:rsidRDefault="00F72D0B" w:rsidP="00181F21">
      <w:pPr>
        <w:ind w:left="720" w:hanging="360"/>
      </w:pPr>
      <w:r w:rsidRPr="0025604D">
        <w:t xml:space="preserve">4.  </w:t>
      </w:r>
      <w:r w:rsidRPr="0025604D">
        <w:rPr>
          <w:u w:val="single"/>
        </w:rPr>
        <w:t>Efforts to identify duplication</w:t>
      </w:r>
      <w:r w:rsidRPr="0025604D">
        <w:t xml:space="preserve">   </w:t>
      </w:r>
    </w:p>
    <w:p w14:paraId="3B69074A" w14:textId="77777777" w:rsidR="00406DAA" w:rsidRDefault="00406DAA" w:rsidP="00CC4534"/>
    <w:p w14:paraId="4749780D" w14:textId="3DDD482E" w:rsidR="00F72D0B" w:rsidRPr="0025604D" w:rsidRDefault="00F72D0B" w:rsidP="00856DD0">
      <w:r w:rsidRPr="0025604D">
        <w:t xml:space="preserve">The information </w:t>
      </w:r>
      <w:r w:rsidR="00FB7F1C">
        <w:t xml:space="preserve">that </w:t>
      </w:r>
      <w:r w:rsidR="00557980">
        <w:t>is</w:t>
      </w:r>
      <w:r w:rsidR="00FB7F1C">
        <w:t xml:space="preserve"> collected </w:t>
      </w:r>
      <w:r w:rsidR="005A5C1B">
        <w:t>has some overlap with similar data collected for other purposes (e.g. OCC collect</w:t>
      </w:r>
      <w:r w:rsidR="00040748">
        <w:t>s</w:t>
      </w:r>
      <w:r w:rsidR="005A5C1B">
        <w:t xml:space="preserve"> monthly data to produce the Mortgage Metrics Report).  Where possible </w:t>
      </w:r>
      <w:r w:rsidR="00D24A88">
        <w:t xml:space="preserve">this effort will use the same </w:t>
      </w:r>
      <w:r w:rsidR="00557980">
        <w:t xml:space="preserve">formats, </w:t>
      </w:r>
      <w:r w:rsidR="00D24A88">
        <w:t xml:space="preserve">definitions and fields.  </w:t>
      </w:r>
    </w:p>
    <w:p w14:paraId="5F6B017C" w14:textId="77777777" w:rsidR="00D24A88" w:rsidRPr="0025604D" w:rsidRDefault="00D24A88" w:rsidP="00F72D0B"/>
    <w:p w14:paraId="2724D448" w14:textId="77777777" w:rsidR="00F72D0B" w:rsidRPr="0025604D" w:rsidRDefault="00F72D0B" w:rsidP="00181F21">
      <w:pPr>
        <w:ind w:firstLine="360"/>
        <w:rPr>
          <w:u w:val="single"/>
        </w:rPr>
      </w:pPr>
      <w:r w:rsidRPr="0025604D">
        <w:t xml:space="preserve">5.  </w:t>
      </w:r>
      <w:r w:rsidRPr="0025604D">
        <w:rPr>
          <w:u w:val="single"/>
        </w:rPr>
        <w:t>Impact on small entities</w:t>
      </w:r>
    </w:p>
    <w:p w14:paraId="4AF086A7" w14:textId="77777777" w:rsidR="00F72D0B" w:rsidRPr="0025604D" w:rsidRDefault="00F72D0B" w:rsidP="00F72D0B"/>
    <w:p w14:paraId="086A8CDD" w14:textId="10A93477" w:rsidR="00F72D0B" w:rsidRDefault="00D24A88" w:rsidP="00F72D0B">
      <w:r>
        <w:t>As this is a voluntary program</w:t>
      </w:r>
      <w:r w:rsidR="000349E4">
        <w:t>,</w:t>
      </w:r>
      <w:r>
        <w:t xml:space="preserve"> </w:t>
      </w:r>
      <w:r w:rsidR="00557980">
        <w:t xml:space="preserve">participating </w:t>
      </w:r>
      <w:r>
        <w:t xml:space="preserve">servicers </w:t>
      </w:r>
      <w:r w:rsidR="00557980">
        <w:t xml:space="preserve">must establish controlled processes for </w:t>
      </w:r>
      <w:r>
        <w:t xml:space="preserve">data collection </w:t>
      </w:r>
      <w:r w:rsidR="00557980">
        <w:t xml:space="preserve">and transmission, and must take </w:t>
      </w:r>
      <w:r>
        <w:t xml:space="preserve">into account </w:t>
      </w:r>
      <w:r w:rsidR="00557980">
        <w:t xml:space="preserve">the burden </w:t>
      </w:r>
      <w:r>
        <w:t xml:space="preserve">to </w:t>
      </w:r>
      <w:r w:rsidR="00557980">
        <w:t>do so</w:t>
      </w:r>
      <w:r>
        <w:t>.  In addition</w:t>
      </w:r>
      <w:r w:rsidR="005D5588">
        <w:t>,</w:t>
      </w:r>
      <w:r>
        <w:t xml:space="preserve"> there </w:t>
      </w:r>
      <w:r w:rsidR="00557980">
        <w:t>might</w:t>
      </w:r>
      <w:r>
        <w:t xml:space="preserve"> be multiple</w:t>
      </w:r>
      <w:r w:rsidR="0016726B">
        <w:t xml:space="preserve"> </w:t>
      </w:r>
      <w:r>
        <w:t xml:space="preserve">delivery methods for smaller institutions that may lack the overall systems to send through an automated data feed.  </w:t>
      </w:r>
      <w:r w:rsidR="00557980">
        <w:t xml:space="preserve">However, small institutions </w:t>
      </w:r>
      <w:r w:rsidR="00557980">
        <w:lastRenderedPageBreak/>
        <w:t xml:space="preserve">may not be </w:t>
      </w:r>
      <w:r w:rsidR="00755D8C">
        <w:t>subject to the burden of complicated system builds in order to accommodate program changes, potentially due to a less complicated IT infrastructure</w:t>
      </w:r>
      <w:r w:rsidR="00BF7366">
        <w:t>.</w:t>
      </w:r>
    </w:p>
    <w:p w14:paraId="7AAAA5BE" w14:textId="464E6B48" w:rsidR="000349E4" w:rsidRDefault="000349E4" w:rsidP="00F72D0B"/>
    <w:p w14:paraId="7FA55159" w14:textId="77777777"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14:paraId="042EAFC2" w14:textId="77777777" w:rsidR="00F72D0B" w:rsidRPr="0025604D" w:rsidRDefault="00F72D0B" w:rsidP="00F72D0B"/>
    <w:p w14:paraId="0E1952A9" w14:textId="77777777" w:rsidR="00D24A88" w:rsidRDefault="006B22D1" w:rsidP="008A5AEA">
      <w:r w:rsidRPr="006B22D1">
        <w:t xml:space="preserve">If the </w:t>
      </w:r>
      <w:r w:rsidR="008A5AEA">
        <w:t>information</w:t>
      </w:r>
      <w:r w:rsidRPr="006B22D1">
        <w:t xml:space="preserve"> is not collected</w:t>
      </w:r>
      <w:r w:rsidR="00D24A88">
        <w:t xml:space="preserve"> on a monthly basis</w:t>
      </w:r>
      <w:r w:rsidRPr="006B22D1">
        <w:t xml:space="preserve">, Treasury will not be able to </w:t>
      </w:r>
      <w:r w:rsidR="00D24A88">
        <w:t>pay the servicers for the modifications that they are undertaking</w:t>
      </w:r>
      <w:r w:rsidR="00EE3522">
        <w:t>, and perform other programmatic activities, on a monthly basis</w:t>
      </w:r>
      <w:r w:rsidR="00D24A88">
        <w:t xml:space="preserve">.  </w:t>
      </w:r>
    </w:p>
    <w:p w14:paraId="1158C9A4" w14:textId="77777777" w:rsidR="00F72D0B" w:rsidRPr="0025604D" w:rsidRDefault="00F72D0B" w:rsidP="00F72D0B"/>
    <w:p w14:paraId="163C4769" w14:textId="77777777"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14:paraId="218C4EC7" w14:textId="77777777" w:rsidR="00FB7F1C" w:rsidRDefault="00FB7F1C" w:rsidP="00CB003A">
      <w:pPr>
        <w:rPr>
          <w:u w:val="single"/>
        </w:rPr>
      </w:pPr>
    </w:p>
    <w:p w14:paraId="1EB6F4A6" w14:textId="77777777" w:rsidR="00D24A88" w:rsidRDefault="00D24A88" w:rsidP="00D24A88">
      <w:r>
        <w:t>Not applicable.</w:t>
      </w:r>
    </w:p>
    <w:p w14:paraId="6BD43B4D" w14:textId="77777777" w:rsidR="00CB003A" w:rsidRDefault="00CB003A" w:rsidP="00CB003A"/>
    <w:p w14:paraId="71C871D7" w14:textId="77777777"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14:paraId="31C42BE9" w14:textId="77777777" w:rsidR="00CB003A" w:rsidRPr="0025604D" w:rsidRDefault="00CB003A" w:rsidP="00CB003A"/>
    <w:p w14:paraId="4DD54536" w14:textId="77777777" w:rsidR="00147A26" w:rsidRDefault="00F31337" w:rsidP="00CB003A">
      <w:r>
        <w:t>Treasury officials have consulted with the federal banking agencies</w:t>
      </w:r>
      <w:r w:rsidR="00D24A88">
        <w:t>, Freddie Mac, Fannie M</w:t>
      </w:r>
      <w:r w:rsidR="00BF7366">
        <w:t xml:space="preserve">ae, FHFA, HUD, and </w:t>
      </w:r>
      <w:r w:rsidR="00D24A88">
        <w:t xml:space="preserve">numerous servicers of all sizes to get feedback on data items for the collection.  </w:t>
      </w:r>
      <w:r w:rsidR="00BF7366">
        <w:t>In addition</w:t>
      </w:r>
      <w:r w:rsidR="005D5588">
        <w:t>,</w:t>
      </w:r>
      <w:r w:rsidR="00BF7366">
        <w:t xml:space="preserve"> Treasury has gotten feedback from consumer advocacy groups concerning potential data fields they would like to see.</w:t>
      </w:r>
      <w:r>
        <w:t xml:space="preserve"> </w:t>
      </w:r>
    </w:p>
    <w:p w14:paraId="09CD11F8" w14:textId="77777777" w:rsidR="00762A91" w:rsidRDefault="00762A91" w:rsidP="00CB003A"/>
    <w:p w14:paraId="2BD67B1B" w14:textId="5684B637" w:rsidR="00F31337" w:rsidRDefault="00762A91" w:rsidP="00CB003A">
      <w:r w:rsidRPr="00762A91">
        <w:t xml:space="preserve">A notice soliciting public comments was published in the </w:t>
      </w:r>
      <w:r w:rsidRPr="008661BA">
        <w:rPr>
          <w:i/>
        </w:rPr>
        <w:t>Federal Register</w:t>
      </w:r>
      <w:r w:rsidRPr="00762A91">
        <w:t xml:space="preserve"> on </w:t>
      </w:r>
      <w:r w:rsidR="008661BA">
        <w:t>June 29, 2016</w:t>
      </w:r>
      <w:r w:rsidRPr="00762A91">
        <w:t xml:space="preserve"> at </w:t>
      </w:r>
      <w:r w:rsidR="008661BA">
        <w:t>81</w:t>
      </w:r>
      <w:r w:rsidR="008661BA" w:rsidRPr="00762A91">
        <w:t xml:space="preserve"> </w:t>
      </w:r>
      <w:r w:rsidRPr="00762A91">
        <w:t xml:space="preserve">FR </w:t>
      </w:r>
      <w:r w:rsidR="008661BA">
        <w:t>42395,</w:t>
      </w:r>
      <w:r w:rsidR="008661BA" w:rsidRPr="00762A91">
        <w:t xml:space="preserve"> </w:t>
      </w:r>
      <w:r w:rsidRPr="00762A91">
        <w:t>and no comments were received.</w:t>
      </w:r>
    </w:p>
    <w:p w14:paraId="5E3D89DB" w14:textId="77777777" w:rsidR="00D24A88" w:rsidRPr="0025604D" w:rsidRDefault="00D24A88" w:rsidP="00CB003A"/>
    <w:p w14:paraId="79DE8899" w14:textId="77777777" w:rsidR="00147A26" w:rsidRPr="0025604D" w:rsidRDefault="00147A26" w:rsidP="00FB7F1C">
      <w:pPr>
        <w:keepNext/>
        <w:ind w:firstLine="360"/>
      </w:pPr>
      <w:r w:rsidRPr="0025604D">
        <w:t xml:space="preserve">9.  </w:t>
      </w:r>
      <w:r w:rsidRPr="0025604D">
        <w:rPr>
          <w:u w:val="single"/>
        </w:rPr>
        <w:t>Provision of payments to recordkeepers</w:t>
      </w:r>
    </w:p>
    <w:p w14:paraId="692B40F4" w14:textId="77777777" w:rsidR="00147A26" w:rsidRPr="0025604D" w:rsidRDefault="00147A26" w:rsidP="00FB7F1C">
      <w:pPr>
        <w:keepNext/>
      </w:pPr>
    </w:p>
    <w:p w14:paraId="3B67B5B8" w14:textId="06AF80A8" w:rsidR="00256911" w:rsidRDefault="00D24A88" w:rsidP="00CB003A">
      <w:r>
        <w:t>Fannie Mae is acting as the agent of Treasury for the collection of the data.  They are performing other functions as well</w:t>
      </w:r>
      <w:r w:rsidR="00755D8C">
        <w:t>,</w:t>
      </w:r>
      <w:r>
        <w:t xml:space="preserve"> and will receive payment for the totality of their work on behalf of the </w:t>
      </w:r>
      <w:r w:rsidR="00D54A8F">
        <w:t xml:space="preserve">Department of the </w:t>
      </w:r>
      <w:r>
        <w:t xml:space="preserve">Treasury. </w:t>
      </w:r>
    </w:p>
    <w:p w14:paraId="391D420C" w14:textId="77777777" w:rsidR="00D24A88" w:rsidRPr="0025604D" w:rsidRDefault="00D24A88" w:rsidP="00CB003A"/>
    <w:p w14:paraId="327BA66B" w14:textId="77777777" w:rsidR="00147A26" w:rsidRPr="0025604D" w:rsidRDefault="00147A26" w:rsidP="00666B6D">
      <w:pPr>
        <w:keepNext/>
        <w:ind w:firstLine="360"/>
      </w:pPr>
      <w:r w:rsidRPr="0025604D">
        <w:t xml:space="preserve">10.  </w:t>
      </w:r>
      <w:r w:rsidRPr="0025604D">
        <w:rPr>
          <w:u w:val="single"/>
        </w:rPr>
        <w:t>Assurance of confidentiality</w:t>
      </w:r>
    </w:p>
    <w:p w14:paraId="4CAC2B77" w14:textId="77777777" w:rsidR="00147A26" w:rsidRPr="0025604D" w:rsidRDefault="00147A26" w:rsidP="00666B6D">
      <w:pPr>
        <w:keepNext/>
      </w:pPr>
    </w:p>
    <w:p w14:paraId="040C50D9" w14:textId="4578D889" w:rsidR="00147A26" w:rsidRDefault="00147A26" w:rsidP="0060168D">
      <w:r w:rsidRPr="0025604D">
        <w:t>The information collect</w:t>
      </w:r>
      <w:r w:rsidR="00A91D99">
        <w:t>ed will contain personal identification information</w:t>
      </w:r>
      <w:r w:rsidR="00681FB6">
        <w:t>.  As part of the data collection effort</w:t>
      </w:r>
      <w:r w:rsidR="00D54A8F">
        <w:t>,</w:t>
      </w:r>
      <w:r w:rsidR="00681FB6">
        <w:t xml:space="preserve"> Treasury </w:t>
      </w:r>
      <w:r w:rsidR="00122583">
        <w:t>complete</w:t>
      </w:r>
      <w:r w:rsidR="00907B7E">
        <w:t>d</w:t>
      </w:r>
      <w:r w:rsidR="00122583">
        <w:t xml:space="preserve"> a Privacy Impact Assessment (PIA) </w:t>
      </w:r>
      <w:r w:rsidR="005A001E">
        <w:t xml:space="preserve">to help </w:t>
      </w:r>
      <w:r w:rsidR="00681FB6">
        <w:t>ensure</w:t>
      </w:r>
      <w:r w:rsidR="00907B7E">
        <w:t xml:space="preserve"> privacy protection features of </w:t>
      </w:r>
      <w:r w:rsidR="00681FB6">
        <w:t>the databases and transmission systems comply with all Federal privacy and consumer protection laws.</w:t>
      </w:r>
    </w:p>
    <w:p w14:paraId="22BC70F7" w14:textId="77777777" w:rsidR="00147A26" w:rsidRPr="0025604D" w:rsidRDefault="00147A26" w:rsidP="00CB003A"/>
    <w:p w14:paraId="32466975" w14:textId="77777777" w:rsidR="00147A26" w:rsidRPr="0025604D" w:rsidRDefault="00147A26" w:rsidP="00181F21">
      <w:pPr>
        <w:ind w:firstLine="360"/>
        <w:rPr>
          <w:u w:val="single"/>
        </w:rPr>
      </w:pPr>
      <w:r w:rsidRPr="0025604D">
        <w:t xml:space="preserve">11.  </w:t>
      </w:r>
      <w:r w:rsidRPr="0025604D">
        <w:rPr>
          <w:u w:val="single"/>
        </w:rPr>
        <w:t>Justification of sensitive questions</w:t>
      </w:r>
    </w:p>
    <w:p w14:paraId="52486A0C" w14:textId="77777777" w:rsidR="00147A26" w:rsidRPr="0025604D" w:rsidRDefault="00147A26" w:rsidP="00CB003A"/>
    <w:p w14:paraId="3F191F35" w14:textId="77777777" w:rsidR="00147A26" w:rsidRDefault="00475731" w:rsidP="00CB003A">
      <w:r>
        <w:t>Not applicable.</w:t>
      </w:r>
    </w:p>
    <w:p w14:paraId="41CF0DB8" w14:textId="77777777" w:rsidR="00A91D99" w:rsidRPr="0025604D" w:rsidRDefault="00A91D99" w:rsidP="00CB003A"/>
    <w:p w14:paraId="33564444" w14:textId="77777777" w:rsidR="00147A26" w:rsidRPr="0025604D" w:rsidRDefault="00961823" w:rsidP="00181F21">
      <w:pPr>
        <w:ind w:firstLine="360"/>
      </w:pPr>
      <w:bookmarkStart w:id="1" w:name="OLE_LINK1"/>
      <w:r w:rsidRPr="0025604D">
        <w:t xml:space="preserve">12.  </w:t>
      </w:r>
      <w:r w:rsidRPr="0025604D">
        <w:rPr>
          <w:u w:val="single"/>
        </w:rPr>
        <w:t>Estimated burden of information collection</w:t>
      </w:r>
    </w:p>
    <w:bookmarkEnd w:id="1"/>
    <w:p w14:paraId="0F85B10F" w14:textId="77777777" w:rsidR="00961823" w:rsidRDefault="00961823" w:rsidP="00CB003A"/>
    <w:p w14:paraId="10DA5DDE" w14:textId="73D1AD72" w:rsidR="0089127A" w:rsidRDefault="00755D8C" w:rsidP="00F67E40">
      <w:r>
        <w:t>The burden on all participating servicers varies significantly, and has been dependent on a number of factors for each servicer, including IT infrastructure complexity, volume of program participation, participation in additional program schedules (e.g. 2MP)</w:t>
      </w:r>
      <w:r w:rsidR="00405D6E">
        <w:t xml:space="preserve">, etc.  </w:t>
      </w:r>
      <w:r w:rsidR="00405D6E">
        <w:lastRenderedPageBreak/>
        <w:t>S</w:t>
      </w:r>
      <w:r w:rsidR="00D82E6E">
        <w:t>ome s</w:t>
      </w:r>
      <w:r w:rsidR="00405D6E">
        <w:t xml:space="preserve">mall servicers have been released from their </w:t>
      </w:r>
      <w:r w:rsidR="00F54B3D">
        <w:t>SPAs</w:t>
      </w:r>
      <w:r w:rsidR="00405D6E">
        <w:t xml:space="preserve"> based on an assessment of their program burden(s) relative to the borrower benefits being offered.</w:t>
      </w:r>
    </w:p>
    <w:p w14:paraId="260673E4" w14:textId="77777777" w:rsidR="00D950EA" w:rsidRDefault="00D950EA">
      <w:r>
        <w:br w:type="page"/>
      </w:r>
    </w:p>
    <w:p w14:paraId="1DC9CDBF" w14:textId="5F9AFC7A" w:rsidR="00A95067" w:rsidRDefault="00D82E6E" w:rsidP="009D5F26">
      <w:r>
        <w:lastRenderedPageBreak/>
        <w:t>A sample of larger servicers indicated that the information collection may require an average of 7</w:t>
      </w:r>
      <w:r w:rsidR="006739AB">
        <w:t>5</w:t>
      </w:r>
      <w:r>
        <w:t xml:space="preserve">0 hours per month.  A sample of smaller servicers revealed that they may need the equivalent of one person’s full working day </w:t>
      </w:r>
      <w:r w:rsidR="00703576">
        <w:t xml:space="preserve">(8 hours) </w:t>
      </w:r>
      <w:r>
        <w:t xml:space="preserve">per month to produce this information.  </w:t>
      </w:r>
      <w:r w:rsidR="00A95067">
        <w:t xml:space="preserve">However, due to the termination of the program at the end of 2016, the annual burden is expected to decrease over </w:t>
      </w:r>
      <w:r>
        <w:t>the next three years</w:t>
      </w:r>
      <w:r w:rsidR="00A95067">
        <w:t xml:space="preserve"> as follows:</w:t>
      </w:r>
    </w:p>
    <w:p w14:paraId="61E6D155" w14:textId="77777777" w:rsidR="00A95067" w:rsidRDefault="00A95067" w:rsidP="00A95067">
      <w:pPr>
        <w:ind w:firstLine="360"/>
      </w:pPr>
    </w:p>
    <w:p w14:paraId="6EF993E6" w14:textId="19EE90B4" w:rsidR="00A95067" w:rsidRDefault="00A95067" w:rsidP="00A95067">
      <w:pPr>
        <w:ind w:left="360"/>
      </w:pPr>
      <w:r>
        <w:t>Sept. 2016 to Aug. 2017:</w:t>
      </w:r>
      <w:r w:rsidR="00693129">
        <w:t xml:space="preserve"> </w:t>
      </w:r>
      <w:r>
        <w:t xml:space="preserve"> </w:t>
      </w:r>
      <w:r w:rsidR="006739AB">
        <w:t>90</w:t>
      </w:r>
      <w:r>
        <w:t>%</w:t>
      </w:r>
    </w:p>
    <w:p w14:paraId="77ABDF94" w14:textId="04C3CB1B" w:rsidR="00A95067" w:rsidRDefault="00A95067" w:rsidP="00A95067">
      <w:pPr>
        <w:ind w:left="360"/>
      </w:pPr>
      <w:r>
        <w:t>Sept. 2017 to Aug. 2018:</w:t>
      </w:r>
      <w:r w:rsidR="00693129">
        <w:t xml:space="preserve"> </w:t>
      </w:r>
      <w:r>
        <w:t xml:space="preserve"> 5</w:t>
      </w:r>
      <w:r w:rsidR="006739AB">
        <w:t>0</w:t>
      </w:r>
      <w:r>
        <w:t xml:space="preserve">% </w:t>
      </w:r>
    </w:p>
    <w:p w14:paraId="17AD28BB" w14:textId="2CB99BF9" w:rsidR="00A95067" w:rsidRDefault="00A95067" w:rsidP="00A95067">
      <w:pPr>
        <w:ind w:left="360"/>
      </w:pPr>
      <w:r>
        <w:t>Sept. 2018 to Aug. 2019:</w:t>
      </w:r>
      <w:r w:rsidR="00693129">
        <w:t xml:space="preserve"> </w:t>
      </w:r>
      <w:r>
        <w:t xml:space="preserve"> </w:t>
      </w:r>
      <w:r w:rsidR="006739AB">
        <w:t>25</w:t>
      </w:r>
      <w:r>
        <w:t>%</w:t>
      </w:r>
    </w:p>
    <w:p w14:paraId="1219A69B" w14:textId="77777777" w:rsidR="00F67E40" w:rsidRDefault="00F67E40" w:rsidP="00F67E40"/>
    <w:p w14:paraId="21C269C4" w14:textId="228F3C0D" w:rsidR="00F67E40" w:rsidRPr="00512A6D" w:rsidRDefault="00F67E40" w:rsidP="00F67E40">
      <w:pPr>
        <w:rPr>
          <w:u w:val="single"/>
        </w:rPr>
      </w:pPr>
      <w:r w:rsidRPr="00512A6D">
        <w:rPr>
          <w:u w:val="single"/>
        </w:rPr>
        <w:t>Larger Servicers</w:t>
      </w:r>
    </w:p>
    <w:p w14:paraId="3A6057C0" w14:textId="77777777" w:rsidR="00F67E40" w:rsidRPr="00512A6D" w:rsidRDefault="00F67E40" w:rsidP="00F67E40"/>
    <w:tbl>
      <w:tblPr>
        <w:tblW w:w="7689" w:type="dxa"/>
        <w:tblInd w:w="93" w:type="dxa"/>
        <w:tblLook w:val="04A0" w:firstRow="1" w:lastRow="0" w:firstColumn="1" w:lastColumn="0" w:noHBand="0" w:noVBand="1"/>
      </w:tblPr>
      <w:tblGrid>
        <w:gridCol w:w="615"/>
        <w:gridCol w:w="1500"/>
        <w:gridCol w:w="1480"/>
        <w:gridCol w:w="1180"/>
        <w:gridCol w:w="1074"/>
        <w:gridCol w:w="1840"/>
      </w:tblGrid>
      <w:tr w:rsidR="00512A6D" w:rsidRPr="00512A6D" w14:paraId="3DD2C2A6" w14:textId="77777777" w:rsidTr="00D322D5">
        <w:trPr>
          <w:trHeight w:val="90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63F3" w14:textId="77777777" w:rsidR="00F67E40" w:rsidRPr="00512A6D" w:rsidRDefault="00F67E40">
            <w:pPr>
              <w:jc w:val="center"/>
              <w:rPr>
                <w:rFonts w:ascii="Calibri" w:hAnsi="Calibri"/>
                <w:sz w:val="22"/>
                <w:szCs w:val="22"/>
              </w:rPr>
            </w:pPr>
            <w:r w:rsidRPr="00512A6D">
              <w:rPr>
                <w:rFonts w:ascii="Calibri" w:hAnsi="Calibri"/>
                <w:sz w:val="22"/>
                <w:szCs w:val="22"/>
              </w:rPr>
              <w:t>Year</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F8538C" w14:textId="77777777" w:rsidR="00F67E40" w:rsidRPr="00512A6D" w:rsidRDefault="00F67E40">
            <w:pPr>
              <w:jc w:val="center"/>
              <w:rPr>
                <w:rFonts w:ascii="Calibri" w:hAnsi="Calibri"/>
                <w:sz w:val="22"/>
                <w:szCs w:val="22"/>
              </w:rPr>
            </w:pPr>
            <w:r w:rsidRPr="00512A6D">
              <w:rPr>
                <w:rFonts w:ascii="Calibri" w:hAnsi="Calibri"/>
                <w:sz w:val="22"/>
                <w:szCs w:val="22"/>
              </w:rPr>
              <w:t>Respondents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BA9D57C" w14:textId="77777777" w:rsidR="00F67E40" w:rsidRPr="00512A6D" w:rsidRDefault="00F67E40">
            <w:pPr>
              <w:jc w:val="center"/>
              <w:rPr>
                <w:rFonts w:ascii="Calibri" w:hAnsi="Calibri"/>
                <w:sz w:val="22"/>
                <w:szCs w:val="22"/>
              </w:rPr>
            </w:pPr>
            <w:r w:rsidRPr="00512A6D">
              <w:rPr>
                <w:rFonts w:ascii="Calibri" w:hAnsi="Calibri"/>
                <w:sz w:val="22"/>
                <w:szCs w:val="22"/>
              </w:rPr>
              <w:t># Annual Responses Per Respondent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D6FD5A8" w14:textId="77777777" w:rsidR="00F67E40" w:rsidRPr="00512A6D" w:rsidRDefault="00F67E40">
            <w:pPr>
              <w:jc w:val="center"/>
              <w:rPr>
                <w:rFonts w:ascii="Calibri" w:hAnsi="Calibri"/>
                <w:sz w:val="22"/>
                <w:szCs w:val="22"/>
              </w:rPr>
            </w:pPr>
            <w:r w:rsidRPr="00512A6D">
              <w:rPr>
                <w:rFonts w:ascii="Calibri" w:hAnsi="Calibri"/>
                <w:sz w:val="22"/>
                <w:szCs w:val="22"/>
              </w:rPr>
              <w:t xml:space="preserve"> Est. Annual Responses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66645F2D" w14:textId="77777777" w:rsidR="00F67E40" w:rsidRPr="00512A6D" w:rsidRDefault="00F67E40">
            <w:pPr>
              <w:jc w:val="center"/>
              <w:rPr>
                <w:rFonts w:ascii="Calibri" w:hAnsi="Calibri"/>
                <w:sz w:val="22"/>
                <w:szCs w:val="22"/>
              </w:rPr>
            </w:pPr>
            <w:r w:rsidRPr="00512A6D">
              <w:rPr>
                <w:rFonts w:ascii="Calibri" w:hAnsi="Calibri"/>
                <w:sz w:val="22"/>
                <w:szCs w:val="22"/>
              </w:rPr>
              <w:t>Hours Per Response</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3A436B0" w14:textId="77777777" w:rsidR="00F67E40" w:rsidRPr="00512A6D" w:rsidRDefault="00F67E40">
            <w:pPr>
              <w:jc w:val="center"/>
              <w:rPr>
                <w:rFonts w:ascii="Calibri" w:hAnsi="Calibri"/>
                <w:sz w:val="22"/>
                <w:szCs w:val="22"/>
              </w:rPr>
            </w:pPr>
            <w:r w:rsidRPr="00512A6D">
              <w:rPr>
                <w:rFonts w:ascii="Calibri" w:hAnsi="Calibri"/>
                <w:sz w:val="22"/>
                <w:szCs w:val="22"/>
              </w:rPr>
              <w:t>Total Annual Burden (Hours)</w:t>
            </w:r>
          </w:p>
        </w:tc>
      </w:tr>
      <w:tr w:rsidR="00512A6D" w:rsidRPr="00512A6D" w14:paraId="100DCD6B"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982236F" w14:textId="77777777" w:rsidR="00F67E40" w:rsidRPr="00512A6D" w:rsidRDefault="00F67E40">
            <w:pPr>
              <w:jc w:val="center"/>
              <w:rPr>
                <w:rFonts w:ascii="Calibri" w:hAnsi="Calibri"/>
                <w:sz w:val="22"/>
                <w:szCs w:val="22"/>
              </w:rPr>
            </w:pPr>
            <w:r w:rsidRPr="00512A6D">
              <w:rPr>
                <w:rFonts w:ascii="Calibri" w:hAnsi="Calibri"/>
                <w:sz w:val="22"/>
                <w:szCs w:val="22"/>
              </w:rPr>
              <w:t>1</w:t>
            </w:r>
          </w:p>
        </w:tc>
        <w:tc>
          <w:tcPr>
            <w:tcW w:w="1500" w:type="dxa"/>
            <w:tcBorders>
              <w:top w:val="nil"/>
              <w:left w:val="nil"/>
              <w:bottom w:val="single" w:sz="4" w:space="0" w:color="auto"/>
              <w:right w:val="single" w:sz="4" w:space="0" w:color="auto"/>
            </w:tcBorders>
            <w:shd w:val="clear" w:color="auto" w:fill="auto"/>
            <w:vAlign w:val="center"/>
            <w:hideMark/>
          </w:tcPr>
          <w:p w14:paraId="70963DF3" w14:textId="77777777" w:rsidR="00F67E40" w:rsidRPr="00512A6D" w:rsidRDefault="00F67E40">
            <w:pPr>
              <w:jc w:val="center"/>
              <w:rPr>
                <w:rFonts w:ascii="Calibri" w:hAnsi="Calibri"/>
                <w:sz w:val="22"/>
                <w:szCs w:val="22"/>
              </w:rPr>
            </w:pPr>
            <w:r w:rsidRPr="00512A6D">
              <w:rPr>
                <w:rFonts w:ascii="Calibri" w:hAnsi="Calibri"/>
                <w:sz w:val="22"/>
                <w:szCs w:val="22"/>
              </w:rPr>
              <w:t>20</w:t>
            </w:r>
          </w:p>
        </w:tc>
        <w:tc>
          <w:tcPr>
            <w:tcW w:w="1480" w:type="dxa"/>
            <w:tcBorders>
              <w:top w:val="nil"/>
              <w:left w:val="nil"/>
              <w:bottom w:val="single" w:sz="4" w:space="0" w:color="auto"/>
              <w:right w:val="single" w:sz="4" w:space="0" w:color="auto"/>
            </w:tcBorders>
            <w:shd w:val="clear" w:color="auto" w:fill="auto"/>
            <w:vAlign w:val="center"/>
            <w:hideMark/>
          </w:tcPr>
          <w:p w14:paraId="4ED3914E"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257A4B1C" w14:textId="77777777" w:rsidR="00F67E40" w:rsidRPr="00512A6D" w:rsidRDefault="00F67E40">
            <w:pPr>
              <w:jc w:val="center"/>
              <w:rPr>
                <w:rFonts w:ascii="Calibri" w:hAnsi="Calibri"/>
                <w:sz w:val="22"/>
                <w:szCs w:val="22"/>
              </w:rPr>
            </w:pPr>
            <w:r w:rsidRPr="00512A6D">
              <w:rPr>
                <w:rFonts w:ascii="Calibri" w:hAnsi="Calibri"/>
                <w:sz w:val="22"/>
                <w:szCs w:val="22"/>
              </w:rPr>
              <w:t>240</w:t>
            </w:r>
          </w:p>
        </w:tc>
        <w:tc>
          <w:tcPr>
            <w:tcW w:w="1074" w:type="dxa"/>
            <w:tcBorders>
              <w:top w:val="nil"/>
              <w:left w:val="nil"/>
              <w:bottom w:val="single" w:sz="4" w:space="0" w:color="auto"/>
              <w:right w:val="single" w:sz="4" w:space="0" w:color="auto"/>
            </w:tcBorders>
            <w:shd w:val="clear" w:color="auto" w:fill="auto"/>
            <w:vAlign w:val="center"/>
            <w:hideMark/>
          </w:tcPr>
          <w:p w14:paraId="5FA0289E" w14:textId="77777777" w:rsidR="00F67E40" w:rsidRPr="00512A6D" w:rsidRDefault="00F67E40">
            <w:pPr>
              <w:jc w:val="center"/>
              <w:rPr>
                <w:rFonts w:ascii="Calibri" w:hAnsi="Calibri"/>
                <w:sz w:val="22"/>
                <w:szCs w:val="22"/>
              </w:rPr>
            </w:pPr>
            <w:r w:rsidRPr="00512A6D">
              <w:rPr>
                <w:rFonts w:ascii="Calibri" w:hAnsi="Calibri"/>
                <w:sz w:val="22"/>
                <w:szCs w:val="22"/>
              </w:rPr>
              <w:t>675</w:t>
            </w:r>
          </w:p>
        </w:tc>
        <w:tc>
          <w:tcPr>
            <w:tcW w:w="1840" w:type="dxa"/>
            <w:tcBorders>
              <w:top w:val="nil"/>
              <w:left w:val="nil"/>
              <w:bottom w:val="single" w:sz="4" w:space="0" w:color="auto"/>
              <w:right w:val="single" w:sz="4" w:space="0" w:color="auto"/>
            </w:tcBorders>
            <w:shd w:val="clear" w:color="auto" w:fill="auto"/>
            <w:vAlign w:val="center"/>
            <w:hideMark/>
          </w:tcPr>
          <w:p w14:paraId="1E431F20" w14:textId="77777777" w:rsidR="00F67E40" w:rsidRPr="00512A6D" w:rsidRDefault="00F67E40">
            <w:pPr>
              <w:jc w:val="center"/>
              <w:rPr>
                <w:rFonts w:ascii="Calibri" w:hAnsi="Calibri"/>
                <w:sz w:val="22"/>
                <w:szCs w:val="22"/>
              </w:rPr>
            </w:pPr>
            <w:r w:rsidRPr="00512A6D">
              <w:rPr>
                <w:rFonts w:ascii="Calibri" w:hAnsi="Calibri"/>
                <w:sz w:val="22"/>
                <w:szCs w:val="22"/>
              </w:rPr>
              <w:t>162,000</w:t>
            </w:r>
          </w:p>
        </w:tc>
      </w:tr>
      <w:tr w:rsidR="00512A6D" w:rsidRPr="00512A6D" w14:paraId="6A826F21"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C8E3D96" w14:textId="77777777" w:rsidR="00F67E40" w:rsidRPr="00512A6D" w:rsidRDefault="00F67E40">
            <w:pPr>
              <w:jc w:val="center"/>
              <w:rPr>
                <w:rFonts w:ascii="Calibri" w:hAnsi="Calibri"/>
                <w:sz w:val="22"/>
                <w:szCs w:val="22"/>
              </w:rPr>
            </w:pPr>
            <w:r w:rsidRPr="00512A6D">
              <w:rPr>
                <w:rFonts w:ascii="Calibri" w:hAnsi="Calibri"/>
                <w:sz w:val="22"/>
                <w:szCs w:val="22"/>
              </w:rPr>
              <w:t>2</w:t>
            </w:r>
          </w:p>
        </w:tc>
        <w:tc>
          <w:tcPr>
            <w:tcW w:w="1500" w:type="dxa"/>
            <w:tcBorders>
              <w:top w:val="nil"/>
              <w:left w:val="nil"/>
              <w:bottom w:val="single" w:sz="4" w:space="0" w:color="auto"/>
              <w:right w:val="single" w:sz="4" w:space="0" w:color="auto"/>
            </w:tcBorders>
            <w:shd w:val="clear" w:color="auto" w:fill="auto"/>
            <w:vAlign w:val="center"/>
            <w:hideMark/>
          </w:tcPr>
          <w:p w14:paraId="77DD9AC6" w14:textId="77777777" w:rsidR="00F67E40" w:rsidRPr="00512A6D" w:rsidRDefault="00F67E40">
            <w:pPr>
              <w:jc w:val="center"/>
              <w:rPr>
                <w:rFonts w:ascii="Calibri" w:hAnsi="Calibri"/>
                <w:sz w:val="22"/>
                <w:szCs w:val="22"/>
              </w:rPr>
            </w:pPr>
            <w:r w:rsidRPr="00512A6D">
              <w:rPr>
                <w:rFonts w:ascii="Calibri" w:hAnsi="Calibri"/>
                <w:sz w:val="22"/>
                <w:szCs w:val="22"/>
              </w:rPr>
              <w:t>20</w:t>
            </w:r>
          </w:p>
        </w:tc>
        <w:tc>
          <w:tcPr>
            <w:tcW w:w="1480" w:type="dxa"/>
            <w:tcBorders>
              <w:top w:val="nil"/>
              <w:left w:val="nil"/>
              <w:bottom w:val="single" w:sz="4" w:space="0" w:color="auto"/>
              <w:right w:val="single" w:sz="4" w:space="0" w:color="auto"/>
            </w:tcBorders>
            <w:shd w:val="clear" w:color="auto" w:fill="auto"/>
            <w:vAlign w:val="center"/>
            <w:hideMark/>
          </w:tcPr>
          <w:p w14:paraId="0B87A4BB"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6DC744B7" w14:textId="77777777" w:rsidR="00F67E40" w:rsidRPr="00512A6D" w:rsidRDefault="00F67E40">
            <w:pPr>
              <w:jc w:val="center"/>
              <w:rPr>
                <w:rFonts w:ascii="Calibri" w:hAnsi="Calibri"/>
                <w:sz w:val="22"/>
                <w:szCs w:val="22"/>
              </w:rPr>
            </w:pPr>
            <w:r w:rsidRPr="00512A6D">
              <w:rPr>
                <w:rFonts w:ascii="Calibri" w:hAnsi="Calibri"/>
                <w:sz w:val="22"/>
                <w:szCs w:val="22"/>
              </w:rPr>
              <w:t>240</w:t>
            </w:r>
          </w:p>
        </w:tc>
        <w:tc>
          <w:tcPr>
            <w:tcW w:w="1074" w:type="dxa"/>
            <w:tcBorders>
              <w:top w:val="nil"/>
              <w:left w:val="nil"/>
              <w:bottom w:val="single" w:sz="4" w:space="0" w:color="auto"/>
              <w:right w:val="single" w:sz="4" w:space="0" w:color="auto"/>
            </w:tcBorders>
            <w:shd w:val="clear" w:color="auto" w:fill="auto"/>
            <w:vAlign w:val="center"/>
            <w:hideMark/>
          </w:tcPr>
          <w:p w14:paraId="10A415D2" w14:textId="77777777" w:rsidR="00F67E40" w:rsidRPr="00512A6D" w:rsidRDefault="00F67E40">
            <w:pPr>
              <w:jc w:val="center"/>
              <w:rPr>
                <w:rFonts w:ascii="Calibri" w:hAnsi="Calibri"/>
                <w:sz w:val="22"/>
                <w:szCs w:val="22"/>
              </w:rPr>
            </w:pPr>
            <w:r w:rsidRPr="00512A6D">
              <w:rPr>
                <w:rFonts w:ascii="Calibri" w:hAnsi="Calibri"/>
                <w:sz w:val="22"/>
                <w:szCs w:val="22"/>
              </w:rPr>
              <w:t>375</w:t>
            </w:r>
          </w:p>
        </w:tc>
        <w:tc>
          <w:tcPr>
            <w:tcW w:w="1840" w:type="dxa"/>
            <w:tcBorders>
              <w:top w:val="nil"/>
              <w:left w:val="nil"/>
              <w:bottom w:val="single" w:sz="4" w:space="0" w:color="auto"/>
              <w:right w:val="single" w:sz="4" w:space="0" w:color="auto"/>
            </w:tcBorders>
            <w:shd w:val="clear" w:color="auto" w:fill="auto"/>
            <w:vAlign w:val="center"/>
            <w:hideMark/>
          </w:tcPr>
          <w:p w14:paraId="01E5DE01" w14:textId="77777777" w:rsidR="00F67E40" w:rsidRPr="00512A6D" w:rsidRDefault="00F67E40">
            <w:pPr>
              <w:jc w:val="center"/>
              <w:rPr>
                <w:rFonts w:ascii="Calibri" w:hAnsi="Calibri"/>
                <w:sz w:val="22"/>
                <w:szCs w:val="22"/>
              </w:rPr>
            </w:pPr>
            <w:r w:rsidRPr="00512A6D">
              <w:rPr>
                <w:rFonts w:ascii="Calibri" w:hAnsi="Calibri"/>
                <w:sz w:val="22"/>
                <w:szCs w:val="22"/>
              </w:rPr>
              <w:t>90,000</w:t>
            </w:r>
          </w:p>
        </w:tc>
      </w:tr>
      <w:tr w:rsidR="00512A6D" w:rsidRPr="00512A6D" w14:paraId="14D9075D"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8EE299F" w14:textId="77777777" w:rsidR="00F67E40" w:rsidRPr="00512A6D" w:rsidRDefault="00F67E40">
            <w:pPr>
              <w:jc w:val="center"/>
              <w:rPr>
                <w:rFonts w:ascii="Calibri" w:hAnsi="Calibri"/>
                <w:sz w:val="22"/>
                <w:szCs w:val="22"/>
              </w:rPr>
            </w:pPr>
            <w:r w:rsidRPr="00512A6D">
              <w:rPr>
                <w:rFonts w:ascii="Calibri" w:hAnsi="Calibri"/>
                <w:sz w:val="22"/>
                <w:szCs w:val="22"/>
              </w:rPr>
              <w:t>3</w:t>
            </w:r>
          </w:p>
        </w:tc>
        <w:tc>
          <w:tcPr>
            <w:tcW w:w="1500" w:type="dxa"/>
            <w:tcBorders>
              <w:top w:val="nil"/>
              <w:left w:val="nil"/>
              <w:bottom w:val="single" w:sz="4" w:space="0" w:color="auto"/>
              <w:right w:val="single" w:sz="4" w:space="0" w:color="auto"/>
            </w:tcBorders>
            <w:shd w:val="clear" w:color="auto" w:fill="auto"/>
            <w:vAlign w:val="center"/>
            <w:hideMark/>
          </w:tcPr>
          <w:p w14:paraId="53BF8111" w14:textId="77777777" w:rsidR="00F67E40" w:rsidRPr="00512A6D" w:rsidRDefault="00F67E40">
            <w:pPr>
              <w:jc w:val="center"/>
              <w:rPr>
                <w:rFonts w:ascii="Calibri" w:hAnsi="Calibri"/>
                <w:sz w:val="22"/>
                <w:szCs w:val="22"/>
              </w:rPr>
            </w:pPr>
            <w:r w:rsidRPr="00512A6D">
              <w:rPr>
                <w:rFonts w:ascii="Calibri" w:hAnsi="Calibri"/>
                <w:sz w:val="22"/>
                <w:szCs w:val="22"/>
              </w:rPr>
              <w:t>20</w:t>
            </w:r>
          </w:p>
        </w:tc>
        <w:tc>
          <w:tcPr>
            <w:tcW w:w="1480" w:type="dxa"/>
            <w:tcBorders>
              <w:top w:val="nil"/>
              <w:left w:val="nil"/>
              <w:bottom w:val="single" w:sz="4" w:space="0" w:color="auto"/>
              <w:right w:val="single" w:sz="4" w:space="0" w:color="auto"/>
            </w:tcBorders>
            <w:shd w:val="clear" w:color="auto" w:fill="auto"/>
            <w:vAlign w:val="center"/>
            <w:hideMark/>
          </w:tcPr>
          <w:p w14:paraId="74C74DE0"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1D038F60" w14:textId="77777777" w:rsidR="00F67E40" w:rsidRPr="00512A6D" w:rsidRDefault="00F67E40">
            <w:pPr>
              <w:jc w:val="center"/>
              <w:rPr>
                <w:rFonts w:ascii="Calibri" w:hAnsi="Calibri"/>
                <w:sz w:val="22"/>
                <w:szCs w:val="22"/>
              </w:rPr>
            </w:pPr>
            <w:r w:rsidRPr="00512A6D">
              <w:rPr>
                <w:rFonts w:ascii="Calibri" w:hAnsi="Calibri"/>
                <w:sz w:val="22"/>
                <w:szCs w:val="22"/>
              </w:rPr>
              <w:t>240</w:t>
            </w:r>
          </w:p>
        </w:tc>
        <w:tc>
          <w:tcPr>
            <w:tcW w:w="1074" w:type="dxa"/>
            <w:tcBorders>
              <w:top w:val="nil"/>
              <w:left w:val="nil"/>
              <w:bottom w:val="single" w:sz="4" w:space="0" w:color="auto"/>
              <w:right w:val="single" w:sz="4" w:space="0" w:color="auto"/>
            </w:tcBorders>
            <w:shd w:val="clear" w:color="auto" w:fill="auto"/>
            <w:vAlign w:val="center"/>
            <w:hideMark/>
          </w:tcPr>
          <w:p w14:paraId="2CA0193D" w14:textId="77777777" w:rsidR="00F67E40" w:rsidRPr="00512A6D" w:rsidRDefault="00F67E40">
            <w:pPr>
              <w:jc w:val="center"/>
              <w:rPr>
                <w:rFonts w:ascii="Calibri" w:hAnsi="Calibri"/>
                <w:sz w:val="22"/>
                <w:szCs w:val="22"/>
              </w:rPr>
            </w:pPr>
            <w:r w:rsidRPr="00512A6D">
              <w:rPr>
                <w:rFonts w:ascii="Calibri" w:hAnsi="Calibri"/>
                <w:sz w:val="22"/>
                <w:szCs w:val="22"/>
              </w:rPr>
              <w:t>187.5</w:t>
            </w:r>
          </w:p>
        </w:tc>
        <w:tc>
          <w:tcPr>
            <w:tcW w:w="1840" w:type="dxa"/>
            <w:tcBorders>
              <w:top w:val="nil"/>
              <w:left w:val="nil"/>
              <w:bottom w:val="single" w:sz="4" w:space="0" w:color="auto"/>
              <w:right w:val="single" w:sz="4" w:space="0" w:color="auto"/>
            </w:tcBorders>
            <w:shd w:val="clear" w:color="auto" w:fill="auto"/>
            <w:vAlign w:val="center"/>
            <w:hideMark/>
          </w:tcPr>
          <w:p w14:paraId="14F4F7F4" w14:textId="77777777" w:rsidR="00F67E40" w:rsidRPr="00512A6D" w:rsidRDefault="00F67E40">
            <w:pPr>
              <w:jc w:val="center"/>
              <w:rPr>
                <w:rFonts w:ascii="Calibri" w:hAnsi="Calibri"/>
                <w:sz w:val="22"/>
                <w:szCs w:val="22"/>
              </w:rPr>
            </w:pPr>
            <w:r w:rsidRPr="00512A6D">
              <w:rPr>
                <w:rFonts w:ascii="Calibri" w:hAnsi="Calibri"/>
                <w:sz w:val="22"/>
                <w:szCs w:val="22"/>
              </w:rPr>
              <w:t>45,000</w:t>
            </w:r>
          </w:p>
        </w:tc>
      </w:tr>
      <w:tr w:rsidR="0043239B" w:rsidRPr="0043239B" w14:paraId="2433AA69" w14:textId="77777777" w:rsidTr="00D322D5">
        <w:trPr>
          <w:trHeight w:val="300"/>
        </w:trPr>
        <w:tc>
          <w:tcPr>
            <w:tcW w:w="615" w:type="dxa"/>
            <w:tcBorders>
              <w:top w:val="nil"/>
              <w:left w:val="nil"/>
              <w:bottom w:val="nil"/>
              <w:right w:val="nil"/>
            </w:tcBorders>
            <w:shd w:val="clear" w:color="auto" w:fill="auto"/>
            <w:noWrap/>
            <w:vAlign w:val="bottom"/>
            <w:hideMark/>
          </w:tcPr>
          <w:p w14:paraId="64FC2558" w14:textId="77777777" w:rsidR="00F67E40" w:rsidRPr="0043239B" w:rsidRDefault="00F67E40">
            <w:pPr>
              <w:rPr>
                <w:rFonts w:ascii="Calibri" w:hAnsi="Calibri"/>
                <w:color w:val="FF0000"/>
                <w:sz w:val="22"/>
                <w:szCs w:val="22"/>
              </w:rPr>
            </w:pPr>
          </w:p>
        </w:tc>
        <w:tc>
          <w:tcPr>
            <w:tcW w:w="1500" w:type="dxa"/>
            <w:tcBorders>
              <w:top w:val="nil"/>
              <w:left w:val="nil"/>
              <w:bottom w:val="nil"/>
              <w:right w:val="nil"/>
            </w:tcBorders>
            <w:shd w:val="clear" w:color="auto" w:fill="auto"/>
            <w:noWrap/>
            <w:vAlign w:val="bottom"/>
            <w:hideMark/>
          </w:tcPr>
          <w:p w14:paraId="38318167" w14:textId="77777777" w:rsidR="00F67E40" w:rsidRPr="0043239B" w:rsidRDefault="00F67E40">
            <w:pPr>
              <w:rPr>
                <w:rFonts w:ascii="Calibri" w:hAnsi="Calibri"/>
                <w:color w:val="FF0000"/>
                <w:sz w:val="22"/>
                <w:szCs w:val="22"/>
              </w:rPr>
            </w:pPr>
          </w:p>
        </w:tc>
        <w:tc>
          <w:tcPr>
            <w:tcW w:w="1480" w:type="dxa"/>
            <w:tcBorders>
              <w:top w:val="nil"/>
              <w:left w:val="nil"/>
              <w:bottom w:val="nil"/>
              <w:right w:val="nil"/>
            </w:tcBorders>
            <w:shd w:val="clear" w:color="auto" w:fill="auto"/>
            <w:noWrap/>
            <w:vAlign w:val="bottom"/>
            <w:hideMark/>
          </w:tcPr>
          <w:p w14:paraId="5E3E1D7D" w14:textId="77777777" w:rsidR="00F67E40" w:rsidRPr="0043239B" w:rsidRDefault="00F67E40">
            <w:pPr>
              <w:rPr>
                <w:rFonts w:ascii="Calibri" w:hAnsi="Calibri"/>
                <w:color w:val="FF0000"/>
                <w:sz w:val="22"/>
                <w:szCs w:val="22"/>
              </w:rPr>
            </w:pPr>
          </w:p>
        </w:tc>
        <w:tc>
          <w:tcPr>
            <w:tcW w:w="1180" w:type="dxa"/>
            <w:tcBorders>
              <w:top w:val="nil"/>
              <w:left w:val="nil"/>
              <w:bottom w:val="nil"/>
              <w:right w:val="nil"/>
            </w:tcBorders>
            <w:shd w:val="clear" w:color="auto" w:fill="auto"/>
            <w:noWrap/>
            <w:vAlign w:val="bottom"/>
            <w:hideMark/>
          </w:tcPr>
          <w:p w14:paraId="0FFE32C8" w14:textId="77777777" w:rsidR="00F67E40" w:rsidRPr="0043239B" w:rsidRDefault="00F67E40">
            <w:pPr>
              <w:rPr>
                <w:rFonts w:ascii="Calibri" w:hAnsi="Calibri"/>
                <w:color w:val="FF0000"/>
                <w:sz w:val="22"/>
                <w:szCs w:val="22"/>
              </w:rPr>
            </w:pPr>
          </w:p>
        </w:tc>
        <w:tc>
          <w:tcPr>
            <w:tcW w:w="1074" w:type="dxa"/>
            <w:tcBorders>
              <w:top w:val="nil"/>
              <w:left w:val="nil"/>
              <w:bottom w:val="nil"/>
              <w:right w:val="nil"/>
            </w:tcBorders>
            <w:shd w:val="clear" w:color="auto" w:fill="auto"/>
            <w:noWrap/>
            <w:vAlign w:val="bottom"/>
            <w:hideMark/>
          </w:tcPr>
          <w:p w14:paraId="25EEEB7D" w14:textId="77777777" w:rsidR="00F67E40" w:rsidRPr="0043239B" w:rsidRDefault="00F67E40">
            <w:pPr>
              <w:rPr>
                <w:rFonts w:ascii="Calibri" w:hAnsi="Calibri"/>
                <w:color w:val="FF0000"/>
                <w:sz w:val="22"/>
                <w:szCs w:val="22"/>
              </w:rPr>
            </w:pPr>
          </w:p>
        </w:tc>
        <w:tc>
          <w:tcPr>
            <w:tcW w:w="1840" w:type="dxa"/>
            <w:tcBorders>
              <w:top w:val="nil"/>
              <w:left w:val="nil"/>
              <w:bottom w:val="nil"/>
              <w:right w:val="nil"/>
            </w:tcBorders>
            <w:shd w:val="clear" w:color="auto" w:fill="auto"/>
            <w:noWrap/>
            <w:vAlign w:val="bottom"/>
            <w:hideMark/>
          </w:tcPr>
          <w:p w14:paraId="59CCE32A" w14:textId="77777777" w:rsidR="00F67E40" w:rsidRPr="0043239B" w:rsidRDefault="00F67E40">
            <w:pPr>
              <w:rPr>
                <w:rFonts w:ascii="Calibri" w:hAnsi="Calibri"/>
                <w:color w:val="FF0000"/>
                <w:sz w:val="22"/>
                <w:szCs w:val="22"/>
              </w:rPr>
            </w:pPr>
          </w:p>
        </w:tc>
      </w:tr>
    </w:tbl>
    <w:p w14:paraId="4819A818" w14:textId="1ED800F0" w:rsidR="00D322D5" w:rsidRPr="00F26151" w:rsidRDefault="00D322D5" w:rsidP="001858A7">
      <w:pPr>
        <w:ind w:left="720"/>
      </w:pPr>
      <w:r w:rsidRPr="00F26151">
        <w:t>Total estimated three year burden: 297,000</w:t>
      </w:r>
    </w:p>
    <w:p w14:paraId="79A4DE37" w14:textId="75B96C6C" w:rsidR="00D322D5" w:rsidRPr="00F26151" w:rsidRDefault="00D322D5" w:rsidP="001858A7">
      <w:pPr>
        <w:ind w:left="720"/>
      </w:pPr>
      <w:r w:rsidRPr="00F26151">
        <w:t>Average estimated hours per response: 412.5</w:t>
      </w:r>
    </w:p>
    <w:p w14:paraId="5F3D5736" w14:textId="77777777" w:rsidR="00F26151" w:rsidRPr="00F26151" w:rsidRDefault="00F26151" w:rsidP="001858A7">
      <w:pPr>
        <w:ind w:left="720"/>
      </w:pPr>
    </w:p>
    <w:p w14:paraId="4F47A3FC" w14:textId="77E0E7DB" w:rsidR="00F26151" w:rsidRPr="00F26151" w:rsidRDefault="00F26151" w:rsidP="00F26151">
      <w:r w:rsidRPr="00F26151">
        <w:t>Rounded to 413 hours, the estimated average annual burden for larger servicers is 99,120 hours.</w:t>
      </w:r>
    </w:p>
    <w:p w14:paraId="45ECB4DB" w14:textId="77777777" w:rsidR="00D322D5" w:rsidRDefault="00D322D5" w:rsidP="00F67E40">
      <w:pPr>
        <w:rPr>
          <w:color w:val="FF0000"/>
          <w:u w:val="single"/>
        </w:rPr>
      </w:pPr>
    </w:p>
    <w:p w14:paraId="358E58C9" w14:textId="6BFF92A4" w:rsidR="00F67E40" w:rsidRPr="00512A6D" w:rsidRDefault="00F67E40" w:rsidP="00F67E40">
      <w:pPr>
        <w:rPr>
          <w:u w:val="single"/>
        </w:rPr>
      </w:pPr>
      <w:r w:rsidRPr="00512A6D">
        <w:rPr>
          <w:u w:val="single"/>
        </w:rPr>
        <w:t>Smaller Servicers</w:t>
      </w:r>
    </w:p>
    <w:p w14:paraId="67BB06AC" w14:textId="77777777" w:rsidR="00F67E40" w:rsidRPr="00512A6D" w:rsidRDefault="00F67E40" w:rsidP="00F67E40"/>
    <w:tbl>
      <w:tblPr>
        <w:tblW w:w="7689" w:type="dxa"/>
        <w:tblInd w:w="93" w:type="dxa"/>
        <w:tblLook w:val="04A0" w:firstRow="1" w:lastRow="0" w:firstColumn="1" w:lastColumn="0" w:noHBand="0" w:noVBand="1"/>
      </w:tblPr>
      <w:tblGrid>
        <w:gridCol w:w="615"/>
        <w:gridCol w:w="1500"/>
        <w:gridCol w:w="1480"/>
        <w:gridCol w:w="1180"/>
        <w:gridCol w:w="1074"/>
        <w:gridCol w:w="1840"/>
      </w:tblGrid>
      <w:tr w:rsidR="00512A6D" w:rsidRPr="00512A6D" w14:paraId="15D04718" w14:textId="77777777" w:rsidTr="00D322D5">
        <w:trPr>
          <w:trHeight w:val="90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1FDE" w14:textId="77777777" w:rsidR="00F67E40" w:rsidRPr="00512A6D" w:rsidRDefault="00F67E40">
            <w:pPr>
              <w:jc w:val="center"/>
              <w:rPr>
                <w:rFonts w:ascii="Calibri" w:hAnsi="Calibri"/>
                <w:sz w:val="22"/>
                <w:szCs w:val="22"/>
              </w:rPr>
            </w:pPr>
            <w:r w:rsidRPr="00512A6D">
              <w:rPr>
                <w:rFonts w:ascii="Calibri" w:hAnsi="Calibri"/>
                <w:sz w:val="22"/>
                <w:szCs w:val="22"/>
              </w:rPr>
              <w:t>Year</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487078" w14:textId="77777777" w:rsidR="00F67E40" w:rsidRPr="00512A6D" w:rsidRDefault="00F67E40">
            <w:pPr>
              <w:jc w:val="center"/>
              <w:rPr>
                <w:rFonts w:ascii="Calibri" w:hAnsi="Calibri"/>
                <w:sz w:val="22"/>
                <w:szCs w:val="22"/>
              </w:rPr>
            </w:pPr>
            <w:r w:rsidRPr="00512A6D">
              <w:rPr>
                <w:rFonts w:ascii="Calibri" w:hAnsi="Calibri"/>
                <w:sz w:val="22"/>
                <w:szCs w:val="22"/>
              </w:rPr>
              <w:t>Respondents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40FB037" w14:textId="77777777" w:rsidR="00F67E40" w:rsidRPr="00512A6D" w:rsidRDefault="00F67E40">
            <w:pPr>
              <w:jc w:val="center"/>
              <w:rPr>
                <w:rFonts w:ascii="Calibri" w:hAnsi="Calibri"/>
                <w:sz w:val="22"/>
                <w:szCs w:val="22"/>
              </w:rPr>
            </w:pPr>
            <w:r w:rsidRPr="00512A6D">
              <w:rPr>
                <w:rFonts w:ascii="Calibri" w:hAnsi="Calibri"/>
                <w:sz w:val="22"/>
                <w:szCs w:val="22"/>
              </w:rPr>
              <w:t># Annual Responses Per Respondent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8E81B26" w14:textId="77777777" w:rsidR="00F67E40" w:rsidRPr="00512A6D" w:rsidRDefault="00F67E40">
            <w:pPr>
              <w:jc w:val="center"/>
              <w:rPr>
                <w:rFonts w:ascii="Calibri" w:hAnsi="Calibri"/>
                <w:sz w:val="22"/>
                <w:szCs w:val="22"/>
              </w:rPr>
            </w:pPr>
            <w:r w:rsidRPr="00512A6D">
              <w:rPr>
                <w:rFonts w:ascii="Calibri" w:hAnsi="Calibri"/>
                <w:sz w:val="22"/>
                <w:szCs w:val="22"/>
              </w:rPr>
              <w:t xml:space="preserve"> Est. Annual Responses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B667397" w14:textId="77777777" w:rsidR="00F67E40" w:rsidRPr="00512A6D" w:rsidRDefault="00F67E40">
            <w:pPr>
              <w:jc w:val="center"/>
              <w:rPr>
                <w:rFonts w:ascii="Calibri" w:hAnsi="Calibri"/>
                <w:sz w:val="22"/>
                <w:szCs w:val="22"/>
              </w:rPr>
            </w:pPr>
            <w:r w:rsidRPr="00512A6D">
              <w:rPr>
                <w:rFonts w:ascii="Calibri" w:hAnsi="Calibri"/>
                <w:sz w:val="22"/>
                <w:szCs w:val="22"/>
              </w:rPr>
              <w:t>Hours Per Response</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46D728D" w14:textId="77777777" w:rsidR="00F67E40" w:rsidRPr="00512A6D" w:rsidRDefault="00F67E40">
            <w:pPr>
              <w:jc w:val="center"/>
              <w:rPr>
                <w:rFonts w:ascii="Calibri" w:hAnsi="Calibri"/>
                <w:sz w:val="22"/>
                <w:szCs w:val="22"/>
              </w:rPr>
            </w:pPr>
            <w:r w:rsidRPr="00512A6D">
              <w:rPr>
                <w:rFonts w:ascii="Calibri" w:hAnsi="Calibri"/>
                <w:sz w:val="22"/>
                <w:szCs w:val="22"/>
              </w:rPr>
              <w:t>Total Annual Burden (Hours)</w:t>
            </w:r>
          </w:p>
        </w:tc>
      </w:tr>
      <w:tr w:rsidR="00512A6D" w:rsidRPr="00512A6D" w14:paraId="495B0DD9"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2441C36" w14:textId="77777777" w:rsidR="00F67E40" w:rsidRPr="00512A6D" w:rsidRDefault="00F67E40">
            <w:pPr>
              <w:jc w:val="center"/>
              <w:rPr>
                <w:rFonts w:ascii="Calibri" w:hAnsi="Calibri"/>
                <w:sz w:val="22"/>
                <w:szCs w:val="22"/>
              </w:rPr>
            </w:pPr>
            <w:r w:rsidRPr="00512A6D">
              <w:rPr>
                <w:rFonts w:ascii="Calibri" w:hAnsi="Calibri"/>
                <w:sz w:val="22"/>
                <w:szCs w:val="22"/>
              </w:rPr>
              <w:t>1</w:t>
            </w:r>
          </w:p>
        </w:tc>
        <w:tc>
          <w:tcPr>
            <w:tcW w:w="1500" w:type="dxa"/>
            <w:tcBorders>
              <w:top w:val="nil"/>
              <w:left w:val="nil"/>
              <w:bottom w:val="single" w:sz="4" w:space="0" w:color="auto"/>
              <w:right w:val="single" w:sz="4" w:space="0" w:color="auto"/>
            </w:tcBorders>
            <w:shd w:val="clear" w:color="auto" w:fill="auto"/>
            <w:vAlign w:val="center"/>
            <w:hideMark/>
          </w:tcPr>
          <w:p w14:paraId="39FB422C" w14:textId="77777777" w:rsidR="00F67E40" w:rsidRPr="00512A6D" w:rsidRDefault="00F67E40">
            <w:pPr>
              <w:jc w:val="center"/>
              <w:rPr>
                <w:rFonts w:ascii="Calibri" w:hAnsi="Calibri"/>
                <w:sz w:val="22"/>
                <w:szCs w:val="22"/>
              </w:rPr>
            </w:pPr>
            <w:r w:rsidRPr="00512A6D">
              <w:rPr>
                <w:rFonts w:ascii="Calibri" w:hAnsi="Calibri"/>
                <w:sz w:val="22"/>
                <w:szCs w:val="22"/>
              </w:rPr>
              <w:t>120</w:t>
            </w:r>
          </w:p>
        </w:tc>
        <w:tc>
          <w:tcPr>
            <w:tcW w:w="1480" w:type="dxa"/>
            <w:tcBorders>
              <w:top w:val="nil"/>
              <w:left w:val="nil"/>
              <w:bottom w:val="single" w:sz="4" w:space="0" w:color="auto"/>
              <w:right w:val="single" w:sz="4" w:space="0" w:color="auto"/>
            </w:tcBorders>
            <w:shd w:val="clear" w:color="auto" w:fill="auto"/>
            <w:vAlign w:val="center"/>
            <w:hideMark/>
          </w:tcPr>
          <w:p w14:paraId="772663E1"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16D29D09" w14:textId="77777777" w:rsidR="00F67E40" w:rsidRPr="00512A6D" w:rsidRDefault="00F67E40">
            <w:pPr>
              <w:jc w:val="center"/>
              <w:rPr>
                <w:rFonts w:ascii="Calibri" w:hAnsi="Calibri"/>
                <w:sz w:val="22"/>
                <w:szCs w:val="22"/>
              </w:rPr>
            </w:pPr>
            <w:r w:rsidRPr="00512A6D">
              <w:rPr>
                <w:rFonts w:ascii="Calibri" w:hAnsi="Calibri"/>
                <w:sz w:val="22"/>
                <w:szCs w:val="22"/>
              </w:rPr>
              <w:t>1440</w:t>
            </w:r>
          </w:p>
        </w:tc>
        <w:tc>
          <w:tcPr>
            <w:tcW w:w="1074" w:type="dxa"/>
            <w:tcBorders>
              <w:top w:val="nil"/>
              <w:left w:val="nil"/>
              <w:bottom w:val="single" w:sz="4" w:space="0" w:color="auto"/>
              <w:right w:val="single" w:sz="4" w:space="0" w:color="auto"/>
            </w:tcBorders>
            <w:shd w:val="clear" w:color="auto" w:fill="auto"/>
            <w:vAlign w:val="center"/>
            <w:hideMark/>
          </w:tcPr>
          <w:p w14:paraId="28DF2422" w14:textId="77777777" w:rsidR="00F67E40" w:rsidRPr="00512A6D" w:rsidRDefault="00F67E40">
            <w:pPr>
              <w:jc w:val="center"/>
              <w:rPr>
                <w:rFonts w:ascii="Calibri" w:hAnsi="Calibri"/>
                <w:sz w:val="22"/>
                <w:szCs w:val="22"/>
              </w:rPr>
            </w:pPr>
            <w:r w:rsidRPr="00512A6D">
              <w:rPr>
                <w:rFonts w:ascii="Calibri" w:hAnsi="Calibri"/>
                <w:sz w:val="22"/>
                <w:szCs w:val="22"/>
              </w:rPr>
              <w:t>7.2</w:t>
            </w:r>
          </w:p>
        </w:tc>
        <w:tc>
          <w:tcPr>
            <w:tcW w:w="1840" w:type="dxa"/>
            <w:tcBorders>
              <w:top w:val="nil"/>
              <w:left w:val="nil"/>
              <w:bottom w:val="single" w:sz="4" w:space="0" w:color="auto"/>
              <w:right w:val="single" w:sz="4" w:space="0" w:color="auto"/>
            </w:tcBorders>
            <w:shd w:val="clear" w:color="auto" w:fill="auto"/>
            <w:vAlign w:val="center"/>
            <w:hideMark/>
          </w:tcPr>
          <w:p w14:paraId="1379F93B" w14:textId="77777777" w:rsidR="00F67E40" w:rsidRPr="00512A6D" w:rsidRDefault="00F67E40">
            <w:pPr>
              <w:jc w:val="center"/>
              <w:rPr>
                <w:rFonts w:ascii="Calibri" w:hAnsi="Calibri"/>
                <w:sz w:val="22"/>
                <w:szCs w:val="22"/>
              </w:rPr>
            </w:pPr>
            <w:r w:rsidRPr="00512A6D">
              <w:rPr>
                <w:rFonts w:ascii="Calibri" w:hAnsi="Calibri"/>
                <w:sz w:val="22"/>
                <w:szCs w:val="22"/>
              </w:rPr>
              <w:t>10,368</w:t>
            </w:r>
          </w:p>
        </w:tc>
      </w:tr>
      <w:tr w:rsidR="00512A6D" w:rsidRPr="00512A6D" w14:paraId="4243B637"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52F0743" w14:textId="77777777" w:rsidR="00F67E40" w:rsidRPr="00512A6D" w:rsidRDefault="00F67E40">
            <w:pPr>
              <w:jc w:val="center"/>
              <w:rPr>
                <w:rFonts w:ascii="Calibri" w:hAnsi="Calibri"/>
                <w:sz w:val="22"/>
                <w:szCs w:val="22"/>
              </w:rPr>
            </w:pPr>
            <w:r w:rsidRPr="00512A6D">
              <w:rPr>
                <w:rFonts w:ascii="Calibri" w:hAnsi="Calibri"/>
                <w:sz w:val="22"/>
                <w:szCs w:val="22"/>
              </w:rPr>
              <w:t>2</w:t>
            </w:r>
          </w:p>
        </w:tc>
        <w:tc>
          <w:tcPr>
            <w:tcW w:w="1500" w:type="dxa"/>
            <w:tcBorders>
              <w:top w:val="nil"/>
              <w:left w:val="nil"/>
              <w:bottom w:val="single" w:sz="4" w:space="0" w:color="auto"/>
              <w:right w:val="single" w:sz="4" w:space="0" w:color="auto"/>
            </w:tcBorders>
            <w:shd w:val="clear" w:color="auto" w:fill="auto"/>
            <w:vAlign w:val="center"/>
            <w:hideMark/>
          </w:tcPr>
          <w:p w14:paraId="38366F7B" w14:textId="77777777" w:rsidR="00F67E40" w:rsidRPr="00512A6D" w:rsidRDefault="00F67E40">
            <w:pPr>
              <w:jc w:val="center"/>
              <w:rPr>
                <w:rFonts w:ascii="Calibri" w:hAnsi="Calibri"/>
                <w:sz w:val="22"/>
                <w:szCs w:val="22"/>
              </w:rPr>
            </w:pPr>
            <w:r w:rsidRPr="00512A6D">
              <w:rPr>
                <w:rFonts w:ascii="Calibri" w:hAnsi="Calibri"/>
                <w:sz w:val="22"/>
                <w:szCs w:val="22"/>
              </w:rPr>
              <w:t>120</w:t>
            </w:r>
          </w:p>
        </w:tc>
        <w:tc>
          <w:tcPr>
            <w:tcW w:w="1480" w:type="dxa"/>
            <w:tcBorders>
              <w:top w:val="nil"/>
              <w:left w:val="nil"/>
              <w:bottom w:val="single" w:sz="4" w:space="0" w:color="auto"/>
              <w:right w:val="single" w:sz="4" w:space="0" w:color="auto"/>
            </w:tcBorders>
            <w:shd w:val="clear" w:color="auto" w:fill="auto"/>
            <w:vAlign w:val="center"/>
            <w:hideMark/>
          </w:tcPr>
          <w:p w14:paraId="1B5F88DE"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3B12758E" w14:textId="77777777" w:rsidR="00F67E40" w:rsidRPr="00512A6D" w:rsidRDefault="00F67E40">
            <w:pPr>
              <w:jc w:val="center"/>
              <w:rPr>
                <w:rFonts w:ascii="Calibri" w:hAnsi="Calibri"/>
                <w:sz w:val="22"/>
                <w:szCs w:val="22"/>
              </w:rPr>
            </w:pPr>
            <w:r w:rsidRPr="00512A6D">
              <w:rPr>
                <w:rFonts w:ascii="Calibri" w:hAnsi="Calibri"/>
                <w:sz w:val="22"/>
                <w:szCs w:val="22"/>
              </w:rPr>
              <w:t>1440</w:t>
            </w:r>
          </w:p>
        </w:tc>
        <w:tc>
          <w:tcPr>
            <w:tcW w:w="1074" w:type="dxa"/>
            <w:tcBorders>
              <w:top w:val="nil"/>
              <w:left w:val="nil"/>
              <w:bottom w:val="single" w:sz="4" w:space="0" w:color="auto"/>
              <w:right w:val="single" w:sz="4" w:space="0" w:color="auto"/>
            </w:tcBorders>
            <w:shd w:val="clear" w:color="auto" w:fill="auto"/>
            <w:vAlign w:val="center"/>
            <w:hideMark/>
          </w:tcPr>
          <w:p w14:paraId="4E34984F" w14:textId="77777777" w:rsidR="00F67E40" w:rsidRPr="00512A6D" w:rsidRDefault="00F67E40">
            <w:pPr>
              <w:jc w:val="center"/>
              <w:rPr>
                <w:rFonts w:ascii="Calibri" w:hAnsi="Calibri"/>
                <w:sz w:val="22"/>
                <w:szCs w:val="22"/>
              </w:rPr>
            </w:pPr>
            <w:r w:rsidRPr="00512A6D">
              <w:rPr>
                <w:rFonts w:ascii="Calibri" w:hAnsi="Calibri"/>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14:paraId="52C3F2BA" w14:textId="77777777" w:rsidR="00F67E40" w:rsidRPr="00512A6D" w:rsidRDefault="00F67E40">
            <w:pPr>
              <w:jc w:val="center"/>
              <w:rPr>
                <w:rFonts w:ascii="Calibri" w:hAnsi="Calibri"/>
                <w:sz w:val="22"/>
                <w:szCs w:val="22"/>
              </w:rPr>
            </w:pPr>
            <w:r w:rsidRPr="00512A6D">
              <w:rPr>
                <w:rFonts w:ascii="Calibri" w:hAnsi="Calibri"/>
                <w:sz w:val="22"/>
                <w:szCs w:val="22"/>
              </w:rPr>
              <w:t>5,760</w:t>
            </w:r>
          </w:p>
        </w:tc>
      </w:tr>
      <w:tr w:rsidR="0043239B" w:rsidRPr="00512A6D" w14:paraId="46C887B8" w14:textId="77777777" w:rsidTr="00D322D5">
        <w:trPr>
          <w:trHeight w:val="3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AB2445B" w14:textId="77777777" w:rsidR="00F67E40" w:rsidRPr="00512A6D" w:rsidRDefault="00F67E40">
            <w:pPr>
              <w:jc w:val="center"/>
              <w:rPr>
                <w:rFonts w:ascii="Calibri" w:hAnsi="Calibri"/>
                <w:sz w:val="22"/>
                <w:szCs w:val="22"/>
              </w:rPr>
            </w:pPr>
            <w:r w:rsidRPr="00512A6D">
              <w:rPr>
                <w:rFonts w:ascii="Calibri" w:hAnsi="Calibri"/>
                <w:sz w:val="22"/>
                <w:szCs w:val="22"/>
              </w:rPr>
              <w:t>3</w:t>
            </w:r>
          </w:p>
        </w:tc>
        <w:tc>
          <w:tcPr>
            <w:tcW w:w="1500" w:type="dxa"/>
            <w:tcBorders>
              <w:top w:val="nil"/>
              <w:left w:val="nil"/>
              <w:bottom w:val="single" w:sz="4" w:space="0" w:color="auto"/>
              <w:right w:val="single" w:sz="4" w:space="0" w:color="auto"/>
            </w:tcBorders>
            <w:shd w:val="clear" w:color="auto" w:fill="auto"/>
            <w:vAlign w:val="center"/>
            <w:hideMark/>
          </w:tcPr>
          <w:p w14:paraId="63F531DF" w14:textId="77777777" w:rsidR="00F67E40" w:rsidRPr="00512A6D" w:rsidRDefault="00F67E40">
            <w:pPr>
              <w:jc w:val="center"/>
              <w:rPr>
                <w:rFonts w:ascii="Calibri" w:hAnsi="Calibri"/>
                <w:sz w:val="22"/>
                <w:szCs w:val="22"/>
              </w:rPr>
            </w:pPr>
            <w:r w:rsidRPr="00512A6D">
              <w:rPr>
                <w:rFonts w:ascii="Calibri" w:hAnsi="Calibri"/>
                <w:sz w:val="22"/>
                <w:szCs w:val="22"/>
              </w:rPr>
              <w:t>120</w:t>
            </w:r>
          </w:p>
        </w:tc>
        <w:tc>
          <w:tcPr>
            <w:tcW w:w="1480" w:type="dxa"/>
            <w:tcBorders>
              <w:top w:val="nil"/>
              <w:left w:val="nil"/>
              <w:bottom w:val="single" w:sz="4" w:space="0" w:color="auto"/>
              <w:right w:val="single" w:sz="4" w:space="0" w:color="auto"/>
            </w:tcBorders>
            <w:shd w:val="clear" w:color="auto" w:fill="auto"/>
            <w:vAlign w:val="center"/>
            <w:hideMark/>
          </w:tcPr>
          <w:p w14:paraId="5087178B" w14:textId="77777777" w:rsidR="00F67E40" w:rsidRPr="00512A6D" w:rsidRDefault="00F67E40">
            <w:pPr>
              <w:jc w:val="center"/>
              <w:rPr>
                <w:rFonts w:ascii="Calibri" w:hAnsi="Calibri"/>
                <w:sz w:val="22"/>
                <w:szCs w:val="22"/>
              </w:rPr>
            </w:pPr>
            <w:r w:rsidRPr="00512A6D">
              <w:rPr>
                <w:rFonts w:ascii="Calibri" w:hAnsi="Calibri"/>
                <w:sz w:val="22"/>
                <w:szCs w:val="22"/>
              </w:rPr>
              <w:t>12</w:t>
            </w:r>
          </w:p>
        </w:tc>
        <w:tc>
          <w:tcPr>
            <w:tcW w:w="1180" w:type="dxa"/>
            <w:tcBorders>
              <w:top w:val="nil"/>
              <w:left w:val="nil"/>
              <w:bottom w:val="single" w:sz="4" w:space="0" w:color="auto"/>
              <w:right w:val="single" w:sz="4" w:space="0" w:color="auto"/>
            </w:tcBorders>
            <w:shd w:val="clear" w:color="auto" w:fill="auto"/>
            <w:vAlign w:val="center"/>
            <w:hideMark/>
          </w:tcPr>
          <w:p w14:paraId="699F2009" w14:textId="77777777" w:rsidR="00F67E40" w:rsidRPr="00512A6D" w:rsidRDefault="00F67E40">
            <w:pPr>
              <w:jc w:val="center"/>
              <w:rPr>
                <w:rFonts w:ascii="Calibri" w:hAnsi="Calibri"/>
                <w:sz w:val="22"/>
                <w:szCs w:val="22"/>
              </w:rPr>
            </w:pPr>
            <w:r w:rsidRPr="00512A6D">
              <w:rPr>
                <w:rFonts w:ascii="Calibri" w:hAnsi="Calibri"/>
                <w:sz w:val="22"/>
                <w:szCs w:val="22"/>
              </w:rPr>
              <w:t>1440</w:t>
            </w:r>
          </w:p>
        </w:tc>
        <w:tc>
          <w:tcPr>
            <w:tcW w:w="1074" w:type="dxa"/>
            <w:tcBorders>
              <w:top w:val="nil"/>
              <w:left w:val="nil"/>
              <w:bottom w:val="single" w:sz="4" w:space="0" w:color="auto"/>
              <w:right w:val="single" w:sz="4" w:space="0" w:color="auto"/>
            </w:tcBorders>
            <w:shd w:val="clear" w:color="auto" w:fill="auto"/>
            <w:vAlign w:val="center"/>
            <w:hideMark/>
          </w:tcPr>
          <w:p w14:paraId="189CF2BB" w14:textId="77777777" w:rsidR="00F67E40" w:rsidRPr="00512A6D" w:rsidRDefault="00F67E40">
            <w:pPr>
              <w:jc w:val="center"/>
              <w:rPr>
                <w:rFonts w:ascii="Calibri" w:hAnsi="Calibri"/>
                <w:sz w:val="22"/>
                <w:szCs w:val="22"/>
              </w:rPr>
            </w:pPr>
            <w:r w:rsidRPr="00512A6D">
              <w:rPr>
                <w:rFonts w:ascii="Calibri" w:hAnsi="Calibri"/>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14:paraId="5818B444" w14:textId="77777777" w:rsidR="00F67E40" w:rsidRPr="00512A6D" w:rsidRDefault="00F67E40">
            <w:pPr>
              <w:jc w:val="center"/>
              <w:rPr>
                <w:rFonts w:ascii="Calibri" w:hAnsi="Calibri"/>
                <w:sz w:val="22"/>
                <w:szCs w:val="22"/>
              </w:rPr>
            </w:pPr>
            <w:r w:rsidRPr="00512A6D">
              <w:rPr>
                <w:rFonts w:ascii="Calibri" w:hAnsi="Calibri"/>
                <w:sz w:val="22"/>
                <w:szCs w:val="22"/>
              </w:rPr>
              <w:t>2,880</w:t>
            </w:r>
          </w:p>
        </w:tc>
      </w:tr>
    </w:tbl>
    <w:p w14:paraId="46A98833" w14:textId="77777777" w:rsidR="00F67E40" w:rsidRPr="00512A6D" w:rsidRDefault="00F67E40" w:rsidP="00F67E40"/>
    <w:p w14:paraId="79295C8F" w14:textId="2861F698" w:rsidR="00D322D5" w:rsidRPr="00F26151" w:rsidRDefault="00D322D5" w:rsidP="001858A7">
      <w:pPr>
        <w:ind w:left="720"/>
      </w:pPr>
      <w:r w:rsidRPr="00F26151">
        <w:t>Total estimated three year burden: 19,008</w:t>
      </w:r>
    </w:p>
    <w:p w14:paraId="5D5FC92D" w14:textId="772FE628" w:rsidR="00D322D5" w:rsidRPr="00F26151" w:rsidRDefault="00D322D5" w:rsidP="001858A7">
      <w:pPr>
        <w:ind w:left="720"/>
      </w:pPr>
      <w:r w:rsidRPr="00F26151">
        <w:t>Average estimated hours per response: 4.4</w:t>
      </w:r>
    </w:p>
    <w:p w14:paraId="0A2BAE87" w14:textId="77777777" w:rsidR="00F26151" w:rsidRPr="00F26151" w:rsidRDefault="00F26151" w:rsidP="001858A7">
      <w:pPr>
        <w:ind w:left="720"/>
      </w:pPr>
    </w:p>
    <w:p w14:paraId="48D32F29" w14:textId="17C58CDA" w:rsidR="00F26151" w:rsidRPr="00F26151" w:rsidRDefault="00F26151" w:rsidP="00F26151">
      <w:r w:rsidRPr="00F26151">
        <w:t>Rounded to 4 hours, the estimated average annual burden for smaller servicers is 5,760.</w:t>
      </w:r>
    </w:p>
    <w:p w14:paraId="3697A920" w14:textId="77777777" w:rsidR="00D322D5" w:rsidRPr="00512A6D" w:rsidRDefault="00D322D5" w:rsidP="00F67E40">
      <w:pPr>
        <w:rPr>
          <w:u w:val="single"/>
        </w:rPr>
      </w:pPr>
    </w:p>
    <w:p w14:paraId="15381558" w14:textId="462E15AE" w:rsidR="00F67E40" w:rsidRPr="00512A6D" w:rsidRDefault="0089318E" w:rsidP="00F67E40">
      <w:r w:rsidRPr="00512A6D">
        <w:rPr>
          <w:u w:val="single"/>
        </w:rPr>
        <w:t>Combined</w:t>
      </w:r>
    </w:p>
    <w:p w14:paraId="43A3B5BB" w14:textId="77777777" w:rsidR="001858A7" w:rsidRPr="00512A6D" w:rsidRDefault="001858A7" w:rsidP="00F67E40"/>
    <w:p w14:paraId="0CED596B" w14:textId="3CF2F6E6" w:rsidR="0089318E" w:rsidRPr="00512A6D" w:rsidRDefault="0089318E" w:rsidP="00F67E40">
      <w:r w:rsidRPr="00512A6D">
        <w:t xml:space="preserve">The total </w:t>
      </w:r>
      <w:r w:rsidR="008C6377" w:rsidRPr="00512A6D">
        <w:t xml:space="preserve">estimated </w:t>
      </w:r>
      <w:r w:rsidRPr="00512A6D">
        <w:t xml:space="preserve">average annual burden </w:t>
      </w:r>
      <w:r w:rsidR="00F26151">
        <w:t xml:space="preserve">for all respondents </w:t>
      </w:r>
      <w:r w:rsidR="008C6377" w:rsidRPr="00512A6D">
        <w:t>is</w:t>
      </w:r>
      <w:r w:rsidRPr="00512A6D">
        <w:t xml:space="preserve"> </w:t>
      </w:r>
      <w:r w:rsidR="00F26151">
        <w:t>104,880</w:t>
      </w:r>
      <w:r w:rsidRPr="00512A6D">
        <w:t>.</w:t>
      </w:r>
    </w:p>
    <w:p w14:paraId="60340CF5" w14:textId="77777777" w:rsidR="0089318E" w:rsidRPr="0089318E" w:rsidRDefault="0089318E" w:rsidP="00F67E40"/>
    <w:p w14:paraId="289CD6C8" w14:textId="77777777" w:rsidR="00FB7F1C" w:rsidRDefault="00961823" w:rsidP="00FB7F1C">
      <w:pPr>
        <w:keepNext/>
        <w:ind w:firstLine="360"/>
      </w:pPr>
      <w:r w:rsidRPr="0025604D">
        <w:lastRenderedPageBreak/>
        <w:t xml:space="preserve">13.  </w:t>
      </w:r>
      <w:r w:rsidRPr="0025604D">
        <w:rPr>
          <w:u w:val="single"/>
        </w:rPr>
        <w:t>Estimated total annual cost burden to respondents</w:t>
      </w:r>
      <w:r w:rsidR="00FB7F1C">
        <w:rPr>
          <w:u w:val="single"/>
        </w:rPr>
        <w:t> </w:t>
      </w:r>
      <w:r w:rsidR="00FB7F1C">
        <w:t> </w:t>
      </w:r>
    </w:p>
    <w:p w14:paraId="23E88243" w14:textId="77777777" w:rsidR="00961823" w:rsidRPr="0025604D" w:rsidRDefault="00961823" w:rsidP="00FB7F1C">
      <w:pPr>
        <w:keepNext/>
      </w:pPr>
    </w:p>
    <w:p w14:paraId="2B9A2C5D" w14:textId="6A45B7D8" w:rsidR="005D5588" w:rsidRPr="0025604D" w:rsidRDefault="00D54A8F" w:rsidP="00CB003A">
      <w:r>
        <w:t xml:space="preserve">Most participating </w:t>
      </w:r>
      <w:r w:rsidR="00F7395C" w:rsidRPr="001139DB">
        <w:t xml:space="preserve">servicers </w:t>
      </w:r>
      <w:r w:rsidR="00130618">
        <w:t>have</w:t>
      </w:r>
      <w:r w:rsidR="00F7395C" w:rsidRPr="001139DB">
        <w:t xml:space="preserve"> modif</w:t>
      </w:r>
      <w:r w:rsidR="00130618">
        <w:t>ied</w:t>
      </w:r>
      <w:r w:rsidR="00F7395C" w:rsidRPr="001139DB">
        <w:t xml:space="preserve"> their current loan reporting systems to participate in the program</w:t>
      </w:r>
      <w:r w:rsidR="00A910BE">
        <w:t>, and continue to make adjustments as needed</w:t>
      </w:r>
      <w:r w:rsidR="00A10A09" w:rsidRPr="001139DB">
        <w:t>.</w:t>
      </w:r>
      <w:r w:rsidR="00F7395C" w:rsidRPr="001139DB">
        <w:t xml:space="preserve">  This </w:t>
      </w:r>
      <w:r w:rsidR="00405D6E">
        <w:t>is</w:t>
      </w:r>
      <w:r w:rsidR="00F7395C" w:rsidRPr="001139DB">
        <w:t xml:space="preserve"> a </w:t>
      </w:r>
      <w:r w:rsidR="00405D6E">
        <w:t>time-</w:t>
      </w:r>
      <w:r w:rsidR="00130618">
        <w:t xml:space="preserve"> and </w:t>
      </w:r>
      <w:r w:rsidR="00405D6E">
        <w:t>resource-</w:t>
      </w:r>
      <w:r w:rsidR="005D5588">
        <w:t>consuming</w:t>
      </w:r>
      <w:r w:rsidR="00F7395C" w:rsidRPr="001139DB">
        <w:t xml:space="preserve"> process.  </w:t>
      </w:r>
      <w:r w:rsidR="001139DB" w:rsidRPr="001139DB">
        <w:t>However</w:t>
      </w:r>
      <w:r w:rsidR="005D5588">
        <w:t>,</w:t>
      </w:r>
      <w:r w:rsidR="001139DB" w:rsidRPr="001139DB">
        <w:t xml:space="preserve"> as servicers are being paid for each loan modification that they undertake, the</w:t>
      </w:r>
      <w:r w:rsidR="00130618">
        <w:t xml:space="preserve"> </w:t>
      </w:r>
      <w:r w:rsidR="00405D6E">
        <w:t xml:space="preserve">costs are at least </w:t>
      </w:r>
      <w:r w:rsidR="00130618">
        <w:t>partially offset</w:t>
      </w:r>
      <w:r w:rsidR="001139DB" w:rsidRPr="001139DB">
        <w:t>.</w:t>
      </w:r>
      <w:r w:rsidR="001139DB">
        <w:t xml:space="preserve">  </w:t>
      </w:r>
    </w:p>
    <w:p w14:paraId="54A4BF8E" w14:textId="77777777" w:rsidR="00156E23" w:rsidRPr="0025604D" w:rsidRDefault="00156E23" w:rsidP="00CB003A"/>
    <w:p w14:paraId="4F558746" w14:textId="77777777" w:rsidR="00961823" w:rsidRPr="0025604D" w:rsidRDefault="00961823" w:rsidP="00181F21">
      <w:pPr>
        <w:ind w:firstLine="360"/>
      </w:pPr>
      <w:r w:rsidRPr="0025604D">
        <w:t xml:space="preserve">14.  </w:t>
      </w:r>
      <w:r w:rsidRPr="0025604D">
        <w:rPr>
          <w:u w:val="single"/>
        </w:rPr>
        <w:t>Estimated cost to the federal government</w:t>
      </w:r>
      <w:r w:rsidRPr="0025604D">
        <w:t>.</w:t>
      </w:r>
    </w:p>
    <w:p w14:paraId="1F33565C" w14:textId="77777777" w:rsidR="00961823" w:rsidRPr="0025604D" w:rsidRDefault="00961823" w:rsidP="00CB003A"/>
    <w:p w14:paraId="7178E16E" w14:textId="0FAACC0A" w:rsidR="005D5588" w:rsidRDefault="000F53C2" w:rsidP="00CB003A">
      <w:r w:rsidRPr="0025604D">
        <w:t>The</w:t>
      </w:r>
      <w:r w:rsidR="005D5588">
        <w:t>re is no estimated cost to the federal government to receive this information</w:t>
      </w:r>
      <w:r w:rsidR="00130618">
        <w:t xml:space="preserve">, other than with respect to </w:t>
      </w:r>
      <w:r w:rsidR="00233482">
        <w:t xml:space="preserve">ongoing </w:t>
      </w:r>
      <w:r w:rsidR="00130618">
        <w:t>maintenance of related information systems</w:t>
      </w:r>
      <w:r w:rsidR="005D5588">
        <w:t xml:space="preserve">.  </w:t>
      </w:r>
    </w:p>
    <w:p w14:paraId="456D3EB5" w14:textId="77777777" w:rsidR="005D5588" w:rsidRPr="0025604D" w:rsidRDefault="005D5588" w:rsidP="00CB003A"/>
    <w:p w14:paraId="0B0B8870" w14:textId="77777777" w:rsidR="00961823" w:rsidRPr="0025604D" w:rsidRDefault="00961823" w:rsidP="00666B6D">
      <w:pPr>
        <w:keepNext/>
        <w:ind w:firstLine="360"/>
      </w:pPr>
      <w:r w:rsidRPr="0025604D">
        <w:t xml:space="preserve">15.  </w:t>
      </w:r>
      <w:r w:rsidRPr="0025604D">
        <w:rPr>
          <w:u w:val="single"/>
        </w:rPr>
        <w:t>Reasons for change in burden</w:t>
      </w:r>
    </w:p>
    <w:p w14:paraId="547DECA1" w14:textId="77777777" w:rsidR="00961823" w:rsidRPr="0025604D" w:rsidRDefault="00961823" w:rsidP="00666B6D">
      <w:pPr>
        <w:keepNext/>
      </w:pPr>
    </w:p>
    <w:p w14:paraId="7DEBC250" w14:textId="27E07DC5" w:rsidR="00233482" w:rsidRDefault="00233482" w:rsidP="00CB003A">
      <w:r>
        <w:t xml:space="preserve">The estimated annual burden has been updated to reflect </w:t>
      </w:r>
      <w:r w:rsidR="00D82E6E">
        <w:t>differences in the</w:t>
      </w:r>
      <w:r>
        <w:t xml:space="preserve"> size of participating servicers</w:t>
      </w:r>
      <w:r w:rsidR="00490F9A">
        <w:t>’ portfolios</w:t>
      </w:r>
      <w:r>
        <w:t xml:space="preserve"> and upcoming program termination.</w:t>
      </w:r>
    </w:p>
    <w:p w14:paraId="39278BAF" w14:textId="77777777" w:rsidR="00961823" w:rsidRPr="0025604D" w:rsidRDefault="00961823" w:rsidP="00CB003A"/>
    <w:p w14:paraId="3D269051" w14:textId="77777777"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14:paraId="0B7B41CE" w14:textId="77777777" w:rsidR="00A2596F" w:rsidRPr="0025604D" w:rsidRDefault="00A2596F" w:rsidP="00CB003A"/>
    <w:p w14:paraId="735621FD" w14:textId="01D6F878" w:rsidR="005D5588" w:rsidRPr="0025604D" w:rsidRDefault="00BA5A05" w:rsidP="00DA5F5B">
      <w:r>
        <w:t xml:space="preserve">The Treasury Department </w:t>
      </w:r>
      <w:r w:rsidR="00405D6E">
        <w:t>conducts</w:t>
      </w:r>
      <w:r>
        <w:t xml:space="preserve"> numerous types of analysis on these data.  </w:t>
      </w:r>
      <w:r w:rsidR="0064314F">
        <w:t xml:space="preserve">These analyses will include assessments of the effectiveness of the program (e.g. </w:t>
      </w:r>
      <w:r w:rsidR="00405D6E">
        <w:t>volume, effectiveness, performance</w:t>
      </w:r>
      <w:r w:rsidR="0064314F">
        <w:t xml:space="preserve">) as well as </w:t>
      </w:r>
      <w:r w:rsidR="00405D6E">
        <w:t xml:space="preserve">servicer </w:t>
      </w:r>
      <w:r w:rsidR="0064314F">
        <w:t xml:space="preserve">compliance </w:t>
      </w:r>
      <w:r w:rsidR="00405D6E">
        <w:t>with program requirements</w:t>
      </w:r>
      <w:r w:rsidR="0064314F">
        <w:t xml:space="preserve">.  </w:t>
      </w:r>
      <w:r w:rsidR="00405D6E">
        <w:t xml:space="preserve">Some of these </w:t>
      </w:r>
      <w:r w:rsidR="00D82E6E">
        <w:t xml:space="preserve">analyses will be made </w:t>
      </w:r>
      <w:r w:rsidR="00233482">
        <w:t xml:space="preserve">available </w:t>
      </w:r>
      <w:r w:rsidR="0020169F">
        <w:t xml:space="preserve">on FinancialStability.gov.  </w:t>
      </w:r>
      <w:r w:rsidR="00BA0D32" w:rsidRPr="001139DB">
        <w:t>In addition</w:t>
      </w:r>
      <w:r w:rsidR="0020169F">
        <w:t>,</w:t>
      </w:r>
      <w:r w:rsidR="00BA0D32" w:rsidRPr="001139DB">
        <w:t xml:space="preserve"> </w:t>
      </w:r>
      <w:r w:rsidR="00405D6E">
        <w:t>a loan-level data set of MHA programs is provided on a monthly basis</w:t>
      </w:r>
      <w:r w:rsidR="0057312D">
        <w:t xml:space="preserve"> as mandated by Dodd-Frank section 1483</w:t>
      </w:r>
      <w:r w:rsidR="00405D6E">
        <w:t xml:space="preserve"> via</w:t>
      </w:r>
      <w:r w:rsidR="00BA0D32" w:rsidRPr="001139DB">
        <w:t xml:space="preserve"> </w:t>
      </w:r>
      <w:r w:rsidR="001139DB" w:rsidRPr="001139DB">
        <w:t xml:space="preserve">the </w:t>
      </w:r>
      <w:r w:rsidR="00405D6E">
        <w:t>same Treasury web site, modified</w:t>
      </w:r>
      <w:r w:rsidR="001139DB" w:rsidRPr="001139DB">
        <w:t xml:space="preserve"> f</w:t>
      </w:r>
      <w:r w:rsidR="00BA0D32" w:rsidRPr="001139DB">
        <w:t xml:space="preserve">or </w:t>
      </w:r>
      <w:r w:rsidR="0057312D">
        <w:t>privacy and other concerns</w:t>
      </w:r>
      <w:r w:rsidR="00BA0D32" w:rsidRPr="001139DB">
        <w:t>.</w:t>
      </w:r>
      <w:r w:rsidR="00256911">
        <w:t xml:space="preserve"> </w:t>
      </w:r>
    </w:p>
    <w:p w14:paraId="4A62EEE8" w14:textId="77777777" w:rsidR="00A2596F" w:rsidRPr="0025604D" w:rsidRDefault="00A2596F" w:rsidP="00CB003A"/>
    <w:p w14:paraId="507407D5" w14:textId="77777777" w:rsidR="00A2596F" w:rsidRPr="0025604D" w:rsidRDefault="00A2596F" w:rsidP="00181F21">
      <w:pPr>
        <w:ind w:firstLine="360"/>
      </w:pPr>
      <w:r w:rsidRPr="0025604D">
        <w:t xml:space="preserve">17.  </w:t>
      </w:r>
      <w:r w:rsidRPr="0025604D">
        <w:rPr>
          <w:u w:val="single"/>
        </w:rPr>
        <w:t>Reasons why displaying the OMB expiration date is inappropriate</w:t>
      </w:r>
    </w:p>
    <w:p w14:paraId="0E5D5025" w14:textId="77777777" w:rsidR="00A2596F" w:rsidRPr="0025604D" w:rsidRDefault="00A2596F" w:rsidP="00CB003A"/>
    <w:p w14:paraId="2CD86625" w14:textId="77777777" w:rsidR="00A2596F" w:rsidRPr="0025604D" w:rsidRDefault="00986077" w:rsidP="006B22D1">
      <w:r>
        <w:t>Display of the OMB expiration date will create confusion because, u</w:t>
      </w:r>
      <w:r w:rsidR="00EB5E62">
        <w:t xml:space="preserve">nder EESA, this </w:t>
      </w:r>
      <w:r w:rsidR="00460B20">
        <w:t>program</w:t>
      </w:r>
      <w:r w:rsidR="00EB5E62">
        <w:t xml:space="preserve"> has a limited duration</w:t>
      </w:r>
      <w:r>
        <w:t xml:space="preserve">. </w:t>
      </w:r>
    </w:p>
    <w:p w14:paraId="04D376F5" w14:textId="77777777" w:rsidR="00A2596F" w:rsidRDefault="00A2596F" w:rsidP="00CB003A"/>
    <w:p w14:paraId="42287D0C" w14:textId="77777777" w:rsidR="00A2596F" w:rsidRPr="0025604D" w:rsidRDefault="00A2596F" w:rsidP="00181F21">
      <w:pPr>
        <w:ind w:firstLine="360"/>
      </w:pPr>
      <w:r w:rsidRPr="0025604D">
        <w:t xml:space="preserve">18.  </w:t>
      </w:r>
      <w:r w:rsidRPr="0025604D">
        <w:rPr>
          <w:u w:val="single"/>
        </w:rPr>
        <w:t>Exceptions to certification requirement of OMB Form 83-I</w:t>
      </w:r>
    </w:p>
    <w:p w14:paraId="265215F2" w14:textId="77777777" w:rsidR="00A2596F" w:rsidRPr="0025604D" w:rsidRDefault="00A2596F" w:rsidP="00CB003A"/>
    <w:p w14:paraId="36209D90" w14:textId="77777777" w:rsidR="00156E23" w:rsidRPr="0025604D" w:rsidRDefault="000E1F44" w:rsidP="00A90BAB">
      <w:r w:rsidRPr="0025604D">
        <w:t>Regarding this request for OMB approval, there are no exceptions to the certification statement in item 19 of Form 83-I.</w:t>
      </w:r>
    </w:p>
    <w:p w14:paraId="1C495D14" w14:textId="77777777" w:rsidR="00A2596F" w:rsidRPr="0025604D" w:rsidRDefault="00A2596F" w:rsidP="00CB003A"/>
    <w:sectPr w:rsidR="00A2596F" w:rsidRPr="0025604D" w:rsidSect="00EB5E62">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4E1F6" w14:textId="77777777" w:rsidR="00384A1D" w:rsidRDefault="00384A1D">
      <w:r>
        <w:separator/>
      </w:r>
    </w:p>
  </w:endnote>
  <w:endnote w:type="continuationSeparator" w:id="0">
    <w:p w14:paraId="4459E50B" w14:textId="77777777" w:rsidR="00384A1D" w:rsidRDefault="00384A1D">
      <w:r>
        <w:continuationSeparator/>
      </w:r>
    </w:p>
  </w:endnote>
  <w:endnote w:type="continuationNotice" w:id="1">
    <w:p w14:paraId="7C2719EF" w14:textId="77777777" w:rsidR="00384A1D" w:rsidRDefault="00384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F4AA" w14:textId="77777777" w:rsidR="00762A91" w:rsidRDefault="00762A91"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D254E" w14:textId="77777777" w:rsidR="00762A91" w:rsidRDefault="00762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11A2E" w14:textId="77777777" w:rsidR="00762A91" w:rsidRDefault="00762A91"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0703">
      <w:rPr>
        <w:rStyle w:val="PageNumber"/>
        <w:noProof/>
      </w:rPr>
      <w:t>5</w:t>
    </w:r>
    <w:r>
      <w:rPr>
        <w:rStyle w:val="PageNumber"/>
      </w:rPr>
      <w:fldChar w:fldCharType="end"/>
    </w:r>
  </w:p>
  <w:p w14:paraId="77261F2A" w14:textId="77777777" w:rsidR="00762A91" w:rsidRDefault="0076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3FDE4" w14:textId="77777777" w:rsidR="00384A1D" w:rsidRDefault="00384A1D">
      <w:r>
        <w:separator/>
      </w:r>
    </w:p>
  </w:footnote>
  <w:footnote w:type="continuationSeparator" w:id="0">
    <w:p w14:paraId="506D6389" w14:textId="77777777" w:rsidR="00384A1D" w:rsidRDefault="00384A1D">
      <w:r>
        <w:continuationSeparator/>
      </w:r>
    </w:p>
  </w:footnote>
  <w:footnote w:type="continuationNotice" w:id="1">
    <w:p w14:paraId="2E7EF789" w14:textId="77777777" w:rsidR="00384A1D" w:rsidRDefault="00384A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F38C" w14:textId="77777777" w:rsidR="00762A91" w:rsidRDefault="00762A91">
    <w:pPr>
      <w:pStyle w:val="Header"/>
    </w:pPr>
  </w:p>
  <w:p w14:paraId="561B00CC" w14:textId="77777777" w:rsidR="00762A91" w:rsidRDefault="00762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BCDF3" w14:textId="77777777" w:rsidR="00762A91" w:rsidRDefault="00762A91" w:rsidP="00762A91">
    <w:pPr>
      <w:pStyle w:val="Header"/>
      <w:jc w:val="right"/>
    </w:pPr>
    <w:r w:rsidRPr="00762A91">
      <w:t>OMB Control Number 1505-0216</w:t>
    </w:r>
  </w:p>
  <w:p w14:paraId="22E8A750" w14:textId="2460C6AB" w:rsidR="00FE3274" w:rsidRPr="00762A91" w:rsidRDefault="00FE3274" w:rsidP="00673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4"/>
  </w:num>
  <w:num w:numId="5">
    <w:abstractNumId w:val="10"/>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1AF1"/>
    <w:rsid w:val="0001560A"/>
    <w:rsid w:val="00022F56"/>
    <w:rsid w:val="000349E4"/>
    <w:rsid w:val="00040748"/>
    <w:rsid w:val="000571EA"/>
    <w:rsid w:val="00073704"/>
    <w:rsid w:val="00094620"/>
    <w:rsid w:val="000A4F16"/>
    <w:rsid w:val="000B0264"/>
    <w:rsid w:val="000C7031"/>
    <w:rsid w:val="000E1F44"/>
    <w:rsid w:val="000F2AE6"/>
    <w:rsid w:val="000F53C2"/>
    <w:rsid w:val="000F55B7"/>
    <w:rsid w:val="000F7F5E"/>
    <w:rsid w:val="001022FC"/>
    <w:rsid w:val="00105553"/>
    <w:rsid w:val="001110E6"/>
    <w:rsid w:val="001139DB"/>
    <w:rsid w:val="00122583"/>
    <w:rsid w:val="00130618"/>
    <w:rsid w:val="00147A26"/>
    <w:rsid w:val="00156E23"/>
    <w:rsid w:val="00161711"/>
    <w:rsid w:val="0016726B"/>
    <w:rsid w:val="001819F2"/>
    <w:rsid w:val="00181F21"/>
    <w:rsid w:val="0018375D"/>
    <w:rsid w:val="001858A7"/>
    <w:rsid w:val="001B50A0"/>
    <w:rsid w:val="001E4BCF"/>
    <w:rsid w:val="001E5EE4"/>
    <w:rsid w:val="0020169F"/>
    <w:rsid w:val="00201F4D"/>
    <w:rsid w:val="002162CE"/>
    <w:rsid w:val="00233482"/>
    <w:rsid w:val="00237FAA"/>
    <w:rsid w:val="0024000F"/>
    <w:rsid w:val="0025604D"/>
    <w:rsid w:val="00256911"/>
    <w:rsid w:val="00271992"/>
    <w:rsid w:val="00281A00"/>
    <w:rsid w:val="00291137"/>
    <w:rsid w:val="00293974"/>
    <w:rsid w:val="002C2A5D"/>
    <w:rsid w:val="002D5DF3"/>
    <w:rsid w:val="003265D6"/>
    <w:rsid w:val="00326BC5"/>
    <w:rsid w:val="00335AA6"/>
    <w:rsid w:val="00341392"/>
    <w:rsid w:val="00343303"/>
    <w:rsid w:val="00347226"/>
    <w:rsid w:val="00360C7D"/>
    <w:rsid w:val="003638D4"/>
    <w:rsid w:val="00365005"/>
    <w:rsid w:val="0036556D"/>
    <w:rsid w:val="00380639"/>
    <w:rsid w:val="00384A1D"/>
    <w:rsid w:val="00394A61"/>
    <w:rsid w:val="003C068B"/>
    <w:rsid w:val="003C1AB8"/>
    <w:rsid w:val="003F3118"/>
    <w:rsid w:val="00405D6E"/>
    <w:rsid w:val="00406DAA"/>
    <w:rsid w:val="004104BF"/>
    <w:rsid w:val="0043239B"/>
    <w:rsid w:val="00443C14"/>
    <w:rsid w:val="0044510E"/>
    <w:rsid w:val="00460B20"/>
    <w:rsid w:val="00475731"/>
    <w:rsid w:val="004778E4"/>
    <w:rsid w:val="00486C00"/>
    <w:rsid w:val="00490F9A"/>
    <w:rsid w:val="004B06B5"/>
    <w:rsid w:val="004B1400"/>
    <w:rsid w:val="004B32A0"/>
    <w:rsid w:val="004C062B"/>
    <w:rsid w:val="004D541D"/>
    <w:rsid w:val="004D55B3"/>
    <w:rsid w:val="004E6996"/>
    <w:rsid w:val="004F5145"/>
    <w:rsid w:val="0050100D"/>
    <w:rsid w:val="00512A6D"/>
    <w:rsid w:val="005175FD"/>
    <w:rsid w:val="0052662E"/>
    <w:rsid w:val="00534EA9"/>
    <w:rsid w:val="00535AD0"/>
    <w:rsid w:val="005366FC"/>
    <w:rsid w:val="005532F7"/>
    <w:rsid w:val="00557980"/>
    <w:rsid w:val="005609F5"/>
    <w:rsid w:val="00572466"/>
    <w:rsid w:val="00572D2C"/>
    <w:rsid w:val="0057312D"/>
    <w:rsid w:val="00574337"/>
    <w:rsid w:val="005A001E"/>
    <w:rsid w:val="005A5C1B"/>
    <w:rsid w:val="005C533B"/>
    <w:rsid w:val="005D5588"/>
    <w:rsid w:val="005D6DA8"/>
    <w:rsid w:val="0060168D"/>
    <w:rsid w:val="006049CB"/>
    <w:rsid w:val="00610580"/>
    <w:rsid w:val="00612025"/>
    <w:rsid w:val="006137E1"/>
    <w:rsid w:val="00616A24"/>
    <w:rsid w:val="00633442"/>
    <w:rsid w:val="0064051D"/>
    <w:rsid w:val="0064314F"/>
    <w:rsid w:val="006536E9"/>
    <w:rsid w:val="00661988"/>
    <w:rsid w:val="00666B6D"/>
    <w:rsid w:val="006739AB"/>
    <w:rsid w:val="00681FB6"/>
    <w:rsid w:val="006872CE"/>
    <w:rsid w:val="00693129"/>
    <w:rsid w:val="006B22D1"/>
    <w:rsid w:val="006B3E5B"/>
    <w:rsid w:val="006E0C80"/>
    <w:rsid w:val="006F02DD"/>
    <w:rsid w:val="00703576"/>
    <w:rsid w:val="00707BDE"/>
    <w:rsid w:val="0072166B"/>
    <w:rsid w:val="00741F3C"/>
    <w:rsid w:val="00745F3D"/>
    <w:rsid w:val="00755D8C"/>
    <w:rsid w:val="007615CA"/>
    <w:rsid w:val="00762A91"/>
    <w:rsid w:val="00775C08"/>
    <w:rsid w:val="00780878"/>
    <w:rsid w:val="0078268C"/>
    <w:rsid w:val="00791680"/>
    <w:rsid w:val="00795CCA"/>
    <w:rsid w:val="007A0410"/>
    <w:rsid w:val="007A1A87"/>
    <w:rsid w:val="007A4053"/>
    <w:rsid w:val="007A606D"/>
    <w:rsid w:val="007B78AB"/>
    <w:rsid w:val="007E4238"/>
    <w:rsid w:val="007E69B3"/>
    <w:rsid w:val="007F0335"/>
    <w:rsid w:val="00810E73"/>
    <w:rsid w:val="00856DD0"/>
    <w:rsid w:val="008661BA"/>
    <w:rsid w:val="0089127A"/>
    <w:rsid w:val="0089318E"/>
    <w:rsid w:val="008A5AEA"/>
    <w:rsid w:val="008B7CB1"/>
    <w:rsid w:val="008C6377"/>
    <w:rsid w:val="008E6884"/>
    <w:rsid w:val="008E6FAB"/>
    <w:rsid w:val="00903432"/>
    <w:rsid w:val="0090605D"/>
    <w:rsid w:val="00907B7E"/>
    <w:rsid w:val="00921EA8"/>
    <w:rsid w:val="00950A9E"/>
    <w:rsid w:val="00953166"/>
    <w:rsid w:val="00961823"/>
    <w:rsid w:val="00983B56"/>
    <w:rsid w:val="00986077"/>
    <w:rsid w:val="00990870"/>
    <w:rsid w:val="009D5F26"/>
    <w:rsid w:val="009F45CC"/>
    <w:rsid w:val="009F4D1C"/>
    <w:rsid w:val="00A00740"/>
    <w:rsid w:val="00A10A09"/>
    <w:rsid w:val="00A2596F"/>
    <w:rsid w:val="00A42757"/>
    <w:rsid w:val="00A46ADD"/>
    <w:rsid w:val="00A53084"/>
    <w:rsid w:val="00A562D1"/>
    <w:rsid w:val="00A6550E"/>
    <w:rsid w:val="00A67505"/>
    <w:rsid w:val="00A73FE3"/>
    <w:rsid w:val="00A8635B"/>
    <w:rsid w:val="00A90BAB"/>
    <w:rsid w:val="00A910BE"/>
    <w:rsid w:val="00A91D99"/>
    <w:rsid w:val="00A95067"/>
    <w:rsid w:val="00B002FE"/>
    <w:rsid w:val="00B17726"/>
    <w:rsid w:val="00B279A8"/>
    <w:rsid w:val="00B50861"/>
    <w:rsid w:val="00B61494"/>
    <w:rsid w:val="00B716A8"/>
    <w:rsid w:val="00B923DC"/>
    <w:rsid w:val="00BA00AC"/>
    <w:rsid w:val="00BA0D32"/>
    <w:rsid w:val="00BA59A6"/>
    <w:rsid w:val="00BA5A05"/>
    <w:rsid w:val="00BB595B"/>
    <w:rsid w:val="00BD01FA"/>
    <w:rsid w:val="00BF7366"/>
    <w:rsid w:val="00C0391A"/>
    <w:rsid w:val="00C36F16"/>
    <w:rsid w:val="00C41213"/>
    <w:rsid w:val="00C50703"/>
    <w:rsid w:val="00C60DF5"/>
    <w:rsid w:val="00C75252"/>
    <w:rsid w:val="00C954EA"/>
    <w:rsid w:val="00C95865"/>
    <w:rsid w:val="00CB003A"/>
    <w:rsid w:val="00CB3A9F"/>
    <w:rsid w:val="00CC0B33"/>
    <w:rsid w:val="00CC0F26"/>
    <w:rsid w:val="00CC4534"/>
    <w:rsid w:val="00CE2D06"/>
    <w:rsid w:val="00D22DAE"/>
    <w:rsid w:val="00D24A88"/>
    <w:rsid w:val="00D322D5"/>
    <w:rsid w:val="00D5341B"/>
    <w:rsid w:val="00D54A8F"/>
    <w:rsid w:val="00D56890"/>
    <w:rsid w:val="00D82E6E"/>
    <w:rsid w:val="00D8477F"/>
    <w:rsid w:val="00D950EA"/>
    <w:rsid w:val="00DA5289"/>
    <w:rsid w:val="00DA5F5B"/>
    <w:rsid w:val="00DD6760"/>
    <w:rsid w:val="00E16809"/>
    <w:rsid w:val="00E20513"/>
    <w:rsid w:val="00E31659"/>
    <w:rsid w:val="00E71397"/>
    <w:rsid w:val="00E7150A"/>
    <w:rsid w:val="00E8070F"/>
    <w:rsid w:val="00E81344"/>
    <w:rsid w:val="00EB5E62"/>
    <w:rsid w:val="00ED34B6"/>
    <w:rsid w:val="00EE0B0E"/>
    <w:rsid w:val="00EE3522"/>
    <w:rsid w:val="00F24F5A"/>
    <w:rsid w:val="00F26151"/>
    <w:rsid w:val="00F27C5F"/>
    <w:rsid w:val="00F31337"/>
    <w:rsid w:val="00F41911"/>
    <w:rsid w:val="00F51DC7"/>
    <w:rsid w:val="00F54B3D"/>
    <w:rsid w:val="00F67E40"/>
    <w:rsid w:val="00F704D9"/>
    <w:rsid w:val="00F72D0B"/>
    <w:rsid w:val="00F7395C"/>
    <w:rsid w:val="00FB7F1C"/>
    <w:rsid w:val="00FC174E"/>
    <w:rsid w:val="00FC2B60"/>
    <w:rsid w:val="00FD0BF8"/>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character" w:styleId="Hyperlink">
    <w:name w:val="Hyperlink"/>
    <w:basedOn w:val="DefaultParagraphFont"/>
    <w:uiPriority w:val="99"/>
    <w:unhideWhenUsed/>
    <w:rsid w:val="00E16809"/>
    <w:rPr>
      <w:rFonts w:ascii="Arial" w:hAnsi="Arial" w:cs="Arial" w:hint="default"/>
      <w:color w:val="0000FF"/>
      <w:sz w:val="24"/>
      <w:szCs w:val="24"/>
      <w:u w:val="single"/>
    </w:rPr>
  </w:style>
  <w:style w:type="character" w:customStyle="1" w:styleId="HeaderChar">
    <w:name w:val="Header Char"/>
    <w:basedOn w:val="DefaultParagraphFont"/>
    <w:link w:val="Header"/>
    <w:uiPriority w:val="99"/>
    <w:rsid w:val="00762A91"/>
    <w:rPr>
      <w:sz w:val="24"/>
      <w:szCs w:val="24"/>
    </w:rPr>
  </w:style>
  <w:style w:type="character" w:styleId="CommentReference">
    <w:name w:val="annotation reference"/>
    <w:basedOn w:val="DefaultParagraphFont"/>
    <w:rsid w:val="00EE3522"/>
    <w:rPr>
      <w:sz w:val="16"/>
      <w:szCs w:val="16"/>
    </w:rPr>
  </w:style>
  <w:style w:type="paragraph" w:styleId="CommentText">
    <w:name w:val="annotation text"/>
    <w:basedOn w:val="Normal"/>
    <w:link w:val="CommentTextChar"/>
    <w:rsid w:val="00EE3522"/>
    <w:rPr>
      <w:sz w:val="20"/>
      <w:szCs w:val="20"/>
    </w:rPr>
  </w:style>
  <w:style w:type="character" w:customStyle="1" w:styleId="CommentTextChar">
    <w:name w:val="Comment Text Char"/>
    <w:basedOn w:val="DefaultParagraphFont"/>
    <w:link w:val="CommentText"/>
    <w:rsid w:val="00EE3522"/>
  </w:style>
  <w:style w:type="paragraph" w:styleId="CommentSubject">
    <w:name w:val="annotation subject"/>
    <w:basedOn w:val="CommentText"/>
    <w:next w:val="CommentText"/>
    <w:link w:val="CommentSubjectChar"/>
    <w:rsid w:val="00EE3522"/>
    <w:rPr>
      <w:b/>
      <w:bCs/>
    </w:rPr>
  </w:style>
  <w:style w:type="character" w:customStyle="1" w:styleId="CommentSubjectChar">
    <w:name w:val="Comment Subject Char"/>
    <w:basedOn w:val="CommentTextChar"/>
    <w:link w:val="CommentSubject"/>
    <w:rsid w:val="00EE3522"/>
    <w:rPr>
      <w:b/>
      <w:bCs/>
    </w:rPr>
  </w:style>
  <w:style w:type="table" w:styleId="TableGrid">
    <w:name w:val="Table Grid"/>
    <w:basedOn w:val="TableNormal"/>
    <w:rsid w:val="005A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character" w:styleId="Hyperlink">
    <w:name w:val="Hyperlink"/>
    <w:basedOn w:val="DefaultParagraphFont"/>
    <w:uiPriority w:val="99"/>
    <w:unhideWhenUsed/>
    <w:rsid w:val="00E16809"/>
    <w:rPr>
      <w:rFonts w:ascii="Arial" w:hAnsi="Arial" w:cs="Arial" w:hint="default"/>
      <w:color w:val="0000FF"/>
      <w:sz w:val="24"/>
      <w:szCs w:val="24"/>
      <w:u w:val="single"/>
    </w:rPr>
  </w:style>
  <w:style w:type="character" w:customStyle="1" w:styleId="HeaderChar">
    <w:name w:val="Header Char"/>
    <w:basedOn w:val="DefaultParagraphFont"/>
    <w:link w:val="Header"/>
    <w:uiPriority w:val="99"/>
    <w:rsid w:val="00762A91"/>
    <w:rPr>
      <w:sz w:val="24"/>
      <w:szCs w:val="24"/>
    </w:rPr>
  </w:style>
  <w:style w:type="character" w:styleId="CommentReference">
    <w:name w:val="annotation reference"/>
    <w:basedOn w:val="DefaultParagraphFont"/>
    <w:rsid w:val="00EE3522"/>
    <w:rPr>
      <w:sz w:val="16"/>
      <w:szCs w:val="16"/>
    </w:rPr>
  </w:style>
  <w:style w:type="paragraph" w:styleId="CommentText">
    <w:name w:val="annotation text"/>
    <w:basedOn w:val="Normal"/>
    <w:link w:val="CommentTextChar"/>
    <w:rsid w:val="00EE3522"/>
    <w:rPr>
      <w:sz w:val="20"/>
      <w:szCs w:val="20"/>
    </w:rPr>
  </w:style>
  <w:style w:type="character" w:customStyle="1" w:styleId="CommentTextChar">
    <w:name w:val="Comment Text Char"/>
    <w:basedOn w:val="DefaultParagraphFont"/>
    <w:link w:val="CommentText"/>
    <w:rsid w:val="00EE3522"/>
  </w:style>
  <w:style w:type="paragraph" w:styleId="CommentSubject">
    <w:name w:val="annotation subject"/>
    <w:basedOn w:val="CommentText"/>
    <w:next w:val="CommentText"/>
    <w:link w:val="CommentSubjectChar"/>
    <w:rsid w:val="00EE3522"/>
    <w:rPr>
      <w:b/>
      <w:bCs/>
    </w:rPr>
  </w:style>
  <w:style w:type="character" w:customStyle="1" w:styleId="CommentSubjectChar">
    <w:name w:val="Comment Subject Char"/>
    <w:basedOn w:val="CommentTextChar"/>
    <w:link w:val="CommentSubject"/>
    <w:rsid w:val="00EE3522"/>
    <w:rPr>
      <w:b/>
      <w:bCs/>
    </w:rPr>
  </w:style>
  <w:style w:type="table" w:styleId="TableGrid">
    <w:name w:val="Table Grid"/>
    <w:basedOn w:val="TableNormal"/>
    <w:rsid w:val="005A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2380">
      <w:bodyDiv w:val="1"/>
      <w:marLeft w:val="0"/>
      <w:marRight w:val="0"/>
      <w:marTop w:val="0"/>
      <w:marBottom w:val="0"/>
      <w:divBdr>
        <w:top w:val="none" w:sz="0" w:space="0" w:color="auto"/>
        <w:left w:val="none" w:sz="0" w:space="0" w:color="auto"/>
        <w:bottom w:val="none" w:sz="0" w:space="0" w:color="auto"/>
        <w:right w:val="none" w:sz="0" w:space="0" w:color="auto"/>
      </w:divBdr>
    </w:div>
    <w:div w:id="895235507">
      <w:bodyDiv w:val="1"/>
      <w:marLeft w:val="0"/>
      <w:marRight w:val="0"/>
      <w:marTop w:val="0"/>
      <w:marBottom w:val="0"/>
      <w:divBdr>
        <w:top w:val="none" w:sz="0" w:space="0" w:color="auto"/>
        <w:left w:val="none" w:sz="0" w:space="0" w:color="auto"/>
        <w:bottom w:val="none" w:sz="0" w:space="0" w:color="auto"/>
        <w:right w:val="none" w:sz="0" w:space="0" w:color="auto"/>
      </w:divBdr>
    </w:div>
    <w:div w:id="1088498826">
      <w:bodyDiv w:val="1"/>
      <w:marLeft w:val="0"/>
      <w:marRight w:val="0"/>
      <w:marTop w:val="0"/>
      <w:marBottom w:val="0"/>
      <w:divBdr>
        <w:top w:val="none" w:sz="0" w:space="0" w:color="auto"/>
        <w:left w:val="none" w:sz="0" w:space="0" w:color="auto"/>
        <w:bottom w:val="none" w:sz="0" w:space="0" w:color="auto"/>
        <w:right w:val="none" w:sz="0" w:space="0" w:color="auto"/>
      </w:divBdr>
    </w:div>
    <w:div w:id="12052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A10D-7AB7-4E25-A6DC-B9A43BD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#1505-0216 supporting statement</vt:lpstr>
    </vt:vector>
  </TitlesOfParts>
  <Company>U.S. Department of the Treasury</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#1505-0216 supporting statement</dc:title>
  <dc:creator>U.S. Department of Treasury</dc:creator>
  <dc:description>Making Home Affordable (MHA) information collection</dc:description>
  <cp:lastModifiedBy>B. Simms, PTR</cp:lastModifiedBy>
  <cp:revision>4</cp:revision>
  <cp:lastPrinted>2008-10-24T12:52:00Z</cp:lastPrinted>
  <dcterms:created xsi:type="dcterms:W3CDTF">2016-08-26T16:14:00Z</dcterms:created>
  <dcterms:modified xsi:type="dcterms:W3CDTF">2016-08-31T21:26:00Z</dcterms:modified>
</cp:coreProperties>
</file>