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87BC1" w14:textId="77777777" w:rsidR="00AA1BB0" w:rsidRPr="00D379D9" w:rsidRDefault="00AA1BB0" w:rsidP="00D667B2">
      <w:pPr>
        <w:jc w:val="center"/>
        <w:rPr>
          <w:sz w:val="26"/>
          <w:szCs w:val="26"/>
        </w:rPr>
      </w:pPr>
      <w:bookmarkStart w:id="0" w:name="_GoBack"/>
      <w:bookmarkEnd w:id="0"/>
      <w:r w:rsidRPr="00D379D9">
        <w:rPr>
          <w:sz w:val="26"/>
          <w:szCs w:val="26"/>
        </w:rPr>
        <w:t>FEDERAL ENERGY REGULATORY COMMISSION</w:t>
      </w:r>
    </w:p>
    <w:p w14:paraId="1A187BC2" w14:textId="77777777" w:rsidR="00AA1BB0" w:rsidRPr="00D379D9" w:rsidRDefault="00AA1BB0" w:rsidP="00AA1BB0">
      <w:pPr>
        <w:jc w:val="center"/>
        <w:rPr>
          <w:sz w:val="26"/>
          <w:szCs w:val="26"/>
        </w:rPr>
      </w:pPr>
      <w:r w:rsidRPr="00D379D9">
        <w:rPr>
          <w:sz w:val="26"/>
          <w:szCs w:val="26"/>
        </w:rPr>
        <w:t>WASHINGTON, D.C. 20426</w:t>
      </w:r>
    </w:p>
    <w:p w14:paraId="1A187BC3" w14:textId="77777777" w:rsidR="00AA1BB0" w:rsidRPr="00D379D9" w:rsidRDefault="00AA1BB0" w:rsidP="00AA1BB0">
      <w:pPr>
        <w:jc w:val="center"/>
        <w:rPr>
          <w:sz w:val="26"/>
          <w:szCs w:val="26"/>
        </w:rPr>
      </w:pPr>
    </w:p>
    <w:p w14:paraId="1A187BC4" w14:textId="77777777" w:rsidR="00AA1BB0" w:rsidRPr="00D379D9" w:rsidRDefault="00AA1BB0" w:rsidP="00AA1BB0">
      <w:pPr>
        <w:widowControl/>
        <w:outlineLvl w:val="0"/>
        <w:rPr>
          <w:sz w:val="26"/>
          <w:szCs w:val="26"/>
        </w:rPr>
      </w:pPr>
    </w:p>
    <w:p w14:paraId="1A187BC5" w14:textId="77777777" w:rsidR="00AA1BB0" w:rsidRPr="00D379D9" w:rsidRDefault="00AA1BB0" w:rsidP="00AA1BB0">
      <w:pPr>
        <w:widowControl/>
        <w:outlineLvl w:val="0"/>
        <w:rPr>
          <w:sz w:val="26"/>
          <w:szCs w:val="26"/>
        </w:rPr>
      </w:pPr>
      <w:r w:rsidRPr="00D379D9">
        <w:rPr>
          <w:sz w:val="26"/>
          <w:szCs w:val="26"/>
        </w:rPr>
        <w:t>OFFICE OF ELECTRIC RELIABILITY</w:t>
      </w:r>
    </w:p>
    <w:p w14:paraId="1A187BC6" w14:textId="77777777" w:rsidR="00AA1BB0" w:rsidRPr="00D379D9" w:rsidRDefault="00AA1BB0" w:rsidP="00AA1BB0">
      <w:pPr>
        <w:widowControl/>
        <w:ind w:firstLine="2880"/>
        <w:rPr>
          <w:sz w:val="26"/>
          <w:szCs w:val="26"/>
        </w:rPr>
      </w:pPr>
    </w:p>
    <w:p w14:paraId="1A187BC7" w14:textId="77777777" w:rsidR="00AA1BB0" w:rsidRPr="00D379D9" w:rsidRDefault="00AA1BB0" w:rsidP="00AA1BB0">
      <w:pPr>
        <w:widowControl/>
        <w:ind w:left="3600"/>
        <w:rPr>
          <w:sz w:val="26"/>
          <w:szCs w:val="26"/>
        </w:rPr>
      </w:pPr>
      <w:r w:rsidRPr="00D379D9">
        <w:rPr>
          <w:sz w:val="26"/>
          <w:szCs w:val="26"/>
        </w:rPr>
        <w:t>North American Electric Reliability Corporation</w:t>
      </w:r>
    </w:p>
    <w:p w14:paraId="1A187BC8" w14:textId="77777777" w:rsidR="00AA1BB0" w:rsidRPr="00D379D9" w:rsidRDefault="00AA1BB0" w:rsidP="00AA1BB0">
      <w:pPr>
        <w:widowControl/>
        <w:ind w:left="2880" w:firstLine="720"/>
        <w:rPr>
          <w:sz w:val="26"/>
          <w:szCs w:val="26"/>
          <w:lang w:val="de-DE"/>
        </w:rPr>
      </w:pPr>
      <w:r w:rsidRPr="00D379D9">
        <w:rPr>
          <w:sz w:val="26"/>
          <w:szCs w:val="26"/>
          <w:lang w:val="de-DE"/>
        </w:rPr>
        <w:t xml:space="preserve">Docket No. </w:t>
      </w:r>
      <w:r w:rsidR="009C315C" w:rsidRPr="00D379D9">
        <w:rPr>
          <w:caps/>
          <w:sz w:val="26"/>
          <w:szCs w:val="26"/>
        </w:rPr>
        <w:t>RD1</w:t>
      </w:r>
      <w:r w:rsidR="009C315C">
        <w:rPr>
          <w:caps/>
          <w:sz w:val="26"/>
          <w:szCs w:val="26"/>
        </w:rPr>
        <w:t>6-</w:t>
      </w:r>
      <w:r w:rsidR="00FC7DDD">
        <w:rPr>
          <w:caps/>
          <w:sz w:val="26"/>
          <w:szCs w:val="26"/>
        </w:rPr>
        <w:t>8</w:t>
      </w:r>
      <w:r w:rsidR="009C315C">
        <w:rPr>
          <w:caps/>
          <w:sz w:val="26"/>
          <w:szCs w:val="26"/>
        </w:rPr>
        <w:t>-0</w:t>
      </w:r>
      <w:r w:rsidR="009C315C" w:rsidRPr="00D379D9">
        <w:rPr>
          <w:sz w:val="26"/>
          <w:szCs w:val="26"/>
        </w:rPr>
        <w:t>00</w:t>
      </w:r>
    </w:p>
    <w:p w14:paraId="1A187BC9" w14:textId="77777777" w:rsidR="00AA1BB0" w:rsidRPr="00D379D9" w:rsidRDefault="00AA1BB0" w:rsidP="00AA1BB0">
      <w:pPr>
        <w:widowControl/>
        <w:ind w:left="2880" w:firstLine="720"/>
        <w:rPr>
          <w:sz w:val="26"/>
          <w:szCs w:val="26"/>
          <w:lang w:val="de-DE"/>
        </w:rPr>
      </w:pPr>
    </w:p>
    <w:p w14:paraId="1A187BCA" w14:textId="77777777" w:rsidR="00AA1BB0" w:rsidRPr="00D379D9" w:rsidRDefault="00AA1BB0" w:rsidP="00AA1BB0">
      <w:pPr>
        <w:widowControl/>
        <w:ind w:left="2880" w:firstLine="720"/>
        <w:rPr>
          <w:sz w:val="26"/>
          <w:szCs w:val="26"/>
        </w:rPr>
      </w:pPr>
    </w:p>
    <w:p w14:paraId="1A187BCB" w14:textId="77777777" w:rsidR="00AA1BB0" w:rsidRPr="00D379D9" w:rsidRDefault="00BB3978" w:rsidP="00AA1BB0">
      <w:pPr>
        <w:widowControl/>
        <w:ind w:left="2880" w:firstLine="720"/>
        <w:rPr>
          <w:sz w:val="26"/>
          <w:szCs w:val="26"/>
          <w:lang w:val="de-DE"/>
        </w:rPr>
      </w:pPr>
      <w:r>
        <w:rPr>
          <w:sz w:val="26"/>
          <w:szCs w:val="26"/>
        </w:rPr>
        <w:t xml:space="preserve">August </w:t>
      </w:r>
      <w:r w:rsidR="009A0469">
        <w:rPr>
          <w:sz w:val="26"/>
          <w:szCs w:val="26"/>
        </w:rPr>
        <w:t>16</w:t>
      </w:r>
      <w:r w:rsidR="00AA1BB0" w:rsidRPr="0030709C">
        <w:rPr>
          <w:sz w:val="26"/>
          <w:szCs w:val="26"/>
        </w:rPr>
        <w:t>,</w:t>
      </w:r>
      <w:r w:rsidR="0035348B">
        <w:rPr>
          <w:sz w:val="26"/>
          <w:szCs w:val="26"/>
        </w:rPr>
        <w:t xml:space="preserve"> 201</w:t>
      </w:r>
      <w:r w:rsidR="00A16538">
        <w:rPr>
          <w:sz w:val="26"/>
          <w:szCs w:val="26"/>
        </w:rPr>
        <w:t>6</w:t>
      </w:r>
    </w:p>
    <w:p w14:paraId="1A187BCC" w14:textId="77777777" w:rsidR="00AA1BB0" w:rsidRPr="00D379D9" w:rsidRDefault="00AA1BB0" w:rsidP="00AA1BB0">
      <w:pPr>
        <w:widowControl/>
        <w:ind w:left="4320" w:firstLine="720"/>
        <w:outlineLvl w:val="0"/>
        <w:rPr>
          <w:sz w:val="26"/>
          <w:szCs w:val="26"/>
          <w:lang w:val="de-DE"/>
        </w:rPr>
      </w:pPr>
      <w:r w:rsidRPr="00D379D9">
        <w:rPr>
          <w:sz w:val="26"/>
          <w:szCs w:val="26"/>
          <w:lang w:val="de-DE"/>
        </w:rPr>
        <w:t xml:space="preserve">                     </w:t>
      </w:r>
    </w:p>
    <w:p w14:paraId="1A187BCD" w14:textId="77777777" w:rsidR="00AA1BB0" w:rsidRPr="00D379D9" w:rsidRDefault="00AA1BB0" w:rsidP="00AA1BB0">
      <w:pPr>
        <w:widowControl/>
        <w:rPr>
          <w:sz w:val="26"/>
          <w:szCs w:val="26"/>
        </w:rPr>
      </w:pPr>
    </w:p>
    <w:p w14:paraId="1A187BCE" w14:textId="77777777" w:rsidR="00AA1BB0" w:rsidRPr="00D379D9" w:rsidRDefault="00AA1BB0" w:rsidP="00AA1BB0">
      <w:pPr>
        <w:ind w:left="720" w:hanging="720"/>
        <w:rPr>
          <w:sz w:val="26"/>
          <w:szCs w:val="26"/>
        </w:rPr>
      </w:pPr>
      <w:r w:rsidRPr="00D379D9">
        <w:rPr>
          <w:sz w:val="26"/>
          <w:szCs w:val="26"/>
        </w:rPr>
        <w:t>North American Electric Reliability Corporation</w:t>
      </w:r>
    </w:p>
    <w:p w14:paraId="1A187BCF" w14:textId="77777777" w:rsidR="00AA1BB0" w:rsidRPr="00D379D9" w:rsidRDefault="00AA1BB0" w:rsidP="00AA1BB0">
      <w:pPr>
        <w:ind w:left="720" w:hanging="720"/>
        <w:rPr>
          <w:sz w:val="26"/>
          <w:szCs w:val="26"/>
        </w:rPr>
      </w:pPr>
      <w:r w:rsidRPr="00D379D9">
        <w:rPr>
          <w:sz w:val="26"/>
          <w:szCs w:val="26"/>
        </w:rPr>
        <w:t>1325 G Street N.W., Suite 600</w:t>
      </w:r>
    </w:p>
    <w:p w14:paraId="1A187BD0" w14:textId="77777777" w:rsidR="00AA1BB0" w:rsidRPr="00D379D9" w:rsidRDefault="00AA1BB0" w:rsidP="00AA1BB0">
      <w:pPr>
        <w:widowControl/>
        <w:rPr>
          <w:sz w:val="26"/>
          <w:szCs w:val="26"/>
        </w:rPr>
      </w:pPr>
      <w:r w:rsidRPr="00D379D9">
        <w:rPr>
          <w:sz w:val="26"/>
          <w:szCs w:val="26"/>
        </w:rPr>
        <w:t>Washington, D.C. 20005</w:t>
      </w:r>
    </w:p>
    <w:p w14:paraId="1A187BD1" w14:textId="77777777" w:rsidR="00AA1BB0" w:rsidRPr="00D379D9" w:rsidRDefault="00AA1BB0" w:rsidP="00AA1BB0">
      <w:pPr>
        <w:widowControl/>
        <w:rPr>
          <w:sz w:val="26"/>
          <w:szCs w:val="26"/>
        </w:rPr>
      </w:pPr>
    </w:p>
    <w:p w14:paraId="1A187BD2" w14:textId="77777777" w:rsidR="00593DD0" w:rsidRPr="00DB097E" w:rsidRDefault="00AA1BB0" w:rsidP="00593DD0">
      <w:pPr>
        <w:pStyle w:val="Default"/>
        <w:tabs>
          <w:tab w:val="left" w:pos="720"/>
          <w:tab w:val="left" w:pos="1440"/>
          <w:tab w:val="left" w:pos="2160"/>
          <w:tab w:val="left" w:pos="2880"/>
          <w:tab w:val="left" w:pos="3705"/>
        </w:tabs>
        <w:rPr>
          <w:sz w:val="26"/>
          <w:szCs w:val="26"/>
        </w:rPr>
      </w:pPr>
      <w:r w:rsidRPr="00D379D9">
        <w:rPr>
          <w:sz w:val="26"/>
          <w:szCs w:val="26"/>
        </w:rPr>
        <w:t>Attention:</w:t>
      </w:r>
      <w:r w:rsidRPr="00D379D9">
        <w:rPr>
          <w:sz w:val="26"/>
          <w:szCs w:val="26"/>
        </w:rPr>
        <w:tab/>
      </w:r>
      <w:r w:rsidR="00FC7DDD">
        <w:rPr>
          <w:sz w:val="26"/>
          <w:szCs w:val="26"/>
        </w:rPr>
        <w:t xml:space="preserve">Lauren A. </w:t>
      </w:r>
      <w:proofErr w:type="spellStart"/>
      <w:r w:rsidR="00FC7DDD">
        <w:rPr>
          <w:sz w:val="26"/>
          <w:szCs w:val="26"/>
        </w:rPr>
        <w:t>Perotti</w:t>
      </w:r>
      <w:proofErr w:type="spellEnd"/>
      <w:r w:rsidR="00593DD0">
        <w:rPr>
          <w:sz w:val="26"/>
          <w:szCs w:val="26"/>
        </w:rPr>
        <w:tab/>
      </w:r>
    </w:p>
    <w:p w14:paraId="1A187BD3" w14:textId="77777777" w:rsidR="00593DD0" w:rsidRPr="00DB097E" w:rsidRDefault="00593DD0" w:rsidP="00593DD0">
      <w:pPr>
        <w:ind w:left="720" w:firstLine="720"/>
        <w:rPr>
          <w:sz w:val="26"/>
          <w:szCs w:val="26"/>
        </w:rPr>
      </w:pPr>
      <w:r w:rsidRPr="00DB097E">
        <w:rPr>
          <w:sz w:val="26"/>
          <w:szCs w:val="26"/>
        </w:rPr>
        <w:t xml:space="preserve">Counsel for North American Electric Reliability Corporation </w:t>
      </w:r>
    </w:p>
    <w:p w14:paraId="1A187BD4" w14:textId="77777777" w:rsidR="00AA1BB0" w:rsidRPr="00D379D9" w:rsidRDefault="00AA1BB0" w:rsidP="00593DD0">
      <w:pPr>
        <w:pStyle w:val="Default"/>
        <w:rPr>
          <w:sz w:val="26"/>
          <w:szCs w:val="26"/>
        </w:rPr>
      </w:pPr>
      <w:r w:rsidRPr="00D379D9">
        <w:rPr>
          <w:sz w:val="26"/>
          <w:szCs w:val="26"/>
        </w:rPr>
        <w:tab/>
      </w:r>
    </w:p>
    <w:p w14:paraId="1A187BD5" w14:textId="77777777" w:rsidR="00AA1BB0" w:rsidRPr="00D379D9" w:rsidRDefault="00AA1BB0" w:rsidP="00FC7DDD">
      <w:pPr>
        <w:ind w:left="1440" w:hanging="1440"/>
        <w:rPr>
          <w:sz w:val="26"/>
          <w:szCs w:val="26"/>
        </w:rPr>
      </w:pPr>
      <w:r w:rsidRPr="00D379D9">
        <w:rPr>
          <w:sz w:val="26"/>
          <w:szCs w:val="26"/>
        </w:rPr>
        <w:t>Reference:</w:t>
      </w:r>
      <w:r w:rsidRPr="00D379D9">
        <w:rPr>
          <w:sz w:val="26"/>
          <w:szCs w:val="26"/>
        </w:rPr>
        <w:tab/>
      </w:r>
      <w:r w:rsidR="00FC7DDD" w:rsidRPr="00FC7DDD">
        <w:rPr>
          <w:sz w:val="26"/>
          <w:szCs w:val="26"/>
        </w:rPr>
        <w:t xml:space="preserve">Joint Petition of the North American Electric Reliability Corporation and Northeast Power Coordinating Council for Approval of Retirement </w:t>
      </w:r>
      <w:r w:rsidR="0004448B" w:rsidRPr="00FC7DDD">
        <w:rPr>
          <w:sz w:val="26"/>
          <w:szCs w:val="26"/>
        </w:rPr>
        <w:t>o</w:t>
      </w:r>
      <w:r w:rsidR="0004448B">
        <w:rPr>
          <w:sz w:val="26"/>
          <w:szCs w:val="26"/>
        </w:rPr>
        <w:t xml:space="preserve">f </w:t>
      </w:r>
      <w:r w:rsidR="00FC7DDD" w:rsidRPr="00FC7DDD">
        <w:rPr>
          <w:sz w:val="26"/>
          <w:szCs w:val="26"/>
        </w:rPr>
        <w:t>Regional Reliability Standard PRC-002-NPCC-01</w:t>
      </w:r>
    </w:p>
    <w:p w14:paraId="1A187BD6" w14:textId="77777777" w:rsidR="00AA1BB0" w:rsidRDefault="00AA1BB0" w:rsidP="00AA1BB0">
      <w:pPr>
        <w:widowControl/>
        <w:rPr>
          <w:sz w:val="26"/>
          <w:szCs w:val="26"/>
        </w:rPr>
      </w:pPr>
    </w:p>
    <w:p w14:paraId="1A187BD7" w14:textId="77777777" w:rsidR="00712153" w:rsidRDefault="00712153" w:rsidP="00AA1BB0">
      <w:pPr>
        <w:widowControl/>
        <w:rPr>
          <w:sz w:val="26"/>
          <w:szCs w:val="26"/>
        </w:rPr>
      </w:pPr>
      <w:r>
        <w:rPr>
          <w:sz w:val="26"/>
          <w:szCs w:val="26"/>
        </w:rPr>
        <w:t xml:space="preserve">Dear Ms. </w:t>
      </w:r>
      <w:proofErr w:type="spellStart"/>
      <w:r>
        <w:rPr>
          <w:sz w:val="26"/>
          <w:szCs w:val="26"/>
        </w:rPr>
        <w:t>Perotti</w:t>
      </w:r>
      <w:proofErr w:type="spellEnd"/>
      <w:r>
        <w:rPr>
          <w:sz w:val="26"/>
          <w:szCs w:val="26"/>
        </w:rPr>
        <w:t>:</w:t>
      </w:r>
    </w:p>
    <w:p w14:paraId="1A187BD8" w14:textId="77777777" w:rsidR="00712153" w:rsidRDefault="00712153" w:rsidP="00AA1BB0">
      <w:pPr>
        <w:widowControl/>
        <w:rPr>
          <w:sz w:val="26"/>
          <w:szCs w:val="26"/>
        </w:rPr>
      </w:pPr>
    </w:p>
    <w:p w14:paraId="1A187BD9" w14:textId="77777777" w:rsidR="00FC7DDD" w:rsidRPr="00FC7DDD" w:rsidRDefault="00FC7DDD" w:rsidP="00FC7DDD">
      <w:pPr>
        <w:ind w:firstLine="720"/>
        <w:rPr>
          <w:sz w:val="26"/>
          <w:szCs w:val="26"/>
        </w:rPr>
      </w:pPr>
      <w:r w:rsidRPr="00FC7DDD">
        <w:rPr>
          <w:sz w:val="26"/>
          <w:szCs w:val="26"/>
        </w:rPr>
        <w:t xml:space="preserve">On June 9, 2016, the North American Electric Reliability Corporation (NERC) and the Northeast Power Coordination Council, Inc. (NPCC) filed a </w:t>
      </w:r>
      <w:r w:rsidR="0004448B">
        <w:rPr>
          <w:sz w:val="26"/>
          <w:szCs w:val="26"/>
        </w:rPr>
        <w:t xml:space="preserve">joint </w:t>
      </w:r>
      <w:r w:rsidRPr="00FC7DDD">
        <w:rPr>
          <w:sz w:val="26"/>
          <w:szCs w:val="26"/>
        </w:rPr>
        <w:t>petition for Commission approval, pursuant to section 215(d</w:t>
      </w:r>
      <w:proofErr w:type="gramStart"/>
      <w:r w:rsidRPr="00FC7DDD">
        <w:rPr>
          <w:sz w:val="26"/>
          <w:szCs w:val="26"/>
        </w:rPr>
        <w:t>)(</w:t>
      </w:r>
      <w:proofErr w:type="gramEnd"/>
      <w:r w:rsidRPr="00FC7DDD">
        <w:rPr>
          <w:sz w:val="26"/>
          <w:szCs w:val="26"/>
        </w:rPr>
        <w:t>1)  of the Federal Power Act (FPA)</w:t>
      </w:r>
      <w:r w:rsidRPr="00FC7DDD">
        <w:rPr>
          <w:rStyle w:val="FootnoteReference"/>
        </w:rPr>
        <w:footnoteReference w:id="1"/>
      </w:r>
      <w:r w:rsidRPr="00FC7DDD">
        <w:rPr>
          <w:sz w:val="26"/>
          <w:szCs w:val="26"/>
        </w:rPr>
        <w:t xml:space="preserve"> and Section 39.5</w:t>
      </w:r>
      <w:r w:rsidRPr="00FC7DDD">
        <w:rPr>
          <w:rStyle w:val="FootnoteReference"/>
        </w:rPr>
        <w:footnoteReference w:id="2"/>
      </w:r>
      <w:r w:rsidRPr="00FC7DDD">
        <w:rPr>
          <w:sz w:val="26"/>
          <w:szCs w:val="26"/>
        </w:rPr>
        <w:t xml:space="preserve"> of the Commission’s regulations, of the retirement of NPCC Regional Reliabi</w:t>
      </w:r>
      <w:r w:rsidR="00712153">
        <w:rPr>
          <w:sz w:val="26"/>
          <w:szCs w:val="26"/>
        </w:rPr>
        <w:t>lity Standard PRC-002-NPCC-01 (</w:t>
      </w:r>
      <w:r w:rsidRPr="00FC7DDD">
        <w:rPr>
          <w:sz w:val="26"/>
          <w:szCs w:val="26"/>
        </w:rPr>
        <w:t>Disturbance Monitoring</w:t>
      </w:r>
      <w:r w:rsidR="00712153">
        <w:rPr>
          <w:sz w:val="26"/>
          <w:szCs w:val="26"/>
        </w:rPr>
        <w:t>)</w:t>
      </w:r>
      <w:r w:rsidRPr="00FC7DDD">
        <w:rPr>
          <w:sz w:val="26"/>
          <w:szCs w:val="26"/>
        </w:rPr>
        <w:t xml:space="preserve"> and the two related NPCC regional definitions, Current Zero Time and Generating Plant.</w:t>
      </w:r>
      <w:r w:rsidR="006F2490">
        <w:rPr>
          <w:rStyle w:val="FootnoteReference"/>
        </w:rPr>
        <w:footnoteReference w:id="3"/>
      </w:r>
    </w:p>
    <w:p w14:paraId="1A187BDA" w14:textId="77777777" w:rsidR="00FC7DDD" w:rsidRPr="00FC7DDD" w:rsidRDefault="00FC7DDD" w:rsidP="00FC7DDD">
      <w:pPr>
        <w:rPr>
          <w:sz w:val="26"/>
          <w:szCs w:val="26"/>
        </w:rPr>
      </w:pPr>
    </w:p>
    <w:p w14:paraId="1A187BDB" w14:textId="77777777" w:rsidR="00FC7DDD" w:rsidRPr="00FC7DDD" w:rsidRDefault="00FC7DDD" w:rsidP="00FC7DDD">
      <w:pPr>
        <w:ind w:firstLine="720"/>
        <w:rPr>
          <w:sz w:val="26"/>
          <w:szCs w:val="26"/>
        </w:rPr>
      </w:pPr>
      <w:r w:rsidRPr="00FC7DDD">
        <w:rPr>
          <w:sz w:val="26"/>
          <w:szCs w:val="26"/>
        </w:rPr>
        <w:t>In the joint petition, NERC and NPCC state that the primary purpose of Regional</w:t>
      </w:r>
      <w:r w:rsidR="0004448B">
        <w:rPr>
          <w:sz w:val="26"/>
          <w:szCs w:val="26"/>
        </w:rPr>
        <w:t xml:space="preserve"> Reliability</w:t>
      </w:r>
      <w:r w:rsidRPr="00FC7DDD">
        <w:rPr>
          <w:sz w:val="26"/>
          <w:szCs w:val="26"/>
        </w:rPr>
        <w:t xml:space="preserve"> Standard PRC-002-NPCC-01</w:t>
      </w:r>
      <w:r w:rsidR="00D36E55">
        <w:rPr>
          <w:sz w:val="26"/>
          <w:szCs w:val="26"/>
        </w:rPr>
        <w:t xml:space="preserve"> </w:t>
      </w:r>
      <w:r w:rsidRPr="00FC7DDD">
        <w:rPr>
          <w:sz w:val="26"/>
          <w:szCs w:val="26"/>
        </w:rPr>
        <w:t xml:space="preserve">is to ensure that adequate disturbance data is available to facilitate </w:t>
      </w:r>
      <w:r w:rsidR="00A71803">
        <w:rPr>
          <w:sz w:val="26"/>
          <w:szCs w:val="26"/>
        </w:rPr>
        <w:t>b</w:t>
      </w:r>
      <w:r w:rsidRPr="00FC7DDD">
        <w:rPr>
          <w:sz w:val="26"/>
          <w:szCs w:val="26"/>
        </w:rPr>
        <w:t xml:space="preserve">ulk </w:t>
      </w:r>
      <w:r w:rsidR="00A71803">
        <w:rPr>
          <w:sz w:val="26"/>
          <w:szCs w:val="26"/>
        </w:rPr>
        <w:t>e</w:t>
      </w:r>
      <w:r w:rsidRPr="00FC7DDD">
        <w:rPr>
          <w:sz w:val="26"/>
          <w:szCs w:val="26"/>
        </w:rPr>
        <w:t xml:space="preserve">lectric </w:t>
      </w:r>
      <w:r w:rsidR="00A71803">
        <w:rPr>
          <w:sz w:val="26"/>
          <w:szCs w:val="26"/>
        </w:rPr>
        <w:t>s</w:t>
      </w:r>
      <w:r w:rsidRPr="00FC7DDD">
        <w:rPr>
          <w:sz w:val="26"/>
          <w:szCs w:val="26"/>
        </w:rPr>
        <w:t>ystem event analyses</w:t>
      </w:r>
      <w:r w:rsidR="00825DE2">
        <w:rPr>
          <w:sz w:val="26"/>
          <w:szCs w:val="26"/>
        </w:rPr>
        <w:t>.  NERC</w:t>
      </w:r>
      <w:r w:rsidRPr="00FC7DDD">
        <w:rPr>
          <w:sz w:val="26"/>
          <w:szCs w:val="26"/>
        </w:rPr>
        <w:t xml:space="preserve"> and </w:t>
      </w:r>
      <w:r w:rsidR="00825DE2">
        <w:rPr>
          <w:sz w:val="26"/>
          <w:szCs w:val="26"/>
        </w:rPr>
        <w:t xml:space="preserve">NPCC explain </w:t>
      </w:r>
      <w:r w:rsidRPr="00FC7DDD">
        <w:rPr>
          <w:sz w:val="26"/>
          <w:szCs w:val="26"/>
        </w:rPr>
        <w:t>that the issues</w:t>
      </w:r>
      <w:r w:rsidR="0004448B">
        <w:rPr>
          <w:sz w:val="26"/>
          <w:szCs w:val="26"/>
        </w:rPr>
        <w:t xml:space="preserve"> addressed in</w:t>
      </w:r>
      <w:r w:rsidRPr="00FC7DDD">
        <w:rPr>
          <w:sz w:val="26"/>
          <w:szCs w:val="26"/>
        </w:rPr>
        <w:t xml:space="preserve"> th</w:t>
      </w:r>
      <w:r w:rsidR="00825DE2">
        <w:rPr>
          <w:sz w:val="26"/>
          <w:szCs w:val="26"/>
        </w:rPr>
        <w:t>e</w:t>
      </w:r>
      <w:r w:rsidRPr="00FC7DDD">
        <w:rPr>
          <w:sz w:val="26"/>
          <w:szCs w:val="26"/>
        </w:rPr>
        <w:t xml:space="preserve"> </w:t>
      </w:r>
      <w:r w:rsidR="00825DE2">
        <w:rPr>
          <w:sz w:val="26"/>
          <w:szCs w:val="26"/>
        </w:rPr>
        <w:t>R</w:t>
      </w:r>
      <w:r w:rsidRPr="00FC7DDD">
        <w:rPr>
          <w:sz w:val="26"/>
          <w:szCs w:val="26"/>
        </w:rPr>
        <w:t xml:space="preserve">egional </w:t>
      </w:r>
      <w:r w:rsidR="00825DE2">
        <w:rPr>
          <w:sz w:val="26"/>
          <w:szCs w:val="26"/>
        </w:rPr>
        <w:t>R</w:t>
      </w:r>
      <w:r w:rsidR="0004448B">
        <w:rPr>
          <w:sz w:val="26"/>
          <w:szCs w:val="26"/>
        </w:rPr>
        <w:t xml:space="preserve">eliability </w:t>
      </w:r>
      <w:r w:rsidR="00825DE2">
        <w:rPr>
          <w:sz w:val="26"/>
          <w:szCs w:val="26"/>
        </w:rPr>
        <w:t>S</w:t>
      </w:r>
      <w:r w:rsidRPr="00FC7DDD">
        <w:rPr>
          <w:sz w:val="26"/>
          <w:szCs w:val="26"/>
        </w:rPr>
        <w:t xml:space="preserve">tandard are </w:t>
      </w:r>
      <w:r w:rsidR="007B72E4">
        <w:rPr>
          <w:sz w:val="26"/>
          <w:szCs w:val="26"/>
        </w:rPr>
        <w:t xml:space="preserve">now </w:t>
      </w:r>
      <w:r w:rsidRPr="00FC7DDD">
        <w:rPr>
          <w:sz w:val="26"/>
          <w:szCs w:val="26"/>
        </w:rPr>
        <w:t>addressed by continent-wide R</w:t>
      </w:r>
      <w:r w:rsidR="00712153">
        <w:rPr>
          <w:sz w:val="26"/>
          <w:szCs w:val="26"/>
        </w:rPr>
        <w:t>eliability Standard PRC-002-2 (</w:t>
      </w:r>
      <w:r w:rsidRPr="00FC7DDD">
        <w:rPr>
          <w:sz w:val="26"/>
          <w:szCs w:val="26"/>
        </w:rPr>
        <w:t xml:space="preserve">Disturbance Monitoring and Reporting </w:t>
      </w:r>
      <w:r w:rsidRPr="00FC7DDD">
        <w:rPr>
          <w:sz w:val="26"/>
          <w:szCs w:val="26"/>
        </w:rPr>
        <w:lastRenderedPageBreak/>
        <w:t>Requirements</w:t>
      </w:r>
      <w:r w:rsidR="00712153">
        <w:rPr>
          <w:sz w:val="26"/>
          <w:szCs w:val="26"/>
        </w:rPr>
        <w:t>)</w:t>
      </w:r>
      <w:r w:rsidR="001D7512">
        <w:rPr>
          <w:sz w:val="26"/>
          <w:szCs w:val="26"/>
        </w:rPr>
        <w:t>, approved by the Commission in 2015</w:t>
      </w:r>
      <w:r w:rsidRPr="00FC7DDD">
        <w:rPr>
          <w:sz w:val="26"/>
          <w:szCs w:val="26"/>
        </w:rPr>
        <w:t>.</w:t>
      </w:r>
      <w:r w:rsidR="00825DE2">
        <w:rPr>
          <w:rStyle w:val="FootnoteReference"/>
        </w:rPr>
        <w:footnoteReference w:id="4"/>
      </w:r>
      <w:r w:rsidRPr="00FC7DDD">
        <w:rPr>
          <w:sz w:val="26"/>
          <w:szCs w:val="26"/>
        </w:rPr>
        <w:t xml:space="preserve">  </w:t>
      </w:r>
      <w:r w:rsidR="003C2C25" w:rsidRPr="00FC7DDD">
        <w:rPr>
          <w:sz w:val="26"/>
          <w:szCs w:val="26"/>
        </w:rPr>
        <w:t>Reliability Standard PRC-002-2 imposes mandatory requirements concerning the monitoring and reporting of disturbances and provides greater continent-wide consistency regarding collection methods for data used in the analysis of disturbances on the Bulk-Power System.</w:t>
      </w:r>
      <w:r w:rsidR="003C2C25">
        <w:rPr>
          <w:sz w:val="26"/>
          <w:szCs w:val="26"/>
        </w:rPr>
        <w:t xml:space="preserve">  </w:t>
      </w:r>
      <w:r w:rsidR="00A843EA">
        <w:rPr>
          <w:sz w:val="26"/>
          <w:szCs w:val="26"/>
        </w:rPr>
        <w:t>According to NERC and NPCC</w:t>
      </w:r>
      <w:r w:rsidRPr="00FC7DDD">
        <w:rPr>
          <w:sz w:val="26"/>
          <w:szCs w:val="26"/>
        </w:rPr>
        <w:t xml:space="preserve">, Regional </w:t>
      </w:r>
      <w:r w:rsidR="0004448B">
        <w:rPr>
          <w:sz w:val="26"/>
          <w:szCs w:val="26"/>
        </w:rPr>
        <w:t xml:space="preserve">Reliability </w:t>
      </w:r>
      <w:r w:rsidRPr="00FC7DDD">
        <w:rPr>
          <w:sz w:val="26"/>
          <w:szCs w:val="26"/>
        </w:rPr>
        <w:t xml:space="preserve">Standard PRC-002-NPCC-01 </w:t>
      </w:r>
      <w:r w:rsidR="00A843EA">
        <w:rPr>
          <w:sz w:val="26"/>
          <w:szCs w:val="26"/>
        </w:rPr>
        <w:t>and the related definitions are</w:t>
      </w:r>
      <w:r w:rsidRPr="00FC7DDD">
        <w:rPr>
          <w:sz w:val="26"/>
          <w:szCs w:val="26"/>
        </w:rPr>
        <w:t xml:space="preserve"> now redundant and unnecessary for reliability and </w:t>
      </w:r>
      <w:r w:rsidR="00A843EA">
        <w:rPr>
          <w:sz w:val="26"/>
          <w:szCs w:val="26"/>
        </w:rPr>
        <w:t>should be</w:t>
      </w:r>
      <w:r w:rsidRPr="00FC7DDD">
        <w:rPr>
          <w:sz w:val="26"/>
          <w:szCs w:val="26"/>
        </w:rPr>
        <w:t xml:space="preserve"> retire</w:t>
      </w:r>
      <w:r w:rsidR="00A843EA">
        <w:rPr>
          <w:sz w:val="26"/>
          <w:szCs w:val="26"/>
        </w:rPr>
        <w:t>d</w:t>
      </w:r>
      <w:r w:rsidRPr="00FC7DDD">
        <w:rPr>
          <w:sz w:val="26"/>
          <w:szCs w:val="26"/>
        </w:rPr>
        <w:t>.</w:t>
      </w:r>
      <w:r w:rsidR="003C2C25">
        <w:rPr>
          <w:sz w:val="26"/>
          <w:szCs w:val="26"/>
        </w:rPr>
        <w:t xml:space="preserve">  </w:t>
      </w:r>
    </w:p>
    <w:p w14:paraId="1A187BDC" w14:textId="77777777" w:rsidR="00FC7DDD" w:rsidRPr="00FC7DDD" w:rsidRDefault="00FC7DDD" w:rsidP="00FC7DDD">
      <w:pPr>
        <w:rPr>
          <w:sz w:val="26"/>
          <w:szCs w:val="26"/>
        </w:rPr>
      </w:pPr>
    </w:p>
    <w:p w14:paraId="1A187BDD" w14:textId="77777777" w:rsidR="00FC7DDD" w:rsidRPr="007B72E4" w:rsidRDefault="003C2C25" w:rsidP="00FC7DDD">
      <w:pPr>
        <w:ind w:firstLine="720"/>
        <w:rPr>
          <w:sz w:val="26"/>
          <w:szCs w:val="26"/>
        </w:rPr>
      </w:pPr>
      <w:r>
        <w:rPr>
          <w:sz w:val="26"/>
          <w:szCs w:val="26"/>
        </w:rPr>
        <w:t xml:space="preserve">The </w:t>
      </w:r>
      <w:r w:rsidR="00FC7DDD" w:rsidRPr="00FC7DDD">
        <w:rPr>
          <w:sz w:val="26"/>
          <w:szCs w:val="26"/>
        </w:rPr>
        <w:t xml:space="preserve">NERC and NPCC joint </w:t>
      </w:r>
      <w:r w:rsidR="007B72E4">
        <w:rPr>
          <w:sz w:val="26"/>
          <w:szCs w:val="26"/>
        </w:rPr>
        <w:t>petition</w:t>
      </w:r>
      <w:r w:rsidR="00FC7DDD" w:rsidRPr="00FC7DDD">
        <w:rPr>
          <w:sz w:val="26"/>
          <w:szCs w:val="26"/>
        </w:rPr>
        <w:t xml:space="preserve"> was noticed on June 9, 2016, with interventions, comments a</w:t>
      </w:r>
      <w:r w:rsidR="00FC7DDD" w:rsidRPr="007B72E4">
        <w:rPr>
          <w:sz w:val="26"/>
          <w:szCs w:val="26"/>
        </w:rPr>
        <w:t xml:space="preserve">nd protests due on or before July 11, 2016.  </w:t>
      </w:r>
      <w:r w:rsidR="007B72E4" w:rsidRPr="00BB3978">
        <w:rPr>
          <w:sz w:val="26"/>
          <w:szCs w:val="26"/>
        </w:rPr>
        <w:t>Dominion Resources Service, Inc. filed a timely motion to Intervene</w:t>
      </w:r>
      <w:r w:rsidR="007B72E4">
        <w:rPr>
          <w:sz w:val="26"/>
          <w:szCs w:val="26"/>
        </w:rPr>
        <w:t>.</w:t>
      </w:r>
      <w:r w:rsidR="007B72E4" w:rsidRPr="00BB3978">
        <w:rPr>
          <w:sz w:val="26"/>
          <w:szCs w:val="26"/>
        </w:rPr>
        <w:t xml:space="preserve"> </w:t>
      </w:r>
      <w:r w:rsidR="007B72E4">
        <w:rPr>
          <w:sz w:val="26"/>
          <w:szCs w:val="26"/>
        </w:rPr>
        <w:t xml:space="preserve"> </w:t>
      </w:r>
      <w:r w:rsidR="003719EC" w:rsidRPr="007B72E4">
        <w:rPr>
          <w:sz w:val="26"/>
          <w:szCs w:val="26"/>
        </w:rPr>
        <w:t>No comments or protests were received</w:t>
      </w:r>
      <w:r w:rsidR="00FC7DDD" w:rsidRPr="007B72E4">
        <w:rPr>
          <w:sz w:val="26"/>
          <w:szCs w:val="26"/>
        </w:rPr>
        <w:t>.</w:t>
      </w:r>
      <w:r w:rsidR="007B72E4" w:rsidRPr="007B72E4">
        <w:rPr>
          <w:sz w:val="26"/>
          <w:szCs w:val="26"/>
        </w:rPr>
        <w:t xml:space="preserve">  </w:t>
      </w:r>
    </w:p>
    <w:p w14:paraId="1A187BDE" w14:textId="77777777" w:rsidR="00FC7DDD" w:rsidRPr="00FC7DDD" w:rsidRDefault="00FC7DDD" w:rsidP="00FC7DDD">
      <w:pPr>
        <w:rPr>
          <w:sz w:val="26"/>
          <w:szCs w:val="26"/>
        </w:rPr>
      </w:pPr>
      <w:r w:rsidRPr="00FC7DDD">
        <w:rPr>
          <w:sz w:val="26"/>
          <w:szCs w:val="26"/>
        </w:rPr>
        <w:t> </w:t>
      </w:r>
    </w:p>
    <w:p w14:paraId="1A187BDF" w14:textId="77777777" w:rsidR="00FC7DDD" w:rsidRPr="00FC7DDD" w:rsidRDefault="001D7512" w:rsidP="00FC7DDD">
      <w:pPr>
        <w:ind w:firstLine="720"/>
        <w:rPr>
          <w:sz w:val="26"/>
          <w:szCs w:val="26"/>
        </w:rPr>
      </w:pPr>
      <w:r>
        <w:rPr>
          <w:sz w:val="26"/>
          <w:szCs w:val="26"/>
        </w:rPr>
        <w:t xml:space="preserve">The </w:t>
      </w:r>
      <w:r w:rsidR="00FC7DDD" w:rsidRPr="00FC7DDD">
        <w:rPr>
          <w:sz w:val="26"/>
          <w:szCs w:val="26"/>
        </w:rPr>
        <w:t>NERC and NPCC uncontested joint petition is hereby approved pursuant to the relevant authority delegated to the Director, Office of Electric Reliability under 18 C.F.R. § 375.303 (2015), effective as of the date of this order.</w:t>
      </w:r>
    </w:p>
    <w:p w14:paraId="1A187BE0" w14:textId="77777777" w:rsidR="00FC7DDD" w:rsidRPr="00FC7DDD" w:rsidRDefault="00FC7DDD" w:rsidP="00FC7DDD">
      <w:pPr>
        <w:ind w:firstLine="720"/>
        <w:rPr>
          <w:sz w:val="26"/>
          <w:szCs w:val="26"/>
        </w:rPr>
      </w:pPr>
    </w:p>
    <w:p w14:paraId="1A187BE1" w14:textId="77777777" w:rsidR="00FC7DDD" w:rsidRPr="00FC7DDD" w:rsidRDefault="00FC7DDD" w:rsidP="00FC7DDD">
      <w:pPr>
        <w:ind w:firstLine="720"/>
        <w:rPr>
          <w:sz w:val="26"/>
          <w:szCs w:val="26"/>
        </w:rPr>
      </w:pPr>
      <w:r w:rsidRPr="00FC7DDD">
        <w:rPr>
          <w:sz w:val="26"/>
          <w:szCs w:val="26"/>
        </w:rPr>
        <w:t>This action shall not be construed as approving any other application, including proposed revisions of Electric Reliability Organization or Regional Entity rules or procedures pursuant to 18 C.F.R. § 375.303(a)(2)(</w:t>
      </w:r>
      <w:proofErr w:type="spellStart"/>
      <w:r w:rsidRPr="00FC7DDD">
        <w:rPr>
          <w:sz w:val="26"/>
          <w:szCs w:val="26"/>
        </w:rPr>
        <w:t>i</w:t>
      </w:r>
      <w:proofErr w:type="spellEnd"/>
      <w:r w:rsidRPr="00FC7DDD">
        <w:rPr>
          <w:sz w:val="26"/>
          <w:szCs w:val="26"/>
        </w:rPr>
        <w:t>).  Such action shall not be deemed as recognition of any claimed right or obligation associated therewith and such action is without prejudice to any findings or orders that have been or may hereafter be made by the Commission in any proceeding now pending or hereafter instituted by or against the Electric Reliability Organization or any Regional Entity.</w:t>
      </w:r>
    </w:p>
    <w:p w14:paraId="1A187BE2" w14:textId="77777777" w:rsidR="00FC7DDD" w:rsidRPr="00FC7DDD" w:rsidRDefault="00FC7DDD" w:rsidP="00FC7DDD">
      <w:pPr>
        <w:rPr>
          <w:sz w:val="26"/>
          <w:szCs w:val="26"/>
        </w:rPr>
      </w:pPr>
      <w:r w:rsidRPr="00FC7DDD">
        <w:rPr>
          <w:sz w:val="26"/>
          <w:szCs w:val="26"/>
        </w:rPr>
        <w:t> </w:t>
      </w:r>
    </w:p>
    <w:p w14:paraId="1A187BE3" w14:textId="77777777" w:rsidR="00FC7DDD" w:rsidRPr="00FC7DDD" w:rsidRDefault="00FC7DDD" w:rsidP="00BB3978">
      <w:pPr>
        <w:widowControl/>
        <w:ind w:firstLine="720"/>
        <w:rPr>
          <w:sz w:val="26"/>
          <w:szCs w:val="26"/>
        </w:rPr>
      </w:pPr>
      <w:r w:rsidRPr="00FC7DDD">
        <w:rPr>
          <w:sz w:val="26"/>
          <w:szCs w:val="26"/>
        </w:rPr>
        <w:t>This order constitutes final agency action.  Requests for rehearing by the Commission may be filed within 30 days of the date of issuance of this order, pursuant to 18 C.F.R. § 385.713 (2015).</w:t>
      </w:r>
    </w:p>
    <w:p w14:paraId="1A187BE4" w14:textId="77777777" w:rsidR="00FC7DDD" w:rsidRPr="00FC7DDD" w:rsidRDefault="00AA1BB0" w:rsidP="004C5D42">
      <w:pPr>
        <w:widowControl/>
        <w:rPr>
          <w:sz w:val="26"/>
          <w:szCs w:val="26"/>
        </w:rPr>
      </w:pPr>
      <w:r w:rsidRPr="00FC7DDD">
        <w:rPr>
          <w:sz w:val="26"/>
          <w:szCs w:val="26"/>
        </w:rPr>
        <w:tab/>
      </w:r>
    </w:p>
    <w:p w14:paraId="1A187BE5" w14:textId="77777777" w:rsidR="00FC7DDD" w:rsidRPr="00FC7DDD" w:rsidRDefault="00FC7DDD" w:rsidP="004C5D42">
      <w:pPr>
        <w:widowControl/>
        <w:rPr>
          <w:sz w:val="26"/>
          <w:szCs w:val="26"/>
        </w:rPr>
      </w:pPr>
    </w:p>
    <w:p w14:paraId="1A187BE6" w14:textId="77777777" w:rsidR="00AA1BB0" w:rsidRPr="00FC7DDD" w:rsidRDefault="00AA1BB0" w:rsidP="00AA1BB0">
      <w:pPr>
        <w:rPr>
          <w:sz w:val="26"/>
          <w:szCs w:val="26"/>
        </w:rPr>
      </w:pPr>
      <w:r w:rsidRPr="00FC7DDD">
        <w:rPr>
          <w:sz w:val="26"/>
          <w:szCs w:val="26"/>
        </w:rPr>
        <w:tab/>
      </w:r>
      <w:r w:rsidRPr="00FC7DDD">
        <w:rPr>
          <w:sz w:val="26"/>
          <w:szCs w:val="26"/>
        </w:rPr>
        <w:tab/>
      </w:r>
      <w:r w:rsidRPr="00FC7DDD">
        <w:rPr>
          <w:sz w:val="26"/>
          <w:szCs w:val="26"/>
        </w:rPr>
        <w:tab/>
      </w:r>
      <w:r w:rsidRPr="00FC7DDD">
        <w:rPr>
          <w:sz w:val="26"/>
          <w:szCs w:val="26"/>
        </w:rPr>
        <w:tab/>
      </w:r>
      <w:r w:rsidRPr="00FC7DDD">
        <w:rPr>
          <w:sz w:val="26"/>
          <w:szCs w:val="26"/>
        </w:rPr>
        <w:tab/>
      </w:r>
      <w:r w:rsidRPr="00FC7DDD">
        <w:rPr>
          <w:sz w:val="26"/>
          <w:szCs w:val="26"/>
        </w:rPr>
        <w:tab/>
        <w:t>Sincerely,</w:t>
      </w:r>
    </w:p>
    <w:p w14:paraId="1A187BE7" w14:textId="77777777" w:rsidR="00AA1BB0" w:rsidRPr="00FC7DDD" w:rsidRDefault="00AA1BB0" w:rsidP="00AA1BB0">
      <w:pPr>
        <w:rPr>
          <w:sz w:val="26"/>
          <w:szCs w:val="26"/>
        </w:rPr>
      </w:pPr>
    </w:p>
    <w:p w14:paraId="1A187BE8" w14:textId="77777777" w:rsidR="00AA1BB0" w:rsidRPr="00FC7DDD" w:rsidRDefault="00AA1BB0" w:rsidP="00AA1BB0">
      <w:pPr>
        <w:rPr>
          <w:sz w:val="26"/>
          <w:szCs w:val="26"/>
        </w:rPr>
      </w:pPr>
    </w:p>
    <w:p w14:paraId="1A187BE9" w14:textId="77777777" w:rsidR="00AA1BB0" w:rsidRPr="00FC7DDD" w:rsidRDefault="00AA1BB0" w:rsidP="00AA1BB0">
      <w:pPr>
        <w:outlineLvl w:val="0"/>
        <w:rPr>
          <w:sz w:val="26"/>
          <w:szCs w:val="26"/>
        </w:rPr>
      </w:pPr>
      <w:r w:rsidRPr="00FC7DDD">
        <w:rPr>
          <w:sz w:val="26"/>
          <w:szCs w:val="26"/>
        </w:rPr>
        <w:tab/>
      </w:r>
      <w:r w:rsidRPr="00FC7DDD">
        <w:rPr>
          <w:sz w:val="26"/>
          <w:szCs w:val="26"/>
        </w:rPr>
        <w:tab/>
      </w:r>
      <w:r w:rsidRPr="00FC7DDD">
        <w:rPr>
          <w:sz w:val="26"/>
          <w:szCs w:val="26"/>
        </w:rPr>
        <w:tab/>
      </w:r>
      <w:r w:rsidRPr="00FC7DDD">
        <w:rPr>
          <w:sz w:val="26"/>
          <w:szCs w:val="26"/>
        </w:rPr>
        <w:tab/>
      </w:r>
      <w:r w:rsidRPr="00FC7DDD">
        <w:rPr>
          <w:sz w:val="26"/>
          <w:szCs w:val="26"/>
        </w:rPr>
        <w:tab/>
      </w:r>
      <w:r w:rsidRPr="00FC7DDD">
        <w:rPr>
          <w:sz w:val="26"/>
          <w:szCs w:val="26"/>
        </w:rPr>
        <w:tab/>
        <w:t>Michael Bardee, Director</w:t>
      </w:r>
    </w:p>
    <w:p w14:paraId="1A187BEA" w14:textId="77777777" w:rsidR="00AA1BB0" w:rsidRPr="00FC7DDD" w:rsidRDefault="00AA1BB0" w:rsidP="00AA1BB0">
      <w:pPr>
        <w:rPr>
          <w:sz w:val="26"/>
          <w:szCs w:val="26"/>
        </w:rPr>
      </w:pPr>
      <w:r w:rsidRPr="00FC7DDD">
        <w:rPr>
          <w:sz w:val="26"/>
          <w:szCs w:val="26"/>
        </w:rPr>
        <w:tab/>
      </w:r>
      <w:r w:rsidRPr="00FC7DDD">
        <w:rPr>
          <w:sz w:val="26"/>
          <w:szCs w:val="26"/>
        </w:rPr>
        <w:tab/>
      </w:r>
      <w:r w:rsidRPr="00FC7DDD">
        <w:rPr>
          <w:sz w:val="26"/>
          <w:szCs w:val="26"/>
        </w:rPr>
        <w:tab/>
      </w:r>
      <w:r w:rsidRPr="00FC7DDD">
        <w:rPr>
          <w:sz w:val="26"/>
          <w:szCs w:val="26"/>
        </w:rPr>
        <w:tab/>
      </w:r>
      <w:r w:rsidRPr="00FC7DDD">
        <w:rPr>
          <w:sz w:val="26"/>
          <w:szCs w:val="26"/>
        </w:rPr>
        <w:tab/>
      </w:r>
      <w:r w:rsidRPr="00FC7DDD">
        <w:rPr>
          <w:sz w:val="26"/>
          <w:szCs w:val="26"/>
        </w:rPr>
        <w:tab/>
        <w:t>Office of Electric Reliability</w:t>
      </w:r>
    </w:p>
    <w:p w14:paraId="1A187BEB" w14:textId="77777777" w:rsidR="00C0730B" w:rsidRPr="00FC7DDD" w:rsidRDefault="001845A1">
      <w:pPr>
        <w:rPr>
          <w:sz w:val="26"/>
          <w:szCs w:val="26"/>
        </w:rPr>
      </w:pPr>
    </w:p>
    <w:sectPr w:rsidR="00C0730B" w:rsidRPr="00FC7DDD" w:rsidSect="0030709C">
      <w:headerReference w:type="default" r:id="rId12"/>
      <w:footnotePr>
        <w:numRestart w:val="eachSect"/>
      </w:footnotePr>
      <w:pgSz w:w="12240" w:h="15840" w:code="1"/>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87BEE" w14:textId="77777777" w:rsidR="0046626D" w:rsidRDefault="0046626D" w:rsidP="00AA1BB0">
      <w:r>
        <w:separator/>
      </w:r>
    </w:p>
  </w:endnote>
  <w:endnote w:type="continuationSeparator" w:id="0">
    <w:p w14:paraId="1A187BEF" w14:textId="77777777" w:rsidR="0046626D" w:rsidRDefault="0046626D" w:rsidP="00AA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87BEC" w14:textId="77777777" w:rsidR="0046626D" w:rsidRDefault="0046626D" w:rsidP="00AA1BB0">
      <w:r>
        <w:separator/>
      </w:r>
    </w:p>
  </w:footnote>
  <w:footnote w:type="continuationSeparator" w:id="0">
    <w:p w14:paraId="1A187BED" w14:textId="77777777" w:rsidR="0046626D" w:rsidRDefault="0046626D" w:rsidP="00AA1BB0">
      <w:r>
        <w:continuationSeparator/>
      </w:r>
    </w:p>
  </w:footnote>
  <w:footnote w:id="1">
    <w:p w14:paraId="1A187BF2" w14:textId="77777777" w:rsidR="00FC7DDD" w:rsidRPr="00BB3978" w:rsidRDefault="00FC7DDD" w:rsidP="00FC7DDD">
      <w:pPr>
        <w:pStyle w:val="FootnoteText"/>
        <w:rPr>
          <w:sz w:val="26"/>
          <w:szCs w:val="26"/>
        </w:rPr>
      </w:pPr>
      <w:r w:rsidRPr="00BB3978">
        <w:rPr>
          <w:rStyle w:val="FootnoteReference"/>
        </w:rPr>
        <w:footnoteRef/>
      </w:r>
      <w:r w:rsidRPr="00BB3978">
        <w:rPr>
          <w:sz w:val="26"/>
          <w:szCs w:val="26"/>
        </w:rPr>
        <w:t xml:space="preserve"> </w:t>
      </w:r>
      <w:r w:rsidRPr="00BB3978">
        <w:rPr>
          <w:sz w:val="26"/>
          <w:szCs w:val="26"/>
        </w:rPr>
        <w:tab/>
        <w:t>16 U.S.C. § 824o (2012).</w:t>
      </w:r>
      <w:r w:rsidR="00A71803" w:rsidRPr="00BB3978">
        <w:rPr>
          <w:sz w:val="26"/>
          <w:szCs w:val="26"/>
        </w:rPr>
        <w:t xml:space="preserve">  </w:t>
      </w:r>
    </w:p>
  </w:footnote>
  <w:footnote w:id="2">
    <w:p w14:paraId="1A187BF3" w14:textId="77777777" w:rsidR="00FC7DDD" w:rsidRPr="00BB3978" w:rsidRDefault="00FC7DDD" w:rsidP="00FC7DDD">
      <w:pPr>
        <w:pStyle w:val="FootnoteText"/>
        <w:rPr>
          <w:sz w:val="26"/>
          <w:szCs w:val="26"/>
        </w:rPr>
      </w:pPr>
      <w:r w:rsidRPr="00BB3978">
        <w:rPr>
          <w:rStyle w:val="FootnoteReference"/>
        </w:rPr>
        <w:footnoteRef/>
      </w:r>
      <w:r w:rsidRPr="00BB3978">
        <w:rPr>
          <w:sz w:val="26"/>
          <w:szCs w:val="26"/>
        </w:rPr>
        <w:t xml:space="preserve"> </w:t>
      </w:r>
      <w:r w:rsidRPr="00BB3978">
        <w:rPr>
          <w:sz w:val="26"/>
          <w:szCs w:val="26"/>
        </w:rPr>
        <w:tab/>
        <w:t>18 C.F.R. § 39.5 (2015).</w:t>
      </w:r>
    </w:p>
  </w:footnote>
  <w:footnote w:id="3">
    <w:p w14:paraId="1A187BF4" w14:textId="77777777" w:rsidR="006F2490" w:rsidRPr="00BB3978" w:rsidRDefault="006F2490">
      <w:pPr>
        <w:pStyle w:val="FootnoteText"/>
        <w:rPr>
          <w:sz w:val="26"/>
          <w:szCs w:val="26"/>
        </w:rPr>
      </w:pPr>
      <w:r w:rsidRPr="00BB3978">
        <w:rPr>
          <w:rStyle w:val="FootnoteReference"/>
        </w:rPr>
        <w:footnoteRef/>
      </w:r>
      <w:r w:rsidRPr="00BB3978">
        <w:rPr>
          <w:sz w:val="26"/>
          <w:szCs w:val="26"/>
        </w:rPr>
        <w:t xml:space="preserve"> </w:t>
      </w:r>
      <w:r w:rsidRPr="00BB3978">
        <w:rPr>
          <w:sz w:val="26"/>
          <w:szCs w:val="26"/>
        </w:rPr>
        <w:tab/>
      </w:r>
      <w:r w:rsidR="00597899" w:rsidRPr="00BB3978">
        <w:rPr>
          <w:sz w:val="26"/>
          <w:szCs w:val="26"/>
        </w:rPr>
        <w:t>In 2011, t</w:t>
      </w:r>
      <w:r w:rsidRPr="00BB3978">
        <w:rPr>
          <w:sz w:val="26"/>
          <w:szCs w:val="26"/>
        </w:rPr>
        <w:t xml:space="preserve">he Commission approved Regional Reliability Standard PRC-002-NPCC-01 </w:t>
      </w:r>
      <w:r w:rsidR="00597899" w:rsidRPr="00BB3978">
        <w:rPr>
          <w:sz w:val="26"/>
          <w:szCs w:val="26"/>
        </w:rPr>
        <w:t xml:space="preserve">and </w:t>
      </w:r>
      <w:r w:rsidR="00652C6D" w:rsidRPr="00BB3978">
        <w:rPr>
          <w:sz w:val="26"/>
          <w:szCs w:val="26"/>
        </w:rPr>
        <w:t xml:space="preserve">the </w:t>
      </w:r>
      <w:r w:rsidR="00597899" w:rsidRPr="00BB3978">
        <w:rPr>
          <w:rFonts w:eastAsiaTheme="minorHAnsi"/>
          <w:sz w:val="26"/>
          <w:szCs w:val="26"/>
        </w:rPr>
        <w:t xml:space="preserve">two related NPCC regional </w:t>
      </w:r>
      <w:r w:rsidR="00652C6D" w:rsidRPr="00BB3978">
        <w:rPr>
          <w:rFonts w:eastAsiaTheme="minorHAnsi"/>
          <w:sz w:val="26"/>
          <w:szCs w:val="26"/>
        </w:rPr>
        <w:t>definitions</w:t>
      </w:r>
      <w:r w:rsidRPr="00BB3978">
        <w:rPr>
          <w:sz w:val="26"/>
          <w:szCs w:val="26"/>
        </w:rPr>
        <w:t xml:space="preserve">.  </w:t>
      </w:r>
      <w:r w:rsidRPr="00BB3978">
        <w:rPr>
          <w:rFonts w:eastAsiaTheme="minorHAnsi"/>
          <w:i/>
          <w:iCs/>
          <w:sz w:val="26"/>
          <w:szCs w:val="26"/>
        </w:rPr>
        <w:t>See North. American. Electric. Reliability Corp.</w:t>
      </w:r>
      <w:r w:rsidRPr="00BB3978">
        <w:rPr>
          <w:rFonts w:eastAsiaTheme="minorHAnsi"/>
          <w:sz w:val="26"/>
          <w:szCs w:val="26"/>
        </w:rPr>
        <w:t>, 137 FERC ¶ 61,043 (2011).</w:t>
      </w:r>
    </w:p>
  </w:footnote>
  <w:footnote w:id="4">
    <w:p w14:paraId="1A187BF5" w14:textId="77777777" w:rsidR="00825DE2" w:rsidRPr="00BB3978" w:rsidRDefault="00825DE2">
      <w:pPr>
        <w:pStyle w:val="FootnoteText"/>
        <w:rPr>
          <w:sz w:val="26"/>
          <w:szCs w:val="26"/>
        </w:rPr>
      </w:pPr>
      <w:r w:rsidRPr="00BB3978">
        <w:rPr>
          <w:rStyle w:val="FootnoteReference"/>
        </w:rPr>
        <w:footnoteRef/>
      </w:r>
      <w:r w:rsidRPr="00BB3978">
        <w:rPr>
          <w:sz w:val="26"/>
          <w:szCs w:val="26"/>
        </w:rPr>
        <w:t xml:space="preserve"> Order No. 814, </w:t>
      </w:r>
      <w:r w:rsidRPr="00BB3978">
        <w:rPr>
          <w:i/>
          <w:iCs/>
          <w:sz w:val="26"/>
          <w:szCs w:val="26"/>
        </w:rPr>
        <w:t>Disturbance Monitoring and Reporting Requirements Reliability Standard</w:t>
      </w:r>
      <w:r w:rsidRPr="00BB3978">
        <w:rPr>
          <w:sz w:val="26"/>
          <w:szCs w:val="26"/>
        </w:rPr>
        <w:t>, 152 FERC ¶ 61,198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87BF0" w14:textId="77777777" w:rsidR="004D138A" w:rsidRPr="003D34AC" w:rsidRDefault="00684584" w:rsidP="00290663">
    <w:pPr>
      <w:pStyle w:val="Header"/>
      <w:tabs>
        <w:tab w:val="clear" w:pos="8640"/>
        <w:tab w:val="right" w:pos="9360"/>
      </w:tabs>
      <w:rPr>
        <w:sz w:val="26"/>
        <w:szCs w:val="26"/>
        <w:lang w:val="de-DE"/>
      </w:rPr>
    </w:pPr>
    <w:r w:rsidRPr="003D34AC">
      <w:rPr>
        <w:sz w:val="26"/>
        <w:szCs w:val="26"/>
        <w:lang w:val="de-DE"/>
      </w:rPr>
      <w:t xml:space="preserve">Docket No. </w:t>
    </w:r>
    <w:r>
      <w:rPr>
        <w:sz w:val="26"/>
        <w:szCs w:val="26"/>
        <w:lang w:val="de-DE"/>
      </w:rPr>
      <w:t>RD</w:t>
    </w:r>
    <w:r w:rsidR="008047D3">
      <w:rPr>
        <w:sz w:val="26"/>
        <w:szCs w:val="26"/>
        <w:lang w:val="de-DE"/>
      </w:rPr>
      <w:t>16-</w:t>
    </w:r>
    <w:r w:rsidR="00712153">
      <w:rPr>
        <w:sz w:val="26"/>
        <w:szCs w:val="26"/>
        <w:lang w:val="de-DE"/>
      </w:rPr>
      <w:t>8</w:t>
    </w:r>
    <w:r w:rsidR="008047D3">
      <w:rPr>
        <w:sz w:val="26"/>
        <w:szCs w:val="26"/>
        <w:lang w:val="de-DE"/>
      </w:rPr>
      <w:t>-000</w:t>
    </w:r>
    <w:r w:rsidRPr="003D34AC">
      <w:rPr>
        <w:sz w:val="26"/>
        <w:szCs w:val="26"/>
        <w:lang w:val="de-DE"/>
      </w:rPr>
      <w:tab/>
      <w:t xml:space="preserve">  </w:t>
    </w:r>
    <w:r>
      <w:rPr>
        <w:sz w:val="26"/>
        <w:szCs w:val="26"/>
      </w:rPr>
      <w:fldChar w:fldCharType="begin"/>
    </w:r>
    <w:r w:rsidRPr="003D34AC">
      <w:rPr>
        <w:sz w:val="26"/>
        <w:szCs w:val="26"/>
        <w:lang w:val="de-DE"/>
      </w:rPr>
      <w:instrText xml:space="preserve"> PAGE </w:instrText>
    </w:r>
    <w:r>
      <w:rPr>
        <w:sz w:val="26"/>
        <w:szCs w:val="26"/>
      </w:rPr>
      <w:fldChar w:fldCharType="separate"/>
    </w:r>
    <w:r w:rsidR="001845A1">
      <w:rPr>
        <w:noProof/>
        <w:sz w:val="26"/>
        <w:szCs w:val="26"/>
        <w:lang w:val="de-DE"/>
      </w:rPr>
      <w:t>2</w:t>
    </w:r>
    <w:r>
      <w:rPr>
        <w:sz w:val="26"/>
        <w:szCs w:val="26"/>
      </w:rPr>
      <w:fldChar w:fldCharType="end"/>
    </w:r>
  </w:p>
  <w:p w14:paraId="1A187BF1" w14:textId="77777777" w:rsidR="004D138A" w:rsidRPr="0071572B" w:rsidRDefault="001845A1" w:rsidP="00290663">
    <w:pPr>
      <w:pStyle w:val="Header"/>
      <w:tabs>
        <w:tab w:val="clear" w:pos="8640"/>
        <w:tab w:val="right" w:pos="9360"/>
      </w:tabs>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F7E6D"/>
    <w:multiLevelType w:val="hybridMultilevel"/>
    <w:tmpl w:val="F9609B50"/>
    <w:lvl w:ilvl="0" w:tplc="CBBEC29C">
      <w:start w:val="1"/>
      <w:numFmt w:val="bullet"/>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4E4DD3"/>
    <w:multiLevelType w:val="hybridMultilevel"/>
    <w:tmpl w:val="4BE06504"/>
    <w:lvl w:ilvl="0" w:tplc="BA3E5ED2">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BB0"/>
    <w:rsid w:val="00005581"/>
    <w:rsid w:val="0001366D"/>
    <w:rsid w:val="00021C7B"/>
    <w:rsid w:val="0004448B"/>
    <w:rsid w:val="00060983"/>
    <w:rsid w:val="0007279F"/>
    <w:rsid w:val="00076BCB"/>
    <w:rsid w:val="00077866"/>
    <w:rsid w:val="00090B2F"/>
    <w:rsid w:val="0009571A"/>
    <w:rsid w:val="00095D18"/>
    <w:rsid w:val="000A3A34"/>
    <w:rsid w:val="000C6EA8"/>
    <w:rsid w:val="000D2B3C"/>
    <w:rsid w:val="000D37C0"/>
    <w:rsid w:val="000D79E3"/>
    <w:rsid w:val="000E4E3E"/>
    <w:rsid w:val="000E55EA"/>
    <w:rsid w:val="000F227C"/>
    <w:rsid w:val="00152DAC"/>
    <w:rsid w:val="001834A5"/>
    <w:rsid w:val="001845A1"/>
    <w:rsid w:val="001A76BB"/>
    <w:rsid w:val="001B212B"/>
    <w:rsid w:val="001C1D33"/>
    <w:rsid w:val="001D7512"/>
    <w:rsid w:val="001E0E12"/>
    <w:rsid w:val="00227D04"/>
    <w:rsid w:val="00270E7F"/>
    <w:rsid w:val="002C59D7"/>
    <w:rsid w:val="002D26EA"/>
    <w:rsid w:val="0030709C"/>
    <w:rsid w:val="003133CB"/>
    <w:rsid w:val="003166AA"/>
    <w:rsid w:val="0035348B"/>
    <w:rsid w:val="003560B7"/>
    <w:rsid w:val="003626BB"/>
    <w:rsid w:val="003719EC"/>
    <w:rsid w:val="0037419F"/>
    <w:rsid w:val="00395418"/>
    <w:rsid w:val="003A0A25"/>
    <w:rsid w:val="003B5C3E"/>
    <w:rsid w:val="003C2C25"/>
    <w:rsid w:val="003D3172"/>
    <w:rsid w:val="003F2F3B"/>
    <w:rsid w:val="00447931"/>
    <w:rsid w:val="0045050C"/>
    <w:rsid w:val="00454959"/>
    <w:rsid w:val="0046626D"/>
    <w:rsid w:val="00475032"/>
    <w:rsid w:val="00481A0C"/>
    <w:rsid w:val="004A2D92"/>
    <w:rsid w:val="004B2EDC"/>
    <w:rsid w:val="004C427D"/>
    <w:rsid w:val="004C48EA"/>
    <w:rsid w:val="004C5D42"/>
    <w:rsid w:val="004F7011"/>
    <w:rsid w:val="00500C49"/>
    <w:rsid w:val="005219C6"/>
    <w:rsid w:val="0053141D"/>
    <w:rsid w:val="00533906"/>
    <w:rsid w:val="00547321"/>
    <w:rsid w:val="00565969"/>
    <w:rsid w:val="00577562"/>
    <w:rsid w:val="00591805"/>
    <w:rsid w:val="00593DD0"/>
    <w:rsid w:val="00597899"/>
    <w:rsid w:val="005C13FB"/>
    <w:rsid w:val="005C5300"/>
    <w:rsid w:val="005C746F"/>
    <w:rsid w:val="005D35B8"/>
    <w:rsid w:val="005E2337"/>
    <w:rsid w:val="005F3B5D"/>
    <w:rsid w:val="00611EB7"/>
    <w:rsid w:val="00613399"/>
    <w:rsid w:val="00631745"/>
    <w:rsid w:val="00633BA8"/>
    <w:rsid w:val="00636034"/>
    <w:rsid w:val="00643BB8"/>
    <w:rsid w:val="00652C6D"/>
    <w:rsid w:val="006750DB"/>
    <w:rsid w:val="00684584"/>
    <w:rsid w:val="00690499"/>
    <w:rsid w:val="006944D9"/>
    <w:rsid w:val="00695B6F"/>
    <w:rsid w:val="006D0295"/>
    <w:rsid w:val="006D37A3"/>
    <w:rsid w:val="006E29B0"/>
    <w:rsid w:val="006F2490"/>
    <w:rsid w:val="00712153"/>
    <w:rsid w:val="0071427E"/>
    <w:rsid w:val="00732344"/>
    <w:rsid w:val="00747468"/>
    <w:rsid w:val="00794F19"/>
    <w:rsid w:val="007B566C"/>
    <w:rsid w:val="007B72E4"/>
    <w:rsid w:val="007C6150"/>
    <w:rsid w:val="007E518A"/>
    <w:rsid w:val="007F3633"/>
    <w:rsid w:val="008047D3"/>
    <w:rsid w:val="00812068"/>
    <w:rsid w:val="00814DA5"/>
    <w:rsid w:val="00825DE2"/>
    <w:rsid w:val="008310EA"/>
    <w:rsid w:val="00831E27"/>
    <w:rsid w:val="00833FC3"/>
    <w:rsid w:val="0086404D"/>
    <w:rsid w:val="00882605"/>
    <w:rsid w:val="00896379"/>
    <w:rsid w:val="008C0989"/>
    <w:rsid w:val="00917A22"/>
    <w:rsid w:val="009212FB"/>
    <w:rsid w:val="009552E7"/>
    <w:rsid w:val="00956FD6"/>
    <w:rsid w:val="00981CE9"/>
    <w:rsid w:val="0099328C"/>
    <w:rsid w:val="009936F5"/>
    <w:rsid w:val="0099381F"/>
    <w:rsid w:val="0099409C"/>
    <w:rsid w:val="00996E49"/>
    <w:rsid w:val="009A0469"/>
    <w:rsid w:val="009A4DEF"/>
    <w:rsid w:val="009A545B"/>
    <w:rsid w:val="009B3363"/>
    <w:rsid w:val="009B359F"/>
    <w:rsid w:val="009C315C"/>
    <w:rsid w:val="00A16538"/>
    <w:rsid w:val="00A21E0B"/>
    <w:rsid w:val="00A5694C"/>
    <w:rsid w:val="00A65D88"/>
    <w:rsid w:val="00A71718"/>
    <w:rsid w:val="00A71803"/>
    <w:rsid w:val="00A80C1D"/>
    <w:rsid w:val="00A843EA"/>
    <w:rsid w:val="00AA1BB0"/>
    <w:rsid w:val="00AA5425"/>
    <w:rsid w:val="00AB54F4"/>
    <w:rsid w:val="00AD472B"/>
    <w:rsid w:val="00AF2404"/>
    <w:rsid w:val="00AF459F"/>
    <w:rsid w:val="00AF6983"/>
    <w:rsid w:val="00B05DC7"/>
    <w:rsid w:val="00B401F0"/>
    <w:rsid w:val="00B43FC3"/>
    <w:rsid w:val="00B63491"/>
    <w:rsid w:val="00B84012"/>
    <w:rsid w:val="00B873CB"/>
    <w:rsid w:val="00B87670"/>
    <w:rsid w:val="00BA7792"/>
    <w:rsid w:val="00BB3978"/>
    <w:rsid w:val="00BC6BF8"/>
    <w:rsid w:val="00BE6818"/>
    <w:rsid w:val="00BE7E59"/>
    <w:rsid w:val="00C05A0B"/>
    <w:rsid w:val="00C13907"/>
    <w:rsid w:val="00C14713"/>
    <w:rsid w:val="00C3561D"/>
    <w:rsid w:val="00C37C9F"/>
    <w:rsid w:val="00C42A5D"/>
    <w:rsid w:val="00C44D57"/>
    <w:rsid w:val="00C55310"/>
    <w:rsid w:val="00C61FC7"/>
    <w:rsid w:val="00C651BB"/>
    <w:rsid w:val="00CA1A6F"/>
    <w:rsid w:val="00CA7563"/>
    <w:rsid w:val="00CB37DF"/>
    <w:rsid w:val="00CD2AFB"/>
    <w:rsid w:val="00CE53FE"/>
    <w:rsid w:val="00D36E55"/>
    <w:rsid w:val="00D407A6"/>
    <w:rsid w:val="00D4219A"/>
    <w:rsid w:val="00D6249D"/>
    <w:rsid w:val="00D667B2"/>
    <w:rsid w:val="00D87A85"/>
    <w:rsid w:val="00D90BA0"/>
    <w:rsid w:val="00DC559A"/>
    <w:rsid w:val="00DD1416"/>
    <w:rsid w:val="00DF4C48"/>
    <w:rsid w:val="00DF6C76"/>
    <w:rsid w:val="00E02C9F"/>
    <w:rsid w:val="00E22C20"/>
    <w:rsid w:val="00E23DAD"/>
    <w:rsid w:val="00E24FB5"/>
    <w:rsid w:val="00E25B15"/>
    <w:rsid w:val="00E36E27"/>
    <w:rsid w:val="00E44F8D"/>
    <w:rsid w:val="00E536FD"/>
    <w:rsid w:val="00E62BD3"/>
    <w:rsid w:val="00E71ABE"/>
    <w:rsid w:val="00E83105"/>
    <w:rsid w:val="00EA19DF"/>
    <w:rsid w:val="00EC6D65"/>
    <w:rsid w:val="00EF5E65"/>
    <w:rsid w:val="00EF7842"/>
    <w:rsid w:val="00F15968"/>
    <w:rsid w:val="00F20F4B"/>
    <w:rsid w:val="00F229E1"/>
    <w:rsid w:val="00F374EC"/>
    <w:rsid w:val="00F619A1"/>
    <w:rsid w:val="00F7087D"/>
    <w:rsid w:val="00F73E60"/>
    <w:rsid w:val="00F74DB8"/>
    <w:rsid w:val="00F842DD"/>
    <w:rsid w:val="00F8568B"/>
    <w:rsid w:val="00F90AEE"/>
    <w:rsid w:val="00FB4C09"/>
    <w:rsid w:val="00FB6BFF"/>
    <w:rsid w:val="00FC4A32"/>
    <w:rsid w:val="00FC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7BC1"/>
  <w15:docId w15:val="{824DDCA9-6CC1-40B3-A93E-18664746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A1BB0"/>
    <w:rPr>
      <w:sz w:val="20"/>
      <w:szCs w:val="20"/>
    </w:rPr>
  </w:style>
  <w:style w:type="character" w:customStyle="1" w:styleId="FootnoteTextChar">
    <w:name w:val="Footnote Text Char"/>
    <w:basedOn w:val="DefaultParagraphFont"/>
    <w:link w:val="FootnoteText"/>
    <w:uiPriority w:val="99"/>
    <w:rsid w:val="00AA1BB0"/>
    <w:rPr>
      <w:rFonts w:ascii="Times New Roman" w:eastAsia="Times New Roman" w:hAnsi="Times New Roman" w:cs="Times New Roman"/>
      <w:sz w:val="20"/>
      <w:szCs w:val="20"/>
    </w:rPr>
  </w:style>
  <w:style w:type="character" w:styleId="FootnoteReference">
    <w:name w:val="footnote reference"/>
    <w:uiPriority w:val="99"/>
    <w:rsid w:val="00AA1BB0"/>
    <w:rPr>
      <w:rFonts w:ascii="Times New Roman" w:hAnsi="Times New Roman"/>
      <w:b/>
      <w:sz w:val="26"/>
      <w:szCs w:val="26"/>
      <w:vertAlign w:val="superscript"/>
    </w:rPr>
  </w:style>
  <w:style w:type="paragraph" w:styleId="Header">
    <w:name w:val="header"/>
    <w:basedOn w:val="Normal"/>
    <w:link w:val="HeaderChar"/>
    <w:rsid w:val="00AA1BB0"/>
    <w:pPr>
      <w:tabs>
        <w:tab w:val="center" w:pos="4320"/>
        <w:tab w:val="right" w:pos="8640"/>
      </w:tabs>
    </w:pPr>
  </w:style>
  <w:style w:type="character" w:customStyle="1" w:styleId="HeaderChar">
    <w:name w:val="Header Char"/>
    <w:basedOn w:val="DefaultParagraphFont"/>
    <w:link w:val="Header"/>
    <w:rsid w:val="00AA1BB0"/>
    <w:rPr>
      <w:rFonts w:ascii="Times New Roman" w:eastAsia="Times New Roman" w:hAnsi="Times New Roman" w:cs="Times New Roman"/>
      <w:sz w:val="24"/>
      <w:szCs w:val="24"/>
    </w:rPr>
  </w:style>
  <w:style w:type="paragraph" w:customStyle="1" w:styleId="FERCparanumber">
    <w:name w:val="FERC paranumber"/>
    <w:basedOn w:val="Normal"/>
    <w:link w:val="FERCparanumberChar1"/>
    <w:qFormat/>
    <w:rsid w:val="00AA1BB0"/>
    <w:pPr>
      <w:numPr>
        <w:numId w:val="1"/>
      </w:numPr>
    </w:pPr>
  </w:style>
  <w:style w:type="paragraph" w:customStyle="1" w:styleId="Default">
    <w:name w:val="Default"/>
    <w:rsid w:val="00AA1B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ERCparanumberChar1">
    <w:name w:val="FERC paranumber Char1"/>
    <w:link w:val="FERCparanumber"/>
    <w:rsid w:val="00AA1BB0"/>
    <w:rPr>
      <w:rFonts w:ascii="Times New Roman" w:eastAsia="Times New Roman" w:hAnsi="Times New Roman" w:cs="Times New Roman"/>
      <w:sz w:val="24"/>
      <w:szCs w:val="24"/>
    </w:rPr>
  </w:style>
  <w:style w:type="character" w:styleId="CommentReference">
    <w:name w:val="annotation reference"/>
    <w:rsid w:val="00AA1BB0"/>
    <w:rPr>
      <w:sz w:val="16"/>
      <w:szCs w:val="16"/>
    </w:rPr>
  </w:style>
  <w:style w:type="paragraph" w:styleId="CommentText">
    <w:name w:val="annotation text"/>
    <w:basedOn w:val="Normal"/>
    <w:link w:val="CommentTextChar"/>
    <w:rsid w:val="00AA1BB0"/>
    <w:rPr>
      <w:sz w:val="20"/>
      <w:szCs w:val="20"/>
    </w:rPr>
  </w:style>
  <w:style w:type="character" w:customStyle="1" w:styleId="CommentTextChar">
    <w:name w:val="Comment Text Char"/>
    <w:basedOn w:val="DefaultParagraphFont"/>
    <w:link w:val="CommentText"/>
    <w:rsid w:val="00AA1B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1BB0"/>
    <w:rPr>
      <w:rFonts w:ascii="Tahoma" w:hAnsi="Tahoma" w:cs="Tahoma"/>
      <w:sz w:val="16"/>
      <w:szCs w:val="16"/>
    </w:rPr>
  </w:style>
  <w:style w:type="character" w:customStyle="1" w:styleId="BalloonTextChar">
    <w:name w:val="Balloon Text Char"/>
    <w:basedOn w:val="DefaultParagraphFont"/>
    <w:link w:val="BalloonText"/>
    <w:uiPriority w:val="99"/>
    <w:semiHidden/>
    <w:rsid w:val="00AA1BB0"/>
    <w:rPr>
      <w:rFonts w:ascii="Tahoma" w:eastAsia="Times New Roman" w:hAnsi="Tahoma" w:cs="Tahoma"/>
      <w:sz w:val="16"/>
      <w:szCs w:val="16"/>
    </w:rPr>
  </w:style>
  <w:style w:type="paragraph" w:styleId="Footer">
    <w:name w:val="footer"/>
    <w:basedOn w:val="Normal"/>
    <w:link w:val="FooterChar"/>
    <w:uiPriority w:val="99"/>
    <w:unhideWhenUsed/>
    <w:rsid w:val="00F229E1"/>
    <w:pPr>
      <w:tabs>
        <w:tab w:val="center" w:pos="4680"/>
        <w:tab w:val="right" w:pos="9360"/>
      </w:tabs>
    </w:pPr>
  </w:style>
  <w:style w:type="character" w:customStyle="1" w:styleId="FooterChar">
    <w:name w:val="Footer Char"/>
    <w:basedOn w:val="DefaultParagraphFont"/>
    <w:link w:val="Footer"/>
    <w:uiPriority w:val="99"/>
    <w:rsid w:val="00F229E1"/>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B54F4"/>
    <w:rPr>
      <w:b/>
      <w:bCs/>
    </w:rPr>
  </w:style>
  <w:style w:type="character" w:customStyle="1" w:styleId="CommentSubjectChar">
    <w:name w:val="Comment Subject Char"/>
    <w:basedOn w:val="CommentTextChar"/>
    <w:link w:val="CommentSubject"/>
    <w:uiPriority w:val="99"/>
    <w:semiHidden/>
    <w:rsid w:val="00AB54F4"/>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C7D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Renewal_x0020_Document_x0020_Type xmlns="d6eefc7d-9817-4fa6-84d5-3bc009be21b8">None</Renewal_x0020_Document_x0020_Type>
    <Rulemaking_x0020_Document_x0020_Type xmlns="d6eefc7d-9817-4fa6-84d5-3bc009be21b8">Other</Rulemaking_x0020_Document_x0020_Type>
    <_x0033__x002e__x0020_Docket_x0020_Number xmlns="d6eefc7d-9817-4fa6-84d5-3bc009be21b8" xsi:nil="true"/>
    <_x0031__x002e__x0020_Collection_x0020_Number xmlns="d6eefc7d-9817-4fa6-84d5-3bc009be21b8">725I</_x0031__x002e__x0020_Collection_x0020_Number>
    <Date xmlns="d6eefc7d-9817-4fa6-84d5-3bc009be21b8">2016-10-31T00:00:00-04:00</Date>
    <Status xmlns="d6eefc7d-9817-4fa6-84d5-3bc009be21b8">Issued</Status>
    <_x0032__x002e__x0020_Docket_x0020_Number xmlns="d6eefc7d-9817-4fa6-84d5-3bc009be21b8" xsi:nil="true"/>
    <_x0032__x002e__x0020_Collection_x0020_Number xmlns="d6eefc7d-9817-4fa6-84d5-3bc009be21b8" xsi:nil="true"/>
    <_x0031__x002e__x0020_Docket_x0020_Number xmlns="d6eefc7d-9817-4fa6-84d5-3bc009be21b8">RD16-8</_x0031__x002e__x0020_Docket_x0020_Number>
    <_x0033__x002e__x0020_Collection_x0020_Number xmlns="d6eefc7d-9817-4fa6-84d5-3bc009be21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84CE0-FB52-462B-93B2-DE47A637AB33}">
  <ds:schemaRefs>
    <ds:schemaRef ds:uri="d6eefc7d-9817-4fa6-84d5-3bc009be21b8"/>
    <ds:schemaRef ds:uri="http://schemas.openxmlformats.org/package/2006/metadata/core-propertie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A6641A7-AF71-4120-8B9C-ADFC8EDFF4B9}">
  <ds:schemaRefs>
    <ds:schemaRef ds:uri="http://schemas.microsoft.com/sharepoint/v3/contenttype/forms"/>
  </ds:schemaRefs>
</ds:datastoreItem>
</file>

<file path=customXml/itemProps3.xml><?xml version="1.0" encoding="utf-8"?>
<ds:datastoreItem xmlns:ds="http://schemas.openxmlformats.org/officeDocument/2006/customXml" ds:itemID="{9942626E-65A1-4BB4-B932-DFE1A5773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F82E06-76BA-4697-B979-3272140E3C7C}">
  <ds:schemaRefs>
    <ds:schemaRef ds:uri="http://schemas.microsoft.com/office/2006/metadata/customXsn"/>
  </ds:schemaRefs>
</ds:datastoreItem>
</file>

<file path=customXml/itemProps5.xml><?xml version="1.0" encoding="utf-8"?>
<ds:datastoreItem xmlns:ds="http://schemas.openxmlformats.org/officeDocument/2006/customXml" ds:itemID="{6BC5A0ED-4B2D-4817-8E27-970A85B0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RD16-8 Letter Order</dc:title>
  <dc:subject/>
  <dc:creator>Anthony May</dc:creator>
  <cp:keywords/>
  <dc:description/>
  <cp:lastModifiedBy>Anthony May</cp:lastModifiedBy>
  <cp:revision>3</cp:revision>
  <cp:lastPrinted>2016-08-11T13:16:00Z</cp:lastPrinted>
  <dcterms:created xsi:type="dcterms:W3CDTF">2016-10-31T19:05:00Z</dcterms:created>
  <dcterms:modified xsi:type="dcterms:W3CDTF">2016-10-31T19:07:00Z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