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F7" w:rsidRDefault="00F43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F43EF7" w:rsidRDefault="00F43E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F43EF7" w:rsidRDefault="00F43EF7">
      <w:pPr>
        <w:pStyle w:val="Heading1"/>
      </w:pPr>
      <w:r>
        <w:t>Application and Recertification Packages for Approval of Nonprofit Organizations</w:t>
      </w:r>
    </w:p>
    <w:p w:rsidR="00F43EF7" w:rsidRDefault="00F43E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In FHA Activities</w:t>
      </w:r>
    </w:p>
    <w:p w:rsidR="00F43EF7" w:rsidRDefault="00F43E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0MB Control Number 2502-0540</w:t>
      </w:r>
    </w:p>
    <w:p w:rsidR="00F43EF7" w:rsidRDefault="00F43E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F43EF7" w:rsidRDefault="00F43E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Pr>
          <w:b/>
          <w:sz w:val="24"/>
        </w:rPr>
        <w:t xml:space="preserve">A. </w:t>
      </w:r>
      <w:r>
        <w:rPr>
          <w:b/>
          <w:sz w:val="24"/>
        </w:rPr>
        <w:tab/>
        <w:t>Justi</w:t>
      </w:r>
      <w:r>
        <w:rPr>
          <w:b/>
          <w:color w:val="000000"/>
          <w:sz w:val="24"/>
        </w:rPr>
        <w:t>fication</w:t>
      </w:r>
    </w:p>
    <w:p w:rsidR="00F43EF7" w:rsidRDefault="00F43EF7">
      <w:pPr>
        <w:keepLines/>
        <w:tabs>
          <w:tab w:val="left" w:pos="360"/>
        </w:tabs>
        <w:spacing w:after="80"/>
        <w:rPr>
          <w:color w:val="000000"/>
          <w:sz w:val="24"/>
        </w:rPr>
      </w:pPr>
    </w:p>
    <w:p w:rsidR="00C3144E" w:rsidRDefault="00F43EF7" w:rsidP="000C16D8">
      <w:pPr>
        <w:pStyle w:val="BodyTextIndent2"/>
        <w:numPr>
          <w:ilvl w:val="0"/>
          <w:numId w:val="16"/>
        </w:numPr>
        <w:spacing w:before="100" w:beforeAutospacing="1" w:after="100" w:afterAutospacing="1"/>
      </w:pPr>
      <w:r>
        <w:t xml:space="preserve">Sections 203(g)(2), 221(h), and 235(j) of the National Housing Act (12 U.S.C. 1708) permits private nonprofit organizations and public entities to act as mortgagors through use of </w:t>
      </w:r>
      <w:r w:rsidR="002D1E0B" w:rsidRPr="002D1E0B">
        <w:t>Federal Housing Administration (FHA)</w:t>
      </w:r>
      <w:r>
        <w:t xml:space="preserve"> insured mortgage programs to purchase and rehabilitate housing for subsequent resale.  HUD’s regulations in 24 CFR 200.194 establish eligibility requirements for nonprofit organizations and government entities that seek to participate in certain HUD programs </w:t>
      </w:r>
      <w:r>
        <w:rPr>
          <w:szCs w:val="18"/>
        </w:rPr>
        <w:t>acting as a mortgagor; purchasing HUD’s Real Estate Owned (REO) Properties (HUD Homes) at a discount; providing secondary financing; and imposing legal restrictions on conveyance as part of affordable housing programs.</w:t>
      </w:r>
      <w:r>
        <w:t xml:space="preserve">  </w:t>
      </w:r>
      <w:r w:rsidR="00C3144E">
        <w:t xml:space="preserve">Nonprofits must apply and be placed on a roster to participate in the foregoing activities.  </w:t>
      </w:r>
    </w:p>
    <w:p w:rsidR="00C3144E" w:rsidRDefault="00B5131C" w:rsidP="00DE6EFB">
      <w:pPr>
        <w:pStyle w:val="BodyTextIndent2"/>
        <w:tabs>
          <w:tab w:val="clear" w:pos="360"/>
        </w:tabs>
        <w:spacing w:before="100" w:beforeAutospacing="1" w:after="100" w:afterAutospacing="1"/>
        <w:ind w:firstLine="0"/>
        <w:rPr>
          <w:color w:val="auto"/>
        </w:rPr>
      </w:pPr>
      <w:r>
        <w:rPr>
          <w:color w:val="auto"/>
        </w:rPr>
        <w:t xml:space="preserve">Over the course of 2015, HUD’s Office of Single Family Housing worked to create a handbook incorporating almost all policy requirements related to our Nonprofit and Government entity programs.  This handbook streamlines policy requirements into a single policy source.  The handbook did not impact policies related to data and information collection in any material way.  The handbook sections related to Nonprofits and Government Entities became effective March 14, 2016.  </w:t>
      </w:r>
      <w:r w:rsidR="00A45D19">
        <w:rPr>
          <w:color w:val="auto"/>
        </w:rPr>
        <w:t>The handbook should make understanding our requirements easier as they all reside in a single policy source.</w:t>
      </w:r>
    </w:p>
    <w:p w:rsidR="00F43EF7" w:rsidRDefault="00F43EF7" w:rsidP="00DE6EFB">
      <w:pPr>
        <w:pStyle w:val="BodyTextIndent2"/>
        <w:tabs>
          <w:tab w:val="clear" w:pos="360"/>
        </w:tabs>
        <w:spacing w:before="100" w:beforeAutospacing="1" w:after="100" w:afterAutospacing="1"/>
        <w:ind w:firstLine="0"/>
      </w:pPr>
      <w:r>
        <w:t xml:space="preserve">Procedures for removal of nonprofits with the ability to participate in these programs are codified at 24 CFR 200.195.  </w:t>
      </w:r>
      <w:r w:rsidR="00A96993">
        <w:t xml:space="preserve">Authorization to permit HUD to collect and maintain </w:t>
      </w:r>
      <w:r w:rsidR="000C16D8" w:rsidRPr="000C16D8">
        <w:t xml:space="preserve">Personally Identifiable information (PII) </w:t>
      </w:r>
      <w:r w:rsidR="00A96993">
        <w:t xml:space="preserve">is located </w:t>
      </w:r>
      <w:r w:rsidR="00A96993" w:rsidRPr="00AB00A9">
        <w:rPr>
          <w:color w:val="auto"/>
        </w:rPr>
        <w:t>in</w:t>
      </w:r>
      <w:r w:rsidR="000C16D8" w:rsidRPr="00AB00A9">
        <w:rPr>
          <w:color w:val="auto"/>
        </w:rPr>
        <w:t xml:space="preserve"> </w:t>
      </w:r>
      <w:r w:rsidR="00A96993" w:rsidRPr="00AB00A9">
        <w:rPr>
          <w:color w:val="auto"/>
        </w:rPr>
        <w:t>42 U.S.C 35449(b)</w:t>
      </w:r>
      <w:r w:rsidR="00AB00A9">
        <w:rPr>
          <w:color w:val="auto"/>
        </w:rPr>
        <w:t>.</w:t>
      </w:r>
    </w:p>
    <w:p w:rsidR="002D1E0B" w:rsidRDefault="00F43EF7" w:rsidP="002D1E0B">
      <w:pPr>
        <w:pStyle w:val="BodyTextIndent2"/>
        <w:numPr>
          <w:ilvl w:val="0"/>
          <w:numId w:val="16"/>
        </w:numPr>
        <w:spacing w:before="100" w:beforeAutospacing="1" w:after="100" w:afterAutospacing="1"/>
        <w:rPr>
          <w:color w:val="auto"/>
        </w:rPr>
      </w:pPr>
      <w:r w:rsidRPr="000A3B4D">
        <w:rPr>
          <w:szCs w:val="22"/>
        </w:rPr>
        <w:t xml:space="preserve">Nonprofit organizations </w:t>
      </w:r>
      <w:r w:rsidRPr="000A3B4D">
        <w:rPr>
          <w:szCs w:val="18"/>
        </w:rPr>
        <w:t xml:space="preserve">seeking HUD approval to participate in certain specified FHA single family activities </w:t>
      </w:r>
      <w:r w:rsidR="00370227" w:rsidRPr="000A3B4D">
        <w:rPr>
          <w:szCs w:val="18"/>
        </w:rPr>
        <w:t xml:space="preserve">must </w:t>
      </w:r>
      <w:r w:rsidRPr="000A3B4D">
        <w:rPr>
          <w:szCs w:val="18"/>
        </w:rPr>
        <w:t xml:space="preserve">submit financial and management information to HUD.  </w:t>
      </w:r>
      <w:r w:rsidRPr="000A3B4D">
        <w:rPr>
          <w:szCs w:val="22"/>
        </w:rPr>
        <w:t xml:space="preserve">HUD staff uses the information to assess the management and financial capability of the nonprofit to carry out its mission relative to the HUD programs in which it seeks to participate.  The information also assists HUD staff to detect any conflicts of interest or activities that may not be permissible.  </w:t>
      </w:r>
      <w:r w:rsidR="00F60396">
        <w:rPr>
          <w:szCs w:val="22"/>
        </w:rPr>
        <w:t xml:space="preserve">Periodic </w:t>
      </w:r>
      <w:r w:rsidRPr="000A3B4D">
        <w:rPr>
          <w:szCs w:val="22"/>
        </w:rPr>
        <w:t xml:space="preserve">activity reports are required to assure compliance and monitor activity to keep the risk to the Federal government at a minimum.  The collection of information assists HUD to reduce its own risk as well as protect homebuyers from fraudulent activities that occurred prior to this collection activity.  Nonprofit organizations are reevaluated every two years to assure they have performed according to plan and to provide HUD with any information on changes that may impact the nonprofit’s performance.  </w:t>
      </w:r>
      <w:r w:rsidR="002D1E0B" w:rsidRPr="002D1E0B">
        <w:rPr>
          <w:color w:val="auto"/>
        </w:rPr>
        <w:t>Only authorized HUD staff has access to the requested information and the agency does</w:t>
      </w:r>
      <w:r w:rsidR="001F6382">
        <w:rPr>
          <w:color w:val="auto"/>
        </w:rPr>
        <w:t xml:space="preserve"> no</w:t>
      </w:r>
      <w:r w:rsidR="002D1E0B" w:rsidRPr="002D1E0B">
        <w:rPr>
          <w:color w:val="auto"/>
        </w:rPr>
        <w:t>t share this</w:t>
      </w:r>
      <w:r w:rsidR="002D1E0B">
        <w:rPr>
          <w:color w:val="auto"/>
        </w:rPr>
        <w:t xml:space="preserve"> information with the public, </w:t>
      </w:r>
      <w:r w:rsidR="002D1E0B" w:rsidRPr="002D1E0B">
        <w:rPr>
          <w:color w:val="auto"/>
        </w:rPr>
        <w:t>other agencies</w:t>
      </w:r>
      <w:r w:rsidR="002D1E0B">
        <w:rPr>
          <w:color w:val="auto"/>
        </w:rPr>
        <w:t xml:space="preserve"> or other departments within the agency</w:t>
      </w:r>
      <w:r w:rsidR="002D1E0B" w:rsidRPr="002D1E0B">
        <w:rPr>
          <w:color w:val="auto"/>
        </w:rPr>
        <w:t>.</w:t>
      </w:r>
      <w:r w:rsidR="002D1E0B">
        <w:rPr>
          <w:color w:val="auto"/>
        </w:rPr>
        <w:t xml:space="preserve">  The collection requirements have not measurably changed over time, the financial and management information we collect is based on industry standard documentation.</w:t>
      </w:r>
    </w:p>
    <w:p w:rsidR="00F43EF7" w:rsidRPr="007E1D35" w:rsidRDefault="00F43EF7" w:rsidP="007E1D35">
      <w:pPr>
        <w:numPr>
          <w:ilvl w:val="0"/>
          <w:numId w:val="16"/>
        </w:numPr>
        <w:spacing w:before="100" w:beforeAutospacing="1" w:after="100" w:afterAutospacing="1"/>
        <w:rPr>
          <w:color w:val="000000"/>
          <w:sz w:val="24"/>
          <w:szCs w:val="22"/>
        </w:rPr>
      </w:pPr>
      <w:r w:rsidRPr="000A3B4D">
        <w:rPr>
          <w:color w:val="000000"/>
          <w:sz w:val="24"/>
          <w:szCs w:val="22"/>
        </w:rPr>
        <w:t>Currently, the information is collected electronically.  HUD has develop</w:t>
      </w:r>
      <w:r w:rsidR="007E1D35" w:rsidRPr="000A3B4D">
        <w:rPr>
          <w:color w:val="000000"/>
          <w:sz w:val="24"/>
          <w:szCs w:val="22"/>
        </w:rPr>
        <w:t>ed</w:t>
      </w:r>
      <w:r w:rsidRPr="000A3B4D">
        <w:rPr>
          <w:color w:val="000000"/>
          <w:sz w:val="24"/>
          <w:szCs w:val="22"/>
        </w:rPr>
        <w:t xml:space="preserve"> a web-based program management system to facilitate an automated collection of this information.  The system is currently being </w:t>
      </w:r>
      <w:r w:rsidR="007E1D35" w:rsidRPr="000A3B4D">
        <w:rPr>
          <w:color w:val="000000"/>
          <w:sz w:val="24"/>
          <w:szCs w:val="22"/>
        </w:rPr>
        <w:t>used by HUD management, line staff and nonprofit participants.</w:t>
      </w:r>
      <w:r w:rsidRPr="000A3B4D">
        <w:rPr>
          <w:color w:val="000000"/>
          <w:sz w:val="24"/>
          <w:szCs w:val="22"/>
        </w:rPr>
        <w:t xml:space="preserve">  This </w:t>
      </w:r>
      <w:r w:rsidRPr="000A3B4D">
        <w:rPr>
          <w:sz w:val="24"/>
        </w:rPr>
        <w:t xml:space="preserve">Nonprofit Data Management System </w:t>
      </w:r>
      <w:r w:rsidR="001F6382">
        <w:rPr>
          <w:sz w:val="24"/>
        </w:rPr>
        <w:t xml:space="preserve">(NPDMS) </w:t>
      </w:r>
      <w:r w:rsidRPr="000A3B4D">
        <w:rPr>
          <w:sz w:val="24"/>
        </w:rPr>
        <w:t>is an automated web-based program management tool designed to assist HUD staff with the daily oversight and administration of Single Family’s Nonprofit Program activities.  This tool allow</w:t>
      </w:r>
      <w:r w:rsidR="007E1D35" w:rsidRPr="000A3B4D">
        <w:rPr>
          <w:sz w:val="24"/>
        </w:rPr>
        <w:t>s</w:t>
      </w:r>
      <w:r w:rsidRPr="000A3B4D">
        <w:rPr>
          <w:sz w:val="24"/>
        </w:rPr>
        <w:t xml:space="preserve"> for on-line reporting and enable</w:t>
      </w:r>
      <w:r w:rsidR="007E1D35" w:rsidRPr="000A3B4D">
        <w:rPr>
          <w:sz w:val="24"/>
        </w:rPr>
        <w:t>s</w:t>
      </w:r>
      <w:r w:rsidRPr="000A3B4D">
        <w:rPr>
          <w:sz w:val="24"/>
        </w:rPr>
        <w:t xml:space="preserve"> potential participants to sub</w:t>
      </w:r>
      <w:r w:rsidR="007E1D35" w:rsidRPr="000A3B4D">
        <w:rPr>
          <w:sz w:val="24"/>
        </w:rPr>
        <w:t xml:space="preserve">mit </w:t>
      </w:r>
      <w:r w:rsidR="007E2C06">
        <w:rPr>
          <w:sz w:val="24"/>
        </w:rPr>
        <w:t xml:space="preserve">both </w:t>
      </w:r>
      <w:r w:rsidR="007E1D35" w:rsidRPr="000A3B4D">
        <w:rPr>
          <w:sz w:val="24"/>
        </w:rPr>
        <w:t xml:space="preserve">an application for approval </w:t>
      </w:r>
      <w:r w:rsidR="007E2C06">
        <w:rPr>
          <w:sz w:val="24"/>
        </w:rPr>
        <w:t>as well as a</w:t>
      </w:r>
      <w:r w:rsidR="007E1D35" w:rsidRPr="000A3B4D">
        <w:rPr>
          <w:sz w:val="24"/>
        </w:rPr>
        <w:t xml:space="preserve"> recertification</w:t>
      </w:r>
      <w:r w:rsidR="007E2C06">
        <w:rPr>
          <w:sz w:val="24"/>
        </w:rPr>
        <w:t xml:space="preserve"> which is required every two years</w:t>
      </w:r>
      <w:r w:rsidR="007E1D35" w:rsidRPr="000A3B4D">
        <w:rPr>
          <w:sz w:val="24"/>
        </w:rPr>
        <w:t>.</w:t>
      </w:r>
      <w:r w:rsidRPr="000A3B4D">
        <w:rPr>
          <w:sz w:val="24"/>
        </w:rPr>
        <w:t xml:space="preserve"> </w:t>
      </w:r>
      <w:r w:rsidRPr="000A3B4D">
        <w:rPr>
          <w:color w:val="000000"/>
          <w:sz w:val="24"/>
          <w:szCs w:val="22"/>
        </w:rPr>
        <w:t xml:space="preserve"> </w:t>
      </w:r>
    </w:p>
    <w:p w:rsidR="00F43EF7" w:rsidRDefault="00F43EF7">
      <w:pPr>
        <w:pStyle w:val="BodyTextIndent2"/>
        <w:numPr>
          <w:ilvl w:val="0"/>
          <w:numId w:val="16"/>
        </w:numPr>
        <w:spacing w:before="100" w:beforeAutospacing="1" w:after="100" w:afterAutospacing="1"/>
        <w:rPr>
          <w:b/>
          <w:bCs/>
          <w:szCs w:val="22"/>
        </w:rPr>
      </w:pPr>
      <w:r w:rsidRPr="007E1D35">
        <w:rPr>
          <w:szCs w:val="22"/>
        </w:rPr>
        <w:t>This information is not collected elsewhere</w:t>
      </w:r>
      <w:r w:rsidR="00E60D76">
        <w:rPr>
          <w:szCs w:val="22"/>
        </w:rPr>
        <w:t xml:space="preserve"> at HUD</w:t>
      </w:r>
      <w:r w:rsidRPr="007E1D35">
        <w:rPr>
          <w:szCs w:val="22"/>
        </w:rPr>
        <w:t>.  HUD makes every effort to assure no duplication of information is required.</w:t>
      </w:r>
      <w:r w:rsidRPr="007E1D35">
        <w:rPr>
          <w:b/>
          <w:bCs/>
          <w:szCs w:val="22"/>
        </w:rPr>
        <w:t xml:space="preserve"> </w:t>
      </w:r>
      <w:r w:rsidR="00C3144E">
        <w:rPr>
          <w:b/>
          <w:bCs/>
          <w:szCs w:val="22"/>
        </w:rPr>
        <w:t>HUD Handbook 4000.1 clearly states that a nonprofit applicant applying for more than one Nonprofit program must only provide information once where duplicate information is requested.</w:t>
      </w:r>
    </w:p>
    <w:p w:rsidR="00F43EF7" w:rsidRDefault="00F43EF7">
      <w:pPr>
        <w:keepLines/>
        <w:numPr>
          <w:ilvl w:val="0"/>
          <w:numId w:val="16"/>
        </w:numPr>
        <w:spacing w:before="100" w:beforeAutospacing="1" w:after="100" w:afterAutospacing="1"/>
        <w:rPr>
          <w:color w:val="000000"/>
          <w:sz w:val="24"/>
          <w:szCs w:val="22"/>
        </w:rPr>
      </w:pPr>
      <w:r>
        <w:rPr>
          <w:color w:val="000000"/>
          <w:sz w:val="24"/>
          <w:szCs w:val="22"/>
        </w:rPr>
        <w:lastRenderedPageBreak/>
        <w:t xml:space="preserve">The collection of this information </w:t>
      </w:r>
      <w:r w:rsidR="00BF0C34">
        <w:rPr>
          <w:color w:val="000000"/>
          <w:sz w:val="24"/>
          <w:szCs w:val="22"/>
        </w:rPr>
        <w:t xml:space="preserve">does not place any additional </w:t>
      </w:r>
      <w:r>
        <w:rPr>
          <w:color w:val="000000"/>
          <w:sz w:val="24"/>
          <w:szCs w:val="22"/>
        </w:rPr>
        <w:t xml:space="preserve">impact </w:t>
      </w:r>
      <w:r w:rsidR="00BF0C34">
        <w:rPr>
          <w:color w:val="000000"/>
          <w:sz w:val="24"/>
          <w:szCs w:val="22"/>
        </w:rPr>
        <w:t xml:space="preserve">on </w:t>
      </w:r>
      <w:r>
        <w:rPr>
          <w:color w:val="000000"/>
          <w:sz w:val="24"/>
          <w:szCs w:val="22"/>
        </w:rPr>
        <w:t xml:space="preserve">small nonprofit organizations seeking approval to participate in FHA programs.  However, the required information is, for the most part, standard and already available in the nonprofit organizations’ places of business and may include articles of organization, letters of determination, resolutions, and/or legal documents. </w:t>
      </w:r>
      <w:r w:rsidR="00B02543">
        <w:rPr>
          <w:color w:val="000000"/>
          <w:sz w:val="24"/>
          <w:szCs w:val="22"/>
        </w:rPr>
        <w:t xml:space="preserve"> </w:t>
      </w:r>
      <w:r w:rsidR="00745152">
        <w:rPr>
          <w:color w:val="000000"/>
          <w:sz w:val="24"/>
          <w:szCs w:val="22"/>
        </w:rPr>
        <w:t xml:space="preserve">Reapplication packages require complete information, but the burden of effort to the organization </w:t>
      </w:r>
      <w:r w:rsidR="002D50B8">
        <w:rPr>
          <w:color w:val="000000"/>
          <w:sz w:val="24"/>
          <w:szCs w:val="22"/>
        </w:rPr>
        <w:t xml:space="preserve">will </w:t>
      </w:r>
      <w:r w:rsidR="00745152">
        <w:rPr>
          <w:color w:val="000000"/>
          <w:sz w:val="24"/>
          <w:szCs w:val="22"/>
        </w:rPr>
        <w:t xml:space="preserve">become limited to updating </w:t>
      </w:r>
      <w:r w:rsidR="00745152" w:rsidRPr="00CF7055">
        <w:rPr>
          <w:color w:val="000000"/>
          <w:sz w:val="24"/>
          <w:szCs w:val="22"/>
        </w:rPr>
        <w:t>the original</w:t>
      </w:r>
      <w:r w:rsidR="00CF7055">
        <w:rPr>
          <w:color w:val="000000"/>
          <w:sz w:val="24"/>
          <w:szCs w:val="22"/>
        </w:rPr>
        <w:t xml:space="preserve"> package.</w:t>
      </w:r>
      <w:r w:rsidR="00745152">
        <w:rPr>
          <w:color w:val="000000"/>
          <w:sz w:val="24"/>
          <w:szCs w:val="22"/>
        </w:rPr>
        <w:t xml:space="preserve"> </w:t>
      </w:r>
      <w:r>
        <w:rPr>
          <w:color w:val="000000"/>
          <w:sz w:val="24"/>
          <w:szCs w:val="22"/>
        </w:rPr>
        <w:t xml:space="preserve"> Reports are done in a standard format and are routinely maintained by the organization as a normal function of doing business. </w:t>
      </w:r>
    </w:p>
    <w:p w:rsidR="00F43EF7" w:rsidRPr="003E7061" w:rsidRDefault="00F43EF7">
      <w:pPr>
        <w:keepLines/>
        <w:numPr>
          <w:ilvl w:val="0"/>
          <w:numId w:val="16"/>
        </w:numPr>
        <w:spacing w:before="100" w:beforeAutospacing="1" w:after="100" w:afterAutospacing="1"/>
        <w:rPr>
          <w:sz w:val="24"/>
        </w:rPr>
      </w:pPr>
      <w:r>
        <w:rPr>
          <w:color w:val="000000"/>
          <w:sz w:val="24"/>
          <w:szCs w:val="22"/>
        </w:rPr>
        <w:t xml:space="preserve">Ascertaining the legal eligibility, financial capacity, and experience in housing activities of nonprofit organizations is necessary to comply with the requirements of the National Housing Act, and to assess the organization’s ability to participate as a mortgagor in FHA programs.  Sound underwriting practices require that HUD evaluate a mortgagor’s ability to make mortgage payments on insured properties to minimize risk of monetary loss.  HUD also bears the responsibility to assure that homebuyers who purchase homes from nonprofits that participate in the discount sales and other programs receive the benefits derived from those </w:t>
      </w:r>
      <w:r w:rsidRPr="003E7061">
        <w:rPr>
          <w:sz w:val="24"/>
          <w:szCs w:val="22"/>
        </w:rPr>
        <w:t>programs.  This collection provides the means to meet that obligation.</w:t>
      </w:r>
      <w:r w:rsidRPr="003E7061">
        <w:rPr>
          <w:sz w:val="24"/>
        </w:rPr>
        <w:t xml:space="preserve">  </w:t>
      </w:r>
    </w:p>
    <w:p w:rsidR="003E7061" w:rsidRPr="003E7061" w:rsidRDefault="003E7061" w:rsidP="003E7061">
      <w:pPr>
        <w:keepLines/>
        <w:numPr>
          <w:ilvl w:val="0"/>
          <w:numId w:val="16"/>
        </w:numPr>
        <w:spacing w:before="100" w:beforeAutospacing="1" w:after="100" w:afterAutospacing="1"/>
        <w:rPr>
          <w:sz w:val="24"/>
        </w:rPr>
      </w:pPr>
      <w:r w:rsidRPr="003E7061">
        <w:rPr>
          <w:sz w:val="24"/>
          <w:szCs w:val="24"/>
        </w:rPr>
        <w:t xml:space="preserve"> Explain any special circumstances that would cause an information collection to be conducted in a manner: </w:t>
      </w:r>
    </w:p>
    <w:p w:rsidR="003E7061" w:rsidRDefault="003E7061" w:rsidP="003E7061">
      <w:pPr>
        <w:ind w:left="720"/>
        <w:rPr>
          <w:sz w:val="24"/>
          <w:szCs w:val="24"/>
        </w:rPr>
      </w:pPr>
      <w:r w:rsidRPr="003E7061">
        <w:rPr>
          <w:sz w:val="24"/>
          <w:szCs w:val="24"/>
        </w:rPr>
        <w:t xml:space="preserve">* requiring respondents to report information to the agency more often than quarterly; </w:t>
      </w:r>
    </w:p>
    <w:p w:rsidR="003E7061" w:rsidRPr="003E7061" w:rsidRDefault="003E7061" w:rsidP="003E7061">
      <w:pPr>
        <w:ind w:left="720"/>
        <w:rPr>
          <w:sz w:val="24"/>
          <w:szCs w:val="24"/>
        </w:rPr>
      </w:pPr>
      <w:r>
        <w:rPr>
          <w:sz w:val="24"/>
          <w:szCs w:val="24"/>
        </w:rPr>
        <w:tab/>
        <w:t>Not applicable.</w:t>
      </w:r>
    </w:p>
    <w:p w:rsidR="003E7061" w:rsidRDefault="003E7061" w:rsidP="003E7061">
      <w:pPr>
        <w:ind w:left="720"/>
        <w:rPr>
          <w:sz w:val="24"/>
          <w:szCs w:val="24"/>
        </w:rPr>
      </w:pPr>
      <w:r w:rsidRPr="003E7061">
        <w:rPr>
          <w:sz w:val="24"/>
          <w:szCs w:val="24"/>
        </w:rPr>
        <w:t xml:space="preserve">* requiring respondents to prepare a written response to a collection of information in fewer than 30 days after receipt of it; </w:t>
      </w:r>
    </w:p>
    <w:p w:rsidR="003E7061" w:rsidRPr="003E7061" w:rsidRDefault="003E7061" w:rsidP="003E7061">
      <w:pPr>
        <w:ind w:left="720"/>
        <w:rPr>
          <w:sz w:val="24"/>
          <w:szCs w:val="24"/>
        </w:rPr>
      </w:pPr>
      <w:r>
        <w:rPr>
          <w:sz w:val="24"/>
          <w:szCs w:val="24"/>
        </w:rPr>
        <w:tab/>
        <w:t>Not applicable.</w:t>
      </w:r>
    </w:p>
    <w:p w:rsidR="003E7061" w:rsidRDefault="003E7061" w:rsidP="003E7061">
      <w:pPr>
        <w:ind w:left="720"/>
        <w:rPr>
          <w:sz w:val="24"/>
          <w:szCs w:val="24"/>
        </w:rPr>
      </w:pPr>
      <w:r w:rsidRPr="003E7061">
        <w:rPr>
          <w:sz w:val="24"/>
          <w:szCs w:val="24"/>
        </w:rPr>
        <w:t xml:space="preserve">* requiring respondents to submit more than an original and two copies of any document; * requiring respondents to retain records, other than health, medical, government contract, grant-in-aid, or tax records, for more than three years; </w:t>
      </w:r>
    </w:p>
    <w:p w:rsidR="003E7061" w:rsidRPr="003E7061" w:rsidRDefault="003E7061" w:rsidP="003E7061">
      <w:pPr>
        <w:ind w:left="720"/>
        <w:rPr>
          <w:sz w:val="24"/>
          <w:szCs w:val="24"/>
        </w:rPr>
      </w:pPr>
      <w:r>
        <w:rPr>
          <w:sz w:val="24"/>
          <w:szCs w:val="24"/>
        </w:rPr>
        <w:tab/>
        <w:t>Not applicable.</w:t>
      </w:r>
    </w:p>
    <w:p w:rsidR="003E7061" w:rsidRDefault="003E7061" w:rsidP="003E7061">
      <w:pPr>
        <w:ind w:left="720"/>
        <w:rPr>
          <w:sz w:val="24"/>
          <w:szCs w:val="24"/>
        </w:rPr>
      </w:pPr>
      <w:r w:rsidRPr="003E7061">
        <w:rPr>
          <w:sz w:val="24"/>
          <w:szCs w:val="24"/>
        </w:rPr>
        <w:t xml:space="preserve">* in connection with a statistical survey, that is not designed to produce valid and reliable results that can be generalized to the universe of study; </w:t>
      </w:r>
    </w:p>
    <w:p w:rsidR="003E7061" w:rsidRPr="003E7061" w:rsidRDefault="003E7061" w:rsidP="003E7061">
      <w:pPr>
        <w:ind w:left="720"/>
        <w:rPr>
          <w:sz w:val="24"/>
          <w:szCs w:val="24"/>
        </w:rPr>
      </w:pPr>
      <w:r>
        <w:rPr>
          <w:sz w:val="24"/>
          <w:szCs w:val="24"/>
        </w:rPr>
        <w:tab/>
        <w:t>Not applicable.</w:t>
      </w:r>
    </w:p>
    <w:p w:rsidR="003E7061" w:rsidRDefault="003E7061" w:rsidP="003E7061">
      <w:pPr>
        <w:ind w:left="720"/>
        <w:rPr>
          <w:sz w:val="24"/>
          <w:szCs w:val="24"/>
        </w:rPr>
      </w:pPr>
      <w:r w:rsidRPr="003E7061">
        <w:rPr>
          <w:sz w:val="24"/>
          <w:szCs w:val="24"/>
        </w:rPr>
        <w:t xml:space="preserve">* requiring the use of a statistical data classification that has not been reviewed and approved by OMB; </w:t>
      </w:r>
    </w:p>
    <w:p w:rsidR="003E7061" w:rsidRPr="003E7061" w:rsidRDefault="003E7061" w:rsidP="003E7061">
      <w:pPr>
        <w:ind w:left="720"/>
        <w:rPr>
          <w:sz w:val="24"/>
          <w:szCs w:val="24"/>
        </w:rPr>
      </w:pPr>
      <w:r>
        <w:rPr>
          <w:sz w:val="24"/>
          <w:szCs w:val="24"/>
        </w:rPr>
        <w:tab/>
        <w:t>Not applicable.</w:t>
      </w:r>
    </w:p>
    <w:p w:rsidR="005900E7" w:rsidRDefault="003E7061" w:rsidP="0070560E">
      <w:pPr>
        <w:ind w:left="720"/>
        <w:rPr>
          <w:sz w:val="24"/>
          <w:szCs w:val="24"/>
        </w:rPr>
      </w:pPr>
      <w:r w:rsidRPr="003E7061">
        <w:rPr>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w:t>
      </w:r>
      <w:proofErr w:type="gramStart"/>
      <w:r w:rsidRPr="003E7061">
        <w:rPr>
          <w:sz w:val="24"/>
          <w:szCs w:val="24"/>
        </w:rPr>
        <w:t>use;</w:t>
      </w:r>
      <w:r w:rsidR="0070560E">
        <w:rPr>
          <w:sz w:val="24"/>
          <w:szCs w:val="24"/>
        </w:rPr>
        <w:t xml:space="preserve">   </w:t>
      </w:r>
      <w:proofErr w:type="gramEnd"/>
      <w:r w:rsidR="0070560E">
        <w:rPr>
          <w:sz w:val="24"/>
          <w:szCs w:val="24"/>
        </w:rPr>
        <w:t xml:space="preserve"> </w:t>
      </w:r>
      <w:r w:rsidR="005900E7">
        <w:rPr>
          <w:sz w:val="24"/>
          <w:szCs w:val="24"/>
        </w:rPr>
        <w:t>No</w:t>
      </w:r>
      <w:r w:rsidR="00F05883">
        <w:rPr>
          <w:sz w:val="24"/>
          <w:szCs w:val="24"/>
        </w:rPr>
        <w:t>t applicable.</w:t>
      </w:r>
    </w:p>
    <w:p w:rsidR="0070560E" w:rsidRPr="003E7061" w:rsidRDefault="0070560E" w:rsidP="0070560E">
      <w:pPr>
        <w:ind w:left="720"/>
        <w:rPr>
          <w:sz w:val="24"/>
          <w:szCs w:val="24"/>
        </w:rPr>
      </w:pPr>
    </w:p>
    <w:p w:rsidR="003E7061" w:rsidRDefault="003E7061" w:rsidP="003E7061">
      <w:pPr>
        <w:ind w:left="720"/>
        <w:rPr>
          <w:sz w:val="24"/>
          <w:szCs w:val="24"/>
        </w:rPr>
      </w:pPr>
      <w:r w:rsidRPr="003E7061">
        <w:rPr>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5900E7" w:rsidRPr="003E7061" w:rsidRDefault="005900E7" w:rsidP="003E7061">
      <w:pPr>
        <w:ind w:left="720"/>
        <w:rPr>
          <w:sz w:val="24"/>
          <w:szCs w:val="24"/>
        </w:rPr>
      </w:pPr>
      <w:r>
        <w:rPr>
          <w:sz w:val="24"/>
          <w:szCs w:val="24"/>
        </w:rPr>
        <w:tab/>
        <w:t>Not applicable.</w:t>
      </w:r>
    </w:p>
    <w:p w:rsidR="003E7061" w:rsidRDefault="003E7061" w:rsidP="003E7061">
      <w:pPr>
        <w:keepLines/>
        <w:spacing w:before="100" w:beforeAutospacing="1" w:after="100" w:afterAutospacing="1"/>
        <w:ind w:left="360"/>
        <w:rPr>
          <w:sz w:val="24"/>
        </w:rPr>
      </w:pPr>
    </w:p>
    <w:p w:rsidR="003406FD" w:rsidRPr="00AB00A9" w:rsidRDefault="003406FD" w:rsidP="003406FD">
      <w:pPr>
        <w:numPr>
          <w:ilvl w:val="0"/>
          <w:numId w:val="16"/>
        </w:numPr>
        <w:rPr>
          <w:sz w:val="24"/>
        </w:rPr>
      </w:pPr>
      <w:r w:rsidRPr="00AB00A9">
        <w:rPr>
          <w:sz w:val="24"/>
        </w:rPr>
        <w:t>In accordance with 5 CFR 1320.8(d)</w:t>
      </w:r>
      <w:r w:rsidR="003D31F8">
        <w:rPr>
          <w:sz w:val="24"/>
        </w:rPr>
        <w:t>(a)</w:t>
      </w:r>
      <w:r w:rsidRPr="00AB00A9">
        <w:rPr>
          <w:sz w:val="24"/>
        </w:rPr>
        <w:t>,</w:t>
      </w:r>
      <w:r w:rsidR="003D31F8">
        <w:rPr>
          <w:sz w:val="24"/>
        </w:rPr>
        <w:t xml:space="preserve"> HUD is soliciting comments from the public and affected agencies concerning the proposed collection of information.  The Notice announcing this collection of information appeared in the </w:t>
      </w:r>
      <w:r w:rsidRPr="00AB00A9">
        <w:rPr>
          <w:i/>
          <w:iCs/>
          <w:sz w:val="24"/>
        </w:rPr>
        <w:t>Federal Register</w:t>
      </w:r>
      <w:r w:rsidRPr="00AB00A9">
        <w:rPr>
          <w:sz w:val="24"/>
        </w:rPr>
        <w:t xml:space="preserve"> on </w:t>
      </w:r>
      <w:r w:rsidR="0070560E">
        <w:rPr>
          <w:sz w:val="24"/>
        </w:rPr>
        <w:t>Tuesday</w:t>
      </w:r>
      <w:r w:rsidR="003D31F8">
        <w:rPr>
          <w:sz w:val="24"/>
        </w:rPr>
        <w:t>,</w:t>
      </w:r>
      <w:r w:rsidR="0070560E">
        <w:rPr>
          <w:sz w:val="24"/>
        </w:rPr>
        <w:t xml:space="preserve"> June 21, 2016</w:t>
      </w:r>
      <w:r w:rsidR="003D31F8">
        <w:rPr>
          <w:sz w:val="24"/>
        </w:rPr>
        <w:t xml:space="preserve"> </w:t>
      </w:r>
      <w:r w:rsidR="0070560E">
        <w:rPr>
          <w:sz w:val="24"/>
        </w:rPr>
        <w:t>(Volume 81, Number 119, page 40340)</w:t>
      </w:r>
      <w:r w:rsidR="003D31F8">
        <w:rPr>
          <w:sz w:val="24"/>
        </w:rPr>
        <w:t>.</w:t>
      </w:r>
      <w:r w:rsidR="0070560E">
        <w:rPr>
          <w:sz w:val="24"/>
        </w:rPr>
        <w:t xml:space="preserve">  No comments were received.</w:t>
      </w:r>
      <w:r w:rsidR="003D31F8">
        <w:rPr>
          <w:sz w:val="24"/>
        </w:rPr>
        <w:t xml:space="preserve">  </w:t>
      </w:r>
    </w:p>
    <w:p w:rsidR="00E413B2" w:rsidRDefault="004462B6" w:rsidP="003406FD">
      <w:pPr>
        <w:keepLines/>
        <w:spacing w:before="100" w:beforeAutospacing="1" w:after="100" w:afterAutospacing="1"/>
        <w:ind w:left="360"/>
        <w:rPr>
          <w:sz w:val="24"/>
        </w:rPr>
      </w:pPr>
      <w:r w:rsidRPr="009553C1">
        <w:rPr>
          <w:sz w:val="24"/>
        </w:rPr>
        <w:t xml:space="preserve">Comments were solicited from </w:t>
      </w:r>
      <w:r w:rsidR="009E5D72">
        <w:rPr>
          <w:sz w:val="24"/>
        </w:rPr>
        <w:t xml:space="preserve">three organizations regarding the information collection requirements of this program.  </w:t>
      </w:r>
    </w:p>
    <w:p w:rsidR="00675395" w:rsidRDefault="00E0393B" w:rsidP="00E413B2">
      <w:pPr>
        <w:keepLines/>
        <w:numPr>
          <w:ilvl w:val="0"/>
          <w:numId w:val="19"/>
        </w:numPr>
        <w:spacing w:before="100" w:beforeAutospacing="1" w:after="100" w:afterAutospacing="1"/>
        <w:rPr>
          <w:sz w:val="24"/>
          <w:szCs w:val="24"/>
        </w:rPr>
      </w:pPr>
      <w:r>
        <w:rPr>
          <w:sz w:val="24"/>
          <w:szCs w:val="24"/>
        </w:rPr>
        <w:lastRenderedPageBreak/>
        <w:t xml:space="preserve">Jim Paley, Executive Director, Neighborhood Housing Services of New Haven, states that the recertification process is difficult for him because he does the work himself due to the writing required.  He indicated that he found HUD staff available and very supportive during the process.  He also understood the need to collect Board Member’s social security numbers as a risk measure but mentioned that </w:t>
      </w:r>
      <w:r w:rsidR="007A5C20">
        <w:rPr>
          <w:sz w:val="24"/>
          <w:szCs w:val="24"/>
        </w:rPr>
        <w:t xml:space="preserve">the revelation of </w:t>
      </w:r>
      <w:r>
        <w:rPr>
          <w:sz w:val="24"/>
          <w:szCs w:val="24"/>
        </w:rPr>
        <w:t xml:space="preserve">sensitive information </w:t>
      </w:r>
      <w:r w:rsidR="007A5C20">
        <w:rPr>
          <w:sz w:val="24"/>
          <w:szCs w:val="24"/>
        </w:rPr>
        <w:t>is a</w:t>
      </w:r>
      <w:r w:rsidR="00675395">
        <w:rPr>
          <w:sz w:val="24"/>
          <w:szCs w:val="24"/>
        </w:rPr>
        <w:t xml:space="preserve">wkward.  </w:t>
      </w:r>
    </w:p>
    <w:p w:rsidR="00E0393B" w:rsidRDefault="00675395" w:rsidP="00E413B2">
      <w:pPr>
        <w:keepLines/>
        <w:numPr>
          <w:ilvl w:val="0"/>
          <w:numId w:val="19"/>
        </w:numPr>
        <w:spacing w:before="100" w:beforeAutospacing="1" w:after="100" w:afterAutospacing="1"/>
        <w:rPr>
          <w:sz w:val="24"/>
          <w:szCs w:val="24"/>
        </w:rPr>
      </w:pPr>
      <w:r>
        <w:rPr>
          <w:sz w:val="24"/>
          <w:szCs w:val="24"/>
        </w:rPr>
        <w:t xml:space="preserve">Michelle Mitchell, President, Colorado Housing Assistance Corporation (CHAC), states that recertification process is not difficult.  Every time CHAC recertifies they learn something new and the next recertification process is easier.  </w:t>
      </w:r>
      <w:r w:rsidR="007A5C20">
        <w:rPr>
          <w:sz w:val="24"/>
          <w:szCs w:val="24"/>
        </w:rPr>
        <w:t>They understand how to use NPDMS and find HUD staff supportive and responsive when they have questions.</w:t>
      </w:r>
    </w:p>
    <w:p w:rsidR="007A5C20" w:rsidRPr="001E1645" w:rsidRDefault="005E7691" w:rsidP="00E413B2">
      <w:pPr>
        <w:keepLines/>
        <w:numPr>
          <w:ilvl w:val="0"/>
          <w:numId w:val="19"/>
        </w:numPr>
        <w:spacing w:before="100" w:beforeAutospacing="1" w:after="100" w:afterAutospacing="1"/>
        <w:rPr>
          <w:sz w:val="24"/>
          <w:szCs w:val="24"/>
        </w:rPr>
      </w:pPr>
      <w:r>
        <w:rPr>
          <w:sz w:val="24"/>
          <w:szCs w:val="24"/>
        </w:rPr>
        <w:t xml:space="preserve">Donna </w:t>
      </w:r>
      <w:proofErr w:type="spellStart"/>
      <w:r>
        <w:rPr>
          <w:sz w:val="24"/>
          <w:szCs w:val="24"/>
        </w:rPr>
        <w:t>VanNess</w:t>
      </w:r>
      <w:proofErr w:type="spellEnd"/>
      <w:r>
        <w:rPr>
          <w:sz w:val="24"/>
          <w:szCs w:val="24"/>
        </w:rPr>
        <w:t xml:space="preserve">, President, Tarrant County Housing Partnership, Inc., states that her organization has years of experience submitting recertification packages and so they are able to do it with ease.  They do recommend that HUD work to streamline requirements and make them clearer.  They find HUD staff supportive and responsive to their requests for help.  </w:t>
      </w:r>
    </w:p>
    <w:p w:rsidR="005E7691" w:rsidRDefault="005E7691" w:rsidP="00B66F74">
      <w:pPr>
        <w:ind w:left="360"/>
        <w:rPr>
          <w:sz w:val="24"/>
        </w:rPr>
      </w:pPr>
    </w:p>
    <w:p w:rsidR="00B66F74" w:rsidRPr="00B66F74" w:rsidRDefault="00B66F74" w:rsidP="00B66F74">
      <w:pPr>
        <w:ind w:left="360"/>
        <w:rPr>
          <w:sz w:val="24"/>
          <w:szCs w:val="24"/>
        </w:rPr>
      </w:pPr>
      <w:r w:rsidRPr="009553C1">
        <w:rPr>
          <w:b/>
          <w:sz w:val="24"/>
          <w:szCs w:val="24"/>
        </w:rPr>
        <w:t>A</w:t>
      </w:r>
      <w:r w:rsidRPr="00B66F74">
        <w:rPr>
          <w:b/>
          <w:sz w:val="24"/>
          <w:szCs w:val="24"/>
        </w:rPr>
        <w:t>vailability of data</w:t>
      </w:r>
      <w:r w:rsidR="00C23BE7">
        <w:rPr>
          <w:b/>
          <w:sz w:val="24"/>
          <w:szCs w:val="24"/>
        </w:rPr>
        <w:t>:</w:t>
      </w:r>
      <w:r w:rsidRPr="00B66F74">
        <w:rPr>
          <w:color w:val="000000"/>
          <w:sz w:val="24"/>
          <w:szCs w:val="24"/>
        </w:rPr>
        <w:t xml:space="preserve"> </w:t>
      </w:r>
      <w:r w:rsidRPr="00B66F74">
        <w:rPr>
          <w:sz w:val="24"/>
          <w:szCs w:val="24"/>
        </w:rPr>
        <w:t>All data requested is readily available;</w:t>
      </w:r>
      <w:r w:rsidR="009553C1">
        <w:rPr>
          <w:sz w:val="24"/>
          <w:szCs w:val="24"/>
        </w:rPr>
        <w:t xml:space="preserve"> </w:t>
      </w:r>
      <w:r w:rsidR="00F91A48">
        <w:rPr>
          <w:sz w:val="24"/>
          <w:szCs w:val="24"/>
        </w:rPr>
        <w:t>n</w:t>
      </w:r>
      <w:r w:rsidRPr="00B66F74">
        <w:rPr>
          <w:sz w:val="24"/>
          <w:szCs w:val="24"/>
        </w:rPr>
        <w:t xml:space="preserve">onprofit applicants and program participants already submit required information.  </w:t>
      </w:r>
    </w:p>
    <w:p w:rsidR="00B66F74" w:rsidRPr="00B66F74" w:rsidRDefault="00B66F74" w:rsidP="00B66F74">
      <w:pPr>
        <w:overflowPunct/>
        <w:autoSpaceDE/>
        <w:autoSpaceDN/>
        <w:adjustRightInd/>
        <w:ind w:left="360"/>
        <w:textAlignment w:val="auto"/>
        <w:rPr>
          <w:sz w:val="24"/>
          <w:szCs w:val="24"/>
        </w:rPr>
      </w:pPr>
    </w:p>
    <w:p w:rsidR="00B66F74" w:rsidRPr="00B66F74" w:rsidRDefault="00B66F74" w:rsidP="00B66F74">
      <w:pPr>
        <w:overflowPunct/>
        <w:autoSpaceDE/>
        <w:autoSpaceDN/>
        <w:adjustRightInd/>
        <w:ind w:left="360"/>
        <w:textAlignment w:val="auto"/>
        <w:rPr>
          <w:sz w:val="24"/>
          <w:szCs w:val="24"/>
        </w:rPr>
      </w:pPr>
      <w:r>
        <w:rPr>
          <w:b/>
          <w:sz w:val="24"/>
          <w:szCs w:val="24"/>
        </w:rPr>
        <w:t>F</w:t>
      </w:r>
      <w:r w:rsidRPr="00B66F74">
        <w:rPr>
          <w:b/>
          <w:sz w:val="24"/>
          <w:szCs w:val="24"/>
        </w:rPr>
        <w:t>requency of collection</w:t>
      </w:r>
      <w:r w:rsidR="009553C1">
        <w:rPr>
          <w:b/>
          <w:sz w:val="24"/>
          <w:szCs w:val="24"/>
        </w:rPr>
        <w:t>:</w:t>
      </w:r>
      <w:r w:rsidRPr="00B66F74">
        <w:rPr>
          <w:sz w:val="24"/>
          <w:szCs w:val="24"/>
        </w:rPr>
        <w:t xml:space="preserve"> Report</w:t>
      </w:r>
      <w:r w:rsidR="00D65506">
        <w:rPr>
          <w:sz w:val="24"/>
          <w:szCs w:val="24"/>
        </w:rPr>
        <w:t xml:space="preserve">ing of properties </w:t>
      </w:r>
      <w:r w:rsidR="009F4E33">
        <w:rPr>
          <w:sz w:val="24"/>
          <w:szCs w:val="24"/>
        </w:rPr>
        <w:t xml:space="preserve">that are purchased, sold or leased is required through the </w:t>
      </w:r>
      <w:r w:rsidR="00D65506">
        <w:rPr>
          <w:sz w:val="24"/>
          <w:szCs w:val="24"/>
        </w:rPr>
        <w:t>web-based automated system (NPDMS) no later than 60 days after</w:t>
      </w:r>
      <w:r w:rsidR="009F4E33">
        <w:rPr>
          <w:sz w:val="24"/>
          <w:szCs w:val="24"/>
        </w:rPr>
        <w:t xml:space="preserve"> the transaction.  </w:t>
      </w:r>
      <w:r w:rsidRPr="00B66F74">
        <w:rPr>
          <w:sz w:val="24"/>
          <w:szCs w:val="24"/>
        </w:rPr>
        <w:t xml:space="preserve">This allows for information to be reviewed </w:t>
      </w:r>
      <w:r w:rsidR="009F4E33">
        <w:rPr>
          <w:sz w:val="24"/>
          <w:szCs w:val="24"/>
        </w:rPr>
        <w:t xml:space="preserve">close in time to the transaction and </w:t>
      </w:r>
      <w:r w:rsidRPr="00B66F74">
        <w:rPr>
          <w:sz w:val="24"/>
          <w:szCs w:val="24"/>
        </w:rPr>
        <w:t>allows for regular program monitoring in an effort to reduce risk to the Department.  Frequent reporting</w:t>
      </w:r>
      <w:r w:rsidR="009F4E33">
        <w:rPr>
          <w:sz w:val="24"/>
          <w:szCs w:val="24"/>
        </w:rPr>
        <w:t xml:space="preserve"> also</w:t>
      </w:r>
      <w:r w:rsidRPr="00B66F74">
        <w:rPr>
          <w:sz w:val="24"/>
          <w:szCs w:val="24"/>
        </w:rPr>
        <w:t xml:space="preserve"> allows HUD to</w:t>
      </w:r>
      <w:r w:rsidR="001F6382">
        <w:rPr>
          <w:sz w:val="24"/>
          <w:szCs w:val="24"/>
        </w:rPr>
        <w:t xml:space="preserve"> easily track </w:t>
      </w:r>
      <w:proofErr w:type="gramStart"/>
      <w:r w:rsidR="001F6382">
        <w:rPr>
          <w:sz w:val="24"/>
          <w:szCs w:val="24"/>
        </w:rPr>
        <w:t xml:space="preserve">noncompliance </w:t>
      </w:r>
      <w:r w:rsidRPr="00B66F74">
        <w:rPr>
          <w:sz w:val="24"/>
          <w:szCs w:val="24"/>
        </w:rPr>
        <w:t xml:space="preserve"> and</w:t>
      </w:r>
      <w:proofErr w:type="gramEnd"/>
      <w:r w:rsidRPr="00B66F74">
        <w:rPr>
          <w:sz w:val="24"/>
          <w:szCs w:val="24"/>
        </w:rPr>
        <w:t xml:space="preserve"> allows for staff to provide more frequent technical assistance.</w:t>
      </w:r>
      <w:r w:rsidR="009A5E00">
        <w:rPr>
          <w:sz w:val="24"/>
          <w:szCs w:val="24"/>
        </w:rPr>
        <w:t xml:space="preserve">  </w:t>
      </w:r>
    </w:p>
    <w:p w:rsidR="00BF0C34" w:rsidRDefault="00BF0C34" w:rsidP="00BF0C34">
      <w:pPr>
        <w:tabs>
          <w:tab w:val="left" w:pos="720"/>
        </w:tabs>
        <w:ind w:left="360"/>
        <w:rPr>
          <w:b/>
          <w:sz w:val="24"/>
          <w:szCs w:val="24"/>
        </w:rPr>
      </w:pPr>
    </w:p>
    <w:p w:rsidR="00A73941" w:rsidRDefault="00B66F74" w:rsidP="00E02DA9">
      <w:pPr>
        <w:tabs>
          <w:tab w:val="left" w:pos="720"/>
        </w:tabs>
        <w:ind w:left="360"/>
        <w:rPr>
          <w:sz w:val="24"/>
        </w:rPr>
      </w:pPr>
      <w:r>
        <w:rPr>
          <w:b/>
          <w:sz w:val="24"/>
          <w:szCs w:val="24"/>
        </w:rPr>
        <w:t>T</w:t>
      </w:r>
      <w:r w:rsidRPr="00B66F74">
        <w:rPr>
          <w:b/>
          <w:sz w:val="24"/>
          <w:szCs w:val="24"/>
        </w:rPr>
        <w:t>he format for recordkeeping disclosure, or reporting</w:t>
      </w:r>
      <w:r w:rsidR="009553C1">
        <w:rPr>
          <w:b/>
          <w:sz w:val="24"/>
          <w:szCs w:val="24"/>
        </w:rPr>
        <w:t xml:space="preserve">:  </w:t>
      </w:r>
      <w:r w:rsidR="00DD5F4E" w:rsidRPr="00DD5F4E">
        <w:rPr>
          <w:sz w:val="24"/>
          <w:szCs w:val="24"/>
        </w:rPr>
        <w:t>I</w:t>
      </w:r>
      <w:r w:rsidR="00DD5F4E">
        <w:rPr>
          <w:sz w:val="24"/>
        </w:rPr>
        <w:t>n ord</w:t>
      </w:r>
      <w:r w:rsidR="00E02DA9">
        <w:rPr>
          <w:sz w:val="24"/>
        </w:rPr>
        <w:t>er for HUD to monitor our programs, program participants should maintain a</w:t>
      </w:r>
      <w:r w:rsidR="009F4E33">
        <w:rPr>
          <w:sz w:val="24"/>
        </w:rPr>
        <w:t xml:space="preserve">ccurate and complete </w:t>
      </w:r>
      <w:r w:rsidR="00DD5F4E">
        <w:rPr>
          <w:sz w:val="24"/>
        </w:rPr>
        <w:t xml:space="preserve">records.  </w:t>
      </w:r>
      <w:r w:rsidR="009F4E33">
        <w:rPr>
          <w:sz w:val="24"/>
        </w:rPr>
        <w:t xml:space="preserve">HUD Handbook 4000.1 clearly describes documents that should be maintained for on-site review and monitoring purposes.  </w:t>
      </w:r>
    </w:p>
    <w:p w:rsidR="00A73941" w:rsidRDefault="00A73941" w:rsidP="00E02DA9">
      <w:pPr>
        <w:tabs>
          <w:tab w:val="left" w:pos="720"/>
        </w:tabs>
        <w:ind w:left="360"/>
        <w:rPr>
          <w:sz w:val="24"/>
        </w:rPr>
      </w:pPr>
    </w:p>
    <w:p w:rsidR="001E1645" w:rsidRDefault="00A73941" w:rsidP="00E02DA9">
      <w:pPr>
        <w:tabs>
          <w:tab w:val="left" w:pos="720"/>
        </w:tabs>
        <w:ind w:left="360"/>
        <w:rPr>
          <w:sz w:val="24"/>
        </w:rPr>
      </w:pPr>
      <w:r>
        <w:rPr>
          <w:sz w:val="24"/>
        </w:rPr>
        <w:t>Where program participants operate FHA’s HUD Homes program, i</w:t>
      </w:r>
      <w:r w:rsidR="001E1645">
        <w:rPr>
          <w:sz w:val="24"/>
        </w:rPr>
        <w:t xml:space="preserve">ndividual </w:t>
      </w:r>
      <w:r>
        <w:rPr>
          <w:sz w:val="24"/>
        </w:rPr>
        <w:t>p</w:t>
      </w:r>
      <w:r w:rsidR="00E02DA9">
        <w:rPr>
          <w:sz w:val="24"/>
        </w:rPr>
        <w:t>roperty f</w:t>
      </w:r>
      <w:r w:rsidR="00DD5F4E">
        <w:rPr>
          <w:sz w:val="24"/>
        </w:rPr>
        <w:t xml:space="preserve">iles should be maintained </w:t>
      </w:r>
      <w:r w:rsidR="001E1645">
        <w:rPr>
          <w:sz w:val="24"/>
        </w:rPr>
        <w:t xml:space="preserve">for properties purchased, sold or leased when a discount of 10 percent or greater is obtained at the time of purchase.  </w:t>
      </w:r>
      <w:r w:rsidR="00E02DA9">
        <w:rPr>
          <w:sz w:val="24"/>
        </w:rPr>
        <w:t xml:space="preserve">Files should be maintained for a minimum of three years after the property is sold by the nonprofit. </w:t>
      </w:r>
    </w:p>
    <w:p w:rsidR="001E1645" w:rsidRDefault="001E1645" w:rsidP="00E02DA9">
      <w:pPr>
        <w:tabs>
          <w:tab w:val="left" w:pos="720"/>
        </w:tabs>
        <w:ind w:left="360"/>
        <w:rPr>
          <w:sz w:val="24"/>
        </w:rPr>
      </w:pPr>
    </w:p>
    <w:p w:rsidR="00A73941" w:rsidRDefault="00E02DA9" w:rsidP="00DE6EFB">
      <w:pPr>
        <w:tabs>
          <w:tab w:val="left" w:pos="720"/>
        </w:tabs>
        <w:ind w:left="360"/>
        <w:rPr>
          <w:sz w:val="24"/>
        </w:rPr>
      </w:pPr>
      <w:r>
        <w:rPr>
          <w:sz w:val="24"/>
        </w:rPr>
        <w:t xml:space="preserve">For Secondary Financing, HUD can request </w:t>
      </w:r>
      <w:r w:rsidR="00DA7D53">
        <w:rPr>
          <w:sz w:val="24"/>
        </w:rPr>
        <w:t xml:space="preserve">second lien </w:t>
      </w:r>
      <w:r w:rsidR="00A73941">
        <w:rPr>
          <w:sz w:val="24"/>
        </w:rPr>
        <w:t xml:space="preserve">documentation </w:t>
      </w:r>
      <w:r w:rsidR="001F6382">
        <w:rPr>
          <w:sz w:val="24"/>
        </w:rPr>
        <w:t xml:space="preserve">and </w:t>
      </w:r>
      <w:r w:rsidR="00A73941">
        <w:rPr>
          <w:sz w:val="24"/>
        </w:rPr>
        <w:t>loan performance</w:t>
      </w:r>
      <w:r w:rsidR="001F6382">
        <w:rPr>
          <w:sz w:val="24"/>
        </w:rPr>
        <w:t xml:space="preserve"> inform</w:t>
      </w:r>
      <w:r w:rsidR="00DA7D53">
        <w:rPr>
          <w:sz w:val="24"/>
        </w:rPr>
        <w:t>ation</w:t>
      </w:r>
      <w:r w:rsidR="00A73941">
        <w:rPr>
          <w:sz w:val="24"/>
        </w:rPr>
        <w:t>.</w:t>
      </w:r>
    </w:p>
    <w:p w:rsidR="00E02DA9" w:rsidRPr="00B66F74" w:rsidRDefault="00E02DA9" w:rsidP="00DE6EFB">
      <w:pPr>
        <w:tabs>
          <w:tab w:val="left" w:pos="720"/>
        </w:tabs>
        <w:ind w:left="360"/>
        <w:rPr>
          <w:sz w:val="24"/>
          <w:szCs w:val="24"/>
        </w:rPr>
      </w:pPr>
      <w:r>
        <w:rPr>
          <w:sz w:val="24"/>
          <w:szCs w:val="24"/>
        </w:rPr>
        <w:t xml:space="preserve">   </w:t>
      </w:r>
    </w:p>
    <w:p w:rsidR="00B66F74" w:rsidRPr="00B66F74" w:rsidRDefault="00E02DA9" w:rsidP="00DE6EFB">
      <w:pPr>
        <w:tabs>
          <w:tab w:val="left" w:pos="360"/>
        </w:tabs>
        <w:ind w:left="360"/>
        <w:rPr>
          <w:sz w:val="24"/>
          <w:szCs w:val="24"/>
        </w:rPr>
      </w:pPr>
      <w:r>
        <w:rPr>
          <w:sz w:val="24"/>
        </w:rPr>
        <w:t>In addition, HUD may also request</w:t>
      </w:r>
      <w:r w:rsidR="00A73941">
        <w:rPr>
          <w:sz w:val="24"/>
        </w:rPr>
        <w:t xml:space="preserve"> closing disclosures, </w:t>
      </w:r>
      <w:r w:rsidR="001E1645">
        <w:rPr>
          <w:sz w:val="24"/>
        </w:rPr>
        <w:t>a</w:t>
      </w:r>
      <w:r w:rsidR="00DD5F4E">
        <w:rPr>
          <w:sz w:val="24"/>
        </w:rPr>
        <w:t>ccounting records</w:t>
      </w:r>
      <w:r>
        <w:rPr>
          <w:sz w:val="24"/>
        </w:rPr>
        <w:t xml:space="preserve">, affordable housing </w:t>
      </w:r>
      <w:r w:rsidR="001E1645">
        <w:rPr>
          <w:sz w:val="24"/>
        </w:rPr>
        <w:t xml:space="preserve">program </w:t>
      </w:r>
      <w:r>
        <w:rPr>
          <w:sz w:val="24"/>
        </w:rPr>
        <w:t>plans, marketing plans and quality control reports</w:t>
      </w:r>
      <w:r w:rsidR="001E1645">
        <w:rPr>
          <w:sz w:val="24"/>
        </w:rPr>
        <w:t xml:space="preserve">.  </w:t>
      </w:r>
      <w:r w:rsidR="00DD5F4E">
        <w:rPr>
          <w:sz w:val="24"/>
        </w:rPr>
        <w:t xml:space="preserve"> </w:t>
      </w:r>
    </w:p>
    <w:p w:rsidR="009A5E00" w:rsidRDefault="009A5E00" w:rsidP="009A5E00">
      <w:pPr>
        <w:overflowPunct/>
        <w:autoSpaceDE/>
        <w:autoSpaceDN/>
        <w:adjustRightInd/>
        <w:ind w:left="360"/>
        <w:textAlignment w:val="auto"/>
        <w:rPr>
          <w:b/>
          <w:sz w:val="24"/>
          <w:szCs w:val="24"/>
        </w:rPr>
      </w:pPr>
    </w:p>
    <w:p w:rsidR="00A73941" w:rsidRPr="00B66F74" w:rsidRDefault="00B66F74" w:rsidP="009A5E00">
      <w:pPr>
        <w:overflowPunct/>
        <w:autoSpaceDE/>
        <w:autoSpaceDN/>
        <w:adjustRightInd/>
        <w:ind w:left="360"/>
        <w:textAlignment w:val="auto"/>
        <w:rPr>
          <w:sz w:val="24"/>
          <w:szCs w:val="24"/>
        </w:rPr>
      </w:pPr>
      <w:r>
        <w:rPr>
          <w:b/>
          <w:sz w:val="24"/>
          <w:szCs w:val="24"/>
        </w:rPr>
        <w:t>Th</w:t>
      </w:r>
      <w:r w:rsidRPr="00B66F74">
        <w:rPr>
          <w:b/>
          <w:sz w:val="24"/>
          <w:szCs w:val="24"/>
        </w:rPr>
        <w:t>e data elements to be collected</w:t>
      </w:r>
      <w:r w:rsidR="009553C1">
        <w:rPr>
          <w:b/>
          <w:sz w:val="24"/>
          <w:szCs w:val="24"/>
        </w:rPr>
        <w:t>:</w:t>
      </w:r>
      <w:r w:rsidRPr="00B66F74">
        <w:rPr>
          <w:sz w:val="24"/>
          <w:szCs w:val="24"/>
        </w:rPr>
        <w:t xml:space="preserve">  </w:t>
      </w:r>
      <w:r w:rsidR="001E1645">
        <w:rPr>
          <w:sz w:val="24"/>
          <w:szCs w:val="24"/>
        </w:rPr>
        <w:t>HUD Handbook 4000.1 identifies specific information that must be maintained for reporting purposes for our Nonprofit and Government Entity programs.</w:t>
      </w:r>
      <w:r w:rsidRPr="00B66F74">
        <w:rPr>
          <w:sz w:val="24"/>
          <w:szCs w:val="24"/>
        </w:rPr>
        <w:t xml:space="preserve"> </w:t>
      </w:r>
    </w:p>
    <w:p w:rsidR="003B0188" w:rsidRDefault="003B0188" w:rsidP="00DE6EFB">
      <w:pPr>
        <w:overflowPunct/>
        <w:autoSpaceDE/>
        <w:autoSpaceDN/>
        <w:adjustRightInd/>
        <w:ind w:left="360"/>
        <w:textAlignment w:val="auto"/>
      </w:pPr>
    </w:p>
    <w:p w:rsidR="00F43EF7" w:rsidRDefault="00F43EF7">
      <w:pPr>
        <w:pStyle w:val="BodyTextIndent2"/>
        <w:numPr>
          <w:ilvl w:val="0"/>
          <w:numId w:val="16"/>
        </w:numPr>
        <w:spacing w:before="100" w:beforeAutospacing="1" w:after="100" w:afterAutospacing="1"/>
      </w:pPr>
      <w:r>
        <w:t xml:space="preserve">There are no payments or gifts to respondents with respect to this collection. </w:t>
      </w:r>
    </w:p>
    <w:p w:rsidR="00F43EF7" w:rsidRPr="00DE6EFB" w:rsidRDefault="009B241A" w:rsidP="00A70117">
      <w:pPr>
        <w:pStyle w:val="BodyTextIndent2"/>
        <w:numPr>
          <w:ilvl w:val="0"/>
          <w:numId w:val="16"/>
        </w:numPr>
        <w:spacing w:before="100" w:beforeAutospacing="1" w:after="100" w:afterAutospacing="1"/>
        <w:rPr>
          <w:color w:val="auto"/>
        </w:rPr>
      </w:pPr>
      <w:r>
        <w:rPr>
          <w:color w:val="auto"/>
        </w:rPr>
        <w:t xml:space="preserve">HUD is authorized to </w:t>
      </w:r>
      <w:r w:rsidR="000C16D8">
        <w:rPr>
          <w:color w:val="auto"/>
        </w:rPr>
        <w:t xml:space="preserve">collect and maintain PII </w:t>
      </w:r>
      <w:r>
        <w:rPr>
          <w:color w:val="auto"/>
        </w:rPr>
        <w:t xml:space="preserve">pursuant to </w:t>
      </w:r>
      <w:r w:rsidR="002D1E0B" w:rsidRPr="002D1E0B">
        <w:rPr>
          <w:color w:val="auto"/>
        </w:rPr>
        <w:t xml:space="preserve">42 U.S.C 35449(b).  Notice to the public is published in the Federal Register routinely along with the required updates to the Information Collection request. </w:t>
      </w:r>
      <w:r w:rsidR="00DA7D53">
        <w:rPr>
          <w:color w:val="auto"/>
        </w:rPr>
        <w:t>HUD is authorized to collect s</w:t>
      </w:r>
      <w:r w:rsidRPr="00A70117">
        <w:rPr>
          <w:color w:val="auto"/>
        </w:rPr>
        <w:t xml:space="preserve">ocial security numbers </w:t>
      </w:r>
      <w:r w:rsidR="00DA7D53">
        <w:rPr>
          <w:color w:val="auto"/>
        </w:rPr>
        <w:t xml:space="preserve">in connection with our programs to mitigate risk pursuant to </w:t>
      </w:r>
      <w:r w:rsidR="00DA7D53" w:rsidRPr="004A7559">
        <w:rPr>
          <w:color w:val="auto"/>
        </w:rPr>
        <w:t>31 U.S.C 7701</w:t>
      </w:r>
      <w:r w:rsidR="00DA7D53">
        <w:rPr>
          <w:color w:val="auto"/>
        </w:rPr>
        <w:t xml:space="preserve">.  Social security numbers are </w:t>
      </w:r>
      <w:r w:rsidRPr="00A70117">
        <w:rPr>
          <w:color w:val="auto"/>
        </w:rPr>
        <w:t>collected as part of a nonprofits application</w:t>
      </w:r>
      <w:r w:rsidR="00DA7D53">
        <w:rPr>
          <w:color w:val="auto"/>
        </w:rPr>
        <w:t xml:space="preserve">.  </w:t>
      </w:r>
      <w:r w:rsidR="00047D71" w:rsidRPr="00A70117">
        <w:rPr>
          <w:color w:val="auto"/>
        </w:rPr>
        <w:t xml:space="preserve"> This re</w:t>
      </w:r>
      <w:r w:rsidRPr="00A70117">
        <w:rPr>
          <w:color w:val="auto"/>
        </w:rPr>
        <w:t xml:space="preserve">quirement is </w:t>
      </w:r>
      <w:r w:rsidR="00047D71" w:rsidRPr="00A70117">
        <w:rPr>
          <w:color w:val="auto"/>
        </w:rPr>
        <w:t xml:space="preserve">also </w:t>
      </w:r>
      <w:r w:rsidRPr="00DE6EFB">
        <w:rPr>
          <w:color w:val="auto"/>
        </w:rPr>
        <w:t xml:space="preserve">clearly set forth in the HUD Handbook 4000.1.  HUD staff employ safeguards in the collection, use and destruction of the social security number.  </w:t>
      </w:r>
      <w:r w:rsidR="002D1E0B" w:rsidRPr="00DE6EFB">
        <w:rPr>
          <w:color w:val="auto"/>
        </w:rPr>
        <w:t>Only authorized HUD staff ha</w:t>
      </w:r>
      <w:r w:rsidR="001F6382">
        <w:rPr>
          <w:color w:val="auto"/>
        </w:rPr>
        <w:t>ve</w:t>
      </w:r>
      <w:r w:rsidR="002D1E0B" w:rsidRPr="00DE6EFB">
        <w:rPr>
          <w:color w:val="auto"/>
        </w:rPr>
        <w:t xml:space="preserve"> access to the requested information and the agency does</w:t>
      </w:r>
      <w:r w:rsidR="00061488">
        <w:rPr>
          <w:color w:val="auto"/>
        </w:rPr>
        <w:t xml:space="preserve"> not</w:t>
      </w:r>
      <w:r w:rsidR="002D1E0B" w:rsidRPr="00DE6EFB">
        <w:rPr>
          <w:color w:val="auto"/>
        </w:rPr>
        <w:t xml:space="preserve"> share this</w:t>
      </w:r>
      <w:r w:rsidR="00C732E2" w:rsidRPr="00DE6EFB">
        <w:rPr>
          <w:color w:val="auto"/>
        </w:rPr>
        <w:t xml:space="preserve"> information with the public, </w:t>
      </w:r>
      <w:r w:rsidR="002D1E0B" w:rsidRPr="00DE6EFB">
        <w:rPr>
          <w:color w:val="auto"/>
        </w:rPr>
        <w:t>other agencies</w:t>
      </w:r>
      <w:r w:rsidR="00C732E2" w:rsidRPr="00DE6EFB">
        <w:rPr>
          <w:color w:val="auto"/>
        </w:rPr>
        <w:t xml:space="preserve"> or other departments within HUD</w:t>
      </w:r>
      <w:r w:rsidR="002D1E0B" w:rsidRPr="00DE6EFB">
        <w:rPr>
          <w:color w:val="auto"/>
        </w:rPr>
        <w:t>.</w:t>
      </w:r>
    </w:p>
    <w:p w:rsidR="00F43EF7" w:rsidRDefault="00F43EF7">
      <w:pPr>
        <w:pStyle w:val="BodyTextIndent2"/>
        <w:numPr>
          <w:ilvl w:val="0"/>
          <w:numId w:val="16"/>
        </w:numPr>
        <w:spacing w:before="100" w:beforeAutospacing="1" w:after="100" w:afterAutospacing="1"/>
      </w:pPr>
      <w:r>
        <w:lastRenderedPageBreak/>
        <w:t xml:space="preserve">No sensitive information is required as part of this collection. </w:t>
      </w:r>
    </w:p>
    <w:p w:rsidR="00227973" w:rsidRDefault="00F43EF7" w:rsidP="00227973">
      <w:pPr>
        <w:pStyle w:val="BodyTextIndent2"/>
        <w:numPr>
          <w:ilvl w:val="0"/>
          <w:numId w:val="16"/>
        </w:numPr>
        <w:spacing w:before="100" w:beforeAutospacing="1" w:after="100" w:afterAutospacing="1"/>
      </w:pPr>
      <w:r>
        <w:t>Estimate of public burden.  Total numbe</w:t>
      </w:r>
      <w:r w:rsidR="006227F8">
        <w:t xml:space="preserve">r of respondents consists of </w:t>
      </w:r>
      <w:r w:rsidR="00EA6123">
        <w:t>59</w:t>
      </w:r>
      <w:r w:rsidR="006227F8">
        <w:t xml:space="preserve"> new applicants</w:t>
      </w:r>
      <w:r w:rsidR="00696631">
        <w:t xml:space="preserve"> and</w:t>
      </w:r>
      <w:r w:rsidR="00B616ED">
        <w:t xml:space="preserve"> </w:t>
      </w:r>
      <w:r w:rsidR="00EA6123">
        <w:t>112</w:t>
      </w:r>
      <w:r>
        <w:t xml:space="preserve"> yearly agency re-certifications</w:t>
      </w:r>
      <w:r w:rsidR="00696631">
        <w:t xml:space="preserve">. </w:t>
      </w:r>
      <w:r w:rsidR="00227973">
        <w:t>The frequency of response varies depending on the information collected:</w:t>
      </w:r>
    </w:p>
    <w:p w:rsidR="00227973" w:rsidRDefault="00227973" w:rsidP="00227973">
      <w:pPr>
        <w:pStyle w:val="BodyTextIndent2"/>
        <w:numPr>
          <w:ilvl w:val="1"/>
          <w:numId w:val="16"/>
        </w:numPr>
        <w:tabs>
          <w:tab w:val="clear" w:pos="360"/>
        </w:tabs>
        <w:spacing w:before="100" w:beforeAutospacing="1" w:after="100" w:afterAutospacing="1"/>
      </w:pPr>
      <w:r>
        <w:t xml:space="preserve"> </w:t>
      </w:r>
      <w:r w:rsidR="00A45D19">
        <w:t>HUD is in receipt of a</w:t>
      </w:r>
      <w:r>
        <w:t xml:space="preserve">pplications, </w:t>
      </w:r>
      <w:r w:rsidR="00A45D19">
        <w:t>a</w:t>
      </w:r>
      <w:r>
        <w:t xml:space="preserve">gency </w:t>
      </w:r>
      <w:r w:rsidR="00A45D19">
        <w:t>r</w:t>
      </w:r>
      <w:r>
        <w:t xml:space="preserve">eporting and </w:t>
      </w:r>
      <w:r w:rsidR="00A45D19">
        <w:t>a</w:t>
      </w:r>
      <w:r>
        <w:t xml:space="preserve">gency </w:t>
      </w:r>
      <w:r w:rsidR="00DD6C48">
        <w:t>recertification</w:t>
      </w:r>
      <w:r w:rsidR="00A45D19">
        <w:t xml:space="preserve"> on an ongoing basis.</w:t>
      </w:r>
      <w:r>
        <w:t xml:space="preserve"> </w:t>
      </w:r>
    </w:p>
    <w:p w:rsidR="001F6382" w:rsidRDefault="001F6382" w:rsidP="00227973">
      <w:pPr>
        <w:pStyle w:val="BodyTextIndent2"/>
        <w:numPr>
          <w:ilvl w:val="1"/>
          <w:numId w:val="16"/>
        </w:numPr>
        <w:tabs>
          <w:tab w:val="clear" w:pos="360"/>
        </w:tabs>
        <w:spacing w:before="100" w:beforeAutospacing="1" w:after="100" w:afterAutospacing="1"/>
      </w:pPr>
      <w:r>
        <w:t xml:space="preserve">The increase in the hours needed to apply and recertify takes into account the development of the Affordable Housing Program Plan which is previous years was counted as a separate item.  The revised hours accurately </w:t>
      </w:r>
      <w:r w:rsidR="00DD6C48">
        <w:t>reflect</w:t>
      </w:r>
      <w:r>
        <w:t xml:space="preserve"> the hours a nonprofit spends developing and submitting both an application and recertification.</w:t>
      </w:r>
    </w:p>
    <w:p w:rsidR="009E5D73" w:rsidRDefault="00227973" w:rsidP="0070560E">
      <w:pPr>
        <w:pStyle w:val="BodyTextIndent2"/>
        <w:numPr>
          <w:ilvl w:val="1"/>
          <w:numId w:val="16"/>
        </w:numPr>
        <w:tabs>
          <w:tab w:val="clear" w:pos="360"/>
        </w:tabs>
        <w:spacing w:before="100" w:beforeAutospacing="1" w:after="100" w:afterAutospacing="1"/>
      </w:pPr>
      <w:r>
        <w:t>Credit Evaluation of Nonprofits could occur for a maximum of four times per year (worst case scenario).  This is due to the requirement for lenders providing financing to perform an analysis of the nonprofits agency’s financial capacity to encumber properties using FHA insurance.  Included in this analysis is the review of a 90</w:t>
      </w:r>
      <w:r w:rsidR="00A73941">
        <w:t>-</w:t>
      </w:r>
      <w:r>
        <w:t xml:space="preserve">day year-to-date financial statement.  If requested at specific times, by various lenders, the nonprofit could be required to produce at least four – </w:t>
      </w:r>
      <w:r w:rsidRPr="004E2D2A">
        <w:t>90 day year-to-date financial statement</w:t>
      </w:r>
      <w:r>
        <w:t>s.</w:t>
      </w: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350"/>
        <w:gridCol w:w="1277"/>
        <w:gridCol w:w="1260"/>
        <w:gridCol w:w="1170"/>
        <w:gridCol w:w="1063"/>
        <w:gridCol w:w="922"/>
        <w:gridCol w:w="1418"/>
      </w:tblGrid>
      <w:tr w:rsidR="00F43EF7" w:rsidTr="00DD6C48">
        <w:tblPrEx>
          <w:tblCellMar>
            <w:top w:w="0" w:type="dxa"/>
            <w:bottom w:w="0" w:type="dxa"/>
          </w:tblCellMar>
        </w:tblPrEx>
        <w:tc>
          <w:tcPr>
            <w:tcW w:w="234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Description of Info. Collection</w:t>
            </w:r>
          </w:p>
        </w:tc>
        <w:tc>
          <w:tcPr>
            <w:tcW w:w="135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Number of Respondents</w:t>
            </w:r>
          </w:p>
        </w:tc>
        <w:tc>
          <w:tcPr>
            <w:tcW w:w="1277"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Frequency of Response</w:t>
            </w:r>
          </w:p>
        </w:tc>
        <w:tc>
          <w:tcPr>
            <w:tcW w:w="126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Total Annual Responses</w:t>
            </w:r>
          </w:p>
        </w:tc>
        <w:tc>
          <w:tcPr>
            <w:tcW w:w="117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Hours per Response</w:t>
            </w:r>
          </w:p>
        </w:tc>
        <w:tc>
          <w:tcPr>
            <w:tcW w:w="1063"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Total Hours</w:t>
            </w:r>
          </w:p>
        </w:tc>
        <w:tc>
          <w:tcPr>
            <w:tcW w:w="922"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Hourly Rate</w:t>
            </w:r>
          </w:p>
        </w:tc>
        <w:tc>
          <w:tcPr>
            <w:tcW w:w="1418"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Total Annual Cost</w:t>
            </w:r>
          </w:p>
        </w:tc>
      </w:tr>
      <w:tr w:rsidR="00F43EF7" w:rsidTr="00DD6C48">
        <w:tblPrEx>
          <w:tblCellMar>
            <w:top w:w="0" w:type="dxa"/>
            <w:bottom w:w="0" w:type="dxa"/>
          </w:tblCellMar>
        </w:tblPrEx>
        <w:tc>
          <w:tcPr>
            <w:tcW w:w="2340" w:type="dxa"/>
          </w:tcPr>
          <w:p w:rsidR="00F43EF7" w:rsidRDefault="00F43EF7">
            <w:pPr>
              <w:keepLines/>
              <w:tabs>
                <w:tab w:val="left" w:pos="480"/>
              </w:tabs>
              <w:rPr>
                <w:rFonts w:ascii="Arial" w:hAnsi="Arial" w:cs="Arial"/>
                <w:color w:val="000000"/>
                <w:sz w:val="18"/>
              </w:rPr>
            </w:pPr>
            <w:r>
              <w:rPr>
                <w:rFonts w:ascii="Arial" w:hAnsi="Arial" w:cs="Arial"/>
                <w:color w:val="000000"/>
                <w:sz w:val="18"/>
              </w:rPr>
              <w:t>Application</w:t>
            </w:r>
          </w:p>
        </w:tc>
        <w:tc>
          <w:tcPr>
            <w:tcW w:w="1350" w:type="dxa"/>
            <w:vAlign w:val="center"/>
          </w:tcPr>
          <w:p w:rsidR="00F43EF7" w:rsidRDefault="00DA55F2">
            <w:pPr>
              <w:keepLines/>
              <w:tabs>
                <w:tab w:val="left" w:pos="480"/>
              </w:tabs>
              <w:ind w:right="264"/>
              <w:jc w:val="right"/>
              <w:rPr>
                <w:rFonts w:ascii="Arial" w:hAnsi="Arial" w:cs="Arial"/>
                <w:sz w:val="18"/>
              </w:rPr>
            </w:pPr>
            <w:r>
              <w:rPr>
                <w:rFonts w:ascii="Arial" w:hAnsi="Arial" w:cs="Arial"/>
                <w:sz w:val="18"/>
              </w:rPr>
              <w:t>59</w:t>
            </w:r>
          </w:p>
        </w:tc>
        <w:tc>
          <w:tcPr>
            <w:tcW w:w="1277" w:type="dxa"/>
            <w:vAlign w:val="center"/>
          </w:tcPr>
          <w:p w:rsidR="00F43EF7" w:rsidRDefault="00F43EF7">
            <w:pPr>
              <w:keepLines/>
              <w:tabs>
                <w:tab w:val="left" w:pos="480"/>
              </w:tabs>
              <w:jc w:val="center"/>
              <w:rPr>
                <w:rFonts w:ascii="Arial" w:hAnsi="Arial" w:cs="Arial"/>
                <w:sz w:val="18"/>
              </w:rPr>
            </w:pPr>
            <w:r>
              <w:rPr>
                <w:rFonts w:ascii="Arial" w:hAnsi="Arial" w:cs="Arial"/>
                <w:sz w:val="18"/>
              </w:rPr>
              <w:t>1</w:t>
            </w:r>
          </w:p>
        </w:tc>
        <w:tc>
          <w:tcPr>
            <w:tcW w:w="1260" w:type="dxa"/>
            <w:vAlign w:val="center"/>
          </w:tcPr>
          <w:p w:rsidR="00F43EF7" w:rsidRDefault="00A70117" w:rsidP="00975A4D">
            <w:pPr>
              <w:keepLines/>
              <w:tabs>
                <w:tab w:val="left" w:pos="480"/>
              </w:tabs>
              <w:ind w:right="332"/>
              <w:jc w:val="right"/>
              <w:rPr>
                <w:rFonts w:ascii="Arial" w:hAnsi="Arial" w:cs="Arial"/>
                <w:sz w:val="18"/>
              </w:rPr>
            </w:pPr>
            <w:r>
              <w:rPr>
                <w:rFonts w:ascii="Arial" w:hAnsi="Arial" w:cs="Arial"/>
                <w:sz w:val="18"/>
              </w:rPr>
              <w:t>59</w:t>
            </w:r>
          </w:p>
        </w:tc>
        <w:tc>
          <w:tcPr>
            <w:tcW w:w="1170" w:type="dxa"/>
            <w:vAlign w:val="center"/>
          </w:tcPr>
          <w:p w:rsidR="00F43EF7" w:rsidRDefault="00A70117">
            <w:pPr>
              <w:keepLines/>
              <w:ind w:right="129"/>
              <w:jc w:val="right"/>
              <w:rPr>
                <w:rFonts w:ascii="Arial" w:hAnsi="Arial" w:cs="Arial"/>
                <w:sz w:val="18"/>
              </w:rPr>
            </w:pPr>
            <w:r>
              <w:rPr>
                <w:rFonts w:ascii="Arial" w:hAnsi="Arial" w:cs="Arial"/>
                <w:sz w:val="18"/>
              </w:rPr>
              <w:t>60</w:t>
            </w:r>
          </w:p>
        </w:tc>
        <w:tc>
          <w:tcPr>
            <w:tcW w:w="1063" w:type="dxa"/>
            <w:vAlign w:val="center"/>
          </w:tcPr>
          <w:p w:rsidR="00F43EF7" w:rsidRDefault="00A70117" w:rsidP="00975A4D">
            <w:pPr>
              <w:keepLines/>
              <w:tabs>
                <w:tab w:val="left" w:pos="480"/>
              </w:tabs>
              <w:ind w:right="111"/>
              <w:jc w:val="right"/>
              <w:rPr>
                <w:rFonts w:ascii="Arial" w:hAnsi="Arial" w:cs="Arial"/>
                <w:sz w:val="18"/>
              </w:rPr>
            </w:pPr>
            <w:r>
              <w:rPr>
                <w:rFonts w:ascii="Arial" w:hAnsi="Arial" w:cs="Arial"/>
                <w:sz w:val="18"/>
              </w:rPr>
              <w:t>3</w:t>
            </w:r>
            <w:r w:rsidR="00DD6C48">
              <w:rPr>
                <w:rFonts w:ascii="Arial" w:hAnsi="Arial" w:cs="Arial"/>
                <w:sz w:val="18"/>
              </w:rPr>
              <w:t>,</w:t>
            </w:r>
            <w:r>
              <w:rPr>
                <w:rFonts w:ascii="Arial" w:hAnsi="Arial" w:cs="Arial"/>
                <w:sz w:val="18"/>
              </w:rPr>
              <w:t>540</w:t>
            </w:r>
            <w:r w:rsidR="00DD6C48">
              <w:rPr>
                <w:rFonts w:ascii="Arial" w:hAnsi="Arial" w:cs="Arial"/>
                <w:sz w:val="18"/>
              </w:rPr>
              <w:t>.00</w:t>
            </w:r>
          </w:p>
        </w:tc>
        <w:tc>
          <w:tcPr>
            <w:tcW w:w="922" w:type="dxa"/>
            <w:vAlign w:val="center"/>
          </w:tcPr>
          <w:p w:rsidR="00F43EF7" w:rsidRDefault="001D6D40" w:rsidP="00DF4F8F">
            <w:pPr>
              <w:keepLines/>
              <w:tabs>
                <w:tab w:val="left" w:pos="480"/>
              </w:tabs>
              <w:jc w:val="center"/>
              <w:rPr>
                <w:rFonts w:ascii="Arial" w:hAnsi="Arial" w:cs="Arial"/>
                <w:sz w:val="18"/>
              </w:rPr>
            </w:pPr>
            <w:r>
              <w:rPr>
                <w:rFonts w:ascii="Arial" w:hAnsi="Arial" w:cs="Arial"/>
                <w:sz w:val="18"/>
              </w:rPr>
              <w:t>$27.</w:t>
            </w:r>
            <w:r w:rsidR="00DA55F2">
              <w:rPr>
                <w:rFonts w:ascii="Arial" w:hAnsi="Arial" w:cs="Arial"/>
                <w:sz w:val="18"/>
              </w:rPr>
              <w:t>83</w:t>
            </w:r>
          </w:p>
        </w:tc>
        <w:tc>
          <w:tcPr>
            <w:tcW w:w="1418" w:type="dxa"/>
            <w:vAlign w:val="center"/>
          </w:tcPr>
          <w:p w:rsidR="00F43EF7" w:rsidRDefault="00DF4F8F" w:rsidP="00DE6EFB">
            <w:pPr>
              <w:keepLines/>
              <w:ind w:right="175"/>
              <w:jc w:val="center"/>
              <w:rPr>
                <w:rFonts w:ascii="Arial" w:hAnsi="Arial" w:cs="Arial"/>
                <w:sz w:val="18"/>
              </w:rPr>
            </w:pPr>
            <w:r>
              <w:rPr>
                <w:rFonts w:ascii="Arial" w:hAnsi="Arial" w:cs="Arial"/>
                <w:sz w:val="18"/>
              </w:rPr>
              <w:t>$</w:t>
            </w:r>
            <w:r w:rsidR="00767964">
              <w:rPr>
                <w:rFonts w:ascii="Arial" w:hAnsi="Arial" w:cs="Arial"/>
                <w:sz w:val="18"/>
              </w:rPr>
              <w:t>98</w:t>
            </w:r>
            <w:r w:rsidR="00DD6C48">
              <w:rPr>
                <w:rFonts w:ascii="Arial" w:hAnsi="Arial" w:cs="Arial"/>
                <w:sz w:val="18"/>
              </w:rPr>
              <w:t>,</w:t>
            </w:r>
            <w:r w:rsidR="00767964">
              <w:rPr>
                <w:rFonts w:ascii="Arial" w:hAnsi="Arial" w:cs="Arial"/>
                <w:sz w:val="18"/>
              </w:rPr>
              <w:t>518</w:t>
            </w:r>
            <w:r w:rsidR="00DD6C48">
              <w:rPr>
                <w:rFonts w:ascii="Arial" w:hAnsi="Arial" w:cs="Arial"/>
                <w:sz w:val="18"/>
              </w:rPr>
              <w:t>.20</w:t>
            </w:r>
          </w:p>
        </w:tc>
      </w:tr>
      <w:tr w:rsidR="00F43EF7" w:rsidTr="00DD6C48">
        <w:tblPrEx>
          <w:tblCellMar>
            <w:top w:w="0" w:type="dxa"/>
            <w:bottom w:w="0" w:type="dxa"/>
          </w:tblCellMar>
        </w:tblPrEx>
        <w:tc>
          <w:tcPr>
            <w:tcW w:w="2340" w:type="dxa"/>
          </w:tcPr>
          <w:p w:rsidR="00F43EF7" w:rsidRDefault="00F43EF7" w:rsidP="00DE6EFB">
            <w:pPr>
              <w:keepLines/>
              <w:tabs>
                <w:tab w:val="left" w:pos="480"/>
              </w:tabs>
              <w:rPr>
                <w:rFonts w:ascii="Arial" w:hAnsi="Arial" w:cs="Arial"/>
                <w:color w:val="000000"/>
                <w:sz w:val="18"/>
              </w:rPr>
            </w:pPr>
            <w:r>
              <w:rPr>
                <w:rFonts w:ascii="Arial" w:hAnsi="Arial" w:cs="Arial"/>
                <w:color w:val="000000"/>
                <w:sz w:val="18"/>
              </w:rPr>
              <w:t xml:space="preserve">Agency Reporting </w:t>
            </w:r>
          </w:p>
        </w:tc>
        <w:tc>
          <w:tcPr>
            <w:tcW w:w="1350" w:type="dxa"/>
            <w:vAlign w:val="center"/>
          </w:tcPr>
          <w:p w:rsidR="00F43EF7" w:rsidRDefault="00DA55F2">
            <w:pPr>
              <w:keepLines/>
              <w:tabs>
                <w:tab w:val="left" w:pos="480"/>
              </w:tabs>
              <w:ind w:right="264"/>
              <w:jc w:val="right"/>
              <w:rPr>
                <w:rFonts w:ascii="Arial" w:hAnsi="Arial" w:cs="Arial"/>
                <w:sz w:val="18"/>
              </w:rPr>
            </w:pPr>
            <w:r>
              <w:rPr>
                <w:rFonts w:ascii="Arial" w:hAnsi="Arial" w:cs="Arial"/>
                <w:sz w:val="18"/>
              </w:rPr>
              <w:t>112</w:t>
            </w:r>
          </w:p>
        </w:tc>
        <w:tc>
          <w:tcPr>
            <w:tcW w:w="1277" w:type="dxa"/>
            <w:vAlign w:val="center"/>
          </w:tcPr>
          <w:p w:rsidR="00F43EF7" w:rsidRDefault="00F43EF7">
            <w:pPr>
              <w:keepLines/>
              <w:tabs>
                <w:tab w:val="left" w:pos="480"/>
              </w:tabs>
              <w:jc w:val="center"/>
              <w:rPr>
                <w:rFonts w:ascii="Arial" w:hAnsi="Arial" w:cs="Arial"/>
                <w:sz w:val="18"/>
              </w:rPr>
            </w:pPr>
            <w:r>
              <w:rPr>
                <w:rFonts w:ascii="Arial" w:hAnsi="Arial" w:cs="Arial"/>
                <w:sz w:val="18"/>
              </w:rPr>
              <w:t>1</w:t>
            </w:r>
            <w:r w:rsidR="00B02543">
              <w:rPr>
                <w:rFonts w:ascii="Arial" w:hAnsi="Arial" w:cs="Arial"/>
                <w:sz w:val="18"/>
              </w:rPr>
              <w:t xml:space="preserve"> </w:t>
            </w:r>
          </w:p>
        </w:tc>
        <w:tc>
          <w:tcPr>
            <w:tcW w:w="1260" w:type="dxa"/>
            <w:vAlign w:val="center"/>
          </w:tcPr>
          <w:p w:rsidR="00F43EF7" w:rsidRDefault="00DD5F4E" w:rsidP="00975A4D">
            <w:pPr>
              <w:keepLines/>
              <w:tabs>
                <w:tab w:val="left" w:pos="480"/>
              </w:tabs>
              <w:ind w:right="332"/>
              <w:jc w:val="right"/>
              <w:rPr>
                <w:rFonts w:ascii="Arial" w:hAnsi="Arial" w:cs="Arial"/>
                <w:sz w:val="18"/>
              </w:rPr>
            </w:pPr>
            <w:r>
              <w:rPr>
                <w:rFonts w:ascii="Arial" w:hAnsi="Arial" w:cs="Arial"/>
                <w:sz w:val="18"/>
              </w:rPr>
              <w:t>1</w:t>
            </w:r>
            <w:r w:rsidR="00DA55F2">
              <w:rPr>
                <w:rFonts w:ascii="Arial" w:hAnsi="Arial" w:cs="Arial"/>
                <w:sz w:val="18"/>
              </w:rPr>
              <w:t>12</w:t>
            </w:r>
          </w:p>
        </w:tc>
        <w:tc>
          <w:tcPr>
            <w:tcW w:w="1170" w:type="dxa"/>
            <w:vAlign w:val="center"/>
          </w:tcPr>
          <w:p w:rsidR="00F43EF7" w:rsidRDefault="00A70117">
            <w:pPr>
              <w:keepLines/>
              <w:ind w:right="129"/>
              <w:jc w:val="right"/>
              <w:rPr>
                <w:rFonts w:ascii="Arial" w:hAnsi="Arial" w:cs="Arial"/>
                <w:sz w:val="18"/>
              </w:rPr>
            </w:pPr>
            <w:r>
              <w:rPr>
                <w:rFonts w:ascii="Arial" w:hAnsi="Arial" w:cs="Arial"/>
                <w:sz w:val="18"/>
              </w:rPr>
              <w:t>4</w:t>
            </w:r>
          </w:p>
        </w:tc>
        <w:tc>
          <w:tcPr>
            <w:tcW w:w="1063" w:type="dxa"/>
            <w:vAlign w:val="center"/>
          </w:tcPr>
          <w:p w:rsidR="00F43EF7" w:rsidRDefault="00A70117" w:rsidP="00975A4D">
            <w:pPr>
              <w:keepLines/>
              <w:tabs>
                <w:tab w:val="left" w:pos="480"/>
              </w:tabs>
              <w:ind w:right="111"/>
              <w:jc w:val="right"/>
              <w:rPr>
                <w:rFonts w:ascii="Arial" w:hAnsi="Arial" w:cs="Arial"/>
                <w:sz w:val="18"/>
              </w:rPr>
            </w:pPr>
            <w:r>
              <w:rPr>
                <w:rFonts w:ascii="Arial" w:hAnsi="Arial" w:cs="Arial"/>
                <w:sz w:val="18"/>
              </w:rPr>
              <w:t>448</w:t>
            </w:r>
            <w:r w:rsidR="00DD6C48">
              <w:rPr>
                <w:rFonts w:ascii="Arial" w:hAnsi="Arial" w:cs="Arial"/>
                <w:sz w:val="18"/>
              </w:rPr>
              <w:t>.00</w:t>
            </w:r>
          </w:p>
        </w:tc>
        <w:tc>
          <w:tcPr>
            <w:tcW w:w="922" w:type="dxa"/>
            <w:vAlign w:val="center"/>
          </w:tcPr>
          <w:p w:rsidR="00F43EF7" w:rsidRDefault="00975A4D" w:rsidP="00DF4F8F">
            <w:pPr>
              <w:jc w:val="center"/>
            </w:pPr>
            <w:r>
              <w:rPr>
                <w:rFonts w:ascii="Arial" w:hAnsi="Arial" w:cs="Arial"/>
                <w:sz w:val="18"/>
              </w:rPr>
              <w:t>$27.</w:t>
            </w:r>
            <w:r w:rsidR="00DA55F2">
              <w:rPr>
                <w:rFonts w:ascii="Arial" w:hAnsi="Arial" w:cs="Arial"/>
                <w:sz w:val="18"/>
              </w:rPr>
              <w:t>83</w:t>
            </w:r>
          </w:p>
        </w:tc>
        <w:tc>
          <w:tcPr>
            <w:tcW w:w="1418" w:type="dxa"/>
            <w:vAlign w:val="center"/>
          </w:tcPr>
          <w:p w:rsidR="00F43EF7" w:rsidRDefault="00A70117" w:rsidP="00DE6EFB">
            <w:pPr>
              <w:keepLines/>
              <w:ind w:right="175"/>
              <w:jc w:val="center"/>
              <w:rPr>
                <w:rFonts w:ascii="Arial" w:hAnsi="Arial" w:cs="Arial"/>
                <w:sz w:val="18"/>
              </w:rPr>
            </w:pPr>
            <w:r>
              <w:rPr>
                <w:rFonts w:ascii="Arial" w:hAnsi="Arial" w:cs="Arial"/>
                <w:sz w:val="18"/>
              </w:rPr>
              <w:t>12</w:t>
            </w:r>
            <w:r w:rsidR="00DD6C48">
              <w:rPr>
                <w:rFonts w:ascii="Arial" w:hAnsi="Arial" w:cs="Arial"/>
                <w:sz w:val="18"/>
              </w:rPr>
              <w:t>,</w:t>
            </w:r>
            <w:r>
              <w:rPr>
                <w:rFonts w:ascii="Arial" w:hAnsi="Arial" w:cs="Arial"/>
                <w:sz w:val="18"/>
              </w:rPr>
              <w:t>468</w:t>
            </w:r>
            <w:r w:rsidR="00DD6C48">
              <w:rPr>
                <w:rFonts w:ascii="Arial" w:hAnsi="Arial" w:cs="Arial"/>
                <w:sz w:val="18"/>
              </w:rPr>
              <w:t>.84</w:t>
            </w:r>
          </w:p>
        </w:tc>
      </w:tr>
      <w:tr w:rsidR="00F43EF7" w:rsidTr="00DD6C48">
        <w:tblPrEx>
          <w:tblCellMar>
            <w:top w:w="0" w:type="dxa"/>
            <w:bottom w:w="0" w:type="dxa"/>
          </w:tblCellMar>
        </w:tblPrEx>
        <w:tc>
          <w:tcPr>
            <w:tcW w:w="2340" w:type="dxa"/>
          </w:tcPr>
          <w:p w:rsidR="00F43EF7" w:rsidRDefault="00F43EF7">
            <w:pPr>
              <w:keepLines/>
              <w:tabs>
                <w:tab w:val="left" w:pos="480"/>
              </w:tabs>
              <w:rPr>
                <w:rFonts w:ascii="Arial" w:hAnsi="Arial" w:cs="Arial"/>
                <w:color w:val="000000"/>
                <w:sz w:val="18"/>
              </w:rPr>
            </w:pPr>
            <w:r>
              <w:rPr>
                <w:rFonts w:ascii="Arial" w:hAnsi="Arial" w:cs="Arial"/>
                <w:color w:val="000000"/>
                <w:sz w:val="18"/>
              </w:rPr>
              <w:t>Agency Recertification</w:t>
            </w:r>
          </w:p>
        </w:tc>
        <w:tc>
          <w:tcPr>
            <w:tcW w:w="1350" w:type="dxa"/>
            <w:vAlign w:val="center"/>
          </w:tcPr>
          <w:p w:rsidR="00F43EF7" w:rsidRDefault="00DA55F2">
            <w:pPr>
              <w:keepLines/>
              <w:tabs>
                <w:tab w:val="left" w:pos="480"/>
              </w:tabs>
              <w:ind w:right="264"/>
              <w:jc w:val="right"/>
              <w:rPr>
                <w:rFonts w:ascii="Arial" w:hAnsi="Arial" w:cs="Arial"/>
                <w:sz w:val="18"/>
              </w:rPr>
            </w:pPr>
            <w:r>
              <w:rPr>
                <w:rFonts w:ascii="Arial" w:hAnsi="Arial" w:cs="Arial"/>
                <w:sz w:val="18"/>
              </w:rPr>
              <w:t>112</w:t>
            </w:r>
          </w:p>
        </w:tc>
        <w:tc>
          <w:tcPr>
            <w:tcW w:w="1277" w:type="dxa"/>
            <w:vAlign w:val="center"/>
          </w:tcPr>
          <w:p w:rsidR="00F43EF7" w:rsidRDefault="00F43EF7">
            <w:pPr>
              <w:keepLines/>
              <w:tabs>
                <w:tab w:val="left" w:pos="480"/>
              </w:tabs>
              <w:jc w:val="center"/>
              <w:rPr>
                <w:rFonts w:ascii="Arial" w:hAnsi="Arial" w:cs="Arial"/>
                <w:sz w:val="18"/>
              </w:rPr>
            </w:pPr>
            <w:r>
              <w:rPr>
                <w:rFonts w:ascii="Arial" w:hAnsi="Arial" w:cs="Arial"/>
                <w:sz w:val="18"/>
              </w:rPr>
              <w:t>1</w:t>
            </w:r>
          </w:p>
        </w:tc>
        <w:tc>
          <w:tcPr>
            <w:tcW w:w="1260" w:type="dxa"/>
            <w:vAlign w:val="center"/>
          </w:tcPr>
          <w:p w:rsidR="00F43EF7" w:rsidRDefault="00DD5F4E" w:rsidP="00975A4D">
            <w:pPr>
              <w:keepLines/>
              <w:tabs>
                <w:tab w:val="left" w:pos="480"/>
              </w:tabs>
              <w:ind w:right="332"/>
              <w:jc w:val="right"/>
              <w:rPr>
                <w:rFonts w:ascii="Arial" w:hAnsi="Arial" w:cs="Arial"/>
                <w:sz w:val="18"/>
              </w:rPr>
            </w:pPr>
            <w:r>
              <w:rPr>
                <w:rFonts w:ascii="Arial" w:hAnsi="Arial" w:cs="Arial"/>
                <w:sz w:val="18"/>
              </w:rPr>
              <w:t>1</w:t>
            </w:r>
            <w:r w:rsidR="00DA55F2">
              <w:rPr>
                <w:rFonts w:ascii="Arial" w:hAnsi="Arial" w:cs="Arial"/>
                <w:sz w:val="18"/>
              </w:rPr>
              <w:t>12</w:t>
            </w:r>
          </w:p>
        </w:tc>
        <w:tc>
          <w:tcPr>
            <w:tcW w:w="1170" w:type="dxa"/>
            <w:vAlign w:val="center"/>
          </w:tcPr>
          <w:p w:rsidR="00F43EF7" w:rsidRDefault="00A70117">
            <w:pPr>
              <w:keepLines/>
              <w:ind w:right="129"/>
              <w:jc w:val="right"/>
              <w:rPr>
                <w:rFonts w:ascii="Arial" w:hAnsi="Arial" w:cs="Arial"/>
                <w:sz w:val="18"/>
              </w:rPr>
            </w:pPr>
            <w:r>
              <w:rPr>
                <w:rFonts w:ascii="Arial" w:hAnsi="Arial" w:cs="Arial"/>
                <w:sz w:val="18"/>
              </w:rPr>
              <w:t>30</w:t>
            </w:r>
          </w:p>
        </w:tc>
        <w:tc>
          <w:tcPr>
            <w:tcW w:w="1063" w:type="dxa"/>
            <w:vAlign w:val="center"/>
          </w:tcPr>
          <w:p w:rsidR="00F43EF7" w:rsidRDefault="00A70117" w:rsidP="00975A4D">
            <w:pPr>
              <w:keepLines/>
              <w:tabs>
                <w:tab w:val="left" w:pos="480"/>
              </w:tabs>
              <w:ind w:right="111"/>
              <w:jc w:val="right"/>
              <w:rPr>
                <w:rFonts w:ascii="Arial" w:hAnsi="Arial" w:cs="Arial"/>
                <w:sz w:val="18"/>
              </w:rPr>
            </w:pPr>
            <w:r>
              <w:rPr>
                <w:rFonts w:ascii="Arial" w:hAnsi="Arial" w:cs="Arial"/>
                <w:sz w:val="18"/>
              </w:rPr>
              <w:t>3</w:t>
            </w:r>
            <w:r w:rsidR="00DD6C48">
              <w:rPr>
                <w:rFonts w:ascii="Arial" w:hAnsi="Arial" w:cs="Arial"/>
                <w:sz w:val="18"/>
              </w:rPr>
              <w:t>,</w:t>
            </w:r>
            <w:r>
              <w:rPr>
                <w:rFonts w:ascii="Arial" w:hAnsi="Arial" w:cs="Arial"/>
                <w:sz w:val="18"/>
              </w:rPr>
              <w:t>360</w:t>
            </w:r>
            <w:r w:rsidR="00DD6C48">
              <w:rPr>
                <w:rFonts w:ascii="Arial" w:hAnsi="Arial" w:cs="Arial"/>
                <w:sz w:val="18"/>
              </w:rPr>
              <w:t>.00</w:t>
            </w:r>
          </w:p>
        </w:tc>
        <w:tc>
          <w:tcPr>
            <w:tcW w:w="922" w:type="dxa"/>
            <w:vAlign w:val="center"/>
          </w:tcPr>
          <w:p w:rsidR="00F43EF7" w:rsidRDefault="00975A4D" w:rsidP="00DF4F8F">
            <w:pPr>
              <w:jc w:val="center"/>
            </w:pPr>
            <w:r>
              <w:rPr>
                <w:rFonts w:ascii="Arial" w:hAnsi="Arial" w:cs="Arial"/>
                <w:sz w:val="18"/>
              </w:rPr>
              <w:t>$27.</w:t>
            </w:r>
            <w:r w:rsidR="00DA55F2">
              <w:rPr>
                <w:rFonts w:ascii="Arial" w:hAnsi="Arial" w:cs="Arial"/>
                <w:sz w:val="18"/>
              </w:rPr>
              <w:t>83</w:t>
            </w:r>
          </w:p>
        </w:tc>
        <w:tc>
          <w:tcPr>
            <w:tcW w:w="1418" w:type="dxa"/>
            <w:vAlign w:val="center"/>
          </w:tcPr>
          <w:p w:rsidR="00F43EF7" w:rsidRDefault="00A70117" w:rsidP="00DD6C48">
            <w:pPr>
              <w:keepLines/>
              <w:ind w:right="175"/>
              <w:jc w:val="center"/>
              <w:rPr>
                <w:rFonts w:ascii="Arial" w:hAnsi="Arial" w:cs="Arial"/>
                <w:sz w:val="18"/>
              </w:rPr>
            </w:pPr>
            <w:r>
              <w:rPr>
                <w:rFonts w:ascii="Arial" w:hAnsi="Arial" w:cs="Arial"/>
                <w:sz w:val="18"/>
              </w:rPr>
              <w:t>93</w:t>
            </w:r>
            <w:r w:rsidR="00DD6C48">
              <w:rPr>
                <w:rFonts w:ascii="Arial" w:hAnsi="Arial" w:cs="Arial"/>
                <w:sz w:val="18"/>
              </w:rPr>
              <w:t>,</w:t>
            </w:r>
            <w:r>
              <w:rPr>
                <w:rFonts w:ascii="Arial" w:hAnsi="Arial" w:cs="Arial"/>
                <w:sz w:val="18"/>
              </w:rPr>
              <w:t>50</w:t>
            </w:r>
            <w:r w:rsidR="00DD6C48">
              <w:rPr>
                <w:rFonts w:ascii="Arial" w:hAnsi="Arial" w:cs="Arial"/>
                <w:sz w:val="18"/>
              </w:rPr>
              <w:t>8.80</w:t>
            </w:r>
          </w:p>
        </w:tc>
      </w:tr>
      <w:tr w:rsidR="00F43EF7" w:rsidTr="00DD6C48">
        <w:tblPrEx>
          <w:tblCellMar>
            <w:top w:w="0" w:type="dxa"/>
            <w:bottom w:w="0" w:type="dxa"/>
          </w:tblCellMar>
        </w:tblPrEx>
        <w:tc>
          <w:tcPr>
            <w:tcW w:w="2340" w:type="dxa"/>
            <w:tcBorders>
              <w:bottom w:val="single" w:sz="4" w:space="0" w:color="auto"/>
            </w:tcBorders>
          </w:tcPr>
          <w:p w:rsidR="00F43EF7" w:rsidRDefault="00F43EF7">
            <w:pPr>
              <w:pStyle w:val="Heading2"/>
              <w:spacing w:after="0"/>
              <w:rPr>
                <w:rFonts w:ascii="Arial" w:hAnsi="Arial" w:cs="Arial"/>
                <w:b w:val="0"/>
                <w:bCs w:val="0"/>
                <w:sz w:val="18"/>
              </w:rPr>
            </w:pPr>
            <w:r>
              <w:rPr>
                <w:rFonts w:ascii="Arial" w:hAnsi="Arial" w:cs="Arial"/>
                <w:b w:val="0"/>
                <w:bCs w:val="0"/>
                <w:sz w:val="18"/>
              </w:rPr>
              <w:t>Credit Evaluation of Nonprofit</w:t>
            </w:r>
          </w:p>
        </w:tc>
        <w:tc>
          <w:tcPr>
            <w:tcW w:w="1350" w:type="dxa"/>
            <w:tcBorders>
              <w:bottom w:val="single" w:sz="4" w:space="0" w:color="auto"/>
            </w:tcBorders>
            <w:vAlign w:val="center"/>
          </w:tcPr>
          <w:p w:rsidR="00F43EF7" w:rsidRDefault="00DD5F4E">
            <w:pPr>
              <w:keepLines/>
              <w:tabs>
                <w:tab w:val="left" w:pos="480"/>
              </w:tabs>
              <w:ind w:right="264"/>
              <w:jc w:val="right"/>
              <w:rPr>
                <w:rFonts w:ascii="Arial" w:hAnsi="Arial" w:cs="Arial"/>
                <w:sz w:val="18"/>
              </w:rPr>
            </w:pPr>
            <w:r>
              <w:rPr>
                <w:rFonts w:ascii="Arial" w:hAnsi="Arial" w:cs="Arial"/>
                <w:sz w:val="18"/>
              </w:rPr>
              <w:t>1</w:t>
            </w:r>
            <w:r w:rsidR="00DA55F2">
              <w:rPr>
                <w:rFonts w:ascii="Arial" w:hAnsi="Arial" w:cs="Arial"/>
                <w:sz w:val="18"/>
              </w:rPr>
              <w:t>12</w:t>
            </w:r>
          </w:p>
        </w:tc>
        <w:tc>
          <w:tcPr>
            <w:tcW w:w="1277" w:type="dxa"/>
            <w:tcBorders>
              <w:bottom w:val="single" w:sz="4" w:space="0" w:color="auto"/>
            </w:tcBorders>
            <w:vAlign w:val="center"/>
          </w:tcPr>
          <w:p w:rsidR="00F43EF7" w:rsidRDefault="00F43EF7">
            <w:pPr>
              <w:keepLines/>
              <w:tabs>
                <w:tab w:val="left" w:pos="480"/>
              </w:tabs>
              <w:jc w:val="center"/>
              <w:rPr>
                <w:rFonts w:ascii="Arial" w:hAnsi="Arial" w:cs="Arial"/>
                <w:sz w:val="18"/>
              </w:rPr>
            </w:pPr>
            <w:r>
              <w:rPr>
                <w:rFonts w:ascii="Arial" w:hAnsi="Arial" w:cs="Arial"/>
                <w:sz w:val="18"/>
              </w:rPr>
              <w:t>4</w:t>
            </w:r>
          </w:p>
        </w:tc>
        <w:tc>
          <w:tcPr>
            <w:tcW w:w="1260" w:type="dxa"/>
            <w:tcBorders>
              <w:bottom w:val="single" w:sz="4" w:space="0" w:color="auto"/>
            </w:tcBorders>
            <w:vAlign w:val="center"/>
          </w:tcPr>
          <w:p w:rsidR="00F43EF7" w:rsidRDefault="00DA55F2" w:rsidP="00975A4D">
            <w:pPr>
              <w:keepLines/>
              <w:tabs>
                <w:tab w:val="left" w:pos="480"/>
              </w:tabs>
              <w:ind w:right="332"/>
              <w:jc w:val="right"/>
              <w:rPr>
                <w:rFonts w:ascii="Arial" w:hAnsi="Arial" w:cs="Arial"/>
                <w:sz w:val="18"/>
              </w:rPr>
            </w:pPr>
            <w:r>
              <w:rPr>
                <w:rFonts w:ascii="Arial" w:hAnsi="Arial" w:cs="Arial"/>
                <w:sz w:val="18"/>
              </w:rPr>
              <w:t>448</w:t>
            </w:r>
          </w:p>
        </w:tc>
        <w:tc>
          <w:tcPr>
            <w:tcW w:w="1170" w:type="dxa"/>
            <w:tcBorders>
              <w:bottom w:val="single" w:sz="4" w:space="0" w:color="auto"/>
            </w:tcBorders>
            <w:vAlign w:val="center"/>
          </w:tcPr>
          <w:p w:rsidR="00F43EF7" w:rsidRDefault="00F43EF7">
            <w:pPr>
              <w:keepLines/>
              <w:ind w:right="129"/>
              <w:jc w:val="right"/>
              <w:rPr>
                <w:rFonts w:ascii="Arial" w:hAnsi="Arial" w:cs="Arial"/>
                <w:sz w:val="18"/>
              </w:rPr>
            </w:pPr>
            <w:r>
              <w:rPr>
                <w:rFonts w:ascii="Arial" w:hAnsi="Arial" w:cs="Arial"/>
                <w:sz w:val="18"/>
              </w:rPr>
              <w:t>3</w:t>
            </w:r>
          </w:p>
        </w:tc>
        <w:tc>
          <w:tcPr>
            <w:tcW w:w="1063" w:type="dxa"/>
            <w:tcBorders>
              <w:bottom w:val="single" w:sz="4" w:space="0" w:color="auto"/>
            </w:tcBorders>
            <w:vAlign w:val="center"/>
          </w:tcPr>
          <w:p w:rsidR="00F43EF7" w:rsidRDefault="00975A4D" w:rsidP="00975A4D">
            <w:pPr>
              <w:keepLines/>
              <w:tabs>
                <w:tab w:val="left" w:pos="480"/>
              </w:tabs>
              <w:ind w:right="111"/>
              <w:jc w:val="right"/>
              <w:rPr>
                <w:rFonts w:ascii="Arial" w:hAnsi="Arial" w:cs="Arial"/>
                <w:sz w:val="18"/>
              </w:rPr>
            </w:pPr>
            <w:r>
              <w:rPr>
                <w:rFonts w:ascii="Arial" w:hAnsi="Arial" w:cs="Arial"/>
                <w:sz w:val="18"/>
              </w:rPr>
              <w:t>1,</w:t>
            </w:r>
            <w:r w:rsidR="00376134">
              <w:rPr>
                <w:rFonts w:ascii="Arial" w:hAnsi="Arial" w:cs="Arial"/>
                <w:sz w:val="18"/>
              </w:rPr>
              <w:t>344</w:t>
            </w:r>
            <w:r w:rsidR="00DD6C48">
              <w:rPr>
                <w:rFonts w:ascii="Arial" w:hAnsi="Arial" w:cs="Arial"/>
                <w:sz w:val="18"/>
              </w:rPr>
              <w:t>.00</w:t>
            </w:r>
          </w:p>
        </w:tc>
        <w:tc>
          <w:tcPr>
            <w:tcW w:w="922" w:type="dxa"/>
            <w:tcBorders>
              <w:bottom w:val="single" w:sz="4" w:space="0" w:color="auto"/>
            </w:tcBorders>
            <w:vAlign w:val="center"/>
          </w:tcPr>
          <w:p w:rsidR="00F43EF7" w:rsidRDefault="00975A4D" w:rsidP="00DF4F8F">
            <w:pPr>
              <w:jc w:val="center"/>
            </w:pPr>
            <w:r>
              <w:rPr>
                <w:rFonts w:ascii="Arial" w:hAnsi="Arial" w:cs="Arial"/>
                <w:sz w:val="18"/>
              </w:rPr>
              <w:t>$27.</w:t>
            </w:r>
            <w:r w:rsidR="00DA55F2">
              <w:rPr>
                <w:rFonts w:ascii="Arial" w:hAnsi="Arial" w:cs="Arial"/>
                <w:sz w:val="18"/>
              </w:rPr>
              <w:t>83</w:t>
            </w:r>
          </w:p>
        </w:tc>
        <w:tc>
          <w:tcPr>
            <w:tcW w:w="1418" w:type="dxa"/>
            <w:tcBorders>
              <w:bottom w:val="single" w:sz="4" w:space="0" w:color="auto"/>
            </w:tcBorders>
            <w:vAlign w:val="center"/>
          </w:tcPr>
          <w:p w:rsidR="00F43EF7" w:rsidRDefault="00A70117" w:rsidP="00DD6C48">
            <w:pPr>
              <w:keepLines/>
              <w:ind w:right="175"/>
              <w:jc w:val="center"/>
              <w:rPr>
                <w:rFonts w:ascii="Arial" w:hAnsi="Arial" w:cs="Arial"/>
                <w:sz w:val="18"/>
              </w:rPr>
            </w:pPr>
            <w:r>
              <w:rPr>
                <w:rFonts w:ascii="Arial" w:hAnsi="Arial" w:cs="Arial"/>
                <w:sz w:val="18"/>
              </w:rPr>
              <w:t>37</w:t>
            </w:r>
            <w:r w:rsidR="00DD6C48">
              <w:rPr>
                <w:rFonts w:ascii="Arial" w:hAnsi="Arial" w:cs="Arial"/>
                <w:sz w:val="18"/>
              </w:rPr>
              <w:t>,</w:t>
            </w:r>
            <w:r>
              <w:rPr>
                <w:rFonts w:ascii="Arial" w:hAnsi="Arial" w:cs="Arial"/>
                <w:sz w:val="18"/>
              </w:rPr>
              <w:t>40</w:t>
            </w:r>
            <w:r w:rsidR="00DD6C48">
              <w:rPr>
                <w:rFonts w:ascii="Arial" w:hAnsi="Arial" w:cs="Arial"/>
                <w:sz w:val="18"/>
              </w:rPr>
              <w:t>3.52</w:t>
            </w:r>
          </w:p>
        </w:tc>
      </w:tr>
      <w:tr w:rsidR="00F43EF7" w:rsidTr="00DD6C48">
        <w:tblPrEx>
          <w:tblCellMar>
            <w:top w:w="0" w:type="dxa"/>
            <w:bottom w:w="0" w:type="dxa"/>
          </w:tblCellMar>
        </w:tblPrEx>
        <w:tc>
          <w:tcPr>
            <w:tcW w:w="2340" w:type="dxa"/>
            <w:tcBorders>
              <w:bottom w:val="single" w:sz="4" w:space="0" w:color="auto"/>
            </w:tcBorders>
          </w:tcPr>
          <w:p w:rsidR="00F43EF7" w:rsidRDefault="00F43EF7">
            <w:pPr>
              <w:pStyle w:val="Heading2"/>
              <w:spacing w:after="0"/>
              <w:rPr>
                <w:rFonts w:ascii="Arial" w:hAnsi="Arial" w:cs="Arial"/>
                <w:sz w:val="18"/>
              </w:rPr>
            </w:pPr>
            <w:r>
              <w:rPr>
                <w:rFonts w:ascii="Arial" w:hAnsi="Arial" w:cs="Arial"/>
                <w:sz w:val="18"/>
              </w:rPr>
              <w:t xml:space="preserve">Totals </w:t>
            </w:r>
          </w:p>
        </w:tc>
        <w:tc>
          <w:tcPr>
            <w:tcW w:w="1350" w:type="dxa"/>
            <w:tcBorders>
              <w:bottom w:val="single" w:sz="4" w:space="0" w:color="auto"/>
            </w:tcBorders>
            <w:vAlign w:val="center"/>
          </w:tcPr>
          <w:p w:rsidR="00F43EF7" w:rsidRDefault="005900E7">
            <w:pPr>
              <w:keepLines/>
              <w:tabs>
                <w:tab w:val="left" w:pos="480"/>
              </w:tabs>
              <w:ind w:right="264"/>
              <w:jc w:val="right"/>
              <w:rPr>
                <w:rFonts w:ascii="Arial" w:hAnsi="Arial" w:cs="Arial"/>
                <w:b/>
                <w:bCs/>
                <w:sz w:val="18"/>
              </w:rPr>
            </w:pPr>
            <w:r>
              <w:rPr>
                <w:rFonts w:ascii="Arial" w:hAnsi="Arial" w:cs="Arial"/>
                <w:b/>
                <w:bCs/>
                <w:sz w:val="18"/>
              </w:rPr>
              <w:t>395</w:t>
            </w:r>
          </w:p>
        </w:tc>
        <w:tc>
          <w:tcPr>
            <w:tcW w:w="1277" w:type="dxa"/>
            <w:tcBorders>
              <w:bottom w:val="single" w:sz="4" w:space="0" w:color="auto"/>
            </w:tcBorders>
            <w:vAlign w:val="center"/>
          </w:tcPr>
          <w:p w:rsidR="00F43EF7" w:rsidRDefault="00F43EF7">
            <w:pPr>
              <w:keepLines/>
              <w:tabs>
                <w:tab w:val="left" w:pos="480"/>
              </w:tabs>
              <w:jc w:val="center"/>
              <w:rPr>
                <w:rFonts w:ascii="Arial" w:hAnsi="Arial" w:cs="Arial"/>
                <w:b/>
                <w:bCs/>
                <w:sz w:val="18"/>
              </w:rPr>
            </w:pPr>
          </w:p>
        </w:tc>
        <w:tc>
          <w:tcPr>
            <w:tcW w:w="1260" w:type="dxa"/>
            <w:tcBorders>
              <w:bottom w:val="single" w:sz="4" w:space="0" w:color="auto"/>
            </w:tcBorders>
            <w:vAlign w:val="center"/>
          </w:tcPr>
          <w:p w:rsidR="00F43EF7" w:rsidRDefault="00A70117" w:rsidP="00975A4D">
            <w:pPr>
              <w:keepLines/>
              <w:tabs>
                <w:tab w:val="left" w:pos="480"/>
              </w:tabs>
              <w:ind w:right="332"/>
              <w:jc w:val="right"/>
              <w:rPr>
                <w:rFonts w:ascii="Arial" w:hAnsi="Arial" w:cs="Arial"/>
                <w:b/>
                <w:bCs/>
                <w:sz w:val="18"/>
              </w:rPr>
            </w:pPr>
            <w:r>
              <w:rPr>
                <w:rFonts w:ascii="Arial" w:hAnsi="Arial" w:cs="Arial"/>
                <w:b/>
                <w:bCs/>
                <w:sz w:val="18"/>
              </w:rPr>
              <w:t>731</w:t>
            </w:r>
          </w:p>
        </w:tc>
        <w:tc>
          <w:tcPr>
            <w:tcW w:w="1170" w:type="dxa"/>
            <w:tcBorders>
              <w:bottom w:val="single" w:sz="4" w:space="0" w:color="auto"/>
            </w:tcBorders>
            <w:vAlign w:val="center"/>
          </w:tcPr>
          <w:p w:rsidR="00F43EF7" w:rsidRDefault="00F43EF7">
            <w:pPr>
              <w:keepLines/>
              <w:ind w:right="129"/>
              <w:jc w:val="right"/>
              <w:rPr>
                <w:rFonts w:ascii="Arial" w:hAnsi="Arial" w:cs="Arial"/>
                <w:b/>
                <w:bCs/>
                <w:sz w:val="18"/>
              </w:rPr>
            </w:pPr>
          </w:p>
        </w:tc>
        <w:tc>
          <w:tcPr>
            <w:tcW w:w="1063" w:type="dxa"/>
            <w:tcBorders>
              <w:bottom w:val="single" w:sz="4" w:space="0" w:color="auto"/>
            </w:tcBorders>
            <w:vAlign w:val="center"/>
          </w:tcPr>
          <w:p w:rsidR="00F43EF7" w:rsidRDefault="00A70117" w:rsidP="00975A4D">
            <w:pPr>
              <w:keepLines/>
              <w:tabs>
                <w:tab w:val="left" w:pos="480"/>
              </w:tabs>
              <w:ind w:right="111"/>
              <w:jc w:val="right"/>
              <w:rPr>
                <w:rFonts w:ascii="Arial" w:hAnsi="Arial" w:cs="Arial"/>
                <w:b/>
                <w:bCs/>
                <w:sz w:val="18"/>
              </w:rPr>
            </w:pPr>
            <w:r>
              <w:rPr>
                <w:rFonts w:ascii="Arial" w:hAnsi="Arial" w:cs="Arial"/>
                <w:b/>
                <w:bCs/>
                <w:sz w:val="18"/>
              </w:rPr>
              <w:t>8692</w:t>
            </w:r>
            <w:r w:rsidR="00DD6C48">
              <w:rPr>
                <w:rFonts w:ascii="Arial" w:hAnsi="Arial" w:cs="Arial"/>
                <w:b/>
                <w:bCs/>
                <w:sz w:val="18"/>
              </w:rPr>
              <w:t>.00</w:t>
            </w:r>
          </w:p>
        </w:tc>
        <w:tc>
          <w:tcPr>
            <w:tcW w:w="922" w:type="dxa"/>
            <w:tcBorders>
              <w:bottom w:val="single" w:sz="4" w:space="0" w:color="auto"/>
            </w:tcBorders>
          </w:tcPr>
          <w:p w:rsidR="00F43EF7" w:rsidRDefault="00F43EF7" w:rsidP="00DF4F8F">
            <w:pPr>
              <w:keepLines/>
              <w:tabs>
                <w:tab w:val="left" w:pos="480"/>
              </w:tabs>
              <w:jc w:val="center"/>
              <w:rPr>
                <w:rFonts w:ascii="Arial" w:hAnsi="Arial" w:cs="Arial"/>
                <w:b/>
                <w:bCs/>
                <w:sz w:val="18"/>
              </w:rPr>
            </w:pPr>
          </w:p>
        </w:tc>
        <w:tc>
          <w:tcPr>
            <w:tcW w:w="1418" w:type="dxa"/>
            <w:tcBorders>
              <w:bottom w:val="single" w:sz="4" w:space="0" w:color="auto"/>
            </w:tcBorders>
            <w:vAlign w:val="center"/>
          </w:tcPr>
          <w:p w:rsidR="00F43EF7" w:rsidRDefault="00B616ED">
            <w:pPr>
              <w:keepLines/>
              <w:ind w:right="175"/>
              <w:jc w:val="right"/>
              <w:rPr>
                <w:rFonts w:ascii="Arial" w:hAnsi="Arial" w:cs="Arial"/>
                <w:b/>
                <w:bCs/>
                <w:sz w:val="18"/>
              </w:rPr>
            </w:pPr>
            <w:r>
              <w:rPr>
                <w:rFonts w:ascii="Arial" w:hAnsi="Arial" w:cs="Arial"/>
                <w:b/>
                <w:bCs/>
                <w:sz w:val="18"/>
              </w:rPr>
              <w:t>$</w:t>
            </w:r>
            <w:r w:rsidR="00767964">
              <w:rPr>
                <w:rFonts w:ascii="Arial" w:hAnsi="Arial" w:cs="Arial"/>
                <w:b/>
                <w:bCs/>
                <w:sz w:val="18"/>
              </w:rPr>
              <w:t>241899</w:t>
            </w:r>
            <w:r w:rsidR="00DD6C48">
              <w:rPr>
                <w:rFonts w:ascii="Arial" w:hAnsi="Arial" w:cs="Arial"/>
                <w:b/>
                <w:bCs/>
                <w:sz w:val="18"/>
              </w:rPr>
              <w:t>.36</w:t>
            </w:r>
          </w:p>
        </w:tc>
      </w:tr>
    </w:tbl>
    <w:p w:rsidR="00F43EF7" w:rsidRDefault="00F43EF7">
      <w:pPr>
        <w:keepLines/>
        <w:tabs>
          <w:tab w:val="left" w:pos="480"/>
        </w:tabs>
        <w:spacing w:after="80"/>
        <w:rPr>
          <w:color w:val="000000"/>
        </w:rPr>
      </w:pPr>
      <w:r>
        <w:rPr>
          <w:color w:val="000000"/>
        </w:rPr>
        <w:t xml:space="preserve">    The hourly rate is based on an estimated a</w:t>
      </w:r>
      <w:r w:rsidR="006227F8">
        <w:rPr>
          <w:color w:val="000000"/>
        </w:rPr>
        <w:t xml:space="preserve">verage annual salary of </w:t>
      </w:r>
      <w:r w:rsidR="00DD5F4E">
        <w:rPr>
          <w:color w:val="000000"/>
        </w:rPr>
        <w:t>$57,</w:t>
      </w:r>
      <w:r w:rsidR="00A02455">
        <w:rPr>
          <w:color w:val="000000"/>
        </w:rPr>
        <w:t>885</w:t>
      </w:r>
      <w:r>
        <w:rPr>
          <w:color w:val="000000"/>
        </w:rPr>
        <w:t xml:space="preserve"> nonprofit personnel.</w:t>
      </w:r>
    </w:p>
    <w:p w:rsidR="00F43EF7" w:rsidRDefault="00F43EF7">
      <w:pPr>
        <w:pStyle w:val="BodyTextIndent3"/>
        <w:rPr>
          <w:color w:val="000000"/>
        </w:rPr>
      </w:pPr>
      <w:r>
        <w:t>Most of the information required under this information collection is maintained by the affected organizations in the normal course of business.  Recordkeeping is considered a normal part of the participant’s business.  The recordkeeping req</w:t>
      </w:r>
      <w:r w:rsidR="009553C1">
        <w:t xml:space="preserve">uirement </w:t>
      </w:r>
      <w:r>
        <w:t xml:space="preserve">is information HUD expects to view when its staff conducts a review, and HUD ascribes no burden to recordkeeping requirements.  </w:t>
      </w:r>
      <w:r w:rsidR="00666053">
        <w:t xml:space="preserve">Furthermore, the information collected does not come from required individual forms, but is a compilation of information generated from the nonprofits database system.  </w:t>
      </w:r>
    </w:p>
    <w:p w:rsidR="00F43EF7" w:rsidRDefault="00F43EF7">
      <w:pPr>
        <w:pStyle w:val="BodyTextIndent2"/>
        <w:spacing w:before="100" w:beforeAutospacing="1" w:after="100" w:afterAutospacing="1"/>
      </w:pPr>
      <w:r>
        <w:t>13.</w:t>
      </w:r>
      <w:r>
        <w:tab/>
        <w:t xml:space="preserve">There are no additional costs to respondents or recordkeepers.  </w:t>
      </w:r>
    </w:p>
    <w:p w:rsidR="00F43EF7" w:rsidRDefault="00F43EF7">
      <w:pPr>
        <w:keepLines/>
        <w:tabs>
          <w:tab w:val="left" w:pos="360"/>
        </w:tabs>
        <w:spacing w:before="100" w:beforeAutospacing="1" w:after="100" w:afterAutospacing="1"/>
        <w:ind w:left="360" w:hanging="360"/>
        <w:rPr>
          <w:color w:val="000000"/>
          <w:sz w:val="24"/>
        </w:rPr>
      </w:pPr>
      <w:r>
        <w:rPr>
          <w:color w:val="000000"/>
          <w:sz w:val="24"/>
        </w:rPr>
        <w:t>14.</w:t>
      </w:r>
      <w:r>
        <w:rPr>
          <w:color w:val="000000"/>
          <w:sz w:val="24"/>
        </w:rPr>
        <w:tab/>
      </w:r>
      <w:r w:rsidR="001F6382">
        <w:rPr>
          <w:color w:val="000000"/>
          <w:sz w:val="24"/>
        </w:rPr>
        <w:t>The following provides e</w:t>
      </w:r>
      <w:r>
        <w:rPr>
          <w:color w:val="000000"/>
          <w:sz w:val="24"/>
        </w:rPr>
        <w:t xml:space="preserve">stimated annualized costs to the Federal government </w:t>
      </w:r>
      <w:r>
        <w:rPr>
          <w:sz w:val="24"/>
        </w:rPr>
        <w:t xml:space="preserve">include </w:t>
      </w:r>
      <w:r>
        <w:rPr>
          <w:color w:val="000000"/>
          <w:sz w:val="24"/>
        </w:rPr>
        <w:t xml:space="preserve">staff time needed to coordinate the review and approval of applications, and to monitor housing related activities of participating nonprofit organizations.  </w:t>
      </w:r>
      <w:r w:rsidR="00227973">
        <w:rPr>
          <w:color w:val="000000"/>
          <w:sz w:val="24"/>
        </w:rPr>
        <w:t>There is no measurable burden associated with the individual paper being</w:t>
      </w:r>
      <w:r w:rsidR="0055608E">
        <w:rPr>
          <w:color w:val="000000"/>
          <w:sz w:val="24"/>
        </w:rPr>
        <w:t xml:space="preserve"> placed in the case binder along</w:t>
      </w:r>
      <w:r w:rsidR="00227973">
        <w:rPr>
          <w:color w:val="000000"/>
          <w:sz w:val="24"/>
        </w:rPr>
        <w:t xml:space="preserve"> with other required documents.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350"/>
        <w:gridCol w:w="1350"/>
        <w:gridCol w:w="1350"/>
        <w:gridCol w:w="1080"/>
        <w:gridCol w:w="2160"/>
      </w:tblGrid>
      <w:tr w:rsidR="00F43EF7">
        <w:tblPrEx>
          <w:tblCellMar>
            <w:top w:w="0" w:type="dxa"/>
            <w:bottom w:w="0" w:type="dxa"/>
          </w:tblCellMar>
        </w:tblPrEx>
        <w:tc>
          <w:tcPr>
            <w:tcW w:w="333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Description of Info. Collection</w:t>
            </w:r>
          </w:p>
        </w:tc>
        <w:tc>
          <w:tcPr>
            <w:tcW w:w="135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Total Annual Responses</w:t>
            </w:r>
          </w:p>
        </w:tc>
        <w:tc>
          <w:tcPr>
            <w:tcW w:w="135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Hours per Response</w:t>
            </w:r>
          </w:p>
        </w:tc>
        <w:tc>
          <w:tcPr>
            <w:tcW w:w="135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Total Hours</w:t>
            </w:r>
          </w:p>
        </w:tc>
        <w:tc>
          <w:tcPr>
            <w:tcW w:w="108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Hourly Rate</w:t>
            </w:r>
          </w:p>
        </w:tc>
        <w:tc>
          <w:tcPr>
            <w:tcW w:w="2160" w:type="dxa"/>
            <w:shd w:val="clear" w:color="auto" w:fill="FFFF99"/>
            <w:vAlign w:val="center"/>
          </w:tcPr>
          <w:p w:rsidR="00F43EF7" w:rsidRDefault="00F43EF7">
            <w:pPr>
              <w:keepLines/>
              <w:tabs>
                <w:tab w:val="left" w:pos="480"/>
              </w:tabs>
              <w:jc w:val="center"/>
              <w:rPr>
                <w:rFonts w:ascii="Arial" w:hAnsi="Arial" w:cs="Arial"/>
                <w:color w:val="000000"/>
                <w:sz w:val="18"/>
              </w:rPr>
            </w:pPr>
            <w:r>
              <w:rPr>
                <w:rFonts w:ascii="Arial" w:hAnsi="Arial" w:cs="Arial"/>
                <w:color w:val="000000"/>
                <w:sz w:val="18"/>
              </w:rPr>
              <w:t>Total Annual Cost</w:t>
            </w:r>
          </w:p>
        </w:tc>
      </w:tr>
      <w:tr w:rsidR="00F43EF7">
        <w:tblPrEx>
          <w:tblCellMar>
            <w:top w:w="0" w:type="dxa"/>
            <w:bottom w:w="0" w:type="dxa"/>
          </w:tblCellMar>
        </w:tblPrEx>
        <w:tc>
          <w:tcPr>
            <w:tcW w:w="3330" w:type="dxa"/>
          </w:tcPr>
          <w:p w:rsidR="00F43EF7" w:rsidRDefault="00F43EF7">
            <w:pPr>
              <w:keepLines/>
              <w:tabs>
                <w:tab w:val="left" w:pos="480"/>
              </w:tabs>
              <w:rPr>
                <w:rFonts w:ascii="Arial" w:hAnsi="Arial" w:cs="Arial"/>
                <w:color w:val="000000"/>
                <w:sz w:val="18"/>
              </w:rPr>
            </w:pPr>
            <w:r>
              <w:rPr>
                <w:rFonts w:ascii="Arial" w:hAnsi="Arial" w:cs="Arial"/>
                <w:color w:val="000000"/>
                <w:sz w:val="18"/>
              </w:rPr>
              <w:t>Application</w:t>
            </w:r>
          </w:p>
        </w:tc>
        <w:tc>
          <w:tcPr>
            <w:tcW w:w="1350" w:type="dxa"/>
            <w:vAlign w:val="center"/>
          </w:tcPr>
          <w:p w:rsidR="00F43EF7" w:rsidRDefault="00376134">
            <w:pPr>
              <w:keepLines/>
              <w:tabs>
                <w:tab w:val="left" w:pos="480"/>
              </w:tabs>
              <w:ind w:right="332"/>
              <w:jc w:val="right"/>
              <w:rPr>
                <w:rFonts w:ascii="Arial" w:hAnsi="Arial" w:cs="Arial"/>
                <w:sz w:val="18"/>
              </w:rPr>
            </w:pPr>
            <w:r>
              <w:rPr>
                <w:rFonts w:ascii="Arial" w:hAnsi="Arial" w:cs="Arial"/>
                <w:sz w:val="18"/>
              </w:rPr>
              <w:t>59</w:t>
            </w:r>
          </w:p>
        </w:tc>
        <w:tc>
          <w:tcPr>
            <w:tcW w:w="1350" w:type="dxa"/>
            <w:vAlign w:val="center"/>
          </w:tcPr>
          <w:p w:rsidR="00F43EF7" w:rsidRDefault="00F43EF7">
            <w:pPr>
              <w:keepLines/>
              <w:ind w:right="129"/>
              <w:jc w:val="right"/>
              <w:rPr>
                <w:rFonts w:ascii="Arial" w:hAnsi="Arial" w:cs="Arial"/>
                <w:sz w:val="18"/>
              </w:rPr>
            </w:pPr>
            <w:r>
              <w:rPr>
                <w:rFonts w:ascii="Arial" w:hAnsi="Arial" w:cs="Arial"/>
                <w:sz w:val="18"/>
              </w:rPr>
              <w:t>12</w:t>
            </w:r>
          </w:p>
        </w:tc>
        <w:tc>
          <w:tcPr>
            <w:tcW w:w="1350" w:type="dxa"/>
            <w:vAlign w:val="center"/>
          </w:tcPr>
          <w:p w:rsidR="00F43EF7" w:rsidRDefault="00376134">
            <w:pPr>
              <w:keepLines/>
              <w:tabs>
                <w:tab w:val="left" w:pos="480"/>
              </w:tabs>
              <w:ind w:right="111"/>
              <w:jc w:val="right"/>
              <w:rPr>
                <w:rFonts w:ascii="Arial" w:hAnsi="Arial" w:cs="Arial"/>
                <w:sz w:val="18"/>
              </w:rPr>
            </w:pPr>
            <w:r>
              <w:rPr>
                <w:rFonts w:ascii="Arial" w:hAnsi="Arial" w:cs="Arial"/>
                <w:sz w:val="18"/>
              </w:rPr>
              <w:t>708</w:t>
            </w:r>
            <w:r w:rsidR="0048490F">
              <w:rPr>
                <w:rFonts w:ascii="Arial" w:hAnsi="Arial" w:cs="Arial"/>
                <w:sz w:val="18"/>
              </w:rPr>
              <w:t>.00</w:t>
            </w:r>
          </w:p>
        </w:tc>
        <w:tc>
          <w:tcPr>
            <w:tcW w:w="1080" w:type="dxa"/>
            <w:vAlign w:val="center"/>
          </w:tcPr>
          <w:p w:rsidR="00F43EF7" w:rsidRDefault="00DE4566">
            <w:pPr>
              <w:keepLines/>
              <w:tabs>
                <w:tab w:val="left" w:pos="480"/>
              </w:tabs>
              <w:jc w:val="center"/>
              <w:rPr>
                <w:rFonts w:ascii="Arial" w:hAnsi="Arial" w:cs="Arial"/>
                <w:sz w:val="18"/>
              </w:rPr>
            </w:pPr>
            <w:r>
              <w:rPr>
                <w:rFonts w:ascii="Arial" w:hAnsi="Arial" w:cs="Arial"/>
                <w:sz w:val="18"/>
              </w:rPr>
              <w:t>$34</w:t>
            </w:r>
            <w:r w:rsidR="00782298">
              <w:rPr>
                <w:rFonts w:ascii="Arial" w:hAnsi="Arial" w:cs="Arial"/>
                <w:sz w:val="18"/>
              </w:rPr>
              <w:t>.42</w:t>
            </w:r>
          </w:p>
        </w:tc>
        <w:tc>
          <w:tcPr>
            <w:tcW w:w="2160" w:type="dxa"/>
            <w:vAlign w:val="center"/>
          </w:tcPr>
          <w:p w:rsidR="00F43EF7" w:rsidRDefault="00DE4566">
            <w:pPr>
              <w:keepLines/>
              <w:ind w:right="175"/>
              <w:jc w:val="right"/>
              <w:rPr>
                <w:rFonts w:ascii="Arial" w:hAnsi="Arial" w:cs="Arial"/>
                <w:sz w:val="18"/>
              </w:rPr>
            </w:pPr>
            <w:r>
              <w:rPr>
                <w:rFonts w:ascii="Arial" w:hAnsi="Arial" w:cs="Arial"/>
                <w:sz w:val="18"/>
              </w:rPr>
              <w:t>$2</w:t>
            </w:r>
            <w:r w:rsidR="00501D1A">
              <w:rPr>
                <w:rFonts w:ascii="Arial" w:hAnsi="Arial" w:cs="Arial"/>
                <w:sz w:val="18"/>
              </w:rPr>
              <w:t>4</w:t>
            </w:r>
            <w:r w:rsidR="0048490F">
              <w:rPr>
                <w:rFonts w:ascii="Arial" w:hAnsi="Arial" w:cs="Arial"/>
                <w:sz w:val="18"/>
              </w:rPr>
              <w:t>,</w:t>
            </w:r>
            <w:r w:rsidR="00501D1A">
              <w:rPr>
                <w:rFonts w:ascii="Arial" w:hAnsi="Arial" w:cs="Arial"/>
                <w:sz w:val="18"/>
              </w:rPr>
              <w:t>369</w:t>
            </w:r>
            <w:r w:rsidR="0048490F">
              <w:rPr>
                <w:rFonts w:ascii="Arial" w:hAnsi="Arial" w:cs="Arial"/>
                <w:sz w:val="18"/>
              </w:rPr>
              <w:t>.36</w:t>
            </w:r>
          </w:p>
        </w:tc>
      </w:tr>
      <w:tr w:rsidR="00F43EF7">
        <w:tblPrEx>
          <w:tblCellMar>
            <w:top w:w="0" w:type="dxa"/>
            <w:bottom w:w="0" w:type="dxa"/>
          </w:tblCellMar>
        </w:tblPrEx>
        <w:tc>
          <w:tcPr>
            <w:tcW w:w="3330" w:type="dxa"/>
          </w:tcPr>
          <w:p w:rsidR="00F43EF7" w:rsidRDefault="00F43EF7">
            <w:pPr>
              <w:keepLines/>
              <w:tabs>
                <w:tab w:val="left" w:pos="480"/>
              </w:tabs>
              <w:rPr>
                <w:rFonts w:ascii="Arial" w:hAnsi="Arial" w:cs="Arial"/>
                <w:color w:val="000000"/>
                <w:sz w:val="18"/>
              </w:rPr>
            </w:pPr>
            <w:r>
              <w:rPr>
                <w:rFonts w:ascii="Arial" w:hAnsi="Arial" w:cs="Arial"/>
                <w:color w:val="000000"/>
                <w:sz w:val="18"/>
              </w:rPr>
              <w:t xml:space="preserve">Agency Reporting </w:t>
            </w:r>
          </w:p>
        </w:tc>
        <w:tc>
          <w:tcPr>
            <w:tcW w:w="1350" w:type="dxa"/>
            <w:vAlign w:val="center"/>
          </w:tcPr>
          <w:p w:rsidR="00F43EF7" w:rsidRDefault="00376134">
            <w:pPr>
              <w:keepLines/>
              <w:tabs>
                <w:tab w:val="left" w:pos="480"/>
              </w:tabs>
              <w:ind w:right="332"/>
              <w:jc w:val="right"/>
              <w:rPr>
                <w:rFonts w:ascii="Arial" w:hAnsi="Arial" w:cs="Arial"/>
                <w:sz w:val="18"/>
              </w:rPr>
            </w:pPr>
            <w:r>
              <w:rPr>
                <w:rFonts w:ascii="Arial" w:hAnsi="Arial" w:cs="Arial"/>
                <w:sz w:val="18"/>
              </w:rPr>
              <w:t>112</w:t>
            </w:r>
          </w:p>
        </w:tc>
        <w:tc>
          <w:tcPr>
            <w:tcW w:w="1350" w:type="dxa"/>
            <w:vAlign w:val="center"/>
          </w:tcPr>
          <w:p w:rsidR="00F43EF7" w:rsidRDefault="00F43EF7">
            <w:pPr>
              <w:keepLines/>
              <w:ind w:right="129"/>
              <w:jc w:val="right"/>
              <w:rPr>
                <w:rFonts w:ascii="Arial" w:hAnsi="Arial" w:cs="Arial"/>
                <w:sz w:val="18"/>
              </w:rPr>
            </w:pPr>
            <w:r>
              <w:rPr>
                <w:rFonts w:ascii="Arial" w:hAnsi="Arial" w:cs="Arial"/>
                <w:sz w:val="18"/>
              </w:rPr>
              <w:t>2</w:t>
            </w:r>
          </w:p>
        </w:tc>
        <w:tc>
          <w:tcPr>
            <w:tcW w:w="1350" w:type="dxa"/>
            <w:vAlign w:val="center"/>
          </w:tcPr>
          <w:p w:rsidR="00F43EF7" w:rsidRDefault="0048490F">
            <w:pPr>
              <w:keepLines/>
              <w:tabs>
                <w:tab w:val="left" w:pos="480"/>
              </w:tabs>
              <w:ind w:right="111"/>
              <w:jc w:val="right"/>
              <w:rPr>
                <w:rFonts w:ascii="Arial" w:hAnsi="Arial" w:cs="Arial"/>
                <w:sz w:val="18"/>
              </w:rPr>
            </w:pPr>
            <w:r>
              <w:rPr>
                <w:rFonts w:ascii="Arial" w:hAnsi="Arial" w:cs="Arial"/>
                <w:sz w:val="18"/>
              </w:rPr>
              <w:t>224.00</w:t>
            </w:r>
          </w:p>
        </w:tc>
        <w:tc>
          <w:tcPr>
            <w:tcW w:w="1080" w:type="dxa"/>
            <w:vAlign w:val="center"/>
          </w:tcPr>
          <w:p w:rsidR="00F43EF7" w:rsidRDefault="00DE4566">
            <w:pPr>
              <w:jc w:val="center"/>
            </w:pPr>
            <w:r>
              <w:rPr>
                <w:rFonts w:ascii="Arial" w:hAnsi="Arial" w:cs="Arial"/>
                <w:sz w:val="18"/>
              </w:rPr>
              <w:t>$34</w:t>
            </w:r>
            <w:r w:rsidR="00782298">
              <w:rPr>
                <w:rFonts w:ascii="Arial" w:hAnsi="Arial" w:cs="Arial"/>
                <w:sz w:val="18"/>
              </w:rPr>
              <w:t>.42</w:t>
            </w:r>
          </w:p>
        </w:tc>
        <w:tc>
          <w:tcPr>
            <w:tcW w:w="2160" w:type="dxa"/>
            <w:vAlign w:val="center"/>
          </w:tcPr>
          <w:p w:rsidR="00F43EF7" w:rsidRDefault="00501D1A">
            <w:pPr>
              <w:keepLines/>
              <w:ind w:right="175"/>
              <w:jc w:val="right"/>
              <w:rPr>
                <w:rFonts w:ascii="Arial" w:hAnsi="Arial" w:cs="Arial"/>
                <w:sz w:val="18"/>
              </w:rPr>
            </w:pPr>
            <w:r>
              <w:rPr>
                <w:rFonts w:ascii="Arial" w:hAnsi="Arial" w:cs="Arial"/>
                <w:sz w:val="18"/>
              </w:rPr>
              <w:t>7710</w:t>
            </w:r>
            <w:r w:rsidR="0048490F">
              <w:rPr>
                <w:rFonts w:ascii="Arial" w:hAnsi="Arial" w:cs="Arial"/>
                <w:sz w:val="18"/>
              </w:rPr>
              <w:t>.08</w:t>
            </w:r>
          </w:p>
        </w:tc>
      </w:tr>
      <w:tr w:rsidR="00F43EF7">
        <w:tblPrEx>
          <w:tblCellMar>
            <w:top w:w="0" w:type="dxa"/>
            <w:bottom w:w="0" w:type="dxa"/>
          </w:tblCellMar>
        </w:tblPrEx>
        <w:trPr>
          <w:trHeight w:val="199"/>
        </w:trPr>
        <w:tc>
          <w:tcPr>
            <w:tcW w:w="3330" w:type="dxa"/>
          </w:tcPr>
          <w:p w:rsidR="00F43EF7" w:rsidRDefault="00F43EF7">
            <w:pPr>
              <w:keepLines/>
              <w:tabs>
                <w:tab w:val="left" w:pos="480"/>
              </w:tabs>
              <w:rPr>
                <w:rFonts w:ascii="Arial" w:hAnsi="Arial" w:cs="Arial"/>
                <w:color w:val="000000"/>
                <w:sz w:val="18"/>
              </w:rPr>
            </w:pPr>
            <w:r>
              <w:rPr>
                <w:rFonts w:ascii="Arial" w:hAnsi="Arial" w:cs="Arial"/>
                <w:color w:val="000000"/>
                <w:sz w:val="18"/>
              </w:rPr>
              <w:t>Agency Recertification</w:t>
            </w:r>
          </w:p>
        </w:tc>
        <w:tc>
          <w:tcPr>
            <w:tcW w:w="1350" w:type="dxa"/>
            <w:vAlign w:val="center"/>
          </w:tcPr>
          <w:p w:rsidR="00F43EF7" w:rsidRDefault="00376134">
            <w:pPr>
              <w:keepLines/>
              <w:tabs>
                <w:tab w:val="left" w:pos="480"/>
              </w:tabs>
              <w:ind w:right="332"/>
              <w:jc w:val="right"/>
              <w:rPr>
                <w:rFonts w:ascii="Arial" w:hAnsi="Arial" w:cs="Arial"/>
                <w:sz w:val="18"/>
              </w:rPr>
            </w:pPr>
            <w:r>
              <w:rPr>
                <w:rFonts w:ascii="Arial" w:hAnsi="Arial" w:cs="Arial"/>
                <w:sz w:val="18"/>
              </w:rPr>
              <w:t>112</w:t>
            </w:r>
          </w:p>
        </w:tc>
        <w:tc>
          <w:tcPr>
            <w:tcW w:w="1350" w:type="dxa"/>
            <w:vAlign w:val="center"/>
          </w:tcPr>
          <w:p w:rsidR="00F43EF7" w:rsidRDefault="00F43EF7">
            <w:pPr>
              <w:keepLines/>
              <w:ind w:right="129"/>
              <w:jc w:val="right"/>
              <w:rPr>
                <w:rFonts w:ascii="Arial" w:hAnsi="Arial" w:cs="Arial"/>
                <w:sz w:val="18"/>
              </w:rPr>
            </w:pPr>
            <w:r>
              <w:rPr>
                <w:rFonts w:ascii="Arial" w:hAnsi="Arial" w:cs="Arial"/>
                <w:sz w:val="18"/>
              </w:rPr>
              <w:t>8</w:t>
            </w:r>
          </w:p>
        </w:tc>
        <w:tc>
          <w:tcPr>
            <w:tcW w:w="1350" w:type="dxa"/>
            <w:vAlign w:val="center"/>
          </w:tcPr>
          <w:p w:rsidR="00F43EF7" w:rsidRDefault="00376134">
            <w:pPr>
              <w:keepLines/>
              <w:tabs>
                <w:tab w:val="left" w:pos="480"/>
              </w:tabs>
              <w:ind w:right="111"/>
              <w:jc w:val="right"/>
              <w:rPr>
                <w:rFonts w:ascii="Arial" w:hAnsi="Arial" w:cs="Arial"/>
                <w:sz w:val="18"/>
              </w:rPr>
            </w:pPr>
            <w:r>
              <w:rPr>
                <w:rFonts w:ascii="Arial" w:hAnsi="Arial" w:cs="Arial"/>
                <w:sz w:val="18"/>
              </w:rPr>
              <w:t>896</w:t>
            </w:r>
            <w:r w:rsidR="0048490F">
              <w:rPr>
                <w:rFonts w:ascii="Arial" w:hAnsi="Arial" w:cs="Arial"/>
                <w:sz w:val="18"/>
              </w:rPr>
              <w:t>.00</w:t>
            </w:r>
          </w:p>
        </w:tc>
        <w:tc>
          <w:tcPr>
            <w:tcW w:w="1080" w:type="dxa"/>
            <w:vAlign w:val="center"/>
          </w:tcPr>
          <w:p w:rsidR="00F43EF7" w:rsidRDefault="00DE4566">
            <w:pPr>
              <w:jc w:val="center"/>
            </w:pPr>
            <w:r>
              <w:rPr>
                <w:rFonts w:ascii="Arial" w:hAnsi="Arial" w:cs="Arial"/>
                <w:sz w:val="18"/>
              </w:rPr>
              <w:t>$34</w:t>
            </w:r>
            <w:r w:rsidR="00782298">
              <w:rPr>
                <w:rFonts w:ascii="Arial" w:hAnsi="Arial" w:cs="Arial"/>
                <w:sz w:val="18"/>
              </w:rPr>
              <w:t>.42</w:t>
            </w:r>
          </w:p>
        </w:tc>
        <w:tc>
          <w:tcPr>
            <w:tcW w:w="2160" w:type="dxa"/>
            <w:vAlign w:val="center"/>
          </w:tcPr>
          <w:p w:rsidR="00F43EF7" w:rsidRDefault="00501D1A">
            <w:pPr>
              <w:keepLines/>
              <w:ind w:right="175"/>
              <w:jc w:val="right"/>
              <w:rPr>
                <w:rFonts w:ascii="Arial" w:hAnsi="Arial" w:cs="Arial"/>
                <w:sz w:val="18"/>
              </w:rPr>
            </w:pPr>
            <w:r>
              <w:rPr>
                <w:rFonts w:ascii="Arial" w:hAnsi="Arial" w:cs="Arial"/>
                <w:sz w:val="18"/>
              </w:rPr>
              <w:t>30840</w:t>
            </w:r>
            <w:r w:rsidR="0048490F">
              <w:rPr>
                <w:rFonts w:ascii="Arial" w:hAnsi="Arial" w:cs="Arial"/>
                <w:sz w:val="18"/>
              </w:rPr>
              <w:t>.32</w:t>
            </w:r>
          </w:p>
        </w:tc>
      </w:tr>
      <w:tr w:rsidR="00F43EF7">
        <w:tblPrEx>
          <w:tblCellMar>
            <w:top w:w="0" w:type="dxa"/>
            <w:bottom w:w="0" w:type="dxa"/>
          </w:tblCellMar>
        </w:tblPrEx>
        <w:tc>
          <w:tcPr>
            <w:tcW w:w="3330" w:type="dxa"/>
            <w:tcBorders>
              <w:bottom w:val="single" w:sz="4" w:space="0" w:color="auto"/>
            </w:tcBorders>
          </w:tcPr>
          <w:p w:rsidR="00F43EF7" w:rsidRDefault="00F43EF7">
            <w:pPr>
              <w:pStyle w:val="Heading2"/>
              <w:spacing w:after="0"/>
              <w:rPr>
                <w:rFonts w:ascii="Arial" w:hAnsi="Arial" w:cs="Arial"/>
                <w:b w:val="0"/>
                <w:bCs w:val="0"/>
                <w:sz w:val="18"/>
              </w:rPr>
            </w:pPr>
            <w:r>
              <w:rPr>
                <w:rFonts w:ascii="Arial" w:hAnsi="Arial" w:cs="Arial"/>
                <w:b w:val="0"/>
                <w:bCs w:val="0"/>
                <w:sz w:val="18"/>
              </w:rPr>
              <w:t>Credit Evaluation of Nonprofit</w:t>
            </w:r>
          </w:p>
        </w:tc>
        <w:tc>
          <w:tcPr>
            <w:tcW w:w="1350" w:type="dxa"/>
            <w:tcBorders>
              <w:bottom w:val="single" w:sz="4" w:space="0" w:color="auto"/>
            </w:tcBorders>
            <w:vAlign w:val="center"/>
          </w:tcPr>
          <w:p w:rsidR="00F43EF7" w:rsidRDefault="00376134">
            <w:pPr>
              <w:keepLines/>
              <w:tabs>
                <w:tab w:val="left" w:pos="480"/>
              </w:tabs>
              <w:ind w:right="332"/>
              <w:jc w:val="right"/>
              <w:rPr>
                <w:rFonts w:ascii="Arial" w:hAnsi="Arial" w:cs="Arial"/>
                <w:sz w:val="18"/>
              </w:rPr>
            </w:pPr>
            <w:r>
              <w:rPr>
                <w:rFonts w:ascii="Arial" w:hAnsi="Arial" w:cs="Arial"/>
                <w:sz w:val="18"/>
              </w:rPr>
              <w:t>448</w:t>
            </w:r>
          </w:p>
        </w:tc>
        <w:tc>
          <w:tcPr>
            <w:tcW w:w="1350" w:type="dxa"/>
            <w:tcBorders>
              <w:bottom w:val="single" w:sz="4" w:space="0" w:color="auto"/>
            </w:tcBorders>
            <w:vAlign w:val="center"/>
          </w:tcPr>
          <w:p w:rsidR="00F43EF7" w:rsidRDefault="00F43EF7">
            <w:pPr>
              <w:keepLines/>
              <w:ind w:right="129"/>
              <w:jc w:val="right"/>
              <w:rPr>
                <w:rFonts w:ascii="Arial" w:hAnsi="Arial" w:cs="Arial"/>
                <w:sz w:val="18"/>
              </w:rPr>
            </w:pPr>
            <w:r>
              <w:rPr>
                <w:rFonts w:ascii="Arial" w:hAnsi="Arial" w:cs="Arial"/>
                <w:sz w:val="18"/>
              </w:rPr>
              <w:t>2</w:t>
            </w:r>
          </w:p>
        </w:tc>
        <w:tc>
          <w:tcPr>
            <w:tcW w:w="1350" w:type="dxa"/>
            <w:tcBorders>
              <w:bottom w:val="single" w:sz="4" w:space="0" w:color="auto"/>
            </w:tcBorders>
            <w:vAlign w:val="center"/>
          </w:tcPr>
          <w:p w:rsidR="00F43EF7" w:rsidRDefault="00376134">
            <w:pPr>
              <w:keepLines/>
              <w:tabs>
                <w:tab w:val="left" w:pos="480"/>
              </w:tabs>
              <w:ind w:right="111"/>
              <w:jc w:val="right"/>
              <w:rPr>
                <w:rFonts w:ascii="Arial" w:hAnsi="Arial" w:cs="Arial"/>
                <w:sz w:val="18"/>
              </w:rPr>
            </w:pPr>
            <w:r>
              <w:rPr>
                <w:rFonts w:ascii="Arial" w:hAnsi="Arial" w:cs="Arial"/>
                <w:sz w:val="18"/>
              </w:rPr>
              <w:t>896</w:t>
            </w:r>
            <w:r w:rsidR="0048490F">
              <w:rPr>
                <w:rFonts w:ascii="Arial" w:hAnsi="Arial" w:cs="Arial"/>
                <w:sz w:val="18"/>
              </w:rPr>
              <w:t>.00</w:t>
            </w:r>
          </w:p>
        </w:tc>
        <w:tc>
          <w:tcPr>
            <w:tcW w:w="1080" w:type="dxa"/>
            <w:tcBorders>
              <w:bottom w:val="single" w:sz="4" w:space="0" w:color="auto"/>
            </w:tcBorders>
            <w:vAlign w:val="center"/>
          </w:tcPr>
          <w:p w:rsidR="00F43EF7" w:rsidRDefault="00DE4566">
            <w:pPr>
              <w:jc w:val="center"/>
            </w:pPr>
            <w:r>
              <w:rPr>
                <w:rFonts w:ascii="Arial" w:hAnsi="Arial" w:cs="Arial"/>
                <w:sz w:val="18"/>
              </w:rPr>
              <w:t>$34</w:t>
            </w:r>
            <w:r w:rsidR="00782298">
              <w:rPr>
                <w:rFonts w:ascii="Arial" w:hAnsi="Arial" w:cs="Arial"/>
                <w:sz w:val="18"/>
              </w:rPr>
              <w:t>.42</w:t>
            </w:r>
          </w:p>
        </w:tc>
        <w:tc>
          <w:tcPr>
            <w:tcW w:w="2160" w:type="dxa"/>
            <w:tcBorders>
              <w:bottom w:val="single" w:sz="4" w:space="0" w:color="auto"/>
            </w:tcBorders>
            <w:vAlign w:val="center"/>
          </w:tcPr>
          <w:p w:rsidR="00F43EF7" w:rsidRDefault="00501D1A">
            <w:pPr>
              <w:keepLines/>
              <w:ind w:right="175"/>
              <w:jc w:val="right"/>
              <w:rPr>
                <w:rFonts w:ascii="Arial" w:hAnsi="Arial" w:cs="Arial"/>
                <w:sz w:val="18"/>
              </w:rPr>
            </w:pPr>
            <w:r>
              <w:rPr>
                <w:rFonts w:ascii="Arial" w:hAnsi="Arial" w:cs="Arial"/>
                <w:sz w:val="18"/>
              </w:rPr>
              <w:t>30840</w:t>
            </w:r>
            <w:r w:rsidR="0048490F">
              <w:rPr>
                <w:rFonts w:ascii="Arial" w:hAnsi="Arial" w:cs="Arial"/>
                <w:sz w:val="18"/>
              </w:rPr>
              <w:t>.32</w:t>
            </w:r>
          </w:p>
        </w:tc>
      </w:tr>
      <w:tr w:rsidR="00F43EF7">
        <w:tblPrEx>
          <w:tblCellMar>
            <w:top w:w="0" w:type="dxa"/>
            <w:bottom w:w="0" w:type="dxa"/>
          </w:tblCellMar>
        </w:tblPrEx>
        <w:tc>
          <w:tcPr>
            <w:tcW w:w="3330" w:type="dxa"/>
            <w:tcBorders>
              <w:bottom w:val="single" w:sz="4" w:space="0" w:color="auto"/>
            </w:tcBorders>
          </w:tcPr>
          <w:p w:rsidR="00F43EF7" w:rsidRDefault="00F43EF7">
            <w:pPr>
              <w:pStyle w:val="Heading2"/>
              <w:spacing w:after="0"/>
              <w:rPr>
                <w:rFonts w:ascii="Arial" w:hAnsi="Arial" w:cs="Arial"/>
                <w:sz w:val="18"/>
              </w:rPr>
            </w:pPr>
            <w:r>
              <w:rPr>
                <w:rFonts w:ascii="Arial" w:hAnsi="Arial" w:cs="Arial"/>
                <w:sz w:val="18"/>
              </w:rPr>
              <w:t xml:space="preserve">Totals </w:t>
            </w:r>
          </w:p>
        </w:tc>
        <w:tc>
          <w:tcPr>
            <w:tcW w:w="1350" w:type="dxa"/>
            <w:tcBorders>
              <w:bottom w:val="single" w:sz="4" w:space="0" w:color="auto"/>
            </w:tcBorders>
            <w:vAlign w:val="center"/>
          </w:tcPr>
          <w:p w:rsidR="00F43EF7" w:rsidRDefault="00501D1A">
            <w:pPr>
              <w:keepLines/>
              <w:tabs>
                <w:tab w:val="left" w:pos="480"/>
              </w:tabs>
              <w:ind w:right="332"/>
              <w:jc w:val="right"/>
              <w:rPr>
                <w:rFonts w:ascii="Arial" w:hAnsi="Arial" w:cs="Arial"/>
                <w:b/>
                <w:bCs/>
                <w:sz w:val="18"/>
              </w:rPr>
            </w:pPr>
            <w:r>
              <w:rPr>
                <w:rFonts w:ascii="Arial" w:hAnsi="Arial" w:cs="Arial"/>
                <w:b/>
                <w:bCs/>
                <w:sz w:val="18"/>
              </w:rPr>
              <w:t>731</w:t>
            </w:r>
          </w:p>
        </w:tc>
        <w:tc>
          <w:tcPr>
            <w:tcW w:w="1350" w:type="dxa"/>
            <w:tcBorders>
              <w:bottom w:val="single" w:sz="4" w:space="0" w:color="auto"/>
            </w:tcBorders>
            <w:vAlign w:val="center"/>
          </w:tcPr>
          <w:p w:rsidR="00F43EF7" w:rsidRDefault="00F43EF7">
            <w:pPr>
              <w:keepLines/>
              <w:ind w:right="129"/>
              <w:jc w:val="right"/>
              <w:rPr>
                <w:rFonts w:ascii="Arial" w:hAnsi="Arial" w:cs="Arial"/>
                <w:b/>
                <w:bCs/>
                <w:sz w:val="18"/>
              </w:rPr>
            </w:pPr>
          </w:p>
        </w:tc>
        <w:tc>
          <w:tcPr>
            <w:tcW w:w="1350" w:type="dxa"/>
            <w:tcBorders>
              <w:bottom w:val="single" w:sz="4" w:space="0" w:color="auto"/>
            </w:tcBorders>
            <w:vAlign w:val="center"/>
          </w:tcPr>
          <w:p w:rsidR="00F43EF7" w:rsidRDefault="00501D1A">
            <w:pPr>
              <w:keepLines/>
              <w:tabs>
                <w:tab w:val="left" w:pos="480"/>
              </w:tabs>
              <w:ind w:right="111"/>
              <w:jc w:val="right"/>
              <w:rPr>
                <w:rFonts w:ascii="Arial" w:hAnsi="Arial" w:cs="Arial"/>
                <w:b/>
                <w:bCs/>
                <w:sz w:val="18"/>
              </w:rPr>
            </w:pPr>
            <w:r>
              <w:rPr>
                <w:rFonts w:ascii="Arial" w:hAnsi="Arial" w:cs="Arial"/>
                <w:b/>
                <w:bCs/>
                <w:sz w:val="18"/>
              </w:rPr>
              <w:t>2724</w:t>
            </w:r>
            <w:r w:rsidR="0048490F">
              <w:rPr>
                <w:rFonts w:ascii="Arial" w:hAnsi="Arial" w:cs="Arial"/>
                <w:b/>
                <w:bCs/>
                <w:sz w:val="18"/>
              </w:rPr>
              <w:t>.00</w:t>
            </w:r>
          </w:p>
        </w:tc>
        <w:tc>
          <w:tcPr>
            <w:tcW w:w="1080" w:type="dxa"/>
            <w:tcBorders>
              <w:bottom w:val="single" w:sz="4" w:space="0" w:color="auto"/>
            </w:tcBorders>
          </w:tcPr>
          <w:p w:rsidR="00F43EF7" w:rsidRDefault="00F43EF7">
            <w:pPr>
              <w:keepLines/>
              <w:tabs>
                <w:tab w:val="left" w:pos="480"/>
              </w:tabs>
              <w:jc w:val="center"/>
              <w:rPr>
                <w:rFonts w:ascii="Arial" w:hAnsi="Arial" w:cs="Arial"/>
                <w:b/>
                <w:bCs/>
                <w:sz w:val="18"/>
              </w:rPr>
            </w:pPr>
          </w:p>
        </w:tc>
        <w:tc>
          <w:tcPr>
            <w:tcW w:w="2160" w:type="dxa"/>
            <w:tcBorders>
              <w:bottom w:val="single" w:sz="4" w:space="0" w:color="auto"/>
            </w:tcBorders>
            <w:vAlign w:val="center"/>
          </w:tcPr>
          <w:p w:rsidR="00F43EF7" w:rsidRDefault="00DE4566" w:rsidP="0048490F">
            <w:pPr>
              <w:keepLines/>
              <w:ind w:right="175"/>
              <w:jc w:val="right"/>
              <w:rPr>
                <w:rFonts w:ascii="Arial" w:hAnsi="Arial" w:cs="Arial"/>
                <w:b/>
                <w:bCs/>
                <w:sz w:val="18"/>
              </w:rPr>
            </w:pPr>
            <w:r>
              <w:rPr>
                <w:rFonts w:ascii="Arial" w:hAnsi="Arial" w:cs="Arial"/>
                <w:b/>
                <w:bCs/>
                <w:sz w:val="18"/>
              </w:rPr>
              <w:t>$</w:t>
            </w:r>
            <w:r w:rsidR="00501D1A">
              <w:rPr>
                <w:rFonts w:ascii="Arial" w:hAnsi="Arial" w:cs="Arial"/>
                <w:b/>
                <w:bCs/>
                <w:sz w:val="18"/>
              </w:rPr>
              <w:t>937</w:t>
            </w:r>
            <w:r w:rsidR="0048490F">
              <w:rPr>
                <w:rFonts w:ascii="Arial" w:hAnsi="Arial" w:cs="Arial"/>
                <w:b/>
                <w:bCs/>
                <w:sz w:val="18"/>
              </w:rPr>
              <w:t>60.08</w:t>
            </w:r>
          </w:p>
        </w:tc>
      </w:tr>
    </w:tbl>
    <w:p w:rsidR="00F43EF7" w:rsidRDefault="00F43EF7">
      <w:pPr>
        <w:keepLines/>
        <w:tabs>
          <w:tab w:val="left" w:pos="360"/>
        </w:tabs>
        <w:spacing w:after="100" w:afterAutospacing="1"/>
        <w:ind w:left="360" w:hanging="360"/>
        <w:rPr>
          <w:color w:val="000000"/>
        </w:rPr>
      </w:pPr>
      <w:r>
        <w:rPr>
          <w:color w:val="000000"/>
        </w:rPr>
        <w:t xml:space="preserve">    The hourly rate is a blended rate based on the estimated average annual salaries of both administrative and professional </w:t>
      </w:r>
      <w:r w:rsidR="0048490F">
        <w:rPr>
          <w:color w:val="000000"/>
        </w:rPr>
        <w:t xml:space="preserve">personnel. </w:t>
      </w:r>
      <w:bookmarkStart w:id="0" w:name="_GoBack"/>
      <w:bookmarkEnd w:id="0"/>
    </w:p>
    <w:p w:rsidR="00376134" w:rsidRDefault="009744F3" w:rsidP="00E413B2">
      <w:pPr>
        <w:pStyle w:val="BodyTextIndent2"/>
        <w:numPr>
          <w:ilvl w:val="0"/>
          <w:numId w:val="13"/>
        </w:numPr>
        <w:tabs>
          <w:tab w:val="left" w:pos="0"/>
          <w:tab w:val="left" w:pos="720"/>
        </w:tabs>
      </w:pPr>
      <w:r>
        <w:t xml:space="preserve">This is an extension of a currently approved collection.  </w:t>
      </w:r>
      <w:r w:rsidR="00F05883">
        <w:t>There are</w:t>
      </w:r>
      <w:r w:rsidR="00E413B2" w:rsidRPr="00E413B2">
        <w:t xml:space="preserve"> adjustments </w:t>
      </w:r>
      <w:r w:rsidR="00F05883">
        <w:t>that cause a</w:t>
      </w:r>
      <w:r w:rsidR="001372B6">
        <w:t xml:space="preserve"> decrease in </w:t>
      </w:r>
      <w:r w:rsidR="00F05883">
        <w:t xml:space="preserve">the </w:t>
      </w:r>
      <w:r w:rsidR="001372B6">
        <w:t>burden</w:t>
      </w:r>
      <w:r w:rsidR="00F05883">
        <w:t xml:space="preserve">.  </w:t>
      </w:r>
      <w:r w:rsidR="001372B6">
        <w:t xml:space="preserve"> </w:t>
      </w:r>
      <w:r w:rsidR="00F05883">
        <w:t>D</w:t>
      </w:r>
      <w:r w:rsidR="00E413B2" w:rsidRPr="00E413B2">
        <w:t>ue to the reduction in estimated applications and recertifications.  The new estimates are based on the FY 201</w:t>
      </w:r>
      <w:r w:rsidR="00376134">
        <w:t>5</w:t>
      </w:r>
      <w:r w:rsidR="00E413B2" w:rsidRPr="00E413B2">
        <w:t xml:space="preserve"> actual numbers</w:t>
      </w:r>
      <w:r w:rsidR="00E413B2">
        <w:t xml:space="preserve"> and averaged with previous estimates</w:t>
      </w:r>
      <w:r w:rsidR="00E413B2" w:rsidRPr="00E413B2">
        <w:t>.</w:t>
      </w:r>
    </w:p>
    <w:p w:rsidR="006310E4" w:rsidRDefault="00F46A3C" w:rsidP="00DE6EFB">
      <w:pPr>
        <w:pStyle w:val="BodyTextIndent2"/>
        <w:tabs>
          <w:tab w:val="clear" w:pos="360"/>
          <w:tab w:val="left" w:pos="0"/>
          <w:tab w:val="left" w:pos="720"/>
        </w:tabs>
        <w:ind w:firstLine="0"/>
      </w:pPr>
      <w:r>
        <w:t xml:space="preserve"> </w:t>
      </w:r>
    </w:p>
    <w:p w:rsidR="00F43EF7" w:rsidRPr="006310E4" w:rsidRDefault="00F43EF7" w:rsidP="006310E4">
      <w:pPr>
        <w:pStyle w:val="BodyTextIndent2"/>
        <w:tabs>
          <w:tab w:val="left" w:pos="0"/>
          <w:tab w:val="left" w:pos="720"/>
        </w:tabs>
        <w:ind w:left="0" w:firstLine="0"/>
      </w:pPr>
      <w:r w:rsidRPr="006310E4">
        <w:t>16.</w:t>
      </w:r>
      <w:r w:rsidRPr="006310E4">
        <w:tab/>
        <w:t xml:space="preserve">There is no anticipated publication of the information gathered through this collection.  </w:t>
      </w:r>
    </w:p>
    <w:p w:rsidR="0068241B" w:rsidRDefault="0068241B">
      <w:pPr>
        <w:keepLines/>
        <w:tabs>
          <w:tab w:val="left" w:pos="360"/>
          <w:tab w:val="left" w:pos="720"/>
        </w:tabs>
        <w:ind w:left="360" w:hanging="360"/>
        <w:rPr>
          <w:sz w:val="24"/>
        </w:rPr>
      </w:pPr>
    </w:p>
    <w:p w:rsidR="00F43EF7" w:rsidRDefault="00F43EF7">
      <w:pPr>
        <w:keepLines/>
        <w:tabs>
          <w:tab w:val="left" w:pos="360"/>
          <w:tab w:val="left" w:pos="720"/>
        </w:tabs>
        <w:ind w:left="360" w:hanging="360"/>
        <w:rPr>
          <w:sz w:val="24"/>
        </w:rPr>
      </w:pPr>
      <w:r>
        <w:rPr>
          <w:sz w:val="24"/>
        </w:rPr>
        <w:lastRenderedPageBreak/>
        <w:t>17.</w:t>
      </w:r>
      <w:r>
        <w:rPr>
          <w:sz w:val="24"/>
        </w:rPr>
        <w:tab/>
        <w:t xml:space="preserve">HUD is not requesting approval to avoid displaying the expiration date. </w:t>
      </w:r>
    </w:p>
    <w:p w:rsidR="00F43EF7" w:rsidRDefault="00F43EF7">
      <w:pPr>
        <w:tabs>
          <w:tab w:val="left" w:pos="360"/>
        </w:tabs>
        <w:ind w:left="360" w:hanging="360"/>
        <w:rPr>
          <w:color w:val="000000"/>
          <w:sz w:val="24"/>
        </w:rPr>
      </w:pPr>
    </w:p>
    <w:p w:rsidR="00F43EF7" w:rsidRDefault="00F43EF7">
      <w:pPr>
        <w:keepLines/>
        <w:tabs>
          <w:tab w:val="left" w:pos="360"/>
        </w:tabs>
        <w:spacing w:after="80"/>
        <w:ind w:left="360" w:hanging="360"/>
        <w:rPr>
          <w:color w:val="000000"/>
          <w:sz w:val="24"/>
        </w:rPr>
      </w:pPr>
      <w:r>
        <w:rPr>
          <w:color w:val="000000"/>
          <w:sz w:val="24"/>
        </w:rPr>
        <w:t>18.</w:t>
      </w:r>
      <w:r>
        <w:rPr>
          <w:color w:val="000000"/>
          <w:sz w:val="24"/>
        </w:rPr>
        <w:tab/>
        <w:t>There are no exceptions to the certification statement identified in item 19 of the OMB 83-I.</w:t>
      </w:r>
    </w:p>
    <w:p w:rsidR="00F43EF7" w:rsidRDefault="00F43EF7">
      <w:pPr>
        <w:tabs>
          <w:tab w:val="left" w:pos="360"/>
          <w:tab w:val="left" w:pos="720"/>
        </w:tabs>
        <w:rPr>
          <w:color w:val="000000"/>
          <w:sz w:val="24"/>
        </w:rPr>
      </w:pPr>
    </w:p>
    <w:p w:rsidR="00F43EF7" w:rsidRDefault="00F43EF7">
      <w:pPr>
        <w:tabs>
          <w:tab w:val="left" w:pos="360"/>
          <w:tab w:val="left" w:pos="720"/>
        </w:tabs>
        <w:rPr>
          <w:color w:val="000000"/>
          <w:sz w:val="24"/>
        </w:rPr>
      </w:pPr>
    </w:p>
    <w:p w:rsidR="00F43EF7" w:rsidRDefault="00F43EF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4"/>
        </w:rPr>
      </w:pPr>
      <w:r>
        <w:rPr>
          <w:rFonts w:ascii="Helvetica" w:hAnsi="Helvetica"/>
          <w:b/>
          <w:color w:val="000000"/>
          <w:sz w:val="24"/>
        </w:rPr>
        <w:t xml:space="preserve">B. </w:t>
      </w:r>
      <w:r>
        <w:rPr>
          <w:rFonts w:ascii="Helvetica" w:hAnsi="Helvetica"/>
          <w:b/>
          <w:color w:val="000000"/>
          <w:sz w:val="24"/>
        </w:rPr>
        <w:tab/>
        <w:t>Collections of Information Employing Statistical Methods</w:t>
      </w:r>
    </w:p>
    <w:p w:rsidR="00F43EF7" w:rsidRDefault="00F43EF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color w:val="000000"/>
          <w:sz w:val="24"/>
        </w:rPr>
      </w:pPr>
    </w:p>
    <w:p w:rsidR="00F43EF7" w:rsidRDefault="00F43EF7">
      <w:pPr>
        <w:keepLines/>
        <w:tabs>
          <w:tab w:val="left" w:pos="360"/>
          <w:tab w:val="left" w:pos="720"/>
        </w:tabs>
        <w:ind w:left="360"/>
        <w:rPr>
          <w:color w:val="000000"/>
          <w:sz w:val="24"/>
        </w:rPr>
      </w:pPr>
      <w:r>
        <w:rPr>
          <w:color w:val="000000"/>
          <w:sz w:val="24"/>
        </w:rPr>
        <w:t>This collection of information does not employ statistical methods.</w:t>
      </w:r>
      <w:r w:rsidR="0068241B">
        <w:rPr>
          <w:color w:val="000000"/>
          <w:sz w:val="24"/>
        </w:rPr>
        <w:t xml:space="preserve"> </w:t>
      </w:r>
    </w:p>
    <w:p w:rsidR="00F43EF7" w:rsidRDefault="00F43EF7">
      <w:pPr>
        <w:tabs>
          <w:tab w:val="left" w:pos="240"/>
        </w:tabs>
        <w:rPr>
          <w:rFonts w:ascii="Helvetica" w:hAnsi="Helvetica"/>
          <w:color w:val="000000"/>
          <w:sz w:val="24"/>
        </w:rPr>
      </w:pPr>
    </w:p>
    <w:sectPr w:rsidR="00F43EF7">
      <w:footerReference w:type="default" r:id="rId7"/>
      <w:pgSz w:w="12240" w:h="15840" w:code="1"/>
      <w:pgMar w:top="475" w:right="720" w:bottom="475" w:left="605" w:header="475" w:footer="475" w:gutter="0"/>
      <w:pgNumType w:start="2"/>
      <w:cols w:space="480" w:equalWidth="0">
        <w:col w:w="10795"/>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820" w:rsidRDefault="00B90820">
      <w:r>
        <w:separator/>
      </w:r>
    </w:p>
  </w:endnote>
  <w:endnote w:type="continuationSeparator" w:id="0">
    <w:p w:rsidR="00B90820" w:rsidRDefault="00B9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F5" w:rsidRDefault="000A3BF5" w:rsidP="0070560E">
    <w:pPr>
      <w:pStyle w:val="Footer"/>
      <w:pBdr>
        <w:top w:val="single" w:sz="6" w:space="1" w:color="auto"/>
      </w:pBdr>
      <w:tabs>
        <w:tab w:val="clear" w:pos="4320"/>
        <w:tab w:val="clear" w:pos="8640"/>
        <w:tab w:val="right" w:pos="10920"/>
      </w:tabs>
      <w:ind w:left="-120" w:right="-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820" w:rsidRDefault="00B90820">
      <w:r>
        <w:separator/>
      </w:r>
    </w:p>
  </w:footnote>
  <w:footnote w:type="continuationSeparator" w:id="0">
    <w:p w:rsidR="00B90820" w:rsidRDefault="00B90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15:restartNumberingAfterBreak="0">
    <w:nsid w:val="186F22D8"/>
    <w:multiLevelType w:val="hybridMultilevel"/>
    <w:tmpl w:val="D1E4B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C70B0E"/>
    <w:multiLevelType w:val="hybridMultilevel"/>
    <w:tmpl w:val="0354F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32BFA"/>
    <w:multiLevelType w:val="hybridMultilevel"/>
    <w:tmpl w:val="D62CE77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B541E3"/>
    <w:multiLevelType w:val="hybridMultilevel"/>
    <w:tmpl w:val="421C88E4"/>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AC4555F"/>
    <w:multiLevelType w:val="hybridMultilevel"/>
    <w:tmpl w:val="E3F26478"/>
    <w:lvl w:ilvl="0" w:tplc="E6FAB46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8418E"/>
    <w:multiLevelType w:val="hybridMultilevel"/>
    <w:tmpl w:val="44A8599A"/>
    <w:lvl w:ilvl="0" w:tplc="EC7A9A72">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0"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1"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0347DC"/>
    <w:multiLevelType w:val="hybridMultilevel"/>
    <w:tmpl w:val="AF9A3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A640FD"/>
    <w:multiLevelType w:val="hybridMultilevel"/>
    <w:tmpl w:val="D73804C8"/>
    <w:lvl w:ilvl="0" w:tplc="A8EE2B0A">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6"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7" w15:restartNumberingAfterBreak="0">
    <w:nsid w:val="7C2C0366"/>
    <w:multiLevelType w:val="hybridMultilevel"/>
    <w:tmpl w:val="4D040980"/>
    <w:lvl w:ilvl="0" w:tplc="3962AE0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
  </w:num>
  <w:num w:numId="4">
    <w:abstractNumId w:val="15"/>
  </w:num>
  <w:num w:numId="5">
    <w:abstractNumId w:val="14"/>
  </w:num>
  <w:num w:numId="6">
    <w:abstractNumId w:val="1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0"/>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1"/>
  </w:num>
  <w:num w:numId="10">
    <w:abstractNumId w:val="4"/>
  </w:num>
  <w:num w:numId="11">
    <w:abstractNumId w:val="5"/>
  </w:num>
  <w:num w:numId="12">
    <w:abstractNumId w:val="17"/>
  </w:num>
  <w:num w:numId="13">
    <w:abstractNumId w:val="6"/>
  </w:num>
  <w:num w:numId="14">
    <w:abstractNumId w:val="7"/>
  </w:num>
  <w:num w:numId="15">
    <w:abstractNumId w:val="12"/>
  </w:num>
  <w:num w:numId="16">
    <w:abstractNumId w:val="13"/>
  </w:num>
  <w:num w:numId="17">
    <w:abstractNumId w:val="8"/>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131077" w:nlCheck="1" w:checkStyle="1"/>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12"/>
    <w:rsid w:val="00022072"/>
    <w:rsid w:val="00027433"/>
    <w:rsid w:val="0004336C"/>
    <w:rsid w:val="00045E12"/>
    <w:rsid w:val="00047D71"/>
    <w:rsid w:val="00061488"/>
    <w:rsid w:val="00082B79"/>
    <w:rsid w:val="00095236"/>
    <w:rsid w:val="000A3B4D"/>
    <w:rsid w:val="000A3BF5"/>
    <w:rsid w:val="000B6AC3"/>
    <w:rsid w:val="000C16D8"/>
    <w:rsid w:val="000C5208"/>
    <w:rsid w:val="0010382C"/>
    <w:rsid w:val="001372B6"/>
    <w:rsid w:val="00192F95"/>
    <w:rsid w:val="001957CE"/>
    <w:rsid w:val="001D3760"/>
    <w:rsid w:val="001D6D40"/>
    <w:rsid w:val="001E0DBD"/>
    <w:rsid w:val="001E1645"/>
    <w:rsid w:val="001F0A84"/>
    <w:rsid w:val="001F6382"/>
    <w:rsid w:val="00220BBC"/>
    <w:rsid w:val="00227973"/>
    <w:rsid w:val="002560C7"/>
    <w:rsid w:val="00282517"/>
    <w:rsid w:val="002A0BA8"/>
    <w:rsid w:val="002B1F6D"/>
    <w:rsid w:val="002D1E0B"/>
    <w:rsid w:val="002D50B8"/>
    <w:rsid w:val="002D790C"/>
    <w:rsid w:val="002F1338"/>
    <w:rsid w:val="00310177"/>
    <w:rsid w:val="00316F2B"/>
    <w:rsid w:val="003406FD"/>
    <w:rsid w:val="00370227"/>
    <w:rsid w:val="00376134"/>
    <w:rsid w:val="003977EF"/>
    <w:rsid w:val="003B0188"/>
    <w:rsid w:val="003D31F8"/>
    <w:rsid w:val="003E7061"/>
    <w:rsid w:val="003E7FD6"/>
    <w:rsid w:val="003F27F6"/>
    <w:rsid w:val="00401D08"/>
    <w:rsid w:val="00411018"/>
    <w:rsid w:val="004462B6"/>
    <w:rsid w:val="00473B4A"/>
    <w:rsid w:val="00480A5F"/>
    <w:rsid w:val="0048490F"/>
    <w:rsid w:val="00494840"/>
    <w:rsid w:val="004B6E66"/>
    <w:rsid w:val="00501D1A"/>
    <w:rsid w:val="0055608E"/>
    <w:rsid w:val="0057517A"/>
    <w:rsid w:val="00576EDE"/>
    <w:rsid w:val="00577DF8"/>
    <w:rsid w:val="005900E7"/>
    <w:rsid w:val="005C5CEF"/>
    <w:rsid w:val="005D7B79"/>
    <w:rsid w:val="005E7691"/>
    <w:rsid w:val="00604C12"/>
    <w:rsid w:val="00604F6C"/>
    <w:rsid w:val="006227F8"/>
    <w:rsid w:val="006310E4"/>
    <w:rsid w:val="0063336B"/>
    <w:rsid w:val="00634CEC"/>
    <w:rsid w:val="0064188D"/>
    <w:rsid w:val="00655B37"/>
    <w:rsid w:val="00666053"/>
    <w:rsid w:val="00675395"/>
    <w:rsid w:val="0068241B"/>
    <w:rsid w:val="00696631"/>
    <w:rsid w:val="006B4B10"/>
    <w:rsid w:val="00701649"/>
    <w:rsid w:val="0070560E"/>
    <w:rsid w:val="007237BD"/>
    <w:rsid w:val="00745152"/>
    <w:rsid w:val="00760BE3"/>
    <w:rsid w:val="007632F6"/>
    <w:rsid w:val="00767964"/>
    <w:rsid w:val="00782298"/>
    <w:rsid w:val="007A5C20"/>
    <w:rsid w:val="007E1D35"/>
    <w:rsid w:val="007E2C06"/>
    <w:rsid w:val="00834CD9"/>
    <w:rsid w:val="00883E6C"/>
    <w:rsid w:val="008B202F"/>
    <w:rsid w:val="008B2086"/>
    <w:rsid w:val="008C0D0D"/>
    <w:rsid w:val="00903C16"/>
    <w:rsid w:val="009553C1"/>
    <w:rsid w:val="0097168D"/>
    <w:rsid w:val="009744F3"/>
    <w:rsid w:val="00975A4D"/>
    <w:rsid w:val="00981617"/>
    <w:rsid w:val="009A5E00"/>
    <w:rsid w:val="009B241A"/>
    <w:rsid w:val="009C1589"/>
    <w:rsid w:val="009C606C"/>
    <w:rsid w:val="009E5D72"/>
    <w:rsid w:val="009E5D73"/>
    <w:rsid w:val="009F4E33"/>
    <w:rsid w:val="00A02455"/>
    <w:rsid w:val="00A11265"/>
    <w:rsid w:val="00A204B0"/>
    <w:rsid w:val="00A24DE7"/>
    <w:rsid w:val="00A37716"/>
    <w:rsid w:val="00A45D19"/>
    <w:rsid w:val="00A634D0"/>
    <w:rsid w:val="00A70117"/>
    <w:rsid w:val="00A73941"/>
    <w:rsid w:val="00A96993"/>
    <w:rsid w:val="00AA15DB"/>
    <w:rsid w:val="00AB00A9"/>
    <w:rsid w:val="00AB4F7C"/>
    <w:rsid w:val="00AB5550"/>
    <w:rsid w:val="00B02543"/>
    <w:rsid w:val="00B06ECF"/>
    <w:rsid w:val="00B41AC6"/>
    <w:rsid w:val="00B5131C"/>
    <w:rsid w:val="00B616ED"/>
    <w:rsid w:val="00B66F74"/>
    <w:rsid w:val="00B90820"/>
    <w:rsid w:val="00B95A8A"/>
    <w:rsid w:val="00BA5C06"/>
    <w:rsid w:val="00BB18E6"/>
    <w:rsid w:val="00BF0C34"/>
    <w:rsid w:val="00C00BDC"/>
    <w:rsid w:val="00C23BE7"/>
    <w:rsid w:val="00C3144E"/>
    <w:rsid w:val="00C40529"/>
    <w:rsid w:val="00C636BB"/>
    <w:rsid w:val="00C6586F"/>
    <w:rsid w:val="00C732E2"/>
    <w:rsid w:val="00C83450"/>
    <w:rsid w:val="00CA53C6"/>
    <w:rsid w:val="00CB1C58"/>
    <w:rsid w:val="00CF7055"/>
    <w:rsid w:val="00CF76A9"/>
    <w:rsid w:val="00D65506"/>
    <w:rsid w:val="00D73DD5"/>
    <w:rsid w:val="00DA55F2"/>
    <w:rsid w:val="00DA7D53"/>
    <w:rsid w:val="00DD5F4E"/>
    <w:rsid w:val="00DD6C48"/>
    <w:rsid w:val="00DD7D7E"/>
    <w:rsid w:val="00DE4566"/>
    <w:rsid w:val="00DE6EFB"/>
    <w:rsid w:val="00DF4F8F"/>
    <w:rsid w:val="00E02DA9"/>
    <w:rsid w:val="00E0393B"/>
    <w:rsid w:val="00E413B2"/>
    <w:rsid w:val="00E60D76"/>
    <w:rsid w:val="00E70284"/>
    <w:rsid w:val="00E70C5F"/>
    <w:rsid w:val="00EA6123"/>
    <w:rsid w:val="00EE662B"/>
    <w:rsid w:val="00F05883"/>
    <w:rsid w:val="00F43EF7"/>
    <w:rsid w:val="00F46A3C"/>
    <w:rsid w:val="00F60396"/>
    <w:rsid w:val="00F903EB"/>
    <w:rsid w:val="00F91A48"/>
    <w:rsid w:val="00FA5F66"/>
    <w:rsid w:val="00FC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A1DAF"/>
  <w15:chartTrackingRefBased/>
  <w15:docId w15:val="{6FF806A0-558E-404F-B40E-43609A99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pPr>
      <w:keepNext/>
      <w:keepLines/>
      <w:tabs>
        <w:tab w:val="left" w:pos="480"/>
      </w:tabs>
      <w:spacing w:after="80"/>
      <w:outlineLvl w:val="1"/>
    </w:pPr>
    <w:rPr>
      <w:b/>
      <w:bCs/>
      <w:color w:val="000000"/>
      <w:sz w:val="22"/>
    </w:rPr>
  </w:style>
  <w:style w:type="paragraph" w:styleId="Heading3">
    <w:name w:val="heading 3"/>
    <w:basedOn w:val="Normal"/>
    <w:next w:val="Normal"/>
    <w:qFormat/>
    <w:pPr>
      <w:keepNext/>
      <w:outlineLvl w:val="2"/>
    </w:pPr>
    <w:rPr>
      <w:color w:val="000000"/>
      <w:sz w:val="24"/>
      <w:szCs w:val="22"/>
    </w:rPr>
  </w:style>
  <w:style w:type="paragraph" w:styleId="Heading4">
    <w:name w:val="heading 4"/>
    <w:basedOn w:val="Normal"/>
    <w:next w:val="Normal"/>
    <w:qFormat/>
    <w:pPr>
      <w:keepNext/>
      <w:ind w:left="360"/>
      <w:outlineLvl w:val="3"/>
    </w:pPr>
    <w:rPr>
      <w:color w:val="000000"/>
      <w:sz w:val="24"/>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Helvetica" w:hAnsi="Helvetica"/>
      <w:b/>
      <w:sz w:val="28"/>
    </w:rPr>
  </w:style>
  <w:style w:type="paragraph" w:styleId="BodyTextIndent">
    <w:name w:val="Body Text Indent"/>
    <w:basedOn w:val="Normal"/>
    <w:semiHidden/>
    <w:pPr>
      <w:tabs>
        <w:tab w:val="left" w:pos="600"/>
      </w:tabs>
      <w:ind w:left="360"/>
    </w:pPr>
    <w:rPr>
      <w:b/>
      <w:bCs/>
      <w:color w:val="000000"/>
      <w:sz w:val="22"/>
    </w:rPr>
  </w:style>
  <w:style w:type="paragraph" w:styleId="BodyTextIndent2">
    <w:name w:val="Body Text Indent 2"/>
    <w:basedOn w:val="Normal"/>
    <w:link w:val="BodyTextIndent2Char"/>
    <w:semiHidden/>
    <w:pPr>
      <w:keepLines/>
      <w:tabs>
        <w:tab w:val="left" w:pos="360"/>
      </w:tabs>
      <w:spacing w:after="80"/>
      <w:ind w:left="360" w:hanging="360"/>
    </w:pPr>
    <w:rPr>
      <w:color w:val="000000"/>
      <w:sz w:val="24"/>
    </w:rPr>
  </w:style>
  <w:style w:type="paragraph" w:styleId="BodyTextIndent3">
    <w:name w:val="Body Text Indent 3"/>
    <w:basedOn w:val="Normal"/>
    <w:semiHidden/>
    <w:pPr>
      <w:tabs>
        <w:tab w:val="left" w:pos="360"/>
      </w:tabs>
      <w:spacing w:before="100" w:beforeAutospacing="1" w:after="120"/>
      <w:ind w:left="360"/>
    </w:pPr>
    <w:rPr>
      <w:sz w:val="24"/>
    </w:rPr>
  </w:style>
  <w:style w:type="paragraph" w:styleId="BalloonText">
    <w:name w:val="Balloon Text"/>
    <w:basedOn w:val="Normal"/>
    <w:link w:val="BalloonTextChar"/>
    <w:uiPriority w:val="99"/>
    <w:semiHidden/>
    <w:unhideWhenUsed/>
    <w:rsid w:val="005D7B79"/>
    <w:rPr>
      <w:rFonts w:ascii="Tahoma" w:hAnsi="Tahoma" w:cs="Tahoma"/>
      <w:sz w:val="16"/>
      <w:szCs w:val="16"/>
    </w:rPr>
  </w:style>
  <w:style w:type="character" w:customStyle="1" w:styleId="BalloonTextChar">
    <w:name w:val="Balloon Text Char"/>
    <w:link w:val="BalloonText"/>
    <w:uiPriority w:val="99"/>
    <w:semiHidden/>
    <w:rsid w:val="005D7B79"/>
    <w:rPr>
      <w:rFonts w:ascii="Tahoma" w:hAnsi="Tahoma" w:cs="Tahoma"/>
      <w:sz w:val="16"/>
      <w:szCs w:val="16"/>
    </w:rPr>
  </w:style>
  <w:style w:type="character" w:customStyle="1" w:styleId="BodyTextIndent2Char">
    <w:name w:val="Body Text Indent 2 Char"/>
    <w:link w:val="BodyTextIndent2"/>
    <w:semiHidden/>
    <w:rsid w:val="0022797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2802">
      <w:bodyDiv w:val="1"/>
      <w:marLeft w:val="0"/>
      <w:marRight w:val="0"/>
      <w:marTop w:val="0"/>
      <w:marBottom w:val="0"/>
      <w:divBdr>
        <w:top w:val="none" w:sz="0" w:space="0" w:color="auto"/>
        <w:left w:val="none" w:sz="0" w:space="0" w:color="auto"/>
        <w:bottom w:val="none" w:sz="0" w:space="0" w:color="auto"/>
        <w:right w:val="none" w:sz="0" w:space="0" w:color="auto"/>
      </w:divBdr>
    </w:div>
    <w:div w:id="809133580">
      <w:bodyDiv w:val="1"/>
      <w:marLeft w:val="0"/>
      <w:marRight w:val="0"/>
      <w:marTop w:val="0"/>
      <w:marBottom w:val="0"/>
      <w:divBdr>
        <w:top w:val="none" w:sz="0" w:space="0" w:color="auto"/>
        <w:left w:val="none" w:sz="0" w:space="0" w:color="auto"/>
        <w:bottom w:val="none" w:sz="0" w:space="0" w:color="auto"/>
        <w:right w:val="none" w:sz="0" w:space="0" w:color="auto"/>
      </w:divBdr>
    </w:div>
    <w:div w:id="8198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ISPM\REPORTS\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83-I-OMB</Template>
  <TotalTime>1</TotalTime>
  <Pages>5</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cp:lastModifiedBy>Pollard, Colette</cp:lastModifiedBy>
  <cp:revision>2</cp:revision>
  <cp:lastPrinted>2016-05-18T18:49:00Z</cp:lastPrinted>
  <dcterms:created xsi:type="dcterms:W3CDTF">2016-09-08T13:40:00Z</dcterms:created>
  <dcterms:modified xsi:type="dcterms:W3CDTF">2016-09-08T13:40:00Z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