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B5D85" w14:textId="77777777" w:rsidR="0053633C" w:rsidRPr="009101FB" w:rsidRDefault="0053633C">
      <w:pPr>
        <w:jc w:val="center"/>
        <w:rPr>
          <w:rFonts w:ascii="Times New Roman" w:hAnsi="Times New Roman" w:cs="Times New Roman"/>
          <w:bCs/>
          <w:sz w:val="24"/>
          <w:szCs w:val="24"/>
        </w:rPr>
      </w:pPr>
      <w:r w:rsidRPr="009101FB">
        <w:rPr>
          <w:rFonts w:ascii="Times New Roman" w:hAnsi="Times New Roman" w:cs="Times New Roman"/>
          <w:bCs/>
          <w:sz w:val="24"/>
          <w:szCs w:val="24"/>
        </w:rPr>
        <w:t xml:space="preserve">Supporting Statement </w:t>
      </w:r>
    </w:p>
    <w:p w14:paraId="531F97D3" w14:textId="77777777" w:rsidR="007D70DC" w:rsidRPr="009101FB" w:rsidRDefault="007D70DC">
      <w:pPr>
        <w:jc w:val="center"/>
        <w:rPr>
          <w:rFonts w:ascii="Times New Roman" w:hAnsi="Times New Roman" w:cs="Times New Roman"/>
          <w:bCs/>
          <w:sz w:val="24"/>
          <w:szCs w:val="24"/>
        </w:rPr>
      </w:pPr>
      <w:r w:rsidRPr="009101FB">
        <w:rPr>
          <w:rFonts w:ascii="Times New Roman" w:hAnsi="Times New Roman" w:cs="Times New Roman"/>
          <w:bCs/>
          <w:sz w:val="24"/>
          <w:szCs w:val="24"/>
        </w:rPr>
        <w:t>National Credit Union Administration</w:t>
      </w:r>
    </w:p>
    <w:p w14:paraId="7E1051B1" w14:textId="77777777" w:rsidR="007D70DC" w:rsidRPr="009101FB" w:rsidRDefault="007D70DC">
      <w:pPr>
        <w:jc w:val="center"/>
        <w:rPr>
          <w:rFonts w:ascii="Times New Roman" w:hAnsi="Times New Roman" w:cs="Times New Roman"/>
          <w:bCs/>
          <w:sz w:val="24"/>
          <w:szCs w:val="24"/>
        </w:rPr>
      </w:pPr>
    </w:p>
    <w:p w14:paraId="531ADD8C" w14:textId="77777777" w:rsidR="007D70DC" w:rsidRPr="009101FB" w:rsidRDefault="007D70DC">
      <w:pPr>
        <w:jc w:val="center"/>
        <w:rPr>
          <w:rFonts w:ascii="Times New Roman" w:hAnsi="Times New Roman" w:cs="Times New Roman"/>
          <w:b/>
          <w:bCs/>
          <w:sz w:val="24"/>
          <w:szCs w:val="24"/>
        </w:rPr>
      </w:pPr>
      <w:r w:rsidRPr="009101FB">
        <w:rPr>
          <w:rFonts w:ascii="Times New Roman" w:hAnsi="Times New Roman" w:cs="Times New Roman"/>
          <w:b/>
          <w:bCs/>
          <w:sz w:val="24"/>
          <w:szCs w:val="24"/>
        </w:rPr>
        <w:t>Security Program, 12 CFR 748</w:t>
      </w:r>
    </w:p>
    <w:p w14:paraId="48B23394" w14:textId="77777777" w:rsidR="0053633C" w:rsidRPr="009101FB" w:rsidRDefault="007D70DC">
      <w:pPr>
        <w:jc w:val="center"/>
        <w:rPr>
          <w:rFonts w:ascii="Times New Roman" w:hAnsi="Times New Roman" w:cs="Times New Roman"/>
          <w:b/>
          <w:bCs/>
          <w:sz w:val="24"/>
          <w:szCs w:val="24"/>
        </w:rPr>
      </w:pPr>
      <w:r w:rsidRPr="009101FB">
        <w:rPr>
          <w:rFonts w:ascii="Times New Roman" w:hAnsi="Times New Roman" w:cs="Times New Roman"/>
          <w:b/>
          <w:bCs/>
          <w:sz w:val="24"/>
          <w:szCs w:val="24"/>
        </w:rPr>
        <w:t xml:space="preserve">OMB No. </w:t>
      </w:r>
      <w:r w:rsidR="001F24F1" w:rsidRPr="009101FB">
        <w:rPr>
          <w:rFonts w:ascii="Times New Roman" w:hAnsi="Times New Roman" w:cs="Times New Roman"/>
          <w:b/>
          <w:bCs/>
          <w:sz w:val="24"/>
          <w:szCs w:val="24"/>
        </w:rPr>
        <w:t>3133-0033</w:t>
      </w:r>
    </w:p>
    <w:p w14:paraId="777187EF" w14:textId="77777777" w:rsidR="0053633C" w:rsidRPr="009101FB" w:rsidRDefault="0053633C">
      <w:pPr>
        <w:rPr>
          <w:rFonts w:ascii="Times New Roman" w:hAnsi="Times New Roman" w:cs="Times New Roman"/>
          <w:sz w:val="24"/>
          <w:szCs w:val="24"/>
        </w:rPr>
      </w:pPr>
    </w:p>
    <w:p w14:paraId="5978CD7D" w14:textId="77777777" w:rsidR="0053633C" w:rsidRPr="009101FB" w:rsidRDefault="0053633C">
      <w:pPr>
        <w:rPr>
          <w:rFonts w:ascii="Times New Roman" w:hAnsi="Times New Roman" w:cs="Times New Roman"/>
          <w:sz w:val="24"/>
          <w:szCs w:val="24"/>
        </w:rPr>
      </w:pPr>
    </w:p>
    <w:p w14:paraId="0A702362" w14:textId="77777777" w:rsidR="00DF4B04" w:rsidRPr="009101FB" w:rsidRDefault="00DF4B04" w:rsidP="00DF4B04">
      <w:pPr>
        <w:rPr>
          <w:rFonts w:ascii="Times New Roman" w:hAnsi="Times New Roman" w:cs="Times New Roman"/>
          <w:sz w:val="24"/>
          <w:szCs w:val="24"/>
        </w:rPr>
      </w:pPr>
      <w:r w:rsidRPr="009101FB">
        <w:rPr>
          <w:rFonts w:ascii="Times New Roman" w:hAnsi="Times New Roman" w:cs="Times New Roman"/>
          <w:sz w:val="24"/>
          <w:szCs w:val="24"/>
        </w:rPr>
        <w:t>A.</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Justification</w:t>
      </w:r>
    </w:p>
    <w:p w14:paraId="0B0A1A75" w14:textId="77777777" w:rsidR="00DF4B04" w:rsidRPr="009101FB" w:rsidRDefault="00DF4B04" w:rsidP="00DF4B04">
      <w:pPr>
        <w:rPr>
          <w:rFonts w:ascii="Times New Roman" w:hAnsi="Times New Roman" w:cs="Times New Roman"/>
          <w:sz w:val="24"/>
          <w:szCs w:val="24"/>
        </w:rPr>
      </w:pPr>
    </w:p>
    <w:p w14:paraId="1DA5A24B" w14:textId="77777777" w:rsidR="00DF4B04" w:rsidRPr="009101FB" w:rsidRDefault="00DF4B04" w:rsidP="00DF4B04">
      <w:pPr>
        <w:rPr>
          <w:rFonts w:ascii="Times New Roman" w:hAnsi="Times New Roman" w:cs="Times New Roman"/>
          <w:sz w:val="24"/>
          <w:szCs w:val="24"/>
        </w:rPr>
      </w:pPr>
      <w:r w:rsidRPr="009101FB">
        <w:rPr>
          <w:rFonts w:ascii="Times New Roman" w:hAnsi="Times New Roman" w:cs="Times New Roman"/>
          <w:sz w:val="24"/>
          <w:szCs w:val="24"/>
        </w:rPr>
        <w:t>1.</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Circumstances that make the collection necessary:</w:t>
      </w:r>
    </w:p>
    <w:p w14:paraId="764FDC07"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0B8EF01"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This collection is a notice requirement derived from a rule requiring federally insured credit unions to design their security programs to:</w:t>
      </w:r>
    </w:p>
    <w:p w14:paraId="01B5D9F3"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876F800" w14:textId="77777777" w:rsidR="006C5DA9" w:rsidRPr="009101FB" w:rsidRDefault="006C5DA9" w:rsidP="006C5D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 xml:space="preserve">protect each credit union from robberies, burglaries, larcenies, and embezzlement, </w:t>
      </w:r>
    </w:p>
    <w:p w14:paraId="4714DEBC" w14:textId="77777777" w:rsidR="006C5DA9" w:rsidRPr="009101FB" w:rsidRDefault="006C5DA9" w:rsidP="006C5D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 xml:space="preserve">safeguard member information, </w:t>
      </w:r>
    </w:p>
    <w:p w14:paraId="06B1AEC3" w14:textId="77777777" w:rsidR="006C5DA9" w:rsidRPr="009101FB" w:rsidRDefault="006C5DA9" w:rsidP="006C5D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respond to incidents of unauthorized access to member information,</w:t>
      </w:r>
    </w:p>
    <w:p w14:paraId="698A27DC" w14:textId="77777777" w:rsidR="006C5DA9" w:rsidRPr="009101FB" w:rsidRDefault="006C5DA9" w:rsidP="006C5D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assist in the identification of commit or attempt to commit such actions and crimes, and;</w:t>
      </w:r>
    </w:p>
    <w:p w14:paraId="74280586" w14:textId="77777777" w:rsidR="006C5DA9" w:rsidRPr="009101FB" w:rsidRDefault="006C5DA9" w:rsidP="006C5D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roofErr w:type="gramStart"/>
      <w:r w:rsidRPr="009101FB">
        <w:rPr>
          <w:rFonts w:ascii="Times New Roman" w:hAnsi="Times New Roman" w:cs="Times New Roman"/>
          <w:sz w:val="24"/>
          <w:szCs w:val="24"/>
        </w:rPr>
        <w:t>prevent</w:t>
      </w:r>
      <w:proofErr w:type="gramEnd"/>
      <w:r w:rsidRPr="009101FB">
        <w:rPr>
          <w:rFonts w:ascii="Times New Roman" w:hAnsi="Times New Roman" w:cs="Times New Roman"/>
          <w:sz w:val="24"/>
          <w:szCs w:val="24"/>
        </w:rPr>
        <w:t xml:space="preserve"> destruction of vital records as defined in 12 CFR part 749.  </w:t>
      </w:r>
    </w:p>
    <w:p w14:paraId="3E68E762"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p>
    <w:p w14:paraId="59815E43"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The rule sets forth the minimum requirements of a security program.  It further addresses member notification, filing with the Financial Crimes Enforcement Network (</w:t>
      </w:r>
      <w:proofErr w:type="spellStart"/>
      <w:r w:rsidRPr="009101FB">
        <w:rPr>
          <w:rFonts w:ascii="Times New Roman" w:hAnsi="Times New Roman" w:cs="Times New Roman"/>
          <w:sz w:val="24"/>
          <w:szCs w:val="24"/>
        </w:rPr>
        <w:t>FinCEN</w:t>
      </w:r>
      <w:proofErr w:type="spellEnd"/>
      <w:r w:rsidRPr="009101FB">
        <w:rPr>
          <w:rFonts w:ascii="Times New Roman" w:hAnsi="Times New Roman" w:cs="Times New Roman"/>
          <w:sz w:val="24"/>
          <w:szCs w:val="24"/>
        </w:rPr>
        <w:t>), and monitoring Bank Secrecy Act (BSA) compliance.</w:t>
      </w:r>
    </w:p>
    <w:p w14:paraId="530A0B01"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354F6F6"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 xml:space="preserve">The rule is accompanied by guidance, in the form of appendices A and B.  Appendix A describes NCUA’s expectations for credit unions to safeguard member information.  Appendix B describes NCUA’s expectations for credit union response programs to incidents of unauthorized access to member information.  Both Appendix </w:t>
      </w:r>
      <w:proofErr w:type="gramStart"/>
      <w:r w:rsidRPr="009101FB">
        <w:rPr>
          <w:rFonts w:ascii="Times New Roman" w:hAnsi="Times New Roman" w:cs="Times New Roman"/>
          <w:sz w:val="24"/>
          <w:szCs w:val="24"/>
        </w:rPr>
        <w:t>A</w:t>
      </w:r>
      <w:proofErr w:type="gramEnd"/>
      <w:r w:rsidRPr="009101FB">
        <w:rPr>
          <w:rFonts w:ascii="Times New Roman" w:hAnsi="Times New Roman" w:cs="Times New Roman"/>
          <w:sz w:val="24"/>
          <w:szCs w:val="24"/>
        </w:rPr>
        <w:t xml:space="preserve"> &amp; B closely follows similar guidance published by the other federal banking agencies (Board of Governors of the Federal Reserve System, Federal Deposit Insurance Corporation, and the Office of the Comptroller of the Currency).</w:t>
      </w:r>
    </w:p>
    <w:p w14:paraId="2D930DCA" w14:textId="77777777" w:rsidR="006C5DA9" w:rsidRPr="009101FB" w:rsidRDefault="006C5DA9" w:rsidP="00D178E8">
      <w:pPr>
        <w:rPr>
          <w:rFonts w:ascii="Times New Roman" w:hAnsi="Times New Roman" w:cs="Times New Roman"/>
          <w:sz w:val="24"/>
          <w:szCs w:val="24"/>
        </w:rPr>
      </w:pPr>
    </w:p>
    <w:p w14:paraId="7D84D0BA"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In accordance with Title V of the Gramm-Leach-Bliley Act</w:t>
      </w:r>
      <w:r w:rsidR="00F85618" w:rsidRPr="009101FB">
        <w:rPr>
          <w:rFonts w:ascii="Times New Roman" w:hAnsi="Times New Roman" w:cs="Times New Roman"/>
          <w:sz w:val="24"/>
          <w:szCs w:val="24"/>
        </w:rPr>
        <w:t xml:space="preserve"> (GLBA)</w:t>
      </w:r>
      <w:r w:rsidRPr="009101FB">
        <w:rPr>
          <w:rFonts w:ascii="Times New Roman" w:hAnsi="Times New Roman" w:cs="Times New Roman"/>
          <w:sz w:val="24"/>
          <w:szCs w:val="24"/>
        </w:rPr>
        <w:t>, 15 U.S.C. §§6801 et seq., federally-insured credit unions are required to implement information security programs designed to protect member information as described in Appendix A.  Appendix B describes the components of a response program and establishes a standard for providing notice to members affected by unauthorized access to or use of member information that could result in substantial harm or inconvenience to those members, thereby reducing the risk of losses due to fraud or identity theft.</w:t>
      </w:r>
    </w:p>
    <w:p w14:paraId="6B48614F"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52CA09B6"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The Appendix B guidance describes NCUA’s expectation that "a credit union should notify affected members when it becomes aware of unauthorized access to sensitive member information unless the credit union, after an appropriate investigation, reasonably concludes that misuse is unlikely to occur and takes appropriate steps to safeguard the interests of affected members, including monitoring affected members’ accounts for unusual or suspicious activity."  This third party disclosure is considered a collection of information under the Paperwork Reduction Act.</w:t>
      </w:r>
    </w:p>
    <w:p w14:paraId="2BE36841" w14:textId="77777777" w:rsidR="009334BD" w:rsidRPr="009101FB" w:rsidRDefault="009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E2356FC" w14:textId="77777777"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2.</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Use of the information:</w:t>
      </w:r>
    </w:p>
    <w:p w14:paraId="3CCCE56D" w14:textId="77777777" w:rsidR="00143967" w:rsidRPr="009101FB" w:rsidRDefault="00143967" w:rsidP="001439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1B8A654F"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The collection helps federally insured credit unions to develop and implement administrative, technical, and physical safeguards to: (1) insure the security and confidentiality of member records and information; (2) protect against any anticipated threats or hazards to the security or integrity of such records; and (3) protect against unauthorized access to or use of such records or information that could result in substantial harm or inconvenience to any member.</w:t>
      </w:r>
    </w:p>
    <w:p w14:paraId="275D51F4"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21DD7B4" w14:textId="77777777" w:rsidR="009334BD"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A response program, which this collection is a critical part, contains policies and procedures that enable the credit unions to:  (A) assess the situation to determine the nature and scope of the incident, and identify the information systems and types of member information affected; (B) notify the credit union’s primary Federal regulator and, in accordance with applicable regulations and guidance, file a Suspicious Activity Report and notify appropriate law enforcement agencies; (C) take measures to contain and control the incident to prevent further unauthorized access to or misuse of member information, including shutting down particular applications or third party connections, reconfiguring firewalls, changing computer access codes, and modifying physical access controls; and (D) address and mitigate harm to individual members.</w:t>
      </w:r>
    </w:p>
    <w:p w14:paraId="0DE8FAF9" w14:textId="77777777" w:rsidR="006C5DA9" w:rsidRPr="009101FB" w:rsidRDefault="006C5DA9" w:rsidP="006C5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DF0C91F" w14:textId="77777777" w:rsidR="00DF4B04" w:rsidRPr="009101FB" w:rsidRDefault="00DF4B04" w:rsidP="00DF4B04">
      <w:pPr>
        <w:tabs>
          <w:tab w:val="left" w:pos="-1440"/>
        </w:tabs>
        <w:rPr>
          <w:rFonts w:ascii="Times New Roman" w:hAnsi="Times New Roman" w:cs="Times New Roman"/>
          <w:sz w:val="24"/>
          <w:szCs w:val="24"/>
          <w:u w:val="single"/>
        </w:rPr>
      </w:pPr>
      <w:r w:rsidRPr="009101FB">
        <w:rPr>
          <w:rFonts w:ascii="Times New Roman" w:hAnsi="Times New Roman" w:cs="Times New Roman"/>
          <w:sz w:val="24"/>
          <w:szCs w:val="24"/>
        </w:rPr>
        <w:t>3.</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Consideration of the use of improved information technology:</w:t>
      </w:r>
    </w:p>
    <w:p w14:paraId="5960799C"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5263D39" w14:textId="77777777" w:rsidR="005C713C" w:rsidRPr="009101FB" w:rsidRDefault="004E698B" w:rsidP="005C713C">
      <w:pPr>
        <w:pStyle w:val="Footer"/>
        <w:tabs>
          <w:tab w:val="clear" w:pos="4320"/>
          <w:tab w:val="clear" w:pos="8640"/>
        </w:tabs>
        <w:rPr>
          <w:rFonts w:ascii="Times New Roman" w:hAnsi="Times New Roman" w:cs="Times New Roman"/>
          <w:sz w:val="24"/>
          <w:szCs w:val="24"/>
        </w:rPr>
      </w:pPr>
      <w:r w:rsidRPr="009101FB">
        <w:rPr>
          <w:rFonts w:ascii="Times New Roman" w:hAnsi="Times New Roman" w:cs="Times New Roman"/>
          <w:sz w:val="24"/>
          <w:szCs w:val="24"/>
        </w:rPr>
        <w:t>Annual certification</w:t>
      </w:r>
      <w:r w:rsidR="00013BBE" w:rsidRPr="009101FB">
        <w:rPr>
          <w:rFonts w:ascii="Times New Roman" w:hAnsi="Times New Roman" w:cs="Times New Roman"/>
          <w:sz w:val="24"/>
          <w:szCs w:val="24"/>
        </w:rPr>
        <w:t xml:space="preserve"> </w:t>
      </w:r>
      <w:r w:rsidR="00764DD7" w:rsidRPr="009101FB">
        <w:rPr>
          <w:rFonts w:ascii="Times New Roman" w:hAnsi="Times New Roman" w:cs="Times New Roman"/>
          <w:sz w:val="24"/>
          <w:szCs w:val="24"/>
        </w:rPr>
        <w:t xml:space="preserve">conducted </w:t>
      </w:r>
      <w:r w:rsidR="00013BBE" w:rsidRPr="009101FB">
        <w:rPr>
          <w:rFonts w:ascii="Times New Roman" w:hAnsi="Times New Roman" w:cs="Times New Roman"/>
          <w:sz w:val="24"/>
          <w:szCs w:val="24"/>
        </w:rPr>
        <w:t xml:space="preserve">through NCUA’s online information management system (OMB No. 3133-0004) and </w:t>
      </w:r>
      <w:r w:rsidR="00764DD7" w:rsidRPr="009101FB">
        <w:rPr>
          <w:rFonts w:ascii="Times New Roman" w:hAnsi="Times New Roman" w:cs="Times New Roman"/>
          <w:sz w:val="24"/>
          <w:szCs w:val="24"/>
        </w:rPr>
        <w:t xml:space="preserve">suspicious activity reporting through </w:t>
      </w:r>
      <w:proofErr w:type="spellStart"/>
      <w:r w:rsidR="00764DD7" w:rsidRPr="009101FB">
        <w:rPr>
          <w:rFonts w:ascii="Times New Roman" w:hAnsi="Times New Roman" w:cs="Times New Roman"/>
          <w:sz w:val="24"/>
          <w:szCs w:val="24"/>
        </w:rPr>
        <w:t>FinCEN’s</w:t>
      </w:r>
      <w:proofErr w:type="spellEnd"/>
      <w:r w:rsidR="00764DD7" w:rsidRPr="009101FB">
        <w:rPr>
          <w:rFonts w:ascii="Times New Roman" w:hAnsi="Times New Roman" w:cs="Times New Roman"/>
          <w:sz w:val="24"/>
          <w:szCs w:val="24"/>
        </w:rPr>
        <w:t xml:space="preserve"> web-based BSA E-Filing website </w:t>
      </w:r>
      <w:r w:rsidR="00013BBE" w:rsidRPr="009101FB">
        <w:rPr>
          <w:rFonts w:ascii="Times New Roman" w:hAnsi="Times New Roman" w:cs="Times New Roman"/>
          <w:sz w:val="24"/>
          <w:szCs w:val="24"/>
        </w:rPr>
        <w:t>(OMB No. 1506-0065)</w:t>
      </w:r>
      <w:r w:rsidR="00764DD7" w:rsidRPr="009101FB">
        <w:rPr>
          <w:rFonts w:ascii="Times New Roman" w:hAnsi="Times New Roman" w:cs="Times New Roman"/>
          <w:sz w:val="24"/>
          <w:szCs w:val="24"/>
        </w:rPr>
        <w:t xml:space="preserve"> are cleared under separate OMB numbers</w:t>
      </w:r>
      <w:r w:rsidR="00013BBE" w:rsidRPr="009101FB">
        <w:rPr>
          <w:rFonts w:ascii="Times New Roman" w:hAnsi="Times New Roman" w:cs="Times New Roman"/>
          <w:sz w:val="24"/>
          <w:szCs w:val="24"/>
        </w:rPr>
        <w:t xml:space="preserve">.   </w:t>
      </w:r>
    </w:p>
    <w:p w14:paraId="07078E99" w14:textId="77777777" w:rsidR="009334BD" w:rsidRPr="009101FB" w:rsidRDefault="009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7F643B8" w14:textId="77777777"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4.</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Efforts to identify duplication:</w:t>
      </w:r>
    </w:p>
    <w:p w14:paraId="4D90D644"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878C22C"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The information collection is unique to federally-insured credit unions and is not duplicated elsewhere.</w:t>
      </w:r>
    </w:p>
    <w:p w14:paraId="5BBDF929" w14:textId="77777777" w:rsidR="009334BD" w:rsidRPr="009101FB" w:rsidRDefault="009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20C784E" w14:textId="77777777"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5.</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Methods used to minimize burden if the collection has a significant impact on substantial number of small entities:</w:t>
      </w:r>
    </w:p>
    <w:p w14:paraId="53701D14"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F1872D1" w14:textId="77777777" w:rsidR="005C713C" w:rsidRPr="009101FB" w:rsidRDefault="0052527A" w:rsidP="005C713C">
      <w:pPr>
        <w:pStyle w:val="Footer"/>
        <w:tabs>
          <w:tab w:val="clear" w:pos="4320"/>
          <w:tab w:val="clear" w:pos="8640"/>
        </w:tabs>
        <w:rPr>
          <w:rFonts w:ascii="Times New Roman" w:hAnsi="Times New Roman" w:cs="Times New Roman"/>
          <w:sz w:val="24"/>
          <w:szCs w:val="24"/>
        </w:rPr>
      </w:pPr>
      <w:r w:rsidRPr="009101FB">
        <w:rPr>
          <w:rFonts w:ascii="Times New Roman" w:hAnsi="Times New Roman" w:cs="Times New Roman"/>
          <w:sz w:val="24"/>
          <w:szCs w:val="24"/>
        </w:rPr>
        <w:t xml:space="preserve">The guidelines implementing the provisions of the GLBA applies to all financial institutions.  </w:t>
      </w:r>
      <w:r w:rsidR="00764DD7" w:rsidRPr="009101FB">
        <w:rPr>
          <w:rFonts w:ascii="Times New Roman" w:hAnsi="Times New Roman" w:cs="Times New Roman"/>
          <w:sz w:val="24"/>
          <w:szCs w:val="24"/>
        </w:rPr>
        <w:t xml:space="preserve"> The </w:t>
      </w:r>
      <w:r w:rsidRPr="009101FB">
        <w:rPr>
          <w:rFonts w:ascii="Times New Roman" w:hAnsi="Times New Roman" w:cs="Times New Roman"/>
          <w:sz w:val="24"/>
          <w:szCs w:val="24"/>
        </w:rPr>
        <w:t xml:space="preserve">response program </w:t>
      </w:r>
      <w:r w:rsidR="00764DD7" w:rsidRPr="009101FB">
        <w:rPr>
          <w:rFonts w:ascii="Times New Roman" w:hAnsi="Times New Roman" w:cs="Times New Roman"/>
          <w:sz w:val="24"/>
          <w:szCs w:val="24"/>
        </w:rPr>
        <w:t>guidance provides each credit union with flexibility to design a risk-based response program tailored to the size, complexity</w:t>
      </w:r>
      <w:r w:rsidR="004E698B" w:rsidRPr="009101FB">
        <w:rPr>
          <w:rFonts w:ascii="Times New Roman" w:hAnsi="Times New Roman" w:cs="Times New Roman"/>
          <w:sz w:val="24"/>
          <w:szCs w:val="24"/>
        </w:rPr>
        <w:t>,</w:t>
      </w:r>
      <w:r w:rsidR="00764DD7" w:rsidRPr="009101FB">
        <w:rPr>
          <w:rFonts w:ascii="Times New Roman" w:hAnsi="Times New Roman" w:cs="Times New Roman"/>
          <w:sz w:val="24"/>
          <w:szCs w:val="24"/>
        </w:rPr>
        <w:t xml:space="preserve"> and nature of its operations</w:t>
      </w:r>
      <w:r w:rsidRPr="009101FB">
        <w:rPr>
          <w:rFonts w:ascii="Times New Roman" w:hAnsi="Times New Roman" w:cs="Times New Roman"/>
          <w:sz w:val="24"/>
          <w:szCs w:val="24"/>
        </w:rPr>
        <w:t>.</w:t>
      </w:r>
    </w:p>
    <w:p w14:paraId="37F97AA4" w14:textId="77777777" w:rsidR="009334BD" w:rsidRPr="009101FB" w:rsidRDefault="009334BD" w:rsidP="006C5DA9">
      <w:pPr>
        <w:rPr>
          <w:rFonts w:ascii="Times New Roman" w:hAnsi="Times New Roman" w:cs="Times New Roman"/>
          <w:sz w:val="24"/>
          <w:szCs w:val="24"/>
        </w:rPr>
      </w:pPr>
    </w:p>
    <w:p w14:paraId="78E2C0B0" w14:textId="77777777"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6.</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Consequences to the Federal program if the collections were conducted less frequently:</w:t>
      </w:r>
    </w:p>
    <w:p w14:paraId="2E071B59" w14:textId="77777777" w:rsidR="00DF4B04" w:rsidRPr="009101FB" w:rsidRDefault="00DF4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1B0DF1A" w14:textId="77777777" w:rsidR="005C713C" w:rsidRPr="009101FB" w:rsidRDefault="00D81F1F" w:rsidP="005C713C">
      <w:pPr>
        <w:pStyle w:val="Footer"/>
        <w:tabs>
          <w:tab w:val="clear" w:pos="4320"/>
          <w:tab w:val="clear" w:pos="8640"/>
        </w:tabs>
        <w:rPr>
          <w:rFonts w:ascii="Times New Roman" w:hAnsi="Times New Roman" w:cs="Times New Roman"/>
          <w:sz w:val="24"/>
          <w:szCs w:val="24"/>
        </w:rPr>
      </w:pPr>
      <w:r w:rsidRPr="009101FB">
        <w:rPr>
          <w:rFonts w:ascii="Times New Roman" w:hAnsi="Times New Roman" w:cs="Times New Roman"/>
          <w:sz w:val="24"/>
          <w:szCs w:val="24"/>
        </w:rPr>
        <w:t>NCUA</w:t>
      </w:r>
      <w:r w:rsidR="005C713C" w:rsidRPr="009101FB">
        <w:rPr>
          <w:rFonts w:ascii="Times New Roman" w:hAnsi="Times New Roman" w:cs="Times New Roman"/>
          <w:sz w:val="24"/>
          <w:szCs w:val="24"/>
        </w:rPr>
        <w:t xml:space="preserve"> believes that less frequent collection (</w:t>
      </w:r>
      <w:r w:rsidR="0087064D" w:rsidRPr="009101FB">
        <w:rPr>
          <w:rFonts w:ascii="Times New Roman" w:hAnsi="Times New Roman" w:cs="Times New Roman"/>
          <w:sz w:val="24"/>
          <w:szCs w:val="24"/>
        </w:rPr>
        <w:t xml:space="preserve">i.e., a less comprehensive security program with diminished expectations as to the member response elements) </w:t>
      </w:r>
      <w:r w:rsidR="005C713C" w:rsidRPr="009101FB">
        <w:rPr>
          <w:rFonts w:ascii="Times New Roman" w:hAnsi="Times New Roman" w:cs="Times New Roman"/>
          <w:sz w:val="24"/>
          <w:szCs w:val="24"/>
        </w:rPr>
        <w:t xml:space="preserve">would result in harm to </w:t>
      </w:r>
      <w:r w:rsidRPr="009101FB">
        <w:rPr>
          <w:rFonts w:ascii="Times New Roman" w:hAnsi="Times New Roman" w:cs="Times New Roman"/>
          <w:sz w:val="24"/>
          <w:szCs w:val="24"/>
        </w:rPr>
        <w:t>credit union members</w:t>
      </w:r>
      <w:r w:rsidR="005C713C" w:rsidRPr="009101FB">
        <w:rPr>
          <w:rFonts w:ascii="Times New Roman" w:hAnsi="Times New Roman" w:cs="Times New Roman"/>
          <w:sz w:val="24"/>
          <w:szCs w:val="24"/>
        </w:rPr>
        <w:t>.</w:t>
      </w:r>
    </w:p>
    <w:p w14:paraId="4AFE33D6" w14:textId="77777777" w:rsidR="009101FB" w:rsidRDefault="009101FB">
      <w:pPr>
        <w:overflowPunct/>
        <w:autoSpaceDE/>
        <w:autoSpaceDN/>
        <w:adjustRightInd/>
        <w:textAlignment w:val="auto"/>
        <w:rPr>
          <w:rFonts w:ascii="Times New Roman" w:hAnsi="Times New Roman" w:cs="Times New Roman"/>
          <w:sz w:val="24"/>
          <w:szCs w:val="24"/>
        </w:rPr>
      </w:pPr>
      <w:r>
        <w:rPr>
          <w:rFonts w:ascii="Times New Roman" w:hAnsi="Times New Roman" w:cs="Times New Roman"/>
          <w:sz w:val="24"/>
          <w:szCs w:val="24"/>
        </w:rPr>
        <w:br w:type="page"/>
      </w:r>
    </w:p>
    <w:p w14:paraId="164B5938" w14:textId="001544D4" w:rsidR="00DF4B04" w:rsidRPr="009101FB" w:rsidRDefault="00DF4B04" w:rsidP="00D05C44">
      <w:pPr>
        <w:overflowPunct/>
        <w:autoSpaceDE/>
        <w:autoSpaceDN/>
        <w:adjustRightInd/>
        <w:textAlignment w:val="auto"/>
        <w:rPr>
          <w:rFonts w:ascii="Times New Roman" w:hAnsi="Times New Roman" w:cs="Times New Roman"/>
          <w:sz w:val="24"/>
          <w:szCs w:val="24"/>
        </w:rPr>
      </w:pPr>
      <w:r w:rsidRPr="009101FB">
        <w:rPr>
          <w:rFonts w:ascii="Times New Roman" w:hAnsi="Times New Roman" w:cs="Times New Roman"/>
          <w:sz w:val="24"/>
          <w:szCs w:val="24"/>
        </w:rPr>
        <w:lastRenderedPageBreak/>
        <w:t>7.</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 xml:space="preserve">Special circumstances necessitating collection inconsistent with 5 CFR </w:t>
      </w:r>
      <w:r w:rsidR="000E1684" w:rsidRPr="009101FB">
        <w:rPr>
          <w:rFonts w:ascii="Times New Roman" w:hAnsi="Times New Roman" w:cs="Times New Roman"/>
          <w:sz w:val="24"/>
          <w:szCs w:val="24"/>
          <w:u w:val="single"/>
        </w:rPr>
        <w:t>§</w:t>
      </w:r>
      <w:r w:rsidRPr="009101FB">
        <w:rPr>
          <w:rFonts w:ascii="Times New Roman" w:hAnsi="Times New Roman" w:cs="Times New Roman"/>
          <w:sz w:val="24"/>
          <w:szCs w:val="24"/>
          <w:u w:val="single"/>
        </w:rPr>
        <w:t>1320</w:t>
      </w:r>
      <w:r w:rsidR="000E1684" w:rsidRPr="009101FB">
        <w:rPr>
          <w:rFonts w:ascii="Times New Roman" w:hAnsi="Times New Roman" w:cs="Times New Roman"/>
          <w:sz w:val="24"/>
          <w:szCs w:val="24"/>
          <w:u w:val="single"/>
        </w:rPr>
        <w:t>.5(d</w:t>
      </w:r>
      <w:proofErr w:type="gramStart"/>
      <w:r w:rsidR="000E1684" w:rsidRPr="009101FB">
        <w:rPr>
          <w:rFonts w:ascii="Times New Roman" w:hAnsi="Times New Roman" w:cs="Times New Roman"/>
          <w:sz w:val="24"/>
          <w:szCs w:val="24"/>
          <w:u w:val="single"/>
        </w:rPr>
        <w:t>)(</w:t>
      </w:r>
      <w:proofErr w:type="gramEnd"/>
      <w:r w:rsidR="000E1684" w:rsidRPr="009101FB">
        <w:rPr>
          <w:rFonts w:ascii="Times New Roman" w:hAnsi="Times New Roman" w:cs="Times New Roman"/>
          <w:sz w:val="24"/>
          <w:szCs w:val="24"/>
          <w:u w:val="single"/>
        </w:rPr>
        <w:t>2)</w:t>
      </w:r>
      <w:r w:rsidRPr="009101FB">
        <w:rPr>
          <w:rFonts w:ascii="Times New Roman" w:hAnsi="Times New Roman" w:cs="Times New Roman"/>
          <w:sz w:val="24"/>
          <w:szCs w:val="24"/>
          <w:u w:val="single"/>
        </w:rPr>
        <w:t>:</w:t>
      </w:r>
    </w:p>
    <w:p w14:paraId="63AA80AC"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1F1743B1" w14:textId="77777777" w:rsidR="005C713C" w:rsidRPr="009101FB" w:rsidRDefault="000E1684" w:rsidP="005C713C">
      <w:pPr>
        <w:pStyle w:val="Footer"/>
        <w:tabs>
          <w:tab w:val="clear" w:pos="4320"/>
          <w:tab w:val="clear" w:pos="8640"/>
        </w:tabs>
        <w:rPr>
          <w:rFonts w:ascii="Times New Roman" w:hAnsi="Times New Roman" w:cs="Times New Roman"/>
          <w:sz w:val="24"/>
          <w:szCs w:val="24"/>
        </w:rPr>
      </w:pPr>
      <w:r w:rsidRPr="009101FB">
        <w:rPr>
          <w:rFonts w:ascii="Times New Roman" w:hAnsi="Times New Roman" w:cs="Times New Roman"/>
          <w:sz w:val="24"/>
          <w:szCs w:val="24"/>
        </w:rPr>
        <w:t>The collection of information is conducted in a manner consistent with the requirements of 5 CFR 1320.5(d</w:t>
      </w:r>
      <w:proofErr w:type="gramStart"/>
      <w:r w:rsidRPr="009101FB">
        <w:rPr>
          <w:rFonts w:ascii="Times New Roman" w:hAnsi="Times New Roman" w:cs="Times New Roman"/>
          <w:sz w:val="24"/>
          <w:szCs w:val="24"/>
        </w:rPr>
        <w:t>)(</w:t>
      </w:r>
      <w:proofErr w:type="gramEnd"/>
      <w:r w:rsidRPr="009101FB">
        <w:rPr>
          <w:rFonts w:ascii="Times New Roman" w:hAnsi="Times New Roman" w:cs="Times New Roman"/>
          <w:sz w:val="24"/>
          <w:szCs w:val="24"/>
        </w:rPr>
        <w:t>2)</w:t>
      </w:r>
      <w:r w:rsidR="005C713C" w:rsidRPr="009101FB">
        <w:rPr>
          <w:rFonts w:ascii="Times New Roman" w:hAnsi="Times New Roman" w:cs="Times New Roman"/>
          <w:sz w:val="24"/>
          <w:szCs w:val="24"/>
        </w:rPr>
        <w:t xml:space="preserve"> </w:t>
      </w:r>
    </w:p>
    <w:p w14:paraId="5A8CA4C8" w14:textId="77777777" w:rsidR="00C4175B" w:rsidRPr="009101FB" w:rsidRDefault="00C417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09A716F" w14:textId="77777777"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8.</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Efforts to consult with persons outside the agency:</w:t>
      </w:r>
    </w:p>
    <w:p w14:paraId="1FFE94EE"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4A42DA1" w14:textId="33A29653" w:rsidR="00B963FA" w:rsidRPr="009101FB" w:rsidRDefault="004E698B" w:rsidP="00B96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 xml:space="preserve">A 60-day notice was published in the </w:t>
      </w:r>
      <w:r w:rsidRPr="009101FB">
        <w:rPr>
          <w:rFonts w:ascii="Times New Roman" w:hAnsi="Times New Roman" w:cs="Times New Roman"/>
          <w:i/>
          <w:sz w:val="24"/>
          <w:szCs w:val="24"/>
        </w:rPr>
        <w:t>Federal Register</w:t>
      </w:r>
      <w:r w:rsidRPr="009101FB">
        <w:rPr>
          <w:rFonts w:ascii="Times New Roman" w:hAnsi="Times New Roman" w:cs="Times New Roman"/>
          <w:sz w:val="24"/>
          <w:szCs w:val="24"/>
        </w:rPr>
        <w:t xml:space="preserve"> on </w:t>
      </w:r>
      <w:r w:rsidR="00B86E08" w:rsidRPr="009101FB">
        <w:rPr>
          <w:rFonts w:ascii="Times New Roman" w:hAnsi="Times New Roman" w:cs="Times New Roman"/>
          <w:sz w:val="24"/>
          <w:szCs w:val="24"/>
        </w:rPr>
        <w:t xml:space="preserve">August 16, 2016, </w:t>
      </w:r>
      <w:r w:rsidRPr="009101FB">
        <w:rPr>
          <w:rFonts w:ascii="Times New Roman" w:hAnsi="Times New Roman" w:cs="Times New Roman"/>
          <w:sz w:val="24"/>
          <w:szCs w:val="24"/>
        </w:rPr>
        <w:t>at</w:t>
      </w:r>
      <w:r w:rsidR="009101FB">
        <w:rPr>
          <w:rFonts w:ascii="Times New Roman" w:hAnsi="Times New Roman" w:cs="Times New Roman"/>
          <w:sz w:val="24"/>
          <w:szCs w:val="24"/>
        </w:rPr>
        <w:t xml:space="preserve"> </w:t>
      </w:r>
      <w:bookmarkStart w:id="0" w:name="_GoBack"/>
      <w:bookmarkEnd w:id="0"/>
      <w:r w:rsidR="00B86E08" w:rsidRPr="009101FB">
        <w:rPr>
          <w:rFonts w:ascii="Times New Roman" w:hAnsi="Times New Roman" w:cs="Times New Roman"/>
          <w:sz w:val="24"/>
          <w:szCs w:val="24"/>
        </w:rPr>
        <w:t>81 FR 54608,</w:t>
      </w:r>
      <w:r w:rsidRPr="009101FB">
        <w:rPr>
          <w:rFonts w:ascii="Times New Roman" w:hAnsi="Times New Roman" w:cs="Times New Roman"/>
          <w:sz w:val="24"/>
          <w:szCs w:val="24"/>
        </w:rPr>
        <w:t xml:space="preserve"> soliciting comments from the public and no comments were received.  </w:t>
      </w:r>
    </w:p>
    <w:p w14:paraId="297731B0" w14:textId="77777777" w:rsidR="009334BD" w:rsidRPr="009101FB" w:rsidRDefault="009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5CB9E941" w14:textId="77777777" w:rsidR="00DF4B04" w:rsidRPr="009101FB" w:rsidRDefault="00DF4B04" w:rsidP="00DF4B04">
      <w:pPr>
        <w:rPr>
          <w:rFonts w:ascii="Times New Roman" w:hAnsi="Times New Roman" w:cs="Times New Roman"/>
          <w:sz w:val="24"/>
          <w:szCs w:val="24"/>
        </w:rPr>
      </w:pPr>
      <w:r w:rsidRPr="009101FB">
        <w:rPr>
          <w:rFonts w:ascii="Times New Roman" w:hAnsi="Times New Roman" w:cs="Times New Roman"/>
          <w:sz w:val="24"/>
          <w:szCs w:val="24"/>
        </w:rPr>
        <w:t>9.</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Payment to respondents:</w:t>
      </w:r>
    </w:p>
    <w:p w14:paraId="633644EB"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3FED133" w14:textId="77777777" w:rsidR="0053633C" w:rsidRPr="009101FB" w:rsidRDefault="00915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w:t>
      </w:r>
      <w:r w:rsidR="001F24F1" w:rsidRPr="009101FB">
        <w:rPr>
          <w:rFonts w:ascii="Times New Roman" w:hAnsi="Times New Roman" w:cs="Times New Roman"/>
          <w:sz w:val="24"/>
          <w:szCs w:val="24"/>
        </w:rPr>
        <w:t xml:space="preserve">ere </w:t>
      </w:r>
      <w:r w:rsidR="004E698B" w:rsidRPr="009101FB">
        <w:rPr>
          <w:rFonts w:ascii="Times New Roman" w:hAnsi="Times New Roman" w:cs="Times New Roman"/>
          <w:sz w:val="24"/>
          <w:szCs w:val="24"/>
        </w:rPr>
        <w:t>are no</w:t>
      </w:r>
      <w:r w:rsidR="001F24F1" w:rsidRPr="009101FB">
        <w:rPr>
          <w:rFonts w:ascii="Times New Roman" w:hAnsi="Times New Roman" w:cs="Times New Roman"/>
          <w:sz w:val="24"/>
          <w:szCs w:val="24"/>
        </w:rPr>
        <w:t xml:space="preserve"> payment</w:t>
      </w:r>
      <w:r w:rsidR="004E698B" w:rsidRPr="009101FB">
        <w:rPr>
          <w:rFonts w:ascii="Times New Roman" w:hAnsi="Times New Roman" w:cs="Times New Roman"/>
          <w:sz w:val="24"/>
          <w:szCs w:val="24"/>
        </w:rPr>
        <w:t>s</w:t>
      </w:r>
      <w:r w:rsidR="001F24F1" w:rsidRPr="009101FB">
        <w:rPr>
          <w:rFonts w:ascii="Times New Roman" w:hAnsi="Times New Roman" w:cs="Times New Roman"/>
          <w:sz w:val="24"/>
          <w:szCs w:val="24"/>
        </w:rPr>
        <w:t xml:space="preserve"> or gift </w:t>
      </w:r>
      <w:r w:rsidR="004E698B" w:rsidRPr="009101FB">
        <w:rPr>
          <w:rFonts w:ascii="Times New Roman" w:hAnsi="Times New Roman" w:cs="Times New Roman"/>
          <w:sz w:val="24"/>
          <w:szCs w:val="24"/>
        </w:rPr>
        <w:t xml:space="preserve">provided </w:t>
      </w:r>
      <w:r w:rsidR="001F24F1" w:rsidRPr="009101FB">
        <w:rPr>
          <w:rFonts w:ascii="Times New Roman" w:hAnsi="Times New Roman" w:cs="Times New Roman"/>
          <w:sz w:val="24"/>
          <w:szCs w:val="24"/>
        </w:rPr>
        <w:t>to respondents.</w:t>
      </w:r>
    </w:p>
    <w:p w14:paraId="51AC6599" w14:textId="77777777" w:rsidR="009334BD" w:rsidRPr="009101FB" w:rsidRDefault="009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5DC270C7" w14:textId="77777777"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10.</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Any assurance of confidentiality:</w:t>
      </w:r>
    </w:p>
    <w:p w14:paraId="076D661A"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AF2A4D4" w14:textId="77777777" w:rsidR="005C713C" w:rsidRPr="009101FB" w:rsidRDefault="008F0E07" w:rsidP="005C713C">
      <w:pPr>
        <w:rPr>
          <w:rFonts w:ascii="Times New Roman" w:hAnsi="Times New Roman" w:cs="Times New Roman"/>
          <w:sz w:val="24"/>
          <w:szCs w:val="24"/>
        </w:rPr>
      </w:pPr>
      <w:r w:rsidRPr="009101FB">
        <w:rPr>
          <w:rFonts w:ascii="Times New Roman" w:hAnsi="Times New Roman" w:cs="Times New Roman"/>
          <w:sz w:val="24"/>
          <w:szCs w:val="24"/>
        </w:rPr>
        <w:t>Federally</w:t>
      </w:r>
      <w:r w:rsidR="009334BD" w:rsidRPr="009101FB">
        <w:rPr>
          <w:rFonts w:ascii="Times New Roman" w:hAnsi="Times New Roman" w:cs="Times New Roman"/>
          <w:sz w:val="24"/>
          <w:szCs w:val="24"/>
        </w:rPr>
        <w:t>-</w:t>
      </w:r>
      <w:r w:rsidRPr="009101FB">
        <w:rPr>
          <w:rFonts w:ascii="Times New Roman" w:hAnsi="Times New Roman" w:cs="Times New Roman"/>
          <w:sz w:val="24"/>
          <w:szCs w:val="24"/>
        </w:rPr>
        <w:t>insured credit unions</w:t>
      </w:r>
      <w:r w:rsidR="00C92A68" w:rsidRPr="009101FB">
        <w:rPr>
          <w:rFonts w:ascii="Times New Roman" w:hAnsi="Times New Roman" w:cs="Times New Roman"/>
          <w:sz w:val="24"/>
          <w:szCs w:val="24"/>
        </w:rPr>
        <w:t xml:space="preserve">, </w:t>
      </w:r>
      <w:r w:rsidR="00F941BA" w:rsidRPr="009101FB">
        <w:rPr>
          <w:rFonts w:ascii="Times New Roman" w:hAnsi="Times New Roman" w:cs="Times New Roman"/>
          <w:sz w:val="24"/>
          <w:szCs w:val="24"/>
        </w:rPr>
        <w:t>like</w:t>
      </w:r>
      <w:r w:rsidR="00C92A68" w:rsidRPr="009101FB">
        <w:rPr>
          <w:rFonts w:ascii="Times New Roman" w:hAnsi="Times New Roman" w:cs="Times New Roman"/>
          <w:sz w:val="24"/>
          <w:szCs w:val="24"/>
        </w:rPr>
        <w:t xml:space="preserve"> all </w:t>
      </w:r>
      <w:r w:rsidR="00F941BA" w:rsidRPr="009101FB">
        <w:rPr>
          <w:rFonts w:ascii="Times New Roman" w:hAnsi="Times New Roman" w:cs="Times New Roman"/>
          <w:sz w:val="24"/>
          <w:szCs w:val="24"/>
        </w:rPr>
        <w:t xml:space="preserve">other </w:t>
      </w:r>
      <w:r w:rsidR="00C92A68" w:rsidRPr="009101FB">
        <w:rPr>
          <w:rFonts w:ascii="Times New Roman" w:hAnsi="Times New Roman" w:cs="Times New Roman"/>
          <w:sz w:val="24"/>
          <w:szCs w:val="24"/>
        </w:rPr>
        <w:t xml:space="preserve">regulated financial institutions, are required to preserve and maintain the confidentiality of member financial information.  All </w:t>
      </w:r>
      <w:r w:rsidR="009334BD" w:rsidRPr="009101FB">
        <w:rPr>
          <w:rFonts w:ascii="Times New Roman" w:hAnsi="Times New Roman" w:cs="Times New Roman"/>
          <w:sz w:val="24"/>
          <w:szCs w:val="24"/>
        </w:rPr>
        <w:t xml:space="preserve">collected </w:t>
      </w:r>
      <w:r w:rsidR="00C92A68" w:rsidRPr="009101FB">
        <w:rPr>
          <w:rFonts w:ascii="Times New Roman" w:hAnsi="Times New Roman" w:cs="Times New Roman"/>
          <w:sz w:val="24"/>
          <w:szCs w:val="24"/>
        </w:rPr>
        <w:t>information associated with this rule would be treated</w:t>
      </w:r>
      <w:r w:rsidR="005C713C" w:rsidRPr="009101FB">
        <w:rPr>
          <w:rFonts w:ascii="Times New Roman" w:hAnsi="Times New Roman" w:cs="Times New Roman"/>
          <w:sz w:val="24"/>
          <w:szCs w:val="24"/>
        </w:rPr>
        <w:t xml:space="preserve"> with the same degree of confidentiality as other disclosures of sensitive </w:t>
      </w:r>
      <w:r w:rsidRPr="009101FB">
        <w:rPr>
          <w:rFonts w:ascii="Times New Roman" w:hAnsi="Times New Roman" w:cs="Times New Roman"/>
          <w:sz w:val="24"/>
          <w:szCs w:val="24"/>
        </w:rPr>
        <w:t>member</w:t>
      </w:r>
      <w:r w:rsidR="005C713C" w:rsidRPr="009101FB">
        <w:rPr>
          <w:rFonts w:ascii="Times New Roman" w:hAnsi="Times New Roman" w:cs="Times New Roman"/>
          <w:sz w:val="24"/>
          <w:szCs w:val="24"/>
        </w:rPr>
        <w:t xml:space="preserve"> information.</w:t>
      </w:r>
    </w:p>
    <w:p w14:paraId="19AA0108" w14:textId="77777777" w:rsidR="009334BD" w:rsidRPr="009101FB" w:rsidRDefault="009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9F6433C" w14:textId="77777777"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11.</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Justification for questions of a sensitive nature:</w:t>
      </w:r>
    </w:p>
    <w:p w14:paraId="677E1888"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B7FFB09" w14:textId="77777777" w:rsidR="005C713C" w:rsidRPr="009101FB" w:rsidRDefault="004E698B" w:rsidP="005C713C">
      <w:pPr>
        <w:rPr>
          <w:rFonts w:ascii="Times New Roman" w:hAnsi="Times New Roman" w:cs="Times New Roman"/>
          <w:sz w:val="24"/>
          <w:szCs w:val="24"/>
        </w:rPr>
      </w:pPr>
      <w:r w:rsidRPr="009101FB">
        <w:rPr>
          <w:rFonts w:ascii="Times New Roman" w:hAnsi="Times New Roman" w:cs="Times New Roman"/>
          <w:sz w:val="24"/>
          <w:szCs w:val="24"/>
        </w:rPr>
        <w:t xml:space="preserve">No personally identifiable information (PII) is collected.  </w:t>
      </w:r>
    </w:p>
    <w:p w14:paraId="27CE7C1C" w14:textId="77777777" w:rsidR="009334BD" w:rsidRPr="009101FB" w:rsidRDefault="00933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77C111E" w14:textId="77777777"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12.</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Burden estimate:</w:t>
      </w:r>
    </w:p>
    <w:p w14:paraId="2DA988A9"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5BEC9049" w14:textId="77777777" w:rsidR="005C713C" w:rsidRPr="009101FB" w:rsidRDefault="00BF70A1" w:rsidP="008F0E07">
      <w:pPr>
        <w:pStyle w:val="BodyText"/>
        <w:jc w:val="left"/>
        <w:rPr>
          <w:rFonts w:ascii="Times New Roman" w:hAnsi="Times New Roman"/>
          <w:b w:val="0"/>
          <w:szCs w:val="24"/>
        </w:rPr>
      </w:pPr>
      <w:r w:rsidRPr="009101FB">
        <w:rPr>
          <w:rFonts w:ascii="Times New Roman" w:hAnsi="Times New Roman"/>
          <w:b w:val="0"/>
          <w:szCs w:val="24"/>
        </w:rPr>
        <w:t>As of December 31, 2015, there were 6,021 FICUs.  NCUA estimates 4 new FICUs will be chartered in 2016 based upon 2015 new charters.  For the renewal of</w:t>
      </w:r>
      <w:r w:rsidR="005C713C" w:rsidRPr="009101FB">
        <w:rPr>
          <w:rFonts w:ascii="Times New Roman" w:hAnsi="Times New Roman"/>
          <w:b w:val="0"/>
          <w:szCs w:val="24"/>
        </w:rPr>
        <w:t xml:space="preserve"> </w:t>
      </w:r>
      <w:r w:rsidRPr="009101FB">
        <w:rPr>
          <w:rFonts w:ascii="Times New Roman" w:hAnsi="Times New Roman"/>
          <w:b w:val="0"/>
          <w:szCs w:val="24"/>
        </w:rPr>
        <w:t>this collection, NCUA</w:t>
      </w:r>
      <w:r w:rsidR="005C713C" w:rsidRPr="009101FB">
        <w:rPr>
          <w:rFonts w:ascii="Times New Roman" w:hAnsi="Times New Roman"/>
          <w:b w:val="0"/>
          <w:szCs w:val="24"/>
        </w:rPr>
        <w:t xml:space="preserve"> estimate</w:t>
      </w:r>
      <w:r w:rsidRPr="009101FB">
        <w:rPr>
          <w:rFonts w:ascii="Times New Roman" w:hAnsi="Times New Roman"/>
          <w:b w:val="0"/>
          <w:szCs w:val="24"/>
        </w:rPr>
        <w:t>s</w:t>
      </w:r>
      <w:r w:rsidR="005C713C" w:rsidRPr="009101FB">
        <w:rPr>
          <w:rFonts w:ascii="Times New Roman" w:hAnsi="Times New Roman"/>
          <w:b w:val="0"/>
          <w:szCs w:val="24"/>
        </w:rPr>
        <w:t xml:space="preserve"> it will take </w:t>
      </w:r>
      <w:r w:rsidRPr="009101FB">
        <w:rPr>
          <w:rFonts w:ascii="Times New Roman" w:hAnsi="Times New Roman"/>
          <w:b w:val="0"/>
          <w:szCs w:val="24"/>
        </w:rPr>
        <w:t xml:space="preserve">a newly chartered </w:t>
      </w:r>
      <w:r w:rsidR="008F0E07" w:rsidRPr="009101FB">
        <w:rPr>
          <w:rFonts w:ascii="Times New Roman" w:hAnsi="Times New Roman"/>
          <w:b w:val="0"/>
          <w:szCs w:val="24"/>
        </w:rPr>
        <w:t>federally</w:t>
      </w:r>
      <w:r w:rsidR="009334BD" w:rsidRPr="009101FB">
        <w:rPr>
          <w:rFonts w:ascii="Times New Roman" w:hAnsi="Times New Roman"/>
          <w:b w:val="0"/>
          <w:szCs w:val="24"/>
        </w:rPr>
        <w:t>-</w:t>
      </w:r>
      <w:r w:rsidR="008F0E07" w:rsidRPr="009101FB">
        <w:rPr>
          <w:rFonts w:ascii="Times New Roman" w:hAnsi="Times New Roman"/>
          <w:b w:val="0"/>
          <w:szCs w:val="24"/>
        </w:rPr>
        <w:t>insured credit union</w:t>
      </w:r>
      <w:r w:rsidR="005C713C" w:rsidRPr="009101FB">
        <w:rPr>
          <w:rFonts w:ascii="Times New Roman" w:hAnsi="Times New Roman"/>
          <w:b w:val="0"/>
          <w:szCs w:val="24"/>
        </w:rPr>
        <w:t xml:space="preserve"> </w:t>
      </w:r>
      <w:r w:rsidR="009334BD" w:rsidRPr="009101FB">
        <w:rPr>
          <w:rFonts w:ascii="Times New Roman" w:hAnsi="Times New Roman"/>
          <w:b w:val="0"/>
          <w:szCs w:val="24"/>
        </w:rPr>
        <w:t>20</w:t>
      </w:r>
      <w:r w:rsidR="005C713C" w:rsidRPr="009101FB">
        <w:rPr>
          <w:rFonts w:ascii="Times New Roman" w:hAnsi="Times New Roman"/>
          <w:b w:val="0"/>
          <w:szCs w:val="24"/>
        </w:rPr>
        <w:t xml:space="preserve"> hours (</w:t>
      </w:r>
      <w:r w:rsidR="009334BD" w:rsidRPr="009101FB">
        <w:rPr>
          <w:rFonts w:ascii="Times New Roman" w:hAnsi="Times New Roman"/>
          <w:b w:val="0"/>
          <w:szCs w:val="24"/>
        </w:rPr>
        <w:t>2.5</w:t>
      </w:r>
      <w:r w:rsidR="005C713C" w:rsidRPr="009101FB">
        <w:rPr>
          <w:rFonts w:ascii="Times New Roman" w:hAnsi="Times New Roman"/>
          <w:b w:val="0"/>
          <w:szCs w:val="24"/>
        </w:rPr>
        <w:t xml:space="preserve"> business day</w:t>
      </w:r>
      <w:r w:rsidR="00385F2A" w:rsidRPr="009101FB">
        <w:rPr>
          <w:rFonts w:ascii="Times New Roman" w:hAnsi="Times New Roman"/>
          <w:b w:val="0"/>
          <w:szCs w:val="24"/>
        </w:rPr>
        <w:t>s</w:t>
      </w:r>
      <w:r w:rsidR="005C713C" w:rsidRPr="009101FB">
        <w:rPr>
          <w:rFonts w:ascii="Times New Roman" w:hAnsi="Times New Roman"/>
          <w:b w:val="0"/>
          <w:szCs w:val="24"/>
        </w:rPr>
        <w:t>) to produce the</w:t>
      </w:r>
      <w:r w:rsidR="00B15240" w:rsidRPr="009101FB">
        <w:rPr>
          <w:rFonts w:ascii="Times New Roman" w:hAnsi="Times New Roman"/>
          <w:b w:val="0"/>
          <w:szCs w:val="24"/>
        </w:rPr>
        <w:t>ir initial</w:t>
      </w:r>
      <w:r w:rsidR="00080624" w:rsidRPr="009101FB">
        <w:rPr>
          <w:rFonts w:ascii="Times New Roman" w:hAnsi="Times New Roman"/>
          <w:b w:val="0"/>
          <w:szCs w:val="24"/>
        </w:rPr>
        <w:t xml:space="preserve"> policies and</w:t>
      </w:r>
      <w:r w:rsidR="005C713C" w:rsidRPr="009101FB">
        <w:rPr>
          <w:rFonts w:ascii="Times New Roman" w:hAnsi="Times New Roman"/>
          <w:b w:val="0"/>
          <w:szCs w:val="24"/>
        </w:rPr>
        <w:t xml:space="preserve"> </w:t>
      </w:r>
      <w:r w:rsidRPr="009101FB">
        <w:rPr>
          <w:rFonts w:ascii="Times New Roman" w:hAnsi="Times New Roman"/>
          <w:b w:val="0"/>
          <w:szCs w:val="24"/>
        </w:rPr>
        <w:t xml:space="preserve">incident </w:t>
      </w:r>
      <w:r w:rsidR="005C713C" w:rsidRPr="009101FB">
        <w:rPr>
          <w:rFonts w:ascii="Times New Roman" w:hAnsi="Times New Roman"/>
          <w:b w:val="0"/>
          <w:szCs w:val="24"/>
        </w:rPr>
        <w:t>notices</w:t>
      </w:r>
      <w:r w:rsidR="00B963FA" w:rsidRPr="009101FB">
        <w:rPr>
          <w:rFonts w:ascii="Times New Roman" w:hAnsi="Times New Roman"/>
          <w:b w:val="0"/>
          <w:szCs w:val="24"/>
        </w:rPr>
        <w:t xml:space="preserve"> </w:t>
      </w:r>
      <w:r w:rsidR="005C713C" w:rsidRPr="009101FB">
        <w:rPr>
          <w:rFonts w:ascii="Times New Roman" w:hAnsi="Times New Roman"/>
          <w:b w:val="0"/>
          <w:szCs w:val="24"/>
        </w:rPr>
        <w:t xml:space="preserve">described </w:t>
      </w:r>
      <w:r w:rsidR="00080624" w:rsidRPr="009101FB">
        <w:rPr>
          <w:rFonts w:ascii="Times New Roman" w:hAnsi="Times New Roman"/>
          <w:b w:val="0"/>
          <w:szCs w:val="24"/>
        </w:rPr>
        <w:t xml:space="preserve">in </w:t>
      </w:r>
      <w:r w:rsidR="005C713C" w:rsidRPr="009101FB">
        <w:rPr>
          <w:rFonts w:ascii="Times New Roman" w:hAnsi="Times New Roman"/>
          <w:b w:val="0"/>
          <w:szCs w:val="24"/>
        </w:rPr>
        <w:t xml:space="preserve">the </w:t>
      </w:r>
      <w:r w:rsidR="00080624" w:rsidRPr="009101FB">
        <w:rPr>
          <w:rFonts w:ascii="Times New Roman" w:hAnsi="Times New Roman"/>
          <w:b w:val="0"/>
          <w:szCs w:val="24"/>
        </w:rPr>
        <w:t>rule</w:t>
      </w:r>
      <w:r w:rsidR="005C713C" w:rsidRPr="009101FB">
        <w:rPr>
          <w:rFonts w:ascii="Times New Roman" w:hAnsi="Times New Roman"/>
          <w:b w:val="0"/>
          <w:szCs w:val="24"/>
        </w:rPr>
        <w:t xml:space="preserve"> and 24 hours per incident (three business days) to determine which </w:t>
      </w:r>
      <w:r w:rsidR="008F0E07" w:rsidRPr="009101FB">
        <w:rPr>
          <w:rFonts w:ascii="Times New Roman" w:hAnsi="Times New Roman"/>
          <w:b w:val="0"/>
          <w:szCs w:val="24"/>
        </w:rPr>
        <w:t>members</w:t>
      </w:r>
      <w:r w:rsidR="005C713C" w:rsidRPr="009101FB">
        <w:rPr>
          <w:rFonts w:ascii="Times New Roman" w:hAnsi="Times New Roman"/>
          <w:b w:val="0"/>
          <w:szCs w:val="24"/>
        </w:rPr>
        <w:t xml:space="preserve"> should receive the notice and </w:t>
      </w:r>
      <w:r w:rsidR="00180C18" w:rsidRPr="009101FB">
        <w:rPr>
          <w:rFonts w:ascii="Times New Roman" w:hAnsi="Times New Roman"/>
          <w:b w:val="0"/>
          <w:szCs w:val="24"/>
        </w:rPr>
        <w:t xml:space="preserve">to </w:t>
      </w:r>
      <w:r w:rsidR="005C713C" w:rsidRPr="009101FB">
        <w:rPr>
          <w:rFonts w:ascii="Times New Roman" w:hAnsi="Times New Roman"/>
          <w:b w:val="0"/>
          <w:szCs w:val="24"/>
        </w:rPr>
        <w:t xml:space="preserve">notify the </w:t>
      </w:r>
      <w:r w:rsidR="008F0E07" w:rsidRPr="009101FB">
        <w:rPr>
          <w:rFonts w:ascii="Times New Roman" w:hAnsi="Times New Roman"/>
          <w:b w:val="0"/>
          <w:szCs w:val="24"/>
        </w:rPr>
        <w:t xml:space="preserve">members.  </w:t>
      </w:r>
      <w:r w:rsidR="005C713C" w:rsidRPr="009101FB">
        <w:rPr>
          <w:rFonts w:ascii="Times New Roman" w:hAnsi="Times New Roman"/>
          <w:b w:val="0"/>
          <w:szCs w:val="24"/>
        </w:rPr>
        <w:t xml:space="preserve">For this analysis, it is estimated that two percent of </w:t>
      </w:r>
      <w:r w:rsidR="008F0E07" w:rsidRPr="009101FB">
        <w:rPr>
          <w:rFonts w:ascii="Times New Roman" w:hAnsi="Times New Roman"/>
          <w:b w:val="0"/>
          <w:szCs w:val="24"/>
        </w:rPr>
        <w:t>federally</w:t>
      </w:r>
      <w:r w:rsidR="009334BD" w:rsidRPr="009101FB">
        <w:rPr>
          <w:rFonts w:ascii="Times New Roman" w:hAnsi="Times New Roman"/>
          <w:b w:val="0"/>
          <w:szCs w:val="24"/>
        </w:rPr>
        <w:t>-</w:t>
      </w:r>
      <w:r w:rsidR="008F0E07" w:rsidRPr="009101FB">
        <w:rPr>
          <w:rFonts w:ascii="Times New Roman" w:hAnsi="Times New Roman"/>
          <w:b w:val="0"/>
          <w:szCs w:val="24"/>
        </w:rPr>
        <w:t xml:space="preserve">insured credit unions </w:t>
      </w:r>
      <w:r w:rsidR="005C713C" w:rsidRPr="009101FB">
        <w:rPr>
          <w:rFonts w:ascii="Times New Roman" w:hAnsi="Times New Roman"/>
          <w:b w:val="0"/>
          <w:szCs w:val="24"/>
        </w:rPr>
        <w:t xml:space="preserve">will experience an incident of unauthorized access to </w:t>
      </w:r>
      <w:r w:rsidR="008F0E07" w:rsidRPr="009101FB">
        <w:rPr>
          <w:rFonts w:ascii="Times New Roman" w:hAnsi="Times New Roman"/>
          <w:b w:val="0"/>
          <w:szCs w:val="24"/>
        </w:rPr>
        <w:t>member</w:t>
      </w:r>
      <w:r w:rsidR="005C713C" w:rsidRPr="009101FB">
        <w:rPr>
          <w:rFonts w:ascii="Times New Roman" w:hAnsi="Times New Roman"/>
          <w:b w:val="0"/>
          <w:szCs w:val="24"/>
        </w:rPr>
        <w:t xml:space="preserve"> information on an annual basis, resulting in </w:t>
      </w:r>
      <w:r w:rsidR="008F0E07" w:rsidRPr="009101FB">
        <w:rPr>
          <w:rFonts w:ascii="Times New Roman" w:hAnsi="Times New Roman"/>
          <w:b w:val="0"/>
          <w:szCs w:val="24"/>
        </w:rPr>
        <w:t>member</w:t>
      </w:r>
      <w:r w:rsidR="005C713C" w:rsidRPr="009101FB">
        <w:rPr>
          <w:rFonts w:ascii="Times New Roman" w:hAnsi="Times New Roman"/>
          <w:b w:val="0"/>
          <w:szCs w:val="24"/>
        </w:rPr>
        <w:t xml:space="preserve"> notification.</w:t>
      </w:r>
    </w:p>
    <w:p w14:paraId="1D683902" w14:textId="2C1F0DD4" w:rsidR="009101FB" w:rsidRDefault="009101FB">
      <w:pPr>
        <w:overflowPunct/>
        <w:autoSpaceDE/>
        <w:autoSpaceDN/>
        <w:adjustRightInd/>
        <w:textAlignment w:val="auto"/>
        <w:rPr>
          <w:rFonts w:ascii="Times New Roman" w:hAnsi="Times New Roman" w:cs="Times New Roman"/>
          <w:sz w:val="24"/>
          <w:szCs w:val="24"/>
        </w:rPr>
      </w:pPr>
      <w:r>
        <w:rPr>
          <w:rFonts w:ascii="Times New Roman" w:hAnsi="Times New Roman"/>
          <w:b/>
          <w:szCs w:val="24"/>
        </w:rPr>
        <w:br w:type="page"/>
      </w:r>
    </w:p>
    <w:p w14:paraId="3E624F63" w14:textId="77777777" w:rsidR="005C713C" w:rsidRPr="009101FB" w:rsidRDefault="005C713C" w:rsidP="005C713C">
      <w:pPr>
        <w:pStyle w:val="BodyText"/>
        <w:jc w:val="left"/>
        <w:rPr>
          <w:rFonts w:ascii="Times New Roman" w:hAnsi="Times New Roman"/>
          <w:b w:val="0"/>
          <w:szCs w:val="24"/>
        </w:rPr>
      </w:pPr>
    </w:p>
    <w:p w14:paraId="425FB833" w14:textId="77777777" w:rsidR="005C713C" w:rsidRPr="009101FB" w:rsidRDefault="005C713C" w:rsidP="005C713C">
      <w:pPr>
        <w:pStyle w:val="BodyText"/>
        <w:jc w:val="left"/>
        <w:rPr>
          <w:rFonts w:ascii="Times New Roman" w:hAnsi="Times New Roman"/>
          <w:b w:val="0"/>
          <w:szCs w:val="24"/>
        </w:rPr>
      </w:pPr>
      <w:r w:rsidRPr="009101FB">
        <w:rPr>
          <w:rFonts w:ascii="Times New Roman" w:hAnsi="Times New Roman"/>
          <w:b w:val="0"/>
          <w:szCs w:val="24"/>
        </w:rPr>
        <w:t>Thus, the burden associated for this collection of information may be summarized as follows:</w:t>
      </w:r>
    </w:p>
    <w:p w14:paraId="6D2A5863" w14:textId="77777777" w:rsidR="005C713C" w:rsidRDefault="005C713C" w:rsidP="005C713C">
      <w:pPr>
        <w:pStyle w:val="BodyText"/>
        <w:jc w:val="left"/>
        <w:rPr>
          <w:rFonts w:cs="Arial"/>
          <w:b w:val="0"/>
          <w:szCs w:val="24"/>
        </w:rPr>
      </w:pPr>
    </w:p>
    <w:tbl>
      <w:tblPr>
        <w:tblStyle w:val="TableGrid"/>
        <w:tblW w:w="9689" w:type="dxa"/>
        <w:tblLook w:val="04A0" w:firstRow="1" w:lastRow="0" w:firstColumn="1" w:lastColumn="0" w:noHBand="0" w:noVBand="1"/>
      </w:tblPr>
      <w:tblGrid>
        <w:gridCol w:w="1035"/>
        <w:gridCol w:w="3100"/>
        <w:gridCol w:w="1183"/>
        <w:gridCol w:w="1171"/>
        <w:gridCol w:w="1101"/>
        <w:gridCol w:w="981"/>
        <w:gridCol w:w="1118"/>
      </w:tblGrid>
      <w:tr w:rsidR="005E7724" w14:paraId="4765B271" w14:textId="77777777" w:rsidTr="005E7724">
        <w:tc>
          <w:tcPr>
            <w:tcW w:w="1035" w:type="dxa"/>
            <w:vAlign w:val="center"/>
          </w:tcPr>
          <w:p w14:paraId="0C8DC255" w14:textId="77777777" w:rsidR="005E7724" w:rsidRPr="00ED06C9" w:rsidRDefault="005E7724" w:rsidP="00ED06C9">
            <w:pPr>
              <w:pStyle w:val="BodyText"/>
              <w:rPr>
                <w:rFonts w:ascii="Arial Narrow" w:hAnsi="Arial Narrow" w:cs="Arial"/>
                <w:b w:val="0"/>
                <w:sz w:val="20"/>
              </w:rPr>
            </w:pPr>
            <w:r>
              <w:rPr>
                <w:rFonts w:ascii="Arial Narrow" w:hAnsi="Arial Narrow" w:cs="Arial"/>
                <w:b w:val="0"/>
                <w:sz w:val="20"/>
              </w:rPr>
              <w:t>12 CFR Part 748</w:t>
            </w:r>
          </w:p>
        </w:tc>
        <w:tc>
          <w:tcPr>
            <w:tcW w:w="3100" w:type="dxa"/>
            <w:vAlign w:val="center"/>
          </w:tcPr>
          <w:p w14:paraId="3564EDCD" w14:textId="77777777" w:rsidR="005E7724" w:rsidRPr="00ED06C9" w:rsidRDefault="005E7724" w:rsidP="00ED06C9">
            <w:pPr>
              <w:pStyle w:val="BodyText"/>
              <w:rPr>
                <w:rFonts w:ascii="Arial Narrow" w:hAnsi="Arial Narrow" w:cs="Arial"/>
                <w:b w:val="0"/>
                <w:sz w:val="20"/>
              </w:rPr>
            </w:pPr>
            <w:r>
              <w:rPr>
                <w:rFonts w:ascii="Arial Narrow" w:hAnsi="Arial Narrow" w:cs="Arial"/>
                <w:b w:val="0"/>
                <w:sz w:val="20"/>
              </w:rPr>
              <w:t>Information Collection</w:t>
            </w:r>
          </w:p>
        </w:tc>
        <w:tc>
          <w:tcPr>
            <w:tcW w:w="1183" w:type="dxa"/>
            <w:vAlign w:val="center"/>
          </w:tcPr>
          <w:p w14:paraId="7C03B0C7" w14:textId="77777777" w:rsidR="005E7724" w:rsidRPr="00ED06C9" w:rsidRDefault="005E7724" w:rsidP="00ED06C9">
            <w:pPr>
              <w:pStyle w:val="BodyText"/>
              <w:rPr>
                <w:rFonts w:ascii="Arial Narrow" w:hAnsi="Arial Narrow" w:cs="Arial"/>
                <w:b w:val="0"/>
                <w:sz w:val="20"/>
              </w:rPr>
            </w:pPr>
            <w:r w:rsidRPr="00ED06C9">
              <w:rPr>
                <w:rFonts w:ascii="Arial Narrow" w:hAnsi="Arial Narrow" w:cs="Arial"/>
                <w:b w:val="0"/>
                <w:sz w:val="20"/>
              </w:rPr>
              <w:t># Respondents</w:t>
            </w:r>
          </w:p>
        </w:tc>
        <w:tc>
          <w:tcPr>
            <w:tcW w:w="1171" w:type="dxa"/>
            <w:vAlign w:val="center"/>
          </w:tcPr>
          <w:p w14:paraId="34A1C44B" w14:textId="77777777" w:rsidR="005E7724" w:rsidRPr="00ED06C9" w:rsidRDefault="005E7724" w:rsidP="00ED06C9">
            <w:pPr>
              <w:pStyle w:val="BodyText"/>
              <w:rPr>
                <w:rFonts w:ascii="Arial Narrow" w:hAnsi="Arial Narrow" w:cs="Arial"/>
                <w:b w:val="0"/>
                <w:sz w:val="20"/>
              </w:rPr>
            </w:pPr>
            <w:r w:rsidRPr="00ED06C9">
              <w:rPr>
                <w:rFonts w:ascii="Arial Narrow" w:hAnsi="Arial Narrow" w:cs="Arial"/>
                <w:b w:val="0"/>
                <w:sz w:val="20"/>
              </w:rPr>
              <w:t># Responses Per Respondent</w:t>
            </w:r>
          </w:p>
        </w:tc>
        <w:tc>
          <w:tcPr>
            <w:tcW w:w="1101" w:type="dxa"/>
            <w:vAlign w:val="center"/>
          </w:tcPr>
          <w:p w14:paraId="3CF450C8" w14:textId="77777777" w:rsidR="005E7724" w:rsidRPr="00ED06C9" w:rsidRDefault="005E7724" w:rsidP="00ED06C9">
            <w:pPr>
              <w:pStyle w:val="BodyText"/>
              <w:rPr>
                <w:rFonts w:ascii="Arial Narrow" w:hAnsi="Arial Narrow" w:cs="Arial"/>
                <w:b w:val="0"/>
                <w:sz w:val="20"/>
              </w:rPr>
            </w:pPr>
            <w:r w:rsidRPr="00ED06C9">
              <w:rPr>
                <w:rFonts w:ascii="Arial Narrow" w:hAnsi="Arial Narrow" w:cs="Arial"/>
                <w:b w:val="0"/>
                <w:sz w:val="20"/>
              </w:rPr>
              <w:t>Annual Responses</w:t>
            </w:r>
          </w:p>
        </w:tc>
        <w:tc>
          <w:tcPr>
            <w:tcW w:w="981" w:type="dxa"/>
            <w:vAlign w:val="center"/>
          </w:tcPr>
          <w:p w14:paraId="03CBD2D7" w14:textId="77777777" w:rsidR="005E7724" w:rsidRPr="00ED06C9" w:rsidRDefault="005E7724" w:rsidP="00ED06C9">
            <w:pPr>
              <w:pStyle w:val="BodyText"/>
              <w:rPr>
                <w:rFonts w:ascii="Arial Narrow" w:hAnsi="Arial Narrow" w:cs="Arial"/>
                <w:b w:val="0"/>
                <w:sz w:val="20"/>
              </w:rPr>
            </w:pPr>
            <w:r w:rsidRPr="00ED06C9">
              <w:rPr>
                <w:rFonts w:ascii="Arial Narrow" w:hAnsi="Arial Narrow" w:cs="Arial"/>
                <w:b w:val="0"/>
                <w:sz w:val="20"/>
              </w:rPr>
              <w:t>Hours Per Response</w:t>
            </w:r>
          </w:p>
        </w:tc>
        <w:tc>
          <w:tcPr>
            <w:tcW w:w="1118" w:type="dxa"/>
            <w:vAlign w:val="center"/>
          </w:tcPr>
          <w:p w14:paraId="3D642ED7" w14:textId="77777777" w:rsidR="005E7724" w:rsidRPr="00ED06C9" w:rsidRDefault="005E7724" w:rsidP="00ED06C9">
            <w:pPr>
              <w:pStyle w:val="BodyText"/>
              <w:rPr>
                <w:rFonts w:ascii="Arial Narrow" w:hAnsi="Arial Narrow" w:cs="Arial"/>
                <w:b w:val="0"/>
                <w:sz w:val="20"/>
              </w:rPr>
            </w:pPr>
            <w:r w:rsidRPr="00ED06C9">
              <w:rPr>
                <w:rFonts w:ascii="Arial Narrow" w:hAnsi="Arial Narrow" w:cs="Arial"/>
                <w:b w:val="0"/>
                <w:sz w:val="20"/>
              </w:rPr>
              <w:t>Total Annual Burden</w:t>
            </w:r>
          </w:p>
        </w:tc>
      </w:tr>
      <w:tr w:rsidR="005E7724" w14:paraId="36BE13A5" w14:textId="77777777" w:rsidTr="005E7724">
        <w:tc>
          <w:tcPr>
            <w:tcW w:w="1035" w:type="dxa"/>
          </w:tcPr>
          <w:p w14:paraId="237B65B4" w14:textId="77777777" w:rsidR="005E7724" w:rsidRPr="00542866" w:rsidRDefault="005E7724" w:rsidP="005C713C">
            <w:pPr>
              <w:pStyle w:val="BodyText"/>
              <w:jc w:val="left"/>
              <w:rPr>
                <w:rFonts w:ascii="Arial Narrow" w:hAnsi="Arial Narrow" w:cs="Arial"/>
                <w:b w:val="0"/>
                <w:sz w:val="20"/>
              </w:rPr>
            </w:pPr>
            <w:r>
              <w:rPr>
                <w:rFonts w:ascii="Arial Narrow" w:hAnsi="Arial Narrow" w:cs="Arial"/>
                <w:b w:val="0"/>
                <w:sz w:val="20"/>
              </w:rPr>
              <w:t>§748.0 (</w:t>
            </w:r>
            <w:proofErr w:type="spellStart"/>
            <w:r w:rsidRPr="00542866">
              <w:rPr>
                <w:rFonts w:ascii="Arial Narrow" w:hAnsi="Arial Narrow" w:cs="Arial"/>
                <w:b w:val="0"/>
                <w:sz w:val="20"/>
              </w:rPr>
              <w:t>Apx</w:t>
            </w:r>
            <w:proofErr w:type="spellEnd"/>
            <w:r w:rsidRPr="00542866">
              <w:rPr>
                <w:rFonts w:ascii="Arial Narrow" w:hAnsi="Arial Narrow" w:cs="Arial"/>
                <w:b w:val="0"/>
                <w:sz w:val="20"/>
              </w:rPr>
              <w:t xml:space="preserve">. A.II.A and </w:t>
            </w:r>
            <w:proofErr w:type="spellStart"/>
            <w:r w:rsidRPr="00542866">
              <w:rPr>
                <w:rFonts w:ascii="Arial Narrow" w:hAnsi="Arial Narrow" w:cs="Arial"/>
                <w:b w:val="0"/>
                <w:sz w:val="20"/>
              </w:rPr>
              <w:t>Apx</w:t>
            </w:r>
            <w:proofErr w:type="spellEnd"/>
            <w:r w:rsidRPr="00542866">
              <w:rPr>
                <w:rFonts w:ascii="Arial Narrow" w:hAnsi="Arial Narrow" w:cs="Arial"/>
                <w:b w:val="0"/>
                <w:sz w:val="20"/>
              </w:rPr>
              <w:t xml:space="preserve">. </w:t>
            </w:r>
            <w:proofErr w:type="spellStart"/>
            <w:r w:rsidRPr="00542866">
              <w:rPr>
                <w:rFonts w:ascii="Arial Narrow" w:hAnsi="Arial Narrow" w:cs="Arial"/>
                <w:b w:val="0"/>
                <w:sz w:val="20"/>
              </w:rPr>
              <w:t>II.i</w:t>
            </w:r>
            <w:proofErr w:type="spellEnd"/>
            <w:r>
              <w:rPr>
                <w:rFonts w:ascii="Arial Narrow" w:hAnsi="Arial Narrow" w:cs="Arial"/>
                <w:b w:val="0"/>
                <w:sz w:val="20"/>
              </w:rPr>
              <w:t>)</w:t>
            </w:r>
          </w:p>
        </w:tc>
        <w:tc>
          <w:tcPr>
            <w:tcW w:w="3100" w:type="dxa"/>
          </w:tcPr>
          <w:p w14:paraId="4FF97D43" w14:textId="77777777" w:rsidR="005E7724" w:rsidRPr="00542866" w:rsidRDefault="005E7724" w:rsidP="005C713C">
            <w:pPr>
              <w:pStyle w:val="BodyText"/>
              <w:jc w:val="left"/>
              <w:rPr>
                <w:rFonts w:ascii="Arial Narrow" w:hAnsi="Arial Narrow" w:cs="Arial"/>
                <w:b w:val="0"/>
                <w:sz w:val="20"/>
              </w:rPr>
            </w:pPr>
            <w:r w:rsidRPr="00542866">
              <w:rPr>
                <w:rFonts w:ascii="Arial Narrow" w:hAnsi="Arial Narrow" w:cs="Arial"/>
                <w:b w:val="0"/>
                <w:sz w:val="20"/>
              </w:rPr>
              <w:t>Developing Programs: (1) Information Security and (2) risk-based response program</w:t>
            </w:r>
            <w:r>
              <w:rPr>
                <w:rFonts w:ascii="Arial Narrow" w:hAnsi="Arial Narrow" w:cs="Arial"/>
                <w:b w:val="0"/>
                <w:sz w:val="20"/>
              </w:rPr>
              <w:t xml:space="preserve"> (recordkeeping)</w:t>
            </w:r>
          </w:p>
        </w:tc>
        <w:tc>
          <w:tcPr>
            <w:tcW w:w="1183" w:type="dxa"/>
            <w:vAlign w:val="center"/>
          </w:tcPr>
          <w:p w14:paraId="31474922" w14:textId="77777777" w:rsidR="005E7724" w:rsidRPr="00ED06C9" w:rsidRDefault="005E7724" w:rsidP="00BB5745">
            <w:pPr>
              <w:pStyle w:val="BodyText"/>
              <w:jc w:val="right"/>
              <w:rPr>
                <w:rFonts w:cs="Arial"/>
                <w:b w:val="0"/>
                <w:sz w:val="20"/>
              </w:rPr>
            </w:pPr>
            <w:r w:rsidRPr="00ED06C9">
              <w:rPr>
                <w:rFonts w:cs="Arial"/>
                <w:b w:val="0"/>
                <w:sz w:val="20"/>
              </w:rPr>
              <w:t>4</w:t>
            </w:r>
          </w:p>
        </w:tc>
        <w:tc>
          <w:tcPr>
            <w:tcW w:w="1171" w:type="dxa"/>
            <w:vAlign w:val="center"/>
          </w:tcPr>
          <w:p w14:paraId="16CD765F" w14:textId="77777777" w:rsidR="005E7724" w:rsidRPr="00ED06C9" w:rsidRDefault="005E7724" w:rsidP="00BB5745">
            <w:pPr>
              <w:pStyle w:val="BodyText"/>
              <w:jc w:val="right"/>
              <w:rPr>
                <w:rFonts w:cs="Arial"/>
                <w:b w:val="0"/>
                <w:sz w:val="20"/>
              </w:rPr>
            </w:pPr>
            <w:r w:rsidRPr="00ED06C9">
              <w:rPr>
                <w:rFonts w:cs="Arial"/>
                <w:b w:val="0"/>
                <w:sz w:val="20"/>
              </w:rPr>
              <w:t>1</w:t>
            </w:r>
          </w:p>
        </w:tc>
        <w:tc>
          <w:tcPr>
            <w:tcW w:w="1101" w:type="dxa"/>
            <w:vAlign w:val="center"/>
          </w:tcPr>
          <w:p w14:paraId="6342C5E5" w14:textId="77777777" w:rsidR="005E7724" w:rsidRPr="00ED06C9" w:rsidRDefault="005E7724" w:rsidP="00BB5745">
            <w:pPr>
              <w:pStyle w:val="BodyText"/>
              <w:jc w:val="right"/>
              <w:rPr>
                <w:rFonts w:cs="Arial"/>
                <w:b w:val="0"/>
                <w:sz w:val="20"/>
              </w:rPr>
            </w:pPr>
            <w:r w:rsidRPr="00ED06C9">
              <w:rPr>
                <w:rFonts w:cs="Arial"/>
                <w:b w:val="0"/>
                <w:sz w:val="20"/>
              </w:rPr>
              <w:t>4</w:t>
            </w:r>
          </w:p>
        </w:tc>
        <w:tc>
          <w:tcPr>
            <w:tcW w:w="981" w:type="dxa"/>
            <w:vAlign w:val="center"/>
          </w:tcPr>
          <w:p w14:paraId="13AEC28D" w14:textId="77777777" w:rsidR="005E7724" w:rsidRPr="00ED06C9" w:rsidRDefault="005E7724" w:rsidP="00BB5745">
            <w:pPr>
              <w:pStyle w:val="BodyText"/>
              <w:jc w:val="right"/>
              <w:rPr>
                <w:rFonts w:cs="Arial"/>
                <w:b w:val="0"/>
                <w:sz w:val="20"/>
              </w:rPr>
            </w:pPr>
            <w:r w:rsidRPr="00ED06C9">
              <w:rPr>
                <w:rFonts w:cs="Arial"/>
                <w:b w:val="0"/>
                <w:sz w:val="20"/>
              </w:rPr>
              <w:t>20</w:t>
            </w:r>
          </w:p>
        </w:tc>
        <w:tc>
          <w:tcPr>
            <w:tcW w:w="1118" w:type="dxa"/>
            <w:vAlign w:val="center"/>
          </w:tcPr>
          <w:p w14:paraId="326A6554" w14:textId="77777777" w:rsidR="005E7724" w:rsidRPr="00ED06C9" w:rsidRDefault="005E7724" w:rsidP="00BB5745">
            <w:pPr>
              <w:pStyle w:val="BodyText"/>
              <w:jc w:val="right"/>
              <w:rPr>
                <w:rFonts w:cs="Arial"/>
                <w:b w:val="0"/>
                <w:sz w:val="20"/>
              </w:rPr>
            </w:pPr>
            <w:r w:rsidRPr="00ED06C9">
              <w:rPr>
                <w:rFonts w:cs="Arial"/>
                <w:b w:val="0"/>
                <w:sz w:val="20"/>
              </w:rPr>
              <w:t>80</w:t>
            </w:r>
          </w:p>
        </w:tc>
      </w:tr>
      <w:tr w:rsidR="005E7724" w14:paraId="6943AB8A" w14:textId="77777777" w:rsidTr="005E7724">
        <w:tc>
          <w:tcPr>
            <w:tcW w:w="1035" w:type="dxa"/>
          </w:tcPr>
          <w:p w14:paraId="35046966" w14:textId="77777777" w:rsidR="005E7724" w:rsidRPr="00542866" w:rsidRDefault="005E7724" w:rsidP="005C713C">
            <w:pPr>
              <w:pStyle w:val="BodyText"/>
              <w:jc w:val="left"/>
              <w:rPr>
                <w:rFonts w:ascii="Arial Narrow" w:hAnsi="Arial Narrow" w:cs="Arial"/>
                <w:b w:val="0"/>
                <w:sz w:val="20"/>
              </w:rPr>
            </w:pPr>
            <w:r>
              <w:rPr>
                <w:rFonts w:ascii="Arial Narrow" w:hAnsi="Arial Narrow" w:cs="Arial"/>
                <w:b w:val="0"/>
                <w:sz w:val="20"/>
              </w:rPr>
              <w:t>A.III.F</w:t>
            </w:r>
          </w:p>
        </w:tc>
        <w:tc>
          <w:tcPr>
            <w:tcW w:w="3100" w:type="dxa"/>
          </w:tcPr>
          <w:p w14:paraId="054C3A56" w14:textId="77777777" w:rsidR="005E7724" w:rsidRPr="00542866" w:rsidRDefault="005E7724" w:rsidP="00BB5745">
            <w:pPr>
              <w:pStyle w:val="BodyText"/>
              <w:jc w:val="left"/>
              <w:rPr>
                <w:rFonts w:ascii="Arial Narrow" w:hAnsi="Arial Narrow" w:cs="Arial"/>
                <w:b w:val="0"/>
                <w:sz w:val="20"/>
              </w:rPr>
            </w:pPr>
            <w:r>
              <w:rPr>
                <w:rFonts w:ascii="Arial Narrow" w:hAnsi="Arial Narrow" w:cs="Arial"/>
                <w:b w:val="0"/>
                <w:sz w:val="20"/>
              </w:rPr>
              <w:t>On-going Program Maintenance (recordkeeping)</w:t>
            </w:r>
          </w:p>
        </w:tc>
        <w:tc>
          <w:tcPr>
            <w:tcW w:w="1183" w:type="dxa"/>
            <w:vAlign w:val="center"/>
          </w:tcPr>
          <w:p w14:paraId="5866A545" w14:textId="77777777" w:rsidR="005E7724" w:rsidRPr="00ED06C9" w:rsidRDefault="005E7724" w:rsidP="00BB5745">
            <w:pPr>
              <w:pStyle w:val="BodyText"/>
              <w:jc w:val="right"/>
              <w:rPr>
                <w:rFonts w:cs="Arial"/>
                <w:b w:val="0"/>
                <w:sz w:val="20"/>
              </w:rPr>
            </w:pPr>
            <w:r>
              <w:rPr>
                <w:rFonts w:cs="Arial"/>
                <w:b w:val="0"/>
                <w:sz w:val="20"/>
              </w:rPr>
              <w:t>6,201</w:t>
            </w:r>
          </w:p>
        </w:tc>
        <w:tc>
          <w:tcPr>
            <w:tcW w:w="1171" w:type="dxa"/>
            <w:vAlign w:val="center"/>
          </w:tcPr>
          <w:p w14:paraId="74DF3276" w14:textId="77777777" w:rsidR="005E7724" w:rsidRPr="00ED06C9" w:rsidRDefault="005E7724" w:rsidP="00BB5745">
            <w:pPr>
              <w:pStyle w:val="BodyText"/>
              <w:jc w:val="right"/>
              <w:rPr>
                <w:rFonts w:cs="Arial"/>
                <w:b w:val="0"/>
                <w:sz w:val="20"/>
              </w:rPr>
            </w:pPr>
            <w:r>
              <w:rPr>
                <w:rFonts w:cs="Arial"/>
                <w:b w:val="0"/>
                <w:sz w:val="20"/>
              </w:rPr>
              <w:t>1</w:t>
            </w:r>
          </w:p>
        </w:tc>
        <w:tc>
          <w:tcPr>
            <w:tcW w:w="1101" w:type="dxa"/>
            <w:vAlign w:val="center"/>
          </w:tcPr>
          <w:p w14:paraId="319FD660" w14:textId="77777777" w:rsidR="005E7724" w:rsidRPr="00ED06C9" w:rsidRDefault="005E7724" w:rsidP="00BB5745">
            <w:pPr>
              <w:pStyle w:val="BodyText"/>
              <w:jc w:val="right"/>
              <w:rPr>
                <w:rFonts w:cs="Arial"/>
                <w:b w:val="0"/>
                <w:sz w:val="20"/>
              </w:rPr>
            </w:pPr>
            <w:r>
              <w:rPr>
                <w:rFonts w:cs="Arial"/>
                <w:b w:val="0"/>
                <w:sz w:val="20"/>
              </w:rPr>
              <w:t>6,021</w:t>
            </w:r>
          </w:p>
        </w:tc>
        <w:tc>
          <w:tcPr>
            <w:tcW w:w="981" w:type="dxa"/>
            <w:vAlign w:val="center"/>
          </w:tcPr>
          <w:p w14:paraId="5BEFDDF1" w14:textId="77777777" w:rsidR="005E7724" w:rsidRPr="00ED06C9" w:rsidRDefault="005E7724" w:rsidP="00BB5745">
            <w:pPr>
              <w:pStyle w:val="BodyText"/>
              <w:jc w:val="right"/>
              <w:rPr>
                <w:rFonts w:cs="Arial"/>
                <w:b w:val="0"/>
                <w:sz w:val="20"/>
              </w:rPr>
            </w:pPr>
            <w:r>
              <w:rPr>
                <w:rFonts w:cs="Arial"/>
                <w:b w:val="0"/>
                <w:sz w:val="20"/>
              </w:rPr>
              <w:t>2</w:t>
            </w:r>
          </w:p>
        </w:tc>
        <w:tc>
          <w:tcPr>
            <w:tcW w:w="1118" w:type="dxa"/>
            <w:vAlign w:val="center"/>
          </w:tcPr>
          <w:p w14:paraId="1C2241D1" w14:textId="77777777" w:rsidR="005E7724" w:rsidRPr="00ED06C9" w:rsidRDefault="005E7724" w:rsidP="00BB5745">
            <w:pPr>
              <w:pStyle w:val="BodyText"/>
              <w:jc w:val="right"/>
              <w:rPr>
                <w:rFonts w:cs="Arial"/>
                <w:b w:val="0"/>
                <w:sz w:val="20"/>
              </w:rPr>
            </w:pPr>
            <w:r>
              <w:rPr>
                <w:rFonts w:cs="Arial"/>
                <w:b w:val="0"/>
                <w:sz w:val="20"/>
              </w:rPr>
              <w:t>12,042</w:t>
            </w:r>
          </w:p>
        </w:tc>
      </w:tr>
      <w:tr w:rsidR="005E7724" w14:paraId="17E9F8CF" w14:textId="77777777" w:rsidTr="009101FB">
        <w:trPr>
          <w:trHeight w:val="260"/>
        </w:trPr>
        <w:tc>
          <w:tcPr>
            <w:tcW w:w="1035" w:type="dxa"/>
          </w:tcPr>
          <w:p w14:paraId="6418CB4F" w14:textId="77777777" w:rsidR="005E7724" w:rsidRDefault="005E7724" w:rsidP="005C713C">
            <w:pPr>
              <w:pStyle w:val="BodyText"/>
              <w:jc w:val="left"/>
              <w:rPr>
                <w:rFonts w:ascii="Arial Narrow" w:hAnsi="Arial Narrow" w:cs="Arial"/>
                <w:b w:val="0"/>
                <w:sz w:val="20"/>
              </w:rPr>
            </w:pPr>
            <w:r>
              <w:rPr>
                <w:rFonts w:ascii="Arial Narrow" w:hAnsi="Arial Narrow" w:cs="Arial"/>
                <w:b w:val="0"/>
                <w:sz w:val="20"/>
              </w:rPr>
              <w:t>§748.1(a)</w:t>
            </w:r>
          </w:p>
        </w:tc>
        <w:tc>
          <w:tcPr>
            <w:tcW w:w="3100" w:type="dxa"/>
          </w:tcPr>
          <w:p w14:paraId="263C9168" w14:textId="77777777" w:rsidR="005E7724" w:rsidRDefault="005E7724" w:rsidP="00BB5745">
            <w:pPr>
              <w:pStyle w:val="BodyText"/>
              <w:jc w:val="left"/>
              <w:rPr>
                <w:rFonts w:ascii="Arial Narrow" w:hAnsi="Arial Narrow" w:cs="Arial"/>
                <w:b w:val="0"/>
                <w:sz w:val="20"/>
              </w:rPr>
            </w:pPr>
            <w:r>
              <w:rPr>
                <w:rFonts w:ascii="Arial Narrow" w:hAnsi="Arial Narrow" w:cs="Arial"/>
                <w:b w:val="0"/>
                <w:sz w:val="20"/>
              </w:rPr>
              <w:t>Certify Compliance (reporting)</w:t>
            </w:r>
          </w:p>
        </w:tc>
        <w:tc>
          <w:tcPr>
            <w:tcW w:w="5554" w:type="dxa"/>
            <w:gridSpan w:val="5"/>
            <w:vAlign w:val="center"/>
          </w:tcPr>
          <w:p w14:paraId="7CA31859" w14:textId="77777777" w:rsidR="005E7724" w:rsidRPr="00471011" w:rsidRDefault="005E7724" w:rsidP="00471011">
            <w:pPr>
              <w:pStyle w:val="BodyText"/>
              <w:rPr>
                <w:rFonts w:ascii="Arial Narrow" w:hAnsi="Arial Narrow" w:cs="Arial"/>
                <w:b w:val="0"/>
                <w:sz w:val="20"/>
              </w:rPr>
            </w:pPr>
            <w:r>
              <w:rPr>
                <w:rFonts w:ascii="Arial Narrow" w:hAnsi="Arial Narrow" w:cs="Arial"/>
                <w:b w:val="0"/>
                <w:sz w:val="20"/>
              </w:rPr>
              <w:t>OMB No. 3133-0004</w:t>
            </w:r>
          </w:p>
        </w:tc>
      </w:tr>
      <w:tr w:rsidR="005E7724" w14:paraId="3F7A0A63" w14:textId="77777777" w:rsidTr="005E7724">
        <w:tc>
          <w:tcPr>
            <w:tcW w:w="1035" w:type="dxa"/>
          </w:tcPr>
          <w:p w14:paraId="05FAD506" w14:textId="77777777" w:rsidR="005E7724" w:rsidRPr="00542866" w:rsidRDefault="005E7724" w:rsidP="005A720A">
            <w:pPr>
              <w:pStyle w:val="BodyText"/>
              <w:jc w:val="left"/>
              <w:rPr>
                <w:rFonts w:ascii="Arial Narrow" w:hAnsi="Arial Narrow" w:cs="Arial"/>
                <w:b w:val="0"/>
                <w:sz w:val="20"/>
              </w:rPr>
            </w:pPr>
            <w:r>
              <w:rPr>
                <w:rFonts w:ascii="Arial Narrow" w:hAnsi="Arial Narrow" w:cs="Arial"/>
                <w:b w:val="0"/>
                <w:sz w:val="20"/>
              </w:rPr>
              <w:t>§748.1(b)</w:t>
            </w:r>
          </w:p>
        </w:tc>
        <w:tc>
          <w:tcPr>
            <w:tcW w:w="3100" w:type="dxa"/>
          </w:tcPr>
          <w:p w14:paraId="02CB0706" w14:textId="77777777" w:rsidR="005E7724" w:rsidRPr="00542866" w:rsidRDefault="005E7724" w:rsidP="005A720A">
            <w:pPr>
              <w:pStyle w:val="BodyText"/>
              <w:jc w:val="left"/>
              <w:rPr>
                <w:rFonts w:ascii="Arial Narrow" w:hAnsi="Arial Narrow" w:cs="Arial"/>
                <w:b w:val="0"/>
                <w:sz w:val="20"/>
              </w:rPr>
            </w:pPr>
            <w:r w:rsidRPr="00542866">
              <w:rPr>
                <w:rFonts w:ascii="Arial Narrow" w:hAnsi="Arial Narrow" w:cs="Arial"/>
                <w:b w:val="0"/>
                <w:sz w:val="20"/>
              </w:rPr>
              <w:t>Report Catastrophic Act</w:t>
            </w:r>
            <w:r>
              <w:rPr>
                <w:rFonts w:ascii="Arial Narrow" w:hAnsi="Arial Narrow" w:cs="Arial"/>
                <w:b w:val="0"/>
                <w:sz w:val="20"/>
              </w:rPr>
              <w:t xml:space="preserve"> (reporting)</w:t>
            </w:r>
          </w:p>
        </w:tc>
        <w:tc>
          <w:tcPr>
            <w:tcW w:w="1183" w:type="dxa"/>
            <w:vAlign w:val="center"/>
          </w:tcPr>
          <w:p w14:paraId="41D91B5D" w14:textId="77777777" w:rsidR="005E7724" w:rsidRPr="00ED06C9" w:rsidRDefault="005E7724" w:rsidP="005A720A">
            <w:pPr>
              <w:pStyle w:val="BodyText"/>
              <w:jc w:val="right"/>
              <w:rPr>
                <w:rFonts w:cs="Arial"/>
                <w:b w:val="0"/>
                <w:sz w:val="20"/>
              </w:rPr>
            </w:pPr>
            <w:r>
              <w:rPr>
                <w:rFonts w:cs="Arial"/>
                <w:b w:val="0"/>
                <w:sz w:val="20"/>
              </w:rPr>
              <w:t>30</w:t>
            </w:r>
          </w:p>
        </w:tc>
        <w:tc>
          <w:tcPr>
            <w:tcW w:w="1171" w:type="dxa"/>
            <w:vAlign w:val="center"/>
          </w:tcPr>
          <w:p w14:paraId="40FBA2BE" w14:textId="77777777" w:rsidR="005E7724" w:rsidRPr="00ED06C9" w:rsidRDefault="005E7724" w:rsidP="005A720A">
            <w:pPr>
              <w:pStyle w:val="BodyText"/>
              <w:jc w:val="right"/>
              <w:rPr>
                <w:rFonts w:cs="Arial"/>
                <w:b w:val="0"/>
                <w:sz w:val="20"/>
              </w:rPr>
            </w:pPr>
            <w:r>
              <w:rPr>
                <w:rFonts w:cs="Arial"/>
                <w:b w:val="0"/>
                <w:sz w:val="20"/>
              </w:rPr>
              <w:t>1</w:t>
            </w:r>
          </w:p>
        </w:tc>
        <w:tc>
          <w:tcPr>
            <w:tcW w:w="1101" w:type="dxa"/>
            <w:vAlign w:val="center"/>
          </w:tcPr>
          <w:p w14:paraId="109F2958" w14:textId="77777777" w:rsidR="005E7724" w:rsidRPr="00ED06C9" w:rsidRDefault="005E7724" w:rsidP="005A720A">
            <w:pPr>
              <w:pStyle w:val="BodyText"/>
              <w:jc w:val="right"/>
              <w:rPr>
                <w:rFonts w:cs="Arial"/>
                <w:b w:val="0"/>
                <w:sz w:val="20"/>
              </w:rPr>
            </w:pPr>
            <w:r>
              <w:rPr>
                <w:rFonts w:cs="Arial"/>
                <w:b w:val="0"/>
                <w:sz w:val="20"/>
              </w:rPr>
              <w:t>30</w:t>
            </w:r>
          </w:p>
        </w:tc>
        <w:tc>
          <w:tcPr>
            <w:tcW w:w="981" w:type="dxa"/>
            <w:vAlign w:val="center"/>
          </w:tcPr>
          <w:p w14:paraId="4501D209" w14:textId="77777777" w:rsidR="005E7724" w:rsidRPr="00ED06C9" w:rsidRDefault="005E7724" w:rsidP="005A720A">
            <w:pPr>
              <w:pStyle w:val="BodyText"/>
              <w:jc w:val="right"/>
              <w:rPr>
                <w:rFonts w:cs="Arial"/>
                <w:b w:val="0"/>
                <w:sz w:val="20"/>
              </w:rPr>
            </w:pPr>
            <w:r>
              <w:rPr>
                <w:rFonts w:cs="Arial"/>
                <w:b w:val="0"/>
                <w:sz w:val="20"/>
              </w:rPr>
              <w:t>1</w:t>
            </w:r>
          </w:p>
        </w:tc>
        <w:tc>
          <w:tcPr>
            <w:tcW w:w="1118" w:type="dxa"/>
            <w:vAlign w:val="center"/>
          </w:tcPr>
          <w:p w14:paraId="71E37E88" w14:textId="77777777" w:rsidR="005E7724" w:rsidRPr="00ED06C9" w:rsidRDefault="005E7724" w:rsidP="005A720A">
            <w:pPr>
              <w:pStyle w:val="BodyText"/>
              <w:jc w:val="right"/>
              <w:rPr>
                <w:rFonts w:cs="Arial"/>
                <w:b w:val="0"/>
                <w:sz w:val="20"/>
              </w:rPr>
            </w:pPr>
            <w:r>
              <w:rPr>
                <w:rFonts w:cs="Arial"/>
                <w:b w:val="0"/>
                <w:sz w:val="20"/>
              </w:rPr>
              <w:t>30</w:t>
            </w:r>
          </w:p>
        </w:tc>
      </w:tr>
      <w:tr w:rsidR="005E7724" w14:paraId="4BD533AC" w14:textId="77777777" w:rsidTr="005E7724">
        <w:tc>
          <w:tcPr>
            <w:tcW w:w="1035" w:type="dxa"/>
          </w:tcPr>
          <w:p w14:paraId="18E5F325" w14:textId="77777777" w:rsidR="005E7724" w:rsidRDefault="005E7724" w:rsidP="005A720A">
            <w:pPr>
              <w:pStyle w:val="BodyText"/>
              <w:jc w:val="left"/>
              <w:rPr>
                <w:rFonts w:ascii="Arial Narrow" w:hAnsi="Arial Narrow" w:cs="Arial"/>
                <w:b w:val="0"/>
                <w:sz w:val="20"/>
              </w:rPr>
            </w:pPr>
            <w:r>
              <w:rPr>
                <w:rFonts w:ascii="Arial Narrow" w:hAnsi="Arial Narrow" w:cs="Arial"/>
                <w:b w:val="0"/>
                <w:sz w:val="20"/>
              </w:rPr>
              <w:t>§748.1(c)</w:t>
            </w:r>
          </w:p>
        </w:tc>
        <w:tc>
          <w:tcPr>
            <w:tcW w:w="3100" w:type="dxa"/>
          </w:tcPr>
          <w:p w14:paraId="48AD920E" w14:textId="77777777" w:rsidR="005E7724" w:rsidRPr="00542866" w:rsidRDefault="005E7724" w:rsidP="005A720A">
            <w:pPr>
              <w:pStyle w:val="BodyText"/>
              <w:jc w:val="left"/>
              <w:rPr>
                <w:rFonts w:ascii="Arial Narrow" w:hAnsi="Arial Narrow" w:cs="Arial"/>
                <w:b w:val="0"/>
                <w:sz w:val="20"/>
              </w:rPr>
            </w:pPr>
            <w:r>
              <w:rPr>
                <w:rFonts w:ascii="Arial Narrow" w:hAnsi="Arial Narrow" w:cs="Arial"/>
                <w:b w:val="0"/>
                <w:sz w:val="20"/>
              </w:rPr>
              <w:t>Suspicious Activity Report (reporting)</w:t>
            </w:r>
          </w:p>
        </w:tc>
        <w:tc>
          <w:tcPr>
            <w:tcW w:w="5554" w:type="dxa"/>
            <w:gridSpan w:val="5"/>
            <w:vAlign w:val="center"/>
          </w:tcPr>
          <w:p w14:paraId="45C90518" w14:textId="77777777" w:rsidR="005E7724" w:rsidRPr="00471011" w:rsidRDefault="005E7724" w:rsidP="005A720A">
            <w:pPr>
              <w:pStyle w:val="BodyText"/>
              <w:rPr>
                <w:rFonts w:ascii="Arial Narrow" w:hAnsi="Arial Narrow" w:cs="Arial"/>
                <w:b w:val="0"/>
                <w:sz w:val="20"/>
              </w:rPr>
            </w:pPr>
            <w:r>
              <w:rPr>
                <w:rFonts w:ascii="Arial Narrow" w:hAnsi="Arial Narrow" w:cs="Arial"/>
                <w:b w:val="0"/>
                <w:sz w:val="20"/>
              </w:rPr>
              <w:t>OMB Nos. 3133-0098, 1506-0065</w:t>
            </w:r>
          </w:p>
        </w:tc>
      </w:tr>
      <w:tr w:rsidR="005E7724" w14:paraId="7BCCA537" w14:textId="77777777" w:rsidTr="005E7724">
        <w:tc>
          <w:tcPr>
            <w:tcW w:w="1035" w:type="dxa"/>
          </w:tcPr>
          <w:p w14:paraId="4D2C320A" w14:textId="77777777" w:rsidR="005E7724" w:rsidRDefault="005E7724" w:rsidP="005A720A">
            <w:pPr>
              <w:pStyle w:val="BodyText"/>
              <w:jc w:val="left"/>
              <w:rPr>
                <w:rFonts w:ascii="Arial Narrow" w:hAnsi="Arial Narrow" w:cs="Arial"/>
                <w:b w:val="0"/>
                <w:sz w:val="20"/>
              </w:rPr>
            </w:pPr>
            <w:r>
              <w:rPr>
                <w:rFonts w:ascii="Arial Narrow" w:hAnsi="Arial Narrow" w:cs="Arial"/>
                <w:b w:val="0"/>
                <w:sz w:val="20"/>
              </w:rPr>
              <w:t>§748.1(2)</w:t>
            </w:r>
          </w:p>
        </w:tc>
        <w:tc>
          <w:tcPr>
            <w:tcW w:w="3100" w:type="dxa"/>
          </w:tcPr>
          <w:p w14:paraId="33887A55" w14:textId="77777777" w:rsidR="005E7724" w:rsidRDefault="005E7724" w:rsidP="005A720A">
            <w:pPr>
              <w:pStyle w:val="BodyText"/>
              <w:jc w:val="left"/>
              <w:rPr>
                <w:rFonts w:ascii="Arial Narrow" w:hAnsi="Arial Narrow" w:cs="Arial"/>
                <w:b w:val="0"/>
                <w:sz w:val="20"/>
              </w:rPr>
            </w:pPr>
            <w:r>
              <w:rPr>
                <w:rFonts w:ascii="Arial Narrow" w:hAnsi="Arial Narrow" w:cs="Arial"/>
                <w:b w:val="0"/>
                <w:sz w:val="20"/>
              </w:rPr>
              <w:t>Monitoring BSA Compliance (recordkeeping)</w:t>
            </w:r>
          </w:p>
        </w:tc>
        <w:tc>
          <w:tcPr>
            <w:tcW w:w="5554" w:type="dxa"/>
            <w:gridSpan w:val="5"/>
            <w:vAlign w:val="center"/>
          </w:tcPr>
          <w:p w14:paraId="15C9DA69" w14:textId="77777777" w:rsidR="005E7724" w:rsidRDefault="005E7724" w:rsidP="005A720A">
            <w:pPr>
              <w:pStyle w:val="BodyText"/>
              <w:rPr>
                <w:rFonts w:ascii="Arial Narrow" w:hAnsi="Arial Narrow" w:cs="Arial"/>
                <w:b w:val="0"/>
                <w:sz w:val="20"/>
              </w:rPr>
            </w:pPr>
            <w:r>
              <w:rPr>
                <w:rFonts w:ascii="Arial Narrow" w:hAnsi="Arial Narrow" w:cs="Arial"/>
                <w:b w:val="0"/>
                <w:sz w:val="20"/>
              </w:rPr>
              <w:t>OMB No. 3133-0108</w:t>
            </w:r>
          </w:p>
        </w:tc>
      </w:tr>
      <w:tr w:rsidR="005E7724" w14:paraId="39FD4DC4" w14:textId="77777777" w:rsidTr="005E7724">
        <w:tc>
          <w:tcPr>
            <w:tcW w:w="1035" w:type="dxa"/>
          </w:tcPr>
          <w:p w14:paraId="74EB1C39" w14:textId="77777777" w:rsidR="005E7724" w:rsidRPr="00542866" w:rsidRDefault="005E7724" w:rsidP="005A720A">
            <w:pPr>
              <w:pStyle w:val="BodyText"/>
              <w:jc w:val="left"/>
              <w:rPr>
                <w:rFonts w:ascii="Arial Narrow" w:hAnsi="Arial Narrow" w:cs="Arial"/>
                <w:b w:val="0"/>
                <w:sz w:val="20"/>
              </w:rPr>
            </w:pPr>
          </w:p>
        </w:tc>
        <w:tc>
          <w:tcPr>
            <w:tcW w:w="3100" w:type="dxa"/>
          </w:tcPr>
          <w:p w14:paraId="7AA6B09D" w14:textId="77777777" w:rsidR="005E7724" w:rsidRPr="00542866" w:rsidRDefault="005E7724" w:rsidP="005A720A">
            <w:pPr>
              <w:pStyle w:val="BodyText"/>
              <w:jc w:val="left"/>
              <w:rPr>
                <w:rFonts w:ascii="Arial Narrow" w:hAnsi="Arial Narrow" w:cs="Arial"/>
                <w:b w:val="0"/>
                <w:sz w:val="20"/>
              </w:rPr>
            </w:pPr>
            <w:r w:rsidRPr="00542866">
              <w:rPr>
                <w:rFonts w:ascii="Arial Narrow" w:hAnsi="Arial Narrow" w:cs="Arial"/>
                <w:b w:val="0"/>
                <w:sz w:val="20"/>
              </w:rPr>
              <w:t>Notifying NCUA of incident</w:t>
            </w:r>
            <w:r>
              <w:rPr>
                <w:rFonts w:ascii="Arial Narrow" w:hAnsi="Arial Narrow" w:cs="Arial"/>
                <w:b w:val="0"/>
                <w:sz w:val="20"/>
              </w:rPr>
              <w:t xml:space="preserve"> (reporting)</w:t>
            </w:r>
          </w:p>
        </w:tc>
        <w:tc>
          <w:tcPr>
            <w:tcW w:w="1183" w:type="dxa"/>
            <w:vAlign w:val="center"/>
          </w:tcPr>
          <w:p w14:paraId="67D26541" w14:textId="77777777" w:rsidR="005E7724" w:rsidRPr="00ED06C9" w:rsidRDefault="005E7724" w:rsidP="005A720A">
            <w:pPr>
              <w:pStyle w:val="BodyText"/>
              <w:jc w:val="right"/>
              <w:rPr>
                <w:rFonts w:cs="Arial"/>
                <w:b w:val="0"/>
                <w:sz w:val="20"/>
              </w:rPr>
            </w:pPr>
            <w:r>
              <w:rPr>
                <w:rFonts w:cs="Arial"/>
                <w:b w:val="0"/>
                <w:sz w:val="20"/>
              </w:rPr>
              <w:t>121</w:t>
            </w:r>
          </w:p>
        </w:tc>
        <w:tc>
          <w:tcPr>
            <w:tcW w:w="1171" w:type="dxa"/>
            <w:vAlign w:val="center"/>
          </w:tcPr>
          <w:p w14:paraId="0D834FF3" w14:textId="77777777" w:rsidR="005E7724" w:rsidRPr="00ED06C9" w:rsidRDefault="005E7724" w:rsidP="005A720A">
            <w:pPr>
              <w:pStyle w:val="BodyText"/>
              <w:jc w:val="right"/>
              <w:rPr>
                <w:rFonts w:cs="Arial"/>
                <w:b w:val="0"/>
                <w:sz w:val="20"/>
              </w:rPr>
            </w:pPr>
            <w:r>
              <w:rPr>
                <w:rFonts w:cs="Arial"/>
                <w:b w:val="0"/>
                <w:sz w:val="20"/>
              </w:rPr>
              <w:t>1</w:t>
            </w:r>
          </w:p>
        </w:tc>
        <w:tc>
          <w:tcPr>
            <w:tcW w:w="1101" w:type="dxa"/>
            <w:vAlign w:val="center"/>
          </w:tcPr>
          <w:p w14:paraId="019ECEE2" w14:textId="77777777" w:rsidR="005E7724" w:rsidRPr="00ED06C9" w:rsidRDefault="005E7724" w:rsidP="005A720A">
            <w:pPr>
              <w:pStyle w:val="BodyText"/>
              <w:jc w:val="right"/>
              <w:rPr>
                <w:rFonts w:cs="Arial"/>
                <w:b w:val="0"/>
                <w:sz w:val="20"/>
              </w:rPr>
            </w:pPr>
            <w:r>
              <w:rPr>
                <w:rFonts w:cs="Arial"/>
                <w:b w:val="0"/>
                <w:sz w:val="20"/>
              </w:rPr>
              <w:t>121</w:t>
            </w:r>
          </w:p>
        </w:tc>
        <w:tc>
          <w:tcPr>
            <w:tcW w:w="981" w:type="dxa"/>
            <w:vAlign w:val="center"/>
          </w:tcPr>
          <w:p w14:paraId="44737105" w14:textId="77777777" w:rsidR="005E7724" w:rsidRPr="00ED06C9" w:rsidRDefault="005E7724" w:rsidP="005A720A">
            <w:pPr>
              <w:pStyle w:val="BodyText"/>
              <w:jc w:val="right"/>
              <w:rPr>
                <w:rFonts w:cs="Arial"/>
                <w:b w:val="0"/>
                <w:sz w:val="20"/>
              </w:rPr>
            </w:pPr>
            <w:r>
              <w:rPr>
                <w:rFonts w:cs="Arial"/>
                <w:b w:val="0"/>
                <w:sz w:val="20"/>
              </w:rPr>
              <w:t>2</w:t>
            </w:r>
          </w:p>
        </w:tc>
        <w:tc>
          <w:tcPr>
            <w:tcW w:w="1118" w:type="dxa"/>
            <w:vAlign w:val="center"/>
          </w:tcPr>
          <w:p w14:paraId="1BC39A25" w14:textId="77777777" w:rsidR="005E7724" w:rsidRPr="00ED06C9" w:rsidRDefault="005E7724" w:rsidP="005A720A">
            <w:pPr>
              <w:pStyle w:val="BodyText"/>
              <w:jc w:val="right"/>
              <w:rPr>
                <w:rFonts w:cs="Arial"/>
                <w:b w:val="0"/>
                <w:sz w:val="20"/>
              </w:rPr>
            </w:pPr>
            <w:r>
              <w:rPr>
                <w:rFonts w:cs="Arial"/>
                <w:b w:val="0"/>
                <w:sz w:val="20"/>
              </w:rPr>
              <w:t>242</w:t>
            </w:r>
          </w:p>
        </w:tc>
      </w:tr>
      <w:tr w:rsidR="005E7724" w14:paraId="21F56862" w14:textId="77777777" w:rsidTr="005E7724">
        <w:tc>
          <w:tcPr>
            <w:tcW w:w="1035" w:type="dxa"/>
          </w:tcPr>
          <w:p w14:paraId="459D2741" w14:textId="77777777" w:rsidR="005E7724" w:rsidRPr="00542866" w:rsidRDefault="005E7724" w:rsidP="005A720A">
            <w:pPr>
              <w:pStyle w:val="BodyText"/>
              <w:jc w:val="left"/>
              <w:rPr>
                <w:rFonts w:ascii="Arial Narrow" w:hAnsi="Arial Narrow" w:cs="Arial"/>
                <w:b w:val="0"/>
                <w:sz w:val="20"/>
              </w:rPr>
            </w:pPr>
            <w:proofErr w:type="spellStart"/>
            <w:r>
              <w:rPr>
                <w:rFonts w:ascii="Arial Narrow" w:hAnsi="Arial Narrow" w:cs="Arial"/>
                <w:b w:val="0"/>
                <w:sz w:val="20"/>
              </w:rPr>
              <w:t>Apx.B.III</w:t>
            </w:r>
            <w:proofErr w:type="spellEnd"/>
            <w:r>
              <w:rPr>
                <w:rFonts w:ascii="Arial Narrow" w:hAnsi="Arial Narrow" w:cs="Arial"/>
                <w:b w:val="0"/>
                <w:sz w:val="20"/>
              </w:rPr>
              <w:t>.</w:t>
            </w:r>
          </w:p>
        </w:tc>
        <w:tc>
          <w:tcPr>
            <w:tcW w:w="3100" w:type="dxa"/>
          </w:tcPr>
          <w:p w14:paraId="38F7B44B" w14:textId="77777777" w:rsidR="005E7724" w:rsidRPr="00542866" w:rsidRDefault="005E7724" w:rsidP="005A720A">
            <w:pPr>
              <w:pStyle w:val="BodyText"/>
              <w:jc w:val="left"/>
              <w:rPr>
                <w:rFonts w:ascii="Arial Narrow" w:hAnsi="Arial Narrow" w:cs="Arial"/>
                <w:b w:val="0"/>
                <w:sz w:val="20"/>
              </w:rPr>
            </w:pPr>
            <w:r w:rsidRPr="00542866">
              <w:rPr>
                <w:rFonts w:ascii="Arial Narrow" w:hAnsi="Arial Narrow" w:cs="Arial"/>
                <w:b w:val="0"/>
                <w:sz w:val="20"/>
              </w:rPr>
              <w:t>Notifying Members</w:t>
            </w:r>
            <w:r>
              <w:rPr>
                <w:rFonts w:ascii="Arial Narrow" w:hAnsi="Arial Narrow" w:cs="Arial"/>
                <w:b w:val="0"/>
                <w:sz w:val="20"/>
              </w:rPr>
              <w:t xml:space="preserve"> of incident (disclosure)</w:t>
            </w:r>
          </w:p>
        </w:tc>
        <w:tc>
          <w:tcPr>
            <w:tcW w:w="1183" w:type="dxa"/>
            <w:vAlign w:val="center"/>
          </w:tcPr>
          <w:p w14:paraId="11CC6642" w14:textId="77777777" w:rsidR="005E7724" w:rsidRPr="00ED06C9" w:rsidRDefault="005E7724" w:rsidP="005A720A">
            <w:pPr>
              <w:pStyle w:val="BodyText"/>
              <w:jc w:val="right"/>
              <w:rPr>
                <w:rFonts w:cs="Arial"/>
                <w:b w:val="0"/>
                <w:sz w:val="20"/>
              </w:rPr>
            </w:pPr>
            <w:r w:rsidRPr="00ED06C9">
              <w:rPr>
                <w:rFonts w:cs="Arial"/>
                <w:b w:val="0"/>
                <w:sz w:val="20"/>
              </w:rPr>
              <w:t>121</w:t>
            </w:r>
          </w:p>
        </w:tc>
        <w:tc>
          <w:tcPr>
            <w:tcW w:w="1171" w:type="dxa"/>
            <w:vAlign w:val="center"/>
          </w:tcPr>
          <w:p w14:paraId="697BB09D" w14:textId="77777777" w:rsidR="005E7724" w:rsidRPr="00ED06C9" w:rsidRDefault="005E7724" w:rsidP="005A720A">
            <w:pPr>
              <w:pStyle w:val="BodyText"/>
              <w:jc w:val="right"/>
              <w:rPr>
                <w:rFonts w:cs="Arial"/>
                <w:b w:val="0"/>
                <w:sz w:val="20"/>
              </w:rPr>
            </w:pPr>
            <w:r w:rsidRPr="00ED06C9">
              <w:rPr>
                <w:rFonts w:cs="Arial"/>
                <w:b w:val="0"/>
                <w:sz w:val="20"/>
              </w:rPr>
              <w:t>1</w:t>
            </w:r>
          </w:p>
        </w:tc>
        <w:tc>
          <w:tcPr>
            <w:tcW w:w="1101" w:type="dxa"/>
            <w:vAlign w:val="center"/>
          </w:tcPr>
          <w:p w14:paraId="4933718B" w14:textId="77777777" w:rsidR="005E7724" w:rsidRPr="00ED06C9" w:rsidRDefault="005E7724" w:rsidP="005A720A">
            <w:pPr>
              <w:pStyle w:val="BodyText"/>
              <w:jc w:val="right"/>
              <w:rPr>
                <w:rFonts w:cs="Arial"/>
                <w:b w:val="0"/>
                <w:sz w:val="20"/>
              </w:rPr>
            </w:pPr>
            <w:r w:rsidRPr="00ED06C9">
              <w:rPr>
                <w:rFonts w:cs="Arial"/>
                <w:b w:val="0"/>
                <w:sz w:val="20"/>
              </w:rPr>
              <w:t>121</w:t>
            </w:r>
          </w:p>
        </w:tc>
        <w:tc>
          <w:tcPr>
            <w:tcW w:w="981" w:type="dxa"/>
            <w:vAlign w:val="center"/>
          </w:tcPr>
          <w:p w14:paraId="5597BAA9" w14:textId="77777777" w:rsidR="005E7724" w:rsidRPr="00ED06C9" w:rsidRDefault="005E7724" w:rsidP="005A720A">
            <w:pPr>
              <w:pStyle w:val="BodyText"/>
              <w:jc w:val="right"/>
              <w:rPr>
                <w:rFonts w:cs="Arial"/>
                <w:b w:val="0"/>
                <w:sz w:val="20"/>
              </w:rPr>
            </w:pPr>
            <w:r w:rsidRPr="00ED06C9">
              <w:rPr>
                <w:rFonts w:cs="Arial"/>
                <w:b w:val="0"/>
                <w:sz w:val="20"/>
              </w:rPr>
              <w:t>24</w:t>
            </w:r>
          </w:p>
        </w:tc>
        <w:tc>
          <w:tcPr>
            <w:tcW w:w="1118" w:type="dxa"/>
            <w:vAlign w:val="center"/>
          </w:tcPr>
          <w:p w14:paraId="38E0C514" w14:textId="77777777" w:rsidR="005E7724" w:rsidRPr="00ED06C9" w:rsidRDefault="005E7724" w:rsidP="005A720A">
            <w:pPr>
              <w:pStyle w:val="BodyText"/>
              <w:jc w:val="right"/>
              <w:rPr>
                <w:rFonts w:cs="Arial"/>
                <w:b w:val="0"/>
                <w:sz w:val="20"/>
              </w:rPr>
            </w:pPr>
            <w:r w:rsidRPr="00ED06C9">
              <w:rPr>
                <w:rFonts w:cs="Arial"/>
                <w:b w:val="0"/>
                <w:sz w:val="20"/>
              </w:rPr>
              <w:t>2,904</w:t>
            </w:r>
          </w:p>
        </w:tc>
      </w:tr>
      <w:tr w:rsidR="005E7724" w14:paraId="5997594B" w14:textId="77777777" w:rsidTr="005E7724">
        <w:trPr>
          <w:trHeight w:val="377"/>
        </w:trPr>
        <w:tc>
          <w:tcPr>
            <w:tcW w:w="1035" w:type="dxa"/>
            <w:vAlign w:val="center"/>
          </w:tcPr>
          <w:p w14:paraId="5EB24274" w14:textId="77777777" w:rsidR="005E7724" w:rsidRDefault="005E7724" w:rsidP="005A720A">
            <w:pPr>
              <w:pStyle w:val="BodyText"/>
              <w:jc w:val="right"/>
              <w:rPr>
                <w:rFonts w:ascii="Arial Narrow" w:hAnsi="Arial Narrow" w:cs="Arial"/>
                <w:b w:val="0"/>
                <w:sz w:val="20"/>
              </w:rPr>
            </w:pPr>
            <w:r>
              <w:rPr>
                <w:rFonts w:ascii="Arial Narrow" w:hAnsi="Arial Narrow" w:cs="Arial"/>
                <w:b w:val="0"/>
                <w:sz w:val="20"/>
              </w:rPr>
              <w:t>TOTALS</w:t>
            </w:r>
          </w:p>
        </w:tc>
        <w:tc>
          <w:tcPr>
            <w:tcW w:w="3100" w:type="dxa"/>
            <w:vAlign w:val="center"/>
          </w:tcPr>
          <w:p w14:paraId="77AC4796" w14:textId="77777777" w:rsidR="005E7724" w:rsidRPr="00542866" w:rsidRDefault="005E7724" w:rsidP="005A720A">
            <w:pPr>
              <w:pStyle w:val="BodyText"/>
              <w:jc w:val="left"/>
              <w:rPr>
                <w:rFonts w:ascii="Arial Narrow" w:hAnsi="Arial Narrow" w:cs="Arial"/>
                <w:b w:val="0"/>
                <w:sz w:val="20"/>
              </w:rPr>
            </w:pPr>
          </w:p>
        </w:tc>
        <w:tc>
          <w:tcPr>
            <w:tcW w:w="1183" w:type="dxa"/>
            <w:vAlign w:val="center"/>
          </w:tcPr>
          <w:p w14:paraId="27433177" w14:textId="77777777" w:rsidR="005E7724" w:rsidRPr="00ED06C9" w:rsidRDefault="005E7724" w:rsidP="005A720A">
            <w:pPr>
              <w:pStyle w:val="BodyText"/>
              <w:jc w:val="right"/>
              <w:rPr>
                <w:rFonts w:cs="Arial"/>
                <w:b w:val="0"/>
                <w:sz w:val="20"/>
              </w:rPr>
            </w:pPr>
            <w:r>
              <w:rPr>
                <w:rFonts w:cs="Arial"/>
                <w:b w:val="0"/>
                <w:sz w:val="20"/>
              </w:rPr>
              <w:t>6,201</w:t>
            </w:r>
          </w:p>
        </w:tc>
        <w:tc>
          <w:tcPr>
            <w:tcW w:w="1171" w:type="dxa"/>
            <w:vAlign w:val="center"/>
          </w:tcPr>
          <w:p w14:paraId="57CD7254" w14:textId="77777777" w:rsidR="005E7724" w:rsidRPr="00ED06C9" w:rsidRDefault="005E7724" w:rsidP="005A720A">
            <w:pPr>
              <w:pStyle w:val="BodyText"/>
              <w:jc w:val="right"/>
              <w:rPr>
                <w:rFonts w:cs="Arial"/>
                <w:b w:val="0"/>
                <w:sz w:val="20"/>
              </w:rPr>
            </w:pPr>
            <w:r>
              <w:rPr>
                <w:rFonts w:cs="Arial"/>
                <w:b w:val="0"/>
                <w:sz w:val="20"/>
              </w:rPr>
              <w:t>1.02</w:t>
            </w:r>
          </w:p>
        </w:tc>
        <w:tc>
          <w:tcPr>
            <w:tcW w:w="1101" w:type="dxa"/>
            <w:vAlign w:val="center"/>
          </w:tcPr>
          <w:p w14:paraId="7FA7E105" w14:textId="77777777" w:rsidR="005E7724" w:rsidRPr="00ED06C9" w:rsidRDefault="005E7724" w:rsidP="005A720A">
            <w:pPr>
              <w:pStyle w:val="BodyText"/>
              <w:jc w:val="right"/>
              <w:rPr>
                <w:rFonts w:cs="Arial"/>
                <w:b w:val="0"/>
                <w:sz w:val="20"/>
              </w:rPr>
            </w:pPr>
            <w:r>
              <w:rPr>
                <w:rFonts w:cs="Arial"/>
                <w:b w:val="0"/>
                <w:sz w:val="20"/>
              </w:rPr>
              <w:t>6,297</w:t>
            </w:r>
          </w:p>
        </w:tc>
        <w:tc>
          <w:tcPr>
            <w:tcW w:w="981" w:type="dxa"/>
            <w:vAlign w:val="center"/>
          </w:tcPr>
          <w:p w14:paraId="66707B38" w14:textId="77777777" w:rsidR="005E7724" w:rsidRPr="00ED06C9" w:rsidRDefault="005E7724" w:rsidP="005A720A">
            <w:pPr>
              <w:pStyle w:val="BodyText"/>
              <w:jc w:val="right"/>
              <w:rPr>
                <w:rFonts w:cs="Arial"/>
                <w:b w:val="0"/>
                <w:sz w:val="20"/>
              </w:rPr>
            </w:pPr>
            <w:r>
              <w:rPr>
                <w:rFonts w:cs="Arial"/>
                <w:b w:val="0"/>
                <w:sz w:val="20"/>
              </w:rPr>
              <w:t>2.43</w:t>
            </w:r>
          </w:p>
        </w:tc>
        <w:tc>
          <w:tcPr>
            <w:tcW w:w="1118" w:type="dxa"/>
            <w:vAlign w:val="center"/>
          </w:tcPr>
          <w:p w14:paraId="0433FDAC" w14:textId="77777777" w:rsidR="005E7724" w:rsidRPr="00ED06C9" w:rsidRDefault="005E7724" w:rsidP="005A720A">
            <w:pPr>
              <w:pStyle w:val="BodyText"/>
              <w:jc w:val="right"/>
              <w:rPr>
                <w:rFonts w:cs="Arial"/>
                <w:b w:val="0"/>
                <w:sz w:val="20"/>
              </w:rPr>
            </w:pPr>
            <w:r>
              <w:rPr>
                <w:rFonts w:cs="Arial"/>
                <w:b w:val="0"/>
                <w:sz w:val="20"/>
              </w:rPr>
              <w:t>15,298</w:t>
            </w:r>
          </w:p>
        </w:tc>
      </w:tr>
    </w:tbl>
    <w:p w14:paraId="1E4979B9" w14:textId="77777777" w:rsidR="00375467" w:rsidRPr="009101FB" w:rsidRDefault="00375467" w:rsidP="005C713C">
      <w:pPr>
        <w:pStyle w:val="BodyText"/>
        <w:jc w:val="left"/>
        <w:rPr>
          <w:rFonts w:ascii="Times New Roman" w:hAnsi="Times New Roman"/>
          <w:b w:val="0"/>
          <w:szCs w:val="24"/>
        </w:rPr>
      </w:pPr>
    </w:p>
    <w:p w14:paraId="03CF8221" w14:textId="414CD3F2" w:rsidR="00080624" w:rsidRPr="009101FB" w:rsidRDefault="005E7724" w:rsidP="005C713C">
      <w:pPr>
        <w:pStyle w:val="BodyText"/>
        <w:jc w:val="left"/>
        <w:rPr>
          <w:rFonts w:ascii="Times New Roman" w:hAnsi="Times New Roman"/>
          <w:b w:val="0"/>
          <w:szCs w:val="24"/>
        </w:rPr>
      </w:pPr>
      <w:r w:rsidRPr="009101FB">
        <w:rPr>
          <w:rFonts w:ascii="Times New Roman" w:hAnsi="Times New Roman"/>
          <w:b w:val="0"/>
          <w:szCs w:val="24"/>
        </w:rPr>
        <w:t xml:space="preserve">The total cost to respondent is based on a $35 hourly wage rate for a total </w:t>
      </w:r>
      <w:r w:rsidR="00B86E08" w:rsidRPr="009101FB">
        <w:rPr>
          <w:rFonts w:ascii="Times New Roman" w:hAnsi="Times New Roman"/>
          <w:b w:val="0"/>
          <w:szCs w:val="24"/>
        </w:rPr>
        <w:t xml:space="preserve">of </w:t>
      </w:r>
      <w:r w:rsidRPr="009101FB">
        <w:rPr>
          <w:rFonts w:ascii="Times New Roman" w:hAnsi="Times New Roman"/>
          <w:b w:val="0"/>
          <w:szCs w:val="24"/>
        </w:rPr>
        <w:t>$</w:t>
      </w:r>
      <w:r w:rsidR="00B86E08" w:rsidRPr="009101FB">
        <w:rPr>
          <w:rFonts w:ascii="Times New Roman" w:hAnsi="Times New Roman"/>
          <w:b w:val="0"/>
          <w:szCs w:val="24"/>
        </w:rPr>
        <w:t>535,430.</w:t>
      </w:r>
    </w:p>
    <w:p w14:paraId="151762C7" w14:textId="77777777" w:rsidR="009101FB" w:rsidRPr="009101FB" w:rsidRDefault="00910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585CBE58" w14:textId="77777777"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13.</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 xml:space="preserve">Estimates of </w:t>
      </w:r>
      <w:r w:rsidR="000E1684" w:rsidRPr="009101FB">
        <w:rPr>
          <w:rFonts w:ascii="Times New Roman" w:hAnsi="Times New Roman" w:cs="Times New Roman"/>
          <w:sz w:val="24"/>
          <w:szCs w:val="24"/>
          <w:u w:val="single"/>
        </w:rPr>
        <w:t>capital start-up and maintenance costs</w:t>
      </w:r>
    </w:p>
    <w:p w14:paraId="78FF1281"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C75C537" w14:textId="5E0C9B4A" w:rsidR="0053633C" w:rsidRPr="009101FB" w:rsidRDefault="000E1684" w:rsidP="00DA51B8">
      <w:pPr>
        <w:rPr>
          <w:rFonts w:ascii="Times New Roman" w:hAnsi="Times New Roman" w:cs="Times New Roman"/>
          <w:sz w:val="24"/>
          <w:szCs w:val="24"/>
        </w:rPr>
      </w:pPr>
      <w:r w:rsidRPr="009101FB">
        <w:rPr>
          <w:rFonts w:ascii="Times New Roman" w:hAnsi="Times New Roman" w:cs="Times New Roman"/>
          <w:sz w:val="24"/>
          <w:szCs w:val="24"/>
        </w:rPr>
        <w:t xml:space="preserve">There are no capital start-up </w:t>
      </w:r>
      <w:r w:rsidR="0090736C" w:rsidRPr="009101FB">
        <w:rPr>
          <w:rFonts w:ascii="Times New Roman" w:hAnsi="Times New Roman" w:cs="Times New Roman"/>
          <w:sz w:val="24"/>
          <w:szCs w:val="24"/>
        </w:rPr>
        <w:t xml:space="preserve">costs and </w:t>
      </w:r>
      <w:r w:rsidRPr="009101FB">
        <w:rPr>
          <w:rFonts w:ascii="Times New Roman" w:hAnsi="Times New Roman" w:cs="Times New Roman"/>
          <w:sz w:val="24"/>
          <w:szCs w:val="24"/>
        </w:rPr>
        <w:t>maintenance costs</w:t>
      </w:r>
      <w:r w:rsidR="0090736C" w:rsidRPr="009101FB">
        <w:rPr>
          <w:rFonts w:ascii="Times New Roman" w:hAnsi="Times New Roman" w:cs="Times New Roman"/>
          <w:sz w:val="24"/>
          <w:szCs w:val="24"/>
        </w:rPr>
        <w:t xml:space="preserve"> are included in Question 12</w:t>
      </w:r>
      <w:r w:rsidRPr="009101FB">
        <w:rPr>
          <w:rFonts w:ascii="Times New Roman" w:hAnsi="Times New Roman" w:cs="Times New Roman"/>
          <w:sz w:val="24"/>
          <w:szCs w:val="24"/>
        </w:rPr>
        <w:t>.</w:t>
      </w:r>
    </w:p>
    <w:p w14:paraId="1A15B250" w14:textId="77777777" w:rsidR="00DA51B8" w:rsidRPr="009101FB" w:rsidRDefault="00DA5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9E049C3" w14:textId="77777777" w:rsidR="00DF4B04" w:rsidRPr="009101FB" w:rsidRDefault="00DF4B04" w:rsidP="00DF4B04">
      <w:pPr>
        <w:tabs>
          <w:tab w:val="left" w:pos="-1440"/>
        </w:tabs>
        <w:ind w:left="720" w:hanging="720"/>
        <w:rPr>
          <w:rFonts w:ascii="Times New Roman" w:hAnsi="Times New Roman" w:cs="Times New Roman"/>
          <w:sz w:val="24"/>
          <w:szCs w:val="24"/>
        </w:rPr>
      </w:pPr>
      <w:r w:rsidRPr="009101FB">
        <w:rPr>
          <w:rFonts w:ascii="Times New Roman" w:hAnsi="Times New Roman" w:cs="Times New Roman"/>
          <w:sz w:val="24"/>
          <w:szCs w:val="24"/>
        </w:rPr>
        <w:t>14.</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Estimates of annualized cost to the Federal Government:</w:t>
      </w:r>
    </w:p>
    <w:p w14:paraId="1C7A7CB5" w14:textId="77777777" w:rsidR="0053633C" w:rsidRPr="009101FB" w:rsidRDefault="0053633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20EEE71" w14:textId="77777777" w:rsidR="005C713C" w:rsidRPr="009101FB" w:rsidRDefault="000E1684" w:rsidP="005C713C">
      <w:pPr>
        <w:jc w:val="both"/>
        <w:rPr>
          <w:rFonts w:ascii="Times New Roman" w:hAnsi="Times New Roman" w:cs="Times New Roman"/>
          <w:sz w:val="24"/>
          <w:szCs w:val="24"/>
        </w:rPr>
      </w:pPr>
      <w:r w:rsidRPr="009101FB">
        <w:rPr>
          <w:rFonts w:ascii="Times New Roman" w:hAnsi="Times New Roman" w:cs="Times New Roman"/>
          <w:sz w:val="24"/>
          <w:szCs w:val="24"/>
        </w:rPr>
        <w:t xml:space="preserve">There are no </w:t>
      </w:r>
      <w:r w:rsidR="001F24F1" w:rsidRPr="009101FB">
        <w:rPr>
          <w:rFonts w:ascii="Times New Roman" w:hAnsi="Times New Roman" w:cs="Times New Roman"/>
          <w:sz w:val="24"/>
          <w:szCs w:val="24"/>
        </w:rPr>
        <w:t>cost to the federal government</w:t>
      </w:r>
      <w:r w:rsidR="005C713C" w:rsidRPr="009101FB">
        <w:rPr>
          <w:rFonts w:ascii="Times New Roman" w:hAnsi="Times New Roman" w:cs="Times New Roman"/>
          <w:sz w:val="24"/>
          <w:szCs w:val="24"/>
        </w:rPr>
        <w:t xml:space="preserve">. </w:t>
      </w:r>
    </w:p>
    <w:p w14:paraId="31DE31DA" w14:textId="77777777" w:rsidR="0053633C" w:rsidRPr="009101FB" w:rsidRDefault="0053633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rPr>
          <w:rFonts w:ascii="Times New Roman" w:hAnsi="Times New Roman" w:cs="Times New Roman"/>
          <w:i/>
          <w:iCs/>
          <w:sz w:val="24"/>
          <w:szCs w:val="24"/>
        </w:rPr>
      </w:pPr>
    </w:p>
    <w:p w14:paraId="38B412C6" w14:textId="77777777" w:rsidR="00DF4B04" w:rsidRPr="009101FB" w:rsidRDefault="00DF4B04" w:rsidP="00DF4B04">
      <w:pPr>
        <w:tabs>
          <w:tab w:val="left" w:pos="-1440"/>
        </w:tabs>
        <w:ind w:left="720" w:hanging="720"/>
        <w:rPr>
          <w:rFonts w:ascii="Times New Roman" w:hAnsi="Times New Roman" w:cs="Times New Roman"/>
          <w:sz w:val="24"/>
          <w:szCs w:val="24"/>
          <w:u w:val="single"/>
        </w:rPr>
      </w:pPr>
      <w:r w:rsidRPr="009101FB">
        <w:rPr>
          <w:rFonts w:ascii="Times New Roman" w:hAnsi="Times New Roman" w:cs="Times New Roman"/>
          <w:sz w:val="24"/>
          <w:szCs w:val="24"/>
        </w:rPr>
        <w:t>15.</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Changes in burden:</w:t>
      </w:r>
    </w:p>
    <w:p w14:paraId="6F4100C8"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6E89CDC" w14:textId="4F72C3FA" w:rsidR="005C713C" w:rsidRPr="009101FB" w:rsidRDefault="00E479CD" w:rsidP="005C713C">
      <w:pPr>
        <w:rPr>
          <w:rFonts w:ascii="Times New Roman" w:hAnsi="Times New Roman" w:cs="Times New Roman"/>
          <w:sz w:val="24"/>
          <w:szCs w:val="24"/>
        </w:rPr>
      </w:pPr>
      <w:r w:rsidRPr="009101FB">
        <w:rPr>
          <w:rFonts w:ascii="Times New Roman" w:hAnsi="Times New Roman" w:cs="Times New Roman"/>
          <w:sz w:val="24"/>
          <w:szCs w:val="24"/>
        </w:rPr>
        <w:t>Adjustments</w:t>
      </w:r>
      <w:r w:rsidR="0013734A" w:rsidRPr="009101FB">
        <w:rPr>
          <w:rFonts w:ascii="Times New Roman" w:hAnsi="Times New Roman" w:cs="Times New Roman"/>
          <w:sz w:val="24"/>
          <w:szCs w:val="24"/>
        </w:rPr>
        <w:t xml:space="preserve"> reflect </w:t>
      </w:r>
      <w:r w:rsidR="00B90301" w:rsidRPr="009101FB">
        <w:rPr>
          <w:rFonts w:ascii="Times New Roman" w:hAnsi="Times New Roman" w:cs="Times New Roman"/>
          <w:sz w:val="24"/>
          <w:szCs w:val="24"/>
        </w:rPr>
        <w:t xml:space="preserve">a reduction in burden due to </w:t>
      </w:r>
      <w:r w:rsidR="001C7EE9" w:rsidRPr="009101FB">
        <w:rPr>
          <w:rFonts w:ascii="Times New Roman" w:hAnsi="Times New Roman" w:cs="Times New Roman"/>
          <w:sz w:val="24"/>
          <w:szCs w:val="24"/>
        </w:rPr>
        <w:t xml:space="preserve">(1) a decrease in the number of respondents due to the </w:t>
      </w:r>
      <w:r w:rsidR="009A4F70" w:rsidRPr="009101FB">
        <w:rPr>
          <w:rFonts w:ascii="Times New Roman" w:hAnsi="Times New Roman" w:cs="Times New Roman"/>
          <w:sz w:val="24"/>
          <w:szCs w:val="24"/>
        </w:rPr>
        <w:t xml:space="preserve">decline in the number of </w:t>
      </w:r>
      <w:r w:rsidR="00321EE6" w:rsidRPr="009101FB">
        <w:rPr>
          <w:rFonts w:ascii="Times New Roman" w:hAnsi="Times New Roman" w:cs="Times New Roman"/>
          <w:sz w:val="24"/>
          <w:szCs w:val="24"/>
        </w:rPr>
        <w:t xml:space="preserve">federally-insured </w:t>
      </w:r>
      <w:r w:rsidR="009A4F70" w:rsidRPr="009101FB">
        <w:rPr>
          <w:rFonts w:ascii="Times New Roman" w:hAnsi="Times New Roman" w:cs="Times New Roman"/>
          <w:sz w:val="24"/>
          <w:szCs w:val="24"/>
        </w:rPr>
        <w:t xml:space="preserve">credit unions </w:t>
      </w:r>
      <w:r w:rsidR="00385328" w:rsidRPr="009101FB">
        <w:rPr>
          <w:rFonts w:ascii="Times New Roman" w:hAnsi="Times New Roman" w:cs="Times New Roman"/>
          <w:sz w:val="24"/>
          <w:szCs w:val="24"/>
        </w:rPr>
        <w:t xml:space="preserve">since the previous </w:t>
      </w:r>
      <w:r w:rsidR="001C7EE9" w:rsidRPr="009101FB">
        <w:rPr>
          <w:rFonts w:ascii="Times New Roman" w:hAnsi="Times New Roman" w:cs="Times New Roman"/>
          <w:sz w:val="24"/>
          <w:szCs w:val="24"/>
        </w:rPr>
        <w:t>submission</w:t>
      </w:r>
      <w:r w:rsidR="00B90301" w:rsidRPr="009101FB">
        <w:rPr>
          <w:rFonts w:ascii="Times New Roman" w:hAnsi="Times New Roman" w:cs="Times New Roman"/>
          <w:sz w:val="24"/>
          <w:szCs w:val="24"/>
        </w:rPr>
        <w:t xml:space="preserve"> </w:t>
      </w:r>
      <w:r w:rsidR="004E57E0" w:rsidRPr="009101FB">
        <w:rPr>
          <w:rFonts w:ascii="Times New Roman" w:hAnsi="Times New Roman" w:cs="Times New Roman"/>
          <w:sz w:val="24"/>
          <w:szCs w:val="24"/>
        </w:rPr>
        <w:t xml:space="preserve">(2) and an </w:t>
      </w:r>
      <w:r w:rsidR="00B90301" w:rsidRPr="009101FB">
        <w:rPr>
          <w:rFonts w:ascii="Times New Roman" w:hAnsi="Times New Roman" w:cs="Times New Roman"/>
          <w:sz w:val="24"/>
          <w:szCs w:val="24"/>
        </w:rPr>
        <w:t>effort to identify the information collection requirements of this part</w:t>
      </w:r>
      <w:r w:rsidR="00AE2D62" w:rsidRPr="009101FB">
        <w:rPr>
          <w:rFonts w:ascii="Times New Roman" w:hAnsi="Times New Roman" w:cs="Times New Roman"/>
          <w:sz w:val="24"/>
          <w:szCs w:val="24"/>
        </w:rPr>
        <w:t xml:space="preserve"> </w:t>
      </w:r>
      <w:r w:rsidR="0067675C" w:rsidRPr="009101FB">
        <w:rPr>
          <w:rFonts w:ascii="Times New Roman" w:hAnsi="Times New Roman" w:cs="Times New Roman"/>
          <w:sz w:val="24"/>
          <w:szCs w:val="24"/>
        </w:rPr>
        <w:t>in greater detail</w:t>
      </w:r>
      <w:r w:rsidR="00947320" w:rsidRPr="009101FB">
        <w:rPr>
          <w:rFonts w:ascii="Times New Roman" w:hAnsi="Times New Roman" w:cs="Times New Roman"/>
          <w:sz w:val="24"/>
          <w:szCs w:val="24"/>
        </w:rPr>
        <w:t>.</w:t>
      </w:r>
    </w:p>
    <w:p w14:paraId="44D67212" w14:textId="77777777" w:rsidR="000567CA" w:rsidRPr="009101FB" w:rsidRDefault="00056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1E307AF" w14:textId="77777777" w:rsidR="00B01C9C" w:rsidRPr="009101FB" w:rsidRDefault="00B01C9C" w:rsidP="00B01C9C">
      <w:pPr>
        <w:tabs>
          <w:tab w:val="left" w:pos="-1440"/>
        </w:tabs>
        <w:rPr>
          <w:rFonts w:ascii="Times New Roman" w:hAnsi="Times New Roman" w:cs="Times New Roman"/>
          <w:sz w:val="24"/>
          <w:szCs w:val="24"/>
        </w:rPr>
      </w:pPr>
      <w:r w:rsidRPr="009101FB">
        <w:rPr>
          <w:rFonts w:ascii="Times New Roman" w:hAnsi="Times New Roman" w:cs="Times New Roman"/>
          <w:sz w:val="24"/>
          <w:szCs w:val="24"/>
        </w:rPr>
        <w:t>16.</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Information regarding collections whose results are planned to be published for statistical use:</w:t>
      </w:r>
    </w:p>
    <w:p w14:paraId="2DAABB0A"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9D628DB" w14:textId="77777777" w:rsidR="0053633C" w:rsidRPr="009101FB" w:rsidRDefault="00915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w:t>
      </w:r>
      <w:r w:rsidR="001F24F1" w:rsidRPr="009101FB">
        <w:rPr>
          <w:rFonts w:ascii="Times New Roman" w:hAnsi="Times New Roman" w:cs="Times New Roman"/>
          <w:sz w:val="24"/>
          <w:szCs w:val="24"/>
        </w:rPr>
        <w:t>ere are no plans to publish results</w:t>
      </w:r>
      <w:r w:rsidRPr="009101FB">
        <w:rPr>
          <w:rFonts w:ascii="Times New Roman" w:hAnsi="Times New Roman" w:cs="Times New Roman"/>
          <w:sz w:val="24"/>
          <w:szCs w:val="24"/>
        </w:rPr>
        <w:t>.</w:t>
      </w:r>
    </w:p>
    <w:p w14:paraId="7A0482AA" w14:textId="4EAB74D6" w:rsidR="00DA51B8" w:rsidRDefault="00DA51B8">
      <w:pPr>
        <w:overflowPunct/>
        <w:autoSpaceDE/>
        <w:autoSpaceDN/>
        <w:adjustRightInd/>
        <w:textAlignment w:val="auto"/>
        <w:rPr>
          <w:rFonts w:ascii="Times New Roman" w:hAnsi="Times New Roman" w:cs="Times New Roman"/>
          <w:sz w:val="24"/>
          <w:szCs w:val="24"/>
        </w:rPr>
      </w:pPr>
    </w:p>
    <w:p w14:paraId="67E9F878" w14:textId="4158781B" w:rsidR="00B01C9C" w:rsidRPr="009101FB" w:rsidRDefault="00B01C9C" w:rsidP="00B01C9C">
      <w:pPr>
        <w:rPr>
          <w:rFonts w:ascii="Times New Roman" w:hAnsi="Times New Roman" w:cs="Times New Roman"/>
          <w:sz w:val="24"/>
          <w:szCs w:val="24"/>
        </w:rPr>
      </w:pPr>
      <w:r w:rsidRPr="009101FB">
        <w:rPr>
          <w:rFonts w:ascii="Times New Roman" w:hAnsi="Times New Roman" w:cs="Times New Roman"/>
          <w:sz w:val="24"/>
          <w:szCs w:val="24"/>
        </w:rPr>
        <w:t>17.</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Display of expiration date:</w:t>
      </w:r>
    </w:p>
    <w:p w14:paraId="15EE02A4"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6E80865" w14:textId="77777777" w:rsidR="0053633C" w:rsidRPr="009101FB" w:rsidRDefault="000E1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 xml:space="preserve">The OMB control number and expiration date associated with the PRA submission will be displayed on the Federal government’s electronic PRA docket at </w:t>
      </w:r>
      <w:hyperlink r:id="rId8" w:history="1">
        <w:r w:rsidRPr="009101FB">
          <w:rPr>
            <w:rStyle w:val="Hyperlink"/>
            <w:rFonts w:ascii="Times New Roman" w:hAnsi="Times New Roman" w:cs="Times New Roman"/>
            <w:sz w:val="24"/>
            <w:szCs w:val="24"/>
          </w:rPr>
          <w:t>www.reginfo.gov</w:t>
        </w:r>
      </w:hyperlink>
      <w:r w:rsidRPr="009101FB">
        <w:rPr>
          <w:rFonts w:ascii="Times New Roman" w:hAnsi="Times New Roman" w:cs="Times New Roman"/>
          <w:sz w:val="24"/>
          <w:szCs w:val="24"/>
        </w:rPr>
        <w:t xml:space="preserve">. </w:t>
      </w:r>
    </w:p>
    <w:p w14:paraId="6E96FB15" w14:textId="77777777" w:rsidR="0053633C" w:rsidRPr="009101FB" w:rsidRDefault="00536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12B4027" w14:textId="77777777" w:rsidR="000567CA" w:rsidRPr="009101FB" w:rsidRDefault="00056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348E4D1" w14:textId="77777777" w:rsidR="00B01C9C" w:rsidRPr="009101FB" w:rsidRDefault="00B01C9C" w:rsidP="00B01C9C">
      <w:pPr>
        <w:rPr>
          <w:rFonts w:ascii="Times New Roman" w:hAnsi="Times New Roman" w:cs="Times New Roman"/>
          <w:sz w:val="24"/>
          <w:szCs w:val="24"/>
        </w:rPr>
      </w:pPr>
      <w:r w:rsidRPr="009101FB">
        <w:rPr>
          <w:rFonts w:ascii="Times New Roman" w:hAnsi="Times New Roman" w:cs="Times New Roman"/>
          <w:sz w:val="24"/>
          <w:szCs w:val="24"/>
        </w:rPr>
        <w:t>18.</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Exceptions to certification statement:</w:t>
      </w:r>
    </w:p>
    <w:p w14:paraId="7E7F1F28" w14:textId="77777777" w:rsidR="00180C18" w:rsidRPr="009101FB" w:rsidRDefault="00180C18" w:rsidP="00180C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DDB3DAF" w14:textId="77777777" w:rsidR="00180C18" w:rsidRPr="009101FB" w:rsidRDefault="001F24F1" w:rsidP="00180C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There are no exceptions to the certification statement</w:t>
      </w:r>
      <w:r w:rsidR="00180C18" w:rsidRPr="009101FB">
        <w:rPr>
          <w:rFonts w:ascii="Times New Roman" w:hAnsi="Times New Roman" w:cs="Times New Roman"/>
          <w:sz w:val="24"/>
          <w:szCs w:val="24"/>
        </w:rPr>
        <w:t>.</w:t>
      </w:r>
    </w:p>
    <w:p w14:paraId="0EDA6208" w14:textId="77777777" w:rsidR="00180C18" w:rsidRDefault="00180C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1B8DA3F8" w14:textId="77777777" w:rsidR="009101FB" w:rsidRDefault="00910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3D814CC" w14:textId="77777777" w:rsidR="009101FB" w:rsidRPr="009101FB" w:rsidRDefault="00910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0F4C317" w14:textId="77777777" w:rsidR="00B01C9C" w:rsidRPr="009101FB" w:rsidRDefault="00B01C9C" w:rsidP="00B01C9C">
      <w:pPr>
        <w:tabs>
          <w:tab w:val="left" w:pos="-1440"/>
        </w:tabs>
        <w:ind w:left="720" w:hanging="720"/>
        <w:rPr>
          <w:rFonts w:ascii="Times New Roman" w:hAnsi="Times New Roman" w:cs="Times New Roman"/>
          <w:sz w:val="24"/>
          <w:szCs w:val="24"/>
          <w:u w:val="single"/>
        </w:rPr>
      </w:pPr>
      <w:r w:rsidRPr="009101FB">
        <w:rPr>
          <w:rFonts w:ascii="Times New Roman" w:hAnsi="Times New Roman" w:cs="Times New Roman"/>
          <w:sz w:val="24"/>
          <w:szCs w:val="24"/>
        </w:rPr>
        <w:t>B.</w:t>
      </w:r>
      <w:r w:rsidRPr="009101FB">
        <w:rPr>
          <w:rFonts w:ascii="Times New Roman" w:hAnsi="Times New Roman" w:cs="Times New Roman"/>
          <w:sz w:val="24"/>
          <w:szCs w:val="24"/>
        </w:rPr>
        <w:tab/>
      </w:r>
      <w:r w:rsidRPr="009101FB">
        <w:rPr>
          <w:rFonts w:ascii="Times New Roman" w:hAnsi="Times New Roman" w:cs="Times New Roman"/>
          <w:sz w:val="24"/>
          <w:szCs w:val="24"/>
          <w:u w:val="single"/>
        </w:rPr>
        <w:t>Collections of Information Employing Statistical Methods.</w:t>
      </w:r>
    </w:p>
    <w:p w14:paraId="48ECE95A" w14:textId="77777777" w:rsidR="00180C18" w:rsidRPr="009101FB" w:rsidRDefault="00180C18" w:rsidP="00180C1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3C0EAAD" w14:textId="77777777" w:rsidR="00DD73B9" w:rsidRPr="009101FB" w:rsidRDefault="000E1684" w:rsidP="00DD7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9101FB">
        <w:rPr>
          <w:rFonts w:ascii="Times New Roman" w:hAnsi="Times New Roman" w:cs="Times New Roman"/>
          <w:sz w:val="24"/>
          <w:szCs w:val="24"/>
        </w:rPr>
        <w:t>This collection does not employ statistical methods</w:t>
      </w:r>
      <w:r w:rsidR="00DD73B9" w:rsidRPr="009101FB">
        <w:rPr>
          <w:rFonts w:ascii="Times New Roman" w:hAnsi="Times New Roman" w:cs="Times New Roman"/>
          <w:sz w:val="24"/>
          <w:szCs w:val="24"/>
        </w:rPr>
        <w:t>.</w:t>
      </w:r>
    </w:p>
    <w:p w14:paraId="5AF7D101" w14:textId="77777777" w:rsidR="00DD73B9" w:rsidRPr="009101FB" w:rsidRDefault="00DD73B9" w:rsidP="00180C1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019EB40" w14:textId="77777777" w:rsidR="00DD73B9" w:rsidRPr="009101FB" w:rsidRDefault="00DD73B9" w:rsidP="00180C1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sectPr w:rsidR="00DD73B9" w:rsidRPr="009101FB" w:rsidSect="00D178E8">
      <w:footerReference w:type="default" r:id="rId9"/>
      <w:footerReference w:type="first" r:id="rId10"/>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2D395" w14:textId="77777777" w:rsidR="00E2589F" w:rsidRDefault="00E2589F">
      <w:r>
        <w:separator/>
      </w:r>
    </w:p>
  </w:endnote>
  <w:endnote w:type="continuationSeparator" w:id="0">
    <w:p w14:paraId="4C97E6E1" w14:textId="77777777" w:rsidR="00E2589F" w:rsidRDefault="00E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CE94B" w14:textId="51764097" w:rsidR="00080553" w:rsidRPr="009101FB" w:rsidRDefault="00DA51B8" w:rsidP="00DA51B8">
    <w:pPr>
      <w:pStyle w:val="Footer"/>
      <w:tabs>
        <w:tab w:val="clear" w:pos="8640"/>
        <w:tab w:val="right" w:pos="9360"/>
      </w:tabs>
      <w:rPr>
        <w:rFonts w:ascii="Times New Roman" w:hAnsi="Times New Roman" w:cs="Times New Roman"/>
        <w:i/>
        <w:sz w:val="22"/>
        <w:szCs w:val="22"/>
      </w:rPr>
    </w:pPr>
    <w:r w:rsidRPr="009101FB">
      <w:rPr>
        <w:rFonts w:ascii="Times New Roman" w:hAnsi="Times New Roman" w:cs="Times New Roman"/>
        <w:i/>
        <w:sz w:val="22"/>
        <w:szCs w:val="22"/>
      </w:rPr>
      <w:t xml:space="preserve">OMB # </w:t>
    </w:r>
    <w:r w:rsidR="00D178E8" w:rsidRPr="009101FB">
      <w:rPr>
        <w:rFonts w:ascii="Times New Roman" w:hAnsi="Times New Roman" w:cs="Times New Roman"/>
        <w:i/>
        <w:sz w:val="22"/>
        <w:szCs w:val="22"/>
      </w:rPr>
      <w:t xml:space="preserve">3133-0033; </w:t>
    </w:r>
    <w:r w:rsidRPr="009101FB">
      <w:rPr>
        <w:rFonts w:ascii="Times New Roman" w:hAnsi="Times New Roman" w:cs="Times New Roman"/>
        <w:i/>
        <w:sz w:val="22"/>
        <w:szCs w:val="22"/>
      </w:rPr>
      <w:t>October</w:t>
    </w:r>
    <w:r w:rsidR="00D178E8" w:rsidRPr="009101FB">
      <w:rPr>
        <w:rFonts w:ascii="Times New Roman" w:hAnsi="Times New Roman" w:cs="Times New Roman"/>
        <w:i/>
        <w:sz w:val="22"/>
        <w:szCs w:val="22"/>
      </w:rPr>
      <w:t xml:space="preserve"> 2016</w:t>
    </w:r>
    <w:r w:rsidR="00D178E8" w:rsidRPr="009101FB">
      <w:rPr>
        <w:rFonts w:ascii="Times New Roman" w:hAnsi="Times New Roman" w:cs="Times New Roman"/>
        <w:i/>
        <w:sz w:val="22"/>
        <w:szCs w:val="22"/>
      </w:rPr>
      <w:tab/>
    </w:r>
    <w:r w:rsidRPr="009101FB">
      <w:rPr>
        <w:rFonts w:ascii="Times New Roman" w:hAnsi="Times New Roman" w:cs="Times New Roman"/>
        <w:i/>
        <w:sz w:val="22"/>
        <w:szCs w:val="22"/>
      </w:rPr>
      <w:tab/>
    </w:r>
    <w:r w:rsidR="00080553" w:rsidRPr="009101FB">
      <w:rPr>
        <w:rStyle w:val="PageNumber"/>
        <w:rFonts w:ascii="Times New Roman" w:hAnsi="Times New Roman" w:cs="Times New Roman"/>
        <w:sz w:val="22"/>
        <w:szCs w:val="22"/>
      </w:rPr>
      <w:fldChar w:fldCharType="begin"/>
    </w:r>
    <w:r w:rsidR="00080553" w:rsidRPr="009101FB">
      <w:rPr>
        <w:rStyle w:val="PageNumber"/>
        <w:rFonts w:ascii="Times New Roman" w:hAnsi="Times New Roman" w:cs="Times New Roman"/>
        <w:sz w:val="22"/>
        <w:szCs w:val="22"/>
      </w:rPr>
      <w:instrText xml:space="preserve"> PAGE </w:instrText>
    </w:r>
    <w:r w:rsidR="00080553" w:rsidRPr="009101FB">
      <w:rPr>
        <w:rStyle w:val="PageNumber"/>
        <w:rFonts w:ascii="Times New Roman" w:hAnsi="Times New Roman" w:cs="Times New Roman"/>
        <w:sz w:val="22"/>
        <w:szCs w:val="22"/>
      </w:rPr>
      <w:fldChar w:fldCharType="separate"/>
    </w:r>
    <w:r w:rsidR="006C544C">
      <w:rPr>
        <w:rStyle w:val="PageNumber"/>
        <w:rFonts w:ascii="Times New Roman" w:hAnsi="Times New Roman" w:cs="Times New Roman"/>
        <w:noProof/>
        <w:sz w:val="22"/>
        <w:szCs w:val="22"/>
      </w:rPr>
      <w:t>5</w:t>
    </w:r>
    <w:r w:rsidR="00080553" w:rsidRPr="009101FB">
      <w:rPr>
        <w:rStyle w:val="PageNumber"/>
        <w:rFonts w:ascii="Times New Roman" w:hAnsi="Times New Roman" w:cs="Times New Roman"/>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0BE9D" w14:textId="77777777" w:rsidR="00D178E8" w:rsidRPr="00D178E8" w:rsidRDefault="00D178E8">
    <w:pPr>
      <w:pStyle w:val="Footer"/>
      <w:rPr>
        <w:rFonts w:ascii="Times New Roman" w:hAnsi="Times New Roman" w:cs="Times New Roman"/>
        <w:i/>
        <w:sz w:val="24"/>
        <w:szCs w:val="24"/>
      </w:rPr>
    </w:pPr>
    <w:r w:rsidRPr="00D178E8">
      <w:rPr>
        <w:rFonts w:ascii="Times New Roman" w:hAnsi="Times New Roman" w:cs="Times New Roman"/>
        <w:i/>
        <w:sz w:val="24"/>
        <w:szCs w:val="24"/>
      </w:rPr>
      <w:t>#3133-0033; DRAFT August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6E700" w14:textId="77777777" w:rsidR="00E2589F" w:rsidRDefault="00E2589F">
      <w:r>
        <w:separator/>
      </w:r>
    </w:p>
  </w:footnote>
  <w:footnote w:type="continuationSeparator" w:id="0">
    <w:p w14:paraId="44E389BC" w14:textId="77777777" w:rsidR="00E2589F" w:rsidRDefault="00E25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6D70"/>
    <w:multiLevelType w:val="hybridMultilevel"/>
    <w:tmpl w:val="7E2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85A43"/>
    <w:multiLevelType w:val="singleLevel"/>
    <w:tmpl w:val="AD447CD6"/>
    <w:lvl w:ilvl="0">
      <w:start w:val="1"/>
      <w:numFmt w:val="decimal"/>
      <w:lvlText w:val="%1."/>
      <w:lvlJc w:val="left"/>
      <w:pPr>
        <w:tabs>
          <w:tab w:val="num" w:pos="360"/>
        </w:tabs>
        <w:ind w:left="360" w:hanging="360"/>
      </w:pPr>
      <w:rPr>
        <w:rFonts w:hint="default"/>
      </w:rPr>
    </w:lvl>
  </w:abstractNum>
  <w:abstractNum w:abstractNumId="2" w15:restartNumberingAfterBreak="0">
    <w:nsid w:val="447613B8"/>
    <w:multiLevelType w:val="singleLevel"/>
    <w:tmpl w:val="AD447CD6"/>
    <w:lvl w:ilvl="0">
      <w:start w:val="13"/>
      <w:numFmt w:val="decimal"/>
      <w:lvlText w:val="%1."/>
      <w:lvlJc w:val="left"/>
      <w:pPr>
        <w:tabs>
          <w:tab w:val="num" w:pos="360"/>
        </w:tabs>
        <w:ind w:left="360" w:hanging="360"/>
      </w:pPr>
    </w:lvl>
  </w:abstractNum>
  <w:abstractNum w:abstractNumId="3" w15:restartNumberingAfterBreak="0">
    <w:nsid w:val="733D45D2"/>
    <w:multiLevelType w:val="singleLevel"/>
    <w:tmpl w:val="AEEE7CA2"/>
    <w:lvl w:ilvl="0">
      <w:start w:val="1"/>
      <w:numFmt w:val="upperLetter"/>
      <w:lvlText w:val="%1."/>
      <w:lvlJc w:val="left"/>
      <w:pPr>
        <w:tabs>
          <w:tab w:val="num" w:pos="720"/>
        </w:tabs>
        <w:ind w:left="720" w:hanging="720"/>
      </w:pPr>
      <w:rPr>
        <w:rFonts w:hint="default"/>
      </w:rPr>
    </w:lvl>
  </w:abstractNum>
  <w:abstractNum w:abstractNumId="4" w15:restartNumberingAfterBreak="0">
    <w:nsid w:val="73A42529"/>
    <w:multiLevelType w:val="hybridMultilevel"/>
    <w:tmpl w:val="9A82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21"/>
    <w:rsid w:val="00013BBE"/>
    <w:rsid w:val="00015ACB"/>
    <w:rsid w:val="00047300"/>
    <w:rsid w:val="00047473"/>
    <w:rsid w:val="00050B87"/>
    <w:rsid w:val="00050EA2"/>
    <w:rsid w:val="000567CA"/>
    <w:rsid w:val="000650CC"/>
    <w:rsid w:val="00076E55"/>
    <w:rsid w:val="00080553"/>
    <w:rsid w:val="00080624"/>
    <w:rsid w:val="000C6EB8"/>
    <w:rsid w:val="000E1684"/>
    <w:rsid w:val="0012436D"/>
    <w:rsid w:val="0013734A"/>
    <w:rsid w:val="00143967"/>
    <w:rsid w:val="00180C18"/>
    <w:rsid w:val="00184F3C"/>
    <w:rsid w:val="001A5E15"/>
    <w:rsid w:val="001C164E"/>
    <w:rsid w:val="001C7EE9"/>
    <w:rsid w:val="001D412B"/>
    <w:rsid w:val="001E5BDC"/>
    <w:rsid w:val="001F24F1"/>
    <w:rsid w:val="00221ACA"/>
    <w:rsid w:val="00263075"/>
    <w:rsid w:val="002A74D2"/>
    <w:rsid w:val="002B4560"/>
    <w:rsid w:val="002C39CB"/>
    <w:rsid w:val="002D5152"/>
    <w:rsid w:val="002E07BE"/>
    <w:rsid w:val="00301411"/>
    <w:rsid w:val="003204A4"/>
    <w:rsid w:val="00321EE6"/>
    <w:rsid w:val="00375467"/>
    <w:rsid w:val="00385328"/>
    <w:rsid w:val="00385F2A"/>
    <w:rsid w:val="003A44EA"/>
    <w:rsid w:val="003A4C2A"/>
    <w:rsid w:val="00410152"/>
    <w:rsid w:val="004162DF"/>
    <w:rsid w:val="00417E7C"/>
    <w:rsid w:val="004334AB"/>
    <w:rsid w:val="004613B3"/>
    <w:rsid w:val="00471011"/>
    <w:rsid w:val="004E57E0"/>
    <w:rsid w:val="004E698B"/>
    <w:rsid w:val="00515B76"/>
    <w:rsid w:val="0052527A"/>
    <w:rsid w:val="0053633C"/>
    <w:rsid w:val="00542866"/>
    <w:rsid w:val="005504D5"/>
    <w:rsid w:val="00550F23"/>
    <w:rsid w:val="00592521"/>
    <w:rsid w:val="005A4F81"/>
    <w:rsid w:val="005A720A"/>
    <w:rsid w:val="005C66E4"/>
    <w:rsid w:val="005C713C"/>
    <w:rsid w:val="005E3622"/>
    <w:rsid w:val="005E7724"/>
    <w:rsid w:val="005F1E7C"/>
    <w:rsid w:val="005F594C"/>
    <w:rsid w:val="00644074"/>
    <w:rsid w:val="0067675C"/>
    <w:rsid w:val="006C544C"/>
    <w:rsid w:val="006C5DA9"/>
    <w:rsid w:val="006D34C3"/>
    <w:rsid w:val="006D60BE"/>
    <w:rsid w:val="00700117"/>
    <w:rsid w:val="00753793"/>
    <w:rsid w:val="00756E7D"/>
    <w:rsid w:val="00764DD7"/>
    <w:rsid w:val="007651FC"/>
    <w:rsid w:val="007679A5"/>
    <w:rsid w:val="00775750"/>
    <w:rsid w:val="007A3B6A"/>
    <w:rsid w:val="007A51B1"/>
    <w:rsid w:val="007B5D2C"/>
    <w:rsid w:val="007C3546"/>
    <w:rsid w:val="007D70DC"/>
    <w:rsid w:val="007F3E4E"/>
    <w:rsid w:val="008016DA"/>
    <w:rsid w:val="00823B3D"/>
    <w:rsid w:val="00851818"/>
    <w:rsid w:val="0087064D"/>
    <w:rsid w:val="00896F49"/>
    <w:rsid w:val="008B0FE3"/>
    <w:rsid w:val="008C1FFF"/>
    <w:rsid w:val="008F0E07"/>
    <w:rsid w:val="00903DBD"/>
    <w:rsid w:val="0090736C"/>
    <w:rsid w:val="009101FB"/>
    <w:rsid w:val="009152DC"/>
    <w:rsid w:val="009334BD"/>
    <w:rsid w:val="00947320"/>
    <w:rsid w:val="00967816"/>
    <w:rsid w:val="009A4F70"/>
    <w:rsid w:val="009D0029"/>
    <w:rsid w:val="00AB2391"/>
    <w:rsid w:val="00AD3E91"/>
    <w:rsid w:val="00AE2D62"/>
    <w:rsid w:val="00B00AB1"/>
    <w:rsid w:val="00B01C9C"/>
    <w:rsid w:val="00B15240"/>
    <w:rsid w:val="00B32347"/>
    <w:rsid w:val="00B45282"/>
    <w:rsid w:val="00B66AA4"/>
    <w:rsid w:val="00B8467A"/>
    <w:rsid w:val="00B86E08"/>
    <w:rsid w:val="00B90301"/>
    <w:rsid w:val="00B963FA"/>
    <w:rsid w:val="00BB5745"/>
    <w:rsid w:val="00BC3F2D"/>
    <w:rsid w:val="00BC6AD5"/>
    <w:rsid w:val="00BE1D69"/>
    <w:rsid w:val="00BF70A1"/>
    <w:rsid w:val="00C273B8"/>
    <w:rsid w:val="00C4175B"/>
    <w:rsid w:val="00C92A68"/>
    <w:rsid w:val="00CB388A"/>
    <w:rsid w:val="00CC1629"/>
    <w:rsid w:val="00CC3415"/>
    <w:rsid w:val="00CE3CBA"/>
    <w:rsid w:val="00CE61D4"/>
    <w:rsid w:val="00CF4F85"/>
    <w:rsid w:val="00D0032F"/>
    <w:rsid w:val="00D05C44"/>
    <w:rsid w:val="00D118CD"/>
    <w:rsid w:val="00D178E8"/>
    <w:rsid w:val="00D2185C"/>
    <w:rsid w:val="00D21C21"/>
    <w:rsid w:val="00D27F67"/>
    <w:rsid w:val="00D52BEA"/>
    <w:rsid w:val="00D81F1F"/>
    <w:rsid w:val="00D82E0E"/>
    <w:rsid w:val="00DA51B8"/>
    <w:rsid w:val="00DB216D"/>
    <w:rsid w:val="00DD73B9"/>
    <w:rsid w:val="00DF4B04"/>
    <w:rsid w:val="00E0627B"/>
    <w:rsid w:val="00E2589F"/>
    <w:rsid w:val="00E27066"/>
    <w:rsid w:val="00E304F0"/>
    <w:rsid w:val="00E479CD"/>
    <w:rsid w:val="00E74324"/>
    <w:rsid w:val="00ED06C9"/>
    <w:rsid w:val="00ED7A0F"/>
    <w:rsid w:val="00EF600D"/>
    <w:rsid w:val="00F020C1"/>
    <w:rsid w:val="00F135BA"/>
    <w:rsid w:val="00F50318"/>
    <w:rsid w:val="00F85618"/>
    <w:rsid w:val="00F941BA"/>
    <w:rsid w:val="00F943A1"/>
    <w:rsid w:val="00FA18B4"/>
    <w:rsid w:val="00FB3D2D"/>
    <w:rsid w:val="00FE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7B6DE686"/>
  <w15:chartTrackingRefBased/>
  <w15:docId w15:val="{68D138B5-9B99-4812-A039-B9A0DFEC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cs="CG Times"/>
    </w:rPr>
  </w:style>
  <w:style w:type="paragraph" w:styleId="Heading1">
    <w:name w:val="heading 1"/>
    <w:basedOn w:val="Normal"/>
    <w:next w:val="Normal"/>
    <w:qFormat/>
    <w:rsid w:val="005C713C"/>
    <w:pPr>
      <w:keepNext/>
      <w:overflowPunct/>
      <w:autoSpaceDE/>
      <w:autoSpaceDN/>
      <w:adjustRightInd/>
      <w:textAlignment w:val="auto"/>
      <w:outlineLvl w:val="0"/>
    </w:pPr>
    <w:rPr>
      <w:rFonts w:ascii="Arial" w:hAnsi="Arial" w:cs="Times New Roman"/>
      <w:b/>
    </w:rPr>
  </w:style>
  <w:style w:type="paragraph" w:styleId="Heading3">
    <w:name w:val="heading 3"/>
    <w:basedOn w:val="Normal"/>
    <w:next w:val="Normal"/>
    <w:qFormat/>
    <w:rsid w:val="005C713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21C21"/>
    <w:rPr>
      <w:rFonts w:ascii="Tahoma" w:hAnsi="Tahoma" w:cs="Tahoma"/>
      <w:sz w:val="16"/>
      <w:szCs w:val="16"/>
    </w:rPr>
  </w:style>
  <w:style w:type="paragraph" w:styleId="NormalWeb">
    <w:name w:val="Normal (Web)"/>
    <w:basedOn w:val="Normal"/>
    <w:rsid w:val="005C713C"/>
    <w:pPr>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styleId="BodyText">
    <w:name w:val="Body Text"/>
    <w:basedOn w:val="Normal"/>
    <w:rsid w:val="005C713C"/>
    <w:pPr>
      <w:overflowPunct/>
      <w:autoSpaceDE/>
      <w:autoSpaceDN/>
      <w:adjustRightInd/>
      <w:jc w:val="center"/>
      <w:textAlignment w:val="auto"/>
    </w:pPr>
    <w:rPr>
      <w:rFonts w:ascii="Arial" w:hAnsi="Arial" w:cs="Times New Roman"/>
      <w:b/>
      <w:sz w:val="24"/>
    </w:rPr>
  </w:style>
  <w:style w:type="paragraph" w:styleId="BodyTextIndent">
    <w:name w:val="Body Text Indent"/>
    <w:basedOn w:val="Normal"/>
    <w:rsid w:val="005C713C"/>
    <w:pPr>
      <w:spacing w:after="120"/>
      <w:ind w:left="360"/>
    </w:pPr>
  </w:style>
  <w:style w:type="character" w:styleId="CommentReference">
    <w:name w:val="annotation reference"/>
    <w:basedOn w:val="DefaultParagraphFont"/>
    <w:rsid w:val="001C164E"/>
    <w:rPr>
      <w:sz w:val="16"/>
      <w:szCs w:val="16"/>
    </w:rPr>
  </w:style>
  <w:style w:type="paragraph" w:styleId="CommentText">
    <w:name w:val="annotation text"/>
    <w:basedOn w:val="Normal"/>
    <w:link w:val="CommentTextChar"/>
    <w:rsid w:val="001C164E"/>
  </w:style>
  <w:style w:type="character" w:customStyle="1" w:styleId="CommentTextChar">
    <w:name w:val="Comment Text Char"/>
    <w:basedOn w:val="DefaultParagraphFont"/>
    <w:link w:val="CommentText"/>
    <w:rsid w:val="001C164E"/>
    <w:rPr>
      <w:rFonts w:ascii="CG Times" w:hAnsi="CG Times" w:cs="CG Times"/>
    </w:rPr>
  </w:style>
  <w:style w:type="paragraph" w:styleId="CommentSubject">
    <w:name w:val="annotation subject"/>
    <w:basedOn w:val="CommentText"/>
    <w:next w:val="CommentText"/>
    <w:link w:val="CommentSubjectChar"/>
    <w:rsid w:val="001C164E"/>
    <w:rPr>
      <w:b/>
      <w:bCs/>
    </w:rPr>
  </w:style>
  <w:style w:type="character" w:customStyle="1" w:styleId="CommentSubjectChar">
    <w:name w:val="Comment Subject Char"/>
    <w:basedOn w:val="CommentTextChar"/>
    <w:link w:val="CommentSubject"/>
    <w:rsid w:val="001C164E"/>
    <w:rPr>
      <w:rFonts w:ascii="CG Times" w:hAnsi="CG Times" w:cs="CG Times"/>
      <w:b/>
      <w:bCs/>
    </w:rPr>
  </w:style>
  <w:style w:type="paragraph" w:styleId="ListParagraph">
    <w:name w:val="List Paragraph"/>
    <w:basedOn w:val="Normal"/>
    <w:uiPriority w:val="34"/>
    <w:qFormat/>
    <w:rsid w:val="00143967"/>
    <w:pPr>
      <w:ind w:left="720"/>
      <w:contextualSpacing/>
    </w:pPr>
  </w:style>
  <w:style w:type="table" w:styleId="TableGrid">
    <w:name w:val="Table Grid"/>
    <w:basedOn w:val="TableNormal"/>
    <w:rsid w:val="00375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1684"/>
    <w:rPr>
      <w:color w:val="0563C1" w:themeColor="hyperlink"/>
      <w:u w:val="single"/>
    </w:rPr>
  </w:style>
  <w:style w:type="paragraph" w:styleId="Revision">
    <w:name w:val="Revision"/>
    <w:hidden/>
    <w:uiPriority w:val="99"/>
    <w:semiHidden/>
    <w:rsid w:val="00D27F67"/>
    <w:rPr>
      <w:rFonts w:ascii="CG Times" w:hAnsi="CG Times" w:cs="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20F8-1C43-4A45-AE02-9C424AB6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1287</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NCUA</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NCUA</dc:creator>
  <cp:keywords/>
  <dc:description/>
  <cp:lastModifiedBy>Wolfgang, Dawn</cp:lastModifiedBy>
  <cp:revision>4</cp:revision>
  <cp:lastPrinted>2016-03-03T12:30:00Z</cp:lastPrinted>
  <dcterms:created xsi:type="dcterms:W3CDTF">2016-10-12T17:41:00Z</dcterms:created>
  <dcterms:modified xsi:type="dcterms:W3CDTF">2016-10-31T15:11:00Z</dcterms:modified>
</cp:coreProperties>
</file>