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D2CE34" w14:textId="77777777" w:rsidR="00906D61" w:rsidRDefault="009829F8" w:rsidP="009829F8">
      <w:pPr>
        <w:spacing w:after="120"/>
        <w:jc w:val="center"/>
        <w:rPr>
          <w:highlight w:val="green"/>
        </w:rPr>
      </w:pPr>
      <w:r w:rsidRPr="009829F8">
        <w:rPr>
          <w:noProof/>
        </w:rPr>
        <w:drawing>
          <wp:inline distT="0" distB="0" distL="0" distR="0" wp14:anchorId="4C705AEF" wp14:editId="0D5D52DA">
            <wp:extent cx="3626674" cy="940249"/>
            <wp:effectExtent l="19050" t="0" r="0" b="0"/>
            <wp:docPr id="2" name="Picture 2" descr="CIBMTR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BMTR_CMYK.JPG"/>
                    <pic:cNvPicPr/>
                  </pic:nvPicPr>
                  <pic:blipFill>
                    <a:blip r:embed="rId9" cstate="print"/>
                    <a:stretch>
                      <a:fillRect/>
                    </a:stretch>
                  </pic:blipFill>
                  <pic:spPr>
                    <a:xfrm>
                      <a:off x="0" y="0"/>
                      <a:ext cx="3630203" cy="941164"/>
                    </a:xfrm>
                    <a:prstGeom prst="rect">
                      <a:avLst/>
                    </a:prstGeom>
                  </pic:spPr>
                </pic:pic>
              </a:graphicData>
            </a:graphic>
          </wp:inline>
        </w:drawing>
      </w:r>
    </w:p>
    <w:p w14:paraId="723D8511" w14:textId="77777777" w:rsidR="00951E95" w:rsidRDefault="00951E95" w:rsidP="00906D61">
      <w:pPr>
        <w:jc w:val="center"/>
        <w:rPr>
          <w:rFonts w:ascii="Arial" w:hAnsi="Arial" w:cs="Arial"/>
          <w:b/>
          <w:sz w:val="28"/>
          <w:szCs w:val="28"/>
        </w:rPr>
      </w:pPr>
    </w:p>
    <w:p w14:paraId="3D26D7C2" w14:textId="77777777" w:rsidR="00906D61" w:rsidRPr="003A26CD" w:rsidRDefault="00906D61" w:rsidP="00906D61">
      <w:pPr>
        <w:jc w:val="center"/>
        <w:rPr>
          <w:rFonts w:ascii="Arial" w:hAnsi="Arial" w:cs="Arial"/>
          <w:b/>
          <w:sz w:val="28"/>
          <w:szCs w:val="28"/>
        </w:rPr>
      </w:pPr>
      <w:r w:rsidRPr="003A26CD">
        <w:rPr>
          <w:rFonts w:ascii="Arial" w:hAnsi="Arial" w:cs="Arial"/>
          <w:b/>
          <w:sz w:val="28"/>
          <w:szCs w:val="28"/>
        </w:rPr>
        <w:t>Instructions for Post-Transplant Essential Data (Post-TED) Form</w:t>
      </w:r>
      <w:r w:rsidR="0084100E">
        <w:rPr>
          <w:rFonts w:ascii="Arial" w:hAnsi="Arial" w:cs="Arial"/>
          <w:b/>
          <w:sz w:val="28"/>
          <w:szCs w:val="28"/>
        </w:rPr>
        <w:t xml:space="preserve"> (</w:t>
      </w:r>
      <w:r w:rsidR="002F4235">
        <w:rPr>
          <w:rFonts w:ascii="Arial" w:hAnsi="Arial" w:cs="Arial"/>
          <w:b/>
          <w:sz w:val="28"/>
          <w:szCs w:val="28"/>
        </w:rPr>
        <w:t>Revi</w:t>
      </w:r>
      <w:r w:rsidR="007F6268">
        <w:rPr>
          <w:rFonts w:ascii="Arial" w:hAnsi="Arial" w:cs="Arial"/>
          <w:b/>
          <w:sz w:val="28"/>
          <w:szCs w:val="28"/>
        </w:rPr>
        <w:t>sion 4</w:t>
      </w:r>
      <w:r w:rsidR="0084100E">
        <w:rPr>
          <w:rFonts w:ascii="Arial" w:hAnsi="Arial" w:cs="Arial"/>
          <w:b/>
          <w:sz w:val="28"/>
          <w:szCs w:val="28"/>
        </w:rPr>
        <w:t>)</w:t>
      </w:r>
    </w:p>
    <w:p w14:paraId="16300D9D" w14:textId="77777777" w:rsidR="00615A6A" w:rsidRDefault="00615A6A" w:rsidP="00906D61">
      <w:pPr>
        <w:rPr>
          <w:rFonts w:ascii="Arial" w:hAnsi="Arial" w:cs="Arial"/>
        </w:rPr>
      </w:pPr>
    </w:p>
    <w:p w14:paraId="4C86F53C" w14:textId="77777777" w:rsidR="00615A6A" w:rsidRDefault="00906D61" w:rsidP="00906D61">
      <w:pPr>
        <w:rPr>
          <w:rFonts w:ascii="Arial" w:hAnsi="Arial" w:cs="Arial"/>
        </w:rPr>
      </w:pPr>
      <w:r w:rsidRPr="003A26CD">
        <w:rPr>
          <w:rFonts w:ascii="Arial" w:hAnsi="Arial" w:cs="Arial"/>
        </w:rPr>
        <w:t>This section of the CIBMTR Forms Instruction Manual is intended to be a resource for completing the Post-Transplant Essential Data (</w:t>
      </w:r>
      <w:r>
        <w:rPr>
          <w:rFonts w:ascii="Arial" w:hAnsi="Arial" w:cs="Arial"/>
        </w:rPr>
        <w:t>Post-</w:t>
      </w:r>
      <w:r w:rsidRPr="004E6390">
        <w:rPr>
          <w:rFonts w:ascii="Arial" w:hAnsi="Arial" w:cs="Arial"/>
        </w:rPr>
        <w:t>TED</w:t>
      </w:r>
      <w:r w:rsidRPr="003A26CD">
        <w:rPr>
          <w:rFonts w:ascii="Arial" w:hAnsi="Arial" w:cs="Arial"/>
        </w:rPr>
        <w:t>) Form</w:t>
      </w:r>
      <w:r w:rsidR="0084100E">
        <w:rPr>
          <w:rFonts w:ascii="Arial" w:hAnsi="Arial" w:cs="Arial"/>
        </w:rPr>
        <w:t xml:space="preserve"> (</w:t>
      </w:r>
      <w:r w:rsidR="002F4235">
        <w:rPr>
          <w:rFonts w:ascii="Arial" w:hAnsi="Arial" w:cs="Arial"/>
        </w:rPr>
        <w:t>Revision</w:t>
      </w:r>
      <w:r w:rsidR="007F6268">
        <w:rPr>
          <w:rFonts w:ascii="Arial" w:hAnsi="Arial" w:cs="Arial"/>
        </w:rPr>
        <w:t xml:space="preserve"> 4</w:t>
      </w:r>
      <w:r w:rsidR="0084100E">
        <w:rPr>
          <w:rFonts w:ascii="Arial" w:hAnsi="Arial" w:cs="Arial"/>
        </w:rPr>
        <w:t>)</w:t>
      </w:r>
      <w:r w:rsidRPr="003A26CD">
        <w:rPr>
          <w:rFonts w:ascii="Arial" w:hAnsi="Arial" w:cs="Arial"/>
        </w:rPr>
        <w:t xml:space="preserve">. </w:t>
      </w:r>
    </w:p>
    <w:p w14:paraId="67E289D2" w14:textId="77777777" w:rsidR="0084100E" w:rsidRPr="003A26CD" w:rsidRDefault="0084100E" w:rsidP="00906D61">
      <w:pPr>
        <w:rPr>
          <w:rFonts w:ascii="Arial" w:hAnsi="Arial" w:cs="Arial"/>
          <w:highlight w:val="green"/>
        </w:rPr>
      </w:pPr>
    </w:p>
    <w:p w14:paraId="78CE2B21" w14:textId="3E0E41DA" w:rsidR="00906D61" w:rsidRPr="00951E95" w:rsidRDefault="00906D61" w:rsidP="009829F8">
      <w:pPr>
        <w:pStyle w:val="TOCTitle"/>
        <w:shd w:val="clear" w:color="auto" w:fill="63A70A" w:themeFill="accent2"/>
        <w:jc w:val="left"/>
        <w:rPr>
          <w:rFonts w:ascii="Arial" w:hAnsi="Arial" w:cs="Arial"/>
          <w:b w:val="0"/>
        </w:rPr>
      </w:pPr>
      <w:r w:rsidRPr="009829F8">
        <w:rPr>
          <w:rFonts w:ascii="Arial" w:hAnsi="Arial" w:cs="Arial"/>
          <w:b w:val="0"/>
          <w:color w:val="FFFFFF" w:themeColor="background1"/>
        </w:rPr>
        <w:t xml:space="preserve">E-mail comments regarding the content of the CIBMTR Forms Instruction Manual to: </w:t>
      </w:r>
      <w:hyperlink r:id="rId10" w:history="1">
        <w:r w:rsidRPr="00951E95">
          <w:rPr>
            <w:rStyle w:val="Hyperlink"/>
            <w:rFonts w:ascii="Arial" w:hAnsi="Arial" w:cs="Arial"/>
            <w:b w:val="0"/>
          </w:rPr>
          <w:t>CIBMTRFormsManualComments@nmdp.org</w:t>
        </w:r>
      </w:hyperlink>
      <w:r w:rsidRPr="009829F8">
        <w:rPr>
          <w:rFonts w:ascii="Arial" w:hAnsi="Arial" w:cs="Arial"/>
          <w:b w:val="0"/>
          <w:color w:val="FFFFFF" w:themeColor="background1"/>
        </w:rPr>
        <w:t xml:space="preserve">. </w:t>
      </w:r>
      <w:r w:rsidR="00F91ED8">
        <w:rPr>
          <w:rFonts w:ascii="Arial" w:hAnsi="Arial" w:cs="Arial"/>
          <w:b w:val="0"/>
          <w:color w:val="FFFFFF" w:themeColor="background1"/>
        </w:rPr>
        <w:t xml:space="preserve"> </w:t>
      </w:r>
      <w:r w:rsidRPr="009829F8">
        <w:rPr>
          <w:rFonts w:ascii="Arial" w:hAnsi="Arial" w:cs="Arial"/>
          <w:b w:val="0"/>
          <w:color w:val="FFFFFF" w:themeColor="background1"/>
        </w:rPr>
        <w:t>Comments will be considered for future manual updates and revisions</w:t>
      </w:r>
      <w:proofErr w:type="gramStart"/>
      <w:r w:rsidRPr="009829F8">
        <w:rPr>
          <w:rFonts w:ascii="Arial" w:hAnsi="Arial" w:cs="Arial"/>
          <w:b w:val="0"/>
          <w:color w:val="FFFFFF" w:themeColor="background1"/>
        </w:rPr>
        <w:t xml:space="preserve">. </w:t>
      </w:r>
      <w:proofErr w:type="gramEnd"/>
      <w:r w:rsidRPr="009829F8">
        <w:rPr>
          <w:rFonts w:ascii="Arial" w:hAnsi="Arial" w:cs="Arial"/>
          <w:b w:val="0"/>
          <w:color w:val="FFFFFF" w:themeColor="background1"/>
        </w:rPr>
        <w:t xml:space="preserve">For questions that require an immediate response, contact your transplant </w:t>
      </w:r>
      <w:proofErr w:type="gramStart"/>
      <w:r w:rsidRPr="009829F8">
        <w:rPr>
          <w:rFonts w:ascii="Arial" w:hAnsi="Arial" w:cs="Arial"/>
          <w:b w:val="0"/>
          <w:color w:val="FFFFFF" w:themeColor="background1"/>
        </w:rPr>
        <w:t>center’s</w:t>
      </w:r>
      <w:r w:rsidR="00F91ED8">
        <w:rPr>
          <w:rFonts w:ascii="Arial" w:hAnsi="Arial" w:cs="Arial"/>
          <w:b w:val="0"/>
          <w:color w:val="FFFFFF" w:themeColor="background1"/>
        </w:rPr>
        <w:t xml:space="preserve"> </w:t>
      </w:r>
      <w:r w:rsidRPr="009829F8">
        <w:rPr>
          <w:rFonts w:ascii="Arial" w:hAnsi="Arial" w:cs="Arial"/>
          <w:b w:val="0"/>
          <w:color w:val="FFFFFF" w:themeColor="background1"/>
        </w:rPr>
        <w:t xml:space="preserve"> CIBMTR</w:t>
      </w:r>
      <w:proofErr w:type="gramEnd"/>
      <w:r w:rsidRPr="009829F8">
        <w:rPr>
          <w:rFonts w:ascii="Arial" w:hAnsi="Arial" w:cs="Arial"/>
          <w:b w:val="0"/>
          <w:color w:val="FFFFFF" w:themeColor="background1"/>
        </w:rPr>
        <w:t xml:space="preserve"> </w:t>
      </w:r>
      <w:r w:rsidR="00EB5B0C">
        <w:rPr>
          <w:rFonts w:ascii="Arial" w:hAnsi="Arial" w:cs="Arial"/>
          <w:b w:val="0"/>
          <w:color w:val="FFFFFF" w:themeColor="background1"/>
        </w:rPr>
        <w:t>CRC</w:t>
      </w:r>
      <w:r w:rsidRPr="009829F8">
        <w:rPr>
          <w:rFonts w:ascii="Arial" w:hAnsi="Arial" w:cs="Arial"/>
          <w:b w:val="0"/>
          <w:color w:val="FFFFFF" w:themeColor="background1"/>
        </w:rPr>
        <w:t>.</w:t>
      </w:r>
    </w:p>
    <w:sdt>
      <w:sdtPr>
        <w:rPr>
          <w:rFonts w:ascii="Arial" w:eastAsia="Times New Roman" w:hAnsi="Arial" w:cs="Arial"/>
          <w:b w:val="0"/>
          <w:bCs w:val="0"/>
          <w:color w:val="auto"/>
          <w:sz w:val="24"/>
          <w:szCs w:val="24"/>
        </w:rPr>
        <w:id w:val="25908969"/>
        <w:docPartObj>
          <w:docPartGallery w:val="Table of Contents"/>
          <w:docPartUnique/>
        </w:docPartObj>
      </w:sdtPr>
      <w:sdtContent>
        <w:p w14:paraId="18599C22" w14:textId="77777777" w:rsidR="00151CA8" w:rsidRPr="00151CA8" w:rsidRDefault="00151CA8" w:rsidP="00151CA8">
          <w:pPr>
            <w:pStyle w:val="TOCHeading"/>
            <w:jc w:val="center"/>
            <w:rPr>
              <w:rFonts w:ascii="Arial" w:hAnsi="Arial" w:cs="Arial"/>
            </w:rPr>
          </w:pPr>
          <w:r w:rsidRPr="00151CA8">
            <w:rPr>
              <w:rFonts w:ascii="Arial" w:hAnsi="Arial" w:cs="Arial"/>
              <w:color w:val="0079C1" w:themeColor="accent1"/>
            </w:rPr>
            <w:t>Table of Contents</w:t>
          </w:r>
        </w:p>
        <w:p w14:paraId="3865D15F" w14:textId="77777777" w:rsidR="00FE3BE9" w:rsidRDefault="00AE0EF5">
          <w:pPr>
            <w:pStyle w:val="TOC1"/>
            <w:rPr>
              <w:rFonts w:asciiTheme="minorHAnsi" w:eastAsiaTheme="minorEastAsia" w:hAnsiTheme="minorHAnsi" w:cstheme="minorBidi"/>
              <w:b w:val="0"/>
              <w:sz w:val="22"/>
              <w:szCs w:val="22"/>
            </w:rPr>
          </w:pPr>
          <w:r w:rsidRPr="00151CA8">
            <w:fldChar w:fldCharType="begin"/>
          </w:r>
          <w:r w:rsidR="00151CA8" w:rsidRPr="00151CA8">
            <w:instrText xml:space="preserve"> TOC \o "1-3" \h \z \u </w:instrText>
          </w:r>
          <w:r w:rsidRPr="00151CA8">
            <w:fldChar w:fldCharType="separate"/>
          </w:r>
          <w:hyperlink w:anchor="_Toc450570829" w:history="1">
            <w:r w:rsidR="00FE3BE9" w:rsidRPr="006B0848">
              <w:rPr>
                <w:rStyle w:val="Hyperlink"/>
              </w:rPr>
              <w:t>Abbreviations</w:t>
            </w:r>
            <w:r w:rsidR="00FE3BE9">
              <w:rPr>
                <w:webHidden/>
              </w:rPr>
              <w:tab/>
            </w:r>
            <w:r w:rsidR="00FE3BE9">
              <w:rPr>
                <w:webHidden/>
              </w:rPr>
              <w:fldChar w:fldCharType="begin"/>
            </w:r>
            <w:r w:rsidR="00FE3BE9">
              <w:rPr>
                <w:webHidden/>
              </w:rPr>
              <w:instrText xml:space="preserve"> PAGEREF _Toc450570829 \h </w:instrText>
            </w:r>
            <w:r w:rsidR="00FE3BE9">
              <w:rPr>
                <w:webHidden/>
              </w:rPr>
            </w:r>
            <w:r w:rsidR="00FE3BE9">
              <w:rPr>
                <w:webHidden/>
              </w:rPr>
              <w:fldChar w:fldCharType="separate"/>
            </w:r>
            <w:r w:rsidR="00FE3BE9">
              <w:rPr>
                <w:webHidden/>
              </w:rPr>
              <w:t>1</w:t>
            </w:r>
            <w:r w:rsidR="00FE3BE9">
              <w:rPr>
                <w:webHidden/>
              </w:rPr>
              <w:fldChar w:fldCharType="end"/>
            </w:r>
          </w:hyperlink>
        </w:p>
        <w:p w14:paraId="351E0D78" w14:textId="77777777" w:rsidR="00FE3BE9" w:rsidRDefault="00632864">
          <w:pPr>
            <w:pStyle w:val="TOC1"/>
            <w:rPr>
              <w:rFonts w:asciiTheme="minorHAnsi" w:eastAsiaTheme="minorEastAsia" w:hAnsiTheme="minorHAnsi" w:cstheme="minorBidi"/>
              <w:b w:val="0"/>
              <w:sz w:val="22"/>
              <w:szCs w:val="22"/>
            </w:rPr>
          </w:pPr>
          <w:hyperlink w:anchor="_Toc450570830" w:history="1">
            <w:r w:rsidR="00FE3BE9" w:rsidRPr="006B0848">
              <w:rPr>
                <w:rStyle w:val="Hyperlink"/>
              </w:rPr>
              <w:t>Key Fields</w:t>
            </w:r>
            <w:r w:rsidR="00FE3BE9">
              <w:rPr>
                <w:webHidden/>
              </w:rPr>
              <w:tab/>
            </w:r>
            <w:r w:rsidR="00FE3BE9">
              <w:rPr>
                <w:webHidden/>
              </w:rPr>
              <w:fldChar w:fldCharType="begin"/>
            </w:r>
            <w:r w:rsidR="00FE3BE9">
              <w:rPr>
                <w:webHidden/>
              </w:rPr>
              <w:instrText xml:space="preserve"> PAGEREF _Toc450570830 \h </w:instrText>
            </w:r>
            <w:r w:rsidR="00FE3BE9">
              <w:rPr>
                <w:webHidden/>
              </w:rPr>
            </w:r>
            <w:r w:rsidR="00FE3BE9">
              <w:rPr>
                <w:webHidden/>
              </w:rPr>
              <w:fldChar w:fldCharType="separate"/>
            </w:r>
            <w:r w:rsidR="00FE3BE9">
              <w:rPr>
                <w:webHidden/>
              </w:rPr>
              <w:t>4</w:t>
            </w:r>
            <w:r w:rsidR="00FE3BE9">
              <w:rPr>
                <w:webHidden/>
              </w:rPr>
              <w:fldChar w:fldCharType="end"/>
            </w:r>
          </w:hyperlink>
        </w:p>
        <w:p w14:paraId="5CF773E8" w14:textId="77777777" w:rsidR="00FE3BE9" w:rsidRDefault="00632864">
          <w:pPr>
            <w:pStyle w:val="TOC1"/>
            <w:rPr>
              <w:rFonts w:asciiTheme="minorHAnsi" w:eastAsiaTheme="minorEastAsia" w:hAnsiTheme="minorHAnsi" w:cstheme="minorBidi"/>
              <w:b w:val="0"/>
              <w:sz w:val="22"/>
              <w:szCs w:val="22"/>
            </w:rPr>
          </w:pPr>
          <w:hyperlink w:anchor="_Toc450570831" w:history="1">
            <w:r w:rsidR="00FE3BE9" w:rsidRPr="006B0848">
              <w:rPr>
                <w:rStyle w:val="Hyperlink"/>
              </w:rPr>
              <w:t>Survival</w:t>
            </w:r>
            <w:r w:rsidR="00FE3BE9">
              <w:rPr>
                <w:webHidden/>
              </w:rPr>
              <w:tab/>
            </w:r>
            <w:r w:rsidR="00FE3BE9">
              <w:rPr>
                <w:webHidden/>
              </w:rPr>
              <w:fldChar w:fldCharType="begin"/>
            </w:r>
            <w:r w:rsidR="00FE3BE9">
              <w:rPr>
                <w:webHidden/>
              </w:rPr>
              <w:instrText xml:space="preserve"> PAGEREF _Toc450570831 \h </w:instrText>
            </w:r>
            <w:r w:rsidR="00FE3BE9">
              <w:rPr>
                <w:webHidden/>
              </w:rPr>
            </w:r>
            <w:r w:rsidR="00FE3BE9">
              <w:rPr>
                <w:webHidden/>
              </w:rPr>
              <w:fldChar w:fldCharType="separate"/>
            </w:r>
            <w:r w:rsidR="00FE3BE9">
              <w:rPr>
                <w:webHidden/>
              </w:rPr>
              <w:t>5</w:t>
            </w:r>
            <w:r w:rsidR="00FE3BE9">
              <w:rPr>
                <w:webHidden/>
              </w:rPr>
              <w:fldChar w:fldCharType="end"/>
            </w:r>
          </w:hyperlink>
        </w:p>
        <w:p w14:paraId="1C2677C8" w14:textId="77777777" w:rsidR="00FE3BE9" w:rsidRDefault="00632864">
          <w:pPr>
            <w:pStyle w:val="TOC1"/>
            <w:rPr>
              <w:rFonts w:asciiTheme="minorHAnsi" w:eastAsiaTheme="minorEastAsia" w:hAnsiTheme="minorHAnsi" w:cstheme="minorBidi"/>
              <w:b w:val="0"/>
              <w:sz w:val="22"/>
              <w:szCs w:val="22"/>
            </w:rPr>
          </w:pPr>
          <w:hyperlink w:anchor="_Toc450570832" w:history="1">
            <w:r w:rsidR="00FE3BE9" w:rsidRPr="006B0848">
              <w:rPr>
                <w:rStyle w:val="Hyperlink"/>
              </w:rPr>
              <w:t>Subsequent Transplant</w:t>
            </w:r>
            <w:r w:rsidR="00FE3BE9">
              <w:rPr>
                <w:webHidden/>
              </w:rPr>
              <w:tab/>
            </w:r>
            <w:r w:rsidR="00FE3BE9">
              <w:rPr>
                <w:webHidden/>
              </w:rPr>
              <w:fldChar w:fldCharType="begin"/>
            </w:r>
            <w:r w:rsidR="00FE3BE9">
              <w:rPr>
                <w:webHidden/>
              </w:rPr>
              <w:instrText xml:space="preserve"> PAGEREF _Toc450570832 \h </w:instrText>
            </w:r>
            <w:r w:rsidR="00FE3BE9">
              <w:rPr>
                <w:webHidden/>
              </w:rPr>
            </w:r>
            <w:r w:rsidR="00FE3BE9">
              <w:rPr>
                <w:webHidden/>
              </w:rPr>
              <w:fldChar w:fldCharType="separate"/>
            </w:r>
            <w:r w:rsidR="00FE3BE9">
              <w:rPr>
                <w:webHidden/>
              </w:rPr>
              <w:t>13</w:t>
            </w:r>
            <w:r w:rsidR="00FE3BE9">
              <w:rPr>
                <w:webHidden/>
              </w:rPr>
              <w:fldChar w:fldCharType="end"/>
            </w:r>
          </w:hyperlink>
        </w:p>
        <w:p w14:paraId="0ACDE7BC" w14:textId="77777777" w:rsidR="00FE3BE9" w:rsidRDefault="00632864">
          <w:pPr>
            <w:pStyle w:val="TOC1"/>
            <w:rPr>
              <w:rFonts w:asciiTheme="minorHAnsi" w:eastAsiaTheme="minorEastAsia" w:hAnsiTheme="minorHAnsi" w:cstheme="minorBidi"/>
              <w:b w:val="0"/>
              <w:sz w:val="22"/>
              <w:szCs w:val="22"/>
            </w:rPr>
          </w:pPr>
          <w:hyperlink w:anchor="_Toc450570833" w:history="1">
            <w:r w:rsidR="00FE3BE9" w:rsidRPr="006B0848">
              <w:rPr>
                <w:rStyle w:val="Hyperlink"/>
              </w:rPr>
              <w:t>Initial ANC Recovery</w:t>
            </w:r>
            <w:r w:rsidR="00FE3BE9">
              <w:rPr>
                <w:webHidden/>
              </w:rPr>
              <w:tab/>
            </w:r>
            <w:r w:rsidR="00FE3BE9">
              <w:rPr>
                <w:webHidden/>
              </w:rPr>
              <w:fldChar w:fldCharType="begin"/>
            </w:r>
            <w:r w:rsidR="00FE3BE9">
              <w:rPr>
                <w:webHidden/>
              </w:rPr>
              <w:instrText xml:space="preserve"> PAGEREF _Toc450570833 \h </w:instrText>
            </w:r>
            <w:r w:rsidR="00FE3BE9">
              <w:rPr>
                <w:webHidden/>
              </w:rPr>
            </w:r>
            <w:r w:rsidR="00FE3BE9">
              <w:rPr>
                <w:webHidden/>
              </w:rPr>
              <w:fldChar w:fldCharType="separate"/>
            </w:r>
            <w:r w:rsidR="00FE3BE9">
              <w:rPr>
                <w:webHidden/>
              </w:rPr>
              <w:t>15</w:t>
            </w:r>
            <w:r w:rsidR="00FE3BE9">
              <w:rPr>
                <w:webHidden/>
              </w:rPr>
              <w:fldChar w:fldCharType="end"/>
            </w:r>
          </w:hyperlink>
        </w:p>
        <w:p w14:paraId="183FD3FE" w14:textId="77777777" w:rsidR="00FE3BE9" w:rsidRDefault="00632864">
          <w:pPr>
            <w:pStyle w:val="TOC1"/>
            <w:rPr>
              <w:rFonts w:asciiTheme="minorHAnsi" w:eastAsiaTheme="minorEastAsia" w:hAnsiTheme="minorHAnsi" w:cstheme="minorBidi"/>
              <w:b w:val="0"/>
              <w:sz w:val="22"/>
              <w:szCs w:val="22"/>
            </w:rPr>
          </w:pPr>
          <w:hyperlink w:anchor="_Toc450570834" w:history="1">
            <w:r w:rsidR="00FE3BE9" w:rsidRPr="006B0848">
              <w:rPr>
                <w:rStyle w:val="Hyperlink"/>
              </w:rPr>
              <w:t>Initial Platelet Recovery</w:t>
            </w:r>
            <w:r w:rsidR="00FE3BE9">
              <w:rPr>
                <w:webHidden/>
              </w:rPr>
              <w:tab/>
            </w:r>
            <w:r w:rsidR="00FE3BE9">
              <w:rPr>
                <w:webHidden/>
              </w:rPr>
              <w:fldChar w:fldCharType="begin"/>
            </w:r>
            <w:r w:rsidR="00FE3BE9">
              <w:rPr>
                <w:webHidden/>
              </w:rPr>
              <w:instrText xml:space="preserve"> PAGEREF _Toc450570834 \h </w:instrText>
            </w:r>
            <w:r w:rsidR="00FE3BE9">
              <w:rPr>
                <w:webHidden/>
              </w:rPr>
            </w:r>
            <w:r w:rsidR="00FE3BE9">
              <w:rPr>
                <w:webHidden/>
              </w:rPr>
              <w:fldChar w:fldCharType="separate"/>
            </w:r>
            <w:r w:rsidR="00FE3BE9">
              <w:rPr>
                <w:webHidden/>
              </w:rPr>
              <w:t>18</w:t>
            </w:r>
            <w:r w:rsidR="00FE3BE9">
              <w:rPr>
                <w:webHidden/>
              </w:rPr>
              <w:fldChar w:fldCharType="end"/>
            </w:r>
          </w:hyperlink>
        </w:p>
        <w:p w14:paraId="63B46FB1" w14:textId="77777777" w:rsidR="00FE3BE9" w:rsidRDefault="00632864">
          <w:pPr>
            <w:pStyle w:val="TOC1"/>
            <w:rPr>
              <w:rFonts w:asciiTheme="minorHAnsi" w:eastAsiaTheme="minorEastAsia" w:hAnsiTheme="minorHAnsi" w:cstheme="minorBidi"/>
              <w:b w:val="0"/>
              <w:sz w:val="22"/>
              <w:szCs w:val="22"/>
            </w:rPr>
          </w:pPr>
          <w:hyperlink w:anchor="_Toc450570835" w:history="1">
            <w:r w:rsidR="00FE3BE9" w:rsidRPr="006B0848">
              <w:rPr>
                <w:rStyle w:val="Hyperlink"/>
              </w:rPr>
              <w:t>Graft versus Host Disease</w:t>
            </w:r>
            <w:r w:rsidR="00FE3BE9">
              <w:rPr>
                <w:webHidden/>
              </w:rPr>
              <w:tab/>
            </w:r>
            <w:r w:rsidR="00FE3BE9">
              <w:rPr>
                <w:webHidden/>
              </w:rPr>
              <w:fldChar w:fldCharType="begin"/>
            </w:r>
            <w:r w:rsidR="00FE3BE9">
              <w:rPr>
                <w:webHidden/>
              </w:rPr>
              <w:instrText xml:space="preserve"> PAGEREF _Toc450570835 \h </w:instrText>
            </w:r>
            <w:r w:rsidR="00FE3BE9">
              <w:rPr>
                <w:webHidden/>
              </w:rPr>
            </w:r>
            <w:r w:rsidR="00FE3BE9">
              <w:rPr>
                <w:webHidden/>
              </w:rPr>
              <w:fldChar w:fldCharType="separate"/>
            </w:r>
            <w:r w:rsidR="00FE3BE9">
              <w:rPr>
                <w:webHidden/>
              </w:rPr>
              <w:t>20</w:t>
            </w:r>
            <w:r w:rsidR="00FE3BE9">
              <w:rPr>
                <w:webHidden/>
              </w:rPr>
              <w:fldChar w:fldCharType="end"/>
            </w:r>
          </w:hyperlink>
        </w:p>
        <w:p w14:paraId="1C2DD0E4" w14:textId="77777777" w:rsidR="00FE3BE9" w:rsidRDefault="00632864">
          <w:pPr>
            <w:pStyle w:val="TOC1"/>
            <w:rPr>
              <w:rFonts w:asciiTheme="minorHAnsi" w:eastAsiaTheme="minorEastAsia" w:hAnsiTheme="minorHAnsi" w:cstheme="minorBidi"/>
              <w:b w:val="0"/>
              <w:sz w:val="22"/>
              <w:szCs w:val="22"/>
            </w:rPr>
          </w:pPr>
          <w:hyperlink w:anchor="_Toc450570836" w:history="1">
            <w:r w:rsidR="00FE3BE9" w:rsidRPr="006B0848">
              <w:rPr>
                <w:rStyle w:val="Hyperlink"/>
              </w:rPr>
              <w:t>Liver Toxicity Prophylaxis</w:t>
            </w:r>
            <w:r w:rsidR="00FE3BE9">
              <w:rPr>
                <w:webHidden/>
              </w:rPr>
              <w:tab/>
            </w:r>
            <w:r w:rsidR="00FE3BE9">
              <w:rPr>
                <w:webHidden/>
              </w:rPr>
              <w:fldChar w:fldCharType="begin"/>
            </w:r>
            <w:r w:rsidR="00FE3BE9">
              <w:rPr>
                <w:webHidden/>
              </w:rPr>
              <w:instrText xml:space="preserve"> PAGEREF _Toc450570836 \h </w:instrText>
            </w:r>
            <w:r w:rsidR="00FE3BE9">
              <w:rPr>
                <w:webHidden/>
              </w:rPr>
            </w:r>
            <w:r w:rsidR="00FE3BE9">
              <w:rPr>
                <w:webHidden/>
              </w:rPr>
              <w:fldChar w:fldCharType="separate"/>
            </w:r>
            <w:r w:rsidR="00FE3BE9">
              <w:rPr>
                <w:webHidden/>
              </w:rPr>
              <w:t>29</w:t>
            </w:r>
            <w:r w:rsidR="00FE3BE9">
              <w:rPr>
                <w:webHidden/>
              </w:rPr>
              <w:fldChar w:fldCharType="end"/>
            </w:r>
          </w:hyperlink>
        </w:p>
        <w:p w14:paraId="24B36A69" w14:textId="77777777" w:rsidR="00FE3BE9" w:rsidRDefault="00632864">
          <w:pPr>
            <w:pStyle w:val="TOC1"/>
            <w:rPr>
              <w:rFonts w:asciiTheme="minorHAnsi" w:eastAsiaTheme="minorEastAsia" w:hAnsiTheme="minorHAnsi" w:cstheme="minorBidi"/>
              <w:b w:val="0"/>
              <w:sz w:val="22"/>
              <w:szCs w:val="22"/>
            </w:rPr>
          </w:pPr>
          <w:hyperlink w:anchor="_Toc450570837" w:history="1">
            <w:r w:rsidR="00FE3BE9" w:rsidRPr="006B0848">
              <w:rPr>
                <w:rStyle w:val="Hyperlink"/>
              </w:rPr>
              <w:t>Veno-occlusive disease (VOD) / Sinusoidal obstruction syndrome (SOS)</w:t>
            </w:r>
            <w:r w:rsidR="00FE3BE9">
              <w:rPr>
                <w:webHidden/>
              </w:rPr>
              <w:tab/>
            </w:r>
            <w:r w:rsidR="00FE3BE9">
              <w:rPr>
                <w:webHidden/>
              </w:rPr>
              <w:fldChar w:fldCharType="begin"/>
            </w:r>
            <w:r w:rsidR="00FE3BE9">
              <w:rPr>
                <w:webHidden/>
              </w:rPr>
              <w:instrText xml:space="preserve"> PAGEREF _Toc450570837 \h </w:instrText>
            </w:r>
            <w:r w:rsidR="00FE3BE9">
              <w:rPr>
                <w:webHidden/>
              </w:rPr>
            </w:r>
            <w:r w:rsidR="00FE3BE9">
              <w:rPr>
                <w:webHidden/>
              </w:rPr>
              <w:fldChar w:fldCharType="separate"/>
            </w:r>
            <w:r w:rsidR="00FE3BE9">
              <w:rPr>
                <w:webHidden/>
              </w:rPr>
              <w:t>30</w:t>
            </w:r>
            <w:r w:rsidR="00FE3BE9">
              <w:rPr>
                <w:webHidden/>
              </w:rPr>
              <w:fldChar w:fldCharType="end"/>
            </w:r>
          </w:hyperlink>
        </w:p>
        <w:p w14:paraId="1205FEBC" w14:textId="77777777" w:rsidR="00FE3BE9" w:rsidRDefault="00632864">
          <w:pPr>
            <w:pStyle w:val="TOC1"/>
            <w:rPr>
              <w:rFonts w:asciiTheme="minorHAnsi" w:eastAsiaTheme="minorEastAsia" w:hAnsiTheme="minorHAnsi" w:cstheme="minorBidi"/>
              <w:b w:val="0"/>
              <w:sz w:val="22"/>
              <w:szCs w:val="22"/>
            </w:rPr>
          </w:pPr>
          <w:hyperlink w:anchor="_Toc450570838" w:history="1">
            <w:r w:rsidR="00FE3BE9" w:rsidRPr="006B0848">
              <w:rPr>
                <w:rStyle w:val="Hyperlink"/>
              </w:rPr>
              <w:t>New Malignancy, Lymphoproliferative or Myeloproliferative Disorder</w:t>
            </w:r>
            <w:r w:rsidR="00FE3BE9">
              <w:rPr>
                <w:webHidden/>
              </w:rPr>
              <w:tab/>
            </w:r>
            <w:r w:rsidR="00FE3BE9">
              <w:rPr>
                <w:webHidden/>
              </w:rPr>
              <w:fldChar w:fldCharType="begin"/>
            </w:r>
            <w:r w:rsidR="00FE3BE9">
              <w:rPr>
                <w:webHidden/>
              </w:rPr>
              <w:instrText xml:space="preserve"> PAGEREF _Toc450570838 \h </w:instrText>
            </w:r>
            <w:r w:rsidR="00FE3BE9">
              <w:rPr>
                <w:webHidden/>
              </w:rPr>
            </w:r>
            <w:r w:rsidR="00FE3BE9">
              <w:rPr>
                <w:webHidden/>
              </w:rPr>
              <w:fldChar w:fldCharType="separate"/>
            </w:r>
            <w:r w:rsidR="00FE3BE9">
              <w:rPr>
                <w:webHidden/>
              </w:rPr>
              <w:t>31</w:t>
            </w:r>
            <w:r w:rsidR="00FE3BE9">
              <w:rPr>
                <w:webHidden/>
              </w:rPr>
              <w:fldChar w:fldCharType="end"/>
            </w:r>
          </w:hyperlink>
        </w:p>
        <w:p w14:paraId="0B0A3BCE" w14:textId="77777777" w:rsidR="00FE3BE9" w:rsidRDefault="00632864">
          <w:pPr>
            <w:pStyle w:val="TOC1"/>
            <w:rPr>
              <w:rFonts w:asciiTheme="minorHAnsi" w:eastAsiaTheme="minorEastAsia" w:hAnsiTheme="minorHAnsi" w:cstheme="minorBidi"/>
              <w:b w:val="0"/>
              <w:sz w:val="22"/>
              <w:szCs w:val="22"/>
            </w:rPr>
          </w:pPr>
          <w:hyperlink w:anchor="_Toc450570839" w:history="1">
            <w:r w:rsidR="00FE3BE9" w:rsidRPr="006B0848">
              <w:rPr>
                <w:rStyle w:val="Hyperlink"/>
              </w:rPr>
              <w:t>Chimerism Studies (Cord Blood Units Only)</w:t>
            </w:r>
            <w:r w:rsidR="00FE3BE9">
              <w:rPr>
                <w:webHidden/>
              </w:rPr>
              <w:tab/>
            </w:r>
            <w:r w:rsidR="00FE3BE9">
              <w:rPr>
                <w:webHidden/>
              </w:rPr>
              <w:fldChar w:fldCharType="begin"/>
            </w:r>
            <w:r w:rsidR="00FE3BE9">
              <w:rPr>
                <w:webHidden/>
              </w:rPr>
              <w:instrText xml:space="preserve"> PAGEREF _Toc450570839 \h </w:instrText>
            </w:r>
            <w:r w:rsidR="00FE3BE9">
              <w:rPr>
                <w:webHidden/>
              </w:rPr>
            </w:r>
            <w:r w:rsidR="00FE3BE9">
              <w:rPr>
                <w:webHidden/>
              </w:rPr>
              <w:fldChar w:fldCharType="separate"/>
            </w:r>
            <w:r w:rsidR="00FE3BE9">
              <w:rPr>
                <w:webHidden/>
              </w:rPr>
              <w:t>33</w:t>
            </w:r>
            <w:r w:rsidR="00FE3BE9">
              <w:rPr>
                <w:webHidden/>
              </w:rPr>
              <w:fldChar w:fldCharType="end"/>
            </w:r>
          </w:hyperlink>
        </w:p>
        <w:p w14:paraId="22A50895" w14:textId="77777777" w:rsidR="00FE3BE9" w:rsidRDefault="00632864">
          <w:pPr>
            <w:pStyle w:val="TOC1"/>
            <w:rPr>
              <w:rFonts w:asciiTheme="minorHAnsi" w:eastAsiaTheme="minorEastAsia" w:hAnsiTheme="minorHAnsi" w:cstheme="minorBidi"/>
              <w:b w:val="0"/>
              <w:sz w:val="22"/>
              <w:szCs w:val="22"/>
            </w:rPr>
          </w:pPr>
          <w:hyperlink w:anchor="_Toc450570840" w:history="1">
            <w:r w:rsidR="00FE3BE9" w:rsidRPr="006B0848">
              <w:rPr>
                <w:rStyle w:val="Hyperlink"/>
              </w:rPr>
              <w:t>Disease Assessment at the Time of Best Response to HCT</w:t>
            </w:r>
            <w:r w:rsidR="00FE3BE9">
              <w:rPr>
                <w:webHidden/>
              </w:rPr>
              <w:tab/>
            </w:r>
            <w:r w:rsidR="00FE3BE9">
              <w:rPr>
                <w:webHidden/>
              </w:rPr>
              <w:fldChar w:fldCharType="begin"/>
            </w:r>
            <w:r w:rsidR="00FE3BE9">
              <w:rPr>
                <w:webHidden/>
              </w:rPr>
              <w:instrText xml:space="preserve"> PAGEREF _Toc450570840 \h </w:instrText>
            </w:r>
            <w:r w:rsidR="00FE3BE9">
              <w:rPr>
                <w:webHidden/>
              </w:rPr>
            </w:r>
            <w:r w:rsidR="00FE3BE9">
              <w:rPr>
                <w:webHidden/>
              </w:rPr>
              <w:fldChar w:fldCharType="separate"/>
            </w:r>
            <w:r w:rsidR="00FE3BE9">
              <w:rPr>
                <w:webHidden/>
              </w:rPr>
              <w:t>36</w:t>
            </w:r>
            <w:r w:rsidR="00FE3BE9">
              <w:rPr>
                <w:webHidden/>
              </w:rPr>
              <w:fldChar w:fldCharType="end"/>
            </w:r>
          </w:hyperlink>
        </w:p>
        <w:p w14:paraId="3046FF31" w14:textId="77777777" w:rsidR="00FE3BE9" w:rsidRDefault="00632864">
          <w:pPr>
            <w:pStyle w:val="TOC1"/>
            <w:rPr>
              <w:rFonts w:asciiTheme="minorHAnsi" w:eastAsiaTheme="minorEastAsia" w:hAnsiTheme="minorHAnsi" w:cstheme="minorBidi"/>
              <w:b w:val="0"/>
              <w:sz w:val="22"/>
              <w:szCs w:val="22"/>
            </w:rPr>
          </w:pPr>
          <w:hyperlink w:anchor="_Toc450570841" w:history="1">
            <w:r w:rsidR="00FE3BE9" w:rsidRPr="006B0848">
              <w:rPr>
                <w:rStyle w:val="Hyperlink"/>
              </w:rPr>
              <w:t>Post-HCT Therapy</w:t>
            </w:r>
            <w:r w:rsidR="00FE3BE9">
              <w:rPr>
                <w:webHidden/>
              </w:rPr>
              <w:tab/>
            </w:r>
            <w:r w:rsidR="00FE3BE9">
              <w:rPr>
                <w:webHidden/>
              </w:rPr>
              <w:fldChar w:fldCharType="begin"/>
            </w:r>
            <w:r w:rsidR="00FE3BE9">
              <w:rPr>
                <w:webHidden/>
              </w:rPr>
              <w:instrText xml:space="preserve"> PAGEREF _Toc450570841 \h </w:instrText>
            </w:r>
            <w:r w:rsidR="00FE3BE9">
              <w:rPr>
                <w:webHidden/>
              </w:rPr>
            </w:r>
            <w:r w:rsidR="00FE3BE9">
              <w:rPr>
                <w:webHidden/>
              </w:rPr>
              <w:fldChar w:fldCharType="separate"/>
            </w:r>
            <w:r w:rsidR="00FE3BE9">
              <w:rPr>
                <w:webHidden/>
              </w:rPr>
              <w:t>43</w:t>
            </w:r>
            <w:r w:rsidR="00FE3BE9">
              <w:rPr>
                <w:webHidden/>
              </w:rPr>
              <w:fldChar w:fldCharType="end"/>
            </w:r>
          </w:hyperlink>
        </w:p>
        <w:p w14:paraId="2EB8C415" w14:textId="77777777" w:rsidR="00FE3BE9" w:rsidRDefault="00632864">
          <w:pPr>
            <w:pStyle w:val="TOC1"/>
            <w:rPr>
              <w:rFonts w:asciiTheme="minorHAnsi" w:eastAsiaTheme="minorEastAsia" w:hAnsiTheme="minorHAnsi" w:cstheme="minorBidi"/>
              <w:b w:val="0"/>
              <w:sz w:val="22"/>
              <w:szCs w:val="22"/>
            </w:rPr>
          </w:pPr>
          <w:hyperlink w:anchor="_Toc450570842" w:history="1">
            <w:r w:rsidR="00FE3BE9" w:rsidRPr="006B0848">
              <w:rPr>
                <w:rStyle w:val="Hyperlink"/>
              </w:rPr>
              <w:t>Relapse or Progression Post-HCT</w:t>
            </w:r>
            <w:r w:rsidR="00FE3BE9">
              <w:rPr>
                <w:webHidden/>
              </w:rPr>
              <w:tab/>
            </w:r>
            <w:r w:rsidR="00FE3BE9">
              <w:rPr>
                <w:webHidden/>
              </w:rPr>
              <w:fldChar w:fldCharType="begin"/>
            </w:r>
            <w:r w:rsidR="00FE3BE9">
              <w:rPr>
                <w:webHidden/>
              </w:rPr>
              <w:instrText xml:space="preserve"> PAGEREF _Toc450570842 \h </w:instrText>
            </w:r>
            <w:r w:rsidR="00FE3BE9">
              <w:rPr>
                <w:webHidden/>
              </w:rPr>
            </w:r>
            <w:r w:rsidR="00FE3BE9">
              <w:rPr>
                <w:webHidden/>
              </w:rPr>
              <w:fldChar w:fldCharType="separate"/>
            </w:r>
            <w:r w:rsidR="00FE3BE9">
              <w:rPr>
                <w:webHidden/>
              </w:rPr>
              <w:t>45</w:t>
            </w:r>
            <w:r w:rsidR="00FE3BE9">
              <w:rPr>
                <w:webHidden/>
              </w:rPr>
              <w:fldChar w:fldCharType="end"/>
            </w:r>
          </w:hyperlink>
        </w:p>
        <w:p w14:paraId="014725D6" w14:textId="77777777" w:rsidR="00FE3BE9" w:rsidRDefault="00632864">
          <w:pPr>
            <w:pStyle w:val="TOC1"/>
            <w:rPr>
              <w:rFonts w:asciiTheme="minorHAnsi" w:eastAsiaTheme="minorEastAsia" w:hAnsiTheme="minorHAnsi" w:cstheme="minorBidi"/>
              <w:b w:val="0"/>
              <w:sz w:val="22"/>
              <w:szCs w:val="22"/>
            </w:rPr>
          </w:pPr>
          <w:hyperlink w:anchor="_Toc450570843" w:history="1">
            <w:r w:rsidR="00FE3BE9" w:rsidRPr="006B0848">
              <w:rPr>
                <w:rStyle w:val="Hyperlink"/>
              </w:rPr>
              <w:t>Current Disease Status</w:t>
            </w:r>
            <w:r w:rsidR="00FE3BE9">
              <w:rPr>
                <w:webHidden/>
              </w:rPr>
              <w:tab/>
            </w:r>
            <w:r w:rsidR="00FE3BE9">
              <w:rPr>
                <w:webHidden/>
              </w:rPr>
              <w:fldChar w:fldCharType="begin"/>
            </w:r>
            <w:r w:rsidR="00FE3BE9">
              <w:rPr>
                <w:webHidden/>
              </w:rPr>
              <w:instrText xml:space="preserve"> PAGEREF _Toc450570843 \h </w:instrText>
            </w:r>
            <w:r w:rsidR="00FE3BE9">
              <w:rPr>
                <w:webHidden/>
              </w:rPr>
            </w:r>
            <w:r w:rsidR="00FE3BE9">
              <w:rPr>
                <w:webHidden/>
              </w:rPr>
              <w:fldChar w:fldCharType="separate"/>
            </w:r>
            <w:r w:rsidR="00FE3BE9">
              <w:rPr>
                <w:webHidden/>
              </w:rPr>
              <w:t>47</w:t>
            </w:r>
            <w:r w:rsidR="00FE3BE9">
              <w:rPr>
                <w:webHidden/>
              </w:rPr>
              <w:fldChar w:fldCharType="end"/>
            </w:r>
          </w:hyperlink>
        </w:p>
        <w:p w14:paraId="21832BCE" w14:textId="77777777" w:rsidR="00FE3BE9" w:rsidRDefault="00632864">
          <w:pPr>
            <w:pStyle w:val="TOC1"/>
            <w:rPr>
              <w:rFonts w:asciiTheme="minorHAnsi" w:eastAsiaTheme="minorEastAsia" w:hAnsiTheme="minorHAnsi" w:cstheme="minorBidi"/>
              <w:b w:val="0"/>
              <w:sz w:val="22"/>
              <w:szCs w:val="22"/>
            </w:rPr>
          </w:pPr>
          <w:hyperlink w:anchor="_Toc450570844" w:history="1">
            <w:r w:rsidR="00FE3BE9" w:rsidRPr="006B0848">
              <w:rPr>
                <w:rStyle w:val="Hyperlink"/>
              </w:rPr>
              <w:t>Manual Change History</w:t>
            </w:r>
            <w:r w:rsidR="00FE3BE9">
              <w:rPr>
                <w:webHidden/>
              </w:rPr>
              <w:tab/>
            </w:r>
            <w:r w:rsidR="00FE3BE9">
              <w:rPr>
                <w:webHidden/>
              </w:rPr>
              <w:fldChar w:fldCharType="begin"/>
            </w:r>
            <w:r w:rsidR="00FE3BE9">
              <w:rPr>
                <w:webHidden/>
              </w:rPr>
              <w:instrText xml:space="preserve"> PAGEREF _Toc450570844 \h </w:instrText>
            </w:r>
            <w:r w:rsidR="00FE3BE9">
              <w:rPr>
                <w:webHidden/>
              </w:rPr>
            </w:r>
            <w:r w:rsidR="00FE3BE9">
              <w:rPr>
                <w:webHidden/>
              </w:rPr>
              <w:fldChar w:fldCharType="separate"/>
            </w:r>
            <w:r w:rsidR="00FE3BE9">
              <w:rPr>
                <w:webHidden/>
              </w:rPr>
              <w:t>49</w:t>
            </w:r>
            <w:r w:rsidR="00FE3BE9">
              <w:rPr>
                <w:webHidden/>
              </w:rPr>
              <w:fldChar w:fldCharType="end"/>
            </w:r>
          </w:hyperlink>
        </w:p>
        <w:p w14:paraId="68F748A3" w14:textId="77777777" w:rsidR="00151CA8" w:rsidRDefault="00AE0EF5">
          <w:r w:rsidRPr="00151CA8">
            <w:rPr>
              <w:rFonts w:ascii="Arial" w:hAnsi="Arial" w:cs="Arial"/>
            </w:rPr>
            <w:fldChar w:fldCharType="end"/>
          </w:r>
        </w:p>
      </w:sdtContent>
    </w:sdt>
    <w:p w14:paraId="71AA7A24" w14:textId="77777777" w:rsidR="00951E95" w:rsidRPr="003A26CD" w:rsidRDefault="00951E95" w:rsidP="00906D61">
      <w:pPr>
        <w:rPr>
          <w:rFonts w:ascii="Arial" w:hAnsi="Arial" w:cs="Arial"/>
          <w:highlight w:val="green"/>
        </w:rPr>
      </w:pPr>
    </w:p>
    <w:p w14:paraId="357A1BF2" w14:textId="77777777" w:rsidR="00906D61" w:rsidRDefault="00906D61">
      <w:pPr>
        <w:rPr>
          <w:rFonts w:ascii="Arial" w:hAnsi="Arial" w:cs="Arial"/>
        </w:rPr>
      </w:pPr>
    </w:p>
    <w:p w14:paraId="288ED90C" w14:textId="77777777" w:rsidR="00C62445" w:rsidRDefault="00C62445">
      <w:pPr>
        <w:spacing w:after="200" w:line="276" w:lineRule="auto"/>
        <w:rPr>
          <w:rFonts w:ascii="Arial" w:hAnsi="Arial" w:cs="Arial"/>
        </w:rPr>
      </w:pPr>
      <w:r>
        <w:rPr>
          <w:rFonts w:ascii="Arial" w:hAnsi="Arial" w:cs="Arial"/>
        </w:rPr>
        <w:br w:type="page"/>
      </w:r>
    </w:p>
    <w:p w14:paraId="0B297BCD" w14:textId="77777777" w:rsidR="00906D61" w:rsidRPr="003A26CD" w:rsidRDefault="00906D61" w:rsidP="00906D61">
      <w:pPr>
        <w:pBdr>
          <w:top w:val="single" w:sz="4" w:space="1" w:color="auto"/>
          <w:left w:val="single" w:sz="4" w:space="4" w:color="auto"/>
          <w:bottom w:val="single" w:sz="4" w:space="1" w:color="auto"/>
          <w:right w:val="single" w:sz="4" w:space="4" w:color="auto"/>
        </w:pBdr>
        <w:rPr>
          <w:rFonts w:ascii="Arial" w:hAnsi="Arial" w:cs="Arial"/>
          <w:b/>
          <w:sz w:val="32"/>
          <w:szCs w:val="32"/>
        </w:rPr>
      </w:pPr>
      <w:r w:rsidRPr="003A26CD">
        <w:rPr>
          <w:rFonts w:ascii="Arial" w:hAnsi="Arial" w:cs="Arial"/>
          <w:b/>
          <w:sz w:val="32"/>
          <w:szCs w:val="32"/>
        </w:rPr>
        <w:lastRenderedPageBreak/>
        <w:t>Post-Transplant Essential Data (Post-TED)</w:t>
      </w:r>
    </w:p>
    <w:p w14:paraId="517F242A" w14:textId="77777777" w:rsidR="00906D61" w:rsidRPr="003A26CD" w:rsidRDefault="00906D61" w:rsidP="00906D61">
      <w:pPr>
        <w:rPr>
          <w:rFonts w:ascii="Arial" w:hAnsi="Arial" w:cs="Arial"/>
          <w:highlight w:val="green"/>
        </w:rPr>
      </w:pPr>
    </w:p>
    <w:p w14:paraId="159B3E0C" w14:textId="77777777" w:rsidR="00906D61" w:rsidRPr="003A26CD" w:rsidRDefault="00906D61" w:rsidP="00906D61">
      <w:pPr>
        <w:rPr>
          <w:rFonts w:ascii="Arial" w:hAnsi="Arial" w:cs="Arial"/>
        </w:rPr>
      </w:pPr>
      <w:r>
        <w:rPr>
          <w:rFonts w:ascii="Arial" w:hAnsi="Arial" w:cs="Arial"/>
        </w:rPr>
        <w:t>T</w:t>
      </w:r>
      <w:r w:rsidRPr="003A26CD">
        <w:rPr>
          <w:rFonts w:ascii="Arial" w:hAnsi="Arial" w:cs="Arial"/>
        </w:rPr>
        <w:t xml:space="preserve">ransplant centers participating in the CIBMTR must submit a Post-TED Form for recipients </w:t>
      </w:r>
      <w:r>
        <w:rPr>
          <w:rFonts w:ascii="Arial" w:hAnsi="Arial" w:cs="Arial"/>
        </w:rPr>
        <w:t>who</w:t>
      </w:r>
      <w:r w:rsidRPr="003A26CD">
        <w:rPr>
          <w:rFonts w:ascii="Arial" w:hAnsi="Arial" w:cs="Arial"/>
        </w:rPr>
        <w:t xml:space="preserve"> meet </w:t>
      </w:r>
      <w:r>
        <w:rPr>
          <w:rFonts w:ascii="Arial" w:hAnsi="Arial" w:cs="Arial"/>
          <w:b/>
        </w:rPr>
        <w:t>any</w:t>
      </w:r>
      <w:r w:rsidRPr="003A26CD">
        <w:rPr>
          <w:rFonts w:ascii="Arial" w:hAnsi="Arial" w:cs="Arial"/>
        </w:rPr>
        <w:t xml:space="preserve"> of the following criteria:</w:t>
      </w:r>
    </w:p>
    <w:p w14:paraId="7FA7FD37" w14:textId="77777777" w:rsidR="007E6138" w:rsidRPr="003A26CD" w:rsidRDefault="007E6138" w:rsidP="007E6138">
      <w:pPr>
        <w:rPr>
          <w:rFonts w:ascii="Arial" w:hAnsi="Arial" w:cs="Arial"/>
        </w:rPr>
      </w:pPr>
    </w:p>
    <w:p w14:paraId="6AAA2349" w14:textId="013B2F2D" w:rsidR="007E6138" w:rsidRDefault="007E6138" w:rsidP="007E6138">
      <w:pPr>
        <w:numPr>
          <w:ilvl w:val="0"/>
          <w:numId w:val="16"/>
        </w:numPr>
        <w:spacing w:after="120"/>
        <w:rPr>
          <w:rFonts w:ascii="Arial" w:hAnsi="Arial" w:cs="Arial"/>
        </w:rPr>
      </w:pPr>
      <w:r w:rsidRPr="00061DD6">
        <w:rPr>
          <w:rFonts w:ascii="Arial" w:hAnsi="Arial" w:cs="Arial"/>
        </w:rPr>
        <w:t xml:space="preserve">Recipient receives a transplant at a United States center designated as a </w:t>
      </w:r>
      <w:r w:rsidRPr="00061DD6">
        <w:rPr>
          <w:rFonts w:ascii="Arial" w:hAnsi="Arial" w:cs="Arial"/>
          <w:i/>
        </w:rPr>
        <w:t>TED-only</w:t>
      </w:r>
      <w:r w:rsidRPr="00061DD6">
        <w:rPr>
          <w:rFonts w:ascii="Arial" w:hAnsi="Arial" w:cs="Arial"/>
        </w:rPr>
        <w:t xml:space="preserve"> center.</w:t>
      </w:r>
    </w:p>
    <w:p w14:paraId="75216154" w14:textId="77777777" w:rsidR="007E6138" w:rsidRDefault="007E6138" w:rsidP="007E6138">
      <w:pPr>
        <w:numPr>
          <w:ilvl w:val="0"/>
          <w:numId w:val="16"/>
        </w:numPr>
        <w:spacing w:after="120"/>
        <w:rPr>
          <w:rFonts w:ascii="Arial" w:hAnsi="Arial" w:cs="Arial"/>
        </w:rPr>
      </w:pPr>
      <w:r w:rsidRPr="00061DD6">
        <w:rPr>
          <w:rFonts w:ascii="Arial" w:hAnsi="Arial" w:cs="Arial"/>
        </w:rPr>
        <w:t xml:space="preserve">Recipient receives a transplant at a United States center designated as </w:t>
      </w:r>
      <w:r w:rsidRPr="001C68AD">
        <w:rPr>
          <w:rFonts w:ascii="Arial" w:hAnsi="Arial" w:cs="Arial"/>
          <w:i/>
        </w:rPr>
        <w:t xml:space="preserve">Comprehensive Report Form </w:t>
      </w:r>
      <w:r w:rsidRPr="001C68AD">
        <w:rPr>
          <w:rFonts w:ascii="Arial" w:hAnsi="Arial" w:cs="Arial"/>
        </w:rPr>
        <w:t>center and has been assigned to the TED track by the Form Selection Algorithm.</w:t>
      </w:r>
    </w:p>
    <w:p w14:paraId="1C9FD6DE" w14:textId="77777777" w:rsidR="007E6138" w:rsidRDefault="007E6138" w:rsidP="007E6138">
      <w:pPr>
        <w:numPr>
          <w:ilvl w:val="0"/>
          <w:numId w:val="16"/>
        </w:numPr>
        <w:tabs>
          <w:tab w:val="num" w:pos="792"/>
        </w:tabs>
        <w:spacing w:after="240"/>
        <w:rPr>
          <w:rFonts w:ascii="Arial" w:hAnsi="Arial" w:cs="Arial"/>
        </w:rPr>
      </w:pPr>
      <w:r w:rsidRPr="006D29D4">
        <w:rPr>
          <w:rFonts w:ascii="Arial" w:hAnsi="Arial" w:cs="Arial"/>
        </w:rPr>
        <w:t xml:space="preserve">Recipient receives an allogeneic transplant at a United States center designated as </w:t>
      </w:r>
      <w:r w:rsidRPr="00434D4B">
        <w:rPr>
          <w:rFonts w:ascii="Arial" w:hAnsi="Arial" w:cs="Arial"/>
          <w:i/>
        </w:rPr>
        <w:t xml:space="preserve">Comprehensive Report Form </w:t>
      </w:r>
      <w:r w:rsidRPr="00434D4B">
        <w:rPr>
          <w:rFonts w:ascii="Arial" w:hAnsi="Arial" w:cs="Arial"/>
        </w:rPr>
        <w:t>center, but has not consented to participate in research.</w:t>
      </w:r>
    </w:p>
    <w:p w14:paraId="41ED1414" w14:textId="18F70181" w:rsidR="00270BF8" w:rsidRPr="00270BF8" w:rsidRDefault="00270BF8" w:rsidP="00270BF8">
      <w:pPr>
        <w:numPr>
          <w:ilvl w:val="0"/>
          <w:numId w:val="16"/>
        </w:numPr>
        <w:spacing w:after="120"/>
        <w:rPr>
          <w:rFonts w:ascii="Arial" w:hAnsi="Arial" w:cs="Arial"/>
        </w:rPr>
      </w:pPr>
      <w:r w:rsidRPr="00061DD6">
        <w:rPr>
          <w:rFonts w:ascii="Arial" w:hAnsi="Arial" w:cs="Arial"/>
        </w:rPr>
        <w:t>Recipient receives a transplant at an international center, has consented to participate in research, and has been assigned to the TED track by the Form Selection Algorithm.</w:t>
      </w:r>
    </w:p>
    <w:p w14:paraId="3B02C629" w14:textId="77777777" w:rsidR="00906D61" w:rsidRPr="003A26CD" w:rsidRDefault="00906D61" w:rsidP="00906D61">
      <w:pPr>
        <w:rPr>
          <w:rFonts w:ascii="Arial" w:hAnsi="Arial" w:cs="Arial"/>
        </w:rPr>
      </w:pPr>
      <w:r w:rsidRPr="003A26CD">
        <w:rPr>
          <w:rFonts w:ascii="Arial" w:hAnsi="Arial" w:cs="Arial"/>
        </w:rPr>
        <w:t xml:space="preserve">The Post-TED fulfills the requirements of the SCTOD for recipients meeting any of the above criteria. For more information regarding the SCTOD, see General Instructions, </w:t>
      </w:r>
      <w:hyperlink r:id="rId11" w:history="1">
        <w:r w:rsidRPr="00C62445">
          <w:rPr>
            <w:rStyle w:val="Hyperlink"/>
            <w:rFonts w:ascii="Arial" w:hAnsi="Arial" w:cs="Arial"/>
          </w:rPr>
          <w:t>Stem Cell Therapeutics Outcomes Database</w:t>
        </w:r>
      </w:hyperlink>
      <w:r w:rsidRPr="006C2913">
        <w:rPr>
          <w:rFonts w:ascii="Arial" w:hAnsi="Arial" w:cs="Arial"/>
        </w:rPr>
        <w:t>.</w:t>
      </w:r>
    </w:p>
    <w:p w14:paraId="7478DF9E" w14:textId="77777777" w:rsidR="00906D61" w:rsidRDefault="00906D61" w:rsidP="00906D61">
      <w:pPr>
        <w:rPr>
          <w:rFonts w:ascii="Arial" w:hAnsi="Arial" w:cs="Arial"/>
        </w:rPr>
      </w:pPr>
    </w:p>
    <w:p w14:paraId="5C27B099" w14:textId="77777777" w:rsidR="00906D61" w:rsidRDefault="00906D61" w:rsidP="00906D61">
      <w:pPr>
        <w:rPr>
          <w:rFonts w:ascii="Arial" w:hAnsi="Arial" w:cs="Arial"/>
        </w:rPr>
      </w:pPr>
      <w:r>
        <w:rPr>
          <w:rFonts w:ascii="Arial" w:hAnsi="Arial" w:cs="Arial"/>
        </w:rPr>
        <w:t xml:space="preserve">For more information, including information on the TED and Comprehensive Report Form Selection Algorithm, see </w:t>
      </w:r>
      <w:r w:rsidRPr="004911F3">
        <w:rPr>
          <w:rFonts w:ascii="Arial" w:hAnsi="Arial" w:cs="Arial"/>
        </w:rPr>
        <w:t xml:space="preserve">General Instructions, </w:t>
      </w:r>
      <w:hyperlink r:id="rId12" w:history="1">
        <w:r w:rsidRPr="00C62445">
          <w:rPr>
            <w:rStyle w:val="Hyperlink"/>
            <w:rFonts w:ascii="Arial" w:hAnsi="Arial" w:cs="Arial"/>
          </w:rPr>
          <w:t>Center Type and Data Collection Forms</w:t>
        </w:r>
      </w:hyperlink>
      <w:r>
        <w:rPr>
          <w:rFonts w:ascii="Arial" w:hAnsi="Arial" w:cs="Arial"/>
        </w:rPr>
        <w:t>.</w:t>
      </w:r>
    </w:p>
    <w:p w14:paraId="79AED5B0" w14:textId="77777777" w:rsidR="00906D61" w:rsidRDefault="00906D61" w:rsidP="00906D61">
      <w:pPr>
        <w:rPr>
          <w:rFonts w:ascii="Arial" w:hAnsi="Arial" w:cs="Arial"/>
        </w:rPr>
      </w:pPr>
    </w:p>
    <w:p w14:paraId="4348C7A9" w14:textId="00C2726D" w:rsidR="00906D61" w:rsidRDefault="00906D61" w:rsidP="00906D61">
      <w:pPr>
        <w:rPr>
          <w:rFonts w:ascii="Arial" w:hAnsi="Arial" w:cs="Arial"/>
        </w:rPr>
      </w:pPr>
      <w:r>
        <w:rPr>
          <w:rFonts w:ascii="Arial" w:hAnsi="Arial" w:cs="Arial"/>
        </w:rPr>
        <w:t xml:space="preserve">The Post-TED </w:t>
      </w:r>
      <w:proofErr w:type="gramStart"/>
      <w:r>
        <w:rPr>
          <w:rFonts w:ascii="Arial" w:hAnsi="Arial" w:cs="Arial"/>
        </w:rPr>
        <w:t>must be completed</w:t>
      </w:r>
      <w:proofErr w:type="gramEnd"/>
      <w:r>
        <w:rPr>
          <w:rFonts w:ascii="Arial" w:hAnsi="Arial" w:cs="Arial"/>
        </w:rPr>
        <w:t xml:space="preserve"> at the following time points</w:t>
      </w:r>
      <w:r w:rsidR="005A3F32">
        <w:rPr>
          <w:rFonts w:ascii="Arial" w:hAnsi="Arial" w:cs="Arial"/>
        </w:rPr>
        <w:t xml:space="preserve">: </w:t>
      </w:r>
      <w:r>
        <w:rPr>
          <w:rFonts w:ascii="Arial" w:hAnsi="Arial" w:cs="Arial"/>
        </w:rPr>
        <w:t xml:space="preserve"> 100 days, </w:t>
      </w:r>
      <w:r w:rsidR="00197865">
        <w:rPr>
          <w:rFonts w:ascii="Arial" w:hAnsi="Arial" w:cs="Arial"/>
        </w:rPr>
        <w:t>6</w:t>
      </w:r>
      <w:r>
        <w:rPr>
          <w:rFonts w:ascii="Arial" w:hAnsi="Arial" w:cs="Arial"/>
        </w:rPr>
        <w:t xml:space="preserve"> months, annually </w:t>
      </w:r>
      <w:r w:rsidR="00F45F5B">
        <w:rPr>
          <w:rFonts w:ascii="Arial" w:hAnsi="Arial" w:cs="Arial"/>
        </w:rPr>
        <w:t>for 6 years post-HCT, and biennially thereafter</w:t>
      </w:r>
      <w:r>
        <w:rPr>
          <w:rFonts w:ascii="Arial" w:hAnsi="Arial" w:cs="Arial"/>
        </w:rPr>
        <w:t xml:space="preserve">. </w:t>
      </w:r>
      <w:r w:rsidR="00F91ED8">
        <w:rPr>
          <w:rFonts w:ascii="Arial" w:hAnsi="Arial" w:cs="Arial"/>
        </w:rPr>
        <w:t xml:space="preserve"> </w:t>
      </w:r>
      <w:r>
        <w:rPr>
          <w:rFonts w:ascii="Arial" w:hAnsi="Arial" w:cs="Arial"/>
        </w:rPr>
        <w:t xml:space="preserve">These forms </w:t>
      </w:r>
      <w:proofErr w:type="gramStart"/>
      <w:r>
        <w:rPr>
          <w:rFonts w:ascii="Arial" w:hAnsi="Arial" w:cs="Arial"/>
        </w:rPr>
        <w:t>should be completed</w:t>
      </w:r>
      <w:proofErr w:type="gramEnd"/>
      <w:r>
        <w:rPr>
          <w:rFonts w:ascii="Arial" w:hAnsi="Arial" w:cs="Arial"/>
        </w:rPr>
        <w:t xml:space="preserve"> as closely to these time points as possible. </w:t>
      </w:r>
      <w:r w:rsidR="00F91ED8">
        <w:rPr>
          <w:rFonts w:ascii="Arial" w:hAnsi="Arial" w:cs="Arial"/>
        </w:rPr>
        <w:t xml:space="preserve"> </w:t>
      </w:r>
      <w:r>
        <w:rPr>
          <w:rFonts w:ascii="Arial" w:hAnsi="Arial" w:cs="Arial"/>
        </w:rPr>
        <w:t xml:space="preserve">The structure of the TED Forms is such that each form should fit on a timeline with distinct start and stop dates that do not overlap any other forms, except in the case of a subsequent </w:t>
      </w:r>
      <w:r w:rsidR="00AF4E5A">
        <w:rPr>
          <w:rFonts w:ascii="Arial" w:hAnsi="Arial" w:cs="Arial"/>
        </w:rPr>
        <w:t>HCT</w:t>
      </w:r>
      <w:r>
        <w:rPr>
          <w:rFonts w:ascii="Arial" w:hAnsi="Arial" w:cs="Arial"/>
        </w:rPr>
        <w:t xml:space="preserve">. </w:t>
      </w:r>
      <w:r w:rsidR="00F91ED8">
        <w:rPr>
          <w:rFonts w:ascii="Arial" w:hAnsi="Arial" w:cs="Arial"/>
        </w:rPr>
        <w:t xml:space="preserve"> </w:t>
      </w:r>
      <w:r w:rsidRPr="00254B7C">
        <w:rPr>
          <w:rFonts w:ascii="Arial" w:hAnsi="Arial" w:cs="Arial"/>
        </w:rPr>
        <w:t xml:space="preserve">The </w:t>
      </w:r>
      <w:r>
        <w:rPr>
          <w:rFonts w:ascii="Arial" w:hAnsi="Arial" w:cs="Arial"/>
        </w:rPr>
        <w:t xml:space="preserve">Post-TED </w:t>
      </w:r>
      <w:proofErr w:type="gramStart"/>
      <w:r w:rsidRPr="00254B7C">
        <w:rPr>
          <w:rFonts w:ascii="Arial" w:hAnsi="Arial" w:cs="Arial"/>
        </w:rPr>
        <w:t>is considered</w:t>
      </w:r>
      <w:proofErr w:type="gramEnd"/>
      <w:r w:rsidRPr="00254B7C">
        <w:rPr>
          <w:rFonts w:ascii="Arial" w:hAnsi="Arial" w:cs="Arial"/>
        </w:rPr>
        <w:t xml:space="preserve"> past due 120 days </w:t>
      </w:r>
      <w:r>
        <w:rPr>
          <w:rFonts w:ascii="Arial" w:hAnsi="Arial" w:cs="Arial"/>
        </w:rPr>
        <w:t>after</w:t>
      </w:r>
      <w:r w:rsidRPr="00254B7C">
        <w:rPr>
          <w:rFonts w:ascii="Arial" w:hAnsi="Arial" w:cs="Arial"/>
        </w:rPr>
        <w:t xml:space="preserve"> each of these time points.</w:t>
      </w:r>
      <w:r>
        <w:rPr>
          <w:rFonts w:ascii="Arial" w:hAnsi="Arial" w:cs="Arial"/>
        </w:rPr>
        <w:t xml:space="preserve"> </w:t>
      </w:r>
    </w:p>
    <w:p w14:paraId="5A2068A6" w14:textId="77777777" w:rsidR="00F84477" w:rsidRDefault="00F84477" w:rsidP="00906D61">
      <w:pPr>
        <w:rPr>
          <w:rFonts w:ascii="Arial" w:hAnsi="Arial" w:cs="Arial"/>
        </w:rPr>
      </w:pPr>
      <w:r>
        <w:rPr>
          <w:rFonts w:ascii="Arial" w:hAnsi="Arial" w:cs="Arial"/>
          <w:noProof/>
        </w:rPr>
        <mc:AlternateContent>
          <mc:Choice Requires="wps">
            <w:drawing>
              <wp:anchor distT="0" distB="0" distL="114300" distR="114300" simplePos="0" relativeHeight="251662336" behindDoc="0" locked="0" layoutInCell="1" allowOverlap="1" wp14:anchorId="572FFA3E" wp14:editId="66A00366">
                <wp:simplePos x="0" y="0"/>
                <wp:positionH relativeFrom="margin">
                  <wp:align>right</wp:align>
                </wp:positionH>
                <wp:positionV relativeFrom="paragraph">
                  <wp:posOffset>139065</wp:posOffset>
                </wp:positionV>
                <wp:extent cx="5943600" cy="819150"/>
                <wp:effectExtent l="0" t="0" r="0" b="0"/>
                <wp:wrapNone/>
                <wp:docPr id="43" name="Text Box 43"/>
                <wp:cNvGraphicFramePr/>
                <a:graphic xmlns:a="http://schemas.openxmlformats.org/drawingml/2006/main">
                  <a:graphicData uri="http://schemas.microsoft.com/office/word/2010/wordprocessingShape">
                    <wps:wsp>
                      <wps:cNvSpPr txBox="1"/>
                      <wps:spPr>
                        <a:xfrm>
                          <a:off x="0" y="0"/>
                          <a:ext cx="5943600" cy="819150"/>
                        </a:xfrm>
                        <a:prstGeom prst="rect">
                          <a:avLst/>
                        </a:prstGeom>
                        <a:solidFill>
                          <a:schemeClr val="accent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C1724E6" w14:textId="77777777" w:rsidR="00632864" w:rsidRPr="009829F8" w:rsidRDefault="00632864" w:rsidP="00F84477">
                            <w:pPr>
                              <w:shd w:val="clear" w:color="auto" w:fill="63A70A" w:themeFill="accent2"/>
                              <w:jc w:val="center"/>
                              <w:rPr>
                                <w:rFonts w:ascii="Arial" w:hAnsi="Arial" w:cs="Arial"/>
                                <w:b/>
                                <w:color w:val="FFFFFF" w:themeColor="background1"/>
                              </w:rPr>
                            </w:pPr>
                            <w:r w:rsidRPr="009829F8">
                              <w:rPr>
                                <w:rFonts w:ascii="Arial" w:hAnsi="Arial" w:cs="Arial"/>
                                <w:b/>
                                <w:color w:val="FFFFFF" w:themeColor="background1"/>
                              </w:rPr>
                              <w:t>NOTE:</w:t>
                            </w:r>
                          </w:p>
                          <w:p w14:paraId="3EEF5B81" w14:textId="5E7A5054" w:rsidR="00632864" w:rsidRPr="00AF4E5A" w:rsidRDefault="00632864" w:rsidP="00AF4E5A">
                            <w:pPr>
                              <w:shd w:val="clear" w:color="auto" w:fill="63A70A" w:themeFill="accent2"/>
                              <w:rPr>
                                <w:rFonts w:ascii="Arial" w:hAnsi="Arial" w:cs="Arial"/>
                                <w:color w:val="FFFFFF" w:themeColor="background1"/>
                              </w:rPr>
                            </w:pPr>
                            <w:r w:rsidRPr="009829F8">
                              <w:rPr>
                                <w:rFonts w:ascii="Arial" w:hAnsi="Arial" w:cs="Arial"/>
                                <w:color w:val="FFFFFF" w:themeColor="background1"/>
                              </w:rPr>
                              <w:t xml:space="preserve">If the Post-TED form is being completed for a </w:t>
                            </w:r>
                            <w:r>
                              <w:rPr>
                                <w:rFonts w:ascii="Arial" w:hAnsi="Arial" w:cs="Arial"/>
                                <w:color w:val="FFFFFF" w:themeColor="background1"/>
                              </w:rPr>
                              <w:t>6</w:t>
                            </w:r>
                            <w:r w:rsidRPr="009829F8">
                              <w:rPr>
                                <w:rFonts w:ascii="Arial" w:hAnsi="Arial" w:cs="Arial"/>
                                <w:color w:val="FFFFFF" w:themeColor="background1"/>
                              </w:rPr>
                              <w:t xml:space="preserve">-month or annual evaluation, the answers to all questions should reflect the clinical status of the recipient </w:t>
                            </w:r>
                            <w:r w:rsidRPr="009829F8">
                              <w:rPr>
                                <w:rFonts w:ascii="Arial" w:hAnsi="Arial" w:cs="Arial"/>
                                <w:b/>
                                <w:color w:val="FFFFFF" w:themeColor="background1"/>
                              </w:rPr>
                              <w:t>since the last report</w:t>
                            </w:r>
                            <w:r>
                              <w:rPr>
                                <w:rFonts w:ascii="Arial" w:hAnsi="Arial" w:cs="Arial"/>
                                <w:color w:val="FFFFFF" w:themeColor="background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3" o:spid="_x0000_s1026" type="#_x0000_t202" style="position:absolute;margin-left:416.8pt;margin-top:10.95pt;width:468pt;height:64.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" fillcolor="#63a70a [3205]" stroked="f" strokeweight=".5pt">
                <v:textbox>
                  <w:txbxContent>
                    <w:p w14:paraId="1C1724E6" w14:textId="77777777" w:rsidR="00632864" w:rsidRPr="009829F8" w:rsidRDefault="00632864" w:rsidP="00F84477">
                      <w:pPr>
                        <w:shd w:val="clear" w:color="auto" w:fill="63A70A" w:themeFill="accent2"/>
                        <w:jc w:val="center"/>
                        <w:rPr>
                          <w:rFonts w:ascii="Arial" w:hAnsi="Arial" w:cs="Arial"/>
                          <w:b/>
                          <w:color w:val="FFFFFF" w:themeColor="background1"/>
                        </w:rPr>
                      </w:pPr>
                      <w:r w:rsidRPr="009829F8">
                        <w:rPr>
                          <w:rFonts w:ascii="Arial" w:hAnsi="Arial" w:cs="Arial"/>
                          <w:b/>
                          <w:color w:val="FFFFFF" w:themeColor="background1"/>
                        </w:rPr>
                        <w:t>NOTE:</w:t>
                      </w:r>
                    </w:p>
                    <w:p w14:paraId="3EEF5B81" w14:textId="5E7A5054" w:rsidR="00632864" w:rsidRPr="00AF4E5A" w:rsidRDefault="00632864" w:rsidP="00AF4E5A">
                      <w:pPr>
                        <w:shd w:val="clear" w:color="auto" w:fill="63A70A" w:themeFill="accent2"/>
                        <w:rPr>
                          <w:rFonts w:ascii="Arial" w:hAnsi="Arial" w:cs="Arial"/>
                          <w:color w:val="FFFFFF" w:themeColor="background1"/>
                        </w:rPr>
                      </w:pPr>
                      <w:r w:rsidRPr="009829F8">
                        <w:rPr>
                          <w:rFonts w:ascii="Arial" w:hAnsi="Arial" w:cs="Arial"/>
                          <w:color w:val="FFFFFF" w:themeColor="background1"/>
                        </w:rPr>
                        <w:t xml:space="preserve">If the Post-TED form is being completed for a </w:t>
                      </w:r>
                      <w:r>
                        <w:rPr>
                          <w:rFonts w:ascii="Arial" w:hAnsi="Arial" w:cs="Arial"/>
                          <w:color w:val="FFFFFF" w:themeColor="background1"/>
                        </w:rPr>
                        <w:t>6</w:t>
                      </w:r>
                      <w:r w:rsidRPr="009829F8">
                        <w:rPr>
                          <w:rFonts w:ascii="Arial" w:hAnsi="Arial" w:cs="Arial"/>
                          <w:color w:val="FFFFFF" w:themeColor="background1"/>
                        </w:rPr>
                        <w:t xml:space="preserve">-month or annual evaluation, the answers to all questions should reflect the clinical status of the recipient </w:t>
                      </w:r>
                      <w:r w:rsidRPr="009829F8">
                        <w:rPr>
                          <w:rFonts w:ascii="Arial" w:hAnsi="Arial" w:cs="Arial"/>
                          <w:b/>
                          <w:color w:val="FFFFFF" w:themeColor="background1"/>
                        </w:rPr>
                        <w:t>since the last report</w:t>
                      </w:r>
                      <w:r>
                        <w:rPr>
                          <w:rFonts w:ascii="Arial" w:hAnsi="Arial" w:cs="Arial"/>
                          <w:color w:val="FFFFFF" w:themeColor="background1"/>
                        </w:rPr>
                        <w:t xml:space="preserve">. </w:t>
                      </w:r>
                    </w:p>
                  </w:txbxContent>
                </v:textbox>
                <w10:wrap anchorx="margin"/>
              </v:shape>
            </w:pict>
          </mc:Fallback>
        </mc:AlternateContent>
      </w:r>
    </w:p>
    <w:p w14:paraId="285B825F" w14:textId="77777777" w:rsidR="00F84477" w:rsidRDefault="00F84477" w:rsidP="00906D61">
      <w:pPr>
        <w:rPr>
          <w:rFonts w:ascii="Arial" w:hAnsi="Arial" w:cs="Arial"/>
        </w:rPr>
      </w:pPr>
    </w:p>
    <w:p w14:paraId="59A536B9" w14:textId="77777777" w:rsidR="00F84477" w:rsidRDefault="00F84477" w:rsidP="00906D61">
      <w:pPr>
        <w:rPr>
          <w:rFonts w:ascii="Arial" w:hAnsi="Arial" w:cs="Arial"/>
        </w:rPr>
      </w:pPr>
    </w:p>
    <w:p w14:paraId="32314A99" w14:textId="77777777" w:rsidR="00F84477" w:rsidRDefault="00F84477" w:rsidP="00906D61">
      <w:pPr>
        <w:rPr>
          <w:rFonts w:ascii="Arial" w:hAnsi="Arial" w:cs="Arial"/>
        </w:rPr>
      </w:pPr>
    </w:p>
    <w:p w14:paraId="28079EEF" w14:textId="77777777" w:rsidR="00F84477" w:rsidRDefault="00F84477" w:rsidP="00906D61">
      <w:pPr>
        <w:rPr>
          <w:rFonts w:ascii="Arial" w:hAnsi="Arial" w:cs="Arial"/>
        </w:rPr>
      </w:pPr>
    </w:p>
    <w:p w14:paraId="4768F803" w14:textId="77777777" w:rsidR="00F84477" w:rsidRDefault="00F84477" w:rsidP="00906D61">
      <w:pPr>
        <w:rPr>
          <w:rFonts w:ascii="Arial" w:hAnsi="Arial" w:cs="Arial"/>
        </w:rPr>
      </w:pPr>
    </w:p>
    <w:p w14:paraId="20FF65FB" w14:textId="77777777" w:rsidR="00F84477" w:rsidRDefault="00F84477" w:rsidP="00906D61">
      <w:pPr>
        <w:rPr>
          <w:rFonts w:ascii="Arial" w:hAnsi="Arial" w:cs="Arial"/>
        </w:rPr>
      </w:pPr>
    </w:p>
    <w:p w14:paraId="00F80E54" w14:textId="77777777" w:rsidR="00F84477" w:rsidRDefault="00F84477" w:rsidP="00906D61">
      <w:pPr>
        <w:rPr>
          <w:rFonts w:ascii="Arial" w:hAnsi="Arial" w:cs="Arial"/>
        </w:rPr>
      </w:pPr>
    </w:p>
    <w:p w14:paraId="474A4C36" w14:textId="77777777" w:rsidR="00F84477" w:rsidRDefault="00F84477" w:rsidP="00906D61">
      <w:pPr>
        <w:rPr>
          <w:rFonts w:ascii="Arial" w:hAnsi="Arial" w:cs="Arial"/>
        </w:rPr>
      </w:pPr>
    </w:p>
    <w:p w14:paraId="085A8718" w14:textId="77777777" w:rsidR="00F84477" w:rsidRDefault="00F84477" w:rsidP="00906D61">
      <w:pPr>
        <w:rPr>
          <w:rFonts w:ascii="Arial" w:hAnsi="Arial" w:cs="Arial"/>
        </w:rPr>
      </w:pPr>
    </w:p>
    <w:p w14:paraId="13FD49A3" w14:textId="77777777" w:rsidR="00F84477" w:rsidRDefault="00F84477" w:rsidP="00906D61">
      <w:pPr>
        <w:rPr>
          <w:rFonts w:ascii="Arial" w:hAnsi="Arial" w:cs="Arial"/>
        </w:rPr>
      </w:pPr>
    </w:p>
    <w:p w14:paraId="76FEA23E" w14:textId="77777777" w:rsidR="00F84477" w:rsidRDefault="00F84477" w:rsidP="00906D61">
      <w:pPr>
        <w:rPr>
          <w:rFonts w:ascii="Arial" w:hAnsi="Arial" w:cs="Arial"/>
        </w:rPr>
      </w:pPr>
    </w:p>
    <w:p w14:paraId="21A30EEC" w14:textId="77777777" w:rsidR="00906D61" w:rsidRDefault="00906D61" w:rsidP="00906D61">
      <w:pPr>
        <w:rPr>
          <w:rFonts w:ascii="Arial" w:hAnsi="Arial" w:cs="Arial"/>
        </w:rPr>
      </w:pPr>
    </w:p>
    <w:p w14:paraId="07804AE1" w14:textId="77777777" w:rsidR="00906D61" w:rsidRPr="00F84477" w:rsidRDefault="007A0454" w:rsidP="00F84477">
      <w:pPr>
        <w:spacing w:after="200" w:line="276" w:lineRule="auto"/>
        <w:rPr>
          <w:rFonts w:ascii="Arial" w:hAnsi="Arial" w:cs="Arial"/>
        </w:rPr>
      </w:pPr>
      <w:r>
        <w:rPr>
          <w:rFonts w:ascii="Arial" w:hAnsi="Arial" w:cs="Arial"/>
        </w:rPr>
        <w:br w:type="page"/>
      </w:r>
      <w:r w:rsidR="00906D61">
        <w:rPr>
          <w:rFonts w:ascii="Arial" w:hAnsi="Arial" w:cs="Arial"/>
          <w:b/>
        </w:rPr>
        <w:lastRenderedPageBreak/>
        <w:t xml:space="preserve">Subsequent </w:t>
      </w:r>
      <w:r w:rsidR="00AF4E5A">
        <w:rPr>
          <w:rFonts w:ascii="Arial" w:hAnsi="Arial" w:cs="Arial"/>
          <w:b/>
        </w:rPr>
        <w:t>HCT</w:t>
      </w:r>
      <w:r w:rsidR="00906D61">
        <w:rPr>
          <w:rFonts w:ascii="Arial" w:hAnsi="Arial" w:cs="Arial"/>
          <w:b/>
        </w:rPr>
        <w:t>:</w:t>
      </w:r>
    </w:p>
    <w:p w14:paraId="5FC556BA" w14:textId="7CEC5C66" w:rsidR="00906D61" w:rsidRDefault="00906D61" w:rsidP="00906D61">
      <w:pPr>
        <w:rPr>
          <w:rFonts w:ascii="Arial" w:hAnsi="Arial" w:cs="Arial"/>
        </w:rPr>
      </w:pPr>
      <w:r w:rsidRPr="002C2489">
        <w:rPr>
          <w:rFonts w:ascii="Arial" w:hAnsi="Arial" w:cs="Arial"/>
        </w:rPr>
        <w:t xml:space="preserve">If a recipient receives a subsequent </w:t>
      </w:r>
      <w:r w:rsidR="00AF4E5A">
        <w:rPr>
          <w:rFonts w:ascii="Arial" w:hAnsi="Arial" w:cs="Arial"/>
        </w:rPr>
        <w:t>HCT</w:t>
      </w:r>
      <w:r w:rsidRPr="002C2489">
        <w:rPr>
          <w:rFonts w:ascii="Arial" w:hAnsi="Arial" w:cs="Arial"/>
        </w:rPr>
        <w:t xml:space="preserve"> between Post-TED time points (100 day, </w:t>
      </w:r>
      <w:r w:rsidR="00197865">
        <w:rPr>
          <w:rFonts w:ascii="Arial" w:hAnsi="Arial" w:cs="Arial"/>
        </w:rPr>
        <w:t>6</w:t>
      </w:r>
      <w:r>
        <w:rPr>
          <w:rFonts w:ascii="Arial" w:hAnsi="Arial" w:cs="Arial"/>
        </w:rPr>
        <w:t xml:space="preserve"> months, annually), the TED f</w:t>
      </w:r>
      <w:r w:rsidRPr="002C2489">
        <w:rPr>
          <w:rFonts w:ascii="Arial" w:hAnsi="Arial" w:cs="Arial"/>
        </w:rPr>
        <w:t xml:space="preserve">orm sequence will start </w:t>
      </w:r>
      <w:r>
        <w:rPr>
          <w:rFonts w:ascii="Arial" w:hAnsi="Arial" w:cs="Arial"/>
        </w:rPr>
        <w:t xml:space="preserve">over again </w:t>
      </w:r>
      <w:r w:rsidRPr="002C2489">
        <w:rPr>
          <w:rFonts w:ascii="Arial" w:hAnsi="Arial" w:cs="Arial"/>
        </w:rPr>
        <w:t>with another Pre-TED.</w:t>
      </w:r>
    </w:p>
    <w:p w14:paraId="309D183B" w14:textId="77777777" w:rsidR="00906D61" w:rsidRDefault="00906D61" w:rsidP="00906D61">
      <w:pPr>
        <w:rPr>
          <w:rFonts w:ascii="Arial" w:hAnsi="Arial" w:cs="Arial"/>
        </w:rPr>
      </w:pPr>
    </w:p>
    <w:p w14:paraId="15B7502D" w14:textId="7E30A4F6" w:rsidR="00906D61" w:rsidRDefault="00906D61" w:rsidP="00906D61">
      <w:pPr>
        <w:rPr>
          <w:rFonts w:ascii="Arial" w:hAnsi="Arial" w:cs="Arial"/>
        </w:rPr>
      </w:pPr>
      <w:r>
        <w:rPr>
          <w:rFonts w:ascii="Arial" w:hAnsi="Arial" w:cs="Arial"/>
        </w:rPr>
        <w:t>However, if the recipient receives an</w:t>
      </w:r>
      <w:r w:rsidRPr="002C2489">
        <w:rPr>
          <w:rFonts w:ascii="Arial" w:hAnsi="Arial" w:cs="Arial"/>
        </w:rPr>
        <w:t xml:space="preserve"> autologous </w:t>
      </w:r>
      <w:r w:rsidR="00AF4E5A">
        <w:rPr>
          <w:rFonts w:ascii="Arial" w:hAnsi="Arial" w:cs="Arial"/>
        </w:rPr>
        <w:t>HCT</w:t>
      </w:r>
      <w:r w:rsidRPr="002C2489">
        <w:rPr>
          <w:rFonts w:ascii="Arial" w:hAnsi="Arial" w:cs="Arial"/>
        </w:rPr>
        <w:t xml:space="preserve"> </w:t>
      </w:r>
      <w:proofErr w:type="gramStart"/>
      <w:r w:rsidRPr="002C2489">
        <w:rPr>
          <w:rFonts w:ascii="Arial" w:hAnsi="Arial" w:cs="Arial"/>
        </w:rPr>
        <w:t>as a result</w:t>
      </w:r>
      <w:proofErr w:type="gramEnd"/>
      <w:r w:rsidRPr="002C2489">
        <w:rPr>
          <w:rFonts w:ascii="Arial" w:hAnsi="Arial" w:cs="Arial"/>
        </w:rPr>
        <w:t xml:space="preserve"> of</w:t>
      </w:r>
      <w:r>
        <w:rPr>
          <w:rFonts w:ascii="Arial" w:hAnsi="Arial" w:cs="Arial"/>
        </w:rPr>
        <w:t xml:space="preserve"> a poor graft or graft failure, the TED form sequence </w:t>
      </w:r>
      <w:r w:rsidRPr="00266585">
        <w:rPr>
          <w:rFonts w:ascii="Arial" w:hAnsi="Arial" w:cs="Arial"/>
          <w:b/>
        </w:rPr>
        <w:t>will not</w:t>
      </w:r>
      <w:r>
        <w:rPr>
          <w:rFonts w:ascii="Arial" w:hAnsi="Arial" w:cs="Arial"/>
        </w:rPr>
        <w:t xml:space="preserve"> start over again. </w:t>
      </w:r>
      <w:r w:rsidR="00F91ED8">
        <w:rPr>
          <w:rFonts w:ascii="Arial" w:hAnsi="Arial" w:cs="Arial"/>
        </w:rPr>
        <w:t xml:space="preserve"> </w:t>
      </w:r>
      <w:proofErr w:type="gramStart"/>
      <w:r>
        <w:rPr>
          <w:rFonts w:ascii="Arial" w:hAnsi="Arial" w:cs="Arial"/>
        </w:rPr>
        <w:t>Generally</w:t>
      </w:r>
      <w:proofErr w:type="gramEnd"/>
      <w:r>
        <w:rPr>
          <w:rFonts w:ascii="Arial" w:hAnsi="Arial" w:cs="Arial"/>
        </w:rPr>
        <w:t xml:space="preserve"> this </w:t>
      </w:r>
      <w:r w:rsidRPr="002C2489">
        <w:rPr>
          <w:rFonts w:ascii="Arial" w:hAnsi="Arial" w:cs="Arial"/>
        </w:rPr>
        <w:t>t</w:t>
      </w:r>
      <w:r>
        <w:rPr>
          <w:rFonts w:ascii="Arial" w:hAnsi="Arial" w:cs="Arial"/>
        </w:rPr>
        <w:t xml:space="preserve">ype of </w:t>
      </w:r>
      <w:r w:rsidRPr="002C2489">
        <w:rPr>
          <w:rFonts w:ascii="Arial" w:hAnsi="Arial" w:cs="Arial"/>
        </w:rPr>
        <w:t xml:space="preserve">infusion </w:t>
      </w:r>
      <w:r>
        <w:rPr>
          <w:rFonts w:ascii="Arial" w:hAnsi="Arial" w:cs="Arial"/>
        </w:rPr>
        <w:t xml:space="preserve">(autologous rescue) </w:t>
      </w:r>
      <w:r w:rsidRPr="002C2489">
        <w:rPr>
          <w:rFonts w:ascii="Arial" w:hAnsi="Arial" w:cs="Arial"/>
        </w:rPr>
        <w:t xml:space="preserve">is </w:t>
      </w:r>
      <w:r>
        <w:rPr>
          <w:rFonts w:ascii="Arial" w:hAnsi="Arial" w:cs="Arial"/>
        </w:rPr>
        <w:t>used</w:t>
      </w:r>
      <w:r w:rsidRPr="002C2489">
        <w:rPr>
          <w:rFonts w:ascii="Arial" w:hAnsi="Arial" w:cs="Arial"/>
        </w:rPr>
        <w:t xml:space="preserve"> </w:t>
      </w:r>
      <w:r>
        <w:rPr>
          <w:rFonts w:ascii="Arial" w:hAnsi="Arial" w:cs="Arial"/>
        </w:rPr>
        <w:t xml:space="preserve">to </w:t>
      </w:r>
      <w:r w:rsidRPr="002C2489">
        <w:rPr>
          <w:rFonts w:ascii="Arial" w:hAnsi="Arial" w:cs="Arial"/>
        </w:rPr>
        <w:t>treat the recipient’s poor graft response, rather than to treat the recipient’s disease</w:t>
      </w:r>
      <w:r>
        <w:rPr>
          <w:rFonts w:ascii="Arial" w:hAnsi="Arial" w:cs="Arial"/>
        </w:rPr>
        <w:t>, and is</w:t>
      </w:r>
      <w:r w:rsidR="00197865">
        <w:rPr>
          <w:rFonts w:ascii="Arial" w:hAnsi="Arial" w:cs="Arial"/>
        </w:rPr>
        <w:t>,</w:t>
      </w:r>
      <w:r>
        <w:rPr>
          <w:rFonts w:ascii="Arial" w:hAnsi="Arial" w:cs="Arial"/>
        </w:rPr>
        <w:t xml:space="preserve"> therefore</w:t>
      </w:r>
      <w:r w:rsidR="00197865">
        <w:rPr>
          <w:rFonts w:ascii="Arial" w:hAnsi="Arial" w:cs="Arial"/>
        </w:rPr>
        <w:t>,</w:t>
      </w:r>
      <w:r>
        <w:rPr>
          <w:rFonts w:ascii="Arial" w:hAnsi="Arial" w:cs="Arial"/>
        </w:rPr>
        <w:t xml:space="preserve"> not considered a subsequent </w:t>
      </w:r>
      <w:r w:rsidR="00AF4E5A">
        <w:rPr>
          <w:rFonts w:ascii="Arial" w:hAnsi="Arial" w:cs="Arial"/>
        </w:rPr>
        <w:t>HCT</w:t>
      </w:r>
      <w:r>
        <w:rPr>
          <w:rFonts w:ascii="Arial" w:hAnsi="Arial" w:cs="Arial"/>
        </w:rPr>
        <w:t>.</w:t>
      </w:r>
    </w:p>
    <w:p w14:paraId="348B7F6D" w14:textId="77777777" w:rsidR="00906D61" w:rsidRDefault="00906D61" w:rsidP="00906D61">
      <w:pPr>
        <w:rPr>
          <w:rFonts w:ascii="Arial" w:hAnsi="Arial" w:cs="Arial"/>
        </w:rPr>
      </w:pPr>
    </w:p>
    <w:p w14:paraId="66A45176" w14:textId="77777777" w:rsidR="00544826" w:rsidRPr="00C91961" w:rsidRDefault="00544826" w:rsidP="00544826">
      <w:pPr>
        <w:rPr>
          <w:rFonts w:ascii="Arial" w:hAnsi="Arial" w:cs="Arial"/>
        </w:rPr>
      </w:pPr>
      <w:r w:rsidRPr="00C91961">
        <w:rPr>
          <w:rFonts w:ascii="Arial" w:hAnsi="Arial" w:cs="Arial"/>
        </w:rPr>
        <w:t>Contact your center’s CIBMTR CRC if the subsequent Pre-TED does not come due automatically.</w:t>
      </w:r>
    </w:p>
    <w:p w14:paraId="48D6060A" w14:textId="77777777" w:rsidR="00AF4E5A" w:rsidRDefault="00AF4E5A" w:rsidP="00906D61">
      <w:pPr>
        <w:rPr>
          <w:rFonts w:ascii="Arial" w:hAnsi="Arial" w:cs="Arial"/>
        </w:rPr>
      </w:pPr>
      <w:r>
        <w:rPr>
          <w:rFonts w:ascii="Arial" w:hAnsi="Arial" w:cs="Arial"/>
          <w:noProof/>
        </w:rPr>
        <mc:AlternateContent>
          <mc:Choice Requires="wps">
            <w:drawing>
              <wp:anchor distT="0" distB="0" distL="114300" distR="114300" simplePos="0" relativeHeight="251697152" behindDoc="1" locked="0" layoutInCell="1" allowOverlap="1" wp14:anchorId="578539BB" wp14:editId="2D04A39C">
                <wp:simplePos x="0" y="0"/>
                <wp:positionH relativeFrom="margin">
                  <wp:align>right</wp:align>
                </wp:positionH>
                <wp:positionV relativeFrom="paragraph">
                  <wp:posOffset>176530</wp:posOffset>
                </wp:positionV>
                <wp:extent cx="5943600" cy="1190625"/>
                <wp:effectExtent l="0" t="0" r="0" b="9525"/>
                <wp:wrapTight wrapText="bothSides">
                  <wp:wrapPolygon edited="0">
                    <wp:start x="0" y="0"/>
                    <wp:lineTo x="0" y="21427"/>
                    <wp:lineTo x="21531" y="21427"/>
                    <wp:lineTo x="21531"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5943600" cy="1190625"/>
                        </a:xfrm>
                        <a:prstGeom prst="rect">
                          <a:avLst/>
                        </a:prstGeom>
                        <a:solidFill>
                          <a:schemeClr val="accent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820DB2E" w14:textId="77777777" w:rsidR="00632864" w:rsidRPr="009829F8" w:rsidRDefault="00632864" w:rsidP="00AF4E5A">
                            <w:pPr>
                              <w:shd w:val="clear" w:color="auto" w:fill="63A70A" w:themeFill="accent2"/>
                              <w:jc w:val="center"/>
                              <w:rPr>
                                <w:rFonts w:ascii="Arial" w:hAnsi="Arial" w:cs="Arial"/>
                                <w:b/>
                                <w:color w:val="FFFFFF" w:themeColor="background1"/>
                              </w:rPr>
                            </w:pPr>
                            <w:r w:rsidRPr="009829F8">
                              <w:rPr>
                                <w:rFonts w:ascii="Arial" w:hAnsi="Arial" w:cs="Arial"/>
                                <w:b/>
                                <w:color w:val="FFFFFF" w:themeColor="background1"/>
                              </w:rPr>
                              <w:t>NOTE:</w:t>
                            </w:r>
                          </w:p>
                          <w:p w14:paraId="4F856201" w14:textId="77777777" w:rsidR="00632864" w:rsidRPr="009829F8" w:rsidRDefault="00632864" w:rsidP="00AF4E5A">
                            <w:pPr>
                              <w:shd w:val="clear" w:color="auto" w:fill="63A70A" w:themeFill="accent2"/>
                              <w:rPr>
                                <w:rFonts w:ascii="Arial" w:hAnsi="Arial" w:cs="Arial"/>
                                <w:color w:val="FFFFFF" w:themeColor="background1"/>
                              </w:rPr>
                            </w:pPr>
                            <w:r w:rsidRPr="009829F8">
                              <w:rPr>
                                <w:rFonts w:ascii="Arial" w:hAnsi="Arial" w:cs="Arial"/>
                                <w:color w:val="FFFFFF" w:themeColor="background1"/>
                              </w:rPr>
                              <w:t xml:space="preserve">If the recipient received a subsequent transplant (excluding an autologous rescue), the answers to all questions should reflect the clinical status of the recipient </w:t>
                            </w:r>
                            <w:r w:rsidRPr="009829F8">
                              <w:rPr>
                                <w:rFonts w:ascii="Arial" w:hAnsi="Arial" w:cs="Arial"/>
                                <w:b/>
                                <w:color w:val="FFFFFF" w:themeColor="background1"/>
                              </w:rPr>
                              <w:t>the day prior to the start of the preparative regimen</w:t>
                            </w:r>
                            <w:r w:rsidRPr="009829F8">
                              <w:rPr>
                                <w:rFonts w:ascii="Arial" w:hAnsi="Arial" w:cs="Arial"/>
                                <w:color w:val="FFFFFF" w:themeColor="background1"/>
                              </w:rPr>
                              <w:t xml:space="preserve"> </w:t>
                            </w:r>
                            <w:r w:rsidRPr="009829F8">
                              <w:rPr>
                                <w:rFonts w:ascii="Arial" w:hAnsi="Arial" w:cs="Arial"/>
                                <w:i/>
                                <w:color w:val="FFFFFF" w:themeColor="background1"/>
                              </w:rPr>
                              <w:t>or,</w:t>
                            </w:r>
                            <w:r w:rsidRPr="009829F8">
                              <w:rPr>
                                <w:rFonts w:ascii="Arial" w:hAnsi="Arial" w:cs="Arial"/>
                                <w:color w:val="FFFFFF" w:themeColor="background1"/>
                              </w:rPr>
                              <w:t xml:space="preserve"> if no preparative regimen was given, the answers to all questions should reflect the clinical status of the recipient </w:t>
                            </w:r>
                            <w:r w:rsidRPr="009829F8">
                              <w:rPr>
                                <w:rFonts w:ascii="Arial" w:hAnsi="Arial" w:cs="Arial"/>
                                <w:b/>
                                <w:color w:val="FFFFFF" w:themeColor="background1"/>
                              </w:rPr>
                              <w:t xml:space="preserve">the day prior to </w:t>
                            </w:r>
                            <w:r>
                              <w:rPr>
                                <w:rFonts w:ascii="Arial" w:hAnsi="Arial" w:cs="Arial"/>
                                <w:b/>
                                <w:color w:val="FFFFFF" w:themeColor="background1"/>
                              </w:rPr>
                              <w:t>HCT</w:t>
                            </w:r>
                            <w:r w:rsidRPr="009829F8">
                              <w:rPr>
                                <w:rFonts w:ascii="Arial" w:hAnsi="Arial" w:cs="Arial"/>
                                <w:b/>
                                <w:color w:val="FFFFFF" w:themeColor="background1"/>
                              </w:rPr>
                              <w:t xml:space="preserve"> infusion</w:t>
                            </w:r>
                            <w:r w:rsidRPr="009829F8">
                              <w:rPr>
                                <w:rFonts w:ascii="Arial" w:hAnsi="Arial" w:cs="Arial"/>
                                <w:color w:val="FFFFFF" w:themeColor="background1"/>
                              </w:rPr>
                              <w:t xml:space="preserve">. </w:t>
                            </w:r>
                          </w:p>
                          <w:p w14:paraId="4B0DA897" w14:textId="77777777" w:rsidR="00632864" w:rsidRDefault="00632864" w:rsidP="00AF4E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margin-left:416.8pt;margin-top:13.9pt;width:468pt;height:93.75pt;z-index:-2516193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" fillcolor="#63a70a [3205]" stroked="f" strokeweight=".5pt">
                <v:textbox>
                  <w:txbxContent>
                    <w:p w14:paraId="6820DB2E" w14:textId="77777777" w:rsidR="00632864" w:rsidRPr="009829F8" w:rsidRDefault="00632864" w:rsidP="00AF4E5A">
                      <w:pPr>
                        <w:shd w:val="clear" w:color="auto" w:fill="63A70A" w:themeFill="accent2"/>
                        <w:jc w:val="center"/>
                        <w:rPr>
                          <w:rFonts w:ascii="Arial" w:hAnsi="Arial" w:cs="Arial"/>
                          <w:b/>
                          <w:color w:val="FFFFFF" w:themeColor="background1"/>
                        </w:rPr>
                      </w:pPr>
                      <w:r w:rsidRPr="009829F8">
                        <w:rPr>
                          <w:rFonts w:ascii="Arial" w:hAnsi="Arial" w:cs="Arial"/>
                          <w:b/>
                          <w:color w:val="FFFFFF" w:themeColor="background1"/>
                        </w:rPr>
                        <w:t>NOTE:</w:t>
                      </w:r>
                    </w:p>
                    <w:p w14:paraId="4F856201" w14:textId="77777777" w:rsidR="00632864" w:rsidRPr="009829F8" w:rsidRDefault="00632864" w:rsidP="00AF4E5A">
                      <w:pPr>
                        <w:shd w:val="clear" w:color="auto" w:fill="63A70A" w:themeFill="accent2"/>
                        <w:rPr>
                          <w:rFonts w:ascii="Arial" w:hAnsi="Arial" w:cs="Arial"/>
                          <w:color w:val="FFFFFF" w:themeColor="background1"/>
                        </w:rPr>
                      </w:pPr>
                      <w:r w:rsidRPr="009829F8">
                        <w:rPr>
                          <w:rFonts w:ascii="Arial" w:hAnsi="Arial" w:cs="Arial"/>
                          <w:color w:val="FFFFFF" w:themeColor="background1"/>
                        </w:rPr>
                        <w:t xml:space="preserve">If the recipient received a subsequent transplant (excluding an autologous rescue), the answers to all questions should reflect the clinical status of the recipient </w:t>
                      </w:r>
                      <w:r w:rsidRPr="009829F8">
                        <w:rPr>
                          <w:rFonts w:ascii="Arial" w:hAnsi="Arial" w:cs="Arial"/>
                          <w:b/>
                          <w:color w:val="FFFFFF" w:themeColor="background1"/>
                        </w:rPr>
                        <w:t>the day prior to the start of the preparative regimen</w:t>
                      </w:r>
                      <w:r w:rsidRPr="009829F8">
                        <w:rPr>
                          <w:rFonts w:ascii="Arial" w:hAnsi="Arial" w:cs="Arial"/>
                          <w:color w:val="FFFFFF" w:themeColor="background1"/>
                        </w:rPr>
                        <w:t xml:space="preserve"> </w:t>
                      </w:r>
                      <w:r w:rsidRPr="009829F8">
                        <w:rPr>
                          <w:rFonts w:ascii="Arial" w:hAnsi="Arial" w:cs="Arial"/>
                          <w:i/>
                          <w:color w:val="FFFFFF" w:themeColor="background1"/>
                        </w:rPr>
                        <w:t>or,</w:t>
                      </w:r>
                      <w:r w:rsidRPr="009829F8">
                        <w:rPr>
                          <w:rFonts w:ascii="Arial" w:hAnsi="Arial" w:cs="Arial"/>
                          <w:color w:val="FFFFFF" w:themeColor="background1"/>
                        </w:rPr>
                        <w:t xml:space="preserve"> if no preparative regimen was given, the answers to all questions should reflect the clinical status of the recipient </w:t>
                      </w:r>
                      <w:r w:rsidRPr="009829F8">
                        <w:rPr>
                          <w:rFonts w:ascii="Arial" w:hAnsi="Arial" w:cs="Arial"/>
                          <w:b/>
                          <w:color w:val="FFFFFF" w:themeColor="background1"/>
                        </w:rPr>
                        <w:t xml:space="preserve">the day prior to </w:t>
                      </w:r>
                      <w:r>
                        <w:rPr>
                          <w:rFonts w:ascii="Arial" w:hAnsi="Arial" w:cs="Arial"/>
                          <w:b/>
                          <w:color w:val="FFFFFF" w:themeColor="background1"/>
                        </w:rPr>
                        <w:t>HCT</w:t>
                      </w:r>
                      <w:r w:rsidRPr="009829F8">
                        <w:rPr>
                          <w:rFonts w:ascii="Arial" w:hAnsi="Arial" w:cs="Arial"/>
                          <w:b/>
                          <w:color w:val="FFFFFF" w:themeColor="background1"/>
                        </w:rPr>
                        <w:t xml:space="preserve"> infusion</w:t>
                      </w:r>
                      <w:r w:rsidRPr="009829F8">
                        <w:rPr>
                          <w:rFonts w:ascii="Arial" w:hAnsi="Arial" w:cs="Arial"/>
                          <w:color w:val="FFFFFF" w:themeColor="background1"/>
                        </w:rPr>
                        <w:t xml:space="preserve">. </w:t>
                      </w:r>
                    </w:p>
                    <w:p w14:paraId="4B0DA897" w14:textId="77777777" w:rsidR="00632864" w:rsidRDefault="00632864" w:rsidP="00AF4E5A"/>
                  </w:txbxContent>
                </v:textbox>
                <w10:wrap type="tight" anchorx="margin"/>
              </v:shape>
            </w:pict>
          </mc:Fallback>
        </mc:AlternateContent>
      </w:r>
    </w:p>
    <w:p w14:paraId="55B2963B" w14:textId="77777777" w:rsidR="00AF4E5A" w:rsidRDefault="00AF4E5A" w:rsidP="00906D61">
      <w:pPr>
        <w:rPr>
          <w:rFonts w:ascii="Arial" w:hAnsi="Arial" w:cs="Arial"/>
        </w:rPr>
      </w:pPr>
    </w:p>
    <w:p w14:paraId="3F3A4527" w14:textId="77777777" w:rsidR="006C4C4D" w:rsidRPr="006C4C4D" w:rsidRDefault="006C4C4D" w:rsidP="006C4C4D">
      <w:pPr>
        <w:rPr>
          <w:rFonts w:ascii="Arial" w:hAnsi="Arial" w:cs="Arial"/>
        </w:rPr>
      </w:pPr>
      <w:r w:rsidRPr="006C4C4D">
        <w:rPr>
          <w:rFonts w:ascii="Arial" w:hAnsi="Arial" w:cs="Arial"/>
          <w:b/>
          <w:bCs/>
        </w:rPr>
        <w:t>Lost to Follow</w:t>
      </w:r>
      <w:r w:rsidR="00792EA8">
        <w:rPr>
          <w:rFonts w:ascii="Arial" w:hAnsi="Arial" w:cs="Arial"/>
          <w:b/>
          <w:bCs/>
        </w:rPr>
        <w:t>-</w:t>
      </w:r>
      <w:r w:rsidRPr="006C4C4D">
        <w:rPr>
          <w:rFonts w:ascii="Arial" w:hAnsi="Arial" w:cs="Arial"/>
          <w:b/>
          <w:bCs/>
        </w:rPr>
        <w:t xml:space="preserve">Up: </w:t>
      </w:r>
    </w:p>
    <w:p w14:paraId="397BBC57" w14:textId="355E5BF2" w:rsidR="006C4C4D" w:rsidRDefault="006C4C4D" w:rsidP="006C4C4D">
      <w:pPr>
        <w:rPr>
          <w:rFonts w:ascii="Arial" w:hAnsi="Arial" w:cs="Arial"/>
        </w:rPr>
      </w:pPr>
      <w:r w:rsidRPr="006C4C4D">
        <w:rPr>
          <w:rFonts w:ascii="Arial" w:hAnsi="Arial" w:cs="Arial"/>
        </w:rPr>
        <w:t xml:space="preserve">Occasionally, centers may lose contact with recipients for a variety of reasons, including the recipient’s moving, changing physicians, or death. </w:t>
      </w:r>
      <w:r w:rsidR="00F91ED8">
        <w:rPr>
          <w:rFonts w:ascii="Arial" w:hAnsi="Arial" w:cs="Arial"/>
        </w:rPr>
        <w:t xml:space="preserve"> </w:t>
      </w:r>
      <w:r w:rsidRPr="006C4C4D">
        <w:rPr>
          <w:rFonts w:ascii="Arial" w:hAnsi="Arial" w:cs="Arial"/>
        </w:rPr>
        <w:t>If contact with a recipient appears lost, please consider calling the recipient at home or work, sending a letter, communicating with the treating or referring physician,</w:t>
      </w:r>
      <w:r w:rsidR="009F7874">
        <w:rPr>
          <w:rFonts w:ascii="Arial" w:hAnsi="Arial" w:cs="Arial"/>
        </w:rPr>
        <w:t xml:space="preserve"> or</w:t>
      </w:r>
      <w:r w:rsidRPr="006C4C4D">
        <w:rPr>
          <w:rFonts w:ascii="Arial" w:hAnsi="Arial" w:cs="Arial"/>
        </w:rPr>
        <w:t xml:space="preserve"> contacting the </w:t>
      </w:r>
      <w:proofErr w:type="gramStart"/>
      <w:r w:rsidRPr="006C4C4D">
        <w:rPr>
          <w:rFonts w:ascii="Arial" w:hAnsi="Arial" w:cs="Arial"/>
        </w:rPr>
        <w:t>hospital billing</w:t>
      </w:r>
      <w:proofErr w:type="gramEnd"/>
      <w:r w:rsidRPr="006C4C4D">
        <w:rPr>
          <w:rFonts w:ascii="Arial" w:hAnsi="Arial" w:cs="Arial"/>
        </w:rPr>
        <w:t xml:space="preserve"> department</w:t>
      </w:r>
      <w:r w:rsidR="00F91ED8">
        <w:rPr>
          <w:rFonts w:ascii="Arial" w:hAnsi="Arial" w:cs="Arial"/>
        </w:rPr>
        <w:t xml:space="preserve">.  </w:t>
      </w:r>
      <w:r w:rsidRPr="006C4C4D">
        <w:rPr>
          <w:rFonts w:ascii="Arial" w:hAnsi="Arial" w:cs="Arial"/>
        </w:rPr>
        <w:t xml:space="preserve">If your center receives documented information that a recipient is alive or dead, the form </w:t>
      </w:r>
      <w:proofErr w:type="gramStart"/>
      <w:r w:rsidRPr="006C4C4D">
        <w:rPr>
          <w:rFonts w:ascii="Arial" w:hAnsi="Arial" w:cs="Arial"/>
        </w:rPr>
        <w:t>should be filled out</w:t>
      </w:r>
      <w:proofErr w:type="gramEnd"/>
      <w:r w:rsidRPr="006C4C4D">
        <w:rPr>
          <w:rFonts w:ascii="Arial" w:hAnsi="Arial" w:cs="Arial"/>
        </w:rPr>
        <w:t xml:space="preserve"> with the recipient </w:t>
      </w:r>
      <w:r>
        <w:rPr>
          <w:rFonts w:ascii="Arial" w:hAnsi="Arial" w:cs="Arial"/>
        </w:rPr>
        <w:t>survival</w:t>
      </w:r>
      <w:r w:rsidRPr="006C4C4D">
        <w:rPr>
          <w:rFonts w:ascii="Arial" w:hAnsi="Arial" w:cs="Arial"/>
        </w:rPr>
        <w:t xml:space="preserve"> status</w:t>
      </w:r>
      <w:r w:rsidR="00F91ED8">
        <w:rPr>
          <w:rFonts w:ascii="Arial" w:hAnsi="Arial" w:cs="Arial"/>
        </w:rPr>
        <w:t xml:space="preserve">.  </w:t>
      </w:r>
      <w:r w:rsidR="009F7874" w:rsidRPr="009F7874">
        <w:rPr>
          <w:rFonts w:ascii="Arial" w:hAnsi="Arial" w:cs="Arial"/>
        </w:rPr>
        <w:t xml:space="preserve">If no documentation exists and several unsuccessful attempts </w:t>
      </w:r>
      <w:proofErr w:type="gramStart"/>
      <w:r w:rsidR="009F7874" w:rsidRPr="009F7874">
        <w:rPr>
          <w:rFonts w:ascii="Arial" w:hAnsi="Arial" w:cs="Arial"/>
        </w:rPr>
        <w:t>have been made</w:t>
      </w:r>
      <w:proofErr w:type="gramEnd"/>
      <w:r w:rsidR="009F7874" w:rsidRPr="009F7874">
        <w:rPr>
          <w:rFonts w:ascii="Arial" w:hAnsi="Arial" w:cs="Arial"/>
        </w:rPr>
        <w:t xml:space="preserve"> to contact the recipient, they are considered lost to follow-up and the form may be marked as such using the Lost to Follow-Up Tool in </w:t>
      </w:r>
      <w:proofErr w:type="spellStart"/>
      <w:r w:rsidR="009F7874" w:rsidRPr="009F7874">
        <w:rPr>
          <w:rFonts w:ascii="Arial" w:hAnsi="Arial" w:cs="Arial"/>
        </w:rPr>
        <w:t>FormsNet</w:t>
      </w:r>
      <w:proofErr w:type="spellEnd"/>
      <w:r w:rsidR="009F7874" w:rsidRPr="009F7874">
        <w:rPr>
          <w:rFonts w:ascii="Arial" w:hAnsi="Arial" w:cs="Arial"/>
        </w:rPr>
        <w:t xml:space="preserve"> 3</w:t>
      </w:r>
      <w:r w:rsidR="009F7874">
        <w:rPr>
          <w:rFonts w:ascii="Arial" w:hAnsi="Arial" w:cs="Arial"/>
        </w:rPr>
        <w:t xml:space="preserve"> </w:t>
      </w:r>
      <w:r w:rsidR="009F7874" w:rsidRPr="009F7874">
        <w:rPr>
          <w:rFonts w:ascii="Arial" w:hAnsi="Arial" w:cs="Arial"/>
        </w:rPr>
        <w:t>for each reporting period in which no contact exists</w:t>
      </w:r>
      <w:r w:rsidR="009F7874">
        <w:rPr>
          <w:rFonts w:ascii="Arial" w:hAnsi="Arial" w:cs="Arial"/>
        </w:rPr>
        <w:t>.</w:t>
      </w:r>
    </w:p>
    <w:p w14:paraId="5AF520E8" w14:textId="77777777" w:rsidR="00906D61" w:rsidRPr="001D6150" w:rsidRDefault="00906D61" w:rsidP="00906D61">
      <w:pPr>
        <w:rPr>
          <w:rFonts w:ascii="Arial" w:hAnsi="Arial" w:cs="Arial"/>
        </w:rPr>
      </w:pPr>
    </w:p>
    <w:p w14:paraId="08FC532E" w14:textId="77777777" w:rsidR="00906D61" w:rsidRPr="00CC43BD" w:rsidRDefault="00906D61" w:rsidP="009829F8">
      <w:pPr>
        <w:pStyle w:val="Heading1"/>
      </w:pPr>
      <w:bookmarkStart w:id="0" w:name="_Toc450570830"/>
      <w:r>
        <w:t>Key Fields</w:t>
      </w:r>
      <w:bookmarkEnd w:id="0"/>
    </w:p>
    <w:p w14:paraId="530FB898" w14:textId="77777777" w:rsidR="00906D61" w:rsidRDefault="00906D61" w:rsidP="00906D61">
      <w:pPr>
        <w:rPr>
          <w:rFonts w:ascii="Arial" w:hAnsi="Arial" w:cs="Arial"/>
        </w:rPr>
      </w:pPr>
    </w:p>
    <w:p w14:paraId="1D29717E" w14:textId="77777777" w:rsidR="00F84477" w:rsidRPr="001966A8" w:rsidRDefault="00F84477" w:rsidP="00F84477">
      <w:pPr>
        <w:rPr>
          <w:rFonts w:ascii="Arial" w:hAnsi="Arial" w:cs="Arial"/>
          <w:color w:val="000000"/>
        </w:rPr>
      </w:pPr>
      <w:r w:rsidRPr="001966A8">
        <w:rPr>
          <w:rFonts w:ascii="Arial" w:hAnsi="Arial" w:cs="Arial"/>
          <w:color w:val="000000"/>
        </w:rPr>
        <w:t>Accuracy of the Key Fields is essential for ensuring that:</w:t>
      </w:r>
    </w:p>
    <w:p w14:paraId="59F3B32F" w14:textId="15689137" w:rsidR="00F84477" w:rsidRDefault="00F84477" w:rsidP="00F84477">
      <w:pPr>
        <w:pStyle w:val="ListParagraph"/>
        <w:numPr>
          <w:ilvl w:val="0"/>
          <w:numId w:val="18"/>
        </w:numPr>
        <w:spacing w:before="120"/>
        <w:contextualSpacing w:val="0"/>
        <w:rPr>
          <w:rFonts w:ascii="Arial" w:hAnsi="Arial" w:cs="Arial"/>
          <w:color w:val="000000"/>
        </w:rPr>
      </w:pPr>
      <w:r w:rsidRPr="001966A8">
        <w:rPr>
          <w:rFonts w:ascii="Arial" w:hAnsi="Arial" w:cs="Arial"/>
          <w:color w:val="000000"/>
        </w:rPr>
        <w:t>Data are being reported for the correct recipient</w:t>
      </w:r>
      <w:r w:rsidR="00197865">
        <w:rPr>
          <w:rFonts w:ascii="Arial" w:hAnsi="Arial" w:cs="Arial"/>
          <w:color w:val="000000"/>
        </w:rPr>
        <w:t>;</w:t>
      </w:r>
    </w:p>
    <w:p w14:paraId="752DE5B1" w14:textId="6797B7A1" w:rsidR="00F84477" w:rsidRDefault="00F84477" w:rsidP="00F84477">
      <w:pPr>
        <w:pStyle w:val="ListParagraph"/>
        <w:numPr>
          <w:ilvl w:val="0"/>
          <w:numId w:val="18"/>
        </w:numPr>
        <w:spacing w:before="120"/>
        <w:contextualSpacing w:val="0"/>
        <w:rPr>
          <w:rFonts w:ascii="Arial" w:hAnsi="Arial" w:cs="Arial"/>
          <w:color w:val="000000"/>
        </w:rPr>
      </w:pPr>
      <w:r w:rsidRPr="001966A8">
        <w:rPr>
          <w:rFonts w:ascii="Arial" w:hAnsi="Arial" w:cs="Arial"/>
          <w:color w:val="000000"/>
        </w:rPr>
        <w:t>Outcomes data accurately reflects appropriate transplant type and product for each transplant center</w:t>
      </w:r>
      <w:r w:rsidR="00197865">
        <w:rPr>
          <w:rFonts w:ascii="Arial" w:hAnsi="Arial" w:cs="Arial"/>
          <w:color w:val="000000"/>
        </w:rPr>
        <w:t>; and</w:t>
      </w:r>
    </w:p>
    <w:p w14:paraId="7CD1AC69" w14:textId="426C94B9" w:rsidR="00F84477" w:rsidRPr="001966A8" w:rsidRDefault="00F84477" w:rsidP="00F84477">
      <w:pPr>
        <w:pStyle w:val="ListParagraph"/>
        <w:numPr>
          <w:ilvl w:val="0"/>
          <w:numId w:val="18"/>
        </w:numPr>
        <w:spacing w:before="120"/>
        <w:contextualSpacing w:val="0"/>
        <w:rPr>
          <w:rFonts w:ascii="Arial" w:hAnsi="Arial" w:cs="Arial"/>
          <w:color w:val="000000"/>
        </w:rPr>
      </w:pPr>
      <w:r w:rsidRPr="001966A8">
        <w:rPr>
          <w:rFonts w:ascii="Arial" w:hAnsi="Arial" w:cs="Arial"/>
          <w:color w:val="000000"/>
        </w:rPr>
        <w:t>Data are being shared with the correct donor center, cord blood bank, cooperative registry, or other agenc</w:t>
      </w:r>
      <w:r w:rsidR="00197865">
        <w:rPr>
          <w:rFonts w:ascii="Arial" w:hAnsi="Arial" w:cs="Arial"/>
          <w:color w:val="000000"/>
        </w:rPr>
        <w:t>ies</w:t>
      </w:r>
      <w:r w:rsidRPr="001966A8">
        <w:rPr>
          <w:rFonts w:ascii="Arial" w:hAnsi="Arial" w:cs="Arial"/>
          <w:color w:val="000000"/>
        </w:rPr>
        <w:t>.</w:t>
      </w:r>
    </w:p>
    <w:p w14:paraId="12D034C1" w14:textId="77777777" w:rsidR="00F84477" w:rsidRPr="001966A8" w:rsidRDefault="00F84477" w:rsidP="00F84477">
      <w:pPr>
        <w:rPr>
          <w:rFonts w:ascii="Arial" w:hAnsi="Arial" w:cs="Arial"/>
          <w:color w:val="000000"/>
        </w:rPr>
      </w:pPr>
      <w:r w:rsidRPr="001966A8">
        <w:rPr>
          <w:rFonts w:ascii="Arial" w:hAnsi="Arial" w:cs="Arial"/>
          <w:color w:val="000000"/>
        </w:rPr>
        <w:t> </w:t>
      </w:r>
    </w:p>
    <w:p w14:paraId="58848649" w14:textId="085FB443" w:rsidR="00F84477" w:rsidRDefault="00F84477" w:rsidP="00906D61">
      <w:pPr>
        <w:rPr>
          <w:rFonts w:ascii="Arial" w:hAnsi="Arial" w:cs="Arial"/>
          <w:color w:val="000000" w:themeColor="text1"/>
        </w:rPr>
      </w:pPr>
      <w:r w:rsidRPr="001966A8">
        <w:rPr>
          <w:rFonts w:ascii="Arial" w:hAnsi="Arial" w:cs="Arial"/>
          <w:color w:val="000000" w:themeColor="text1"/>
        </w:rPr>
        <w:t xml:space="preserve">The Key Fields precede the form body and </w:t>
      </w:r>
      <w:proofErr w:type="gramStart"/>
      <w:r w:rsidRPr="001966A8">
        <w:rPr>
          <w:rFonts w:ascii="Arial" w:hAnsi="Arial" w:cs="Arial"/>
          <w:color w:val="000000" w:themeColor="text1"/>
        </w:rPr>
        <w:t>are automatically populated</w:t>
      </w:r>
      <w:proofErr w:type="gramEnd"/>
      <w:r w:rsidRPr="001966A8">
        <w:rPr>
          <w:rFonts w:ascii="Arial" w:hAnsi="Arial" w:cs="Arial"/>
          <w:color w:val="000000" w:themeColor="text1"/>
        </w:rPr>
        <w:t xml:space="preserve"> in the FormsNet3</w:t>
      </w:r>
      <w:r w:rsidRPr="001966A8">
        <w:rPr>
          <w:rFonts w:ascii="Arial" w:hAnsi="Arial" w:cs="Arial"/>
          <w:color w:val="000000" w:themeColor="text1"/>
          <w:vertAlign w:val="superscript"/>
        </w:rPr>
        <w:t>SM</w:t>
      </w:r>
      <w:r w:rsidRPr="001966A8">
        <w:rPr>
          <w:rFonts w:ascii="Arial" w:hAnsi="Arial" w:cs="Arial"/>
          <w:color w:val="000000" w:themeColor="text1"/>
        </w:rPr>
        <w:t xml:space="preserve"> application based on information provided on the CRID Assignment </w:t>
      </w:r>
      <w:r w:rsidR="00AF4E5A">
        <w:rPr>
          <w:rFonts w:ascii="Arial" w:hAnsi="Arial" w:cs="Arial"/>
          <w:color w:val="000000" w:themeColor="text1"/>
        </w:rPr>
        <w:t xml:space="preserve">(Form </w:t>
      </w:r>
      <w:r w:rsidR="00AF4E5A">
        <w:rPr>
          <w:rFonts w:ascii="Arial" w:hAnsi="Arial" w:cs="Arial"/>
          <w:color w:val="000000" w:themeColor="text1"/>
        </w:rPr>
        <w:lastRenderedPageBreak/>
        <w:t>2804) and Indication for CRID Assignment (Form 2814)</w:t>
      </w:r>
      <w:r w:rsidR="00F91ED8">
        <w:rPr>
          <w:rFonts w:ascii="Arial" w:hAnsi="Arial" w:cs="Arial"/>
          <w:color w:val="000000" w:themeColor="text1"/>
        </w:rPr>
        <w:t xml:space="preserve">.  </w:t>
      </w:r>
      <w:r w:rsidRPr="001966A8">
        <w:rPr>
          <w:rFonts w:ascii="Arial" w:hAnsi="Arial" w:cs="Arial"/>
          <w:color w:val="000000" w:themeColor="text1"/>
        </w:rPr>
        <w:t xml:space="preserve">If errors </w:t>
      </w:r>
      <w:proofErr w:type="gramStart"/>
      <w:r w:rsidRPr="001966A8">
        <w:rPr>
          <w:rFonts w:ascii="Arial" w:hAnsi="Arial" w:cs="Arial"/>
          <w:color w:val="000000" w:themeColor="text1"/>
        </w:rPr>
        <w:t>are noted</w:t>
      </w:r>
      <w:proofErr w:type="gramEnd"/>
      <w:r w:rsidRPr="001966A8">
        <w:rPr>
          <w:rFonts w:ascii="Arial" w:hAnsi="Arial" w:cs="Arial"/>
          <w:color w:val="000000" w:themeColor="text1"/>
        </w:rPr>
        <w:t xml:space="preserve"> in the key fields, </w:t>
      </w:r>
      <w:r w:rsidRPr="001966A8">
        <w:rPr>
          <w:rFonts w:ascii="Arial" w:hAnsi="Arial" w:cs="Arial"/>
          <w:bCs/>
          <w:color w:val="000000" w:themeColor="text1"/>
        </w:rPr>
        <w:t>correct</w:t>
      </w:r>
      <w:r w:rsidR="00AF4E5A">
        <w:rPr>
          <w:rFonts w:ascii="Arial" w:hAnsi="Arial" w:cs="Arial"/>
          <w:bCs/>
          <w:color w:val="000000" w:themeColor="text1"/>
        </w:rPr>
        <w:t xml:space="preserve"> the</w:t>
      </w:r>
      <w:r w:rsidRPr="001966A8">
        <w:rPr>
          <w:rFonts w:ascii="Arial" w:hAnsi="Arial" w:cs="Arial"/>
          <w:bCs/>
          <w:color w:val="000000" w:themeColor="text1"/>
        </w:rPr>
        <w:t xml:space="preserve"> Form 2804</w:t>
      </w:r>
      <w:r w:rsidR="00AF4E5A">
        <w:rPr>
          <w:rFonts w:ascii="Arial" w:hAnsi="Arial" w:cs="Arial"/>
          <w:bCs/>
          <w:color w:val="000000" w:themeColor="text1"/>
        </w:rPr>
        <w:t xml:space="preserve"> and/or Form 2814</w:t>
      </w:r>
      <w:r w:rsidRPr="001966A8">
        <w:rPr>
          <w:rFonts w:ascii="Arial" w:hAnsi="Arial" w:cs="Arial"/>
          <w:bCs/>
          <w:color w:val="000000" w:themeColor="text1"/>
        </w:rPr>
        <w:t xml:space="preserve"> and then </w:t>
      </w:r>
      <w:r w:rsidRPr="001966A8">
        <w:rPr>
          <w:rFonts w:ascii="Arial" w:hAnsi="Arial" w:cs="Arial"/>
          <w:color w:val="000000" w:themeColor="text1"/>
        </w:rPr>
        <w:t xml:space="preserve">review </w:t>
      </w:r>
      <w:r w:rsidRPr="001966A8">
        <w:rPr>
          <w:rFonts w:ascii="Arial" w:hAnsi="Arial" w:cs="Arial"/>
          <w:bCs/>
          <w:color w:val="000000" w:themeColor="text1"/>
        </w:rPr>
        <w:t xml:space="preserve">it </w:t>
      </w:r>
      <w:r w:rsidRPr="001966A8">
        <w:rPr>
          <w:rFonts w:ascii="Arial" w:hAnsi="Arial" w:cs="Arial"/>
          <w:color w:val="000000" w:themeColor="text1"/>
        </w:rPr>
        <w:t>for accuracy</w:t>
      </w:r>
      <w:r w:rsidR="00F91ED8">
        <w:rPr>
          <w:rFonts w:ascii="Arial" w:hAnsi="Arial" w:cs="Arial"/>
          <w:color w:val="000000" w:themeColor="text1"/>
        </w:rPr>
        <w:t xml:space="preserve">.  </w:t>
      </w:r>
      <w:r w:rsidRPr="001966A8">
        <w:rPr>
          <w:rFonts w:ascii="Arial" w:hAnsi="Arial" w:cs="Arial"/>
          <w:bCs/>
          <w:color w:val="000000" w:themeColor="text1"/>
        </w:rPr>
        <w:t>A</w:t>
      </w:r>
      <w:r w:rsidRPr="001966A8">
        <w:rPr>
          <w:rFonts w:ascii="Arial" w:hAnsi="Arial" w:cs="Arial"/>
          <w:color w:val="000000" w:themeColor="text1"/>
        </w:rPr>
        <w:t>fter</w:t>
      </w:r>
      <w:r w:rsidR="00AF4E5A">
        <w:rPr>
          <w:rFonts w:ascii="Arial" w:hAnsi="Arial" w:cs="Arial"/>
          <w:color w:val="000000" w:themeColor="text1"/>
        </w:rPr>
        <w:t xml:space="preserve"> the</w:t>
      </w:r>
      <w:r w:rsidRPr="001966A8">
        <w:rPr>
          <w:rFonts w:ascii="Arial" w:hAnsi="Arial" w:cs="Arial"/>
          <w:color w:val="000000" w:themeColor="text1"/>
        </w:rPr>
        <w:t xml:space="preserve"> Form 2804 </w:t>
      </w:r>
      <w:r w:rsidR="00AF4E5A">
        <w:rPr>
          <w:rFonts w:ascii="Arial" w:hAnsi="Arial" w:cs="Arial"/>
          <w:color w:val="000000" w:themeColor="text1"/>
        </w:rPr>
        <w:t xml:space="preserve">and/or Form 2814 </w:t>
      </w:r>
      <w:proofErr w:type="gramStart"/>
      <w:r w:rsidRPr="001966A8">
        <w:rPr>
          <w:rFonts w:ascii="Arial" w:hAnsi="Arial" w:cs="Arial"/>
          <w:color w:val="000000" w:themeColor="text1"/>
        </w:rPr>
        <w:t>has</w:t>
      </w:r>
      <w:proofErr w:type="gramEnd"/>
      <w:r w:rsidRPr="001966A8">
        <w:rPr>
          <w:rFonts w:ascii="Arial" w:hAnsi="Arial" w:cs="Arial"/>
          <w:color w:val="000000" w:themeColor="text1"/>
        </w:rPr>
        <w:t xml:space="preserve"> been corrected, </w:t>
      </w:r>
      <w:r w:rsidRPr="001966A8">
        <w:rPr>
          <w:rFonts w:ascii="Arial" w:hAnsi="Arial" w:cs="Arial"/>
          <w:bCs/>
          <w:color w:val="000000" w:themeColor="text1"/>
        </w:rPr>
        <w:t xml:space="preserve">verify </w:t>
      </w:r>
      <w:r w:rsidR="00BF736E">
        <w:rPr>
          <w:rFonts w:ascii="Arial" w:hAnsi="Arial" w:cs="Arial"/>
          <w:bCs/>
          <w:color w:val="000000" w:themeColor="text1"/>
        </w:rPr>
        <w:t xml:space="preserve">the </w:t>
      </w:r>
      <w:r w:rsidRPr="001966A8">
        <w:rPr>
          <w:rFonts w:ascii="Arial" w:hAnsi="Arial" w:cs="Arial"/>
          <w:bCs/>
          <w:color w:val="000000" w:themeColor="text1"/>
        </w:rPr>
        <w:t>data has been updated on all completed forms</w:t>
      </w:r>
      <w:r w:rsidR="00F91ED8">
        <w:rPr>
          <w:rFonts w:ascii="Arial" w:hAnsi="Arial" w:cs="Arial"/>
          <w:bCs/>
          <w:color w:val="000000" w:themeColor="text1"/>
        </w:rPr>
        <w:t xml:space="preserve">.  </w:t>
      </w:r>
      <w:r w:rsidRPr="001966A8">
        <w:rPr>
          <w:rFonts w:ascii="Arial" w:hAnsi="Arial" w:cs="Arial"/>
          <w:bCs/>
          <w:color w:val="000000" w:themeColor="text1"/>
        </w:rPr>
        <w:t xml:space="preserve">If the data </w:t>
      </w:r>
      <w:proofErr w:type="gramStart"/>
      <w:r w:rsidRPr="001966A8">
        <w:rPr>
          <w:rFonts w:ascii="Arial" w:hAnsi="Arial" w:cs="Arial"/>
          <w:bCs/>
          <w:color w:val="000000" w:themeColor="text1"/>
        </w:rPr>
        <w:t>has not been updated</w:t>
      </w:r>
      <w:proofErr w:type="gramEnd"/>
      <w:r w:rsidRPr="001966A8">
        <w:rPr>
          <w:rFonts w:ascii="Arial" w:hAnsi="Arial" w:cs="Arial"/>
          <w:bCs/>
          <w:color w:val="000000" w:themeColor="text1"/>
        </w:rPr>
        <w:t xml:space="preserve"> automatically, centers will need to reprocess the completed forms to correct the key field data</w:t>
      </w:r>
      <w:r w:rsidR="00F91ED8">
        <w:rPr>
          <w:rFonts w:ascii="Arial" w:hAnsi="Arial" w:cs="Arial"/>
          <w:color w:val="000000" w:themeColor="text1"/>
        </w:rPr>
        <w:t xml:space="preserve">.  </w:t>
      </w:r>
      <w:r w:rsidRPr="001966A8">
        <w:rPr>
          <w:rFonts w:ascii="Arial" w:hAnsi="Arial" w:cs="Arial"/>
          <w:color w:val="000000" w:themeColor="text1"/>
        </w:rPr>
        <w:t xml:space="preserve">If errors </w:t>
      </w:r>
      <w:proofErr w:type="gramStart"/>
      <w:r w:rsidRPr="001966A8">
        <w:rPr>
          <w:rFonts w:ascii="Arial" w:hAnsi="Arial" w:cs="Arial"/>
          <w:color w:val="000000" w:themeColor="text1"/>
        </w:rPr>
        <w:t>are noted</w:t>
      </w:r>
      <w:proofErr w:type="gramEnd"/>
      <w:r w:rsidRPr="001966A8">
        <w:rPr>
          <w:rFonts w:ascii="Arial" w:hAnsi="Arial" w:cs="Arial"/>
          <w:color w:val="000000" w:themeColor="text1"/>
        </w:rPr>
        <w:t xml:space="preserve"> in key fields for second or subsequent transplants, contact your CRC to make any necessary corrections to the transplant or product type</w:t>
      </w:r>
      <w:r w:rsidR="00F91ED8">
        <w:rPr>
          <w:rFonts w:ascii="Arial" w:hAnsi="Arial" w:cs="Arial"/>
          <w:color w:val="000000" w:themeColor="text1"/>
        </w:rPr>
        <w:t xml:space="preserve">.  </w:t>
      </w:r>
      <w:r w:rsidRPr="001966A8">
        <w:rPr>
          <w:rFonts w:ascii="Arial" w:hAnsi="Arial" w:cs="Arial"/>
          <w:color w:val="000000" w:themeColor="text1"/>
        </w:rPr>
        <w:t>Transplant and product type will not be automatically populated on product or donor specific forms (Forms 2004, 2005, and 2006) and will need to be manually reported.</w:t>
      </w:r>
    </w:p>
    <w:p w14:paraId="1E2DC55E" w14:textId="77777777" w:rsidR="00C530C1" w:rsidRDefault="00C530C1" w:rsidP="00906D61">
      <w:pPr>
        <w:rPr>
          <w:rFonts w:ascii="Arial" w:hAnsi="Arial" w:cs="Arial"/>
          <w:color w:val="000000" w:themeColor="text1"/>
        </w:rPr>
      </w:pPr>
    </w:p>
    <w:p w14:paraId="6F2084DE" w14:textId="77777777" w:rsidR="00F84477" w:rsidRDefault="00F84477" w:rsidP="00906D61">
      <w:pPr>
        <w:rPr>
          <w:rFonts w:ascii="Arial" w:hAnsi="Arial" w:cs="Arial"/>
          <w:color w:val="000000" w:themeColor="text1"/>
        </w:rPr>
      </w:pPr>
      <w:r>
        <w:rPr>
          <w:rFonts w:ascii="Arial" w:hAnsi="Arial" w:cs="Arial"/>
          <w:noProof/>
          <w:color w:val="000000" w:themeColor="text1"/>
        </w:rPr>
        <mc:AlternateContent>
          <mc:Choice Requires="wps">
            <w:drawing>
              <wp:anchor distT="0" distB="0" distL="114300" distR="114300" simplePos="0" relativeHeight="251663360" behindDoc="0" locked="0" layoutInCell="1" allowOverlap="1" wp14:anchorId="23AF48F5" wp14:editId="168E9DDF">
                <wp:simplePos x="0" y="0"/>
                <wp:positionH relativeFrom="margin">
                  <wp:align>right</wp:align>
                </wp:positionH>
                <wp:positionV relativeFrom="paragraph">
                  <wp:posOffset>78105</wp:posOffset>
                </wp:positionV>
                <wp:extent cx="5943600" cy="971550"/>
                <wp:effectExtent l="0" t="0" r="0" b="0"/>
                <wp:wrapNone/>
                <wp:docPr id="44" name="Text Box 44"/>
                <wp:cNvGraphicFramePr/>
                <a:graphic xmlns:a="http://schemas.openxmlformats.org/drawingml/2006/main">
                  <a:graphicData uri="http://schemas.microsoft.com/office/word/2010/wordprocessingShape">
                    <wps:wsp>
                      <wps:cNvSpPr txBox="1"/>
                      <wps:spPr>
                        <a:xfrm>
                          <a:off x="0" y="0"/>
                          <a:ext cx="5943600" cy="971550"/>
                        </a:xfrm>
                        <a:prstGeom prst="rect">
                          <a:avLst/>
                        </a:prstGeom>
                        <a:solidFill>
                          <a:schemeClr val="accent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0B3209B" w14:textId="3EAC66B6" w:rsidR="00632864" w:rsidRDefault="00632864" w:rsidP="00F84477">
                            <w:pPr>
                              <w:shd w:val="clear" w:color="auto" w:fill="63A70A" w:themeFill="accent2"/>
                              <w:autoSpaceDE w:val="0"/>
                              <w:autoSpaceDN w:val="0"/>
                              <w:adjustRightInd w:val="0"/>
                              <w:jc w:val="center"/>
                              <w:rPr>
                                <w:rFonts w:ascii="Arial" w:hAnsi="Arial" w:cs="Arial"/>
                                <w:b/>
                                <w:color w:val="FFFFFF" w:themeColor="background1"/>
                              </w:rPr>
                            </w:pPr>
                            <w:r w:rsidRPr="009829F8">
                              <w:rPr>
                                <w:rFonts w:ascii="Arial" w:hAnsi="Arial" w:cs="Arial"/>
                                <w:b/>
                                <w:color w:val="FFFFFF" w:themeColor="background1"/>
                              </w:rPr>
                              <w:t xml:space="preserve">NOTE: </w:t>
                            </w:r>
                            <w:r w:rsidR="005A3F32">
                              <w:rPr>
                                <w:rFonts w:ascii="Arial" w:hAnsi="Arial" w:cs="Arial"/>
                                <w:b/>
                                <w:color w:val="FFFFFF" w:themeColor="background1"/>
                              </w:rPr>
                              <w:t xml:space="preserve"> </w:t>
                            </w:r>
                            <w:r>
                              <w:rPr>
                                <w:rFonts w:ascii="Arial" w:hAnsi="Arial" w:cs="Arial"/>
                                <w:b/>
                                <w:color w:val="FFFFFF" w:themeColor="background1"/>
                              </w:rPr>
                              <w:t>HCT</w:t>
                            </w:r>
                            <w:r w:rsidRPr="009829F8">
                              <w:rPr>
                                <w:rFonts w:ascii="Arial" w:hAnsi="Arial" w:cs="Arial"/>
                                <w:b/>
                                <w:color w:val="FFFFFF" w:themeColor="background1"/>
                              </w:rPr>
                              <w:t xml:space="preserve"> Date</w:t>
                            </w:r>
                          </w:p>
                          <w:p w14:paraId="32F6C3E2" w14:textId="77777777" w:rsidR="00632864" w:rsidRPr="00F84477" w:rsidRDefault="00632864" w:rsidP="00F84477">
                            <w:pPr>
                              <w:shd w:val="clear" w:color="auto" w:fill="63A70A" w:themeFill="accent2"/>
                              <w:autoSpaceDE w:val="0"/>
                              <w:autoSpaceDN w:val="0"/>
                              <w:adjustRightInd w:val="0"/>
                              <w:rPr>
                                <w:rFonts w:ascii="Arial" w:hAnsi="Arial" w:cs="Arial"/>
                                <w:color w:val="FFFFFF" w:themeColor="background1"/>
                              </w:rPr>
                            </w:pPr>
                            <w:r w:rsidRPr="009829F8">
                              <w:rPr>
                                <w:rFonts w:ascii="Arial" w:hAnsi="Arial" w:cs="Arial"/>
                                <w:color w:val="FFFFFF" w:themeColor="background1"/>
                              </w:rPr>
                              <w:t xml:space="preserve">The </w:t>
                            </w:r>
                            <w:r>
                              <w:rPr>
                                <w:rFonts w:ascii="Arial" w:hAnsi="Arial" w:cs="Arial"/>
                                <w:color w:val="FFFFFF" w:themeColor="background1"/>
                              </w:rPr>
                              <w:t>HCT</w:t>
                            </w:r>
                            <w:r w:rsidRPr="009829F8">
                              <w:rPr>
                                <w:rFonts w:ascii="Arial" w:hAnsi="Arial" w:cs="Arial"/>
                                <w:color w:val="FFFFFF" w:themeColor="background1"/>
                              </w:rPr>
                              <w:t xml:space="preserve"> date must be the same date as was reported on the Pre-TED. If the transplant date changed after the Pre-TED was submitted, use the error correction process to change the </w:t>
                            </w:r>
                            <w:r>
                              <w:rPr>
                                <w:rFonts w:ascii="Arial" w:hAnsi="Arial" w:cs="Arial"/>
                                <w:color w:val="FFFFFF" w:themeColor="background1"/>
                              </w:rPr>
                              <w:t>HCT</w:t>
                            </w:r>
                            <w:r w:rsidRPr="009829F8">
                              <w:rPr>
                                <w:rFonts w:ascii="Arial" w:hAnsi="Arial" w:cs="Arial"/>
                                <w:color w:val="FFFFFF" w:themeColor="background1"/>
                              </w:rPr>
                              <w:t xml:space="preserve"> date on the Pre-TED. The correct date shou</w:t>
                            </w:r>
                            <w:r>
                              <w:rPr>
                                <w:rFonts w:ascii="Arial" w:hAnsi="Arial" w:cs="Arial"/>
                                <w:color w:val="FFFFFF" w:themeColor="background1"/>
                              </w:rPr>
                              <w:t>ld then be used on the Post-TED.</w:t>
                            </w:r>
                          </w:p>
                          <w:p w14:paraId="3FC58C52" w14:textId="77777777" w:rsidR="00632864" w:rsidRPr="009829F8" w:rsidRDefault="00632864" w:rsidP="00F84477">
                            <w:pPr>
                              <w:shd w:val="clear" w:color="auto" w:fill="63A70A" w:themeFill="accent2"/>
                              <w:autoSpaceDE w:val="0"/>
                              <w:autoSpaceDN w:val="0"/>
                              <w:adjustRightInd w:val="0"/>
                              <w:rPr>
                                <w:rFonts w:ascii="Arial" w:hAnsi="Arial" w:cs="Arial"/>
                                <w:b/>
                                <w:color w:val="FFFFFF" w:themeColor="background1"/>
                              </w:rPr>
                            </w:pPr>
                          </w:p>
                          <w:p w14:paraId="18A4E9C0" w14:textId="77777777" w:rsidR="00632864" w:rsidRDefault="006328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4" o:spid="_x0000_s1028" type="#_x0000_t202" style="position:absolute;margin-left:416.8pt;margin-top:6.15pt;width:468pt;height:76.5pt;z-index:25166336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" fillcolor="#63a70a [3205]" stroked="f" strokeweight=".5pt">
                <v:textbox>
                  <w:txbxContent>
                    <w:p w14:paraId="40B3209B" w14:textId="3EAC66B6" w:rsidR="00632864" w:rsidRDefault="00632864" w:rsidP="00F84477">
                      <w:pPr>
                        <w:shd w:val="clear" w:color="auto" w:fill="63A70A" w:themeFill="accent2"/>
                        <w:autoSpaceDE w:val="0"/>
                        <w:autoSpaceDN w:val="0"/>
                        <w:adjustRightInd w:val="0"/>
                        <w:jc w:val="center"/>
                        <w:rPr>
                          <w:rFonts w:ascii="Arial" w:hAnsi="Arial" w:cs="Arial"/>
                          <w:b/>
                          <w:color w:val="FFFFFF" w:themeColor="background1"/>
                        </w:rPr>
                      </w:pPr>
                      <w:r w:rsidRPr="009829F8">
                        <w:rPr>
                          <w:rFonts w:ascii="Arial" w:hAnsi="Arial" w:cs="Arial"/>
                          <w:b/>
                          <w:color w:val="FFFFFF" w:themeColor="background1"/>
                        </w:rPr>
                        <w:t xml:space="preserve">NOTE: </w:t>
                      </w:r>
                      <w:r w:rsidR="005A3F32">
                        <w:rPr>
                          <w:rFonts w:ascii="Arial" w:hAnsi="Arial" w:cs="Arial"/>
                          <w:b/>
                          <w:color w:val="FFFFFF" w:themeColor="background1"/>
                        </w:rPr>
                        <w:t xml:space="preserve"> </w:t>
                      </w:r>
                      <w:r>
                        <w:rPr>
                          <w:rFonts w:ascii="Arial" w:hAnsi="Arial" w:cs="Arial"/>
                          <w:b/>
                          <w:color w:val="FFFFFF" w:themeColor="background1"/>
                        </w:rPr>
                        <w:t>HCT</w:t>
                      </w:r>
                      <w:r w:rsidRPr="009829F8">
                        <w:rPr>
                          <w:rFonts w:ascii="Arial" w:hAnsi="Arial" w:cs="Arial"/>
                          <w:b/>
                          <w:color w:val="FFFFFF" w:themeColor="background1"/>
                        </w:rPr>
                        <w:t xml:space="preserve"> Date</w:t>
                      </w:r>
                    </w:p>
                    <w:p w14:paraId="32F6C3E2" w14:textId="77777777" w:rsidR="00632864" w:rsidRPr="00F84477" w:rsidRDefault="00632864" w:rsidP="00F84477">
                      <w:pPr>
                        <w:shd w:val="clear" w:color="auto" w:fill="63A70A" w:themeFill="accent2"/>
                        <w:autoSpaceDE w:val="0"/>
                        <w:autoSpaceDN w:val="0"/>
                        <w:adjustRightInd w:val="0"/>
                        <w:rPr>
                          <w:rFonts w:ascii="Arial" w:hAnsi="Arial" w:cs="Arial"/>
                          <w:color w:val="FFFFFF" w:themeColor="background1"/>
                        </w:rPr>
                      </w:pPr>
                      <w:r w:rsidRPr="009829F8">
                        <w:rPr>
                          <w:rFonts w:ascii="Arial" w:hAnsi="Arial" w:cs="Arial"/>
                          <w:color w:val="FFFFFF" w:themeColor="background1"/>
                        </w:rPr>
                        <w:t xml:space="preserve">The </w:t>
                      </w:r>
                      <w:r>
                        <w:rPr>
                          <w:rFonts w:ascii="Arial" w:hAnsi="Arial" w:cs="Arial"/>
                          <w:color w:val="FFFFFF" w:themeColor="background1"/>
                        </w:rPr>
                        <w:t>HCT</w:t>
                      </w:r>
                      <w:r w:rsidRPr="009829F8">
                        <w:rPr>
                          <w:rFonts w:ascii="Arial" w:hAnsi="Arial" w:cs="Arial"/>
                          <w:color w:val="FFFFFF" w:themeColor="background1"/>
                        </w:rPr>
                        <w:t xml:space="preserve"> date must be the same date as was reported on the Pre-TED. If the transplant date changed after the Pre-TED was submitted, use the error correction process to change the </w:t>
                      </w:r>
                      <w:r>
                        <w:rPr>
                          <w:rFonts w:ascii="Arial" w:hAnsi="Arial" w:cs="Arial"/>
                          <w:color w:val="FFFFFF" w:themeColor="background1"/>
                        </w:rPr>
                        <w:t>HCT</w:t>
                      </w:r>
                      <w:r w:rsidRPr="009829F8">
                        <w:rPr>
                          <w:rFonts w:ascii="Arial" w:hAnsi="Arial" w:cs="Arial"/>
                          <w:color w:val="FFFFFF" w:themeColor="background1"/>
                        </w:rPr>
                        <w:t xml:space="preserve"> date on the Pre-TED. The correct date shou</w:t>
                      </w:r>
                      <w:r>
                        <w:rPr>
                          <w:rFonts w:ascii="Arial" w:hAnsi="Arial" w:cs="Arial"/>
                          <w:color w:val="FFFFFF" w:themeColor="background1"/>
                        </w:rPr>
                        <w:t>ld then be used on the Post-TED.</w:t>
                      </w:r>
                    </w:p>
                    <w:p w14:paraId="3FC58C52" w14:textId="77777777" w:rsidR="00632864" w:rsidRPr="009829F8" w:rsidRDefault="00632864" w:rsidP="00F84477">
                      <w:pPr>
                        <w:shd w:val="clear" w:color="auto" w:fill="63A70A" w:themeFill="accent2"/>
                        <w:autoSpaceDE w:val="0"/>
                        <w:autoSpaceDN w:val="0"/>
                        <w:adjustRightInd w:val="0"/>
                        <w:rPr>
                          <w:rFonts w:ascii="Arial" w:hAnsi="Arial" w:cs="Arial"/>
                          <w:b/>
                          <w:color w:val="FFFFFF" w:themeColor="background1"/>
                        </w:rPr>
                      </w:pPr>
                    </w:p>
                    <w:p w14:paraId="18A4E9C0" w14:textId="77777777" w:rsidR="00632864" w:rsidRDefault="00632864"/>
                  </w:txbxContent>
                </v:textbox>
                <w10:wrap anchorx="margin"/>
              </v:shape>
            </w:pict>
          </mc:Fallback>
        </mc:AlternateContent>
      </w:r>
    </w:p>
    <w:p w14:paraId="4D963D7F" w14:textId="77777777" w:rsidR="00F84477" w:rsidRDefault="00F84477" w:rsidP="00906D61">
      <w:pPr>
        <w:rPr>
          <w:rFonts w:ascii="Arial" w:hAnsi="Arial" w:cs="Arial"/>
          <w:color w:val="000000" w:themeColor="text1"/>
        </w:rPr>
      </w:pPr>
    </w:p>
    <w:p w14:paraId="17C20CED" w14:textId="77777777" w:rsidR="00F84477" w:rsidRDefault="00F84477" w:rsidP="00906D61">
      <w:pPr>
        <w:rPr>
          <w:rFonts w:ascii="Arial" w:hAnsi="Arial" w:cs="Arial"/>
          <w:color w:val="000000" w:themeColor="text1"/>
        </w:rPr>
      </w:pPr>
    </w:p>
    <w:p w14:paraId="0A76A722" w14:textId="77777777" w:rsidR="00F84477" w:rsidRDefault="00F84477" w:rsidP="00906D61">
      <w:pPr>
        <w:rPr>
          <w:rFonts w:ascii="Arial" w:hAnsi="Arial" w:cs="Arial"/>
          <w:color w:val="000000" w:themeColor="text1"/>
        </w:rPr>
      </w:pPr>
    </w:p>
    <w:p w14:paraId="04F67E53" w14:textId="77777777" w:rsidR="00F84477" w:rsidRDefault="00F84477" w:rsidP="00906D61">
      <w:pPr>
        <w:rPr>
          <w:rFonts w:ascii="Arial" w:hAnsi="Arial" w:cs="Arial"/>
          <w:color w:val="000000" w:themeColor="text1"/>
        </w:rPr>
      </w:pPr>
    </w:p>
    <w:p w14:paraId="7F58E7C0" w14:textId="77777777" w:rsidR="00F84477" w:rsidRDefault="00F84477" w:rsidP="00906D61">
      <w:pPr>
        <w:rPr>
          <w:rFonts w:ascii="Arial" w:hAnsi="Arial" w:cs="Arial"/>
          <w:color w:val="000000" w:themeColor="text1"/>
        </w:rPr>
      </w:pPr>
    </w:p>
    <w:p w14:paraId="10A4F580" w14:textId="77777777" w:rsidR="00B45C6D" w:rsidRPr="001D6150" w:rsidRDefault="00B45C6D" w:rsidP="00B45C6D">
      <w:pPr>
        <w:rPr>
          <w:rFonts w:ascii="Arial" w:hAnsi="Arial" w:cs="Arial"/>
        </w:rPr>
      </w:pPr>
    </w:p>
    <w:p w14:paraId="236ADD95" w14:textId="42E45B16" w:rsidR="00B45C6D" w:rsidRPr="00CC43BD" w:rsidRDefault="00B45C6D" w:rsidP="00B45C6D">
      <w:pPr>
        <w:pStyle w:val="Heading1"/>
      </w:pPr>
      <w:r>
        <w:t>Select TED</w:t>
      </w:r>
    </w:p>
    <w:p w14:paraId="55C36BCD" w14:textId="77777777" w:rsidR="00B45C6D" w:rsidRDefault="00B45C6D" w:rsidP="00B45C6D">
      <w:pPr>
        <w:rPr>
          <w:rFonts w:ascii="Arial" w:hAnsi="Arial" w:cs="Arial"/>
        </w:rPr>
      </w:pPr>
    </w:p>
    <w:p w14:paraId="285D0F31" w14:textId="5A0F1A64" w:rsidR="00B45C6D" w:rsidRDefault="00B45C6D" w:rsidP="00B45C6D">
      <w:pPr>
        <w:rPr>
          <w:rFonts w:ascii="Arial" w:hAnsi="Arial" w:cs="Arial"/>
          <w:color w:val="000000"/>
        </w:rPr>
      </w:pPr>
      <w:r>
        <w:rPr>
          <w:rFonts w:ascii="Arial" w:hAnsi="Arial" w:cs="Arial"/>
          <w:color w:val="000000"/>
        </w:rPr>
        <w:t>Select TED recipients are required to answer a limited subset of questions on the Post-TED form</w:t>
      </w:r>
      <w:r w:rsidR="00F91ED8">
        <w:rPr>
          <w:rFonts w:ascii="Arial" w:hAnsi="Arial" w:cs="Arial"/>
          <w:color w:val="000000"/>
        </w:rPr>
        <w:t xml:space="preserve">.  </w:t>
      </w:r>
      <w:r>
        <w:rPr>
          <w:rFonts w:ascii="Arial" w:hAnsi="Arial" w:cs="Arial"/>
          <w:color w:val="000000"/>
        </w:rPr>
        <w:t>These questions include:</w:t>
      </w:r>
    </w:p>
    <w:p w14:paraId="4ECB009E" w14:textId="30659C62" w:rsidR="00B45C6D" w:rsidRDefault="00B45C6D" w:rsidP="00B45C6D">
      <w:pPr>
        <w:pStyle w:val="ListParagraph"/>
        <w:numPr>
          <w:ilvl w:val="0"/>
          <w:numId w:val="27"/>
        </w:numPr>
        <w:rPr>
          <w:rFonts w:ascii="Arial" w:hAnsi="Arial" w:cs="Arial"/>
          <w:color w:val="000000" w:themeColor="text1"/>
        </w:rPr>
      </w:pPr>
      <w:r>
        <w:rPr>
          <w:rFonts w:ascii="Arial" w:hAnsi="Arial" w:cs="Arial"/>
          <w:color w:val="000000" w:themeColor="text1"/>
        </w:rPr>
        <w:t>Key fields</w:t>
      </w:r>
      <w:r w:rsidR="00197865">
        <w:rPr>
          <w:rFonts w:ascii="Arial" w:hAnsi="Arial" w:cs="Arial"/>
          <w:color w:val="000000" w:themeColor="text1"/>
        </w:rPr>
        <w:t>;</w:t>
      </w:r>
    </w:p>
    <w:p w14:paraId="7D85ACFB" w14:textId="452D2F72" w:rsidR="00B45C6D" w:rsidRDefault="00B45C6D" w:rsidP="00B45C6D">
      <w:pPr>
        <w:pStyle w:val="ListParagraph"/>
        <w:numPr>
          <w:ilvl w:val="0"/>
          <w:numId w:val="27"/>
        </w:numPr>
        <w:rPr>
          <w:rFonts w:ascii="Arial" w:hAnsi="Arial" w:cs="Arial"/>
          <w:color w:val="000000" w:themeColor="text1"/>
        </w:rPr>
      </w:pPr>
      <w:r>
        <w:rPr>
          <w:rFonts w:ascii="Arial" w:hAnsi="Arial" w:cs="Arial"/>
          <w:color w:val="000000" w:themeColor="text1"/>
        </w:rPr>
        <w:t>Survival, questions 1-6</w:t>
      </w:r>
      <w:r w:rsidR="00197865">
        <w:rPr>
          <w:rFonts w:ascii="Arial" w:hAnsi="Arial" w:cs="Arial"/>
          <w:color w:val="000000" w:themeColor="text1"/>
        </w:rPr>
        <w:t>;</w:t>
      </w:r>
    </w:p>
    <w:p w14:paraId="13AE0644" w14:textId="71820C11" w:rsidR="00B45C6D" w:rsidRDefault="00B45C6D" w:rsidP="00B45C6D">
      <w:pPr>
        <w:pStyle w:val="ListParagraph"/>
        <w:numPr>
          <w:ilvl w:val="0"/>
          <w:numId w:val="27"/>
        </w:numPr>
        <w:rPr>
          <w:rFonts w:ascii="Arial" w:hAnsi="Arial" w:cs="Arial"/>
          <w:color w:val="000000" w:themeColor="text1"/>
        </w:rPr>
      </w:pPr>
      <w:r>
        <w:rPr>
          <w:rFonts w:ascii="Arial" w:hAnsi="Arial" w:cs="Arial"/>
          <w:color w:val="000000" w:themeColor="text1"/>
        </w:rPr>
        <w:t>Subsequent transplant, questions 7-11</w:t>
      </w:r>
      <w:r w:rsidR="00197865">
        <w:rPr>
          <w:rFonts w:ascii="Arial" w:hAnsi="Arial" w:cs="Arial"/>
          <w:color w:val="000000" w:themeColor="text1"/>
        </w:rPr>
        <w:t>; and</w:t>
      </w:r>
    </w:p>
    <w:p w14:paraId="42A0459D" w14:textId="75484E73" w:rsidR="00B45C6D" w:rsidRDefault="00B45C6D" w:rsidP="00B45C6D">
      <w:pPr>
        <w:pStyle w:val="ListParagraph"/>
        <w:numPr>
          <w:ilvl w:val="0"/>
          <w:numId w:val="27"/>
        </w:numPr>
        <w:rPr>
          <w:rFonts w:ascii="Arial" w:hAnsi="Arial" w:cs="Arial"/>
          <w:color w:val="000000" w:themeColor="text1"/>
        </w:rPr>
      </w:pPr>
      <w:r>
        <w:rPr>
          <w:rFonts w:ascii="Arial" w:hAnsi="Arial" w:cs="Arial"/>
          <w:color w:val="000000" w:themeColor="text1"/>
        </w:rPr>
        <w:t>New malignancy, questions 49-56</w:t>
      </w:r>
    </w:p>
    <w:p w14:paraId="79FF6078" w14:textId="77777777" w:rsidR="00B45C6D" w:rsidRDefault="00B45C6D" w:rsidP="00B45C6D">
      <w:pPr>
        <w:pStyle w:val="ListParagraph"/>
        <w:rPr>
          <w:rFonts w:ascii="Arial" w:hAnsi="Arial" w:cs="Arial"/>
          <w:color w:val="000000" w:themeColor="text1"/>
        </w:rPr>
      </w:pPr>
    </w:p>
    <w:p w14:paraId="7FF1AB5F" w14:textId="570A366A" w:rsidR="00B45C6D" w:rsidRPr="00B45C6D" w:rsidRDefault="00B45C6D" w:rsidP="00B45C6D">
      <w:pPr>
        <w:pStyle w:val="ListParagraph"/>
        <w:ind w:left="0"/>
        <w:rPr>
          <w:rFonts w:ascii="Arial" w:hAnsi="Arial" w:cs="Arial"/>
          <w:color w:val="000000" w:themeColor="text1"/>
        </w:rPr>
      </w:pPr>
      <w:r>
        <w:rPr>
          <w:rFonts w:ascii="Arial" w:hAnsi="Arial" w:cs="Arial"/>
          <w:color w:val="000000" w:themeColor="text1"/>
        </w:rPr>
        <w:t>Instruction for reporting in these data fields does not differ from that provided for all recipients on the TED form</w:t>
      </w:r>
      <w:r w:rsidR="00F91ED8">
        <w:rPr>
          <w:rFonts w:ascii="Arial" w:hAnsi="Arial" w:cs="Arial"/>
          <w:color w:val="000000" w:themeColor="text1"/>
        </w:rPr>
        <w:t xml:space="preserve">.  </w:t>
      </w:r>
      <w:r>
        <w:rPr>
          <w:rFonts w:ascii="Arial" w:hAnsi="Arial" w:cs="Arial"/>
          <w:color w:val="000000" w:themeColor="text1"/>
        </w:rPr>
        <w:t xml:space="preserve">Refer to the applicable sections of the Forms Instructions Post-TED Manual for further information on completing these fields. </w:t>
      </w:r>
    </w:p>
    <w:p w14:paraId="10BFBA66" w14:textId="77777777" w:rsidR="00906D61" w:rsidRDefault="00906D61"/>
    <w:p w14:paraId="265E8218" w14:textId="77777777" w:rsidR="006C4C4D" w:rsidRPr="00961B50" w:rsidRDefault="007F6268" w:rsidP="00961B50">
      <w:pPr>
        <w:pStyle w:val="Heading1"/>
      </w:pPr>
      <w:bookmarkStart w:id="1" w:name="_Toc450570831"/>
      <w:r w:rsidRPr="000F7076">
        <w:t>Survival</w:t>
      </w:r>
      <w:bookmarkEnd w:id="1"/>
    </w:p>
    <w:p w14:paraId="273A0A41" w14:textId="1549E9F6" w:rsidR="006C4C4D" w:rsidRPr="00FC39A8" w:rsidRDefault="006C4C4D" w:rsidP="006C4C4D">
      <w:pPr>
        <w:autoSpaceDE w:val="0"/>
        <w:autoSpaceDN w:val="0"/>
        <w:adjustRightInd w:val="0"/>
        <w:rPr>
          <w:rFonts w:ascii="Arial" w:hAnsi="Arial" w:cs="Arial"/>
        </w:rPr>
      </w:pPr>
    </w:p>
    <w:p w14:paraId="00D35A3A" w14:textId="23E1DEDD" w:rsidR="00D52636" w:rsidRPr="00877E77" w:rsidRDefault="00D52636" w:rsidP="006C4C4D">
      <w:pPr>
        <w:rPr>
          <w:rFonts w:ascii="Arial" w:hAnsi="Arial" w:cs="Arial"/>
        </w:rPr>
      </w:pPr>
      <w:r w:rsidRPr="00877E77">
        <w:rPr>
          <w:rFonts w:ascii="Arial" w:hAnsi="Arial" w:cs="Arial"/>
        </w:rPr>
        <w:t xml:space="preserve">The date of actual contact with the recipient to determine medical status for this follow-up report </w:t>
      </w:r>
      <w:proofErr w:type="gramStart"/>
      <w:r w:rsidRPr="00877E77">
        <w:rPr>
          <w:rFonts w:ascii="Arial" w:hAnsi="Arial" w:cs="Arial"/>
        </w:rPr>
        <w:t>is based</w:t>
      </w:r>
      <w:proofErr w:type="gramEnd"/>
      <w:r w:rsidRPr="00877E77">
        <w:rPr>
          <w:rFonts w:ascii="Arial" w:hAnsi="Arial" w:cs="Arial"/>
        </w:rPr>
        <w:t xml:space="preserve"> on a medical evaluation conducted by a clinician with responsibility for the recipient’s care</w:t>
      </w:r>
      <w:r w:rsidR="00F91ED8">
        <w:rPr>
          <w:rFonts w:ascii="Arial" w:hAnsi="Arial" w:cs="Arial"/>
        </w:rPr>
        <w:t xml:space="preserve">.  </w:t>
      </w:r>
      <w:r w:rsidRPr="00877E77">
        <w:rPr>
          <w:rFonts w:ascii="Arial" w:hAnsi="Arial" w:cs="Arial"/>
        </w:rPr>
        <w:t xml:space="preserve">Report the date of the medical evaluation performed closest to the designated </w:t>
      </w:r>
      <w:proofErr w:type="gramStart"/>
      <w:r w:rsidRPr="00877E77">
        <w:rPr>
          <w:rFonts w:ascii="Arial" w:hAnsi="Arial" w:cs="Arial"/>
        </w:rPr>
        <w:t>time period</w:t>
      </w:r>
      <w:proofErr w:type="gramEnd"/>
      <w:r w:rsidRPr="00877E77">
        <w:rPr>
          <w:rFonts w:ascii="Arial" w:hAnsi="Arial" w:cs="Arial"/>
        </w:rPr>
        <w:t xml:space="preserve"> of the form (e.g., </w:t>
      </w:r>
      <w:r w:rsidR="000B10AD" w:rsidRPr="00877E77">
        <w:rPr>
          <w:rFonts w:ascii="Arial" w:hAnsi="Arial" w:cs="Arial"/>
        </w:rPr>
        <w:t>Day+100</w:t>
      </w:r>
      <w:r w:rsidRPr="00877E77">
        <w:rPr>
          <w:rFonts w:ascii="Arial" w:hAnsi="Arial" w:cs="Arial"/>
        </w:rPr>
        <w:t xml:space="preserve">, </w:t>
      </w:r>
      <w:r w:rsidR="00197865">
        <w:rPr>
          <w:rFonts w:ascii="Arial" w:hAnsi="Arial" w:cs="Arial"/>
        </w:rPr>
        <w:t>6</w:t>
      </w:r>
      <w:r w:rsidRPr="00877E77">
        <w:rPr>
          <w:rFonts w:ascii="Arial" w:hAnsi="Arial" w:cs="Arial"/>
        </w:rPr>
        <w:t xml:space="preserve"> months, or annual follow-up visit)</w:t>
      </w:r>
      <w:r w:rsidR="00F91ED8">
        <w:rPr>
          <w:rFonts w:ascii="Arial" w:hAnsi="Arial" w:cs="Arial"/>
        </w:rPr>
        <w:t xml:space="preserve">.  </w:t>
      </w:r>
      <w:r w:rsidRPr="00877E77">
        <w:rPr>
          <w:rFonts w:ascii="Arial" w:hAnsi="Arial" w:cs="Arial"/>
        </w:rPr>
        <w:t xml:space="preserve">Time windows are provided to guide selection of dates for reporting purposes. Recipients are not always seen within the time windows used for reporting follow-up dates, and some discretion is therefore required when determining which date to report. If the recipient is not seen within the time windows, report the date closest to the date of contact within reason. </w:t>
      </w:r>
    </w:p>
    <w:p w14:paraId="5DB67BCF" w14:textId="04212FC5" w:rsidR="000B10AD" w:rsidRPr="00877E77" w:rsidRDefault="000B10AD" w:rsidP="006C4C4D">
      <w:pPr>
        <w:rPr>
          <w:rFonts w:ascii="Arial" w:hAnsi="Arial" w:cs="Arial"/>
        </w:rPr>
      </w:pPr>
    </w:p>
    <w:p w14:paraId="6FB69B6F" w14:textId="030168CA" w:rsidR="00877E77" w:rsidRPr="00877E77" w:rsidRDefault="000B10AD" w:rsidP="006C4C4D">
      <w:pPr>
        <w:rPr>
          <w:rFonts w:ascii="Arial" w:hAnsi="Arial" w:cs="Arial"/>
        </w:rPr>
      </w:pPr>
      <w:r w:rsidRPr="00877E77">
        <w:rPr>
          <w:rFonts w:ascii="Arial" w:hAnsi="Arial" w:cs="Arial"/>
        </w:rPr>
        <w:t>If this Post-TED is being completed for the Day+</w:t>
      </w:r>
      <w:proofErr w:type="gramStart"/>
      <w:r w:rsidRPr="00877E77">
        <w:rPr>
          <w:rFonts w:ascii="Arial" w:hAnsi="Arial" w:cs="Arial"/>
        </w:rPr>
        <w:t>100 time</w:t>
      </w:r>
      <w:proofErr w:type="gramEnd"/>
      <w:r w:rsidRPr="00877E77">
        <w:rPr>
          <w:rFonts w:ascii="Arial" w:hAnsi="Arial" w:cs="Arial"/>
        </w:rPr>
        <w:t xml:space="preserve"> point, the answers to all questions should reflect the clinical status of the recipient between the HCT infusion date and latest follow-up date</w:t>
      </w:r>
      <w:r w:rsidR="00F91ED8">
        <w:rPr>
          <w:rFonts w:ascii="Arial" w:hAnsi="Arial" w:cs="Arial"/>
        </w:rPr>
        <w:t xml:space="preserve">.  </w:t>
      </w:r>
      <w:r w:rsidRPr="00877E77">
        <w:rPr>
          <w:rFonts w:ascii="Arial" w:hAnsi="Arial" w:cs="Arial"/>
        </w:rPr>
        <w:t xml:space="preserve">If this Post-TED is being completed for the </w:t>
      </w:r>
      <w:r w:rsidR="00395C0E">
        <w:rPr>
          <w:rFonts w:ascii="Arial" w:hAnsi="Arial" w:cs="Arial"/>
        </w:rPr>
        <w:t>6</w:t>
      </w:r>
      <w:r w:rsidRPr="00877E77">
        <w:rPr>
          <w:rFonts w:ascii="Arial" w:hAnsi="Arial" w:cs="Arial"/>
        </w:rPr>
        <w:t xml:space="preserve">-month or </w:t>
      </w:r>
      <w:r w:rsidRPr="00877E77">
        <w:rPr>
          <w:rFonts w:ascii="Arial" w:hAnsi="Arial" w:cs="Arial"/>
        </w:rPr>
        <w:lastRenderedPageBreak/>
        <w:t xml:space="preserve">annual </w:t>
      </w:r>
      <w:proofErr w:type="gramStart"/>
      <w:r w:rsidRPr="00877E77">
        <w:rPr>
          <w:rFonts w:ascii="Arial" w:hAnsi="Arial" w:cs="Arial"/>
        </w:rPr>
        <w:t>time period</w:t>
      </w:r>
      <w:proofErr w:type="gramEnd"/>
      <w:r w:rsidRPr="00877E77">
        <w:rPr>
          <w:rFonts w:ascii="Arial" w:hAnsi="Arial" w:cs="Arial"/>
        </w:rPr>
        <w:t>, the answers to all questions should reflect the clinical status of the recipient between follow-up dates of the most recent Post-TED completed and the current Post-TED</w:t>
      </w:r>
      <w:r w:rsidR="00F91ED8">
        <w:rPr>
          <w:rFonts w:ascii="Arial" w:hAnsi="Arial" w:cs="Arial"/>
        </w:rPr>
        <w:t xml:space="preserve">.  </w:t>
      </w:r>
      <w:r w:rsidRPr="00877E77">
        <w:rPr>
          <w:rFonts w:ascii="Arial" w:hAnsi="Arial" w:cs="Arial"/>
        </w:rPr>
        <w:t xml:space="preserve">If the recipient has not been seen by a clinician within the reporting period, but the survival status is known, submit the Post-TED reporting only the survival status and date of contact. </w:t>
      </w:r>
    </w:p>
    <w:p w14:paraId="2CA5A5C2" w14:textId="77777777" w:rsidR="00877E77" w:rsidRPr="00877E77" w:rsidRDefault="00877E77" w:rsidP="006C4C4D">
      <w:pPr>
        <w:rPr>
          <w:rFonts w:ascii="Arial" w:hAnsi="Arial" w:cs="Arial"/>
        </w:rPr>
      </w:pPr>
    </w:p>
    <w:p w14:paraId="69D4D8BE" w14:textId="5A98FCC7" w:rsidR="00877E77" w:rsidRPr="00877E77" w:rsidRDefault="00877E77" w:rsidP="006C4C4D">
      <w:pPr>
        <w:rPr>
          <w:rFonts w:ascii="Arial" w:hAnsi="Arial" w:cs="Arial"/>
        </w:rPr>
      </w:pPr>
      <w:r w:rsidRPr="00877E77">
        <w:rPr>
          <w:rFonts w:ascii="Arial" w:hAnsi="Arial" w:cs="Arial"/>
        </w:rPr>
        <w:t>If the Post-TED reports a subsequent transplant, report the date of latest follow-up as the day prior to the start of the preparative regimen</w:t>
      </w:r>
      <w:r w:rsidR="00F91ED8">
        <w:rPr>
          <w:rFonts w:ascii="Arial" w:hAnsi="Arial" w:cs="Arial"/>
        </w:rPr>
        <w:t xml:space="preserve">.  </w:t>
      </w:r>
      <w:r w:rsidRPr="00877E77">
        <w:rPr>
          <w:rFonts w:ascii="Arial" w:hAnsi="Arial" w:cs="Arial"/>
        </w:rPr>
        <w:t>If no preparative regimen or conditioning was given, report the day prior to infusion as the date of contact.</w:t>
      </w:r>
    </w:p>
    <w:p w14:paraId="473902EA" w14:textId="41949FC5" w:rsidR="00D52636" w:rsidRDefault="00877E77" w:rsidP="006C4C4D">
      <w:pPr>
        <w:rPr>
          <w:rFonts w:ascii="Arial" w:hAnsi="Arial" w:cs="Arial"/>
          <w:b/>
          <w:highlight w:val="yellow"/>
        </w:rPr>
      </w:pPr>
      <w:r>
        <w:rPr>
          <w:rFonts w:ascii="Arial" w:hAnsi="Arial" w:cs="Arial"/>
          <w:noProof/>
        </w:rPr>
        <mc:AlternateContent>
          <mc:Choice Requires="wps">
            <w:drawing>
              <wp:anchor distT="0" distB="0" distL="114300" distR="114300" simplePos="0" relativeHeight="251680768" behindDoc="1" locked="0" layoutInCell="1" allowOverlap="1" wp14:anchorId="1E16CEE6" wp14:editId="7DDD3D9F">
                <wp:simplePos x="0" y="0"/>
                <wp:positionH relativeFrom="margin">
                  <wp:align>right</wp:align>
                </wp:positionH>
                <wp:positionV relativeFrom="paragraph">
                  <wp:posOffset>273050</wp:posOffset>
                </wp:positionV>
                <wp:extent cx="5943600" cy="2215515"/>
                <wp:effectExtent l="0" t="0" r="0" b="0"/>
                <wp:wrapTight wrapText="bothSides">
                  <wp:wrapPolygon edited="0">
                    <wp:start x="0" y="0"/>
                    <wp:lineTo x="0" y="21359"/>
                    <wp:lineTo x="21531" y="21359"/>
                    <wp:lineTo x="21531" y="0"/>
                    <wp:lineTo x="0" y="0"/>
                  </wp:wrapPolygon>
                </wp:wrapTight>
                <wp:docPr id="60" name="Text Box 60"/>
                <wp:cNvGraphicFramePr/>
                <a:graphic xmlns:a="http://schemas.openxmlformats.org/drawingml/2006/main">
                  <a:graphicData uri="http://schemas.microsoft.com/office/word/2010/wordprocessingShape">
                    <wps:wsp>
                      <wps:cNvSpPr txBox="1"/>
                      <wps:spPr>
                        <a:xfrm>
                          <a:off x="0" y="0"/>
                          <a:ext cx="5943600" cy="2215662"/>
                        </a:xfrm>
                        <a:prstGeom prst="rect">
                          <a:avLst/>
                        </a:prstGeom>
                        <a:solidFill>
                          <a:schemeClr val="accent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31BC88E" w14:textId="33C0DED7" w:rsidR="00632864" w:rsidRPr="00A8463A" w:rsidRDefault="00632864" w:rsidP="00961B50">
                            <w:pPr>
                              <w:shd w:val="clear" w:color="auto" w:fill="63A70A" w:themeFill="accent2"/>
                              <w:jc w:val="center"/>
                              <w:rPr>
                                <w:rFonts w:ascii="Arial" w:hAnsi="Arial" w:cs="Arial"/>
                                <w:b/>
                                <w:color w:val="FFFFFF" w:themeColor="background1"/>
                              </w:rPr>
                            </w:pPr>
                            <w:r w:rsidRPr="00A8463A">
                              <w:rPr>
                                <w:rFonts w:ascii="Arial" w:hAnsi="Arial" w:cs="Arial"/>
                                <w:b/>
                                <w:bCs/>
                                <w:color w:val="FFFFFF" w:themeColor="background1"/>
                              </w:rPr>
                              <w:t xml:space="preserve">NOTE: </w:t>
                            </w:r>
                            <w:r>
                              <w:rPr>
                                <w:rFonts w:ascii="Arial" w:hAnsi="Arial" w:cs="Arial"/>
                                <w:b/>
                                <w:bCs/>
                                <w:color w:val="FFFFFF" w:themeColor="background1"/>
                              </w:rPr>
                              <w:t xml:space="preserve"> </w:t>
                            </w:r>
                            <w:r w:rsidRPr="00A8463A">
                              <w:rPr>
                                <w:rFonts w:ascii="Arial" w:hAnsi="Arial" w:cs="Arial"/>
                                <w:b/>
                                <w:bCs/>
                                <w:color w:val="FFFFFF" w:themeColor="background1"/>
                              </w:rPr>
                              <w:t>Reporting Latest Follow-up</w:t>
                            </w:r>
                          </w:p>
                          <w:p w14:paraId="3BE9D830" w14:textId="77777777" w:rsidR="00632864" w:rsidRPr="00A8463A" w:rsidRDefault="00632864" w:rsidP="00961B50">
                            <w:pPr>
                              <w:shd w:val="clear" w:color="auto" w:fill="63A70A" w:themeFill="accent2"/>
                              <w:rPr>
                                <w:rFonts w:ascii="Arial" w:hAnsi="Arial" w:cs="Arial"/>
                                <w:color w:val="FFFFFF" w:themeColor="background1"/>
                              </w:rPr>
                            </w:pPr>
                            <w:r w:rsidRPr="00A8463A">
                              <w:rPr>
                                <w:rFonts w:ascii="Arial" w:hAnsi="Arial" w:cs="Arial"/>
                                <w:color w:val="FFFFFF" w:themeColor="background1"/>
                              </w:rPr>
                              <w:t xml:space="preserve">When reporting the date of latest follow-up prior to a subsequent </w:t>
                            </w:r>
                            <w:r>
                              <w:rPr>
                                <w:rFonts w:ascii="Arial" w:hAnsi="Arial" w:cs="Arial"/>
                                <w:color w:val="FFFFFF" w:themeColor="background1"/>
                              </w:rPr>
                              <w:t>HCT</w:t>
                            </w:r>
                            <w:r w:rsidRPr="00A8463A">
                              <w:rPr>
                                <w:rFonts w:ascii="Arial" w:hAnsi="Arial" w:cs="Arial"/>
                                <w:color w:val="FFFFFF" w:themeColor="background1"/>
                              </w:rPr>
                              <w:t>, report the date specified above regardless whether there is actual patient contact on the date. This is an exception to standard date of follow-up reporting to ensure all dates are captured within the sequence of forms.</w:t>
                            </w:r>
                          </w:p>
                          <w:p w14:paraId="151772CC" w14:textId="77777777" w:rsidR="00632864" w:rsidRPr="00A8463A" w:rsidRDefault="00632864" w:rsidP="00961B50">
                            <w:pPr>
                              <w:shd w:val="clear" w:color="auto" w:fill="63A70A" w:themeFill="accent2"/>
                              <w:rPr>
                                <w:rFonts w:ascii="Arial" w:hAnsi="Arial" w:cs="Arial"/>
                                <w:color w:val="FFFFFF" w:themeColor="background1"/>
                              </w:rPr>
                            </w:pPr>
                          </w:p>
                          <w:p w14:paraId="3F9BA8EB" w14:textId="3C50DF60" w:rsidR="00632864" w:rsidRPr="00A8463A" w:rsidRDefault="00632864" w:rsidP="00961B50">
                            <w:pPr>
                              <w:shd w:val="clear" w:color="auto" w:fill="63A70A" w:themeFill="accent2"/>
                              <w:rPr>
                                <w:rFonts w:ascii="Arial" w:hAnsi="Arial" w:cs="Arial"/>
                                <w:color w:val="FFFFFF" w:themeColor="background1"/>
                              </w:rPr>
                            </w:pPr>
                            <w:r w:rsidRPr="00A8463A">
                              <w:rPr>
                                <w:rFonts w:ascii="Arial" w:hAnsi="Arial" w:cs="Arial"/>
                                <w:color w:val="FFFFFF" w:themeColor="background1"/>
                              </w:rPr>
                              <w:t xml:space="preserve">It is important to note that the date latest follow-up for the Form 2450 being completed should be </w:t>
                            </w:r>
                            <w:r>
                              <w:rPr>
                                <w:rFonts w:ascii="Arial" w:hAnsi="Arial" w:cs="Arial"/>
                                <w:i/>
                                <w:iCs/>
                                <w:color w:val="FFFFFF" w:themeColor="background1"/>
                              </w:rPr>
                              <w:t xml:space="preserve">the date prior to the start of the preparative regimen </w:t>
                            </w:r>
                            <w:r w:rsidRPr="00C26BF3">
                              <w:rPr>
                                <w:rFonts w:ascii="Arial" w:hAnsi="Arial" w:cs="Arial"/>
                                <w:iCs/>
                                <w:color w:val="FFFFFF" w:themeColor="background1"/>
                              </w:rPr>
                              <w:t>or</w:t>
                            </w:r>
                            <w:r>
                              <w:rPr>
                                <w:rFonts w:ascii="Arial" w:hAnsi="Arial" w:cs="Arial"/>
                                <w:i/>
                                <w:iCs/>
                                <w:color w:val="FFFFFF" w:themeColor="background1"/>
                              </w:rPr>
                              <w:t xml:space="preserve"> </w:t>
                            </w:r>
                            <w:r w:rsidRPr="00C26BF3">
                              <w:rPr>
                                <w:rFonts w:ascii="Arial" w:hAnsi="Arial" w:cs="Arial"/>
                                <w:i/>
                                <w:iCs/>
                                <w:color w:val="FFFFFF" w:themeColor="background1"/>
                              </w:rPr>
                              <w:t>before the date of a subsequent HCT</w:t>
                            </w:r>
                            <w:r>
                              <w:rPr>
                                <w:rFonts w:ascii="Arial" w:hAnsi="Arial" w:cs="Arial"/>
                                <w:i/>
                                <w:iCs/>
                                <w:color w:val="FFFFFF" w:themeColor="background1"/>
                              </w:rPr>
                              <w:t xml:space="preserve"> </w:t>
                            </w:r>
                            <w:r w:rsidRPr="00C26BF3">
                              <w:rPr>
                                <w:rFonts w:ascii="Arial" w:hAnsi="Arial" w:cs="Arial"/>
                                <w:iCs/>
                                <w:color w:val="FFFFFF" w:themeColor="background1"/>
                              </w:rPr>
                              <w:t>if no preparative regimen is given</w:t>
                            </w:r>
                            <w:r>
                              <w:rPr>
                                <w:rFonts w:ascii="Arial" w:hAnsi="Arial" w:cs="Arial"/>
                                <w:i/>
                                <w:iCs/>
                                <w:color w:val="FFFFFF" w:themeColor="background1"/>
                              </w:rPr>
                              <w:t>.</w:t>
                            </w:r>
                            <w:r w:rsidRPr="00A8463A">
                              <w:rPr>
                                <w:rFonts w:ascii="Arial" w:hAnsi="Arial" w:cs="Arial"/>
                                <w:color w:val="FFFFFF" w:themeColor="background1"/>
                              </w:rPr>
                              <w:t xml:space="preserve"> Also, even if the subsequent transplant date </w:t>
                            </w:r>
                            <w:r w:rsidRPr="00A8463A">
                              <w:rPr>
                                <w:rFonts w:ascii="Arial" w:hAnsi="Arial" w:cs="Arial"/>
                                <w:i/>
                                <w:iCs/>
                                <w:color w:val="FFFFFF" w:themeColor="background1"/>
                              </w:rPr>
                              <w:t xml:space="preserve">falls outside of the reporting period for this form, </w:t>
                            </w:r>
                            <w:r w:rsidRPr="00A8463A">
                              <w:rPr>
                                <w:rFonts w:ascii="Arial" w:hAnsi="Arial" w:cs="Arial"/>
                                <w:color w:val="FFFFFF" w:themeColor="background1"/>
                              </w:rPr>
                              <w:t xml:space="preserve">the answer to “did the recipient receive a subsequent </w:t>
                            </w:r>
                            <w:r>
                              <w:rPr>
                                <w:rFonts w:ascii="Arial" w:hAnsi="Arial" w:cs="Arial"/>
                                <w:color w:val="FFFFFF" w:themeColor="background1"/>
                              </w:rPr>
                              <w:t>HCT</w:t>
                            </w:r>
                            <w:r w:rsidRPr="00A8463A">
                              <w:rPr>
                                <w:rFonts w:ascii="Arial" w:hAnsi="Arial" w:cs="Arial"/>
                                <w:color w:val="FFFFFF" w:themeColor="background1"/>
                              </w:rPr>
                              <w:t xml:space="preserve">” must be “yes” (question 949 in the key fields). </w:t>
                            </w:r>
                          </w:p>
                          <w:p w14:paraId="51AC0AAC" w14:textId="77777777" w:rsidR="00632864" w:rsidRDefault="00632864" w:rsidP="00961B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60" o:spid="_x0000_s1029" type="#_x0000_t202" style="position:absolute;margin-left:416.8pt;margin-top:21.5pt;width:468pt;height:174.45pt;z-index:-25163571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" fillcolor="#63a70a [3205]" stroked="f" strokeweight=".5pt">
                <v:textbox>
                  <w:txbxContent>
                    <w:p w14:paraId="631BC88E" w14:textId="33C0DED7" w:rsidR="00632864" w:rsidRPr="00A8463A" w:rsidRDefault="00632864" w:rsidP="00961B50">
                      <w:pPr>
                        <w:shd w:val="clear" w:color="auto" w:fill="63A70A" w:themeFill="accent2"/>
                        <w:jc w:val="center"/>
                        <w:rPr>
                          <w:rFonts w:ascii="Arial" w:hAnsi="Arial" w:cs="Arial"/>
                          <w:b/>
                          <w:color w:val="FFFFFF" w:themeColor="background1"/>
                        </w:rPr>
                      </w:pPr>
                      <w:r w:rsidRPr="00A8463A">
                        <w:rPr>
                          <w:rFonts w:ascii="Arial" w:hAnsi="Arial" w:cs="Arial"/>
                          <w:b/>
                          <w:bCs/>
                          <w:color w:val="FFFFFF" w:themeColor="background1"/>
                        </w:rPr>
                        <w:t xml:space="preserve">NOTE: </w:t>
                      </w:r>
                      <w:r>
                        <w:rPr>
                          <w:rFonts w:ascii="Arial" w:hAnsi="Arial" w:cs="Arial"/>
                          <w:b/>
                          <w:bCs/>
                          <w:color w:val="FFFFFF" w:themeColor="background1"/>
                        </w:rPr>
                        <w:t xml:space="preserve"> </w:t>
                      </w:r>
                      <w:r w:rsidRPr="00A8463A">
                        <w:rPr>
                          <w:rFonts w:ascii="Arial" w:hAnsi="Arial" w:cs="Arial"/>
                          <w:b/>
                          <w:bCs/>
                          <w:color w:val="FFFFFF" w:themeColor="background1"/>
                        </w:rPr>
                        <w:t>Reporting Latest Follow-up</w:t>
                      </w:r>
                    </w:p>
                    <w:p w14:paraId="3BE9D830" w14:textId="77777777" w:rsidR="00632864" w:rsidRPr="00A8463A" w:rsidRDefault="00632864" w:rsidP="00961B50">
                      <w:pPr>
                        <w:shd w:val="clear" w:color="auto" w:fill="63A70A" w:themeFill="accent2"/>
                        <w:rPr>
                          <w:rFonts w:ascii="Arial" w:hAnsi="Arial" w:cs="Arial"/>
                          <w:color w:val="FFFFFF" w:themeColor="background1"/>
                        </w:rPr>
                      </w:pPr>
                      <w:r w:rsidRPr="00A8463A">
                        <w:rPr>
                          <w:rFonts w:ascii="Arial" w:hAnsi="Arial" w:cs="Arial"/>
                          <w:color w:val="FFFFFF" w:themeColor="background1"/>
                        </w:rPr>
                        <w:t xml:space="preserve">When reporting the date of latest follow-up prior to a subsequent </w:t>
                      </w:r>
                      <w:r>
                        <w:rPr>
                          <w:rFonts w:ascii="Arial" w:hAnsi="Arial" w:cs="Arial"/>
                          <w:color w:val="FFFFFF" w:themeColor="background1"/>
                        </w:rPr>
                        <w:t>HCT</w:t>
                      </w:r>
                      <w:r w:rsidRPr="00A8463A">
                        <w:rPr>
                          <w:rFonts w:ascii="Arial" w:hAnsi="Arial" w:cs="Arial"/>
                          <w:color w:val="FFFFFF" w:themeColor="background1"/>
                        </w:rPr>
                        <w:t>, report the date specified above regardless whether there is actual patient contact on the date. This is an exception to standard date of follow-up reporting to ensure all dates are captured within the sequence of forms.</w:t>
                      </w:r>
                    </w:p>
                    <w:p w14:paraId="151772CC" w14:textId="77777777" w:rsidR="00632864" w:rsidRPr="00A8463A" w:rsidRDefault="00632864" w:rsidP="00961B50">
                      <w:pPr>
                        <w:shd w:val="clear" w:color="auto" w:fill="63A70A" w:themeFill="accent2"/>
                        <w:rPr>
                          <w:rFonts w:ascii="Arial" w:hAnsi="Arial" w:cs="Arial"/>
                          <w:color w:val="FFFFFF" w:themeColor="background1"/>
                        </w:rPr>
                      </w:pPr>
                    </w:p>
                    <w:p w14:paraId="3F9BA8EB" w14:textId="3C50DF60" w:rsidR="00632864" w:rsidRPr="00A8463A" w:rsidRDefault="00632864" w:rsidP="00961B50">
                      <w:pPr>
                        <w:shd w:val="clear" w:color="auto" w:fill="63A70A" w:themeFill="accent2"/>
                        <w:rPr>
                          <w:rFonts w:ascii="Arial" w:hAnsi="Arial" w:cs="Arial"/>
                          <w:color w:val="FFFFFF" w:themeColor="background1"/>
                        </w:rPr>
                      </w:pPr>
                      <w:r w:rsidRPr="00A8463A">
                        <w:rPr>
                          <w:rFonts w:ascii="Arial" w:hAnsi="Arial" w:cs="Arial"/>
                          <w:color w:val="FFFFFF" w:themeColor="background1"/>
                        </w:rPr>
                        <w:t xml:space="preserve">It is important to note that the date latest follow-up for the Form 2450 being completed should be </w:t>
                      </w:r>
                      <w:r>
                        <w:rPr>
                          <w:rFonts w:ascii="Arial" w:hAnsi="Arial" w:cs="Arial"/>
                          <w:i/>
                          <w:iCs/>
                          <w:color w:val="FFFFFF" w:themeColor="background1"/>
                        </w:rPr>
                        <w:t xml:space="preserve">the date prior to the start of the preparative regimen </w:t>
                      </w:r>
                      <w:r w:rsidRPr="00C26BF3">
                        <w:rPr>
                          <w:rFonts w:ascii="Arial" w:hAnsi="Arial" w:cs="Arial"/>
                          <w:iCs/>
                          <w:color w:val="FFFFFF" w:themeColor="background1"/>
                        </w:rPr>
                        <w:t>or</w:t>
                      </w:r>
                      <w:r>
                        <w:rPr>
                          <w:rFonts w:ascii="Arial" w:hAnsi="Arial" w:cs="Arial"/>
                          <w:i/>
                          <w:iCs/>
                          <w:color w:val="FFFFFF" w:themeColor="background1"/>
                        </w:rPr>
                        <w:t xml:space="preserve"> </w:t>
                      </w:r>
                      <w:r w:rsidRPr="00C26BF3">
                        <w:rPr>
                          <w:rFonts w:ascii="Arial" w:hAnsi="Arial" w:cs="Arial"/>
                          <w:i/>
                          <w:iCs/>
                          <w:color w:val="FFFFFF" w:themeColor="background1"/>
                        </w:rPr>
                        <w:t>before the date of a subsequent HCT</w:t>
                      </w:r>
                      <w:r>
                        <w:rPr>
                          <w:rFonts w:ascii="Arial" w:hAnsi="Arial" w:cs="Arial"/>
                          <w:i/>
                          <w:iCs/>
                          <w:color w:val="FFFFFF" w:themeColor="background1"/>
                        </w:rPr>
                        <w:t xml:space="preserve"> </w:t>
                      </w:r>
                      <w:r w:rsidRPr="00C26BF3">
                        <w:rPr>
                          <w:rFonts w:ascii="Arial" w:hAnsi="Arial" w:cs="Arial"/>
                          <w:iCs/>
                          <w:color w:val="FFFFFF" w:themeColor="background1"/>
                        </w:rPr>
                        <w:t>if no preparative regimen is given</w:t>
                      </w:r>
                      <w:r>
                        <w:rPr>
                          <w:rFonts w:ascii="Arial" w:hAnsi="Arial" w:cs="Arial"/>
                          <w:i/>
                          <w:iCs/>
                          <w:color w:val="FFFFFF" w:themeColor="background1"/>
                        </w:rPr>
                        <w:t>.</w:t>
                      </w:r>
                      <w:r w:rsidRPr="00A8463A">
                        <w:rPr>
                          <w:rFonts w:ascii="Arial" w:hAnsi="Arial" w:cs="Arial"/>
                          <w:color w:val="FFFFFF" w:themeColor="background1"/>
                        </w:rPr>
                        <w:t xml:space="preserve"> Also, even if the subsequent transplant date </w:t>
                      </w:r>
                      <w:r w:rsidRPr="00A8463A">
                        <w:rPr>
                          <w:rFonts w:ascii="Arial" w:hAnsi="Arial" w:cs="Arial"/>
                          <w:i/>
                          <w:iCs/>
                          <w:color w:val="FFFFFF" w:themeColor="background1"/>
                        </w:rPr>
                        <w:t xml:space="preserve">falls outside of the reporting period for this form, </w:t>
                      </w:r>
                      <w:r w:rsidRPr="00A8463A">
                        <w:rPr>
                          <w:rFonts w:ascii="Arial" w:hAnsi="Arial" w:cs="Arial"/>
                          <w:color w:val="FFFFFF" w:themeColor="background1"/>
                        </w:rPr>
                        <w:t xml:space="preserve">the answer to “did the recipient receive a subsequent </w:t>
                      </w:r>
                      <w:r>
                        <w:rPr>
                          <w:rFonts w:ascii="Arial" w:hAnsi="Arial" w:cs="Arial"/>
                          <w:color w:val="FFFFFF" w:themeColor="background1"/>
                        </w:rPr>
                        <w:t>HCT</w:t>
                      </w:r>
                      <w:r w:rsidRPr="00A8463A">
                        <w:rPr>
                          <w:rFonts w:ascii="Arial" w:hAnsi="Arial" w:cs="Arial"/>
                          <w:color w:val="FFFFFF" w:themeColor="background1"/>
                        </w:rPr>
                        <w:t xml:space="preserve">” must be “yes” (question 949 in the key fields). </w:t>
                      </w:r>
                    </w:p>
                    <w:p w14:paraId="51AC0AAC" w14:textId="77777777" w:rsidR="00632864" w:rsidRDefault="00632864" w:rsidP="00961B50"/>
                  </w:txbxContent>
                </v:textbox>
                <w10:wrap type="tight" anchorx="margin"/>
              </v:shape>
            </w:pict>
          </mc:Fallback>
        </mc:AlternateContent>
      </w:r>
    </w:p>
    <w:p w14:paraId="41AD33B6" w14:textId="77777777" w:rsidR="00877E77" w:rsidRDefault="00877E77" w:rsidP="006C4C4D">
      <w:pPr>
        <w:rPr>
          <w:rFonts w:ascii="Arial" w:hAnsi="Arial" w:cs="Arial"/>
          <w:b/>
          <w:highlight w:val="yellow"/>
        </w:rPr>
      </w:pPr>
    </w:p>
    <w:p w14:paraId="7131AC6A" w14:textId="76ED26E9" w:rsidR="00961B50" w:rsidRPr="00C530C1" w:rsidRDefault="006C4C4D" w:rsidP="006C4C4D">
      <w:pPr>
        <w:rPr>
          <w:rFonts w:ascii="Arial" w:hAnsi="Arial" w:cs="Arial"/>
          <w:b/>
        </w:rPr>
      </w:pPr>
      <w:r w:rsidRPr="00C530C1">
        <w:rPr>
          <w:rFonts w:ascii="Arial" w:hAnsi="Arial" w:cs="Arial"/>
          <w:b/>
        </w:rPr>
        <w:t xml:space="preserve">Question 1: </w:t>
      </w:r>
      <w:r w:rsidR="005A3F32">
        <w:rPr>
          <w:rFonts w:ascii="Arial" w:hAnsi="Arial" w:cs="Arial"/>
          <w:b/>
        </w:rPr>
        <w:t xml:space="preserve"> </w:t>
      </w:r>
      <w:r w:rsidR="007F6268" w:rsidRPr="00C530C1">
        <w:rPr>
          <w:rFonts w:ascii="Arial" w:hAnsi="Arial" w:cs="Arial"/>
          <w:b/>
        </w:rPr>
        <w:t xml:space="preserve">Date of actual contact with the recipient to determine medical status </w:t>
      </w:r>
    </w:p>
    <w:p w14:paraId="19B048E9" w14:textId="77777777" w:rsidR="006C4C4D" w:rsidRPr="006C4CA9" w:rsidRDefault="00A27C4C" w:rsidP="006C4C4D">
      <w:pPr>
        <w:rPr>
          <w:rFonts w:ascii="Arial" w:hAnsi="Arial" w:cs="Arial"/>
        </w:rPr>
      </w:pPr>
      <w:proofErr w:type="gramStart"/>
      <w:r w:rsidRPr="00C530C1">
        <w:rPr>
          <w:rFonts w:ascii="Arial" w:hAnsi="Arial" w:cs="Arial"/>
          <w:b/>
        </w:rPr>
        <w:t>for</w:t>
      </w:r>
      <w:proofErr w:type="gramEnd"/>
      <w:r w:rsidRPr="00C530C1">
        <w:rPr>
          <w:rFonts w:ascii="Arial" w:hAnsi="Arial" w:cs="Arial"/>
          <w:b/>
        </w:rPr>
        <w:t xml:space="preserve"> this follow-up report</w:t>
      </w:r>
    </w:p>
    <w:p w14:paraId="1AE9C36D" w14:textId="7DBD5014" w:rsidR="000F7076" w:rsidRDefault="000F7076" w:rsidP="000F7076">
      <w:pPr>
        <w:rPr>
          <w:rFonts w:ascii="Arial" w:hAnsi="Arial" w:cs="Arial"/>
        </w:rPr>
      </w:pPr>
      <w:r w:rsidRPr="00FC39A8">
        <w:rPr>
          <w:rFonts w:ascii="Arial" w:hAnsi="Arial" w:cs="Arial"/>
        </w:rPr>
        <w:t>Enter the date of actual contact with recipient to determine medical sta</w:t>
      </w:r>
      <w:r>
        <w:rPr>
          <w:rFonts w:ascii="Arial" w:hAnsi="Arial" w:cs="Arial"/>
        </w:rPr>
        <w:t>tus for this follow-up report</w:t>
      </w:r>
      <w:r w:rsidR="00F91ED8">
        <w:rPr>
          <w:rFonts w:ascii="Arial" w:hAnsi="Arial" w:cs="Arial"/>
        </w:rPr>
        <w:t xml:space="preserve">.  </w:t>
      </w:r>
      <w:r w:rsidRPr="00FC39A8">
        <w:rPr>
          <w:rFonts w:ascii="Arial" w:hAnsi="Arial" w:cs="Arial"/>
        </w:rPr>
        <w:t>Acceptable evaluations include those from the transplant center, referring physician, or other physician currently assuming responsib</w:t>
      </w:r>
      <w:r>
        <w:rPr>
          <w:rFonts w:ascii="Arial" w:hAnsi="Arial" w:cs="Arial"/>
        </w:rPr>
        <w:t>ility for the recipient’s care</w:t>
      </w:r>
      <w:r w:rsidR="00F91ED8">
        <w:rPr>
          <w:rFonts w:ascii="Arial" w:hAnsi="Arial" w:cs="Arial"/>
        </w:rPr>
        <w:t xml:space="preserve">.  </w:t>
      </w:r>
      <w:r w:rsidRPr="00FC39A8">
        <w:rPr>
          <w:rFonts w:ascii="Arial" w:hAnsi="Arial" w:cs="Arial"/>
        </w:rPr>
        <w:t xml:space="preserve">If an evaluation was not performed </w:t>
      </w:r>
      <w:r>
        <w:rPr>
          <w:rFonts w:ascii="Arial" w:hAnsi="Arial" w:cs="Arial"/>
        </w:rPr>
        <w:t>at</w:t>
      </w:r>
      <w:r w:rsidR="00C530C1">
        <w:rPr>
          <w:rFonts w:ascii="Arial" w:hAnsi="Arial" w:cs="Arial"/>
        </w:rPr>
        <w:t xml:space="preserve"> Day+</w:t>
      </w:r>
      <w:r w:rsidRPr="00FC39A8">
        <w:rPr>
          <w:rFonts w:ascii="Arial" w:hAnsi="Arial" w:cs="Arial"/>
        </w:rPr>
        <w:t xml:space="preserve">100, </w:t>
      </w:r>
      <w:r>
        <w:rPr>
          <w:rFonts w:ascii="Arial" w:hAnsi="Arial" w:cs="Arial"/>
        </w:rPr>
        <w:t xml:space="preserve">at </w:t>
      </w:r>
      <w:r w:rsidR="00622DCD">
        <w:rPr>
          <w:rFonts w:ascii="Arial" w:hAnsi="Arial" w:cs="Arial"/>
        </w:rPr>
        <w:t>6</w:t>
      </w:r>
      <w:r w:rsidRPr="00FC39A8">
        <w:rPr>
          <w:rFonts w:ascii="Arial" w:hAnsi="Arial" w:cs="Arial"/>
        </w:rPr>
        <w:t xml:space="preserve"> months</w:t>
      </w:r>
      <w:r>
        <w:rPr>
          <w:rFonts w:ascii="Arial" w:hAnsi="Arial" w:cs="Arial"/>
        </w:rPr>
        <w:t>,</w:t>
      </w:r>
      <w:r w:rsidRPr="00FC39A8">
        <w:rPr>
          <w:rFonts w:ascii="Arial" w:hAnsi="Arial" w:cs="Arial"/>
        </w:rPr>
        <w:t xml:space="preserve"> or </w:t>
      </w:r>
      <w:r>
        <w:rPr>
          <w:rFonts w:ascii="Arial" w:hAnsi="Arial" w:cs="Arial"/>
        </w:rPr>
        <w:t xml:space="preserve">on the </w:t>
      </w:r>
      <w:r w:rsidR="00AF4E5A">
        <w:rPr>
          <w:rFonts w:ascii="Arial" w:hAnsi="Arial" w:cs="Arial"/>
        </w:rPr>
        <w:t>HCT</w:t>
      </w:r>
      <w:r w:rsidRPr="00FC39A8">
        <w:rPr>
          <w:rFonts w:ascii="Arial" w:hAnsi="Arial" w:cs="Arial"/>
        </w:rPr>
        <w:t xml:space="preserve"> anniversary</w:t>
      </w:r>
      <w:r>
        <w:rPr>
          <w:rFonts w:ascii="Arial" w:hAnsi="Arial" w:cs="Arial"/>
        </w:rPr>
        <w:t>,</w:t>
      </w:r>
      <w:r w:rsidRPr="00FC39A8">
        <w:rPr>
          <w:rFonts w:ascii="Arial" w:hAnsi="Arial" w:cs="Arial"/>
        </w:rPr>
        <w:t xml:space="preserve"> choose the date of the visit close</w:t>
      </w:r>
      <w:r>
        <w:rPr>
          <w:rFonts w:ascii="Arial" w:hAnsi="Arial" w:cs="Arial"/>
        </w:rPr>
        <w:t>s</w:t>
      </w:r>
      <w:r w:rsidRPr="00FC39A8">
        <w:rPr>
          <w:rFonts w:ascii="Arial" w:hAnsi="Arial" w:cs="Arial"/>
        </w:rPr>
        <w:t>t to the actual time point.</w:t>
      </w:r>
    </w:p>
    <w:p w14:paraId="49DF1877" w14:textId="77777777" w:rsidR="00C530C1" w:rsidRDefault="00C530C1" w:rsidP="000F7076">
      <w:pPr>
        <w:rPr>
          <w:rFonts w:ascii="Arial" w:hAnsi="Arial" w:cs="Arial"/>
        </w:rPr>
      </w:pPr>
    </w:p>
    <w:p w14:paraId="14FAE998" w14:textId="331B4B01" w:rsidR="000F7076" w:rsidRDefault="000F7076" w:rsidP="000F7076">
      <w:pPr>
        <w:rPr>
          <w:rFonts w:ascii="Arial" w:hAnsi="Arial" w:cs="Arial"/>
        </w:rPr>
      </w:pPr>
      <w:r w:rsidRPr="00E411FC">
        <w:rPr>
          <w:rFonts w:ascii="Arial" w:hAnsi="Arial" w:cs="Arial"/>
        </w:rPr>
        <w:t xml:space="preserve">If </w:t>
      </w:r>
      <w:r>
        <w:rPr>
          <w:rFonts w:ascii="Arial" w:hAnsi="Arial" w:cs="Arial"/>
        </w:rPr>
        <w:t xml:space="preserve">the </w:t>
      </w:r>
      <w:r w:rsidRPr="00E411FC">
        <w:rPr>
          <w:rFonts w:ascii="Arial" w:hAnsi="Arial" w:cs="Arial"/>
        </w:rPr>
        <w:t xml:space="preserve">recipient has not been seen by a </w:t>
      </w:r>
      <w:r w:rsidR="00C530C1">
        <w:rPr>
          <w:rFonts w:ascii="Arial" w:hAnsi="Arial" w:cs="Arial"/>
        </w:rPr>
        <w:t>clinician during the reporting period</w:t>
      </w:r>
      <w:r w:rsidRPr="00E411FC">
        <w:rPr>
          <w:rFonts w:ascii="Arial" w:hAnsi="Arial" w:cs="Arial"/>
        </w:rPr>
        <w:t xml:space="preserve"> but </w:t>
      </w:r>
      <w:r>
        <w:rPr>
          <w:rFonts w:ascii="Arial" w:hAnsi="Arial" w:cs="Arial"/>
        </w:rPr>
        <w:t xml:space="preserve">the </w:t>
      </w:r>
      <w:r w:rsidRPr="00E411FC">
        <w:rPr>
          <w:rFonts w:ascii="Arial" w:hAnsi="Arial" w:cs="Arial"/>
        </w:rPr>
        <w:t>survival status is known, submit the Post-TED reporting only the survival status.</w:t>
      </w:r>
    </w:p>
    <w:p w14:paraId="78E01A26" w14:textId="77777777" w:rsidR="000F7076" w:rsidRDefault="000F7076" w:rsidP="000F7076">
      <w:pPr>
        <w:rPr>
          <w:rFonts w:ascii="Arial" w:hAnsi="Arial" w:cs="Arial"/>
        </w:rPr>
      </w:pPr>
    </w:p>
    <w:p w14:paraId="48580AE8" w14:textId="623564D2" w:rsidR="000F7076" w:rsidRPr="00043CAB" w:rsidRDefault="000F7076" w:rsidP="000F7076">
      <w:pPr>
        <w:rPr>
          <w:rFonts w:ascii="Arial" w:hAnsi="Arial" w:cs="Arial"/>
        </w:rPr>
      </w:pPr>
      <w:r w:rsidRPr="00043CAB">
        <w:rPr>
          <w:rFonts w:ascii="Arial" w:hAnsi="Arial" w:cs="Arial"/>
        </w:rPr>
        <w:t xml:space="preserve">In general, the date of contact should be reported as close to the </w:t>
      </w:r>
      <w:proofErr w:type="gramStart"/>
      <w:r w:rsidRPr="00043CAB">
        <w:rPr>
          <w:rFonts w:ascii="Arial" w:hAnsi="Arial" w:cs="Arial"/>
        </w:rPr>
        <w:t>100 day</w:t>
      </w:r>
      <w:proofErr w:type="gramEnd"/>
      <w:r w:rsidRPr="00043CAB">
        <w:rPr>
          <w:rFonts w:ascii="Arial" w:hAnsi="Arial" w:cs="Arial"/>
        </w:rPr>
        <w:t xml:space="preserve">, </w:t>
      </w:r>
      <w:r w:rsidR="00622DCD">
        <w:rPr>
          <w:rFonts w:ascii="Arial" w:hAnsi="Arial" w:cs="Arial"/>
        </w:rPr>
        <w:t xml:space="preserve">6 </w:t>
      </w:r>
      <w:r w:rsidRPr="00043CAB">
        <w:rPr>
          <w:rFonts w:ascii="Arial" w:hAnsi="Arial" w:cs="Arial"/>
        </w:rPr>
        <w:t>month, or annual anniversary to transplant as possible</w:t>
      </w:r>
      <w:r w:rsidR="00F91ED8">
        <w:rPr>
          <w:rFonts w:ascii="Arial" w:hAnsi="Arial" w:cs="Arial"/>
        </w:rPr>
        <w:t xml:space="preserve">.  </w:t>
      </w:r>
      <w:r w:rsidRPr="00043CAB">
        <w:rPr>
          <w:rFonts w:ascii="Arial" w:hAnsi="Arial" w:cs="Arial"/>
        </w:rPr>
        <w:t>Report the date of actual contact with the recipient to evaluate medical status for the reporting period</w:t>
      </w:r>
      <w:r w:rsidR="00F91ED8">
        <w:rPr>
          <w:rFonts w:ascii="Arial" w:hAnsi="Arial" w:cs="Arial"/>
        </w:rPr>
        <w:t xml:space="preserve">.  </w:t>
      </w:r>
      <w:r w:rsidRPr="00043CAB">
        <w:rPr>
          <w:rFonts w:ascii="Arial" w:hAnsi="Arial" w:cs="Arial"/>
        </w:rPr>
        <w:t xml:space="preserve">In the absence of contact with a </w:t>
      </w:r>
      <w:r w:rsidR="00C530C1">
        <w:rPr>
          <w:rFonts w:ascii="Arial" w:hAnsi="Arial" w:cs="Arial"/>
        </w:rPr>
        <w:t>clinician</w:t>
      </w:r>
      <w:r w:rsidRPr="00043CAB">
        <w:rPr>
          <w:rFonts w:ascii="Arial" w:hAnsi="Arial" w:cs="Arial"/>
        </w:rPr>
        <w:t>, other types of contact may include a documented phone call with the recipient, a laboratory evaluation, or any other documented recipient interaction on the date reported</w:t>
      </w:r>
      <w:r w:rsidR="00F91ED8">
        <w:rPr>
          <w:rFonts w:ascii="Arial" w:hAnsi="Arial" w:cs="Arial"/>
        </w:rPr>
        <w:t xml:space="preserve">.  </w:t>
      </w:r>
      <w:r w:rsidRPr="00043CAB">
        <w:rPr>
          <w:rFonts w:ascii="Arial" w:hAnsi="Arial" w:cs="Arial"/>
        </w:rPr>
        <w:t>If there was no contact on the exact time point, choose the date of contact closest to the actual time point</w:t>
      </w:r>
      <w:r w:rsidR="00F91ED8">
        <w:rPr>
          <w:rFonts w:ascii="Arial" w:hAnsi="Arial" w:cs="Arial"/>
        </w:rPr>
        <w:t xml:space="preserve">.  </w:t>
      </w:r>
      <w:r w:rsidRPr="00043CAB">
        <w:rPr>
          <w:rFonts w:ascii="Arial" w:hAnsi="Arial" w:cs="Arial"/>
        </w:rPr>
        <w:t>Below, the guidelines show an ideal approximate range for reporting each post-transplant time point:</w:t>
      </w:r>
    </w:p>
    <w:p w14:paraId="74A73DB8" w14:textId="51560E55" w:rsidR="00F45F5B" w:rsidRDefault="00F45F5B">
      <w:pPr>
        <w:spacing w:after="200" w:line="276" w:lineRule="auto"/>
        <w:rPr>
          <w:rFonts w:ascii="Arial" w:hAnsi="Arial" w:cs="Arial"/>
        </w:rPr>
      </w:pPr>
      <w:r>
        <w:rPr>
          <w:rFonts w:ascii="Arial" w:hAnsi="Arial" w:cs="Arial"/>
        </w:rPr>
        <w:br w:type="page"/>
      </w:r>
    </w:p>
    <w:p w14:paraId="6D70B52F" w14:textId="77777777" w:rsidR="000F7076" w:rsidRPr="00043CAB" w:rsidRDefault="000F7076" w:rsidP="000F7076">
      <w:pPr>
        <w:rPr>
          <w:rFonts w:ascii="Arial" w:hAnsi="Arial" w:cs="Arial"/>
        </w:rPr>
      </w:pPr>
    </w:p>
    <w:tbl>
      <w:tblPr>
        <w:tblStyle w:val="TableGrid"/>
        <w:tblW w:w="0" w:type="auto"/>
        <w:jc w:val="center"/>
        <w:tblLook w:val="04A0" w:firstRow="1" w:lastRow="0" w:firstColumn="1" w:lastColumn="0" w:noHBand="0" w:noVBand="1"/>
      </w:tblPr>
      <w:tblGrid>
        <w:gridCol w:w="2669"/>
        <w:gridCol w:w="2101"/>
        <w:gridCol w:w="3060"/>
      </w:tblGrid>
      <w:tr w:rsidR="000F7076" w:rsidRPr="00043CAB" w14:paraId="2B7E08FB" w14:textId="77777777" w:rsidTr="00C530C1">
        <w:trPr>
          <w:jc w:val="center"/>
        </w:trPr>
        <w:tc>
          <w:tcPr>
            <w:tcW w:w="2669" w:type="dxa"/>
            <w:shd w:val="clear" w:color="auto" w:fill="63A70A" w:themeFill="accent2"/>
          </w:tcPr>
          <w:p w14:paraId="4EF7BB12" w14:textId="77777777" w:rsidR="000F7076" w:rsidRPr="00043CAB" w:rsidRDefault="000F7076" w:rsidP="000F7076">
            <w:pPr>
              <w:rPr>
                <w:rFonts w:ascii="Arial" w:hAnsi="Arial" w:cs="Arial"/>
                <w:b/>
                <w:color w:val="FFFFFF" w:themeColor="background1"/>
              </w:rPr>
            </w:pPr>
            <w:r w:rsidRPr="00043CAB">
              <w:rPr>
                <w:rFonts w:ascii="Arial" w:hAnsi="Arial" w:cs="Arial"/>
                <w:b/>
                <w:color w:val="FFFFFF" w:themeColor="background1"/>
              </w:rPr>
              <w:t xml:space="preserve">Form </w:t>
            </w:r>
          </w:p>
        </w:tc>
        <w:tc>
          <w:tcPr>
            <w:tcW w:w="2101" w:type="dxa"/>
            <w:shd w:val="clear" w:color="auto" w:fill="63A70A" w:themeFill="accent2"/>
          </w:tcPr>
          <w:p w14:paraId="10D08BDE" w14:textId="77777777" w:rsidR="000F7076" w:rsidRPr="00043CAB" w:rsidRDefault="000F7076" w:rsidP="000F7076">
            <w:pPr>
              <w:rPr>
                <w:rFonts w:ascii="Arial" w:hAnsi="Arial" w:cs="Arial"/>
                <w:b/>
                <w:color w:val="FFFFFF" w:themeColor="background1"/>
              </w:rPr>
            </w:pPr>
            <w:r w:rsidRPr="00043CAB">
              <w:rPr>
                <w:rFonts w:ascii="Arial" w:hAnsi="Arial" w:cs="Arial"/>
                <w:b/>
                <w:color w:val="FFFFFF" w:themeColor="background1"/>
              </w:rPr>
              <w:t>Time Point</w:t>
            </w:r>
          </w:p>
        </w:tc>
        <w:tc>
          <w:tcPr>
            <w:tcW w:w="3060" w:type="dxa"/>
            <w:shd w:val="clear" w:color="auto" w:fill="63A70A" w:themeFill="accent2"/>
          </w:tcPr>
          <w:p w14:paraId="2B926D76" w14:textId="77777777" w:rsidR="000F7076" w:rsidRPr="00043CAB" w:rsidRDefault="000F7076" w:rsidP="000F7076">
            <w:pPr>
              <w:rPr>
                <w:rFonts w:ascii="Arial" w:hAnsi="Arial" w:cs="Arial"/>
                <w:b/>
                <w:color w:val="FFFFFF" w:themeColor="background1"/>
              </w:rPr>
            </w:pPr>
            <w:r w:rsidRPr="00043CAB">
              <w:rPr>
                <w:rFonts w:ascii="Arial" w:hAnsi="Arial" w:cs="Arial"/>
                <w:b/>
                <w:color w:val="FFFFFF" w:themeColor="background1"/>
              </w:rPr>
              <w:t>Approximate Range</w:t>
            </w:r>
          </w:p>
        </w:tc>
      </w:tr>
      <w:tr w:rsidR="000F7076" w:rsidRPr="00043CAB" w14:paraId="5FA806B2" w14:textId="77777777" w:rsidTr="00C530C1">
        <w:trPr>
          <w:jc w:val="center"/>
        </w:trPr>
        <w:tc>
          <w:tcPr>
            <w:tcW w:w="2669" w:type="dxa"/>
            <w:vMerge w:val="restart"/>
            <w:vAlign w:val="center"/>
          </w:tcPr>
          <w:p w14:paraId="1D2B591B" w14:textId="77777777" w:rsidR="000F7076" w:rsidRPr="00043CAB" w:rsidRDefault="000F7076" w:rsidP="000F7076">
            <w:pPr>
              <w:jc w:val="center"/>
              <w:rPr>
                <w:rFonts w:ascii="Arial" w:hAnsi="Arial" w:cs="Arial"/>
              </w:rPr>
            </w:pPr>
            <w:r>
              <w:rPr>
                <w:rFonts w:ascii="Arial" w:hAnsi="Arial" w:cs="Arial"/>
              </w:rPr>
              <w:t>Post-TED (Form 2450)</w:t>
            </w:r>
          </w:p>
        </w:tc>
        <w:tc>
          <w:tcPr>
            <w:tcW w:w="2101" w:type="dxa"/>
          </w:tcPr>
          <w:p w14:paraId="23062512" w14:textId="77777777" w:rsidR="000F7076" w:rsidRPr="00043CAB" w:rsidRDefault="000F7076" w:rsidP="000F7076">
            <w:pPr>
              <w:rPr>
                <w:rFonts w:ascii="Arial" w:hAnsi="Arial" w:cs="Arial"/>
              </w:rPr>
            </w:pPr>
            <w:r w:rsidRPr="00043CAB">
              <w:rPr>
                <w:rFonts w:ascii="Arial" w:hAnsi="Arial" w:cs="Arial"/>
              </w:rPr>
              <w:t>100 days</w:t>
            </w:r>
          </w:p>
        </w:tc>
        <w:tc>
          <w:tcPr>
            <w:tcW w:w="3060" w:type="dxa"/>
          </w:tcPr>
          <w:p w14:paraId="3DC8E939" w14:textId="77777777" w:rsidR="000F7076" w:rsidRPr="00043CAB" w:rsidRDefault="000F7076" w:rsidP="000F7076">
            <w:pPr>
              <w:rPr>
                <w:rFonts w:ascii="Arial" w:hAnsi="Arial" w:cs="Arial"/>
              </w:rPr>
            </w:pPr>
            <w:r w:rsidRPr="00043CAB">
              <w:rPr>
                <w:rFonts w:ascii="Arial" w:hAnsi="Arial" w:cs="Arial"/>
              </w:rPr>
              <w:t>+/- 15 days (Day 85-115)</w:t>
            </w:r>
          </w:p>
        </w:tc>
      </w:tr>
      <w:tr w:rsidR="000F7076" w:rsidRPr="00043CAB" w14:paraId="6FFB761F" w14:textId="77777777" w:rsidTr="00C530C1">
        <w:trPr>
          <w:jc w:val="center"/>
        </w:trPr>
        <w:tc>
          <w:tcPr>
            <w:tcW w:w="2669" w:type="dxa"/>
            <w:vMerge/>
          </w:tcPr>
          <w:p w14:paraId="4C15D672" w14:textId="77777777" w:rsidR="000F7076" w:rsidRPr="00043CAB" w:rsidRDefault="000F7076" w:rsidP="000F7076">
            <w:pPr>
              <w:rPr>
                <w:rFonts w:ascii="Arial" w:hAnsi="Arial" w:cs="Arial"/>
              </w:rPr>
            </w:pPr>
          </w:p>
        </w:tc>
        <w:tc>
          <w:tcPr>
            <w:tcW w:w="2101" w:type="dxa"/>
          </w:tcPr>
          <w:p w14:paraId="7CD0AFF2" w14:textId="0C583D71" w:rsidR="000F7076" w:rsidRPr="00043CAB" w:rsidRDefault="00C530C1" w:rsidP="000F7076">
            <w:pPr>
              <w:rPr>
                <w:rFonts w:ascii="Arial" w:hAnsi="Arial" w:cs="Arial"/>
              </w:rPr>
            </w:pPr>
            <w:r>
              <w:rPr>
                <w:rFonts w:ascii="Arial" w:hAnsi="Arial" w:cs="Arial"/>
              </w:rPr>
              <w:t>6 m</w:t>
            </w:r>
            <w:r w:rsidR="000F7076" w:rsidRPr="00043CAB">
              <w:rPr>
                <w:rFonts w:ascii="Arial" w:hAnsi="Arial" w:cs="Arial"/>
              </w:rPr>
              <w:t>onths</w:t>
            </w:r>
          </w:p>
        </w:tc>
        <w:tc>
          <w:tcPr>
            <w:tcW w:w="3060" w:type="dxa"/>
          </w:tcPr>
          <w:p w14:paraId="6CFAE3A1" w14:textId="77777777" w:rsidR="000F7076" w:rsidRPr="00043CAB" w:rsidRDefault="000F7076" w:rsidP="000F7076">
            <w:pPr>
              <w:rPr>
                <w:rFonts w:ascii="Arial" w:hAnsi="Arial" w:cs="Arial"/>
              </w:rPr>
            </w:pPr>
            <w:r w:rsidRPr="00043CAB">
              <w:rPr>
                <w:rFonts w:ascii="Arial" w:hAnsi="Arial" w:cs="Arial"/>
              </w:rPr>
              <w:t>+/- 30 days (Day 150-210)</w:t>
            </w:r>
          </w:p>
        </w:tc>
      </w:tr>
      <w:tr w:rsidR="000F7076" w:rsidRPr="00043CAB" w14:paraId="057D31FD" w14:textId="77777777" w:rsidTr="00C530C1">
        <w:trPr>
          <w:jc w:val="center"/>
        </w:trPr>
        <w:tc>
          <w:tcPr>
            <w:tcW w:w="2669" w:type="dxa"/>
            <w:vMerge/>
          </w:tcPr>
          <w:p w14:paraId="1CEF6CFD" w14:textId="77777777" w:rsidR="000F7076" w:rsidRPr="00043CAB" w:rsidRDefault="000F7076" w:rsidP="000F7076">
            <w:pPr>
              <w:rPr>
                <w:rFonts w:ascii="Arial" w:hAnsi="Arial" w:cs="Arial"/>
              </w:rPr>
            </w:pPr>
          </w:p>
        </w:tc>
        <w:tc>
          <w:tcPr>
            <w:tcW w:w="2101" w:type="dxa"/>
          </w:tcPr>
          <w:p w14:paraId="2834E4C7" w14:textId="0CA11BCA" w:rsidR="000F7076" w:rsidRPr="00043CAB" w:rsidRDefault="00C530C1" w:rsidP="000F7076">
            <w:pPr>
              <w:rPr>
                <w:rFonts w:ascii="Arial" w:hAnsi="Arial" w:cs="Arial"/>
              </w:rPr>
            </w:pPr>
            <w:r>
              <w:rPr>
                <w:rFonts w:ascii="Arial" w:hAnsi="Arial" w:cs="Arial"/>
              </w:rPr>
              <w:t>1 year, 2 year, 3 y</w:t>
            </w:r>
            <w:r w:rsidR="000F7076" w:rsidRPr="00043CAB">
              <w:rPr>
                <w:rFonts w:ascii="Arial" w:hAnsi="Arial" w:cs="Arial"/>
              </w:rPr>
              <w:t>ear, etc.</w:t>
            </w:r>
          </w:p>
        </w:tc>
        <w:tc>
          <w:tcPr>
            <w:tcW w:w="3060" w:type="dxa"/>
          </w:tcPr>
          <w:p w14:paraId="103968FB" w14:textId="77777777" w:rsidR="000F7076" w:rsidRPr="00043CAB" w:rsidRDefault="000F7076" w:rsidP="000F7076">
            <w:pPr>
              <w:rPr>
                <w:rFonts w:ascii="Arial" w:hAnsi="Arial" w:cs="Arial"/>
              </w:rPr>
            </w:pPr>
            <w:r w:rsidRPr="00043CAB">
              <w:rPr>
                <w:rFonts w:ascii="Arial" w:hAnsi="Arial" w:cs="Arial"/>
              </w:rPr>
              <w:t xml:space="preserve">+/- 30 days (Months 11-13, 23-25, 35-37, </w:t>
            </w:r>
            <w:proofErr w:type="spellStart"/>
            <w:r w:rsidRPr="00043CAB">
              <w:rPr>
                <w:rFonts w:ascii="Arial" w:hAnsi="Arial" w:cs="Arial"/>
              </w:rPr>
              <w:t>etc</w:t>
            </w:r>
            <w:proofErr w:type="spellEnd"/>
            <w:r w:rsidRPr="00043CAB">
              <w:rPr>
                <w:rFonts w:ascii="Arial" w:hAnsi="Arial" w:cs="Arial"/>
              </w:rPr>
              <w:t>)</w:t>
            </w:r>
          </w:p>
        </w:tc>
      </w:tr>
    </w:tbl>
    <w:p w14:paraId="2EF3715B" w14:textId="77777777" w:rsidR="000F7076" w:rsidRPr="00043CAB" w:rsidRDefault="000F7076" w:rsidP="000F7076">
      <w:pPr>
        <w:rPr>
          <w:rFonts w:ascii="Arial" w:hAnsi="Arial" w:cs="Arial"/>
        </w:rPr>
      </w:pPr>
    </w:p>
    <w:p w14:paraId="4C507D9C" w14:textId="73C12A05" w:rsidR="000F7076" w:rsidRPr="00043CAB" w:rsidRDefault="000F7076" w:rsidP="000F7076">
      <w:pPr>
        <w:rPr>
          <w:rFonts w:ascii="Arial" w:hAnsi="Arial" w:cs="Arial"/>
        </w:rPr>
      </w:pPr>
      <w:r w:rsidRPr="00043CAB">
        <w:rPr>
          <w:rFonts w:ascii="Arial" w:hAnsi="Arial" w:cs="Arial"/>
        </w:rPr>
        <w:t xml:space="preserve">Recipients </w:t>
      </w:r>
      <w:proofErr w:type="gramStart"/>
      <w:r w:rsidRPr="00043CAB">
        <w:rPr>
          <w:rFonts w:ascii="Arial" w:hAnsi="Arial" w:cs="Arial"/>
        </w:rPr>
        <w:t>are not always seen</w:t>
      </w:r>
      <w:proofErr w:type="gramEnd"/>
      <w:r w:rsidRPr="00043CAB">
        <w:rPr>
          <w:rFonts w:ascii="Arial" w:hAnsi="Arial" w:cs="Arial"/>
        </w:rPr>
        <w:t xml:space="preserve"> within the approximate ranges and some discretion is required when determining the date of contact to report</w:t>
      </w:r>
      <w:r w:rsidR="00F91ED8">
        <w:rPr>
          <w:rFonts w:ascii="Arial" w:hAnsi="Arial" w:cs="Arial"/>
        </w:rPr>
        <w:t xml:space="preserve">.  </w:t>
      </w:r>
      <w:r w:rsidRPr="00043CAB">
        <w:rPr>
          <w:rFonts w:ascii="Arial" w:hAnsi="Arial" w:cs="Arial"/>
        </w:rPr>
        <w:t>In that case, report the date closest to the date of contact within reason</w:t>
      </w:r>
      <w:r w:rsidR="00F91ED8">
        <w:rPr>
          <w:rFonts w:ascii="Arial" w:hAnsi="Arial" w:cs="Arial"/>
        </w:rPr>
        <w:t xml:space="preserve">.  </w:t>
      </w:r>
      <w:r w:rsidRPr="00043CAB">
        <w:rPr>
          <w:rFonts w:ascii="Arial" w:hAnsi="Arial" w:cs="Arial"/>
        </w:rPr>
        <w:t>The examples below assume that efforts were undertaken to retrieve outside medical records from the primary care provider, but source documentation was available.</w:t>
      </w:r>
    </w:p>
    <w:p w14:paraId="46EFA370" w14:textId="77777777" w:rsidR="000F7076" w:rsidRPr="00043CAB" w:rsidRDefault="000F7076" w:rsidP="000F7076">
      <w:pPr>
        <w:rPr>
          <w:rFonts w:ascii="Arial" w:hAnsi="Arial" w:cs="Arial"/>
        </w:rPr>
      </w:pPr>
    </w:p>
    <w:p w14:paraId="725DCA63" w14:textId="4F018283" w:rsidR="000F7076" w:rsidRPr="00043CAB" w:rsidRDefault="000F7076" w:rsidP="000F7076">
      <w:pPr>
        <w:rPr>
          <w:rFonts w:ascii="Arial" w:hAnsi="Arial" w:cs="Arial"/>
          <w:i/>
        </w:rPr>
      </w:pPr>
      <w:proofErr w:type="gramStart"/>
      <w:r w:rsidRPr="00043CAB">
        <w:rPr>
          <w:rFonts w:ascii="Arial" w:hAnsi="Arial" w:cs="Arial"/>
          <w:b/>
        </w:rPr>
        <w:t>Example 1</w:t>
      </w:r>
      <w:r w:rsidR="00F91ED8">
        <w:rPr>
          <w:rFonts w:ascii="Arial" w:hAnsi="Arial" w:cs="Arial"/>
          <w:b/>
        </w:rPr>
        <w:t>.</w:t>
      </w:r>
      <w:proofErr w:type="gramEnd"/>
      <w:r w:rsidR="00F91ED8">
        <w:rPr>
          <w:rFonts w:ascii="Arial" w:hAnsi="Arial" w:cs="Arial"/>
          <w:b/>
        </w:rPr>
        <w:t xml:space="preserve">  </w:t>
      </w:r>
      <w:r w:rsidRPr="00043CAB">
        <w:rPr>
          <w:rFonts w:ascii="Arial" w:hAnsi="Arial" w:cs="Arial"/>
          <w:i/>
        </w:rPr>
        <w:t>The 100 day date of contact doesn’t fall within the ideal approximate range.</w:t>
      </w:r>
    </w:p>
    <w:p w14:paraId="132A3BD7" w14:textId="77777777" w:rsidR="000F7076" w:rsidRPr="00043CAB" w:rsidRDefault="000F7076" w:rsidP="000F7076">
      <w:pPr>
        <w:rPr>
          <w:rFonts w:ascii="Arial" w:hAnsi="Arial" w:cs="Arial"/>
        </w:rPr>
      </w:pPr>
    </w:p>
    <w:p w14:paraId="564674F4" w14:textId="695285C8" w:rsidR="000F7076" w:rsidRPr="00043CAB" w:rsidRDefault="000F7076" w:rsidP="000F7076">
      <w:pPr>
        <w:ind w:left="720"/>
        <w:rPr>
          <w:rFonts w:ascii="Arial" w:hAnsi="Arial" w:cs="Arial"/>
        </w:rPr>
      </w:pPr>
      <w:r w:rsidRPr="00043CAB">
        <w:rPr>
          <w:rFonts w:ascii="Arial" w:hAnsi="Arial" w:cs="Arial"/>
        </w:rPr>
        <w:t xml:space="preserve">The autologous recipient </w:t>
      </w:r>
      <w:proofErr w:type="gramStart"/>
      <w:r w:rsidRPr="00043CAB">
        <w:rPr>
          <w:rFonts w:ascii="Arial" w:hAnsi="Arial" w:cs="Arial"/>
        </w:rPr>
        <w:t>was transplanted</w:t>
      </w:r>
      <w:proofErr w:type="gramEnd"/>
      <w:r w:rsidRPr="00043CAB">
        <w:rPr>
          <w:rFonts w:ascii="Arial" w:hAnsi="Arial" w:cs="Arial"/>
        </w:rPr>
        <w:t xml:space="preserve"> on 1/1/13 and is seen regularly until 3/1/13</w:t>
      </w:r>
      <w:r w:rsidR="00F91ED8">
        <w:rPr>
          <w:rFonts w:ascii="Arial" w:hAnsi="Arial" w:cs="Arial"/>
        </w:rPr>
        <w:t xml:space="preserve">.  </w:t>
      </w:r>
      <w:r w:rsidRPr="00043CAB">
        <w:rPr>
          <w:rFonts w:ascii="Arial" w:hAnsi="Arial" w:cs="Arial"/>
        </w:rPr>
        <w:t xml:space="preserve">After that, the recipient was referred home and not seen again until 7/1/13 for a restaging exam and 7/5/13 for a meeting to discuss the results. </w:t>
      </w:r>
    </w:p>
    <w:p w14:paraId="6801AA47" w14:textId="77777777" w:rsidR="000F7076" w:rsidRPr="00043CAB" w:rsidRDefault="000F7076" w:rsidP="000F7076">
      <w:pPr>
        <w:rPr>
          <w:rFonts w:ascii="Arial" w:hAnsi="Arial" w:cs="Arial"/>
        </w:rPr>
      </w:pPr>
    </w:p>
    <w:p w14:paraId="22EE4661" w14:textId="77777777" w:rsidR="000F7076" w:rsidRPr="00043CAB" w:rsidRDefault="000F7076" w:rsidP="000F7076">
      <w:pPr>
        <w:ind w:left="720" w:right="720"/>
        <w:rPr>
          <w:rFonts w:ascii="Arial" w:hAnsi="Arial" w:cs="Arial"/>
        </w:rPr>
      </w:pPr>
      <w:r w:rsidRPr="00043CAB">
        <w:rPr>
          <w:rFonts w:ascii="Arial" w:hAnsi="Arial" w:cs="Arial"/>
        </w:rPr>
        <w:t>What to report:</w:t>
      </w:r>
    </w:p>
    <w:p w14:paraId="2A0EAFE3" w14:textId="77777777" w:rsidR="000F7076" w:rsidRPr="00043CAB" w:rsidRDefault="000F7076" w:rsidP="000F7076">
      <w:pPr>
        <w:ind w:left="720" w:right="720"/>
        <w:rPr>
          <w:rFonts w:ascii="Arial" w:hAnsi="Arial" w:cs="Arial"/>
        </w:rPr>
      </w:pPr>
      <w:r w:rsidRPr="00043CAB">
        <w:rPr>
          <w:rFonts w:ascii="Arial" w:hAnsi="Arial" w:cs="Arial"/>
          <w:u w:val="single"/>
        </w:rPr>
        <w:t>100 Day Date of Contact:</w:t>
      </w:r>
      <w:r w:rsidRPr="00043CAB">
        <w:rPr>
          <w:rFonts w:ascii="Arial" w:hAnsi="Arial" w:cs="Arial"/>
        </w:rPr>
        <w:t xml:space="preserve"> 3/1/13 (Since there was no contact closer to the ideal date of 4/11/13, this date is acceptable)</w:t>
      </w:r>
    </w:p>
    <w:p w14:paraId="107E573B" w14:textId="77777777" w:rsidR="000F7076" w:rsidRPr="00043CAB" w:rsidRDefault="000F7076" w:rsidP="000F7076">
      <w:pPr>
        <w:ind w:left="720" w:right="720"/>
        <w:rPr>
          <w:rFonts w:ascii="Arial" w:hAnsi="Arial" w:cs="Arial"/>
        </w:rPr>
      </w:pPr>
      <w:r w:rsidRPr="00043CAB">
        <w:rPr>
          <w:rFonts w:ascii="Arial" w:hAnsi="Arial" w:cs="Arial"/>
          <w:u w:val="single"/>
        </w:rPr>
        <w:t>6 Month Date of Contact:</w:t>
      </w:r>
      <w:r w:rsidRPr="00043CAB">
        <w:rPr>
          <w:rFonts w:ascii="Arial" w:hAnsi="Arial" w:cs="Arial"/>
        </w:rPr>
        <w:t xml:space="preserve"> 7/5/13 (note the latest disease assessment would likely be reported as 7/1/13)</w:t>
      </w:r>
    </w:p>
    <w:p w14:paraId="59E53C03" w14:textId="77777777" w:rsidR="000F7076" w:rsidRPr="00043CAB" w:rsidRDefault="000F7076" w:rsidP="000F7076">
      <w:pPr>
        <w:rPr>
          <w:rFonts w:ascii="Arial" w:hAnsi="Arial" w:cs="Arial"/>
        </w:rPr>
      </w:pPr>
    </w:p>
    <w:p w14:paraId="4A3C272A" w14:textId="2F14A274" w:rsidR="000F7076" w:rsidRPr="00043CAB" w:rsidRDefault="000F7076" w:rsidP="000F7076">
      <w:pPr>
        <w:rPr>
          <w:rFonts w:ascii="Arial" w:hAnsi="Arial" w:cs="Arial"/>
          <w:i/>
        </w:rPr>
      </w:pPr>
      <w:proofErr w:type="gramStart"/>
      <w:r w:rsidRPr="00043CAB">
        <w:rPr>
          <w:rFonts w:ascii="Arial" w:hAnsi="Arial" w:cs="Arial"/>
          <w:b/>
        </w:rPr>
        <w:t>Example 2</w:t>
      </w:r>
      <w:r w:rsidR="00F91ED8">
        <w:rPr>
          <w:rFonts w:ascii="Arial" w:hAnsi="Arial" w:cs="Arial"/>
          <w:b/>
        </w:rPr>
        <w:t>.</w:t>
      </w:r>
      <w:proofErr w:type="gramEnd"/>
      <w:r w:rsidR="00F91ED8">
        <w:rPr>
          <w:rFonts w:ascii="Arial" w:hAnsi="Arial" w:cs="Arial"/>
          <w:b/>
        </w:rPr>
        <w:t xml:space="preserve">  </w:t>
      </w:r>
      <w:r w:rsidRPr="00043CAB">
        <w:rPr>
          <w:rFonts w:ascii="Arial" w:hAnsi="Arial" w:cs="Arial"/>
          <w:i/>
        </w:rPr>
        <w:t>The 100 day date of contact doesn’t fall within the ideal approximate range and the recipient wasn’t seen again until 1 year post-HCT.</w:t>
      </w:r>
    </w:p>
    <w:p w14:paraId="00B75B91" w14:textId="77777777" w:rsidR="000F7076" w:rsidRPr="00043CAB" w:rsidRDefault="000F7076" w:rsidP="000F7076">
      <w:pPr>
        <w:rPr>
          <w:rFonts w:ascii="Arial" w:hAnsi="Arial" w:cs="Arial"/>
        </w:rPr>
      </w:pPr>
    </w:p>
    <w:p w14:paraId="15406CF8" w14:textId="031BEB97" w:rsidR="000F7076" w:rsidRPr="00043CAB" w:rsidRDefault="000F7076" w:rsidP="000F7076">
      <w:pPr>
        <w:ind w:left="720"/>
        <w:rPr>
          <w:rFonts w:ascii="Arial" w:hAnsi="Arial" w:cs="Arial"/>
        </w:rPr>
      </w:pPr>
      <w:r w:rsidRPr="00043CAB">
        <w:rPr>
          <w:rFonts w:ascii="Arial" w:hAnsi="Arial" w:cs="Arial"/>
        </w:rPr>
        <w:t xml:space="preserve">The autologous recipient </w:t>
      </w:r>
      <w:proofErr w:type="gramStart"/>
      <w:r w:rsidRPr="00043CAB">
        <w:rPr>
          <w:rFonts w:ascii="Arial" w:hAnsi="Arial" w:cs="Arial"/>
        </w:rPr>
        <w:t>was transplanted</w:t>
      </w:r>
      <w:proofErr w:type="gramEnd"/>
      <w:r w:rsidRPr="00043CAB">
        <w:rPr>
          <w:rFonts w:ascii="Arial" w:hAnsi="Arial" w:cs="Arial"/>
        </w:rPr>
        <w:t xml:space="preserve"> on 1/1/12 and is seen regularly until 3/1/12</w:t>
      </w:r>
      <w:r w:rsidR="00F91ED8">
        <w:rPr>
          <w:rFonts w:ascii="Arial" w:hAnsi="Arial" w:cs="Arial"/>
        </w:rPr>
        <w:t xml:space="preserve">.  </w:t>
      </w:r>
      <w:r w:rsidRPr="00043CAB">
        <w:rPr>
          <w:rFonts w:ascii="Arial" w:hAnsi="Arial" w:cs="Arial"/>
        </w:rPr>
        <w:t xml:space="preserve">After that, the recipient was referred home and not seen again until 1/1/13 for a restaging exam and 1/4/13 for a meeting to discuss the results. </w:t>
      </w:r>
    </w:p>
    <w:p w14:paraId="63A12EC6" w14:textId="77777777" w:rsidR="000F7076" w:rsidRPr="00043CAB" w:rsidRDefault="000F7076" w:rsidP="000F7076">
      <w:pPr>
        <w:rPr>
          <w:rFonts w:ascii="Arial" w:hAnsi="Arial" w:cs="Arial"/>
        </w:rPr>
      </w:pPr>
    </w:p>
    <w:p w14:paraId="398C4E9D" w14:textId="77777777" w:rsidR="000F7076" w:rsidRPr="00043CAB" w:rsidRDefault="000F7076" w:rsidP="000F7076">
      <w:pPr>
        <w:ind w:left="720" w:right="720"/>
        <w:rPr>
          <w:rFonts w:ascii="Arial" w:hAnsi="Arial" w:cs="Arial"/>
        </w:rPr>
      </w:pPr>
      <w:r w:rsidRPr="00043CAB">
        <w:rPr>
          <w:rFonts w:ascii="Arial" w:hAnsi="Arial" w:cs="Arial"/>
        </w:rPr>
        <w:t>What to report:</w:t>
      </w:r>
    </w:p>
    <w:p w14:paraId="56B0B5C0" w14:textId="77777777" w:rsidR="000F7076" w:rsidRPr="00043CAB" w:rsidRDefault="000F7076" w:rsidP="000F7076">
      <w:pPr>
        <w:ind w:left="720" w:right="720"/>
        <w:rPr>
          <w:rFonts w:ascii="Arial" w:hAnsi="Arial" w:cs="Arial"/>
        </w:rPr>
      </w:pPr>
      <w:r w:rsidRPr="00043CAB">
        <w:rPr>
          <w:rFonts w:ascii="Arial" w:hAnsi="Arial" w:cs="Arial"/>
          <w:u w:val="single"/>
        </w:rPr>
        <w:t>100 Day Date of Contact:</w:t>
      </w:r>
      <w:r w:rsidRPr="00043CAB">
        <w:rPr>
          <w:rFonts w:ascii="Arial" w:hAnsi="Arial" w:cs="Arial"/>
        </w:rPr>
        <w:t xml:space="preserve"> 3/1/13 (Since there was no contact closer to the ideal date of 4/11/13, this date is acceptable)</w:t>
      </w:r>
    </w:p>
    <w:p w14:paraId="543962FC" w14:textId="77777777" w:rsidR="000F7076" w:rsidRPr="00043CAB" w:rsidRDefault="000F7076" w:rsidP="000F7076">
      <w:pPr>
        <w:ind w:left="720" w:right="720"/>
        <w:rPr>
          <w:rFonts w:ascii="Arial" w:hAnsi="Arial" w:cs="Arial"/>
        </w:rPr>
      </w:pPr>
      <w:r w:rsidRPr="00043CAB">
        <w:rPr>
          <w:rFonts w:ascii="Arial" w:hAnsi="Arial" w:cs="Arial"/>
          <w:u w:val="single"/>
        </w:rPr>
        <w:t>6 Month Form:</w:t>
      </w:r>
      <w:r w:rsidRPr="00043CAB">
        <w:rPr>
          <w:rFonts w:ascii="Arial" w:hAnsi="Arial" w:cs="Arial"/>
        </w:rPr>
        <w:t xml:space="preserve"> A Loss to Follow-up Form Declaration (Form 2802) should be completed</w:t>
      </w:r>
    </w:p>
    <w:p w14:paraId="38974E64" w14:textId="77777777" w:rsidR="000F7076" w:rsidRPr="00043CAB" w:rsidRDefault="000F7076" w:rsidP="000F7076">
      <w:pPr>
        <w:ind w:left="720" w:right="720"/>
        <w:rPr>
          <w:rFonts w:ascii="Arial" w:hAnsi="Arial" w:cs="Arial"/>
        </w:rPr>
      </w:pPr>
      <w:r w:rsidRPr="00043CAB">
        <w:rPr>
          <w:rFonts w:ascii="Arial" w:hAnsi="Arial" w:cs="Arial"/>
          <w:u w:val="single"/>
        </w:rPr>
        <w:t>1 Year Date of Contact:</w:t>
      </w:r>
      <w:r w:rsidRPr="00043CAB">
        <w:rPr>
          <w:rFonts w:ascii="Arial" w:hAnsi="Arial" w:cs="Arial"/>
        </w:rPr>
        <w:t xml:space="preserve"> 1/4/13 (note the latest disease assessment would likely be reported as 1/1/13)</w:t>
      </w:r>
    </w:p>
    <w:p w14:paraId="1FA71AF0" w14:textId="77777777" w:rsidR="000F7076" w:rsidRPr="00043CAB" w:rsidRDefault="000F7076" w:rsidP="000F7076">
      <w:pPr>
        <w:rPr>
          <w:rFonts w:ascii="Arial" w:hAnsi="Arial" w:cs="Arial"/>
        </w:rPr>
      </w:pPr>
    </w:p>
    <w:p w14:paraId="68C11D09" w14:textId="77777777" w:rsidR="000F7076" w:rsidRPr="00043CAB" w:rsidRDefault="000F7076" w:rsidP="000F7076">
      <w:pPr>
        <w:rPr>
          <w:rFonts w:ascii="Arial" w:hAnsi="Arial" w:cs="Arial"/>
        </w:rPr>
      </w:pPr>
      <w:r w:rsidRPr="00043CAB">
        <w:rPr>
          <w:rFonts w:ascii="Arial" w:hAnsi="Arial" w:cs="Arial"/>
        </w:rPr>
        <w:t>Additional information:</w:t>
      </w:r>
    </w:p>
    <w:p w14:paraId="5383D6C8" w14:textId="77777777" w:rsidR="000F7076" w:rsidRPr="00043CAB" w:rsidRDefault="000F7076" w:rsidP="000F7076">
      <w:pPr>
        <w:pStyle w:val="ListParagraph"/>
        <w:numPr>
          <w:ilvl w:val="0"/>
          <w:numId w:val="17"/>
        </w:numPr>
        <w:rPr>
          <w:rFonts w:ascii="Arial" w:hAnsi="Arial" w:cs="Arial"/>
        </w:rPr>
      </w:pPr>
      <w:r w:rsidRPr="00043CAB">
        <w:rPr>
          <w:rFonts w:ascii="Arial" w:hAnsi="Arial" w:cs="Arial"/>
        </w:rPr>
        <w:t xml:space="preserve">A date of contact should never be used multiple times for the same recipient’s forms. </w:t>
      </w:r>
    </w:p>
    <w:p w14:paraId="03D3A1CF" w14:textId="1A5E1833" w:rsidR="000F7076" w:rsidRPr="00043CAB" w:rsidRDefault="000F7076" w:rsidP="000F7076">
      <w:pPr>
        <w:pStyle w:val="ListParagraph"/>
        <w:ind w:left="1440"/>
        <w:rPr>
          <w:rFonts w:ascii="Arial" w:hAnsi="Arial" w:cs="Arial"/>
        </w:rPr>
      </w:pPr>
      <w:r w:rsidRPr="00043CAB">
        <w:rPr>
          <w:rFonts w:ascii="Arial" w:hAnsi="Arial" w:cs="Arial"/>
        </w:rPr>
        <w:t xml:space="preserve">For example, 6/1/13 should not be reported for both the </w:t>
      </w:r>
      <w:proofErr w:type="gramStart"/>
      <w:r w:rsidRPr="00043CAB">
        <w:rPr>
          <w:rFonts w:ascii="Arial" w:hAnsi="Arial" w:cs="Arial"/>
        </w:rPr>
        <w:t>6 month</w:t>
      </w:r>
      <w:proofErr w:type="gramEnd"/>
      <w:r w:rsidRPr="00043CAB">
        <w:rPr>
          <w:rFonts w:ascii="Arial" w:hAnsi="Arial" w:cs="Arial"/>
        </w:rPr>
        <w:t xml:space="preserve"> and 1 year form</w:t>
      </w:r>
      <w:r w:rsidR="00F91ED8">
        <w:rPr>
          <w:rFonts w:ascii="Arial" w:hAnsi="Arial" w:cs="Arial"/>
        </w:rPr>
        <w:t xml:space="preserve">.  </w:t>
      </w:r>
      <w:r w:rsidRPr="00043CAB">
        <w:rPr>
          <w:rFonts w:ascii="Arial" w:hAnsi="Arial" w:cs="Arial"/>
        </w:rPr>
        <w:t xml:space="preserve">Instead, determine the best possible date of contact for each </w:t>
      </w:r>
      <w:r w:rsidRPr="00043CAB">
        <w:rPr>
          <w:rFonts w:ascii="Arial" w:hAnsi="Arial" w:cs="Arial"/>
        </w:rPr>
        <w:lastRenderedPageBreak/>
        <w:t>reporting period; if there is not a suitable date of contact for a reporting period, this may indicate that the recipient was lost to follow-up and a Loss to Follow-Up Declaration (Form 2802) may need to be completed.</w:t>
      </w:r>
    </w:p>
    <w:p w14:paraId="68F32BEF" w14:textId="77777777" w:rsidR="000F7076" w:rsidRPr="00043CAB" w:rsidRDefault="000F7076" w:rsidP="000F7076">
      <w:pPr>
        <w:pStyle w:val="ListParagraph"/>
        <w:numPr>
          <w:ilvl w:val="0"/>
          <w:numId w:val="17"/>
        </w:numPr>
        <w:rPr>
          <w:rFonts w:ascii="Arial" w:hAnsi="Arial" w:cs="Arial"/>
        </w:rPr>
      </w:pPr>
      <w:r w:rsidRPr="00043CAB">
        <w:rPr>
          <w:rFonts w:ascii="Arial" w:hAnsi="Arial" w:cs="Arial"/>
        </w:rPr>
        <w:t xml:space="preserve">If the recipient has a disease evaluation just after the ideal date of contact, capturing that data on the form may be beneficial. </w:t>
      </w:r>
    </w:p>
    <w:p w14:paraId="53E95055" w14:textId="77777777" w:rsidR="000F7076" w:rsidRPr="00043CAB" w:rsidRDefault="000F7076" w:rsidP="000F7076">
      <w:pPr>
        <w:pStyle w:val="ListParagraph"/>
        <w:ind w:left="1440"/>
        <w:rPr>
          <w:rFonts w:ascii="Arial" w:hAnsi="Arial" w:cs="Arial"/>
        </w:rPr>
      </w:pPr>
      <w:r w:rsidRPr="00043CAB">
        <w:rPr>
          <w:rFonts w:ascii="Arial" w:hAnsi="Arial" w:cs="Arial"/>
        </w:rPr>
        <w:t>For example, if the recipient’s 90 day restaging exam was delayed until day 115 and the physician had contact with the recipient on day 117, the restaging exams can be reported as the latest disease assessment and day 117 would be the ideal date of contact, even though it is just slightly after the ideal approximate range for the date of contact.</w:t>
      </w:r>
    </w:p>
    <w:p w14:paraId="38BBA4EC" w14:textId="77777777" w:rsidR="000F7076" w:rsidRPr="00043CAB" w:rsidRDefault="000F7076" w:rsidP="000F7076">
      <w:pPr>
        <w:rPr>
          <w:rFonts w:ascii="Arial" w:hAnsi="Arial" w:cs="Arial"/>
        </w:rPr>
      </w:pPr>
    </w:p>
    <w:p w14:paraId="11B2B59F" w14:textId="77777777" w:rsidR="000F7076" w:rsidRPr="00043CAB" w:rsidRDefault="000F7076" w:rsidP="000F7076">
      <w:pPr>
        <w:rPr>
          <w:rFonts w:ascii="Arial" w:hAnsi="Arial" w:cs="Arial"/>
          <w:b/>
        </w:rPr>
      </w:pPr>
      <w:r w:rsidRPr="00043CAB">
        <w:rPr>
          <w:rFonts w:ascii="Arial" w:hAnsi="Arial" w:cs="Arial"/>
          <w:b/>
        </w:rPr>
        <w:t>Date of Contact &amp; Death</w:t>
      </w:r>
    </w:p>
    <w:p w14:paraId="0FEE5DF8" w14:textId="10A0E8B6" w:rsidR="000F7076" w:rsidRDefault="000F7076" w:rsidP="000F7076">
      <w:pPr>
        <w:rPr>
          <w:rFonts w:ascii="Arial" w:hAnsi="Arial" w:cs="Arial"/>
        </w:rPr>
      </w:pPr>
      <w:r w:rsidRPr="00043CAB">
        <w:rPr>
          <w:rFonts w:ascii="Arial" w:hAnsi="Arial" w:cs="Arial"/>
        </w:rPr>
        <w:t xml:space="preserve">In the case of recipient death, the date of contact </w:t>
      </w:r>
      <w:proofErr w:type="gramStart"/>
      <w:r w:rsidRPr="00043CAB">
        <w:rPr>
          <w:rFonts w:ascii="Arial" w:hAnsi="Arial" w:cs="Arial"/>
        </w:rPr>
        <w:t>is also carefully chosen</w:t>
      </w:r>
      <w:proofErr w:type="gramEnd"/>
      <w:r w:rsidR="00F91ED8">
        <w:rPr>
          <w:rFonts w:ascii="Arial" w:hAnsi="Arial" w:cs="Arial"/>
        </w:rPr>
        <w:t xml:space="preserve">.  </w:t>
      </w:r>
      <w:r w:rsidRPr="00043CAB">
        <w:rPr>
          <w:rFonts w:ascii="Arial" w:hAnsi="Arial" w:cs="Arial"/>
        </w:rPr>
        <w:t xml:space="preserve">If the recipient dies, the date of death </w:t>
      </w:r>
      <w:proofErr w:type="gramStart"/>
      <w:r w:rsidRPr="00043CAB">
        <w:rPr>
          <w:rFonts w:ascii="Arial" w:hAnsi="Arial" w:cs="Arial"/>
        </w:rPr>
        <w:t>should be reported</w:t>
      </w:r>
      <w:proofErr w:type="gramEnd"/>
      <w:r w:rsidRPr="00043CAB">
        <w:rPr>
          <w:rFonts w:ascii="Arial" w:hAnsi="Arial" w:cs="Arial"/>
        </w:rPr>
        <w:t xml:space="preserve"> as the date of contact regardless of the time until the ideal date of contact</w:t>
      </w:r>
      <w:r w:rsidR="00F91ED8">
        <w:rPr>
          <w:rFonts w:ascii="Arial" w:hAnsi="Arial" w:cs="Arial"/>
        </w:rPr>
        <w:t xml:space="preserve">.  </w:t>
      </w:r>
      <w:r w:rsidRPr="00043CAB">
        <w:rPr>
          <w:rFonts w:ascii="Arial" w:hAnsi="Arial" w:cs="Arial"/>
        </w:rPr>
        <w:t>The date of death should be reported no matter where the death took place (inpatient at the transplant facility, at an outside hospital, in a hospice setting, or within the recipient’s home).</w:t>
      </w:r>
    </w:p>
    <w:p w14:paraId="188B7C8A" w14:textId="77777777" w:rsidR="00180140" w:rsidRDefault="00180140" w:rsidP="000F7076">
      <w:pPr>
        <w:rPr>
          <w:rFonts w:ascii="Arial" w:hAnsi="Arial" w:cs="Arial"/>
        </w:rPr>
      </w:pPr>
    </w:p>
    <w:p w14:paraId="24170B9E" w14:textId="6FC3CE9B" w:rsidR="00180140" w:rsidRDefault="00180140" w:rsidP="00180140">
      <w:pPr>
        <w:autoSpaceDE w:val="0"/>
        <w:autoSpaceDN w:val="0"/>
        <w:adjustRightInd w:val="0"/>
        <w:rPr>
          <w:rFonts w:ascii="Arial" w:hAnsi="Arial" w:cs="Arial"/>
        </w:rPr>
      </w:pPr>
      <w:r>
        <w:rPr>
          <w:rFonts w:ascii="Arial" w:hAnsi="Arial" w:cs="Arial"/>
        </w:rPr>
        <w:t xml:space="preserve">If the death occurred at an outside location and records of death are not available, the dictated date of death within a physician note </w:t>
      </w:r>
      <w:proofErr w:type="gramStart"/>
      <w:r>
        <w:rPr>
          <w:rFonts w:ascii="Arial" w:hAnsi="Arial" w:cs="Arial"/>
        </w:rPr>
        <w:t>may be reported</w:t>
      </w:r>
      <w:proofErr w:type="gramEnd"/>
      <w:r w:rsidR="00F91ED8">
        <w:rPr>
          <w:rFonts w:ascii="Arial" w:hAnsi="Arial" w:cs="Arial"/>
        </w:rPr>
        <w:t xml:space="preserve">.  </w:t>
      </w:r>
      <w:r>
        <w:rPr>
          <w:rFonts w:ascii="Arial" w:hAnsi="Arial" w:cs="Arial"/>
        </w:rPr>
        <w:t>If the progress notes detailing the circumstances of death are available, request these records</w:t>
      </w:r>
      <w:r w:rsidR="00F91ED8">
        <w:rPr>
          <w:rFonts w:ascii="Arial" w:hAnsi="Arial" w:cs="Arial"/>
        </w:rPr>
        <w:t xml:space="preserve">.  </w:t>
      </w:r>
      <w:r>
        <w:rPr>
          <w:rFonts w:ascii="Arial" w:hAnsi="Arial" w:cs="Arial"/>
        </w:rPr>
        <w:t>These records are useful for completing required follow-up data fields and the cause of death data fields on this form</w:t>
      </w:r>
      <w:r w:rsidR="00F91ED8">
        <w:rPr>
          <w:rFonts w:ascii="Arial" w:hAnsi="Arial" w:cs="Arial"/>
        </w:rPr>
        <w:t xml:space="preserve">.  </w:t>
      </w:r>
      <w:r>
        <w:rPr>
          <w:rFonts w:ascii="Arial" w:hAnsi="Arial" w:cs="Arial"/>
        </w:rPr>
        <w:t xml:space="preserve">If the exact date of death is not known, use the processed described for reporting partial or unknown dates, see General Instructions, </w:t>
      </w:r>
      <w:hyperlink r:id="rId13" w:history="1">
        <w:r w:rsidRPr="00223C6D">
          <w:rPr>
            <w:rStyle w:val="Hyperlink"/>
            <w:rFonts w:ascii="Arial" w:hAnsi="Arial" w:cs="Arial"/>
          </w:rPr>
          <w:t>General Guidelines for Completing Forms</w:t>
        </w:r>
      </w:hyperlink>
      <w:r>
        <w:rPr>
          <w:rFonts w:ascii="Arial" w:hAnsi="Arial" w:cs="Arial"/>
        </w:rPr>
        <w:t>.</w:t>
      </w:r>
    </w:p>
    <w:p w14:paraId="3A3574F4" w14:textId="501F0138" w:rsidR="00180140" w:rsidRPr="00180140" w:rsidRDefault="00180140" w:rsidP="00180140">
      <w:pPr>
        <w:autoSpaceDE w:val="0"/>
        <w:autoSpaceDN w:val="0"/>
        <w:adjustRightInd w:val="0"/>
        <w:rPr>
          <w:rFonts w:ascii="Arial" w:hAnsi="Arial" w:cs="Arial"/>
          <w:sz w:val="20"/>
          <w:szCs w:val="20"/>
        </w:rPr>
      </w:pPr>
    </w:p>
    <w:p w14:paraId="4697B854" w14:textId="77777777" w:rsidR="000F7076" w:rsidRPr="00043CAB" w:rsidRDefault="000F7076" w:rsidP="000F7076">
      <w:pPr>
        <w:rPr>
          <w:rFonts w:ascii="Arial" w:hAnsi="Arial" w:cs="Arial"/>
        </w:rPr>
      </w:pPr>
    </w:p>
    <w:p w14:paraId="45874210" w14:textId="55E12F91" w:rsidR="000F7076" w:rsidRDefault="000F7076" w:rsidP="000F7076">
      <w:pPr>
        <w:rPr>
          <w:rFonts w:ascii="Arial" w:hAnsi="Arial" w:cs="Arial"/>
        </w:rPr>
      </w:pPr>
      <w:proofErr w:type="gramStart"/>
      <w:r w:rsidRPr="00043CAB">
        <w:rPr>
          <w:rFonts w:ascii="Arial" w:hAnsi="Arial" w:cs="Arial"/>
          <w:b/>
        </w:rPr>
        <w:t>Example 3</w:t>
      </w:r>
      <w:r w:rsidR="00F91ED8">
        <w:rPr>
          <w:rFonts w:ascii="Arial" w:hAnsi="Arial" w:cs="Arial"/>
          <w:b/>
        </w:rPr>
        <w:t>.</w:t>
      </w:r>
      <w:proofErr w:type="gramEnd"/>
      <w:r w:rsidR="00F91ED8">
        <w:rPr>
          <w:rFonts w:ascii="Arial" w:hAnsi="Arial" w:cs="Arial"/>
          <w:b/>
        </w:rPr>
        <w:t xml:space="preserve">  </w:t>
      </w:r>
      <w:r w:rsidRPr="002971E2">
        <w:rPr>
          <w:rFonts w:ascii="Arial" w:hAnsi="Arial" w:cs="Arial"/>
          <w:i/>
        </w:rPr>
        <w:t xml:space="preserve">The recipient has died before their </w:t>
      </w:r>
      <w:r w:rsidR="00622DCD">
        <w:rPr>
          <w:rFonts w:ascii="Arial" w:hAnsi="Arial" w:cs="Arial"/>
          <w:i/>
        </w:rPr>
        <w:t>6</w:t>
      </w:r>
      <w:r w:rsidRPr="002971E2">
        <w:rPr>
          <w:rFonts w:ascii="Arial" w:hAnsi="Arial" w:cs="Arial"/>
          <w:i/>
        </w:rPr>
        <w:t xml:space="preserve"> month anniversary. </w:t>
      </w:r>
    </w:p>
    <w:p w14:paraId="70FE2797" w14:textId="56A22AB4" w:rsidR="000F7076" w:rsidRPr="002971E2" w:rsidRDefault="000F7076" w:rsidP="000F7076">
      <w:pPr>
        <w:ind w:left="720"/>
        <w:rPr>
          <w:rFonts w:ascii="Arial" w:hAnsi="Arial" w:cs="Arial"/>
        </w:rPr>
      </w:pPr>
      <w:r w:rsidRPr="002971E2">
        <w:rPr>
          <w:rFonts w:ascii="Arial" w:hAnsi="Arial" w:cs="Arial"/>
        </w:rPr>
        <w:t xml:space="preserve">The recipient </w:t>
      </w:r>
      <w:proofErr w:type="gramStart"/>
      <w:r w:rsidRPr="002971E2">
        <w:rPr>
          <w:rFonts w:ascii="Arial" w:hAnsi="Arial" w:cs="Arial"/>
        </w:rPr>
        <w:t>is transplanted</w:t>
      </w:r>
      <w:proofErr w:type="gramEnd"/>
      <w:r w:rsidRPr="002971E2">
        <w:rPr>
          <w:rFonts w:ascii="Arial" w:hAnsi="Arial" w:cs="Arial"/>
        </w:rPr>
        <w:t xml:space="preserve"> on 1/1/13, was seen regularly through the first 100 days</w:t>
      </w:r>
      <w:r w:rsidR="00F91ED8">
        <w:rPr>
          <w:rFonts w:ascii="Arial" w:hAnsi="Arial" w:cs="Arial"/>
        </w:rPr>
        <w:t xml:space="preserve">.  </w:t>
      </w:r>
      <w:r w:rsidRPr="002971E2">
        <w:rPr>
          <w:rFonts w:ascii="Arial" w:hAnsi="Arial" w:cs="Arial"/>
        </w:rPr>
        <w:t>They had restaging exams on 4/4/13 and was seen on 4/8/13, and then died on 5/13/13 in the hospital emergency room.</w:t>
      </w:r>
    </w:p>
    <w:p w14:paraId="6141CC81" w14:textId="77777777" w:rsidR="000F7076" w:rsidRPr="00043CAB" w:rsidRDefault="000F7076" w:rsidP="000F7076">
      <w:pPr>
        <w:rPr>
          <w:rFonts w:ascii="Arial" w:hAnsi="Arial" w:cs="Arial"/>
        </w:rPr>
      </w:pPr>
    </w:p>
    <w:p w14:paraId="344F6C6C" w14:textId="77777777" w:rsidR="000F7076" w:rsidRPr="00043CAB" w:rsidRDefault="000F7076" w:rsidP="000F7076">
      <w:pPr>
        <w:ind w:left="720" w:right="720"/>
        <w:rPr>
          <w:rFonts w:ascii="Arial" w:hAnsi="Arial" w:cs="Arial"/>
        </w:rPr>
      </w:pPr>
      <w:r w:rsidRPr="00043CAB">
        <w:rPr>
          <w:rFonts w:ascii="Arial" w:hAnsi="Arial" w:cs="Arial"/>
        </w:rPr>
        <w:t>What to report:</w:t>
      </w:r>
    </w:p>
    <w:p w14:paraId="65FF32DD" w14:textId="77777777" w:rsidR="000F7076" w:rsidRPr="00043CAB" w:rsidRDefault="000F7076" w:rsidP="000F7076">
      <w:pPr>
        <w:ind w:left="720" w:right="720"/>
        <w:rPr>
          <w:rFonts w:ascii="Arial" w:hAnsi="Arial" w:cs="Arial"/>
        </w:rPr>
      </w:pPr>
      <w:r w:rsidRPr="00043CAB">
        <w:rPr>
          <w:rFonts w:ascii="Arial" w:hAnsi="Arial" w:cs="Arial"/>
          <w:u w:val="single"/>
        </w:rPr>
        <w:t>100 Day Date of Contact:</w:t>
      </w:r>
      <w:r w:rsidRPr="00043CAB">
        <w:rPr>
          <w:rFonts w:ascii="Arial" w:hAnsi="Arial" w:cs="Arial"/>
        </w:rPr>
        <w:t xml:space="preserve"> 4/8/13 (note the latest disease assessment would likely be reported as 4/4/13)</w:t>
      </w:r>
    </w:p>
    <w:p w14:paraId="0A4F3B01" w14:textId="77777777" w:rsidR="000F7076" w:rsidRPr="00043CAB" w:rsidRDefault="000F7076" w:rsidP="000F7076">
      <w:pPr>
        <w:ind w:left="720" w:right="720"/>
        <w:rPr>
          <w:rFonts w:ascii="Arial" w:hAnsi="Arial" w:cs="Arial"/>
        </w:rPr>
      </w:pPr>
      <w:r w:rsidRPr="00043CAB">
        <w:rPr>
          <w:rFonts w:ascii="Arial" w:hAnsi="Arial" w:cs="Arial"/>
          <w:u w:val="single"/>
        </w:rPr>
        <w:t>6 Month Date of Contact:</w:t>
      </w:r>
      <w:r w:rsidRPr="00043CAB">
        <w:rPr>
          <w:rFonts w:ascii="Arial" w:hAnsi="Arial" w:cs="Arial"/>
        </w:rPr>
        <w:t xml:space="preserve"> 5/13/13 (though the death does not occur within the ideal approximate range for 6 months)</w:t>
      </w:r>
    </w:p>
    <w:p w14:paraId="1C974C5D" w14:textId="77777777" w:rsidR="000F7076" w:rsidRPr="00043CAB" w:rsidRDefault="000F7076" w:rsidP="000F7076">
      <w:pPr>
        <w:rPr>
          <w:rFonts w:ascii="Arial" w:hAnsi="Arial" w:cs="Arial"/>
        </w:rPr>
      </w:pPr>
    </w:p>
    <w:p w14:paraId="73594BB2" w14:textId="766AE7A5" w:rsidR="000F7076" w:rsidRDefault="000F7076" w:rsidP="000F7076">
      <w:pPr>
        <w:rPr>
          <w:rFonts w:ascii="Arial" w:hAnsi="Arial" w:cs="Arial"/>
          <w:i/>
        </w:rPr>
      </w:pPr>
      <w:proofErr w:type="gramStart"/>
      <w:r w:rsidRPr="00043CAB">
        <w:rPr>
          <w:rFonts w:ascii="Arial" w:hAnsi="Arial" w:cs="Arial"/>
          <w:b/>
        </w:rPr>
        <w:t>Example 4</w:t>
      </w:r>
      <w:r w:rsidR="00F91ED8">
        <w:rPr>
          <w:rFonts w:ascii="Arial" w:hAnsi="Arial" w:cs="Arial"/>
          <w:b/>
        </w:rPr>
        <w:t>.</w:t>
      </w:r>
      <w:proofErr w:type="gramEnd"/>
      <w:r w:rsidR="00F91ED8">
        <w:rPr>
          <w:rFonts w:ascii="Arial" w:hAnsi="Arial" w:cs="Arial"/>
          <w:b/>
        </w:rPr>
        <w:t xml:space="preserve">  </w:t>
      </w:r>
      <w:r w:rsidRPr="002971E2">
        <w:rPr>
          <w:rFonts w:ascii="Arial" w:hAnsi="Arial" w:cs="Arial"/>
          <w:i/>
        </w:rPr>
        <w:t xml:space="preserve">The recipient has died </w:t>
      </w:r>
      <w:r>
        <w:rPr>
          <w:rFonts w:ascii="Arial" w:hAnsi="Arial" w:cs="Arial"/>
          <w:i/>
        </w:rPr>
        <w:t>after</w:t>
      </w:r>
      <w:r w:rsidRPr="002971E2">
        <w:rPr>
          <w:rFonts w:ascii="Arial" w:hAnsi="Arial" w:cs="Arial"/>
          <w:i/>
        </w:rPr>
        <w:t xml:space="preserve"> their </w:t>
      </w:r>
      <w:r w:rsidR="00622DCD">
        <w:rPr>
          <w:rFonts w:ascii="Arial" w:hAnsi="Arial" w:cs="Arial"/>
          <w:i/>
        </w:rPr>
        <w:t xml:space="preserve">6 </w:t>
      </w:r>
      <w:r w:rsidRPr="002971E2">
        <w:rPr>
          <w:rFonts w:ascii="Arial" w:hAnsi="Arial" w:cs="Arial"/>
          <w:i/>
        </w:rPr>
        <w:t>month anniversary.</w:t>
      </w:r>
    </w:p>
    <w:p w14:paraId="43B9E98B" w14:textId="77777777" w:rsidR="000F7076" w:rsidRDefault="000F7076" w:rsidP="000F7076">
      <w:pPr>
        <w:rPr>
          <w:rFonts w:ascii="Arial" w:hAnsi="Arial" w:cs="Arial"/>
          <w:b/>
        </w:rPr>
      </w:pPr>
    </w:p>
    <w:p w14:paraId="4E415954" w14:textId="6DC645FC" w:rsidR="000F7076" w:rsidRPr="002971E2" w:rsidRDefault="000F7076" w:rsidP="000F7076">
      <w:pPr>
        <w:ind w:left="720"/>
        <w:rPr>
          <w:rFonts w:ascii="Arial" w:hAnsi="Arial" w:cs="Arial"/>
        </w:rPr>
      </w:pPr>
      <w:r w:rsidRPr="002971E2">
        <w:rPr>
          <w:rFonts w:ascii="Arial" w:hAnsi="Arial" w:cs="Arial"/>
        </w:rPr>
        <w:t xml:space="preserve">The recipient is transplanted on 1/1/13, was seen regularly through the first 100 days.  They had restaging exams on 4/22/13 and </w:t>
      </w:r>
      <w:proofErr w:type="gramStart"/>
      <w:r w:rsidRPr="002971E2">
        <w:rPr>
          <w:rFonts w:ascii="Arial" w:hAnsi="Arial" w:cs="Arial"/>
        </w:rPr>
        <w:t>was</w:t>
      </w:r>
      <w:proofErr w:type="gramEnd"/>
      <w:r w:rsidRPr="002971E2">
        <w:rPr>
          <w:rFonts w:ascii="Arial" w:hAnsi="Arial" w:cs="Arial"/>
        </w:rPr>
        <w:t xml:space="preserve"> seen on 4/23/13</w:t>
      </w:r>
      <w:r w:rsidR="00F91ED8">
        <w:rPr>
          <w:rFonts w:ascii="Arial" w:hAnsi="Arial" w:cs="Arial"/>
        </w:rPr>
        <w:t xml:space="preserve">.  </w:t>
      </w:r>
      <w:r w:rsidRPr="002971E2">
        <w:rPr>
          <w:rFonts w:ascii="Arial" w:hAnsi="Arial" w:cs="Arial"/>
        </w:rPr>
        <w:t xml:space="preserve">Based on findings in the restaging exam, the recipient </w:t>
      </w:r>
      <w:proofErr w:type="gramStart"/>
      <w:r w:rsidRPr="002971E2">
        <w:rPr>
          <w:rFonts w:ascii="Arial" w:hAnsi="Arial" w:cs="Arial"/>
        </w:rPr>
        <w:t>was admitted</w:t>
      </w:r>
      <w:proofErr w:type="gramEnd"/>
      <w:r w:rsidRPr="002971E2">
        <w:rPr>
          <w:rFonts w:ascii="Arial" w:hAnsi="Arial" w:cs="Arial"/>
        </w:rPr>
        <w:t xml:space="preserve"> for additional treatment</w:t>
      </w:r>
      <w:r w:rsidR="00F91ED8">
        <w:rPr>
          <w:rFonts w:ascii="Arial" w:hAnsi="Arial" w:cs="Arial"/>
        </w:rPr>
        <w:t xml:space="preserve">.  </w:t>
      </w:r>
      <w:r w:rsidRPr="002971E2">
        <w:rPr>
          <w:rFonts w:ascii="Arial" w:hAnsi="Arial" w:cs="Arial"/>
        </w:rPr>
        <w:t xml:space="preserve">The disease </w:t>
      </w:r>
      <w:proofErr w:type="gramStart"/>
      <w:r w:rsidRPr="002971E2">
        <w:rPr>
          <w:rFonts w:ascii="Arial" w:hAnsi="Arial" w:cs="Arial"/>
        </w:rPr>
        <w:t>was found</w:t>
      </w:r>
      <w:proofErr w:type="gramEnd"/>
      <w:r w:rsidRPr="002971E2">
        <w:rPr>
          <w:rFonts w:ascii="Arial" w:hAnsi="Arial" w:cs="Arial"/>
        </w:rPr>
        <w:t xml:space="preserve"> to be refractory on a 6/25/13 restaging exam, and the recipient was discharged to hospice on 7/8/13</w:t>
      </w:r>
      <w:r w:rsidR="00F91ED8">
        <w:rPr>
          <w:rFonts w:ascii="Arial" w:hAnsi="Arial" w:cs="Arial"/>
        </w:rPr>
        <w:t xml:space="preserve">.  </w:t>
      </w:r>
      <w:r w:rsidRPr="002971E2">
        <w:rPr>
          <w:rFonts w:ascii="Arial" w:hAnsi="Arial" w:cs="Arial"/>
        </w:rPr>
        <w:t xml:space="preserve">The hospital was notified via telephone that the recipient died on 7/16/13. </w:t>
      </w:r>
    </w:p>
    <w:p w14:paraId="3C0CD192" w14:textId="77777777" w:rsidR="000F7076" w:rsidRPr="00043CAB" w:rsidRDefault="000F7076" w:rsidP="000F7076">
      <w:pPr>
        <w:rPr>
          <w:rFonts w:ascii="Arial" w:hAnsi="Arial" w:cs="Arial"/>
        </w:rPr>
      </w:pPr>
    </w:p>
    <w:p w14:paraId="52D090A6" w14:textId="77777777" w:rsidR="000F7076" w:rsidRPr="00043CAB" w:rsidRDefault="000F7076" w:rsidP="000F7076">
      <w:pPr>
        <w:ind w:left="720" w:right="720"/>
        <w:rPr>
          <w:rFonts w:ascii="Arial" w:hAnsi="Arial" w:cs="Arial"/>
        </w:rPr>
      </w:pPr>
      <w:r w:rsidRPr="00043CAB">
        <w:rPr>
          <w:rFonts w:ascii="Arial" w:hAnsi="Arial" w:cs="Arial"/>
        </w:rPr>
        <w:t>What to report:</w:t>
      </w:r>
    </w:p>
    <w:p w14:paraId="264A1C81" w14:textId="77777777" w:rsidR="000F7076" w:rsidRPr="00043CAB" w:rsidRDefault="000F7076" w:rsidP="000F7076">
      <w:pPr>
        <w:ind w:left="720" w:right="720"/>
        <w:rPr>
          <w:rFonts w:ascii="Arial" w:hAnsi="Arial" w:cs="Arial"/>
        </w:rPr>
      </w:pPr>
      <w:r w:rsidRPr="00043CAB">
        <w:rPr>
          <w:rFonts w:ascii="Arial" w:hAnsi="Arial" w:cs="Arial"/>
          <w:u w:val="single"/>
        </w:rPr>
        <w:t>100 Day Date of Contact:</w:t>
      </w:r>
      <w:r w:rsidRPr="00043CAB">
        <w:rPr>
          <w:rFonts w:ascii="Arial" w:hAnsi="Arial" w:cs="Arial"/>
        </w:rPr>
        <w:t xml:space="preserve"> 4/23/13 (note the latest disease assessment would likely be reported as 4/22/13)</w:t>
      </w:r>
    </w:p>
    <w:p w14:paraId="04343F6F" w14:textId="77777777" w:rsidR="000F7076" w:rsidRPr="00043CAB" w:rsidRDefault="000F7076" w:rsidP="000F7076">
      <w:pPr>
        <w:ind w:left="720" w:right="720"/>
        <w:rPr>
          <w:rFonts w:ascii="Arial" w:hAnsi="Arial" w:cs="Arial"/>
        </w:rPr>
      </w:pPr>
      <w:r w:rsidRPr="00043CAB">
        <w:rPr>
          <w:rFonts w:ascii="Arial" w:hAnsi="Arial" w:cs="Arial"/>
          <w:u w:val="single"/>
        </w:rPr>
        <w:t>6 Month Date of Contact:</w:t>
      </w:r>
      <w:r w:rsidRPr="00043CAB">
        <w:rPr>
          <w:rFonts w:ascii="Arial" w:hAnsi="Arial" w:cs="Arial"/>
        </w:rPr>
        <w:t xml:space="preserve"> 7/16/13 (note the latest disease assessment would likely be reported as 6/25/13)</w:t>
      </w:r>
    </w:p>
    <w:p w14:paraId="63722C23" w14:textId="77777777" w:rsidR="000F7076" w:rsidRPr="00043CAB" w:rsidRDefault="000F7076" w:rsidP="000F7076">
      <w:pPr>
        <w:rPr>
          <w:rFonts w:ascii="Arial" w:hAnsi="Arial" w:cs="Arial"/>
        </w:rPr>
      </w:pPr>
    </w:p>
    <w:p w14:paraId="2E141801" w14:textId="77777777" w:rsidR="000F7076" w:rsidRPr="00043CAB" w:rsidRDefault="000F7076" w:rsidP="000F7076">
      <w:pPr>
        <w:rPr>
          <w:rFonts w:ascii="Arial" w:hAnsi="Arial" w:cs="Arial"/>
          <w:b/>
        </w:rPr>
      </w:pPr>
      <w:r w:rsidRPr="00043CAB">
        <w:rPr>
          <w:rFonts w:ascii="Arial" w:hAnsi="Arial" w:cs="Arial"/>
          <w:b/>
        </w:rPr>
        <w:t>Date of Contact &amp; Subsequent Transplant</w:t>
      </w:r>
    </w:p>
    <w:p w14:paraId="53E9974F" w14:textId="015370FB" w:rsidR="000F7076" w:rsidRPr="00043CAB" w:rsidRDefault="000F7076" w:rsidP="000F7076">
      <w:pPr>
        <w:rPr>
          <w:rFonts w:ascii="Arial" w:hAnsi="Arial" w:cs="Arial"/>
        </w:rPr>
      </w:pPr>
      <w:r w:rsidRPr="00043CAB">
        <w:rPr>
          <w:rFonts w:ascii="Arial" w:hAnsi="Arial" w:cs="Arial"/>
        </w:rPr>
        <w:t xml:space="preserve">If the recipient has a subsequent HCT, report the date of contact as the day before the preparative regimen begins for the subsequent </w:t>
      </w:r>
      <w:r w:rsidR="00AF4E5A">
        <w:rPr>
          <w:rFonts w:ascii="Arial" w:hAnsi="Arial" w:cs="Arial"/>
        </w:rPr>
        <w:t>HCT</w:t>
      </w:r>
      <w:r w:rsidR="00F91ED8">
        <w:rPr>
          <w:rFonts w:ascii="Arial" w:hAnsi="Arial" w:cs="Arial"/>
        </w:rPr>
        <w:t xml:space="preserve">.  </w:t>
      </w:r>
      <w:r w:rsidRPr="00043CAB">
        <w:rPr>
          <w:rFonts w:ascii="Arial" w:hAnsi="Arial" w:cs="Arial"/>
        </w:rPr>
        <w:t xml:space="preserve">If no preparative regimen is given, report the date of contact as the day before the subsequent </w:t>
      </w:r>
      <w:r w:rsidR="00AF4E5A">
        <w:rPr>
          <w:rFonts w:ascii="Arial" w:hAnsi="Arial" w:cs="Arial"/>
        </w:rPr>
        <w:t>HCT</w:t>
      </w:r>
      <w:r w:rsidR="00F91ED8">
        <w:rPr>
          <w:rFonts w:ascii="Arial" w:hAnsi="Arial" w:cs="Arial"/>
        </w:rPr>
        <w:t xml:space="preserve">.  </w:t>
      </w:r>
      <w:r w:rsidRPr="00043CAB">
        <w:rPr>
          <w:rFonts w:ascii="Arial" w:hAnsi="Arial" w:cs="Arial"/>
        </w:rPr>
        <w:t xml:space="preserve">In these cases, actual contact on that day is </w:t>
      </w:r>
      <w:r w:rsidRPr="00043CAB">
        <w:rPr>
          <w:rFonts w:ascii="Arial" w:hAnsi="Arial" w:cs="Arial"/>
          <w:b/>
        </w:rPr>
        <w:t>not</w:t>
      </w:r>
      <w:r w:rsidRPr="00043CAB">
        <w:rPr>
          <w:rFonts w:ascii="Arial" w:hAnsi="Arial" w:cs="Arial"/>
        </w:rPr>
        <w:t xml:space="preserve"> required, and the day prior to the initiation of the preparative regimen (or infusion, if no preparative regimen) </w:t>
      </w:r>
      <w:proofErr w:type="gramStart"/>
      <w:r w:rsidRPr="00043CAB">
        <w:rPr>
          <w:rFonts w:ascii="Arial" w:hAnsi="Arial" w:cs="Arial"/>
        </w:rPr>
        <w:t>should be reported</w:t>
      </w:r>
      <w:proofErr w:type="gramEnd"/>
      <w:r w:rsidR="00F91ED8">
        <w:rPr>
          <w:rFonts w:ascii="Arial" w:hAnsi="Arial" w:cs="Arial"/>
        </w:rPr>
        <w:t xml:space="preserve">.  </w:t>
      </w:r>
      <w:r w:rsidRPr="00043CAB">
        <w:rPr>
          <w:rFonts w:ascii="Arial" w:hAnsi="Arial" w:cs="Arial"/>
        </w:rPr>
        <w:t>This allows every day to be covered by a reporting period, but prevents overlap between transplant events.</w:t>
      </w:r>
    </w:p>
    <w:p w14:paraId="435E8D56" w14:textId="77777777" w:rsidR="000F7076" w:rsidRPr="00043CAB" w:rsidRDefault="000F7076" w:rsidP="000F7076">
      <w:pPr>
        <w:rPr>
          <w:rFonts w:ascii="Arial" w:hAnsi="Arial" w:cs="Arial"/>
        </w:rPr>
      </w:pPr>
    </w:p>
    <w:p w14:paraId="1D60FBB4" w14:textId="2866463C" w:rsidR="000F7076" w:rsidRPr="000F7076" w:rsidRDefault="000F7076" w:rsidP="000F7076">
      <w:pPr>
        <w:spacing w:after="200" w:line="276" w:lineRule="auto"/>
        <w:rPr>
          <w:rFonts w:ascii="Arial" w:hAnsi="Arial" w:cs="Arial"/>
          <w:b/>
        </w:rPr>
      </w:pPr>
      <w:proofErr w:type="gramStart"/>
      <w:r w:rsidRPr="00043CAB">
        <w:rPr>
          <w:rFonts w:ascii="Arial" w:hAnsi="Arial" w:cs="Arial"/>
          <w:b/>
        </w:rPr>
        <w:t>Example 5</w:t>
      </w:r>
      <w:r w:rsidR="00F91ED8">
        <w:rPr>
          <w:rFonts w:ascii="Arial" w:hAnsi="Arial" w:cs="Arial"/>
          <w:b/>
        </w:rPr>
        <w:t>.</w:t>
      </w:r>
      <w:proofErr w:type="gramEnd"/>
      <w:r w:rsidR="00F91ED8">
        <w:rPr>
          <w:rFonts w:ascii="Arial" w:hAnsi="Arial" w:cs="Arial"/>
          <w:b/>
        </w:rPr>
        <w:t xml:space="preserve">  </w:t>
      </w:r>
      <w:r>
        <w:rPr>
          <w:rFonts w:ascii="Arial" w:hAnsi="Arial" w:cs="Arial"/>
          <w:i/>
        </w:rPr>
        <w:t>The recipient had a 2</w:t>
      </w:r>
      <w:r w:rsidRPr="002971E2">
        <w:rPr>
          <w:rFonts w:ascii="Arial" w:hAnsi="Arial" w:cs="Arial"/>
          <w:i/>
          <w:vertAlign w:val="superscript"/>
        </w:rPr>
        <w:t>nd</w:t>
      </w:r>
      <w:r>
        <w:rPr>
          <w:rFonts w:ascii="Arial" w:hAnsi="Arial" w:cs="Arial"/>
          <w:i/>
        </w:rPr>
        <w:t xml:space="preserve"> transplant with a preparative regimen.</w:t>
      </w:r>
    </w:p>
    <w:p w14:paraId="4DEF4A29" w14:textId="1FAF414B" w:rsidR="000F7076" w:rsidRPr="002971E2" w:rsidRDefault="000F7076" w:rsidP="000F7076">
      <w:pPr>
        <w:ind w:left="720"/>
        <w:rPr>
          <w:rFonts w:ascii="Arial" w:hAnsi="Arial" w:cs="Arial"/>
        </w:rPr>
      </w:pPr>
      <w:r w:rsidRPr="002971E2">
        <w:rPr>
          <w:rFonts w:ascii="Arial" w:hAnsi="Arial" w:cs="Arial"/>
        </w:rPr>
        <w:t>The recipient has their first transplant on 1/1/13 and a planned second transplant on 2/1/13</w:t>
      </w:r>
      <w:r w:rsidR="00F91ED8">
        <w:rPr>
          <w:rFonts w:ascii="Arial" w:hAnsi="Arial" w:cs="Arial"/>
        </w:rPr>
        <w:t xml:space="preserve">.  </w:t>
      </w:r>
      <w:r w:rsidRPr="002971E2">
        <w:rPr>
          <w:rFonts w:ascii="Arial" w:hAnsi="Arial" w:cs="Arial"/>
        </w:rPr>
        <w:t>The recipient was admitted on and received their first dose of chemotherapy for the preparative regimen for HCT #2 on 1/28/13.</w:t>
      </w:r>
    </w:p>
    <w:p w14:paraId="6FFCF137" w14:textId="77777777" w:rsidR="000F7076" w:rsidRPr="00043CAB" w:rsidRDefault="000F7076" w:rsidP="000F7076">
      <w:pPr>
        <w:rPr>
          <w:rFonts w:ascii="Arial" w:hAnsi="Arial" w:cs="Arial"/>
          <w:i/>
        </w:rPr>
      </w:pPr>
    </w:p>
    <w:p w14:paraId="55BEC184" w14:textId="77777777" w:rsidR="000F7076" w:rsidRPr="00043CAB" w:rsidRDefault="000F7076" w:rsidP="000F7076">
      <w:pPr>
        <w:ind w:left="720" w:right="720"/>
        <w:rPr>
          <w:rFonts w:ascii="Arial" w:hAnsi="Arial" w:cs="Arial"/>
        </w:rPr>
      </w:pPr>
      <w:r w:rsidRPr="00043CAB">
        <w:rPr>
          <w:rFonts w:ascii="Arial" w:hAnsi="Arial" w:cs="Arial"/>
        </w:rPr>
        <w:t>What to report:</w:t>
      </w:r>
    </w:p>
    <w:p w14:paraId="1212CC95" w14:textId="77777777" w:rsidR="000F7076" w:rsidRPr="00043CAB" w:rsidRDefault="000F7076" w:rsidP="000F7076">
      <w:pPr>
        <w:ind w:left="720" w:right="720"/>
        <w:rPr>
          <w:rFonts w:ascii="Arial" w:hAnsi="Arial" w:cs="Arial"/>
        </w:rPr>
      </w:pPr>
      <w:r w:rsidRPr="00043CAB">
        <w:rPr>
          <w:rFonts w:ascii="Arial" w:hAnsi="Arial" w:cs="Arial"/>
          <w:u w:val="single"/>
        </w:rPr>
        <w:t>100 Day Date of Contact:</w:t>
      </w:r>
      <w:r w:rsidRPr="00043CAB">
        <w:rPr>
          <w:rFonts w:ascii="Arial" w:hAnsi="Arial" w:cs="Arial"/>
        </w:rPr>
        <w:t xml:space="preserve"> 1/27/13 (regardless of actual contact on that date)</w:t>
      </w:r>
    </w:p>
    <w:p w14:paraId="763F2B9E" w14:textId="77777777" w:rsidR="000F7076" w:rsidRPr="00043CAB" w:rsidRDefault="000F7076" w:rsidP="000F7076">
      <w:pPr>
        <w:rPr>
          <w:rFonts w:ascii="Arial" w:hAnsi="Arial" w:cs="Arial"/>
          <w:i/>
        </w:rPr>
      </w:pPr>
    </w:p>
    <w:p w14:paraId="70795524" w14:textId="43344254" w:rsidR="000F7076" w:rsidRPr="002971E2" w:rsidRDefault="000F7076" w:rsidP="000F7076">
      <w:pPr>
        <w:rPr>
          <w:rFonts w:ascii="Arial" w:hAnsi="Arial" w:cs="Arial"/>
          <w:i/>
        </w:rPr>
      </w:pPr>
      <w:proofErr w:type="gramStart"/>
      <w:r w:rsidRPr="00043CAB">
        <w:rPr>
          <w:rFonts w:ascii="Arial" w:hAnsi="Arial" w:cs="Arial"/>
          <w:b/>
        </w:rPr>
        <w:t>Example 6</w:t>
      </w:r>
      <w:r w:rsidR="00F91ED8">
        <w:rPr>
          <w:rFonts w:ascii="Arial" w:hAnsi="Arial" w:cs="Arial"/>
          <w:b/>
        </w:rPr>
        <w:t>.</w:t>
      </w:r>
      <w:proofErr w:type="gramEnd"/>
      <w:r w:rsidR="00F91ED8">
        <w:rPr>
          <w:rFonts w:ascii="Arial" w:hAnsi="Arial" w:cs="Arial"/>
          <w:b/>
        </w:rPr>
        <w:t xml:space="preserve">  </w:t>
      </w:r>
      <w:r w:rsidRPr="002971E2">
        <w:rPr>
          <w:rFonts w:ascii="Arial" w:hAnsi="Arial" w:cs="Arial"/>
          <w:i/>
        </w:rPr>
        <w:t>The recipient had a subsequent transplant without a preparative regimen.</w:t>
      </w:r>
    </w:p>
    <w:p w14:paraId="79C432F2" w14:textId="44C42827" w:rsidR="000F7076" w:rsidRPr="002971E2" w:rsidRDefault="000F7076" w:rsidP="000F7076">
      <w:pPr>
        <w:ind w:left="720"/>
        <w:rPr>
          <w:rFonts w:ascii="Arial" w:hAnsi="Arial" w:cs="Arial"/>
        </w:rPr>
      </w:pPr>
      <w:r w:rsidRPr="002971E2">
        <w:rPr>
          <w:rFonts w:ascii="Arial" w:hAnsi="Arial" w:cs="Arial"/>
        </w:rPr>
        <w:t>Following their first transplant on 1/1/13, a recipient with SCID required a subsequent allogeneic transplant due to poor graft function</w:t>
      </w:r>
      <w:r w:rsidR="00F91ED8">
        <w:rPr>
          <w:rFonts w:ascii="Arial" w:hAnsi="Arial" w:cs="Arial"/>
        </w:rPr>
        <w:t xml:space="preserve">.  </w:t>
      </w:r>
      <w:r w:rsidRPr="002971E2">
        <w:rPr>
          <w:rFonts w:ascii="Arial" w:hAnsi="Arial" w:cs="Arial"/>
        </w:rPr>
        <w:t>The recipient has remained inpatient following the first transplant</w:t>
      </w:r>
      <w:r w:rsidR="00F91ED8">
        <w:rPr>
          <w:rFonts w:ascii="Arial" w:hAnsi="Arial" w:cs="Arial"/>
        </w:rPr>
        <w:t xml:space="preserve">.  </w:t>
      </w:r>
      <w:r w:rsidRPr="002971E2">
        <w:rPr>
          <w:rFonts w:ascii="Arial" w:hAnsi="Arial" w:cs="Arial"/>
        </w:rPr>
        <w:t>The physician planned the second transplant for 5/31/13, and proceeded without a preparative regimen.</w:t>
      </w:r>
    </w:p>
    <w:p w14:paraId="76E36B44" w14:textId="77777777" w:rsidR="000F7076" w:rsidRPr="00043CAB" w:rsidRDefault="000F7076" w:rsidP="000F7076">
      <w:pPr>
        <w:ind w:left="720" w:right="720"/>
        <w:rPr>
          <w:rFonts w:ascii="Arial" w:hAnsi="Arial" w:cs="Arial"/>
        </w:rPr>
      </w:pPr>
    </w:p>
    <w:p w14:paraId="0D970B90" w14:textId="77777777" w:rsidR="000F7076" w:rsidRPr="00043CAB" w:rsidRDefault="000F7076" w:rsidP="000F7076">
      <w:pPr>
        <w:ind w:left="720" w:right="720"/>
        <w:rPr>
          <w:rFonts w:ascii="Arial" w:hAnsi="Arial" w:cs="Arial"/>
        </w:rPr>
      </w:pPr>
      <w:r w:rsidRPr="00043CAB">
        <w:rPr>
          <w:rFonts w:ascii="Arial" w:hAnsi="Arial" w:cs="Arial"/>
        </w:rPr>
        <w:t>What to report:</w:t>
      </w:r>
    </w:p>
    <w:p w14:paraId="76A35087" w14:textId="77777777" w:rsidR="000F7076" w:rsidRPr="00043CAB" w:rsidRDefault="000F7076" w:rsidP="000F7076">
      <w:pPr>
        <w:ind w:left="720" w:right="720"/>
        <w:rPr>
          <w:rFonts w:ascii="Arial" w:hAnsi="Arial" w:cs="Arial"/>
        </w:rPr>
      </w:pPr>
      <w:r w:rsidRPr="00043CAB">
        <w:rPr>
          <w:rFonts w:ascii="Arial" w:hAnsi="Arial" w:cs="Arial"/>
          <w:u w:val="single"/>
        </w:rPr>
        <w:t>100 Day Date of Contact:</w:t>
      </w:r>
      <w:r w:rsidRPr="00043CAB">
        <w:rPr>
          <w:rFonts w:ascii="Arial" w:hAnsi="Arial" w:cs="Arial"/>
        </w:rPr>
        <w:t xml:space="preserve"> 4/11/13 (+/- 15 days)</w:t>
      </w:r>
    </w:p>
    <w:p w14:paraId="7255343D" w14:textId="77777777" w:rsidR="000F7076" w:rsidRPr="00043CAB" w:rsidRDefault="000F7076" w:rsidP="000F7076">
      <w:pPr>
        <w:autoSpaceDE w:val="0"/>
        <w:autoSpaceDN w:val="0"/>
        <w:adjustRightInd w:val="0"/>
        <w:ind w:firstLine="720"/>
        <w:rPr>
          <w:rFonts w:ascii="Arial" w:hAnsi="Arial" w:cs="Arial"/>
        </w:rPr>
      </w:pPr>
      <w:r w:rsidRPr="00043CAB">
        <w:rPr>
          <w:rFonts w:ascii="Arial" w:hAnsi="Arial" w:cs="Arial"/>
          <w:u w:val="single"/>
        </w:rPr>
        <w:t>6 Month Date of Contact:</w:t>
      </w:r>
      <w:r w:rsidRPr="00043CAB">
        <w:rPr>
          <w:rFonts w:ascii="Arial" w:hAnsi="Arial" w:cs="Arial"/>
        </w:rPr>
        <w:t xml:space="preserve"> 5/30/13</w:t>
      </w:r>
    </w:p>
    <w:p w14:paraId="49C20943" w14:textId="77777777" w:rsidR="000F7076" w:rsidRDefault="000F7076" w:rsidP="000F7076">
      <w:pPr>
        <w:rPr>
          <w:rFonts w:ascii="Arial" w:hAnsi="Arial" w:cs="Arial"/>
        </w:rPr>
      </w:pPr>
    </w:p>
    <w:p w14:paraId="33EA27FB" w14:textId="6E7D4F9D" w:rsidR="006C4C4D" w:rsidRDefault="000F7076" w:rsidP="000F7076">
      <w:pPr>
        <w:autoSpaceDE w:val="0"/>
        <w:autoSpaceDN w:val="0"/>
        <w:adjustRightInd w:val="0"/>
        <w:rPr>
          <w:rFonts w:ascii="Arial" w:hAnsi="Arial" w:cs="Arial"/>
        </w:rPr>
      </w:pPr>
      <w:r>
        <w:rPr>
          <w:rFonts w:ascii="Arial" w:hAnsi="Arial" w:cs="Arial"/>
        </w:rPr>
        <w:t xml:space="preserve">For more information regarding reporting partial or unknown dates, see General Instructions, </w:t>
      </w:r>
      <w:hyperlink r:id="rId14" w:history="1">
        <w:r w:rsidRPr="00223C6D">
          <w:rPr>
            <w:rStyle w:val="Hyperlink"/>
            <w:rFonts w:ascii="Arial" w:hAnsi="Arial" w:cs="Arial"/>
          </w:rPr>
          <w:t>General Guidelines for Completing Forms</w:t>
        </w:r>
      </w:hyperlink>
      <w:r>
        <w:rPr>
          <w:rFonts w:ascii="Arial" w:hAnsi="Arial" w:cs="Arial"/>
        </w:rPr>
        <w:t>.</w:t>
      </w:r>
    </w:p>
    <w:p w14:paraId="390C9D74" w14:textId="77777777" w:rsidR="000F7076" w:rsidRPr="00FC39A8" w:rsidRDefault="000F7076" w:rsidP="000F7076">
      <w:pPr>
        <w:autoSpaceDE w:val="0"/>
        <w:autoSpaceDN w:val="0"/>
        <w:adjustRightInd w:val="0"/>
        <w:rPr>
          <w:rFonts w:ascii="Arial" w:hAnsi="Arial" w:cs="Arial"/>
          <w:b/>
          <w:u w:val="single"/>
        </w:rPr>
      </w:pPr>
    </w:p>
    <w:p w14:paraId="340139BE" w14:textId="77777777" w:rsidR="006C4C4D" w:rsidRPr="00C530C1" w:rsidRDefault="006C4C4D" w:rsidP="006C4C4D">
      <w:pPr>
        <w:autoSpaceDE w:val="0"/>
        <w:autoSpaceDN w:val="0"/>
        <w:adjustRightInd w:val="0"/>
        <w:rPr>
          <w:rFonts w:ascii="Arial" w:hAnsi="Arial" w:cs="Arial"/>
          <w:b/>
        </w:rPr>
      </w:pPr>
      <w:r w:rsidRPr="00C530C1">
        <w:rPr>
          <w:rFonts w:ascii="Arial" w:hAnsi="Arial" w:cs="Arial"/>
          <w:b/>
        </w:rPr>
        <w:t xml:space="preserve">Question 2: </w:t>
      </w:r>
      <w:r w:rsidR="007F6268" w:rsidRPr="00C530C1">
        <w:rPr>
          <w:rFonts w:ascii="Arial" w:hAnsi="Arial" w:cs="Arial"/>
          <w:b/>
        </w:rPr>
        <w:t>Specify the recipient’s survival sta</w:t>
      </w:r>
      <w:r w:rsidR="00A27C4C" w:rsidRPr="00C530C1">
        <w:rPr>
          <w:rFonts w:ascii="Arial" w:hAnsi="Arial" w:cs="Arial"/>
          <w:b/>
        </w:rPr>
        <w:t>tus at the date of last contact</w:t>
      </w:r>
    </w:p>
    <w:p w14:paraId="2E10F641" w14:textId="5351F5B6" w:rsidR="00961B50" w:rsidRDefault="00961B50" w:rsidP="00961B50">
      <w:pPr>
        <w:autoSpaceDE w:val="0"/>
        <w:autoSpaceDN w:val="0"/>
        <w:adjustRightInd w:val="0"/>
        <w:rPr>
          <w:rFonts w:ascii="Arial" w:hAnsi="Arial" w:cs="Arial"/>
        </w:rPr>
      </w:pPr>
      <w:r w:rsidRPr="00C530C1">
        <w:rPr>
          <w:rFonts w:ascii="Arial" w:hAnsi="Arial" w:cs="Arial"/>
        </w:rPr>
        <w:t>Indicate the clinical status of the recipient on the date of actual contact for follow-up evaluation</w:t>
      </w:r>
      <w:r w:rsidR="00F91ED8">
        <w:rPr>
          <w:rFonts w:ascii="Arial" w:hAnsi="Arial" w:cs="Arial"/>
        </w:rPr>
        <w:t xml:space="preserve">.  </w:t>
      </w:r>
      <w:r w:rsidRPr="00C530C1">
        <w:rPr>
          <w:rFonts w:ascii="Arial" w:hAnsi="Arial" w:cs="Arial"/>
        </w:rPr>
        <w:t>If the recipient is</w:t>
      </w:r>
      <w:r w:rsidR="00C530C1" w:rsidRPr="00C530C1">
        <w:rPr>
          <w:rFonts w:ascii="Arial" w:hAnsi="Arial" w:cs="Arial"/>
        </w:rPr>
        <w:t xml:space="preserve"> alive, continue with question 7</w:t>
      </w:r>
      <w:r w:rsidR="00F91ED8">
        <w:rPr>
          <w:rFonts w:ascii="Arial" w:hAnsi="Arial" w:cs="Arial"/>
        </w:rPr>
        <w:t xml:space="preserve">.  </w:t>
      </w:r>
      <w:r w:rsidRPr="00C530C1">
        <w:rPr>
          <w:rFonts w:ascii="Arial" w:hAnsi="Arial" w:cs="Arial"/>
        </w:rPr>
        <w:t>If the recipient has</w:t>
      </w:r>
      <w:r w:rsidR="00C530C1" w:rsidRPr="00C530C1">
        <w:rPr>
          <w:rFonts w:ascii="Arial" w:hAnsi="Arial" w:cs="Arial"/>
        </w:rPr>
        <w:t xml:space="preserve"> died, continue with question 3</w:t>
      </w:r>
      <w:r w:rsidRPr="00C530C1">
        <w:rPr>
          <w:rFonts w:ascii="Arial" w:hAnsi="Arial" w:cs="Arial"/>
        </w:rPr>
        <w:t>.</w:t>
      </w:r>
      <w:r>
        <w:rPr>
          <w:rFonts w:ascii="Arial" w:hAnsi="Arial" w:cs="Arial"/>
        </w:rPr>
        <w:t xml:space="preserve"> </w:t>
      </w:r>
    </w:p>
    <w:p w14:paraId="30D08666" w14:textId="77777777" w:rsidR="00F91ED8" w:rsidRDefault="00F91ED8" w:rsidP="00961B50">
      <w:pPr>
        <w:autoSpaceDE w:val="0"/>
        <w:autoSpaceDN w:val="0"/>
        <w:adjustRightInd w:val="0"/>
        <w:rPr>
          <w:rFonts w:ascii="Arial" w:hAnsi="Arial" w:cs="Arial"/>
        </w:rPr>
      </w:pPr>
    </w:p>
    <w:p w14:paraId="4AC0D278" w14:textId="77777777" w:rsidR="00F91ED8" w:rsidRDefault="00F91ED8" w:rsidP="00961B50">
      <w:pPr>
        <w:autoSpaceDE w:val="0"/>
        <w:autoSpaceDN w:val="0"/>
        <w:adjustRightInd w:val="0"/>
        <w:rPr>
          <w:rFonts w:ascii="Arial" w:hAnsi="Arial" w:cs="Arial"/>
        </w:rPr>
      </w:pPr>
    </w:p>
    <w:p w14:paraId="5BC3F959" w14:textId="77777777" w:rsidR="006C4C4D" w:rsidRPr="00FC39A8" w:rsidRDefault="006C4C4D" w:rsidP="006C4C4D">
      <w:pPr>
        <w:autoSpaceDE w:val="0"/>
        <w:autoSpaceDN w:val="0"/>
        <w:adjustRightInd w:val="0"/>
        <w:rPr>
          <w:rFonts w:ascii="Arial" w:hAnsi="Arial" w:cs="Arial"/>
        </w:rPr>
      </w:pPr>
    </w:p>
    <w:p w14:paraId="0841AE17" w14:textId="62571025" w:rsidR="006C4C4D" w:rsidRPr="006C4CA9" w:rsidRDefault="006C4C4D" w:rsidP="006C4C4D">
      <w:pPr>
        <w:autoSpaceDE w:val="0"/>
        <w:autoSpaceDN w:val="0"/>
        <w:adjustRightInd w:val="0"/>
        <w:rPr>
          <w:rFonts w:ascii="Arial" w:hAnsi="Arial" w:cs="Arial"/>
        </w:rPr>
      </w:pPr>
      <w:r w:rsidRPr="00180140">
        <w:rPr>
          <w:rFonts w:ascii="Arial" w:hAnsi="Arial" w:cs="Arial"/>
          <w:b/>
        </w:rPr>
        <w:lastRenderedPageBreak/>
        <w:t>Question 3:</w:t>
      </w:r>
      <w:r w:rsidR="00F91ED8">
        <w:rPr>
          <w:rFonts w:ascii="Arial" w:hAnsi="Arial" w:cs="Arial"/>
          <w:b/>
        </w:rPr>
        <w:t xml:space="preserve"> </w:t>
      </w:r>
      <w:r w:rsidRPr="00180140">
        <w:rPr>
          <w:rFonts w:ascii="Arial" w:hAnsi="Arial" w:cs="Arial"/>
          <w:b/>
        </w:rPr>
        <w:t xml:space="preserve"> </w:t>
      </w:r>
      <w:r w:rsidR="007F6268" w:rsidRPr="00180140">
        <w:rPr>
          <w:rFonts w:ascii="Arial" w:hAnsi="Arial" w:cs="Arial"/>
          <w:b/>
        </w:rPr>
        <w:t>Prima</w:t>
      </w:r>
      <w:r w:rsidR="00A27C4C" w:rsidRPr="00180140">
        <w:rPr>
          <w:rFonts w:ascii="Arial" w:hAnsi="Arial" w:cs="Arial"/>
          <w:b/>
        </w:rPr>
        <w:t>ry cause of death</w:t>
      </w:r>
    </w:p>
    <w:p w14:paraId="6D4788A7" w14:textId="284549E6" w:rsidR="00180140" w:rsidRDefault="00180140" w:rsidP="00180140">
      <w:pPr>
        <w:autoSpaceDE w:val="0"/>
        <w:autoSpaceDN w:val="0"/>
        <w:adjustRightInd w:val="0"/>
        <w:rPr>
          <w:rFonts w:ascii="Arial" w:hAnsi="Arial" w:cs="Arial"/>
        </w:rPr>
      </w:pPr>
      <w:r>
        <w:rPr>
          <w:rFonts w:ascii="Arial" w:hAnsi="Arial" w:cs="Arial"/>
        </w:rPr>
        <w:t xml:space="preserve">Report the primary underlying cause of death. </w:t>
      </w:r>
      <w:r w:rsidR="00F91ED8">
        <w:rPr>
          <w:rFonts w:ascii="Arial" w:hAnsi="Arial" w:cs="Arial"/>
        </w:rPr>
        <w:t xml:space="preserve"> </w:t>
      </w:r>
      <w:r>
        <w:rPr>
          <w:rFonts w:ascii="Arial" w:hAnsi="Arial" w:cs="Arial"/>
        </w:rPr>
        <w:t>Do not report the mode of death, such as cardiopulmonary arrest</w:t>
      </w:r>
      <w:r w:rsidR="00F91ED8">
        <w:rPr>
          <w:rFonts w:ascii="Arial" w:hAnsi="Arial" w:cs="Arial"/>
        </w:rPr>
        <w:t xml:space="preserve">.  </w:t>
      </w:r>
      <w:r>
        <w:rPr>
          <w:rFonts w:ascii="Arial" w:hAnsi="Arial" w:cs="Arial"/>
        </w:rPr>
        <w:t xml:space="preserve">According to the Centers for Disease Control and Prevention, National Center for Health Statistics, the underlying cause of death is “the disease or injury that initiated the chain of events that led directly or inevitably to death.” </w:t>
      </w:r>
    </w:p>
    <w:p w14:paraId="6C5250BF" w14:textId="77777777" w:rsidR="00180140" w:rsidRDefault="00180140" w:rsidP="00180140">
      <w:pPr>
        <w:autoSpaceDE w:val="0"/>
        <w:autoSpaceDN w:val="0"/>
        <w:adjustRightInd w:val="0"/>
        <w:rPr>
          <w:rFonts w:ascii="Arial" w:hAnsi="Arial" w:cs="Arial"/>
        </w:rPr>
      </w:pPr>
    </w:p>
    <w:p w14:paraId="70A7F634" w14:textId="5225BF33" w:rsidR="00180140" w:rsidRDefault="00180140" w:rsidP="00180140">
      <w:pPr>
        <w:autoSpaceDE w:val="0"/>
        <w:autoSpaceDN w:val="0"/>
        <w:adjustRightInd w:val="0"/>
        <w:rPr>
          <w:rFonts w:ascii="Arial" w:hAnsi="Arial" w:cs="Arial"/>
        </w:rPr>
      </w:pPr>
      <w:r>
        <w:rPr>
          <w:rFonts w:ascii="Arial" w:hAnsi="Arial" w:cs="Arial"/>
        </w:rPr>
        <w:t xml:space="preserve">Report only one primary cause of death. </w:t>
      </w:r>
      <w:r w:rsidR="00F91ED8">
        <w:rPr>
          <w:rFonts w:ascii="Arial" w:hAnsi="Arial" w:cs="Arial"/>
        </w:rPr>
        <w:t xml:space="preserve"> </w:t>
      </w:r>
      <w:r>
        <w:rPr>
          <w:rFonts w:ascii="Arial" w:hAnsi="Arial" w:cs="Arial"/>
        </w:rPr>
        <w:t>If the recipient has recurrent/</w:t>
      </w:r>
      <w:r w:rsidR="00632864">
        <w:rPr>
          <w:rFonts w:ascii="Arial" w:hAnsi="Arial" w:cs="Arial"/>
        </w:rPr>
        <w:t xml:space="preserve"> </w:t>
      </w:r>
      <w:r>
        <w:rPr>
          <w:rFonts w:ascii="Arial" w:hAnsi="Arial" w:cs="Arial"/>
        </w:rPr>
        <w:t>persistent/</w:t>
      </w:r>
      <w:r w:rsidR="00632864">
        <w:rPr>
          <w:rFonts w:ascii="Arial" w:hAnsi="Arial" w:cs="Arial"/>
        </w:rPr>
        <w:t xml:space="preserve"> </w:t>
      </w:r>
      <w:r>
        <w:rPr>
          <w:rFonts w:ascii="Arial" w:hAnsi="Arial" w:cs="Arial"/>
        </w:rPr>
        <w:t xml:space="preserve">progressive disease at the time of death, consider if the disease was the primary cause of death or a contributing cause of death. </w:t>
      </w:r>
      <w:r w:rsidR="00F91ED8">
        <w:rPr>
          <w:rFonts w:ascii="Arial" w:hAnsi="Arial" w:cs="Arial"/>
        </w:rPr>
        <w:t xml:space="preserve"> </w:t>
      </w:r>
      <w:r>
        <w:rPr>
          <w:rFonts w:ascii="Arial" w:hAnsi="Arial" w:cs="Arial"/>
        </w:rPr>
        <w:t xml:space="preserve">It </w:t>
      </w:r>
      <w:proofErr w:type="gramStart"/>
      <w:r>
        <w:rPr>
          <w:rFonts w:ascii="Arial" w:hAnsi="Arial" w:cs="Arial"/>
        </w:rPr>
        <w:t>should not be assumed</w:t>
      </w:r>
      <w:proofErr w:type="gramEnd"/>
      <w:r>
        <w:rPr>
          <w:rFonts w:ascii="Arial" w:hAnsi="Arial" w:cs="Arial"/>
        </w:rPr>
        <w:t xml:space="preserve"> that the presence of disease indicates that the disease was the primary cause of death.</w:t>
      </w:r>
    </w:p>
    <w:p w14:paraId="79191877" w14:textId="218207C7" w:rsidR="00180140" w:rsidRDefault="00180140" w:rsidP="00180140">
      <w:pPr>
        <w:autoSpaceDE w:val="0"/>
        <w:autoSpaceDN w:val="0"/>
        <w:adjustRightInd w:val="0"/>
        <w:rPr>
          <w:rFonts w:ascii="Arial" w:hAnsi="Arial" w:cs="Arial"/>
        </w:rPr>
      </w:pPr>
      <w:r>
        <w:rPr>
          <w:rFonts w:ascii="Arial" w:hAnsi="Arial" w:cs="Arial"/>
          <w:b/>
          <w:noProof/>
        </w:rPr>
        <mc:AlternateContent>
          <mc:Choice Requires="wps">
            <w:drawing>
              <wp:anchor distT="0" distB="0" distL="114300" distR="114300" simplePos="0" relativeHeight="251682816" behindDoc="1" locked="0" layoutInCell="1" allowOverlap="1" wp14:anchorId="2886E86B" wp14:editId="28A37310">
                <wp:simplePos x="0" y="0"/>
                <wp:positionH relativeFrom="margin">
                  <wp:align>right</wp:align>
                </wp:positionH>
                <wp:positionV relativeFrom="paragraph">
                  <wp:posOffset>260985</wp:posOffset>
                </wp:positionV>
                <wp:extent cx="5943600" cy="838200"/>
                <wp:effectExtent l="0" t="0" r="0" b="0"/>
                <wp:wrapTight wrapText="bothSides">
                  <wp:wrapPolygon edited="0">
                    <wp:start x="0" y="0"/>
                    <wp:lineTo x="0" y="21109"/>
                    <wp:lineTo x="21531" y="21109"/>
                    <wp:lineTo x="21531" y="0"/>
                    <wp:lineTo x="0" y="0"/>
                  </wp:wrapPolygon>
                </wp:wrapTight>
                <wp:docPr id="62" name="Text Box 62"/>
                <wp:cNvGraphicFramePr/>
                <a:graphic xmlns:a="http://schemas.openxmlformats.org/drawingml/2006/main">
                  <a:graphicData uri="http://schemas.microsoft.com/office/word/2010/wordprocessingShape">
                    <wps:wsp>
                      <wps:cNvSpPr txBox="1"/>
                      <wps:spPr>
                        <a:xfrm>
                          <a:off x="0" y="0"/>
                          <a:ext cx="5943600" cy="838200"/>
                        </a:xfrm>
                        <a:prstGeom prst="rect">
                          <a:avLst/>
                        </a:prstGeom>
                        <a:solidFill>
                          <a:schemeClr val="accent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07EF77C" w14:textId="0D24E63D" w:rsidR="00632864" w:rsidRPr="00A8463A" w:rsidRDefault="00632864" w:rsidP="00961B50">
                            <w:pPr>
                              <w:shd w:val="clear" w:color="auto" w:fill="63A70A" w:themeFill="accent2"/>
                              <w:tabs>
                                <w:tab w:val="left" w:pos="360"/>
                              </w:tabs>
                              <w:ind w:left="720"/>
                              <w:jc w:val="center"/>
                              <w:rPr>
                                <w:rFonts w:ascii="Arial" w:hAnsi="Arial" w:cs="Arial"/>
                                <w:b/>
                                <w:color w:val="FFFFFF" w:themeColor="background1"/>
                              </w:rPr>
                            </w:pPr>
                            <w:r w:rsidRPr="00A8463A">
                              <w:rPr>
                                <w:rFonts w:ascii="Arial" w:hAnsi="Arial" w:cs="Arial"/>
                                <w:b/>
                                <w:color w:val="FFFFFF" w:themeColor="background1"/>
                              </w:rPr>
                              <w:t xml:space="preserve">NOTE: </w:t>
                            </w:r>
                            <w:r>
                              <w:rPr>
                                <w:rFonts w:ascii="Arial" w:hAnsi="Arial" w:cs="Arial"/>
                                <w:b/>
                                <w:color w:val="FFFFFF" w:themeColor="background1"/>
                              </w:rPr>
                              <w:t xml:space="preserve"> </w:t>
                            </w:r>
                            <w:r w:rsidRPr="00A8463A">
                              <w:rPr>
                                <w:rFonts w:ascii="Arial" w:hAnsi="Arial" w:cs="Arial"/>
                                <w:b/>
                                <w:color w:val="FFFFFF" w:themeColor="background1"/>
                              </w:rPr>
                              <w:t>Aplastic Anemia</w:t>
                            </w:r>
                          </w:p>
                          <w:p w14:paraId="31E92252" w14:textId="77777777" w:rsidR="00632864" w:rsidRPr="00A8463A" w:rsidRDefault="00632864" w:rsidP="00961B50">
                            <w:pPr>
                              <w:shd w:val="clear" w:color="auto" w:fill="63A70A" w:themeFill="accent2"/>
                              <w:tabs>
                                <w:tab w:val="left" w:pos="360"/>
                              </w:tabs>
                              <w:ind w:left="720"/>
                              <w:rPr>
                                <w:rFonts w:ascii="Arial" w:hAnsi="Arial" w:cs="Arial"/>
                                <w:b/>
                                <w:color w:val="FFFFFF" w:themeColor="background1"/>
                              </w:rPr>
                            </w:pPr>
                            <w:r w:rsidRPr="00A8463A">
                              <w:rPr>
                                <w:rFonts w:ascii="Arial" w:hAnsi="Arial" w:cs="Arial"/>
                                <w:color w:val="FFFFFF" w:themeColor="background1"/>
                              </w:rPr>
                              <w:t xml:space="preserve">If the recipient received an </w:t>
                            </w:r>
                            <w:r>
                              <w:rPr>
                                <w:rFonts w:ascii="Arial" w:hAnsi="Arial" w:cs="Arial"/>
                                <w:color w:val="FFFFFF" w:themeColor="background1"/>
                              </w:rPr>
                              <w:t>HCT</w:t>
                            </w:r>
                            <w:r w:rsidRPr="00A8463A">
                              <w:rPr>
                                <w:rFonts w:ascii="Arial" w:hAnsi="Arial" w:cs="Arial"/>
                                <w:color w:val="FFFFFF" w:themeColor="background1"/>
                              </w:rPr>
                              <w:t xml:space="preserve"> for aplastic anemia, and the primary cause of death is attributed to relapse/recurrence of disease, report “</w:t>
                            </w:r>
                            <w:r>
                              <w:rPr>
                                <w:rFonts w:ascii="Arial" w:hAnsi="Arial" w:cs="Arial"/>
                                <w:color w:val="FFFFFF" w:themeColor="background1"/>
                              </w:rPr>
                              <w:t>HCT</w:t>
                            </w:r>
                            <w:r w:rsidRPr="00A8463A">
                              <w:rPr>
                                <w:rFonts w:ascii="Arial" w:hAnsi="Arial" w:cs="Arial"/>
                                <w:color w:val="FFFFFF" w:themeColor="background1"/>
                              </w:rPr>
                              <w:t xml:space="preserve"> related causes” and select “Rejection/Poor graft function” as the cause of death.</w:t>
                            </w:r>
                          </w:p>
                          <w:p w14:paraId="57D66833" w14:textId="77777777" w:rsidR="00632864" w:rsidRDefault="006328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2" o:spid="_x0000_s1030" type="#_x0000_t202" style="position:absolute;margin-left:416.8pt;margin-top:20.55pt;width:468pt;height:66pt;z-index:-2516336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" fillcolor="#63a70a [3205]" stroked="f" strokeweight=".5pt">
                <v:textbox>
                  <w:txbxContent>
                    <w:p w14:paraId="507EF77C" w14:textId="0D24E63D" w:rsidR="00632864" w:rsidRPr="00A8463A" w:rsidRDefault="00632864" w:rsidP="00961B50">
                      <w:pPr>
                        <w:shd w:val="clear" w:color="auto" w:fill="63A70A" w:themeFill="accent2"/>
                        <w:tabs>
                          <w:tab w:val="left" w:pos="360"/>
                        </w:tabs>
                        <w:ind w:left="720"/>
                        <w:jc w:val="center"/>
                        <w:rPr>
                          <w:rFonts w:ascii="Arial" w:hAnsi="Arial" w:cs="Arial"/>
                          <w:b/>
                          <w:color w:val="FFFFFF" w:themeColor="background1"/>
                        </w:rPr>
                      </w:pPr>
                      <w:r w:rsidRPr="00A8463A">
                        <w:rPr>
                          <w:rFonts w:ascii="Arial" w:hAnsi="Arial" w:cs="Arial"/>
                          <w:b/>
                          <w:color w:val="FFFFFF" w:themeColor="background1"/>
                        </w:rPr>
                        <w:t xml:space="preserve">NOTE: </w:t>
                      </w:r>
                      <w:r>
                        <w:rPr>
                          <w:rFonts w:ascii="Arial" w:hAnsi="Arial" w:cs="Arial"/>
                          <w:b/>
                          <w:color w:val="FFFFFF" w:themeColor="background1"/>
                        </w:rPr>
                        <w:t xml:space="preserve"> </w:t>
                      </w:r>
                      <w:r w:rsidRPr="00A8463A">
                        <w:rPr>
                          <w:rFonts w:ascii="Arial" w:hAnsi="Arial" w:cs="Arial"/>
                          <w:b/>
                          <w:color w:val="FFFFFF" w:themeColor="background1"/>
                        </w:rPr>
                        <w:t>Aplastic Anemia</w:t>
                      </w:r>
                    </w:p>
                    <w:p w14:paraId="31E92252" w14:textId="77777777" w:rsidR="00632864" w:rsidRPr="00A8463A" w:rsidRDefault="00632864" w:rsidP="00961B50">
                      <w:pPr>
                        <w:shd w:val="clear" w:color="auto" w:fill="63A70A" w:themeFill="accent2"/>
                        <w:tabs>
                          <w:tab w:val="left" w:pos="360"/>
                        </w:tabs>
                        <w:ind w:left="720"/>
                        <w:rPr>
                          <w:rFonts w:ascii="Arial" w:hAnsi="Arial" w:cs="Arial"/>
                          <w:b/>
                          <w:color w:val="FFFFFF" w:themeColor="background1"/>
                        </w:rPr>
                      </w:pPr>
                      <w:r w:rsidRPr="00A8463A">
                        <w:rPr>
                          <w:rFonts w:ascii="Arial" w:hAnsi="Arial" w:cs="Arial"/>
                          <w:color w:val="FFFFFF" w:themeColor="background1"/>
                        </w:rPr>
                        <w:t xml:space="preserve">If the recipient received an </w:t>
                      </w:r>
                      <w:r>
                        <w:rPr>
                          <w:rFonts w:ascii="Arial" w:hAnsi="Arial" w:cs="Arial"/>
                          <w:color w:val="FFFFFF" w:themeColor="background1"/>
                        </w:rPr>
                        <w:t>HCT</w:t>
                      </w:r>
                      <w:r w:rsidRPr="00A8463A">
                        <w:rPr>
                          <w:rFonts w:ascii="Arial" w:hAnsi="Arial" w:cs="Arial"/>
                          <w:color w:val="FFFFFF" w:themeColor="background1"/>
                        </w:rPr>
                        <w:t xml:space="preserve"> for aplastic anemia, and the primary cause of death is attributed to relapse/recurrence of disease, report “</w:t>
                      </w:r>
                      <w:r>
                        <w:rPr>
                          <w:rFonts w:ascii="Arial" w:hAnsi="Arial" w:cs="Arial"/>
                          <w:color w:val="FFFFFF" w:themeColor="background1"/>
                        </w:rPr>
                        <w:t>HCT</w:t>
                      </w:r>
                      <w:r w:rsidRPr="00A8463A">
                        <w:rPr>
                          <w:rFonts w:ascii="Arial" w:hAnsi="Arial" w:cs="Arial"/>
                          <w:color w:val="FFFFFF" w:themeColor="background1"/>
                        </w:rPr>
                        <w:t xml:space="preserve"> related causes” and select “Rejection/Poor graft function” as the cause of death.</w:t>
                      </w:r>
                    </w:p>
                    <w:p w14:paraId="57D66833" w14:textId="77777777" w:rsidR="00632864" w:rsidRDefault="00632864"/>
                  </w:txbxContent>
                </v:textbox>
                <w10:wrap type="tight" anchorx="margin"/>
              </v:shape>
            </w:pict>
          </mc:Fallback>
        </mc:AlternateContent>
      </w:r>
    </w:p>
    <w:p w14:paraId="2690D870" w14:textId="7B7ED776" w:rsidR="00180140" w:rsidRDefault="00180140" w:rsidP="00180140">
      <w:pPr>
        <w:autoSpaceDE w:val="0"/>
        <w:autoSpaceDN w:val="0"/>
        <w:adjustRightInd w:val="0"/>
        <w:rPr>
          <w:rFonts w:ascii="Arial" w:hAnsi="Arial" w:cs="Arial"/>
        </w:rPr>
      </w:pPr>
      <w:r>
        <w:rPr>
          <w:rFonts w:ascii="Arial" w:hAnsi="Arial" w:cs="Arial"/>
        </w:rPr>
        <w:t>If the primary cause of death is unclear, consult with a physician for their best medical opinion.</w:t>
      </w:r>
    </w:p>
    <w:p w14:paraId="14712467" w14:textId="77777777" w:rsidR="00180140" w:rsidRDefault="00180140" w:rsidP="006C4C4D">
      <w:pPr>
        <w:autoSpaceDE w:val="0"/>
        <w:autoSpaceDN w:val="0"/>
        <w:adjustRightInd w:val="0"/>
        <w:rPr>
          <w:rFonts w:ascii="Arial" w:hAnsi="Arial" w:cs="Arial"/>
          <w:b/>
        </w:rPr>
      </w:pPr>
    </w:p>
    <w:p w14:paraId="54187BBD" w14:textId="02FAB94D" w:rsidR="006C4C4D" w:rsidRPr="006C4CA9" w:rsidRDefault="006C4C4D" w:rsidP="006C4C4D">
      <w:pPr>
        <w:autoSpaceDE w:val="0"/>
        <w:autoSpaceDN w:val="0"/>
        <w:adjustRightInd w:val="0"/>
        <w:rPr>
          <w:rFonts w:ascii="Arial" w:hAnsi="Arial" w:cs="Arial"/>
        </w:rPr>
      </w:pPr>
      <w:r w:rsidRPr="00961B50">
        <w:rPr>
          <w:rFonts w:ascii="Arial" w:hAnsi="Arial" w:cs="Arial"/>
          <w:b/>
        </w:rPr>
        <w:t xml:space="preserve">Question 4: </w:t>
      </w:r>
      <w:r w:rsidR="005A3F32">
        <w:rPr>
          <w:rFonts w:ascii="Arial" w:hAnsi="Arial" w:cs="Arial"/>
          <w:b/>
        </w:rPr>
        <w:t xml:space="preserve"> </w:t>
      </w:r>
      <w:r w:rsidR="00A27C4C">
        <w:rPr>
          <w:rFonts w:ascii="Arial" w:hAnsi="Arial" w:cs="Arial"/>
          <w:b/>
        </w:rPr>
        <w:t>Specify</w:t>
      </w:r>
    </w:p>
    <w:p w14:paraId="65F45D65" w14:textId="3A4AD8A5" w:rsidR="00180140" w:rsidRPr="00740A74" w:rsidRDefault="00180140" w:rsidP="00180140">
      <w:pPr>
        <w:autoSpaceDE w:val="0"/>
        <w:autoSpaceDN w:val="0"/>
        <w:adjustRightInd w:val="0"/>
        <w:rPr>
          <w:rFonts w:ascii="Arial" w:hAnsi="Arial" w:cs="Arial"/>
        </w:rPr>
      </w:pPr>
      <w:r>
        <w:rPr>
          <w:rFonts w:ascii="Arial" w:hAnsi="Arial" w:cs="Arial"/>
        </w:rPr>
        <w:t xml:space="preserve">Specify details for primary cause of death requiring </w:t>
      </w:r>
      <w:r w:rsidR="00C26BF3">
        <w:rPr>
          <w:rFonts w:ascii="Arial" w:hAnsi="Arial" w:cs="Arial"/>
        </w:rPr>
        <w:t>“other”</w:t>
      </w:r>
      <w:r>
        <w:rPr>
          <w:rFonts w:ascii="Arial" w:hAnsi="Arial" w:cs="Arial"/>
        </w:rPr>
        <w:t xml:space="preserve"> specification</w:t>
      </w:r>
      <w:r w:rsidR="00F91ED8">
        <w:rPr>
          <w:rFonts w:ascii="Arial" w:hAnsi="Arial" w:cs="Arial"/>
        </w:rPr>
        <w:t xml:space="preserve">.  </w:t>
      </w:r>
      <w:r>
        <w:rPr>
          <w:rFonts w:ascii="Arial" w:hAnsi="Arial" w:cs="Arial"/>
        </w:rPr>
        <w:t xml:space="preserve">Options which require additional specification include </w:t>
      </w:r>
      <w:r w:rsidRPr="00180140">
        <w:rPr>
          <w:rFonts w:ascii="Arial" w:hAnsi="Arial" w:cs="Arial"/>
        </w:rPr>
        <w:t>“Other infection,” “Other pulmonary syndrome,” “Multiple organ failure,” “Other organ failure,” “Other hemorrhage,” “Other vascular,” and “Other cause.”</w:t>
      </w:r>
      <w:r>
        <w:rPr>
          <w:rFonts w:ascii="Arial" w:hAnsi="Arial" w:cs="Arial"/>
        </w:rPr>
        <w:t xml:space="preserve"> Information reported in the specify field must pertain to the option selected (e.g., an infectious cause of death should be specified for “</w:t>
      </w:r>
      <w:r w:rsidRPr="00A3505A">
        <w:rPr>
          <w:rFonts w:ascii="Arial" w:hAnsi="Arial" w:cs="Arial"/>
        </w:rPr>
        <w:t>Other infection</w:t>
      </w:r>
      <w:r>
        <w:rPr>
          <w:rFonts w:ascii="Arial" w:hAnsi="Arial" w:cs="Arial"/>
        </w:rPr>
        <w:t>”).</w:t>
      </w:r>
    </w:p>
    <w:p w14:paraId="4A4FD91A" w14:textId="4961A70B" w:rsidR="00A1720C" w:rsidRPr="00180140" w:rsidRDefault="00A1720C" w:rsidP="006C4C4D">
      <w:pPr>
        <w:autoSpaceDE w:val="0"/>
        <w:autoSpaceDN w:val="0"/>
        <w:adjustRightInd w:val="0"/>
        <w:rPr>
          <w:rFonts w:ascii="Arial" w:hAnsi="Arial" w:cs="Arial"/>
        </w:rPr>
      </w:pPr>
    </w:p>
    <w:p w14:paraId="7448934F" w14:textId="67A36DCD" w:rsidR="00F84477" w:rsidRDefault="006C4C4D" w:rsidP="006C4C4D">
      <w:pPr>
        <w:autoSpaceDE w:val="0"/>
        <w:autoSpaceDN w:val="0"/>
        <w:adjustRightInd w:val="0"/>
        <w:rPr>
          <w:rFonts w:ascii="Arial" w:hAnsi="Arial" w:cs="Arial"/>
          <w:b/>
        </w:rPr>
      </w:pPr>
      <w:r w:rsidRPr="00961B50">
        <w:rPr>
          <w:rFonts w:ascii="Arial" w:hAnsi="Arial" w:cs="Arial"/>
          <w:b/>
        </w:rPr>
        <w:t xml:space="preserve">Question 5: </w:t>
      </w:r>
      <w:r w:rsidR="005A3F32">
        <w:rPr>
          <w:rFonts w:ascii="Arial" w:hAnsi="Arial" w:cs="Arial"/>
          <w:b/>
        </w:rPr>
        <w:t xml:space="preserve"> </w:t>
      </w:r>
      <w:r w:rsidR="00A27C4C">
        <w:rPr>
          <w:rFonts w:ascii="Arial" w:hAnsi="Arial" w:cs="Arial"/>
          <w:b/>
        </w:rPr>
        <w:t>Contributing cause of death</w:t>
      </w:r>
    </w:p>
    <w:p w14:paraId="2E1398CC" w14:textId="38A2978E" w:rsidR="00180140" w:rsidRDefault="00180140" w:rsidP="00180140">
      <w:pPr>
        <w:autoSpaceDE w:val="0"/>
        <w:autoSpaceDN w:val="0"/>
        <w:adjustRightInd w:val="0"/>
        <w:rPr>
          <w:rFonts w:ascii="Arial" w:hAnsi="Arial" w:cs="Arial"/>
        </w:rPr>
      </w:pPr>
      <w:r>
        <w:rPr>
          <w:rFonts w:ascii="Arial" w:hAnsi="Arial" w:cs="Arial"/>
        </w:rPr>
        <w:t>Report any additional causes of death</w:t>
      </w:r>
      <w:r w:rsidR="00F91ED8">
        <w:rPr>
          <w:rFonts w:ascii="Arial" w:hAnsi="Arial" w:cs="Arial"/>
        </w:rPr>
        <w:t xml:space="preserve">.  </w:t>
      </w:r>
      <w:r>
        <w:rPr>
          <w:rFonts w:ascii="Arial" w:hAnsi="Arial" w:cs="Arial"/>
        </w:rPr>
        <w:t>All contributing causes of death are important for analysis of transplant outcomes.</w:t>
      </w:r>
    </w:p>
    <w:p w14:paraId="3EA5E83E" w14:textId="77777777" w:rsidR="00180140" w:rsidRDefault="00180140" w:rsidP="00180140">
      <w:pPr>
        <w:autoSpaceDE w:val="0"/>
        <w:autoSpaceDN w:val="0"/>
        <w:adjustRightInd w:val="0"/>
        <w:rPr>
          <w:rFonts w:ascii="Arial" w:hAnsi="Arial" w:cs="Arial"/>
        </w:rPr>
      </w:pPr>
    </w:p>
    <w:p w14:paraId="7DCB7A12" w14:textId="77777777" w:rsidR="00180140" w:rsidRDefault="00180140" w:rsidP="00180140">
      <w:pPr>
        <w:autoSpaceDE w:val="0"/>
        <w:autoSpaceDN w:val="0"/>
        <w:adjustRightInd w:val="0"/>
        <w:rPr>
          <w:rFonts w:ascii="Arial" w:hAnsi="Arial" w:cs="Arial"/>
        </w:rPr>
      </w:pPr>
      <w:r>
        <w:rPr>
          <w:rFonts w:ascii="Arial" w:hAnsi="Arial" w:cs="Arial"/>
        </w:rPr>
        <w:t>If there were multiple contributing causes of death, enable an additional instance to report additional causes.</w:t>
      </w:r>
    </w:p>
    <w:p w14:paraId="1F4827E0" w14:textId="77777777" w:rsidR="00A27C4C" w:rsidRPr="00961B50" w:rsidRDefault="00A27C4C" w:rsidP="006C4C4D">
      <w:pPr>
        <w:autoSpaceDE w:val="0"/>
        <w:autoSpaceDN w:val="0"/>
        <w:adjustRightInd w:val="0"/>
        <w:rPr>
          <w:rFonts w:ascii="Arial" w:hAnsi="Arial" w:cs="Arial"/>
        </w:rPr>
      </w:pPr>
    </w:p>
    <w:p w14:paraId="2E2E7EB0" w14:textId="29A43477" w:rsidR="00F84477" w:rsidRDefault="00F84477" w:rsidP="00F84477">
      <w:pPr>
        <w:rPr>
          <w:rFonts w:ascii="Arial" w:hAnsi="Arial" w:cs="Arial"/>
          <w:b/>
        </w:rPr>
      </w:pPr>
      <w:r w:rsidRPr="00961B50">
        <w:rPr>
          <w:rFonts w:ascii="Arial" w:hAnsi="Arial" w:cs="Arial"/>
          <w:b/>
        </w:rPr>
        <w:t xml:space="preserve">Question 6: </w:t>
      </w:r>
      <w:r w:rsidR="00632864">
        <w:rPr>
          <w:rFonts w:ascii="Arial" w:hAnsi="Arial" w:cs="Arial"/>
          <w:b/>
        </w:rPr>
        <w:t xml:space="preserve"> </w:t>
      </w:r>
      <w:r w:rsidR="00A27C4C">
        <w:rPr>
          <w:rFonts w:ascii="Arial" w:hAnsi="Arial" w:cs="Arial"/>
          <w:b/>
        </w:rPr>
        <w:t>Specify</w:t>
      </w:r>
    </w:p>
    <w:p w14:paraId="48BEF643" w14:textId="306D4034" w:rsidR="00A27C4C" w:rsidRPr="00180140" w:rsidRDefault="00180140" w:rsidP="00180140">
      <w:pPr>
        <w:autoSpaceDE w:val="0"/>
        <w:autoSpaceDN w:val="0"/>
        <w:adjustRightInd w:val="0"/>
        <w:rPr>
          <w:rFonts w:ascii="Arial" w:hAnsi="Arial" w:cs="Arial"/>
        </w:rPr>
      </w:pPr>
      <w:r>
        <w:rPr>
          <w:rFonts w:ascii="Arial" w:hAnsi="Arial" w:cs="Arial"/>
        </w:rPr>
        <w:t xml:space="preserve">Specify details for primary cause of death requiring </w:t>
      </w:r>
      <w:r w:rsidR="00C26BF3">
        <w:rPr>
          <w:rFonts w:ascii="Arial" w:hAnsi="Arial" w:cs="Arial"/>
        </w:rPr>
        <w:t>“other”</w:t>
      </w:r>
      <w:r>
        <w:rPr>
          <w:rFonts w:ascii="Arial" w:hAnsi="Arial" w:cs="Arial"/>
        </w:rPr>
        <w:t xml:space="preserve"> specification</w:t>
      </w:r>
      <w:r w:rsidR="00F91ED8">
        <w:rPr>
          <w:rFonts w:ascii="Arial" w:hAnsi="Arial" w:cs="Arial"/>
        </w:rPr>
        <w:t xml:space="preserve">.  </w:t>
      </w:r>
      <w:r>
        <w:rPr>
          <w:rFonts w:ascii="Arial" w:hAnsi="Arial" w:cs="Arial"/>
        </w:rPr>
        <w:t xml:space="preserve">Options which require additional specification include </w:t>
      </w:r>
      <w:r w:rsidRPr="00180140">
        <w:rPr>
          <w:rFonts w:ascii="Arial" w:hAnsi="Arial" w:cs="Arial"/>
        </w:rPr>
        <w:t>“Other infection,” “Other pulmonary syndrome,” “Multiple organ failure,” “Other organ failure,” “Other hemorrhage,” “Other vascular,” and “Other cause.”</w:t>
      </w:r>
      <w:r>
        <w:rPr>
          <w:rFonts w:ascii="Arial" w:hAnsi="Arial" w:cs="Arial"/>
        </w:rPr>
        <w:t xml:space="preserve"> Information reported in the specify field must pertain to the option selected (e.g., an infectious cause of death should be specified for “</w:t>
      </w:r>
      <w:r w:rsidRPr="00A3505A">
        <w:rPr>
          <w:rFonts w:ascii="Arial" w:hAnsi="Arial" w:cs="Arial"/>
        </w:rPr>
        <w:t>Other infection</w:t>
      </w:r>
      <w:r>
        <w:rPr>
          <w:rFonts w:ascii="Arial" w:hAnsi="Arial" w:cs="Arial"/>
        </w:rPr>
        <w:t>”).</w:t>
      </w:r>
    </w:p>
    <w:p w14:paraId="7A2BC301" w14:textId="77777777" w:rsidR="007F6268" w:rsidRDefault="007F6268" w:rsidP="00F84477">
      <w:pPr>
        <w:rPr>
          <w:rFonts w:ascii="Arial" w:hAnsi="Arial" w:cs="Arial"/>
        </w:rPr>
      </w:pPr>
    </w:p>
    <w:p w14:paraId="65370D97" w14:textId="0BDC9DF3" w:rsidR="00180140" w:rsidRDefault="00632864" w:rsidP="00F84477">
      <w:pPr>
        <w:rPr>
          <w:rFonts w:ascii="Arial" w:hAnsi="Arial" w:cs="Arial"/>
          <w:b/>
        </w:rPr>
      </w:pPr>
      <w:r>
        <w:rPr>
          <w:rFonts w:ascii="Arial" w:hAnsi="Arial" w:cs="Arial"/>
          <w:b/>
        </w:rPr>
        <w:t xml:space="preserve">Questions 3-6:  </w:t>
      </w:r>
      <w:r w:rsidR="00180140">
        <w:rPr>
          <w:rFonts w:ascii="Arial" w:hAnsi="Arial" w:cs="Arial"/>
          <w:b/>
        </w:rPr>
        <w:t>Cause of Death Codes</w:t>
      </w:r>
    </w:p>
    <w:p w14:paraId="65F38466" w14:textId="3F358F59" w:rsidR="00180140" w:rsidRDefault="00180140" w:rsidP="00180140">
      <w:pPr>
        <w:autoSpaceDE w:val="0"/>
        <w:autoSpaceDN w:val="0"/>
        <w:adjustRightInd w:val="0"/>
        <w:ind w:left="720"/>
        <w:rPr>
          <w:rFonts w:ascii="Arial" w:hAnsi="Arial" w:cs="Arial"/>
        </w:rPr>
      </w:pPr>
      <w:r w:rsidRPr="00D817DC">
        <w:rPr>
          <w:rFonts w:ascii="Arial" w:hAnsi="Arial" w:cs="Arial"/>
          <w:b/>
        </w:rPr>
        <w:t xml:space="preserve">Recurrence / persistence / progression of </w:t>
      </w:r>
      <w:r w:rsidRPr="00B235A0">
        <w:rPr>
          <w:rFonts w:ascii="Arial" w:hAnsi="Arial" w:cs="Arial"/>
          <w:b/>
        </w:rPr>
        <w:t xml:space="preserve">disease for which the HCT or cellular therapy </w:t>
      </w:r>
      <w:proofErr w:type="gramStart"/>
      <w:r w:rsidRPr="00B235A0">
        <w:rPr>
          <w:rFonts w:ascii="Arial" w:hAnsi="Arial" w:cs="Arial"/>
          <w:b/>
        </w:rPr>
        <w:t>was performed</w:t>
      </w:r>
      <w:proofErr w:type="gramEnd"/>
      <w:r w:rsidR="00F91ED8">
        <w:rPr>
          <w:rFonts w:ascii="Arial" w:hAnsi="Arial" w:cs="Arial"/>
          <w:b/>
        </w:rPr>
        <w:t xml:space="preserve">.  </w:t>
      </w:r>
      <w:r>
        <w:rPr>
          <w:rFonts w:ascii="Arial" w:hAnsi="Arial" w:cs="Arial"/>
        </w:rPr>
        <w:t>If the disease is present at death, but not the underlying cause of death, “Recurrence/persistence/progression of disease</w:t>
      </w:r>
      <w:r>
        <w:rPr>
          <w:rFonts w:ascii="ArialMT" w:hAnsi="ArialMT" w:cs="ArialMT"/>
        </w:rPr>
        <w:t xml:space="preserve"> for which the HCT or cellular therapy was performed</w:t>
      </w:r>
      <w:r>
        <w:rPr>
          <w:rFonts w:ascii="Arial" w:hAnsi="Arial" w:cs="Arial"/>
        </w:rPr>
        <w:t xml:space="preserve">” </w:t>
      </w:r>
      <w:proofErr w:type="gramStart"/>
      <w:r>
        <w:rPr>
          <w:rFonts w:ascii="Arial" w:hAnsi="Arial" w:cs="Arial"/>
        </w:rPr>
        <w:t>should be reported</w:t>
      </w:r>
      <w:proofErr w:type="gramEnd"/>
      <w:r>
        <w:rPr>
          <w:rFonts w:ascii="Arial" w:hAnsi="Arial" w:cs="Arial"/>
        </w:rPr>
        <w:t xml:space="preserve"> as </w:t>
      </w:r>
      <w:r w:rsidRPr="001A76C5">
        <w:rPr>
          <w:rFonts w:ascii="Arial" w:hAnsi="Arial" w:cs="Arial"/>
        </w:rPr>
        <w:t>a</w:t>
      </w:r>
      <w:r>
        <w:rPr>
          <w:rFonts w:ascii="Arial" w:hAnsi="Arial" w:cs="Arial"/>
        </w:rPr>
        <w:t xml:space="preserve"> </w:t>
      </w:r>
      <w:r>
        <w:rPr>
          <w:rFonts w:ascii="Arial" w:hAnsi="Arial" w:cs="Arial"/>
        </w:rPr>
        <w:lastRenderedPageBreak/>
        <w:t>contributing</w:t>
      </w:r>
      <w:r w:rsidRPr="001A76C5">
        <w:rPr>
          <w:rFonts w:ascii="Arial" w:hAnsi="Arial" w:cs="Arial"/>
        </w:rPr>
        <w:t xml:space="preserve"> </w:t>
      </w:r>
      <w:r>
        <w:rPr>
          <w:rFonts w:ascii="Arial" w:hAnsi="Arial" w:cs="Arial"/>
        </w:rPr>
        <w:t>cause of death</w:t>
      </w:r>
      <w:r w:rsidR="00F91ED8">
        <w:rPr>
          <w:rFonts w:ascii="Arial" w:hAnsi="Arial" w:cs="Arial"/>
        </w:rPr>
        <w:t xml:space="preserve">.  </w:t>
      </w:r>
      <w:r>
        <w:rPr>
          <w:rFonts w:ascii="Arial" w:hAnsi="Arial" w:cs="Arial"/>
        </w:rPr>
        <w:t>For example, if a recipient’s disease had been stable for months and the recipient died by accidental means, this option should be used as a contributing cause of death (not the primary cause of death).</w:t>
      </w:r>
    </w:p>
    <w:p w14:paraId="6F2C53C0" w14:textId="77777777" w:rsidR="00180140" w:rsidRDefault="00180140" w:rsidP="00180140">
      <w:pPr>
        <w:autoSpaceDE w:val="0"/>
        <w:autoSpaceDN w:val="0"/>
        <w:adjustRightInd w:val="0"/>
        <w:rPr>
          <w:rFonts w:ascii="Arial" w:hAnsi="Arial" w:cs="Arial"/>
        </w:rPr>
      </w:pPr>
    </w:p>
    <w:p w14:paraId="1295D667" w14:textId="306042CD" w:rsidR="00180140" w:rsidRDefault="00180140" w:rsidP="00180140">
      <w:pPr>
        <w:autoSpaceDE w:val="0"/>
        <w:autoSpaceDN w:val="0"/>
        <w:adjustRightInd w:val="0"/>
        <w:ind w:left="720"/>
        <w:rPr>
          <w:rFonts w:ascii="Arial" w:hAnsi="Arial" w:cs="Arial"/>
        </w:rPr>
      </w:pPr>
      <w:proofErr w:type="gramStart"/>
      <w:r>
        <w:rPr>
          <w:rFonts w:ascii="Arial" w:hAnsi="Arial" w:cs="Arial"/>
          <w:b/>
        </w:rPr>
        <w:t>Acute GVHD</w:t>
      </w:r>
      <w:r w:rsidR="00F91ED8">
        <w:rPr>
          <w:rFonts w:ascii="Arial" w:hAnsi="Arial" w:cs="Arial"/>
          <w:b/>
        </w:rPr>
        <w:t>.</w:t>
      </w:r>
      <w:proofErr w:type="gramEnd"/>
      <w:r w:rsidR="00F91ED8">
        <w:rPr>
          <w:rFonts w:ascii="Arial" w:hAnsi="Arial" w:cs="Arial"/>
          <w:b/>
        </w:rPr>
        <w:t xml:space="preserve">  </w:t>
      </w:r>
      <w:r>
        <w:rPr>
          <w:rFonts w:ascii="Arial" w:hAnsi="Arial" w:cs="Arial"/>
        </w:rPr>
        <w:t xml:space="preserve">If reported as a primary or contributing cause of death, acute GVHD should also be reported </w:t>
      </w:r>
      <w:r w:rsidR="00D13CAE">
        <w:rPr>
          <w:rFonts w:ascii="Arial" w:hAnsi="Arial" w:cs="Arial"/>
        </w:rPr>
        <w:t>in related data fields on the Post-TED.</w:t>
      </w:r>
    </w:p>
    <w:p w14:paraId="194EE564" w14:textId="77777777" w:rsidR="00180140" w:rsidRDefault="00180140" w:rsidP="00180140">
      <w:pPr>
        <w:autoSpaceDE w:val="0"/>
        <w:autoSpaceDN w:val="0"/>
        <w:adjustRightInd w:val="0"/>
        <w:ind w:left="720"/>
        <w:rPr>
          <w:rFonts w:ascii="Arial" w:hAnsi="Arial" w:cs="Arial"/>
        </w:rPr>
      </w:pPr>
    </w:p>
    <w:p w14:paraId="02C2FB1C" w14:textId="382695EE" w:rsidR="00180140" w:rsidRDefault="00180140" w:rsidP="00180140">
      <w:pPr>
        <w:autoSpaceDE w:val="0"/>
        <w:autoSpaceDN w:val="0"/>
        <w:adjustRightInd w:val="0"/>
        <w:ind w:left="720"/>
        <w:rPr>
          <w:rFonts w:ascii="Arial" w:hAnsi="Arial" w:cs="Arial"/>
        </w:rPr>
      </w:pPr>
      <w:proofErr w:type="gramStart"/>
      <w:r w:rsidRPr="00D817DC">
        <w:rPr>
          <w:rFonts w:ascii="Arial" w:hAnsi="Arial" w:cs="Arial"/>
          <w:b/>
        </w:rPr>
        <w:t>Chronic GVHD</w:t>
      </w:r>
      <w:r w:rsidR="00F91ED8">
        <w:rPr>
          <w:rFonts w:ascii="Arial" w:hAnsi="Arial" w:cs="Arial"/>
          <w:b/>
        </w:rPr>
        <w:t>.</w:t>
      </w:r>
      <w:proofErr w:type="gramEnd"/>
      <w:r w:rsidR="00F91ED8">
        <w:rPr>
          <w:rFonts w:ascii="Arial" w:hAnsi="Arial" w:cs="Arial"/>
          <w:b/>
        </w:rPr>
        <w:t xml:space="preserve">  </w:t>
      </w:r>
      <w:r>
        <w:rPr>
          <w:rFonts w:ascii="Arial" w:hAnsi="Arial" w:cs="Arial"/>
        </w:rPr>
        <w:t xml:space="preserve">If reported as a primary or contributing cause of death, chronic GVHD </w:t>
      </w:r>
      <w:r w:rsidR="00D13CAE">
        <w:rPr>
          <w:rFonts w:ascii="Arial" w:hAnsi="Arial" w:cs="Arial"/>
        </w:rPr>
        <w:t>should also be reported in related data fields on the Post-TED.</w:t>
      </w:r>
    </w:p>
    <w:p w14:paraId="0D28031E" w14:textId="77777777" w:rsidR="00180140" w:rsidRDefault="00180140" w:rsidP="00180140">
      <w:pPr>
        <w:autoSpaceDE w:val="0"/>
        <w:autoSpaceDN w:val="0"/>
        <w:adjustRightInd w:val="0"/>
        <w:ind w:left="720"/>
        <w:rPr>
          <w:rFonts w:ascii="Arial" w:hAnsi="Arial" w:cs="Arial"/>
          <w:b/>
        </w:rPr>
      </w:pPr>
    </w:p>
    <w:p w14:paraId="530C543E" w14:textId="0A205065" w:rsidR="00180140" w:rsidRDefault="00180140" w:rsidP="00180140">
      <w:pPr>
        <w:autoSpaceDE w:val="0"/>
        <w:autoSpaceDN w:val="0"/>
        <w:adjustRightInd w:val="0"/>
        <w:ind w:left="720"/>
        <w:rPr>
          <w:rFonts w:ascii="Arial" w:hAnsi="Arial" w:cs="Arial"/>
        </w:rPr>
      </w:pPr>
      <w:r w:rsidRPr="00CF1369">
        <w:rPr>
          <w:rFonts w:ascii="Arial" w:hAnsi="Arial" w:cs="Arial"/>
          <w:b/>
        </w:rPr>
        <w:t>Graft rejection or failure</w:t>
      </w:r>
      <w:r w:rsidR="00F91ED8">
        <w:rPr>
          <w:rFonts w:ascii="Arial" w:hAnsi="Arial" w:cs="Arial"/>
          <w:b/>
        </w:rPr>
        <w:t xml:space="preserve">.  </w:t>
      </w:r>
      <w:r>
        <w:rPr>
          <w:rFonts w:ascii="Arial" w:hAnsi="Arial" w:cs="Arial"/>
        </w:rPr>
        <w:t>The recipient had no hematopoietic recovery or had graft failure following initial hematopoietic recovery</w:t>
      </w:r>
      <w:r w:rsidR="00F91ED8">
        <w:rPr>
          <w:rFonts w:ascii="Arial" w:hAnsi="Arial" w:cs="Arial"/>
        </w:rPr>
        <w:t xml:space="preserve">.  </w:t>
      </w:r>
      <w:r>
        <w:rPr>
          <w:rFonts w:ascii="Arial" w:hAnsi="Arial" w:cs="Arial"/>
        </w:rPr>
        <w:t>If secondary graft failure is due to GVHD or infection, also report GVHD or infection as causes of death.</w:t>
      </w:r>
    </w:p>
    <w:p w14:paraId="1B089DCA" w14:textId="77777777" w:rsidR="00180140" w:rsidRDefault="00180140" w:rsidP="00180140">
      <w:pPr>
        <w:autoSpaceDE w:val="0"/>
        <w:autoSpaceDN w:val="0"/>
        <w:adjustRightInd w:val="0"/>
        <w:ind w:left="720"/>
        <w:rPr>
          <w:rFonts w:ascii="Arial" w:hAnsi="Arial" w:cs="Arial"/>
        </w:rPr>
      </w:pPr>
    </w:p>
    <w:p w14:paraId="349A1FAE" w14:textId="4DFDB886" w:rsidR="00180140" w:rsidRDefault="00180140" w:rsidP="00180140">
      <w:pPr>
        <w:autoSpaceDE w:val="0"/>
        <w:autoSpaceDN w:val="0"/>
        <w:adjustRightInd w:val="0"/>
        <w:ind w:left="720"/>
        <w:rPr>
          <w:rFonts w:ascii="Arial" w:hAnsi="Arial" w:cs="Arial"/>
        </w:rPr>
      </w:pPr>
      <w:r w:rsidRPr="005039AF">
        <w:rPr>
          <w:rFonts w:ascii="Arial" w:hAnsi="Arial" w:cs="Arial"/>
          <w:b/>
        </w:rPr>
        <w:t>Cytokine release syndrome</w:t>
      </w:r>
      <w:r w:rsidR="00F91ED8">
        <w:rPr>
          <w:rFonts w:ascii="Arial" w:hAnsi="Arial" w:cs="Arial"/>
          <w:b/>
        </w:rPr>
        <w:t xml:space="preserve">.  </w:t>
      </w:r>
      <w:r w:rsidR="00D13CAE">
        <w:rPr>
          <w:rFonts w:ascii="Arial" w:hAnsi="Arial" w:cs="Arial"/>
        </w:rPr>
        <w:t>Also known as “c</w:t>
      </w:r>
      <w:r>
        <w:rPr>
          <w:rFonts w:ascii="Arial" w:hAnsi="Arial" w:cs="Arial"/>
        </w:rPr>
        <w:t>ytokine storm” in severe cases, results in a systemic inflammatory response</w:t>
      </w:r>
      <w:r w:rsidR="00F91ED8">
        <w:rPr>
          <w:rFonts w:ascii="Arial" w:hAnsi="Arial" w:cs="Arial"/>
        </w:rPr>
        <w:t xml:space="preserve">.  </w:t>
      </w:r>
      <w:r>
        <w:rPr>
          <w:rFonts w:ascii="Arial" w:hAnsi="Arial" w:cs="Arial"/>
        </w:rPr>
        <w:t>This response can be a result of infusions of specific dru</w:t>
      </w:r>
      <w:r w:rsidR="00D13CAE">
        <w:rPr>
          <w:rFonts w:ascii="Arial" w:hAnsi="Arial" w:cs="Arial"/>
        </w:rPr>
        <w:t>gs or graft-versus-host disease; if related to graft-versus-host disease, GVHD should also be reported as a contributing cause of death.</w:t>
      </w:r>
      <w:r>
        <w:rPr>
          <w:rFonts w:ascii="Arial" w:hAnsi="Arial" w:cs="Arial"/>
        </w:rPr>
        <w:t xml:space="preserve"> </w:t>
      </w:r>
    </w:p>
    <w:p w14:paraId="17BE3320" w14:textId="77777777" w:rsidR="00180140" w:rsidRDefault="00180140" w:rsidP="00180140">
      <w:pPr>
        <w:autoSpaceDE w:val="0"/>
        <w:autoSpaceDN w:val="0"/>
        <w:adjustRightInd w:val="0"/>
        <w:ind w:left="720"/>
        <w:rPr>
          <w:rFonts w:ascii="Arial" w:hAnsi="Arial" w:cs="Arial"/>
        </w:rPr>
      </w:pPr>
    </w:p>
    <w:p w14:paraId="76BC0F17" w14:textId="607897A0" w:rsidR="00180140" w:rsidRDefault="00180140" w:rsidP="00180140">
      <w:pPr>
        <w:autoSpaceDE w:val="0"/>
        <w:autoSpaceDN w:val="0"/>
        <w:adjustRightInd w:val="0"/>
        <w:ind w:left="720"/>
        <w:rPr>
          <w:rFonts w:ascii="Arial" w:hAnsi="Arial" w:cs="Arial"/>
        </w:rPr>
      </w:pPr>
      <w:proofErr w:type="gramStart"/>
      <w:r>
        <w:rPr>
          <w:rFonts w:ascii="Arial" w:hAnsi="Arial" w:cs="Arial"/>
          <w:b/>
        </w:rPr>
        <w:t>Infection</w:t>
      </w:r>
      <w:r w:rsidR="00F91ED8">
        <w:rPr>
          <w:rFonts w:ascii="Arial" w:hAnsi="Arial" w:cs="Arial"/>
          <w:b/>
        </w:rPr>
        <w:t>.</w:t>
      </w:r>
      <w:proofErr w:type="gramEnd"/>
      <w:r w:rsidR="00F91ED8">
        <w:rPr>
          <w:rFonts w:ascii="Arial" w:hAnsi="Arial" w:cs="Arial"/>
          <w:b/>
        </w:rPr>
        <w:t xml:space="preserve">  </w:t>
      </w:r>
      <w:r w:rsidRPr="00890D2E">
        <w:rPr>
          <w:rFonts w:ascii="Arial" w:hAnsi="Arial" w:cs="Arial"/>
        </w:rPr>
        <w:t>Report the etiology of the infection as</w:t>
      </w:r>
      <w:r w:rsidR="00D13CAE">
        <w:rPr>
          <w:rFonts w:ascii="Arial" w:hAnsi="Arial" w:cs="Arial"/>
        </w:rPr>
        <w:t xml:space="preserve"> b</w:t>
      </w:r>
      <w:r w:rsidRPr="00890D2E">
        <w:rPr>
          <w:rFonts w:ascii="Arial" w:hAnsi="Arial" w:cs="Arial"/>
        </w:rPr>
        <w:t xml:space="preserve">acterial, </w:t>
      </w:r>
      <w:r w:rsidR="00D13CAE">
        <w:rPr>
          <w:rFonts w:ascii="Arial" w:hAnsi="Arial" w:cs="Arial"/>
        </w:rPr>
        <w:t>f</w:t>
      </w:r>
      <w:r w:rsidRPr="00890D2E">
        <w:rPr>
          <w:rFonts w:ascii="Arial" w:hAnsi="Arial" w:cs="Arial"/>
        </w:rPr>
        <w:t xml:space="preserve">ungal, </w:t>
      </w:r>
      <w:r w:rsidR="00D13CAE">
        <w:rPr>
          <w:rFonts w:ascii="Arial" w:hAnsi="Arial" w:cs="Arial"/>
        </w:rPr>
        <w:t>v</w:t>
      </w:r>
      <w:r w:rsidRPr="00890D2E">
        <w:rPr>
          <w:rFonts w:ascii="Arial" w:hAnsi="Arial" w:cs="Arial"/>
        </w:rPr>
        <w:t>iral,</w:t>
      </w:r>
      <w:r w:rsidR="00D13CAE">
        <w:rPr>
          <w:rFonts w:ascii="Arial" w:hAnsi="Arial" w:cs="Arial"/>
        </w:rPr>
        <w:t xml:space="preserve"> p</w:t>
      </w:r>
      <w:r w:rsidRPr="00890D2E">
        <w:rPr>
          <w:rFonts w:ascii="Arial" w:hAnsi="Arial" w:cs="Arial"/>
        </w:rPr>
        <w:t xml:space="preserve">rotozoal, or </w:t>
      </w:r>
      <w:r w:rsidR="00D13CAE">
        <w:rPr>
          <w:rFonts w:ascii="Arial" w:hAnsi="Arial" w:cs="Arial"/>
        </w:rPr>
        <w:t>o</w:t>
      </w:r>
      <w:r w:rsidRPr="00890D2E">
        <w:rPr>
          <w:rFonts w:ascii="Arial" w:hAnsi="Arial" w:cs="Arial"/>
        </w:rPr>
        <w:t>ther</w:t>
      </w:r>
      <w:r>
        <w:rPr>
          <w:rFonts w:ascii="Arial" w:hAnsi="Arial" w:cs="Arial"/>
        </w:rPr>
        <w:t xml:space="preserve"> infection, specify</w:t>
      </w:r>
      <w:r w:rsidR="00F91ED8">
        <w:rPr>
          <w:rFonts w:ascii="Arial" w:hAnsi="Arial" w:cs="Arial"/>
        </w:rPr>
        <w:t xml:space="preserve">.  </w:t>
      </w:r>
      <w:r w:rsidRPr="00890D2E">
        <w:rPr>
          <w:rFonts w:ascii="Arial" w:hAnsi="Arial" w:cs="Arial"/>
        </w:rPr>
        <w:t>If the organism was not identified, but evidence of infection was present based on clinical opinion, select “</w:t>
      </w:r>
      <w:r w:rsidR="00D13CAE">
        <w:rPr>
          <w:rFonts w:ascii="Arial" w:hAnsi="Arial" w:cs="Arial"/>
        </w:rPr>
        <w:t>I</w:t>
      </w:r>
      <w:r w:rsidRPr="003B653D">
        <w:rPr>
          <w:rFonts w:ascii="Arial" w:hAnsi="Arial" w:cs="Arial"/>
        </w:rPr>
        <w:t>nfection,</w:t>
      </w:r>
      <w:r>
        <w:rPr>
          <w:rFonts w:ascii="Arial" w:hAnsi="Arial" w:cs="Arial"/>
          <w:b/>
        </w:rPr>
        <w:t xml:space="preserve"> </w:t>
      </w:r>
      <w:r>
        <w:rPr>
          <w:rFonts w:ascii="Arial" w:hAnsi="Arial" w:cs="Arial"/>
        </w:rPr>
        <w:t>o</w:t>
      </w:r>
      <w:r w:rsidRPr="00890D2E">
        <w:rPr>
          <w:rFonts w:ascii="Arial" w:hAnsi="Arial" w:cs="Arial"/>
        </w:rPr>
        <w:t xml:space="preserve">rganism not identified.” </w:t>
      </w:r>
    </w:p>
    <w:p w14:paraId="279BD59A" w14:textId="77777777" w:rsidR="00180140" w:rsidRDefault="00180140" w:rsidP="00180140">
      <w:pPr>
        <w:autoSpaceDE w:val="0"/>
        <w:autoSpaceDN w:val="0"/>
        <w:adjustRightInd w:val="0"/>
        <w:ind w:left="720"/>
        <w:rPr>
          <w:rFonts w:ascii="Arial" w:hAnsi="Arial" w:cs="Arial"/>
        </w:rPr>
      </w:pPr>
    </w:p>
    <w:p w14:paraId="205E2C52" w14:textId="5FEB35EF" w:rsidR="00180140" w:rsidRDefault="00180140" w:rsidP="00180140">
      <w:pPr>
        <w:autoSpaceDE w:val="0"/>
        <w:autoSpaceDN w:val="0"/>
        <w:adjustRightInd w:val="0"/>
        <w:ind w:left="720"/>
        <w:rPr>
          <w:rFonts w:ascii="Arial" w:hAnsi="Arial" w:cs="Arial"/>
        </w:rPr>
      </w:pPr>
      <w:r w:rsidRPr="00626C99">
        <w:rPr>
          <w:rFonts w:ascii="Arial" w:hAnsi="Arial" w:cs="Arial"/>
        </w:rPr>
        <w:t>Do not report interstitial pneumonitis</w:t>
      </w:r>
      <w:r>
        <w:rPr>
          <w:rFonts w:ascii="Arial" w:hAnsi="Arial" w:cs="Arial"/>
        </w:rPr>
        <w:t xml:space="preserve"> (</w:t>
      </w:r>
      <w:proofErr w:type="spellStart"/>
      <w:r>
        <w:rPr>
          <w:rFonts w:ascii="Arial" w:hAnsi="Arial" w:cs="Arial"/>
        </w:rPr>
        <w:t>IPn</w:t>
      </w:r>
      <w:proofErr w:type="spellEnd"/>
      <w:r>
        <w:rPr>
          <w:rFonts w:ascii="Arial" w:hAnsi="Arial" w:cs="Arial"/>
        </w:rPr>
        <w:t>)</w:t>
      </w:r>
      <w:r w:rsidRPr="00626C99">
        <w:rPr>
          <w:rFonts w:ascii="Arial" w:hAnsi="Arial" w:cs="Arial"/>
        </w:rPr>
        <w:t xml:space="preserve"> using this cause of death code</w:t>
      </w:r>
      <w:r w:rsidR="00F91ED8">
        <w:rPr>
          <w:rFonts w:ascii="Arial" w:hAnsi="Arial" w:cs="Arial"/>
        </w:rPr>
        <w:t xml:space="preserve">.  </w:t>
      </w:r>
      <w:proofErr w:type="spellStart"/>
      <w:r>
        <w:rPr>
          <w:rFonts w:ascii="Arial" w:hAnsi="Arial" w:cs="Arial"/>
        </w:rPr>
        <w:t>IPn</w:t>
      </w:r>
      <w:proofErr w:type="spellEnd"/>
      <w:r>
        <w:rPr>
          <w:rFonts w:ascii="Arial" w:hAnsi="Arial" w:cs="Arial"/>
        </w:rPr>
        <w:t xml:space="preserve"> is collected in the “pulmonary” section.</w:t>
      </w:r>
    </w:p>
    <w:p w14:paraId="57D7022E" w14:textId="77777777" w:rsidR="00180140" w:rsidRDefault="00180140" w:rsidP="00180140">
      <w:pPr>
        <w:autoSpaceDE w:val="0"/>
        <w:autoSpaceDN w:val="0"/>
        <w:adjustRightInd w:val="0"/>
        <w:ind w:left="720"/>
        <w:rPr>
          <w:rFonts w:ascii="Arial" w:hAnsi="Arial" w:cs="Arial"/>
          <w:b/>
        </w:rPr>
      </w:pPr>
    </w:p>
    <w:p w14:paraId="6E7B87FC" w14:textId="36C3A016" w:rsidR="00180140" w:rsidRPr="005C6843" w:rsidRDefault="00180140" w:rsidP="00180140">
      <w:pPr>
        <w:autoSpaceDE w:val="0"/>
        <w:autoSpaceDN w:val="0"/>
        <w:adjustRightInd w:val="0"/>
        <w:ind w:left="720"/>
        <w:rPr>
          <w:rFonts w:ascii="Arial" w:hAnsi="Arial" w:cs="Arial"/>
        </w:rPr>
      </w:pPr>
      <w:proofErr w:type="gramStart"/>
      <w:r>
        <w:rPr>
          <w:rFonts w:ascii="Arial" w:hAnsi="Arial" w:cs="Arial"/>
          <w:b/>
        </w:rPr>
        <w:t>Pulmonary</w:t>
      </w:r>
      <w:r w:rsidR="00F91ED8">
        <w:rPr>
          <w:rFonts w:ascii="Arial" w:hAnsi="Arial" w:cs="Arial"/>
          <w:b/>
        </w:rPr>
        <w:t>.</w:t>
      </w:r>
      <w:proofErr w:type="gramEnd"/>
      <w:r w:rsidR="00F91ED8">
        <w:rPr>
          <w:rFonts w:ascii="Arial" w:hAnsi="Arial" w:cs="Arial"/>
          <w:b/>
        </w:rPr>
        <w:t xml:space="preserve">  </w:t>
      </w:r>
      <w:r w:rsidRPr="000409C8">
        <w:rPr>
          <w:rFonts w:ascii="Arial" w:hAnsi="Arial" w:cs="Arial"/>
          <w:u w:val="single"/>
        </w:rPr>
        <w:t>Idiopathic pneumonia syndrome</w:t>
      </w:r>
      <w:r w:rsidRPr="005113E3">
        <w:rPr>
          <w:rFonts w:ascii="Arial" w:hAnsi="Arial" w:cs="Arial"/>
        </w:rPr>
        <w:t xml:space="preserve"> (IPS)</w:t>
      </w:r>
      <w:r>
        <w:rPr>
          <w:rFonts w:ascii="Arial" w:hAnsi="Arial" w:cs="Arial"/>
        </w:rPr>
        <w:t xml:space="preserve"> describes </w:t>
      </w:r>
      <w:r w:rsidRPr="004C1ED9">
        <w:rPr>
          <w:rFonts w:ascii="Arial" w:hAnsi="Arial" w:cs="Arial"/>
          <w:b/>
          <w:bCs/>
        </w:rPr>
        <w:t xml:space="preserve">non-infectious </w:t>
      </w:r>
      <w:r w:rsidRPr="004C1ED9">
        <w:rPr>
          <w:rFonts w:ascii="Arial" w:hAnsi="Arial" w:cs="Arial"/>
        </w:rPr>
        <w:t xml:space="preserve">lung </w:t>
      </w:r>
      <w:r>
        <w:rPr>
          <w:rFonts w:ascii="Arial" w:hAnsi="Arial" w:cs="Arial"/>
        </w:rPr>
        <w:t>injuries that occur early after H</w:t>
      </w:r>
      <w:r w:rsidRPr="004C1ED9">
        <w:rPr>
          <w:rFonts w:ascii="Arial" w:hAnsi="Arial" w:cs="Arial"/>
        </w:rPr>
        <w:t xml:space="preserve">CT (within 100-120 days). </w:t>
      </w:r>
    </w:p>
    <w:p w14:paraId="141CB042" w14:textId="77777777" w:rsidR="00180140" w:rsidRPr="005C6843" w:rsidRDefault="00180140" w:rsidP="00180140">
      <w:pPr>
        <w:autoSpaceDE w:val="0"/>
        <w:autoSpaceDN w:val="0"/>
        <w:adjustRightInd w:val="0"/>
        <w:ind w:left="720"/>
        <w:rPr>
          <w:rFonts w:ascii="Arial" w:hAnsi="Arial" w:cs="Arial"/>
        </w:rPr>
      </w:pPr>
    </w:p>
    <w:p w14:paraId="2BA2820F" w14:textId="1EC5B625" w:rsidR="00180140" w:rsidRDefault="00180140" w:rsidP="00180140">
      <w:pPr>
        <w:autoSpaceDE w:val="0"/>
        <w:autoSpaceDN w:val="0"/>
        <w:adjustRightInd w:val="0"/>
        <w:ind w:left="720"/>
        <w:rPr>
          <w:rFonts w:ascii="Arial" w:hAnsi="Arial" w:cs="Arial"/>
        </w:rPr>
      </w:pPr>
      <w:r w:rsidRPr="000409C8">
        <w:rPr>
          <w:rFonts w:ascii="Arial" w:hAnsi="Arial" w:cs="Arial"/>
          <w:u w:val="single"/>
        </w:rPr>
        <w:t>Interstitial pneumonitis</w:t>
      </w:r>
      <w:r w:rsidRPr="005113E3">
        <w:rPr>
          <w:rFonts w:ascii="Arial" w:hAnsi="Arial" w:cs="Arial"/>
        </w:rPr>
        <w:t xml:space="preserve"> (</w:t>
      </w:r>
      <w:proofErr w:type="spellStart"/>
      <w:r w:rsidRPr="005113E3">
        <w:rPr>
          <w:rFonts w:ascii="Arial" w:hAnsi="Arial" w:cs="Arial"/>
        </w:rPr>
        <w:t>IPn</w:t>
      </w:r>
      <w:proofErr w:type="spellEnd"/>
      <w:r w:rsidRPr="005113E3">
        <w:rPr>
          <w:rFonts w:ascii="Arial" w:hAnsi="Arial" w:cs="Arial"/>
        </w:rPr>
        <w:t>)</w:t>
      </w:r>
      <w:r>
        <w:rPr>
          <w:rFonts w:ascii="Arial" w:hAnsi="Arial" w:cs="Arial"/>
        </w:rPr>
        <w:t xml:space="preserve"> </w:t>
      </w:r>
      <w:r w:rsidRPr="005C6843">
        <w:rPr>
          <w:rFonts w:ascii="Arial" w:hAnsi="Arial" w:cs="Arial"/>
        </w:rPr>
        <w:t xml:space="preserve">can result from </w:t>
      </w:r>
      <w:r>
        <w:rPr>
          <w:rFonts w:ascii="Arial" w:hAnsi="Arial" w:cs="Arial"/>
        </w:rPr>
        <w:t>infection by cytomegalovirus</w:t>
      </w:r>
      <w:r w:rsidRPr="005C6843">
        <w:rPr>
          <w:rFonts w:ascii="Arial" w:hAnsi="Arial" w:cs="Arial"/>
        </w:rPr>
        <w:t xml:space="preserve">, adenovirus, </w:t>
      </w:r>
      <w:r>
        <w:rPr>
          <w:rFonts w:ascii="Arial" w:hAnsi="Arial" w:cs="Arial"/>
        </w:rPr>
        <w:t>respiratory syncytial virus</w:t>
      </w:r>
      <w:r w:rsidRPr="005C6843">
        <w:rPr>
          <w:rFonts w:ascii="Arial" w:hAnsi="Arial" w:cs="Arial"/>
        </w:rPr>
        <w:t xml:space="preserve">, influenza, </w:t>
      </w:r>
      <w:r>
        <w:rPr>
          <w:rFonts w:ascii="Arial" w:hAnsi="Arial" w:cs="Arial"/>
        </w:rPr>
        <w:t xml:space="preserve">or </w:t>
      </w:r>
      <w:r>
        <w:rPr>
          <w:rFonts w:ascii="Arial" w:hAnsi="Arial" w:cs="Arial"/>
          <w:i/>
        </w:rPr>
        <w:t>Pneumocystis</w:t>
      </w:r>
      <w:r w:rsidRPr="004C1ED9">
        <w:rPr>
          <w:rFonts w:ascii="Arial" w:hAnsi="Arial" w:cs="Arial"/>
          <w:i/>
        </w:rPr>
        <w:t xml:space="preserve"> </w:t>
      </w:r>
      <w:proofErr w:type="spellStart"/>
      <w:r w:rsidRPr="004C1ED9">
        <w:rPr>
          <w:rFonts w:ascii="Arial" w:hAnsi="Arial" w:cs="Arial"/>
          <w:i/>
        </w:rPr>
        <w:t>jirovecii</w:t>
      </w:r>
      <w:proofErr w:type="spellEnd"/>
      <w:r>
        <w:rPr>
          <w:rFonts w:ascii="Arial" w:hAnsi="Arial" w:cs="Arial"/>
        </w:rPr>
        <w:t xml:space="preserve"> (PCP)</w:t>
      </w:r>
      <w:r w:rsidR="00F91ED8">
        <w:rPr>
          <w:rFonts w:ascii="Arial" w:hAnsi="Arial" w:cs="Arial"/>
        </w:rPr>
        <w:t xml:space="preserve">.  </w:t>
      </w:r>
      <w:r>
        <w:rPr>
          <w:rFonts w:ascii="Arial" w:hAnsi="Arial" w:cs="Arial"/>
        </w:rPr>
        <w:t>Interstitial pneumonitis resulting from cytomegalovirus should be reported using “pneumonitis due to cytomegalovirus.” Pneumonitis caused by other v</w:t>
      </w:r>
      <w:r w:rsidR="00C26BF3">
        <w:rPr>
          <w:rFonts w:ascii="Arial" w:hAnsi="Arial" w:cs="Arial"/>
        </w:rPr>
        <w:t>iruses</w:t>
      </w:r>
      <w:r>
        <w:rPr>
          <w:rFonts w:ascii="Arial" w:hAnsi="Arial" w:cs="Arial"/>
        </w:rPr>
        <w:t xml:space="preserve"> should be reported as “pneumonitis due to other virus.” Pneumonitis due to any other organism can be reported as “other pulmonary syndrome (excluding pulmonary hemorrhage)” and specifying </w:t>
      </w:r>
      <w:proofErr w:type="spellStart"/>
      <w:r>
        <w:rPr>
          <w:rFonts w:ascii="Arial" w:hAnsi="Arial" w:cs="Arial"/>
        </w:rPr>
        <w:t>IPn</w:t>
      </w:r>
      <w:proofErr w:type="spellEnd"/>
      <w:r>
        <w:rPr>
          <w:rFonts w:ascii="Arial" w:hAnsi="Arial" w:cs="Arial"/>
        </w:rPr>
        <w:t xml:space="preserve"> and the virus in question </w:t>
      </w:r>
      <w:r w:rsidR="00D13CAE">
        <w:rPr>
          <w:rFonts w:ascii="Arial" w:hAnsi="Arial" w:cs="Arial"/>
        </w:rPr>
        <w:t>4 or 6.</w:t>
      </w:r>
    </w:p>
    <w:p w14:paraId="14644820" w14:textId="77777777" w:rsidR="00180140" w:rsidRDefault="00180140" w:rsidP="00180140">
      <w:pPr>
        <w:autoSpaceDE w:val="0"/>
        <w:autoSpaceDN w:val="0"/>
        <w:adjustRightInd w:val="0"/>
        <w:ind w:left="720"/>
        <w:rPr>
          <w:rFonts w:ascii="Arial" w:hAnsi="Arial" w:cs="Arial"/>
        </w:rPr>
      </w:pPr>
    </w:p>
    <w:p w14:paraId="662FC2D2" w14:textId="1247E1E8" w:rsidR="00180140" w:rsidRDefault="00180140" w:rsidP="00180140">
      <w:pPr>
        <w:autoSpaceDE w:val="0"/>
        <w:autoSpaceDN w:val="0"/>
        <w:adjustRightInd w:val="0"/>
        <w:ind w:left="720"/>
        <w:rPr>
          <w:rFonts w:ascii="Arial" w:hAnsi="Arial" w:cs="Arial"/>
        </w:rPr>
      </w:pPr>
      <w:r w:rsidRPr="000409C8">
        <w:rPr>
          <w:rFonts w:ascii="Arial" w:hAnsi="Arial" w:cs="Arial"/>
          <w:u w:val="single"/>
        </w:rPr>
        <w:t>Diffuse alveolar damage</w:t>
      </w:r>
      <w:r>
        <w:rPr>
          <w:rFonts w:ascii="Arial" w:hAnsi="Arial" w:cs="Arial"/>
        </w:rPr>
        <w:t xml:space="preserve"> (without hemorrhage) describes histological ch</w:t>
      </w:r>
      <w:r w:rsidR="00D13CAE">
        <w:rPr>
          <w:rFonts w:ascii="Arial" w:hAnsi="Arial" w:cs="Arial"/>
        </w:rPr>
        <w:t>anges found in lung disease</w:t>
      </w:r>
      <w:r w:rsidR="00F91ED8">
        <w:rPr>
          <w:rFonts w:ascii="Arial" w:hAnsi="Arial" w:cs="Arial"/>
        </w:rPr>
        <w:t xml:space="preserve">.  </w:t>
      </w:r>
      <w:r w:rsidR="00D13CAE">
        <w:rPr>
          <w:rFonts w:ascii="Arial" w:hAnsi="Arial" w:cs="Arial"/>
        </w:rPr>
        <w:t>It i</w:t>
      </w:r>
      <w:r>
        <w:rPr>
          <w:rFonts w:ascii="Arial" w:hAnsi="Arial" w:cs="Arial"/>
        </w:rPr>
        <w:t xml:space="preserve">s associated with acute respiratory distress syndrome (ARDS) and transfusion related acute lung injury (TRALI). </w:t>
      </w:r>
    </w:p>
    <w:p w14:paraId="5151F244" w14:textId="77777777" w:rsidR="00180140" w:rsidRDefault="00180140" w:rsidP="00180140">
      <w:pPr>
        <w:autoSpaceDE w:val="0"/>
        <w:autoSpaceDN w:val="0"/>
        <w:adjustRightInd w:val="0"/>
        <w:ind w:left="720"/>
        <w:rPr>
          <w:rFonts w:ascii="Arial" w:hAnsi="Arial" w:cs="Arial"/>
        </w:rPr>
      </w:pPr>
    </w:p>
    <w:p w14:paraId="4FC7FDD5" w14:textId="52230233" w:rsidR="00180140" w:rsidRDefault="00180140" w:rsidP="00180140">
      <w:pPr>
        <w:autoSpaceDE w:val="0"/>
        <w:autoSpaceDN w:val="0"/>
        <w:adjustRightInd w:val="0"/>
        <w:ind w:left="720"/>
        <w:rPr>
          <w:rFonts w:ascii="Arial" w:hAnsi="Arial" w:cs="Arial"/>
        </w:rPr>
      </w:pPr>
      <w:r w:rsidRPr="000409C8">
        <w:rPr>
          <w:rFonts w:ascii="Arial" w:hAnsi="Arial" w:cs="Arial"/>
          <w:u w:val="single"/>
        </w:rPr>
        <w:t>Adult Respiratory Distress Syndrome</w:t>
      </w:r>
      <w:r>
        <w:rPr>
          <w:rFonts w:ascii="Arial" w:hAnsi="Arial" w:cs="Arial"/>
        </w:rPr>
        <w:t xml:space="preserve"> (ARDS), also called acute respiratory distress syndrome, </w:t>
      </w:r>
      <w:r w:rsidRPr="00152533">
        <w:rPr>
          <w:rFonts w:ascii="Arial" w:hAnsi="Arial" w:cs="Arial"/>
        </w:rPr>
        <w:t>has acute onset, infiltrative respiratory distress</w:t>
      </w:r>
      <w:r w:rsidR="00F91ED8">
        <w:rPr>
          <w:rFonts w:ascii="Arial" w:hAnsi="Arial" w:cs="Arial"/>
        </w:rPr>
        <w:t xml:space="preserve">.  </w:t>
      </w:r>
      <w:r>
        <w:rPr>
          <w:rFonts w:ascii="Arial" w:hAnsi="Arial" w:cs="Arial"/>
        </w:rPr>
        <w:t>It is</w:t>
      </w:r>
      <w:r w:rsidRPr="00152533">
        <w:rPr>
          <w:rFonts w:ascii="Arial" w:hAnsi="Arial" w:cs="Arial"/>
        </w:rPr>
        <w:t xml:space="preserve"> considered to be adult respiratory distress syndrome</w:t>
      </w:r>
      <w:r>
        <w:rPr>
          <w:rFonts w:ascii="Arial" w:hAnsi="Arial" w:cs="Arial"/>
        </w:rPr>
        <w:t>, rather</w:t>
      </w:r>
      <w:r w:rsidRPr="00152533">
        <w:rPr>
          <w:rFonts w:ascii="Arial" w:hAnsi="Arial" w:cs="Arial"/>
        </w:rPr>
        <w:t xml:space="preserve"> than IPS/</w:t>
      </w:r>
      <w:proofErr w:type="spellStart"/>
      <w:r w:rsidRPr="00152533">
        <w:rPr>
          <w:rFonts w:ascii="Arial" w:hAnsi="Arial" w:cs="Arial"/>
        </w:rPr>
        <w:t>IPn</w:t>
      </w:r>
      <w:proofErr w:type="spellEnd"/>
      <w:r w:rsidRPr="00152533">
        <w:rPr>
          <w:rFonts w:ascii="Arial" w:hAnsi="Arial" w:cs="Arial"/>
        </w:rPr>
        <w:t xml:space="preserve">. </w:t>
      </w:r>
    </w:p>
    <w:p w14:paraId="4661BA22" w14:textId="77777777" w:rsidR="00180140" w:rsidRDefault="00180140" w:rsidP="00180140">
      <w:pPr>
        <w:autoSpaceDE w:val="0"/>
        <w:autoSpaceDN w:val="0"/>
        <w:adjustRightInd w:val="0"/>
        <w:ind w:left="720"/>
        <w:rPr>
          <w:rFonts w:ascii="Arial" w:hAnsi="Arial" w:cs="Arial"/>
        </w:rPr>
      </w:pPr>
    </w:p>
    <w:p w14:paraId="2E2E7774" w14:textId="507C3CB7" w:rsidR="00180140" w:rsidRDefault="00180140" w:rsidP="00180140">
      <w:pPr>
        <w:autoSpaceDE w:val="0"/>
        <w:autoSpaceDN w:val="0"/>
        <w:adjustRightInd w:val="0"/>
        <w:ind w:left="720"/>
        <w:rPr>
          <w:rFonts w:ascii="Arial" w:hAnsi="Arial" w:cs="Arial"/>
        </w:rPr>
      </w:pPr>
      <w:proofErr w:type="gramStart"/>
      <w:r>
        <w:rPr>
          <w:rFonts w:ascii="Arial" w:hAnsi="Arial" w:cs="Arial"/>
          <w:b/>
        </w:rPr>
        <w:lastRenderedPageBreak/>
        <w:t>Organ failure (not due to GVHD or infection)</w:t>
      </w:r>
      <w:r w:rsidR="00F91ED8">
        <w:rPr>
          <w:rFonts w:ascii="Arial" w:hAnsi="Arial" w:cs="Arial"/>
          <w:b/>
        </w:rPr>
        <w:t>.</w:t>
      </w:r>
      <w:proofErr w:type="gramEnd"/>
      <w:r w:rsidR="00F91ED8">
        <w:rPr>
          <w:rFonts w:ascii="Arial" w:hAnsi="Arial" w:cs="Arial"/>
          <w:b/>
        </w:rPr>
        <w:t xml:space="preserve">  </w:t>
      </w:r>
      <w:r>
        <w:rPr>
          <w:rFonts w:ascii="Arial" w:hAnsi="Arial" w:cs="Arial"/>
        </w:rPr>
        <w:t>If the recipient died with organ failure (not due to GVHD or infection), it should be reported as a cause of death. If the organ system that has failed is not specified, but present at death based on clinical opinion, use “Other organ failure,” and specify</w:t>
      </w:r>
      <w:r w:rsidR="00D13CAE">
        <w:rPr>
          <w:rFonts w:ascii="Arial" w:hAnsi="Arial" w:cs="Arial"/>
        </w:rPr>
        <w:t xml:space="preserve"> the organ involved in question 4 or 6.</w:t>
      </w:r>
    </w:p>
    <w:p w14:paraId="47A97375" w14:textId="77777777" w:rsidR="00180140" w:rsidRDefault="00180140" w:rsidP="00180140">
      <w:pPr>
        <w:autoSpaceDE w:val="0"/>
        <w:autoSpaceDN w:val="0"/>
        <w:adjustRightInd w:val="0"/>
        <w:ind w:left="720"/>
        <w:rPr>
          <w:rFonts w:ascii="Arial" w:hAnsi="Arial" w:cs="Arial"/>
        </w:rPr>
      </w:pPr>
    </w:p>
    <w:p w14:paraId="4ABF32EF" w14:textId="573B57A8" w:rsidR="00180140" w:rsidRDefault="00180140" w:rsidP="00180140">
      <w:pPr>
        <w:autoSpaceDE w:val="0"/>
        <w:autoSpaceDN w:val="0"/>
        <w:adjustRightInd w:val="0"/>
        <w:ind w:left="720"/>
        <w:rPr>
          <w:rFonts w:ascii="Arial" w:hAnsi="Arial" w:cs="Arial"/>
        </w:rPr>
      </w:pPr>
      <w:r>
        <w:rPr>
          <w:rFonts w:ascii="Arial" w:hAnsi="Arial" w:cs="Arial"/>
          <w:u w:val="single"/>
        </w:rPr>
        <w:t>Liver</w:t>
      </w:r>
      <w:r w:rsidR="00553C8D">
        <w:rPr>
          <w:rFonts w:ascii="Arial" w:hAnsi="Arial" w:cs="Arial"/>
          <w:u w:val="single"/>
        </w:rPr>
        <w:t>:</w:t>
      </w:r>
      <w:r>
        <w:rPr>
          <w:rFonts w:ascii="Arial" w:hAnsi="Arial" w:cs="Arial"/>
        </w:rPr>
        <w:t xml:space="preserve"> If a cause of death was liver failure, except for </w:t>
      </w:r>
      <w:proofErr w:type="spellStart"/>
      <w:r>
        <w:rPr>
          <w:rFonts w:ascii="Arial" w:hAnsi="Arial" w:cs="Arial"/>
        </w:rPr>
        <w:t>veno</w:t>
      </w:r>
      <w:proofErr w:type="spellEnd"/>
      <w:r>
        <w:rPr>
          <w:rFonts w:ascii="Arial" w:hAnsi="Arial" w:cs="Arial"/>
        </w:rPr>
        <w:t>-occlusive disease/sinusoidal obstruction syndrome (use VOD/SOS</w:t>
      </w:r>
      <w:r w:rsidRPr="00EA44E4">
        <w:rPr>
          <w:rFonts w:ascii="Arial" w:hAnsi="Arial" w:cs="Arial"/>
        </w:rPr>
        <w:t>)</w:t>
      </w:r>
      <w:r>
        <w:rPr>
          <w:rFonts w:ascii="Arial" w:hAnsi="Arial" w:cs="Arial"/>
        </w:rPr>
        <w:t xml:space="preserve"> or GVHD (use Acute GVHD</w:t>
      </w:r>
      <w:r>
        <w:rPr>
          <w:rFonts w:ascii="Arial" w:hAnsi="Arial" w:cs="Arial"/>
          <w:b/>
        </w:rPr>
        <w:t xml:space="preserve"> </w:t>
      </w:r>
      <w:r>
        <w:rPr>
          <w:rFonts w:ascii="Arial" w:hAnsi="Arial" w:cs="Arial"/>
        </w:rPr>
        <w:t>or Chronic GVHD</w:t>
      </w:r>
      <w:r w:rsidRPr="00B471B1">
        <w:rPr>
          <w:rFonts w:ascii="Arial" w:hAnsi="Arial" w:cs="Arial"/>
        </w:rPr>
        <w:t>)</w:t>
      </w:r>
      <w:r>
        <w:rPr>
          <w:rFonts w:ascii="Arial" w:hAnsi="Arial" w:cs="Arial"/>
        </w:rPr>
        <w:t xml:space="preserve">. </w:t>
      </w:r>
    </w:p>
    <w:p w14:paraId="2411D617" w14:textId="77777777" w:rsidR="00180140" w:rsidRDefault="00180140" w:rsidP="00180140">
      <w:pPr>
        <w:autoSpaceDE w:val="0"/>
        <w:autoSpaceDN w:val="0"/>
        <w:adjustRightInd w:val="0"/>
        <w:ind w:left="720"/>
        <w:rPr>
          <w:rFonts w:ascii="Arial" w:hAnsi="Arial" w:cs="Arial"/>
        </w:rPr>
      </w:pPr>
    </w:p>
    <w:p w14:paraId="5B4EECF9" w14:textId="0FCA10C7" w:rsidR="00180140" w:rsidRDefault="00180140" w:rsidP="00180140">
      <w:pPr>
        <w:autoSpaceDE w:val="0"/>
        <w:autoSpaceDN w:val="0"/>
        <w:adjustRightInd w:val="0"/>
        <w:ind w:left="720"/>
        <w:rPr>
          <w:rFonts w:ascii="Arial" w:hAnsi="Arial" w:cs="Arial"/>
        </w:rPr>
      </w:pPr>
      <w:proofErr w:type="spellStart"/>
      <w:r>
        <w:rPr>
          <w:rFonts w:ascii="Arial" w:hAnsi="Arial" w:cs="Arial"/>
          <w:u w:val="single"/>
        </w:rPr>
        <w:t>Veno</w:t>
      </w:r>
      <w:proofErr w:type="spellEnd"/>
      <w:r>
        <w:rPr>
          <w:rFonts w:ascii="Arial" w:hAnsi="Arial" w:cs="Arial"/>
          <w:u w:val="single"/>
        </w:rPr>
        <w:t>-occlusive disease (VOD) / sinusoidal obstruction syndrome (SOS)</w:t>
      </w:r>
      <w:r w:rsidR="00553C8D">
        <w:rPr>
          <w:rFonts w:ascii="Arial" w:hAnsi="Arial" w:cs="Arial"/>
          <w:u w:val="single"/>
        </w:rPr>
        <w:t>:</w:t>
      </w:r>
      <w:r>
        <w:rPr>
          <w:rFonts w:ascii="Arial" w:hAnsi="Arial" w:cs="Arial"/>
        </w:rPr>
        <w:t xml:space="preserve"> If a cause of death was VOD or SOS</w:t>
      </w:r>
      <w:r w:rsidR="00F91ED8">
        <w:rPr>
          <w:rFonts w:ascii="Arial" w:hAnsi="Arial" w:cs="Arial"/>
        </w:rPr>
        <w:t xml:space="preserve">.  </w:t>
      </w:r>
      <w:r>
        <w:rPr>
          <w:rFonts w:ascii="Arial" w:hAnsi="Arial" w:cs="Arial"/>
        </w:rPr>
        <w:t xml:space="preserve">Pulmonary </w:t>
      </w:r>
      <w:proofErr w:type="spellStart"/>
      <w:r>
        <w:rPr>
          <w:rFonts w:ascii="Arial" w:hAnsi="Arial" w:cs="Arial"/>
        </w:rPr>
        <w:t>veno</w:t>
      </w:r>
      <w:proofErr w:type="spellEnd"/>
      <w:r>
        <w:rPr>
          <w:rFonts w:ascii="Arial" w:hAnsi="Arial" w:cs="Arial"/>
        </w:rPr>
        <w:t xml:space="preserve">-occlusive disease </w:t>
      </w:r>
      <w:proofErr w:type="gramStart"/>
      <w:r>
        <w:rPr>
          <w:rFonts w:ascii="Arial" w:hAnsi="Arial" w:cs="Arial"/>
        </w:rPr>
        <w:t>should be reported</w:t>
      </w:r>
      <w:proofErr w:type="gramEnd"/>
      <w:r>
        <w:rPr>
          <w:rFonts w:ascii="Arial" w:hAnsi="Arial" w:cs="Arial"/>
        </w:rPr>
        <w:t xml:space="preserve"> using this cause of death code</w:t>
      </w:r>
      <w:r w:rsidR="00F91ED8">
        <w:rPr>
          <w:rFonts w:ascii="Arial" w:hAnsi="Arial" w:cs="Arial"/>
        </w:rPr>
        <w:t xml:space="preserve">.  </w:t>
      </w:r>
      <w:r>
        <w:rPr>
          <w:rFonts w:ascii="Arial" w:hAnsi="Arial" w:cs="Arial"/>
        </w:rPr>
        <w:t>Do not report other types of liver failure using this cause of death code</w:t>
      </w:r>
      <w:r w:rsidR="00F91ED8">
        <w:rPr>
          <w:rFonts w:ascii="Arial" w:hAnsi="Arial" w:cs="Arial"/>
        </w:rPr>
        <w:t xml:space="preserve">.  </w:t>
      </w:r>
      <w:r w:rsidR="00C26BF3">
        <w:rPr>
          <w:rFonts w:ascii="Arial" w:hAnsi="Arial" w:cs="Arial"/>
        </w:rPr>
        <w:t>Also r</w:t>
      </w:r>
      <w:r w:rsidR="00553C8D">
        <w:rPr>
          <w:rFonts w:ascii="Arial" w:hAnsi="Arial" w:cs="Arial"/>
        </w:rPr>
        <w:t xml:space="preserve">eport VOD/SOS in </w:t>
      </w:r>
      <w:r w:rsidR="00C26BF3">
        <w:rPr>
          <w:rFonts w:ascii="Arial" w:hAnsi="Arial" w:cs="Arial"/>
        </w:rPr>
        <w:t>questions 46-48</w:t>
      </w:r>
      <w:r w:rsidR="00553C8D">
        <w:rPr>
          <w:rFonts w:ascii="Arial" w:hAnsi="Arial" w:cs="Arial"/>
        </w:rPr>
        <w:t xml:space="preserve"> on the Post-TED.</w:t>
      </w:r>
    </w:p>
    <w:p w14:paraId="7DE5E445" w14:textId="77777777" w:rsidR="00180140" w:rsidRDefault="00180140" w:rsidP="00180140">
      <w:pPr>
        <w:autoSpaceDE w:val="0"/>
        <w:autoSpaceDN w:val="0"/>
        <w:adjustRightInd w:val="0"/>
        <w:ind w:left="720"/>
        <w:rPr>
          <w:rFonts w:ascii="Arial" w:hAnsi="Arial" w:cs="Arial"/>
        </w:rPr>
      </w:pPr>
    </w:p>
    <w:p w14:paraId="777326C5" w14:textId="0328484F" w:rsidR="00180140" w:rsidRDefault="00180140" w:rsidP="00180140">
      <w:pPr>
        <w:autoSpaceDE w:val="0"/>
        <w:autoSpaceDN w:val="0"/>
        <w:adjustRightInd w:val="0"/>
        <w:ind w:left="720"/>
        <w:rPr>
          <w:rFonts w:ascii="Arial" w:hAnsi="Arial" w:cs="Arial"/>
        </w:rPr>
      </w:pPr>
      <w:r>
        <w:rPr>
          <w:rFonts w:ascii="Arial" w:hAnsi="Arial" w:cs="Arial"/>
          <w:u w:val="single"/>
        </w:rPr>
        <w:t>Cardiac</w:t>
      </w:r>
      <w:r w:rsidR="00553C8D">
        <w:rPr>
          <w:rFonts w:ascii="Arial" w:hAnsi="Arial" w:cs="Arial"/>
          <w:u w:val="single"/>
        </w:rPr>
        <w:t>:</w:t>
      </w:r>
      <w:r>
        <w:rPr>
          <w:rFonts w:ascii="Arial" w:hAnsi="Arial" w:cs="Arial"/>
        </w:rPr>
        <w:t xml:space="preserve"> If a cause of death was cardiac failure. </w:t>
      </w:r>
    </w:p>
    <w:p w14:paraId="17A34F93" w14:textId="77777777" w:rsidR="00180140" w:rsidRDefault="00180140" w:rsidP="00180140">
      <w:pPr>
        <w:autoSpaceDE w:val="0"/>
        <w:autoSpaceDN w:val="0"/>
        <w:adjustRightInd w:val="0"/>
        <w:ind w:left="720"/>
        <w:rPr>
          <w:rFonts w:ascii="Arial" w:hAnsi="Arial" w:cs="Arial"/>
        </w:rPr>
      </w:pPr>
    </w:p>
    <w:p w14:paraId="6F30858E" w14:textId="424FF574" w:rsidR="00180140" w:rsidRDefault="00553C8D" w:rsidP="00180140">
      <w:pPr>
        <w:autoSpaceDE w:val="0"/>
        <w:autoSpaceDN w:val="0"/>
        <w:adjustRightInd w:val="0"/>
        <w:ind w:left="720"/>
        <w:rPr>
          <w:rFonts w:ascii="Arial" w:hAnsi="Arial" w:cs="Arial"/>
        </w:rPr>
      </w:pPr>
      <w:r>
        <w:rPr>
          <w:rFonts w:ascii="Arial" w:hAnsi="Arial" w:cs="Arial"/>
          <w:u w:val="single"/>
        </w:rPr>
        <w:t>Pulmonary:</w:t>
      </w:r>
      <w:r w:rsidR="00180140" w:rsidRPr="005C6843">
        <w:rPr>
          <w:rFonts w:ascii="Arial" w:hAnsi="Arial" w:cs="Arial"/>
        </w:rPr>
        <w:t xml:space="preserve"> If a cause </w:t>
      </w:r>
      <w:r w:rsidR="00180140">
        <w:rPr>
          <w:rFonts w:ascii="Arial" w:hAnsi="Arial" w:cs="Arial"/>
        </w:rPr>
        <w:t xml:space="preserve">of death was pulmonary failure from non-infectious causes such as bronchiolitis obliterans (BO) or cryptogenic organizing pneumonia (COP). </w:t>
      </w:r>
    </w:p>
    <w:p w14:paraId="3380798B" w14:textId="77777777" w:rsidR="00180140" w:rsidRDefault="00180140" w:rsidP="00180140">
      <w:pPr>
        <w:autoSpaceDE w:val="0"/>
        <w:autoSpaceDN w:val="0"/>
        <w:adjustRightInd w:val="0"/>
        <w:ind w:left="1440"/>
        <w:rPr>
          <w:rFonts w:ascii="Arial" w:hAnsi="Arial" w:cs="Arial"/>
        </w:rPr>
      </w:pPr>
    </w:p>
    <w:p w14:paraId="62C3A522" w14:textId="77777777" w:rsidR="00180140" w:rsidRDefault="00180140" w:rsidP="00180140">
      <w:pPr>
        <w:autoSpaceDE w:val="0"/>
        <w:autoSpaceDN w:val="0"/>
        <w:adjustRightInd w:val="0"/>
        <w:ind w:left="720"/>
        <w:rPr>
          <w:rFonts w:ascii="Arial" w:hAnsi="Arial" w:cs="Arial"/>
        </w:rPr>
      </w:pPr>
      <w:r>
        <w:rPr>
          <w:rFonts w:ascii="Arial" w:hAnsi="Arial" w:cs="Arial"/>
        </w:rPr>
        <w:t>Do not report pulmonary hemorrhage using this cause of death (use “</w:t>
      </w:r>
      <w:r w:rsidRPr="00B471B1">
        <w:rPr>
          <w:rFonts w:ascii="Arial" w:hAnsi="Arial" w:cs="Arial"/>
        </w:rPr>
        <w:t>pulmonary</w:t>
      </w:r>
      <w:r>
        <w:rPr>
          <w:rFonts w:ascii="Arial" w:hAnsi="Arial" w:cs="Arial"/>
        </w:rPr>
        <w:t xml:space="preserve"> hemorrhage”).</w:t>
      </w:r>
    </w:p>
    <w:p w14:paraId="06A2E8D0" w14:textId="77777777" w:rsidR="00180140" w:rsidRDefault="00180140" w:rsidP="00180140">
      <w:pPr>
        <w:autoSpaceDE w:val="0"/>
        <w:autoSpaceDN w:val="0"/>
        <w:adjustRightInd w:val="0"/>
        <w:ind w:left="720"/>
        <w:rPr>
          <w:rFonts w:ascii="Arial" w:hAnsi="Arial" w:cs="Arial"/>
        </w:rPr>
      </w:pPr>
    </w:p>
    <w:p w14:paraId="32CA36C6" w14:textId="4BC75433" w:rsidR="00180140" w:rsidRDefault="00553C8D" w:rsidP="00180140">
      <w:pPr>
        <w:autoSpaceDE w:val="0"/>
        <w:autoSpaceDN w:val="0"/>
        <w:adjustRightInd w:val="0"/>
        <w:ind w:left="720"/>
        <w:rPr>
          <w:rFonts w:ascii="Arial" w:hAnsi="Arial" w:cs="Arial"/>
        </w:rPr>
      </w:pPr>
      <w:r>
        <w:rPr>
          <w:rFonts w:ascii="Arial" w:hAnsi="Arial" w:cs="Arial"/>
          <w:u w:val="single"/>
        </w:rPr>
        <w:t>Central nervous system (CNS):</w:t>
      </w:r>
      <w:r w:rsidR="00180140" w:rsidRPr="00180140">
        <w:rPr>
          <w:rFonts w:ascii="Arial" w:hAnsi="Arial" w:cs="Arial"/>
        </w:rPr>
        <w:t xml:space="preserve"> </w:t>
      </w:r>
      <w:r w:rsidR="00180140" w:rsidRPr="00CE41CF">
        <w:rPr>
          <w:rFonts w:ascii="Arial" w:hAnsi="Arial" w:cs="Arial"/>
        </w:rPr>
        <w:t>If a cause of death was due to central nervous system failure</w:t>
      </w:r>
      <w:r w:rsidR="00F91ED8">
        <w:rPr>
          <w:rFonts w:ascii="Arial" w:hAnsi="Arial" w:cs="Arial"/>
        </w:rPr>
        <w:t xml:space="preserve">.  </w:t>
      </w:r>
      <w:r w:rsidR="00180140">
        <w:rPr>
          <w:rFonts w:ascii="Arial" w:hAnsi="Arial" w:cs="Arial"/>
        </w:rPr>
        <w:t>CNS failure may include radiation-induced atrophy, brain stem dysfunction, or encephalitis of unknown origin.</w:t>
      </w:r>
    </w:p>
    <w:p w14:paraId="12A42126" w14:textId="77777777" w:rsidR="00180140" w:rsidRDefault="00180140" w:rsidP="00180140">
      <w:pPr>
        <w:autoSpaceDE w:val="0"/>
        <w:autoSpaceDN w:val="0"/>
        <w:adjustRightInd w:val="0"/>
        <w:ind w:left="1440"/>
        <w:rPr>
          <w:rFonts w:ascii="Arial" w:hAnsi="Arial" w:cs="Arial"/>
        </w:rPr>
      </w:pPr>
    </w:p>
    <w:p w14:paraId="3D9872C4" w14:textId="2A5AECE2" w:rsidR="00180140" w:rsidRDefault="00180140" w:rsidP="00180140">
      <w:pPr>
        <w:autoSpaceDE w:val="0"/>
        <w:autoSpaceDN w:val="0"/>
        <w:adjustRightInd w:val="0"/>
        <w:ind w:left="720"/>
        <w:rPr>
          <w:rFonts w:ascii="Arial" w:hAnsi="Arial" w:cs="Arial"/>
        </w:rPr>
      </w:pPr>
      <w:r>
        <w:rPr>
          <w:rFonts w:ascii="Arial" w:hAnsi="Arial" w:cs="Arial"/>
        </w:rPr>
        <w:t>Do not report death due to brain infection (e.g., meningitis) using this cause of death</w:t>
      </w:r>
      <w:r w:rsidR="00553C8D">
        <w:rPr>
          <w:rFonts w:ascii="Arial" w:hAnsi="Arial" w:cs="Arial"/>
        </w:rPr>
        <w:t xml:space="preserve"> code (use i</w:t>
      </w:r>
      <w:r>
        <w:rPr>
          <w:rFonts w:ascii="Arial" w:hAnsi="Arial" w:cs="Arial"/>
        </w:rPr>
        <w:t>nfection).</w:t>
      </w:r>
    </w:p>
    <w:p w14:paraId="1C779961" w14:textId="77777777" w:rsidR="00180140" w:rsidRDefault="00180140" w:rsidP="00180140">
      <w:pPr>
        <w:autoSpaceDE w:val="0"/>
        <w:autoSpaceDN w:val="0"/>
        <w:adjustRightInd w:val="0"/>
        <w:ind w:left="1440"/>
        <w:rPr>
          <w:rFonts w:ascii="Arial" w:hAnsi="Arial" w:cs="Arial"/>
        </w:rPr>
      </w:pPr>
    </w:p>
    <w:p w14:paraId="3343DF5A" w14:textId="77777777" w:rsidR="00180140" w:rsidRDefault="00180140" w:rsidP="00180140">
      <w:pPr>
        <w:autoSpaceDE w:val="0"/>
        <w:autoSpaceDN w:val="0"/>
        <w:adjustRightInd w:val="0"/>
        <w:ind w:left="720"/>
        <w:rPr>
          <w:rFonts w:ascii="Arial" w:hAnsi="Arial" w:cs="Arial"/>
        </w:rPr>
      </w:pPr>
      <w:r>
        <w:rPr>
          <w:rFonts w:ascii="Arial" w:hAnsi="Arial" w:cs="Arial"/>
        </w:rPr>
        <w:t>Do not report hemorrhagic stroke using this cause of death code (use intracranial hemorrhage).</w:t>
      </w:r>
    </w:p>
    <w:p w14:paraId="4DDC539D" w14:textId="77777777" w:rsidR="00180140" w:rsidRDefault="00180140" w:rsidP="00180140">
      <w:pPr>
        <w:autoSpaceDE w:val="0"/>
        <w:autoSpaceDN w:val="0"/>
        <w:adjustRightInd w:val="0"/>
        <w:ind w:left="720"/>
        <w:rPr>
          <w:rFonts w:ascii="Arial" w:hAnsi="Arial" w:cs="Arial"/>
        </w:rPr>
      </w:pPr>
    </w:p>
    <w:p w14:paraId="188098A9" w14:textId="03B83F79" w:rsidR="00180140" w:rsidRDefault="00553C8D" w:rsidP="00180140">
      <w:pPr>
        <w:autoSpaceDE w:val="0"/>
        <w:autoSpaceDN w:val="0"/>
        <w:adjustRightInd w:val="0"/>
        <w:ind w:left="720"/>
        <w:rPr>
          <w:rFonts w:ascii="Arial" w:hAnsi="Arial" w:cs="Arial"/>
        </w:rPr>
      </w:pPr>
      <w:r>
        <w:rPr>
          <w:rFonts w:ascii="Arial" w:hAnsi="Arial" w:cs="Arial"/>
          <w:u w:val="single"/>
        </w:rPr>
        <w:t>Renal:</w:t>
      </w:r>
      <w:r w:rsidR="00180140">
        <w:rPr>
          <w:rFonts w:ascii="Arial" w:hAnsi="Arial" w:cs="Arial"/>
        </w:rPr>
        <w:t xml:space="preserve"> </w:t>
      </w:r>
      <w:r w:rsidR="005A3F32">
        <w:rPr>
          <w:rFonts w:ascii="Arial" w:hAnsi="Arial" w:cs="Arial"/>
        </w:rPr>
        <w:t xml:space="preserve"> </w:t>
      </w:r>
      <w:r w:rsidR="00180140">
        <w:rPr>
          <w:rFonts w:ascii="Arial" w:hAnsi="Arial" w:cs="Arial"/>
        </w:rPr>
        <w:t xml:space="preserve">If a cause of death was due to renal failure. </w:t>
      </w:r>
    </w:p>
    <w:p w14:paraId="186D5115" w14:textId="77777777" w:rsidR="00180140" w:rsidRDefault="00180140" w:rsidP="00180140">
      <w:pPr>
        <w:autoSpaceDE w:val="0"/>
        <w:autoSpaceDN w:val="0"/>
        <w:adjustRightInd w:val="0"/>
        <w:ind w:left="720"/>
        <w:rPr>
          <w:rFonts w:ascii="Arial" w:hAnsi="Arial" w:cs="Arial"/>
        </w:rPr>
      </w:pPr>
    </w:p>
    <w:p w14:paraId="34CC4342" w14:textId="6C0229BC" w:rsidR="00180140" w:rsidRDefault="00180140" w:rsidP="00180140">
      <w:pPr>
        <w:autoSpaceDE w:val="0"/>
        <w:autoSpaceDN w:val="0"/>
        <w:adjustRightInd w:val="0"/>
        <w:ind w:left="720"/>
        <w:rPr>
          <w:rFonts w:ascii="Arial" w:hAnsi="Arial" w:cs="Arial"/>
        </w:rPr>
      </w:pPr>
      <w:r w:rsidRPr="0010421E">
        <w:rPr>
          <w:rFonts w:ascii="Arial" w:hAnsi="Arial" w:cs="Arial"/>
          <w:u w:val="single"/>
        </w:rPr>
        <w:t>Gastrointestinal</w:t>
      </w:r>
      <w:r>
        <w:rPr>
          <w:rFonts w:ascii="Arial" w:hAnsi="Arial" w:cs="Arial"/>
          <w:u w:val="single"/>
        </w:rPr>
        <w:t xml:space="preserve"> (GI) (not liver)</w:t>
      </w:r>
      <w:r w:rsidR="00553C8D">
        <w:rPr>
          <w:rFonts w:ascii="Arial" w:hAnsi="Arial" w:cs="Arial"/>
          <w:u w:val="single"/>
        </w:rPr>
        <w:t>:</w:t>
      </w:r>
      <w:r>
        <w:rPr>
          <w:rFonts w:ascii="Arial" w:hAnsi="Arial" w:cs="Arial"/>
        </w:rPr>
        <w:t xml:space="preserve"> If the cause of death was due to gastrointestinal failure (such as intestinal obstruction or perforation). </w:t>
      </w:r>
    </w:p>
    <w:p w14:paraId="1B3D1066" w14:textId="77777777" w:rsidR="00180140" w:rsidRDefault="00180140" w:rsidP="00180140">
      <w:pPr>
        <w:autoSpaceDE w:val="0"/>
        <w:autoSpaceDN w:val="0"/>
        <w:adjustRightInd w:val="0"/>
        <w:ind w:left="1440"/>
        <w:rPr>
          <w:rFonts w:ascii="Arial" w:hAnsi="Arial" w:cs="Arial"/>
        </w:rPr>
      </w:pPr>
    </w:p>
    <w:p w14:paraId="10AACF3B" w14:textId="77777777" w:rsidR="00180140" w:rsidRDefault="00180140" w:rsidP="00180140">
      <w:pPr>
        <w:autoSpaceDE w:val="0"/>
        <w:autoSpaceDN w:val="0"/>
        <w:adjustRightInd w:val="0"/>
        <w:ind w:left="720"/>
        <w:rPr>
          <w:rFonts w:ascii="Arial" w:hAnsi="Arial" w:cs="Arial"/>
        </w:rPr>
      </w:pPr>
      <w:r>
        <w:rPr>
          <w:rFonts w:ascii="Arial" w:hAnsi="Arial" w:cs="Arial"/>
        </w:rPr>
        <w:t xml:space="preserve">Do not report gastrointestinal hemorrhage using this cause of death code (use gastrointestinal hemorrhage). </w:t>
      </w:r>
    </w:p>
    <w:p w14:paraId="03DCCA6D" w14:textId="77777777" w:rsidR="00180140" w:rsidRDefault="00180140" w:rsidP="00180140">
      <w:pPr>
        <w:autoSpaceDE w:val="0"/>
        <w:autoSpaceDN w:val="0"/>
        <w:adjustRightInd w:val="0"/>
        <w:ind w:left="1440"/>
        <w:rPr>
          <w:rFonts w:ascii="Arial" w:hAnsi="Arial" w:cs="Arial"/>
        </w:rPr>
      </w:pPr>
    </w:p>
    <w:p w14:paraId="484E6FB8" w14:textId="77777777" w:rsidR="00180140" w:rsidRDefault="00180140" w:rsidP="00180140">
      <w:pPr>
        <w:autoSpaceDE w:val="0"/>
        <w:autoSpaceDN w:val="0"/>
        <w:adjustRightInd w:val="0"/>
        <w:ind w:left="720"/>
        <w:rPr>
          <w:rFonts w:ascii="Arial" w:hAnsi="Arial" w:cs="Arial"/>
        </w:rPr>
      </w:pPr>
      <w:proofErr w:type="gramStart"/>
      <w:r>
        <w:rPr>
          <w:rFonts w:ascii="Arial" w:hAnsi="Arial" w:cs="Arial"/>
        </w:rPr>
        <w:t>Do not report liver failure</w:t>
      </w:r>
      <w:proofErr w:type="gramEnd"/>
      <w:r>
        <w:rPr>
          <w:rFonts w:ascii="Arial" w:hAnsi="Arial" w:cs="Arial"/>
        </w:rPr>
        <w:t xml:space="preserve"> using this cause of death code (use Liver failure (not VOD)).</w:t>
      </w:r>
    </w:p>
    <w:p w14:paraId="0420C18F" w14:textId="77777777" w:rsidR="00180140" w:rsidRDefault="00180140" w:rsidP="00180140">
      <w:pPr>
        <w:autoSpaceDE w:val="0"/>
        <w:autoSpaceDN w:val="0"/>
        <w:adjustRightInd w:val="0"/>
        <w:ind w:left="1440"/>
        <w:rPr>
          <w:rFonts w:ascii="Arial" w:hAnsi="Arial" w:cs="Arial"/>
        </w:rPr>
      </w:pPr>
    </w:p>
    <w:p w14:paraId="77AE4B03" w14:textId="77777777" w:rsidR="00180140" w:rsidRDefault="00180140" w:rsidP="00180140">
      <w:pPr>
        <w:autoSpaceDE w:val="0"/>
        <w:autoSpaceDN w:val="0"/>
        <w:adjustRightInd w:val="0"/>
        <w:ind w:left="720"/>
        <w:rPr>
          <w:rFonts w:ascii="Arial" w:hAnsi="Arial" w:cs="Arial"/>
        </w:rPr>
      </w:pPr>
      <w:r>
        <w:rPr>
          <w:rFonts w:ascii="Arial" w:hAnsi="Arial" w:cs="Arial"/>
        </w:rPr>
        <w:lastRenderedPageBreak/>
        <w:t xml:space="preserve">Do not report graft-versus-host disease (GVHD) using this cause of death code (use </w:t>
      </w:r>
      <w:r w:rsidRPr="00B471B1">
        <w:rPr>
          <w:rFonts w:ascii="Arial" w:hAnsi="Arial" w:cs="Arial"/>
        </w:rPr>
        <w:t>Acute GVHD</w:t>
      </w:r>
      <w:r>
        <w:rPr>
          <w:rFonts w:ascii="Arial" w:hAnsi="Arial" w:cs="Arial"/>
          <w:b/>
        </w:rPr>
        <w:t xml:space="preserve"> </w:t>
      </w:r>
      <w:r>
        <w:rPr>
          <w:rFonts w:ascii="Arial" w:hAnsi="Arial" w:cs="Arial"/>
        </w:rPr>
        <w:t>or Chronic GVHD).</w:t>
      </w:r>
    </w:p>
    <w:p w14:paraId="7480978A" w14:textId="77777777" w:rsidR="00180140" w:rsidRDefault="00180140" w:rsidP="00180140">
      <w:pPr>
        <w:autoSpaceDE w:val="0"/>
        <w:autoSpaceDN w:val="0"/>
        <w:adjustRightInd w:val="0"/>
        <w:ind w:left="720"/>
        <w:rPr>
          <w:rFonts w:ascii="Arial" w:hAnsi="Arial" w:cs="Arial"/>
          <w:u w:val="single"/>
        </w:rPr>
      </w:pPr>
    </w:p>
    <w:p w14:paraId="0442873E" w14:textId="533845A0" w:rsidR="00180140" w:rsidRPr="002D1F59" w:rsidRDefault="00180140" w:rsidP="00180140">
      <w:pPr>
        <w:autoSpaceDE w:val="0"/>
        <w:autoSpaceDN w:val="0"/>
        <w:adjustRightInd w:val="0"/>
        <w:ind w:left="720"/>
        <w:rPr>
          <w:rFonts w:ascii="Arial" w:hAnsi="Arial" w:cs="Arial"/>
        </w:rPr>
      </w:pPr>
      <w:r w:rsidRPr="0010421E">
        <w:rPr>
          <w:rFonts w:ascii="Arial" w:hAnsi="Arial" w:cs="Arial"/>
          <w:u w:val="single"/>
        </w:rPr>
        <w:t>M</w:t>
      </w:r>
      <w:r w:rsidR="00553C8D">
        <w:rPr>
          <w:rFonts w:ascii="Arial" w:hAnsi="Arial" w:cs="Arial"/>
          <w:u w:val="single"/>
        </w:rPr>
        <w:t xml:space="preserve">ultiple organ failure, </w:t>
      </w:r>
      <w:proofErr w:type="gramStart"/>
      <w:r w:rsidR="00553C8D">
        <w:rPr>
          <w:rFonts w:ascii="Arial" w:hAnsi="Arial" w:cs="Arial"/>
          <w:u w:val="single"/>
        </w:rPr>
        <w:t>specify:</w:t>
      </w:r>
      <w:r>
        <w:rPr>
          <w:rFonts w:ascii="Arial" w:hAnsi="Arial" w:cs="Arial"/>
        </w:rPr>
        <w:t xml:space="preserve"> If</w:t>
      </w:r>
      <w:proofErr w:type="gramEnd"/>
      <w:r>
        <w:rPr>
          <w:rFonts w:ascii="Arial" w:hAnsi="Arial" w:cs="Arial"/>
        </w:rPr>
        <w:t xml:space="preserve"> the cause of death is due to failure of more than one organ, provide additional detail</w:t>
      </w:r>
      <w:r w:rsidR="00F91ED8">
        <w:rPr>
          <w:rFonts w:ascii="Arial" w:hAnsi="Arial" w:cs="Arial"/>
        </w:rPr>
        <w:t xml:space="preserve">.  </w:t>
      </w:r>
      <w:r>
        <w:rPr>
          <w:rFonts w:ascii="Arial" w:hAnsi="Arial" w:cs="Arial"/>
        </w:rPr>
        <w:t xml:space="preserve">Each organ system failure should be reported in the “specify” field (question </w:t>
      </w:r>
      <w:r w:rsidR="00553C8D">
        <w:rPr>
          <w:rFonts w:ascii="Arial" w:hAnsi="Arial" w:cs="Arial"/>
        </w:rPr>
        <w:t>4 or 6).</w:t>
      </w:r>
      <w:r>
        <w:rPr>
          <w:rFonts w:ascii="Arial" w:hAnsi="Arial" w:cs="Arial"/>
        </w:rPr>
        <w:t xml:space="preserve"> </w:t>
      </w:r>
    </w:p>
    <w:p w14:paraId="074AFD9D" w14:textId="77777777" w:rsidR="00180140" w:rsidRDefault="00180140" w:rsidP="00180140">
      <w:pPr>
        <w:autoSpaceDE w:val="0"/>
        <w:autoSpaceDN w:val="0"/>
        <w:adjustRightInd w:val="0"/>
        <w:rPr>
          <w:rFonts w:ascii="Arial" w:hAnsi="Arial" w:cs="Arial"/>
        </w:rPr>
      </w:pPr>
    </w:p>
    <w:p w14:paraId="62F02A54" w14:textId="375CA42C" w:rsidR="00180140" w:rsidRDefault="00180140" w:rsidP="00180140">
      <w:pPr>
        <w:autoSpaceDE w:val="0"/>
        <w:autoSpaceDN w:val="0"/>
        <w:adjustRightInd w:val="0"/>
        <w:ind w:left="720"/>
        <w:rPr>
          <w:rFonts w:ascii="Arial" w:hAnsi="Arial" w:cs="Arial"/>
        </w:rPr>
      </w:pPr>
      <w:r>
        <w:rPr>
          <w:rFonts w:ascii="Arial" w:hAnsi="Arial" w:cs="Arial"/>
        </w:rPr>
        <w:t xml:space="preserve">If multiple organ failure was due to sepsis, report the </w:t>
      </w:r>
      <w:r w:rsidRPr="00553C8D">
        <w:rPr>
          <w:rFonts w:ascii="Arial" w:hAnsi="Arial" w:cs="Arial"/>
        </w:rPr>
        <w:t xml:space="preserve">infection </w:t>
      </w:r>
      <w:r>
        <w:rPr>
          <w:rFonts w:ascii="Arial" w:hAnsi="Arial" w:cs="Arial"/>
        </w:rPr>
        <w:t xml:space="preserve">as a cause of death. </w:t>
      </w:r>
    </w:p>
    <w:p w14:paraId="3294BE7F" w14:textId="77777777" w:rsidR="00180140" w:rsidRDefault="00180140" w:rsidP="00180140">
      <w:pPr>
        <w:autoSpaceDE w:val="0"/>
        <w:autoSpaceDN w:val="0"/>
        <w:adjustRightInd w:val="0"/>
        <w:ind w:left="1440"/>
        <w:rPr>
          <w:rFonts w:ascii="Arial" w:hAnsi="Arial" w:cs="Arial"/>
        </w:rPr>
      </w:pPr>
    </w:p>
    <w:p w14:paraId="0F5CC9C8" w14:textId="4F4B03A3" w:rsidR="00180140" w:rsidRPr="002D1F59" w:rsidRDefault="00553C8D" w:rsidP="00180140">
      <w:pPr>
        <w:autoSpaceDE w:val="0"/>
        <w:autoSpaceDN w:val="0"/>
        <w:adjustRightInd w:val="0"/>
        <w:ind w:left="720"/>
        <w:rPr>
          <w:rFonts w:ascii="Arial" w:hAnsi="Arial" w:cs="Arial"/>
        </w:rPr>
      </w:pPr>
      <w:r>
        <w:rPr>
          <w:rFonts w:ascii="Arial" w:hAnsi="Arial" w:cs="Arial"/>
          <w:u w:val="single"/>
        </w:rPr>
        <w:t xml:space="preserve">Other organ failure, </w:t>
      </w:r>
      <w:proofErr w:type="gramStart"/>
      <w:r>
        <w:rPr>
          <w:rFonts w:ascii="Arial" w:hAnsi="Arial" w:cs="Arial"/>
          <w:u w:val="single"/>
        </w:rPr>
        <w:t>specify:</w:t>
      </w:r>
      <w:r w:rsidR="00180140">
        <w:rPr>
          <w:rFonts w:ascii="Arial" w:hAnsi="Arial" w:cs="Arial"/>
        </w:rPr>
        <w:t xml:space="preserve"> If</w:t>
      </w:r>
      <w:proofErr w:type="gramEnd"/>
      <w:r w:rsidR="00180140">
        <w:rPr>
          <w:rFonts w:ascii="Arial" w:hAnsi="Arial" w:cs="Arial"/>
        </w:rPr>
        <w:t xml:space="preserve"> a cause of death was not due to a specific organ or organ system listed above</w:t>
      </w:r>
      <w:r w:rsidR="00F91ED8">
        <w:rPr>
          <w:rFonts w:ascii="Arial" w:hAnsi="Arial" w:cs="Arial"/>
        </w:rPr>
        <w:t xml:space="preserve">.  </w:t>
      </w:r>
      <w:r w:rsidR="00180140">
        <w:rPr>
          <w:rFonts w:ascii="Arial" w:hAnsi="Arial" w:cs="Arial"/>
        </w:rPr>
        <w:t>Specify the</w:t>
      </w:r>
      <w:r>
        <w:rPr>
          <w:rFonts w:ascii="Arial" w:hAnsi="Arial" w:cs="Arial"/>
        </w:rPr>
        <w:t xml:space="preserve"> organ or organ system involved in question 4 or 6.</w:t>
      </w:r>
    </w:p>
    <w:p w14:paraId="75B5C79C" w14:textId="77777777" w:rsidR="00180140" w:rsidRDefault="00180140" w:rsidP="00180140">
      <w:pPr>
        <w:autoSpaceDE w:val="0"/>
        <w:autoSpaceDN w:val="0"/>
        <w:adjustRightInd w:val="0"/>
        <w:ind w:left="720"/>
        <w:rPr>
          <w:rFonts w:ascii="Arial" w:hAnsi="Arial" w:cs="Arial"/>
        </w:rPr>
      </w:pPr>
    </w:p>
    <w:p w14:paraId="59B79039" w14:textId="1932A25B" w:rsidR="00180140" w:rsidRDefault="00180140" w:rsidP="00180140">
      <w:pPr>
        <w:autoSpaceDE w:val="0"/>
        <w:autoSpaceDN w:val="0"/>
        <w:adjustRightInd w:val="0"/>
        <w:ind w:left="720"/>
        <w:rPr>
          <w:rFonts w:ascii="Arial" w:hAnsi="Arial" w:cs="Arial"/>
        </w:rPr>
      </w:pPr>
      <w:proofErr w:type="gramStart"/>
      <w:r>
        <w:rPr>
          <w:rFonts w:ascii="Arial" w:hAnsi="Arial" w:cs="Arial"/>
          <w:b/>
        </w:rPr>
        <w:t>Malignancy</w:t>
      </w:r>
      <w:r w:rsidR="00F91ED8">
        <w:rPr>
          <w:rFonts w:ascii="Arial" w:hAnsi="Arial" w:cs="Arial"/>
          <w:b/>
        </w:rPr>
        <w:t>.</w:t>
      </w:r>
      <w:proofErr w:type="gramEnd"/>
      <w:r w:rsidR="00F91ED8">
        <w:rPr>
          <w:rFonts w:ascii="Arial" w:hAnsi="Arial" w:cs="Arial"/>
          <w:b/>
        </w:rPr>
        <w:t xml:space="preserve">  </w:t>
      </w:r>
      <w:r>
        <w:rPr>
          <w:rFonts w:ascii="Arial" w:hAnsi="Arial" w:cs="Arial"/>
        </w:rPr>
        <w:t>The recipient died with evidence of a new malignancy post-HCT</w:t>
      </w:r>
      <w:r w:rsidR="00F91ED8">
        <w:rPr>
          <w:rFonts w:ascii="Arial" w:hAnsi="Arial" w:cs="Arial"/>
        </w:rPr>
        <w:t xml:space="preserve">.  </w:t>
      </w:r>
      <w:r>
        <w:rPr>
          <w:rFonts w:ascii="Arial" w:hAnsi="Arial" w:cs="Arial"/>
        </w:rPr>
        <w:t xml:space="preserve">If the recipient develops a </w:t>
      </w:r>
      <w:r w:rsidRPr="00760415">
        <w:rPr>
          <w:rFonts w:ascii="Arial" w:hAnsi="Arial" w:cs="Arial"/>
          <w:u w:val="single"/>
        </w:rPr>
        <w:t>new malignancy</w:t>
      </w:r>
      <w:r>
        <w:rPr>
          <w:rFonts w:ascii="Arial" w:hAnsi="Arial" w:cs="Arial"/>
        </w:rPr>
        <w:t xml:space="preserve"> after transplant, it should also be reported in </w:t>
      </w:r>
      <w:r w:rsidR="00C26BF3">
        <w:rPr>
          <w:rFonts w:ascii="Arial" w:hAnsi="Arial" w:cs="Arial"/>
        </w:rPr>
        <w:t>questions 49-56</w:t>
      </w:r>
      <w:r w:rsidR="00553C8D">
        <w:rPr>
          <w:rFonts w:ascii="Arial" w:hAnsi="Arial" w:cs="Arial"/>
        </w:rPr>
        <w:t xml:space="preserve"> on the Post-TED.</w:t>
      </w:r>
    </w:p>
    <w:p w14:paraId="7224D1EA" w14:textId="77777777" w:rsidR="00180140" w:rsidRDefault="00180140" w:rsidP="00180140">
      <w:pPr>
        <w:autoSpaceDE w:val="0"/>
        <w:autoSpaceDN w:val="0"/>
        <w:adjustRightInd w:val="0"/>
        <w:ind w:left="720"/>
        <w:rPr>
          <w:rFonts w:ascii="Arial" w:hAnsi="Arial" w:cs="Arial"/>
        </w:rPr>
      </w:pPr>
    </w:p>
    <w:p w14:paraId="0995FDD7" w14:textId="77777777" w:rsidR="00180140" w:rsidRPr="00512239" w:rsidRDefault="00180140" w:rsidP="00180140">
      <w:pPr>
        <w:autoSpaceDE w:val="0"/>
        <w:autoSpaceDN w:val="0"/>
        <w:adjustRightInd w:val="0"/>
        <w:ind w:left="720"/>
        <w:rPr>
          <w:rFonts w:ascii="Arial" w:hAnsi="Arial" w:cs="Arial"/>
        </w:rPr>
      </w:pPr>
      <w:r>
        <w:rPr>
          <w:rFonts w:ascii="Arial" w:hAnsi="Arial" w:cs="Arial"/>
        </w:rPr>
        <w:t xml:space="preserve">If </w:t>
      </w:r>
      <w:r w:rsidRPr="00D4202C">
        <w:rPr>
          <w:rFonts w:ascii="Arial" w:hAnsi="Arial" w:cs="Arial"/>
        </w:rPr>
        <w:t xml:space="preserve">there was a </w:t>
      </w:r>
      <w:r w:rsidRPr="008F7E32">
        <w:rPr>
          <w:rFonts w:ascii="Arial" w:hAnsi="Arial" w:cs="Arial"/>
          <w:u w:val="single"/>
        </w:rPr>
        <w:t>history of malignancy</w:t>
      </w:r>
      <w:r w:rsidRPr="008F7E32">
        <w:rPr>
          <w:rFonts w:ascii="Arial" w:hAnsi="Arial" w:cs="Arial"/>
          <w:i/>
          <w:u w:val="single"/>
        </w:rPr>
        <w:t xml:space="preserve"> </w:t>
      </w:r>
      <w:r w:rsidRPr="008F7E32">
        <w:rPr>
          <w:rFonts w:ascii="Arial" w:hAnsi="Arial"/>
          <w:u w:val="single"/>
        </w:rPr>
        <w:t>prior to transplant</w:t>
      </w:r>
      <w:r w:rsidRPr="00905BB9">
        <w:rPr>
          <w:rFonts w:ascii="Arial" w:hAnsi="Arial" w:cs="Arial"/>
        </w:rPr>
        <w:t xml:space="preserve"> (i.e., not the primary disease for which the recipient was transplanted)</w:t>
      </w:r>
      <w:r>
        <w:rPr>
          <w:rFonts w:ascii="Arial" w:hAnsi="Arial" w:cs="Arial"/>
        </w:rPr>
        <w:t xml:space="preserve"> and the recipient died with evidence of recurrence, persistence, or progression of the previous malignancy, it should be reported by selecting “Prior malignancy (malignancy initially diagnosed prior to HCT or cellular therapy, other than the malignancy for which the HCT or cellular therapy was performed).”</w:t>
      </w:r>
    </w:p>
    <w:p w14:paraId="5A37D016" w14:textId="77777777" w:rsidR="00180140" w:rsidRPr="00760415" w:rsidRDefault="00180140" w:rsidP="00180140">
      <w:pPr>
        <w:autoSpaceDE w:val="0"/>
        <w:autoSpaceDN w:val="0"/>
        <w:adjustRightInd w:val="0"/>
        <w:ind w:left="720"/>
        <w:rPr>
          <w:rFonts w:ascii="Arial" w:hAnsi="Arial" w:cs="Arial"/>
        </w:rPr>
      </w:pPr>
    </w:p>
    <w:p w14:paraId="038C5244" w14:textId="4B1A041A" w:rsidR="00180140" w:rsidRDefault="00180140" w:rsidP="00A042C6">
      <w:pPr>
        <w:autoSpaceDE w:val="0"/>
        <w:autoSpaceDN w:val="0"/>
        <w:adjustRightInd w:val="0"/>
        <w:ind w:left="720"/>
        <w:rPr>
          <w:rFonts w:ascii="Arial" w:hAnsi="Arial" w:cs="Arial"/>
        </w:rPr>
      </w:pPr>
      <w:r>
        <w:rPr>
          <w:rFonts w:ascii="Arial" w:hAnsi="Arial" w:cs="Arial"/>
          <w:b/>
        </w:rPr>
        <w:t>Hemorrhage</w:t>
      </w:r>
      <w:r w:rsidR="00F91ED8">
        <w:rPr>
          <w:rFonts w:ascii="Arial" w:hAnsi="Arial" w:cs="Arial"/>
          <w:b/>
        </w:rPr>
        <w:t xml:space="preserve">.  </w:t>
      </w:r>
      <w:r w:rsidRPr="00ED3086">
        <w:rPr>
          <w:rFonts w:ascii="Arial" w:hAnsi="Arial" w:cs="Arial"/>
        </w:rPr>
        <w:t>If</w:t>
      </w:r>
      <w:r>
        <w:rPr>
          <w:rFonts w:ascii="Arial" w:hAnsi="Arial" w:cs="Arial"/>
        </w:rPr>
        <w:t xml:space="preserve"> the recipient died with evidence of hemorrhage, use the cause of death options</w:t>
      </w:r>
      <w:r w:rsidRPr="000C62DB">
        <w:rPr>
          <w:rFonts w:ascii="Arial" w:hAnsi="Arial" w:cs="Arial"/>
          <w:b/>
        </w:rPr>
        <w:t xml:space="preserve"> </w:t>
      </w:r>
      <w:r>
        <w:rPr>
          <w:rFonts w:ascii="Arial" w:hAnsi="Arial" w:cs="Arial"/>
        </w:rPr>
        <w:t>to report its location</w:t>
      </w:r>
      <w:r w:rsidR="00F91ED8">
        <w:rPr>
          <w:rFonts w:ascii="Arial" w:hAnsi="Arial" w:cs="Arial"/>
        </w:rPr>
        <w:t xml:space="preserve">.  </w:t>
      </w:r>
      <w:r>
        <w:rPr>
          <w:rFonts w:ascii="Arial" w:hAnsi="Arial" w:cs="Arial"/>
        </w:rPr>
        <w:t>If the hemorrhage was in an organ system that does not have a cause of death option, use “Other hemorrhage, specify,” and report the organ or location of the hemorrhage.</w:t>
      </w:r>
    </w:p>
    <w:p w14:paraId="694D0E99" w14:textId="77777777" w:rsidR="00A042C6" w:rsidRDefault="00A042C6" w:rsidP="00A042C6">
      <w:pPr>
        <w:autoSpaceDE w:val="0"/>
        <w:autoSpaceDN w:val="0"/>
        <w:adjustRightInd w:val="0"/>
        <w:ind w:left="720"/>
        <w:rPr>
          <w:rFonts w:ascii="Arial" w:hAnsi="Arial" w:cs="Arial"/>
        </w:rPr>
      </w:pPr>
    </w:p>
    <w:p w14:paraId="393CACE8" w14:textId="10AC1845" w:rsidR="00180140" w:rsidRPr="00794A67" w:rsidRDefault="00180140" w:rsidP="00180140">
      <w:pPr>
        <w:autoSpaceDE w:val="0"/>
        <w:autoSpaceDN w:val="0"/>
        <w:adjustRightInd w:val="0"/>
        <w:ind w:left="720"/>
        <w:rPr>
          <w:rFonts w:ascii="Arial" w:hAnsi="Arial" w:cs="Arial"/>
          <w:b/>
        </w:rPr>
      </w:pPr>
      <w:proofErr w:type="gramStart"/>
      <w:r>
        <w:rPr>
          <w:rFonts w:ascii="Arial" w:hAnsi="Arial" w:cs="Arial"/>
          <w:b/>
        </w:rPr>
        <w:t>Vascular</w:t>
      </w:r>
      <w:r w:rsidR="00F91ED8">
        <w:rPr>
          <w:rFonts w:ascii="Arial" w:hAnsi="Arial" w:cs="Arial"/>
          <w:b/>
        </w:rPr>
        <w:t>.</w:t>
      </w:r>
      <w:proofErr w:type="gramEnd"/>
      <w:r w:rsidR="00F91ED8">
        <w:rPr>
          <w:rFonts w:ascii="Arial" w:hAnsi="Arial" w:cs="Arial"/>
          <w:b/>
        </w:rPr>
        <w:t xml:space="preserve">  </w:t>
      </w:r>
      <w:r>
        <w:rPr>
          <w:rFonts w:ascii="Arial" w:hAnsi="Arial" w:cs="Arial"/>
        </w:rPr>
        <w:t>If the recipient died with evidence of vascular dysfunction, use the cause of death options to report the specific disorders</w:t>
      </w:r>
      <w:r w:rsidR="00F91ED8">
        <w:rPr>
          <w:rFonts w:ascii="Arial" w:hAnsi="Arial" w:cs="Arial"/>
        </w:rPr>
        <w:t xml:space="preserve">.  </w:t>
      </w:r>
      <w:r>
        <w:rPr>
          <w:rFonts w:ascii="Arial" w:hAnsi="Arial" w:cs="Arial"/>
        </w:rPr>
        <w:t xml:space="preserve">If the vascular disorder does not have a cause of death code, use “Other vascular, specify” and </w:t>
      </w:r>
      <w:r w:rsidR="00A042C6">
        <w:rPr>
          <w:rFonts w:ascii="Arial" w:hAnsi="Arial" w:cs="Arial"/>
        </w:rPr>
        <w:t>report the vascular abnormality in question 4 or 6.</w:t>
      </w:r>
    </w:p>
    <w:p w14:paraId="67C20E94" w14:textId="77777777" w:rsidR="00180140" w:rsidRDefault="00180140" w:rsidP="00180140">
      <w:pPr>
        <w:autoSpaceDE w:val="0"/>
        <w:autoSpaceDN w:val="0"/>
        <w:adjustRightInd w:val="0"/>
        <w:ind w:left="720"/>
        <w:rPr>
          <w:rFonts w:ascii="Arial" w:hAnsi="Arial" w:cs="Arial"/>
        </w:rPr>
      </w:pPr>
    </w:p>
    <w:p w14:paraId="1AB63CDA" w14:textId="77777777" w:rsidR="00180140" w:rsidRPr="00794A67" w:rsidRDefault="00180140" w:rsidP="00180140">
      <w:pPr>
        <w:autoSpaceDE w:val="0"/>
        <w:autoSpaceDN w:val="0"/>
        <w:adjustRightInd w:val="0"/>
        <w:ind w:left="720"/>
        <w:rPr>
          <w:rFonts w:ascii="Arial" w:hAnsi="Arial" w:cs="Arial"/>
          <w:b/>
        </w:rPr>
      </w:pPr>
      <w:r>
        <w:rPr>
          <w:rFonts w:ascii="Arial" w:hAnsi="Arial" w:cs="Arial"/>
          <w:b/>
        </w:rPr>
        <w:t>Other.</w:t>
      </w:r>
    </w:p>
    <w:p w14:paraId="5C493F0D" w14:textId="6CD1737D" w:rsidR="00180140" w:rsidRDefault="00180140" w:rsidP="00180140">
      <w:pPr>
        <w:autoSpaceDE w:val="0"/>
        <w:autoSpaceDN w:val="0"/>
        <w:adjustRightInd w:val="0"/>
        <w:ind w:left="720"/>
        <w:rPr>
          <w:rFonts w:ascii="Arial" w:hAnsi="Arial" w:cs="Arial"/>
        </w:rPr>
      </w:pPr>
      <w:r>
        <w:rPr>
          <w:rFonts w:ascii="Arial" w:hAnsi="Arial" w:cs="Arial"/>
          <w:u w:val="single"/>
        </w:rPr>
        <w:t>Accidental Death</w:t>
      </w:r>
      <w:r w:rsidR="00A042C6">
        <w:rPr>
          <w:rFonts w:ascii="Arial" w:hAnsi="Arial" w:cs="Arial"/>
          <w:u w:val="single"/>
        </w:rPr>
        <w:t>:</w:t>
      </w:r>
      <w:r>
        <w:rPr>
          <w:rFonts w:ascii="Arial" w:hAnsi="Arial" w:cs="Arial"/>
          <w:b/>
        </w:rPr>
        <w:t xml:space="preserve"> </w:t>
      </w:r>
      <w:r>
        <w:rPr>
          <w:rFonts w:ascii="Arial" w:hAnsi="Arial" w:cs="Arial"/>
        </w:rPr>
        <w:t>The recipient’s death was caused by accidental or unintentional means.</w:t>
      </w:r>
    </w:p>
    <w:p w14:paraId="0104B6FC" w14:textId="77777777" w:rsidR="00180140" w:rsidRDefault="00180140" w:rsidP="00180140">
      <w:pPr>
        <w:autoSpaceDE w:val="0"/>
        <w:autoSpaceDN w:val="0"/>
        <w:adjustRightInd w:val="0"/>
        <w:ind w:left="720"/>
        <w:rPr>
          <w:rFonts w:ascii="Arial" w:hAnsi="Arial" w:cs="Arial"/>
        </w:rPr>
      </w:pPr>
    </w:p>
    <w:p w14:paraId="2CEC8C2F" w14:textId="47072B85" w:rsidR="00180140" w:rsidRDefault="00A042C6" w:rsidP="00180140">
      <w:pPr>
        <w:autoSpaceDE w:val="0"/>
        <w:autoSpaceDN w:val="0"/>
        <w:adjustRightInd w:val="0"/>
        <w:ind w:left="720"/>
        <w:rPr>
          <w:rFonts w:ascii="Arial" w:hAnsi="Arial" w:cs="Arial"/>
        </w:rPr>
      </w:pPr>
      <w:r>
        <w:rPr>
          <w:rFonts w:ascii="Arial" w:hAnsi="Arial" w:cs="Arial"/>
          <w:u w:val="single"/>
        </w:rPr>
        <w:t>Suicide:</w:t>
      </w:r>
      <w:r w:rsidR="00180140">
        <w:rPr>
          <w:rFonts w:ascii="Arial" w:hAnsi="Arial" w:cs="Arial"/>
          <w:b/>
        </w:rPr>
        <w:t xml:space="preserve"> </w:t>
      </w:r>
      <w:r w:rsidR="00180140">
        <w:rPr>
          <w:rFonts w:ascii="Arial" w:hAnsi="Arial" w:cs="Arial"/>
        </w:rPr>
        <w:t>Th</w:t>
      </w:r>
      <w:r w:rsidR="00C26BF3">
        <w:rPr>
          <w:rFonts w:ascii="Arial" w:hAnsi="Arial" w:cs="Arial"/>
        </w:rPr>
        <w:t>e recipient intentionally caused</w:t>
      </w:r>
      <w:r w:rsidR="00180140">
        <w:rPr>
          <w:rFonts w:ascii="Arial" w:hAnsi="Arial" w:cs="Arial"/>
        </w:rPr>
        <w:t xml:space="preserve"> their own death. </w:t>
      </w:r>
    </w:p>
    <w:p w14:paraId="09CAA81E" w14:textId="77777777" w:rsidR="00180140" w:rsidRDefault="00180140" w:rsidP="00180140">
      <w:pPr>
        <w:autoSpaceDE w:val="0"/>
        <w:autoSpaceDN w:val="0"/>
        <w:adjustRightInd w:val="0"/>
        <w:ind w:left="720"/>
        <w:rPr>
          <w:rFonts w:ascii="Arial" w:hAnsi="Arial" w:cs="Arial"/>
        </w:rPr>
      </w:pPr>
    </w:p>
    <w:p w14:paraId="3EA038FD" w14:textId="77777777" w:rsidR="00180140" w:rsidRPr="000F7288" w:rsidRDefault="00180140" w:rsidP="00180140">
      <w:pPr>
        <w:autoSpaceDE w:val="0"/>
        <w:autoSpaceDN w:val="0"/>
        <w:adjustRightInd w:val="0"/>
        <w:ind w:left="720"/>
        <w:rPr>
          <w:rFonts w:ascii="Arial" w:hAnsi="Arial" w:cs="Arial"/>
        </w:rPr>
      </w:pPr>
      <w:r>
        <w:rPr>
          <w:rFonts w:ascii="Arial" w:hAnsi="Arial" w:cs="Arial"/>
        </w:rPr>
        <w:t>In states where physician-assisted suicide is used to hasten death in terminally ill recipients, the cause of death should be reported as the underlying condition (primary cause of death) and suicide as a contributing cause of death.</w:t>
      </w:r>
    </w:p>
    <w:p w14:paraId="23B718F1" w14:textId="77777777" w:rsidR="00180140" w:rsidRPr="00455707" w:rsidRDefault="00180140" w:rsidP="00180140">
      <w:pPr>
        <w:autoSpaceDE w:val="0"/>
        <w:autoSpaceDN w:val="0"/>
        <w:adjustRightInd w:val="0"/>
        <w:ind w:left="720"/>
        <w:rPr>
          <w:rFonts w:ascii="Arial" w:hAnsi="Arial" w:cs="Arial"/>
        </w:rPr>
      </w:pPr>
    </w:p>
    <w:p w14:paraId="0D184CE6" w14:textId="60D23B78" w:rsidR="00180140" w:rsidRPr="00180140" w:rsidRDefault="00180140" w:rsidP="00180140">
      <w:pPr>
        <w:autoSpaceDE w:val="0"/>
        <w:autoSpaceDN w:val="0"/>
        <w:adjustRightInd w:val="0"/>
        <w:ind w:left="720"/>
        <w:rPr>
          <w:rFonts w:ascii="Arial" w:hAnsi="Arial" w:cs="Arial"/>
        </w:rPr>
      </w:pPr>
      <w:r w:rsidRPr="00794A67">
        <w:rPr>
          <w:rFonts w:ascii="Arial" w:hAnsi="Arial" w:cs="Arial"/>
          <w:u w:val="single"/>
        </w:rPr>
        <w:lastRenderedPageBreak/>
        <w:t xml:space="preserve">Other </w:t>
      </w:r>
      <w:r w:rsidR="00A042C6">
        <w:rPr>
          <w:rFonts w:ascii="Arial" w:hAnsi="Arial" w:cs="Arial"/>
          <w:u w:val="single"/>
        </w:rPr>
        <w:t>cause, specify:</w:t>
      </w:r>
      <w:r w:rsidRPr="00CC0336">
        <w:rPr>
          <w:rFonts w:ascii="Arial" w:hAnsi="Arial" w:cs="Arial"/>
        </w:rPr>
        <w:t xml:space="preserve"> If</w:t>
      </w:r>
      <w:r>
        <w:rPr>
          <w:rFonts w:ascii="Arial" w:hAnsi="Arial" w:cs="Arial"/>
        </w:rPr>
        <w:t xml:space="preserve"> the recipient has a cause of death that is not captured using any of the above categories, provide detailed information on the cause of death.</w:t>
      </w:r>
    </w:p>
    <w:p w14:paraId="0C1141DC" w14:textId="77777777" w:rsidR="00180140" w:rsidRDefault="00180140" w:rsidP="00F84477">
      <w:pPr>
        <w:rPr>
          <w:rFonts w:ascii="Arial" w:hAnsi="Arial" w:cs="Arial"/>
        </w:rPr>
      </w:pPr>
    </w:p>
    <w:p w14:paraId="7BE4E8BB" w14:textId="77777777" w:rsidR="007F6268" w:rsidRDefault="007F6268" w:rsidP="007F6268">
      <w:pPr>
        <w:pStyle w:val="Heading1"/>
      </w:pPr>
      <w:bookmarkStart w:id="2" w:name="_Toc450570832"/>
      <w:r w:rsidRPr="00961B50">
        <w:t>Subsequent Transplant</w:t>
      </w:r>
      <w:bookmarkEnd w:id="2"/>
    </w:p>
    <w:p w14:paraId="17C15961" w14:textId="77777777" w:rsidR="00F84477" w:rsidRPr="0039448F" w:rsidRDefault="00F84477" w:rsidP="00F84477">
      <w:pPr>
        <w:rPr>
          <w:rFonts w:ascii="Arial" w:hAnsi="Arial" w:cs="Arial"/>
          <w:b/>
        </w:rPr>
      </w:pPr>
    </w:p>
    <w:p w14:paraId="6F8E930F" w14:textId="1B7D941F" w:rsidR="006C4C4D" w:rsidRPr="00961B50" w:rsidRDefault="006C4C4D" w:rsidP="006C4C4D">
      <w:pPr>
        <w:rPr>
          <w:rFonts w:ascii="Arial" w:hAnsi="Arial" w:cs="Arial"/>
          <w:b/>
        </w:rPr>
      </w:pPr>
      <w:r w:rsidRPr="00961B50">
        <w:rPr>
          <w:rFonts w:ascii="Arial" w:hAnsi="Arial" w:cs="Arial"/>
          <w:b/>
        </w:rPr>
        <w:t xml:space="preserve">Question 7: </w:t>
      </w:r>
      <w:r w:rsidR="00632864">
        <w:rPr>
          <w:rFonts w:ascii="Arial" w:hAnsi="Arial" w:cs="Arial"/>
          <w:b/>
        </w:rPr>
        <w:t xml:space="preserve"> </w:t>
      </w:r>
      <w:r w:rsidR="007F6268" w:rsidRPr="00961B50">
        <w:rPr>
          <w:rFonts w:ascii="Arial" w:hAnsi="Arial" w:cs="Arial"/>
          <w:b/>
        </w:rPr>
        <w:t>Did the recipient receive a subsequent HCT since the date of last report?</w:t>
      </w:r>
    </w:p>
    <w:p w14:paraId="75DBE7B5" w14:textId="6A93E303" w:rsidR="00A042C6" w:rsidRDefault="00A042C6" w:rsidP="00A042C6">
      <w:pPr>
        <w:rPr>
          <w:rFonts w:ascii="Arial" w:hAnsi="Arial" w:cs="Arial"/>
        </w:rPr>
      </w:pPr>
      <w:r w:rsidRPr="00C60DB9">
        <w:rPr>
          <w:rFonts w:ascii="Arial" w:hAnsi="Arial" w:cs="Arial"/>
        </w:rPr>
        <w:t>Indica</w:t>
      </w:r>
      <w:r>
        <w:rPr>
          <w:rFonts w:ascii="Arial" w:hAnsi="Arial" w:cs="Arial"/>
        </w:rPr>
        <w:t>te whether the recipient received a second (or third, etc.) stem cell infusion</w:t>
      </w:r>
      <w:r w:rsidR="00F91ED8">
        <w:rPr>
          <w:rFonts w:ascii="Arial" w:hAnsi="Arial" w:cs="Arial"/>
        </w:rPr>
        <w:t xml:space="preserve">.  </w:t>
      </w:r>
      <w:r>
        <w:rPr>
          <w:rFonts w:ascii="Arial" w:hAnsi="Arial" w:cs="Arial"/>
        </w:rPr>
        <w:t xml:space="preserve">Stem cells are defined as mobilized peripheral blood stem cells, bone marrow, or cord blood. </w:t>
      </w:r>
    </w:p>
    <w:p w14:paraId="1054FD8C" w14:textId="2406BBDB" w:rsidR="00A042C6" w:rsidRDefault="00A042C6" w:rsidP="00A042C6">
      <w:pPr>
        <w:rPr>
          <w:rFonts w:ascii="Arial" w:hAnsi="Arial" w:cs="Arial"/>
        </w:rPr>
      </w:pPr>
      <w:r w:rsidRPr="00F05216">
        <w:rPr>
          <w:rFonts w:ascii="Arial" w:hAnsi="Arial" w:cs="Arial"/>
        </w:rPr>
        <w:t>The source of the stem cells may be allogeneic unrelated, allogeneic related, or autologous</w:t>
      </w:r>
      <w:r w:rsidR="00F91ED8">
        <w:rPr>
          <w:rFonts w:ascii="Arial" w:hAnsi="Arial" w:cs="Arial"/>
        </w:rPr>
        <w:t xml:space="preserve">.  </w:t>
      </w:r>
      <w:r>
        <w:rPr>
          <w:rFonts w:ascii="Arial" w:hAnsi="Arial" w:cs="Arial"/>
        </w:rPr>
        <w:t xml:space="preserve">For more information on how to distinguish infusion types (example: HCT versus DCI), see </w:t>
      </w:r>
      <w:hyperlink r:id="rId15" w:history="1">
        <w:r w:rsidRPr="0049234C">
          <w:rPr>
            <w:rStyle w:val="Hyperlink"/>
            <w:rFonts w:ascii="Arial" w:hAnsi="Arial" w:cs="Arial"/>
          </w:rPr>
          <w:t>Appendix O</w:t>
        </w:r>
      </w:hyperlink>
      <w:r>
        <w:rPr>
          <w:rFonts w:ascii="Arial" w:hAnsi="Arial" w:cs="Arial"/>
        </w:rPr>
        <w:t>.</w:t>
      </w:r>
    </w:p>
    <w:p w14:paraId="4DF8C617" w14:textId="77777777" w:rsidR="00A042C6" w:rsidRPr="00961B50" w:rsidRDefault="00A042C6" w:rsidP="00A042C6">
      <w:pPr>
        <w:pStyle w:val="CommentText"/>
        <w:rPr>
          <w:rFonts w:ascii="Arial" w:hAnsi="Arial" w:cs="Arial"/>
          <w:sz w:val="24"/>
          <w:szCs w:val="24"/>
        </w:rPr>
      </w:pPr>
    </w:p>
    <w:p w14:paraId="39D58297" w14:textId="3BA82967" w:rsidR="007F6268" w:rsidRPr="00961B50" w:rsidRDefault="007F6268" w:rsidP="006C4C4D">
      <w:pPr>
        <w:pStyle w:val="CommentText"/>
        <w:rPr>
          <w:rFonts w:ascii="Arial" w:hAnsi="Arial" w:cs="Arial"/>
          <w:b/>
          <w:sz w:val="24"/>
          <w:szCs w:val="24"/>
        </w:rPr>
      </w:pPr>
      <w:r w:rsidRPr="00961B50">
        <w:rPr>
          <w:rFonts w:ascii="Arial" w:hAnsi="Arial" w:cs="Arial"/>
          <w:b/>
          <w:sz w:val="24"/>
          <w:szCs w:val="24"/>
        </w:rPr>
        <w:t>Que</w:t>
      </w:r>
      <w:r w:rsidR="00A27C4C">
        <w:rPr>
          <w:rFonts w:ascii="Arial" w:hAnsi="Arial" w:cs="Arial"/>
          <w:b/>
          <w:sz w:val="24"/>
          <w:szCs w:val="24"/>
        </w:rPr>
        <w:t xml:space="preserve">stion 8: </w:t>
      </w:r>
      <w:r w:rsidR="00632864">
        <w:rPr>
          <w:rFonts w:ascii="Arial" w:hAnsi="Arial" w:cs="Arial"/>
          <w:b/>
          <w:sz w:val="24"/>
          <w:szCs w:val="24"/>
        </w:rPr>
        <w:t xml:space="preserve"> </w:t>
      </w:r>
      <w:r w:rsidR="00A27C4C">
        <w:rPr>
          <w:rFonts w:ascii="Arial" w:hAnsi="Arial" w:cs="Arial"/>
          <w:b/>
          <w:sz w:val="24"/>
          <w:szCs w:val="24"/>
        </w:rPr>
        <w:t>Date of subsequent HCT</w:t>
      </w:r>
    </w:p>
    <w:p w14:paraId="4EFFAFD3" w14:textId="4CB72B80" w:rsidR="007F6268" w:rsidRDefault="00A042C6" w:rsidP="006C4C4D">
      <w:pPr>
        <w:pStyle w:val="CommentText"/>
        <w:rPr>
          <w:rFonts w:ascii="Arial" w:hAnsi="Arial" w:cs="Arial"/>
          <w:sz w:val="24"/>
          <w:szCs w:val="24"/>
        </w:rPr>
      </w:pPr>
      <w:r>
        <w:rPr>
          <w:rFonts w:ascii="Arial" w:hAnsi="Arial" w:cs="Arial"/>
          <w:sz w:val="24"/>
          <w:szCs w:val="24"/>
        </w:rPr>
        <w:t>Report the planned or actual date of the subsequent HCT infusion</w:t>
      </w:r>
      <w:r w:rsidR="00F91ED8">
        <w:rPr>
          <w:rFonts w:ascii="Arial" w:hAnsi="Arial" w:cs="Arial"/>
          <w:sz w:val="24"/>
          <w:szCs w:val="24"/>
        </w:rPr>
        <w:t xml:space="preserve">.  </w:t>
      </w:r>
      <w:r>
        <w:rPr>
          <w:rFonts w:ascii="Arial" w:hAnsi="Arial" w:cs="Arial"/>
          <w:sz w:val="24"/>
          <w:szCs w:val="24"/>
        </w:rPr>
        <w:t xml:space="preserve">If the planned date </w:t>
      </w:r>
      <w:proofErr w:type="gramStart"/>
      <w:r>
        <w:rPr>
          <w:rFonts w:ascii="Arial" w:hAnsi="Arial" w:cs="Arial"/>
          <w:sz w:val="24"/>
          <w:szCs w:val="24"/>
        </w:rPr>
        <w:t>is reported</w:t>
      </w:r>
      <w:proofErr w:type="gramEnd"/>
      <w:r>
        <w:rPr>
          <w:rFonts w:ascii="Arial" w:hAnsi="Arial" w:cs="Arial"/>
          <w:sz w:val="24"/>
          <w:szCs w:val="24"/>
        </w:rPr>
        <w:t xml:space="preserve"> and changes, this field will need to be updated to reflect the actual date of subsequent HCT infusion</w:t>
      </w:r>
      <w:r w:rsidR="00F91ED8">
        <w:rPr>
          <w:rFonts w:ascii="Arial" w:hAnsi="Arial" w:cs="Arial"/>
          <w:sz w:val="24"/>
          <w:szCs w:val="24"/>
        </w:rPr>
        <w:t xml:space="preserve">.  </w:t>
      </w:r>
      <w:r>
        <w:rPr>
          <w:rFonts w:ascii="Arial" w:hAnsi="Arial" w:cs="Arial"/>
          <w:sz w:val="24"/>
          <w:szCs w:val="24"/>
        </w:rPr>
        <w:t>If multiple days of infusion are planned, report the first.</w:t>
      </w:r>
    </w:p>
    <w:p w14:paraId="07B35FCB" w14:textId="77777777" w:rsidR="00A042C6" w:rsidRPr="00A042C6" w:rsidRDefault="00A042C6" w:rsidP="006C4C4D">
      <w:pPr>
        <w:pStyle w:val="CommentText"/>
        <w:rPr>
          <w:rFonts w:ascii="Arial" w:hAnsi="Arial" w:cs="Arial"/>
          <w:sz w:val="24"/>
          <w:szCs w:val="24"/>
        </w:rPr>
      </w:pPr>
    </w:p>
    <w:p w14:paraId="42090ABE" w14:textId="3D491A7A" w:rsidR="007F6268" w:rsidRPr="00961B50" w:rsidRDefault="007F6268" w:rsidP="006C4C4D">
      <w:pPr>
        <w:pStyle w:val="CommentText"/>
        <w:rPr>
          <w:rFonts w:ascii="Arial" w:hAnsi="Arial" w:cs="Arial"/>
          <w:b/>
          <w:sz w:val="24"/>
          <w:szCs w:val="24"/>
        </w:rPr>
      </w:pPr>
      <w:r w:rsidRPr="00961B50">
        <w:rPr>
          <w:rFonts w:ascii="Arial" w:hAnsi="Arial" w:cs="Arial"/>
          <w:b/>
          <w:sz w:val="24"/>
          <w:szCs w:val="24"/>
        </w:rPr>
        <w:t>Question 9:</w:t>
      </w:r>
      <w:r w:rsidR="00632864">
        <w:rPr>
          <w:rFonts w:ascii="Arial" w:hAnsi="Arial" w:cs="Arial"/>
          <w:b/>
          <w:sz w:val="24"/>
          <w:szCs w:val="24"/>
        </w:rPr>
        <w:t xml:space="preserve"> </w:t>
      </w:r>
      <w:r w:rsidRPr="00961B50">
        <w:rPr>
          <w:rFonts w:ascii="Arial" w:hAnsi="Arial" w:cs="Arial"/>
          <w:b/>
          <w:sz w:val="24"/>
          <w:szCs w:val="24"/>
        </w:rPr>
        <w:t xml:space="preserve"> What was the indication for subsequent HCT?</w:t>
      </w:r>
    </w:p>
    <w:p w14:paraId="649233A4" w14:textId="1B2C8B60" w:rsidR="00A042C6" w:rsidRDefault="00A042C6" w:rsidP="00A042C6">
      <w:pPr>
        <w:rPr>
          <w:rFonts w:ascii="Arial" w:hAnsi="Arial" w:cs="Arial"/>
        </w:rPr>
      </w:pPr>
      <w:r w:rsidRPr="00B86B69">
        <w:rPr>
          <w:rFonts w:ascii="Arial" w:hAnsi="Arial" w:cs="Arial"/>
        </w:rPr>
        <w:t xml:space="preserve">Indicate the reason for the </w:t>
      </w:r>
      <w:r>
        <w:rPr>
          <w:rFonts w:ascii="Arial" w:hAnsi="Arial" w:cs="Arial"/>
        </w:rPr>
        <w:t>subsequent</w:t>
      </w:r>
      <w:r w:rsidRPr="00B86B69">
        <w:rPr>
          <w:rFonts w:ascii="Arial" w:hAnsi="Arial" w:cs="Arial"/>
        </w:rPr>
        <w:t xml:space="preserve"> HCT</w:t>
      </w:r>
      <w:r>
        <w:rPr>
          <w:rFonts w:ascii="Arial" w:hAnsi="Arial" w:cs="Arial"/>
        </w:rPr>
        <w:t xml:space="preserve"> (check only one)</w:t>
      </w:r>
      <w:r w:rsidRPr="00B86B69">
        <w:rPr>
          <w:rFonts w:ascii="Arial" w:hAnsi="Arial" w:cs="Arial"/>
        </w:rPr>
        <w:t>.</w:t>
      </w:r>
      <w:r>
        <w:rPr>
          <w:rFonts w:ascii="Arial" w:hAnsi="Arial" w:cs="Arial"/>
        </w:rPr>
        <w:t xml:space="preserve"> </w:t>
      </w:r>
    </w:p>
    <w:p w14:paraId="7C238FC4" w14:textId="5DB11576" w:rsidR="00A042C6" w:rsidRDefault="00A042C6" w:rsidP="00A042C6">
      <w:pPr>
        <w:numPr>
          <w:ilvl w:val="0"/>
          <w:numId w:val="19"/>
        </w:numPr>
        <w:spacing w:before="120"/>
        <w:rPr>
          <w:rFonts w:ascii="Arial" w:hAnsi="Arial" w:cs="Arial"/>
        </w:rPr>
      </w:pPr>
      <w:r w:rsidRPr="001B41CC">
        <w:rPr>
          <w:rFonts w:ascii="Arial" w:hAnsi="Arial" w:cs="Arial"/>
          <w:b/>
        </w:rPr>
        <w:t xml:space="preserve">Graft failure / </w:t>
      </w:r>
      <w:r>
        <w:rPr>
          <w:rFonts w:ascii="Arial" w:hAnsi="Arial" w:cs="Arial"/>
          <w:b/>
        </w:rPr>
        <w:t>insufficient hematopoietic recovery</w:t>
      </w:r>
      <w:r w:rsidR="00F91ED8">
        <w:rPr>
          <w:rFonts w:ascii="Arial" w:hAnsi="Arial" w:cs="Arial"/>
          <w:b/>
        </w:rPr>
        <w:t xml:space="preserve">.  </w:t>
      </w:r>
      <w:r w:rsidRPr="001B41CC">
        <w:rPr>
          <w:rFonts w:ascii="Arial" w:hAnsi="Arial" w:cs="Arial"/>
        </w:rPr>
        <w:t xml:space="preserve">Additional stem cells are required because the hematopoietic recovery indefinitely declined after the initial hematopoietic recovery </w:t>
      </w:r>
      <w:r>
        <w:rPr>
          <w:rFonts w:ascii="Arial" w:hAnsi="Arial" w:cs="Arial"/>
        </w:rPr>
        <w:t xml:space="preserve">or hematopoietic recovery </w:t>
      </w:r>
      <w:proofErr w:type="gramStart"/>
      <w:r>
        <w:rPr>
          <w:rFonts w:ascii="Arial" w:hAnsi="Arial" w:cs="Arial"/>
        </w:rPr>
        <w:t>was deemed</w:t>
      </w:r>
      <w:proofErr w:type="gramEnd"/>
      <w:r>
        <w:rPr>
          <w:rFonts w:ascii="Arial" w:hAnsi="Arial" w:cs="Arial"/>
        </w:rPr>
        <w:t xml:space="preserve"> insufficient or too slow for survival following previous high-dose therapy and HCT</w:t>
      </w:r>
      <w:r w:rsidR="00F91ED8">
        <w:rPr>
          <w:rFonts w:ascii="Arial" w:hAnsi="Arial" w:cs="Arial"/>
        </w:rPr>
        <w:t xml:space="preserve">.  </w:t>
      </w:r>
      <w:r>
        <w:rPr>
          <w:rFonts w:ascii="Arial" w:hAnsi="Arial" w:cs="Arial"/>
        </w:rPr>
        <w:t xml:space="preserve">If autologous cells are infused for this reason, this is considered autologous </w:t>
      </w:r>
      <w:r w:rsidR="00CD51DA">
        <w:rPr>
          <w:rFonts w:ascii="Arial" w:hAnsi="Arial" w:cs="Arial"/>
        </w:rPr>
        <w:t xml:space="preserve">rescue; in this case, </w:t>
      </w:r>
      <w:r>
        <w:rPr>
          <w:rFonts w:ascii="Arial" w:hAnsi="Arial" w:cs="Arial"/>
        </w:rPr>
        <w:t>reporting will continue under the prior HCT date and a new Pre-TED form is not required.</w:t>
      </w:r>
    </w:p>
    <w:p w14:paraId="7B4F3F12" w14:textId="74811BDB" w:rsidR="00A042C6" w:rsidRDefault="00A042C6" w:rsidP="00A042C6">
      <w:pPr>
        <w:numPr>
          <w:ilvl w:val="0"/>
          <w:numId w:val="19"/>
        </w:numPr>
        <w:spacing w:before="120"/>
        <w:rPr>
          <w:rFonts w:ascii="Arial" w:hAnsi="Arial" w:cs="Arial"/>
        </w:rPr>
      </w:pPr>
      <w:proofErr w:type="gramStart"/>
      <w:r w:rsidRPr="001B41CC">
        <w:rPr>
          <w:rFonts w:ascii="Arial" w:hAnsi="Arial" w:cs="Arial"/>
          <w:b/>
        </w:rPr>
        <w:t>Persistent primary disease</w:t>
      </w:r>
      <w:r w:rsidR="00F91ED8">
        <w:rPr>
          <w:rFonts w:ascii="Arial" w:hAnsi="Arial" w:cs="Arial"/>
          <w:b/>
        </w:rPr>
        <w:t>.</w:t>
      </w:r>
      <w:proofErr w:type="gramEnd"/>
      <w:r w:rsidR="00F91ED8">
        <w:rPr>
          <w:rFonts w:ascii="Arial" w:hAnsi="Arial" w:cs="Arial"/>
          <w:b/>
        </w:rPr>
        <w:t xml:space="preserve">  </w:t>
      </w:r>
      <w:r w:rsidRPr="001B41CC">
        <w:rPr>
          <w:rFonts w:ascii="Arial" w:hAnsi="Arial" w:cs="Arial"/>
        </w:rPr>
        <w:t xml:space="preserve">Additional stem cells are required because of the persistent presence of disease pre and </w:t>
      </w:r>
      <w:r w:rsidR="00C26BF3" w:rsidRPr="001B41CC">
        <w:rPr>
          <w:rFonts w:ascii="Arial" w:hAnsi="Arial" w:cs="Arial"/>
        </w:rPr>
        <w:t>post-transplant</w:t>
      </w:r>
      <w:r w:rsidRPr="001B41CC">
        <w:rPr>
          <w:rFonts w:ascii="Arial" w:hAnsi="Arial" w:cs="Arial"/>
        </w:rPr>
        <w:t xml:space="preserve"> (i.e., complete remission was never achieved following the previous transplant).</w:t>
      </w:r>
    </w:p>
    <w:p w14:paraId="2A3392E5" w14:textId="34424BB2" w:rsidR="00A042C6" w:rsidRDefault="00A042C6" w:rsidP="00A042C6">
      <w:pPr>
        <w:numPr>
          <w:ilvl w:val="0"/>
          <w:numId w:val="19"/>
        </w:numPr>
        <w:spacing w:before="120"/>
        <w:rPr>
          <w:rFonts w:ascii="Arial" w:hAnsi="Arial" w:cs="Arial"/>
        </w:rPr>
      </w:pPr>
      <w:proofErr w:type="gramStart"/>
      <w:r w:rsidRPr="001B41CC">
        <w:rPr>
          <w:rFonts w:ascii="Arial" w:hAnsi="Arial" w:cs="Arial"/>
          <w:b/>
        </w:rPr>
        <w:t>Recurrent primary disease</w:t>
      </w:r>
      <w:r w:rsidR="00F91ED8">
        <w:rPr>
          <w:rFonts w:ascii="Arial" w:hAnsi="Arial" w:cs="Arial"/>
          <w:b/>
        </w:rPr>
        <w:t>.</w:t>
      </w:r>
      <w:proofErr w:type="gramEnd"/>
      <w:r w:rsidR="00F91ED8">
        <w:rPr>
          <w:rFonts w:ascii="Arial" w:hAnsi="Arial" w:cs="Arial"/>
          <w:b/>
        </w:rPr>
        <w:t xml:space="preserve">  </w:t>
      </w:r>
      <w:r w:rsidRPr="001B41CC">
        <w:rPr>
          <w:rFonts w:ascii="Arial" w:hAnsi="Arial" w:cs="Arial"/>
        </w:rPr>
        <w:t xml:space="preserve">Additional stem cells are required because of relapsed primary disease (i.e., complete remission was achieved pre or </w:t>
      </w:r>
      <w:r w:rsidR="00C26BF3" w:rsidRPr="001B41CC">
        <w:rPr>
          <w:rFonts w:ascii="Arial" w:hAnsi="Arial" w:cs="Arial"/>
        </w:rPr>
        <w:t>post-transplant</w:t>
      </w:r>
      <w:r>
        <w:rPr>
          <w:rFonts w:ascii="Arial" w:hAnsi="Arial" w:cs="Arial"/>
        </w:rPr>
        <w:t>,</w:t>
      </w:r>
      <w:r w:rsidRPr="001B41CC">
        <w:rPr>
          <w:rFonts w:ascii="Arial" w:hAnsi="Arial" w:cs="Arial"/>
        </w:rPr>
        <w:t xml:space="preserve"> but the disease relapsed following the previous transplant).</w:t>
      </w:r>
    </w:p>
    <w:p w14:paraId="179730B0" w14:textId="3048CCB9" w:rsidR="00A042C6" w:rsidRDefault="00A042C6" w:rsidP="00A042C6">
      <w:pPr>
        <w:numPr>
          <w:ilvl w:val="0"/>
          <w:numId w:val="19"/>
        </w:numPr>
        <w:spacing w:before="120"/>
        <w:rPr>
          <w:rFonts w:ascii="Arial" w:hAnsi="Arial" w:cs="Arial"/>
        </w:rPr>
      </w:pPr>
      <w:proofErr w:type="gramStart"/>
      <w:r w:rsidRPr="001B41CC">
        <w:rPr>
          <w:rFonts w:ascii="Arial" w:hAnsi="Arial" w:cs="Arial"/>
          <w:b/>
        </w:rPr>
        <w:t>Planned second HSCT, per protocol</w:t>
      </w:r>
      <w:r w:rsidR="00F91ED8">
        <w:rPr>
          <w:rFonts w:ascii="Arial" w:hAnsi="Arial" w:cs="Arial"/>
          <w:b/>
        </w:rPr>
        <w:t>.</w:t>
      </w:r>
      <w:proofErr w:type="gramEnd"/>
      <w:r w:rsidR="00F91ED8">
        <w:rPr>
          <w:rFonts w:ascii="Arial" w:hAnsi="Arial" w:cs="Arial"/>
          <w:b/>
        </w:rPr>
        <w:t xml:space="preserve">  </w:t>
      </w:r>
      <w:r w:rsidRPr="001B41CC">
        <w:rPr>
          <w:rFonts w:ascii="Arial" w:hAnsi="Arial" w:cs="Arial"/>
        </w:rPr>
        <w:t xml:space="preserve">Additional stem cells </w:t>
      </w:r>
      <w:proofErr w:type="gramStart"/>
      <w:r w:rsidRPr="001B41CC">
        <w:rPr>
          <w:rFonts w:ascii="Arial" w:hAnsi="Arial" w:cs="Arial"/>
        </w:rPr>
        <w:t>are given</w:t>
      </w:r>
      <w:proofErr w:type="gramEnd"/>
      <w:r w:rsidRPr="001B41CC">
        <w:rPr>
          <w:rFonts w:ascii="Arial" w:hAnsi="Arial" w:cs="Arial"/>
        </w:rPr>
        <w:t xml:space="preserve"> as defined by the protocol for a subsequent transplant/infusion</w:t>
      </w:r>
      <w:r w:rsidR="00F91ED8">
        <w:rPr>
          <w:rFonts w:ascii="Arial" w:hAnsi="Arial" w:cs="Arial"/>
        </w:rPr>
        <w:t xml:space="preserve">.  </w:t>
      </w:r>
      <w:r w:rsidRPr="001B41CC">
        <w:rPr>
          <w:rFonts w:ascii="Arial" w:hAnsi="Arial" w:cs="Arial"/>
        </w:rPr>
        <w:t>This transplant is not based upon recovery, disease status, or any other assessment.</w:t>
      </w:r>
    </w:p>
    <w:p w14:paraId="1E338D15" w14:textId="4B364AE4" w:rsidR="00A042C6" w:rsidRDefault="00A042C6" w:rsidP="00A042C6">
      <w:pPr>
        <w:numPr>
          <w:ilvl w:val="0"/>
          <w:numId w:val="19"/>
        </w:numPr>
        <w:spacing w:before="120"/>
        <w:rPr>
          <w:rFonts w:ascii="Arial" w:hAnsi="Arial" w:cs="Arial"/>
        </w:rPr>
      </w:pPr>
      <w:proofErr w:type="gramStart"/>
      <w:r w:rsidRPr="001B41CC">
        <w:rPr>
          <w:rFonts w:ascii="Arial" w:hAnsi="Arial" w:cs="Arial"/>
          <w:b/>
        </w:rPr>
        <w:t>New malignancy</w:t>
      </w:r>
      <w:r w:rsidRPr="001B41CC">
        <w:rPr>
          <w:rFonts w:ascii="Arial" w:hAnsi="Arial" w:cs="Arial"/>
        </w:rPr>
        <w:t xml:space="preserve"> </w:t>
      </w:r>
      <w:r w:rsidRPr="001B41CC">
        <w:rPr>
          <w:rFonts w:ascii="Arial" w:hAnsi="Arial" w:cs="Arial"/>
          <w:b/>
        </w:rPr>
        <w:t>(including PTLD and EBV lymphoma)</w:t>
      </w:r>
      <w:r w:rsidR="00F91ED8">
        <w:rPr>
          <w:rFonts w:ascii="Arial" w:hAnsi="Arial" w:cs="Arial"/>
          <w:b/>
        </w:rPr>
        <w:t>.</w:t>
      </w:r>
      <w:proofErr w:type="gramEnd"/>
      <w:r w:rsidR="00F91ED8">
        <w:rPr>
          <w:rFonts w:ascii="Arial" w:hAnsi="Arial" w:cs="Arial"/>
          <w:b/>
        </w:rPr>
        <w:t xml:space="preserve">  </w:t>
      </w:r>
      <w:r w:rsidRPr="001B41CC">
        <w:rPr>
          <w:rFonts w:ascii="Arial" w:hAnsi="Arial" w:cs="Arial"/>
        </w:rPr>
        <w:t xml:space="preserve">Additional stem cells are required because the recipient has developed a new malignancy. This does not include a transformation or progression of the original malignancy for which the recipient was transplanted (refer to question </w:t>
      </w:r>
      <w:r>
        <w:rPr>
          <w:rFonts w:ascii="Arial" w:hAnsi="Arial" w:cs="Arial"/>
        </w:rPr>
        <w:t>407</w:t>
      </w:r>
      <w:r w:rsidRPr="001B41CC">
        <w:rPr>
          <w:rFonts w:ascii="Arial" w:hAnsi="Arial" w:cs="Arial"/>
        </w:rPr>
        <w:t xml:space="preserve"> for more information)</w:t>
      </w:r>
      <w:r w:rsidR="00F91ED8">
        <w:rPr>
          <w:rFonts w:ascii="Arial" w:hAnsi="Arial" w:cs="Arial"/>
        </w:rPr>
        <w:t xml:space="preserve">.  </w:t>
      </w:r>
      <w:r w:rsidRPr="001B41CC">
        <w:rPr>
          <w:rFonts w:ascii="Arial" w:hAnsi="Arial" w:cs="Arial"/>
        </w:rPr>
        <w:t>If “new malignancy” is selected, also complete questions</w:t>
      </w:r>
      <w:r w:rsidR="00C26BF3">
        <w:rPr>
          <w:rFonts w:ascii="Arial" w:hAnsi="Arial" w:cs="Arial"/>
        </w:rPr>
        <w:t xml:space="preserve"> </w:t>
      </w:r>
      <w:r>
        <w:rPr>
          <w:rFonts w:ascii="Arial" w:hAnsi="Arial" w:cs="Arial"/>
        </w:rPr>
        <w:t>407-449.</w:t>
      </w:r>
    </w:p>
    <w:p w14:paraId="43DD58FF" w14:textId="26F29E6F" w:rsidR="00A042C6" w:rsidRPr="00CD51DA" w:rsidRDefault="00CD51DA" w:rsidP="00EA0151">
      <w:pPr>
        <w:numPr>
          <w:ilvl w:val="0"/>
          <w:numId w:val="19"/>
        </w:numPr>
        <w:spacing w:before="120"/>
        <w:rPr>
          <w:rFonts w:ascii="Arial" w:hAnsi="Arial" w:cs="Arial"/>
        </w:rPr>
      </w:pPr>
      <w:proofErr w:type="gramStart"/>
      <w:r w:rsidRPr="00CD51DA">
        <w:rPr>
          <w:rFonts w:ascii="Arial" w:hAnsi="Arial" w:cs="Arial"/>
          <w:b/>
        </w:rPr>
        <w:lastRenderedPageBreak/>
        <w:t>Insufficient</w:t>
      </w:r>
      <w:r w:rsidR="00A042C6" w:rsidRPr="00CD51DA">
        <w:rPr>
          <w:rFonts w:ascii="Arial" w:hAnsi="Arial" w:cs="Arial"/>
          <w:b/>
        </w:rPr>
        <w:t xml:space="preserve"> </w:t>
      </w:r>
      <w:proofErr w:type="spellStart"/>
      <w:r w:rsidR="00A042C6" w:rsidRPr="00CD51DA">
        <w:rPr>
          <w:rFonts w:ascii="Arial" w:hAnsi="Arial" w:cs="Arial"/>
          <w:b/>
        </w:rPr>
        <w:t>chimerism</w:t>
      </w:r>
      <w:proofErr w:type="spellEnd"/>
      <w:r w:rsidR="00F91ED8">
        <w:rPr>
          <w:rFonts w:ascii="Arial" w:hAnsi="Arial" w:cs="Arial"/>
          <w:b/>
        </w:rPr>
        <w:t>.</w:t>
      </w:r>
      <w:proofErr w:type="gramEnd"/>
      <w:r w:rsidR="00F91ED8">
        <w:rPr>
          <w:rFonts w:ascii="Arial" w:hAnsi="Arial" w:cs="Arial"/>
          <w:b/>
        </w:rPr>
        <w:t xml:space="preserve">  </w:t>
      </w:r>
      <w:r w:rsidR="00A042C6" w:rsidRPr="00CD51DA">
        <w:rPr>
          <w:rFonts w:ascii="Arial" w:hAnsi="Arial" w:cs="Arial"/>
        </w:rPr>
        <w:t xml:space="preserve">In the case of a stable, mixed donor chimerism, the infusion of additional cells (usually lymphocytes and not mobilized stem cells) </w:t>
      </w:r>
      <w:proofErr w:type="gramStart"/>
      <w:r w:rsidR="00A042C6" w:rsidRPr="00CD51DA">
        <w:rPr>
          <w:rFonts w:ascii="Arial" w:hAnsi="Arial" w:cs="Arial"/>
        </w:rPr>
        <w:t>is typically classified</w:t>
      </w:r>
      <w:proofErr w:type="gramEnd"/>
      <w:r w:rsidR="00A042C6" w:rsidRPr="00CD51DA">
        <w:rPr>
          <w:rFonts w:ascii="Arial" w:hAnsi="Arial" w:cs="Arial"/>
        </w:rPr>
        <w:t xml:space="preserve"> as a DCI</w:t>
      </w:r>
      <w:r w:rsidR="00F91ED8">
        <w:rPr>
          <w:rFonts w:ascii="Arial" w:hAnsi="Arial" w:cs="Arial"/>
        </w:rPr>
        <w:t xml:space="preserve">.  </w:t>
      </w:r>
      <w:r w:rsidR="00A042C6" w:rsidRPr="00CD51DA">
        <w:rPr>
          <w:rFonts w:ascii="Arial" w:hAnsi="Arial" w:cs="Arial"/>
        </w:rPr>
        <w:t xml:space="preserve">Verify with the transplant physician that the cells given </w:t>
      </w:r>
      <w:proofErr w:type="gramStart"/>
      <w:r w:rsidR="00A042C6" w:rsidRPr="00CD51DA">
        <w:rPr>
          <w:rFonts w:ascii="Arial" w:hAnsi="Arial" w:cs="Arial"/>
        </w:rPr>
        <w:t>should be reported</w:t>
      </w:r>
      <w:proofErr w:type="gramEnd"/>
      <w:r w:rsidR="00A042C6" w:rsidRPr="00CD51DA">
        <w:rPr>
          <w:rFonts w:ascii="Arial" w:hAnsi="Arial" w:cs="Arial"/>
        </w:rPr>
        <w:t xml:space="preserve"> as a subsequent transplant and that stable, mixed chimerism is the reason for the transplant</w:t>
      </w:r>
      <w:r w:rsidR="00F91ED8">
        <w:rPr>
          <w:rFonts w:ascii="Arial" w:hAnsi="Arial" w:cs="Arial"/>
        </w:rPr>
        <w:t xml:space="preserve">.  </w:t>
      </w:r>
      <w:r>
        <w:rPr>
          <w:rFonts w:ascii="Arial" w:hAnsi="Arial" w:cs="Arial"/>
        </w:rPr>
        <w:t>However, in</w:t>
      </w:r>
      <w:r w:rsidR="00A042C6" w:rsidRPr="00CD51DA">
        <w:rPr>
          <w:rFonts w:ascii="Arial" w:hAnsi="Arial" w:cs="Arial"/>
        </w:rPr>
        <w:t xml:space="preserve"> the case of declining chimerism - when the percentage of donor cells is sequentially decreasing on several studies, indicating possible impending graft failure - additional stem cells are required</w:t>
      </w:r>
      <w:r w:rsidR="00F91ED8">
        <w:rPr>
          <w:rFonts w:ascii="Arial" w:hAnsi="Arial" w:cs="Arial"/>
        </w:rPr>
        <w:t xml:space="preserve">.  </w:t>
      </w:r>
      <w:r w:rsidR="00A042C6" w:rsidRPr="00CD51DA">
        <w:rPr>
          <w:rFonts w:ascii="Arial" w:hAnsi="Arial" w:cs="Arial"/>
        </w:rPr>
        <w:t xml:space="preserve">Usually the donor </w:t>
      </w:r>
      <w:proofErr w:type="spellStart"/>
      <w:r w:rsidR="00A042C6" w:rsidRPr="00CD51DA">
        <w:rPr>
          <w:rFonts w:ascii="Arial" w:hAnsi="Arial" w:cs="Arial"/>
        </w:rPr>
        <w:t>chimerism</w:t>
      </w:r>
      <w:proofErr w:type="spellEnd"/>
      <w:r w:rsidR="00A042C6" w:rsidRPr="00CD51DA">
        <w:rPr>
          <w:rFonts w:ascii="Arial" w:hAnsi="Arial" w:cs="Arial"/>
        </w:rPr>
        <w:t xml:space="preserve"> has fallen below 30-50%.</w:t>
      </w:r>
    </w:p>
    <w:p w14:paraId="1DAC06D4" w14:textId="65A96CBA" w:rsidR="00A042C6" w:rsidRDefault="00A042C6" w:rsidP="00A042C6">
      <w:pPr>
        <w:numPr>
          <w:ilvl w:val="0"/>
          <w:numId w:val="19"/>
        </w:numPr>
        <w:spacing w:before="120"/>
        <w:rPr>
          <w:rFonts w:ascii="Arial" w:hAnsi="Arial" w:cs="Arial"/>
        </w:rPr>
      </w:pPr>
      <w:proofErr w:type="gramStart"/>
      <w:r w:rsidRPr="001B41CC">
        <w:rPr>
          <w:rFonts w:ascii="Arial" w:hAnsi="Arial" w:cs="Arial"/>
          <w:b/>
        </w:rPr>
        <w:t>Other</w:t>
      </w:r>
      <w:r w:rsidR="00F91ED8">
        <w:rPr>
          <w:rFonts w:ascii="Arial" w:hAnsi="Arial" w:cs="Arial"/>
          <w:b/>
        </w:rPr>
        <w:t>.</w:t>
      </w:r>
      <w:proofErr w:type="gramEnd"/>
      <w:r w:rsidR="00F91ED8">
        <w:rPr>
          <w:rFonts w:ascii="Arial" w:hAnsi="Arial" w:cs="Arial"/>
          <w:b/>
        </w:rPr>
        <w:t xml:space="preserve">  </w:t>
      </w:r>
      <w:r w:rsidRPr="001B41CC">
        <w:rPr>
          <w:rFonts w:ascii="Arial" w:hAnsi="Arial" w:cs="Arial"/>
        </w:rPr>
        <w:t xml:space="preserve">If additional stem cells are given for a reason other than the options listed, select “other” and complete question </w:t>
      </w:r>
      <w:r>
        <w:rPr>
          <w:rFonts w:ascii="Arial" w:hAnsi="Arial" w:cs="Arial"/>
        </w:rPr>
        <w:t>10.</w:t>
      </w:r>
    </w:p>
    <w:p w14:paraId="6FEDF3BC" w14:textId="77777777" w:rsidR="007F6268" w:rsidRPr="00961B50" w:rsidRDefault="007F6268" w:rsidP="006C4C4D">
      <w:pPr>
        <w:pStyle w:val="CommentText"/>
        <w:rPr>
          <w:rFonts w:ascii="Arial" w:hAnsi="Arial" w:cs="Arial"/>
          <w:b/>
          <w:sz w:val="24"/>
          <w:szCs w:val="24"/>
        </w:rPr>
      </w:pPr>
    </w:p>
    <w:p w14:paraId="16AC75E6" w14:textId="5FCA8C9C" w:rsidR="007F6268" w:rsidRPr="00961B50" w:rsidRDefault="007F6268" w:rsidP="006C4C4D">
      <w:pPr>
        <w:pStyle w:val="CommentText"/>
        <w:rPr>
          <w:rFonts w:ascii="Arial" w:hAnsi="Arial" w:cs="Arial"/>
          <w:b/>
          <w:sz w:val="24"/>
          <w:szCs w:val="24"/>
        </w:rPr>
      </w:pPr>
      <w:r w:rsidRPr="00961B50">
        <w:rPr>
          <w:rFonts w:ascii="Arial" w:hAnsi="Arial" w:cs="Arial"/>
          <w:b/>
          <w:sz w:val="24"/>
          <w:szCs w:val="24"/>
        </w:rPr>
        <w:t xml:space="preserve">Question 10: </w:t>
      </w:r>
      <w:r w:rsidR="005A3F32">
        <w:rPr>
          <w:rFonts w:ascii="Arial" w:hAnsi="Arial" w:cs="Arial"/>
          <w:b/>
          <w:sz w:val="24"/>
          <w:szCs w:val="24"/>
        </w:rPr>
        <w:t xml:space="preserve"> </w:t>
      </w:r>
      <w:r w:rsidRPr="00961B50">
        <w:rPr>
          <w:rFonts w:ascii="Arial" w:hAnsi="Arial" w:cs="Arial"/>
          <w:b/>
          <w:sz w:val="24"/>
          <w:szCs w:val="24"/>
        </w:rPr>
        <w:t>Specify other indica</w:t>
      </w:r>
      <w:r w:rsidR="00A27C4C">
        <w:rPr>
          <w:rFonts w:ascii="Arial" w:hAnsi="Arial" w:cs="Arial"/>
          <w:b/>
          <w:sz w:val="24"/>
          <w:szCs w:val="24"/>
        </w:rPr>
        <w:t>tion</w:t>
      </w:r>
    </w:p>
    <w:p w14:paraId="7133C31B" w14:textId="04C28D34" w:rsidR="006C4C4D" w:rsidRDefault="00CD51DA" w:rsidP="006C4C4D">
      <w:pPr>
        <w:pStyle w:val="CommentText"/>
        <w:rPr>
          <w:rFonts w:ascii="Arial" w:hAnsi="Arial" w:cs="Arial"/>
          <w:sz w:val="24"/>
          <w:szCs w:val="24"/>
        </w:rPr>
      </w:pPr>
      <w:r>
        <w:rPr>
          <w:rFonts w:ascii="Arial" w:hAnsi="Arial" w:cs="Arial"/>
          <w:sz w:val="24"/>
          <w:szCs w:val="24"/>
        </w:rPr>
        <w:t>Specify the indication for subsequent HCT.</w:t>
      </w:r>
    </w:p>
    <w:p w14:paraId="2F951139" w14:textId="77777777" w:rsidR="00CD51DA" w:rsidRPr="00CD51DA" w:rsidRDefault="00CD51DA" w:rsidP="006C4C4D">
      <w:pPr>
        <w:pStyle w:val="CommentText"/>
        <w:rPr>
          <w:rFonts w:ascii="Arial" w:hAnsi="Arial" w:cs="Arial"/>
          <w:sz w:val="24"/>
          <w:szCs w:val="24"/>
        </w:rPr>
      </w:pPr>
    </w:p>
    <w:p w14:paraId="69D0D8BE" w14:textId="78811B01" w:rsidR="007F6268" w:rsidRPr="00961B50" w:rsidRDefault="00A27C4C" w:rsidP="006C4C4D">
      <w:pPr>
        <w:pStyle w:val="CommentText"/>
        <w:rPr>
          <w:rFonts w:ascii="Arial" w:hAnsi="Arial" w:cs="Arial"/>
          <w:b/>
          <w:sz w:val="24"/>
          <w:szCs w:val="24"/>
        </w:rPr>
      </w:pPr>
      <w:r>
        <w:rPr>
          <w:rFonts w:ascii="Arial" w:hAnsi="Arial" w:cs="Arial"/>
          <w:b/>
          <w:sz w:val="24"/>
          <w:szCs w:val="24"/>
        </w:rPr>
        <w:t xml:space="preserve">Question 11: </w:t>
      </w:r>
      <w:r w:rsidR="005A3F32">
        <w:rPr>
          <w:rFonts w:ascii="Arial" w:hAnsi="Arial" w:cs="Arial"/>
          <w:b/>
          <w:sz w:val="24"/>
          <w:szCs w:val="24"/>
        </w:rPr>
        <w:t xml:space="preserve"> </w:t>
      </w:r>
      <w:r>
        <w:rPr>
          <w:rFonts w:ascii="Arial" w:hAnsi="Arial" w:cs="Arial"/>
          <w:b/>
          <w:sz w:val="24"/>
          <w:szCs w:val="24"/>
        </w:rPr>
        <w:t>Source of HSCs</w:t>
      </w:r>
    </w:p>
    <w:p w14:paraId="0C17EDA2" w14:textId="03022213" w:rsidR="007F6268" w:rsidRDefault="00CD51DA" w:rsidP="00CD51DA">
      <w:pPr>
        <w:rPr>
          <w:rFonts w:ascii="Arial" w:hAnsi="Arial" w:cs="Arial"/>
        </w:rPr>
      </w:pPr>
      <w:r w:rsidRPr="005C0438">
        <w:rPr>
          <w:rFonts w:ascii="Arial" w:hAnsi="Arial" w:cs="Arial"/>
        </w:rPr>
        <w:t xml:space="preserve">Report the stem cell source of the </w:t>
      </w:r>
      <w:proofErr w:type="gramStart"/>
      <w:r w:rsidRPr="005C0438">
        <w:rPr>
          <w:rFonts w:ascii="Arial" w:hAnsi="Arial" w:cs="Arial"/>
        </w:rPr>
        <w:t>recipient’s</w:t>
      </w:r>
      <w:proofErr w:type="gramEnd"/>
      <w:r w:rsidRPr="005C0438">
        <w:rPr>
          <w:rFonts w:ascii="Arial" w:hAnsi="Arial" w:cs="Arial"/>
        </w:rPr>
        <w:t xml:space="preserve"> </w:t>
      </w:r>
      <w:r>
        <w:rPr>
          <w:rFonts w:ascii="Arial" w:hAnsi="Arial" w:cs="Arial"/>
        </w:rPr>
        <w:t>subsequent</w:t>
      </w:r>
      <w:r w:rsidR="00C26BF3">
        <w:rPr>
          <w:rFonts w:ascii="Arial" w:hAnsi="Arial" w:cs="Arial"/>
        </w:rPr>
        <w:t xml:space="preserve"> H</w:t>
      </w:r>
      <w:r w:rsidRPr="005C0438">
        <w:rPr>
          <w:rFonts w:ascii="Arial" w:hAnsi="Arial" w:cs="Arial"/>
        </w:rPr>
        <w:t>CT</w:t>
      </w:r>
      <w:r w:rsidR="00F91ED8">
        <w:rPr>
          <w:rFonts w:ascii="Arial" w:hAnsi="Arial" w:cs="Arial"/>
        </w:rPr>
        <w:t xml:space="preserve">.  </w:t>
      </w:r>
      <w:r>
        <w:rPr>
          <w:rFonts w:ascii="Arial" w:hAnsi="Arial" w:cs="Arial"/>
        </w:rPr>
        <w:t>Allogeneic sources and autologous sources with indication other than “graft failure / insufficient hematopoietic recovery” will require another Pre-TED form to be completed for the subsequent HCT.</w:t>
      </w:r>
    </w:p>
    <w:p w14:paraId="58E0417E" w14:textId="77777777" w:rsidR="00CD51DA" w:rsidRPr="00CD51DA" w:rsidRDefault="00CD51DA" w:rsidP="00CD51DA">
      <w:pPr>
        <w:rPr>
          <w:rFonts w:ascii="Arial" w:hAnsi="Arial" w:cs="Arial"/>
        </w:rPr>
      </w:pPr>
    </w:p>
    <w:p w14:paraId="0D0415F4" w14:textId="0BF5E981" w:rsidR="007F6268" w:rsidRDefault="007F6268" w:rsidP="006C4C4D">
      <w:pPr>
        <w:pStyle w:val="CommentText"/>
        <w:rPr>
          <w:rFonts w:ascii="Arial" w:hAnsi="Arial" w:cs="Arial"/>
          <w:b/>
          <w:sz w:val="24"/>
          <w:szCs w:val="24"/>
        </w:rPr>
      </w:pPr>
      <w:r w:rsidRPr="00961B50">
        <w:rPr>
          <w:rFonts w:ascii="Arial" w:hAnsi="Arial" w:cs="Arial"/>
          <w:b/>
          <w:sz w:val="24"/>
          <w:szCs w:val="24"/>
        </w:rPr>
        <w:t xml:space="preserve">Question 12: </w:t>
      </w:r>
      <w:r w:rsidR="005A3F32">
        <w:rPr>
          <w:rFonts w:ascii="Arial" w:hAnsi="Arial" w:cs="Arial"/>
          <w:b/>
          <w:sz w:val="24"/>
          <w:szCs w:val="24"/>
        </w:rPr>
        <w:t xml:space="preserve"> </w:t>
      </w:r>
      <w:r w:rsidRPr="00961B50">
        <w:rPr>
          <w:rFonts w:ascii="Arial" w:hAnsi="Arial" w:cs="Arial"/>
          <w:b/>
          <w:sz w:val="24"/>
          <w:szCs w:val="24"/>
        </w:rPr>
        <w:t xml:space="preserve">Has the recipient received </w:t>
      </w:r>
      <w:r w:rsidR="006C2818" w:rsidRPr="00961B50">
        <w:rPr>
          <w:rFonts w:ascii="Arial" w:hAnsi="Arial" w:cs="Arial"/>
          <w:b/>
          <w:sz w:val="24"/>
          <w:szCs w:val="24"/>
        </w:rPr>
        <w:t xml:space="preserve">a cellular </w:t>
      </w:r>
      <w:r w:rsidRPr="00961B50">
        <w:rPr>
          <w:rFonts w:ascii="Arial" w:hAnsi="Arial" w:cs="Arial"/>
          <w:b/>
          <w:sz w:val="24"/>
          <w:szCs w:val="24"/>
        </w:rPr>
        <w:t xml:space="preserve">therapy </w:t>
      </w:r>
      <w:r w:rsidR="006C2818" w:rsidRPr="00961B50">
        <w:rPr>
          <w:rFonts w:ascii="Arial" w:hAnsi="Arial" w:cs="Arial"/>
          <w:b/>
          <w:sz w:val="24"/>
          <w:szCs w:val="24"/>
        </w:rPr>
        <w:t>since the date of last report</w:t>
      </w:r>
      <w:proofErr w:type="gramStart"/>
      <w:r w:rsidR="006C2818" w:rsidRPr="00961B50">
        <w:rPr>
          <w:rFonts w:ascii="Arial" w:hAnsi="Arial" w:cs="Arial"/>
          <w:b/>
          <w:sz w:val="24"/>
          <w:szCs w:val="24"/>
        </w:rPr>
        <w:t xml:space="preserve">? </w:t>
      </w:r>
      <w:proofErr w:type="gramEnd"/>
      <w:r w:rsidR="006C2818" w:rsidRPr="00961B50">
        <w:rPr>
          <w:rFonts w:ascii="Arial" w:hAnsi="Arial" w:cs="Arial"/>
          <w:b/>
          <w:sz w:val="24"/>
          <w:szCs w:val="24"/>
        </w:rPr>
        <w:t>(</w:t>
      </w:r>
      <w:proofErr w:type="gramStart"/>
      <w:r w:rsidR="006C2818" w:rsidRPr="00961B50">
        <w:rPr>
          <w:rFonts w:ascii="Arial" w:hAnsi="Arial" w:cs="Arial"/>
          <w:b/>
          <w:sz w:val="24"/>
          <w:szCs w:val="24"/>
        </w:rPr>
        <w:t>e.g</w:t>
      </w:r>
      <w:proofErr w:type="gramEnd"/>
      <w:r w:rsidR="006C2818" w:rsidRPr="00961B50">
        <w:rPr>
          <w:rFonts w:ascii="Arial" w:hAnsi="Arial" w:cs="Arial"/>
          <w:b/>
          <w:sz w:val="24"/>
          <w:szCs w:val="24"/>
        </w:rPr>
        <w:t>. DCI)</w:t>
      </w:r>
    </w:p>
    <w:p w14:paraId="1DD85986" w14:textId="2F20AEF2" w:rsidR="00C122F4" w:rsidRDefault="00C122F4" w:rsidP="006C4C4D">
      <w:pPr>
        <w:pStyle w:val="CommentText"/>
        <w:rPr>
          <w:rFonts w:ascii="Arial" w:hAnsi="Arial" w:cs="Arial"/>
          <w:sz w:val="24"/>
          <w:szCs w:val="24"/>
        </w:rPr>
      </w:pPr>
      <w:r>
        <w:rPr>
          <w:rFonts w:ascii="Arial" w:hAnsi="Arial" w:cs="Arial"/>
          <w:sz w:val="24"/>
          <w:szCs w:val="24"/>
        </w:rPr>
        <w:t>Indicate whether the recipient received a cellular therapy for any reason within the reporting period</w:t>
      </w:r>
      <w:r w:rsidR="00F91ED8">
        <w:rPr>
          <w:rFonts w:ascii="Arial" w:hAnsi="Arial" w:cs="Arial"/>
          <w:sz w:val="24"/>
          <w:szCs w:val="24"/>
        </w:rPr>
        <w:t xml:space="preserve">.  </w:t>
      </w:r>
      <w:r>
        <w:rPr>
          <w:rFonts w:ascii="Arial" w:hAnsi="Arial" w:cs="Arial"/>
          <w:sz w:val="24"/>
          <w:szCs w:val="24"/>
        </w:rPr>
        <w:t>The most common type of post-HCT cellular therapy would be a donor cellular infusion (DCI) or donor lymphocyte infusion (DLI)</w:t>
      </w:r>
      <w:r w:rsidR="00F91ED8">
        <w:rPr>
          <w:rFonts w:ascii="Arial" w:hAnsi="Arial" w:cs="Arial"/>
          <w:sz w:val="24"/>
          <w:szCs w:val="24"/>
        </w:rPr>
        <w:t xml:space="preserve">.  </w:t>
      </w:r>
      <w:r w:rsidR="00676721">
        <w:rPr>
          <w:rFonts w:ascii="Arial" w:hAnsi="Arial" w:cs="Arial"/>
          <w:sz w:val="24"/>
          <w:szCs w:val="24"/>
        </w:rPr>
        <w:t xml:space="preserve">These infusions </w:t>
      </w:r>
      <w:proofErr w:type="gramStart"/>
      <w:r w:rsidR="00676721">
        <w:rPr>
          <w:rFonts w:ascii="Arial" w:hAnsi="Arial" w:cs="Arial"/>
          <w:sz w:val="24"/>
          <w:szCs w:val="24"/>
        </w:rPr>
        <w:t>are not intended</w:t>
      </w:r>
      <w:proofErr w:type="gramEnd"/>
      <w:r w:rsidR="00676721">
        <w:rPr>
          <w:rFonts w:ascii="Arial" w:hAnsi="Arial" w:cs="Arial"/>
          <w:sz w:val="24"/>
          <w:szCs w:val="24"/>
        </w:rPr>
        <w:t xml:space="preserve"> to promote hematopoiesis</w:t>
      </w:r>
      <w:r w:rsidR="00F91ED8">
        <w:rPr>
          <w:rFonts w:ascii="Arial" w:hAnsi="Arial" w:cs="Arial"/>
          <w:sz w:val="24"/>
          <w:szCs w:val="24"/>
        </w:rPr>
        <w:t xml:space="preserve">.  </w:t>
      </w:r>
      <w:r w:rsidR="00676721">
        <w:rPr>
          <w:rFonts w:ascii="Arial" w:hAnsi="Arial" w:cs="Arial"/>
          <w:sz w:val="24"/>
          <w:szCs w:val="24"/>
        </w:rPr>
        <w:t xml:space="preserve">If the recipient received additional cells due to engraftment issues, or if they received an infusion of </w:t>
      </w:r>
      <w:proofErr w:type="spellStart"/>
      <w:r w:rsidR="00676721">
        <w:rPr>
          <w:rFonts w:ascii="Arial" w:hAnsi="Arial" w:cs="Arial"/>
          <w:sz w:val="24"/>
          <w:szCs w:val="24"/>
        </w:rPr>
        <w:t>unmanipulated</w:t>
      </w:r>
      <w:proofErr w:type="spellEnd"/>
      <w:r w:rsidR="00676721">
        <w:rPr>
          <w:rFonts w:ascii="Arial" w:hAnsi="Arial" w:cs="Arial"/>
          <w:sz w:val="24"/>
          <w:szCs w:val="24"/>
        </w:rPr>
        <w:t xml:space="preserve"> CD34+ cellular product (stimulated peripheral blood stem cells, bone marrow, or cord blood), report as a subsequent HCT rather than DCI</w:t>
      </w:r>
      <w:r w:rsidR="00F91ED8">
        <w:rPr>
          <w:rFonts w:ascii="Arial" w:hAnsi="Arial" w:cs="Arial"/>
          <w:sz w:val="24"/>
          <w:szCs w:val="24"/>
        </w:rPr>
        <w:t xml:space="preserve">.  </w:t>
      </w:r>
      <w:r w:rsidR="00676721" w:rsidRPr="00676721">
        <w:rPr>
          <w:rFonts w:ascii="Arial" w:hAnsi="Arial" w:cs="Arial"/>
          <w:sz w:val="24"/>
          <w:szCs w:val="24"/>
        </w:rPr>
        <w:t xml:space="preserve">For more information on how to distinguish infusion types (example: HCT versus DCI), see </w:t>
      </w:r>
      <w:hyperlink r:id="rId16" w:history="1">
        <w:r w:rsidR="00676721" w:rsidRPr="00676721">
          <w:rPr>
            <w:rStyle w:val="Hyperlink"/>
            <w:rFonts w:ascii="Arial" w:hAnsi="Arial" w:cs="Arial"/>
            <w:sz w:val="24"/>
            <w:szCs w:val="24"/>
          </w:rPr>
          <w:t>Appendix O</w:t>
        </w:r>
      </w:hyperlink>
      <w:r w:rsidR="00676721" w:rsidRPr="00676721">
        <w:rPr>
          <w:rFonts w:ascii="Arial" w:hAnsi="Arial" w:cs="Arial"/>
          <w:sz w:val="24"/>
          <w:szCs w:val="24"/>
        </w:rPr>
        <w:t>.</w:t>
      </w:r>
    </w:p>
    <w:p w14:paraId="5818193E" w14:textId="77777777" w:rsidR="00676721" w:rsidRDefault="00676721" w:rsidP="006C4C4D">
      <w:pPr>
        <w:pStyle w:val="CommentText"/>
        <w:rPr>
          <w:rFonts w:ascii="Arial" w:hAnsi="Arial" w:cs="Arial"/>
          <w:sz w:val="24"/>
          <w:szCs w:val="24"/>
        </w:rPr>
      </w:pPr>
    </w:p>
    <w:p w14:paraId="4773CB85" w14:textId="6399989E" w:rsidR="00676721" w:rsidRDefault="00676721" w:rsidP="00676721">
      <w:pPr>
        <w:autoSpaceDE w:val="0"/>
        <w:autoSpaceDN w:val="0"/>
        <w:adjustRightInd w:val="0"/>
        <w:rPr>
          <w:rFonts w:ascii="Arial" w:hAnsi="Arial" w:cs="Arial"/>
        </w:rPr>
      </w:pPr>
      <w:r w:rsidRPr="00730436">
        <w:rPr>
          <w:rFonts w:ascii="Arial" w:hAnsi="Arial" w:cs="Arial"/>
        </w:rPr>
        <w:t xml:space="preserve">A DCI is a form of cellular therapy </w:t>
      </w:r>
      <w:r>
        <w:rPr>
          <w:rFonts w:ascii="Arial" w:hAnsi="Arial" w:cs="Arial"/>
        </w:rPr>
        <w:t>that</w:t>
      </w:r>
      <w:r w:rsidRPr="00730436">
        <w:rPr>
          <w:rFonts w:ascii="Arial" w:hAnsi="Arial" w:cs="Arial"/>
        </w:rPr>
        <w:t xml:space="preserve"> </w:t>
      </w:r>
      <w:r>
        <w:rPr>
          <w:rFonts w:ascii="Arial" w:hAnsi="Arial" w:cs="Arial"/>
        </w:rPr>
        <w:t>us</w:t>
      </w:r>
      <w:r w:rsidRPr="00730436">
        <w:rPr>
          <w:rFonts w:ascii="Arial" w:hAnsi="Arial" w:cs="Arial"/>
        </w:rPr>
        <w:t xml:space="preserve">es cells from the original donor, and </w:t>
      </w:r>
      <w:proofErr w:type="gramStart"/>
      <w:r w:rsidRPr="00730436">
        <w:rPr>
          <w:rFonts w:ascii="Arial" w:hAnsi="Arial" w:cs="Arial"/>
        </w:rPr>
        <w:t>is commonly used</w:t>
      </w:r>
      <w:proofErr w:type="gramEnd"/>
      <w:r w:rsidRPr="00730436">
        <w:rPr>
          <w:rFonts w:ascii="Arial" w:hAnsi="Arial" w:cs="Arial"/>
        </w:rPr>
        <w:t xml:space="preserve"> to create a graft</w:t>
      </w:r>
      <w:r>
        <w:rPr>
          <w:rFonts w:ascii="Arial" w:hAnsi="Arial" w:cs="Arial"/>
        </w:rPr>
        <w:t>-</w:t>
      </w:r>
      <w:r w:rsidRPr="00730436">
        <w:rPr>
          <w:rFonts w:ascii="Arial" w:hAnsi="Arial" w:cs="Arial"/>
        </w:rPr>
        <w:t>versus</w:t>
      </w:r>
      <w:r>
        <w:rPr>
          <w:rFonts w:ascii="Arial" w:hAnsi="Arial" w:cs="Arial"/>
        </w:rPr>
        <w:t>-</w:t>
      </w:r>
      <w:r w:rsidRPr="00730436">
        <w:rPr>
          <w:rFonts w:ascii="Arial" w:hAnsi="Arial" w:cs="Arial"/>
        </w:rPr>
        <w:t>leukemia/tumor (GVL/GVT) effect</w:t>
      </w:r>
      <w:r w:rsidR="00F91ED8">
        <w:rPr>
          <w:rFonts w:ascii="Arial" w:hAnsi="Arial" w:cs="Arial"/>
        </w:rPr>
        <w:t xml:space="preserve">.  </w:t>
      </w:r>
      <w:r w:rsidRPr="00730436">
        <w:rPr>
          <w:rFonts w:ascii="Arial" w:hAnsi="Arial" w:cs="Arial"/>
        </w:rPr>
        <w:t xml:space="preserve">The recipient does not receive a preparative regimen prior to receiving the donor cells because the purpose of a DCI is </w:t>
      </w:r>
      <w:r>
        <w:rPr>
          <w:rFonts w:ascii="Arial" w:hAnsi="Arial" w:cs="Arial"/>
        </w:rPr>
        <w:t>to activate the immune system rather than</w:t>
      </w:r>
      <w:r w:rsidRPr="00730436">
        <w:rPr>
          <w:rFonts w:ascii="Arial" w:hAnsi="Arial" w:cs="Arial"/>
        </w:rPr>
        <w:t xml:space="preserve"> repopulate the marrow</w:t>
      </w:r>
      <w:r w:rsidR="00F91ED8">
        <w:rPr>
          <w:rFonts w:ascii="Arial" w:hAnsi="Arial" w:cs="Arial"/>
        </w:rPr>
        <w:t xml:space="preserve">.  </w:t>
      </w:r>
      <w:r>
        <w:rPr>
          <w:rFonts w:ascii="Arial" w:hAnsi="Arial" w:cs="Arial"/>
        </w:rPr>
        <w:t xml:space="preserve">The </w:t>
      </w:r>
      <w:r w:rsidRPr="00730436">
        <w:rPr>
          <w:rFonts w:ascii="Arial" w:hAnsi="Arial" w:cs="Arial"/>
        </w:rPr>
        <w:t>recipient may</w:t>
      </w:r>
      <w:r>
        <w:rPr>
          <w:rFonts w:ascii="Arial" w:hAnsi="Arial" w:cs="Arial"/>
        </w:rPr>
        <w:t>,</w:t>
      </w:r>
      <w:r w:rsidRPr="00730436">
        <w:rPr>
          <w:rFonts w:ascii="Arial" w:hAnsi="Arial" w:cs="Arial"/>
        </w:rPr>
        <w:t xml:space="preserve"> however</w:t>
      </w:r>
      <w:r>
        <w:rPr>
          <w:rFonts w:ascii="Arial" w:hAnsi="Arial" w:cs="Arial"/>
        </w:rPr>
        <w:t>,</w:t>
      </w:r>
      <w:r w:rsidRPr="00730436">
        <w:rPr>
          <w:rFonts w:ascii="Arial" w:hAnsi="Arial" w:cs="Arial"/>
        </w:rPr>
        <w:t xml:space="preserve"> be given therapy prior to the infusion for the purpose of disease control</w:t>
      </w:r>
      <w:r w:rsidR="00F91ED8">
        <w:rPr>
          <w:rFonts w:ascii="Arial" w:hAnsi="Arial" w:cs="Arial"/>
        </w:rPr>
        <w:t xml:space="preserve">.  </w:t>
      </w:r>
      <w:r w:rsidRPr="00730436">
        <w:rPr>
          <w:rFonts w:ascii="Arial" w:hAnsi="Arial" w:cs="Arial"/>
        </w:rPr>
        <w:t>The types of cells used in a DCI include, but are not limited to: lymphocytes, unstimulated peripheral blood mononuclear cells, dendritic cells, and/or mesenchymal cells.</w:t>
      </w:r>
    </w:p>
    <w:p w14:paraId="04188F9B" w14:textId="77777777" w:rsidR="00C26BF3" w:rsidRDefault="00C26BF3" w:rsidP="00676721">
      <w:pPr>
        <w:autoSpaceDE w:val="0"/>
        <w:autoSpaceDN w:val="0"/>
        <w:adjustRightInd w:val="0"/>
        <w:rPr>
          <w:rFonts w:ascii="Arial" w:hAnsi="Arial" w:cs="Arial"/>
        </w:rPr>
      </w:pPr>
    </w:p>
    <w:p w14:paraId="70CAEAA9" w14:textId="798EE4D5" w:rsidR="00961B50" w:rsidRDefault="00C26BF3" w:rsidP="006C4C4D">
      <w:pPr>
        <w:pStyle w:val="CommentText"/>
        <w:rPr>
          <w:rFonts w:ascii="Arial" w:hAnsi="Arial" w:cs="Arial"/>
          <w:sz w:val="24"/>
          <w:szCs w:val="24"/>
        </w:rPr>
      </w:pPr>
      <w:r w:rsidRPr="00C26BF3">
        <w:rPr>
          <w:rFonts w:ascii="Arial" w:hAnsi="Arial" w:cs="Arial"/>
          <w:sz w:val="24"/>
          <w:szCs w:val="24"/>
        </w:rPr>
        <w:t>Other forms of cellular therapy may include cytotoxic T-lymphocytes (CTLC) to treat infections or chimeric antigen receptor T-cells (CAR T-cells) to treat persistent, progressive or recurrent disease.</w:t>
      </w:r>
    </w:p>
    <w:p w14:paraId="1F1F1B13" w14:textId="77777777" w:rsidR="00236923" w:rsidRDefault="00236923" w:rsidP="006C4C4D">
      <w:pPr>
        <w:pStyle w:val="CommentText"/>
        <w:rPr>
          <w:rFonts w:ascii="Arial" w:hAnsi="Arial" w:cs="Arial"/>
          <w:sz w:val="24"/>
          <w:szCs w:val="24"/>
        </w:rPr>
      </w:pPr>
    </w:p>
    <w:p w14:paraId="79EDB95C" w14:textId="77777777" w:rsidR="00C26BF3" w:rsidRDefault="00C26BF3" w:rsidP="006C4C4D">
      <w:pPr>
        <w:pStyle w:val="CommentText"/>
        <w:rPr>
          <w:rFonts w:ascii="Arial" w:hAnsi="Arial" w:cs="Arial"/>
          <w:b/>
          <w:sz w:val="24"/>
          <w:szCs w:val="24"/>
        </w:rPr>
      </w:pPr>
    </w:p>
    <w:p w14:paraId="33993800" w14:textId="56DAB358" w:rsidR="00961B50" w:rsidRDefault="00961B50" w:rsidP="006C4C4D">
      <w:pPr>
        <w:pStyle w:val="CommentText"/>
        <w:rPr>
          <w:rFonts w:ascii="Arial" w:hAnsi="Arial" w:cs="Arial"/>
          <w:sz w:val="24"/>
          <w:szCs w:val="24"/>
        </w:rPr>
      </w:pPr>
      <w:r>
        <w:rPr>
          <w:rFonts w:ascii="Arial" w:hAnsi="Arial" w:cs="Arial"/>
          <w:b/>
          <w:sz w:val="24"/>
          <w:szCs w:val="24"/>
        </w:rPr>
        <w:lastRenderedPageBreak/>
        <w:t>Question 13:</w:t>
      </w:r>
      <w:r w:rsidR="00236923">
        <w:rPr>
          <w:rFonts w:ascii="Arial" w:hAnsi="Arial" w:cs="Arial"/>
          <w:b/>
          <w:sz w:val="24"/>
          <w:szCs w:val="24"/>
        </w:rPr>
        <w:t xml:space="preserve"> </w:t>
      </w:r>
      <w:r>
        <w:rPr>
          <w:rFonts w:ascii="Arial" w:hAnsi="Arial" w:cs="Arial"/>
          <w:b/>
          <w:sz w:val="24"/>
          <w:szCs w:val="24"/>
        </w:rPr>
        <w:t xml:space="preserve"> D</w:t>
      </w:r>
      <w:r w:rsidR="00A27C4C">
        <w:rPr>
          <w:rFonts w:ascii="Arial" w:hAnsi="Arial" w:cs="Arial"/>
          <w:b/>
          <w:sz w:val="24"/>
          <w:szCs w:val="24"/>
        </w:rPr>
        <w:t>ate of cellular therapy</w:t>
      </w:r>
    </w:p>
    <w:p w14:paraId="5D7ED730" w14:textId="06A139C9" w:rsidR="00676721" w:rsidRPr="00676721" w:rsidRDefault="00676721" w:rsidP="006C4C4D">
      <w:pPr>
        <w:pStyle w:val="CommentText"/>
        <w:rPr>
          <w:rFonts w:ascii="Arial" w:hAnsi="Arial" w:cs="Arial"/>
          <w:sz w:val="24"/>
          <w:szCs w:val="24"/>
        </w:rPr>
      </w:pPr>
      <w:r>
        <w:rPr>
          <w:rFonts w:ascii="Arial" w:hAnsi="Arial" w:cs="Arial"/>
          <w:sz w:val="24"/>
          <w:szCs w:val="24"/>
        </w:rPr>
        <w:t>Report the date of cellular therapy infusion</w:t>
      </w:r>
      <w:r w:rsidR="00F91ED8">
        <w:rPr>
          <w:rFonts w:ascii="Arial" w:hAnsi="Arial" w:cs="Arial"/>
          <w:sz w:val="24"/>
          <w:szCs w:val="24"/>
        </w:rPr>
        <w:t xml:space="preserve">.  </w:t>
      </w:r>
      <w:r>
        <w:rPr>
          <w:rFonts w:ascii="Arial" w:hAnsi="Arial" w:cs="Arial"/>
          <w:sz w:val="24"/>
          <w:szCs w:val="24"/>
        </w:rPr>
        <w:t xml:space="preserve">If multiple infusions </w:t>
      </w:r>
      <w:proofErr w:type="gramStart"/>
      <w:r>
        <w:rPr>
          <w:rFonts w:ascii="Arial" w:hAnsi="Arial" w:cs="Arial"/>
          <w:sz w:val="24"/>
          <w:szCs w:val="24"/>
        </w:rPr>
        <w:t>were received</w:t>
      </w:r>
      <w:proofErr w:type="gramEnd"/>
      <w:r>
        <w:rPr>
          <w:rFonts w:ascii="Arial" w:hAnsi="Arial" w:cs="Arial"/>
          <w:sz w:val="24"/>
          <w:szCs w:val="24"/>
        </w:rPr>
        <w:t xml:space="preserve"> in the reporting period, report the earliest</w:t>
      </w:r>
      <w:r w:rsidR="00F91ED8">
        <w:rPr>
          <w:rFonts w:ascii="Arial" w:hAnsi="Arial" w:cs="Arial"/>
          <w:sz w:val="24"/>
          <w:szCs w:val="24"/>
        </w:rPr>
        <w:t xml:space="preserve">.  </w:t>
      </w:r>
      <w:r>
        <w:rPr>
          <w:rFonts w:ascii="Arial" w:hAnsi="Arial" w:cs="Arial"/>
          <w:sz w:val="24"/>
          <w:szCs w:val="24"/>
        </w:rPr>
        <w:t xml:space="preserve">If infusions are continuing from a previous instance of DCI, only report in the period during which the first infusion </w:t>
      </w:r>
      <w:proofErr w:type="gramStart"/>
      <w:r>
        <w:rPr>
          <w:rFonts w:ascii="Arial" w:hAnsi="Arial" w:cs="Arial"/>
          <w:sz w:val="24"/>
          <w:szCs w:val="24"/>
        </w:rPr>
        <w:t>was received</w:t>
      </w:r>
      <w:proofErr w:type="gramEnd"/>
      <w:r>
        <w:rPr>
          <w:rFonts w:ascii="Arial" w:hAnsi="Arial" w:cs="Arial"/>
          <w:sz w:val="24"/>
          <w:szCs w:val="24"/>
        </w:rPr>
        <w:t>.</w:t>
      </w:r>
    </w:p>
    <w:p w14:paraId="18063357" w14:textId="77777777" w:rsidR="00906D61" w:rsidRDefault="00906D61"/>
    <w:p w14:paraId="40EC5431" w14:textId="77777777" w:rsidR="00A1720C" w:rsidRPr="00DB6F1D" w:rsidRDefault="00A1720C" w:rsidP="009829F8">
      <w:pPr>
        <w:pStyle w:val="Heading1"/>
      </w:pPr>
      <w:bookmarkStart w:id="3" w:name="_Toc450570833"/>
      <w:r w:rsidRPr="00DB6F1D">
        <w:t>Initial ANC Recovery</w:t>
      </w:r>
      <w:bookmarkEnd w:id="3"/>
    </w:p>
    <w:p w14:paraId="4566AF7F" w14:textId="77777777" w:rsidR="00A1720C" w:rsidRDefault="00F84477" w:rsidP="00A1720C">
      <w:pPr>
        <w:autoSpaceDE w:val="0"/>
        <w:autoSpaceDN w:val="0"/>
        <w:adjustRightInd w:val="0"/>
        <w:rPr>
          <w:rFonts w:ascii="Arial" w:hAnsi="Arial" w:cs="Arial"/>
        </w:rPr>
      </w:pPr>
      <w:r>
        <w:rPr>
          <w:rFonts w:ascii="Arial" w:hAnsi="Arial" w:cs="Arial"/>
          <w:noProof/>
        </w:rPr>
        <mc:AlternateContent>
          <mc:Choice Requires="wps">
            <w:drawing>
              <wp:anchor distT="0" distB="0" distL="114300" distR="114300" simplePos="0" relativeHeight="251664384" behindDoc="0" locked="0" layoutInCell="1" allowOverlap="1" wp14:anchorId="713A4E0E" wp14:editId="64D1664C">
                <wp:simplePos x="0" y="0"/>
                <wp:positionH relativeFrom="margin">
                  <wp:align>right</wp:align>
                </wp:positionH>
                <wp:positionV relativeFrom="paragraph">
                  <wp:posOffset>116205</wp:posOffset>
                </wp:positionV>
                <wp:extent cx="5943600" cy="1504950"/>
                <wp:effectExtent l="0" t="0" r="0" b="0"/>
                <wp:wrapNone/>
                <wp:docPr id="45" name="Text Box 45"/>
                <wp:cNvGraphicFramePr/>
                <a:graphic xmlns:a="http://schemas.openxmlformats.org/drawingml/2006/main">
                  <a:graphicData uri="http://schemas.microsoft.com/office/word/2010/wordprocessingShape">
                    <wps:wsp>
                      <wps:cNvSpPr txBox="1"/>
                      <wps:spPr>
                        <a:xfrm>
                          <a:off x="0" y="0"/>
                          <a:ext cx="5943600" cy="1504950"/>
                        </a:xfrm>
                        <a:prstGeom prst="rect">
                          <a:avLst/>
                        </a:prstGeom>
                        <a:solidFill>
                          <a:schemeClr val="accent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D49FA9A" w14:textId="38898DCB" w:rsidR="00632864" w:rsidRDefault="00632864" w:rsidP="00F84477">
                            <w:pPr>
                              <w:jc w:val="center"/>
                              <w:rPr>
                                <w:rFonts w:ascii="Arial" w:hAnsi="Arial" w:cs="Arial"/>
                                <w:b/>
                                <w:color w:val="FFFFFF" w:themeColor="background1"/>
                              </w:rPr>
                            </w:pPr>
                            <w:r w:rsidRPr="009829F8">
                              <w:rPr>
                                <w:rFonts w:ascii="Arial" w:hAnsi="Arial" w:cs="Arial"/>
                                <w:b/>
                                <w:color w:val="FFFFFF" w:themeColor="background1"/>
                              </w:rPr>
                              <w:t xml:space="preserve">NOTE: </w:t>
                            </w:r>
                            <w:r>
                              <w:rPr>
                                <w:rFonts w:ascii="Arial" w:hAnsi="Arial" w:cs="Arial"/>
                                <w:b/>
                                <w:color w:val="FFFFFF" w:themeColor="background1"/>
                              </w:rPr>
                              <w:t xml:space="preserve"> </w:t>
                            </w:r>
                            <w:r w:rsidRPr="009829F8">
                              <w:rPr>
                                <w:rFonts w:ascii="Arial" w:hAnsi="Arial" w:cs="Arial"/>
                                <w:b/>
                                <w:color w:val="FFFFFF" w:themeColor="background1"/>
                              </w:rPr>
                              <w:t>Initial ANC Recovery</w:t>
                            </w:r>
                          </w:p>
                          <w:p w14:paraId="1A1FE480" w14:textId="77777777" w:rsidR="00632864" w:rsidRPr="009829F8" w:rsidRDefault="00632864" w:rsidP="00F84477">
                            <w:pPr>
                              <w:shd w:val="clear" w:color="auto" w:fill="63A70A" w:themeFill="accent2"/>
                              <w:autoSpaceDE w:val="0"/>
                              <w:autoSpaceDN w:val="0"/>
                              <w:adjustRightInd w:val="0"/>
                              <w:rPr>
                                <w:rFonts w:ascii="Arial" w:hAnsi="Arial" w:cs="Arial"/>
                                <w:color w:val="FFFFFF" w:themeColor="background1"/>
                              </w:rPr>
                            </w:pPr>
                            <w:r w:rsidRPr="009829F8">
                              <w:rPr>
                                <w:rFonts w:ascii="Arial" w:hAnsi="Arial" w:cs="Arial"/>
                                <w:bCs/>
                                <w:color w:val="FFFFFF" w:themeColor="background1"/>
                              </w:rPr>
                              <w:t xml:space="preserve">Recovery, as reported in this section, does not distinguish between allogeneic engraftment (blood and stem cells of donor origin) and autologous engraftment (blood and stem cells of host origin). </w:t>
                            </w:r>
                            <w:r w:rsidRPr="009829F8">
                              <w:rPr>
                                <w:rFonts w:ascii="Arial" w:hAnsi="Arial" w:cs="Arial"/>
                                <w:color w:val="FFFFFF" w:themeColor="background1"/>
                              </w:rPr>
                              <w:t xml:space="preserve">To demonstrate </w:t>
                            </w:r>
                            <w:r w:rsidRPr="009829F8">
                              <w:rPr>
                                <w:rFonts w:ascii="Arial" w:hAnsi="Arial" w:cs="Arial"/>
                                <w:b/>
                                <w:i/>
                                <w:color w:val="FFFFFF" w:themeColor="background1"/>
                              </w:rPr>
                              <w:t>engraftment</w:t>
                            </w:r>
                            <w:r w:rsidRPr="009829F8">
                              <w:rPr>
                                <w:rFonts w:ascii="Arial" w:hAnsi="Arial" w:cs="Arial"/>
                                <w:color w:val="FFFFFF" w:themeColor="background1"/>
                              </w:rPr>
                              <w:t xml:space="preserve"> for allogeneic recipients, particularly non-</w:t>
                            </w:r>
                            <w:proofErr w:type="spellStart"/>
                            <w:r w:rsidRPr="009829F8">
                              <w:rPr>
                                <w:rFonts w:ascii="Arial" w:hAnsi="Arial" w:cs="Arial"/>
                                <w:color w:val="FFFFFF" w:themeColor="background1"/>
                              </w:rPr>
                              <w:t>myeloablative</w:t>
                            </w:r>
                            <w:proofErr w:type="spellEnd"/>
                            <w:r w:rsidRPr="009829F8">
                              <w:rPr>
                                <w:rFonts w:ascii="Arial" w:hAnsi="Arial" w:cs="Arial"/>
                                <w:color w:val="FFFFFF" w:themeColor="background1"/>
                              </w:rPr>
                              <w:t xml:space="preserve"> or reduced intensity approaches, chimerism tests must be done. These measure the quantity of donor cells relative to the quantity of host (recipient) cells. While ANC usually represents donor cells in allogeneic </w:t>
                            </w:r>
                            <w:r>
                              <w:rPr>
                                <w:rFonts w:ascii="Arial" w:hAnsi="Arial" w:cs="Arial"/>
                                <w:color w:val="FFFFFF" w:themeColor="background1"/>
                              </w:rPr>
                              <w:t>HCT</w:t>
                            </w:r>
                            <w:r w:rsidRPr="009829F8">
                              <w:rPr>
                                <w:rFonts w:ascii="Arial" w:hAnsi="Arial" w:cs="Arial"/>
                                <w:color w:val="FFFFFF" w:themeColor="background1"/>
                              </w:rPr>
                              <w:t>, it cannot be proven without chimerism studies.</w:t>
                            </w:r>
                          </w:p>
                          <w:p w14:paraId="548DD465" w14:textId="77777777" w:rsidR="00632864" w:rsidRDefault="00632864" w:rsidP="00F844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5" o:spid="_x0000_s1031" type="#_x0000_t202" style="position:absolute;margin-left:416.8pt;margin-top:9.15pt;width:468pt;height:118.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" fillcolor="#63a70a [3205]" stroked="f" strokeweight=".5pt">
                <v:textbox>
                  <w:txbxContent>
                    <w:p w14:paraId="7D49FA9A" w14:textId="38898DCB" w:rsidR="00632864" w:rsidRDefault="00632864" w:rsidP="00F84477">
                      <w:pPr>
                        <w:jc w:val="center"/>
                        <w:rPr>
                          <w:rFonts w:ascii="Arial" w:hAnsi="Arial" w:cs="Arial"/>
                          <w:b/>
                          <w:color w:val="FFFFFF" w:themeColor="background1"/>
                        </w:rPr>
                      </w:pPr>
                      <w:r w:rsidRPr="009829F8">
                        <w:rPr>
                          <w:rFonts w:ascii="Arial" w:hAnsi="Arial" w:cs="Arial"/>
                          <w:b/>
                          <w:color w:val="FFFFFF" w:themeColor="background1"/>
                        </w:rPr>
                        <w:t xml:space="preserve">NOTE: </w:t>
                      </w:r>
                      <w:r>
                        <w:rPr>
                          <w:rFonts w:ascii="Arial" w:hAnsi="Arial" w:cs="Arial"/>
                          <w:b/>
                          <w:color w:val="FFFFFF" w:themeColor="background1"/>
                        </w:rPr>
                        <w:t xml:space="preserve"> </w:t>
                      </w:r>
                      <w:r w:rsidRPr="009829F8">
                        <w:rPr>
                          <w:rFonts w:ascii="Arial" w:hAnsi="Arial" w:cs="Arial"/>
                          <w:b/>
                          <w:color w:val="FFFFFF" w:themeColor="background1"/>
                        </w:rPr>
                        <w:t>Initial ANC Recovery</w:t>
                      </w:r>
                    </w:p>
                    <w:p w14:paraId="1A1FE480" w14:textId="77777777" w:rsidR="00632864" w:rsidRPr="009829F8" w:rsidRDefault="00632864" w:rsidP="00F84477">
                      <w:pPr>
                        <w:shd w:val="clear" w:color="auto" w:fill="63A70A" w:themeFill="accent2"/>
                        <w:autoSpaceDE w:val="0"/>
                        <w:autoSpaceDN w:val="0"/>
                        <w:adjustRightInd w:val="0"/>
                        <w:rPr>
                          <w:rFonts w:ascii="Arial" w:hAnsi="Arial" w:cs="Arial"/>
                          <w:color w:val="FFFFFF" w:themeColor="background1"/>
                        </w:rPr>
                      </w:pPr>
                      <w:r w:rsidRPr="009829F8">
                        <w:rPr>
                          <w:rFonts w:ascii="Arial" w:hAnsi="Arial" w:cs="Arial"/>
                          <w:bCs/>
                          <w:color w:val="FFFFFF" w:themeColor="background1"/>
                        </w:rPr>
                        <w:t xml:space="preserve">Recovery, as reported in this section, does not distinguish between allogeneic engraftment (blood and stem cells of donor origin) and autologous engraftment (blood and stem cells of host origin). </w:t>
                      </w:r>
                      <w:r w:rsidRPr="009829F8">
                        <w:rPr>
                          <w:rFonts w:ascii="Arial" w:hAnsi="Arial" w:cs="Arial"/>
                          <w:color w:val="FFFFFF" w:themeColor="background1"/>
                        </w:rPr>
                        <w:t xml:space="preserve">To demonstrate </w:t>
                      </w:r>
                      <w:r w:rsidRPr="009829F8">
                        <w:rPr>
                          <w:rFonts w:ascii="Arial" w:hAnsi="Arial" w:cs="Arial"/>
                          <w:b/>
                          <w:i/>
                          <w:color w:val="FFFFFF" w:themeColor="background1"/>
                        </w:rPr>
                        <w:t>engraftment</w:t>
                      </w:r>
                      <w:r w:rsidRPr="009829F8">
                        <w:rPr>
                          <w:rFonts w:ascii="Arial" w:hAnsi="Arial" w:cs="Arial"/>
                          <w:color w:val="FFFFFF" w:themeColor="background1"/>
                        </w:rPr>
                        <w:t xml:space="preserve"> for allogeneic recipients, particularly non-</w:t>
                      </w:r>
                      <w:proofErr w:type="spellStart"/>
                      <w:r w:rsidRPr="009829F8">
                        <w:rPr>
                          <w:rFonts w:ascii="Arial" w:hAnsi="Arial" w:cs="Arial"/>
                          <w:color w:val="FFFFFF" w:themeColor="background1"/>
                        </w:rPr>
                        <w:t>myeloablative</w:t>
                      </w:r>
                      <w:proofErr w:type="spellEnd"/>
                      <w:r w:rsidRPr="009829F8">
                        <w:rPr>
                          <w:rFonts w:ascii="Arial" w:hAnsi="Arial" w:cs="Arial"/>
                          <w:color w:val="FFFFFF" w:themeColor="background1"/>
                        </w:rPr>
                        <w:t xml:space="preserve"> or reduced intensity approaches, chimerism tests must be done. These measure the quantity of donor cells relative to the quantity of host (recipient) cells. While ANC usually represents donor cells in allogeneic </w:t>
                      </w:r>
                      <w:r>
                        <w:rPr>
                          <w:rFonts w:ascii="Arial" w:hAnsi="Arial" w:cs="Arial"/>
                          <w:color w:val="FFFFFF" w:themeColor="background1"/>
                        </w:rPr>
                        <w:t>HCT</w:t>
                      </w:r>
                      <w:r w:rsidRPr="009829F8">
                        <w:rPr>
                          <w:rFonts w:ascii="Arial" w:hAnsi="Arial" w:cs="Arial"/>
                          <w:color w:val="FFFFFF" w:themeColor="background1"/>
                        </w:rPr>
                        <w:t>, it cannot be proven without chimerism studies.</w:t>
                      </w:r>
                    </w:p>
                    <w:p w14:paraId="548DD465" w14:textId="77777777" w:rsidR="00632864" w:rsidRDefault="00632864" w:rsidP="00F84477"/>
                  </w:txbxContent>
                </v:textbox>
                <w10:wrap anchorx="margin"/>
              </v:shape>
            </w:pict>
          </mc:Fallback>
        </mc:AlternateContent>
      </w:r>
    </w:p>
    <w:p w14:paraId="0F6770DC" w14:textId="77777777" w:rsidR="00F84477" w:rsidRDefault="00F84477" w:rsidP="00A1720C">
      <w:pPr>
        <w:autoSpaceDE w:val="0"/>
        <w:autoSpaceDN w:val="0"/>
        <w:adjustRightInd w:val="0"/>
        <w:rPr>
          <w:rFonts w:ascii="Arial" w:hAnsi="Arial" w:cs="Arial"/>
        </w:rPr>
      </w:pPr>
    </w:p>
    <w:p w14:paraId="0E61539C" w14:textId="77777777" w:rsidR="00F84477" w:rsidRDefault="00F84477" w:rsidP="00A1720C">
      <w:pPr>
        <w:autoSpaceDE w:val="0"/>
        <w:autoSpaceDN w:val="0"/>
        <w:adjustRightInd w:val="0"/>
        <w:rPr>
          <w:rFonts w:ascii="Arial" w:hAnsi="Arial" w:cs="Arial"/>
        </w:rPr>
      </w:pPr>
    </w:p>
    <w:p w14:paraId="46D1372D" w14:textId="77777777" w:rsidR="00F84477" w:rsidRDefault="00F84477" w:rsidP="00A1720C">
      <w:pPr>
        <w:autoSpaceDE w:val="0"/>
        <w:autoSpaceDN w:val="0"/>
        <w:adjustRightInd w:val="0"/>
        <w:rPr>
          <w:rFonts w:ascii="Arial" w:hAnsi="Arial" w:cs="Arial"/>
        </w:rPr>
      </w:pPr>
    </w:p>
    <w:p w14:paraId="633E9954" w14:textId="77777777" w:rsidR="00F84477" w:rsidRDefault="00F84477" w:rsidP="00A1720C">
      <w:pPr>
        <w:autoSpaceDE w:val="0"/>
        <w:autoSpaceDN w:val="0"/>
        <w:adjustRightInd w:val="0"/>
        <w:rPr>
          <w:rFonts w:ascii="Arial" w:hAnsi="Arial" w:cs="Arial"/>
        </w:rPr>
      </w:pPr>
    </w:p>
    <w:p w14:paraId="738D1F80" w14:textId="77777777" w:rsidR="00F84477" w:rsidRDefault="00F84477" w:rsidP="00A1720C">
      <w:pPr>
        <w:autoSpaceDE w:val="0"/>
        <w:autoSpaceDN w:val="0"/>
        <w:adjustRightInd w:val="0"/>
        <w:rPr>
          <w:rFonts w:ascii="Arial" w:hAnsi="Arial" w:cs="Arial"/>
        </w:rPr>
      </w:pPr>
    </w:p>
    <w:p w14:paraId="07FE7899" w14:textId="77777777" w:rsidR="00F84477" w:rsidRDefault="00F84477" w:rsidP="00A1720C">
      <w:pPr>
        <w:autoSpaceDE w:val="0"/>
        <w:autoSpaceDN w:val="0"/>
        <w:adjustRightInd w:val="0"/>
        <w:rPr>
          <w:rFonts w:ascii="Arial" w:hAnsi="Arial" w:cs="Arial"/>
        </w:rPr>
      </w:pPr>
    </w:p>
    <w:p w14:paraId="48654C3D" w14:textId="77777777" w:rsidR="00F84477" w:rsidRDefault="00F84477" w:rsidP="00A1720C">
      <w:pPr>
        <w:autoSpaceDE w:val="0"/>
        <w:autoSpaceDN w:val="0"/>
        <w:adjustRightInd w:val="0"/>
        <w:rPr>
          <w:rFonts w:ascii="Arial" w:hAnsi="Arial" w:cs="Arial"/>
        </w:rPr>
      </w:pPr>
    </w:p>
    <w:p w14:paraId="712AA503" w14:textId="77777777" w:rsidR="00F84477" w:rsidRDefault="00F84477" w:rsidP="00A1720C">
      <w:pPr>
        <w:autoSpaceDE w:val="0"/>
        <w:autoSpaceDN w:val="0"/>
        <w:adjustRightInd w:val="0"/>
        <w:rPr>
          <w:rFonts w:ascii="Arial" w:hAnsi="Arial" w:cs="Arial"/>
        </w:rPr>
      </w:pPr>
    </w:p>
    <w:p w14:paraId="0C0950AA" w14:textId="77777777" w:rsidR="00F84477" w:rsidRDefault="00F84477" w:rsidP="00136238">
      <w:pPr>
        <w:autoSpaceDE w:val="0"/>
        <w:autoSpaceDN w:val="0"/>
        <w:adjustRightInd w:val="0"/>
        <w:rPr>
          <w:rFonts w:ascii="Arial" w:hAnsi="Arial" w:cs="Arial"/>
        </w:rPr>
      </w:pPr>
    </w:p>
    <w:p w14:paraId="5C6844E0" w14:textId="5683D9EB" w:rsidR="00136238" w:rsidRDefault="00A1720C" w:rsidP="00136238">
      <w:pPr>
        <w:autoSpaceDE w:val="0"/>
        <w:autoSpaceDN w:val="0"/>
        <w:adjustRightInd w:val="0"/>
        <w:rPr>
          <w:rFonts w:ascii="Arial" w:hAnsi="Arial" w:cs="Arial"/>
        </w:rPr>
      </w:pPr>
      <w:r>
        <w:rPr>
          <w:rFonts w:ascii="Arial" w:hAnsi="Arial" w:cs="Arial"/>
        </w:rPr>
        <w:t>ANC recovery</w:t>
      </w:r>
      <w:r w:rsidRPr="00997C38">
        <w:rPr>
          <w:rFonts w:ascii="Arial" w:hAnsi="Arial" w:cs="Arial"/>
        </w:rPr>
        <w:t xml:space="preserve"> </w:t>
      </w:r>
      <w:proofErr w:type="gramStart"/>
      <w:r w:rsidRPr="00997C38">
        <w:rPr>
          <w:rFonts w:ascii="Arial" w:hAnsi="Arial" w:cs="Arial"/>
        </w:rPr>
        <w:t>is defined</w:t>
      </w:r>
      <w:proofErr w:type="gramEnd"/>
      <w:r w:rsidRPr="00997C38">
        <w:rPr>
          <w:rFonts w:ascii="Arial" w:hAnsi="Arial" w:cs="Arial"/>
        </w:rPr>
        <w:t xml:space="preserve"> as an absolute neutrophil count (ANC) of ≥ </w:t>
      </w:r>
      <w:r>
        <w:rPr>
          <w:rFonts w:ascii="Arial" w:hAnsi="Arial" w:cs="Arial"/>
        </w:rPr>
        <w:t>0.5 x 10</w:t>
      </w:r>
      <w:r w:rsidRPr="00BC2449">
        <w:rPr>
          <w:rFonts w:ascii="Arial" w:hAnsi="Arial" w:cs="Arial"/>
          <w:vertAlign w:val="superscript"/>
        </w:rPr>
        <w:t>9</w:t>
      </w:r>
      <w:r>
        <w:rPr>
          <w:rFonts w:ascii="Arial" w:hAnsi="Arial" w:cs="Arial"/>
        </w:rPr>
        <w:t>/L (500/mm</w:t>
      </w:r>
      <w:r w:rsidRPr="00BC2449">
        <w:rPr>
          <w:rFonts w:ascii="Arial" w:hAnsi="Arial" w:cs="Arial"/>
          <w:vertAlign w:val="superscript"/>
        </w:rPr>
        <w:t>3</w:t>
      </w:r>
      <w:r>
        <w:rPr>
          <w:rFonts w:ascii="Arial" w:hAnsi="Arial" w:cs="Arial"/>
        </w:rPr>
        <w:t>)</w:t>
      </w:r>
      <w:r w:rsidRPr="00997C38">
        <w:rPr>
          <w:rFonts w:ascii="Arial" w:hAnsi="Arial" w:cs="Arial"/>
        </w:rPr>
        <w:t xml:space="preserve"> for three consecutive lab</w:t>
      </w:r>
      <w:r>
        <w:rPr>
          <w:rFonts w:ascii="Arial" w:hAnsi="Arial" w:cs="Arial"/>
        </w:rPr>
        <w:t>oratory</w:t>
      </w:r>
      <w:r w:rsidRPr="00997C38">
        <w:rPr>
          <w:rFonts w:ascii="Arial" w:hAnsi="Arial" w:cs="Arial"/>
        </w:rPr>
        <w:t xml:space="preserve"> values obtained on different days.</w:t>
      </w:r>
      <w:r>
        <w:rPr>
          <w:rFonts w:ascii="Arial" w:hAnsi="Arial" w:cs="Arial"/>
        </w:rPr>
        <w:t>*</w:t>
      </w:r>
      <w:r w:rsidRPr="00997C38">
        <w:rPr>
          <w:rFonts w:ascii="Arial" w:hAnsi="Arial" w:cs="Arial"/>
        </w:rPr>
        <w:t xml:space="preserve"> Date of </w:t>
      </w:r>
      <w:r>
        <w:rPr>
          <w:rFonts w:ascii="Arial" w:hAnsi="Arial" w:cs="Arial"/>
        </w:rPr>
        <w:t>ANC recovery</w:t>
      </w:r>
      <w:r w:rsidRPr="00997C38">
        <w:rPr>
          <w:rFonts w:ascii="Arial" w:hAnsi="Arial" w:cs="Arial"/>
        </w:rPr>
        <w:t xml:space="preserve"> is the date of the first of three consecutive lab</w:t>
      </w:r>
      <w:r>
        <w:rPr>
          <w:rFonts w:ascii="Arial" w:hAnsi="Arial" w:cs="Arial"/>
        </w:rPr>
        <w:t>oratory</w:t>
      </w:r>
      <w:r w:rsidRPr="00997C38">
        <w:rPr>
          <w:rFonts w:ascii="Arial" w:hAnsi="Arial" w:cs="Arial"/>
        </w:rPr>
        <w:t xml:space="preserve"> values where the ANC is ≥ </w:t>
      </w:r>
      <w:r>
        <w:rPr>
          <w:rFonts w:ascii="Arial" w:hAnsi="Arial" w:cs="Arial"/>
        </w:rPr>
        <w:t>0.5 x 10</w:t>
      </w:r>
      <w:r w:rsidRPr="00BC2449">
        <w:rPr>
          <w:rFonts w:ascii="Arial" w:hAnsi="Arial" w:cs="Arial"/>
          <w:vertAlign w:val="superscript"/>
        </w:rPr>
        <w:t>9</w:t>
      </w:r>
      <w:r>
        <w:rPr>
          <w:rFonts w:ascii="Arial" w:hAnsi="Arial" w:cs="Arial"/>
        </w:rPr>
        <w:t>/L</w:t>
      </w:r>
      <w:r w:rsidR="00F91ED8">
        <w:rPr>
          <w:rFonts w:ascii="Arial" w:hAnsi="Arial" w:cs="Arial"/>
        </w:rPr>
        <w:t xml:space="preserve">.  </w:t>
      </w:r>
      <w:r w:rsidRPr="00997C38">
        <w:rPr>
          <w:rFonts w:ascii="Arial" w:hAnsi="Arial" w:cs="Arial"/>
        </w:rPr>
        <w:t>At some institutions, the lab</w:t>
      </w:r>
      <w:r>
        <w:rPr>
          <w:rFonts w:ascii="Arial" w:hAnsi="Arial" w:cs="Arial"/>
        </w:rPr>
        <w:t>oratory</w:t>
      </w:r>
      <w:r w:rsidRPr="00997C38">
        <w:rPr>
          <w:rFonts w:ascii="Arial" w:hAnsi="Arial" w:cs="Arial"/>
        </w:rPr>
        <w:t xml:space="preserve"> reports display the ANC value </w:t>
      </w:r>
      <w:r>
        <w:rPr>
          <w:rFonts w:ascii="Arial" w:hAnsi="Arial" w:cs="Arial"/>
        </w:rPr>
        <w:t xml:space="preserve">once </w:t>
      </w:r>
      <w:r w:rsidRPr="00997C38">
        <w:rPr>
          <w:rFonts w:ascii="Arial" w:hAnsi="Arial" w:cs="Arial"/>
        </w:rPr>
        <w:t>there are sufficient white blood cells to perform a differential count</w:t>
      </w:r>
      <w:r w:rsidR="00F91ED8">
        <w:rPr>
          <w:rFonts w:ascii="Arial" w:hAnsi="Arial" w:cs="Arial"/>
        </w:rPr>
        <w:t xml:space="preserve">.  </w:t>
      </w:r>
      <w:r w:rsidRPr="00997C38">
        <w:rPr>
          <w:rFonts w:ascii="Arial" w:hAnsi="Arial" w:cs="Arial"/>
        </w:rPr>
        <w:t>At other institutions, the lab</w:t>
      </w:r>
      <w:r>
        <w:rPr>
          <w:rFonts w:ascii="Arial" w:hAnsi="Arial" w:cs="Arial"/>
        </w:rPr>
        <w:t>oratory</w:t>
      </w:r>
      <w:r w:rsidRPr="00997C38">
        <w:rPr>
          <w:rFonts w:ascii="Arial" w:hAnsi="Arial" w:cs="Arial"/>
        </w:rPr>
        <w:t xml:space="preserve"> reports do not display the ANC</w:t>
      </w:r>
      <w:r>
        <w:rPr>
          <w:rFonts w:ascii="Arial" w:hAnsi="Arial" w:cs="Arial"/>
        </w:rPr>
        <w:t>,</w:t>
      </w:r>
      <w:r w:rsidRPr="00997C38">
        <w:rPr>
          <w:rFonts w:ascii="Arial" w:hAnsi="Arial" w:cs="Arial"/>
        </w:rPr>
        <w:t xml:space="preserve"> and it </w:t>
      </w:r>
      <w:proofErr w:type="gramStart"/>
      <w:r>
        <w:rPr>
          <w:rFonts w:ascii="Arial" w:hAnsi="Arial" w:cs="Arial"/>
        </w:rPr>
        <w:t>must be calculated</w:t>
      </w:r>
      <w:proofErr w:type="gramEnd"/>
      <w:r>
        <w:rPr>
          <w:rFonts w:ascii="Arial" w:hAnsi="Arial" w:cs="Arial"/>
        </w:rPr>
        <w:t xml:space="preserve"> from the whit</w:t>
      </w:r>
      <w:r w:rsidRPr="00997C38">
        <w:rPr>
          <w:rFonts w:ascii="Arial" w:hAnsi="Arial" w:cs="Arial"/>
        </w:rPr>
        <w:t>e blood cell count (WBC) and the percent of segmented and band neutrophils (if the differential was performed on a machine, the percent neutrophils will include both segmented and band neutrophils)</w:t>
      </w:r>
      <w:r w:rsidR="00F91ED8">
        <w:rPr>
          <w:rFonts w:ascii="Arial" w:hAnsi="Arial" w:cs="Arial"/>
        </w:rPr>
        <w:t xml:space="preserve">.  </w:t>
      </w:r>
      <w:r w:rsidRPr="00A1720C">
        <w:rPr>
          <w:rFonts w:ascii="Arial" w:hAnsi="Arial" w:cs="Arial"/>
        </w:rPr>
        <w:t xml:space="preserve">If the laboratory report displays an automated ANC value of exactly </w:t>
      </w:r>
      <w:r w:rsidR="00256E76">
        <w:rPr>
          <w:rFonts w:ascii="Arial" w:hAnsi="Arial" w:cs="Arial"/>
        </w:rPr>
        <w:t>0.5</w:t>
      </w:r>
      <w:r w:rsidRPr="00A1720C">
        <w:rPr>
          <w:rFonts w:ascii="Arial" w:hAnsi="Arial" w:cs="Arial"/>
        </w:rPr>
        <w:t xml:space="preserve">, the actual ANC value </w:t>
      </w:r>
      <w:proofErr w:type="gramStart"/>
      <w:r w:rsidRPr="00A1720C">
        <w:rPr>
          <w:rFonts w:ascii="Arial" w:hAnsi="Arial" w:cs="Arial"/>
        </w:rPr>
        <w:t>should be calculated</w:t>
      </w:r>
      <w:proofErr w:type="gramEnd"/>
      <w:r w:rsidRPr="00A1720C">
        <w:rPr>
          <w:rFonts w:ascii="Arial" w:hAnsi="Arial" w:cs="Arial"/>
        </w:rPr>
        <w:t xml:space="preserve"> from the manual differential if available</w:t>
      </w:r>
      <w:r w:rsidR="00F91ED8">
        <w:rPr>
          <w:rFonts w:ascii="Arial" w:hAnsi="Arial" w:cs="Arial"/>
        </w:rPr>
        <w:t xml:space="preserve">.  </w:t>
      </w:r>
      <w:r w:rsidRPr="00A1720C">
        <w:rPr>
          <w:rFonts w:ascii="Arial" w:hAnsi="Arial" w:cs="Arial"/>
        </w:rPr>
        <w:t>The calculated value from the manual differential will determine ANC recovery</w:t>
      </w:r>
      <w:r w:rsidR="00F91ED8">
        <w:rPr>
          <w:rFonts w:ascii="Arial" w:hAnsi="Arial" w:cs="Arial"/>
        </w:rPr>
        <w:t xml:space="preserve">.  </w:t>
      </w:r>
      <w:r w:rsidRPr="00997C38">
        <w:rPr>
          <w:rFonts w:ascii="Arial" w:hAnsi="Arial" w:cs="Arial"/>
        </w:rPr>
        <w:t>If your institution’s lab</w:t>
      </w:r>
      <w:r>
        <w:rPr>
          <w:rFonts w:ascii="Arial" w:hAnsi="Arial" w:cs="Arial"/>
        </w:rPr>
        <w:t>oratory</w:t>
      </w:r>
      <w:r w:rsidRPr="00997C38">
        <w:rPr>
          <w:rFonts w:ascii="Arial" w:hAnsi="Arial" w:cs="Arial"/>
        </w:rPr>
        <w:t xml:space="preserve"> reports do not display the ANC value, use the following calculation to determine the ANC:</w:t>
      </w:r>
    </w:p>
    <w:p w14:paraId="27272B48" w14:textId="17E3B1E8" w:rsidR="00F45F5B" w:rsidRDefault="00F45F5B">
      <w:pPr>
        <w:spacing w:after="200" w:line="276" w:lineRule="auto"/>
        <w:rPr>
          <w:rFonts w:ascii="Arial" w:hAnsi="Arial" w:cs="Arial"/>
        </w:rPr>
      </w:pPr>
      <w:r>
        <w:rPr>
          <w:rFonts w:ascii="Arial" w:hAnsi="Arial" w:cs="Arial"/>
        </w:rPr>
        <w:br w:type="page"/>
      </w:r>
    </w:p>
    <w:p w14:paraId="24B41DD5" w14:textId="77777777" w:rsidR="00A1720C" w:rsidRPr="00F84477" w:rsidRDefault="00A1720C" w:rsidP="00F84477">
      <w:pPr>
        <w:spacing w:after="200" w:line="276" w:lineRule="auto"/>
        <w:rPr>
          <w:rFonts w:ascii="Arial" w:hAnsi="Arial" w:cs="Arial"/>
        </w:rPr>
      </w:pPr>
      <w:r>
        <w:rPr>
          <w:rFonts w:ascii="Arial" w:hAnsi="Arial" w:cs="Arial"/>
          <w:b/>
        </w:rPr>
        <w:lastRenderedPageBreak/>
        <w:t>Example 1: Calculating Absolute Neutrophil Count (ANC)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3A70A"/>
        <w:tblLook w:val="01E0" w:firstRow="1" w:lastRow="1" w:firstColumn="1" w:lastColumn="1" w:noHBand="0" w:noVBand="0"/>
      </w:tblPr>
      <w:tblGrid>
        <w:gridCol w:w="9198"/>
      </w:tblGrid>
      <w:tr w:rsidR="00A1720C" w:rsidRPr="002D545E" w14:paraId="45DD38DB" w14:textId="77777777" w:rsidTr="002D545E">
        <w:tc>
          <w:tcPr>
            <w:tcW w:w="9198" w:type="dxa"/>
            <w:shd w:val="clear" w:color="auto" w:fill="63A70A"/>
          </w:tcPr>
          <w:p w14:paraId="2CE94275" w14:textId="77777777" w:rsidR="00A1720C" w:rsidRPr="002D545E" w:rsidRDefault="00A1720C" w:rsidP="00136238">
            <w:pPr>
              <w:autoSpaceDE w:val="0"/>
              <w:autoSpaceDN w:val="0"/>
              <w:adjustRightInd w:val="0"/>
              <w:ind w:left="720" w:right="1260" w:firstLine="900"/>
              <w:rPr>
                <w:rFonts w:ascii="Arial" w:hAnsi="Arial" w:cs="Arial"/>
                <w:color w:val="FFFFFF" w:themeColor="background1"/>
              </w:rPr>
            </w:pPr>
            <w:r w:rsidRPr="002D545E">
              <w:rPr>
                <w:rFonts w:ascii="Arial" w:hAnsi="Arial" w:cs="Arial"/>
                <w:color w:val="FFFFFF" w:themeColor="background1"/>
              </w:rPr>
              <w:t xml:space="preserve">      % segmented neutrophils</w:t>
            </w:r>
          </w:p>
          <w:p w14:paraId="0BA74053" w14:textId="77777777" w:rsidR="00930293" w:rsidRPr="002D545E" w:rsidRDefault="00A1720C">
            <w:pPr>
              <w:tabs>
                <w:tab w:val="right" w:pos="5220"/>
              </w:tabs>
              <w:autoSpaceDE w:val="0"/>
              <w:autoSpaceDN w:val="0"/>
              <w:adjustRightInd w:val="0"/>
              <w:ind w:left="720" w:right="1260" w:firstLine="900"/>
              <w:rPr>
                <w:rFonts w:ascii="Arial" w:hAnsi="Arial" w:cs="Arial"/>
                <w:color w:val="FFFFFF" w:themeColor="background1"/>
                <w:u w:val="single"/>
              </w:rPr>
            </w:pPr>
            <w:r w:rsidRPr="002D545E">
              <w:rPr>
                <w:rFonts w:ascii="Arial" w:hAnsi="Arial" w:cs="Arial"/>
                <w:color w:val="FFFFFF" w:themeColor="background1"/>
                <w:u w:val="single"/>
              </w:rPr>
              <w:t>+    % band neutrophils</w:t>
            </w:r>
            <w:r w:rsidR="00312461" w:rsidRPr="002D545E">
              <w:rPr>
                <w:rFonts w:ascii="Arial" w:hAnsi="Arial" w:cs="Arial"/>
                <w:color w:val="FFFFFF" w:themeColor="background1"/>
                <w:u w:val="single"/>
              </w:rPr>
              <w:tab/>
            </w:r>
          </w:p>
          <w:p w14:paraId="2A5B5E03" w14:textId="77777777" w:rsidR="00A1720C" w:rsidRPr="002D545E" w:rsidRDefault="00A1720C" w:rsidP="00136238">
            <w:pPr>
              <w:autoSpaceDE w:val="0"/>
              <w:autoSpaceDN w:val="0"/>
              <w:adjustRightInd w:val="0"/>
              <w:ind w:left="720" w:right="1260" w:firstLine="900"/>
              <w:rPr>
                <w:rFonts w:ascii="Arial" w:hAnsi="Arial" w:cs="Arial"/>
                <w:color w:val="FFFFFF" w:themeColor="background1"/>
              </w:rPr>
            </w:pPr>
            <w:r w:rsidRPr="002D545E">
              <w:rPr>
                <w:rFonts w:ascii="Arial" w:hAnsi="Arial" w:cs="Arial"/>
                <w:color w:val="FFFFFF" w:themeColor="background1"/>
              </w:rPr>
              <w:t>=    % neutrophils</w:t>
            </w:r>
          </w:p>
          <w:p w14:paraId="0E3252DD" w14:textId="77777777" w:rsidR="00930293" w:rsidRPr="002D545E" w:rsidRDefault="00A1720C">
            <w:pPr>
              <w:tabs>
                <w:tab w:val="right" w:pos="5220"/>
              </w:tabs>
              <w:autoSpaceDE w:val="0"/>
              <w:autoSpaceDN w:val="0"/>
              <w:adjustRightInd w:val="0"/>
              <w:ind w:left="720" w:right="1260" w:firstLine="900"/>
              <w:rPr>
                <w:rFonts w:ascii="Arial" w:hAnsi="Arial" w:cs="Arial"/>
                <w:color w:val="FFFFFF" w:themeColor="background1"/>
                <w:u w:val="single"/>
              </w:rPr>
            </w:pPr>
            <w:r w:rsidRPr="002D545E">
              <w:rPr>
                <w:rFonts w:ascii="Arial" w:hAnsi="Arial" w:cs="Arial"/>
                <w:color w:val="FFFFFF" w:themeColor="background1"/>
                <w:u w:val="single"/>
              </w:rPr>
              <w:t>x    white blood cell count/mm</w:t>
            </w:r>
            <w:r w:rsidRPr="002D545E">
              <w:rPr>
                <w:rFonts w:ascii="Arial" w:hAnsi="Arial" w:cs="Arial"/>
                <w:color w:val="FFFFFF" w:themeColor="background1"/>
                <w:u w:val="single"/>
                <w:vertAlign w:val="superscript"/>
              </w:rPr>
              <w:t>3</w:t>
            </w:r>
            <w:r w:rsidR="00312461" w:rsidRPr="002D545E">
              <w:rPr>
                <w:rFonts w:ascii="Arial" w:hAnsi="Arial" w:cs="Arial"/>
                <w:color w:val="FFFFFF" w:themeColor="background1"/>
                <w:sz w:val="22"/>
                <w:szCs w:val="22"/>
                <w:u w:val="single"/>
              </w:rPr>
              <w:tab/>
            </w:r>
          </w:p>
          <w:p w14:paraId="3BA19D7C" w14:textId="77777777" w:rsidR="00A1720C" w:rsidRPr="002D545E" w:rsidRDefault="00A1720C" w:rsidP="00136238">
            <w:pPr>
              <w:autoSpaceDE w:val="0"/>
              <w:autoSpaceDN w:val="0"/>
              <w:adjustRightInd w:val="0"/>
              <w:ind w:left="720" w:right="1260" w:firstLine="900"/>
              <w:rPr>
                <w:rFonts w:ascii="Arial" w:hAnsi="Arial" w:cs="Arial"/>
                <w:color w:val="FFFFFF" w:themeColor="background1"/>
              </w:rPr>
            </w:pPr>
            <w:r w:rsidRPr="002D545E">
              <w:rPr>
                <w:rFonts w:ascii="Arial" w:hAnsi="Arial" w:cs="Arial"/>
                <w:color w:val="FFFFFF" w:themeColor="background1"/>
              </w:rPr>
              <w:t>=    absolute neutrophil count/mm</w:t>
            </w:r>
            <w:r w:rsidRPr="002D545E">
              <w:rPr>
                <w:rFonts w:ascii="Arial" w:hAnsi="Arial" w:cs="Arial"/>
                <w:color w:val="FFFFFF" w:themeColor="background1"/>
                <w:vertAlign w:val="superscript"/>
              </w:rPr>
              <w:t>3</w:t>
            </w:r>
          </w:p>
          <w:p w14:paraId="4223768A" w14:textId="77777777" w:rsidR="00A1720C" w:rsidRPr="002D545E" w:rsidRDefault="00A1720C" w:rsidP="00136238">
            <w:pPr>
              <w:autoSpaceDE w:val="0"/>
              <w:autoSpaceDN w:val="0"/>
              <w:adjustRightInd w:val="0"/>
              <w:ind w:left="720" w:right="1260" w:firstLine="900"/>
              <w:rPr>
                <w:rFonts w:ascii="Arial" w:hAnsi="Arial" w:cs="Arial"/>
                <w:color w:val="FFFFFF" w:themeColor="background1"/>
              </w:rPr>
            </w:pPr>
          </w:p>
          <w:p w14:paraId="65875376" w14:textId="77777777" w:rsidR="00A1720C" w:rsidRPr="002D545E" w:rsidRDefault="00A1720C" w:rsidP="00136238">
            <w:pPr>
              <w:autoSpaceDE w:val="0"/>
              <w:autoSpaceDN w:val="0"/>
              <w:adjustRightInd w:val="0"/>
              <w:ind w:left="720" w:right="1260" w:firstLine="900"/>
              <w:rPr>
                <w:rFonts w:ascii="Arial" w:hAnsi="Arial" w:cs="Arial"/>
                <w:color w:val="FFFFFF" w:themeColor="background1"/>
              </w:rPr>
            </w:pPr>
            <w:r w:rsidRPr="002D545E">
              <w:rPr>
                <w:rFonts w:ascii="Arial" w:hAnsi="Arial" w:cs="Arial"/>
                <w:b/>
                <w:color w:val="FFFFFF" w:themeColor="background1"/>
              </w:rPr>
              <w:t>Example:</w:t>
            </w:r>
          </w:p>
          <w:p w14:paraId="1399D313" w14:textId="77777777" w:rsidR="00A1720C" w:rsidRPr="002D545E" w:rsidRDefault="00A1720C" w:rsidP="00136238">
            <w:pPr>
              <w:autoSpaceDE w:val="0"/>
              <w:autoSpaceDN w:val="0"/>
              <w:adjustRightInd w:val="0"/>
              <w:ind w:left="720" w:right="1260" w:firstLine="900"/>
              <w:rPr>
                <w:rFonts w:ascii="Arial" w:hAnsi="Arial" w:cs="Arial"/>
                <w:color w:val="FFFFFF" w:themeColor="background1"/>
              </w:rPr>
            </w:pPr>
            <w:r w:rsidRPr="002D545E">
              <w:rPr>
                <w:rFonts w:ascii="Arial" w:hAnsi="Arial" w:cs="Arial"/>
                <w:color w:val="FFFFFF" w:themeColor="background1"/>
              </w:rPr>
              <w:t>(Divide percentage by 100 to convert to decimal)</w:t>
            </w:r>
          </w:p>
          <w:p w14:paraId="0F434763" w14:textId="77777777" w:rsidR="00A1720C" w:rsidRPr="002D545E" w:rsidRDefault="00A1720C" w:rsidP="00136238">
            <w:pPr>
              <w:autoSpaceDE w:val="0"/>
              <w:autoSpaceDN w:val="0"/>
              <w:adjustRightInd w:val="0"/>
              <w:ind w:left="720" w:right="1260" w:firstLine="900"/>
              <w:rPr>
                <w:rFonts w:ascii="Arial" w:hAnsi="Arial" w:cs="Arial"/>
                <w:color w:val="FFFFFF" w:themeColor="background1"/>
              </w:rPr>
            </w:pPr>
          </w:p>
          <w:p w14:paraId="23165F62" w14:textId="77777777" w:rsidR="00930293" w:rsidRPr="002D545E" w:rsidRDefault="00A1720C">
            <w:pPr>
              <w:tabs>
                <w:tab w:val="decimal" w:pos="2160"/>
              </w:tabs>
              <w:autoSpaceDE w:val="0"/>
              <w:autoSpaceDN w:val="0"/>
              <w:adjustRightInd w:val="0"/>
              <w:ind w:right="1260"/>
              <w:rPr>
                <w:rFonts w:ascii="Arial" w:hAnsi="Arial" w:cs="Arial"/>
                <w:color w:val="FFFFFF" w:themeColor="background1"/>
              </w:rPr>
            </w:pPr>
            <w:r w:rsidRPr="002D545E">
              <w:rPr>
                <w:rFonts w:ascii="Arial" w:hAnsi="Arial" w:cs="Arial"/>
                <w:color w:val="FFFFFF" w:themeColor="background1"/>
              </w:rPr>
              <w:t xml:space="preserve">                              0.45 segmented neutrophils</w:t>
            </w:r>
          </w:p>
          <w:p w14:paraId="2C55F1D8" w14:textId="77777777" w:rsidR="00930293" w:rsidRPr="002D545E" w:rsidRDefault="00A1720C">
            <w:pPr>
              <w:tabs>
                <w:tab w:val="right" w:pos="5760"/>
              </w:tabs>
              <w:autoSpaceDE w:val="0"/>
              <w:autoSpaceDN w:val="0"/>
              <w:adjustRightInd w:val="0"/>
              <w:ind w:left="720" w:right="1260" w:firstLine="900"/>
              <w:rPr>
                <w:rFonts w:ascii="Arial" w:hAnsi="Arial" w:cs="Arial"/>
                <w:color w:val="FFFFFF" w:themeColor="background1"/>
                <w:u w:val="single"/>
              </w:rPr>
            </w:pPr>
            <w:r w:rsidRPr="002D545E">
              <w:rPr>
                <w:rFonts w:ascii="Arial" w:hAnsi="Arial" w:cs="Arial"/>
                <w:color w:val="FFFFFF" w:themeColor="background1"/>
                <w:u w:val="single"/>
              </w:rPr>
              <w:t>+    0.05 band neutrophils</w:t>
            </w:r>
            <w:r w:rsidR="0099012C" w:rsidRPr="002D545E">
              <w:rPr>
                <w:rFonts w:ascii="Arial" w:hAnsi="Arial" w:cs="Arial"/>
                <w:color w:val="FFFFFF" w:themeColor="background1"/>
                <w:sz w:val="22"/>
                <w:szCs w:val="22"/>
                <w:u w:val="single"/>
              </w:rPr>
              <w:tab/>
            </w:r>
          </w:p>
          <w:p w14:paraId="782BAAA1" w14:textId="77777777" w:rsidR="00A1720C" w:rsidRPr="002D545E" w:rsidRDefault="00A1720C" w:rsidP="00136238">
            <w:pPr>
              <w:autoSpaceDE w:val="0"/>
              <w:autoSpaceDN w:val="0"/>
              <w:adjustRightInd w:val="0"/>
              <w:ind w:left="720" w:right="1260" w:firstLine="900"/>
              <w:rPr>
                <w:rFonts w:ascii="Arial" w:hAnsi="Arial" w:cs="Arial"/>
                <w:color w:val="FFFFFF" w:themeColor="background1"/>
              </w:rPr>
            </w:pPr>
            <w:r w:rsidRPr="002D545E">
              <w:rPr>
                <w:rFonts w:ascii="Arial" w:hAnsi="Arial" w:cs="Arial"/>
                <w:color w:val="FFFFFF" w:themeColor="background1"/>
              </w:rPr>
              <w:t>=    0.50 neutrophils</w:t>
            </w:r>
          </w:p>
          <w:p w14:paraId="3E3DE769" w14:textId="77777777" w:rsidR="00A1720C" w:rsidRPr="002D545E" w:rsidRDefault="00A1720C" w:rsidP="00136238">
            <w:pPr>
              <w:autoSpaceDE w:val="0"/>
              <w:autoSpaceDN w:val="0"/>
              <w:adjustRightInd w:val="0"/>
              <w:ind w:left="720" w:right="1260" w:firstLine="900"/>
              <w:rPr>
                <w:rFonts w:ascii="Arial" w:hAnsi="Arial" w:cs="Arial"/>
                <w:color w:val="FFFFFF" w:themeColor="background1"/>
                <w:u w:val="single"/>
              </w:rPr>
            </w:pPr>
            <w:r w:rsidRPr="002D545E">
              <w:rPr>
                <w:rFonts w:ascii="Arial" w:hAnsi="Arial" w:cs="Arial"/>
                <w:color w:val="FFFFFF" w:themeColor="background1"/>
                <w:u w:val="single"/>
              </w:rPr>
              <w:t>x    1000/mm</w:t>
            </w:r>
            <w:r w:rsidRPr="002D545E">
              <w:rPr>
                <w:rFonts w:ascii="Arial" w:hAnsi="Arial" w:cs="Arial"/>
                <w:color w:val="FFFFFF" w:themeColor="background1"/>
                <w:u w:val="single"/>
                <w:vertAlign w:val="superscript"/>
              </w:rPr>
              <w:t xml:space="preserve">3 </w:t>
            </w:r>
            <w:r w:rsidRPr="002D545E">
              <w:rPr>
                <w:rFonts w:ascii="Arial" w:hAnsi="Arial" w:cs="Arial"/>
                <w:color w:val="FFFFFF" w:themeColor="background1"/>
                <w:u w:val="single"/>
              </w:rPr>
              <w:t>white blood cell count</w:t>
            </w:r>
            <w:r w:rsidR="00312461" w:rsidRPr="002D545E">
              <w:rPr>
                <w:rFonts w:ascii="Arial" w:hAnsi="Arial" w:cs="Arial"/>
                <w:color w:val="FFFFFF" w:themeColor="background1"/>
                <w:sz w:val="22"/>
                <w:szCs w:val="22"/>
                <w:u w:val="single"/>
              </w:rPr>
              <w:tab/>
            </w:r>
          </w:p>
          <w:p w14:paraId="67E389F9" w14:textId="77777777" w:rsidR="00A1720C" w:rsidRPr="002D545E" w:rsidRDefault="00A1720C" w:rsidP="00136238">
            <w:pPr>
              <w:autoSpaceDE w:val="0"/>
              <w:autoSpaceDN w:val="0"/>
              <w:adjustRightInd w:val="0"/>
              <w:ind w:left="720" w:right="1260" w:firstLine="900"/>
              <w:rPr>
                <w:rFonts w:ascii="Arial" w:hAnsi="Arial" w:cs="Arial"/>
                <w:color w:val="FFFFFF" w:themeColor="background1"/>
              </w:rPr>
            </w:pPr>
            <w:r w:rsidRPr="002D545E">
              <w:rPr>
                <w:rFonts w:ascii="Arial" w:hAnsi="Arial" w:cs="Arial"/>
                <w:color w:val="FFFFFF" w:themeColor="background1"/>
              </w:rPr>
              <w:t>=    500/mm</w:t>
            </w:r>
            <w:r w:rsidRPr="002D545E">
              <w:rPr>
                <w:rFonts w:ascii="Arial" w:hAnsi="Arial" w:cs="Arial"/>
                <w:color w:val="FFFFFF" w:themeColor="background1"/>
                <w:vertAlign w:val="superscript"/>
              </w:rPr>
              <w:t xml:space="preserve">3* </w:t>
            </w:r>
            <w:r w:rsidRPr="002D545E">
              <w:rPr>
                <w:rFonts w:ascii="Arial" w:hAnsi="Arial" w:cs="Arial"/>
                <w:color w:val="FFFFFF" w:themeColor="background1"/>
              </w:rPr>
              <w:t>absolute neutrophil count</w:t>
            </w:r>
          </w:p>
          <w:p w14:paraId="1F3105B4" w14:textId="77777777" w:rsidR="00A1720C" w:rsidRPr="002D545E" w:rsidRDefault="00A1720C" w:rsidP="00136238">
            <w:pPr>
              <w:autoSpaceDE w:val="0"/>
              <w:autoSpaceDN w:val="0"/>
              <w:adjustRightInd w:val="0"/>
              <w:ind w:left="720" w:right="1260" w:firstLine="900"/>
              <w:rPr>
                <w:rFonts w:ascii="Arial" w:hAnsi="Arial" w:cs="Arial"/>
                <w:color w:val="FFFFFF" w:themeColor="background1"/>
              </w:rPr>
            </w:pPr>
          </w:p>
          <w:p w14:paraId="36B4819D" w14:textId="77777777" w:rsidR="00A1720C" w:rsidRPr="002D545E" w:rsidRDefault="00A1720C" w:rsidP="00F633E7">
            <w:pPr>
              <w:autoSpaceDE w:val="0"/>
              <w:autoSpaceDN w:val="0"/>
              <w:adjustRightInd w:val="0"/>
              <w:ind w:left="720" w:right="1260"/>
              <w:rPr>
                <w:rFonts w:ascii="Arial" w:hAnsi="Arial" w:cs="Arial"/>
                <w:b/>
                <w:color w:val="FFFFFF" w:themeColor="background1"/>
              </w:rPr>
            </w:pPr>
            <w:r w:rsidRPr="002D545E">
              <w:rPr>
                <w:rFonts w:ascii="Arial" w:hAnsi="Arial" w:cs="Arial"/>
                <w:color w:val="FFFFFF" w:themeColor="background1"/>
              </w:rPr>
              <w:t>ANC 500/mm</w:t>
            </w:r>
            <w:r w:rsidRPr="002D545E">
              <w:rPr>
                <w:rFonts w:ascii="Arial" w:hAnsi="Arial" w:cs="Arial"/>
                <w:color w:val="FFFFFF" w:themeColor="background1"/>
                <w:vertAlign w:val="superscript"/>
              </w:rPr>
              <w:t>3</w:t>
            </w:r>
            <w:r w:rsidR="0099012C" w:rsidRPr="002D545E">
              <w:rPr>
                <w:rFonts w:ascii="Arial" w:hAnsi="Arial" w:cs="Arial"/>
                <w:color w:val="FFFFFF" w:themeColor="background1"/>
              </w:rPr>
              <w:t xml:space="preserve"> </w:t>
            </w:r>
            <w:r w:rsidR="00312461" w:rsidRPr="002D545E">
              <w:rPr>
                <w:rFonts w:ascii="Arial" w:hAnsi="Arial" w:cs="Arial"/>
                <w:color w:val="FFFFFF" w:themeColor="background1"/>
              </w:rPr>
              <w:t xml:space="preserve"> </w:t>
            </w:r>
            <w:r w:rsidRPr="002D545E">
              <w:rPr>
                <w:rFonts w:ascii="Arial" w:hAnsi="Arial" w:cs="Arial"/>
                <w:color w:val="FFFFFF" w:themeColor="background1"/>
              </w:rPr>
              <w:t>=</w:t>
            </w:r>
            <w:r w:rsidR="00312461" w:rsidRPr="002D545E">
              <w:rPr>
                <w:rFonts w:ascii="Arial" w:hAnsi="Arial" w:cs="Arial"/>
                <w:color w:val="FFFFFF" w:themeColor="background1"/>
              </w:rPr>
              <w:t xml:space="preserve"> </w:t>
            </w:r>
            <w:r w:rsidRPr="002D545E">
              <w:rPr>
                <w:rFonts w:ascii="Arial" w:hAnsi="Arial" w:cs="Arial"/>
                <w:color w:val="FFFFFF" w:themeColor="background1"/>
              </w:rPr>
              <w:t xml:space="preserve"> 0.5 x 10</w:t>
            </w:r>
            <w:r w:rsidRPr="002D545E">
              <w:rPr>
                <w:rFonts w:ascii="Arial" w:hAnsi="Arial" w:cs="Arial"/>
                <w:color w:val="FFFFFF" w:themeColor="background1"/>
                <w:vertAlign w:val="superscript"/>
              </w:rPr>
              <w:t>9</w:t>
            </w:r>
            <w:r w:rsidRPr="002D545E">
              <w:rPr>
                <w:rFonts w:ascii="Arial" w:hAnsi="Arial" w:cs="Arial"/>
                <w:color w:val="FFFFFF" w:themeColor="background1"/>
              </w:rPr>
              <w:t xml:space="preserve">/L </w:t>
            </w:r>
            <w:r w:rsidR="00312461" w:rsidRPr="002D545E">
              <w:rPr>
                <w:rFonts w:ascii="Arial" w:hAnsi="Arial" w:cs="Arial"/>
                <w:color w:val="FFFFFF" w:themeColor="background1"/>
              </w:rPr>
              <w:t xml:space="preserve"> </w:t>
            </w:r>
            <w:r w:rsidRPr="002D545E">
              <w:rPr>
                <w:rFonts w:ascii="Arial" w:hAnsi="Arial" w:cs="Arial"/>
                <w:color w:val="FFFFFF" w:themeColor="background1"/>
              </w:rPr>
              <w:t>=</w:t>
            </w:r>
            <w:r w:rsidR="00312461" w:rsidRPr="002D545E">
              <w:rPr>
                <w:rFonts w:ascii="Arial" w:hAnsi="Arial" w:cs="Arial"/>
                <w:color w:val="FFFFFF" w:themeColor="background1"/>
              </w:rPr>
              <w:t xml:space="preserve"> </w:t>
            </w:r>
            <w:r w:rsidRPr="002D545E">
              <w:rPr>
                <w:rFonts w:ascii="Arial" w:hAnsi="Arial" w:cs="Arial"/>
                <w:color w:val="FFFFFF" w:themeColor="background1"/>
              </w:rPr>
              <w:t xml:space="preserve"> 0.5 x 10</w:t>
            </w:r>
            <w:r w:rsidR="00F633E7">
              <w:rPr>
                <w:rFonts w:ascii="Arial" w:hAnsi="Arial" w:cs="Arial"/>
                <w:color w:val="FFFFFF" w:themeColor="background1"/>
                <w:vertAlign w:val="superscript"/>
              </w:rPr>
              <w:t>6</w:t>
            </w:r>
            <w:r w:rsidRPr="002D545E">
              <w:rPr>
                <w:rFonts w:ascii="Arial" w:hAnsi="Arial" w:cs="Arial"/>
                <w:color w:val="FFFFFF" w:themeColor="background1"/>
              </w:rPr>
              <w:t xml:space="preserve">/mL </w:t>
            </w:r>
            <w:r w:rsidR="00312461" w:rsidRPr="002D545E">
              <w:rPr>
                <w:rFonts w:ascii="Arial" w:hAnsi="Arial" w:cs="Arial"/>
                <w:color w:val="FFFFFF" w:themeColor="background1"/>
              </w:rPr>
              <w:t xml:space="preserve"> </w:t>
            </w:r>
            <w:r w:rsidRPr="002D545E">
              <w:rPr>
                <w:rFonts w:ascii="Arial" w:hAnsi="Arial" w:cs="Arial"/>
                <w:color w:val="FFFFFF" w:themeColor="background1"/>
              </w:rPr>
              <w:t xml:space="preserve">= </w:t>
            </w:r>
            <w:r w:rsidR="00312461" w:rsidRPr="002D545E">
              <w:rPr>
                <w:rFonts w:ascii="Arial" w:hAnsi="Arial" w:cs="Arial"/>
                <w:color w:val="FFFFFF" w:themeColor="background1"/>
              </w:rPr>
              <w:t xml:space="preserve"> </w:t>
            </w:r>
            <w:r w:rsidRPr="002D545E">
              <w:rPr>
                <w:rFonts w:ascii="Arial" w:hAnsi="Arial" w:cs="Arial"/>
                <w:color w:val="FFFFFF" w:themeColor="background1"/>
              </w:rPr>
              <w:t>0.5 x 10</w:t>
            </w:r>
            <w:r w:rsidRPr="002D545E">
              <w:rPr>
                <w:rFonts w:ascii="Arial" w:hAnsi="Arial" w:cs="Arial"/>
                <w:color w:val="FFFFFF" w:themeColor="background1"/>
                <w:vertAlign w:val="superscript"/>
              </w:rPr>
              <w:t>3</w:t>
            </w:r>
            <w:r w:rsidRPr="002D545E">
              <w:rPr>
                <w:rFonts w:ascii="Arial" w:hAnsi="Arial" w:cs="Arial"/>
                <w:color w:val="FFFFFF" w:themeColor="background1"/>
              </w:rPr>
              <w:t>/mm</w:t>
            </w:r>
            <w:r w:rsidRPr="002D545E">
              <w:rPr>
                <w:rFonts w:ascii="Arial" w:hAnsi="Arial" w:cs="Arial"/>
                <w:color w:val="FFFFFF" w:themeColor="background1"/>
                <w:vertAlign w:val="superscript"/>
              </w:rPr>
              <w:t>3</w:t>
            </w:r>
          </w:p>
        </w:tc>
      </w:tr>
    </w:tbl>
    <w:p w14:paraId="52DAF4B6" w14:textId="0CD314C2" w:rsidR="00A1720C" w:rsidRPr="00875D68" w:rsidRDefault="00A1720C" w:rsidP="00A1720C">
      <w:pPr>
        <w:autoSpaceDE w:val="0"/>
        <w:autoSpaceDN w:val="0"/>
        <w:adjustRightInd w:val="0"/>
        <w:rPr>
          <w:rFonts w:ascii="Arial" w:hAnsi="Arial" w:cs="Arial"/>
          <w:sz w:val="18"/>
          <w:szCs w:val="18"/>
        </w:rPr>
      </w:pPr>
      <w:r w:rsidRPr="00875D68">
        <w:rPr>
          <w:rFonts w:ascii="Arial" w:hAnsi="Arial" w:cs="Arial"/>
          <w:sz w:val="18"/>
          <w:szCs w:val="18"/>
        </w:rPr>
        <w:t xml:space="preserve">*Traditionally, the definition of ANC recovery required selecting the first date of three consecutive days in which the </w:t>
      </w:r>
      <w:proofErr w:type="gramStart"/>
      <w:r w:rsidRPr="00875D68">
        <w:rPr>
          <w:rFonts w:ascii="Arial" w:hAnsi="Arial" w:cs="Arial"/>
          <w:sz w:val="18"/>
          <w:szCs w:val="18"/>
        </w:rPr>
        <w:t>recipient’s</w:t>
      </w:r>
      <w:proofErr w:type="gramEnd"/>
      <w:r w:rsidRPr="00875D68">
        <w:rPr>
          <w:rFonts w:ascii="Arial" w:hAnsi="Arial" w:cs="Arial"/>
          <w:sz w:val="18"/>
          <w:szCs w:val="18"/>
        </w:rPr>
        <w:t xml:space="preserve"> ANC was ≥ 0.5x10</w:t>
      </w:r>
      <w:r w:rsidRPr="00875D68">
        <w:rPr>
          <w:rFonts w:ascii="Arial" w:hAnsi="Arial" w:cs="Arial"/>
          <w:sz w:val="18"/>
          <w:szCs w:val="18"/>
          <w:vertAlign w:val="superscript"/>
        </w:rPr>
        <w:t>9</w:t>
      </w:r>
      <w:r w:rsidRPr="00875D68">
        <w:rPr>
          <w:rFonts w:ascii="Arial" w:hAnsi="Arial" w:cs="Arial"/>
          <w:sz w:val="18"/>
          <w:szCs w:val="18"/>
        </w:rPr>
        <w:t>/L</w:t>
      </w:r>
      <w:r w:rsidR="00312461" w:rsidRPr="00875D68">
        <w:rPr>
          <w:rFonts w:ascii="Arial" w:hAnsi="Arial" w:cs="Arial"/>
          <w:sz w:val="18"/>
          <w:szCs w:val="18"/>
        </w:rPr>
        <w:t xml:space="preserve"> (500/mm</w:t>
      </w:r>
      <w:r w:rsidR="00312461" w:rsidRPr="00875D68">
        <w:rPr>
          <w:rFonts w:ascii="Arial" w:hAnsi="Arial" w:cs="Arial"/>
          <w:sz w:val="18"/>
          <w:szCs w:val="18"/>
          <w:vertAlign w:val="superscript"/>
        </w:rPr>
        <w:t>3</w:t>
      </w:r>
      <w:r w:rsidRPr="00875D68">
        <w:rPr>
          <w:rFonts w:ascii="Arial" w:hAnsi="Arial" w:cs="Arial"/>
          <w:sz w:val="18"/>
          <w:szCs w:val="18"/>
        </w:rPr>
        <w:t>)</w:t>
      </w:r>
      <w:r w:rsidR="00F91ED8">
        <w:rPr>
          <w:rFonts w:ascii="Arial" w:hAnsi="Arial" w:cs="Arial"/>
          <w:sz w:val="18"/>
          <w:szCs w:val="18"/>
        </w:rPr>
        <w:t xml:space="preserve">.  </w:t>
      </w:r>
      <w:r w:rsidRPr="00875D68">
        <w:rPr>
          <w:rFonts w:ascii="Arial" w:hAnsi="Arial" w:cs="Arial"/>
          <w:sz w:val="18"/>
          <w:szCs w:val="18"/>
        </w:rPr>
        <w:t>For various reasons it may not be possible to obtain daily laboratory values</w:t>
      </w:r>
      <w:r w:rsidR="00F91ED8">
        <w:rPr>
          <w:rFonts w:ascii="Arial" w:hAnsi="Arial" w:cs="Arial"/>
          <w:sz w:val="18"/>
          <w:szCs w:val="18"/>
        </w:rPr>
        <w:t xml:space="preserve">.  </w:t>
      </w:r>
      <w:r w:rsidRPr="00875D68">
        <w:rPr>
          <w:rFonts w:ascii="Arial" w:hAnsi="Arial" w:cs="Arial"/>
          <w:sz w:val="18"/>
          <w:szCs w:val="18"/>
        </w:rPr>
        <w:t xml:space="preserve">Under those circumstances, report ANC recovery based upon three consecutive laboratory values (drawn more than a day apart) as long as the ANC remains </w:t>
      </w:r>
      <w:r w:rsidR="00312461" w:rsidRPr="00875D68">
        <w:rPr>
          <w:rFonts w:ascii="Arial" w:hAnsi="Arial" w:cs="Arial"/>
          <w:sz w:val="18"/>
          <w:szCs w:val="18"/>
        </w:rPr>
        <w:t xml:space="preserve">≥ </w:t>
      </w:r>
      <w:r w:rsidRPr="00875D68">
        <w:rPr>
          <w:rFonts w:ascii="Arial" w:hAnsi="Arial" w:cs="Arial"/>
          <w:sz w:val="18"/>
          <w:szCs w:val="18"/>
        </w:rPr>
        <w:t>0.5x10</w:t>
      </w:r>
      <w:r w:rsidRPr="00875D68">
        <w:rPr>
          <w:rFonts w:ascii="Arial" w:hAnsi="Arial" w:cs="Arial"/>
          <w:sz w:val="18"/>
          <w:szCs w:val="18"/>
          <w:vertAlign w:val="superscript"/>
        </w:rPr>
        <w:t>9</w:t>
      </w:r>
      <w:r w:rsidRPr="00875D68">
        <w:rPr>
          <w:rFonts w:ascii="Arial" w:hAnsi="Arial" w:cs="Arial"/>
          <w:sz w:val="18"/>
          <w:szCs w:val="18"/>
        </w:rPr>
        <w:t>/L</w:t>
      </w:r>
      <w:r w:rsidR="00312461" w:rsidRPr="00875D68">
        <w:rPr>
          <w:rFonts w:ascii="Arial" w:hAnsi="Arial" w:cs="Arial"/>
          <w:sz w:val="18"/>
          <w:szCs w:val="18"/>
        </w:rPr>
        <w:t xml:space="preserve"> (500/mm</w:t>
      </w:r>
      <w:r w:rsidR="00312461" w:rsidRPr="00875D68">
        <w:rPr>
          <w:rFonts w:ascii="Arial" w:hAnsi="Arial" w:cs="Arial"/>
          <w:sz w:val="18"/>
          <w:szCs w:val="18"/>
          <w:vertAlign w:val="superscript"/>
        </w:rPr>
        <w:t>3</w:t>
      </w:r>
      <w:r w:rsidRPr="00875D68">
        <w:rPr>
          <w:rFonts w:ascii="Arial" w:hAnsi="Arial" w:cs="Arial"/>
          <w:sz w:val="18"/>
          <w:szCs w:val="18"/>
        </w:rPr>
        <w:t xml:space="preserve">). </w:t>
      </w:r>
    </w:p>
    <w:p w14:paraId="34EACB13" w14:textId="77777777" w:rsidR="00A1720C" w:rsidRDefault="00A1720C" w:rsidP="00A1720C">
      <w:pPr>
        <w:autoSpaceDE w:val="0"/>
        <w:autoSpaceDN w:val="0"/>
        <w:adjustRightInd w:val="0"/>
      </w:pPr>
    </w:p>
    <w:p w14:paraId="2E7D7364" w14:textId="53AAED2E" w:rsidR="00A1720C" w:rsidRDefault="00A1720C" w:rsidP="00A1720C">
      <w:pPr>
        <w:autoSpaceDE w:val="0"/>
        <w:autoSpaceDN w:val="0"/>
        <w:adjustRightInd w:val="0"/>
        <w:rPr>
          <w:rFonts w:ascii="Arial" w:hAnsi="Arial" w:cs="Arial"/>
        </w:rPr>
      </w:pPr>
      <w:r w:rsidRPr="00E2629B">
        <w:rPr>
          <w:rFonts w:ascii="Arial" w:hAnsi="Arial" w:cs="Arial"/>
        </w:rPr>
        <w:t>Tracking the date of</w:t>
      </w:r>
      <w:r>
        <w:rPr>
          <w:rFonts w:ascii="Arial" w:hAnsi="Arial" w:cs="Arial"/>
        </w:rPr>
        <w:t xml:space="preserve"> ANC</w:t>
      </w:r>
      <w:r w:rsidRPr="00E2629B">
        <w:rPr>
          <w:rFonts w:ascii="Arial" w:hAnsi="Arial" w:cs="Arial"/>
        </w:rPr>
        <w:t xml:space="preserve"> </w:t>
      </w:r>
      <w:r>
        <w:rPr>
          <w:rFonts w:ascii="Arial" w:hAnsi="Arial" w:cs="Arial"/>
        </w:rPr>
        <w:t>recovery</w:t>
      </w:r>
      <w:r w:rsidRPr="00E2629B">
        <w:rPr>
          <w:rFonts w:ascii="Arial" w:hAnsi="Arial" w:cs="Arial"/>
        </w:rPr>
        <w:t xml:space="preserve"> may not always be straightforward</w:t>
      </w:r>
      <w:r w:rsidR="00F91ED8">
        <w:rPr>
          <w:rFonts w:ascii="Arial" w:hAnsi="Arial" w:cs="Arial"/>
        </w:rPr>
        <w:t xml:space="preserve">.  </w:t>
      </w:r>
      <w:r w:rsidRPr="00E2629B">
        <w:rPr>
          <w:rFonts w:ascii="Arial" w:hAnsi="Arial" w:cs="Arial"/>
        </w:rPr>
        <w:t xml:space="preserve">In some </w:t>
      </w:r>
      <w:proofErr w:type="gramStart"/>
      <w:r w:rsidRPr="00E2629B">
        <w:rPr>
          <w:rFonts w:ascii="Arial" w:hAnsi="Arial" w:cs="Arial"/>
        </w:rPr>
        <w:t>cases</w:t>
      </w:r>
      <w:proofErr w:type="gramEnd"/>
      <w:r w:rsidRPr="00E2629B">
        <w:rPr>
          <w:rFonts w:ascii="Arial" w:hAnsi="Arial" w:cs="Arial"/>
        </w:rPr>
        <w:t xml:space="preserve"> the ANC may fluctuate for a period of time before the </w:t>
      </w:r>
      <w:r>
        <w:rPr>
          <w:rFonts w:ascii="Arial" w:hAnsi="Arial" w:cs="Arial"/>
        </w:rPr>
        <w:t>recipient</w:t>
      </w:r>
      <w:r w:rsidRPr="00E2629B">
        <w:rPr>
          <w:rFonts w:ascii="Arial" w:hAnsi="Arial" w:cs="Arial"/>
        </w:rPr>
        <w:t xml:space="preserve"> fully </w:t>
      </w:r>
      <w:r>
        <w:rPr>
          <w:rFonts w:ascii="Arial" w:hAnsi="Arial" w:cs="Arial"/>
        </w:rPr>
        <w:t>recovers</w:t>
      </w:r>
      <w:r w:rsidR="00F91ED8">
        <w:rPr>
          <w:rFonts w:ascii="Arial" w:hAnsi="Arial" w:cs="Arial"/>
        </w:rPr>
        <w:t xml:space="preserve">.  </w:t>
      </w:r>
      <w:r w:rsidRPr="00E2629B">
        <w:rPr>
          <w:rFonts w:ascii="Arial" w:hAnsi="Arial" w:cs="Arial"/>
        </w:rPr>
        <w:t xml:space="preserve">In other cases the ANC may remain above </w:t>
      </w:r>
      <w:r w:rsidRPr="00FC39A8">
        <w:rPr>
          <w:rFonts w:ascii="Arial" w:hAnsi="Arial" w:cs="Arial"/>
        </w:rPr>
        <w:t>0.5 x 10</w:t>
      </w:r>
      <w:r w:rsidRPr="00FC39A8">
        <w:rPr>
          <w:rFonts w:ascii="Arial" w:hAnsi="Arial" w:cs="Arial"/>
          <w:vertAlign w:val="superscript"/>
        </w:rPr>
        <w:t>9</w:t>
      </w:r>
      <w:r w:rsidRPr="00FC39A8">
        <w:rPr>
          <w:rFonts w:ascii="Arial" w:hAnsi="Arial" w:cs="Arial"/>
        </w:rPr>
        <w:t xml:space="preserve">/L </w:t>
      </w:r>
      <w:r w:rsidRPr="00E2629B">
        <w:rPr>
          <w:rFonts w:ascii="Arial" w:hAnsi="Arial" w:cs="Arial"/>
        </w:rPr>
        <w:t>for several days immediately post-</w:t>
      </w:r>
      <w:r w:rsidR="00AF4E5A">
        <w:rPr>
          <w:rFonts w:ascii="Arial" w:hAnsi="Arial" w:cs="Arial"/>
        </w:rPr>
        <w:t>HCT</w:t>
      </w:r>
      <w:r w:rsidRPr="00E2629B">
        <w:rPr>
          <w:rFonts w:ascii="Arial" w:hAnsi="Arial" w:cs="Arial"/>
        </w:rPr>
        <w:t xml:space="preserve"> and then fall below</w:t>
      </w:r>
      <w:r w:rsidR="00501748">
        <w:rPr>
          <w:rFonts w:ascii="Arial" w:hAnsi="Arial" w:cs="Arial"/>
        </w:rPr>
        <w:t xml:space="preserve"> 0.5 x</w:t>
      </w:r>
      <w:r w:rsidR="00501748" w:rsidRPr="00FC39A8">
        <w:rPr>
          <w:rFonts w:ascii="Arial" w:hAnsi="Arial" w:cs="Arial"/>
        </w:rPr>
        <w:t>10</w:t>
      </w:r>
      <w:r w:rsidR="00501748" w:rsidRPr="00FC39A8">
        <w:rPr>
          <w:rFonts w:ascii="Arial" w:hAnsi="Arial" w:cs="Arial"/>
          <w:vertAlign w:val="superscript"/>
        </w:rPr>
        <w:t>9</w:t>
      </w:r>
      <w:r w:rsidR="00501748" w:rsidRPr="00FC39A8">
        <w:rPr>
          <w:rFonts w:ascii="Arial" w:hAnsi="Arial" w:cs="Arial"/>
        </w:rPr>
        <w:t>/L</w:t>
      </w:r>
      <w:r w:rsidR="00F91ED8">
        <w:rPr>
          <w:rFonts w:ascii="Arial" w:hAnsi="Arial" w:cs="Arial"/>
        </w:rPr>
        <w:t xml:space="preserve">.  </w:t>
      </w:r>
      <w:r w:rsidRPr="00E2629B">
        <w:rPr>
          <w:rFonts w:ascii="Arial" w:hAnsi="Arial" w:cs="Arial"/>
        </w:rPr>
        <w:t xml:space="preserve">Do not begin counting ANC values of ≥ </w:t>
      </w:r>
      <w:r w:rsidRPr="00FC39A8">
        <w:rPr>
          <w:rFonts w:ascii="Arial" w:hAnsi="Arial" w:cs="Arial"/>
        </w:rPr>
        <w:t>0.5 x 10</w:t>
      </w:r>
      <w:r w:rsidRPr="00FC39A8">
        <w:rPr>
          <w:rFonts w:ascii="Arial" w:hAnsi="Arial" w:cs="Arial"/>
          <w:vertAlign w:val="superscript"/>
        </w:rPr>
        <w:t>9</w:t>
      </w:r>
      <w:r w:rsidRPr="00FC39A8">
        <w:rPr>
          <w:rFonts w:ascii="Arial" w:hAnsi="Arial" w:cs="Arial"/>
        </w:rPr>
        <w:t xml:space="preserve">/L </w:t>
      </w:r>
      <w:r w:rsidRPr="00E2629B">
        <w:rPr>
          <w:rFonts w:ascii="Arial" w:hAnsi="Arial" w:cs="Arial"/>
        </w:rPr>
        <w:t xml:space="preserve">towards </w:t>
      </w:r>
      <w:r>
        <w:rPr>
          <w:rFonts w:ascii="Arial" w:hAnsi="Arial" w:cs="Arial"/>
        </w:rPr>
        <w:t>recovery</w:t>
      </w:r>
      <w:r w:rsidRPr="00E2629B">
        <w:rPr>
          <w:rFonts w:ascii="Arial" w:hAnsi="Arial" w:cs="Arial"/>
        </w:rPr>
        <w:t xml:space="preserve"> until the ANC has dropped </w:t>
      </w:r>
      <w:r>
        <w:rPr>
          <w:rFonts w:ascii="Arial" w:hAnsi="Arial" w:cs="Arial"/>
        </w:rPr>
        <w:t>to the lowest level (nadir)</w:t>
      </w:r>
      <w:r w:rsidRPr="00E2629B">
        <w:rPr>
          <w:rFonts w:ascii="Arial" w:hAnsi="Arial" w:cs="Arial"/>
        </w:rPr>
        <w:t xml:space="preserve"> </w:t>
      </w:r>
      <w:r>
        <w:rPr>
          <w:rFonts w:ascii="Arial" w:hAnsi="Arial" w:cs="Arial"/>
        </w:rPr>
        <w:t>post-</w:t>
      </w:r>
      <w:r w:rsidR="00AF4E5A">
        <w:rPr>
          <w:rFonts w:ascii="Arial" w:hAnsi="Arial" w:cs="Arial"/>
        </w:rPr>
        <w:t>HCT</w:t>
      </w:r>
      <w:r w:rsidR="00F91ED8">
        <w:rPr>
          <w:rFonts w:ascii="Arial" w:hAnsi="Arial" w:cs="Arial"/>
        </w:rPr>
        <w:t xml:space="preserve">.  </w:t>
      </w:r>
      <w:r>
        <w:rPr>
          <w:rFonts w:ascii="Arial" w:hAnsi="Arial" w:cs="Arial"/>
        </w:rPr>
        <w:t>If the recipient was transplanted using a non-</w:t>
      </w:r>
      <w:proofErr w:type="spellStart"/>
      <w:r>
        <w:rPr>
          <w:rFonts w:ascii="Arial" w:hAnsi="Arial" w:cs="Arial"/>
        </w:rPr>
        <w:t>myeloablative</w:t>
      </w:r>
      <w:proofErr w:type="spellEnd"/>
      <w:r>
        <w:rPr>
          <w:rFonts w:ascii="Arial" w:hAnsi="Arial" w:cs="Arial"/>
        </w:rPr>
        <w:t xml:space="preserve"> (NST) or reduced intensity (RIC) regimen, or was transplanted for an immunodeficiency (e.g., SCID, WAS), the recipient’s ANC may never drop below</w:t>
      </w:r>
      <w:r w:rsidRPr="00E2629B">
        <w:rPr>
          <w:rFonts w:ascii="Arial" w:hAnsi="Arial" w:cs="Arial"/>
        </w:rPr>
        <w:t xml:space="preserve"> </w:t>
      </w:r>
      <w:r w:rsidRPr="00FC39A8">
        <w:rPr>
          <w:rFonts w:ascii="Arial" w:hAnsi="Arial" w:cs="Arial"/>
        </w:rPr>
        <w:t>0.5 x 10</w:t>
      </w:r>
      <w:r w:rsidRPr="00FC39A8">
        <w:rPr>
          <w:rFonts w:ascii="Arial" w:hAnsi="Arial" w:cs="Arial"/>
          <w:vertAlign w:val="superscript"/>
        </w:rPr>
        <w:t>9</w:t>
      </w:r>
      <w:r>
        <w:rPr>
          <w:rFonts w:ascii="Arial" w:hAnsi="Arial" w:cs="Arial"/>
        </w:rPr>
        <w:t>/L</w:t>
      </w:r>
      <w:r w:rsidR="00F91ED8">
        <w:rPr>
          <w:rFonts w:ascii="Arial" w:hAnsi="Arial" w:cs="Arial"/>
        </w:rPr>
        <w:t xml:space="preserve">.  </w:t>
      </w:r>
      <w:r w:rsidRPr="00E2629B">
        <w:rPr>
          <w:rFonts w:ascii="Arial" w:hAnsi="Arial" w:cs="Arial"/>
        </w:rPr>
        <w:t xml:space="preserve">If this is the case, </w:t>
      </w:r>
      <w:r>
        <w:rPr>
          <w:rFonts w:ascii="Arial" w:hAnsi="Arial" w:cs="Arial"/>
        </w:rPr>
        <w:t>a</w:t>
      </w:r>
      <w:r w:rsidRPr="00E2629B">
        <w:rPr>
          <w:rFonts w:ascii="Arial" w:hAnsi="Arial" w:cs="Arial"/>
        </w:rPr>
        <w:t xml:space="preserve">n ANC </w:t>
      </w:r>
      <w:r>
        <w:rPr>
          <w:rFonts w:ascii="Arial" w:hAnsi="Arial" w:cs="Arial"/>
        </w:rPr>
        <w:t>recovery date</w:t>
      </w:r>
      <w:r w:rsidRPr="00E2629B">
        <w:rPr>
          <w:rFonts w:ascii="Arial" w:hAnsi="Arial" w:cs="Arial"/>
        </w:rPr>
        <w:t xml:space="preserve"> will</w:t>
      </w:r>
      <w:r>
        <w:rPr>
          <w:rFonts w:ascii="Arial" w:hAnsi="Arial" w:cs="Arial"/>
        </w:rPr>
        <w:t xml:space="preserve"> not</w:t>
      </w:r>
      <w:r w:rsidRPr="00E2629B">
        <w:rPr>
          <w:rFonts w:ascii="Arial" w:hAnsi="Arial" w:cs="Arial"/>
        </w:rPr>
        <w:t xml:space="preserve"> be reported</w:t>
      </w:r>
      <w:r>
        <w:rPr>
          <w:rFonts w:ascii="Arial" w:hAnsi="Arial" w:cs="Arial"/>
        </w:rPr>
        <w:t>, and the “never below” option should be chosen</w:t>
      </w:r>
      <w:r w:rsidR="00F91ED8">
        <w:rPr>
          <w:rFonts w:ascii="Arial" w:hAnsi="Arial" w:cs="Arial"/>
        </w:rPr>
        <w:t xml:space="preserve">.  </w:t>
      </w:r>
      <w:r>
        <w:rPr>
          <w:rFonts w:ascii="Arial" w:hAnsi="Arial" w:cs="Arial"/>
        </w:rPr>
        <w:t>However, if the recipient’s ANC drops below 0.5x10</w:t>
      </w:r>
      <w:r w:rsidRPr="00724552">
        <w:rPr>
          <w:rFonts w:ascii="Arial" w:hAnsi="Arial" w:cs="Arial"/>
          <w:vertAlign w:val="superscript"/>
        </w:rPr>
        <w:t>9</w:t>
      </w:r>
      <w:r>
        <w:rPr>
          <w:rFonts w:ascii="Arial" w:hAnsi="Arial" w:cs="Arial"/>
        </w:rPr>
        <w:t xml:space="preserve">/L for even one day, this </w:t>
      </w:r>
      <w:proofErr w:type="gramStart"/>
      <w:r>
        <w:rPr>
          <w:rFonts w:ascii="Arial" w:hAnsi="Arial" w:cs="Arial"/>
        </w:rPr>
        <w:t>should be considered</w:t>
      </w:r>
      <w:proofErr w:type="gramEnd"/>
      <w:r>
        <w:rPr>
          <w:rFonts w:ascii="Arial" w:hAnsi="Arial" w:cs="Arial"/>
        </w:rPr>
        <w:t xml:space="preserve"> the nadir and “never below” should not be chosen</w:t>
      </w:r>
      <w:r w:rsidR="00F91ED8">
        <w:rPr>
          <w:rFonts w:ascii="Arial" w:hAnsi="Arial" w:cs="Arial"/>
        </w:rPr>
        <w:t xml:space="preserve">.  </w:t>
      </w:r>
      <w:r w:rsidRPr="00E2629B">
        <w:rPr>
          <w:rFonts w:ascii="Arial" w:hAnsi="Arial" w:cs="Arial"/>
        </w:rPr>
        <w:t>S</w:t>
      </w:r>
      <w:r>
        <w:rPr>
          <w:rFonts w:ascii="Arial" w:hAnsi="Arial" w:cs="Arial"/>
        </w:rPr>
        <w:t xml:space="preserve">ee the following example for more information regarding tracking </w:t>
      </w:r>
      <w:r w:rsidRPr="00E2629B">
        <w:rPr>
          <w:rFonts w:ascii="Arial" w:hAnsi="Arial" w:cs="Arial"/>
        </w:rPr>
        <w:t xml:space="preserve">the date of </w:t>
      </w:r>
      <w:r>
        <w:rPr>
          <w:rFonts w:ascii="Arial" w:hAnsi="Arial" w:cs="Arial"/>
        </w:rPr>
        <w:t>ANC</w:t>
      </w:r>
      <w:r w:rsidRPr="00E2629B">
        <w:rPr>
          <w:rFonts w:ascii="Arial" w:hAnsi="Arial" w:cs="Arial"/>
        </w:rPr>
        <w:t xml:space="preserve"> </w:t>
      </w:r>
      <w:r>
        <w:rPr>
          <w:rFonts w:ascii="Arial" w:hAnsi="Arial" w:cs="Arial"/>
        </w:rPr>
        <w:t>recovery.</w:t>
      </w:r>
    </w:p>
    <w:p w14:paraId="6EFE4E2C" w14:textId="70AAA1F9" w:rsidR="00F45F5B" w:rsidRDefault="00F45F5B">
      <w:pPr>
        <w:spacing w:after="200" w:line="276" w:lineRule="auto"/>
        <w:rPr>
          <w:rFonts w:ascii="Arial" w:hAnsi="Arial" w:cs="Arial"/>
        </w:rPr>
      </w:pPr>
      <w:r>
        <w:rPr>
          <w:rFonts w:ascii="Arial" w:hAnsi="Arial" w:cs="Arial"/>
        </w:rPr>
        <w:br w:type="page"/>
      </w:r>
    </w:p>
    <w:p w14:paraId="1DC094DA" w14:textId="740BC22B" w:rsidR="00A1720C" w:rsidRPr="009746B7" w:rsidRDefault="00A1720C" w:rsidP="006C2818">
      <w:pPr>
        <w:spacing w:after="200" w:line="276" w:lineRule="auto"/>
        <w:rPr>
          <w:rFonts w:ascii="Arial" w:hAnsi="Arial" w:cs="Arial"/>
          <w:b/>
        </w:rPr>
      </w:pPr>
      <w:r>
        <w:rPr>
          <w:rFonts w:ascii="Arial" w:hAnsi="Arial" w:cs="Arial"/>
          <w:b/>
        </w:rPr>
        <w:lastRenderedPageBreak/>
        <w:t xml:space="preserve">Example 2: </w:t>
      </w:r>
      <w:r w:rsidR="005A3F32">
        <w:rPr>
          <w:rFonts w:ascii="Arial" w:hAnsi="Arial" w:cs="Arial"/>
          <w:b/>
        </w:rPr>
        <w:t xml:space="preserve"> </w:t>
      </w:r>
      <w:r>
        <w:rPr>
          <w:rFonts w:ascii="Arial" w:hAnsi="Arial" w:cs="Arial"/>
          <w:b/>
        </w:rPr>
        <w:t>Tracking ANC Recovery</w:t>
      </w:r>
    </w:p>
    <w:tbl>
      <w:tblPr>
        <w:tblW w:w="8835" w:type="dxa"/>
        <w:tblInd w:w="93" w:type="dxa"/>
        <w:tblBorders>
          <w:top w:val="single" w:sz="4" w:space="0" w:color="auto"/>
          <w:left w:val="single" w:sz="4" w:space="0" w:color="auto"/>
          <w:bottom w:val="single" w:sz="4" w:space="0" w:color="auto"/>
          <w:right w:val="single" w:sz="4" w:space="0" w:color="auto"/>
        </w:tblBorders>
        <w:shd w:val="clear" w:color="auto" w:fill="D9D9D9"/>
        <w:tblLayout w:type="fixed"/>
        <w:tblLook w:val="0000" w:firstRow="0" w:lastRow="0" w:firstColumn="0" w:lastColumn="0" w:noHBand="0" w:noVBand="0"/>
      </w:tblPr>
      <w:tblGrid>
        <w:gridCol w:w="1073"/>
        <w:gridCol w:w="799"/>
        <w:gridCol w:w="1958"/>
        <w:gridCol w:w="774"/>
        <w:gridCol w:w="4231"/>
      </w:tblGrid>
      <w:tr w:rsidR="00A1720C" w14:paraId="2FA5C8C6" w14:textId="77777777" w:rsidTr="009829F8">
        <w:trPr>
          <w:trHeight w:val="345"/>
        </w:trPr>
        <w:tc>
          <w:tcPr>
            <w:tcW w:w="8835" w:type="dxa"/>
            <w:gridSpan w:val="5"/>
            <w:tcBorders>
              <w:top w:val="single" w:sz="4" w:space="0" w:color="auto"/>
              <w:bottom w:val="single" w:sz="4" w:space="0" w:color="auto"/>
            </w:tcBorders>
            <w:shd w:val="clear" w:color="auto" w:fill="63A70A" w:themeFill="accent2"/>
            <w:vAlign w:val="center"/>
          </w:tcPr>
          <w:p w14:paraId="001B3AA7" w14:textId="77777777" w:rsidR="00A1720C" w:rsidRPr="009829F8" w:rsidRDefault="00A1720C" w:rsidP="00136238">
            <w:pPr>
              <w:rPr>
                <w:rFonts w:ascii="Arial" w:hAnsi="Arial" w:cs="Arial"/>
                <w:b/>
                <w:color w:val="FFFFFF" w:themeColor="background1"/>
              </w:rPr>
            </w:pPr>
            <w:bookmarkStart w:id="4" w:name="example2"/>
            <w:bookmarkEnd w:id="4"/>
            <w:r w:rsidRPr="009829F8">
              <w:rPr>
                <w:rFonts w:ascii="Arial" w:hAnsi="Arial" w:cs="Arial"/>
                <w:b/>
                <w:color w:val="FFFFFF" w:themeColor="background1"/>
              </w:rPr>
              <w:t xml:space="preserve">Transplant Date = May 6 </w:t>
            </w:r>
          </w:p>
        </w:tc>
      </w:tr>
      <w:tr w:rsidR="00A1720C" w14:paraId="0AA5174F" w14:textId="77777777" w:rsidTr="009829F8">
        <w:trPr>
          <w:trHeight w:val="345"/>
        </w:trPr>
        <w:tc>
          <w:tcPr>
            <w:tcW w:w="1073" w:type="dxa"/>
            <w:tcBorders>
              <w:top w:val="single" w:sz="4" w:space="0" w:color="auto"/>
              <w:bottom w:val="single" w:sz="4" w:space="0" w:color="auto"/>
              <w:right w:val="single" w:sz="4" w:space="0" w:color="auto"/>
            </w:tcBorders>
            <w:shd w:val="clear" w:color="auto" w:fill="63A70A" w:themeFill="accent2"/>
            <w:vAlign w:val="center"/>
          </w:tcPr>
          <w:p w14:paraId="06141EF0" w14:textId="77777777" w:rsidR="00A1720C" w:rsidRPr="009829F8" w:rsidRDefault="00A1720C" w:rsidP="001C68AD">
            <w:pPr>
              <w:rPr>
                <w:rFonts w:ascii="Arial" w:hAnsi="Arial" w:cs="Arial"/>
                <w:b/>
                <w:bCs/>
                <w:color w:val="FFFFFF" w:themeColor="background1"/>
              </w:rPr>
            </w:pPr>
            <w:r w:rsidRPr="009829F8">
              <w:rPr>
                <w:rFonts w:ascii="Arial" w:hAnsi="Arial" w:cs="Arial"/>
                <w:b/>
                <w:bCs/>
                <w:color w:val="FFFFFF" w:themeColor="background1"/>
              </w:rPr>
              <w:t>Date</w:t>
            </w:r>
          </w:p>
        </w:tc>
        <w:tc>
          <w:tcPr>
            <w:tcW w:w="799" w:type="dxa"/>
            <w:tcBorders>
              <w:top w:val="single" w:sz="4" w:space="0" w:color="auto"/>
              <w:left w:val="single" w:sz="4" w:space="0" w:color="auto"/>
              <w:bottom w:val="single" w:sz="4" w:space="0" w:color="auto"/>
              <w:right w:val="single" w:sz="4" w:space="0" w:color="auto"/>
            </w:tcBorders>
            <w:shd w:val="clear" w:color="auto" w:fill="63A70A" w:themeFill="accent2"/>
            <w:vAlign w:val="center"/>
          </w:tcPr>
          <w:p w14:paraId="4CF3983B" w14:textId="77777777" w:rsidR="00930293" w:rsidRPr="009829F8" w:rsidRDefault="00A1720C">
            <w:pPr>
              <w:jc w:val="center"/>
              <w:rPr>
                <w:rFonts w:ascii="Arial" w:hAnsi="Arial" w:cs="Arial"/>
                <w:b/>
                <w:bCs/>
                <w:color w:val="FFFFFF" w:themeColor="background1"/>
              </w:rPr>
            </w:pPr>
            <w:r w:rsidRPr="009829F8">
              <w:rPr>
                <w:rFonts w:ascii="Arial" w:hAnsi="Arial" w:cs="Arial"/>
                <w:b/>
                <w:bCs/>
                <w:color w:val="FFFFFF" w:themeColor="background1"/>
              </w:rPr>
              <w:t>WBC</w:t>
            </w:r>
          </w:p>
        </w:tc>
        <w:tc>
          <w:tcPr>
            <w:tcW w:w="1958" w:type="dxa"/>
            <w:tcBorders>
              <w:top w:val="single" w:sz="4" w:space="0" w:color="auto"/>
              <w:left w:val="single" w:sz="4" w:space="0" w:color="auto"/>
              <w:bottom w:val="single" w:sz="4" w:space="0" w:color="auto"/>
              <w:right w:val="single" w:sz="4" w:space="0" w:color="auto"/>
            </w:tcBorders>
            <w:shd w:val="clear" w:color="auto" w:fill="63A70A" w:themeFill="accent2"/>
            <w:vAlign w:val="center"/>
          </w:tcPr>
          <w:p w14:paraId="3823EE5E" w14:textId="77777777" w:rsidR="00A1720C" w:rsidRPr="009829F8" w:rsidRDefault="00A1720C" w:rsidP="001C68AD">
            <w:pPr>
              <w:rPr>
                <w:rFonts w:ascii="Arial" w:hAnsi="Arial" w:cs="Arial"/>
                <w:b/>
                <w:bCs/>
                <w:color w:val="FFFFFF" w:themeColor="background1"/>
              </w:rPr>
            </w:pPr>
            <w:r w:rsidRPr="009829F8">
              <w:rPr>
                <w:rFonts w:ascii="Arial" w:hAnsi="Arial" w:cs="Arial"/>
                <w:b/>
                <w:bCs/>
                <w:color w:val="FFFFFF" w:themeColor="background1"/>
              </w:rPr>
              <w:t>% Neutrophils</w:t>
            </w:r>
          </w:p>
        </w:tc>
        <w:tc>
          <w:tcPr>
            <w:tcW w:w="774" w:type="dxa"/>
            <w:tcBorders>
              <w:top w:val="single" w:sz="4" w:space="0" w:color="auto"/>
              <w:left w:val="single" w:sz="4" w:space="0" w:color="auto"/>
              <w:bottom w:val="single" w:sz="4" w:space="0" w:color="auto"/>
              <w:right w:val="single" w:sz="4" w:space="0" w:color="auto"/>
            </w:tcBorders>
            <w:shd w:val="clear" w:color="auto" w:fill="63A70A" w:themeFill="accent2"/>
            <w:vAlign w:val="center"/>
          </w:tcPr>
          <w:p w14:paraId="557C6B4E" w14:textId="77777777" w:rsidR="00A1720C" w:rsidRPr="009829F8" w:rsidRDefault="00A1720C" w:rsidP="001C68AD">
            <w:pPr>
              <w:rPr>
                <w:rFonts w:ascii="Arial" w:hAnsi="Arial" w:cs="Arial"/>
                <w:b/>
                <w:bCs/>
                <w:color w:val="FFFFFF" w:themeColor="background1"/>
              </w:rPr>
            </w:pPr>
            <w:r w:rsidRPr="009829F8">
              <w:rPr>
                <w:rFonts w:ascii="Arial" w:hAnsi="Arial" w:cs="Arial"/>
                <w:b/>
                <w:bCs/>
                <w:color w:val="FFFFFF" w:themeColor="background1"/>
              </w:rPr>
              <w:t>ANC</w:t>
            </w:r>
          </w:p>
        </w:tc>
        <w:tc>
          <w:tcPr>
            <w:tcW w:w="4231" w:type="dxa"/>
            <w:vMerge w:val="restart"/>
            <w:tcBorders>
              <w:top w:val="single" w:sz="4" w:space="0" w:color="auto"/>
              <w:left w:val="single" w:sz="4" w:space="0" w:color="auto"/>
            </w:tcBorders>
            <w:shd w:val="clear" w:color="auto" w:fill="FFFFFF" w:themeFill="background1"/>
            <w:noWrap/>
            <w:vAlign w:val="center"/>
          </w:tcPr>
          <w:p w14:paraId="212D8367" w14:textId="77777777" w:rsidR="00A1720C" w:rsidRDefault="00A1720C" w:rsidP="001C68AD">
            <w:pPr>
              <w:rPr>
                <w:rFonts w:ascii="Arial" w:hAnsi="Arial" w:cs="Arial"/>
                <w:sz w:val="20"/>
                <w:szCs w:val="20"/>
              </w:rPr>
            </w:pPr>
            <w:r>
              <w:rPr>
                <w:rFonts w:ascii="Arial" w:hAnsi="Arial" w:cs="Arial"/>
                <w:sz w:val="20"/>
                <w:szCs w:val="20"/>
              </w:rPr>
              <w:t> </w:t>
            </w:r>
          </w:p>
          <w:p w14:paraId="6A16C7C1" w14:textId="77777777" w:rsidR="00A1720C" w:rsidRDefault="00A1720C" w:rsidP="001C68AD">
            <w:pPr>
              <w:rPr>
                <w:rFonts w:ascii="Arial" w:hAnsi="Arial" w:cs="Arial"/>
                <w:sz w:val="20"/>
                <w:szCs w:val="20"/>
              </w:rPr>
            </w:pPr>
            <w:r>
              <w:rPr>
                <w:rFonts w:ascii="Arial" w:hAnsi="Arial" w:cs="Arial"/>
                <w:sz w:val="20"/>
                <w:szCs w:val="20"/>
              </w:rPr>
              <w:t> </w:t>
            </w:r>
          </w:p>
          <w:p w14:paraId="06FA1FF1" w14:textId="77777777" w:rsidR="00A1720C" w:rsidRDefault="00A1720C" w:rsidP="001C68AD">
            <w:pPr>
              <w:rPr>
                <w:rFonts w:ascii="Arial" w:hAnsi="Arial" w:cs="Arial"/>
                <w:sz w:val="20"/>
                <w:szCs w:val="20"/>
              </w:rPr>
            </w:pPr>
            <w:r>
              <w:rPr>
                <w:rFonts w:ascii="Arial" w:hAnsi="Arial" w:cs="Arial"/>
                <w:sz w:val="20"/>
                <w:szCs w:val="20"/>
              </w:rPr>
              <w:t> </w:t>
            </w:r>
          </w:p>
          <w:p w14:paraId="44A81873" w14:textId="77777777" w:rsidR="00A1720C" w:rsidRDefault="00A1720C" w:rsidP="006D29D4">
            <w:pPr>
              <w:rPr>
                <w:rFonts w:ascii="Arial" w:hAnsi="Arial" w:cs="Arial"/>
                <w:sz w:val="20"/>
                <w:szCs w:val="20"/>
              </w:rPr>
            </w:pPr>
            <w:r>
              <w:rPr>
                <w:rFonts w:ascii="Arial" w:hAnsi="Arial" w:cs="Arial"/>
                <w:sz w:val="20"/>
                <w:szCs w:val="20"/>
              </w:rPr>
              <w:t> </w:t>
            </w:r>
          </w:p>
          <w:p w14:paraId="7FBEBA95" w14:textId="77777777" w:rsidR="00A1720C" w:rsidRDefault="00A1720C" w:rsidP="00434D4B">
            <w:pPr>
              <w:rPr>
                <w:rFonts w:ascii="Arial" w:hAnsi="Arial" w:cs="Arial"/>
                <w:sz w:val="20"/>
                <w:szCs w:val="20"/>
              </w:rPr>
            </w:pPr>
            <w:r>
              <w:rPr>
                <w:rFonts w:ascii="Arial" w:hAnsi="Arial" w:cs="Arial"/>
                <w:sz w:val="20"/>
                <w:szCs w:val="20"/>
              </w:rPr>
              <w:t> </w:t>
            </w:r>
          </w:p>
          <w:p w14:paraId="5308D8EB" w14:textId="77777777" w:rsidR="00A1720C" w:rsidRDefault="00A1720C" w:rsidP="00434D4B">
            <w:pPr>
              <w:rPr>
                <w:rFonts w:ascii="Arial" w:hAnsi="Arial" w:cs="Arial"/>
                <w:sz w:val="20"/>
                <w:szCs w:val="20"/>
              </w:rPr>
            </w:pPr>
            <w:r>
              <w:rPr>
                <w:rFonts w:ascii="Arial" w:hAnsi="Arial" w:cs="Arial"/>
                <w:sz w:val="20"/>
                <w:szCs w:val="20"/>
              </w:rPr>
              <w:t> </w:t>
            </w:r>
          </w:p>
          <w:p w14:paraId="157693B4" w14:textId="77777777" w:rsidR="00A1720C" w:rsidRDefault="00A1720C" w:rsidP="00434D4B">
            <w:pPr>
              <w:rPr>
                <w:rFonts w:ascii="Arial" w:hAnsi="Arial" w:cs="Arial"/>
                <w:sz w:val="20"/>
                <w:szCs w:val="20"/>
              </w:rPr>
            </w:pPr>
            <w:r>
              <w:rPr>
                <w:rFonts w:ascii="Arial" w:hAnsi="Arial" w:cs="Arial"/>
                <w:sz w:val="20"/>
                <w:szCs w:val="20"/>
              </w:rPr>
              <w:t> </w:t>
            </w:r>
          </w:p>
          <w:p w14:paraId="010D1C30" w14:textId="77777777" w:rsidR="00A1720C" w:rsidRDefault="00A1720C" w:rsidP="00434D4B">
            <w:pPr>
              <w:rPr>
                <w:rFonts w:ascii="Arial" w:hAnsi="Arial" w:cs="Arial"/>
                <w:sz w:val="20"/>
                <w:szCs w:val="20"/>
              </w:rPr>
            </w:pPr>
            <w:r>
              <w:rPr>
                <w:rFonts w:ascii="Arial" w:hAnsi="Arial" w:cs="Arial"/>
                <w:sz w:val="20"/>
                <w:szCs w:val="20"/>
              </w:rPr>
              <w:t> </w:t>
            </w:r>
          </w:p>
          <w:p w14:paraId="6EFF0EF6" w14:textId="77777777" w:rsidR="00A1720C" w:rsidRDefault="00A1720C" w:rsidP="00434D4B">
            <w:pPr>
              <w:rPr>
                <w:rFonts w:ascii="Arial" w:hAnsi="Arial" w:cs="Arial"/>
                <w:sz w:val="20"/>
                <w:szCs w:val="20"/>
              </w:rPr>
            </w:pPr>
            <w:r>
              <w:rPr>
                <w:rFonts w:ascii="Arial" w:hAnsi="Arial" w:cs="Arial"/>
                <w:sz w:val="20"/>
                <w:szCs w:val="20"/>
              </w:rPr>
              <w:t> </w:t>
            </w:r>
          </w:p>
          <w:p w14:paraId="49EDF60B" w14:textId="77777777" w:rsidR="00A1720C" w:rsidRDefault="00A1720C" w:rsidP="00434D4B">
            <w:pPr>
              <w:rPr>
                <w:rFonts w:ascii="Arial" w:hAnsi="Arial" w:cs="Arial"/>
                <w:sz w:val="20"/>
                <w:szCs w:val="20"/>
              </w:rPr>
            </w:pPr>
            <w:r>
              <w:rPr>
                <w:rFonts w:ascii="Arial" w:hAnsi="Arial" w:cs="Arial"/>
                <w:sz w:val="20"/>
                <w:szCs w:val="20"/>
              </w:rPr>
              <w:t> </w:t>
            </w:r>
          </w:p>
          <w:p w14:paraId="4904E0FB" w14:textId="77777777" w:rsidR="00A1720C" w:rsidRDefault="00A1720C" w:rsidP="00434D4B">
            <w:pPr>
              <w:rPr>
                <w:rFonts w:ascii="Arial" w:hAnsi="Arial" w:cs="Arial"/>
                <w:sz w:val="20"/>
                <w:szCs w:val="20"/>
              </w:rPr>
            </w:pPr>
            <w:r>
              <w:rPr>
                <w:rFonts w:ascii="Arial" w:hAnsi="Arial" w:cs="Arial"/>
                <w:sz w:val="20"/>
                <w:szCs w:val="20"/>
              </w:rPr>
              <w:t> </w:t>
            </w:r>
          </w:p>
          <w:p w14:paraId="5B37E6FB" w14:textId="77777777" w:rsidR="00A1720C" w:rsidRDefault="00A1720C" w:rsidP="00434D4B">
            <w:pPr>
              <w:rPr>
                <w:rFonts w:ascii="Arial" w:hAnsi="Arial" w:cs="Arial"/>
                <w:sz w:val="20"/>
                <w:szCs w:val="20"/>
              </w:rPr>
            </w:pPr>
            <w:r>
              <w:rPr>
                <w:rFonts w:ascii="Arial" w:hAnsi="Arial" w:cs="Arial"/>
                <w:sz w:val="20"/>
                <w:szCs w:val="20"/>
              </w:rPr>
              <w:t> </w:t>
            </w:r>
          </w:p>
        </w:tc>
      </w:tr>
      <w:tr w:rsidR="00A1720C" w14:paraId="6F7D459C" w14:textId="77777777" w:rsidTr="00951E95">
        <w:trPr>
          <w:trHeight w:val="300"/>
        </w:trPr>
        <w:tc>
          <w:tcPr>
            <w:tcW w:w="1073" w:type="dxa"/>
            <w:tcBorders>
              <w:top w:val="single" w:sz="4" w:space="0" w:color="auto"/>
              <w:bottom w:val="single" w:sz="4" w:space="0" w:color="auto"/>
              <w:right w:val="single" w:sz="4" w:space="0" w:color="auto"/>
            </w:tcBorders>
            <w:shd w:val="clear" w:color="auto" w:fill="FFFFFF" w:themeFill="background1"/>
            <w:vAlign w:val="center"/>
          </w:tcPr>
          <w:p w14:paraId="7A7BE94B" w14:textId="77777777" w:rsidR="00A1720C" w:rsidRPr="0033766E" w:rsidRDefault="00A1720C" w:rsidP="001C68AD">
            <w:pPr>
              <w:rPr>
                <w:rFonts w:ascii="Arial" w:hAnsi="Arial" w:cs="Arial"/>
              </w:rPr>
            </w:pPr>
            <w:r w:rsidRPr="0033766E">
              <w:rPr>
                <w:rFonts w:ascii="Arial" w:hAnsi="Arial" w:cs="Arial"/>
              </w:rPr>
              <w:t>May 7</w:t>
            </w:r>
          </w:p>
        </w:tc>
        <w:tc>
          <w:tcPr>
            <w:tcW w:w="7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B1D9E7" w14:textId="77777777" w:rsidR="00930293" w:rsidRDefault="00A1720C">
            <w:pPr>
              <w:jc w:val="center"/>
              <w:rPr>
                <w:rFonts w:ascii="Arial" w:hAnsi="Arial" w:cs="Arial"/>
              </w:rPr>
            </w:pPr>
            <w:r w:rsidRPr="0033766E">
              <w:rPr>
                <w:rFonts w:ascii="Arial" w:hAnsi="Arial" w:cs="Arial"/>
              </w:rPr>
              <w:t>900</w:t>
            </w:r>
          </w:p>
        </w:tc>
        <w:tc>
          <w:tcPr>
            <w:tcW w:w="19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017645" w14:textId="77777777" w:rsidR="00930293" w:rsidRDefault="00A1720C">
            <w:pPr>
              <w:tabs>
                <w:tab w:val="decimal" w:pos="735"/>
              </w:tabs>
              <w:rPr>
                <w:rFonts w:ascii="Arial" w:hAnsi="Arial" w:cs="Arial"/>
              </w:rPr>
            </w:pPr>
            <w:r w:rsidRPr="0033766E">
              <w:rPr>
                <w:rFonts w:ascii="Arial" w:hAnsi="Arial" w:cs="Arial"/>
              </w:rPr>
              <w:t>0.6</w:t>
            </w:r>
          </w:p>
        </w:tc>
        <w:tc>
          <w:tcPr>
            <w:tcW w:w="7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22F894" w14:textId="77777777" w:rsidR="00930293" w:rsidRDefault="00A1720C">
            <w:pPr>
              <w:jc w:val="center"/>
              <w:rPr>
                <w:rFonts w:ascii="Arial" w:hAnsi="Arial" w:cs="Arial"/>
              </w:rPr>
            </w:pPr>
            <w:r w:rsidRPr="0033766E">
              <w:rPr>
                <w:rFonts w:ascii="Arial" w:hAnsi="Arial" w:cs="Arial"/>
              </w:rPr>
              <w:t>540</w:t>
            </w:r>
          </w:p>
        </w:tc>
        <w:tc>
          <w:tcPr>
            <w:tcW w:w="4231" w:type="dxa"/>
            <w:vMerge/>
            <w:tcBorders>
              <w:left w:val="single" w:sz="4" w:space="0" w:color="auto"/>
            </w:tcBorders>
            <w:shd w:val="clear" w:color="auto" w:fill="FFFFFF" w:themeFill="background1"/>
            <w:noWrap/>
            <w:vAlign w:val="center"/>
          </w:tcPr>
          <w:p w14:paraId="47A7127E" w14:textId="77777777" w:rsidR="00930293" w:rsidRDefault="00930293">
            <w:pPr>
              <w:jc w:val="center"/>
              <w:rPr>
                <w:rFonts w:ascii="Arial" w:hAnsi="Arial" w:cs="Arial"/>
                <w:sz w:val="20"/>
                <w:szCs w:val="20"/>
              </w:rPr>
            </w:pPr>
          </w:p>
        </w:tc>
      </w:tr>
      <w:tr w:rsidR="00A1720C" w14:paraId="2B711351" w14:textId="77777777" w:rsidTr="00951E95">
        <w:trPr>
          <w:trHeight w:val="300"/>
        </w:trPr>
        <w:tc>
          <w:tcPr>
            <w:tcW w:w="1073" w:type="dxa"/>
            <w:tcBorders>
              <w:top w:val="single" w:sz="4" w:space="0" w:color="auto"/>
              <w:bottom w:val="single" w:sz="4" w:space="0" w:color="auto"/>
              <w:right w:val="single" w:sz="4" w:space="0" w:color="auto"/>
            </w:tcBorders>
            <w:shd w:val="clear" w:color="auto" w:fill="FFFFFF" w:themeFill="background1"/>
            <w:vAlign w:val="center"/>
          </w:tcPr>
          <w:p w14:paraId="33E469B5" w14:textId="77777777" w:rsidR="00A1720C" w:rsidRPr="0033766E" w:rsidRDefault="00A1720C" w:rsidP="001C68AD">
            <w:pPr>
              <w:rPr>
                <w:rFonts w:ascii="Arial" w:hAnsi="Arial" w:cs="Arial"/>
              </w:rPr>
            </w:pPr>
            <w:r w:rsidRPr="0033766E">
              <w:rPr>
                <w:rFonts w:ascii="Arial" w:hAnsi="Arial" w:cs="Arial"/>
              </w:rPr>
              <w:t>May 8</w:t>
            </w:r>
          </w:p>
        </w:tc>
        <w:tc>
          <w:tcPr>
            <w:tcW w:w="7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B81E4B" w14:textId="77777777" w:rsidR="00930293" w:rsidRDefault="00A1720C">
            <w:pPr>
              <w:jc w:val="center"/>
              <w:rPr>
                <w:rFonts w:ascii="Arial" w:hAnsi="Arial" w:cs="Arial"/>
              </w:rPr>
            </w:pPr>
            <w:r w:rsidRPr="0033766E">
              <w:rPr>
                <w:rFonts w:ascii="Arial" w:hAnsi="Arial" w:cs="Arial"/>
              </w:rPr>
              <w:t>850</w:t>
            </w:r>
          </w:p>
        </w:tc>
        <w:tc>
          <w:tcPr>
            <w:tcW w:w="19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6EFF69" w14:textId="77777777" w:rsidR="00930293" w:rsidRDefault="00A1720C">
            <w:pPr>
              <w:tabs>
                <w:tab w:val="decimal" w:pos="735"/>
              </w:tabs>
              <w:rPr>
                <w:rFonts w:ascii="Arial" w:hAnsi="Arial" w:cs="Arial"/>
              </w:rPr>
            </w:pPr>
            <w:r w:rsidRPr="0033766E">
              <w:rPr>
                <w:rFonts w:ascii="Arial" w:hAnsi="Arial" w:cs="Arial"/>
              </w:rPr>
              <w:t>0.59</w:t>
            </w:r>
          </w:p>
        </w:tc>
        <w:tc>
          <w:tcPr>
            <w:tcW w:w="7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4922A8" w14:textId="77777777" w:rsidR="00930293" w:rsidRDefault="00A1720C">
            <w:pPr>
              <w:jc w:val="center"/>
              <w:rPr>
                <w:rFonts w:ascii="Arial" w:hAnsi="Arial" w:cs="Arial"/>
              </w:rPr>
            </w:pPr>
            <w:r w:rsidRPr="0033766E">
              <w:rPr>
                <w:rFonts w:ascii="Arial" w:hAnsi="Arial" w:cs="Arial"/>
              </w:rPr>
              <w:t>502</w:t>
            </w:r>
          </w:p>
        </w:tc>
        <w:tc>
          <w:tcPr>
            <w:tcW w:w="4231" w:type="dxa"/>
            <w:vMerge/>
            <w:tcBorders>
              <w:left w:val="single" w:sz="4" w:space="0" w:color="auto"/>
            </w:tcBorders>
            <w:shd w:val="clear" w:color="auto" w:fill="FFFFFF" w:themeFill="background1"/>
            <w:noWrap/>
            <w:vAlign w:val="center"/>
          </w:tcPr>
          <w:p w14:paraId="47C353C2" w14:textId="77777777" w:rsidR="00930293" w:rsidRDefault="00930293">
            <w:pPr>
              <w:jc w:val="center"/>
              <w:rPr>
                <w:rFonts w:ascii="Arial" w:hAnsi="Arial" w:cs="Arial"/>
                <w:sz w:val="20"/>
                <w:szCs w:val="20"/>
              </w:rPr>
            </w:pPr>
          </w:p>
        </w:tc>
      </w:tr>
      <w:tr w:rsidR="00A1720C" w14:paraId="5EA4BB27" w14:textId="77777777" w:rsidTr="00951E95">
        <w:trPr>
          <w:trHeight w:val="300"/>
        </w:trPr>
        <w:tc>
          <w:tcPr>
            <w:tcW w:w="1073" w:type="dxa"/>
            <w:tcBorders>
              <w:top w:val="single" w:sz="4" w:space="0" w:color="auto"/>
              <w:bottom w:val="single" w:sz="4" w:space="0" w:color="auto"/>
              <w:right w:val="single" w:sz="4" w:space="0" w:color="auto"/>
            </w:tcBorders>
            <w:shd w:val="clear" w:color="auto" w:fill="FFFFFF" w:themeFill="background1"/>
            <w:vAlign w:val="center"/>
          </w:tcPr>
          <w:p w14:paraId="2BFEDC19" w14:textId="77777777" w:rsidR="00A1720C" w:rsidRPr="0033766E" w:rsidRDefault="00A1720C" w:rsidP="001C68AD">
            <w:pPr>
              <w:rPr>
                <w:rFonts w:ascii="Arial" w:hAnsi="Arial" w:cs="Arial"/>
              </w:rPr>
            </w:pPr>
            <w:r w:rsidRPr="0033766E">
              <w:rPr>
                <w:rFonts w:ascii="Arial" w:hAnsi="Arial" w:cs="Arial"/>
              </w:rPr>
              <w:t>May 9</w:t>
            </w:r>
          </w:p>
        </w:tc>
        <w:tc>
          <w:tcPr>
            <w:tcW w:w="7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4E8478" w14:textId="77777777" w:rsidR="00930293" w:rsidRDefault="00A1720C">
            <w:pPr>
              <w:jc w:val="center"/>
              <w:rPr>
                <w:rFonts w:ascii="Arial" w:hAnsi="Arial" w:cs="Arial"/>
              </w:rPr>
            </w:pPr>
            <w:r w:rsidRPr="0033766E">
              <w:rPr>
                <w:rFonts w:ascii="Arial" w:hAnsi="Arial" w:cs="Arial"/>
              </w:rPr>
              <w:t>720</w:t>
            </w:r>
          </w:p>
        </w:tc>
        <w:tc>
          <w:tcPr>
            <w:tcW w:w="19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3CE42F" w14:textId="77777777" w:rsidR="00930293" w:rsidRDefault="00A1720C">
            <w:pPr>
              <w:tabs>
                <w:tab w:val="decimal" w:pos="735"/>
              </w:tabs>
              <w:rPr>
                <w:rFonts w:ascii="Arial" w:hAnsi="Arial" w:cs="Arial"/>
              </w:rPr>
            </w:pPr>
            <w:r w:rsidRPr="0033766E">
              <w:rPr>
                <w:rFonts w:ascii="Arial" w:hAnsi="Arial" w:cs="Arial"/>
              </w:rPr>
              <w:t>0.7</w:t>
            </w:r>
          </w:p>
        </w:tc>
        <w:tc>
          <w:tcPr>
            <w:tcW w:w="7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0AAAD4" w14:textId="77777777" w:rsidR="00930293" w:rsidRDefault="00A1720C">
            <w:pPr>
              <w:jc w:val="center"/>
              <w:rPr>
                <w:rFonts w:ascii="Arial" w:hAnsi="Arial" w:cs="Arial"/>
              </w:rPr>
            </w:pPr>
            <w:r w:rsidRPr="0033766E">
              <w:rPr>
                <w:rFonts w:ascii="Arial" w:hAnsi="Arial" w:cs="Arial"/>
              </w:rPr>
              <w:t>504</w:t>
            </w:r>
          </w:p>
        </w:tc>
        <w:tc>
          <w:tcPr>
            <w:tcW w:w="4231" w:type="dxa"/>
            <w:vMerge/>
            <w:tcBorders>
              <w:left w:val="single" w:sz="4" w:space="0" w:color="auto"/>
            </w:tcBorders>
            <w:shd w:val="clear" w:color="auto" w:fill="FFFFFF" w:themeFill="background1"/>
            <w:noWrap/>
            <w:vAlign w:val="bottom"/>
          </w:tcPr>
          <w:p w14:paraId="514852FE" w14:textId="77777777" w:rsidR="00A1720C" w:rsidRDefault="00A1720C" w:rsidP="00136238">
            <w:pPr>
              <w:rPr>
                <w:rFonts w:ascii="Arial" w:hAnsi="Arial" w:cs="Arial"/>
                <w:sz w:val="20"/>
                <w:szCs w:val="20"/>
              </w:rPr>
            </w:pPr>
          </w:p>
        </w:tc>
      </w:tr>
      <w:tr w:rsidR="00A1720C" w14:paraId="203C0DCD" w14:textId="77777777" w:rsidTr="00951E95">
        <w:trPr>
          <w:trHeight w:val="300"/>
        </w:trPr>
        <w:tc>
          <w:tcPr>
            <w:tcW w:w="1073" w:type="dxa"/>
            <w:tcBorders>
              <w:top w:val="single" w:sz="4" w:space="0" w:color="auto"/>
              <w:bottom w:val="single" w:sz="4" w:space="0" w:color="auto"/>
              <w:right w:val="single" w:sz="4" w:space="0" w:color="auto"/>
            </w:tcBorders>
            <w:shd w:val="clear" w:color="auto" w:fill="FFFFFF" w:themeFill="background1"/>
            <w:vAlign w:val="center"/>
          </w:tcPr>
          <w:p w14:paraId="70ACC20C" w14:textId="77777777" w:rsidR="00A1720C" w:rsidRPr="0033766E" w:rsidRDefault="00A1720C" w:rsidP="001C68AD">
            <w:pPr>
              <w:rPr>
                <w:rFonts w:ascii="Arial" w:hAnsi="Arial" w:cs="Arial"/>
              </w:rPr>
            </w:pPr>
            <w:r w:rsidRPr="0033766E">
              <w:rPr>
                <w:rFonts w:ascii="Arial" w:hAnsi="Arial" w:cs="Arial"/>
              </w:rPr>
              <w:t>May 10</w:t>
            </w:r>
          </w:p>
        </w:tc>
        <w:tc>
          <w:tcPr>
            <w:tcW w:w="7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9D425E" w14:textId="77777777" w:rsidR="00930293" w:rsidRDefault="00A1720C">
            <w:pPr>
              <w:jc w:val="center"/>
              <w:rPr>
                <w:rFonts w:ascii="Arial" w:hAnsi="Arial" w:cs="Arial"/>
              </w:rPr>
            </w:pPr>
            <w:r w:rsidRPr="0033766E">
              <w:rPr>
                <w:rFonts w:ascii="Arial" w:hAnsi="Arial" w:cs="Arial"/>
              </w:rPr>
              <w:t>300</w:t>
            </w:r>
          </w:p>
        </w:tc>
        <w:tc>
          <w:tcPr>
            <w:tcW w:w="19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07DB4D" w14:textId="77777777" w:rsidR="00930293" w:rsidRDefault="00A1720C">
            <w:pPr>
              <w:tabs>
                <w:tab w:val="decimal" w:pos="735"/>
              </w:tabs>
              <w:rPr>
                <w:rFonts w:ascii="Arial" w:hAnsi="Arial" w:cs="Arial"/>
              </w:rPr>
            </w:pPr>
            <w:r w:rsidRPr="0033766E">
              <w:rPr>
                <w:rFonts w:ascii="Arial" w:hAnsi="Arial" w:cs="Arial"/>
              </w:rPr>
              <w:t>0.45</w:t>
            </w:r>
          </w:p>
        </w:tc>
        <w:tc>
          <w:tcPr>
            <w:tcW w:w="7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74F9EE" w14:textId="77777777" w:rsidR="00930293" w:rsidRDefault="00A1720C">
            <w:pPr>
              <w:jc w:val="center"/>
              <w:rPr>
                <w:rFonts w:ascii="Arial" w:hAnsi="Arial" w:cs="Arial"/>
              </w:rPr>
            </w:pPr>
            <w:r w:rsidRPr="0033766E">
              <w:rPr>
                <w:rFonts w:ascii="Arial" w:hAnsi="Arial" w:cs="Arial"/>
              </w:rPr>
              <w:t>135</w:t>
            </w:r>
          </w:p>
        </w:tc>
        <w:tc>
          <w:tcPr>
            <w:tcW w:w="4231" w:type="dxa"/>
            <w:vMerge/>
            <w:tcBorders>
              <w:left w:val="single" w:sz="4" w:space="0" w:color="auto"/>
            </w:tcBorders>
            <w:shd w:val="clear" w:color="auto" w:fill="FFFFFF" w:themeFill="background1"/>
            <w:noWrap/>
            <w:vAlign w:val="bottom"/>
          </w:tcPr>
          <w:p w14:paraId="3CA4FAF3" w14:textId="77777777" w:rsidR="00A1720C" w:rsidRDefault="00A1720C" w:rsidP="00136238">
            <w:pPr>
              <w:rPr>
                <w:rFonts w:ascii="Arial" w:hAnsi="Arial" w:cs="Arial"/>
                <w:sz w:val="20"/>
                <w:szCs w:val="20"/>
              </w:rPr>
            </w:pPr>
          </w:p>
        </w:tc>
      </w:tr>
      <w:tr w:rsidR="00A1720C" w14:paraId="2B404008" w14:textId="77777777" w:rsidTr="00951E95">
        <w:trPr>
          <w:trHeight w:val="300"/>
        </w:trPr>
        <w:tc>
          <w:tcPr>
            <w:tcW w:w="1073" w:type="dxa"/>
            <w:tcBorders>
              <w:top w:val="single" w:sz="4" w:space="0" w:color="auto"/>
              <w:bottom w:val="single" w:sz="4" w:space="0" w:color="auto"/>
              <w:right w:val="single" w:sz="4" w:space="0" w:color="auto"/>
            </w:tcBorders>
            <w:shd w:val="clear" w:color="auto" w:fill="FFFFFF" w:themeFill="background1"/>
            <w:vAlign w:val="center"/>
          </w:tcPr>
          <w:p w14:paraId="3AEA3CED" w14:textId="77777777" w:rsidR="00A1720C" w:rsidRPr="0033766E" w:rsidRDefault="00A1720C" w:rsidP="001C68AD">
            <w:pPr>
              <w:rPr>
                <w:rFonts w:ascii="Arial" w:hAnsi="Arial" w:cs="Arial"/>
              </w:rPr>
            </w:pPr>
            <w:r w:rsidRPr="0033766E">
              <w:rPr>
                <w:rFonts w:ascii="Arial" w:hAnsi="Arial" w:cs="Arial"/>
              </w:rPr>
              <w:t>May 11</w:t>
            </w:r>
          </w:p>
        </w:tc>
        <w:tc>
          <w:tcPr>
            <w:tcW w:w="7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02691" w14:textId="77777777" w:rsidR="00930293" w:rsidRDefault="00A1720C">
            <w:pPr>
              <w:jc w:val="center"/>
              <w:rPr>
                <w:rFonts w:ascii="Arial" w:hAnsi="Arial" w:cs="Arial"/>
              </w:rPr>
            </w:pPr>
            <w:r w:rsidRPr="0033766E">
              <w:rPr>
                <w:rFonts w:ascii="Arial" w:hAnsi="Arial" w:cs="Arial"/>
              </w:rPr>
              <w:t>15</w:t>
            </w:r>
          </w:p>
        </w:tc>
        <w:tc>
          <w:tcPr>
            <w:tcW w:w="19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4453AE" w14:textId="77777777" w:rsidR="00930293" w:rsidRDefault="00A1720C">
            <w:pPr>
              <w:tabs>
                <w:tab w:val="decimal" w:pos="735"/>
              </w:tabs>
              <w:rPr>
                <w:rFonts w:ascii="Arial" w:hAnsi="Arial" w:cs="Arial"/>
              </w:rPr>
            </w:pPr>
            <w:r w:rsidRPr="0033766E">
              <w:rPr>
                <w:rFonts w:ascii="Arial" w:hAnsi="Arial" w:cs="Arial"/>
              </w:rPr>
              <w:t>No differential</w:t>
            </w:r>
          </w:p>
        </w:tc>
        <w:tc>
          <w:tcPr>
            <w:tcW w:w="7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4B0D3B" w14:textId="77777777" w:rsidR="00930293" w:rsidRDefault="00A1720C">
            <w:pPr>
              <w:jc w:val="center"/>
              <w:rPr>
                <w:rFonts w:ascii="Arial" w:hAnsi="Arial" w:cs="Arial"/>
              </w:rPr>
            </w:pPr>
            <w:r w:rsidRPr="0033766E">
              <w:rPr>
                <w:rFonts w:ascii="Arial" w:hAnsi="Arial" w:cs="Arial"/>
              </w:rPr>
              <w:t>-</w:t>
            </w:r>
            <w:r w:rsidR="001C68AD">
              <w:rPr>
                <w:rFonts w:ascii="Arial" w:hAnsi="Arial" w:cs="Arial"/>
              </w:rPr>
              <w:t>-</w:t>
            </w:r>
          </w:p>
        </w:tc>
        <w:tc>
          <w:tcPr>
            <w:tcW w:w="4231" w:type="dxa"/>
            <w:vMerge/>
            <w:tcBorders>
              <w:left w:val="single" w:sz="4" w:space="0" w:color="auto"/>
            </w:tcBorders>
            <w:shd w:val="clear" w:color="auto" w:fill="FFFFFF" w:themeFill="background1"/>
            <w:noWrap/>
            <w:vAlign w:val="bottom"/>
          </w:tcPr>
          <w:p w14:paraId="1747742A" w14:textId="77777777" w:rsidR="00A1720C" w:rsidRDefault="00A1720C" w:rsidP="00136238">
            <w:pPr>
              <w:rPr>
                <w:rFonts w:ascii="Arial" w:hAnsi="Arial" w:cs="Arial"/>
                <w:sz w:val="20"/>
                <w:szCs w:val="20"/>
              </w:rPr>
            </w:pPr>
          </w:p>
        </w:tc>
      </w:tr>
      <w:tr w:rsidR="00A1720C" w14:paraId="59ACA8FF" w14:textId="77777777" w:rsidTr="00951E95">
        <w:trPr>
          <w:trHeight w:val="300"/>
        </w:trPr>
        <w:tc>
          <w:tcPr>
            <w:tcW w:w="1073" w:type="dxa"/>
            <w:tcBorders>
              <w:top w:val="single" w:sz="4" w:space="0" w:color="auto"/>
              <w:bottom w:val="single" w:sz="4" w:space="0" w:color="auto"/>
              <w:right w:val="single" w:sz="4" w:space="0" w:color="auto"/>
            </w:tcBorders>
            <w:shd w:val="clear" w:color="auto" w:fill="FFFFFF" w:themeFill="background1"/>
            <w:vAlign w:val="center"/>
          </w:tcPr>
          <w:p w14:paraId="5AE54567" w14:textId="77777777" w:rsidR="00A1720C" w:rsidRPr="0033766E" w:rsidRDefault="00A1720C" w:rsidP="001C68AD">
            <w:pPr>
              <w:rPr>
                <w:rFonts w:ascii="Arial" w:hAnsi="Arial" w:cs="Arial"/>
              </w:rPr>
            </w:pPr>
            <w:r w:rsidRPr="0033766E">
              <w:rPr>
                <w:rFonts w:ascii="Arial" w:hAnsi="Arial" w:cs="Arial"/>
              </w:rPr>
              <w:t>May 12</w:t>
            </w:r>
          </w:p>
        </w:tc>
        <w:tc>
          <w:tcPr>
            <w:tcW w:w="7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A459BC" w14:textId="77777777" w:rsidR="00930293" w:rsidRDefault="00A1720C">
            <w:pPr>
              <w:jc w:val="center"/>
              <w:rPr>
                <w:rFonts w:ascii="Arial" w:hAnsi="Arial" w:cs="Arial"/>
              </w:rPr>
            </w:pPr>
            <w:r w:rsidRPr="0033766E">
              <w:rPr>
                <w:rFonts w:ascii="Arial" w:hAnsi="Arial" w:cs="Arial"/>
              </w:rPr>
              <w:t>30</w:t>
            </w:r>
          </w:p>
        </w:tc>
        <w:tc>
          <w:tcPr>
            <w:tcW w:w="19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13488E" w14:textId="77777777" w:rsidR="00930293" w:rsidRDefault="00A1720C">
            <w:pPr>
              <w:tabs>
                <w:tab w:val="decimal" w:pos="735"/>
              </w:tabs>
              <w:rPr>
                <w:rFonts w:ascii="Arial" w:hAnsi="Arial" w:cs="Arial"/>
              </w:rPr>
            </w:pPr>
            <w:r w:rsidRPr="0033766E">
              <w:rPr>
                <w:rFonts w:ascii="Arial" w:hAnsi="Arial" w:cs="Arial"/>
              </w:rPr>
              <w:t>No differential</w:t>
            </w:r>
          </w:p>
        </w:tc>
        <w:tc>
          <w:tcPr>
            <w:tcW w:w="7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D33F76" w14:textId="77777777" w:rsidR="00930293" w:rsidRDefault="00A1720C">
            <w:pPr>
              <w:jc w:val="center"/>
              <w:rPr>
                <w:rFonts w:ascii="Arial" w:hAnsi="Arial" w:cs="Arial"/>
              </w:rPr>
            </w:pPr>
            <w:r w:rsidRPr="0033766E">
              <w:rPr>
                <w:rFonts w:ascii="Arial" w:hAnsi="Arial" w:cs="Arial"/>
              </w:rPr>
              <w:t>-</w:t>
            </w:r>
            <w:r w:rsidR="001C68AD">
              <w:rPr>
                <w:rFonts w:ascii="Arial" w:hAnsi="Arial" w:cs="Arial"/>
              </w:rPr>
              <w:t>-</w:t>
            </w:r>
          </w:p>
        </w:tc>
        <w:tc>
          <w:tcPr>
            <w:tcW w:w="4231" w:type="dxa"/>
            <w:vMerge/>
            <w:tcBorders>
              <w:left w:val="single" w:sz="4" w:space="0" w:color="auto"/>
            </w:tcBorders>
            <w:shd w:val="clear" w:color="auto" w:fill="FFFFFF" w:themeFill="background1"/>
            <w:noWrap/>
            <w:vAlign w:val="bottom"/>
          </w:tcPr>
          <w:p w14:paraId="6D365D78" w14:textId="77777777" w:rsidR="00A1720C" w:rsidRDefault="00A1720C" w:rsidP="00136238">
            <w:pPr>
              <w:rPr>
                <w:rFonts w:ascii="Arial" w:hAnsi="Arial" w:cs="Arial"/>
                <w:sz w:val="20"/>
                <w:szCs w:val="20"/>
              </w:rPr>
            </w:pPr>
          </w:p>
        </w:tc>
      </w:tr>
      <w:tr w:rsidR="00A1720C" w14:paraId="3C8186DD" w14:textId="77777777" w:rsidTr="00951E95">
        <w:trPr>
          <w:trHeight w:val="300"/>
        </w:trPr>
        <w:tc>
          <w:tcPr>
            <w:tcW w:w="1073" w:type="dxa"/>
            <w:tcBorders>
              <w:top w:val="single" w:sz="4" w:space="0" w:color="auto"/>
              <w:bottom w:val="single" w:sz="4" w:space="0" w:color="auto"/>
              <w:right w:val="single" w:sz="4" w:space="0" w:color="auto"/>
            </w:tcBorders>
            <w:shd w:val="clear" w:color="auto" w:fill="FFFFFF" w:themeFill="background1"/>
            <w:vAlign w:val="center"/>
          </w:tcPr>
          <w:p w14:paraId="4FDC27C3" w14:textId="77777777" w:rsidR="00A1720C" w:rsidRPr="0033766E" w:rsidRDefault="00A1720C" w:rsidP="001C68AD">
            <w:pPr>
              <w:rPr>
                <w:rFonts w:ascii="Arial" w:hAnsi="Arial" w:cs="Arial"/>
              </w:rPr>
            </w:pPr>
            <w:r w:rsidRPr="0033766E">
              <w:rPr>
                <w:rFonts w:ascii="Arial" w:hAnsi="Arial" w:cs="Arial"/>
              </w:rPr>
              <w:t>May 13</w:t>
            </w:r>
          </w:p>
        </w:tc>
        <w:tc>
          <w:tcPr>
            <w:tcW w:w="7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EE379C" w14:textId="77777777" w:rsidR="00930293" w:rsidRDefault="00A1720C">
            <w:pPr>
              <w:jc w:val="center"/>
              <w:rPr>
                <w:rFonts w:ascii="Arial" w:hAnsi="Arial" w:cs="Arial"/>
              </w:rPr>
            </w:pPr>
            <w:r w:rsidRPr="0033766E">
              <w:rPr>
                <w:rFonts w:ascii="Arial" w:hAnsi="Arial" w:cs="Arial"/>
              </w:rPr>
              <w:t>50</w:t>
            </w:r>
          </w:p>
        </w:tc>
        <w:tc>
          <w:tcPr>
            <w:tcW w:w="19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D8385D" w14:textId="77777777" w:rsidR="00930293" w:rsidRDefault="00A1720C">
            <w:pPr>
              <w:tabs>
                <w:tab w:val="decimal" w:pos="735"/>
              </w:tabs>
              <w:rPr>
                <w:rFonts w:ascii="Arial" w:hAnsi="Arial" w:cs="Arial"/>
              </w:rPr>
            </w:pPr>
            <w:r w:rsidRPr="0033766E">
              <w:rPr>
                <w:rFonts w:ascii="Arial" w:hAnsi="Arial" w:cs="Arial"/>
              </w:rPr>
              <w:t>No differential</w:t>
            </w:r>
          </w:p>
        </w:tc>
        <w:tc>
          <w:tcPr>
            <w:tcW w:w="7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F6EF59" w14:textId="77777777" w:rsidR="00930293" w:rsidRDefault="00A1720C">
            <w:pPr>
              <w:jc w:val="center"/>
              <w:rPr>
                <w:rFonts w:ascii="Arial" w:hAnsi="Arial" w:cs="Arial"/>
              </w:rPr>
            </w:pPr>
            <w:r w:rsidRPr="0033766E">
              <w:rPr>
                <w:rFonts w:ascii="Arial" w:hAnsi="Arial" w:cs="Arial"/>
              </w:rPr>
              <w:t>-</w:t>
            </w:r>
            <w:r w:rsidR="001C68AD">
              <w:rPr>
                <w:rFonts w:ascii="Arial" w:hAnsi="Arial" w:cs="Arial"/>
              </w:rPr>
              <w:t>-</w:t>
            </w:r>
          </w:p>
        </w:tc>
        <w:tc>
          <w:tcPr>
            <w:tcW w:w="4231" w:type="dxa"/>
            <w:vMerge/>
            <w:tcBorders>
              <w:left w:val="single" w:sz="4" w:space="0" w:color="auto"/>
            </w:tcBorders>
            <w:shd w:val="clear" w:color="auto" w:fill="FFFFFF" w:themeFill="background1"/>
            <w:noWrap/>
            <w:vAlign w:val="bottom"/>
          </w:tcPr>
          <w:p w14:paraId="6548FF93" w14:textId="77777777" w:rsidR="00A1720C" w:rsidRDefault="00A1720C" w:rsidP="00136238">
            <w:pPr>
              <w:rPr>
                <w:rFonts w:ascii="Arial" w:hAnsi="Arial" w:cs="Arial"/>
                <w:sz w:val="20"/>
                <w:szCs w:val="20"/>
              </w:rPr>
            </w:pPr>
          </w:p>
        </w:tc>
      </w:tr>
      <w:tr w:rsidR="00A1720C" w14:paraId="3FF797B5" w14:textId="77777777" w:rsidTr="00951E95">
        <w:trPr>
          <w:trHeight w:val="300"/>
        </w:trPr>
        <w:tc>
          <w:tcPr>
            <w:tcW w:w="1073" w:type="dxa"/>
            <w:tcBorders>
              <w:top w:val="single" w:sz="4" w:space="0" w:color="auto"/>
              <w:bottom w:val="single" w:sz="4" w:space="0" w:color="auto"/>
              <w:right w:val="single" w:sz="4" w:space="0" w:color="auto"/>
            </w:tcBorders>
            <w:shd w:val="clear" w:color="auto" w:fill="FFFFFF" w:themeFill="background1"/>
            <w:vAlign w:val="center"/>
          </w:tcPr>
          <w:p w14:paraId="501FABAB" w14:textId="77777777" w:rsidR="00A1720C" w:rsidRPr="0033766E" w:rsidRDefault="00A1720C" w:rsidP="001C68AD">
            <w:pPr>
              <w:rPr>
                <w:rFonts w:ascii="Arial" w:hAnsi="Arial" w:cs="Arial"/>
              </w:rPr>
            </w:pPr>
            <w:r w:rsidRPr="0033766E">
              <w:rPr>
                <w:rFonts w:ascii="Arial" w:hAnsi="Arial" w:cs="Arial"/>
              </w:rPr>
              <w:t>May 14</w:t>
            </w:r>
          </w:p>
        </w:tc>
        <w:tc>
          <w:tcPr>
            <w:tcW w:w="7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09A1B9" w14:textId="77777777" w:rsidR="00930293" w:rsidRDefault="00A1720C">
            <w:pPr>
              <w:jc w:val="center"/>
              <w:rPr>
                <w:rFonts w:ascii="Arial" w:hAnsi="Arial" w:cs="Arial"/>
              </w:rPr>
            </w:pPr>
            <w:r w:rsidRPr="0033766E">
              <w:rPr>
                <w:rFonts w:ascii="Arial" w:hAnsi="Arial" w:cs="Arial"/>
              </w:rPr>
              <w:t>250</w:t>
            </w:r>
          </w:p>
        </w:tc>
        <w:tc>
          <w:tcPr>
            <w:tcW w:w="19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8E37E9" w14:textId="77777777" w:rsidR="00930293" w:rsidRDefault="00A1720C">
            <w:pPr>
              <w:tabs>
                <w:tab w:val="decimal" w:pos="735"/>
              </w:tabs>
              <w:rPr>
                <w:rFonts w:ascii="Arial" w:hAnsi="Arial" w:cs="Arial"/>
              </w:rPr>
            </w:pPr>
            <w:r w:rsidRPr="0033766E">
              <w:rPr>
                <w:rFonts w:ascii="Arial" w:hAnsi="Arial" w:cs="Arial"/>
              </w:rPr>
              <w:t>0.4</w:t>
            </w:r>
          </w:p>
        </w:tc>
        <w:tc>
          <w:tcPr>
            <w:tcW w:w="7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03A93C" w14:textId="77777777" w:rsidR="00930293" w:rsidRDefault="00A1720C">
            <w:pPr>
              <w:jc w:val="center"/>
              <w:rPr>
                <w:rFonts w:ascii="Arial" w:hAnsi="Arial" w:cs="Arial"/>
              </w:rPr>
            </w:pPr>
            <w:r w:rsidRPr="0033766E">
              <w:rPr>
                <w:rFonts w:ascii="Arial" w:hAnsi="Arial" w:cs="Arial"/>
              </w:rPr>
              <w:t>100</w:t>
            </w:r>
          </w:p>
        </w:tc>
        <w:tc>
          <w:tcPr>
            <w:tcW w:w="4231" w:type="dxa"/>
            <w:vMerge/>
            <w:tcBorders>
              <w:left w:val="single" w:sz="4" w:space="0" w:color="auto"/>
            </w:tcBorders>
            <w:shd w:val="clear" w:color="auto" w:fill="FFFFFF" w:themeFill="background1"/>
            <w:noWrap/>
            <w:vAlign w:val="bottom"/>
          </w:tcPr>
          <w:p w14:paraId="04801022" w14:textId="77777777" w:rsidR="00A1720C" w:rsidRDefault="00A1720C" w:rsidP="00136238">
            <w:pPr>
              <w:rPr>
                <w:rFonts w:ascii="Arial" w:hAnsi="Arial" w:cs="Arial"/>
                <w:sz w:val="20"/>
                <w:szCs w:val="20"/>
              </w:rPr>
            </w:pPr>
          </w:p>
        </w:tc>
      </w:tr>
      <w:tr w:rsidR="00A1720C" w14:paraId="142934B7" w14:textId="77777777" w:rsidTr="00951E95">
        <w:trPr>
          <w:trHeight w:val="300"/>
        </w:trPr>
        <w:tc>
          <w:tcPr>
            <w:tcW w:w="1073" w:type="dxa"/>
            <w:tcBorders>
              <w:top w:val="single" w:sz="4" w:space="0" w:color="auto"/>
              <w:bottom w:val="single" w:sz="4" w:space="0" w:color="auto"/>
              <w:right w:val="single" w:sz="4" w:space="0" w:color="auto"/>
            </w:tcBorders>
            <w:shd w:val="clear" w:color="auto" w:fill="FFFFFF" w:themeFill="background1"/>
            <w:vAlign w:val="center"/>
          </w:tcPr>
          <w:p w14:paraId="1883D84D" w14:textId="77777777" w:rsidR="00A1720C" w:rsidRPr="0033766E" w:rsidRDefault="00A1720C" w:rsidP="001C68AD">
            <w:pPr>
              <w:rPr>
                <w:rFonts w:ascii="Arial" w:hAnsi="Arial" w:cs="Arial"/>
              </w:rPr>
            </w:pPr>
            <w:r w:rsidRPr="0033766E">
              <w:rPr>
                <w:rFonts w:ascii="Arial" w:hAnsi="Arial" w:cs="Arial"/>
              </w:rPr>
              <w:t>May 15</w:t>
            </w:r>
          </w:p>
        </w:tc>
        <w:tc>
          <w:tcPr>
            <w:tcW w:w="7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0DB886" w14:textId="77777777" w:rsidR="00930293" w:rsidRDefault="00A1720C">
            <w:pPr>
              <w:jc w:val="center"/>
              <w:rPr>
                <w:rFonts w:ascii="Arial" w:hAnsi="Arial" w:cs="Arial"/>
              </w:rPr>
            </w:pPr>
            <w:r w:rsidRPr="0033766E">
              <w:rPr>
                <w:rFonts w:ascii="Arial" w:hAnsi="Arial" w:cs="Arial"/>
              </w:rPr>
              <w:t>800</w:t>
            </w:r>
          </w:p>
        </w:tc>
        <w:tc>
          <w:tcPr>
            <w:tcW w:w="19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6CA926" w14:textId="77777777" w:rsidR="00930293" w:rsidRDefault="00A1720C">
            <w:pPr>
              <w:tabs>
                <w:tab w:val="decimal" w:pos="735"/>
              </w:tabs>
              <w:rPr>
                <w:rFonts w:ascii="Arial" w:hAnsi="Arial" w:cs="Arial"/>
              </w:rPr>
            </w:pPr>
            <w:r w:rsidRPr="0033766E">
              <w:rPr>
                <w:rFonts w:ascii="Arial" w:hAnsi="Arial" w:cs="Arial"/>
              </w:rPr>
              <w:t>0.7</w:t>
            </w:r>
          </w:p>
        </w:tc>
        <w:tc>
          <w:tcPr>
            <w:tcW w:w="7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A1E0AF" w14:textId="77777777" w:rsidR="00930293" w:rsidRDefault="00A1720C">
            <w:pPr>
              <w:jc w:val="center"/>
              <w:rPr>
                <w:rFonts w:ascii="Arial" w:hAnsi="Arial" w:cs="Arial"/>
              </w:rPr>
            </w:pPr>
            <w:r w:rsidRPr="0033766E">
              <w:rPr>
                <w:rFonts w:ascii="Arial" w:hAnsi="Arial" w:cs="Arial"/>
              </w:rPr>
              <w:t>560</w:t>
            </w:r>
          </w:p>
        </w:tc>
        <w:tc>
          <w:tcPr>
            <w:tcW w:w="4231" w:type="dxa"/>
            <w:tcBorders>
              <w:left w:val="single" w:sz="4" w:space="0" w:color="auto"/>
            </w:tcBorders>
            <w:shd w:val="clear" w:color="auto" w:fill="FFFFFF" w:themeFill="background1"/>
            <w:noWrap/>
            <w:vAlign w:val="center"/>
          </w:tcPr>
          <w:p w14:paraId="6E357728" w14:textId="77777777" w:rsidR="00930293" w:rsidRDefault="00A1720C">
            <w:pPr>
              <w:spacing w:before="60"/>
              <w:ind w:left="259" w:hanging="259"/>
              <w:rPr>
                <w:rFonts w:ascii="Wingdings" w:hAnsi="Wingdings" w:cs="Arial"/>
                <w:sz w:val="20"/>
                <w:szCs w:val="20"/>
              </w:rPr>
            </w:pPr>
            <w:r>
              <w:rPr>
                <w:rFonts w:ascii="Wingdings" w:hAnsi="Wingdings" w:cs="Arial"/>
                <w:sz w:val="20"/>
                <w:szCs w:val="20"/>
              </w:rPr>
              <w:t></w:t>
            </w:r>
            <w:r>
              <w:rPr>
                <w:rFonts w:ascii="Arial" w:hAnsi="Arial" w:cs="Arial"/>
                <w:sz w:val="20"/>
                <w:szCs w:val="20"/>
              </w:rPr>
              <w:t xml:space="preserve"> </w:t>
            </w:r>
            <w:r w:rsidRPr="00D56CCC">
              <w:rPr>
                <w:rFonts w:ascii="Arial" w:hAnsi="Arial" w:cs="Arial"/>
                <w:sz w:val="22"/>
                <w:szCs w:val="22"/>
              </w:rPr>
              <w:t xml:space="preserve">Date of </w:t>
            </w:r>
            <w:r>
              <w:rPr>
                <w:rFonts w:ascii="Arial" w:hAnsi="Arial" w:cs="Arial"/>
                <w:sz w:val="22"/>
                <w:szCs w:val="22"/>
              </w:rPr>
              <w:t xml:space="preserve">first recovery: </w:t>
            </w:r>
            <w:r w:rsidR="001C68AD">
              <w:rPr>
                <w:rFonts w:ascii="Arial" w:hAnsi="Arial" w:cs="Arial"/>
                <w:sz w:val="22"/>
                <w:szCs w:val="22"/>
              </w:rPr>
              <w:br/>
            </w:r>
            <w:r>
              <w:rPr>
                <w:rFonts w:ascii="Arial" w:hAnsi="Arial" w:cs="Arial"/>
                <w:sz w:val="22"/>
                <w:szCs w:val="22"/>
              </w:rPr>
              <w:t>ANC ≥</w:t>
            </w:r>
            <w:r w:rsidR="001C68AD">
              <w:rPr>
                <w:rFonts w:ascii="Arial" w:hAnsi="Arial" w:cs="Arial"/>
                <w:sz w:val="22"/>
                <w:szCs w:val="22"/>
              </w:rPr>
              <w:t xml:space="preserve"> </w:t>
            </w:r>
            <w:r>
              <w:rPr>
                <w:rFonts w:ascii="Arial" w:hAnsi="Arial" w:cs="Arial"/>
                <w:sz w:val="22"/>
                <w:szCs w:val="22"/>
              </w:rPr>
              <w:t>0.5x10</w:t>
            </w:r>
            <w:r w:rsidRPr="00090100">
              <w:rPr>
                <w:rFonts w:ascii="Arial" w:hAnsi="Arial" w:cs="Arial"/>
                <w:sz w:val="22"/>
                <w:szCs w:val="22"/>
                <w:vertAlign w:val="superscript"/>
              </w:rPr>
              <w:t>9</w:t>
            </w:r>
            <w:r w:rsidRPr="00090100">
              <w:rPr>
                <w:rFonts w:ascii="Arial" w:hAnsi="Arial" w:cs="Arial"/>
                <w:sz w:val="22"/>
                <w:szCs w:val="22"/>
              </w:rPr>
              <w:t>/L</w:t>
            </w:r>
          </w:p>
        </w:tc>
      </w:tr>
      <w:tr w:rsidR="00A1720C" w14:paraId="5BE0FD95" w14:textId="77777777" w:rsidTr="00951E95">
        <w:trPr>
          <w:trHeight w:val="242"/>
        </w:trPr>
        <w:tc>
          <w:tcPr>
            <w:tcW w:w="1073" w:type="dxa"/>
            <w:tcBorders>
              <w:top w:val="single" w:sz="4" w:space="0" w:color="auto"/>
              <w:bottom w:val="single" w:sz="4" w:space="0" w:color="auto"/>
              <w:right w:val="single" w:sz="4" w:space="0" w:color="auto"/>
            </w:tcBorders>
            <w:shd w:val="clear" w:color="auto" w:fill="FFFFFF" w:themeFill="background1"/>
            <w:vAlign w:val="center"/>
          </w:tcPr>
          <w:p w14:paraId="0BD81BA3" w14:textId="77777777" w:rsidR="00A1720C" w:rsidRPr="0033766E" w:rsidRDefault="00A1720C" w:rsidP="001C68AD">
            <w:pPr>
              <w:rPr>
                <w:rFonts w:ascii="Arial" w:hAnsi="Arial" w:cs="Arial"/>
              </w:rPr>
            </w:pPr>
            <w:r w:rsidRPr="0033766E">
              <w:rPr>
                <w:rFonts w:ascii="Arial" w:hAnsi="Arial" w:cs="Arial"/>
              </w:rPr>
              <w:t>May 16</w:t>
            </w:r>
          </w:p>
        </w:tc>
        <w:tc>
          <w:tcPr>
            <w:tcW w:w="7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A8F6CE" w14:textId="77777777" w:rsidR="00930293" w:rsidRDefault="00A1720C">
            <w:pPr>
              <w:jc w:val="center"/>
              <w:rPr>
                <w:rFonts w:ascii="Arial" w:hAnsi="Arial" w:cs="Arial"/>
              </w:rPr>
            </w:pPr>
            <w:r w:rsidRPr="0033766E">
              <w:rPr>
                <w:rFonts w:ascii="Arial" w:hAnsi="Arial" w:cs="Arial"/>
              </w:rPr>
              <w:t>1050</w:t>
            </w:r>
          </w:p>
        </w:tc>
        <w:tc>
          <w:tcPr>
            <w:tcW w:w="19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113EAF" w14:textId="77777777" w:rsidR="00930293" w:rsidRDefault="00A1720C">
            <w:pPr>
              <w:tabs>
                <w:tab w:val="decimal" w:pos="735"/>
              </w:tabs>
              <w:rPr>
                <w:rFonts w:ascii="Arial" w:hAnsi="Arial" w:cs="Arial"/>
              </w:rPr>
            </w:pPr>
            <w:r w:rsidRPr="0033766E">
              <w:rPr>
                <w:rFonts w:ascii="Arial" w:hAnsi="Arial" w:cs="Arial"/>
              </w:rPr>
              <w:t>0.8</w:t>
            </w:r>
          </w:p>
        </w:tc>
        <w:tc>
          <w:tcPr>
            <w:tcW w:w="7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9EB789" w14:textId="77777777" w:rsidR="00930293" w:rsidRDefault="00A1720C">
            <w:pPr>
              <w:jc w:val="center"/>
              <w:rPr>
                <w:rFonts w:ascii="Arial" w:hAnsi="Arial" w:cs="Arial"/>
              </w:rPr>
            </w:pPr>
            <w:r w:rsidRPr="0033766E">
              <w:rPr>
                <w:rFonts w:ascii="Arial" w:hAnsi="Arial" w:cs="Arial"/>
              </w:rPr>
              <w:t>840</w:t>
            </w:r>
          </w:p>
        </w:tc>
        <w:tc>
          <w:tcPr>
            <w:tcW w:w="4231" w:type="dxa"/>
            <w:vMerge w:val="restart"/>
            <w:tcBorders>
              <w:left w:val="single" w:sz="4" w:space="0" w:color="auto"/>
            </w:tcBorders>
            <w:shd w:val="clear" w:color="auto" w:fill="FFFFFF" w:themeFill="background1"/>
            <w:noWrap/>
            <w:vAlign w:val="center"/>
          </w:tcPr>
          <w:p w14:paraId="54F3D544" w14:textId="77777777" w:rsidR="00A1720C" w:rsidRDefault="00A1720C" w:rsidP="00136238">
            <w:pPr>
              <w:rPr>
                <w:rFonts w:ascii="Arial" w:hAnsi="Arial" w:cs="Arial"/>
                <w:sz w:val="20"/>
                <w:szCs w:val="20"/>
              </w:rPr>
            </w:pPr>
            <w:r>
              <w:rPr>
                <w:rFonts w:ascii="Arial" w:hAnsi="Arial" w:cs="Arial"/>
                <w:sz w:val="20"/>
                <w:szCs w:val="20"/>
              </w:rPr>
              <w:t> </w:t>
            </w:r>
          </w:p>
          <w:p w14:paraId="29496B05" w14:textId="77777777" w:rsidR="00A1720C" w:rsidRDefault="00A1720C" w:rsidP="00136238">
            <w:pPr>
              <w:rPr>
                <w:rFonts w:ascii="Arial" w:hAnsi="Arial" w:cs="Arial"/>
                <w:sz w:val="20"/>
                <w:szCs w:val="20"/>
              </w:rPr>
            </w:pPr>
            <w:r>
              <w:rPr>
                <w:rFonts w:ascii="Arial" w:hAnsi="Arial" w:cs="Arial"/>
                <w:sz w:val="20"/>
                <w:szCs w:val="20"/>
              </w:rPr>
              <w:t> </w:t>
            </w:r>
          </w:p>
          <w:p w14:paraId="009B6614" w14:textId="77777777" w:rsidR="00A1720C" w:rsidRDefault="00A1720C" w:rsidP="00136238">
            <w:pPr>
              <w:rPr>
                <w:rFonts w:ascii="Arial" w:hAnsi="Arial" w:cs="Arial"/>
                <w:sz w:val="20"/>
                <w:szCs w:val="20"/>
              </w:rPr>
            </w:pPr>
            <w:r>
              <w:rPr>
                <w:rFonts w:ascii="Arial" w:hAnsi="Arial" w:cs="Arial"/>
                <w:sz w:val="20"/>
                <w:szCs w:val="20"/>
              </w:rPr>
              <w:t> </w:t>
            </w:r>
          </w:p>
          <w:p w14:paraId="64A7B6C6" w14:textId="77777777" w:rsidR="00A1720C" w:rsidRDefault="00A1720C" w:rsidP="00136238">
            <w:pPr>
              <w:rPr>
                <w:rFonts w:ascii="Arial" w:hAnsi="Arial" w:cs="Arial"/>
                <w:sz w:val="20"/>
                <w:szCs w:val="20"/>
              </w:rPr>
            </w:pPr>
            <w:r>
              <w:rPr>
                <w:rFonts w:ascii="Arial" w:hAnsi="Arial" w:cs="Arial"/>
                <w:sz w:val="20"/>
                <w:szCs w:val="20"/>
              </w:rPr>
              <w:t> </w:t>
            </w:r>
          </w:p>
          <w:p w14:paraId="111BBBE6" w14:textId="77777777" w:rsidR="00A1720C" w:rsidRDefault="00A1720C" w:rsidP="00136238">
            <w:pPr>
              <w:rPr>
                <w:rFonts w:ascii="Arial" w:hAnsi="Arial" w:cs="Arial"/>
                <w:sz w:val="20"/>
                <w:szCs w:val="20"/>
              </w:rPr>
            </w:pPr>
            <w:r>
              <w:rPr>
                <w:rFonts w:ascii="Arial" w:hAnsi="Arial" w:cs="Arial"/>
                <w:sz w:val="20"/>
                <w:szCs w:val="20"/>
              </w:rPr>
              <w:t> </w:t>
            </w:r>
          </w:p>
          <w:p w14:paraId="7004300F" w14:textId="77777777" w:rsidR="00A1720C" w:rsidRDefault="00A1720C" w:rsidP="00136238">
            <w:pPr>
              <w:rPr>
                <w:rFonts w:ascii="Arial" w:hAnsi="Arial" w:cs="Arial"/>
                <w:sz w:val="20"/>
                <w:szCs w:val="20"/>
              </w:rPr>
            </w:pPr>
            <w:r>
              <w:rPr>
                <w:rFonts w:ascii="Arial" w:hAnsi="Arial" w:cs="Arial"/>
                <w:sz w:val="20"/>
                <w:szCs w:val="20"/>
              </w:rPr>
              <w:t> </w:t>
            </w:r>
          </w:p>
          <w:p w14:paraId="6BB4908E" w14:textId="77777777" w:rsidR="00A1720C" w:rsidRDefault="00A1720C" w:rsidP="00136238">
            <w:pPr>
              <w:rPr>
                <w:rFonts w:ascii="Arial" w:hAnsi="Arial" w:cs="Arial"/>
                <w:sz w:val="20"/>
                <w:szCs w:val="20"/>
              </w:rPr>
            </w:pPr>
            <w:r>
              <w:rPr>
                <w:rFonts w:ascii="Arial" w:hAnsi="Arial" w:cs="Arial"/>
                <w:sz w:val="20"/>
                <w:szCs w:val="20"/>
              </w:rPr>
              <w:t> </w:t>
            </w:r>
          </w:p>
          <w:p w14:paraId="091A8104" w14:textId="77777777" w:rsidR="00A1720C" w:rsidRDefault="00A1720C" w:rsidP="00136238">
            <w:pPr>
              <w:rPr>
                <w:rFonts w:ascii="Arial" w:hAnsi="Arial" w:cs="Arial"/>
                <w:sz w:val="20"/>
                <w:szCs w:val="20"/>
              </w:rPr>
            </w:pPr>
            <w:r>
              <w:rPr>
                <w:rFonts w:ascii="Arial" w:hAnsi="Arial" w:cs="Arial"/>
                <w:sz w:val="20"/>
                <w:szCs w:val="20"/>
              </w:rPr>
              <w:t> </w:t>
            </w:r>
          </w:p>
          <w:p w14:paraId="58D41972" w14:textId="77777777" w:rsidR="00A1720C" w:rsidRPr="00D56CCC" w:rsidRDefault="00A1720C" w:rsidP="00136238">
            <w:pPr>
              <w:rPr>
                <w:rFonts w:ascii="Arial" w:hAnsi="Arial" w:cs="Arial"/>
                <w:sz w:val="20"/>
                <w:szCs w:val="20"/>
              </w:rPr>
            </w:pPr>
            <w:r>
              <w:rPr>
                <w:rFonts w:ascii="Arial" w:hAnsi="Arial" w:cs="Arial"/>
                <w:sz w:val="20"/>
                <w:szCs w:val="20"/>
              </w:rPr>
              <w:t> </w:t>
            </w:r>
          </w:p>
        </w:tc>
      </w:tr>
      <w:tr w:rsidR="00A1720C" w14:paraId="2FCF74D9" w14:textId="77777777" w:rsidTr="00951E95">
        <w:trPr>
          <w:trHeight w:val="300"/>
        </w:trPr>
        <w:tc>
          <w:tcPr>
            <w:tcW w:w="1073" w:type="dxa"/>
            <w:tcBorders>
              <w:top w:val="single" w:sz="4" w:space="0" w:color="auto"/>
              <w:bottom w:val="single" w:sz="4" w:space="0" w:color="auto"/>
              <w:right w:val="single" w:sz="4" w:space="0" w:color="auto"/>
            </w:tcBorders>
            <w:shd w:val="clear" w:color="auto" w:fill="FFFFFF" w:themeFill="background1"/>
            <w:vAlign w:val="center"/>
          </w:tcPr>
          <w:p w14:paraId="616D2ECB" w14:textId="77777777" w:rsidR="00A1720C" w:rsidRPr="0033766E" w:rsidRDefault="00A1720C" w:rsidP="001C68AD">
            <w:pPr>
              <w:rPr>
                <w:rFonts w:ascii="Arial" w:hAnsi="Arial" w:cs="Arial"/>
              </w:rPr>
            </w:pPr>
            <w:r w:rsidRPr="0033766E">
              <w:rPr>
                <w:rFonts w:ascii="Arial" w:hAnsi="Arial" w:cs="Arial"/>
              </w:rPr>
              <w:t>May 17</w:t>
            </w:r>
          </w:p>
        </w:tc>
        <w:tc>
          <w:tcPr>
            <w:tcW w:w="7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A910A4" w14:textId="77777777" w:rsidR="00930293" w:rsidRDefault="00A1720C">
            <w:pPr>
              <w:jc w:val="center"/>
              <w:rPr>
                <w:rFonts w:ascii="Arial" w:hAnsi="Arial" w:cs="Arial"/>
              </w:rPr>
            </w:pPr>
            <w:r w:rsidRPr="0033766E">
              <w:rPr>
                <w:rFonts w:ascii="Arial" w:hAnsi="Arial" w:cs="Arial"/>
              </w:rPr>
              <w:t>1000</w:t>
            </w:r>
          </w:p>
        </w:tc>
        <w:tc>
          <w:tcPr>
            <w:tcW w:w="19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F036D3" w14:textId="77777777" w:rsidR="00930293" w:rsidRDefault="00A1720C">
            <w:pPr>
              <w:tabs>
                <w:tab w:val="decimal" w:pos="735"/>
              </w:tabs>
              <w:rPr>
                <w:rFonts w:ascii="Arial" w:hAnsi="Arial" w:cs="Arial"/>
              </w:rPr>
            </w:pPr>
            <w:r w:rsidRPr="0033766E">
              <w:rPr>
                <w:rFonts w:ascii="Arial" w:hAnsi="Arial" w:cs="Arial"/>
              </w:rPr>
              <w:t>0.7</w:t>
            </w:r>
          </w:p>
        </w:tc>
        <w:tc>
          <w:tcPr>
            <w:tcW w:w="7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740EED" w14:textId="77777777" w:rsidR="00930293" w:rsidRDefault="00A1720C">
            <w:pPr>
              <w:jc w:val="center"/>
              <w:rPr>
                <w:rFonts w:ascii="Arial" w:hAnsi="Arial" w:cs="Arial"/>
              </w:rPr>
            </w:pPr>
            <w:r w:rsidRPr="0033766E">
              <w:rPr>
                <w:rFonts w:ascii="Arial" w:hAnsi="Arial" w:cs="Arial"/>
              </w:rPr>
              <w:t>700</w:t>
            </w:r>
          </w:p>
        </w:tc>
        <w:tc>
          <w:tcPr>
            <w:tcW w:w="4231" w:type="dxa"/>
            <w:vMerge/>
            <w:tcBorders>
              <w:left w:val="single" w:sz="4" w:space="0" w:color="auto"/>
            </w:tcBorders>
            <w:shd w:val="clear" w:color="auto" w:fill="FFFFFF" w:themeFill="background1"/>
            <w:noWrap/>
            <w:vAlign w:val="bottom"/>
          </w:tcPr>
          <w:p w14:paraId="656D5E81" w14:textId="77777777" w:rsidR="00A1720C" w:rsidRDefault="00A1720C" w:rsidP="00136238">
            <w:pPr>
              <w:rPr>
                <w:rFonts w:ascii="Arial" w:hAnsi="Arial" w:cs="Arial"/>
                <w:sz w:val="20"/>
                <w:szCs w:val="20"/>
              </w:rPr>
            </w:pPr>
          </w:p>
        </w:tc>
      </w:tr>
      <w:tr w:rsidR="00A1720C" w14:paraId="6D74F9F9" w14:textId="77777777" w:rsidTr="00951E95">
        <w:trPr>
          <w:trHeight w:val="300"/>
        </w:trPr>
        <w:tc>
          <w:tcPr>
            <w:tcW w:w="1073" w:type="dxa"/>
            <w:tcBorders>
              <w:top w:val="single" w:sz="4" w:space="0" w:color="auto"/>
              <w:bottom w:val="single" w:sz="4" w:space="0" w:color="auto"/>
              <w:right w:val="single" w:sz="4" w:space="0" w:color="auto"/>
            </w:tcBorders>
            <w:shd w:val="clear" w:color="auto" w:fill="FFFFFF" w:themeFill="background1"/>
            <w:vAlign w:val="center"/>
          </w:tcPr>
          <w:p w14:paraId="44C27795" w14:textId="77777777" w:rsidR="00A1720C" w:rsidRPr="0033766E" w:rsidRDefault="00A1720C" w:rsidP="001C68AD">
            <w:pPr>
              <w:rPr>
                <w:rFonts w:ascii="Arial" w:hAnsi="Arial" w:cs="Arial"/>
              </w:rPr>
            </w:pPr>
            <w:r w:rsidRPr="0033766E">
              <w:rPr>
                <w:rFonts w:ascii="Arial" w:hAnsi="Arial" w:cs="Arial"/>
              </w:rPr>
              <w:t>May 18</w:t>
            </w:r>
          </w:p>
        </w:tc>
        <w:tc>
          <w:tcPr>
            <w:tcW w:w="7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72654B" w14:textId="77777777" w:rsidR="00930293" w:rsidRDefault="00A1720C">
            <w:pPr>
              <w:jc w:val="center"/>
              <w:rPr>
                <w:rFonts w:ascii="Arial" w:hAnsi="Arial" w:cs="Arial"/>
              </w:rPr>
            </w:pPr>
            <w:r w:rsidRPr="0033766E">
              <w:rPr>
                <w:rFonts w:ascii="Arial" w:hAnsi="Arial" w:cs="Arial"/>
              </w:rPr>
              <w:t>1800</w:t>
            </w:r>
          </w:p>
        </w:tc>
        <w:tc>
          <w:tcPr>
            <w:tcW w:w="19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A4EA1B" w14:textId="77777777" w:rsidR="00930293" w:rsidRDefault="00A1720C">
            <w:pPr>
              <w:tabs>
                <w:tab w:val="decimal" w:pos="735"/>
              </w:tabs>
              <w:rPr>
                <w:rFonts w:ascii="Arial" w:hAnsi="Arial" w:cs="Arial"/>
              </w:rPr>
            </w:pPr>
            <w:r w:rsidRPr="0033766E">
              <w:rPr>
                <w:rFonts w:ascii="Arial" w:hAnsi="Arial" w:cs="Arial"/>
              </w:rPr>
              <w:t>0.6</w:t>
            </w:r>
          </w:p>
        </w:tc>
        <w:tc>
          <w:tcPr>
            <w:tcW w:w="7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B5CB05" w14:textId="77777777" w:rsidR="00930293" w:rsidRDefault="00A1720C">
            <w:pPr>
              <w:jc w:val="center"/>
              <w:rPr>
                <w:rFonts w:ascii="Arial" w:hAnsi="Arial" w:cs="Arial"/>
              </w:rPr>
            </w:pPr>
            <w:r w:rsidRPr="0033766E">
              <w:rPr>
                <w:rFonts w:ascii="Arial" w:hAnsi="Arial" w:cs="Arial"/>
              </w:rPr>
              <w:t>1080</w:t>
            </w:r>
          </w:p>
        </w:tc>
        <w:tc>
          <w:tcPr>
            <w:tcW w:w="4231" w:type="dxa"/>
            <w:vMerge/>
            <w:tcBorders>
              <w:left w:val="single" w:sz="4" w:space="0" w:color="auto"/>
            </w:tcBorders>
            <w:shd w:val="clear" w:color="auto" w:fill="FFFFFF" w:themeFill="background1"/>
            <w:noWrap/>
            <w:vAlign w:val="bottom"/>
          </w:tcPr>
          <w:p w14:paraId="7C3A8E60" w14:textId="77777777" w:rsidR="00A1720C" w:rsidRDefault="00A1720C" w:rsidP="00136238">
            <w:pPr>
              <w:rPr>
                <w:rFonts w:ascii="Arial" w:hAnsi="Arial" w:cs="Arial"/>
                <w:sz w:val="20"/>
                <w:szCs w:val="20"/>
              </w:rPr>
            </w:pPr>
          </w:p>
        </w:tc>
      </w:tr>
      <w:tr w:rsidR="00A1720C" w14:paraId="5203B754" w14:textId="77777777" w:rsidTr="00951E95">
        <w:trPr>
          <w:trHeight w:val="300"/>
        </w:trPr>
        <w:tc>
          <w:tcPr>
            <w:tcW w:w="1073" w:type="dxa"/>
            <w:tcBorders>
              <w:top w:val="single" w:sz="4" w:space="0" w:color="auto"/>
              <w:bottom w:val="single" w:sz="4" w:space="0" w:color="auto"/>
              <w:right w:val="single" w:sz="4" w:space="0" w:color="auto"/>
            </w:tcBorders>
            <w:shd w:val="clear" w:color="auto" w:fill="FFFFFF" w:themeFill="background1"/>
            <w:vAlign w:val="center"/>
          </w:tcPr>
          <w:p w14:paraId="3BA6C476" w14:textId="77777777" w:rsidR="00A1720C" w:rsidRPr="0033766E" w:rsidRDefault="00A1720C" w:rsidP="001C68AD">
            <w:pPr>
              <w:rPr>
                <w:rFonts w:ascii="Arial" w:hAnsi="Arial" w:cs="Arial"/>
              </w:rPr>
            </w:pPr>
            <w:r w:rsidRPr="0033766E">
              <w:rPr>
                <w:rFonts w:ascii="Arial" w:hAnsi="Arial" w:cs="Arial"/>
              </w:rPr>
              <w:t>May 19</w:t>
            </w:r>
          </w:p>
        </w:tc>
        <w:tc>
          <w:tcPr>
            <w:tcW w:w="7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CBB837" w14:textId="77777777" w:rsidR="00930293" w:rsidRDefault="00A1720C">
            <w:pPr>
              <w:jc w:val="center"/>
              <w:rPr>
                <w:rFonts w:ascii="Arial" w:hAnsi="Arial" w:cs="Arial"/>
              </w:rPr>
            </w:pPr>
            <w:r w:rsidRPr="0033766E">
              <w:rPr>
                <w:rFonts w:ascii="Arial" w:hAnsi="Arial" w:cs="Arial"/>
              </w:rPr>
              <w:t>2000</w:t>
            </w:r>
          </w:p>
        </w:tc>
        <w:tc>
          <w:tcPr>
            <w:tcW w:w="19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66C530" w14:textId="77777777" w:rsidR="00930293" w:rsidRDefault="00A1720C">
            <w:pPr>
              <w:tabs>
                <w:tab w:val="decimal" w:pos="735"/>
              </w:tabs>
              <w:rPr>
                <w:rFonts w:ascii="Arial" w:hAnsi="Arial" w:cs="Arial"/>
              </w:rPr>
            </w:pPr>
            <w:r w:rsidRPr="0033766E">
              <w:rPr>
                <w:rFonts w:ascii="Arial" w:hAnsi="Arial" w:cs="Arial"/>
              </w:rPr>
              <w:t>0.55</w:t>
            </w:r>
          </w:p>
        </w:tc>
        <w:tc>
          <w:tcPr>
            <w:tcW w:w="7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A7868C" w14:textId="77777777" w:rsidR="00930293" w:rsidRDefault="00A1720C">
            <w:pPr>
              <w:jc w:val="center"/>
              <w:rPr>
                <w:rFonts w:ascii="Arial" w:hAnsi="Arial" w:cs="Arial"/>
              </w:rPr>
            </w:pPr>
            <w:r w:rsidRPr="0033766E">
              <w:rPr>
                <w:rFonts w:ascii="Arial" w:hAnsi="Arial" w:cs="Arial"/>
              </w:rPr>
              <w:t>1100</w:t>
            </w:r>
          </w:p>
        </w:tc>
        <w:tc>
          <w:tcPr>
            <w:tcW w:w="4231" w:type="dxa"/>
            <w:vMerge/>
            <w:tcBorders>
              <w:left w:val="single" w:sz="4" w:space="0" w:color="auto"/>
            </w:tcBorders>
            <w:shd w:val="clear" w:color="auto" w:fill="FFFFFF" w:themeFill="background1"/>
            <w:noWrap/>
            <w:vAlign w:val="bottom"/>
          </w:tcPr>
          <w:p w14:paraId="67E186F8" w14:textId="77777777" w:rsidR="00A1720C" w:rsidRDefault="00A1720C" w:rsidP="00136238">
            <w:pPr>
              <w:rPr>
                <w:rFonts w:ascii="Arial" w:hAnsi="Arial" w:cs="Arial"/>
                <w:sz w:val="20"/>
                <w:szCs w:val="20"/>
              </w:rPr>
            </w:pPr>
          </w:p>
        </w:tc>
      </w:tr>
      <w:tr w:rsidR="00A1720C" w14:paraId="350EF3E9" w14:textId="77777777" w:rsidTr="00951E95">
        <w:trPr>
          <w:trHeight w:val="300"/>
        </w:trPr>
        <w:tc>
          <w:tcPr>
            <w:tcW w:w="1073" w:type="dxa"/>
            <w:tcBorders>
              <w:top w:val="single" w:sz="4" w:space="0" w:color="auto"/>
              <w:bottom w:val="single" w:sz="4" w:space="0" w:color="auto"/>
              <w:right w:val="single" w:sz="4" w:space="0" w:color="auto"/>
            </w:tcBorders>
            <w:shd w:val="clear" w:color="auto" w:fill="FFFFFF" w:themeFill="background1"/>
            <w:vAlign w:val="center"/>
          </w:tcPr>
          <w:p w14:paraId="739CE62F" w14:textId="77777777" w:rsidR="00A1720C" w:rsidRPr="0033766E" w:rsidRDefault="00A1720C" w:rsidP="001C68AD">
            <w:pPr>
              <w:rPr>
                <w:rFonts w:ascii="Arial" w:hAnsi="Arial" w:cs="Arial"/>
              </w:rPr>
            </w:pPr>
            <w:r w:rsidRPr="0033766E">
              <w:rPr>
                <w:rFonts w:ascii="Arial" w:hAnsi="Arial" w:cs="Arial"/>
              </w:rPr>
              <w:t>May 20</w:t>
            </w:r>
          </w:p>
        </w:tc>
        <w:tc>
          <w:tcPr>
            <w:tcW w:w="7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377CA7" w14:textId="77777777" w:rsidR="00930293" w:rsidRDefault="00A1720C">
            <w:pPr>
              <w:jc w:val="center"/>
              <w:rPr>
                <w:rFonts w:ascii="Arial" w:hAnsi="Arial" w:cs="Arial"/>
              </w:rPr>
            </w:pPr>
            <w:r w:rsidRPr="0033766E">
              <w:rPr>
                <w:rFonts w:ascii="Arial" w:hAnsi="Arial" w:cs="Arial"/>
              </w:rPr>
              <w:t>2500</w:t>
            </w:r>
          </w:p>
        </w:tc>
        <w:tc>
          <w:tcPr>
            <w:tcW w:w="19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B5FBF2" w14:textId="77777777" w:rsidR="00930293" w:rsidRDefault="00A1720C">
            <w:pPr>
              <w:tabs>
                <w:tab w:val="decimal" w:pos="735"/>
              </w:tabs>
              <w:rPr>
                <w:rFonts w:ascii="Arial" w:hAnsi="Arial" w:cs="Arial"/>
              </w:rPr>
            </w:pPr>
            <w:r w:rsidRPr="0033766E">
              <w:rPr>
                <w:rFonts w:ascii="Arial" w:hAnsi="Arial" w:cs="Arial"/>
              </w:rPr>
              <w:t>0.53</w:t>
            </w:r>
          </w:p>
        </w:tc>
        <w:tc>
          <w:tcPr>
            <w:tcW w:w="7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8F2E43" w14:textId="77777777" w:rsidR="00930293" w:rsidRDefault="00A1720C">
            <w:pPr>
              <w:jc w:val="center"/>
              <w:rPr>
                <w:rFonts w:ascii="Arial" w:hAnsi="Arial" w:cs="Arial"/>
              </w:rPr>
            </w:pPr>
            <w:r w:rsidRPr="0033766E">
              <w:rPr>
                <w:rFonts w:ascii="Arial" w:hAnsi="Arial" w:cs="Arial"/>
              </w:rPr>
              <w:t>1325</w:t>
            </w:r>
          </w:p>
        </w:tc>
        <w:tc>
          <w:tcPr>
            <w:tcW w:w="4231" w:type="dxa"/>
            <w:vMerge/>
            <w:tcBorders>
              <w:left w:val="single" w:sz="4" w:space="0" w:color="auto"/>
            </w:tcBorders>
            <w:shd w:val="clear" w:color="auto" w:fill="FFFFFF" w:themeFill="background1"/>
            <w:noWrap/>
            <w:vAlign w:val="bottom"/>
          </w:tcPr>
          <w:p w14:paraId="6BEE6E6B" w14:textId="77777777" w:rsidR="00A1720C" w:rsidRDefault="00A1720C" w:rsidP="00136238">
            <w:pPr>
              <w:rPr>
                <w:rFonts w:ascii="Arial" w:hAnsi="Arial" w:cs="Arial"/>
                <w:sz w:val="20"/>
                <w:szCs w:val="20"/>
              </w:rPr>
            </w:pPr>
          </w:p>
        </w:tc>
      </w:tr>
      <w:tr w:rsidR="00A1720C" w14:paraId="20210FE7" w14:textId="77777777" w:rsidTr="00951E95">
        <w:trPr>
          <w:trHeight w:val="300"/>
        </w:trPr>
        <w:tc>
          <w:tcPr>
            <w:tcW w:w="1073" w:type="dxa"/>
            <w:tcBorders>
              <w:top w:val="single" w:sz="4" w:space="0" w:color="auto"/>
              <w:bottom w:val="single" w:sz="4" w:space="0" w:color="auto"/>
              <w:right w:val="single" w:sz="4" w:space="0" w:color="auto"/>
            </w:tcBorders>
            <w:shd w:val="clear" w:color="auto" w:fill="FFFFFF" w:themeFill="background1"/>
            <w:vAlign w:val="center"/>
          </w:tcPr>
          <w:p w14:paraId="19B000FF" w14:textId="77777777" w:rsidR="00A1720C" w:rsidRPr="0033766E" w:rsidRDefault="00A1720C" w:rsidP="001C68AD">
            <w:pPr>
              <w:rPr>
                <w:rFonts w:ascii="Arial" w:hAnsi="Arial" w:cs="Arial"/>
              </w:rPr>
            </w:pPr>
            <w:r w:rsidRPr="0033766E">
              <w:rPr>
                <w:rFonts w:ascii="Arial" w:hAnsi="Arial" w:cs="Arial"/>
              </w:rPr>
              <w:t>May 21</w:t>
            </w:r>
          </w:p>
        </w:tc>
        <w:tc>
          <w:tcPr>
            <w:tcW w:w="7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22F7D4" w14:textId="77777777" w:rsidR="00930293" w:rsidRDefault="00A1720C">
            <w:pPr>
              <w:jc w:val="center"/>
              <w:rPr>
                <w:rFonts w:ascii="Arial" w:hAnsi="Arial" w:cs="Arial"/>
              </w:rPr>
            </w:pPr>
            <w:r w:rsidRPr="0033766E">
              <w:rPr>
                <w:rFonts w:ascii="Arial" w:hAnsi="Arial" w:cs="Arial"/>
              </w:rPr>
              <w:t>2250</w:t>
            </w:r>
          </w:p>
        </w:tc>
        <w:tc>
          <w:tcPr>
            <w:tcW w:w="19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8A348B" w14:textId="77777777" w:rsidR="00930293" w:rsidRDefault="00A1720C">
            <w:pPr>
              <w:tabs>
                <w:tab w:val="decimal" w:pos="735"/>
              </w:tabs>
              <w:rPr>
                <w:rFonts w:ascii="Arial" w:hAnsi="Arial" w:cs="Arial"/>
              </w:rPr>
            </w:pPr>
            <w:r w:rsidRPr="0033766E">
              <w:rPr>
                <w:rFonts w:ascii="Arial" w:hAnsi="Arial" w:cs="Arial"/>
              </w:rPr>
              <w:t>0.43</w:t>
            </w:r>
          </w:p>
        </w:tc>
        <w:tc>
          <w:tcPr>
            <w:tcW w:w="7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0E78A2" w14:textId="77777777" w:rsidR="00930293" w:rsidRDefault="00A1720C">
            <w:pPr>
              <w:jc w:val="center"/>
              <w:rPr>
                <w:rFonts w:ascii="Arial" w:hAnsi="Arial" w:cs="Arial"/>
              </w:rPr>
            </w:pPr>
            <w:r w:rsidRPr="0033766E">
              <w:rPr>
                <w:rFonts w:ascii="Arial" w:hAnsi="Arial" w:cs="Arial"/>
              </w:rPr>
              <w:t>968</w:t>
            </w:r>
          </w:p>
        </w:tc>
        <w:tc>
          <w:tcPr>
            <w:tcW w:w="4231" w:type="dxa"/>
            <w:vMerge/>
            <w:tcBorders>
              <w:left w:val="single" w:sz="4" w:space="0" w:color="auto"/>
            </w:tcBorders>
            <w:shd w:val="clear" w:color="auto" w:fill="FFFFFF" w:themeFill="background1"/>
            <w:noWrap/>
            <w:vAlign w:val="bottom"/>
          </w:tcPr>
          <w:p w14:paraId="1B36CB46" w14:textId="77777777" w:rsidR="00A1720C" w:rsidRDefault="00A1720C" w:rsidP="00136238">
            <w:pPr>
              <w:rPr>
                <w:rFonts w:ascii="Arial" w:hAnsi="Arial" w:cs="Arial"/>
                <w:sz w:val="20"/>
                <w:szCs w:val="20"/>
              </w:rPr>
            </w:pPr>
          </w:p>
        </w:tc>
      </w:tr>
      <w:tr w:rsidR="00A1720C" w14:paraId="611B77DA" w14:textId="77777777" w:rsidTr="00951E95">
        <w:trPr>
          <w:trHeight w:val="300"/>
        </w:trPr>
        <w:tc>
          <w:tcPr>
            <w:tcW w:w="1073" w:type="dxa"/>
            <w:tcBorders>
              <w:top w:val="single" w:sz="4" w:space="0" w:color="auto"/>
              <w:bottom w:val="single" w:sz="4" w:space="0" w:color="auto"/>
              <w:right w:val="single" w:sz="4" w:space="0" w:color="auto"/>
            </w:tcBorders>
            <w:shd w:val="clear" w:color="auto" w:fill="FFFFFF" w:themeFill="background1"/>
            <w:vAlign w:val="center"/>
          </w:tcPr>
          <w:p w14:paraId="2F6BD1BB" w14:textId="77777777" w:rsidR="00A1720C" w:rsidRPr="0033766E" w:rsidRDefault="00A1720C" w:rsidP="001C68AD">
            <w:pPr>
              <w:rPr>
                <w:rFonts w:ascii="Arial" w:hAnsi="Arial" w:cs="Arial"/>
              </w:rPr>
            </w:pPr>
            <w:r w:rsidRPr="0033766E">
              <w:rPr>
                <w:rFonts w:ascii="Arial" w:hAnsi="Arial" w:cs="Arial"/>
              </w:rPr>
              <w:t>May 22</w:t>
            </w:r>
          </w:p>
        </w:tc>
        <w:tc>
          <w:tcPr>
            <w:tcW w:w="7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59D158" w14:textId="77777777" w:rsidR="00930293" w:rsidRDefault="00A1720C">
            <w:pPr>
              <w:jc w:val="center"/>
              <w:rPr>
                <w:rFonts w:ascii="Arial" w:hAnsi="Arial" w:cs="Arial"/>
              </w:rPr>
            </w:pPr>
            <w:r w:rsidRPr="0033766E">
              <w:rPr>
                <w:rFonts w:ascii="Arial" w:hAnsi="Arial" w:cs="Arial"/>
              </w:rPr>
              <w:t>1500</w:t>
            </w:r>
          </w:p>
        </w:tc>
        <w:tc>
          <w:tcPr>
            <w:tcW w:w="19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C0F1B6" w14:textId="77777777" w:rsidR="00930293" w:rsidRDefault="00A1720C">
            <w:pPr>
              <w:tabs>
                <w:tab w:val="decimal" w:pos="735"/>
              </w:tabs>
              <w:rPr>
                <w:rFonts w:ascii="Arial" w:hAnsi="Arial" w:cs="Arial"/>
              </w:rPr>
            </w:pPr>
            <w:r w:rsidRPr="0033766E">
              <w:rPr>
                <w:rFonts w:ascii="Arial" w:hAnsi="Arial" w:cs="Arial"/>
              </w:rPr>
              <w:t>0.45</w:t>
            </w:r>
          </w:p>
        </w:tc>
        <w:tc>
          <w:tcPr>
            <w:tcW w:w="7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05BDAA" w14:textId="77777777" w:rsidR="00930293" w:rsidRDefault="00A1720C">
            <w:pPr>
              <w:jc w:val="center"/>
              <w:rPr>
                <w:rFonts w:ascii="Arial" w:hAnsi="Arial" w:cs="Arial"/>
              </w:rPr>
            </w:pPr>
            <w:r w:rsidRPr="0033766E">
              <w:rPr>
                <w:rFonts w:ascii="Arial" w:hAnsi="Arial" w:cs="Arial"/>
              </w:rPr>
              <w:t>675</w:t>
            </w:r>
          </w:p>
        </w:tc>
        <w:tc>
          <w:tcPr>
            <w:tcW w:w="4231" w:type="dxa"/>
            <w:vMerge/>
            <w:tcBorders>
              <w:left w:val="single" w:sz="4" w:space="0" w:color="auto"/>
              <w:bottom w:val="single" w:sz="4" w:space="0" w:color="auto"/>
            </w:tcBorders>
            <w:shd w:val="clear" w:color="auto" w:fill="FFFFFF" w:themeFill="background1"/>
            <w:noWrap/>
            <w:vAlign w:val="bottom"/>
          </w:tcPr>
          <w:p w14:paraId="064A07D7" w14:textId="77777777" w:rsidR="00A1720C" w:rsidRDefault="00A1720C" w:rsidP="00136238">
            <w:pPr>
              <w:rPr>
                <w:rFonts w:ascii="Arial" w:hAnsi="Arial" w:cs="Arial"/>
                <w:sz w:val="20"/>
                <w:szCs w:val="20"/>
              </w:rPr>
            </w:pPr>
          </w:p>
        </w:tc>
      </w:tr>
    </w:tbl>
    <w:p w14:paraId="7A4A1E5A" w14:textId="77777777" w:rsidR="00A1720C" w:rsidRDefault="00A1720C" w:rsidP="00A1720C">
      <w:pPr>
        <w:autoSpaceDE w:val="0"/>
        <w:autoSpaceDN w:val="0"/>
        <w:adjustRightInd w:val="0"/>
        <w:rPr>
          <w:rFonts w:ascii="Arial" w:hAnsi="Arial" w:cs="Arial"/>
          <w:b/>
        </w:rPr>
      </w:pPr>
    </w:p>
    <w:p w14:paraId="087B6E24" w14:textId="0224D054" w:rsidR="00A1720C" w:rsidRPr="006C274A" w:rsidRDefault="006C2818" w:rsidP="00A1720C">
      <w:pPr>
        <w:autoSpaceDE w:val="0"/>
        <w:autoSpaceDN w:val="0"/>
        <w:adjustRightInd w:val="0"/>
        <w:rPr>
          <w:rFonts w:ascii="Arial" w:hAnsi="Arial" w:cs="Arial"/>
          <w:b/>
        </w:rPr>
      </w:pPr>
      <w:r w:rsidRPr="006C274A">
        <w:rPr>
          <w:rFonts w:ascii="Arial" w:hAnsi="Arial" w:cs="Arial"/>
          <w:b/>
        </w:rPr>
        <w:t>Question 14</w:t>
      </w:r>
      <w:r w:rsidR="00A1720C" w:rsidRPr="006C274A">
        <w:rPr>
          <w:rFonts w:ascii="Arial" w:hAnsi="Arial" w:cs="Arial"/>
          <w:b/>
        </w:rPr>
        <w:t xml:space="preserve">: </w:t>
      </w:r>
      <w:r w:rsidR="005A3F32">
        <w:rPr>
          <w:rFonts w:ascii="Arial" w:hAnsi="Arial" w:cs="Arial"/>
          <w:b/>
        </w:rPr>
        <w:t xml:space="preserve"> </w:t>
      </w:r>
      <w:r w:rsidR="00A1720C" w:rsidRPr="006C274A">
        <w:rPr>
          <w:rFonts w:ascii="Arial" w:hAnsi="Arial" w:cs="Arial"/>
          <w:b/>
        </w:rPr>
        <w:t xml:space="preserve">Was </w:t>
      </w:r>
      <w:r w:rsidRPr="006C274A">
        <w:rPr>
          <w:rFonts w:ascii="Arial" w:hAnsi="Arial" w:cs="Arial"/>
          <w:b/>
        </w:rPr>
        <w:t>there evidence of initial hematopoietic recovery</w:t>
      </w:r>
      <w:r w:rsidR="00A1720C" w:rsidRPr="006C274A">
        <w:rPr>
          <w:rFonts w:ascii="Arial" w:hAnsi="Arial" w:cs="Arial"/>
          <w:b/>
        </w:rPr>
        <w:t>?</w:t>
      </w:r>
    </w:p>
    <w:p w14:paraId="023D0FE8" w14:textId="77777777" w:rsidR="00A1720C" w:rsidRPr="006C274A" w:rsidRDefault="00A1720C" w:rsidP="00A1720C">
      <w:pPr>
        <w:autoSpaceDE w:val="0"/>
        <w:autoSpaceDN w:val="0"/>
        <w:adjustRightInd w:val="0"/>
        <w:rPr>
          <w:rFonts w:ascii="Arial" w:hAnsi="Arial" w:cs="Arial"/>
        </w:rPr>
      </w:pPr>
      <w:r w:rsidRPr="006C274A">
        <w:rPr>
          <w:rFonts w:ascii="Arial" w:hAnsi="Arial" w:cs="Arial"/>
        </w:rPr>
        <w:t xml:space="preserve">Indicate whether or not there was evidence of </w:t>
      </w:r>
      <w:r w:rsidRPr="006C274A">
        <w:rPr>
          <w:rFonts w:ascii="Arial" w:hAnsi="Arial" w:cs="Arial"/>
          <w:b/>
        </w:rPr>
        <w:t>initial</w:t>
      </w:r>
      <w:r w:rsidRPr="006C274A">
        <w:rPr>
          <w:rFonts w:ascii="Arial" w:hAnsi="Arial" w:cs="Arial"/>
        </w:rPr>
        <w:t xml:space="preserve"> ANC recovery following this </w:t>
      </w:r>
      <w:r w:rsidR="00AF4E5A" w:rsidRPr="006C274A">
        <w:rPr>
          <w:rFonts w:ascii="Arial" w:hAnsi="Arial" w:cs="Arial"/>
        </w:rPr>
        <w:t>HCT</w:t>
      </w:r>
      <w:r w:rsidRPr="006C274A">
        <w:rPr>
          <w:rFonts w:ascii="Arial" w:hAnsi="Arial" w:cs="Arial"/>
        </w:rPr>
        <w:t>.</w:t>
      </w:r>
    </w:p>
    <w:p w14:paraId="7B97ECED" w14:textId="77777777" w:rsidR="00A1720C" w:rsidRPr="006C274A" w:rsidRDefault="00A1720C" w:rsidP="00A1720C">
      <w:pPr>
        <w:autoSpaceDE w:val="0"/>
        <w:autoSpaceDN w:val="0"/>
        <w:adjustRightInd w:val="0"/>
        <w:rPr>
          <w:rFonts w:ascii="Arial" w:hAnsi="Arial" w:cs="Arial"/>
        </w:rPr>
      </w:pPr>
    </w:p>
    <w:p w14:paraId="0E694267" w14:textId="77777777" w:rsidR="00A1720C" w:rsidRPr="006C274A" w:rsidRDefault="00A1720C" w:rsidP="00A1720C">
      <w:pPr>
        <w:autoSpaceDE w:val="0"/>
        <w:autoSpaceDN w:val="0"/>
        <w:adjustRightInd w:val="0"/>
        <w:rPr>
          <w:rFonts w:ascii="Arial" w:hAnsi="Arial" w:cs="Arial"/>
        </w:rPr>
      </w:pPr>
      <w:r w:rsidRPr="006C274A">
        <w:rPr>
          <w:rFonts w:ascii="Arial" w:hAnsi="Arial" w:cs="Arial"/>
        </w:rPr>
        <w:t xml:space="preserve">Check only </w:t>
      </w:r>
      <w:r w:rsidRPr="006C274A">
        <w:rPr>
          <w:rFonts w:ascii="Arial" w:hAnsi="Arial" w:cs="Arial"/>
          <w:b/>
        </w:rPr>
        <w:t>one</w:t>
      </w:r>
      <w:r w:rsidRPr="006C274A">
        <w:rPr>
          <w:rFonts w:ascii="Arial" w:hAnsi="Arial" w:cs="Arial"/>
        </w:rPr>
        <w:t xml:space="preserve"> response:</w:t>
      </w:r>
    </w:p>
    <w:p w14:paraId="77252F06" w14:textId="77777777" w:rsidR="00A1720C" w:rsidRPr="006C274A" w:rsidRDefault="00A1720C" w:rsidP="00A1720C">
      <w:pPr>
        <w:autoSpaceDE w:val="0"/>
        <w:autoSpaceDN w:val="0"/>
        <w:adjustRightInd w:val="0"/>
        <w:rPr>
          <w:rFonts w:ascii="Arial" w:hAnsi="Arial" w:cs="Arial"/>
        </w:rPr>
      </w:pPr>
    </w:p>
    <w:p w14:paraId="6889EF90" w14:textId="6C604EAB" w:rsidR="00930293" w:rsidRPr="006C274A" w:rsidRDefault="00A1720C">
      <w:pPr>
        <w:numPr>
          <w:ilvl w:val="0"/>
          <w:numId w:val="16"/>
        </w:numPr>
        <w:spacing w:after="120"/>
        <w:rPr>
          <w:rFonts w:ascii="Arial" w:hAnsi="Arial" w:cs="Arial"/>
        </w:rPr>
      </w:pPr>
      <w:r w:rsidRPr="006C274A">
        <w:rPr>
          <w:rFonts w:ascii="Arial" w:hAnsi="Arial" w:cs="Arial"/>
        </w:rPr>
        <w:t>If</w:t>
      </w:r>
      <w:r w:rsidR="006C274A" w:rsidRPr="006C274A">
        <w:rPr>
          <w:rFonts w:ascii="Arial" w:hAnsi="Arial" w:cs="Arial"/>
        </w:rPr>
        <w:t xml:space="preserve"> “yes,” continue with question 15</w:t>
      </w:r>
      <w:r w:rsidRPr="006C274A">
        <w:rPr>
          <w:rFonts w:ascii="Arial" w:hAnsi="Arial" w:cs="Arial"/>
        </w:rPr>
        <w:t>.</w:t>
      </w:r>
    </w:p>
    <w:p w14:paraId="0EB86738" w14:textId="1573D2BB" w:rsidR="00930293" w:rsidRPr="006C274A" w:rsidRDefault="00A1720C">
      <w:pPr>
        <w:numPr>
          <w:ilvl w:val="0"/>
          <w:numId w:val="16"/>
        </w:numPr>
        <w:spacing w:after="120"/>
        <w:rPr>
          <w:rFonts w:ascii="Arial" w:hAnsi="Arial" w:cs="Arial"/>
        </w:rPr>
      </w:pPr>
      <w:r w:rsidRPr="006C274A">
        <w:rPr>
          <w:rFonts w:ascii="Arial" w:hAnsi="Arial" w:cs="Arial"/>
        </w:rPr>
        <w:t>If</w:t>
      </w:r>
      <w:r w:rsidR="006C274A" w:rsidRPr="006C274A">
        <w:rPr>
          <w:rFonts w:ascii="Arial" w:hAnsi="Arial" w:cs="Arial"/>
        </w:rPr>
        <w:t xml:space="preserve"> “no,” continue with question 16</w:t>
      </w:r>
      <w:r w:rsidRPr="006C274A">
        <w:rPr>
          <w:rFonts w:ascii="Arial" w:hAnsi="Arial" w:cs="Arial"/>
        </w:rPr>
        <w:t>.</w:t>
      </w:r>
    </w:p>
    <w:p w14:paraId="535C8524" w14:textId="42C2E250" w:rsidR="00930293" w:rsidRPr="006C274A" w:rsidRDefault="00A1720C">
      <w:pPr>
        <w:numPr>
          <w:ilvl w:val="0"/>
          <w:numId w:val="16"/>
        </w:numPr>
        <w:spacing w:after="120"/>
        <w:rPr>
          <w:rFonts w:ascii="Arial" w:hAnsi="Arial" w:cs="Arial"/>
        </w:rPr>
      </w:pPr>
      <w:r w:rsidRPr="006C274A">
        <w:rPr>
          <w:rFonts w:ascii="Arial" w:hAnsi="Arial" w:cs="Arial"/>
        </w:rPr>
        <w:t>Check “never below,” if the recipient’s ANC never dropped below 0.5 x 10</w:t>
      </w:r>
      <w:r w:rsidRPr="006C274A">
        <w:rPr>
          <w:rFonts w:ascii="Arial" w:hAnsi="Arial" w:cs="Arial"/>
          <w:vertAlign w:val="superscript"/>
        </w:rPr>
        <w:t>9</w:t>
      </w:r>
      <w:r w:rsidRPr="006C274A">
        <w:rPr>
          <w:rFonts w:ascii="Arial" w:hAnsi="Arial" w:cs="Arial"/>
        </w:rPr>
        <w:t>/L at any time post-</w:t>
      </w:r>
      <w:r w:rsidR="00AF4E5A" w:rsidRPr="006C274A">
        <w:rPr>
          <w:rFonts w:ascii="Arial" w:hAnsi="Arial" w:cs="Arial"/>
        </w:rPr>
        <w:t>HCT</w:t>
      </w:r>
      <w:r w:rsidR="00F91ED8">
        <w:rPr>
          <w:rFonts w:ascii="Arial" w:hAnsi="Arial" w:cs="Arial"/>
        </w:rPr>
        <w:t xml:space="preserve">.  </w:t>
      </w:r>
      <w:r w:rsidR="006C274A" w:rsidRPr="006C274A">
        <w:rPr>
          <w:rFonts w:ascii="Arial" w:hAnsi="Arial" w:cs="Arial"/>
        </w:rPr>
        <w:t>This option is only applicable in the 100-day reporting period</w:t>
      </w:r>
      <w:r w:rsidR="00F91ED8">
        <w:rPr>
          <w:rFonts w:ascii="Arial" w:hAnsi="Arial" w:cs="Arial"/>
        </w:rPr>
        <w:t xml:space="preserve">.  </w:t>
      </w:r>
      <w:r w:rsidR="006C274A" w:rsidRPr="006C274A">
        <w:rPr>
          <w:rFonts w:ascii="Arial" w:hAnsi="Arial" w:cs="Arial"/>
        </w:rPr>
        <w:t>Continue with question 16.</w:t>
      </w:r>
    </w:p>
    <w:p w14:paraId="1F6C9FF4" w14:textId="0D5AD9A5" w:rsidR="00930293" w:rsidRPr="006C274A" w:rsidRDefault="00A1720C">
      <w:pPr>
        <w:numPr>
          <w:ilvl w:val="0"/>
          <w:numId w:val="16"/>
        </w:numPr>
        <w:spacing w:after="120"/>
        <w:rPr>
          <w:rFonts w:ascii="Arial" w:hAnsi="Arial" w:cs="Arial"/>
        </w:rPr>
      </w:pPr>
      <w:r w:rsidRPr="006C274A">
        <w:rPr>
          <w:rFonts w:ascii="Arial" w:hAnsi="Arial" w:cs="Arial"/>
        </w:rPr>
        <w:t xml:space="preserve">Check “previously reported” if this is the </w:t>
      </w:r>
      <w:proofErr w:type="gramStart"/>
      <w:r w:rsidR="00AA1158">
        <w:rPr>
          <w:rFonts w:ascii="Arial" w:hAnsi="Arial" w:cs="Arial"/>
        </w:rPr>
        <w:t xml:space="preserve">6 </w:t>
      </w:r>
      <w:r w:rsidRPr="006C274A">
        <w:rPr>
          <w:rFonts w:ascii="Arial" w:hAnsi="Arial" w:cs="Arial"/>
        </w:rPr>
        <w:t>month</w:t>
      </w:r>
      <w:proofErr w:type="gramEnd"/>
      <w:r w:rsidRPr="006C274A">
        <w:rPr>
          <w:rFonts w:ascii="Arial" w:hAnsi="Arial" w:cs="Arial"/>
        </w:rPr>
        <w:t xml:space="preserve"> or annual follow</w:t>
      </w:r>
      <w:r w:rsidR="00792EA8" w:rsidRPr="006C274A">
        <w:rPr>
          <w:rFonts w:ascii="Arial" w:hAnsi="Arial" w:cs="Arial"/>
        </w:rPr>
        <w:t>-</w:t>
      </w:r>
      <w:r w:rsidRPr="006C274A">
        <w:rPr>
          <w:rFonts w:ascii="Arial" w:hAnsi="Arial" w:cs="Arial"/>
        </w:rPr>
        <w:t>up, and the initial ANC recovery has already been reported</w:t>
      </w:r>
      <w:r w:rsidR="00F91ED8">
        <w:rPr>
          <w:rFonts w:ascii="Arial" w:hAnsi="Arial" w:cs="Arial"/>
        </w:rPr>
        <w:t xml:space="preserve">.  </w:t>
      </w:r>
      <w:r w:rsidR="006C274A" w:rsidRPr="006C274A">
        <w:rPr>
          <w:rFonts w:ascii="Arial" w:hAnsi="Arial" w:cs="Arial"/>
        </w:rPr>
        <w:t>Continue with question 16.</w:t>
      </w:r>
    </w:p>
    <w:p w14:paraId="19FF35C5" w14:textId="77777777" w:rsidR="006C274A" w:rsidRPr="006C274A" w:rsidRDefault="006C274A" w:rsidP="00A1720C">
      <w:pPr>
        <w:autoSpaceDE w:val="0"/>
        <w:autoSpaceDN w:val="0"/>
        <w:adjustRightInd w:val="0"/>
        <w:rPr>
          <w:rFonts w:ascii="Arial" w:hAnsi="Arial" w:cs="Arial"/>
        </w:rPr>
      </w:pPr>
    </w:p>
    <w:p w14:paraId="4E838FFD" w14:textId="461EFA7D" w:rsidR="00A1720C" w:rsidRPr="006C4CA9" w:rsidRDefault="006C2818" w:rsidP="00A1720C">
      <w:pPr>
        <w:autoSpaceDE w:val="0"/>
        <w:autoSpaceDN w:val="0"/>
        <w:adjustRightInd w:val="0"/>
        <w:rPr>
          <w:rFonts w:ascii="Arial" w:hAnsi="Arial" w:cs="Arial"/>
        </w:rPr>
      </w:pPr>
      <w:r w:rsidRPr="006C274A">
        <w:rPr>
          <w:rFonts w:ascii="Arial" w:hAnsi="Arial" w:cs="Arial"/>
          <w:b/>
        </w:rPr>
        <w:t>Question 15</w:t>
      </w:r>
      <w:r w:rsidR="00A1720C" w:rsidRPr="006C274A">
        <w:rPr>
          <w:rFonts w:ascii="Arial" w:hAnsi="Arial" w:cs="Arial"/>
          <w:b/>
        </w:rPr>
        <w:t xml:space="preserve">: </w:t>
      </w:r>
      <w:r w:rsidR="00632864">
        <w:rPr>
          <w:rFonts w:ascii="Arial" w:hAnsi="Arial" w:cs="Arial"/>
          <w:b/>
        </w:rPr>
        <w:t xml:space="preserve"> </w:t>
      </w:r>
      <w:r w:rsidRPr="006C274A">
        <w:rPr>
          <w:rFonts w:ascii="Arial" w:hAnsi="Arial" w:cs="Arial"/>
          <w:b/>
        </w:rPr>
        <w:t>Date ANC ≥ 500/mm</w:t>
      </w:r>
      <w:r w:rsidRPr="006C274A">
        <w:rPr>
          <w:rFonts w:ascii="Arial" w:hAnsi="Arial" w:cs="Arial"/>
          <w:b/>
          <w:vertAlign w:val="superscript"/>
        </w:rPr>
        <w:t>3</w:t>
      </w:r>
      <w:r w:rsidRPr="006C274A">
        <w:rPr>
          <w:rFonts w:ascii="Arial" w:hAnsi="Arial" w:cs="Arial"/>
          <w:b/>
        </w:rPr>
        <w:t xml:space="preserve"> (first of 3 lab values)</w:t>
      </w:r>
      <w:r w:rsidR="00A1720C" w:rsidRPr="006C274A">
        <w:rPr>
          <w:rFonts w:ascii="Arial" w:hAnsi="Arial" w:cs="Arial"/>
          <w:b/>
        </w:rPr>
        <w:t>:</w:t>
      </w:r>
    </w:p>
    <w:p w14:paraId="2837AE95" w14:textId="7BB1D170" w:rsidR="00A1720C" w:rsidRDefault="00A1720C" w:rsidP="00A1720C">
      <w:pPr>
        <w:autoSpaceDE w:val="0"/>
        <w:autoSpaceDN w:val="0"/>
        <w:adjustRightInd w:val="0"/>
        <w:rPr>
          <w:rFonts w:ascii="Arial" w:hAnsi="Arial" w:cs="Arial"/>
        </w:rPr>
      </w:pPr>
      <w:r w:rsidRPr="00FC39A8">
        <w:rPr>
          <w:rFonts w:ascii="Arial" w:hAnsi="Arial" w:cs="Arial"/>
        </w:rPr>
        <w:t>Enter the</w:t>
      </w:r>
      <w:r w:rsidRPr="00825A42">
        <w:rPr>
          <w:rFonts w:ascii="Arial" w:hAnsi="Arial" w:cs="Arial"/>
          <w:b/>
        </w:rPr>
        <w:t xml:space="preserve"> first</w:t>
      </w:r>
      <w:r>
        <w:rPr>
          <w:rFonts w:ascii="Arial" w:hAnsi="Arial" w:cs="Arial"/>
        </w:rPr>
        <w:t xml:space="preserve"> </w:t>
      </w:r>
      <w:r w:rsidRPr="00FC39A8">
        <w:rPr>
          <w:rFonts w:ascii="Arial" w:hAnsi="Arial" w:cs="Arial"/>
        </w:rPr>
        <w:t xml:space="preserve">date of </w:t>
      </w:r>
      <w:r>
        <w:rPr>
          <w:rFonts w:ascii="Arial" w:hAnsi="Arial" w:cs="Arial"/>
        </w:rPr>
        <w:t xml:space="preserve">the </w:t>
      </w:r>
      <w:r w:rsidRPr="00FC39A8">
        <w:rPr>
          <w:rFonts w:ascii="Arial" w:hAnsi="Arial" w:cs="Arial"/>
        </w:rPr>
        <w:t>three consecutive lab</w:t>
      </w:r>
      <w:r>
        <w:rPr>
          <w:rFonts w:ascii="Arial" w:hAnsi="Arial" w:cs="Arial"/>
        </w:rPr>
        <w:t>oratory</w:t>
      </w:r>
      <w:r w:rsidRPr="00FC39A8">
        <w:rPr>
          <w:rFonts w:ascii="Arial" w:hAnsi="Arial" w:cs="Arial"/>
        </w:rPr>
        <w:t xml:space="preserve"> values obtained on different days where the ANC was ≥ 0.5 x 10</w:t>
      </w:r>
      <w:r w:rsidRPr="00FC39A8">
        <w:rPr>
          <w:rFonts w:ascii="Arial" w:hAnsi="Arial" w:cs="Arial"/>
          <w:vertAlign w:val="superscript"/>
        </w:rPr>
        <w:t>9</w:t>
      </w:r>
      <w:r w:rsidRPr="00FC39A8">
        <w:rPr>
          <w:rFonts w:ascii="Arial" w:hAnsi="Arial" w:cs="Arial"/>
        </w:rPr>
        <w:t>/L</w:t>
      </w:r>
      <w:r w:rsidR="00F91ED8">
        <w:rPr>
          <w:rFonts w:ascii="Arial" w:hAnsi="Arial" w:cs="Arial"/>
        </w:rPr>
        <w:t xml:space="preserve">.  </w:t>
      </w:r>
      <w:r>
        <w:rPr>
          <w:rFonts w:ascii="Arial" w:hAnsi="Arial" w:cs="Arial"/>
        </w:rPr>
        <w:t>For an exampl</w:t>
      </w:r>
      <w:r w:rsidR="006C274A">
        <w:rPr>
          <w:rFonts w:ascii="Arial" w:hAnsi="Arial" w:cs="Arial"/>
        </w:rPr>
        <w:t>e of tracking ANC recovery, see above.</w:t>
      </w:r>
    </w:p>
    <w:p w14:paraId="7B316384" w14:textId="77777777" w:rsidR="00A1720C" w:rsidRDefault="00A1720C" w:rsidP="00A1720C">
      <w:pPr>
        <w:autoSpaceDE w:val="0"/>
        <w:autoSpaceDN w:val="0"/>
        <w:adjustRightInd w:val="0"/>
        <w:rPr>
          <w:rFonts w:ascii="Arial" w:hAnsi="Arial" w:cs="Arial"/>
        </w:rPr>
      </w:pPr>
    </w:p>
    <w:p w14:paraId="30C3B38B" w14:textId="77777777" w:rsidR="00A1720C" w:rsidRDefault="00A1720C" w:rsidP="00A1720C">
      <w:pPr>
        <w:rPr>
          <w:rFonts w:ascii="Arial" w:hAnsi="Arial" w:cs="Arial"/>
        </w:rPr>
      </w:pPr>
      <w:r>
        <w:rPr>
          <w:rFonts w:ascii="Arial" w:hAnsi="Arial" w:cs="Arial"/>
        </w:rPr>
        <w:lastRenderedPageBreak/>
        <w:t xml:space="preserve">For more information regarding reporting partial or unknown dates, see General Instructions, </w:t>
      </w:r>
      <w:hyperlink r:id="rId17" w:history="1">
        <w:r w:rsidRPr="00A510DE">
          <w:rPr>
            <w:rStyle w:val="Hyperlink"/>
            <w:rFonts w:ascii="Arial" w:hAnsi="Arial" w:cs="Arial"/>
          </w:rPr>
          <w:t>General Guidelines for Completing Forms</w:t>
        </w:r>
      </w:hyperlink>
      <w:r w:rsidRPr="00760DAC">
        <w:rPr>
          <w:rFonts w:ascii="Arial" w:hAnsi="Arial" w:cs="Arial"/>
        </w:rPr>
        <w:t>.</w:t>
      </w:r>
    </w:p>
    <w:p w14:paraId="5ECBA73F" w14:textId="77777777" w:rsidR="00A1720C" w:rsidRPr="00FC39A8" w:rsidRDefault="00A1720C" w:rsidP="00A1720C">
      <w:pPr>
        <w:autoSpaceDE w:val="0"/>
        <w:autoSpaceDN w:val="0"/>
        <w:adjustRightInd w:val="0"/>
        <w:rPr>
          <w:rFonts w:ascii="Arial" w:hAnsi="Arial" w:cs="Arial"/>
          <w:b/>
          <w:u w:val="single"/>
        </w:rPr>
      </w:pPr>
    </w:p>
    <w:p w14:paraId="45DC0E3A" w14:textId="10116590" w:rsidR="00A1720C" w:rsidRPr="006C4CA9" w:rsidRDefault="006C2818" w:rsidP="00A1720C">
      <w:pPr>
        <w:autoSpaceDE w:val="0"/>
        <w:autoSpaceDN w:val="0"/>
        <w:adjustRightInd w:val="0"/>
        <w:rPr>
          <w:rFonts w:ascii="Arial" w:hAnsi="Arial" w:cs="Arial"/>
        </w:rPr>
      </w:pPr>
      <w:r>
        <w:rPr>
          <w:rFonts w:ascii="Arial" w:hAnsi="Arial" w:cs="Arial"/>
          <w:b/>
        </w:rPr>
        <w:t>Question 16</w:t>
      </w:r>
      <w:r w:rsidR="00A1720C" w:rsidRPr="006C4CA9">
        <w:rPr>
          <w:rFonts w:ascii="Arial" w:hAnsi="Arial" w:cs="Arial"/>
          <w:b/>
        </w:rPr>
        <w:t xml:space="preserve">: </w:t>
      </w:r>
      <w:r w:rsidR="00632864">
        <w:rPr>
          <w:rFonts w:ascii="Arial" w:hAnsi="Arial" w:cs="Arial"/>
          <w:b/>
        </w:rPr>
        <w:t xml:space="preserve"> </w:t>
      </w:r>
      <w:r>
        <w:rPr>
          <w:rFonts w:ascii="Arial" w:hAnsi="Arial" w:cs="Arial"/>
          <w:b/>
        </w:rPr>
        <w:t>Did</w:t>
      </w:r>
      <w:r w:rsidR="006C274A">
        <w:rPr>
          <w:rFonts w:ascii="Arial" w:hAnsi="Arial" w:cs="Arial"/>
          <w:b/>
        </w:rPr>
        <w:t xml:space="preserve"> late </w:t>
      </w:r>
      <w:r>
        <w:rPr>
          <w:rFonts w:ascii="Arial" w:hAnsi="Arial" w:cs="Arial"/>
          <w:b/>
        </w:rPr>
        <w:t>graft failure occur?</w:t>
      </w:r>
    </w:p>
    <w:p w14:paraId="091C523D" w14:textId="7556A5DA" w:rsidR="003C256F" w:rsidRDefault="003C256F" w:rsidP="003C256F">
      <w:pPr>
        <w:pStyle w:val="CommentText"/>
        <w:rPr>
          <w:rFonts w:ascii="Arial" w:hAnsi="Arial" w:cs="Arial"/>
          <w:sz w:val="24"/>
          <w:szCs w:val="24"/>
        </w:rPr>
      </w:pPr>
      <w:r>
        <w:rPr>
          <w:rFonts w:ascii="Arial" w:hAnsi="Arial" w:cs="Arial"/>
          <w:sz w:val="24"/>
          <w:szCs w:val="24"/>
        </w:rPr>
        <w:t xml:space="preserve">Late (or secondary) graft failure is defined when the recipient meets criteria for initial engraftment but subsequently develops loss of a previously functioning graft by development of at least two lines of </w:t>
      </w:r>
      <w:proofErr w:type="spellStart"/>
      <w:r>
        <w:rPr>
          <w:rFonts w:ascii="Arial" w:hAnsi="Arial" w:cs="Arial"/>
          <w:sz w:val="24"/>
          <w:szCs w:val="24"/>
        </w:rPr>
        <w:t>cytopenia</w:t>
      </w:r>
      <w:proofErr w:type="spellEnd"/>
      <w:r w:rsidR="00F91ED8">
        <w:rPr>
          <w:rFonts w:ascii="Arial" w:hAnsi="Arial" w:cs="Arial"/>
          <w:sz w:val="24"/>
          <w:szCs w:val="24"/>
        </w:rPr>
        <w:t xml:space="preserve">. </w:t>
      </w:r>
      <w:r>
        <w:rPr>
          <w:rFonts w:ascii="Arial" w:hAnsi="Arial" w:cs="Arial"/>
          <w:sz w:val="24"/>
          <w:szCs w:val="24"/>
        </w:rPr>
        <w:t xml:space="preserve"> Late graft failure is more often associated with allogeneic HCT than with autologous HCT.  Some possible causes for late graft failure include graft rejection related to residual host immunity, persistent or progressive disease, low donor cell yield, medication side-effect, infection or </w:t>
      </w:r>
      <w:proofErr w:type="spellStart"/>
      <w:r>
        <w:rPr>
          <w:rFonts w:ascii="Arial" w:hAnsi="Arial" w:cs="Arial"/>
          <w:sz w:val="24"/>
          <w:szCs w:val="24"/>
        </w:rPr>
        <w:t>GvHD</w:t>
      </w:r>
      <w:proofErr w:type="spellEnd"/>
      <w:r>
        <w:rPr>
          <w:rFonts w:ascii="Arial" w:hAnsi="Arial" w:cs="Arial"/>
          <w:sz w:val="24"/>
          <w:szCs w:val="24"/>
        </w:rPr>
        <w:t xml:space="preserve">. </w:t>
      </w:r>
    </w:p>
    <w:p w14:paraId="67AA1028" w14:textId="6FEC8E06" w:rsidR="006C2818" w:rsidRDefault="003C256F" w:rsidP="006C2818">
      <w:pPr>
        <w:pStyle w:val="CommentText"/>
        <w:rPr>
          <w:rFonts w:ascii="Arial" w:hAnsi="Arial" w:cs="Arial"/>
          <w:sz w:val="24"/>
          <w:szCs w:val="24"/>
        </w:rPr>
      </w:pPr>
      <w:r>
        <w:rPr>
          <w:rFonts w:ascii="Arial" w:hAnsi="Arial" w:cs="Arial"/>
          <w:sz w:val="24"/>
          <w:szCs w:val="24"/>
        </w:rPr>
        <w:t xml:space="preserve">The definition for late graft failure is taken from </w:t>
      </w:r>
      <w:proofErr w:type="spellStart"/>
      <w:r w:rsidR="005847BE" w:rsidRPr="005847BE">
        <w:rPr>
          <w:rFonts w:ascii="Arial" w:hAnsi="Arial" w:cs="Arial"/>
          <w:sz w:val="24"/>
          <w:szCs w:val="24"/>
        </w:rPr>
        <w:t>Appelbaum</w:t>
      </w:r>
      <w:proofErr w:type="spellEnd"/>
      <w:r w:rsidR="005847BE" w:rsidRPr="005847BE">
        <w:rPr>
          <w:rFonts w:ascii="Arial" w:hAnsi="Arial" w:cs="Arial"/>
          <w:sz w:val="24"/>
          <w:szCs w:val="24"/>
        </w:rPr>
        <w:t>, F. R., &amp; Thomas, E. D. (2009). Thomas' hematopoietic cell transplantation: Stem cell transplantation (4th ed.)</w:t>
      </w:r>
      <w:proofErr w:type="gramStart"/>
      <w:r w:rsidR="005847BE" w:rsidRPr="005847BE">
        <w:rPr>
          <w:rFonts w:ascii="Arial" w:hAnsi="Arial" w:cs="Arial"/>
          <w:sz w:val="24"/>
          <w:szCs w:val="24"/>
        </w:rPr>
        <w:t xml:space="preserve">. </w:t>
      </w:r>
      <w:proofErr w:type="spellStart"/>
      <w:proofErr w:type="gramEnd"/>
      <w:r w:rsidR="005847BE" w:rsidRPr="005847BE">
        <w:rPr>
          <w:rFonts w:ascii="Arial" w:hAnsi="Arial" w:cs="Arial"/>
          <w:sz w:val="24"/>
          <w:szCs w:val="24"/>
        </w:rPr>
        <w:t>Chichester</w:t>
      </w:r>
      <w:proofErr w:type="spellEnd"/>
      <w:r w:rsidR="005847BE" w:rsidRPr="005847BE">
        <w:rPr>
          <w:rFonts w:ascii="Arial" w:hAnsi="Arial" w:cs="Arial"/>
          <w:sz w:val="24"/>
          <w:szCs w:val="24"/>
        </w:rPr>
        <w:t>, UK: Wiley-Blackwell.</w:t>
      </w:r>
    </w:p>
    <w:p w14:paraId="6CDEC63B" w14:textId="77777777" w:rsidR="003C256F" w:rsidRPr="0004201F" w:rsidRDefault="003C256F" w:rsidP="006C2818">
      <w:pPr>
        <w:pStyle w:val="CommentText"/>
        <w:rPr>
          <w:rFonts w:ascii="Arial" w:hAnsi="Arial" w:cs="Arial"/>
          <w:sz w:val="24"/>
          <w:szCs w:val="24"/>
        </w:rPr>
      </w:pPr>
    </w:p>
    <w:p w14:paraId="023ACA8B" w14:textId="5AAEABA3" w:rsidR="006C2818" w:rsidRDefault="006C2818" w:rsidP="006C2818">
      <w:pPr>
        <w:pStyle w:val="CommentText"/>
        <w:rPr>
          <w:rFonts w:ascii="Arial" w:hAnsi="Arial" w:cs="Arial"/>
          <w:sz w:val="24"/>
          <w:szCs w:val="24"/>
        </w:rPr>
      </w:pPr>
      <w:r>
        <w:rPr>
          <w:rFonts w:ascii="Arial" w:hAnsi="Arial" w:cs="Arial"/>
          <w:sz w:val="24"/>
          <w:szCs w:val="24"/>
        </w:rPr>
        <w:t xml:space="preserve">If the recipient meets the criteria of </w:t>
      </w:r>
      <w:r w:rsidR="003C256F">
        <w:rPr>
          <w:rFonts w:ascii="Arial" w:hAnsi="Arial" w:cs="Arial"/>
          <w:sz w:val="24"/>
          <w:szCs w:val="24"/>
        </w:rPr>
        <w:t xml:space="preserve">late </w:t>
      </w:r>
      <w:r>
        <w:rPr>
          <w:rFonts w:ascii="Arial" w:hAnsi="Arial" w:cs="Arial"/>
          <w:sz w:val="24"/>
          <w:szCs w:val="24"/>
        </w:rPr>
        <w:t>graft failure</w:t>
      </w:r>
      <w:r w:rsidRPr="0004201F">
        <w:rPr>
          <w:rFonts w:ascii="Arial" w:hAnsi="Arial" w:cs="Arial"/>
          <w:sz w:val="24"/>
          <w:szCs w:val="24"/>
        </w:rPr>
        <w:t xml:space="preserve">, </w:t>
      </w:r>
      <w:r w:rsidR="00083211">
        <w:rPr>
          <w:rFonts w:ascii="Arial" w:hAnsi="Arial" w:cs="Arial"/>
          <w:sz w:val="24"/>
          <w:szCs w:val="24"/>
        </w:rPr>
        <w:t>indicate “yes” and continue.</w:t>
      </w:r>
    </w:p>
    <w:p w14:paraId="4579C2B9" w14:textId="77777777" w:rsidR="00A1720C" w:rsidRPr="00FC39A8" w:rsidRDefault="00A1720C" w:rsidP="00A1720C">
      <w:pPr>
        <w:autoSpaceDE w:val="0"/>
        <w:autoSpaceDN w:val="0"/>
        <w:adjustRightInd w:val="0"/>
        <w:rPr>
          <w:rFonts w:ascii="Arial" w:hAnsi="Arial" w:cs="Arial"/>
          <w:b/>
          <w:u w:val="single"/>
        </w:rPr>
      </w:pPr>
    </w:p>
    <w:p w14:paraId="6B301E34" w14:textId="77777777" w:rsidR="00A27C4C" w:rsidRPr="00A27C4C" w:rsidRDefault="00885BB6" w:rsidP="00A27C4C">
      <w:pPr>
        <w:pStyle w:val="Heading1"/>
      </w:pPr>
      <w:bookmarkStart w:id="5" w:name="_Toc450570834"/>
      <w:r>
        <w:t>Initial Platelet Recovery</w:t>
      </w:r>
      <w:bookmarkEnd w:id="5"/>
    </w:p>
    <w:p w14:paraId="3003A4E2" w14:textId="77777777" w:rsidR="00885BB6" w:rsidRDefault="00885BB6" w:rsidP="00885BB6">
      <w:pPr>
        <w:autoSpaceDE w:val="0"/>
        <w:autoSpaceDN w:val="0"/>
        <w:adjustRightInd w:val="0"/>
        <w:rPr>
          <w:rFonts w:ascii="Arial" w:hAnsi="Arial" w:cs="Arial"/>
        </w:rPr>
      </w:pPr>
    </w:p>
    <w:p w14:paraId="16D92C79" w14:textId="77777777" w:rsidR="00A27C4C" w:rsidRPr="00A27C4C" w:rsidRDefault="00A27C4C" w:rsidP="00885BB6">
      <w:pPr>
        <w:autoSpaceDE w:val="0"/>
        <w:autoSpaceDN w:val="0"/>
        <w:adjustRightInd w:val="0"/>
        <w:rPr>
          <w:rFonts w:ascii="Arial" w:hAnsi="Arial" w:cs="Arial"/>
          <w:i/>
        </w:rPr>
      </w:pPr>
      <w:r>
        <w:rPr>
          <w:rFonts w:ascii="Arial" w:hAnsi="Arial" w:cs="Arial"/>
          <w:i/>
        </w:rPr>
        <w:t>(Optional for Non-U.S. Centers)</w:t>
      </w:r>
    </w:p>
    <w:p w14:paraId="6407EE79" w14:textId="77777777" w:rsidR="00DF14BD" w:rsidRDefault="00DF14BD" w:rsidP="00885BB6">
      <w:pPr>
        <w:autoSpaceDE w:val="0"/>
        <w:autoSpaceDN w:val="0"/>
        <w:adjustRightInd w:val="0"/>
        <w:rPr>
          <w:rFonts w:ascii="Arial" w:hAnsi="Arial" w:cs="Arial"/>
        </w:rPr>
      </w:pPr>
    </w:p>
    <w:p w14:paraId="1F547A6A" w14:textId="4AB9E3A4" w:rsidR="00885BB6" w:rsidRDefault="00885BB6" w:rsidP="00885BB6">
      <w:pPr>
        <w:autoSpaceDE w:val="0"/>
        <w:autoSpaceDN w:val="0"/>
        <w:adjustRightInd w:val="0"/>
        <w:rPr>
          <w:rFonts w:ascii="Arial" w:hAnsi="Arial" w:cs="Arial"/>
        </w:rPr>
      </w:pPr>
      <w:r w:rsidRPr="00FC39A8">
        <w:rPr>
          <w:rFonts w:ascii="Arial" w:hAnsi="Arial" w:cs="Arial"/>
        </w:rPr>
        <w:t xml:space="preserve">The following questions </w:t>
      </w:r>
      <w:r>
        <w:rPr>
          <w:rFonts w:ascii="Arial" w:hAnsi="Arial" w:cs="Arial"/>
        </w:rPr>
        <w:t>refer</w:t>
      </w:r>
      <w:r w:rsidRPr="00FC39A8">
        <w:rPr>
          <w:rFonts w:ascii="Arial" w:hAnsi="Arial" w:cs="Arial"/>
        </w:rPr>
        <w:t xml:space="preserve"> to </w:t>
      </w:r>
      <w:r w:rsidRPr="00302C4A">
        <w:rPr>
          <w:rFonts w:ascii="Arial" w:hAnsi="Arial" w:cs="Arial"/>
          <w:b/>
          <w:iCs/>
        </w:rPr>
        <w:t>initial</w:t>
      </w:r>
      <w:r w:rsidRPr="00FC39A8">
        <w:rPr>
          <w:rFonts w:ascii="Arial" w:hAnsi="Arial" w:cs="Arial"/>
          <w:i/>
          <w:iCs/>
        </w:rPr>
        <w:t xml:space="preserve"> </w:t>
      </w:r>
      <w:r w:rsidRPr="00FC39A8">
        <w:rPr>
          <w:rFonts w:ascii="Arial" w:hAnsi="Arial" w:cs="Arial"/>
        </w:rPr>
        <w:t xml:space="preserve">platelet recovery following the </w:t>
      </w:r>
      <w:r w:rsidR="00AF4E5A">
        <w:rPr>
          <w:rFonts w:ascii="Arial" w:hAnsi="Arial" w:cs="Arial"/>
        </w:rPr>
        <w:t>HCT</w:t>
      </w:r>
      <w:r w:rsidRPr="00FC39A8">
        <w:rPr>
          <w:rFonts w:ascii="Arial" w:hAnsi="Arial" w:cs="Arial"/>
        </w:rPr>
        <w:t xml:space="preserve"> for which</w:t>
      </w:r>
      <w:r>
        <w:rPr>
          <w:rFonts w:ascii="Arial" w:hAnsi="Arial" w:cs="Arial"/>
        </w:rPr>
        <w:t xml:space="preserve"> this form </w:t>
      </w:r>
      <w:proofErr w:type="gramStart"/>
      <w:r>
        <w:rPr>
          <w:rFonts w:ascii="Arial" w:hAnsi="Arial" w:cs="Arial"/>
        </w:rPr>
        <w:t>is being completed</w:t>
      </w:r>
      <w:proofErr w:type="gramEnd"/>
      <w:r w:rsidR="00F91ED8">
        <w:rPr>
          <w:rFonts w:ascii="Arial" w:hAnsi="Arial" w:cs="Arial"/>
        </w:rPr>
        <w:t xml:space="preserve">.  </w:t>
      </w:r>
      <w:r w:rsidRPr="00FC39A8">
        <w:rPr>
          <w:rFonts w:ascii="Arial" w:hAnsi="Arial" w:cs="Arial"/>
        </w:rPr>
        <w:t>All dates should reflect</w:t>
      </w:r>
      <w:r>
        <w:rPr>
          <w:rFonts w:ascii="Arial" w:hAnsi="Arial" w:cs="Arial"/>
          <w:b/>
        </w:rPr>
        <w:t xml:space="preserve"> </w:t>
      </w:r>
      <w:r w:rsidRPr="00885BB6">
        <w:rPr>
          <w:rFonts w:ascii="Arial" w:hAnsi="Arial" w:cs="Arial"/>
          <w:b/>
          <w:bCs/>
        </w:rPr>
        <w:t>no platelet transfusions administered for seven consecutive days</w:t>
      </w:r>
      <w:r w:rsidR="00F91ED8">
        <w:rPr>
          <w:rFonts w:ascii="Arial" w:hAnsi="Arial" w:cs="Arial"/>
        </w:rPr>
        <w:t xml:space="preserve">.  </w:t>
      </w:r>
      <w:r w:rsidR="006D29D4">
        <w:rPr>
          <w:rFonts w:ascii="Arial" w:hAnsi="Arial" w:cs="Arial"/>
        </w:rPr>
        <w:t xml:space="preserve">Report the date of the first of three consecutive laboratory values </w:t>
      </w:r>
      <w:r w:rsidR="005A13B0">
        <w:rPr>
          <w:rFonts w:ascii="Calibri" w:hAnsi="Calibri" w:cs="Calibri"/>
        </w:rPr>
        <w:t>≥</w:t>
      </w:r>
      <w:r w:rsidR="005A13B0">
        <w:rPr>
          <w:rFonts w:ascii="Arial" w:hAnsi="Arial" w:cs="Arial"/>
        </w:rPr>
        <w:t xml:space="preserve"> 20 x 10</w:t>
      </w:r>
      <w:r w:rsidR="005A13B0">
        <w:rPr>
          <w:rFonts w:ascii="Arial" w:hAnsi="Arial" w:cs="Arial"/>
          <w:vertAlign w:val="superscript"/>
        </w:rPr>
        <w:t>9</w:t>
      </w:r>
      <w:r w:rsidR="005A13B0">
        <w:rPr>
          <w:rFonts w:ascii="Arial" w:hAnsi="Arial" w:cs="Arial"/>
        </w:rPr>
        <w:t xml:space="preserve"> L </w:t>
      </w:r>
      <w:r w:rsidR="006D29D4">
        <w:rPr>
          <w:rFonts w:ascii="Arial" w:hAnsi="Arial" w:cs="Arial"/>
        </w:rPr>
        <w:t xml:space="preserve">obtained on different </w:t>
      </w:r>
      <w:r w:rsidR="00ED2F98">
        <w:rPr>
          <w:rFonts w:ascii="Arial" w:hAnsi="Arial" w:cs="Arial"/>
        </w:rPr>
        <w:t>days</w:t>
      </w:r>
      <w:r w:rsidR="00CF799F">
        <w:rPr>
          <w:rFonts w:ascii="Arial" w:hAnsi="Arial" w:cs="Arial"/>
        </w:rPr>
        <w:t>, as shown in example 3 below</w:t>
      </w:r>
      <w:r w:rsidR="00F91ED8">
        <w:rPr>
          <w:rFonts w:ascii="Arial" w:hAnsi="Arial" w:cs="Arial"/>
        </w:rPr>
        <w:t xml:space="preserve">.  </w:t>
      </w:r>
      <w:r w:rsidR="00ED2F98">
        <w:rPr>
          <w:rFonts w:ascii="Arial" w:hAnsi="Arial" w:cs="Arial"/>
        </w:rPr>
        <w:t>Note</w:t>
      </w:r>
      <w:r>
        <w:rPr>
          <w:rFonts w:ascii="Arial" w:hAnsi="Arial" w:cs="Arial"/>
        </w:rPr>
        <w:t xml:space="preserve"> that platelet recovery may take place well after the recipient has returned to the referring physician for care</w:t>
      </w:r>
      <w:r w:rsidR="00F91ED8">
        <w:rPr>
          <w:rFonts w:ascii="Arial" w:hAnsi="Arial" w:cs="Arial"/>
        </w:rPr>
        <w:t xml:space="preserve">.  </w:t>
      </w:r>
      <w:r>
        <w:rPr>
          <w:rFonts w:ascii="Arial" w:hAnsi="Arial" w:cs="Arial"/>
        </w:rPr>
        <w:t>It is essential that information and laboratory values be obtained from the referring physician.</w:t>
      </w:r>
    </w:p>
    <w:p w14:paraId="06E901EA" w14:textId="77777777" w:rsidR="00885BB6" w:rsidRDefault="00885BB6" w:rsidP="00885BB6">
      <w:pPr>
        <w:autoSpaceDE w:val="0"/>
        <w:autoSpaceDN w:val="0"/>
        <w:adjustRightInd w:val="0"/>
        <w:rPr>
          <w:rFonts w:ascii="Arial" w:hAnsi="Arial" w:cs="Arial"/>
        </w:rPr>
      </w:pPr>
    </w:p>
    <w:p w14:paraId="33FB1379" w14:textId="4C64E36C" w:rsidR="00885BB6" w:rsidRDefault="00885BB6" w:rsidP="00885BB6">
      <w:pPr>
        <w:autoSpaceDE w:val="0"/>
        <w:autoSpaceDN w:val="0"/>
        <w:adjustRightInd w:val="0"/>
        <w:rPr>
          <w:rFonts w:ascii="Arial" w:hAnsi="Arial" w:cs="Arial"/>
        </w:rPr>
      </w:pPr>
      <w:r w:rsidRPr="00885BB6">
        <w:rPr>
          <w:rFonts w:ascii="Arial" w:hAnsi="Arial" w:cs="Arial"/>
        </w:rPr>
        <w:t xml:space="preserve">Transfusions temporarily increase </w:t>
      </w:r>
      <w:r w:rsidR="005847BE">
        <w:rPr>
          <w:rFonts w:ascii="Arial" w:hAnsi="Arial" w:cs="Arial"/>
        </w:rPr>
        <w:t>platelet counts</w:t>
      </w:r>
      <w:r w:rsidR="00F91ED8">
        <w:rPr>
          <w:rFonts w:ascii="Arial" w:hAnsi="Arial" w:cs="Arial"/>
        </w:rPr>
        <w:t xml:space="preserve">.  </w:t>
      </w:r>
      <w:r w:rsidRPr="00885BB6">
        <w:rPr>
          <w:rFonts w:ascii="Arial" w:hAnsi="Arial" w:cs="Arial"/>
        </w:rPr>
        <w:t xml:space="preserve">When the data is later used for analysis, it is important to be able to distinguish between a recipient whose own body was creating the </w:t>
      </w:r>
      <w:r w:rsidR="005847BE">
        <w:rPr>
          <w:rFonts w:ascii="Arial" w:hAnsi="Arial" w:cs="Arial"/>
        </w:rPr>
        <w:t>platelet</w:t>
      </w:r>
      <w:r w:rsidRPr="00885BB6">
        <w:rPr>
          <w:rFonts w:ascii="Arial" w:hAnsi="Arial" w:cs="Arial"/>
        </w:rPr>
        <w:t>s and a recipient who required transfusions to support the counts.</w:t>
      </w:r>
    </w:p>
    <w:p w14:paraId="4226DBE7" w14:textId="77777777" w:rsidR="00885BB6" w:rsidRDefault="00885BB6" w:rsidP="00885BB6">
      <w:pPr>
        <w:autoSpaceDE w:val="0"/>
        <w:autoSpaceDN w:val="0"/>
        <w:adjustRightInd w:val="0"/>
        <w:rPr>
          <w:rFonts w:ascii="Arial" w:hAnsi="Arial" w:cs="Arial"/>
        </w:rPr>
      </w:pPr>
    </w:p>
    <w:p w14:paraId="67CF09AD" w14:textId="77777777" w:rsidR="005A13B0" w:rsidRDefault="00885BB6" w:rsidP="00CF799F">
      <w:pPr>
        <w:autoSpaceDE w:val="0"/>
        <w:autoSpaceDN w:val="0"/>
        <w:adjustRightInd w:val="0"/>
        <w:rPr>
          <w:rFonts w:ascii="Arial" w:hAnsi="Arial" w:cs="Arial"/>
        </w:rPr>
      </w:pPr>
      <w:r>
        <w:rPr>
          <w:rFonts w:ascii="Arial" w:hAnsi="Arial" w:cs="Arial"/>
        </w:rPr>
        <w:t>The following example illustrates the procedure to follow for reporting platelet recovery.</w:t>
      </w:r>
    </w:p>
    <w:p w14:paraId="0CB32D1C" w14:textId="0C15B044" w:rsidR="00AF1A77" w:rsidRDefault="00AF1A77">
      <w:pPr>
        <w:spacing w:after="200" w:line="276" w:lineRule="auto"/>
        <w:rPr>
          <w:rFonts w:ascii="Arial" w:hAnsi="Arial" w:cs="Arial"/>
        </w:rPr>
      </w:pPr>
      <w:r>
        <w:rPr>
          <w:rFonts w:ascii="Arial" w:hAnsi="Arial" w:cs="Arial"/>
        </w:rPr>
        <w:br w:type="page"/>
      </w:r>
    </w:p>
    <w:p w14:paraId="50D636EE" w14:textId="5958DEC9" w:rsidR="00885BB6" w:rsidRPr="009746B7" w:rsidRDefault="00885BB6" w:rsidP="006C2818">
      <w:pPr>
        <w:spacing w:after="200" w:line="276" w:lineRule="auto"/>
        <w:rPr>
          <w:rFonts w:ascii="Arial" w:hAnsi="Arial" w:cs="Arial"/>
          <w:b/>
        </w:rPr>
      </w:pPr>
      <w:r w:rsidRPr="009746B7">
        <w:rPr>
          <w:rFonts w:ascii="Arial" w:hAnsi="Arial" w:cs="Arial"/>
          <w:b/>
        </w:rPr>
        <w:lastRenderedPageBreak/>
        <w:t xml:space="preserve">Example 3: </w:t>
      </w:r>
      <w:r w:rsidR="005A3F32">
        <w:rPr>
          <w:rFonts w:ascii="Arial" w:hAnsi="Arial" w:cs="Arial"/>
          <w:b/>
        </w:rPr>
        <w:t xml:space="preserve"> </w:t>
      </w:r>
      <w:r w:rsidRPr="009746B7">
        <w:rPr>
          <w:rFonts w:ascii="Arial" w:hAnsi="Arial" w:cs="Arial"/>
          <w:b/>
        </w:rPr>
        <w:t>Reporting Platelet Recovery</w:t>
      </w:r>
    </w:p>
    <w:tbl>
      <w:tblPr>
        <w:tblW w:w="10960" w:type="dxa"/>
        <w:jc w:val="center"/>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shd w:val="clear" w:color="auto" w:fill="63A70A"/>
        <w:tblLook w:val="0000" w:firstRow="0" w:lastRow="0" w:firstColumn="0" w:lastColumn="0" w:noHBand="0" w:noVBand="0"/>
      </w:tblPr>
      <w:tblGrid>
        <w:gridCol w:w="1257"/>
        <w:gridCol w:w="1059"/>
        <w:gridCol w:w="846"/>
        <w:gridCol w:w="846"/>
        <w:gridCol w:w="846"/>
        <w:gridCol w:w="846"/>
        <w:gridCol w:w="846"/>
        <w:gridCol w:w="846"/>
        <w:gridCol w:w="846"/>
        <w:gridCol w:w="846"/>
        <w:gridCol w:w="936"/>
        <w:gridCol w:w="940"/>
      </w:tblGrid>
      <w:tr w:rsidR="00030138" w:rsidRPr="002D545E" w14:paraId="178EF972" w14:textId="77777777" w:rsidTr="00AF1A77">
        <w:trPr>
          <w:cantSplit/>
          <w:trHeight w:val="254"/>
          <w:jc w:val="center"/>
        </w:trPr>
        <w:tc>
          <w:tcPr>
            <w:tcW w:w="1257" w:type="dxa"/>
            <w:vMerge w:val="restart"/>
            <w:tcBorders>
              <w:top w:val="single" w:sz="2" w:space="0" w:color="auto"/>
              <w:left w:val="single" w:sz="2" w:space="0" w:color="auto"/>
              <w:bottom w:val="single" w:sz="6" w:space="0" w:color="DDDDDD"/>
              <w:right w:val="single" w:sz="6" w:space="0" w:color="DDDDDD"/>
            </w:tcBorders>
            <w:shd w:val="clear" w:color="auto" w:fill="auto"/>
            <w:noWrap/>
            <w:vAlign w:val="bottom"/>
          </w:tcPr>
          <w:p w14:paraId="4506254C" w14:textId="77777777" w:rsidR="00885BB6" w:rsidRPr="00AF1A77" w:rsidRDefault="00885BB6" w:rsidP="002D024A">
            <w:pPr>
              <w:rPr>
                <w:rFonts w:ascii="Arial" w:hAnsi="Arial" w:cs="Arial"/>
                <w:sz w:val="16"/>
                <w:szCs w:val="16"/>
              </w:rPr>
            </w:pPr>
            <w:r w:rsidRPr="00AF1A77">
              <w:rPr>
                <w:rFonts w:ascii="Arial" w:hAnsi="Arial" w:cs="Arial"/>
                <w:sz w:val="16"/>
                <w:szCs w:val="16"/>
              </w:rPr>
              <w:t> </w:t>
            </w:r>
          </w:p>
        </w:tc>
        <w:tc>
          <w:tcPr>
            <w:tcW w:w="1059" w:type="dxa"/>
            <w:tcBorders>
              <w:top w:val="single" w:sz="2" w:space="0" w:color="auto"/>
              <w:left w:val="single" w:sz="6" w:space="0" w:color="DDDDDD"/>
              <w:bottom w:val="single" w:sz="6" w:space="0" w:color="DDDDDD"/>
              <w:right w:val="single" w:sz="6" w:space="0" w:color="DDDDDD"/>
            </w:tcBorders>
            <w:shd w:val="clear" w:color="auto" w:fill="auto"/>
            <w:vAlign w:val="bottom"/>
          </w:tcPr>
          <w:p w14:paraId="17D1B079" w14:textId="77777777" w:rsidR="00885BB6" w:rsidRPr="00AF1A77" w:rsidRDefault="00885BB6" w:rsidP="002D024A">
            <w:pPr>
              <w:rPr>
                <w:rFonts w:ascii="Arial" w:hAnsi="Arial" w:cs="Arial"/>
                <w:sz w:val="16"/>
                <w:szCs w:val="16"/>
              </w:rPr>
            </w:pPr>
            <w:r w:rsidRPr="00AF1A77">
              <w:rPr>
                <w:rFonts w:ascii="Arial" w:hAnsi="Arial" w:cs="Arial"/>
                <w:sz w:val="16"/>
                <w:szCs w:val="16"/>
              </w:rPr>
              <w:t>Transfusion</w:t>
            </w:r>
          </w:p>
        </w:tc>
        <w:tc>
          <w:tcPr>
            <w:tcW w:w="846" w:type="dxa"/>
            <w:vMerge w:val="restart"/>
            <w:tcBorders>
              <w:top w:val="single" w:sz="2" w:space="0" w:color="auto"/>
              <w:left w:val="single" w:sz="6" w:space="0" w:color="DDDDDD"/>
              <w:bottom w:val="single" w:sz="6" w:space="0" w:color="DDDDDD"/>
              <w:right w:val="single" w:sz="6" w:space="0" w:color="DDDDDD"/>
            </w:tcBorders>
            <w:shd w:val="clear" w:color="auto" w:fill="auto"/>
            <w:noWrap/>
            <w:vAlign w:val="bottom"/>
          </w:tcPr>
          <w:p w14:paraId="626BDFF5" w14:textId="77777777" w:rsidR="00885BB6" w:rsidRPr="00AF1A77" w:rsidRDefault="00885BB6" w:rsidP="002D024A">
            <w:pPr>
              <w:rPr>
                <w:rFonts w:ascii="Arial" w:hAnsi="Arial" w:cs="Arial"/>
                <w:sz w:val="16"/>
                <w:szCs w:val="16"/>
              </w:rPr>
            </w:pPr>
            <w:r w:rsidRPr="00AF1A77">
              <w:rPr>
                <w:rFonts w:ascii="Arial" w:hAnsi="Arial" w:cs="Arial"/>
                <w:sz w:val="16"/>
                <w:szCs w:val="16"/>
              </w:rPr>
              <w:t> </w:t>
            </w:r>
          </w:p>
        </w:tc>
        <w:tc>
          <w:tcPr>
            <w:tcW w:w="846" w:type="dxa"/>
            <w:vMerge w:val="restart"/>
            <w:tcBorders>
              <w:top w:val="single" w:sz="2" w:space="0" w:color="auto"/>
              <w:left w:val="single" w:sz="6" w:space="0" w:color="DDDDDD"/>
              <w:bottom w:val="single" w:sz="6" w:space="0" w:color="DDDDDD"/>
              <w:right w:val="single" w:sz="6" w:space="0" w:color="DDDDDD"/>
            </w:tcBorders>
            <w:shd w:val="clear" w:color="auto" w:fill="auto"/>
            <w:noWrap/>
            <w:vAlign w:val="bottom"/>
          </w:tcPr>
          <w:p w14:paraId="5F7B9737" w14:textId="77777777" w:rsidR="00885BB6" w:rsidRPr="00AF1A77" w:rsidRDefault="00885BB6" w:rsidP="002D024A">
            <w:pPr>
              <w:rPr>
                <w:rFonts w:ascii="Arial" w:hAnsi="Arial" w:cs="Arial"/>
                <w:sz w:val="16"/>
                <w:szCs w:val="16"/>
              </w:rPr>
            </w:pPr>
            <w:r w:rsidRPr="00AF1A77">
              <w:rPr>
                <w:rFonts w:ascii="Arial" w:hAnsi="Arial" w:cs="Arial"/>
                <w:sz w:val="16"/>
                <w:szCs w:val="16"/>
              </w:rPr>
              <w:t> </w:t>
            </w:r>
          </w:p>
        </w:tc>
        <w:tc>
          <w:tcPr>
            <w:tcW w:w="846" w:type="dxa"/>
            <w:vMerge w:val="restart"/>
            <w:tcBorders>
              <w:top w:val="single" w:sz="2" w:space="0" w:color="auto"/>
              <w:left w:val="single" w:sz="6" w:space="0" w:color="DDDDDD"/>
              <w:bottom w:val="single" w:sz="6" w:space="0" w:color="DDDDDD"/>
              <w:right w:val="single" w:sz="6" w:space="0" w:color="DDDDDD"/>
            </w:tcBorders>
            <w:shd w:val="clear" w:color="auto" w:fill="auto"/>
            <w:noWrap/>
            <w:vAlign w:val="bottom"/>
          </w:tcPr>
          <w:p w14:paraId="2364F153" w14:textId="77777777" w:rsidR="00885BB6" w:rsidRPr="00AF1A77" w:rsidRDefault="00885BB6" w:rsidP="002D024A">
            <w:pPr>
              <w:rPr>
                <w:rFonts w:ascii="Arial" w:hAnsi="Arial" w:cs="Arial"/>
                <w:sz w:val="16"/>
                <w:szCs w:val="16"/>
              </w:rPr>
            </w:pPr>
            <w:r w:rsidRPr="00AF1A77">
              <w:rPr>
                <w:rFonts w:ascii="Arial" w:hAnsi="Arial" w:cs="Arial"/>
                <w:sz w:val="16"/>
                <w:szCs w:val="16"/>
              </w:rPr>
              <w:t> </w:t>
            </w:r>
          </w:p>
        </w:tc>
        <w:tc>
          <w:tcPr>
            <w:tcW w:w="846" w:type="dxa"/>
            <w:vMerge w:val="restart"/>
            <w:tcBorders>
              <w:top w:val="single" w:sz="2" w:space="0" w:color="auto"/>
              <w:left w:val="single" w:sz="6" w:space="0" w:color="DDDDDD"/>
              <w:bottom w:val="single" w:sz="6" w:space="0" w:color="DDDDDD"/>
              <w:right w:val="single" w:sz="6" w:space="0" w:color="DDDDDD"/>
            </w:tcBorders>
            <w:shd w:val="clear" w:color="auto" w:fill="auto"/>
            <w:noWrap/>
            <w:vAlign w:val="bottom"/>
          </w:tcPr>
          <w:p w14:paraId="728AB68B" w14:textId="77777777" w:rsidR="00885BB6" w:rsidRPr="00AF1A77" w:rsidRDefault="00885BB6" w:rsidP="002D024A">
            <w:pPr>
              <w:rPr>
                <w:rFonts w:ascii="Arial" w:hAnsi="Arial" w:cs="Arial"/>
                <w:sz w:val="16"/>
                <w:szCs w:val="16"/>
              </w:rPr>
            </w:pPr>
            <w:r w:rsidRPr="00AF1A77">
              <w:rPr>
                <w:rFonts w:ascii="Arial" w:hAnsi="Arial" w:cs="Arial"/>
                <w:sz w:val="16"/>
                <w:szCs w:val="16"/>
              </w:rPr>
              <w:t> </w:t>
            </w:r>
          </w:p>
        </w:tc>
        <w:tc>
          <w:tcPr>
            <w:tcW w:w="846" w:type="dxa"/>
            <w:vMerge w:val="restart"/>
            <w:tcBorders>
              <w:top w:val="single" w:sz="2" w:space="0" w:color="auto"/>
              <w:left w:val="single" w:sz="6" w:space="0" w:color="DDDDDD"/>
              <w:bottom w:val="single" w:sz="6" w:space="0" w:color="DDDDDD"/>
              <w:right w:val="single" w:sz="6" w:space="0" w:color="DDDDDD"/>
            </w:tcBorders>
            <w:shd w:val="clear" w:color="auto" w:fill="auto"/>
            <w:noWrap/>
            <w:vAlign w:val="bottom"/>
          </w:tcPr>
          <w:p w14:paraId="4E89F7F1" w14:textId="77777777" w:rsidR="00885BB6" w:rsidRPr="00AF1A77" w:rsidRDefault="00885BB6" w:rsidP="002D024A">
            <w:pPr>
              <w:rPr>
                <w:rFonts w:ascii="Arial" w:hAnsi="Arial" w:cs="Arial"/>
                <w:sz w:val="16"/>
                <w:szCs w:val="16"/>
              </w:rPr>
            </w:pPr>
            <w:r w:rsidRPr="00AF1A77">
              <w:rPr>
                <w:rFonts w:ascii="Arial" w:hAnsi="Arial" w:cs="Arial"/>
                <w:sz w:val="16"/>
                <w:szCs w:val="16"/>
              </w:rPr>
              <w:t> </w:t>
            </w:r>
          </w:p>
        </w:tc>
        <w:tc>
          <w:tcPr>
            <w:tcW w:w="846" w:type="dxa"/>
            <w:vMerge w:val="restart"/>
            <w:tcBorders>
              <w:top w:val="single" w:sz="2" w:space="0" w:color="auto"/>
              <w:left w:val="single" w:sz="6" w:space="0" w:color="DDDDDD"/>
              <w:bottom w:val="single" w:sz="6" w:space="0" w:color="DDDDDD"/>
              <w:right w:val="single" w:sz="6" w:space="0" w:color="DDDDDD"/>
            </w:tcBorders>
            <w:shd w:val="clear" w:color="auto" w:fill="auto"/>
            <w:noWrap/>
            <w:vAlign w:val="bottom"/>
          </w:tcPr>
          <w:p w14:paraId="1DF9C5B9" w14:textId="77777777" w:rsidR="00885BB6" w:rsidRPr="00AF1A77" w:rsidRDefault="00885BB6" w:rsidP="002D024A">
            <w:pPr>
              <w:rPr>
                <w:rFonts w:ascii="Arial" w:hAnsi="Arial" w:cs="Arial"/>
                <w:sz w:val="16"/>
                <w:szCs w:val="16"/>
              </w:rPr>
            </w:pPr>
            <w:r w:rsidRPr="00AF1A77">
              <w:rPr>
                <w:rFonts w:ascii="Arial" w:hAnsi="Arial" w:cs="Arial"/>
                <w:sz w:val="16"/>
                <w:szCs w:val="16"/>
              </w:rPr>
              <w:t> </w:t>
            </w:r>
          </w:p>
        </w:tc>
        <w:tc>
          <w:tcPr>
            <w:tcW w:w="846" w:type="dxa"/>
            <w:vMerge w:val="restart"/>
            <w:tcBorders>
              <w:top w:val="single" w:sz="2" w:space="0" w:color="auto"/>
              <w:left w:val="single" w:sz="6" w:space="0" w:color="DDDDDD"/>
              <w:bottom w:val="single" w:sz="6" w:space="0" w:color="DDDDDD"/>
              <w:right w:val="single" w:sz="6" w:space="0" w:color="DDDDDD"/>
            </w:tcBorders>
            <w:shd w:val="clear" w:color="auto" w:fill="auto"/>
            <w:noWrap/>
            <w:vAlign w:val="bottom"/>
          </w:tcPr>
          <w:p w14:paraId="122316A3" w14:textId="77777777" w:rsidR="00885BB6" w:rsidRPr="00AF1A77" w:rsidRDefault="00885BB6" w:rsidP="002D024A">
            <w:pPr>
              <w:rPr>
                <w:rFonts w:ascii="Arial" w:hAnsi="Arial" w:cs="Arial"/>
                <w:sz w:val="16"/>
                <w:szCs w:val="16"/>
              </w:rPr>
            </w:pPr>
            <w:r w:rsidRPr="00AF1A77">
              <w:rPr>
                <w:rFonts w:ascii="Arial" w:hAnsi="Arial" w:cs="Arial"/>
                <w:sz w:val="16"/>
                <w:szCs w:val="16"/>
              </w:rPr>
              <w:t> </w:t>
            </w:r>
          </w:p>
        </w:tc>
        <w:tc>
          <w:tcPr>
            <w:tcW w:w="846" w:type="dxa"/>
            <w:vMerge w:val="restart"/>
            <w:tcBorders>
              <w:top w:val="single" w:sz="2" w:space="0" w:color="auto"/>
              <w:left w:val="single" w:sz="6" w:space="0" w:color="DDDDDD"/>
              <w:bottom w:val="single" w:sz="6" w:space="0" w:color="DDDDDD"/>
              <w:right w:val="single" w:sz="6" w:space="0" w:color="DDDDDD"/>
            </w:tcBorders>
            <w:shd w:val="clear" w:color="auto" w:fill="auto"/>
            <w:noWrap/>
            <w:vAlign w:val="bottom"/>
          </w:tcPr>
          <w:p w14:paraId="6728292E" w14:textId="77777777" w:rsidR="00885BB6" w:rsidRPr="00AF1A77" w:rsidRDefault="00885BB6" w:rsidP="002D024A">
            <w:pPr>
              <w:rPr>
                <w:rFonts w:ascii="Arial" w:hAnsi="Arial" w:cs="Arial"/>
                <w:sz w:val="16"/>
                <w:szCs w:val="16"/>
              </w:rPr>
            </w:pPr>
            <w:r w:rsidRPr="00AF1A77">
              <w:rPr>
                <w:rFonts w:ascii="Arial" w:hAnsi="Arial" w:cs="Arial"/>
                <w:sz w:val="16"/>
                <w:szCs w:val="16"/>
              </w:rPr>
              <w:t> </w:t>
            </w:r>
          </w:p>
        </w:tc>
        <w:tc>
          <w:tcPr>
            <w:tcW w:w="936" w:type="dxa"/>
            <w:vMerge w:val="restart"/>
            <w:tcBorders>
              <w:top w:val="single" w:sz="2" w:space="0" w:color="auto"/>
              <w:left w:val="single" w:sz="6" w:space="0" w:color="DDDDDD"/>
              <w:bottom w:val="single" w:sz="6" w:space="0" w:color="DDDDDD"/>
              <w:right w:val="single" w:sz="6" w:space="0" w:color="DDDDDD"/>
            </w:tcBorders>
            <w:shd w:val="clear" w:color="auto" w:fill="auto"/>
            <w:noWrap/>
            <w:vAlign w:val="bottom"/>
          </w:tcPr>
          <w:p w14:paraId="0AC0ABDF" w14:textId="77777777" w:rsidR="00885BB6" w:rsidRPr="00AF1A77" w:rsidRDefault="00885BB6" w:rsidP="002D024A">
            <w:pPr>
              <w:rPr>
                <w:rFonts w:ascii="Arial" w:hAnsi="Arial" w:cs="Arial"/>
                <w:sz w:val="16"/>
                <w:szCs w:val="16"/>
              </w:rPr>
            </w:pPr>
            <w:r w:rsidRPr="00AF1A77">
              <w:rPr>
                <w:rFonts w:ascii="Arial" w:hAnsi="Arial" w:cs="Arial"/>
                <w:sz w:val="16"/>
                <w:szCs w:val="16"/>
              </w:rPr>
              <w:t> </w:t>
            </w:r>
          </w:p>
        </w:tc>
        <w:tc>
          <w:tcPr>
            <w:tcW w:w="940" w:type="dxa"/>
            <w:vMerge w:val="restart"/>
            <w:tcBorders>
              <w:top w:val="single" w:sz="2" w:space="0" w:color="auto"/>
              <w:left w:val="single" w:sz="6" w:space="0" w:color="DDDDDD"/>
              <w:bottom w:val="single" w:sz="6" w:space="0" w:color="DDDDDD"/>
              <w:right w:val="single" w:sz="2" w:space="0" w:color="auto"/>
            </w:tcBorders>
            <w:shd w:val="clear" w:color="auto" w:fill="auto"/>
            <w:noWrap/>
            <w:vAlign w:val="bottom"/>
          </w:tcPr>
          <w:p w14:paraId="1C8E3B8B" w14:textId="77777777" w:rsidR="00885BB6" w:rsidRPr="00AF1A77" w:rsidRDefault="00885BB6" w:rsidP="002D024A">
            <w:pPr>
              <w:rPr>
                <w:rFonts w:ascii="Arial" w:hAnsi="Arial" w:cs="Arial"/>
                <w:sz w:val="16"/>
                <w:szCs w:val="16"/>
              </w:rPr>
            </w:pPr>
            <w:r w:rsidRPr="00AF1A77">
              <w:rPr>
                <w:rFonts w:ascii="Arial" w:hAnsi="Arial" w:cs="Arial"/>
                <w:sz w:val="16"/>
                <w:szCs w:val="16"/>
              </w:rPr>
              <w:t> </w:t>
            </w:r>
          </w:p>
        </w:tc>
      </w:tr>
      <w:tr w:rsidR="00030138" w:rsidRPr="002D545E" w14:paraId="2A6591D0" w14:textId="77777777" w:rsidTr="00AF1A77">
        <w:trPr>
          <w:cantSplit/>
          <w:trHeight w:val="254"/>
          <w:jc w:val="center"/>
        </w:trPr>
        <w:tc>
          <w:tcPr>
            <w:tcW w:w="1257" w:type="dxa"/>
            <w:vMerge/>
            <w:tcBorders>
              <w:top w:val="single" w:sz="6" w:space="0" w:color="DDDDDD"/>
              <w:left w:val="single" w:sz="2" w:space="0" w:color="auto"/>
              <w:bottom w:val="single" w:sz="6" w:space="0" w:color="auto"/>
              <w:right w:val="single" w:sz="6" w:space="0" w:color="DDDDDD"/>
            </w:tcBorders>
            <w:shd w:val="clear" w:color="auto" w:fill="auto"/>
            <w:vAlign w:val="center"/>
          </w:tcPr>
          <w:p w14:paraId="63045BDC" w14:textId="77777777" w:rsidR="00885BB6" w:rsidRPr="00AF1A77" w:rsidRDefault="00885BB6" w:rsidP="002D024A">
            <w:pPr>
              <w:rPr>
                <w:rFonts w:ascii="Arial" w:hAnsi="Arial" w:cs="Arial"/>
                <w:sz w:val="16"/>
                <w:szCs w:val="16"/>
              </w:rPr>
            </w:pPr>
          </w:p>
        </w:tc>
        <w:tc>
          <w:tcPr>
            <w:tcW w:w="1059" w:type="dxa"/>
            <w:tcBorders>
              <w:top w:val="single" w:sz="6" w:space="0" w:color="DDDDDD"/>
              <w:left w:val="single" w:sz="6" w:space="0" w:color="DDDDDD"/>
              <w:bottom w:val="single" w:sz="6" w:space="0" w:color="auto"/>
              <w:right w:val="single" w:sz="6" w:space="0" w:color="DDDDDD"/>
            </w:tcBorders>
            <w:shd w:val="clear" w:color="auto" w:fill="auto"/>
            <w:vAlign w:val="bottom"/>
          </w:tcPr>
          <w:p w14:paraId="3944F1C5" w14:textId="77777777" w:rsidR="00885BB6" w:rsidRPr="00AF1A77" w:rsidRDefault="00885BB6" w:rsidP="002D024A">
            <w:pPr>
              <w:jc w:val="center"/>
              <w:rPr>
                <w:rFonts w:ascii="Arial" w:hAnsi="Arial" w:cs="Arial"/>
                <w:sz w:val="18"/>
                <w:szCs w:val="18"/>
              </w:rPr>
            </w:pPr>
            <w:r w:rsidRPr="00AF1A77">
              <w:rPr>
                <w:rFonts w:ascii="Arial" w:hAnsi="Arial" w:cs="Arial"/>
                <w:sz w:val="18"/>
                <w:szCs w:val="18"/>
              </w:rPr>
              <w:sym w:font="Wingdings" w:char="F0EA"/>
            </w:r>
          </w:p>
        </w:tc>
        <w:tc>
          <w:tcPr>
            <w:tcW w:w="846" w:type="dxa"/>
            <w:vMerge/>
            <w:tcBorders>
              <w:top w:val="single" w:sz="6" w:space="0" w:color="DDDDDD"/>
              <w:left w:val="single" w:sz="6" w:space="0" w:color="DDDDDD"/>
              <w:bottom w:val="single" w:sz="6" w:space="0" w:color="auto"/>
              <w:right w:val="single" w:sz="6" w:space="0" w:color="DDDDDD"/>
            </w:tcBorders>
            <w:shd w:val="clear" w:color="auto" w:fill="auto"/>
            <w:vAlign w:val="center"/>
          </w:tcPr>
          <w:p w14:paraId="24FBED28" w14:textId="77777777" w:rsidR="00885BB6" w:rsidRPr="00AF1A77" w:rsidRDefault="00885BB6" w:rsidP="002D024A">
            <w:pPr>
              <w:rPr>
                <w:rFonts w:ascii="Arial" w:hAnsi="Arial" w:cs="Arial"/>
                <w:sz w:val="16"/>
                <w:szCs w:val="16"/>
              </w:rPr>
            </w:pPr>
          </w:p>
        </w:tc>
        <w:tc>
          <w:tcPr>
            <w:tcW w:w="846" w:type="dxa"/>
            <w:vMerge/>
            <w:tcBorders>
              <w:top w:val="single" w:sz="6" w:space="0" w:color="DDDDDD"/>
              <w:left w:val="single" w:sz="6" w:space="0" w:color="DDDDDD"/>
              <w:bottom w:val="single" w:sz="6" w:space="0" w:color="auto"/>
              <w:right w:val="single" w:sz="6" w:space="0" w:color="DDDDDD"/>
            </w:tcBorders>
            <w:shd w:val="clear" w:color="auto" w:fill="auto"/>
            <w:vAlign w:val="center"/>
          </w:tcPr>
          <w:p w14:paraId="6FC5E228" w14:textId="77777777" w:rsidR="00885BB6" w:rsidRPr="00AF1A77" w:rsidRDefault="00885BB6" w:rsidP="002D024A">
            <w:pPr>
              <w:rPr>
                <w:rFonts w:ascii="Arial" w:hAnsi="Arial" w:cs="Arial"/>
                <w:sz w:val="16"/>
                <w:szCs w:val="16"/>
              </w:rPr>
            </w:pPr>
          </w:p>
        </w:tc>
        <w:tc>
          <w:tcPr>
            <w:tcW w:w="846" w:type="dxa"/>
            <w:vMerge/>
            <w:tcBorders>
              <w:top w:val="single" w:sz="6" w:space="0" w:color="DDDDDD"/>
              <w:left w:val="single" w:sz="6" w:space="0" w:color="DDDDDD"/>
              <w:bottom w:val="single" w:sz="6" w:space="0" w:color="auto"/>
              <w:right w:val="single" w:sz="6" w:space="0" w:color="DDDDDD"/>
            </w:tcBorders>
            <w:shd w:val="clear" w:color="auto" w:fill="auto"/>
            <w:vAlign w:val="center"/>
          </w:tcPr>
          <w:p w14:paraId="15821571" w14:textId="77777777" w:rsidR="00885BB6" w:rsidRPr="00AF1A77" w:rsidRDefault="00885BB6" w:rsidP="002D024A">
            <w:pPr>
              <w:rPr>
                <w:rFonts w:ascii="Arial" w:hAnsi="Arial" w:cs="Arial"/>
                <w:sz w:val="16"/>
                <w:szCs w:val="16"/>
              </w:rPr>
            </w:pPr>
          </w:p>
        </w:tc>
        <w:tc>
          <w:tcPr>
            <w:tcW w:w="846" w:type="dxa"/>
            <w:vMerge/>
            <w:tcBorders>
              <w:top w:val="single" w:sz="6" w:space="0" w:color="DDDDDD"/>
              <w:left w:val="single" w:sz="6" w:space="0" w:color="DDDDDD"/>
              <w:bottom w:val="single" w:sz="6" w:space="0" w:color="auto"/>
              <w:right w:val="single" w:sz="6" w:space="0" w:color="DDDDDD"/>
            </w:tcBorders>
            <w:shd w:val="clear" w:color="auto" w:fill="auto"/>
            <w:vAlign w:val="center"/>
          </w:tcPr>
          <w:p w14:paraId="3A7D3BBC" w14:textId="77777777" w:rsidR="00885BB6" w:rsidRPr="00AF1A77" w:rsidRDefault="00885BB6" w:rsidP="002D024A">
            <w:pPr>
              <w:rPr>
                <w:rFonts w:ascii="Arial" w:hAnsi="Arial" w:cs="Arial"/>
                <w:sz w:val="16"/>
                <w:szCs w:val="16"/>
              </w:rPr>
            </w:pPr>
          </w:p>
        </w:tc>
        <w:tc>
          <w:tcPr>
            <w:tcW w:w="846" w:type="dxa"/>
            <w:vMerge/>
            <w:tcBorders>
              <w:top w:val="single" w:sz="6" w:space="0" w:color="DDDDDD"/>
              <w:left w:val="single" w:sz="6" w:space="0" w:color="DDDDDD"/>
              <w:bottom w:val="single" w:sz="6" w:space="0" w:color="auto"/>
              <w:right w:val="single" w:sz="6" w:space="0" w:color="DDDDDD"/>
            </w:tcBorders>
            <w:shd w:val="clear" w:color="auto" w:fill="auto"/>
            <w:vAlign w:val="center"/>
          </w:tcPr>
          <w:p w14:paraId="71697129" w14:textId="77777777" w:rsidR="00885BB6" w:rsidRPr="00AF1A77" w:rsidRDefault="00885BB6" w:rsidP="002D024A">
            <w:pPr>
              <w:rPr>
                <w:rFonts w:ascii="Arial" w:hAnsi="Arial" w:cs="Arial"/>
                <w:sz w:val="16"/>
                <w:szCs w:val="16"/>
              </w:rPr>
            </w:pPr>
          </w:p>
        </w:tc>
        <w:tc>
          <w:tcPr>
            <w:tcW w:w="846" w:type="dxa"/>
            <w:vMerge/>
            <w:tcBorders>
              <w:top w:val="single" w:sz="6" w:space="0" w:color="DDDDDD"/>
              <w:left w:val="single" w:sz="6" w:space="0" w:color="DDDDDD"/>
              <w:bottom w:val="single" w:sz="6" w:space="0" w:color="auto"/>
              <w:right w:val="single" w:sz="6" w:space="0" w:color="DDDDDD"/>
            </w:tcBorders>
            <w:shd w:val="clear" w:color="auto" w:fill="auto"/>
            <w:vAlign w:val="center"/>
          </w:tcPr>
          <w:p w14:paraId="7527383D" w14:textId="77777777" w:rsidR="00885BB6" w:rsidRPr="00AF1A77" w:rsidRDefault="00885BB6" w:rsidP="002D024A">
            <w:pPr>
              <w:rPr>
                <w:rFonts w:ascii="Arial" w:hAnsi="Arial" w:cs="Arial"/>
                <w:sz w:val="16"/>
                <w:szCs w:val="16"/>
              </w:rPr>
            </w:pPr>
          </w:p>
        </w:tc>
        <w:tc>
          <w:tcPr>
            <w:tcW w:w="846" w:type="dxa"/>
            <w:vMerge/>
            <w:tcBorders>
              <w:top w:val="single" w:sz="6" w:space="0" w:color="DDDDDD"/>
              <w:left w:val="single" w:sz="6" w:space="0" w:color="DDDDDD"/>
              <w:bottom w:val="single" w:sz="6" w:space="0" w:color="auto"/>
              <w:right w:val="single" w:sz="6" w:space="0" w:color="DDDDDD"/>
            </w:tcBorders>
            <w:shd w:val="clear" w:color="auto" w:fill="auto"/>
            <w:vAlign w:val="center"/>
          </w:tcPr>
          <w:p w14:paraId="7CA57039" w14:textId="77777777" w:rsidR="00885BB6" w:rsidRPr="00AF1A77" w:rsidRDefault="00885BB6" w:rsidP="002D024A">
            <w:pPr>
              <w:rPr>
                <w:rFonts w:ascii="Arial" w:hAnsi="Arial" w:cs="Arial"/>
                <w:sz w:val="16"/>
                <w:szCs w:val="16"/>
              </w:rPr>
            </w:pPr>
          </w:p>
        </w:tc>
        <w:tc>
          <w:tcPr>
            <w:tcW w:w="846" w:type="dxa"/>
            <w:vMerge/>
            <w:tcBorders>
              <w:top w:val="single" w:sz="6" w:space="0" w:color="DDDDDD"/>
              <w:left w:val="single" w:sz="6" w:space="0" w:color="DDDDDD"/>
              <w:bottom w:val="single" w:sz="6" w:space="0" w:color="auto"/>
              <w:right w:val="single" w:sz="6" w:space="0" w:color="DDDDDD"/>
            </w:tcBorders>
            <w:shd w:val="clear" w:color="auto" w:fill="auto"/>
            <w:vAlign w:val="center"/>
          </w:tcPr>
          <w:p w14:paraId="71CF227B" w14:textId="77777777" w:rsidR="00885BB6" w:rsidRPr="00AF1A77" w:rsidRDefault="00885BB6" w:rsidP="002D024A">
            <w:pPr>
              <w:rPr>
                <w:rFonts w:ascii="Arial" w:hAnsi="Arial" w:cs="Arial"/>
                <w:sz w:val="16"/>
                <w:szCs w:val="16"/>
              </w:rPr>
            </w:pPr>
          </w:p>
        </w:tc>
        <w:tc>
          <w:tcPr>
            <w:tcW w:w="936" w:type="dxa"/>
            <w:vMerge/>
            <w:tcBorders>
              <w:top w:val="single" w:sz="6" w:space="0" w:color="DDDDDD"/>
              <w:left w:val="single" w:sz="6" w:space="0" w:color="DDDDDD"/>
              <w:bottom w:val="single" w:sz="6" w:space="0" w:color="auto"/>
              <w:right w:val="single" w:sz="6" w:space="0" w:color="DDDDDD"/>
            </w:tcBorders>
            <w:shd w:val="clear" w:color="auto" w:fill="auto"/>
            <w:vAlign w:val="center"/>
          </w:tcPr>
          <w:p w14:paraId="326AB88D" w14:textId="77777777" w:rsidR="00885BB6" w:rsidRPr="00AF1A77" w:rsidRDefault="00885BB6" w:rsidP="002D024A">
            <w:pPr>
              <w:rPr>
                <w:rFonts w:ascii="Arial" w:hAnsi="Arial" w:cs="Arial"/>
                <w:sz w:val="16"/>
                <w:szCs w:val="16"/>
              </w:rPr>
            </w:pPr>
          </w:p>
        </w:tc>
        <w:tc>
          <w:tcPr>
            <w:tcW w:w="940" w:type="dxa"/>
            <w:vMerge/>
            <w:tcBorders>
              <w:top w:val="single" w:sz="6" w:space="0" w:color="DDDDDD"/>
              <w:left w:val="single" w:sz="6" w:space="0" w:color="DDDDDD"/>
              <w:bottom w:val="single" w:sz="6" w:space="0" w:color="auto"/>
              <w:right w:val="single" w:sz="2" w:space="0" w:color="auto"/>
            </w:tcBorders>
            <w:shd w:val="clear" w:color="auto" w:fill="auto"/>
            <w:vAlign w:val="center"/>
          </w:tcPr>
          <w:p w14:paraId="4336DA68" w14:textId="77777777" w:rsidR="00885BB6" w:rsidRPr="00AF1A77" w:rsidRDefault="00885BB6" w:rsidP="002D024A">
            <w:pPr>
              <w:rPr>
                <w:rFonts w:ascii="Arial" w:hAnsi="Arial" w:cs="Arial"/>
                <w:sz w:val="16"/>
                <w:szCs w:val="16"/>
              </w:rPr>
            </w:pPr>
          </w:p>
        </w:tc>
      </w:tr>
      <w:tr w:rsidR="00885BB6" w:rsidRPr="002D545E" w14:paraId="23BBD1C3" w14:textId="77777777" w:rsidTr="00AF1A77">
        <w:trPr>
          <w:cantSplit/>
          <w:trHeight w:val="254"/>
          <w:jc w:val="center"/>
        </w:trPr>
        <w:tc>
          <w:tcPr>
            <w:tcW w:w="1257" w:type="dxa"/>
            <w:tcBorders>
              <w:top w:val="single" w:sz="6" w:space="0" w:color="auto"/>
              <w:left w:val="single" w:sz="2" w:space="0" w:color="auto"/>
              <w:bottom w:val="single" w:sz="6" w:space="0" w:color="auto"/>
              <w:right w:val="single" w:sz="6" w:space="0" w:color="auto"/>
            </w:tcBorders>
            <w:shd w:val="clear" w:color="auto" w:fill="auto"/>
            <w:vAlign w:val="center"/>
          </w:tcPr>
          <w:p w14:paraId="15979DB9" w14:textId="77777777" w:rsidR="00885BB6" w:rsidRPr="00AF1A77" w:rsidRDefault="00885BB6" w:rsidP="002D024A">
            <w:pPr>
              <w:rPr>
                <w:rFonts w:ascii="Arial" w:hAnsi="Arial" w:cs="Arial"/>
                <w:sz w:val="16"/>
                <w:szCs w:val="16"/>
              </w:rPr>
            </w:pPr>
            <w:r w:rsidRPr="00AF1A77">
              <w:rPr>
                <w:rFonts w:ascii="Arial" w:hAnsi="Arial" w:cs="Arial"/>
                <w:sz w:val="16"/>
                <w:szCs w:val="16"/>
              </w:rPr>
              <w:t>Day</w:t>
            </w:r>
          </w:p>
        </w:tc>
        <w:tc>
          <w:tcPr>
            <w:tcW w:w="1059" w:type="dxa"/>
            <w:tcBorders>
              <w:top w:val="single" w:sz="6" w:space="0" w:color="auto"/>
              <w:left w:val="single" w:sz="6" w:space="0" w:color="auto"/>
              <w:bottom w:val="single" w:sz="6" w:space="0" w:color="auto"/>
              <w:right w:val="single" w:sz="6" w:space="0" w:color="auto"/>
            </w:tcBorders>
            <w:shd w:val="clear" w:color="auto" w:fill="auto"/>
            <w:vAlign w:val="center"/>
          </w:tcPr>
          <w:p w14:paraId="748A8EC8" w14:textId="77777777" w:rsidR="00885BB6" w:rsidRPr="00AF1A77" w:rsidRDefault="00885BB6" w:rsidP="002D024A">
            <w:pPr>
              <w:jc w:val="center"/>
              <w:rPr>
                <w:rFonts w:ascii="Arial" w:hAnsi="Arial" w:cs="Arial"/>
                <w:sz w:val="16"/>
                <w:szCs w:val="16"/>
              </w:rPr>
            </w:pPr>
            <w:r w:rsidRPr="00AF1A77">
              <w:rPr>
                <w:rFonts w:ascii="Arial" w:hAnsi="Arial" w:cs="Arial"/>
                <w:sz w:val="16"/>
                <w:szCs w:val="16"/>
              </w:rPr>
              <w:t>0</w:t>
            </w:r>
          </w:p>
        </w:tc>
        <w:tc>
          <w:tcPr>
            <w:tcW w:w="846" w:type="dxa"/>
            <w:tcBorders>
              <w:top w:val="single" w:sz="6" w:space="0" w:color="auto"/>
              <w:left w:val="single" w:sz="6" w:space="0" w:color="auto"/>
              <w:bottom w:val="single" w:sz="6" w:space="0" w:color="auto"/>
              <w:right w:val="single" w:sz="6" w:space="0" w:color="auto"/>
            </w:tcBorders>
            <w:shd w:val="clear" w:color="auto" w:fill="auto"/>
            <w:vAlign w:val="center"/>
          </w:tcPr>
          <w:p w14:paraId="029480ED" w14:textId="77777777" w:rsidR="00885BB6" w:rsidRPr="00AF1A77" w:rsidRDefault="00885BB6" w:rsidP="002D024A">
            <w:pPr>
              <w:jc w:val="center"/>
              <w:rPr>
                <w:rFonts w:ascii="Arial" w:hAnsi="Arial" w:cs="Arial"/>
                <w:sz w:val="16"/>
                <w:szCs w:val="16"/>
              </w:rPr>
            </w:pPr>
            <w:r w:rsidRPr="00AF1A77">
              <w:rPr>
                <w:rFonts w:ascii="Arial" w:hAnsi="Arial" w:cs="Arial"/>
                <w:sz w:val="16"/>
                <w:szCs w:val="16"/>
              </w:rPr>
              <w:t>1</w:t>
            </w:r>
          </w:p>
        </w:tc>
        <w:tc>
          <w:tcPr>
            <w:tcW w:w="846" w:type="dxa"/>
            <w:tcBorders>
              <w:top w:val="single" w:sz="6" w:space="0" w:color="auto"/>
              <w:left w:val="single" w:sz="6" w:space="0" w:color="auto"/>
              <w:bottom w:val="single" w:sz="6" w:space="0" w:color="auto"/>
              <w:right w:val="single" w:sz="6" w:space="0" w:color="auto"/>
            </w:tcBorders>
            <w:shd w:val="clear" w:color="auto" w:fill="auto"/>
            <w:vAlign w:val="center"/>
          </w:tcPr>
          <w:p w14:paraId="1622B7BA" w14:textId="77777777" w:rsidR="00885BB6" w:rsidRPr="00AF1A77" w:rsidRDefault="00885BB6" w:rsidP="002D024A">
            <w:pPr>
              <w:jc w:val="center"/>
              <w:rPr>
                <w:rFonts w:ascii="Arial" w:hAnsi="Arial" w:cs="Arial"/>
                <w:sz w:val="16"/>
                <w:szCs w:val="16"/>
              </w:rPr>
            </w:pPr>
            <w:r w:rsidRPr="00AF1A77">
              <w:rPr>
                <w:rFonts w:ascii="Arial" w:hAnsi="Arial" w:cs="Arial"/>
                <w:sz w:val="16"/>
                <w:szCs w:val="16"/>
              </w:rPr>
              <w:t>2</w:t>
            </w:r>
          </w:p>
        </w:tc>
        <w:tc>
          <w:tcPr>
            <w:tcW w:w="846" w:type="dxa"/>
            <w:tcBorders>
              <w:top w:val="single" w:sz="6" w:space="0" w:color="auto"/>
              <w:left w:val="single" w:sz="6" w:space="0" w:color="auto"/>
              <w:bottom w:val="single" w:sz="6" w:space="0" w:color="auto"/>
              <w:right w:val="single" w:sz="6" w:space="0" w:color="auto"/>
            </w:tcBorders>
            <w:shd w:val="clear" w:color="auto" w:fill="auto"/>
            <w:vAlign w:val="center"/>
          </w:tcPr>
          <w:p w14:paraId="4CEF13D1" w14:textId="77777777" w:rsidR="00885BB6" w:rsidRPr="00AF1A77" w:rsidRDefault="00885BB6" w:rsidP="002D024A">
            <w:pPr>
              <w:jc w:val="center"/>
              <w:rPr>
                <w:rFonts w:ascii="Arial" w:hAnsi="Arial" w:cs="Arial"/>
                <w:sz w:val="16"/>
                <w:szCs w:val="16"/>
              </w:rPr>
            </w:pPr>
            <w:r w:rsidRPr="00AF1A77">
              <w:rPr>
                <w:rFonts w:ascii="Arial" w:hAnsi="Arial" w:cs="Arial"/>
                <w:sz w:val="16"/>
                <w:szCs w:val="16"/>
              </w:rPr>
              <w:t>3</w:t>
            </w:r>
          </w:p>
        </w:tc>
        <w:tc>
          <w:tcPr>
            <w:tcW w:w="846" w:type="dxa"/>
            <w:tcBorders>
              <w:top w:val="single" w:sz="6" w:space="0" w:color="auto"/>
              <w:left w:val="single" w:sz="6" w:space="0" w:color="auto"/>
              <w:bottom w:val="single" w:sz="6" w:space="0" w:color="auto"/>
              <w:right w:val="single" w:sz="6" w:space="0" w:color="auto"/>
            </w:tcBorders>
            <w:shd w:val="clear" w:color="auto" w:fill="auto"/>
            <w:vAlign w:val="center"/>
          </w:tcPr>
          <w:p w14:paraId="0AD82114" w14:textId="77777777" w:rsidR="00885BB6" w:rsidRPr="00AF1A77" w:rsidRDefault="00885BB6" w:rsidP="002D024A">
            <w:pPr>
              <w:jc w:val="center"/>
              <w:rPr>
                <w:rFonts w:ascii="Arial" w:hAnsi="Arial" w:cs="Arial"/>
                <w:sz w:val="16"/>
                <w:szCs w:val="16"/>
              </w:rPr>
            </w:pPr>
            <w:r w:rsidRPr="00AF1A77">
              <w:rPr>
                <w:rFonts w:ascii="Arial" w:hAnsi="Arial" w:cs="Arial"/>
                <w:sz w:val="16"/>
                <w:szCs w:val="16"/>
              </w:rPr>
              <w:t>4</w:t>
            </w:r>
          </w:p>
        </w:tc>
        <w:tc>
          <w:tcPr>
            <w:tcW w:w="846" w:type="dxa"/>
            <w:tcBorders>
              <w:top w:val="single" w:sz="6" w:space="0" w:color="auto"/>
              <w:left w:val="single" w:sz="6" w:space="0" w:color="auto"/>
              <w:bottom w:val="single" w:sz="6" w:space="0" w:color="auto"/>
              <w:right w:val="single" w:sz="6" w:space="0" w:color="auto"/>
            </w:tcBorders>
            <w:shd w:val="clear" w:color="auto" w:fill="auto"/>
            <w:vAlign w:val="center"/>
          </w:tcPr>
          <w:p w14:paraId="2079C22D" w14:textId="77777777" w:rsidR="00885BB6" w:rsidRPr="00AF1A77" w:rsidRDefault="00885BB6" w:rsidP="002D024A">
            <w:pPr>
              <w:jc w:val="center"/>
              <w:rPr>
                <w:rFonts w:ascii="Arial" w:hAnsi="Arial" w:cs="Arial"/>
                <w:sz w:val="16"/>
                <w:szCs w:val="16"/>
              </w:rPr>
            </w:pPr>
            <w:r w:rsidRPr="00AF1A77">
              <w:rPr>
                <w:rFonts w:ascii="Arial" w:hAnsi="Arial" w:cs="Arial"/>
                <w:sz w:val="16"/>
                <w:szCs w:val="16"/>
              </w:rPr>
              <w:t>5</w:t>
            </w:r>
          </w:p>
        </w:tc>
        <w:tc>
          <w:tcPr>
            <w:tcW w:w="846" w:type="dxa"/>
            <w:tcBorders>
              <w:top w:val="single" w:sz="6" w:space="0" w:color="auto"/>
              <w:left w:val="single" w:sz="6" w:space="0" w:color="auto"/>
              <w:bottom w:val="single" w:sz="6" w:space="0" w:color="auto"/>
              <w:right w:val="single" w:sz="6" w:space="0" w:color="auto"/>
            </w:tcBorders>
            <w:shd w:val="clear" w:color="auto" w:fill="auto"/>
            <w:vAlign w:val="center"/>
          </w:tcPr>
          <w:p w14:paraId="7A1AFDE1" w14:textId="77777777" w:rsidR="00885BB6" w:rsidRPr="00AF1A77" w:rsidRDefault="00885BB6" w:rsidP="002D024A">
            <w:pPr>
              <w:jc w:val="center"/>
              <w:rPr>
                <w:rFonts w:ascii="Arial" w:hAnsi="Arial" w:cs="Arial"/>
                <w:sz w:val="16"/>
                <w:szCs w:val="16"/>
              </w:rPr>
            </w:pPr>
            <w:r w:rsidRPr="00AF1A77">
              <w:rPr>
                <w:rFonts w:ascii="Arial" w:hAnsi="Arial" w:cs="Arial"/>
                <w:sz w:val="16"/>
                <w:szCs w:val="16"/>
              </w:rPr>
              <w:t>6</w:t>
            </w:r>
          </w:p>
        </w:tc>
        <w:tc>
          <w:tcPr>
            <w:tcW w:w="846" w:type="dxa"/>
            <w:tcBorders>
              <w:top w:val="single" w:sz="6" w:space="0" w:color="auto"/>
              <w:left w:val="single" w:sz="6" w:space="0" w:color="auto"/>
              <w:bottom w:val="single" w:sz="6" w:space="0" w:color="auto"/>
              <w:right w:val="single" w:sz="6" w:space="0" w:color="auto"/>
            </w:tcBorders>
            <w:shd w:val="clear" w:color="auto" w:fill="auto"/>
            <w:vAlign w:val="center"/>
          </w:tcPr>
          <w:p w14:paraId="788A9027" w14:textId="77777777" w:rsidR="00885BB6" w:rsidRPr="00AF1A77" w:rsidRDefault="00885BB6" w:rsidP="002D024A">
            <w:pPr>
              <w:jc w:val="center"/>
              <w:rPr>
                <w:rFonts w:ascii="Arial" w:hAnsi="Arial" w:cs="Arial"/>
                <w:sz w:val="16"/>
                <w:szCs w:val="16"/>
              </w:rPr>
            </w:pPr>
            <w:r w:rsidRPr="00AF1A77">
              <w:rPr>
                <w:rFonts w:ascii="Arial" w:hAnsi="Arial" w:cs="Arial"/>
                <w:sz w:val="16"/>
                <w:szCs w:val="16"/>
              </w:rPr>
              <w:t>7</w:t>
            </w:r>
          </w:p>
        </w:tc>
        <w:tc>
          <w:tcPr>
            <w:tcW w:w="846" w:type="dxa"/>
            <w:tcBorders>
              <w:top w:val="single" w:sz="6" w:space="0" w:color="auto"/>
              <w:left w:val="single" w:sz="6" w:space="0" w:color="auto"/>
              <w:bottom w:val="single" w:sz="6" w:space="0" w:color="auto"/>
              <w:right w:val="single" w:sz="6" w:space="0" w:color="auto"/>
            </w:tcBorders>
            <w:shd w:val="clear" w:color="auto" w:fill="auto"/>
            <w:vAlign w:val="center"/>
          </w:tcPr>
          <w:p w14:paraId="76C92C43" w14:textId="77777777" w:rsidR="00885BB6" w:rsidRPr="00AF1A77" w:rsidRDefault="00885BB6" w:rsidP="002D024A">
            <w:pPr>
              <w:jc w:val="center"/>
              <w:rPr>
                <w:rFonts w:ascii="Arial" w:hAnsi="Arial" w:cs="Arial"/>
                <w:sz w:val="16"/>
                <w:szCs w:val="16"/>
              </w:rPr>
            </w:pPr>
            <w:r w:rsidRPr="00AF1A77">
              <w:rPr>
                <w:rFonts w:ascii="Arial" w:hAnsi="Arial" w:cs="Arial"/>
                <w:sz w:val="16"/>
                <w:szCs w:val="16"/>
              </w:rPr>
              <w:t>8</w:t>
            </w:r>
          </w:p>
        </w:tc>
        <w:tc>
          <w:tcPr>
            <w:tcW w:w="936" w:type="dxa"/>
            <w:tcBorders>
              <w:top w:val="single" w:sz="6" w:space="0" w:color="auto"/>
              <w:left w:val="single" w:sz="6" w:space="0" w:color="auto"/>
              <w:bottom w:val="single" w:sz="6" w:space="0" w:color="auto"/>
              <w:right w:val="single" w:sz="6" w:space="0" w:color="auto"/>
            </w:tcBorders>
            <w:shd w:val="clear" w:color="auto" w:fill="auto"/>
            <w:vAlign w:val="center"/>
          </w:tcPr>
          <w:p w14:paraId="1EB40F89" w14:textId="77777777" w:rsidR="00885BB6" w:rsidRPr="00AF1A77" w:rsidRDefault="00885BB6" w:rsidP="002D024A">
            <w:pPr>
              <w:jc w:val="center"/>
              <w:rPr>
                <w:rFonts w:ascii="Arial" w:hAnsi="Arial" w:cs="Arial"/>
                <w:sz w:val="16"/>
                <w:szCs w:val="16"/>
              </w:rPr>
            </w:pPr>
            <w:r w:rsidRPr="00AF1A77">
              <w:rPr>
                <w:rFonts w:ascii="Arial" w:hAnsi="Arial" w:cs="Arial"/>
                <w:sz w:val="16"/>
                <w:szCs w:val="16"/>
              </w:rPr>
              <w:t>9</w:t>
            </w:r>
          </w:p>
        </w:tc>
        <w:tc>
          <w:tcPr>
            <w:tcW w:w="940" w:type="dxa"/>
            <w:tcBorders>
              <w:top w:val="single" w:sz="6" w:space="0" w:color="auto"/>
              <w:left w:val="single" w:sz="6" w:space="0" w:color="auto"/>
              <w:bottom w:val="single" w:sz="6" w:space="0" w:color="auto"/>
              <w:right w:val="single" w:sz="2" w:space="0" w:color="auto"/>
            </w:tcBorders>
            <w:shd w:val="clear" w:color="auto" w:fill="auto"/>
            <w:vAlign w:val="center"/>
          </w:tcPr>
          <w:p w14:paraId="7CC4C4B8" w14:textId="77777777" w:rsidR="00885BB6" w:rsidRPr="00AF1A77" w:rsidRDefault="00885BB6" w:rsidP="002D024A">
            <w:pPr>
              <w:jc w:val="center"/>
              <w:rPr>
                <w:rFonts w:ascii="Arial" w:hAnsi="Arial" w:cs="Arial"/>
                <w:sz w:val="16"/>
                <w:szCs w:val="16"/>
              </w:rPr>
            </w:pPr>
            <w:r w:rsidRPr="00AF1A77">
              <w:rPr>
                <w:rFonts w:ascii="Arial" w:hAnsi="Arial" w:cs="Arial"/>
                <w:sz w:val="16"/>
                <w:szCs w:val="16"/>
              </w:rPr>
              <w:t>10</w:t>
            </w:r>
          </w:p>
        </w:tc>
      </w:tr>
      <w:tr w:rsidR="00885BB6" w:rsidRPr="002D545E" w14:paraId="6826F389" w14:textId="77777777" w:rsidTr="00AF1A77">
        <w:trPr>
          <w:cantSplit/>
          <w:trHeight w:val="254"/>
          <w:jc w:val="center"/>
        </w:trPr>
        <w:tc>
          <w:tcPr>
            <w:tcW w:w="1257" w:type="dxa"/>
            <w:tcBorders>
              <w:top w:val="single" w:sz="6" w:space="0" w:color="auto"/>
              <w:left w:val="single" w:sz="2" w:space="0" w:color="auto"/>
              <w:bottom w:val="single" w:sz="6" w:space="0" w:color="auto"/>
              <w:right w:val="single" w:sz="6" w:space="0" w:color="auto"/>
            </w:tcBorders>
            <w:shd w:val="clear" w:color="auto" w:fill="auto"/>
            <w:vAlign w:val="center"/>
          </w:tcPr>
          <w:p w14:paraId="776AF6AF" w14:textId="77777777" w:rsidR="00885BB6" w:rsidRPr="00AF1A77" w:rsidRDefault="00885BB6" w:rsidP="002D024A">
            <w:pPr>
              <w:rPr>
                <w:rFonts w:ascii="Arial" w:hAnsi="Arial" w:cs="Arial"/>
                <w:sz w:val="16"/>
                <w:szCs w:val="16"/>
              </w:rPr>
            </w:pPr>
            <w:r w:rsidRPr="00AF1A77">
              <w:rPr>
                <w:rFonts w:ascii="Arial" w:hAnsi="Arial" w:cs="Arial"/>
                <w:sz w:val="16"/>
                <w:szCs w:val="16"/>
              </w:rPr>
              <w:t>Platelet Count</w:t>
            </w:r>
          </w:p>
        </w:tc>
        <w:tc>
          <w:tcPr>
            <w:tcW w:w="1059" w:type="dxa"/>
            <w:tcBorders>
              <w:top w:val="single" w:sz="6" w:space="0" w:color="auto"/>
              <w:left w:val="single" w:sz="6" w:space="0" w:color="auto"/>
              <w:bottom w:val="single" w:sz="6" w:space="0" w:color="auto"/>
              <w:right w:val="single" w:sz="6" w:space="0" w:color="auto"/>
            </w:tcBorders>
            <w:shd w:val="clear" w:color="auto" w:fill="auto"/>
            <w:vAlign w:val="center"/>
          </w:tcPr>
          <w:p w14:paraId="5D869767" w14:textId="77777777" w:rsidR="00885BB6" w:rsidRPr="00AF1A77" w:rsidRDefault="00885BB6" w:rsidP="002D024A">
            <w:pPr>
              <w:jc w:val="center"/>
              <w:rPr>
                <w:rFonts w:ascii="Arial" w:hAnsi="Arial" w:cs="Arial"/>
                <w:sz w:val="16"/>
                <w:szCs w:val="16"/>
              </w:rPr>
            </w:pPr>
            <w:r w:rsidRPr="00AF1A77">
              <w:rPr>
                <w:rFonts w:ascii="Arial" w:hAnsi="Arial" w:cs="Arial"/>
                <w:sz w:val="16"/>
                <w:szCs w:val="16"/>
              </w:rPr>
              <w:t>10,000</w:t>
            </w:r>
          </w:p>
        </w:tc>
        <w:tc>
          <w:tcPr>
            <w:tcW w:w="846" w:type="dxa"/>
            <w:tcBorders>
              <w:top w:val="single" w:sz="6" w:space="0" w:color="auto"/>
              <w:left w:val="single" w:sz="6" w:space="0" w:color="auto"/>
              <w:bottom w:val="single" w:sz="6" w:space="0" w:color="auto"/>
              <w:right w:val="single" w:sz="6" w:space="0" w:color="auto"/>
            </w:tcBorders>
            <w:shd w:val="clear" w:color="auto" w:fill="auto"/>
            <w:vAlign w:val="center"/>
          </w:tcPr>
          <w:p w14:paraId="0F6B1FC4" w14:textId="77777777" w:rsidR="00885BB6" w:rsidRPr="00AF1A77" w:rsidRDefault="00885BB6" w:rsidP="002D024A">
            <w:pPr>
              <w:jc w:val="center"/>
              <w:rPr>
                <w:rFonts w:ascii="Arial" w:hAnsi="Arial" w:cs="Arial"/>
                <w:sz w:val="16"/>
                <w:szCs w:val="16"/>
              </w:rPr>
            </w:pPr>
            <w:r w:rsidRPr="00AF1A77">
              <w:rPr>
                <w:rFonts w:ascii="Arial" w:hAnsi="Arial" w:cs="Arial"/>
                <w:sz w:val="16"/>
                <w:szCs w:val="16"/>
              </w:rPr>
              <w:t>35,000</w:t>
            </w:r>
          </w:p>
        </w:tc>
        <w:tc>
          <w:tcPr>
            <w:tcW w:w="846" w:type="dxa"/>
            <w:tcBorders>
              <w:top w:val="single" w:sz="6" w:space="0" w:color="auto"/>
              <w:left w:val="single" w:sz="6" w:space="0" w:color="auto"/>
              <w:bottom w:val="single" w:sz="6" w:space="0" w:color="auto"/>
              <w:right w:val="single" w:sz="6" w:space="0" w:color="auto"/>
            </w:tcBorders>
            <w:shd w:val="clear" w:color="auto" w:fill="auto"/>
            <w:vAlign w:val="center"/>
          </w:tcPr>
          <w:p w14:paraId="1BAE5169" w14:textId="77777777" w:rsidR="00885BB6" w:rsidRPr="00AF1A77" w:rsidRDefault="00885BB6" w:rsidP="002D024A">
            <w:pPr>
              <w:jc w:val="center"/>
              <w:rPr>
                <w:rFonts w:ascii="Arial" w:hAnsi="Arial" w:cs="Arial"/>
                <w:sz w:val="16"/>
                <w:szCs w:val="16"/>
              </w:rPr>
            </w:pPr>
            <w:r w:rsidRPr="00AF1A77">
              <w:rPr>
                <w:rFonts w:ascii="Arial" w:hAnsi="Arial" w:cs="Arial"/>
                <w:sz w:val="16"/>
                <w:szCs w:val="16"/>
              </w:rPr>
              <w:t>30,000</w:t>
            </w:r>
          </w:p>
        </w:tc>
        <w:tc>
          <w:tcPr>
            <w:tcW w:w="846" w:type="dxa"/>
            <w:tcBorders>
              <w:top w:val="single" w:sz="6" w:space="0" w:color="auto"/>
              <w:left w:val="single" w:sz="6" w:space="0" w:color="auto"/>
              <w:bottom w:val="single" w:sz="6" w:space="0" w:color="auto"/>
              <w:right w:val="single" w:sz="6" w:space="0" w:color="auto"/>
            </w:tcBorders>
            <w:shd w:val="clear" w:color="auto" w:fill="auto"/>
            <w:vAlign w:val="center"/>
          </w:tcPr>
          <w:p w14:paraId="0975ED42" w14:textId="77777777" w:rsidR="00885BB6" w:rsidRPr="00AF1A77" w:rsidRDefault="00885BB6" w:rsidP="002D024A">
            <w:pPr>
              <w:jc w:val="center"/>
              <w:rPr>
                <w:rFonts w:ascii="Arial" w:hAnsi="Arial" w:cs="Arial"/>
                <w:sz w:val="16"/>
                <w:szCs w:val="16"/>
              </w:rPr>
            </w:pPr>
            <w:r w:rsidRPr="00AF1A77">
              <w:rPr>
                <w:rFonts w:ascii="Arial" w:hAnsi="Arial" w:cs="Arial"/>
                <w:sz w:val="16"/>
                <w:szCs w:val="16"/>
              </w:rPr>
              <w:t>25,000</w:t>
            </w:r>
          </w:p>
        </w:tc>
        <w:tc>
          <w:tcPr>
            <w:tcW w:w="846" w:type="dxa"/>
            <w:tcBorders>
              <w:top w:val="single" w:sz="6" w:space="0" w:color="auto"/>
              <w:left w:val="single" w:sz="6" w:space="0" w:color="auto"/>
              <w:bottom w:val="single" w:sz="6" w:space="0" w:color="auto"/>
              <w:right w:val="single" w:sz="6" w:space="0" w:color="auto"/>
            </w:tcBorders>
            <w:shd w:val="clear" w:color="auto" w:fill="auto"/>
            <w:vAlign w:val="center"/>
          </w:tcPr>
          <w:p w14:paraId="0C1BB4BA" w14:textId="77777777" w:rsidR="00885BB6" w:rsidRPr="00AF1A77" w:rsidRDefault="00885BB6" w:rsidP="002D024A">
            <w:pPr>
              <w:jc w:val="center"/>
              <w:rPr>
                <w:rFonts w:ascii="Arial" w:hAnsi="Arial" w:cs="Arial"/>
                <w:sz w:val="16"/>
                <w:szCs w:val="16"/>
              </w:rPr>
            </w:pPr>
            <w:r w:rsidRPr="00AF1A77">
              <w:rPr>
                <w:rFonts w:ascii="Arial" w:hAnsi="Arial" w:cs="Arial"/>
                <w:sz w:val="16"/>
                <w:szCs w:val="16"/>
              </w:rPr>
              <w:t>10,000</w:t>
            </w:r>
          </w:p>
        </w:tc>
        <w:tc>
          <w:tcPr>
            <w:tcW w:w="846" w:type="dxa"/>
            <w:tcBorders>
              <w:top w:val="single" w:sz="6" w:space="0" w:color="auto"/>
              <w:left w:val="single" w:sz="6" w:space="0" w:color="auto"/>
              <w:bottom w:val="single" w:sz="6" w:space="0" w:color="auto"/>
              <w:right w:val="single" w:sz="6" w:space="0" w:color="auto"/>
            </w:tcBorders>
            <w:shd w:val="clear" w:color="auto" w:fill="auto"/>
            <w:vAlign w:val="center"/>
          </w:tcPr>
          <w:p w14:paraId="1DF0FC71" w14:textId="77777777" w:rsidR="00885BB6" w:rsidRPr="00AF1A77" w:rsidRDefault="00885BB6" w:rsidP="002D024A">
            <w:pPr>
              <w:jc w:val="center"/>
              <w:rPr>
                <w:rFonts w:ascii="Arial" w:hAnsi="Arial" w:cs="Arial"/>
                <w:sz w:val="16"/>
                <w:szCs w:val="16"/>
              </w:rPr>
            </w:pPr>
            <w:r w:rsidRPr="00AF1A77">
              <w:rPr>
                <w:rFonts w:ascii="Arial" w:hAnsi="Arial" w:cs="Arial"/>
                <w:sz w:val="16"/>
                <w:szCs w:val="16"/>
              </w:rPr>
              <w:t>15,000</w:t>
            </w:r>
          </w:p>
        </w:tc>
        <w:tc>
          <w:tcPr>
            <w:tcW w:w="846" w:type="dxa"/>
            <w:tcBorders>
              <w:top w:val="single" w:sz="6" w:space="0" w:color="auto"/>
              <w:left w:val="single" w:sz="6" w:space="0" w:color="auto"/>
              <w:bottom w:val="single" w:sz="6" w:space="0" w:color="auto"/>
              <w:right w:val="single" w:sz="6" w:space="0" w:color="auto"/>
            </w:tcBorders>
            <w:shd w:val="clear" w:color="auto" w:fill="auto"/>
            <w:vAlign w:val="center"/>
          </w:tcPr>
          <w:p w14:paraId="41114FB8" w14:textId="77777777" w:rsidR="00885BB6" w:rsidRPr="00AF1A77" w:rsidRDefault="00885BB6" w:rsidP="002D024A">
            <w:pPr>
              <w:jc w:val="center"/>
              <w:rPr>
                <w:rFonts w:ascii="Arial" w:hAnsi="Arial" w:cs="Arial"/>
                <w:sz w:val="16"/>
                <w:szCs w:val="16"/>
              </w:rPr>
            </w:pPr>
            <w:r w:rsidRPr="00AF1A77">
              <w:rPr>
                <w:rFonts w:ascii="Arial" w:hAnsi="Arial" w:cs="Arial"/>
                <w:sz w:val="16"/>
                <w:szCs w:val="16"/>
              </w:rPr>
              <w:t>19,000</w:t>
            </w:r>
          </w:p>
        </w:tc>
        <w:tc>
          <w:tcPr>
            <w:tcW w:w="846" w:type="dxa"/>
            <w:tcBorders>
              <w:top w:val="single" w:sz="6" w:space="0" w:color="auto"/>
              <w:left w:val="single" w:sz="6" w:space="0" w:color="auto"/>
              <w:bottom w:val="single" w:sz="6" w:space="0" w:color="auto"/>
              <w:right w:val="single" w:sz="6" w:space="0" w:color="auto"/>
            </w:tcBorders>
            <w:shd w:val="clear" w:color="auto" w:fill="auto"/>
            <w:vAlign w:val="center"/>
          </w:tcPr>
          <w:p w14:paraId="502C296C" w14:textId="77777777" w:rsidR="00885BB6" w:rsidRPr="00AF1A77" w:rsidRDefault="00885BB6" w:rsidP="002D024A">
            <w:pPr>
              <w:jc w:val="center"/>
              <w:rPr>
                <w:rFonts w:ascii="Arial" w:hAnsi="Arial" w:cs="Arial"/>
                <w:sz w:val="16"/>
                <w:szCs w:val="16"/>
              </w:rPr>
            </w:pPr>
            <w:r w:rsidRPr="00AF1A77">
              <w:rPr>
                <w:rFonts w:ascii="Arial" w:hAnsi="Arial" w:cs="Arial"/>
                <w:sz w:val="16"/>
                <w:szCs w:val="16"/>
              </w:rPr>
              <w:t>23,000</w:t>
            </w:r>
          </w:p>
        </w:tc>
        <w:tc>
          <w:tcPr>
            <w:tcW w:w="846" w:type="dxa"/>
            <w:tcBorders>
              <w:top w:val="single" w:sz="6" w:space="0" w:color="auto"/>
              <w:left w:val="single" w:sz="6" w:space="0" w:color="auto"/>
              <w:bottom w:val="single" w:sz="6" w:space="0" w:color="auto"/>
              <w:right w:val="single" w:sz="6" w:space="0" w:color="auto"/>
            </w:tcBorders>
            <w:shd w:val="clear" w:color="auto" w:fill="auto"/>
            <w:vAlign w:val="center"/>
          </w:tcPr>
          <w:p w14:paraId="493DFD6F" w14:textId="77777777" w:rsidR="00885BB6" w:rsidRPr="00AF1A77" w:rsidRDefault="00885BB6" w:rsidP="002D024A">
            <w:pPr>
              <w:jc w:val="center"/>
              <w:rPr>
                <w:rFonts w:ascii="Arial" w:hAnsi="Arial" w:cs="Arial"/>
                <w:sz w:val="16"/>
                <w:szCs w:val="16"/>
              </w:rPr>
            </w:pPr>
            <w:r w:rsidRPr="00AF1A77">
              <w:rPr>
                <w:rFonts w:ascii="Arial" w:hAnsi="Arial" w:cs="Arial"/>
                <w:sz w:val="16"/>
                <w:szCs w:val="16"/>
              </w:rPr>
              <w:t>25,000</w:t>
            </w:r>
          </w:p>
        </w:tc>
        <w:tc>
          <w:tcPr>
            <w:tcW w:w="936" w:type="dxa"/>
            <w:tcBorders>
              <w:top w:val="single" w:sz="6" w:space="0" w:color="auto"/>
              <w:left w:val="single" w:sz="6" w:space="0" w:color="auto"/>
              <w:bottom w:val="single" w:sz="6" w:space="0" w:color="auto"/>
              <w:right w:val="single" w:sz="6" w:space="0" w:color="auto"/>
            </w:tcBorders>
            <w:shd w:val="clear" w:color="auto" w:fill="auto"/>
            <w:vAlign w:val="center"/>
          </w:tcPr>
          <w:p w14:paraId="6A30660F" w14:textId="77777777" w:rsidR="00885BB6" w:rsidRPr="00AF1A77" w:rsidRDefault="00885BB6" w:rsidP="002D024A">
            <w:pPr>
              <w:jc w:val="center"/>
              <w:rPr>
                <w:rFonts w:ascii="Arial" w:hAnsi="Arial" w:cs="Arial"/>
                <w:sz w:val="16"/>
                <w:szCs w:val="16"/>
              </w:rPr>
            </w:pPr>
            <w:r w:rsidRPr="00AF1A77">
              <w:rPr>
                <w:rFonts w:ascii="Arial" w:hAnsi="Arial" w:cs="Arial"/>
                <w:sz w:val="16"/>
                <w:szCs w:val="16"/>
              </w:rPr>
              <w:t>40,000</w:t>
            </w:r>
          </w:p>
        </w:tc>
        <w:tc>
          <w:tcPr>
            <w:tcW w:w="940" w:type="dxa"/>
            <w:tcBorders>
              <w:top w:val="single" w:sz="6" w:space="0" w:color="auto"/>
              <w:left w:val="single" w:sz="6" w:space="0" w:color="auto"/>
              <w:bottom w:val="single" w:sz="6" w:space="0" w:color="auto"/>
              <w:right w:val="single" w:sz="2" w:space="0" w:color="auto"/>
            </w:tcBorders>
            <w:shd w:val="clear" w:color="auto" w:fill="auto"/>
            <w:vAlign w:val="center"/>
          </w:tcPr>
          <w:p w14:paraId="5DC84C60" w14:textId="77777777" w:rsidR="00885BB6" w:rsidRPr="00AF1A77" w:rsidRDefault="00885BB6" w:rsidP="002D024A">
            <w:pPr>
              <w:jc w:val="center"/>
              <w:rPr>
                <w:rFonts w:ascii="Arial" w:hAnsi="Arial" w:cs="Arial"/>
                <w:sz w:val="16"/>
                <w:szCs w:val="16"/>
              </w:rPr>
            </w:pPr>
            <w:r w:rsidRPr="00AF1A77">
              <w:rPr>
                <w:rFonts w:ascii="Arial" w:hAnsi="Arial" w:cs="Arial"/>
                <w:sz w:val="16"/>
                <w:szCs w:val="16"/>
              </w:rPr>
              <w:t>50,000</w:t>
            </w:r>
          </w:p>
        </w:tc>
      </w:tr>
      <w:tr w:rsidR="00885BB6" w:rsidRPr="002D545E" w14:paraId="56A5EBD6" w14:textId="77777777" w:rsidTr="00AF1A77">
        <w:trPr>
          <w:cantSplit/>
          <w:trHeight w:val="254"/>
          <w:jc w:val="center"/>
        </w:trPr>
        <w:tc>
          <w:tcPr>
            <w:tcW w:w="1257" w:type="dxa"/>
            <w:tcBorders>
              <w:top w:val="single" w:sz="6" w:space="0" w:color="auto"/>
              <w:left w:val="single" w:sz="2" w:space="0" w:color="auto"/>
              <w:bottom w:val="single" w:sz="6" w:space="0" w:color="auto"/>
              <w:right w:val="single" w:sz="6" w:space="0" w:color="auto"/>
            </w:tcBorders>
            <w:shd w:val="clear" w:color="auto" w:fill="auto"/>
            <w:vAlign w:val="center"/>
          </w:tcPr>
          <w:p w14:paraId="3959C7DB" w14:textId="77777777" w:rsidR="00885BB6" w:rsidRPr="00AF1A77" w:rsidRDefault="00885BB6" w:rsidP="002D024A">
            <w:pPr>
              <w:rPr>
                <w:rFonts w:ascii="Arial" w:hAnsi="Arial" w:cs="Arial"/>
                <w:sz w:val="16"/>
                <w:szCs w:val="16"/>
              </w:rPr>
            </w:pPr>
            <w:r w:rsidRPr="00AF1A77">
              <w:rPr>
                <w:rFonts w:ascii="Arial" w:hAnsi="Arial" w:cs="Arial"/>
                <w:sz w:val="16"/>
                <w:szCs w:val="16"/>
              </w:rPr>
              <w:t>Date</w:t>
            </w:r>
          </w:p>
        </w:tc>
        <w:tc>
          <w:tcPr>
            <w:tcW w:w="1059" w:type="dxa"/>
            <w:tcBorders>
              <w:top w:val="single" w:sz="6" w:space="0" w:color="auto"/>
              <w:left w:val="single" w:sz="6" w:space="0" w:color="auto"/>
              <w:bottom w:val="single" w:sz="6" w:space="0" w:color="auto"/>
              <w:right w:val="single" w:sz="6" w:space="0" w:color="auto"/>
            </w:tcBorders>
            <w:shd w:val="clear" w:color="auto" w:fill="auto"/>
            <w:vAlign w:val="center"/>
          </w:tcPr>
          <w:p w14:paraId="4454E46A" w14:textId="77777777" w:rsidR="00885BB6" w:rsidRPr="00AF1A77" w:rsidRDefault="00885BB6" w:rsidP="002D024A">
            <w:pPr>
              <w:jc w:val="center"/>
              <w:rPr>
                <w:rFonts w:ascii="Arial" w:hAnsi="Arial" w:cs="Arial"/>
                <w:sz w:val="16"/>
                <w:szCs w:val="16"/>
              </w:rPr>
            </w:pPr>
            <w:r w:rsidRPr="00AF1A77">
              <w:rPr>
                <w:rFonts w:ascii="Arial" w:hAnsi="Arial" w:cs="Arial"/>
                <w:sz w:val="16"/>
                <w:szCs w:val="16"/>
              </w:rPr>
              <w:t>1/1/2008</w:t>
            </w:r>
          </w:p>
        </w:tc>
        <w:tc>
          <w:tcPr>
            <w:tcW w:w="846" w:type="dxa"/>
            <w:tcBorders>
              <w:top w:val="single" w:sz="6" w:space="0" w:color="auto"/>
              <w:left w:val="single" w:sz="6" w:space="0" w:color="auto"/>
              <w:bottom w:val="single" w:sz="6" w:space="0" w:color="auto"/>
              <w:right w:val="single" w:sz="6" w:space="0" w:color="auto"/>
            </w:tcBorders>
            <w:shd w:val="clear" w:color="auto" w:fill="auto"/>
            <w:vAlign w:val="center"/>
          </w:tcPr>
          <w:p w14:paraId="07CB97C5" w14:textId="77777777" w:rsidR="00885BB6" w:rsidRPr="00AF1A77" w:rsidRDefault="00885BB6" w:rsidP="002D024A">
            <w:pPr>
              <w:jc w:val="center"/>
              <w:rPr>
                <w:rFonts w:ascii="Arial" w:hAnsi="Arial" w:cs="Arial"/>
                <w:sz w:val="16"/>
                <w:szCs w:val="16"/>
              </w:rPr>
            </w:pPr>
            <w:r w:rsidRPr="00AF1A77">
              <w:rPr>
                <w:rFonts w:ascii="Arial" w:hAnsi="Arial" w:cs="Arial"/>
                <w:sz w:val="16"/>
                <w:szCs w:val="16"/>
              </w:rPr>
              <w:t>1/2/2008</w:t>
            </w:r>
          </w:p>
        </w:tc>
        <w:tc>
          <w:tcPr>
            <w:tcW w:w="846" w:type="dxa"/>
            <w:tcBorders>
              <w:top w:val="single" w:sz="6" w:space="0" w:color="auto"/>
              <w:left w:val="single" w:sz="6" w:space="0" w:color="auto"/>
              <w:bottom w:val="single" w:sz="6" w:space="0" w:color="auto"/>
              <w:right w:val="single" w:sz="6" w:space="0" w:color="auto"/>
            </w:tcBorders>
            <w:shd w:val="clear" w:color="auto" w:fill="auto"/>
            <w:vAlign w:val="center"/>
          </w:tcPr>
          <w:p w14:paraId="288A0B34" w14:textId="77777777" w:rsidR="00885BB6" w:rsidRPr="00AF1A77" w:rsidRDefault="00885BB6" w:rsidP="002D024A">
            <w:pPr>
              <w:jc w:val="center"/>
              <w:rPr>
                <w:rFonts w:ascii="Arial" w:hAnsi="Arial" w:cs="Arial"/>
                <w:sz w:val="16"/>
                <w:szCs w:val="16"/>
              </w:rPr>
            </w:pPr>
            <w:r w:rsidRPr="00AF1A77">
              <w:rPr>
                <w:rFonts w:ascii="Arial" w:hAnsi="Arial" w:cs="Arial"/>
                <w:sz w:val="16"/>
                <w:szCs w:val="16"/>
              </w:rPr>
              <w:t>1/3/2008</w:t>
            </w:r>
          </w:p>
        </w:tc>
        <w:tc>
          <w:tcPr>
            <w:tcW w:w="846" w:type="dxa"/>
            <w:tcBorders>
              <w:top w:val="single" w:sz="6" w:space="0" w:color="auto"/>
              <w:left w:val="single" w:sz="6" w:space="0" w:color="auto"/>
              <w:bottom w:val="single" w:sz="6" w:space="0" w:color="auto"/>
              <w:right w:val="single" w:sz="6" w:space="0" w:color="auto"/>
            </w:tcBorders>
            <w:shd w:val="clear" w:color="auto" w:fill="auto"/>
            <w:vAlign w:val="center"/>
          </w:tcPr>
          <w:p w14:paraId="52DC8AED" w14:textId="77777777" w:rsidR="00885BB6" w:rsidRPr="00AF1A77" w:rsidRDefault="00885BB6" w:rsidP="002D024A">
            <w:pPr>
              <w:jc w:val="center"/>
              <w:rPr>
                <w:rFonts w:ascii="Arial" w:hAnsi="Arial" w:cs="Arial"/>
                <w:sz w:val="16"/>
                <w:szCs w:val="16"/>
              </w:rPr>
            </w:pPr>
            <w:r w:rsidRPr="00AF1A77">
              <w:rPr>
                <w:rFonts w:ascii="Arial" w:hAnsi="Arial" w:cs="Arial"/>
                <w:sz w:val="16"/>
                <w:szCs w:val="16"/>
              </w:rPr>
              <w:t>1/4/2008</w:t>
            </w:r>
          </w:p>
        </w:tc>
        <w:tc>
          <w:tcPr>
            <w:tcW w:w="846" w:type="dxa"/>
            <w:tcBorders>
              <w:top w:val="single" w:sz="6" w:space="0" w:color="auto"/>
              <w:left w:val="single" w:sz="6" w:space="0" w:color="auto"/>
              <w:bottom w:val="single" w:sz="6" w:space="0" w:color="auto"/>
              <w:right w:val="single" w:sz="6" w:space="0" w:color="auto"/>
            </w:tcBorders>
            <w:shd w:val="clear" w:color="auto" w:fill="auto"/>
            <w:vAlign w:val="center"/>
          </w:tcPr>
          <w:p w14:paraId="71CA9969" w14:textId="77777777" w:rsidR="00885BB6" w:rsidRPr="00AF1A77" w:rsidRDefault="00885BB6" w:rsidP="002D024A">
            <w:pPr>
              <w:jc w:val="center"/>
              <w:rPr>
                <w:rFonts w:ascii="Arial" w:hAnsi="Arial" w:cs="Arial"/>
                <w:sz w:val="16"/>
                <w:szCs w:val="16"/>
              </w:rPr>
            </w:pPr>
            <w:r w:rsidRPr="00AF1A77">
              <w:rPr>
                <w:rFonts w:ascii="Arial" w:hAnsi="Arial" w:cs="Arial"/>
                <w:sz w:val="16"/>
                <w:szCs w:val="16"/>
              </w:rPr>
              <w:t>1/5/2008</w:t>
            </w:r>
          </w:p>
        </w:tc>
        <w:tc>
          <w:tcPr>
            <w:tcW w:w="846" w:type="dxa"/>
            <w:tcBorders>
              <w:top w:val="single" w:sz="6" w:space="0" w:color="auto"/>
              <w:left w:val="single" w:sz="6" w:space="0" w:color="auto"/>
              <w:bottom w:val="single" w:sz="6" w:space="0" w:color="auto"/>
              <w:right w:val="single" w:sz="6" w:space="0" w:color="auto"/>
            </w:tcBorders>
            <w:shd w:val="clear" w:color="auto" w:fill="auto"/>
            <w:vAlign w:val="center"/>
          </w:tcPr>
          <w:p w14:paraId="046C3FE4" w14:textId="77777777" w:rsidR="00885BB6" w:rsidRPr="00AF1A77" w:rsidRDefault="00885BB6" w:rsidP="002D024A">
            <w:pPr>
              <w:jc w:val="center"/>
              <w:rPr>
                <w:rFonts w:ascii="Arial" w:hAnsi="Arial" w:cs="Arial"/>
                <w:sz w:val="16"/>
                <w:szCs w:val="16"/>
              </w:rPr>
            </w:pPr>
            <w:r w:rsidRPr="00AF1A77">
              <w:rPr>
                <w:rFonts w:ascii="Arial" w:hAnsi="Arial" w:cs="Arial"/>
                <w:sz w:val="16"/>
                <w:szCs w:val="16"/>
              </w:rPr>
              <w:t>1/6/2008</w:t>
            </w:r>
          </w:p>
        </w:tc>
        <w:tc>
          <w:tcPr>
            <w:tcW w:w="846" w:type="dxa"/>
            <w:tcBorders>
              <w:top w:val="single" w:sz="6" w:space="0" w:color="auto"/>
              <w:left w:val="single" w:sz="6" w:space="0" w:color="auto"/>
              <w:bottom w:val="single" w:sz="6" w:space="0" w:color="auto"/>
              <w:right w:val="single" w:sz="6" w:space="0" w:color="auto"/>
            </w:tcBorders>
            <w:shd w:val="clear" w:color="auto" w:fill="auto"/>
            <w:vAlign w:val="center"/>
          </w:tcPr>
          <w:p w14:paraId="47DBD349" w14:textId="77777777" w:rsidR="00885BB6" w:rsidRPr="00AF1A77" w:rsidRDefault="00885BB6" w:rsidP="002D024A">
            <w:pPr>
              <w:jc w:val="center"/>
              <w:rPr>
                <w:rFonts w:ascii="Arial" w:hAnsi="Arial" w:cs="Arial"/>
                <w:sz w:val="16"/>
                <w:szCs w:val="16"/>
              </w:rPr>
            </w:pPr>
            <w:r w:rsidRPr="00AF1A77">
              <w:rPr>
                <w:rFonts w:ascii="Arial" w:hAnsi="Arial" w:cs="Arial"/>
                <w:sz w:val="16"/>
                <w:szCs w:val="16"/>
              </w:rPr>
              <w:t>1/7/2008</w:t>
            </w:r>
          </w:p>
        </w:tc>
        <w:tc>
          <w:tcPr>
            <w:tcW w:w="846" w:type="dxa"/>
            <w:tcBorders>
              <w:top w:val="single" w:sz="6" w:space="0" w:color="auto"/>
              <w:left w:val="single" w:sz="6" w:space="0" w:color="auto"/>
              <w:bottom w:val="single" w:sz="6" w:space="0" w:color="auto"/>
              <w:right w:val="single" w:sz="6" w:space="0" w:color="auto"/>
            </w:tcBorders>
            <w:shd w:val="clear" w:color="auto" w:fill="auto"/>
            <w:vAlign w:val="center"/>
          </w:tcPr>
          <w:p w14:paraId="57457FF8" w14:textId="77777777" w:rsidR="00885BB6" w:rsidRPr="00AF1A77" w:rsidRDefault="00885BB6" w:rsidP="002D024A">
            <w:pPr>
              <w:jc w:val="center"/>
              <w:rPr>
                <w:rFonts w:ascii="Arial" w:hAnsi="Arial" w:cs="Arial"/>
                <w:sz w:val="16"/>
                <w:szCs w:val="16"/>
              </w:rPr>
            </w:pPr>
            <w:r w:rsidRPr="00AF1A77">
              <w:rPr>
                <w:rFonts w:ascii="Arial" w:hAnsi="Arial" w:cs="Arial"/>
                <w:sz w:val="16"/>
                <w:szCs w:val="16"/>
              </w:rPr>
              <w:t>1/8/2008</w:t>
            </w:r>
          </w:p>
        </w:tc>
        <w:tc>
          <w:tcPr>
            <w:tcW w:w="846" w:type="dxa"/>
            <w:tcBorders>
              <w:top w:val="single" w:sz="6" w:space="0" w:color="auto"/>
              <w:left w:val="single" w:sz="6" w:space="0" w:color="auto"/>
              <w:bottom w:val="single" w:sz="6" w:space="0" w:color="auto"/>
              <w:right w:val="single" w:sz="6" w:space="0" w:color="auto"/>
            </w:tcBorders>
            <w:shd w:val="clear" w:color="auto" w:fill="auto"/>
            <w:vAlign w:val="center"/>
          </w:tcPr>
          <w:p w14:paraId="204B2EE1" w14:textId="77777777" w:rsidR="00885BB6" w:rsidRPr="00AF1A77" w:rsidRDefault="00885BB6" w:rsidP="002D024A">
            <w:pPr>
              <w:jc w:val="center"/>
              <w:rPr>
                <w:rFonts w:ascii="Arial" w:hAnsi="Arial" w:cs="Arial"/>
                <w:sz w:val="16"/>
                <w:szCs w:val="16"/>
              </w:rPr>
            </w:pPr>
            <w:r w:rsidRPr="00AF1A77">
              <w:rPr>
                <w:rFonts w:ascii="Arial" w:hAnsi="Arial" w:cs="Arial"/>
                <w:sz w:val="16"/>
                <w:szCs w:val="16"/>
              </w:rPr>
              <w:t>1/9/2008</w:t>
            </w:r>
          </w:p>
        </w:tc>
        <w:tc>
          <w:tcPr>
            <w:tcW w:w="936" w:type="dxa"/>
            <w:tcBorders>
              <w:top w:val="single" w:sz="6" w:space="0" w:color="auto"/>
              <w:left w:val="single" w:sz="6" w:space="0" w:color="auto"/>
              <w:bottom w:val="single" w:sz="6" w:space="0" w:color="auto"/>
              <w:right w:val="single" w:sz="6" w:space="0" w:color="auto"/>
            </w:tcBorders>
            <w:shd w:val="clear" w:color="auto" w:fill="auto"/>
            <w:vAlign w:val="center"/>
          </w:tcPr>
          <w:p w14:paraId="7F5222C9" w14:textId="77777777" w:rsidR="00885BB6" w:rsidRPr="00AF1A77" w:rsidRDefault="00885BB6" w:rsidP="002D024A">
            <w:pPr>
              <w:jc w:val="center"/>
              <w:rPr>
                <w:rFonts w:ascii="Arial" w:hAnsi="Arial" w:cs="Arial"/>
                <w:sz w:val="16"/>
                <w:szCs w:val="16"/>
              </w:rPr>
            </w:pPr>
            <w:r w:rsidRPr="00AF1A77">
              <w:rPr>
                <w:rFonts w:ascii="Arial" w:hAnsi="Arial" w:cs="Arial"/>
                <w:sz w:val="16"/>
                <w:szCs w:val="16"/>
              </w:rPr>
              <w:t>1/10/2008</w:t>
            </w:r>
          </w:p>
        </w:tc>
        <w:tc>
          <w:tcPr>
            <w:tcW w:w="940" w:type="dxa"/>
            <w:tcBorders>
              <w:top w:val="single" w:sz="6" w:space="0" w:color="auto"/>
              <w:left w:val="single" w:sz="6" w:space="0" w:color="auto"/>
              <w:bottom w:val="single" w:sz="6" w:space="0" w:color="auto"/>
              <w:right w:val="single" w:sz="2" w:space="0" w:color="auto"/>
            </w:tcBorders>
            <w:shd w:val="clear" w:color="auto" w:fill="auto"/>
            <w:vAlign w:val="center"/>
          </w:tcPr>
          <w:p w14:paraId="0D0D69F1" w14:textId="77777777" w:rsidR="00885BB6" w:rsidRPr="00AF1A77" w:rsidRDefault="00885BB6" w:rsidP="002D024A">
            <w:pPr>
              <w:jc w:val="center"/>
              <w:rPr>
                <w:rFonts w:ascii="Arial" w:hAnsi="Arial" w:cs="Arial"/>
                <w:sz w:val="16"/>
                <w:szCs w:val="16"/>
              </w:rPr>
            </w:pPr>
            <w:r w:rsidRPr="00AF1A77">
              <w:rPr>
                <w:rFonts w:ascii="Arial" w:hAnsi="Arial" w:cs="Arial"/>
                <w:sz w:val="16"/>
                <w:szCs w:val="16"/>
              </w:rPr>
              <w:t>1/11/2008</w:t>
            </w:r>
          </w:p>
        </w:tc>
      </w:tr>
      <w:tr w:rsidR="00030138" w:rsidRPr="002D545E" w14:paraId="590FC61A" w14:textId="77777777" w:rsidTr="00AF1A77">
        <w:trPr>
          <w:cantSplit/>
          <w:trHeight w:val="254"/>
          <w:jc w:val="center"/>
        </w:trPr>
        <w:tc>
          <w:tcPr>
            <w:tcW w:w="1257" w:type="dxa"/>
            <w:vMerge w:val="restart"/>
            <w:tcBorders>
              <w:top w:val="single" w:sz="6" w:space="0" w:color="auto"/>
              <w:left w:val="single" w:sz="2" w:space="0" w:color="auto"/>
              <w:bottom w:val="single" w:sz="6" w:space="0" w:color="DDDDDD"/>
              <w:right w:val="single" w:sz="6" w:space="0" w:color="DDDDDD"/>
            </w:tcBorders>
            <w:shd w:val="clear" w:color="auto" w:fill="auto"/>
            <w:noWrap/>
            <w:vAlign w:val="bottom"/>
          </w:tcPr>
          <w:p w14:paraId="36554DCE" w14:textId="77777777" w:rsidR="00885BB6" w:rsidRPr="00AF1A77" w:rsidRDefault="00885BB6" w:rsidP="002D024A">
            <w:pPr>
              <w:rPr>
                <w:rFonts w:ascii="Arial" w:hAnsi="Arial" w:cs="Arial"/>
                <w:sz w:val="16"/>
                <w:szCs w:val="16"/>
              </w:rPr>
            </w:pPr>
            <w:r w:rsidRPr="00AF1A77">
              <w:rPr>
                <w:rFonts w:ascii="Arial" w:hAnsi="Arial" w:cs="Arial"/>
                <w:sz w:val="16"/>
                <w:szCs w:val="16"/>
              </w:rPr>
              <w:t> </w:t>
            </w:r>
          </w:p>
        </w:tc>
        <w:tc>
          <w:tcPr>
            <w:tcW w:w="1059" w:type="dxa"/>
            <w:vMerge w:val="restart"/>
            <w:tcBorders>
              <w:top w:val="single" w:sz="6" w:space="0" w:color="auto"/>
              <w:left w:val="single" w:sz="6" w:space="0" w:color="DDDDDD"/>
              <w:bottom w:val="single" w:sz="6" w:space="0" w:color="DDDDDD"/>
              <w:right w:val="single" w:sz="6" w:space="0" w:color="DDDDDD"/>
            </w:tcBorders>
            <w:shd w:val="clear" w:color="auto" w:fill="auto"/>
            <w:noWrap/>
            <w:vAlign w:val="bottom"/>
          </w:tcPr>
          <w:p w14:paraId="0196A23E" w14:textId="77777777" w:rsidR="00885BB6" w:rsidRPr="00AF1A77" w:rsidRDefault="00885BB6" w:rsidP="002D024A">
            <w:pPr>
              <w:rPr>
                <w:rFonts w:ascii="Arial" w:hAnsi="Arial" w:cs="Arial"/>
                <w:sz w:val="16"/>
                <w:szCs w:val="16"/>
              </w:rPr>
            </w:pPr>
            <w:r w:rsidRPr="00AF1A77">
              <w:rPr>
                <w:rFonts w:ascii="Arial" w:hAnsi="Arial" w:cs="Arial"/>
                <w:sz w:val="16"/>
                <w:szCs w:val="16"/>
              </w:rPr>
              <w:t> </w:t>
            </w:r>
          </w:p>
        </w:tc>
        <w:tc>
          <w:tcPr>
            <w:tcW w:w="846" w:type="dxa"/>
            <w:vMerge w:val="restart"/>
            <w:tcBorders>
              <w:top w:val="single" w:sz="6" w:space="0" w:color="auto"/>
              <w:left w:val="single" w:sz="6" w:space="0" w:color="DDDDDD"/>
              <w:bottom w:val="single" w:sz="6" w:space="0" w:color="DDDDDD"/>
              <w:right w:val="single" w:sz="6" w:space="0" w:color="DDDDDD"/>
            </w:tcBorders>
            <w:shd w:val="clear" w:color="auto" w:fill="auto"/>
            <w:noWrap/>
            <w:vAlign w:val="bottom"/>
          </w:tcPr>
          <w:p w14:paraId="0ADAE62A" w14:textId="77777777" w:rsidR="00885BB6" w:rsidRPr="00AF1A77" w:rsidRDefault="00885BB6" w:rsidP="002D024A">
            <w:pPr>
              <w:rPr>
                <w:rFonts w:ascii="Arial" w:hAnsi="Arial" w:cs="Arial"/>
                <w:sz w:val="16"/>
                <w:szCs w:val="16"/>
              </w:rPr>
            </w:pPr>
            <w:r w:rsidRPr="00AF1A77">
              <w:rPr>
                <w:rFonts w:ascii="Arial" w:hAnsi="Arial" w:cs="Arial"/>
                <w:sz w:val="16"/>
                <w:szCs w:val="16"/>
              </w:rPr>
              <w:t> </w:t>
            </w:r>
          </w:p>
        </w:tc>
        <w:tc>
          <w:tcPr>
            <w:tcW w:w="846" w:type="dxa"/>
            <w:vMerge w:val="restart"/>
            <w:tcBorders>
              <w:top w:val="single" w:sz="6" w:space="0" w:color="auto"/>
              <w:left w:val="single" w:sz="6" w:space="0" w:color="DDDDDD"/>
              <w:bottom w:val="single" w:sz="6" w:space="0" w:color="DDDDDD"/>
              <w:right w:val="single" w:sz="6" w:space="0" w:color="DDDDDD"/>
            </w:tcBorders>
            <w:shd w:val="clear" w:color="auto" w:fill="auto"/>
            <w:noWrap/>
            <w:vAlign w:val="bottom"/>
          </w:tcPr>
          <w:p w14:paraId="0ABC913C" w14:textId="77777777" w:rsidR="00885BB6" w:rsidRPr="00AF1A77" w:rsidRDefault="00885BB6" w:rsidP="002D024A">
            <w:pPr>
              <w:rPr>
                <w:rFonts w:ascii="Arial" w:hAnsi="Arial" w:cs="Arial"/>
                <w:sz w:val="16"/>
                <w:szCs w:val="16"/>
              </w:rPr>
            </w:pPr>
            <w:r w:rsidRPr="00AF1A77">
              <w:rPr>
                <w:rFonts w:ascii="Arial" w:hAnsi="Arial" w:cs="Arial"/>
                <w:sz w:val="16"/>
                <w:szCs w:val="16"/>
              </w:rPr>
              <w:t> </w:t>
            </w:r>
          </w:p>
        </w:tc>
        <w:tc>
          <w:tcPr>
            <w:tcW w:w="846" w:type="dxa"/>
            <w:vMerge w:val="restart"/>
            <w:tcBorders>
              <w:top w:val="single" w:sz="6" w:space="0" w:color="auto"/>
              <w:left w:val="single" w:sz="6" w:space="0" w:color="DDDDDD"/>
              <w:bottom w:val="single" w:sz="6" w:space="0" w:color="DDDDDD"/>
              <w:right w:val="single" w:sz="6" w:space="0" w:color="DDDDDD"/>
            </w:tcBorders>
            <w:shd w:val="clear" w:color="auto" w:fill="auto"/>
            <w:noWrap/>
            <w:vAlign w:val="bottom"/>
          </w:tcPr>
          <w:p w14:paraId="7F1C5DB5" w14:textId="77777777" w:rsidR="00885BB6" w:rsidRPr="00AF1A77" w:rsidRDefault="00885BB6" w:rsidP="002D024A">
            <w:pPr>
              <w:rPr>
                <w:rFonts w:ascii="Arial" w:hAnsi="Arial" w:cs="Arial"/>
                <w:sz w:val="16"/>
                <w:szCs w:val="16"/>
              </w:rPr>
            </w:pPr>
            <w:r w:rsidRPr="00AF1A77">
              <w:rPr>
                <w:rFonts w:ascii="Arial" w:hAnsi="Arial" w:cs="Arial"/>
                <w:sz w:val="16"/>
                <w:szCs w:val="16"/>
              </w:rPr>
              <w:t> </w:t>
            </w:r>
          </w:p>
        </w:tc>
        <w:tc>
          <w:tcPr>
            <w:tcW w:w="846" w:type="dxa"/>
            <w:vMerge w:val="restart"/>
            <w:tcBorders>
              <w:top w:val="single" w:sz="6" w:space="0" w:color="auto"/>
              <w:left w:val="single" w:sz="6" w:space="0" w:color="DDDDDD"/>
              <w:bottom w:val="single" w:sz="6" w:space="0" w:color="DDDDDD"/>
              <w:right w:val="single" w:sz="6" w:space="0" w:color="DDDDDD"/>
            </w:tcBorders>
            <w:shd w:val="clear" w:color="auto" w:fill="auto"/>
            <w:noWrap/>
            <w:vAlign w:val="bottom"/>
          </w:tcPr>
          <w:p w14:paraId="7E43E611" w14:textId="77777777" w:rsidR="00885BB6" w:rsidRPr="00AF1A77" w:rsidRDefault="00885BB6" w:rsidP="002D024A">
            <w:pPr>
              <w:rPr>
                <w:rFonts w:ascii="Arial" w:hAnsi="Arial" w:cs="Arial"/>
                <w:sz w:val="16"/>
                <w:szCs w:val="16"/>
              </w:rPr>
            </w:pPr>
            <w:r w:rsidRPr="00AF1A77">
              <w:rPr>
                <w:rFonts w:ascii="Arial" w:hAnsi="Arial" w:cs="Arial"/>
                <w:sz w:val="16"/>
                <w:szCs w:val="16"/>
              </w:rPr>
              <w:t> </w:t>
            </w:r>
          </w:p>
        </w:tc>
        <w:tc>
          <w:tcPr>
            <w:tcW w:w="846" w:type="dxa"/>
            <w:vMerge w:val="restart"/>
            <w:tcBorders>
              <w:top w:val="single" w:sz="6" w:space="0" w:color="auto"/>
              <w:left w:val="single" w:sz="6" w:space="0" w:color="DDDDDD"/>
              <w:bottom w:val="single" w:sz="6" w:space="0" w:color="DDDDDD"/>
              <w:right w:val="single" w:sz="6" w:space="0" w:color="DDDDDD"/>
            </w:tcBorders>
            <w:shd w:val="clear" w:color="auto" w:fill="auto"/>
            <w:noWrap/>
            <w:vAlign w:val="bottom"/>
          </w:tcPr>
          <w:p w14:paraId="0DDE25C5" w14:textId="77777777" w:rsidR="00885BB6" w:rsidRPr="00AF1A77" w:rsidRDefault="00885BB6" w:rsidP="002D024A">
            <w:pPr>
              <w:rPr>
                <w:rFonts w:ascii="Arial" w:hAnsi="Arial" w:cs="Arial"/>
                <w:sz w:val="16"/>
                <w:szCs w:val="16"/>
              </w:rPr>
            </w:pPr>
            <w:r w:rsidRPr="00AF1A77">
              <w:rPr>
                <w:rFonts w:ascii="Arial" w:hAnsi="Arial" w:cs="Arial"/>
                <w:sz w:val="16"/>
                <w:szCs w:val="16"/>
              </w:rPr>
              <w:t> </w:t>
            </w:r>
          </w:p>
        </w:tc>
        <w:tc>
          <w:tcPr>
            <w:tcW w:w="846" w:type="dxa"/>
            <w:vMerge w:val="restart"/>
            <w:tcBorders>
              <w:top w:val="single" w:sz="6" w:space="0" w:color="auto"/>
              <w:left w:val="single" w:sz="6" w:space="0" w:color="DDDDDD"/>
              <w:bottom w:val="single" w:sz="6" w:space="0" w:color="DDDDDD"/>
              <w:right w:val="single" w:sz="6" w:space="0" w:color="DDDDDD"/>
            </w:tcBorders>
            <w:shd w:val="clear" w:color="auto" w:fill="auto"/>
            <w:noWrap/>
            <w:vAlign w:val="bottom"/>
          </w:tcPr>
          <w:p w14:paraId="1E5BB954" w14:textId="77777777" w:rsidR="00885BB6" w:rsidRPr="00AF1A77" w:rsidRDefault="00885BB6" w:rsidP="002D024A">
            <w:pPr>
              <w:rPr>
                <w:rFonts w:ascii="Arial" w:hAnsi="Arial" w:cs="Arial"/>
                <w:sz w:val="16"/>
                <w:szCs w:val="16"/>
              </w:rPr>
            </w:pPr>
            <w:r w:rsidRPr="00AF1A77">
              <w:rPr>
                <w:rFonts w:ascii="Arial" w:hAnsi="Arial" w:cs="Arial"/>
                <w:sz w:val="16"/>
                <w:szCs w:val="16"/>
              </w:rPr>
              <w:t> </w:t>
            </w:r>
          </w:p>
        </w:tc>
        <w:tc>
          <w:tcPr>
            <w:tcW w:w="846" w:type="dxa"/>
            <w:tcBorders>
              <w:top w:val="single" w:sz="6" w:space="0" w:color="auto"/>
              <w:left w:val="single" w:sz="6" w:space="0" w:color="DDDDDD"/>
              <w:bottom w:val="single" w:sz="6" w:space="0" w:color="DDDDDD"/>
              <w:right w:val="single" w:sz="6" w:space="0" w:color="DDDDDD"/>
            </w:tcBorders>
            <w:shd w:val="clear" w:color="auto" w:fill="auto"/>
            <w:vAlign w:val="bottom"/>
          </w:tcPr>
          <w:p w14:paraId="3FE19F49" w14:textId="77777777" w:rsidR="00885BB6" w:rsidRPr="00AF1A77" w:rsidRDefault="00885BB6" w:rsidP="002D024A">
            <w:pPr>
              <w:jc w:val="center"/>
              <w:rPr>
                <w:rFonts w:ascii="Arial" w:hAnsi="Arial" w:cs="Arial"/>
                <w:sz w:val="18"/>
                <w:szCs w:val="18"/>
              </w:rPr>
            </w:pPr>
            <w:r w:rsidRPr="00AF1A77">
              <w:rPr>
                <w:rFonts w:ascii="Arial" w:hAnsi="Arial" w:cs="Arial"/>
                <w:sz w:val="18"/>
                <w:szCs w:val="18"/>
              </w:rPr>
              <w:sym w:font="Wingdings" w:char="F0E9"/>
            </w:r>
          </w:p>
        </w:tc>
        <w:tc>
          <w:tcPr>
            <w:tcW w:w="846" w:type="dxa"/>
            <w:vMerge w:val="restart"/>
            <w:tcBorders>
              <w:top w:val="single" w:sz="6" w:space="0" w:color="auto"/>
              <w:left w:val="single" w:sz="6" w:space="0" w:color="DDDDDD"/>
              <w:bottom w:val="single" w:sz="6" w:space="0" w:color="DDDDDD"/>
              <w:right w:val="single" w:sz="6" w:space="0" w:color="DDDDDD"/>
            </w:tcBorders>
            <w:shd w:val="clear" w:color="auto" w:fill="auto"/>
            <w:noWrap/>
            <w:vAlign w:val="bottom"/>
          </w:tcPr>
          <w:p w14:paraId="4DA89035" w14:textId="77777777" w:rsidR="00885BB6" w:rsidRPr="00AF1A77" w:rsidRDefault="00885BB6" w:rsidP="002D024A">
            <w:pPr>
              <w:rPr>
                <w:rFonts w:ascii="Arial" w:hAnsi="Arial" w:cs="Arial"/>
                <w:sz w:val="16"/>
                <w:szCs w:val="16"/>
              </w:rPr>
            </w:pPr>
          </w:p>
        </w:tc>
        <w:tc>
          <w:tcPr>
            <w:tcW w:w="936" w:type="dxa"/>
            <w:vMerge w:val="restart"/>
            <w:tcBorders>
              <w:top w:val="single" w:sz="6" w:space="0" w:color="auto"/>
              <w:left w:val="single" w:sz="6" w:space="0" w:color="DDDDDD"/>
              <w:bottom w:val="single" w:sz="6" w:space="0" w:color="DDDDDD"/>
              <w:right w:val="single" w:sz="6" w:space="0" w:color="DDDDDD"/>
            </w:tcBorders>
            <w:shd w:val="clear" w:color="auto" w:fill="auto"/>
            <w:noWrap/>
            <w:vAlign w:val="bottom"/>
          </w:tcPr>
          <w:p w14:paraId="56B10F2E" w14:textId="77777777" w:rsidR="00885BB6" w:rsidRPr="00AF1A77" w:rsidRDefault="00885BB6" w:rsidP="002D024A">
            <w:pPr>
              <w:rPr>
                <w:rFonts w:ascii="Arial" w:hAnsi="Arial" w:cs="Arial"/>
                <w:sz w:val="16"/>
                <w:szCs w:val="16"/>
              </w:rPr>
            </w:pPr>
            <w:r w:rsidRPr="00AF1A77">
              <w:rPr>
                <w:rFonts w:ascii="Arial" w:hAnsi="Arial" w:cs="Arial"/>
                <w:sz w:val="16"/>
                <w:szCs w:val="16"/>
              </w:rPr>
              <w:t> </w:t>
            </w:r>
          </w:p>
        </w:tc>
        <w:tc>
          <w:tcPr>
            <w:tcW w:w="940" w:type="dxa"/>
            <w:vMerge w:val="restart"/>
            <w:tcBorders>
              <w:top w:val="single" w:sz="6" w:space="0" w:color="auto"/>
              <w:left w:val="single" w:sz="6" w:space="0" w:color="DDDDDD"/>
              <w:bottom w:val="single" w:sz="6" w:space="0" w:color="DDDDDD"/>
              <w:right w:val="single" w:sz="2" w:space="0" w:color="auto"/>
            </w:tcBorders>
            <w:shd w:val="clear" w:color="auto" w:fill="auto"/>
            <w:noWrap/>
            <w:vAlign w:val="bottom"/>
          </w:tcPr>
          <w:p w14:paraId="61A02DF4" w14:textId="77777777" w:rsidR="00885BB6" w:rsidRPr="00AF1A77" w:rsidRDefault="00885BB6" w:rsidP="002D024A">
            <w:pPr>
              <w:rPr>
                <w:rFonts w:ascii="Arial" w:hAnsi="Arial" w:cs="Arial"/>
                <w:sz w:val="16"/>
                <w:szCs w:val="16"/>
              </w:rPr>
            </w:pPr>
            <w:r w:rsidRPr="00AF1A77">
              <w:rPr>
                <w:rFonts w:ascii="Arial" w:hAnsi="Arial" w:cs="Arial"/>
                <w:sz w:val="16"/>
                <w:szCs w:val="16"/>
              </w:rPr>
              <w:t> </w:t>
            </w:r>
          </w:p>
        </w:tc>
      </w:tr>
      <w:tr w:rsidR="00030138" w:rsidRPr="002D545E" w14:paraId="0251A655" w14:textId="77777777" w:rsidTr="00AF1A77">
        <w:trPr>
          <w:trHeight w:val="254"/>
          <w:jc w:val="center"/>
        </w:trPr>
        <w:tc>
          <w:tcPr>
            <w:tcW w:w="1257" w:type="dxa"/>
            <w:vMerge/>
            <w:tcBorders>
              <w:top w:val="single" w:sz="6" w:space="0" w:color="DDDDDD"/>
              <w:left w:val="single" w:sz="2" w:space="0" w:color="auto"/>
              <w:bottom w:val="single" w:sz="6" w:space="0" w:color="DDDDDD"/>
              <w:right w:val="single" w:sz="6" w:space="0" w:color="DDDDDD"/>
            </w:tcBorders>
            <w:shd w:val="clear" w:color="auto" w:fill="auto"/>
            <w:vAlign w:val="center"/>
          </w:tcPr>
          <w:p w14:paraId="4D2FB2D4" w14:textId="77777777" w:rsidR="00885BB6" w:rsidRPr="00AF1A77" w:rsidRDefault="00885BB6" w:rsidP="002D024A">
            <w:pPr>
              <w:rPr>
                <w:rFonts w:ascii="Arial" w:hAnsi="Arial" w:cs="Arial"/>
                <w:sz w:val="16"/>
                <w:szCs w:val="16"/>
              </w:rPr>
            </w:pPr>
          </w:p>
        </w:tc>
        <w:tc>
          <w:tcPr>
            <w:tcW w:w="1059" w:type="dxa"/>
            <w:vMerge/>
            <w:tcBorders>
              <w:top w:val="single" w:sz="6" w:space="0" w:color="DDDDDD"/>
              <w:left w:val="single" w:sz="6" w:space="0" w:color="DDDDDD"/>
              <w:bottom w:val="single" w:sz="6" w:space="0" w:color="DDDDDD"/>
              <w:right w:val="single" w:sz="6" w:space="0" w:color="DDDDDD"/>
            </w:tcBorders>
            <w:shd w:val="clear" w:color="auto" w:fill="auto"/>
            <w:vAlign w:val="center"/>
          </w:tcPr>
          <w:p w14:paraId="39EC519F" w14:textId="77777777" w:rsidR="00885BB6" w:rsidRPr="00AF1A77" w:rsidRDefault="00885BB6" w:rsidP="002D024A">
            <w:pPr>
              <w:rPr>
                <w:rFonts w:ascii="Arial" w:hAnsi="Arial" w:cs="Arial"/>
                <w:sz w:val="16"/>
                <w:szCs w:val="16"/>
              </w:rPr>
            </w:pPr>
          </w:p>
        </w:tc>
        <w:tc>
          <w:tcPr>
            <w:tcW w:w="846" w:type="dxa"/>
            <w:vMerge/>
            <w:tcBorders>
              <w:top w:val="single" w:sz="6" w:space="0" w:color="DDDDDD"/>
              <w:left w:val="single" w:sz="6" w:space="0" w:color="DDDDDD"/>
              <w:bottom w:val="single" w:sz="6" w:space="0" w:color="DDDDDD"/>
              <w:right w:val="single" w:sz="6" w:space="0" w:color="DDDDDD"/>
            </w:tcBorders>
            <w:shd w:val="clear" w:color="auto" w:fill="auto"/>
            <w:vAlign w:val="center"/>
          </w:tcPr>
          <w:p w14:paraId="3A041C1A" w14:textId="77777777" w:rsidR="00885BB6" w:rsidRPr="00AF1A77" w:rsidRDefault="00885BB6" w:rsidP="002D024A">
            <w:pPr>
              <w:rPr>
                <w:rFonts w:ascii="Arial" w:hAnsi="Arial" w:cs="Arial"/>
                <w:sz w:val="16"/>
                <w:szCs w:val="16"/>
              </w:rPr>
            </w:pPr>
          </w:p>
        </w:tc>
        <w:tc>
          <w:tcPr>
            <w:tcW w:w="846" w:type="dxa"/>
            <w:vMerge/>
            <w:tcBorders>
              <w:top w:val="single" w:sz="6" w:space="0" w:color="DDDDDD"/>
              <w:left w:val="single" w:sz="6" w:space="0" w:color="DDDDDD"/>
              <w:bottom w:val="single" w:sz="6" w:space="0" w:color="DDDDDD"/>
              <w:right w:val="single" w:sz="6" w:space="0" w:color="DDDDDD"/>
            </w:tcBorders>
            <w:shd w:val="clear" w:color="auto" w:fill="auto"/>
            <w:vAlign w:val="center"/>
          </w:tcPr>
          <w:p w14:paraId="4AB6D508" w14:textId="77777777" w:rsidR="00885BB6" w:rsidRPr="00AF1A77" w:rsidRDefault="00885BB6" w:rsidP="002D024A">
            <w:pPr>
              <w:rPr>
                <w:rFonts w:ascii="Arial" w:hAnsi="Arial" w:cs="Arial"/>
                <w:sz w:val="16"/>
                <w:szCs w:val="16"/>
              </w:rPr>
            </w:pPr>
          </w:p>
        </w:tc>
        <w:tc>
          <w:tcPr>
            <w:tcW w:w="846" w:type="dxa"/>
            <w:vMerge/>
            <w:tcBorders>
              <w:top w:val="single" w:sz="6" w:space="0" w:color="DDDDDD"/>
              <w:left w:val="single" w:sz="6" w:space="0" w:color="DDDDDD"/>
              <w:bottom w:val="single" w:sz="6" w:space="0" w:color="DDDDDD"/>
              <w:right w:val="single" w:sz="6" w:space="0" w:color="DDDDDD"/>
            </w:tcBorders>
            <w:shd w:val="clear" w:color="auto" w:fill="auto"/>
            <w:vAlign w:val="center"/>
          </w:tcPr>
          <w:p w14:paraId="63176799" w14:textId="77777777" w:rsidR="00885BB6" w:rsidRPr="00AF1A77" w:rsidRDefault="00885BB6" w:rsidP="002D024A">
            <w:pPr>
              <w:rPr>
                <w:rFonts w:ascii="Arial" w:hAnsi="Arial" w:cs="Arial"/>
                <w:sz w:val="16"/>
                <w:szCs w:val="16"/>
              </w:rPr>
            </w:pPr>
          </w:p>
        </w:tc>
        <w:tc>
          <w:tcPr>
            <w:tcW w:w="846" w:type="dxa"/>
            <w:vMerge/>
            <w:tcBorders>
              <w:top w:val="single" w:sz="6" w:space="0" w:color="DDDDDD"/>
              <w:left w:val="single" w:sz="6" w:space="0" w:color="DDDDDD"/>
              <w:bottom w:val="single" w:sz="6" w:space="0" w:color="DDDDDD"/>
              <w:right w:val="single" w:sz="6" w:space="0" w:color="DDDDDD"/>
            </w:tcBorders>
            <w:shd w:val="clear" w:color="auto" w:fill="auto"/>
            <w:vAlign w:val="center"/>
          </w:tcPr>
          <w:p w14:paraId="13EE54AB" w14:textId="77777777" w:rsidR="00885BB6" w:rsidRPr="00AF1A77" w:rsidRDefault="00885BB6" w:rsidP="002D024A">
            <w:pPr>
              <w:rPr>
                <w:rFonts w:ascii="Arial" w:hAnsi="Arial" w:cs="Arial"/>
                <w:sz w:val="16"/>
                <w:szCs w:val="16"/>
              </w:rPr>
            </w:pPr>
          </w:p>
        </w:tc>
        <w:tc>
          <w:tcPr>
            <w:tcW w:w="846" w:type="dxa"/>
            <w:vMerge/>
            <w:tcBorders>
              <w:top w:val="single" w:sz="6" w:space="0" w:color="DDDDDD"/>
              <w:left w:val="single" w:sz="6" w:space="0" w:color="DDDDDD"/>
              <w:bottom w:val="single" w:sz="6" w:space="0" w:color="DDDDDD"/>
              <w:right w:val="single" w:sz="6" w:space="0" w:color="DDDDDD"/>
            </w:tcBorders>
            <w:shd w:val="clear" w:color="auto" w:fill="auto"/>
            <w:vAlign w:val="center"/>
          </w:tcPr>
          <w:p w14:paraId="3932CFCE" w14:textId="77777777" w:rsidR="00885BB6" w:rsidRPr="00AF1A77" w:rsidRDefault="00885BB6" w:rsidP="002D024A">
            <w:pPr>
              <w:rPr>
                <w:rFonts w:ascii="Arial" w:hAnsi="Arial" w:cs="Arial"/>
                <w:sz w:val="16"/>
                <w:szCs w:val="16"/>
              </w:rPr>
            </w:pPr>
          </w:p>
        </w:tc>
        <w:tc>
          <w:tcPr>
            <w:tcW w:w="846" w:type="dxa"/>
            <w:vMerge/>
            <w:tcBorders>
              <w:top w:val="single" w:sz="6" w:space="0" w:color="DDDDDD"/>
              <w:left w:val="single" w:sz="6" w:space="0" w:color="DDDDDD"/>
              <w:bottom w:val="single" w:sz="6" w:space="0" w:color="DDDDDD"/>
              <w:right w:val="single" w:sz="6" w:space="0" w:color="DDDDDD"/>
            </w:tcBorders>
            <w:shd w:val="clear" w:color="auto" w:fill="auto"/>
            <w:vAlign w:val="center"/>
          </w:tcPr>
          <w:p w14:paraId="6D5AE7B4" w14:textId="77777777" w:rsidR="00885BB6" w:rsidRPr="00AF1A77" w:rsidRDefault="00885BB6" w:rsidP="002D024A">
            <w:pPr>
              <w:rPr>
                <w:rFonts w:ascii="Arial" w:hAnsi="Arial" w:cs="Arial"/>
                <w:sz w:val="16"/>
                <w:szCs w:val="16"/>
              </w:rPr>
            </w:pPr>
          </w:p>
        </w:tc>
        <w:tc>
          <w:tcPr>
            <w:tcW w:w="846" w:type="dxa"/>
            <w:tcBorders>
              <w:top w:val="single" w:sz="6" w:space="0" w:color="DDDDDD"/>
              <w:left w:val="single" w:sz="6" w:space="0" w:color="DDDDDD"/>
              <w:bottom w:val="single" w:sz="6" w:space="0" w:color="DDDDDD"/>
              <w:right w:val="single" w:sz="6" w:space="0" w:color="DDDDDD"/>
            </w:tcBorders>
            <w:shd w:val="clear" w:color="auto" w:fill="auto"/>
            <w:vAlign w:val="bottom"/>
          </w:tcPr>
          <w:p w14:paraId="5377C45F" w14:textId="77777777" w:rsidR="00885BB6" w:rsidRPr="00AF1A77" w:rsidRDefault="00885BB6" w:rsidP="002D024A">
            <w:pPr>
              <w:jc w:val="center"/>
              <w:rPr>
                <w:rFonts w:ascii="Arial" w:hAnsi="Arial" w:cs="Arial"/>
                <w:sz w:val="16"/>
                <w:szCs w:val="16"/>
              </w:rPr>
            </w:pPr>
            <w:r w:rsidRPr="00AF1A77">
              <w:rPr>
                <w:rFonts w:ascii="Arial" w:hAnsi="Arial" w:cs="Arial"/>
                <w:sz w:val="16"/>
                <w:szCs w:val="16"/>
              </w:rPr>
              <w:t>1st of 3</w:t>
            </w:r>
          </w:p>
        </w:tc>
        <w:tc>
          <w:tcPr>
            <w:tcW w:w="846" w:type="dxa"/>
            <w:vMerge/>
            <w:tcBorders>
              <w:top w:val="single" w:sz="6" w:space="0" w:color="DDDDDD"/>
              <w:left w:val="single" w:sz="6" w:space="0" w:color="DDDDDD"/>
              <w:bottom w:val="single" w:sz="6" w:space="0" w:color="DDDDDD"/>
              <w:right w:val="single" w:sz="6" w:space="0" w:color="DDDDDD"/>
            </w:tcBorders>
            <w:shd w:val="clear" w:color="auto" w:fill="auto"/>
            <w:vAlign w:val="center"/>
          </w:tcPr>
          <w:p w14:paraId="34B56494" w14:textId="77777777" w:rsidR="00885BB6" w:rsidRPr="00AF1A77" w:rsidRDefault="00885BB6" w:rsidP="002D024A">
            <w:pPr>
              <w:rPr>
                <w:rFonts w:ascii="Arial" w:hAnsi="Arial" w:cs="Arial"/>
                <w:sz w:val="16"/>
                <w:szCs w:val="16"/>
              </w:rPr>
            </w:pPr>
          </w:p>
        </w:tc>
        <w:tc>
          <w:tcPr>
            <w:tcW w:w="936" w:type="dxa"/>
            <w:vMerge/>
            <w:tcBorders>
              <w:top w:val="single" w:sz="6" w:space="0" w:color="DDDDDD"/>
              <w:left w:val="single" w:sz="6" w:space="0" w:color="DDDDDD"/>
              <w:bottom w:val="single" w:sz="6" w:space="0" w:color="DDDDDD"/>
              <w:right w:val="single" w:sz="6" w:space="0" w:color="DDDDDD"/>
            </w:tcBorders>
            <w:shd w:val="clear" w:color="auto" w:fill="auto"/>
            <w:vAlign w:val="center"/>
          </w:tcPr>
          <w:p w14:paraId="2DE0431B" w14:textId="77777777" w:rsidR="00885BB6" w:rsidRPr="00AF1A77" w:rsidRDefault="00885BB6" w:rsidP="002D024A">
            <w:pPr>
              <w:rPr>
                <w:rFonts w:ascii="Arial" w:hAnsi="Arial" w:cs="Arial"/>
                <w:sz w:val="16"/>
                <w:szCs w:val="16"/>
              </w:rPr>
            </w:pPr>
          </w:p>
        </w:tc>
        <w:tc>
          <w:tcPr>
            <w:tcW w:w="940" w:type="dxa"/>
            <w:vMerge/>
            <w:tcBorders>
              <w:top w:val="single" w:sz="6" w:space="0" w:color="DDDDDD"/>
              <w:left w:val="single" w:sz="6" w:space="0" w:color="DDDDDD"/>
              <w:bottom w:val="single" w:sz="6" w:space="0" w:color="DDDDDD"/>
              <w:right w:val="single" w:sz="2" w:space="0" w:color="auto"/>
            </w:tcBorders>
            <w:shd w:val="clear" w:color="auto" w:fill="auto"/>
            <w:vAlign w:val="center"/>
          </w:tcPr>
          <w:p w14:paraId="0F7B2546" w14:textId="77777777" w:rsidR="00885BB6" w:rsidRPr="00AF1A77" w:rsidRDefault="00885BB6" w:rsidP="002D024A">
            <w:pPr>
              <w:rPr>
                <w:rFonts w:ascii="Arial" w:hAnsi="Arial" w:cs="Arial"/>
                <w:sz w:val="16"/>
                <w:szCs w:val="16"/>
              </w:rPr>
            </w:pPr>
          </w:p>
        </w:tc>
      </w:tr>
      <w:tr w:rsidR="00885BB6" w:rsidRPr="002D545E" w14:paraId="58A1F02C" w14:textId="77777777" w:rsidTr="00AF1A77">
        <w:trPr>
          <w:trHeight w:val="254"/>
          <w:jc w:val="center"/>
        </w:trPr>
        <w:tc>
          <w:tcPr>
            <w:tcW w:w="10960" w:type="dxa"/>
            <w:gridSpan w:val="12"/>
            <w:tcBorders>
              <w:top w:val="single" w:sz="6" w:space="0" w:color="DDDDDD"/>
              <w:left w:val="single" w:sz="2" w:space="0" w:color="auto"/>
              <w:bottom w:val="single" w:sz="2" w:space="0" w:color="auto"/>
              <w:right w:val="single" w:sz="2" w:space="0" w:color="auto"/>
            </w:tcBorders>
            <w:shd w:val="clear" w:color="auto" w:fill="auto"/>
            <w:noWrap/>
            <w:vAlign w:val="bottom"/>
          </w:tcPr>
          <w:p w14:paraId="1166AB53" w14:textId="77777777" w:rsidR="00885BB6" w:rsidRPr="00AF1A77" w:rsidRDefault="00885BB6" w:rsidP="002D024A">
            <w:pPr>
              <w:jc w:val="center"/>
              <w:rPr>
                <w:rFonts w:ascii="Arial" w:hAnsi="Arial" w:cs="Arial"/>
              </w:rPr>
            </w:pPr>
          </w:p>
          <w:p w14:paraId="2AC75B95" w14:textId="77777777" w:rsidR="00885BB6" w:rsidRPr="00AF1A77" w:rsidRDefault="00885BB6" w:rsidP="002D024A">
            <w:pPr>
              <w:jc w:val="center"/>
              <w:rPr>
                <w:rFonts w:ascii="Arial" w:hAnsi="Arial" w:cs="Arial"/>
                <w:b/>
              </w:rPr>
            </w:pPr>
            <w:r w:rsidRPr="00AF1A77">
              <w:rPr>
                <w:rFonts w:ascii="Arial" w:hAnsi="Arial" w:cs="Arial"/>
                <w:b/>
              </w:rPr>
              <w:t xml:space="preserve">Report 1/8/08 as date platelet count </w:t>
            </w:r>
            <w:r w:rsidR="00256E76" w:rsidRPr="00AF1A77">
              <w:rPr>
                <w:rFonts w:ascii="Arial" w:hAnsi="Arial" w:cs="Arial"/>
                <w:b/>
              </w:rPr>
              <w:t>≥</w:t>
            </w:r>
            <w:r w:rsidRPr="00AF1A77">
              <w:rPr>
                <w:rFonts w:ascii="Arial" w:hAnsi="Arial" w:cs="Arial"/>
                <w:b/>
              </w:rPr>
              <w:t xml:space="preserve"> 20 x 10</w:t>
            </w:r>
            <w:r w:rsidRPr="00AF1A77">
              <w:rPr>
                <w:rFonts w:ascii="Arial" w:hAnsi="Arial" w:cs="Arial"/>
                <w:b/>
                <w:vertAlign w:val="superscript"/>
              </w:rPr>
              <w:t>9</w:t>
            </w:r>
            <w:r w:rsidRPr="00AF1A77">
              <w:rPr>
                <w:rFonts w:ascii="Arial" w:hAnsi="Arial" w:cs="Arial"/>
                <w:b/>
              </w:rPr>
              <w:t>/L</w:t>
            </w:r>
          </w:p>
          <w:p w14:paraId="3D113819" w14:textId="77777777" w:rsidR="00885BB6" w:rsidRPr="00AF1A77" w:rsidRDefault="00885BB6" w:rsidP="002D024A">
            <w:pPr>
              <w:jc w:val="center"/>
              <w:rPr>
                <w:rFonts w:ascii="Arial" w:hAnsi="Arial" w:cs="Arial"/>
                <w:sz w:val="16"/>
                <w:szCs w:val="16"/>
              </w:rPr>
            </w:pPr>
          </w:p>
        </w:tc>
      </w:tr>
    </w:tbl>
    <w:p w14:paraId="5787A0B3" w14:textId="77777777" w:rsidR="00885BB6" w:rsidRPr="00FC39A8" w:rsidRDefault="00885BB6" w:rsidP="00885BB6">
      <w:pPr>
        <w:autoSpaceDE w:val="0"/>
        <w:autoSpaceDN w:val="0"/>
        <w:adjustRightInd w:val="0"/>
        <w:rPr>
          <w:rFonts w:ascii="Arial" w:hAnsi="Arial" w:cs="Arial"/>
        </w:rPr>
      </w:pPr>
    </w:p>
    <w:p w14:paraId="092CCF45" w14:textId="4167AEAC" w:rsidR="005663BC" w:rsidRDefault="00885BB6" w:rsidP="00885BB6">
      <w:pPr>
        <w:autoSpaceDE w:val="0"/>
        <w:autoSpaceDN w:val="0"/>
        <w:adjustRightInd w:val="0"/>
        <w:rPr>
          <w:rFonts w:ascii="Arial" w:hAnsi="Arial" w:cs="Arial"/>
        </w:rPr>
      </w:pPr>
      <w:proofErr w:type="gramStart"/>
      <w:r w:rsidRPr="00DA7003">
        <w:rPr>
          <w:rFonts w:ascii="Arial" w:hAnsi="Arial" w:cs="Arial"/>
          <w:b/>
        </w:rPr>
        <w:t xml:space="preserve">Question </w:t>
      </w:r>
      <w:r w:rsidR="005663BC" w:rsidRPr="00DA7003">
        <w:rPr>
          <w:rFonts w:ascii="Arial" w:hAnsi="Arial" w:cs="Arial"/>
          <w:b/>
        </w:rPr>
        <w:t xml:space="preserve">17: </w:t>
      </w:r>
      <w:r w:rsidR="005A3F32">
        <w:rPr>
          <w:rFonts w:ascii="Arial" w:hAnsi="Arial" w:cs="Arial"/>
          <w:b/>
        </w:rPr>
        <w:t xml:space="preserve"> </w:t>
      </w:r>
      <w:r w:rsidR="005663BC" w:rsidRPr="00DA7003">
        <w:rPr>
          <w:rFonts w:ascii="Arial" w:hAnsi="Arial" w:cs="Arial"/>
          <w:b/>
        </w:rPr>
        <w:t>Was an initial platelet count ≥ 20 x 10</w:t>
      </w:r>
      <w:r w:rsidR="005663BC" w:rsidRPr="00DA7003">
        <w:rPr>
          <w:rFonts w:ascii="Arial" w:hAnsi="Arial" w:cs="Arial"/>
          <w:b/>
          <w:vertAlign w:val="superscript"/>
        </w:rPr>
        <w:t>9</w:t>
      </w:r>
      <w:r w:rsidR="005663BC" w:rsidRPr="00DA7003">
        <w:rPr>
          <w:rFonts w:ascii="Arial" w:hAnsi="Arial" w:cs="Arial"/>
          <w:b/>
        </w:rPr>
        <w:t>/L achieved?</w:t>
      </w:r>
      <w:proofErr w:type="gramEnd"/>
    </w:p>
    <w:p w14:paraId="17182E2F" w14:textId="77777777" w:rsidR="00885BB6" w:rsidRPr="00FC39A8" w:rsidRDefault="00885BB6" w:rsidP="00885BB6">
      <w:pPr>
        <w:autoSpaceDE w:val="0"/>
        <w:autoSpaceDN w:val="0"/>
        <w:adjustRightInd w:val="0"/>
        <w:rPr>
          <w:rFonts w:ascii="Arial" w:hAnsi="Arial" w:cs="Arial"/>
        </w:rPr>
      </w:pPr>
      <w:r w:rsidRPr="00FC39A8">
        <w:rPr>
          <w:rFonts w:ascii="Arial" w:hAnsi="Arial" w:cs="Arial"/>
        </w:rPr>
        <w:t xml:space="preserve">Indicate whether or not there was evidence of </w:t>
      </w:r>
      <w:r w:rsidRPr="00302C4A">
        <w:rPr>
          <w:rFonts w:ascii="Arial" w:hAnsi="Arial" w:cs="Arial"/>
          <w:b/>
        </w:rPr>
        <w:t>initial</w:t>
      </w:r>
      <w:r>
        <w:rPr>
          <w:rFonts w:ascii="Arial" w:hAnsi="Arial" w:cs="Arial"/>
        </w:rPr>
        <w:t xml:space="preserve"> </w:t>
      </w:r>
      <w:r w:rsidRPr="00FC39A8">
        <w:rPr>
          <w:rFonts w:ascii="Arial" w:hAnsi="Arial" w:cs="Arial"/>
        </w:rPr>
        <w:t xml:space="preserve">platelet recovery following this </w:t>
      </w:r>
      <w:r w:rsidR="00AF4E5A">
        <w:rPr>
          <w:rFonts w:ascii="Arial" w:hAnsi="Arial" w:cs="Arial"/>
        </w:rPr>
        <w:t>HCT</w:t>
      </w:r>
      <w:r w:rsidRPr="00FC39A8">
        <w:rPr>
          <w:rFonts w:ascii="Arial" w:hAnsi="Arial" w:cs="Arial"/>
        </w:rPr>
        <w:t>.</w:t>
      </w:r>
    </w:p>
    <w:p w14:paraId="15B089AF" w14:textId="77777777" w:rsidR="00885BB6" w:rsidRPr="00FC39A8" w:rsidRDefault="00885BB6" w:rsidP="00885BB6">
      <w:pPr>
        <w:autoSpaceDE w:val="0"/>
        <w:autoSpaceDN w:val="0"/>
        <w:adjustRightInd w:val="0"/>
        <w:rPr>
          <w:rFonts w:ascii="Arial" w:hAnsi="Arial" w:cs="Arial"/>
        </w:rPr>
      </w:pPr>
    </w:p>
    <w:p w14:paraId="309EB26D" w14:textId="77777777" w:rsidR="00885BB6" w:rsidRPr="00FC39A8" w:rsidRDefault="00885BB6" w:rsidP="00885BB6">
      <w:pPr>
        <w:autoSpaceDE w:val="0"/>
        <w:autoSpaceDN w:val="0"/>
        <w:adjustRightInd w:val="0"/>
        <w:rPr>
          <w:rFonts w:ascii="Arial" w:hAnsi="Arial" w:cs="Arial"/>
        </w:rPr>
      </w:pPr>
      <w:r w:rsidRPr="00FC39A8">
        <w:rPr>
          <w:rFonts w:ascii="Arial" w:hAnsi="Arial" w:cs="Arial"/>
        </w:rPr>
        <w:t xml:space="preserve">Check only </w:t>
      </w:r>
      <w:r w:rsidRPr="00302C4A">
        <w:rPr>
          <w:rFonts w:ascii="Arial" w:hAnsi="Arial" w:cs="Arial"/>
          <w:b/>
        </w:rPr>
        <w:t>one</w:t>
      </w:r>
      <w:r w:rsidRPr="00FC39A8">
        <w:rPr>
          <w:rFonts w:ascii="Arial" w:hAnsi="Arial" w:cs="Arial"/>
        </w:rPr>
        <w:t xml:space="preserve"> response:</w:t>
      </w:r>
    </w:p>
    <w:p w14:paraId="532FCDBF" w14:textId="77777777" w:rsidR="00885BB6" w:rsidRPr="00FC39A8" w:rsidRDefault="00885BB6" w:rsidP="00885BB6">
      <w:pPr>
        <w:tabs>
          <w:tab w:val="left" w:pos="360"/>
          <w:tab w:val="left" w:pos="720"/>
        </w:tabs>
        <w:autoSpaceDE w:val="0"/>
        <w:autoSpaceDN w:val="0"/>
        <w:adjustRightInd w:val="0"/>
        <w:rPr>
          <w:rFonts w:ascii="Arial" w:hAnsi="Arial" w:cs="Arial"/>
        </w:rPr>
      </w:pPr>
    </w:p>
    <w:p w14:paraId="6BF50388" w14:textId="00A8DE24" w:rsidR="00930293" w:rsidRDefault="00885BB6">
      <w:pPr>
        <w:numPr>
          <w:ilvl w:val="0"/>
          <w:numId w:val="16"/>
        </w:numPr>
        <w:spacing w:after="120"/>
        <w:rPr>
          <w:rFonts w:ascii="Arial" w:hAnsi="Arial" w:cs="Arial"/>
        </w:rPr>
      </w:pPr>
      <w:r w:rsidRPr="00FC39A8">
        <w:rPr>
          <w:rFonts w:ascii="Arial" w:hAnsi="Arial" w:cs="Arial"/>
        </w:rPr>
        <w:t>If “</w:t>
      </w:r>
      <w:r w:rsidR="00DA7003">
        <w:rPr>
          <w:rFonts w:ascii="Arial" w:hAnsi="Arial" w:cs="Arial"/>
        </w:rPr>
        <w:t>yes,” continue with question 18</w:t>
      </w:r>
      <w:r>
        <w:rPr>
          <w:rFonts w:ascii="Arial" w:hAnsi="Arial" w:cs="Arial"/>
        </w:rPr>
        <w:t>.</w:t>
      </w:r>
    </w:p>
    <w:p w14:paraId="31956EDE" w14:textId="7287A1D8" w:rsidR="00930293" w:rsidRDefault="00885BB6">
      <w:pPr>
        <w:numPr>
          <w:ilvl w:val="0"/>
          <w:numId w:val="16"/>
        </w:numPr>
        <w:spacing w:after="120"/>
        <w:rPr>
          <w:rFonts w:ascii="Arial" w:hAnsi="Arial" w:cs="Arial"/>
        </w:rPr>
      </w:pPr>
      <w:r w:rsidRPr="00FC39A8">
        <w:rPr>
          <w:rFonts w:ascii="Arial" w:hAnsi="Arial" w:cs="Arial"/>
        </w:rPr>
        <w:t xml:space="preserve">If </w:t>
      </w:r>
      <w:r>
        <w:rPr>
          <w:rFonts w:ascii="Arial" w:hAnsi="Arial" w:cs="Arial"/>
        </w:rPr>
        <w:t>“no,” continue</w:t>
      </w:r>
      <w:r w:rsidR="00DA7003">
        <w:rPr>
          <w:rFonts w:ascii="Arial" w:hAnsi="Arial" w:cs="Arial"/>
        </w:rPr>
        <w:t xml:space="preserve"> with question 19</w:t>
      </w:r>
      <w:r>
        <w:rPr>
          <w:rFonts w:ascii="Arial" w:hAnsi="Arial" w:cs="Arial"/>
        </w:rPr>
        <w:t>.</w:t>
      </w:r>
    </w:p>
    <w:p w14:paraId="51383886" w14:textId="71FA0691" w:rsidR="005847BE" w:rsidRDefault="005847BE" w:rsidP="005847BE">
      <w:pPr>
        <w:numPr>
          <w:ilvl w:val="0"/>
          <w:numId w:val="16"/>
        </w:numPr>
        <w:spacing w:after="120"/>
        <w:rPr>
          <w:rFonts w:ascii="Arial" w:hAnsi="Arial" w:cs="Arial"/>
        </w:rPr>
      </w:pPr>
      <w:r w:rsidRPr="00FC39A8">
        <w:rPr>
          <w:rFonts w:ascii="Arial" w:hAnsi="Arial" w:cs="Arial"/>
        </w:rPr>
        <w:t xml:space="preserve">Check “never below,” if the recipient’s platelets </w:t>
      </w:r>
      <w:r w:rsidRPr="0099012C">
        <w:rPr>
          <w:rFonts w:ascii="Arial" w:hAnsi="Arial" w:cs="Arial"/>
        </w:rPr>
        <w:t>never</w:t>
      </w:r>
      <w:r w:rsidRPr="00FC39A8">
        <w:rPr>
          <w:rFonts w:ascii="Arial" w:hAnsi="Arial" w:cs="Arial"/>
        </w:rPr>
        <w:t xml:space="preserve"> dropped below 20 x 10</w:t>
      </w:r>
      <w:r w:rsidRPr="00020AFC">
        <w:rPr>
          <w:rFonts w:ascii="Arial" w:hAnsi="Arial" w:cs="Arial"/>
          <w:vertAlign w:val="superscript"/>
        </w:rPr>
        <w:t>9</w:t>
      </w:r>
      <w:r w:rsidRPr="00FC39A8">
        <w:rPr>
          <w:rFonts w:ascii="Arial" w:hAnsi="Arial" w:cs="Arial"/>
        </w:rPr>
        <w:t>/L at any time post-</w:t>
      </w:r>
      <w:r>
        <w:rPr>
          <w:rFonts w:ascii="Arial" w:hAnsi="Arial" w:cs="Arial"/>
        </w:rPr>
        <w:t xml:space="preserve">HCT </w:t>
      </w:r>
      <w:r w:rsidRPr="0099012C">
        <w:rPr>
          <w:rFonts w:ascii="Arial" w:hAnsi="Arial" w:cs="Arial"/>
        </w:rPr>
        <w:t>and</w:t>
      </w:r>
      <w:r>
        <w:rPr>
          <w:rFonts w:ascii="Arial" w:hAnsi="Arial" w:cs="Arial"/>
        </w:rPr>
        <w:t xml:space="preserve"> a platelet transfusion was never required</w:t>
      </w:r>
      <w:r w:rsidR="00F91ED8">
        <w:rPr>
          <w:rFonts w:ascii="Arial" w:hAnsi="Arial" w:cs="Arial"/>
        </w:rPr>
        <w:t xml:space="preserve">.  </w:t>
      </w:r>
      <w:r>
        <w:rPr>
          <w:rFonts w:ascii="Arial" w:hAnsi="Arial" w:cs="Arial"/>
        </w:rPr>
        <w:t>I</w:t>
      </w:r>
      <w:r w:rsidRPr="00BD618B">
        <w:rPr>
          <w:rFonts w:ascii="Arial" w:hAnsi="Arial" w:cs="Arial"/>
        </w:rPr>
        <w:t>f</w:t>
      </w:r>
      <w:r>
        <w:rPr>
          <w:rFonts w:ascii="Arial" w:hAnsi="Arial" w:cs="Arial"/>
        </w:rPr>
        <w:t xml:space="preserve"> the recipient’s platelet count drops below </w:t>
      </w:r>
      <w:r w:rsidRPr="00FC39A8">
        <w:rPr>
          <w:rFonts w:ascii="Arial" w:hAnsi="Arial" w:cs="Arial"/>
        </w:rPr>
        <w:t>20 x 10</w:t>
      </w:r>
      <w:r w:rsidRPr="00020AFC">
        <w:rPr>
          <w:rFonts w:ascii="Arial" w:hAnsi="Arial" w:cs="Arial"/>
          <w:vertAlign w:val="superscript"/>
        </w:rPr>
        <w:t>9</w:t>
      </w:r>
      <w:r w:rsidRPr="00FC39A8">
        <w:rPr>
          <w:rFonts w:ascii="Arial" w:hAnsi="Arial" w:cs="Arial"/>
        </w:rPr>
        <w:t xml:space="preserve">/L </w:t>
      </w:r>
      <w:r>
        <w:rPr>
          <w:rFonts w:ascii="Arial" w:hAnsi="Arial" w:cs="Arial"/>
        </w:rPr>
        <w:t>and/or the recipient received a platelet transfusion even once, do not use this option</w:t>
      </w:r>
      <w:r w:rsidR="00F91ED8">
        <w:rPr>
          <w:rFonts w:ascii="Arial" w:hAnsi="Arial" w:cs="Arial"/>
        </w:rPr>
        <w:t xml:space="preserve">.  </w:t>
      </w:r>
      <w:r w:rsidRPr="006C274A">
        <w:rPr>
          <w:rFonts w:ascii="Arial" w:hAnsi="Arial" w:cs="Arial"/>
        </w:rPr>
        <w:t>This option is only applicable in the 100-day reporting period</w:t>
      </w:r>
      <w:r w:rsidR="00F91ED8">
        <w:rPr>
          <w:rFonts w:ascii="Arial" w:hAnsi="Arial" w:cs="Arial"/>
        </w:rPr>
        <w:t xml:space="preserve">.  </w:t>
      </w:r>
      <w:r w:rsidRPr="006C274A">
        <w:rPr>
          <w:rFonts w:ascii="Arial" w:hAnsi="Arial" w:cs="Arial"/>
        </w:rPr>
        <w:t>Continue with question 1</w:t>
      </w:r>
      <w:r>
        <w:rPr>
          <w:rFonts w:ascii="Arial" w:hAnsi="Arial" w:cs="Arial"/>
        </w:rPr>
        <w:t>9</w:t>
      </w:r>
      <w:r w:rsidRPr="006C274A">
        <w:rPr>
          <w:rFonts w:ascii="Arial" w:hAnsi="Arial" w:cs="Arial"/>
        </w:rPr>
        <w:t>.</w:t>
      </w:r>
    </w:p>
    <w:p w14:paraId="26E08572" w14:textId="2BC315E2" w:rsidR="00930293" w:rsidRDefault="00885BB6">
      <w:pPr>
        <w:numPr>
          <w:ilvl w:val="0"/>
          <w:numId w:val="16"/>
        </w:numPr>
        <w:spacing w:after="120"/>
        <w:rPr>
          <w:rFonts w:ascii="Arial" w:hAnsi="Arial" w:cs="Arial"/>
        </w:rPr>
      </w:pPr>
      <w:r w:rsidRPr="00FC39A8">
        <w:rPr>
          <w:rFonts w:ascii="Arial" w:hAnsi="Arial" w:cs="Arial"/>
        </w:rPr>
        <w:t xml:space="preserve">Check “previously reported” if </w:t>
      </w:r>
      <w:r>
        <w:rPr>
          <w:rFonts w:ascii="Arial" w:hAnsi="Arial" w:cs="Arial"/>
        </w:rPr>
        <w:t xml:space="preserve">this is the </w:t>
      </w:r>
      <w:proofErr w:type="gramStart"/>
      <w:r w:rsidR="00AA1158">
        <w:rPr>
          <w:rFonts w:ascii="Arial" w:hAnsi="Arial" w:cs="Arial"/>
        </w:rPr>
        <w:t>6 m</w:t>
      </w:r>
      <w:r>
        <w:rPr>
          <w:rFonts w:ascii="Arial" w:hAnsi="Arial" w:cs="Arial"/>
        </w:rPr>
        <w:t>onth</w:t>
      </w:r>
      <w:proofErr w:type="gramEnd"/>
      <w:r>
        <w:rPr>
          <w:rFonts w:ascii="Arial" w:hAnsi="Arial" w:cs="Arial"/>
        </w:rPr>
        <w:t xml:space="preserve"> or annual follow</w:t>
      </w:r>
      <w:r w:rsidR="00792EA8">
        <w:rPr>
          <w:rFonts w:ascii="Arial" w:hAnsi="Arial" w:cs="Arial"/>
        </w:rPr>
        <w:t>-</w:t>
      </w:r>
      <w:r>
        <w:rPr>
          <w:rFonts w:ascii="Arial" w:hAnsi="Arial" w:cs="Arial"/>
        </w:rPr>
        <w:t>up,</w:t>
      </w:r>
      <w:r w:rsidRPr="00FC39A8">
        <w:rPr>
          <w:rFonts w:ascii="Arial" w:hAnsi="Arial" w:cs="Arial"/>
        </w:rPr>
        <w:t xml:space="preserve"> and initial platelet reco</w:t>
      </w:r>
      <w:r>
        <w:rPr>
          <w:rFonts w:ascii="Arial" w:hAnsi="Arial" w:cs="Arial"/>
        </w:rPr>
        <w:t>very has already been reported on a previous form</w:t>
      </w:r>
      <w:r w:rsidR="00F91ED8">
        <w:rPr>
          <w:rFonts w:ascii="Arial" w:hAnsi="Arial" w:cs="Arial"/>
        </w:rPr>
        <w:t xml:space="preserve">.  </w:t>
      </w:r>
      <w:r w:rsidR="00DA7003">
        <w:rPr>
          <w:rFonts w:ascii="Arial" w:hAnsi="Arial" w:cs="Arial"/>
        </w:rPr>
        <w:t>Continue with question 19.</w:t>
      </w:r>
    </w:p>
    <w:p w14:paraId="66017C4A" w14:textId="77777777" w:rsidR="00885BB6" w:rsidRPr="00FC39A8" w:rsidRDefault="00885BB6" w:rsidP="00885BB6">
      <w:pPr>
        <w:autoSpaceDE w:val="0"/>
        <w:autoSpaceDN w:val="0"/>
        <w:adjustRightInd w:val="0"/>
        <w:rPr>
          <w:rFonts w:ascii="Arial" w:hAnsi="Arial" w:cs="Arial"/>
          <w:b/>
          <w:u w:val="single"/>
        </w:rPr>
      </w:pPr>
    </w:p>
    <w:p w14:paraId="620A0AF5" w14:textId="41A4CB4F" w:rsidR="00885BB6" w:rsidRPr="006C4CA9" w:rsidRDefault="005663BC" w:rsidP="00885BB6">
      <w:pPr>
        <w:autoSpaceDE w:val="0"/>
        <w:autoSpaceDN w:val="0"/>
        <w:adjustRightInd w:val="0"/>
        <w:rPr>
          <w:rFonts w:ascii="Arial" w:hAnsi="Arial" w:cs="Arial"/>
        </w:rPr>
      </w:pPr>
      <w:r>
        <w:rPr>
          <w:rFonts w:ascii="Arial" w:hAnsi="Arial" w:cs="Arial"/>
          <w:b/>
        </w:rPr>
        <w:t>Question 18</w:t>
      </w:r>
      <w:r w:rsidR="00885BB6" w:rsidRPr="006C4CA9">
        <w:rPr>
          <w:rFonts w:ascii="Arial" w:hAnsi="Arial" w:cs="Arial"/>
          <w:b/>
        </w:rPr>
        <w:t xml:space="preserve">: </w:t>
      </w:r>
      <w:r w:rsidR="005A3F32">
        <w:rPr>
          <w:rFonts w:ascii="Arial" w:hAnsi="Arial" w:cs="Arial"/>
          <w:b/>
        </w:rPr>
        <w:t xml:space="preserve"> </w:t>
      </w:r>
      <w:r w:rsidR="00885BB6" w:rsidRPr="006C4CA9">
        <w:rPr>
          <w:rFonts w:ascii="Arial" w:hAnsi="Arial" w:cs="Arial"/>
          <w:b/>
        </w:rPr>
        <w:t xml:space="preserve">Date platelet </w:t>
      </w:r>
      <w:r w:rsidR="009D40DF" w:rsidRPr="00256E76">
        <w:rPr>
          <w:rFonts w:ascii="Arial" w:hAnsi="Arial" w:cs="Arial"/>
          <w:b/>
        </w:rPr>
        <w:t>≥</w:t>
      </w:r>
      <w:r w:rsidR="00885BB6" w:rsidRPr="006C4CA9">
        <w:rPr>
          <w:rFonts w:ascii="Arial" w:hAnsi="Arial" w:cs="Arial"/>
          <w:b/>
        </w:rPr>
        <w:t xml:space="preserve"> 20 x 10</w:t>
      </w:r>
      <w:r w:rsidR="00885BB6" w:rsidRPr="006C4CA9">
        <w:rPr>
          <w:rFonts w:ascii="Arial" w:hAnsi="Arial" w:cs="Arial"/>
          <w:b/>
          <w:vertAlign w:val="superscript"/>
        </w:rPr>
        <w:t>9</w:t>
      </w:r>
      <w:r w:rsidR="00885BB6" w:rsidRPr="006C4CA9">
        <w:rPr>
          <w:rFonts w:ascii="Arial" w:hAnsi="Arial" w:cs="Arial"/>
          <w:b/>
        </w:rPr>
        <w:t>/L</w:t>
      </w:r>
    </w:p>
    <w:p w14:paraId="36533E4F" w14:textId="72D819AB" w:rsidR="004C7593" w:rsidRPr="004C7593" w:rsidRDefault="00885BB6" w:rsidP="004C7593">
      <w:pPr>
        <w:autoSpaceDE w:val="0"/>
        <w:autoSpaceDN w:val="0"/>
        <w:adjustRightInd w:val="0"/>
        <w:rPr>
          <w:rFonts w:ascii="Arial" w:hAnsi="Arial" w:cs="Arial"/>
        </w:rPr>
      </w:pPr>
      <w:r w:rsidRPr="00FC39A8">
        <w:rPr>
          <w:rFonts w:ascii="Arial" w:hAnsi="Arial" w:cs="Arial"/>
        </w:rPr>
        <w:t xml:space="preserve">Enter the </w:t>
      </w:r>
      <w:r w:rsidRPr="00025196">
        <w:rPr>
          <w:rFonts w:ascii="Arial" w:hAnsi="Arial" w:cs="Arial"/>
          <w:b/>
        </w:rPr>
        <w:t>first</w:t>
      </w:r>
      <w:r w:rsidRPr="00FC39A8">
        <w:rPr>
          <w:rFonts w:ascii="Arial" w:hAnsi="Arial" w:cs="Arial"/>
        </w:rPr>
        <w:t xml:space="preserve"> date of three consecutive lab</w:t>
      </w:r>
      <w:r>
        <w:rPr>
          <w:rFonts w:ascii="Arial" w:hAnsi="Arial" w:cs="Arial"/>
        </w:rPr>
        <w:t>oratory</w:t>
      </w:r>
      <w:r w:rsidRPr="00FC39A8">
        <w:rPr>
          <w:rFonts w:ascii="Arial" w:hAnsi="Arial" w:cs="Arial"/>
        </w:rPr>
        <w:t xml:space="preserve"> values obtained on different days where the platelet count was </w:t>
      </w:r>
      <w:r w:rsidR="009D40DF" w:rsidRPr="009D40DF">
        <w:rPr>
          <w:rFonts w:ascii="Arial" w:hAnsi="Arial" w:cs="Arial"/>
        </w:rPr>
        <w:t>≥</w:t>
      </w:r>
      <w:r w:rsidRPr="009D40DF">
        <w:rPr>
          <w:rFonts w:ascii="Arial" w:hAnsi="Arial" w:cs="Arial"/>
        </w:rPr>
        <w:t xml:space="preserve"> 2</w:t>
      </w:r>
      <w:r w:rsidRPr="00FC39A8">
        <w:rPr>
          <w:rFonts w:ascii="Arial" w:hAnsi="Arial" w:cs="Arial"/>
        </w:rPr>
        <w:t>0 x 10</w:t>
      </w:r>
      <w:r w:rsidRPr="00FC39A8">
        <w:rPr>
          <w:rFonts w:ascii="Arial" w:hAnsi="Arial" w:cs="Arial"/>
          <w:vertAlign w:val="superscript"/>
        </w:rPr>
        <w:t>9</w:t>
      </w:r>
      <w:r w:rsidRPr="00FC39A8">
        <w:rPr>
          <w:rFonts w:ascii="Arial" w:hAnsi="Arial" w:cs="Arial"/>
        </w:rPr>
        <w:t>/L</w:t>
      </w:r>
      <w:r w:rsidR="00F91ED8">
        <w:rPr>
          <w:rFonts w:ascii="Arial" w:hAnsi="Arial" w:cs="Arial"/>
        </w:rPr>
        <w:t xml:space="preserve">.  </w:t>
      </w:r>
      <w:r w:rsidR="004C7593" w:rsidRPr="004C7593">
        <w:rPr>
          <w:rFonts w:ascii="Arial" w:hAnsi="Arial" w:cs="Arial"/>
        </w:rPr>
        <w:t xml:space="preserve">Ensure that no platelet transfusions </w:t>
      </w:r>
      <w:proofErr w:type="gramStart"/>
      <w:r w:rsidR="004C7593" w:rsidRPr="004C7593">
        <w:rPr>
          <w:rFonts w:ascii="Arial" w:hAnsi="Arial" w:cs="Arial"/>
        </w:rPr>
        <w:t>were administered</w:t>
      </w:r>
      <w:proofErr w:type="gramEnd"/>
      <w:r w:rsidR="004C7593" w:rsidRPr="004C7593">
        <w:rPr>
          <w:rFonts w:ascii="Arial" w:hAnsi="Arial" w:cs="Arial"/>
        </w:rPr>
        <w:t xml:space="preserve"> for seven days</w:t>
      </w:r>
      <w:r w:rsidR="00020AFC">
        <w:rPr>
          <w:rFonts w:ascii="Arial" w:hAnsi="Arial" w:cs="Arial"/>
        </w:rPr>
        <w:t xml:space="preserve"> immediately preceding this date</w:t>
      </w:r>
      <w:r w:rsidR="00F91ED8">
        <w:rPr>
          <w:rFonts w:ascii="Arial" w:hAnsi="Arial" w:cs="Arial"/>
        </w:rPr>
        <w:t xml:space="preserve">.  </w:t>
      </w:r>
      <w:r w:rsidR="004C7593" w:rsidRPr="004C7593">
        <w:rPr>
          <w:rFonts w:ascii="Arial" w:hAnsi="Arial" w:cs="Arial"/>
        </w:rPr>
        <w:t xml:space="preserve">Include day seven, as shown in Example </w:t>
      </w:r>
      <w:r w:rsidR="004C7593">
        <w:rPr>
          <w:rFonts w:ascii="Arial" w:hAnsi="Arial" w:cs="Arial"/>
        </w:rPr>
        <w:t>3</w:t>
      </w:r>
      <w:r w:rsidR="004C7593" w:rsidRPr="004C7593">
        <w:rPr>
          <w:rFonts w:ascii="Arial" w:hAnsi="Arial" w:cs="Arial"/>
        </w:rPr>
        <w:t xml:space="preserve"> above, when determining the recovery date</w:t>
      </w:r>
      <w:r w:rsidR="00F91ED8">
        <w:rPr>
          <w:rFonts w:ascii="Arial" w:hAnsi="Arial" w:cs="Arial"/>
        </w:rPr>
        <w:t xml:space="preserve">.  </w:t>
      </w:r>
    </w:p>
    <w:p w14:paraId="328A265B" w14:textId="77777777" w:rsidR="004C7593" w:rsidRDefault="004C7593" w:rsidP="004C7593">
      <w:pPr>
        <w:autoSpaceDE w:val="0"/>
        <w:autoSpaceDN w:val="0"/>
        <w:adjustRightInd w:val="0"/>
        <w:rPr>
          <w:rFonts w:ascii="Arial" w:hAnsi="Arial" w:cs="Arial"/>
        </w:rPr>
      </w:pPr>
    </w:p>
    <w:p w14:paraId="78EE39BC" w14:textId="0F78348C" w:rsidR="005663BC" w:rsidRDefault="004C7593" w:rsidP="00A27C4C">
      <w:pPr>
        <w:autoSpaceDE w:val="0"/>
        <w:autoSpaceDN w:val="0"/>
        <w:adjustRightInd w:val="0"/>
        <w:rPr>
          <w:rFonts w:ascii="Arial" w:hAnsi="Arial" w:cs="Arial"/>
        </w:rPr>
      </w:pPr>
      <w:r w:rsidRPr="004C7593">
        <w:rPr>
          <w:rFonts w:ascii="Arial" w:hAnsi="Arial" w:cs="Arial"/>
        </w:rPr>
        <w:t xml:space="preserve">If three laboratory values were not obtained on consecutive days, but a sequential rise </w:t>
      </w:r>
      <w:r w:rsidRPr="009D40DF">
        <w:rPr>
          <w:rFonts w:ascii="Arial" w:hAnsi="Arial" w:cs="Arial"/>
        </w:rPr>
        <w:t xml:space="preserve">of </w:t>
      </w:r>
      <w:r w:rsidR="009D40DF" w:rsidRPr="009D40DF">
        <w:rPr>
          <w:rFonts w:ascii="Arial" w:hAnsi="Arial" w:cs="Arial"/>
        </w:rPr>
        <w:t>≥</w:t>
      </w:r>
      <w:r w:rsidRPr="009D40DF">
        <w:rPr>
          <w:rFonts w:ascii="Arial" w:hAnsi="Arial" w:cs="Arial"/>
        </w:rPr>
        <w:t xml:space="preserve"> 20</w:t>
      </w:r>
      <w:r w:rsidRPr="004C7593">
        <w:rPr>
          <w:rFonts w:ascii="Arial" w:hAnsi="Arial" w:cs="Arial"/>
        </w:rPr>
        <w:t xml:space="preserve"> x 10</w:t>
      </w:r>
      <w:r w:rsidR="0099012C" w:rsidRPr="0099012C">
        <w:rPr>
          <w:rFonts w:ascii="Arial" w:hAnsi="Arial" w:cs="Arial"/>
          <w:vertAlign w:val="superscript"/>
        </w:rPr>
        <w:t>9</w:t>
      </w:r>
      <w:r w:rsidRPr="004C7593">
        <w:rPr>
          <w:rFonts w:ascii="Arial" w:hAnsi="Arial" w:cs="Arial"/>
        </w:rPr>
        <w:t>/L is demonstrated, follow the examples below when determining an estimated date</w:t>
      </w:r>
      <w:r w:rsidR="00F91ED8">
        <w:rPr>
          <w:rFonts w:ascii="Arial" w:hAnsi="Arial" w:cs="Arial"/>
        </w:rPr>
        <w:t xml:space="preserve">.  </w:t>
      </w:r>
    </w:p>
    <w:p w14:paraId="6629E8D7" w14:textId="77777777" w:rsidR="00A27C4C" w:rsidRDefault="00A27C4C" w:rsidP="00A27C4C">
      <w:pPr>
        <w:autoSpaceDE w:val="0"/>
        <w:autoSpaceDN w:val="0"/>
        <w:adjustRightInd w:val="0"/>
        <w:rPr>
          <w:rFonts w:ascii="Arial" w:hAnsi="Arial" w:cs="Arial"/>
        </w:rPr>
      </w:pPr>
    </w:p>
    <w:p w14:paraId="70D67092" w14:textId="77777777" w:rsidR="004C7593" w:rsidRPr="004C7593" w:rsidRDefault="004C7593" w:rsidP="005663BC">
      <w:pPr>
        <w:spacing w:after="200" w:line="276" w:lineRule="auto"/>
        <w:ind w:left="360"/>
        <w:rPr>
          <w:rFonts w:ascii="Arial" w:hAnsi="Arial" w:cs="Arial"/>
        </w:rPr>
      </w:pPr>
      <w:r w:rsidRPr="004C7593">
        <w:rPr>
          <w:rFonts w:ascii="Arial" w:hAnsi="Arial" w:cs="Arial"/>
          <w:b/>
          <w:bCs/>
        </w:rPr>
        <w:t xml:space="preserve">Examples: </w:t>
      </w:r>
    </w:p>
    <w:p w14:paraId="6DA98387" w14:textId="26B5D741" w:rsidR="00337399" w:rsidRPr="00337399" w:rsidRDefault="00337399" w:rsidP="00337399">
      <w:pPr>
        <w:autoSpaceDE w:val="0"/>
        <w:autoSpaceDN w:val="0"/>
        <w:adjustRightInd w:val="0"/>
        <w:ind w:left="432"/>
        <w:rPr>
          <w:rFonts w:ascii="Arial" w:hAnsi="Arial" w:cs="Arial"/>
        </w:rPr>
      </w:pPr>
      <w:r w:rsidRPr="00337399">
        <w:rPr>
          <w:rFonts w:ascii="Arial" w:hAnsi="Arial" w:cs="Arial"/>
        </w:rPr>
        <w:t>A</w:t>
      </w:r>
      <w:r w:rsidR="00F91ED8">
        <w:rPr>
          <w:rFonts w:ascii="Arial" w:hAnsi="Arial" w:cs="Arial"/>
        </w:rPr>
        <w:t xml:space="preserve">.  </w:t>
      </w:r>
      <w:r w:rsidR="004C7593" w:rsidRPr="00337399">
        <w:rPr>
          <w:rFonts w:ascii="Arial" w:hAnsi="Arial" w:cs="Arial"/>
        </w:rPr>
        <w:t xml:space="preserve">The recipient </w:t>
      </w:r>
      <w:proofErr w:type="gramStart"/>
      <w:r w:rsidR="004C7593" w:rsidRPr="00337399">
        <w:rPr>
          <w:rFonts w:ascii="Arial" w:hAnsi="Arial" w:cs="Arial"/>
        </w:rPr>
        <w:t>is being seen</w:t>
      </w:r>
      <w:proofErr w:type="gramEnd"/>
      <w:r w:rsidR="004C7593" w:rsidRPr="00337399">
        <w:rPr>
          <w:rFonts w:ascii="Arial" w:hAnsi="Arial" w:cs="Arial"/>
        </w:rPr>
        <w:t xml:space="preserve"> in the outpatient clinic and receives a platelet transfusion on January 1</w:t>
      </w:r>
      <w:r w:rsidR="00F91ED8">
        <w:rPr>
          <w:rFonts w:ascii="Arial" w:hAnsi="Arial" w:cs="Arial"/>
        </w:rPr>
        <w:t xml:space="preserve">.  </w:t>
      </w:r>
      <w:r w:rsidR="004C7593" w:rsidRPr="00337399">
        <w:rPr>
          <w:rFonts w:ascii="Arial" w:hAnsi="Arial" w:cs="Arial"/>
        </w:rPr>
        <w:t>The platelet count is</w:t>
      </w:r>
      <w:r w:rsidR="004C7593" w:rsidRPr="009D40DF">
        <w:rPr>
          <w:rFonts w:ascii="Arial" w:hAnsi="Arial" w:cs="Arial"/>
        </w:rPr>
        <w:t xml:space="preserve"> </w:t>
      </w:r>
      <w:r w:rsidR="00867995">
        <w:rPr>
          <w:rFonts w:ascii="Arial" w:hAnsi="Arial" w:cs="Arial"/>
        </w:rPr>
        <w:t>22</w:t>
      </w:r>
      <w:r w:rsidR="004C7593" w:rsidRPr="00337399">
        <w:rPr>
          <w:rFonts w:ascii="Arial" w:hAnsi="Arial" w:cs="Arial"/>
        </w:rPr>
        <w:t xml:space="preserve"> x 10</w:t>
      </w:r>
      <w:r w:rsidR="0099012C" w:rsidRPr="0099012C">
        <w:rPr>
          <w:rFonts w:ascii="Arial" w:hAnsi="Arial" w:cs="Arial"/>
          <w:vertAlign w:val="superscript"/>
        </w:rPr>
        <w:t>9</w:t>
      </w:r>
      <w:r w:rsidR="004C7593" w:rsidRPr="00337399">
        <w:rPr>
          <w:rFonts w:ascii="Arial" w:hAnsi="Arial" w:cs="Arial"/>
        </w:rPr>
        <w:t>/L on January 2,</w:t>
      </w:r>
      <w:r w:rsidR="00867995">
        <w:rPr>
          <w:rFonts w:ascii="Arial" w:hAnsi="Arial" w:cs="Arial"/>
        </w:rPr>
        <w:t xml:space="preserve"> 24 x 10</w:t>
      </w:r>
      <w:r w:rsidR="00867995">
        <w:rPr>
          <w:rFonts w:ascii="Arial" w:hAnsi="Arial" w:cs="Arial"/>
          <w:vertAlign w:val="superscript"/>
        </w:rPr>
        <w:t>9</w:t>
      </w:r>
      <w:r w:rsidR="00867995">
        <w:rPr>
          <w:rFonts w:ascii="Arial" w:hAnsi="Arial" w:cs="Arial"/>
        </w:rPr>
        <w:t xml:space="preserve">/L </w:t>
      </w:r>
      <w:r w:rsidR="00867995">
        <w:rPr>
          <w:rFonts w:ascii="Arial" w:hAnsi="Arial" w:cs="Arial"/>
        </w:rPr>
        <w:lastRenderedPageBreak/>
        <w:t>on</w:t>
      </w:r>
      <w:r w:rsidR="004C7593" w:rsidRPr="00337399">
        <w:rPr>
          <w:rFonts w:ascii="Arial" w:hAnsi="Arial" w:cs="Arial"/>
        </w:rPr>
        <w:t xml:space="preserve"> January 3, and</w:t>
      </w:r>
      <w:r w:rsidR="00867995">
        <w:rPr>
          <w:rFonts w:ascii="Arial" w:hAnsi="Arial" w:cs="Arial"/>
        </w:rPr>
        <w:t xml:space="preserve"> 28 x 10</w:t>
      </w:r>
      <w:r w:rsidR="00867995">
        <w:rPr>
          <w:rFonts w:ascii="Arial" w:hAnsi="Arial" w:cs="Arial"/>
          <w:vertAlign w:val="superscript"/>
        </w:rPr>
        <w:t>9</w:t>
      </w:r>
      <w:r w:rsidR="00867995">
        <w:rPr>
          <w:rFonts w:ascii="Arial" w:hAnsi="Arial" w:cs="Arial"/>
        </w:rPr>
        <w:t>/L on</w:t>
      </w:r>
      <w:r w:rsidR="004C7593" w:rsidRPr="00337399">
        <w:rPr>
          <w:rFonts w:ascii="Arial" w:hAnsi="Arial" w:cs="Arial"/>
        </w:rPr>
        <w:t xml:space="preserve"> January 4</w:t>
      </w:r>
      <w:r w:rsidR="00F91ED8">
        <w:rPr>
          <w:rFonts w:ascii="Arial" w:hAnsi="Arial" w:cs="Arial"/>
        </w:rPr>
        <w:t xml:space="preserve">.  </w:t>
      </w:r>
      <w:r w:rsidR="004C7593" w:rsidRPr="00337399">
        <w:rPr>
          <w:rFonts w:ascii="Arial" w:hAnsi="Arial" w:cs="Arial"/>
        </w:rPr>
        <w:t>The recipient does not come into the clinic for evaluation until one month later</w:t>
      </w:r>
      <w:r w:rsidR="00F91ED8">
        <w:rPr>
          <w:rFonts w:ascii="Arial" w:hAnsi="Arial" w:cs="Arial"/>
        </w:rPr>
        <w:t xml:space="preserve">.  </w:t>
      </w:r>
      <w:r w:rsidR="004C7593" w:rsidRPr="00337399">
        <w:rPr>
          <w:rFonts w:ascii="Arial" w:hAnsi="Arial" w:cs="Arial"/>
        </w:rPr>
        <w:t>The recipient has not received any more platelet transfusions and the platelet count is well above 20 x 10</w:t>
      </w:r>
      <w:r w:rsidR="0099012C" w:rsidRPr="0099012C">
        <w:rPr>
          <w:rFonts w:ascii="Arial" w:hAnsi="Arial" w:cs="Arial"/>
          <w:vertAlign w:val="superscript"/>
        </w:rPr>
        <w:t>9</w:t>
      </w:r>
      <w:r w:rsidR="004C7593" w:rsidRPr="00337399">
        <w:rPr>
          <w:rFonts w:ascii="Arial" w:hAnsi="Arial" w:cs="Arial"/>
        </w:rPr>
        <w:t>/L</w:t>
      </w:r>
      <w:r w:rsidR="00F91ED8">
        <w:rPr>
          <w:rFonts w:ascii="Arial" w:hAnsi="Arial" w:cs="Arial"/>
        </w:rPr>
        <w:t xml:space="preserve">.  </w:t>
      </w:r>
      <w:r w:rsidR="004C7593" w:rsidRPr="00337399">
        <w:rPr>
          <w:rFonts w:ascii="Arial" w:hAnsi="Arial" w:cs="Arial"/>
        </w:rPr>
        <w:t xml:space="preserve">Report January 8 (day seven post-platelet transfusion) </w:t>
      </w:r>
      <w:r w:rsidRPr="00337399">
        <w:rPr>
          <w:rFonts w:ascii="Arial" w:hAnsi="Arial" w:cs="Arial"/>
        </w:rPr>
        <w:t>for the date of platelet recovery</w:t>
      </w:r>
      <w:r w:rsidR="00F91ED8">
        <w:rPr>
          <w:rFonts w:ascii="Arial" w:hAnsi="Arial" w:cs="Arial"/>
        </w:rPr>
        <w:t xml:space="preserve">.  </w:t>
      </w:r>
    </w:p>
    <w:p w14:paraId="1B27C0DD" w14:textId="77777777" w:rsidR="004C7593" w:rsidRPr="00337399" w:rsidRDefault="004C7593" w:rsidP="00337399">
      <w:pPr>
        <w:ind w:left="432"/>
      </w:pPr>
      <w:r w:rsidRPr="00337399">
        <w:t xml:space="preserve"> </w:t>
      </w:r>
    </w:p>
    <w:p w14:paraId="5F1EAAA3" w14:textId="5F984DCF" w:rsidR="00885BB6" w:rsidRPr="00FC39A8" w:rsidRDefault="004C7593" w:rsidP="004C7593">
      <w:pPr>
        <w:autoSpaceDE w:val="0"/>
        <w:autoSpaceDN w:val="0"/>
        <w:adjustRightInd w:val="0"/>
        <w:ind w:left="432"/>
        <w:rPr>
          <w:rFonts w:ascii="Arial" w:hAnsi="Arial" w:cs="Arial"/>
        </w:rPr>
      </w:pPr>
      <w:r w:rsidRPr="004C7593">
        <w:rPr>
          <w:rFonts w:ascii="Arial" w:hAnsi="Arial" w:cs="Arial"/>
        </w:rPr>
        <w:t>B</w:t>
      </w:r>
      <w:r w:rsidR="00F91ED8">
        <w:rPr>
          <w:rFonts w:ascii="Arial" w:hAnsi="Arial" w:cs="Arial"/>
        </w:rPr>
        <w:t xml:space="preserve">.  </w:t>
      </w:r>
      <w:r w:rsidRPr="004C7593">
        <w:rPr>
          <w:rFonts w:ascii="Arial" w:hAnsi="Arial" w:cs="Arial"/>
        </w:rPr>
        <w:t xml:space="preserve">The recipient </w:t>
      </w:r>
      <w:proofErr w:type="gramStart"/>
      <w:r w:rsidRPr="004C7593">
        <w:rPr>
          <w:rFonts w:ascii="Arial" w:hAnsi="Arial" w:cs="Arial"/>
        </w:rPr>
        <w:t>is being seen</w:t>
      </w:r>
      <w:proofErr w:type="gramEnd"/>
      <w:r w:rsidRPr="004C7593">
        <w:rPr>
          <w:rFonts w:ascii="Arial" w:hAnsi="Arial" w:cs="Arial"/>
        </w:rPr>
        <w:t xml:space="preserve"> in the outpatient clinic and receives a platelet transfusion on January 1</w:t>
      </w:r>
      <w:r w:rsidR="00F91ED8">
        <w:rPr>
          <w:rFonts w:ascii="Arial" w:hAnsi="Arial" w:cs="Arial"/>
        </w:rPr>
        <w:t xml:space="preserve">.  </w:t>
      </w:r>
      <w:r w:rsidRPr="004C7593">
        <w:rPr>
          <w:rFonts w:ascii="Arial" w:hAnsi="Arial" w:cs="Arial"/>
        </w:rPr>
        <w:t xml:space="preserve">The platelet count </w:t>
      </w:r>
      <w:r w:rsidRPr="009D40DF">
        <w:rPr>
          <w:rFonts w:ascii="Arial" w:hAnsi="Arial" w:cs="Arial"/>
        </w:rPr>
        <w:t xml:space="preserve">is </w:t>
      </w:r>
      <w:r w:rsidR="009D40DF" w:rsidRPr="009D40DF">
        <w:rPr>
          <w:rFonts w:ascii="Arial" w:hAnsi="Arial" w:cs="Arial"/>
        </w:rPr>
        <w:t>≥</w:t>
      </w:r>
      <w:r w:rsidRPr="004C7593">
        <w:rPr>
          <w:rFonts w:ascii="Arial" w:hAnsi="Arial" w:cs="Arial"/>
        </w:rPr>
        <w:t xml:space="preserve"> 20 x 10</w:t>
      </w:r>
      <w:r w:rsidRPr="00572CDD">
        <w:rPr>
          <w:rFonts w:ascii="Arial" w:hAnsi="Arial" w:cs="Arial"/>
          <w:vertAlign w:val="superscript"/>
        </w:rPr>
        <w:t>9</w:t>
      </w:r>
      <w:r w:rsidRPr="004C7593">
        <w:rPr>
          <w:rFonts w:ascii="Arial" w:hAnsi="Arial" w:cs="Arial"/>
        </w:rPr>
        <w:t>/L on January 2, January 3, and January 4</w:t>
      </w:r>
      <w:r w:rsidR="00F91ED8">
        <w:rPr>
          <w:rFonts w:ascii="Arial" w:hAnsi="Arial" w:cs="Arial"/>
        </w:rPr>
        <w:t xml:space="preserve">.  </w:t>
      </w:r>
      <w:r w:rsidRPr="004C7593">
        <w:rPr>
          <w:rFonts w:ascii="Arial" w:hAnsi="Arial" w:cs="Arial"/>
        </w:rPr>
        <w:t xml:space="preserve">The recipient </w:t>
      </w:r>
      <w:proofErr w:type="gramStart"/>
      <w:r w:rsidRPr="004C7593">
        <w:rPr>
          <w:rFonts w:ascii="Arial" w:hAnsi="Arial" w:cs="Arial"/>
        </w:rPr>
        <w:t>is then discharged</w:t>
      </w:r>
      <w:proofErr w:type="gramEnd"/>
      <w:r w:rsidRPr="004C7593">
        <w:rPr>
          <w:rFonts w:ascii="Arial" w:hAnsi="Arial" w:cs="Arial"/>
        </w:rPr>
        <w:t xml:space="preserve"> back to their primary care physician</w:t>
      </w:r>
      <w:r w:rsidR="00F91ED8">
        <w:rPr>
          <w:rFonts w:ascii="Arial" w:hAnsi="Arial" w:cs="Arial"/>
        </w:rPr>
        <w:t xml:space="preserve">.  </w:t>
      </w:r>
      <w:r w:rsidRPr="004C7593">
        <w:rPr>
          <w:rFonts w:ascii="Arial" w:hAnsi="Arial" w:cs="Arial"/>
        </w:rPr>
        <w:t xml:space="preserve">The transplant center receives a follow-up note from the primary care physician that states “recipient recovered their platelets in January of 2011.” </w:t>
      </w:r>
      <w:proofErr w:type="gramStart"/>
      <w:r w:rsidRPr="004C7593">
        <w:rPr>
          <w:rFonts w:ascii="Arial" w:hAnsi="Arial" w:cs="Arial"/>
        </w:rPr>
        <w:t xml:space="preserve">Report the day of the month as the </w:t>
      </w:r>
      <w:r w:rsidRPr="004C7593">
        <w:rPr>
          <w:rFonts w:ascii="Arial" w:hAnsi="Arial" w:cs="Arial"/>
          <w:i/>
          <w:iCs/>
        </w:rPr>
        <w:t>15th</w:t>
      </w:r>
      <w:r w:rsidR="00F91ED8">
        <w:rPr>
          <w:rFonts w:ascii="Arial" w:hAnsi="Arial" w:cs="Arial"/>
        </w:rPr>
        <w:t>.</w:t>
      </w:r>
      <w:proofErr w:type="gramEnd"/>
      <w:r w:rsidR="00F91ED8">
        <w:rPr>
          <w:rFonts w:ascii="Arial" w:hAnsi="Arial" w:cs="Arial"/>
        </w:rPr>
        <w:t xml:space="preserve">  </w:t>
      </w:r>
      <w:r w:rsidRPr="004C7593">
        <w:rPr>
          <w:rFonts w:ascii="Arial" w:hAnsi="Arial" w:cs="Arial"/>
        </w:rPr>
        <w:t xml:space="preserve">If the </w:t>
      </w:r>
      <w:r w:rsidRPr="004C7593">
        <w:rPr>
          <w:rFonts w:ascii="Arial" w:hAnsi="Arial" w:cs="Arial"/>
          <w:i/>
          <w:iCs/>
        </w:rPr>
        <w:t xml:space="preserve">15th </w:t>
      </w:r>
      <w:r w:rsidRPr="004C7593">
        <w:rPr>
          <w:rFonts w:ascii="Arial" w:hAnsi="Arial" w:cs="Arial"/>
        </w:rPr>
        <w:t xml:space="preserve">does not make logical sense in relation to the dates of the platelet counts obtained, use either the </w:t>
      </w:r>
      <w:proofErr w:type="gramStart"/>
      <w:r w:rsidRPr="004C7593">
        <w:rPr>
          <w:rFonts w:ascii="Arial" w:hAnsi="Arial" w:cs="Arial"/>
          <w:i/>
          <w:iCs/>
        </w:rPr>
        <w:t>1st</w:t>
      </w:r>
      <w:proofErr w:type="gramEnd"/>
      <w:r w:rsidRPr="004C7593">
        <w:rPr>
          <w:rFonts w:ascii="Arial" w:hAnsi="Arial" w:cs="Arial"/>
          <w:i/>
          <w:iCs/>
        </w:rPr>
        <w:t xml:space="preserve"> </w:t>
      </w:r>
      <w:r w:rsidRPr="004C7593">
        <w:rPr>
          <w:rFonts w:ascii="Arial" w:hAnsi="Arial" w:cs="Arial"/>
        </w:rPr>
        <w:t xml:space="preserve">or </w:t>
      </w:r>
      <w:r w:rsidRPr="004C7593">
        <w:rPr>
          <w:rFonts w:ascii="Arial" w:hAnsi="Arial" w:cs="Arial"/>
          <w:i/>
          <w:iCs/>
        </w:rPr>
        <w:t>30th</w:t>
      </w:r>
      <w:r w:rsidR="00F91ED8">
        <w:rPr>
          <w:rFonts w:ascii="Arial" w:hAnsi="Arial" w:cs="Arial"/>
        </w:rPr>
        <w:t xml:space="preserve">.  </w:t>
      </w:r>
      <w:r w:rsidRPr="004C7593">
        <w:rPr>
          <w:rFonts w:ascii="Arial" w:hAnsi="Arial" w:cs="Arial"/>
        </w:rPr>
        <w:t>Report month and year as documented</w:t>
      </w:r>
      <w:r w:rsidR="00F91ED8">
        <w:rPr>
          <w:rFonts w:ascii="Arial" w:hAnsi="Arial" w:cs="Arial"/>
        </w:rPr>
        <w:t xml:space="preserve">.  </w:t>
      </w:r>
    </w:p>
    <w:p w14:paraId="36850C94" w14:textId="77777777" w:rsidR="00885BB6" w:rsidRDefault="00885BB6" w:rsidP="00885BB6">
      <w:pPr>
        <w:autoSpaceDE w:val="0"/>
        <w:autoSpaceDN w:val="0"/>
        <w:adjustRightInd w:val="0"/>
        <w:rPr>
          <w:rFonts w:ascii="Arial" w:hAnsi="Arial" w:cs="Arial"/>
          <w:b/>
          <w:u w:val="single"/>
        </w:rPr>
      </w:pPr>
    </w:p>
    <w:p w14:paraId="294049AE" w14:textId="77777777" w:rsidR="00885BB6" w:rsidRDefault="00885BB6" w:rsidP="00885BB6">
      <w:pPr>
        <w:rPr>
          <w:rFonts w:ascii="Arial" w:hAnsi="Arial" w:cs="Arial"/>
        </w:rPr>
      </w:pPr>
      <w:r>
        <w:rPr>
          <w:rFonts w:ascii="Arial" w:hAnsi="Arial" w:cs="Arial"/>
        </w:rPr>
        <w:t xml:space="preserve">For more information regarding reporting partial or unknown dates, see General Instructions, </w:t>
      </w:r>
      <w:hyperlink r:id="rId18" w:history="1">
        <w:r w:rsidRPr="00E22EBE">
          <w:rPr>
            <w:rStyle w:val="Hyperlink"/>
            <w:rFonts w:ascii="Arial" w:hAnsi="Arial" w:cs="Arial"/>
          </w:rPr>
          <w:t>General Guidelines for Completing Forms</w:t>
        </w:r>
      </w:hyperlink>
      <w:r w:rsidRPr="006C2913">
        <w:rPr>
          <w:rFonts w:ascii="Arial" w:hAnsi="Arial" w:cs="Arial"/>
        </w:rPr>
        <w:t>.</w:t>
      </w:r>
    </w:p>
    <w:p w14:paraId="158F629D" w14:textId="77777777" w:rsidR="00906D61" w:rsidRDefault="00906D61"/>
    <w:p w14:paraId="38C6CE11" w14:textId="77777777" w:rsidR="00337399" w:rsidRPr="00DB6F1D" w:rsidRDefault="00337399" w:rsidP="009829F8">
      <w:pPr>
        <w:pStyle w:val="Heading1"/>
      </w:pPr>
      <w:bookmarkStart w:id="6" w:name="_Toc450570835"/>
      <w:r w:rsidRPr="00DB6F1D">
        <w:t>Graft versus Host Disease</w:t>
      </w:r>
      <w:bookmarkEnd w:id="6"/>
      <w:r w:rsidRPr="00DB6F1D">
        <w:t xml:space="preserve"> </w:t>
      </w:r>
    </w:p>
    <w:p w14:paraId="3DDC4262" w14:textId="77777777" w:rsidR="005663BC" w:rsidRDefault="005663BC" w:rsidP="00337399">
      <w:pPr>
        <w:autoSpaceDE w:val="0"/>
        <w:autoSpaceDN w:val="0"/>
        <w:adjustRightInd w:val="0"/>
        <w:rPr>
          <w:rFonts w:ascii="Arial" w:hAnsi="Arial" w:cs="Arial"/>
        </w:rPr>
      </w:pPr>
    </w:p>
    <w:p w14:paraId="45EB8C22" w14:textId="07E1E235" w:rsidR="00337399" w:rsidRDefault="006A1C8F" w:rsidP="00337399">
      <w:pPr>
        <w:autoSpaceDE w:val="0"/>
        <w:autoSpaceDN w:val="0"/>
        <w:adjustRightInd w:val="0"/>
        <w:rPr>
          <w:rFonts w:ascii="Arial" w:hAnsi="Arial" w:cs="Arial"/>
        </w:rPr>
      </w:pPr>
      <w:r>
        <w:rPr>
          <w:rFonts w:ascii="Arial" w:hAnsi="Arial" w:cs="Arial"/>
        </w:rPr>
        <w:t xml:space="preserve">Graft-versus-host disease </w:t>
      </w:r>
      <w:r w:rsidR="00337399" w:rsidRPr="00FC39A8">
        <w:rPr>
          <w:rFonts w:ascii="Arial" w:hAnsi="Arial" w:cs="Arial"/>
        </w:rPr>
        <w:t>(</w:t>
      </w:r>
      <w:r w:rsidR="00337399" w:rsidRPr="006A1C8F">
        <w:rPr>
          <w:rFonts w:ascii="Arial" w:hAnsi="Arial" w:cs="Arial"/>
        </w:rPr>
        <w:t>GVHD)</w:t>
      </w:r>
      <w:r w:rsidR="00337399" w:rsidRPr="00FC39A8">
        <w:rPr>
          <w:rFonts w:ascii="Arial" w:hAnsi="Arial" w:cs="Arial"/>
        </w:rPr>
        <w:t xml:space="preserve"> is an immunological phenomenon resulting from the reaction of donor immune cells against major or minor histocompatibil</w:t>
      </w:r>
      <w:r w:rsidR="00337399">
        <w:rPr>
          <w:rFonts w:ascii="Arial" w:hAnsi="Arial" w:cs="Arial"/>
        </w:rPr>
        <w:t>ity antigens of the recipient</w:t>
      </w:r>
      <w:r w:rsidR="00F91ED8">
        <w:rPr>
          <w:rFonts w:ascii="Arial" w:hAnsi="Arial" w:cs="Arial"/>
        </w:rPr>
        <w:t xml:space="preserve">.  </w:t>
      </w:r>
      <w:r w:rsidR="00337399" w:rsidRPr="00FC39A8">
        <w:rPr>
          <w:rFonts w:ascii="Arial" w:hAnsi="Arial" w:cs="Arial"/>
        </w:rPr>
        <w:t xml:space="preserve">GVHD </w:t>
      </w:r>
      <w:proofErr w:type="gramStart"/>
      <w:r w:rsidR="00337399" w:rsidRPr="00FC39A8">
        <w:rPr>
          <w:rFonts w:ascii="Arial" w:hAnsi="Arial" w:cs="Arial"/>
        </w:rPr>
        <w:t xml:space="preserve">is primarily </w:t>
      </w:r>
      <w:r w:rsidR="00337399">
        <w:rPr>
          <w:rFonts w:ascii="Arial" w:hAnsi="Arial" w:cs="Arial"/>
        </w:rPr>
        <w:t>caused</w:t>
      </w:r>
      <w:proofErr w:type="gramEnd"/>
      <w:r w:rsidR="00337399">
        <w:rPr>
          <w:rFonts w:ascii="Arial" w:hAnsi="Arial" w:cs="Arial"/>
        </w:rPr>
        <w:t xml:space="preserve"> by donor-derived T-cells</w:t>
      </w:r>
      <w:r w:rsidR="00F91ED8">
        <w:rPr>
          <w:rFonts w:ascii="Arial" w:hAnsi="Arial" w:cs="Arial"/>
        </w:rPr>
        <w:t xml:space="preserve">.  </w:t>
      </w:r>
      <w:r w:rsidR="00337399" w:rsidRPr="00FC39A8">
        <w:rPr>
          <w:rFonts w:ascii="Arial" w:hAnsi="Arial" w:cs="Arial"/>
        </w:rPr>
        <w:t>Very rarely, GVHD may occur due to autologous reactivity (autologous GVHD), third party transfusions, or with identical twin transplantation</w:t>
      </w:r>
      <w:r w:rsidR="00F91ED8">
        <w:rPr>
          <w:rFonts w:ascii="Arial" w:hAnsi="Arial" w:cs="Arial"/>
        </w:rPr>
        <w:t xml:space="preserve">.  </w:t>
      </w:r>
      <w:r w:rsidR="00337399">
        <w:rPr>
          <w:rFonts w:ascii="Arial" w:hAnsi="Arial" w:cs="Arial"/>
        </w:rPr>
        <w:t xml:space="preserve">Due to the rarity of this occurrence, the GVHD section </w:t>
      </w:r>
      <w:proofErr w:type="gramStart"/>
      <w:r w:rsidR="00337399">
        <w:rPr>
          <w:rFonts w:ascii="Arial" w:hAnsi="Arial" w:cs="Arial"/>
        </w:rPr>
        <w:t>should only be completed</w:t>
      </w:r>
      <w:proofErr w:type="gramEnd"/>
      <w:r w:rsidR="00337399">
        <w:rPr>
          <w:rFonts w:ascii="Arial" w:hAnsi="Arial" w:cs="Arial"/>
        </w:rPr>
        <w:t xml:space="preserve"> for allogeneic transplants</w:t>
      </w:r>
      <w:r w:rsidR="00F91ED8">
        <w:rPr>
          <w:rFonts w:ascii="Arial" w:hAnsi="Arial" w:cs="Arial"/>
        </w:rPr>
        <w:t xml:space="preserve">.  </w:t>
      </w:r>
      <w:r w:rsidR="00337399" w:rsidRPr="0001789C">
        <w:rPr>
          <w:rFonts w:ascii="Arial" w:hAnsi="Arial" w:cs="Arial"/>
          <w:b/>
        </w:rPr>
        <w:t>For autologous</w:t>
      </w:r>
      <w:r>
        <w:rPr>
          <w:rFonts w:ascii="Arial" w:hAnsi="Arial" w:cs="Arial"/>
          <w:b/>
        </w:rPr>
        <w:t xml:space="preserve"> or </w:t>
      </w:r>
      <w:proofErr w:type="spellStart"/>
      <w:r>
        <w:rPr>
          <w:rFonts w:ascii="Arial" w:hAnsi="Arial" w:cs="Arial"/>
          <w:b/>
        </w:rPr>
        <w:t>syngenetic</w:t>
      </w:r>
      <w:proofErr w:type="spellEnd"/>
      <w:r w:rsidR="00337399" w:rsidRPr="0001789C">
        <w:rPr>
          <w:rFonts w:ascii="Arial" w:hAnsi="Arial" w:cs="Arial"/>
          <w:b/>
        </w:rPr>
        <w:t xml:space="preserve"> </w:t>
      </w:r>
      <w:r w:rsidR="00AF4E5A">
        <w:rPr>
          <w:rFonts w:ascii="Arial" w:hAnsi="Arial" w:cs="Arial"/>
          <w:b/>
        </w:rPr>
        <w:t>HCT</w:t>
      </w:r>
      <w:r w:rsidR="00337399" w:rsidRPr="0001789C">
        <w:rPr>
          <w:rFonts w:ascii="Arial" w:hAnsi="Arial" w:cs="Arial"/>
          <w:b/>
        </w:rPr>
        <w:t xml:space="preserve">, leave questions </w:t>
      </w:r>
      <w:r>
        <w:rPr>
          <w:rFonts w:ascii="Arial" w:hAnsi="Arial" w:cs="Arial"/>
          <w:b/>
        </w:rPr>
        <w:t>19-38</w:t>
      </w:r>
      <w:r w:rsidR="00337399" w:rsidRPr="0001789C">
        <w:rPr>
          <w:rFonts w:ascii="Arial" w:hAnsi="Arial" w:cs="Arial"/>
          <w:b/>
        </w:rPr>
        <w:t xml:space="preserve"> blank.</w:t>
      </w:r>
    </w:p>
    <w:p w14:paraId="786BC8B8" w14:textId="77777777" w:rsidR="00337399" w:rsidRDefault="00337399" w:rsidP="00337399">
      <w:pPr>
        <w:autoSpaceDE w:val="0"/>
        <w:autoSpaceDN w:val="0"/>
        <w:adjustRightInd w:val="0"/>
        <w:rPr>
          <w:rFonts w:ascii="Arial" w:hAnsi="Arial" w:cs="Arial"/>
        </w:rPr>
      </w:pPr>
    </w:p>
    <w:p w14:paraId="5A0028EA" w14:textId="24274659" w:rsidR="00337399" w:rsidRDefault="00337399" w:rsidP="00337399">
      <w:pPr>
        <w:autoSpaceDE w:val="0"/>
        <w:autoSpaceDN w:val="0"/>
        <w:adjustRightInd w:val="0"/>
        <w:rPr>
          <w:rFonts w:ascii="Arial" w:hAnsi="Arial" w:cs="Arial"/>
        </w:rPr>
      </w:pPr>
      <w:r w:rsidRPr="00FC39A8">
        <w:rPr>
          <w:rFonts w:ascii="Arial" w:hAnsi="Arial" w:cs="Arial"/>
        </w:rPr>
        <w:t xml:space="preserve">Factors influencing the severity of GVHD </w:t>
      </w:r>
      <w:proofErr w:type="gramStart"/>
      <w:r w:rsidRPr="00FC39A8">
        <w:rPr>
          <w:rFonts w:ascii="Arial" w:hAnsi="Arial" w:cs="Arial"/>
        </w:rPr>
        <w:t>are related</w:t>
      </w:r>
      <w:proofErr w:type="gramEnd"/>
      <w:r w:rsidRPr="00FC39A8">
        <w:rPr>
          <w:rFonts w:ascii="Arial" w:hAnsi="Arial" w:cs="Arial"/>
        </w:rPr>
        <w:t xml:space="preserve"> to three main categories: </w:t>
      </w:r>
      <w:r>
        <w:rPr>
          <w:rFonts w:ascii="Arial" w:hAnsi="Arial" w:cs="Arial"/>
        </w:rPr>
        <w:t xml:space="preserve">1) </w:t>
      </w:r>
      <w:r w:rsidRPr="00FC39A8">
        <w:rPr>
          <w:rFonts w:ascii="Arial" w:hAnsi="Arial" w:cs="Arial"/>
        </w:rPr>
        <w:t>donor</w:t>
      </w:r>
      <w:r>
        <w:rPr>
          <w:rFonts w:ascii="Arial" w:hAnsi="Arial" w:cs="Arial"/>
        </w:rPr>
        <w:t xml:space="preserve"> or </w:t>
      </w:r>
      <w:r w:rsidRPr="00FC39A8">
        <w:rPr>
          <w:rFonts w:ascii="Arial" w:hAnsi="Arial" w:cs="Arial"/>
        </w:rPr>
        <w:t xml:space="preserve">graft, </w:t>
      </w:r>
      <w:r>
        <w:rPr>
          <w:rFonts w:ascii="Arial" w:hAnsi="Arial" w:cs="Arial"/>
        </w:rPr>
        <w:t xml:space="preserve">2) </w:t>
      </w:r>
      <w:r w:rsidRPr="00FC39A8">
        <w:rPr>
          <w:rFonts w:ascii="Arial" w:hAnsi="Arial" w:cs="Arial"/>
        </w:rPr>
        <w:t>recipient</w:t>
      </w:r>
      <w:r>
        <w:rPr>
          <w:rFonts w:ascii="Arial" w:hAnsi="Arial" w:cs="Arial"/>
        </w:rPr>
        <w:t>,</w:t>
      </w:r>
      <w:r w:rsidRPr="00FC39A8">
        <w:rPr>
          <w:rFonts w:ascii="Arial" w:hAnsi="Arial" w:cs="Arial"/>
        </w:rPr>
        <w:t xml:space="preserve"> and </w:t>
      </w:r>
      <w:r>
        <w:rPr>
          <w:rFonts w:ascii="Arial" w:hAnsi="Arial" w:cs="Arial"/>
        </w:rPr>
        <w:t xml:space="preserve">3) </w:t>
      </w:r>
      <w:r w:rsidRPr="00FC39A8">
        <w:rPr>
          <w:rFonts w:ascii="Arial" w:hAnsi="Arial" w:cs="Arial"/>
        </w:rPr>
        <w:t>treatment</w:t>
      </w:r>
      <w:r w:rsidR="00F91ED8">
        <w:rPr>
          <w:rFonts w:ascii="Arial" w:hAnsi="Arial" w:cs="Arial"/>
        </w:rPr>
        <w:t xml:space="preserve">.  </w:t>
      </w:r>
      <w:r w:rsidRPr="00FC39A8">
        <w:rPr>
          <w:rFonts w:ascii="Arial" w:hAnsi="Arial" w:cs="Arial"/>
        </w:rPr>
        <w:t>The most influential donor/graft factor is the degree of genetic disparity between the donor and the recipient (HLA</w:t>
      </w:r>
      <w:r>
        <w:rPr>
          <w:rFonts w:ascii="Arial" w:hAnsi="Arial" w:cs="Arial"/>
        </w:rPr>
        <w:t xml:space="preserve"> match</w:t>
      </w:r>
      <w:r w:rsidRPr="00FC39A8">
        <w:rPr>
          <w:rFonts w:ascii="Arial" w:hAnsi="Arial" w:cs="Arial"/>
        </w:rPr>
        <w:t xml:space="preserve">), but other risk factors include female donor to male recipient, </w:t>
      </w:r>
      <w:r>
        <w:rPr>
          <w:rFonts w:ascii="Arial" w:hAnsi="Arial" w:cs="Arial"/>
        </w:rPr>
        <w:t xml:space="preserve">donor </w:t>
      </w:r>
      <w:r w:rsidRPr="00FC39A8">
        <w:rPr>
          <w:rFonts w:ascii="Arial" w:hAnsi="Arial" w:cs="Arial"/>
        </w:rPr>
        <w:t>parity, older donors, and T-cell dose</w:t>
      </w:r>
      <w:r w:rsidR="00F91ED8">
        <w:rPr>
          <w:rFonts w:ascii="Arial" w:hAnsi="Arial" w:cs="Arial"/>
        </w:rPr>
        <w:t xml:space="preserve">.  </w:t>
      </w:r>
      <w:r w:rsidRPr="00FC39A8">
        <w:rPr>
          <w:rFonts w:ascii="Arial" w:hAnsi="Arial" w:cs="Arial"/>
        </w:rPr>
        <w:t>The occurrence of acute GVHD</w:t>
      </w:r>
      <w:r>
        <w:rPr>
          <w:rFonts w:ascii="Arial" w:hAnsi="Arial" w:cs="Arial"/>
        </w:rPr>
        <w:t xml:space="preserve"> </w:t>
      </w:r>
      <w:r w:rsidRPr="00FC39A8">
        <w:rPr>
          <w:rFonts w:ascii="Arial" w:hAnsi="Arial" w:cs="Arial"/>
        </w:rPr>
        <w:t>becomes a risk factor for the development of chronic GVHD</w:t>
      </w:r>
      <w:r w:rsidR="00F91ED8">
        <w:rPr>
          <w:rFonts w:ascii="Arial" w:hAnsi="Arial" w:cs="Arial"/>
        </w:rPr>
        <w:t xml:space="preserve">.  </w:t>
      </w:r>
      <w:r w:rsidRPr="00FC39A8">
        <w:rPr>
          <w:rFonts w:ascii="Arial" w:hAnsi="Arial" w:cs="Arial"/>
        </w:rPr>
        <w:t>Recipient age</w:t>
      </w:r>
      <w:r>
        <w:rPr>
          <w:rFonts w:ascii="Arial" w:hAnsi="Arial" w:cs="Arial"/>
        </w:rPr>
        <w:t xml:space="preserve"> and</w:t>
      </w:r>
      <w:r w:rsidRPr="00DE3DFF">
        <w:rPr>
          <w:rFonts w:ascii="Arial" w:hAnsi="Arial" w:cs="Arial"/>
        </w:rPr>
        <w:t xml:space="preserve"> </w:t>
      </w:r>
      <w:r>
        <w:rPr>
          <w:rFonts w:ascii="Arial" w:hAnsi="Arial" w:cs="Arial"/>
        </w:rPr>
        <w:t>prior infections</w:t>
      </w:r>
      <w:r w:rsidRPr="00FC39A8">
        <w:rPr>
          <w:rFonts w:ascii="Arial" w:hAnsi="Arial" w:cs="Arial"/>
        </w:rPr>
        <w:t xml:space="preserve"> </w:t>
      </w:r>
      <w:r>
        <w:rPr>
          <w:rFonts w:ascii="Arial" w:hAnsi="Arial" w:cs="Arial"/>
        </w:rPr>
        <w:t>are</w:t>
      </w:r>
      <w:r w:rsidRPr="00FC39A8">
        <w:rPr>
          <w:rFonts w:ascii="Arial" w:hAnsi="Arial" w:cs="Arial"/>
        </w:rPr>
        <w:t xml:space="preserve"> also factor</w:t>
      </w:r>
      <w:r>
        <w:rPr>
          <w:rFonts w:ascii="Arial" w:hAnsi="Arial" w:cs="Arial"/>
        </w:rPr>
        <w:t>s</w:t>
      </w:r>
      <w:r w:rsidR="00F91ED8">
        <w:rPr>
          <w:rFonts w:ascii="Arial" w:hAnsi="Arial" w:cs="Arial"/>
        </w:rPr>
        <w:t xml:space="preserve">.  </w:t>
      </w:r>
      <w:r>
        <w:rPr>
          <w:rFonts w:ascii="Arial" w:hAnsi="Arial" w:cs="Arial"/>
        </w:rPr>
        <w:t>Treatment-</w:t>
      </w:r>
      <w:r w:rsidRPr="00FC39A8">
        <w:rPr>
          <w:rFonts w:ascii="Arial" w:hAnsi="Arial" w:cs="Arial"/>
        </w:rPr>
        <w:t xml:space="preserve">related factors include </w:t>
      </w:r>
      <w:r>
        <w:rPr>
          <w:rFonts w:ascii="Arial" w:hAnsi="Arial" w:cs="Arial"/>
        </w:rPr>
        <w:t xml:space="preserve">a </w:t>
      </w:r>
      <w:proofErr w:type="spellStart"/>
      <w:r>
        <w:rPr>
          <w:rFonts w:ascii="Arial" w:hAnsi="Arial" w:cs="Arial"/>
        </w:rPr>
        <w:t>myeloablative</w:t>
      </w:r>
      <w:proofErr w:type="spellEnd"/>
      <w:r w:rsidRPr="00FC39A8">
        <w:rPr>
          <w:rFonts w:ascii="Arial" w:hAnsi="Arial" w:cs="Arial"/>
        </w:rPr>
        <w:t xml:space="preserve"> preparative regimen and inadequate post-</w:t>
      </w:r>
      <w:r w:rsidR="00AF4E5A">
        <w:rPr>
          <w:rFonts w:ascii="Arial" w:hAnsi="Arial" w:cs="Arial"/>
        </w:rPr>
        <w:t>HCT</w:t>
      </w:r>
      <w:r w:rsidRPr="00FC39A8">
        <w:rPr>
          <w:rFonts w:ascii="Arial" w:hAnsi="Arial" w:cs="Arial"/>
        </w:rPr>
        <w:t xml:space="preserve"> immune suppression (GVHD prophylaxis).</w:t>
      </w:r>
    </w:p>
    <w:p w14:paraId="65D146AE" w14:textId="77777777" w:rsidR="006A1C8F" w:rsidRPr="00FC39A8" w:rsidRDefault="006A1C8F" w:rsidP="00337399">
      <w:pPr>
        <w:autoSpaceDE w:val="0"/>
        <w:autoSpaceDN w:val="0"/>
        <w:adjustRightInd w:val="0"/>
        <w:rPr>
          <w:rFonts w:ascii="Arial" w:hAnsi="Arial" w:cs="Arial"/>
        </w:rPr>
      </w:pPr>
    </w:p>
    <w:p w14:paraId="532E6C67" w14:textId="5B166A84" w:rsidR="00337399" w:rsidRDefault="00337399" w:rsidP="00337399">
      <w:pPr>
        <w:autoSpaceDE w:val="0"/>
        <w:autoSpaceDN w:val="0"/>
        <w:adjustRightInd w:val="0"/>
        <w:rPr>
          <w:rFonts w:ascii="Arial" w:hAnsi="Arial" w:cs="Arial"/>
          <w:color w:val="000000"/>
        </w:rPr>
      </w:pPr>
      <w:r w:rsidRPr="00FC39A8">
        <w:rPr>
          <w:rFonts w:ascii="Arial" w:hAnsi="Arial" w:cs="Arial"/>
          <w:color w:val="000000"/>
        </w:rPr>
        <w:t xml:space="preserve">In the past, GVHD </w:t>
      </w:r>
      <w:proofErr w:type="gramStart"/>
      <w:r w:rsidRPr="00FC39A8">
        <w:rPr>
          <w:rFonts w:ascii="Arial" w:hAnsi="Arial" w:cs="Arial"/>
          <w:color w:val="000000"/>
        </w:rPr>
        <w:t>was classified</w:t>
      </w:r>
      <w:proofErr w:type="gramEnd"/>
      <w:r w:rsidRPr="00FC39A8">
        <w:rPr>
          <w:rFonts w:ascii="Arial" w:hAnsi="Arial" w:cs="Arial"/>
          <w:color w:val="000000"/>
        </w:rPr>
        <w:t xml:space="preserve"> </w:t>
      </w:r>
      <w:r>
        <w:rPr>
          <w:rFonts w:ascii="Arial" w:hAnsi="Arial" w:cs="Arial"/>
          <w:color w:val="000000"/>
        </w:rPr>
        <w:t>as</w:t>
      </w:r>
      <w:r w:rsidRPr="00FC39A8">
        <w:rPr>
          <w:rFonts w:ascii="Arial" w:hAnsi="Arial" w:cs="Arial"/>
          <w:color w:val="000000"/>
        </w:rPr>
        <w:t xml:space="preserve"> acute or chronic </w:t>
      </w:r>
      <w:r>
        <w:rPr>
          <w:rFonts w:ascii="Arial" w:hAnsi="Arial" w:cs="Arial"/>
          <w:color w:val="000000"/>
        </w:rPr>
        <w:t>based on</w:t>
      </w:r>
      <w:r w:rsidRPr="00FC39A8">
        <w:rPr>
          <w:rFonts w:ascii="Arial" w:hAnsi="Arial" w:cs="Arial"/>
          <w:color w:val="000000"/>
        </w:rPr>
        <w:t xml:space="preserve"> its time to diagnosis following transplant, and other clinical and histological (biopsy or post-mortem) features</w:t>
      </w:r>
      <w:r w:rsidR="00F91ED8">
        <w:rPr>
          <w:rFonts w:ascii="Arial" w:hAnsi="Arial" w:cs="Arial"/>
          <w:color w:val="FF0000"/>
        </w:rPr>
        <w:t xml:space="preserve">.  </w:t>
      </w:r>
      <w:r w:rsidRPr="00FC39A8">
        <w:rPr>
          <w:rFonts w:ascii="Arial" w:hAnsi="Arial" w:cs="Arial"/>
          <w:color w:val="000000"/>
        </w:rPr>
        <w:t>Today</w:t>
      </w:r>
      <w:r>
        <w:rPr>
          <w:rFonts w:ascii="Arial" w:hAnsi="Arial" w:cs="Arial"/>
          <w:color w:val="000000"/>
        </w:rPr>
        <w:t>,</w:t>
      </w:r>
      <w:r w:rsidRPr="00FC39A8">
        <w:rPr>
          <w:rFonts w:ascii="Arial" w:hAnsi="Arial" w:cs="Arial"/>
          <w:color w:val="000000"/>
        </w:rPr>
        <w:t xml:space="preserve"> there has been increased recognition that acute and chronic GVHD are not dependent upon time since </w:t>
      </w:r>
      <w:r w:rsidR="00AF4E5A">
        <w:rPr>
          <w:rFonts w:ascii="Arial" w:hAnsi="Arial" w:cs="Arial"/>
          <w:color w:val="000000"/>
        </w:rPr>
        <w:t>HCT</w:t>
      </w:r>
      <w:r w:rsidRPr="00FC39A8">
        <w:rPr>
          <w:rFonts w:ascii="Arial" w:hAnsi="Arial" w:cs="Arial"/>
          <w:color w:val="000000"/>
        </w:rPr>
        <w:t>, so determination of acute or chronic should rest on clinical and histologic features</w:t>
      </w:r>
      <w:r w:rsidR="00F91ED8">
        <w:rPr>
          <w:rFonts w:ascii="Arial" w:hAnsi="Arial" w:cs="Arial"/>
          <w:color w:val="000000"/>
        </w:rPr>
        <w:t xml:space="preserve">.  </w:t>
      </w:r>
      <w:r w:rsidRPr="000D5147">
        <w:rPr>
          <w:rFonts w:ascii="Arial" w:hAnsi="Arial" w:cs="Arial"/>
          <w:b/>
          <w:color w:val="000000"/>
        </w:rPr>
        <w:t xml:space="preserve">However, organ staging and overall grade </w:t>
      </w:r>
      <w:proofErr w:type="gramStart"/>
      <w:r w:rsidRPr="000D5147">
        <w:rPr>
          <w:rFonts w:ascii="Arial" w:hAnsi="Arial" w:cs="Arial"/>
          <w:b/>
          <w:color w:val="000000"/>
        </w:rPr>
        <w:t>should only be calculated</w:t>
      </w:r>
      <w:proofErr w:type="gramEnd"/>
      <w:r w:rsidRPr="000D5147">
        <w:rPr>
          <w:rFonts w:ascii="Arial" w:hAnsi="Arial" w:cs="Arial"/>
          <w:b/>
          <w:color w:val="000000"/>
        </w:rPr>
        <w:t xml:space="preserve"> from the clinical picture, not histology</w:t>
      </w:r>
      <w:r w:rsidR="00F91ED8">
        <w:rPr>
          <w:rFonts w:ascii="Arial" w:hAnsi="Arial" w:cs="Arial"/>
          <w:b/>
          <w:color w:val="000000"/>
        </w:rPr>
        <w:t xml:space="preserve">.  </w:t>
      </w:r>
      <w:r w:rsidRPr="00FC39A8">
        <w:rPr>
          <w:rFonts w:ascii="Arial" w:hAnsi="Arial" w:cs="Arial"/>
          <w:color w:val="000000"/>
        </w:rPr>
        <w:t xml:space="preserve">Acute GVHD usually begins between 10 and 40 days after </w:t>
      </w:r>
      <w:r w:rsidR="00AF4E5A">
        <w:rPr>
          <w:rFonts w:ascii="Arial" w:hAnsi="Arial" w:cs="Arial"/>
          <w:color w:val="000000"/>
        </w:rPr>
        <w:t>HCT</w:t>
      </w:r>
      <w:r w:rsidRPr="00FC39A8">
        <w:rPr>
          <w:rFonts w:ascii="Arial" w:hAnsi="Arial" w:cs="Arial"/>
          <w:color w:val="000000"/>
        </w:rPr>
        <w:t xml:space="preserve"> bu</w:t>
      </w:r>
      <w:r>
        <w:rPr>
          <w:rFonts w:ascii="Arial" w:hAnsi="Arial" w:cs="Arial"/>
          <w:color w:val="000000"/>
        </w:rPr>
        <w:t>t can appear earlier or later</w:t>
      </w:r>
      <w:r w:rsidR="00F91ED8">
        <w:rPr>
          <w:rFonts w:ascii="Arial" w:hAnsi="Arial" w:cs="Arial"/>
          <w:color w:val="000000"/>
        </w:rPr>
        <w:t xml:space="preserve">.  </w:t>
      </w:r>
      <w:r w:rsidRPr="00FC39A8">
        <w:rPr>
          <w:rFonts w:ascii="Arial" w:hAnsi="Arial" w:cs="Arial"/>
          <w:color w:val="000000"/>
        </w:rPr>
        <w:t xml:space="preserve">The organs </w:t>
      </w:r>
      <w:r>
        <w:rPr>
          <w:rFonts w:ascii="Arial" w:hAnsi="Arial" w:cs="Arial"/>
          <w:color w:val="000000"/>
        </w:rPr>
        <w:t>most commonly</w:t>
      </w:r>
      <w:r w:rsidRPr="00FC39A8">
        <w:rPr>
          <w:rFonts w:ascii="Arial" w:hAnsi="Arial" w:cs="Arial"/>
          <w:color w:val="000000"/>
        </w:rPr>
        <w:t xml:space="preserve"> affected</w:t>
      </w:r>
      <w:r>
        <w:rPr>
          <w:rFonts w:ascii="Arial" w:hAnsi="Arial" w:cs="Arial"/>
          <w:color w:val="000000"/>
        </w:rPr>
        <w:t xml:space="preserve"> by acute GVHD</w:t>
      </w:r>
      <w:r w:rsidRPr="00FC39A8">
        <w:rPr>
          <w:rFonts w:ascii="Arial" w:hAnsi="Arial" w:cs="Arial"/>
          <w:color w:val="000000"/>
        </w:rPr>
        <w:t xml:space="preserve"> are the skin, gut</w:t>
      </w:r>
      <w:r>
        <w:rPr>
          <w:rFonts w:ascii="Arial" w:hAnsi="Arial" w:cs="Arial"/>
          <w:color w:val="000000"/>
        </w:rPr>
        <w:t>,</w:t>
      </w:r>
      <w:r w:rsidRPr="00FC39A8">
        <w:rPr>
          <w:rFonts w:ascii="Arial" w:hAnsi="Arial" w:cs="Arial"/>
          <w:color w:val="000000"/>
        </w:rPr>
        <w:t xml:space="preserve"> or liver</w:t>
      </w:r>
      <w:r w:rsidR="00F91ED8">
        <w:rPr>
          <w:rFonts w:ascii="Arial" w:hAnsi="Arial" w:cs="Arial"/>
          <w:color w:val="000000"/>
        </w:rPr>
        <w:t xml:space="preserve">.  </w:t>
      </w:r>
      <w:r>
        <w:rPr>
          <w:rFonts w:ascii="Arial" w:hAnsi="Arial" w:cs="Arial"/>
          <w:color w:val="000000"/>
        </w:rPr>
        <w:t>O</w:t>
      </w:r>
      <w:r w:rsidRPr="00FC39A8">
        <w:rPr>
          <w:rFonts w:ascii="Arial" w:hAnsi="Arial" w:cs="Arial"/>
          <w:color w:val="000000"/>
        </w:rPr>
        <w:t>ther sites</w:t>
      </w:r>
      <w:r>
        <w:rPr>
          <w:rFonts w:ascii="Arial" w:hAnsi="Arial" w:cs="Arial"/>
          <w:color w:val="000000"/>
        </w:rPr>
        <w:t>,</w:t>
      </w:r>
      <w:r w:rsidRPr="00FC39A8">
        <w:rPr>
          <w:rFonts w:ascii="Arial" w:hAnsi="Arial" w:cs="Arial"/>
          <w:color w:val="000000"/>
        </w:rPr>
        <w:t xml:space="preserve"> </w:t>
      </w:r>
      <w:r>
        <w:rPr>
          <w:rFonts w:ascii="Arial" w:hAnsi="Arial" w:cs="Arial"/>
          <w:color w:val="000000"/>
        </w:rPr>
        <w:t xml:space="preserve">such as the lung, </w:t>
      </w:r>
      <w:r w:rsidRPr="00FC39A8">
        <w:rPr>
          <w:rFonts w:ascii="Arial" w:hAnsi="Arial" w:cs="Arial"/>
          <w:color w:val="000000"/>
        </w:rPr>
        <w:t>may be involved.</w:t>
      </w:r>
    </w:p>
    <w:p w14:paraId="37018BA0" w14:textId="77777777" w:rsidR="00A27C4C" w:rsidRDefault="00A27C4C" w:rsidP="00337399">
      <w:pPr>
        <w:autoSpaceDE w:val="0"/>
        <w:autoSpaceDN w:val="0"/>
        <w:adjustRightInd w:val="0"/>
        <w:rPr>
          <w:rFonts w:ascii="Arial" w:hAnsi="Arial" w:cs="Arial"/>
          <w:color w:val="000000"/>
        </w:rPr>
      </w:pPr>
    </w:p>
    <w:p w14:paraId="51565BA8" w14:textId="770BB14B" w:rsidR="00A27C4C" w:rsidRPr="00A27C4C" w:rsidRDefault="00A27C4C" w:rsidP="00A27C4C">
      <w:pPr>
        <w:rPr>
          <w:rFonts w:ascii="Arial" w:hAnsi="Arial" w:cs="Arial"/>
        </w:rPr>
      </w:pPr>
      <w:r w:rsidRPr="00A27C4C">
        <w:rPr>
          <w:rFonts w:ascii="Arial" w:hAnsi="Arial" w:cs="Arial"/>
        </w:rPr>
        <w:lastRenderedPageBreak/>
        <w:t>This section is for allogeneic HCTs only</w:t>
      </w:r>
      <w:r w:rsidR="00F91ED8">
        <w:rPr>
          <w:rFonts w:ascii="Arial" w:hAnsi="Arial" w:cs="Arial"/>
        </w:rPr>
        <w:t xml:space="preserve">.  </w:t>
      </w:r>
      <w:r w:rsidRPr="00A27C4C">
        <w:rPr>
          <w:rFonts w:ascii="Arial" w:hAnsi="Arial" w:cs="Arial"/>
        </w:rPr>
        <w:t>If this was an autologous</w:t>
      </w:r>
      <w:r w:rsidR="006A1C8F">
        <w:rPr>
          <w:rFonts w:ascii="Arial" w:hAnsi="Arial" w:cs="Arial"/>
        </w:rPr>
        <w:t xml:space="preserve"> or syngeneic</w:t>
      </w:r>
      <w:r w:rsidRPr="00A27C4C">
        <w:rPr>
          <w:rFonts w:ascii="Arial" w:hAnsi="Arial" w:cs="Arial"/>
        </w:rPr>
        <w:t xml:space="preserve"> HCT, continue to </w:t>
      </w:r>
      <w:r w:rsidR="006A1C8F">
        <w:rPr>
          <w:rFonts w:ascii="Arial" w:hAnsi="Arial" w:cs="Arial"/>
        </w:rPr>
        <w:t>Liver Toxicity Prophylaxis.</w:t>
      </w:r>
    </w:p>
    <w:p w14:paraId="79071066" w14:textId="77777777" w:rsidR="005663BC" w:rsidRDefault="005663BC" w:rsidP="00337399">
      <w:pPr>
        <w:autoSpaceDE w:val="0"/>
        <w:autoSpaceDN w:val="0"/>
        <w:adjustRightInd w:val="0"/>
        <w:rPr>
          <w:rFonts w:ascii="Arial" w:hAnsi="Arial" w:cs="Arial"/>
          <w:color w:val="000000"/>
        </w:rPr>
      </w:pPr>
    </w:p>
    <w:p w14:paraId="1F0D0720" w14:textId="6A1872D5" w:rsidR="005663BC" w:rsidRDefault="005663BC" w:rsidP="00337399">
      <w:pPr>
        <w:autoSpaceDE w:val="0"/>
        <w:autoSpaceDN w:val="0"/>
        <w:adjustRightInd w:val="0"/>
        <w:rPr>
          <w:rFonts w:ascii="Arial" w:hAnsi="Arial" w:cs="Arial"/>
          <w:b/>
          <w:color w:val="000000"/>
        </w:rPr>
      </w:pPr>
      <w:r>
        <w:rPr>
          <w:rFonts w:ascii="Arial" w:hAnsi="Arial" w:cs="Arial"/>
          <w:b/>
          <w:color w:val="000000"/>
        </w:rPr>
        <w:t xml:space="preserve">Question 19: </w:t>
      </w:r>
      <w:r w:rsidR="005A3F32">
        <w:rPr>
          <w:rFonts w:ascii="Arial" w:hAnsi="Arial" w:cs="Arial"/>
          <w:b/>
          <w:color w:val="000000"/>
        </w:rPr>
        <w:t xml:space="preserve"> </w:t>
      </w:r>
      <w:r>
        <w:rPr>
          <w:rFonts w:ascii="Arial" w:hAnsi="Arial" w:cs="Arial"/>
          <w:b/>
          <w:color w:val="000000"/>
        </w:rPr>
        <w:t>Did acute GVHD develop since the date of last report?</w:t>
      </w:r>
    </w:p>
    <w:p w14:paraId="51D72A05" w14:textId="35403D52" w:rsidR="005663BC" w:rsidRDefault="006A1C8F" w:rsidP="00337399">
      <w:pPr>
        <w:autoSpaceDE w:val="0"/>
        <w:autoSpaceDN w:val="0"/>
        <w:adjustRightInd w:val="0"/>
        <w:rPr>
          <w:rFonts w:ascii="Arial" w:hAnsi="Arial" w:cs="Arial"/>
        </w:rPr>
      </w:pPr>
      <w:r>
        <w:rPr>
          <w:rFonts w:ascii="Arial" w:hAnsi="Arial" w:cs="Arial"/>
          <w:color w:val="000000"/>
        </w:rPr>
        <w:t xml:space="preserve">Indicate whether acute GVHD </w:t>
      </w:r>
      <w:proofErr w:type="gramStart"/>
      <w:r>
        <w:rPr>
          <w:rFonts w:ascii="Arial" w:hAnsi="Arial" w:cs="Arial"/>
          <w:color w:val="000000"/>
        </w:rPr>
        <w:t>was clinically diagnosed</w:t>
      </w:r>
      <w:proofErr w:type="gramEnd"/>
      <w:r>
        <w:rPr>
          <w:rFonts w:ascii="Arial" w:hAnsi="Arial" w:cs="Arial"/>
          <w:color w:val="000000"/>
        </w:rPr>
        <w:t xml:space="preserve"> during the reporting period in response to transplant or donor cellular infusion</w:t>
      </w:r>
      <w:r w:rsidR="00F91ED8">
        <w:rPr>
          <w:rFonts w:ascii="Arial" w:hAnsi="Arial" w:cs="Arial"/>
          <w:color w:val="000000"/>
        </w:rPr>
        <w:t xml:space="preserve">.  </w:t>
      </w:r>
      <w:r>
        <w:rPr>
          <w:rFonts w:ascii="Arial" w:hAnsi="Arial" w:cs="Arial"/>
          <w:color w:val="000000"/>
        </w:rPr>
        <w:t>If “yes,” continue with question 20; indicate “yes” if</w:t>
      </w:r>
      <w:r w:rsidR="00526E18">
        <w:rPr>
          <w:rFonts w:ascii="Arial" w:hAnsi="Arial" w:cs="Arial"/>
          <w:color w:val="000000"/>
        </w:rPr>
        <w:t xml:space="preserve"> there was a clinical diagnosis and</w:t>
      </w:r>
      <w:r>
        <w:rPr>
          <w:rFonts w:ascii="Arial" w:hAnsi="Arial" w:cs="Arial"/>
          <w:color w:val="000000"/>
        </w:rPr>
        <w:t xml:space="preserve"> approximate date </w:t>
      </w:r>
      <w:proofErr w:type="gramStart"/>
      <w:r>
        <w:rPr>
          <w:rFonts w:ascii="Arial" w:hAnsi="Arial" w:cs="Arial"/>
          <w:color w:val="000000"/>
        </w:rPr>
        <w:t>is known</w:t>
      </w:r>
      <w:proofErr w:type="gramEnd"/>
      <w:r>
        <w:rPr>
          <w:rFonts w:ascii="Arial" w:hAnsi="Arial" w:cs="Arial"/>
          <w:color w:val="000000"/>
        </w:rPr>
        <w:t>, even if reported date must be estimated</w:t>
      </w:r>
      <w:r w:rsidR="00F91ED8">
        <w:rPr>
          <w:rFonts w:ascii="Arial" w:hAnsi="Arial" w:cs="Arial"/>
          <w:color w:val="000000"/>
        </w:rPr>
        <w:t xml:space="preserve">.  </w:t>
      </w:r>
      <w:r>
        <w:rPr>
          <w:rFonts w:ascii="Arial" w:hAnsi="Arial" w:cs="Arial"/>
          <w:color w:val="000000"/>
        </w:rPr>
        <w:t xml:space="preserve">Refer to </w:t>
      </w:r>
      <w:r>
        <w:rPr>
          <w:rFonts w:ascii="Arial" w:hAnsi="Arial" w:cs="Arial"/>
        </w:rPr>
        <w:t xml:space="preserve">General Instructions, </w:t>
      </w:r>
      <w:hyperlink r:id="rId19" w:history="1">
        <w:r w:rsidRPr="00E22EBE">
          <w:rPr>
            <w:rStyle w:val="Hyperlink"/>
            <w:rFonts w:ascii="Arial" w:hAnsi="Arial" w:cs="Arial"/>
          </w:rPr>
          <w:t>General Guidelines for Completing Forms</w:t>
        </w:r>
      </w:hyperlink>
      <w:r>
        <w:rPr>
          <w:rFonts w:ascii="Arial" w:hAnsi="Arial" w:cs="Arial"/>
        </w:rPr>
        <w:t xml:space="preserve">, for information about reporting partial or unknown </w:t>
      </w:r>
      <w:r w:rsidR="00526E18">
        <w:rPr>
          <w:rFonts w:ascii="Arial" w:hAnsi="Arial" w:cs="Arial"/>
        </w:rPr>
        <w:t>dates.</w:t>
      </w:r>
    </w:p>
    <w:p w14:paraId="1FBC2B1D" w14:textId="77777777" w:rsidR="00526E18" w:rsidRDefault="00526E18" w:rsidP="00337399">
      <w:pPr>
        <w:autoSpaceDE w:val="0"/>
        <w:autoSpaceDN w:val="0"/>
        <w:adjustRightInd w:val="0"/>
        <w:rPr>
          <w:rFonts w:ascii="Arial" w:hAnsi="Arial" w:cs="Arial"/>
        </w:rPr>
      </w:pPr>
    </w:p>
    <w:p w14:paraId="10CECBE8" w14:textId="6D157751" w:rsidR="00526E18" w:rsidRDefault="00526E18" w:rsidP="00337399">
      <w:pPr>
        <w:autoSpaceDE w:val="0"/>
        <w:autoSpaceDN w:val="0"/>
        <w:adjustRightInd w:val="0"/>
        <w:rPr>
          <w:rFonts w:ascii="Arial" w:hAnsi="Arial" w:cs="Arial"/>
        </w:rPr>
      </w:pPr>
      <w:r>
        <w:rPr>
          <w:rFonts w:ascii="Arial" w:hAnsi="Arial" w:cs="Arial"/>
        </w:rPr>
        <w:t>If the recipient had a flare of acute GVHD occurring after period of symptom quiescence or immunosuppressive tap</w:t>
      </w:r>
      <w:r w:rsidR="00A027BA">
        <w:rPr>
          <w:rFonts w:ascii="Arial" w:hAnsi="Arial" w:cs="Arial"/>
        </w:rPr>
        <w:t>er or discontinuation, report</w:t>
      </w:r>
      <w:r>
        <w:rPr>
          <w:rFonts w:ascii="Arial" w:hAnsi="Arial" w:cs="Arial"/>
        </w:rPr>
        <w:t xml:space="preserve"> “yes” and continue with question 20.</w:t>
      </w:r>
    </w:p>
    <w:p w14:paraId="1BA5F9DE" w14:textId="77777777" w:rsidR="00526E18" w:rsidRDefault="00526E18" w:rsidP="00337399">
      <w:pPr>
        <w:autoSpaceDE w:val="0"/>
        <w:autoSpaceDN w:val="0"/>
        <w:adjustRightInd w:val="0"/>
        <w:rPr>
          <w:rFonts w:ascii="Arial" w:hAnsi="Arial" w:cs="Arial"/>
        </w:rPr>
      </w:pPr>
    </w:p>
    <w:p w14:paraId="5280B8E2" w14:textId="61C022B5" w:rsidR="00526E18" w:rsidRDefault="00526E18" w:rsidP="00337399">
      <w:pPr>
        <w:autoSpaceDE w:val="0"/>
        <w:autoSpaceDN w:val="0"/>
        <w:adjustRightInd w:val="0"/>
        <w:rPr>
          <w:rFonts w:ascii="Arial" w:hAnsi="Arial" w:cs="Arial"/>
          <w:color w:val="000000"/>
        </w:rPr>
      </w:pPr>
      <w:r>
        <w:rPr>
          <w:rFonts w:ascii="Arial" w:hAnsi="Arial" w:cs="Arial"/>
        </w:rPr>
        <w:t>Indicate “no” if acute GVHD was not clinically diagnosed – initially or as a flare - in the reporting period; this includes instances where acute GVHD persists from a prior reporting period without flare in the current reporting period</w:t>
      </w:r>
      <w:r w:rsidR="00F91ED8">
        <w:rPr>
          <w:rFonts w:ascii="Arial" w:hAnsi="Arial" w:cs="Arial"/>
        </w:rPr>
        <w:t xml:space="preserve">.  </w:t>
      </w:r>
      <w:r>
        <w:rPr>
          <w:rFonts w:ascii="Arial" w:hAnsi="Arial" w:cs="Arial"/>
        </w:rPr>
        <w:t>Indicate “unknown” if there is no information about the recipient’s GVHD status for the reporting period</w:t>
      </w:r>
      <w:r w:rsidR="00F91ED8">
        <w:rPr>
          <w:rFonts w:ascii="Arial" w:hAnsi="Arial" w:cs="Arial"/>
        </w:rPr>
        <w:t xml:space="preserve">.  </w:t>
      </w:r>
      <w:r w:rsidR="00F30B7B">
        <w:rPr>
          <w:rFonts w:ascii="Arial" w:hAnsi="Arial" w:cs="Arial"/>
        </w:rPr>
        <w:t>This option should be used sparingly and only when no judgment can be made about the presence or absence of GVHD in the reporting period.</w:t>
      </w:r>
    </w:p>
    <w:p w14:paraId="14EE2E11" w14:textId="77777777" w:rsidR="006A1C8F" w:rsidRPr="006A1C8F" w:rsidRDefault="006A1C8F" w:rsidP="00337399">
      <w:pPr>
        <w:autoSpaceDE w:val="0"/>
        <w:autoSpaceDN w:val="0"/>
        <w:adjustRightInd w:val="0"/>
        <w:rPr>
          <w:rFonts w:ascii="Arial" w:hAnsi="Arial" w:cs="Arial"/>
          <w:color w:val="000000"/>
        </w:rPr>
      </w:pPr>
    </w:p>
    <w:p w14:paraId="4673E206" w14:textId="46FA4D1D" w:rsidR="005663BC" w:rsidRDefault="005663BC" w:rsidP="00337399">
      <w:pPr>
        <w:autoSpaceDE w:val="0"/>
        <w:autoSpaceDN w:val="0"/>
        <w:adjustRightInd w:val="0"/>
        <w:rPr>
          <w:rFonts w:ascii="Arial" w:hAnsi="Arial" w:cs="Arial"/>
          <w:b/>
          <w:color w:val="000000"/>
        </w:rPr>
      </w:pPr>
      <w:r>
        <w:rPr>
          <w:rFonts w:ascii="Arial" w:hAnsi="Arial" w:cs="Arial"/>
          <w:b/>
          <w:color w:val="000000"/>
        </w:rPr>
        <w:t>Question 2</w:t>
      </w:r>
      <w:r w:rsidR="003E7677">
        <w:rPr>
          <w:rFonts w:ascii="Arial" w:hAnsi="Arial" w:cs="Arial"/>
          <w:b/>
          <w:color w:val="000000"/>
        </w:rPr>
        <w:t xml:space="preserve">0: </w:t>
      </w:r>
      <w:r w:rsidR="005A3F32">
        <w:rPr>
          <w:rFonts w:ascii="Arial" w:hAnsi="Arial" w:cs="Arial"/>
          <w:b/>
          <w:color w:val="000000"/>
        </w:rPr>
        <w:t xml:space="preserve"> </w:t>
      </w:r>
      <w:r w:rsidR="003E7677">
        <w:rPr>
          <w:rFonts w:ascii="Arial" w:hAnsi="Arial" w:cs="Arial"/>
          <w:b/>
          <w:color w:val="000000"/>
        </w:rPr>
        <w:t>Date of acute GVHD diagnosis</w:t>
      </w:r>
    </w:p>
    <w:p w14:paraId="060D00FC" w14:textId="5086ED04" w:rsidR="00F30B7B" w:rsidRDefault="00F30B7B" w:rsidP="00F30B7B">
      <w:pPr>
        <w:autoSpaceDE w:val="0"/>
        <w:autoSpaceDN w:val="0"/>
        <w:adjustRightInd w:val="0"/>
        <w:rPr>
          <w:rFonts w:ascii="Arial" w:hAnsi="Arial" w:cs="Arial"/>
        </w:rPr>
      </w:pPr>
      <w:r w:rsidRPr="00FC39A8">
        <w:rPr>
          <w:rFonts w:ascii="Arial" w:hAnsi="Arial" w:cs="Arial"/>
        </w:rPr>
        <w:t>Report the date of clinical diagnosis</w:t>
      </w:r>
      <w:r>
        <w:rPr>
          <w:rFonts w:ascii="Arial" w:hAnsi="Arial" w:cs="Arial"/>
        </w:rPr>
        <w:t xml:space="preserve"> of acute GVHD</w:t>
      </w:r>
      <w:r w:rsidR="00F91ED8">
        <w:rPr>
          <w:rFonts w:ascii="Arial" w:hAnsi="Arial" w:cs="Arial"/>
        </w:rPr>
        <w:t xml:space="preserve">.  </w:t>
      </w:r>
      <w:r>
        <w:rPr>
          <w:rFonts w:ascii="Arial" w:hAnsi="Arial" w:cs="Arial"/>
        </w:rPr>
        <w:t>T</w:t>
      </w:r>
      <w:r w:rsidRPr="00057495">
        <w:rPr>
          <w:rFonts w:ascii="Arial" w:hAnsi="Arial" w:cs="Arial"/>
        </w:rPr>
        <w:t>he clinical diagnosis date may not necessarily be the date the symptoms began</w:t>
      </w:r>
      <w:r>
        <w:rPr>
          <w:rFonts w:ascii="Arial" w:hAnsi="Arial" w:cs="Arial"/>
        </w:rPr>
        <w:t xml:space="preserve"> (example: the recipient developed a rash one week prior to the physician </w:t>
      </w:r>
      <w:r w:rsidR="00A027BA">
        <w:rPr>
          <w:rFonts w:ascii="Arial" w:hAnsi="Arial" w:cs="Arial"/>
        </w:rPr>
        <w:t xml:space="preserve">clinically diagnosing </w:t>
      </w:r>
      <w:r>
        <w:rPr>
          <w:rFonts w:ascii="Arial" w:hAnsi="Arial" w:cs="Arial"/>
        </w:rPr>
        <w:t xml:space="preserve">acute </w:t>
      </w:r>
      <w:r w:rsidR="00A027BA">
        <w:rPr>
          <w:rFonts w:ascii="Arial" w:hAnsi="Arial" w:cs="Arial"/>
        </w:rPr>
        <w:t>skin GVHD)</w:t>
      </w:r>
      <w:r w:rsidR="00F91ED8">
        <w:rPr>
          <w:rFonts w:ascii="Arial" w:hAnsi="Arial" w:cs="Arial"/>
        </w:rPr>
        <w:t xml:space="preserve">.  </w:t>
      </w:r>
      <w:r w:rsidRPr="00FC39A8">
        <w:rPr>
          <w:rFonts w:ascii="Arial" w:hAnsi="Arial" w:cs="Arial"/>
        </w:rPr>
        <w:t xml:space="preserve">If the </w:t>
      </w:r>
      <w:r>
        <w:rPr>
          <w:rFonts w:ascii="Arial" w:hAnsi="Arial" w:cs="Arial"/>
        </w:rPr>
        <w:t xml:space="preserve">clinical </w:t>
      </w:r>
      <w:r w:rsidRPr="00FC39A8">
        <w:rPr>
          <w:rFonts w:ascii="Arial" w:hAnsi="Arial" w:cs="Arial"/>
        </w:rPr>
        <w:t xml:space="preserve">diagnosis date is not documented, </w:t>
      </w:r>
      <w:r>
        <w:rPr>
          <w:rFonts w:ascii="Arial" w:hAnsi="Arial" w:cs="Arial"/>
        </w:rPr>
        <w:t xml:space="preserve">then report the </w:t>
      </w:r>
      <w:r w:rsidRPr="00FC39A8">
        <w:rPr>
          <w:rFonts w:ascii="Arial" w:hAnsi="Arial" w:cs="Arial"/>
        </w:rPr>
        <w:t>da</w:t>
      </w:r>
      <w:r>
        <w:rPr>
          <w:rFonts w:ascii="Arial" w:hAnsi="Arial" w:cs="Arial"/>
        </w:rPr>
        <w:t xml:space="preserve">te of histological confirmation. </w:t>
      </w:r>
    </w:p>
    <w:p w14:paraId="3BEB7C0B" w14:textId="77777777" w:rsidR="00F30B7B" w:rsidRDefault="00F30B7B" w:rsidP="00F30B7B">
      <w:pPr>
        <w:autoSpaceDE w:val="0"/>
        <w:autoSpaceDN w:val="0"/>
        <w:adjustRightInd w:val="0"/>
        <w:rPr>
          <w:rFonts w:ascii="Arial" w:hAnsi="Arial" w:cs="Arial"/>
        </w:rPr>
      </w:pPr>
    </w:p>
    <w:p w14:paraId="54028A30" w14:textId="77777777" w:rsidR="00F30B7B" w:rsidRDefault="00F30B7B" w:rsidP="00F30B7B">
      <w:pPr>
        <w:rPr>
          <w:rFonts w:ascii="Arial" w:hAnsi="Arial" w:cs="Arial"/>
        </w:rPr>
      </w:pPr>
      <w:r>
        <w:rPr>
          <w:rFonts w:ascii="Arial" w:hAnsi="Arial" w:cs="Arial"/>
        </w:rPr>
        <w:t>If the recipient developed more than one episode of acute GVHD in the same reporting period, report the date of onset of the first episode of acute GVHD.</w:t>
      </w:r>
    </w:p>
    <w:p w14:paraId="66B2E2B5" w14:textId="77777777" w:rsidR="005663BC" w:rsidRDefault="005663BC" w:rsidP="00337399">
      <w:pPr>
        <w:autoSpaceDE w:val="0"/>
        <w:autoSpaceDN w:val="0"/>
        <w:adjustRightInd w:val="0"/>
        <w:rPr>
          <w:rFonts w:ascii="Arial" w:hAnsi="Arial" w:cs="Arial"/>
          <w:b/>
          <w:color w:val="000000"/>
        </w:rPr>
      </w:pPr>
    </w:p>
    <w:p w14:paraId="77B0347C" w14:textId="0B6D356B" w:rsidR="005663BC" w:rsidRPr="005663BC" w:rsidRDefault="005663BC" w:rsidP="00337399">
      <w:pPr>
        <w:autoSpaceDE w:val="0"/>
        <w:autoSpaceDN w:val="0"/>
        <w:adjustRightInd w:val="0"/>
        <w:rPr>
          <w:rFonts w:ascii="Arial" w:hAnsi="Arial" w:cs="Arial"/>
          <w:b/>
          <w:color w:val="000000"/>
        </w:rPr>
      </w:pPr>
      <w:r>
        <w:rPr>
          <w:rFonts w:ascii="Arial" w:hAnsi="Arial" w:cs="Arial"/>
          <w:b/>
          <w:color w:val="000000"/>
        </w:rPr>
        <w:t xml:space="preserve">Question 21: </w:t>
      </w:r>
      <w:r w:rsidR="005A3F32">
        <w:rPr>
          <w:rFonts w:ascii="Arial" w:hAnsi="Arial" w:cs="Arial"/>
          <w:b/>
          <w:color w:val="000000"/>
        </w:rPr>
        <w:t xml:space="preserve"> </w:t>
      </w:r>
      <w:r>
        <w:rPr>
          <w:rFonts w:ascii="Arial" w:hAnsi="Arial" w:cs="Arial"/>
          <w:b/>
          <w:color w:val="000000"/>
        </w:rPr>
        <w:t>Did acute GVHD persist since the date of last report?</w:t>
      </w:r>
    </w:p>
    <w:p w14:paraId="743115C2" w14:textId="5F5A4D24" w:rsidR="00F30B7B" w:rsidRDefault="00F30B7B" w:rsidP="00F30B7B">
      <w:pPr>
        <w:autoSpaceDE w:val="0"/>
        <w:autoSpaceDN w:val="0"/>
        <w:adjustRightInd w:val="0"/>
        <w:rPr>
          <w:rFonts w:ascii="Arial" w:hAnsi="Arial" w:cs="Arial"/>
        </w:rPr>
      </w:pPr>
      <w:r>
        <w:rPr>
          <w:rFonts w:ascii="Arial" w:hAnsi="Arial" w:cs="Arial"/>
          <w:color w:val="000000"/>
        </w:rPr>
        <w:t xml:space="preserve">Indicate whether acute GVHD </w:t>
      </w:r>
      <w:proofErr w:type="gramStart"/>
      <w:r>
        <w:rPr>
          <w:rFonts w:ascii="Arial" w:hAnsi="Arial" w:cs="Arial"/>
          <w:color w:val="000000"/>
        </w:rPr>
        <w:t>was clinically diagnosed during a previous reporting period and persisted, with active symptoms, into the present reporting period</w:t>
      </w:r>
      <w:proofErr w:type="gramEnd"/>
      <w:r w:rsidR="00F91ED8">
        <w:rPr>
          <w:rFonts w:ascii="Arial" w:hAnsi="Arial" w:cs="Arial"/>
          <w:color w:val="000000"/>
        </w:rPr>
        <w:t xml:space="preserve">.  </w:t>
      </w:r>
      <w:r>
        <w:rPr>
          <w:rFonts w:ascii="Arial" w:hAnsi="Arial" w:cs="Arial"/>
          <w:color w:val="000000"/>
        </w:rPr>
        <w:t>Do not report quiescent or inactive acute GVHD</w:t>
      </w:r>
      <w:r w:rsidR="00F91ED8">
        <w:rPr>
          <w:rFonts w:ascii="Arial" w:hAnsi="Arial" w:cs="Arial"/>
          <w:color w:val="000000"/>
        </w:rPr>
        <w:t xml:space="preserve">.  </w:t>
      </w:r>
      <w:r>
        <w:rPr>
          <w:rFonts w:ascii="Arial" w:hAnsi="Arial" w:cs="Arial"/>
          <w:color w:val="000000"/>
        </w:rPr>
        <w:t xml:space="preserve">If “yes,” continue with question 29; indicate “yes” if there was a clinical diagnosis and approximate date </w:t>
      </w:r>
      <w:proofErr w:type="gramStart"/>
      <w:r>
        <w:rPr>
          <w:rFonts w:ascii="Arial" w:hAnsi="Arial" w:cs="Arial"/>
          <w:color w:val="000000"/>
        </w:rPr>
        <w:t>is known</w:t>
      </w:r>
      <w:proofErr w:type="gramEnd"/>
      <w:r>
        <w:rPr>
          <w:rFonts w:ascii="Arial" w:hAnsi="Arial" w:cs="Arial"/>
          <w:color w:val="000000"/>
        </w:rPr>
        <w:t>, even if reported date must be estimated</w:t>
      </w:r>
      <w:r w:rsidR="00F91ED8">
        <w:rPr>
          <w:rFonts w:ascii="Arial" w:hAnsi="Arial" w:cs="Arial"/>
          <w:color w:val="000000"/>
        </w:rPr>
        <w:t xml:space="preserve">.  </w:t>
      </w:r>
      <w:r>
        <w:rPr>
          <w:rFonts w:ascii="Arial" w:hAnsi="Arial" w:cs="Arial"/>
          <w:color w:val="000000"/>
        </w:rPr>
        <w:t xml:space="preserve">Refer to </w:t>
      </w:r>
      <w:r>
        <w:rPr>
          <w:rFonts w:ascii="Arial" w:hAnsi="Arial" w:cs="Arial"/>
        </w:rPr>
        <w:t xml:space="preserve">General Instructions, </w:t>
      </w:r>
      <w:hyperlink r:id="rId20" w:history="1">
        <w:r w:rsidRPr="00E22EBE">
          <w:rPr>
            <w:rStyle w:val="Hyperlink"/>
            <w:rFonts w:ascii="Arial" w:hAnsi="Arial" w:cs="Arial"/>
          </w:rPr>
          <w:t>General Guidelines for Completing Forms</w:t>
        </w:r>
      </w:hyperlink>
      <w:r>
        <w:rPr>
          <w:rFonts w:ascii="Arial" w:hAnsi="Arial" w:cs="Arial"/>
        </w:rPr>
        <w:t>, for information about reporting partial or unknown dates.</w:t>
      </w:r>
    </w:p>
    <w:p w14:paraId="7C94A500" w14:textId="77777777" w:rsidR="00F30B7B" w:rsidRDefault="00F30B7B" w:rsidP="00F30B7B">
      <w:pPr>
        <w:autoSpaceDE w:val="0"/>
        <w:autoSpaceDN w:val="0"/>
        <w:adjustRightInd w:val="0"/>
        <w:rPr>
          <w:rFonts w:ascii="Arial" w:hAnsi="Arial" w:cs="Arial"/>
        </w:rPr>
      </w:pPr>
    </w:p>
    <w:p w14:paraId="313C6AFC" w14:textId="3BF26242" w:rsidR="00F30B7B" w:rsidRDefault="00F30B7B" w:rsidP="00F30B7B">
      <w:pPr>
        <w:autoSpaceDE w:val="0"/>
        <w:autoSpaceDN w:val="0"/>
        <w:adjustRightInd w:val="0"/>
        <w:rPr>
          <w:rFonts w:ascii="Arial" w:hAnsi="Arial" w:cs="Arial"/>
        </w:rPr>
      </w:pPr>
      <w:r>
        <w:rPr>
          <w:rFonts w:ascii="Arial" w:hAnsi="Arial" w:cs="Arial"/>
        </w:rPr>
        <w:t xml:space="preserve">Indicate “no” if the recipient has no history of acute GVHD or if all prior acute GVHD is inactive in the reporting period; continue with question 31.  If the recipient previously had acute GVHD, which was resolved </w:t>
      </w:r>
      <w:r w:rsidR="00867995">
        <w:rPr>
          <w:rFonts w:ascii="Arial" w:hAnsi="Arial" w:cs="Arial"/>
        </w:rPr>
        <w:t>prior to</w:t>
      </w:r>
      <w:r>
        <w:rPr>
          <w:rFonts w:ascii="Arial" w:hAnsi="Arial" w:cs="Arial"/>
        </w:rPr>
        <w:t xml:space="preserve"> the start of </w:t>
      </w:r>
      <w:r w:rsidR="00867995">
        <w:rPr>
          <w:rFonts w:ascii="Arial" w:hAnsi="Arial" w:cs="Arial"/>
        </w:rPr>
        <w:t>the current</w:t>
      </w:r>
      <w:r>
        <w:rPr>
          <w:rFonts w:ascii="Arial" w:hAnsi="Arial" w:cs="Arial"/>
        </w:rPr>
        <w:t xml:space="preserve"> reporting period and flared in </w:t>
      </w:r>
      <w:r w:rsidR="00867995">
        <w:rPr>
          <w:rFonts w:ascii="Arial" w:hAnsi="Arial" w:cs="Arial"/>
        </w:rPr>
        <w:t>this reporting</w:t>
      </w:r>
      <w:r>
        <w:rPr>
          <w:rFonts w:ascii="Arial" w:hAnsi="Arial" w:cs="Arial"/>
        </w:rPr>
        <w:t xml:space="preserve"> period, indicate “yes” in question 19 and “no” in question 21. </w:t>
      </w:r>
    </w:p>
    <w:p w14:paraId="559B2BDF" w14:textId="77777777" w:rsidR="00F30B7B" w:rsidRDefault="00F30B7B" w:rsidP="00F30B7B">
      <w:pPr>
        <w:autoSpaceDE w:val="0"/>
        <w:autoSpaceDN w:val="0"/>
        <w:adjustRightInd w:val="0"/>
        <w:rPr>
          <w:rFonts w:ascii="Arial" w:hAnsi="Arial" w:cs="Arial"/>
        </w:rPr>
      </w:pPr>
    </w:p>
    <w:p w14:paraId="6D8AE8CF" w14:textId="21B88490" w:rsidR="00F30B7B" w:rsidRDefault="00F30B7B" w:rsidP="00F30B7B">
      <w:pPr>
        <w:autoSpaceDE w:val="0"/>
        <w:autoSpaceDN w:val="0"/>
        <w:adjustRightInd w:val="0"/>
        <w:rPr>
          <w:rFonts w:ascii="Arial" w:hAnsi="Arial" w:cs="Arial"/>
          <w:color w:val="000000"/>
        </w:rPr>
      </w:pPr>
      <w:r>
        <w:rPr>
          <w:rFonts w:ascii="Arial" w:hAnsi="Arial" w:cs="Arial"/>
        </w:rPr>
        <w:lastRenderedPageBreak/>
        <w:t>Indicate “unknown” if there is no information about the recipient’s GVHD status for the reporting period</w:t>
      </w:r>
      <w:r w:rsidR="00F91ED8">
        <w:rPr>
          <w:rFonts w:ascii="Arial" w:hAnsi="Arial" w:cs="Arial"/>
        </w:rPr>
        <w:t xml:space="preserve">.  </w:t>
      </w:r>
      <w:r>
        <w:rPr>
          <w:rFonts w:ascii="Arial" w:hAnsi="Arial" w:cs="Arial"/>
        </w:rPr>
        <w:t>This option should be used sparingly and only when no judgment can be made about the presence or absence of GVHD in the reporting period.</w:t>
      </w:r>
    </w:p>
    <w:p w14:paraId="3DDA671E" w14:textId="77777777" w:rsidR="00337399" w:rsidRPr="00FC39A8" w:rsidRDefault="00337399" w:rsidP="00337399">
      <w:pPr>
        <w:autoSpaceDE w:val="0"/>
        <w:autoSpaceDN w:val="0"/>
        <w:adjustRightInd w:val="0"/>
        <w:rPr>
          <w:rFonts w:ascii="Arial" w:hAnsi="Arial" w:cs="Arial"/>
        </w:rPr>
      </w:pPr>
    </w:p>
    <w:p w14:paraId="7EB2BD4A" w14:textId="77A70237" w:rsidR="00A27C4C" w:rsidRDefault="0054325D" w:rsidP="00337399">
      <w:pPr>
        <w:autoSpaceDE w:val="0"/>
        <w:autoSpaceDN w:val="0"/>
        <w:adjustRightInd w:val="0"/>
        <w:rPr>
          <w:rFonts w:ascii="Arial" w:hAnsi="Arial" w:cs="Arial"/>
          <w:b/>
        </w:rPr>
      </w:pPr>
      <w:bookmarkStart w:id="7" w:name="Q15"/>
      <w:bookmarkEnd w:id="7"/>
      <w:r w:rsidRPr="0054325D">
        <w:rPr>
          <w:rFonts w:ascii="Arial" w:hAnsi="Arial" w:cs="Arial"/>
          <w:b/>
        </w:rPr>
        <w:t>Question 22</w:t>
      </w:r>
      <w:r w:rsidR="00337399" w:rsidRPr="0054325D">
        <w:rPr>
          <w:rFonts w:ascii="Arial" w:hAnsi="Arial" w:cs="Arial"/>
          <w:b/>
        </w:rPr>
        <w:t xml:space="preserve">: </w:t>
      </w:r>
      <w:r w:rsidR="005A3F32">
        <w:rPr>
          <w:rFonts w:ascii="Arial" w:hAnsi="Arial" w:cs="Arial"/>
          <w:b/>
        </w:rPr>
        <w:t xml:space="preserve"> </w:t>
      </w:r>
      <w:r w:rsidRPr="0054325D">
        <w:rPr>
          <w:rFonts w:ascii="Arial" w:hAnsi="Arial" w:cs="Arial"/>
          <w:b/>
        </w:rPr>
        <w:t>Overall g</w:t>
      </w:r>
      <w:r w:rsidR="003E7677">
        <w:rPr>
          <w:rFonts w:ascii="Arial" w:hAnsi="Arial" w:cs="Arial"/>
          <w:b/>
        </w:rPr>
        <w:t>rade of acute GVHD at diagnosis</w:t>
      </w:r>
    </w:p>
    <w:p w14:paraId="6F4C09DF" w14:textId="0DDD94FF" w:rsidR="00F30B7B" w:rsidRDefault="00F30B7B" w:rsidP="00F30B7B">
      <w:pPr>
        <w:autoSpaceDE w:val="0"/>
        <w:autoSpaceDN w:val="0"/>
        <w:adjustRightInd w:val="0"/>
        <w:rPr>
          <w:rFonts w:ascii="Arial" w:hAnsi="Arial" w:cs="Arial"/>
        </w:rPr>
      </w:pPr>
      <w:r w:rsidRPr="00FC39A8">
        <w:rPr>
          <w:rFonts w:ascii="Arial" w:hAnsi="Arial" w:cs="Arial"/>
        </w:rPr>
        <w:t xml:space="preserve">The acute GVHD grading scale is based on </w:t>
      </w:r>
      <w:r w:rsidRPr="00302C4A">
        <w:rPr>
          <w:rFonts w:ascii="Arial" w:hAnsi="Arial" w:cs="Arial"/>
          <w:b/>
          <w:bCs/>
          <w:iCs/>
        </w:rPr>
        <w:t>clinical evidence</w:t>
      </w:r>
      <w:r w:rsidRPr="00FC39A8">
        <w:rPr>
          <w:rFonts w:ascii="Arial" w:hAnsi="Arial" w:cs="Arial"/>
          <w:b/>
          <w:bCs/>
          <w:i/>
          <w:iCs/>
        </w:rPr>
        <w:t xml:space="preserve"> </w:t>
      </w:r>
      <w:r w:rsidRPr="00FC39A8">
        <w:rPr>
          <w:rFonts w:ascii="Arial" w:hAnsi="Arial" w:cs="Arial"/>
        </w:rPr>
        <w:t>(physician observation), not histology</w:t>
      </w:r>
      <w:r w:rsidR="00F91ED8">
        <w:rPr>
          <w:rFonts w:ascii="Arial" w:hAnsi="Arial" w:cs="Arial"/>
        </w:rPr>
        <w:t xml:space="preserve">.  </w:t>
      </w:r>
      <w:r w:rsidRPr="00FC39A8">
        <w:rPr>
          <w:rFonts w:ascii="Arial" w:hAnsi="Arial" w:cs="Arial"/>
        </w:rPr>
        <w:t>If there is a difference in the clinical grade recorded by the physician and a histologic</w:t>
      </w:r>
      <w:r>
        <w:rPr>
          <w:rFonts w:ascii="Arial" w:hAnsi="Arial" w:cs="Arial"/>
        </w:rPr>
        <w:t>al</w:t>
      </w:r>
      <w:r w:rsidRPr="00FC39A8">
        <w:rPr>
          <w:rFonts w:ascii="Arial" w:hAnsi="Arial" w:cs="Arial"/>
        </w:rPr>
        <w:t xml:space="preserve"> report, use the data from the clinical documentation</w:t>
      </w:r>
      <w:r w:rsidR="00F91ED8">
        <w:rPr>
          <w:rFonts w:ascii="Arial" w:hAnsi="Arial" w:cs="Arial"/>
        </w:rPr>
        <w:t xml:space="preserve">.  </w:t>
      </w:r>
      <w:r w:rsidRPr="00FC39A8">
        <w:rPr>
          <w:rFonts w:ascii="Arial" w:hAnsi="Arial" w:cs="Arial"/>
        </w:rPr>
        <w:t>Biopsy of affected organs allow</w:t>
      </w:r>
      <w:r>
        <w:rPr>
          <w:rFonts w:ascii="Arial" w:hAnsi="Arial" w:cs="Arial"/>
        </w:rPr>
        <w:t>s</w:t>
      </w:r>
      <w:r w:rsidRPr="00FC39A8">
        <w:rPr>
          <w:rFonts w:ascii="Arial" w:hAnsi="Arial" w:cs="Arial"/>
        </w:rPr>
        <w:t xml:space="preserve"> </w:t>
      </w:r>
      <w:proofErr w:type="gramStart"/>
      <w:r w:rsidRPr="00FC39A8">
        <w:rPr>
          <w:rFonts w:ascii="Arial" w:hAnsi="Arial" w:cs="Arial"/>
        </w:rPr>
        <w:t>for more precise diagnosis as to the presence or absence of GVHD</w:t>
      </w:r>
      <w:proofErr w:type="gramEnd"/>
      <w:r w:rsidR="00F91ED8">
        <w:rPr>
          <w:rFonts w:ascii="Arial" w:hAnsi="Arial" w:cs="Arial"/>
        </w:rPr>
        <w:t xml:space="preserve">.  </w:t>
      </w:r>
      <w:r w:rsidRPr="00FC39A8">
        <w:rPr>
          <w:rFonts w:ascii="Arial" w:hAnsi="Arial" w:cs="Arial"/>
        </w:rPr>
        <w:t xml:space="preserve">However, </w:t>
      </w:r>
      <w:r w:rsidRPr="009746B7">
        <w:rPr>
          <w:rFonts w:ascii="Arial" w:hAnsi="Arial" w:cs="Arial"/>
          <w:b/>
          <w:bCs/>
          <w:iCs/>
        </w:rPr>
        <w:t>overall grading remains clinical</w:t>
      </w:r>
      <w:r w:rsidRPr="00FC39A8">
        <w:rPr>
          <w:rFonts w:ascii="Arial" w:hAnsi="Arial" w:cs="Arial"/>
          <w:b/>
          <w:bCs/>
          <w:i/>
          <w:iCs/>
        </w:rPr>
        <w:t xml:space="preserve"> </w:t>
      </w:r>
      <w:r w:rsidRPr="00FC39A8">
        <w:rPr>
          <w:rFonts w:ascii="Arial" w:hAnsi="Arial" w:cs="Arial"/>
        </w:rPr>
        <w:t xml:space="preserve">and is based on the criteria published by </w:t>
      </w:r>
      <w:proofErr w:type="spellStart"/>
      <w:r>
        <w:rPr>
          <w:rFonts w:ascii="Arial" w:hAnsi="Arial" w:cs="Arial"/>
        </w:rPr>
        <w:t>Przepiorka</w:t>
      </w:r>
      <w:proofErr w:type="spellEnd"/>
      <w:r>
        <w:rPr>
          <w:rFonts w:ascii="Arial" w:hAnsi="Arial" w:cs="Arial"/>
        </w:rPr>
        <w:t xml:space="preserve"> et al., </w:t>
      </w:r>
      <w:r>
        <w:rPr>
          <w:rFonts w:ascii="Arial" w:hAnsi="Arial" w:cs="Arial"/>
          <w:i/>
        </w:rPr>
        <w:t>Bone Marrow Transplant</w:t>
      </w:r>
      <w:r>
        <w:rPr>
          <w:rFonts w:ascii="Arial" w:hAnsi="Arial" w:cs="Arial"/>
        </w:rPr>
        <w:t xml:space="preserve"> 1995; 15(6):825-8, see table </w:t>
      </w:r>
      <w:r w:rsidR="00917879">
        <w:rPr>
          <w:rFonts w:ascii="Arial" w:hAnsi="Arial" w:cs="Arial"/>
        </w:rPr>
        <w:t>1</w:t>
      </w:r>
      <w:r>
        <w:rPr>
          <w:rFonts w:ascii="Arial" w:hAnsi="Arial" w:cs="Arial"/>
        </w:rPr>
        <w:t xml:space="preserve"> below.</w:t>
      </w:r>
    </w:p>
    <w:p w14:paraId="144C5EBF" w14:textId="77777777" w:rsidR="00917879" w:rsidRDefault="00917879" w:rsidP="00917879">
      <w:pPr>
        <w:rPr>
          <w:rFonts w:ascii="Arial" w:hAnsi="Arial" w:cs="Arial"/>
          <w:b/>
        </w:rPr>
      </w:pPr>
    </w:p>
    <w:p w14:paraId="0483B867" w14:textId="6E6CF885" w:rsidR="00F30B7B" w:rsidRPr="008B7D6A" w:rsidRDefault="00917879" w:rsidP="00917879">
      <w:pPr>
        <w:rPr>
          <w:rFonts w:ascii="Arial" w:hAnsi="Arial" w:cs="Arial"/>
          <w:b/>
        </w:rPr>
      </w:pPr>
      <w:proofErr w:type="gramStart"/>
      <w:r>
        <w:rPr>
          <w:rFonts w:ascii="Arial" w:hAnsi="Arial" w:cs="Arial"/>
          <w:b/>
        </w:rPr>
        <w:t>T</w:t>
      </w:r>
      <w:r w:rsidR="00F30B7B">
        <w:rPr>
          <w:rFonts w:ascii="Arial" w:hAnsi="Arial" w:cs="Arial"/>
          <w:b/>
        </w:rPr>
        <w:t>able 1</w:t>
      </w:r>
      <w:r w:rsidR="00F91ED8">
        <w:rPr>
          <w:rFonts w:ascii="Arial" w:hAnsi="Arial" w:cs="Arial"/>
          <w:b/>
        </w:rPr>
        <w:t>.</w:t>
      </w:r>
      <w:proofErr w:type="gramEnd"/>
      <w:r w:rsidR="00F91ED8">
        <w:rPr>
          <w:rFonts w:ascii="Arial" w:hAnsi="Arial" w:cs="Arial"/>
          <w:b/>
        </w:rPr>
        <w:t xml:space="preserve">  </w:t>
      </w:r>
      <w:r w:rsidR="00F30B7B" w:rsidRPr="008B7D6A">
        <w:rPr>
          <w:rFonts w:ascii="Arial" w:hAnsi="Arial" w:cs="Arial"/>
          <w:b/>
        </w:rPr>
        <w:t>GVHD Grading and Staging</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
        <w:gridCol w:w="2829"/>
        <w:gridCol w:w="2497"/>
        <w:gridCol w:w="2854"/>
      </w:tblGrid>
      <w:tr w:rsidR="00F30B7B" w:rsidRPr="0060028C" w14:paraId="31C2CB5E" w14:textId="77777777" w:rsidTr="00EA0151">
        <w:trPr>
          <w:jc w:val="center"/>
        </w:trPr>
        <w:tc>
          <w:tcPr>
            <w:tcW w:w="9180" w:type="dxa"/>
            <w:gridSpan w:val="4"/>
            <w:shd w:val="clear" w:color="auto" w:fill="63A70A" w:themeFill="accent2"/>
          </w:tcPr>
          <w:p w14:paraId="4C45EDDB" w14:textId="77777777" w:rsidR="00F30B7B" w:rsidRPr="0066473D" w:rsidRDefault="00F30B7B" w:rsidP="00EA0151">
            <w:pPr>
              <w:rPr>
                <w:rFonts w:ascii="Arial" w:hAnsi="Arial" w:cs="Arial"/>
                <w:b/>
                <w:color w:val="FFFFFF" w:themeColor="background1"/>
                <w:sz w:val="22"/>
                <w:szCs w:val="22"/>
              </w:rPr>
            </w:pPr>
            <w:r w:rsidRPr="0066473D">
              <w:rPr>
                <w:rFonts w:ascii="Arial" w:hAnsi="Arial" w:cs="Arial"/>
                <w:b/>
                <w:color w:val="FFFFFF" w:themeColor="background1"/>
                <w:sz w:val="22"/>
                <w:szCs w:val="22"/>
              </w:rPr>
              <w:t>Extent of Organ Involvement</w:t>
            </w:r>
          </w:p>
        </w:tc>
      </w:tr>
      <w:tr w:rsidR="00F30B7B" w:rsidRPr="0060028C" w14:paraId="2760FDBC" w14:textId="77777777" w:rsidTr="00EA0151">
        <w:trPr>
          <w:jc w:val="center"/>
        </w:trPr>
        <w:tc>
          <w:tcPr>
            <w:tcW w:w="1000" w:type="dxa"/>
            <w:shd w:val="clear" w:color="auto" w:fill="auto"/>
          </w:tcPr>
          <w:p w14:paraId="1900A2B4" w14:textId="77777777" w:rsidR="00F30B7B" w:rsidRPr="0060028C" w:rsidRDefault="00F30B7B" w:rsidP="00EA0151">
            <w:pPr>
              <w:jc w:val="center"/>
              <w:rPr>
                <w:rFonts w:ascii="Arial" w:hAnsi="Arial" w:cs="Arial"/>
                <w:b/>
                <w:sz w:val="22"/>
                <w:szCs w:val="22"/>
              </w:rPr>
            </w:pPr>
            <w:r w:rsidRPr="0060028C">
              <w:rPr>
                <w:rFonts w:ascii="Arial" w:hAnsi="Arial" w:cs="Arial"/>
                <w:b/>
                <w:sz w:val="22"/>
                <w:szCs w:val="22"/>
              </w:rPr>
              <w:t>Stage</w:t>
            </w:r>
          </w:p>
        </w:tc>
        <w:tc>
          <w:tcPr>
            <w:tcW w:w="2829" w:type="dxa"/>
            <w:shd w:val="clear" w:color="auto" w:fill="auto"/>
          </w:tcPr>
          <w:p w14:paraId="486E86CB" w14:textId="77777777" w:rsidR="00F30B7B" w:rsidRPr="0060028C" w:rsidRDefault="00F30B7B" w:rsidP="00EA0151">
            <w:pPr>
              <w:jc w:val="center"/>
              <w:rPr>
                <w:rFonts w:ascii="Arial" w:hAnsi="Arial" w:cs="Arial"/>
                <w:b/>
                <w:sz w:val="22"/>
                <w:szCs w:val="22"/>
              </w:rPr>
            </w:pPr>
            <w:r w:rsidRPr="0060028C">
              <w:rPr>
                <w:rFonts w:ascii="Arial" w:hAnsi="Arial" w:cs="Arial"/>
                <w:b/>
                <w:sz w:val="22"/>
                <w:szCs w:val="22"/>
              </w:rPr>
              <w:t>Skin</w:t>
            </w:r>
          </w:p>
        </w:tc>
        <w:tc>
          <w:tcPr>
            <w:tcW w:w="2497" w:type="dxa"/>
            <w:shd w:val="clear" w:color="auto" w:fill="auto"/>
          </w:tcPr>
          <w:p w14:paraId="5335E473" w14:textId="77777777" w:rsidR="00F30B7B" w:rsidRPr="0060028C" w:rsidRDefault="00F30B7B" w:rsidP="00EA0151">
            <w:pPr>
              <w:jc w:val="center"/>
              <w:rPr>
                <w:rFonts w:ascii="Arial" w:hAnsi="Arial" w:cs="Arial"/>
                <w:b/>
                <w:sz w:val="22"/>
                <w:szCs w:val="22"/>
              </w:rPr>
            </w:pPr>
            <w:r w:rsidRPr="0060028C">
              <w:rPr>
                <w:rFonts w:ascii="Arial" w:hAnsi="Arial" w:cs="Arial"/>
                <w:b/>
                <w:sz w:val="22"/>
                <w:szCs w:val="22"/>
              </w:rPr>
              <w:t>Liver</w:t>
            </w:r>
          </w:p>
        </w:tc>
        <w:tc>
          <w:tcPr>
            <w:tcW w:w="2854" w:type="dxa"/>
            <w:shd w:val="clear" w:color="auto" w:fill="auto"/>
          </w:tcPr>
          <w:p w14:paraId="5589ED49" w14:textId="77777777" w:rsidR="00F30B7B" w:rsidRPr="0060028C" w:rsidRDefault="00F30B7B" w:rsidP="00EA0151">
            <w:pPr>
              <w:jc w:val="center"/>
              <w:rPr>
                <w:rFonts w:ascii="Arial" w:hAnsi="Arial" w:cs="Arial"/>
                <w:b/>
                <w:sz w:val="22"/>
                <w:szCs w:val="22"/>
              </w:rPr>
            </w:pPr>
            <w:r w:rsidRPr="0060028C">
              <w:rPr>
                <w:rFonts w:ascii="Arial" w:hAnsi="Arial" w:cs="Arial"/>
                <w:b/>
                <w:sz w:val="22"/>
                <w:szCs w:val="22"/>
              </w:rPr>
              <w:t>Gut</w:t>
            </w:r>
          </w:p>
        </w:tc>
      </w:tr>
      <w:tr w:rsidR="00F30B7B" w:rsidRPr="0060028C" w14:paraId="6A2A003E" w14:textId="77777777" w:rsidTr="00EA0151">
        <w:trPr>
          <w:jc w:val="center"/>
        </w:trPr>
        <w:tc>
          <w:tcPr>
            <w:tcW w:w="1000" w:type="dxa"/>
            <w:shd w:val="clear" w:color="auto" w:fill="auto"/>
            <w:vAlign w:val="center"/>
          </w:tcPr>
          <w:p w14:paraId="4EF2E492" w14:textId="77777777" w:rsidR="00F30B7B" w:rsidRPr="0060028C" w:rsidRDefault="00F30B7B" w:rsidP="00EA0151">
            <w:pPr>
              <w:jc w:val="center"/>
              <w:rPr>
                <w:rFonts w:ascii="Arial" w:hAnsi="Arial" w:cs="Arial"/>
                <w:b/>
                <w:sz w:val="22"/>
                <w:szCs w:val="22"/>
              </w:rPr>
            </w:pPr>
            <w:r w:rsidRPr="0060028C">
              <w:rPr>
                <w:rFonts w:ascii="Arial" w:hAnsi="Arial" w:cs="Arial"/>
                <w:b/>
                <w:sz w:val="22"/>
                <w:szCs w:val="22"/>
              </w:rPr>
              <w:t>1</w:t>
            </w:r>
          </w:p>
        </w:tc>
        <w:tc>
          <w:tcPr>
            <w:tcW w:w="2829" w:type="dxa"/>
            <w:shd w:val="clear" w:color="auto" w:fill="auto"/>
            <w:vAlign w:val="center"/>
          </w:tcPr>
          <w:p w14:paraId="5737959F" w14:textId="24B2C64E" w:rsidR="00F30B7B" w:rsidRPr="0060028C" w:rsidRDefault="00F30B7B" w:rsidP="00EA0151">
            <w:pPr>
              <w:rPr>
                <w:rFonts w:ascii="Arial" w:hAnsi="Arial" w:cs="Arial"/>
                <w:sz w:val="22"/>
                <w:szCs w:val="22"/>
              </w:rPr>
            </w:pPr>
            <w:r w:rsidRPr="0060028C">
              <w:rPr>
                <w:rFonts w:ascii="Arial" w:hAnsi="Arial" w:cs="Arial"/>
                <w:sz w:val="22"/>
                <w:szCs w:val="22"/>
              </w:rPr>
              <w:t>Rash on &lt;25% of skin</w:t>
            </w:r>
            <w:r w:rsidR="00AD41FC">
              <w:rPr>
                <w:rFonts w:ascii="Arial" w:hAnsi="Arial" w:cs="Arial"/>
                <w:sz w:val="22"/>
                <w:szCs w:val="22"/>
                <w:vertAlign w:val="superscript"/>
              </w:rPr>
              <w:t>1</w:t>
            </w:r>
          </w:p>
        </w:tc>
        <w:tc>
          <w:tcPr>
            <w:tcW w:w="2497" w:type="dxa"/>
            <w:shd w:val="clear" w:color="auto" w:fill="auto"/>
            <w:vAlign w:val="center"/>
          </w:tcPr>
          <w:p w14:paraId="0A73D3C6" w14:textId="190321B4" w:rsidR="00F30B7B" w:rsidRPr="0060028C" w:rsidRDefault="00F30B7B" w:rsidP="00EA0151">
            <w:pPr>
              <w:rPr>
                <w:rFonts w:ascii="Arial" w:hAnsi="Arial" w:cs="Arial"/>
                <w:sz w:val="22"/>
                <w:szCs w:val="22"/>
              </w:rPr>
            </w:pPr>
            <w:r w:rsidRPr="0060028C">
              <w:rPr>
                <w:rFonts w:ascii="Arial" w:hAnsi="Arial" w:cs="Arial"/>
                <w:sz w:val="22"/>
                <w:szCs w:val="22"/>
              </w:rPr>
              <w:t>Bilirubin 2-3 mg/dl</w:t>
            </w:r>
            <w:r w:rsidR="00AD41FC">
              <w:rPr>
                <w:rFonts w:ascii="Arial" w:hAnsi="Arial" w:cs="Arial"/>
                <w:sz w:val="22"/>
                <w:szCs w:val="22"/>
                <w:vertAlign w:val="superscript"/>
              </w:rPr>
              <w:t>2</w:t>
            </w:r>
          </w:p>
        </w:tc>
        <w:tc>
          <w:tcPr>
            <w:tcW w:w="2854" w:type="dxa"/>
            <w:shd w:val="clear" w:color="auto" w:fill="auto"/>
            <w:vAlign w:val="center"/>
          </w:tcPr>
          <w:p w14:paraId="14FC5B21" w14:textId="624FB277" w:rsidR="00F30B7B" w:rsidRDefault="00F30B7B" w:rsidP="00EA0151">
            <w:pPr>
              <w:rPr>
                <w:rFonts w:ascii="Arial" w:hAnsi="Arial" w:cs="Arial"/>
                <w:sz w:val="22"/>
                <w:szCs w:val="22"/>
                <w:vertAlign w:val="superscript"/>
              </w:rPr>
            </w:pPr>
            <w:r w:rsidRPr="0060028C">
              <w:rPr>
                <w:rFonts w:ascii="Arial" w:hAnsi="Arial" w:cs="Arial"/>
                <w:sz w:val="22"/>
                <w:szCs w:val="22"/>
              </w:rPr>
              <w:t>Diarrhea &gt; 500 ml/day</w:t>
            </w:r>
            <w:r w:rsidR="00AD41FC">
              <w:rPr>
                <w:rFonts w:ascii="Arial" w:hAnsi="Arial" w:cs="Arial"/>
                <w:sz w:val="22"/>
                <w:szCs w:val="22"/>
                <w:vertAlign w:val="superscript"/>
              </w:rPr>
              <w:t>3</w:t>
            </w:r>
            <w:r w:rsidRPr="0060028C">
              <w:rPr>
                <w:rFonts w:ascii="Arial" w:hAnsi="Arial" w:cs="Arial"/>
                <w:sz w:val="22"/>
                <w:szCs w:val="22"/>
                <w:vertAlign w:val="superscript"/>
              </w:rPr>
              <w:t xml:space="preserve"> </w:t>
            </w:r>
            <w:r w:rsidRPr="0060028C">
              <w:rPr>
                <w:rFonts w:ascii="Arial" w:hAnsi="Arial" w:cs="Arial"/>
                <w:sz w:val="22"/>
                <w:szCs w:val="22"/>
              </w:rPr>
              <w:t>or persistent nausea</w:t>
            </w:r>
            <w:r w:rsidR="00AD41FC">
              <w:rPr>
                <w:rFonts w:ascii="Arial" w:hAnsi="Arial" w:cs="Arial"/>
                <w:sz w:val="22"/>
                <w:szCs w:val="22"/>
                <w:vertAlign w:val="superscript"/>
              </w:rPr>
              <w:t>4</w:t>
            </w:r>
          </w:p>
          <w:p w14:paraId="189012B2" w14:textId="3A96ED6A" w:rsidR="00867995" w:rsidRPr="00F86A35" w:rsidRDefault="00867995" w:rsidP="00EA0151">
            <w:pPr>
              <w:rPr>
                <w:rFonts w:ascii="Arial" w:hAnsi="Arial" w:cs="Arial"/>
                <w:i/>
                <w:sz w:val="22"/>
                <w:szCs w:val="22"/>
              </w:rPr>
            </w:pPr>
            <w:r w:rsidRPr="00F86A35">
              <w:rPr>
                <w:rFonts w:ascii="Arial" w:hAnsi="Arial" w:cs="Arial"/>
                <w:i/>
                <w:sz w:val="22"/>
                <w:szCs w:val="22"/>
              </w:rPr>
              <w:t xml:space="preserve">Pediatric: </w:t>
            </w:r>
            <w:r w:rsidRPr="00F86A35">
              <w:rPr>
                <w:rFonts w:ascii="Arial" w:hAnsi="Arial" w:cs="Arial"/>
                <w:sz w:val="22"/>
                <w:szCs w:val="22"/>
              </w:rPr>
              <w:t>280-555 ml/m2/day or 10-19.9 mL/kg/day</w:t>
            </w:r>
          </w:p>
        </w:tc>
      </w:tr>
      <w:tr w:rsidR="00F30B7B" w:rsidRPr="0060028C" w14:paraId="246B41BC" w14:textId="77777777" w:rsidTr="00EA0151">
        <w:trPr>
          <w:jc w:val="center"/>
        </w:trPr>
        <w:tc>
          <w:tcPr>
            <w:tcW w:w="1000" w:type="dxa"/>
            <w:shd w:val="clear" w:color="auto" w:fill="auto"/>
            <w:vAlign w:val="center"/>
          </w:tcPr>
          <w:p w14:paraId="68583299" w14:textId="77777777" w:rsidR="00F30B7B" w:rsidRPr="0060028C" w:rsidRDefault="00F30B7B" w:rsidP="00EA0151">
            <w:pPr>
              <w:jc w:val="center"/>
              <w:rPr>
                <w:rFonts w:ascii="Arial" w:hAnsi="Arial" w:cs="Arial"/>
                <w:b/>
                <w:sz w:val="22"/>
                <w:szCs w:val="22"/>
              </w:rPr>
            </w:pPr>
            <w:r w:rsidRPr="0060028C">
              <w:rPr>
                <w:rFonts w:ascii="Arial" w:hAnsi="Arial" w:cs="Arial"/>
                <w:b/>
                <w:sz w:val="22"/>
                <w:szCs w:val="22"/>
              </w:rPr>
              <w:t>2</w:t>
            </w:r>
          </w:p>
        </w:tc>
        <w:tc>
          <w:tcPr>
            <w:tcW w:w="2829" w:type="dxa"/>
            <w:shd w:val="clear" w:color="auto" w:fill="auto"/>
            <w:vAlign w:val="center"/>
          </w:tcPr>
          <w:p w14:paraId="1A99FCE3" w14:textId="77777777" w:rsidR="00F30B7B" w:rsidRPr="0060028C" w:rsidRDefault="00F30B7B" w:rsidP="00EA0151">
            <w:pPr>
              <w:rPr>
                <w:rFonts w:ascii="Arial" w:hAnsi="Arial" w:cs="Arial"/>
                <w:sz w:val="22"/>
                <w:szCs w:val="22"/>
              </w:rPr>
            </w:pPr>
            <w:r w:rsidRPr="0060028C">
              <w:rPr>
                <w:rFonts w:ascii="Arial" w:hAnsi="Arial" w:cs="Arial"/>
                <w:sz w:val="22"/>
                <w:szCs w:val="22"/>
              </w:rPr>
              <w:t>Rash on 25-50% of skin</w:t>
            </w:r>
          </w:p>
        </w:tc>
        <w:tc>
          <w:tcPr>
            <w:tcW w:w="2497" w:type="dxa"/>
            <w:shd w:val="clear" w:color="auto" w:fill="auto"/>
            <w:vAlign w:val="center"/>
          </w:tcPr>
          <w:p w14:paraId="20875A1F" w14:textId="77777777" w:rsidR="00F30B7B" w:rsidRPr="0060028C" w:rsidRDefault="00F30B7B" w:rsidP="00EA0151">
            <w:pPr>
              <w:rPr>
                <w:rFonts w:ascii="Arial" w:hAnsi="Arial" w:cs="Arial"/>
                <w:sz w:val="22"/>
                <w:szCs w:val="22"/>
              </w:rPr>
            </w:pPr>
            <w:r w:rsidRPr="0060028C">
              <w:rPr>
                <w:rFonts w:ascii="Arial" w:hAnsi="Arial" w:cs="Arial"/>
                <w:sz w:val="22"/>
                <w:szCs w:val="22"/>
              </w:rPr>
              <w:t>Bilirubin 3-6 mg/dl</w:t>
            </w:r>
          </w:p>
        </w:tc>
        <w:tc>
          <w:tcPr>
            <w:tcW w:w="2854" w:type="dxa"/>
            <w:shd w:val="clear" w:color="auto" w:fill="auto"/>
            <w:vAlign w:val="center"/>
          </w:tcPr>
          <w:p w14:paraId="4B1ED246" w14:textId="77777777" w:rsidR="00F30B7B" w:rsidRDefault="00F30B7B" w:rsidP="00EA0151">
            <w:pPr>
              <w:rPr>
                <w:rFonts w:ascii="Arial" w:hAnsi="Arial" w:cs="Arial"/>
                <w:sz w:val="22"/>
                <w:szCs w:val="22"/>
              </w:rPr>
            </w:pPr>
            <w:r w:rsidRPr="0060028C">
              <w:rPr>
                <w:rFonts w:ascii="Arial" w:hAnsi="Arial" w:cs="Arial"/>
                <w:sz w:val="22"/>
                <w:szCs w:val="22"/>
              </w:rPr>
              <w:t>Diarrhea &gt;1000 ml/day</w:t>
            </w:r>
          </w:p>
          <w:p w14:paraId="03991FF2" w14:textId="6F4E52BA" w:rsidR="00867995" w:rsidRPr="0060028C" w:rsidRDefault="00867995" w:rsidP="00EA0151">
            <w:pPr>
              <w:rPr>
                <w:rFonts w:ascii="Arial" w:hAnsi="Arial" w:cs="Arial"/>
                <w:sz w:val="22"/>
                <w:szCs w:val="22"/>
              </w:rPr>
            </w:pPr>
            <w:r>
              <w:rPr>
                <w:rStyle w:val="Emphasis"/>
                <w:rFonts w:ascii="Helvetica" w:hAnsi="Helvetica"/>
                <w:color w:val="333333"/>
                <w:sz w:val="21"/>
                <w:szCs w:val="21"/>
                <w:shd w:val="clear" w:color="auto" w:fill="FFFFFF"/>
              </w:rPr>
              <w:t>Pediatric</w:t>
            </w:r>
            <w:r>
              <w:rPr>
                <w:rFonts w:ascii="Helvetica" w:hAnsi="Helvetica"/>
                <w:color w:val="333333"/>
                <w:sz w:val="21"/>
                <w:szCs w:val="21"/>
                <w:shd w:val="clear" w:color="auto" w:fill="FFFFFF"/>
              </w:rPr>
              <w:t>: 556-833 ml/m</w:t>
            </w:r>
            <w:r>
              <w:rPr>
                <w:rFonts w:ascii="Helvetica" w:hAnsi="Helvetica"/>
                <w:color w:val="333333"/>
                <w:sz w:val="16"/>
                <w:szCs w:val="16"/>
                <w:shd w:val="clear" w:color="auto" w:fill="FFFFFF"/>
                <w:vertAlign w:val="superscript"/>
              </w:rPr>
              <w:t>2</w:t>
            </w:r>
            <w:r>
              <w:rPr>
                <w:rFonts w:ascii="Helvetica" w:hAnsi="Helvetica"/>
                <w:color w:val="333333"/>
                <w:sz w:val="21"/>
                <w:szCs w:val="21"/>
                <w:shd w:val="clear" w:color="auto" w:fill="FFFFFF"/>
              </w:rPr>
              <w:t>/day or 20-30 mL/kg/day</w:t>
            </w:r>
          </w:p>
        </w:tc>
      </w:tr>
      <w:tr w:rsidR="00F30B7B" w:rsidRPr="0060028C" w14:paraId="1EA0106B" w14:textId="77777777" w:rsidTr="00EA0151">
        <w:trPr>
          <w:jc w:val="center"/>
        </w:trPr>
        <w:tc>
          <w:tcPr>
            <w:tcW w:w="1000" w:type="dxa"/>
            <w:shd w:val="clear" w:color="auto" w:fill="auto"/>
            <w:vAlign w:val="center"/>
          </w:tcPr>
          <w:p w14:paraId="41C59354" w14:textId="77777777" w:rsidR="00F30B7B" w:rsidRPr="0060028C" w:rsidRDefault="00F30B7B" w:rsidP="00EA0151">
            <w:pPr>
              <w:jc w:val="center"/>
              <w:rPr>
                <w:rFonts w:ascii="Arial" w:hAnsi="Arial" w:cs="Arial"/>
                <w:b/>
                <w:sz w:val="22"/>
                <w:szCs w:val="22"/>
              </w:rPr>
            </w:pPr>
            <w:r w:rsidRPr="0060028C">
              <w:rPr>
                <w:rFonts w:ascii="Arial" w:hAnsi="Arial" w:cs="Arial"/>
                <w:b/>
                <w:sz w:val="22"/>
                <w:szCs w:val="22"/>
              </w:rPr>
              <w:t>3</w:t>
            </w:r>
          </w:p>
        </w:tc>
        <w:tc>
          <w:tcPr>
            <w:tcW w:w="2829" w:type="dxa"/>
            <w:shd w:val="clear" w:color="auto" w:fill="auto"/>
            <w:vAlign w:val="center"/>
          </w:tcPr>
          <w:p w14:paraId="53B1C2AC" w14:textId="77777777" w:rsidR="00F30B7B" w:rsidRPr="0060028C" w:rsidRDefault="00F30B7B" w:rsidP="00EA0151">
            <w:pPr>
              <w:rPr>
                <w:rFonts w:ascii="Arial" w:hAnsi="Arial" w:cs="Arial"/>
                <w:sz w:val="22"/>
                <w:szCs w:val="22"/>
              </w:rPr>
            </w:pPr>
            <w:r w:rsidRPr="0060028C">
              <w:rPr>
                <w:rFonts w:ascii="Arial" w:hAnsi="Arial" w:cs="Arial"/>
                <w:sz w:val="22"/>
                <w:szCs w:val="22"/>
              </w:rPr>
              <w:t>Rash on &gt;50% of skin</w:t>
            </w:r>
          </w:p>
        </w:tc>
        <w:tc>
          <w:tcPr>
            <w:tcW w:w="2497" w:type="dxa"/>
            <w:shd w:val="clear" w:color="auto" w:fill="auto"/>
            <w:vAlign w:val="center"/>
          </w:tcPr>
          <w:p w14:paraId="6586336C" w14:textId="77777777" w:rsidR="00F30B7B" w:rsidRPr="0060028C" w:rsidRDefault="00F30B7B" w:rsidP="00EA0151">
            <w:pPr>
              <w:rPr>
                <w:rFonts w:ascii="Arial" w:hAnsi="Arial" w:cs="Arial"/>
                <w:sz w:val="22"/>
                <w:szCs w:val="22"/>
              </w:rPr>
            </w:pPr>
            <w:r w:rsidRPr="0060028C">
              <w:rPr>
                <w:rFonts w:ascii="Arial" w:hAnsi="Arial" w:cs="Arial"/>
                <w:sz w:val="22"/>
                <w:szCs w:val="22"/>
              </w:rPr>
              <w:t>Bilirubin 6-15 mg/dl</w:t>
            </w:r>
          </w:p>
        </w:tc>
        <w:tc>
          <w:tcPr>
            <w:tcW w:w="2854" w:type="dxa"/>
            <w:shd w:val="clear" w:color="auto" w:fill="auto"/>
            <w:vAlign w:val="center"/>
          </w:tcPr>
          <w:p w14:paraId="2AC8A594" w14:textId="77777777" w:rsidR="00F30B7B" w:rsidRDefault="00F30B7B" w:rsidP="00EA0151">
            <w:pPr>
              <w:rPr>
                <w:rFonts w:ascii="Arial" w:hAnsi="Arial" w:cs="Arial"/>
                <w:sz w:val="22"/>
                <w:szCs w:val="22"/>
              </w:rPr>
            </w:pPr>
            <w:r w:rsidRPr="0060028C">
              <w:rPr>
                <w:rFonts w:ascii="Arial" w:hAnsi="Arial" w:cs="Arial"/>
                <w:sz w:val="22"/>
                <w:szCs w:val="22"/>
              </w:rPr>
              <w:t>Diarrhea &gt;1500 ml/day</w:t>
            </w:r>
          </w:p>
          <w:p w14:paraId="686FA87F" w14:textId="01FF200E" w:rsidR="00867995" w:rsidRPr="0060028C" w:rsidRDefault="00867995" w:rsidP="00EA0151">
            <w:pPr>
              <w:rPr>
                <w:rFonts w:ascii="Arial" w:hAnsi="Arial" w:cs="Arial"/>
                <w:sz w:val="22"/>
                <w:szCs w:val="22"/>
              </w:rPr>
            </w:pPr>
            <w:r>
              <w:rPr>
                <w:rStyle w:val="Emphasis"/>
                <w:rFonts w:ascii="Helvetica" w:hAnsi="Helvetica"/>
                <w:color w:val="333333"/>
                <w:sz w:val="21"/>
                <w:szCs w:val="21"/>
                <w:shd w:val="clear" w:color="auto" w:fill="FFFFFF"/>
              </w:rPr>
              <w:t>Pediatric</w:t>
            </w:r>
            <w:r>
              <w:rPr>
                <w:rFonts w:ascii="Helvetica" w:hAnsi="Helvetica"/>
                <w:color w:val="333333"/>
                <w:sz w:val="21"/>
                <w:szCs w:val="21"/>
                <w:shd w:val="clear" w:color="auto" w:fill="FFFFFF"/>
              </w:rPr>
              <w:t>: &gt;833 ml/m</w:t>
            </w:r>
            <w:r>
              <w:rPr>
                <w:rFonts w:ascii="Helvetica" w:hAnsi="Helvetica"/>
                <w:color w:val="333333"/>
                <w:sz w:val="16"/>
                <w:szCs w:val="16"/>
                <w:shd w:val="clear" w:color="auto" w:fill="FFFFFF"/>
                <w:vertAlign w:val="superscript"/>
              </w:rPr>
              <w:t>2</w:t>
            </w:r>
            <w:r>
              <w:rPr>
                <w:rFonts w:ascii="Helvetica" w:hAnsi="Helvetica"/>
                <w:color w:val="333333"/>
                <w:sz w:val="21"/>
                <w:szCs w:val="21"/>
                <w:shd w:val="clear" w:color="auto" w:fill="FFFFFF"/>
              </w:rPr>
              <w:t>/day or &gt; 30 mL/kg/day</w:t>
            </w:r>
          </w:p>
        </w:tc>
      </w:tr>
      <w:tr w:rsidR="00F30B7B" w:rsidRPr="0060028C" w14:paraId="1AA0103D" w14:textId="77777777" w:rsidTr="00EA0151">
        <w:trPr>
          <w:jc w:val="center"/>
        </w:trPr>
        <w:tc>
          <w:tcPr>
            <w:tcW w:w="1000" w:type="dxa"/>
            <w:shd w:val="clear" w:color="auto" w:fill="auto"/>
            <w:vAlign w:val="center"/>
          </w:tcPr>
          <w:p w14:paraId="7DA28B25" w14:textId="77777777" w:rsidR="00F30B7B" w:rsidRPr="0060028C" w:rsidRDefault="00F30B7B" w:rsidP="00EA0151">
            <w:pPr>
              <w:jc w:val="center"/>
              <w:rPr>
                <w:rFonts w:ascii="Arial" w:hAnsi="Arial" w:cs="Arial"/>
                <w:b/>
                <w:sz w:val="22"/>
                <w:szCs w:val="22"/>
              </w:rPr>
            </w:pPr>
            <w:r w:rsidRPr="0060028C">
              <w:rPr>
                <w:rFonts w:ascii="Arial" w:hAnsi="Arial" w:cs="Arial"/>
                <w:b/>
                <w:sz w:val="22"/>
                <w:szCs w:val="22"/>
              </w:rPr>
              <w:t>4</w:t>
            </w:r>
          </w:p>
        </w:tc>
        <w:tc>
          <w:tcPr>
            <w:tcW w:w="2829" w:type="dxa"/>
            <w:shd w:val="clear" w:color="auto" w:fill="auto"/>
            <w:vAlign w:val="center"/>
          </w:tcPr>
          <w:p w14:paraId="5FC10612" w14:textId="77777777" w:rsidR="00F30B7B" w:rsidRPr="0060028C" w:rsidRDefault="00F30B7B" w:rsidP="00EA0151">
            <w:pPr>
              <w:rPr>
                <w:rFonts w:ascii="Arial" w:hAnsi="Arial" w:cs="Arial"/>
                <w:sz w:val="22"/>
                <w:szCs w:val="22"/>
              </w:rPr>
            </w:pPr>
            <w:r w:rsidRPr="0060028C">
              <w:rPr>
                <w:rFonts w:ascii="Arial" w:hAnsi="Arial" w:cs="Arial"/>
                <w:sz w:val="22"/>
                <w:szCs w:val="22"/>
              </w:rPr>
              <w:t>Generalized erythroderma with bullous formation</w:t>
            </w:r>
          </w:p>
        </w:tc>
        <w:tc>
          <w:tcPr>
            <w:tcW w:w="2497" w:type="dxa"/>
            <w:shd w:val="clear" w:color="auto" w:fill="auto"/>
            <w:vAlign w:val="center"/>
          </w:tcPr>
          <w:p w14:paraId="0B12D5A8" w14:textId="77777777" w:rsidR="00F30B7B" w:rsidRPr="0060028C" w:rsidRDefault="00F30B7B" w:rsidP="00EA0151">
            <w:pPr>
              <w:rPr>
                <w:rFonts w:ascii="Arial" w:hAnsi="Arial" w:cs="Arial"/>
                <w:sz w:val="22"/>
                <w:szCs w:val="22"/>
              </w:rPr>
            </w:pPr>
            <w:r w:rsidRPr="0060028C">
              <w:rPr>
                <w:rFonts w:ascii="Arial" w:hAnsi="Arial" w:cs="Arial"/>
                <w:sz w:val="22"/>
                <w:szCs w:val="22"/>
              </w:rPr>
              <w:t>Bilirubin &gt;15 mg/dl</w:t>
            </w:r>
          </w:p>
        </w:tc>
        <w:tc>
          <w:tcPr>
            <w:tcW w:w="2854" w:type="dxa"/>
            <w:shd w:val="clear" w:color="auto" w:fill="auto"/>
            <w:vAlign w:val="center"/>
          </w:tcPr>
          <w:p w14:paraId="6C9B3DD5" w14:textId="77777777" w:rsidR="00F30B7B" w:rsidRPr="0060028C" w:rsidRDefault="00F30B7B" w:rsidP="00EA0151">
            <w:pPr>
              <w:rPr>
                <w:rFonts w:ascii="Arial" w:hAnsi="Arial" w:cs="Arial"/>
                <w:sz w:val="22"/>
                <w:szCs w:val="22"/>
              </w:rPr>
            </w:pPr>
            <w:r w:rsidRPr="0060028C">
              <w:rPr>
                <w:rFonts w:ascii="Arial" w:hAnsi="Arial" w:cs="Arial"/>
                <w:sz w:val="22"/>
                <w:szCs w:val="22"/>
              </w:rPr>
              <w:t>Severe abdominal pain with or without ileus</w:t>
            </w:r>
          </w:p>
        </w:tc>
      </w:tr>
    </w:tbl>
    <w:p w14:paraId="099BB161" w14:textId="77777777" w:rsidR="00F30B7B" w:rsidRDefault="00F30B7B" w:rsidP="00F30B7B"/>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
        <w:gridCol w:w="2829"/>
        <w:gridCol w:w="2497"/>
        <w:gridCol w:w="2854"/>
      </w:tblGrid>
      <w:tr w:rsidR="00F30B7B" w:rsidRPr="00D72A78" w14:paraId="0D2D48A5" w14:textId="77777777" w:rsidTr="00EA0151">
        <w:trPr>
          <w:jc w:val="center"/>
        </w:trPr>
        <w:tc>
          <w:tcPr>
            <w:tcW w:w="9180" w:type="dxa"/>
            <w:gridSpan w:val="4"/>
            <w:shd w:val="clear" w:color="auto" w:fill="63A70A" w:themeFill="accent2"/>
          </w:tcPr>
          <w:p w14:paraId="34F09913" w14:textId="5B8FF227" w:rsidR="00F30B7B" w:rsidRPr="0066473D" w:rsidRDefault="00F30B7B" w:rsidP="00EA0151">
            <w:pPr>
              <w:rPr>
                <w:rFonts w:ascii="Arial" w:hAnsi="Arial" w:cs="Arial"/>
                <w:color w:val="FFFFFF" w:themeColor="background1"/>
                <w:sz w:val="22"/>
                <w:szCs w:val="22"/>
              </w:rPr>
            </w:pPr>
            <w:r w:rsidRPr="0066473D">
              <w:rPr>
                <w:rFonts w:ascii="Arial" w:hAnsi="Arial" w:cs="Arial"/>
                <w:b/>
                <w:color w:val="FFFFFF" w:themeColor="background1"/>
                <w:sz w:val="22"/>
                <w:szCs w:val="22"/>
              </w:rPr>
              <w:t>Grade</w:t>
            </w:r>
            <w:r w:rsidR="00AD41FC">
              <w:rPr>
                <w:rFonts w:ascii="Arial" w:hAnsi="Arial" w:cs="Arial"/>
                <w:b/>
                <w:color w:val="FFFFFF" w:themeColor="background1"/>
                <w:sz w:val="22"/>
                <w:szCs w:val="22"/>
                <w:vertAlign w:val="superscript"/>
              </w:rPr>
              <w:t>5</w:t>
            </w:r>
          </w:p>
        </w:tc>
      </w:tr>
      <w:tr w:rsidR="00F30B7B" w:rsidRPr="00D72A78" w14:paraId="36E60AC8" w14:textId="77777777" w:rsidTr="00EA0151">
        <w:trPr>
          <w:jc w:val="center"/>
        </w:trPr>
        <w:tc>
          <w:tcPr>
            <w:tcW w:w="1000" w:type="dxa"/>
            <w:shd w:val="clear" w:color="auto" w:fill="auto"/>
          </w:tcPr>
          <w:p w14:paraId="1D489425" w14:textId="77777777" w:rsidR="00F30B7B" w:rsidRPr="0060028C" w:rsidRDefault="00F30B7B" w:rsidP="00EA0151">
            <w:pPr>
              <w:jc w:val="center"/>
              <w:rPr>
                <w:rFonts w:ascii="Arial" w:hAnsi="Arial" w:cs="Arial"/>
                <w:b/>
                <w:sz w:val="22"/>
                <w:szCs w:val="22"/>
              </w:rPr>
            </w:pPr>
            <w:r w:rsidRPr="0060028C">
              <w:rPr>
                <w:rFonts w:ascii="Arial" w:hAnsi="Arial" w:cs="Arial"/>
                <w:b/>
                <w:sz w:val="22"/>
                <w:szCs w:val="22"/>
              </w:rPr>
              <w:t>I</w:t>
            </w:r>
          </w:p>
        </w:tc>
        <w:tc>
          <w:tcPr>
            <w:tcW w:w="2829" w:type="dxa"/>
            <w:shd w:val="clear" w:color="auto" w:fill="auto"/>
            <w:vAlign w:val="center"/>
          </w:tcPr>
          <w:p w14:paraId="04681DBF" w14:textId="77777777" w:rsidR="00F30B7B" w:rsidRPr="0060028C" w:rsidRDefault="00F30B7B" w:rsidP="00EA0151">
            <w:pPr>
              <w:ind w:left="422" w:right="391"/>
              <w:rPr>
                <w:rFonts w:ascii="Arial" w:hAnsi="Arial" w:cs="Arial"/>
                <w:sz w:val="22"/>
                <w:szCs w:val="22"/>
              </w:rPr>
            </w:pPr>
            <w:r w:rsidRPr="0060028C">
              <w:rPr>
                <w:rFonts w:ascii="Arial" w:hAnsi="Arial" w:cs="Arial"/>
                <w:sz w:val="22"/>
                <w:szCs w:val="22"/>
              </w:rPr>
              <w:t>Stage 1-2</w:t>
            </w:r>
          </w:p>
        </w:tc>
        <w:tc>
          <w:tcPr>
            <w:tcW w:w="2497" w:type="dxa"/>
            <w:shd w:val="clear" w:color="auto" w:fill="auto"/>
            <w:vAlign w:val="center"/>
          </w:tcPr>
          <w:p w14:paraId="2949D4BF" w14:textId="77777777" w:rsidR="00F30B7B" w:rsidRPr="0060028C" w:rsidRDefault="00F30B7B" w:rsidP="00EA0151">
            <w:pPr>
              <w:ind w:right="391"/>
              <w:rPr>
                <w:rFonts w:ascii="Arial" w:hAnsi="Arial" w:cs="Arial"/>
                <w:sz w:val="22"/>
                <w:szCs w:val="22"/>
              </w:rPr>
            </w:pPr>
            <w:r w:rsidRPr="0060028C">
              <w:rPr>
                <w:rFonts w:ascii="Arial" w:hAnsi="Arial" w:cs="Arial"/>
                <w:sz w:val="22"/>
                <w:szCs w:val="22"/>
              </w:rPr>
              <w:t>None</w:t>
            </w:r>
          </w:p>
        </w:tc>
        <w:tc>
          <w:tcPr>
            <w:tcW w:w="2854" w:type="dxa"/>
            <w:shd w:val="clear" w:color="auto" w:fill="auto"/>
            <w:vAlign w:val="center"/>
          </w:tcPr>
          <w:p w14:paraId="10736B3F" w14:textId="77777777" w:rsidR="00F30B7B" w:rsidRPr="0060028C" w:rsidRDefault="00F30B7B" w:rsidP="00EA0151">
            <w:pPr>
              <w:ind w:right="391"/>
              <w:rPr>
                <w:rFonts w:ascii="Arial" w:hAnsi="Arial" w:cs="Arial"/>
                <w:sz w:val="22"/>
                <w:szCs w:val="22"/>
              </w:rPr>
            </w:pPr>
            <w:r w:rsidRPr="0060028C">
              <w:rPr>
                <w:rFonts w:ascii="Arial" w:hAnsi="Arial" w:cs="Arial"/>
                <w:sz w:val="22"/>
                <w:szCs w:val="22"/>
              </w:rPr>
              <w:t>None</w:t>
            </w:r>
          </w:p>
        </w:tc>
      </w:tr>
      <w:tr w:rsidR="00F30B7B" w:rsidRPr="00D72A78" w14:paraId="00873DD8" w14:textId="77777777" w:rsidTr="00EA0151">
        <w:trPr>
          <w:jc w:val="center"/>
        </w:trPr>
        <w:tc>
          <w:tcPr>
            <w:tcW w:w="1000" w:type="dxa"/>
            <w:shd w:val="clear" w:color="auto" w:fill="auto"/>
          </w:tcPr>
          <w:p w14:paraId="32386BA8" w14:textId="77777777" w:rsidR="00F30B7B" w:rsidRPr="0060028C" w:rsidRDefault="00F30B7B" w:rsidP="00EA0151">
            <w:pPr>
              <w:jc w:val="center"/>
              <w:rPr>
                <w:rFonts w:ascii="Arial" w:hAnsi="Arial" w:cs="Arial"/>
                <w:b/>
                <w:sz w:val="22"/>
                <w:szCs w:val="22"/>
              </w:rPr>
            </w:pPr>
            <w:r w:rsidRPr="0060028C">
              <w:rPr>
                <w:rFonts w:ascii="Arial" w:hAnsi="Arial" w:cs="Arial"/>
                <w:b/>
                <w:sz w:val="22"/>
                <w:szCs w:val="22"/>
              </w:rPr>
              <w:t>II</w:t>
            </w:r>
          </w:p>
        </w:tc>
        <w:tc>
          <w:tcPr>
            <w:tcW w:w="2829" w:type="dxa"/>
            <w:shd w:val="clear" w:color="auto" w:fill="auto"/>
            <w:vAlign w:val="center"/>
          </w:tcPr>
          <w:p w14:paraId="3986CD12" w14:textId="77777777" w:rsidR="00F30B7B" w:rsidRPr="0060028C" w:rsidRDefault="00F30B7B" w:rsidP="00EA0151">
            <w:pPr>
              <w:ind w:left="422" w:right="391"/>
              <w:rPr>
                <w:rFonts w:ascii="Arial" w:hAnsi="Arial" w:cs="Arial"/>
                <w:sz w:val="22"/>
                <w:szCs w:val="22"/>
              </w:rPr>
            </w:pPr>
            <w:r w:rsidRPr="0060028C">
              <w:rPr>
                <w:rFonts w:ascii="Arial" w:hAnsi="Arial" w:cs="Arial"/>
                <w:sz w:val="22"/>
                <w:szCs w:val="22"/>
              </w:rPr>
              <w:t>Stage 3 or</w:t>
            </w:r>
          </w:p>
        </w:tc>
        <w:tc>
          <w:tcPr>
            <w:tcW w:w="2497" w:type="dxa"/>
            <w:shd w:val="clear" w:color="auto" w:fill="auto"/>
            <w:vAlign w:val="center"/>
          </w:tcPr>
          <w:p w14:paraId="0375F87F" w14:textId="77777777" w:rsidR="00F30B7B" w:rsidRPr="0060028C" w:rsidRDefault="00F30B7B" w:rsidP="00EA0151">
            <w:pPr>
              <w:ind w:right="391"/>
              <w:rPr>
                <w:rFonts w:ascii="Arial" w:hAnsi="Arial" w:cs="Arial"/>
                <w:sz w:val="22"/>
                <w:szCs w:val="22"/>
              </w:rPr>
            </w:pPr>
            <w:r w:rsidRPr="0060028C">
              <w:rPr>
                <w:rFonts w:ascii="Arial" w:hAnsi="Arial" w:cs="Arial"/>
                <w:sz w:val="22"/>
                <w:szCs w:val="22"/>
              </w:rPr>
              <w:t>Stage 1 or</w:t>
            </w:r>
          </w:p>
        </w:tc>
        <w:tc>
          <w:tcPr>
            <w:tcW w:w="2854" w:type="dxa"/>
            <w:shd w:val="clear" w:color="auto" w:fill="auto"/>
            <w:vAlign w:val="center"/>
          </w:tcPr>
          <w:p w14:paraId="5FCAC227" w14:textId="77777777" w:rsidR="00F30B7B" w:rsidRPr="0060028C" w:rsidRDefault="00F30B7B" w:rsidP="00EA0151">
            <w:pPr>
              <w:ind w:right="391"/>
              <w:rPr>
                <w:rFonts w:ascii="Arial" w:hAnsi="Arial" w:cs="Arial"/>
                <w:sz w:val="22"/>
                <w:szCs w:val="22"/>
              </w:rPr>
            </w:pPr>
            <w:r w:rsidRPr="0060028C">
              <w:rPr>
                <w:rFonts w:ascii="Arial" w:hAnsi="Arial" w:cs="Arial"/>
                <w:sz w:val="22"/>
                <w:szCs w:val="22"/>
              </w:rPr>
              <w:t>Stage 1</w:t>
            </w:r>
          </w:p>
        </w:tc>
      </w:tr>
      <w:tr w:rsidR="00F30B7B" w:rsidRPr="00D72A78" w14:paraId="415787BB" w14:textId="77777777" w:rsidTr="00EA0151">
        <w:trPr>
          <w:jc w:val="center"/>
        </w:trPr>
        <w:tc>
          <w:tcPr>
            <w:tcW w:w="1000" w:type="dxa"/>
            <w:shd w:val="clear" w:color="auto" w:fill="auto"/>
          </w:tcPr>
          <w:p w14:paraId="5F5C3B9E" w14:textId="77777777" w:rsidR="00F30B7B" w:rsidRPr="0060028C" w:rsidRDefault="00F30B7B" w:rsidP="00EA0151">
            <w:pPr>
              <w:jc w:val="center"/>
              <w:rPr>
                <w:rFonts w:ascii="Arial" w:hAnsi="Arial" w:cs="Arial"/>
                <w:b/>
                <w:sz w:val="22"/>
                <w:szCs w:val="22"/>
              </w:rPr>
            </w:pPr>
            <w:r w:rsidRPr="0060028C">
              <w:rPr>
                <w:rFonts w:ascii="Arial" w:hAnsi="Arial" w:cs="Arial"/>
                <w:b/>
                <w:sz w:val="22"/>
                <w:szCs w:val="22"/>
              </w:rPr>
              <w:t>III</w:t>
            </w:r>
          </w:p>
        </w:tc>
        <w:tc>
          <w:tcPr>
            <w:tcW w:w="2829" w:type="dxa"/>
            <w:shd w:val="clear" w:color="auto" w:fill="auto"/>
            <w:vAlign w:val="center"/>
          </w:tcPr>
          <w:p w14:paraId="7068066C" w14:textId="77777777" w:rsidR="00F30B7B" w:rsidRPr="0060028C" w:rsidRDefault="00F30B7B" w:rsidP="00EA0151">
            <w:pPr>
              <w:ind w:left="422" w:right="391"/>
              <w:rPr>
                <w:rFonts w:ascii="Arial" w:hAnsi="Arial" w:cs="Arial"/>
                <w:sz w:val="22"/>
                <w:szCs w:val="22"/>
              </w:rPr>
            </w:pPr>
            <w:r w:rsidRPr="0060028C">
              <w:rPr>
                <w:rFonts w:ascii="Arial" w:hAnsi="Arial" w:cs="Arial"/>
                <w:sz w:val="22"/>
                <w:szCs w:val="22"/>
              </w:rPr>
              <w:t>—</w:t>
            </w:r>
          </w:p>
        </w:tc>
        <w:tc>
          <w:tcPr>
            <w:tcW w:w="2497" w:type="dxa"/>
            <w:shd w:val="clear" w:color="auto" w:fill="auto"/>
            <w:vAlign w:val="center"/>
          </w:tcPr>
          <w:p w14:paraId="61CB435C" w14:textId="77777777" w:rsidR="00F30B7B" w:rsidRPr="0060028C" w:rsidRDefault="00F30B7B" w:rsidP="00EA0151">
            <w:pPr>
              <w:ind w:right="391"/>
              <w:rPr>
                <w:rFonts w:ascii="Arial" w:hAnsi="Arial" w:cs="Arial"/>
                <w:sz w:val="22"/>
                <w:szCs w:val="22"/>
              </w:rPr>
            </w:pPr>
            <w:r w:rsidRPr="0060028C">
              <w:rPr>
                <w:rFonts w:ascii="Arial" w:hAnsi="Arial" w:cs="Arial"/>
                <w:sz w:val="22"/>
                <w:szCs w:val="22"/>
              </w:rPr>
              <w:t>Stage 2-3 or</w:t>
            </w:r>
          </w:p>
        </w:tc>
        <w:tc>
          <w:tcPr>
            <w:tcW w:w="2854" w:type="dxa"/>
            <w:shd w:val="clear" w:color="auto" w:fill="auto"/>
            <w:vAlign w:val="center"/>
          </w:tcPr>
          <w:p w14:paraId="4DE41070" w14:textId="77777777" w:rsidR="00F30B7B" w:rsidRPr="0060028C" w:rsidRDefault="00F30B7B" w:rsidP="00EA0151">
            <w:pPr>
              <w:ind w:right="391"/>
              <w:rPr>
                <w:rFonts w:ascii="Arial" w:hAnsi="Arial" w:cs="Arial"/>
                <w:sz w:val="22"/>
                <w:szCs w:val="22"/>
              </w:rPr>
            </w:pPr>
            <w:r w:rsidRPr="0060028C">
              <w:rPr>
                <w:rFonts w:ascii="Arial" w:hAnsi="Arial" w:cs="Arial"/>
                <w:sz w:val="22"/>
                <w:szCs w:val="22"/>
              </w:rPr>
              <w:t>Stage 2-4</w:t>
            </w:r>
          </w:p>
        </w:tc>
      </w:tr>
      <w:tr w:rsidR="00F30B7B" w:rsidRPr="00D72A78" w14:paraId="3B3A1682" w14:textId="77777777" w:rsidTr="00EA0151">
        <w:trPr>
          <w:jc w:val="center"/>
        </w:trPr>
        <w:tc>
          <w:tcPr>
            <w:tcW w:w="1000" w:type="dxa"/>
            <w:shd w:val="clear" w:color="auto" w:fill="auto"/>
          </w:tcPr>
          <w:p w14:paraId="55FEF21D" w14:textId="206E0399" w:rsidR="00F30B7B" w:rsidRPr="0060028C" w:rsidRDefault="00F30B7B" w:rsidP="00EA0151">
            <w:pPr>
              <w:jc w:val="center"/>
              <w:rPr>
                <w:rFonts w:ascii="Arial" w:hAnsi="Arial" w:cs="Arial"/>
                <w:b/>
                <w:sz w:val="22"/>
                <w:szCs w:val="22"/>
              </w:rPr>
            </w:pPr>
            <w:r w:rsidRPr="0060028C">
              <w:rPr>
                <w:rFonts w:ascii="Arial" w:hAnsi="Arial" w:cs="Arial"/>
                <w:b/>
                <w:sz w:val="22"/>
                <w:szCs w:val="22"/>
              </w:rPr>
              <w:t>IV</w:t>
            </w:r>
            <w:r w:rsidR="00AD41FC">
              <w:rPr>
                <w:rFonts w:ascii="Arial" w:hAnsi="Arial" w:cs="Arial"/>
                <w:b/>
                <w:sz w:val="22"/>
                <w:szCs w:val="22"/>
                <w:vertAlign w:val="superscript"/>
              </w:rPr>
              <w:t>6</w:t>
            </w:r>
          </w:p>
        </w:tc>
        <w:tc>
          <w:tcPr>
            <w:tcW w:w="2829" w:type="dxa"/>
            <w:shd w:val="clear" w:color="auto" w:fill="auto"/>
            <w:vAlign w:val="center"/>
          </w:tcPr>
          <w:p w14:paraId="309B32EE" w14:textId="77777777" w:rsidR="00F30B7B" w:rsidRPr="0060028C" w:rsidRDefault="00F30B7B" w:rsidP="00EA0151">
            <w:pPr>
              <w:ind w:left="422" w:right="391"/>
              <w:rPr>
                <w:rFonts w:ascii="Arial" w:hAnsi="Arial" w:cs="Arial"/>
                <w:sz w:val="22"/>
                <w:szCs w:val="22"/>
              </w:rPr>
            </w:pPr>
            <w:r w:rsidRPr="0060028C">
              <w:rPr>
                <w:rFonts w:ascii="Arial" w:hAnsi="Arial" w:cs="Arial"/>
                <w:sz w:val="22"/>
                <w:szCs w:val="22"/>
              </w:rPr>
              <w:t>Stage 4</w:t>
            </w:r>
          </w:p>
        </w:tc>
        <w:tc>
          <w:tcPr>
            <w:tcW w:w="2497" w:type="dxa"/>
            <w:shd w:val="clear" w:color="auto" w:fill="auto"/>
            <w:vAlign w:val="center"/>
          </w:tcPr>
          <w:p w14:paraId="4CFD999F" w14:textId="77777777" w:rsidR="00F30B7B" w:rsidRPr="0060028C" w:rsidRDefault="00F30B7B" w:rsidP="00EA0151">
            <w:pPr>
              <w:ind w:right="391"/>
              <w:rPr>
                <w:rFonts w:ascii="Arial" w:hAnsi="Arial" w:cs="Arial"/>
                <w:sz w:val="22"/>
                <w:szCs w:val="22"/>
              </w:rPr>
            </w:pPr>
            <w:r w:rsidRPr="0060028C">
              <w:rPr>
                <w:rFonts w:ascii="Arial" w:hAnsi="Arial" w:cs="Arial"/>
                <w:sz w:val="22"/>
                <w:szCs w:val="22"/>
              </w:rPr>
              <w:t>Stage 4</w:t>
            </w:r>
          </w:p>
        </w:tc>
        <w:tc>
          <w:tcPr>
            <w:tcW w:w="2854" w:type="dxa"/>
            <w:shd w:val="clear" w:color="auto" w:fill="auto"/>
            <w:vAlign w:val="center"/>
          </w:tcPr>
          <w:p w14:paraId="37FB3557" w14:textId="77777777" w:rsidR="00F30B7B" w:rsidRPr="0060028C" w:rsidRDefault="00F30B7B" w:rsidP="00EA0151">
            <w:pPr>
              <w:ind w:right="391"/>
              <w:rPr>
                <w:rFonts w:ascii="Arial" w:hAnsi="Arial" w:cs="Arial"/>
                <w:sz w:val="22"/>
                <w:szCs w:val="22"/>
              </w:rPr>
            </w:pPr>
            <w:r w:rsidRPr="0060028C">
              <w:rPr>
                <w:rFonts w:ascii="Arial" w:hAnsi="Arial" w:cs="Arial"/>
                <w:sz w:val="22"/>
                <w:szCs w:val="22"/>
              </w:rPr>
              <w:t>—</w:t>
            </w:r>
          </w:p>
        </w:tc>
      </w:tr>
      <w:tr w:rsidR="00F30B7B" w:rsidRPr="00D72A78" w14:paraId="1890B511" w14:textId="77777777" w:rsidTr="00EA0151">
        <w:trPr>
          <w:trHeight w:val="233"/>
          <w:jc w:val="center"/>
        </w:trPr>
        <w:tc>
          <w:tcPr>
            <w:tcW w:w="9180" w:type="dxa"/>
            <w:gridSpan w:val="4"/>
            <w:shd w:val="clear" w:color="auto" w:fill="auto"/>
          </w:tcPr>
          <w:p w14:paraId="3E7E5324" w14:textId="726552C5" w:rsidR="00F30B7B" w:rsidRDefault="00F30B7B" w:rsidP="00F30B7B">
            <w:pPr>
              <w:numPr>
                <w:ilvl w:val="0"/>
                <w:numId w:val="6"/>
              </w:numPr>
              <w:tabs>
                <w:tab w:val="clear" w:pos="360"/>
              </w:tabs>
              <w:spacing w:before="120"/>
              <w:ind w:left="432"/>
              <w:rPr>
                <w:rFonts w:ascii="Arial" w:hAnsi="Arial" w:cs="Arial"/>
                <w:sz w:val="20"/>
                <w:szCs w:val="20"/>
              </w:rPr>
            </w:pPr>
            <w:r w:rsidRPr="00D72A78">
              <w:rPr>
                <w:rFonts w:ascii="Arial" w:hAnsi="Arial" w:cs="Arial"/>
                <w:sz w:val="20"/>
                <w:szCs w:val="20"/>
              </w:rPr>
              <w:t xml:space="preserve">Use “Rule of Nines” </w:t>
            </w:r>
            <w:r w:rsidR="00867995">
              <w:rPr>
                <w:rFonts w:ascii="Arial" w:hAnsi="Arial" w:cs="Arial"/>
                <w:sz w:val="20"/>
                <w:szCs w:val="20"/>
              </w:rPr>
              <w:t>(Table 2</w:t>
            </w:r>
            <w:r>
              <w:rPr>
                <w:rFonts w:ascii="Arial" w:hAnsi="Arial" w:cs="Arial"/>
                <w:sz w:val="20"/>
                <w:szCs w:val="20"/>
              </w:rPr>
              <w:t xml:space="preserve">) </w:t>
            </w:r>
            <w:r w:rsidRPr="00D72A78">
              <w:rPr>
                <w:rFonts w:ascii="Arial" w:hAnsi="Arial" w:cs="Arial"/>
                <w:sz w:val="20"/>
                <w:szCs w:val="20"/>
              </w:rPr>
              <w:t>or burn chart to determine extent of rash.</w:t>
            </w:r>
          </w:p>
          <w:p w14:paraId="0F4864B9" w14:textId="03606420" w:rsidR="00F30B7B" w:rsidRDefault="00F30B7B" w:rsidP="00F30B7B">
            <w:pPr>
              <w:numPr>
                <w:ilvl w:val="0"/>
                <w:numId w:val="6"/>
              </w:numPr>
              <w:tabs>
                <w:tab w:val="clear" w:pos="360"/>
              </w:tabs>
              <w:ind w:left="432"/>
              <w:rPr>
                <w:rFonts w:ascii="Arial" w:hAnsi="Arial" w:cs="Arial"/>
                <w:sz w:val="20"/>
                <w:szCs w:val="20"/>
              </w:rPr>
            </w:pPr>
            <w:proofErr w:type="gramStart"/>
            <w:r w:rsidRPr="00D72A78">
              <w:rPr>
                <w:rFonts w:ascii="Arial" w:hAnsi="Arial" w:cs="Arial"/>
                <w:sz w:val="20"/>
                <w:szCs w:val="20"/>
              </w:rPr>
              <w:t>Range given as total bilirubin</w:t>
            </w:r>
            <w:r w:rsidR="00F91ED8">
              <w:rPr>
                <w:rFonts w:ascii="Arial" w:hAnsi="Arial" w:cs="Arial"/>
                <w:sz w:val="20"/>
                <w:szCs w:val="20"/>
              </w:rPr>
              <w:t>.</w:t>
            </w:r>
            <w:proofErr w:type="gramEnd"/>
            <w:r w:rsidR="00F91ED8">
              <w:rPr>
                <w:rFonts w:ascii="Arial" w:hAnsi="Arial" w:cs="Arial"/>
                <w:sz w:val="20"/>
                <w:szCs w:val="20"/>
              </w:rPr>
              <w:t xml:space="preserve">  </w:t>
            </w:r>
            <w:r w:rsidRPr="00D72A78">
              <w:rPr>
                <w:rFonts w:ascii="Arial" w:hAnsi="Arial" w:cs="Arial"/>
                <w:sz w:val="20"/>
                <w:szCs w:val="20"/>
              </w:rPr>
              <w:t>Downgrade one stage if an additional cause of elevated bilirubin has been documented.</w:t>
            </w:r>
          </w:p>
          <w:p w14:paraId="674CBC1C" w14:textId="0734429D" w:rsidR="00F30B7B" w:rsidRDefault="00F30B7B" w:rsidP="00F30B7B">
            <w:pPr>
              <w:numPr>
                <w:ilvl w:val="0"/>
                <w:numId w:val="6"/>
              </w:numPr>
              <w:tabs>
                <w:tab w:val="clear" w:pos="360"/>
              </w:tabs>
              <w:ind w:left="432"/>
              <w:rPr>
                <w:rFonts w:ascii="Arial" w:hAnsi="Arial" w:cs="Arial"/>
                <w:sz w:val="20"/>
                <w:szCs w:val="20"/>
              </w:rPr>
            </w:pPr>
            <w:r w:rsidRPr="00D72A78">
              <w:rPr>
                <w:rFonts w:ascii="Arial" w:hAnsi="Arial" w:cs="Arial"/>
                <w:sz w:val="20"/>
                <w:szCs w:val="20"/>
              </w:rPr>
              <w:t>Volume of diarrhea applies to adults</w:t>
            </w:r>
            <w:r w:rsidR="00F91ED8">
              <w:rPr>
                <w:rFonts w:ascii="Arial" w:hAnsi="Arial" w:cs="Arial"/>
                <w:sz w:val="20"/>
                <w:szCs w:val="20"/>
              </w:rPr>
              <w:t xml:space="preserve">.  </w:t>
            </w:r>
            <w:r w:rsidRPr="00D72A78">
              <w:rPr>
                <w:rFonts w:ascii="Arial" w:hAnsi="Arial" w:cs="Arial"/>
                <w:sz w:val="20"/>
                <w:szCs w:val="20"/>
              </w:rPr>
              <w:t xml:space="preserve">For pediatric patients, the volume of diarrhea </w:t>
            </w:r>
            <w:proofErr w:type="gramStart"/>
            <w:r w:rsidRPr="00D72A78">
              <w:rPr>
                <w:rFonts w:ascii="Arial" w:hAnsi="Arial" w:cs="Arial"/>
                <w:sz w:val="20"/>
                <w:szCs w:val="20"/>
              </w:rPr>
              <w:t>should be based</w:t>
            </w:r>
            <w:proofErr w:type="gramEnd"/>
            <w:r w:rsidRPr="00D72A78">
              <w:rPr>
                <w:rFonts w:ascii="Arial" w:hAnsi="Arial" w:cs="Arial"/>
                <w:sz w:val="20"/>
                <w:szCs w:val="20"/>
              </w:rPr>
              <w:t xml:space="preserve"> on body surface area</w:t>
            </w:r>
            <w:r w:rsidR="00F91ED8">
              <w:rPr>
                <w:rFonts w:ascii="Arial" w:hAnsi="Arial" w:cs="Arial"/>
                <w:sz w:val="20"/>
                <w:szCs w:val="20"/>
              </w:rPr>
              <w:t xml:space="preserve">.  </w:t>
            </w:r>
            <w:r w:rsidRPr="00D72A78">
              <w:rPr>
                <w:rFonts w:ascii="Arial" w:hAnsi="Arial" w:cs="Arial"/>
                <w:sz w:val="20"/>
                <w:szCs w:val="20"/>
              </w:rPr>
              <w:t>Downgrade one stage if an additional cause of diarrhea has been documented.</w:t>
            </w:r>
          </w:p>
          <w:p w14:paraId="05D97324" w14:textId="027F00B9" w:rsidR="00F30B7B" w:rsidRDefault="00F30B7B" w:rsidP="00F30B7B">
            <w:pPr>
              <w:numPr>
                <w:ilvl w:val="0"/>
                <w:numId w:val="6"/>
              </w:numPr>
              <w:tabs>
                <w:tab w:val="clear" w:pos="360"/>
              </w:tabs>
              <w:ind w:left="432"/>
              <w:rPr>
                <w:rFonts w:ascii="Arial" w:hAnsi="Arial" w:cs="Arial"/>
                <w:sz w:val="20"/>
                <w:szCs w:val="20"/>
              </w:rPr>
            </w:pPr>
            <w:r w:rsidRPr="00D72A78">
              <w:rPr>
                <w:rFonts w:ascii="Arial" w:hAnsi="Arial" w:cs="Arial"/>
                <w:sz w:val="20"/>
                <w:szCs w:val="20"/>
              </w:rPr>
              <w:t xml:space="preserve">Persistent nausea with </w:t>
            </w:r>
            <w:r>
              <w:rPr>
                <w:rFonts w:ascii="Arial" w:hAnsi="Arial" w:cs="Arial"/>
                <w:sz w:val="20"/>
                <w:szCs w:val="20"/>
              </w:rPr>
              <w:t xml:space="preserve">or without </w:t>
            </w:r>
            <w:r w:rsidRPr="00D72A78">
              <w:rPr>
                <w:rFonts w:ascii="Arial" w:hAnsi="Arial" w:cs="Arial"/>
                <w:sz w:val="20"/>
                <w:szCs w:val="20"/>
              </w:rPr>
              <w:t>histological evidence of GVHD in the stomach or duodenum.</w:t>
            </w:r>
          </w:p>
          <w:p w14:paraId="0222CDF3" w14:textId="77777777" w:rsidR="00F30B7B" w:rsidRDefault="00F30B7B" w:rsidP="00F30B7B">
            <w:pPr>
              <w:numPr>
                <w:ilvl w:val="0"/>
                <w:numId w:val="6"/>
              </w:numPr>
              <w:tabs>
                <w:tab w:val="clear" w:pos="360"/>
              </w:tabs>
              <w:ind w:left="432"/>
              <w:rPr>
                <w:rFonts w:ascii="Arial" w:hAnsi="Arial" w:cs="Arial"/>
                <w:sz w:val="20"/>
                <w:szCs w:val="20"/>
              </w:rPr>
            </w:pPr>
            <w:r w:rsidRPr="00D72A78">
              <w:rPr>
                <w:rFonts w:ascii="Arial" w:hAnsi="Arial" w:cs="Arial"/>
                <w:sz w:val="20"/>
                <w:szCs w:val="20"/>
              </w:rPr>
              <w:t>Criteria for grading given as minimum degree of organ involvement required to confer that grade.</w:t>
            </w:r>
          </w:p>
          <w:p w14:paraId="0C439AA7" w14:textId="77777777" w:rsidR="00F30B7B" w:rsidRDefault="00F30B7B" w:rsidP="00F30B7B">
            <w:pPr>
              <w:numPr>
                <w:ilvl w:val="0"/>
                <w:numId w:val="6"/>
              </w:numPr>
              <w:tabs>
                <w:tab w:val="clear" w:pos="360"/>
              </w:tabs>
              <w:ind w:left="432"/>
              <w:rPr>
                <w:rFonts w:ascii="Arial" w:hAnsi="Arial" w:cs="Arial"/>
              </w:rPr>
            </w:pPr>
            <w:r w:rsidRPr="00D72A78">
              <w:rPr>
                <w:rFonts w:ascii="Arial" w:hAnsi="Arial" w:cs="Arial"/>
                <w:sz w:val="20"/>
                <w:szCs w:val="20"/>
              </w:rPr>
              <w:t>Grade IV may also include lesser organ involvement with an extreme decrease in performance status.</w:t>
            </w:r>
          </w:p>
        </w:tc>
      </w:tr>
    </w:tbl>
    <w:p w14:paraId="2A14C675" w14:textId="77777777" w:rsidR="003E7677" w:rsidRPr="00F30B7B" w:rsidRDefault="003E7677" w:rsidP="00337399">
      <w:pPr>
        <w:autoSpaceDE w:val="0"/>
        <w:autoSpaceDN w:val="0"/>
        <w:adjustRightInd w:val="0"/>
        <w:rPr>
          <w:rFonts w:ascii="Arial" w:hAnsi="Arial" w:cs="Arial"/>
        </w:rPr>
      </w:pPr>
    </w:p>
    <w:p w14:paraId="396BADA0" w14:textId="5403279D" w:rsidR="00F30B7B" w:rsidRPr="00917879" w:rsidRDefault="00917879" w:rsidP="00337399">
      <w:pPr>
        <w:autoSpaceDE w:val="0"/>
        <w:autoSpaceDN w:val="0"/>
        <w:adjustRightInd w:val="0"/>
        <w:rPr>
          <w:rFonts w:ascii="Arial" w:hAnsi="Arial" w:cs="Arial"/>
        </w:rPr>
      </w:pPr>
      <w:r>
        <w:rPr>
          <w:rFonts w:ascii="Arial" w:hAnsi="Arial" w:cs="Arial"/>
        </w:rPr>
        <w:t xml:space="preserve">Report the </w:t>
      </w:r>
      <w:r w:rsidR="00687484">
        <w:rPr>
          <w:rFonts w:ascii="Arial" w:hAnsi="Arial" w:cs="Arial"/>
        </w:rPr>
        <w:t xml:space="preserve">grade of the </w:t>
      </w:r>
      <w:r>
        <w:rPr>
          <w:rFonts w:ascii="Arial" w:hAnsi="Arial" w:cs="Arial"/>
        </w:rPr>
        <w:t>recipient’s acute GVHD at the time of diagnosis; please note that this may not be the maximal grade for the reporting period</w:t>
      </w:r>
      <w:r w:rsidR="00F91ED8">
        <w:rPr>
          <w:rFonts w:ascii="Arial" w:hAnsi="Arial" w:cs="Arial"/>
        </w:rPr>
        <w:t xml:space="preserve">.  </w:t>
      </w:r>
      <w:r w:rsidR="00EA0151" w:rsidRPr="00FC39A8">
        <w:rPr>
          <w:rFonts w:ascii="Arial" w:hAnsi="Arial" w:cs="Arial"/>
        </w:rPr>
        <w:t xml:space="preserve">If acute GVHD was </w:t>
      </w:r>
      <w:r w:rsidR="00EA0151" w:rsidRPr="00FC39A8">
        <w:rPr>
          <w:rFonts w:ascii="Arial" w:hAnsi="Arial" w:cs="Arial"/>
        </w:rPr>
        <w:lastRenderedPageBreak/>
        <w:t>present, but the maximum grade</w:t>
      </w:r>
      <w:r w:rsidR="00AD41FC">
        <w:rPr>
          <w:rFonts w:ascii="Arial" w:hAnsi="Arial" w:cs="Arial"/>
        </w:rPr>
        <w:t xml:space="preserve"> at diagnosis</w:t>
      </w:r>
      <w:r w:rsidR="00EA0151" w:rsidRPr="00FC39A8">
        <w:rPr>
          <w:rFonts w:ascii="Arial" w:hAnsi="Arial" w:cs="Arial"/>
        </w:rPr>
        <w:t xml:space="preserve"> was not documented</w:t>
      </w:r>
      <w:r w:rsidR="00EA0151">
        <w:rPr>
          <w:rFonts w:ascii="Arial" w:hAnsi="Arial" w:cs="Arial"/>
        </w:rPr>
        <w:t xml:space="preserve"> and it cannot be determined from the grading and staging table, report “not applicable.”</w:t>
      </w:r>
    </w:p>
    <w:p w14:paraId="61E62CD1" w14:textId="77777777" w:rsidR="00917879" w:rsidRDefault="00917879" w:rsidP="00337399">
      <w:pPr>
        <w:autoSpaceDE w:val="0"/>
        <w:autoSpaceDN w:val="0"/>
        <w:adjustRightInd w:val="0"/>
        <w:rPr>
          <w:rFonts w:ascii="Arial" w:hAnsi="Arial" w:cs="Arial"/>
          <w:b/>
        </w:rPr>
      </w:pPr>
    </w:p>
    <w:p w14:paraId="0DBAC4DB" w14:textId="5D0CE899" w:rsidR="0054325D" w:rsidRPr="00917879" w:rsidRDefault="00917879" w:rsidP="008F5757">
      <w:pPr>
        <w:autoSpaceDE w:val="0"/>
        <w:autoSpaceDN w:val="0"/>
        <w:adjustRightInd w:val="0"/>
        <w:rPr>
          <w:rFonts w:ascii="Arial" w:hAnsi="Arial" w:cs="Arial"/>
          <w:b/>
        </w:rPr>
      </w:pPr>
      <w:r>
        <w:rPr>
          <w:rFonts w:ascii="Arial" w:hAnsi="Arial" w:cs="Arial"/>
          <w:b/>
        </w:rPr>
        <w:t xml:space="preserve">Questions 23-28: </w:t>
      </w:r>
      <w:r w:rsidR="005A3F32">
        <w:rPr>
          <w:rFonts w:ascii="Arial" w:hAnsi="Arial" w:cs="Arial"/>
          <w:b/>
        </w:rPr>
        <w:t xml:space="preserve"> </w:t>
      </w:r>
      <w:r>
        <w:rPr>
          <w:rFonts w:ascii="Arial" w:hAnsi="Arial" w:cs="Arial"/>
          <w:b/>
        </w:rPr>
        <w:t>L</w:t>
      </w:r>
      <w:r w:rsidR="00A27C4C" w:rsidRPr="00917879">
        <w:rPr>
          <w:rFonts w:ascii="Arial" w:hAnsi="Arial" w:cs="Arial"/>
          <w:b/>
        </w:rPr>
        <w:t>ist the stage for each o</w:t>
      </w:r>
      <w:r>
        <w:rPr>
          <w:rFonts w:ascii="Arial" w:hAnsi="Arial" w:cs="Arial"/>
          <w:b/>
        </w:rPr>
        <w:t>rgan at diagnosis of acute GVHD.</w:t>
      </w:r>
    </w:p>
    <w:p w14:paraId="42ED5E7D" w14:textId="5044B62A" w:rsidR="00917879" w:rsidRDefault="003E7677" w:rsidP="00917879">
      <w:pPr>
        <w:rPr>
          <w:rFonts w:ascii="Arial" w:hAnsi="Arial" w:cs="Arial"/>
        </w:rPr>
      </w:pPr>
      <w:r>
        <w:rPr>
          <w:rFonts w:ascii="Arial" w:hAnsi="Arial" w:cs="Arial"/>
          <w:b/>
        </w:rPr>
        <w:t>Skin</w:t>
      </w:r>
      <w:r w:rsidR="00917879">
        <w:rPr>
          <w:rFonts w:ascii="Arial" w:hAnsi="Arial" w:cs="Arial"/>
          <w:b/>
        </w:rPr>
        <w:t>:</w:t>
      </w:r>
      <w:r w:rsidR="00917879" w:rsidRPr="00917879">
        <w:rPr>
          <w:rFonts w:ascii="Arial" w:hAnsi="Arial" w:cs="Arial"/>
        </w:rPr>
        <w:t xml:space="preserve"> </w:t>
      </w:r>
      <w:r w:rsidR="00917879">
        <w:rPr>
          <w:rFonts w:ascii="Arial" w:hAnsi="Arial" w:cs="Arial"/>
        </w:rPr>
        <w:t>Select the stage that reflects the body surface area involved with a maculopapular rash attributed to acute GVHD at the time of acute GVHD diagnosis or flare in the reporting period</w:t>
      </w:r>
      <w:r w:rsidR="00F91ED8">
        <w:rPr>
          <w:rFonts w:ascii="Arial" w:hAnsi="Arial" w:cs="Arial"/>
        </w:rPr>
        <w:t xml:space="preserve">.  </w:t>
      </w:r>
      <w:r w:rsidR="00917879">
        <w:rPr>
          <w:rFonts w:ascii="Arial" w:hAnsi="Arial" w:cs="Arial"/>
        </w:rPr>
        <w:t>See Table 2 below to determine the percent of body surface area invol</w:t>
      </w:r>
      <w:r w:rsidR="00AD41FC">
        <w:rPr>
          <w:rFonts w:ascii="Arial" w:hAnsi="Arial" w:cs="Arial"/>
        </w:rPr>
        <w:t>ved with a rash</w:t>
      </w:r>
      <w:r w:rsidR="00F91ED8">
        <w:rPr>
          <w:rFonts w:ascii="Arial" w:hAnsi="Arial" w:cs="Arial"/>
        </w:rPr>
        <w:t xml:space="preserve">.  </w:t>
      </w:r>
      <w:r w:rsidR="00AD41FC">
        <w:rPr>
          <w:rFonts w:ascii="Arial" w:hAnsi="Arial" w:cs="Arial"/>
        </w:rPr>
        <w:t>Do not report</w:t>
      </w:r>
      <w:r w:rsidR="00917879">
        <w:rPr>
          <w:rFonts w:ascii="Arial" w:hAnsi="Arial" w:cs="Arial"/>
        </w:rPr>
        <w:t xml:space="preserve"> ongoing</w:t>
      </w:r>
      <w:r w:rsidR="00AD41FC">
        <w:rPr>
          <w:rFonts w:ascii="Arial" w:hAnsi="Arial" w:cs="Arial"/>
        </w:rPr>
        <w:t xml:space="preserve"> rash</w:t>
      </w:r>
      <w:r w:rsidR="00917879">
        <w:rPr>
          <w:rFonts w:ascii="Arial" w:hAnsi="Arial" w:cs="Arial"/>
        </w:rPr>
        <w:t xml:space="preserve"> not attributed to acute GVHD at the time of acute GVHD diagnosis or flare.</w:t>
      </w:r>
    </w:p>
    <w:p w14:paraId="274EBEC6" w14:textId="77777777" w:rsidR="00917879" w:rsidRDefault="00917879" w:rsidP="00917879">
      <w:pPr>
        <w:rPr>
          <w:rFonts w:ascii="Arial" w:hAnsi="Arial" w:cs="Arial"/>
          <w:b/>
        </w:rPr>
      </w:pPr>
    </w:p>
    <w:p w14:paraId="12F971D9" w14:textId="52D3E7C1" w:rsidR="00917879" w:rsidRPr="00AF6235" w:rsidRDefault="00917879" w:rsidP="00917879">
      <w:pPr>
        <w:rPr>
          <w:rFonts w:ascii="Arial" w:hAnsi="Arial" w:cs="Arial"/>
          <w:b/>
        </w:rPr>
      </w:pPr>
      <w:proofErr w:type="gramStart"/>
      <w:r>
        <w:rPr>
          <w:rFonts w:ascii="Arial" w:hAnsi="Arial" w:cs="Arial"/>
          <w:b/>
        </w:rPr>
        <w:t>Table 2</w:t>
      </w:r>
      <w:r w:rsidR="00F91ED8">
        <w:rPr>
          <w:rFonts w:ascii="Arial" w:hAnsi="Arial" w:cs="Arial"/>
          <w:b/>
        </w:rPr>
        <w:t>.</w:t>
      </w:r>
      <w:proofErr w:type="gramEnd"/>
      <w:r w:rsidR="00F91ED8">
        <w:rPr>
          <w:rFonts w:ascii="Arial" w:hAnsi="Arial" w:cs="Arial"/>
          <w:b/>
        </w:rPr>
        <w:t xml:space="preserve">  </w:t>
      </w:r>
      <w:r w:rsidRPr="00AF6235">
        <w:rPr>
          <w:rFonts w:ascii="Arial" w:hAnsi="Arial" w:cs="Arial"/>
          <w:b/>
        </w:rPr>
        <w:t>Percent Body Surfaces</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2952"/>
        <w:gridCol w:w="2952"/>
        <w:gridCol w:w="3744"/>
      </w:tblGrid>
      <w:tr w:rsidR="00917879" w:rsidRPr="00A45E02" w14:paraId="630897DB" w14:textId="77777777" w:rsidTr="00EA0151">
        <w:tc>
          <w:tcPr>
            <w:tcW w:w="2952" w:type="dxa"/>
            <w:shd w:val="clear" w:color="auto" w:fill="63A70A" w:themeFill="accent2"/>
          </w:tcPr>
          <w:p w14:paraId="069142FD" w14:textId="77777777" w:rsidR="00917879" w:rsidRPr="0066473D" w:rsidRDefault="00917879" w:rsidP="00EA0151">
            <w:pPr>
              <w:jc w:val="center"/>
              <w:rPr>
                <w:rFonts w:ascii="Arial" w:hAnsi="Arial" w:cs="Arial"/>
                <w:b/>
                <w:color w:val="FFFFFF" w:themeColor="background1"/>
              </w:rPr>
            </w:pPr>
            <w:r w:rsidRPr="0066473D">
              <w:rPr>
                <w:rFonts w:ascii="Arial" w:hAnsi="Arial" w:cs="Arial"/>
                <w:b/>
                <w:color w:val="FFFFFF" w:themeColor="background1"/>
              </w:rPr>
              <w:t>Body Area</w:t>
            </w:r>
          </w:p>
        </w:tc>
        <w:tc>
          <w:tcPr>
            <w:tcW w:w="2952" w:type="dxa"/>
            <w:shd w:val="clear" w:color="auto" w:fill="63A70A" w:themeFill="accent2"/>
          </w:tcPr>
          <w:p w14:paraId="0DC39D62" w14:textId="77777777" w:rsidR="00917879" w:rsidRPr="0066473D" w:rsidRDefault="00917879" w:rsidP="00EA0151">
            <w:pPr>
              <w:jc w:val="center"/>
              <w:rPr>
                <w:rFonts w:ascii="Arial" w:hAnsi="Arial" w:cs="Arial"/>
                <w:b/>
                <w:color w:val="FFFFFF" w:themeColor="background1"/>
              </w:rPr>
            </w:pPr>
            <w:r w:rsidRPr="0066473D">
              <w:rPr>
                <w:rFonts w:ascii="Arial" w:hAnsi="Arial" w:cs="Arial"/>
                <w:b/>
                <w:color w:val="FFFFFF" w:themeColor="background1"/>
              </w:rPr>
              <w:t>Percent</w:t>
            </w:r>
          </w:p>
        </w:tc>
        <w:tc>
          <w:tcPr>
            <w:tcW w:w="3744" w:type="dxa"/>
            <w:shd w:val="clear" w:color="auto" w:fill="63A70A" w:themeFill="accent2"/>
          </w:tcPr>
          <w:p w14:paraId="2479784B" w14:textId="77777777" w:rsidR="00917879" w:rsidRPr="0066473D" w:rsidRDefault="00917879" w:rsidP="00EA0151">
            <w:pPr>
              <w:ind w:right="432"/>
              <w:jc w:val="center"/>
              <w:rPr>
                <w:rFonts w:ascii="Arial" w:hAnsi="Arial" w:cs="Arial"/>
                <w:b/>
                <w:color w:val="FFFFFF" w:themeColor="background1"/>
              </w:rPr>
            </w:pPr>
            <w:r w:rsidRPr="0066473D">
              <w:rPr>
                <w:rFonts w:ascii="Arial" w:hAnsi="Arial" w:cs="Arial"/>
                <w:b/>
                <w:color w:val="FFFFFF" w:themeColor="background1"/>
              </w:rPr>
              <w:t>Total Percentage</w:t>
            </w:r>
          </w:p>
        </w:tc>
      </w:tr>
      <w:tr w:rsidR="00917879" w:rsidRPr="00AB2E10" w14:paraId="6FD84D44" w14:textId="77777777" w:rsidTr="00EA0151">
        <w:tc>
          <w:tcPr>
            <w:tcW w:w="2952" w:type="dxa"/>
            <w:shd w:val="clear" w:color="auto" w:fill="auto"/>
          </w:tcPr>
          <w:p w14:paraId="5BB698C1" w14:textId="77777777" w:rsidR="00917879" w:rsidRPr="00AB2E10" w:rsidRDefault="00917879" w:rsidP="00EA0151">
            <w:pPr>
              <w:rPr>
                <w:rFonts w:ascii="Arial" w:hAnsi="Arial" w:cs="Arial"/>
                <w:sz w:val="20"/>
                <w:szCs w:val="20"/>
              </w:rPr>
            </w:pPr>
            <w:r w:rsidRPr="00AB2E10">
              <w:rPr>
                <w:rFonts w:ascii="Arial" w:hAnsi="Arial" w:cs="Arial"/>
                <w:sz w:val="20"/>
                <w:szCs w:val="20"/>
              </w:rPr>
              <w:t>Each Arm</w:t>
            </w:r>
          </w:p>
        </w:tc>
        <w:tc>
          <w:tcPr>
            <w:tcW w:w="2952" w:type="dxa"/>
            <w:shd w:val="clear" w:color="auto" w:fill="auto"/>
          </w:tcPr>
          <w:p w14:paraId="070F090C" w14:textId="77777777" w:rsidR="00917879" w:rsidRPr="00AB2E10" w:rsidRDefault="00917879" w:rsidP="00EA0151">
            <w:pPr>
              <w:tabs>
                <w:tab w:val="left" w:pos="1548"/>
              </w:tabs>
              <w:ind w:right="1188"/>
              <w:jc w:val="right"/>
              <w:rPr>
                <w:rFonts w:ascii="Arial" w:hAnsi="Arial" w:cs="Arial"/>
                <w:sz w:val="20"/>
                <w:szCs w:val="20"/>
              </w:rPr>
            </w:pPr>
            <w:r w:rsidRPr="00AB2E10">
              <w:rPr>
                <w:rFonts w:ascii="Arial" w:hAnsi="Arial" w:cs="Arial"/>
                <w:sz w:val="20"/>
                <w:szCs w:val="20"/>
              </w:rPr>
              <w:t>9%</w:t>
            </w:r>
          </w:p>
        </w:tc>
        <w:tc>
          <w:tcPr>
            <w:tcW w:w="3744" w:type="dxa"/>
            <w:shd w:val="clear" w:color="auto" w:fill="auto"/>
          </w:tcPr>
          <w:p w14:paraId="66DAB82C" w14:textId="77777777" w:rsidR="00917879" w:rsidRPr="00AB2E10" w:rsidRDefault="00917879" w:rsidP="00EA0151">
            <w:pPr>
              <w:ind w:right="1422"/>
              <w:jc w:val="right"/>
              <w:rPr>
                <w:rFonts w:ascii="Arial" w:hAnsi="Arial" w:cs="Arial"/>
                <w:sz w:val="20"/>
                <w:szCs w:val="20"/>
              </w:rPr>
            </w:pPr>
            <w:r w:rsidRPr="00AB2E10">
              <w:rPr>
                <w:rFonts w:ascii="Arial" w:hAnsi="Arial" w:cs="Arial"/>
                <w:sz w:val="20"/>
                <w:szCs w:val="20"/>
              </w:rPr>
              <w:t>18%</w:t>
            </w:r>
          </w:p>
        </w:tc>
      </w:tr>
      <w:tr w:rsidR="00917879" w:rsidRPr="00AB2E10" w14:paraId="12632BF0" w14:textId="77777777" w:rsidTr="00EA0151">
        <w:tc>
          <w:tcPr>
            <w:tcW w:w="2952" w:type="dxa"/>
            <w:shd w:val="clear" w:color="auto" w:fill="auto"/>
          </w:tcPr>
          <w:p w14:paraId="58192F60" w14:textId="77777777" w:rsidR="00917879" w:rsidRPr="00AB2E10" w:rsidRDefault="00917879" w:rsidP="00EA0151">
            <w:pPr>
              <w:rPr>
                <w:rFonts w:ascii="Arial" w:hAnsi="Arial" w:cs="Arial"/>
                <w:sz w:val="20"/>
                <w:szCs w:val="20"/>
              </w:rPr>
            </w:pPr>
            <w:r w:rsidRPr="00AB2E10">
              <w:rPr>
                <w:rFonts w:ascii="Arial" w:hAnsi="Arial" w:cs="Arial"/>
                <w:sz w:val="20"/>
                <w:szCs w:val="20"/>
              </w:rPr>
              <w:t>Each Leg</w:t>
            </w:r>
          </w:p>
        </w:tc>
        <w:tc>
          <w:tcPr>
            <w:tcW w:w="2952" w:type="dxa"/>
            <w:shd w:val="clear" w:color="auto" w:fill="auto"/>
          </w:tcPr>
          <w:p w14:paraId="593B5183" w14:textId="77777777" w:rsidR="00917879" w:rsidRPr="00AB2E10" w:rsidRDefault="00917879" w:rsidP="00EA0151">
            <w:pPr>
              <w:tabs>
                <w:tab w:val="left" w:pos="1548"/>
              </w:tabs>
              <w:ind w:right="1188"/>
              <w:jc w:val="right"/>
              <w:rPr>
                <w:rFonts w:ascii="Arial" w:hAnsi="Arial" w:cs="Arial"/>
                <w:sz w:val="20"/>
                <w:szCs w:val="20"/>
              </w:rPr>
            </w:pPr>
            <w:r w:rsidRPr="00AB2E10">
              <w:rPr>
                <w:rFonts w:ascii="Arial" w:hAnsi="Arial" w:cs="Arial"/>
                <w:sz w:val="20"/>
                <w:szCs w:val="20"/>
              </w:rPr>
              <w:t>18%</w:t>
            </w:r>
          </w:p>
        </w:tc>
        <w:tc>
          <w:tcPr>
            <w:tcW w:w="3744" w:type="dxa"/>
            <w:shd w:val="clear" w:color="auto" w:fill="auto"/>
          </w:tcPr>
          <w:p w14:paraId="53B2EE0C" w14:textId="77777777" w:rsidR="00917879" w:rsidRPr="00AB2E10" w:rsidRDefault="00917879" w:rsidP="00EA0151">
            <w:pPr>
              <w:ind w:right="1422"/>
              <w:jc w:val="right"/>
              <w:rPr>
                <w:rFonts w:ascii="Arial" w:hAnsi="Arial" w:cs="Arial"/>
                <w:sz w:val="20"/>
                <w:szCs w:val="20"/>
              </w:rPr>
            </w:pPr>
            <w:r w:rsidRPr="00AB2E10">
              <w:rPr>
                <w:rFonts w:ascii="Arial" w:hAnsi="Arial" w:cs="Arial"/>
                <w:sz w:val="20"/>
                <w:szCs w:val="20"/>
              </w:rPr>
              <w:t>36%</w:t>
            </w:r>
          </w:p>
        </w:tc>
      </w:tr>
      <w:tr w:rsidR="00917879" w:rsidRPr="00AB2E10" w14:paraId="5B67905C" w14:textId="77777777" w:rsidTr="00EA0151">
        <w:tc>
          <w:tcPr>
            <w:tcW w:w="2952" w:type="dxa"/>
            <w:shd w:val="clear" w:color="auto" w:fill="auto"/>
          </w:tcPr>
          <w:p w14:paraId="0199470B" w14:textId="77777777" w:rsidR="00917879" w:rsidRPr="00AB2E10" w:rsidRDefault="00917879" w:rsidP="00EA0151">
            <w:pPr>
              <w:rPr>
                <w:rFonts w:ascii="Arial" w:hAnsi="Arial" w:cs="Arial"/>
                <w:sz w:val="20"/>
                <w:szCs w:val="20"/>
              </w:rPr>
            </w:pPr>
            <w:r w:rsidRPr="00AB2E10">
              <w:rPr>
                <w:rFonts w:ascii="Arial" w:hAnsi="Arial" w:cs="Arial"/>
                <w:sz w:val="20"/>
                <w:szCs w:val="20"/>
              </w:rPr>
              <w:t>Chest &amp; Abdomen</w:t>
            </w:r>
          </w:p>
        </w:tc>
        <w:tc>
          <w:tcPr>
            <w:tcW w:w="2952" w:type="dxa"/>
            <w:shd w:val="clear" w:color="auto" w:fill="auto"/>
          </w:tcPr>
          <w:p w14:paraId="704734F4" w14:textId="77777777" w:rsidR="00917879" w:rsidRPr="00AB2E10" w:rsidRDefault="00917879" w:rsidP="00EA0151">
            <w:pPr>
              <w:tabs>
                <w:tab w:val="left" w:pos="1548"/>
              </w:tabs>
              <w:ind w:right="1188"/>
              <w:jc w:val="right"/>
              <w:rPr>
                <w:rFonts w:ascii="Arial" w:hAnsi="Arial" w:cs="Arial"/>
                <w:sz w:val="20"/>
                <w:szCs w:val="20"/>
              </w:rPr>
            </w:pPr>
            <w:r w:rsidRPr="00AB2E10">
              <w:rPr>
                <w:rFonts w:ascii="Arial" w:hAnsi="Arial" w:cs="Arial"/>
                <w:sz w:val="20"/>
                <w:szCs w:val="20"/>
              </w:rPr>
              <w:t>18%</w:t>
            </w:r>
          </w:p>
        </w:tc>
        <w:tc>
          <w:tcPr>
            <w:tcW w:w="3744" w:type="dxa"/>
            <w:shd w:val="clear" w:color="auto" w:fill="auto"/>
          </w:tcPr>
          <w:p w14:paraId="76C76B2D" w14:textId="77777777" w:rsidR="00917879" w:rsidRPr="00AB2E10" w:rsidRDefault="00917879" w:rsidP="00EA0151">
            <w:pPr>
              <w:ind w:right="1422"/>
              <w:jc w:val="right"/>
              <w:rPr>
                <w:rFonts w:ascii="Arial" w:hAnsi="Arial" w:cs="Arial"/>
                <w:sz w:val="20"/>
                <w:szCs w:val="20"/>
              </w:rPr>
            </w:pPr>
            <w:r w:rsidRPr="00AB2E10">
              <w:rPr>
                <w:rFonts w:ascii="Arial" w:hAnsi="Arial" w:cs="Arial"/>
                <w:sz w:val="20"/>
                <w:szCs w:val="20"/>
              </w:rPr>
              <w:t>18%</w:t>
            </w:r>
          </w:p>
        </w:tc>
      </w:tr>
      <w:tr w:rsidR="00917879" w:rsidRPr="00AB2E10" w14:paraId="1527E913" w14:textId="77777777" w:rsidTr="00EA0151">
        <w:tc>
          <w:tcPr>
            <w:tcW w:w="2952" w:type="dxa"/>
            <w:shd w:val="clear" w:color="auto" w:fill="auto"/>
          </w:tcPr>
          <w:p w14:paraId="2F1A12BB" w14:textId="77777777" w:rsidR="00917879" w:rsidRPr="00AB2E10" w:rsidRDefault="00917879" w:rsidP="00EA0151">
            <w:pPr>
              <w:rPr>
                <w:rFonts w:ascii="Arial" w:hAnsi="Arial" w:cs="Arial"/>
                <w:sz w:val="20"/>
                <w:szCs w:val="20"/>
              </w:rPr>
            </w:pPr>
            <w:r w:rsidRPr="00AB2E10">
              <w:rPr>
                <w:rFonts w:ascii="Arial" w:hAnsi="Arial" w:cs="Arial"/>
                <w:sz w:val="20"/>
                <w:szCs w:val="20"/>
              </w:rPr>
              <w:t>Back</w:t>
            </w:r>
          </w:p>
        </w:tc>
        <w:tc>
          <w:tcPr>
            <w:tcW w:w="2952" w:type="dxa"/>
            <w:shd w:val="clear" w:color="auto" w:fill="auto"/>
          </w:tcPr>
          <w:p w14:paraId="164D6CB3" w14:textId="77777777" w:rsidR="00917879" w:rsidRPr="00AB2E10" w:rsidRDefault="00917879" w:rsidP="00EA0151">
            <w:pPr>
              <w:tabs>
                <w:tab w:val="left" w:pos="1548"/>
              </w:tabs>
              <w:ind w:right="1188"/>
              <w:jc w:val="right"/>
              <w:rPr>
                <w:rFonts w:ascii="Arial" w:hAnsi="Arial" w:cs="Arial"/>
                <w:sz w:val="20"/>
                <w:szCs w:val="20"/>
              </w:rPr>
            </w:pPr>
            <w:r w:rsidRPr="00AB2E10">
              <w:rPr>
                <w:rFonts w:ascii="Arial" w:hAnsi="Arial" w:cs="Arial"/>
                <w:sz w:val="20"/>
                <w:szCs w:val="20"/>
              </w:rPr>
              <w:t>18%</w:t>
            </w:r>
          </w:p>
        </w:tc>
        <w:tc>
          <w:tcPr>
            <w:tcW w:w="3744" w:type="dxa"/>
            <w:shd w:val="clear" w:color="auto" w:fill="auto"/>
          </w:tcPr>
          <w:p w14:paraId="334FBD8F" w14:textId="77777777" w:rsidR="00917879" w:rsidRPr="00AB2E10" w:rsidRDefault="00917879" w:rsidP="00EA0151">
            <w:pPr>
              <w:ind w:right="1422"/>
              <w:jc w:val="right"/>
              <w:rPr>
                <w:rFonts w:ascii="Arial" w:hAnsi="Arial" w:cs="Arial"/>
                <w:sz w:val="20"/>
                <w:szCs w:val="20"/>
              </w:rPr>
            </w:pPr>
            <w:r w:rsidRPr="00AB2E10">
              <w:rPr>
                <w:rFonts w:ascii="Arial" w:hAnsi="Arial" w:cs="Arial"/>
                <w:sz w:val="20"/>
                <w:szCs w:val="20"/>
              </w:rPr>
              <w:t>18%</w:t>
            </w:r>
          </w:p>
        </w:tc>
      </w:tr>
      <w:tr w:rsidR="00917879" w:rsidRPr="00AB2E10" w14:paraId="3B5A829B" w14:textId="77777777" w:rsidTr="00EA0151">
        <w:tc>
          <w:tcPr>
            <w:tcW w:w="2952" w:type="dxa"/>
            <w:shd w:val="clear" w:color="auto" w:fill="auto"/>
          </w:tcPr>
          <w:p w14:paraId="37253460" w14:textId="77777777" w:rsidR="00917879" w:rsidRPr="00AB2E10" w:rsidRDefault="00917879" w:rsidP="00EA0151">
            <w:pPr>
              <w:rPr>
                <w:rFonts w:ascii="Arial" w:hAnsi="Arial" w:cs="Arial"/>
                <w:sz w:val="20"/>
                <w:szCs w:val="20"/>
              </w:rPr>
            </w:pPr>
            <w:r w:rsidRPr="00AB2E10">
              <w:rPr>
                <w:rFonts w:ascii="Arial" w:hAnsi="Arial" w:cs="Arial"/>
                <w:sz w:val="20"/>
                <w:szCs w:val="20"/>
              </w:rPr>
              <w:t>Head</w:t>
            </w:r>
          </w:p>
        </w:tc>
        <w:tc>
          <w:tcPr>
            <w:tcW w:w="2952" w:type="dxa"/>
            <w:shd w:val="clear" w:color="auto" w:fill="auto"/>
          </w:tcPr>
          <w:p w14:paraId="295722BD" w14:textId="77777777" w:rsidR="00917879" w:rsidRPr="00AB2E10" w:rsidRDefault="00917879" w:rsidP="00EA0151">
            <w:pPr>
              <w:tabs>
                <w:tab w:val="left" w:pos="1548"/>
              </w:tabs>
              <w:ind w:right="1188"/>
              <w:jc w:val="right"/>
              <w:rPr>
                <w:rFonts w:ascii="Arial" w:hAnsi="Arial" w:cs="Arial"/>
                <w:sz w:val="20"/>
                <w:szCs w:val="20"/>
              </w:rPr>
            </w:pPr>
            <w:r w:rsidRPr="00AB2E10">
              <w:rPr>
                <w:rFonts w:ascii="Arial" w:hAnsi="Arial" w:cs="Arial"/>
                <w:sz w:val="20"/>
                <w:szCs w:val="20"/>
              </w:rPr>
              <w:t>9%</w:t>
            </w:r>
          </w:p>
        </w:tc>
        <w:tc>
          <w:tcPr>
            <w:tcW w:w="3744" w:type="dxa"/>
            <w:shd w:val="clear" w:color="auto" w:fill="auto"/>
          </w:tcPr>
          <w:p w14:paraId="0EDC7AAA" w14:textId="77777777" w:rsidR="00917879" w:rsidRPr="00AB2E10" w:rsidRDefault="00917879" w:rsidP="00EA0151">
            <w:pPr>
              <w:ind w:right="1422"/>
              <w:jc w:val="right"/>
              <w:rPr>
                <w:rFonts w:ascii="Arial" w:hAnsi="Arial" w:cs="Arial"/>
                <w:sz w:val="20"/>
                <w:szCs w:val="20"/>
              </w:rPr>
            </w:pPr>
            <w:r w:rsidRPr="00AB2E10">
              <w:rPr>
                <w:rFonts w:ascii="Arial" w:hAnsi="Arial" w:cs="Arial"/>
                <w:sz w:val="20"/>
                <w:szCs w:val="20"/>
              </w:rPr>
              <w:t>9%</w:t>
            </w:r>
          </w:p>
        </w:tc>
      </w:tr>
      <w:tr w:rsidR="00917879" w:rsidRPr="00AB2E10" w14:paraId="4E2D2E49" w14:textId="77777777" w:rsidTr="00EA0151">
        <w:tc>
          <w:tcPr>
            <w:tcW w:w="2952" w:type="dxa"/>
            <w:shd w:val="clear" w:color="auto" w:fill="auto"/>
          </w:tcPr>
          <w:p w14:paraId="1A514CA7" w14:textId="77777777" w:rsidR="00917879" w:rsidRPr="00AB2E10" w:rsidRDefault="00917879" w:rsidP="00EA0151">
            <w:pPr>
              <w:rPr>
                <w:rFonts w:ascii="Arial" w:hAnsi="Arial" w:cs="Arial"/>
                <w:sz w:val="20"/>
                <w:szCs w:val="20"/>
              </w:rPr>
            </w:pPr>
            <w:r w:rsidRPr="00AB2E10">
              <w:rPr>
                <w:rFonts w:ascii="Arial" w:hAnsi="Arial" w:cs="Arial"/>
                <w:sz w:val="20"/>
                <w:szCs w:val="20"/>
              </w:rPr>
              <w:t>Pubis</w:t>
            </w:r>
          </w:p>
        </w:tc>
        <w:tc>
          <w:tcPr>
            <w:tcW w:w="2952" w:type="dxa"/>
            <w:shd w:val="clear" w:color="auto" w:fill="auto"/>
          </w:tcPr>
          <w:p w14:paraId="3BF65C10" w14:textId="77777777" w:rsidR="00917879" w:rsidRPr="00AB2E10" w:rsidRDefault="00917879" w:rsidP="00EA0151">
            <w:pPr>
              <w:tabs>
                <w:tab w:val="left" w:pos="1548"/>
              </w:tabs>
              <w:ind w:right="1188"/>
              <w:jc w:val="right"/>
              <w:rPr>
                <w:rFonts w:ascii="Arial" w:hAnsi="Arial" w:cs="Arial"/>
                <w:sz w:val="20"/>
                <w:szCs w:val="20"/>
              </w:rPr>
            </w:pPr>
            <w:r w:rsidRPr="00AB2E10">
              <w:rPr>
                <w:rFonts w:ascii="Arial" w:hAnsi="Arial" w:cs="Arial"/>
                <w:sz w:val="20"/>
                <w:szCs w:val="20"/>
              </w:rPr>
              <w:t>1%</w:t>
            </w:r>
          </w:p>
        </w:tc>
        <w:tc>
          <w:tcPr>
            <w:tcW w:w="3744" w:type="dxa"/>
            <w:shd w:val="clear" w:color="auto" w:fill="auto"/>
          </w:tcPr>
          <w:p w14:paraId="7536B0E5" w14:textId="77777777" w:rsidR="00917879" w:rsidRPr="00AB2E10" w:rsidRDefault="00917879" w:rsidP="00EA0151">
            <w:pPr>
              <w:ind w:right="1422"/>
              <w:jc w:val="right"/>
              <w:rPr>
                <w:rFonts w:ascii="Arial" w:hAnsi="Arial" w:cs="Arial"/>
                <w:sz w:val="20"/>
                <w:szCs w:val="20"/>
              </w:rPr>
            </w:pPr>
            <w:r w:rsidRPr="00AB2E10">
              <w:rPr>
                <w:rFonts w:ascii="Arial" w:hAnsi="Arial" w:cs="Arial"/>
                <w:sz w:val="20"/>
                <w:szCs w:val="20"/>
              </w:rPr>
              <w:t>1%</w:t>
            </w:r>
          </w:p>
        </w:tc>
      </w:tr>
    </w:tbl>
    <w:p w14:paraId="511ECD6A" w14:textId="48B2ACCE" w:rsidR="0054325D" w:rsidRPr="0054325D" w:rsidRDefault="0054325D" w:rsidP="008F5757">
      <w:pPr>
        <w:autoSpaceDE w:val="0"/>
        <w:autoSpaceDN w:val="0"/>
        <w:adjustRightInd w:val="0"/>
        <w:rPr>
          <w:rFonts w:ascii="Arial" w:hAnsi="Arial" w:cs="Arial"/>
          <w:b/>
        </w:rPr>
      </w:pPr>
    </w:p>
    <w:p w14:paraId="1B16FC34" w14:textId="53440FB8" w:rsidR="0054325D" w:rsidRDefault="00917879" w:rsidP="00337399">
      <w:pPr>
        <w:autoSpaceDE w:val="0"/>
        <w:autoSpaceDN w:val="0"/>
        <w:adjustRightInd w:val="0"/>
        <w:rPr>
          <w:rFonts w:ascii="Arial" w:hAnsi="Arial" w:cs="Arial"/>
          <w:b/>
        </w:rPr>
      </w:pPr>
      <w:r>
        <w:rPr>
          <w:rFonts w:ascii="Arial" w:hAnsi="Arial" w:cs="Arial"/>
          <w:b/>
        </w:rPr>
        <w:t>Lower intestinal tract</w:t>
      </w:r>
      <w:r w:rsidR="0054325D">
        <w:rPr>
          <w:rFonts w:ascii="Arial" w:hAnsi="Arial" w:cs="Arial"/>
          <w:b/>
        </w:rPr>
        <w:t xml:space="preserve"> (use mL/day for adult recipients and mL/m²/day for pediatric recipients)</w:t>
      </w:r>
      <w:r>
        <w:rPr>
          <w:rFonts w:ascii="Arial" w:hAnsi="Arial" w:cs="Arial"/>
          <w:b/>
        </w:rPr>
        <w:t>:</w:t>
      </w:r>
      <w:r w:rsidRPr="00917879">
        <w:rPr>
          <w:rFonts w:ascii="Arial" w:hAnsi="Arial" w:cs="Arial"/>
        </w:rPr>
        <w:t xml:space="preserve"> </w:t>
      </w:r>
      <w:r w:rsidR="005A3F32">
        <w:rPr>
          <w:rFonts w:ascii="Arial" w:hAnsi="Arial" w:cs="Arial"/>
        </w:rPr>
        <w:t xml:space="preserve"> </w:t>
      </w:r>
      <w:r>
        <w:rPr>
          <w:rFonts w:ascii="Arial" w:hAnsi="Arial" w:cs="Arial"/>
        </w:rPr>
        <w:t>Select the stage that reflects the volume of diarrhea attributed to acute GVHD at the time of acute GVHD diagnosis or flare in the reporting period</w:t>
      </w:r>
      <w:r w:rsidR="00F91ED8">
        <w:rPr>
          <w:rFonts w:ascii="Arial" w:hAnsi="Arial" w:cs="Arial"/>
        </w:rPr>
        <w:t xml:space="preserve">.  </w:t>
      </w:r>
      <w:r>
        <w:rPr>
          <w:rFonts w:ascii="Arial" w:hAnsi="Arial" w:cs="Arial"/>
        </w:rPr>
        <w:t>Use mL/day for adult recipients and mL/m</w:t>
      </w:r>
      <w:r>
        <w:rPr>
          <w:rFonts w:ascii="Arial" w:hAnsi="Arial" w:cs="Arial"/>
          <w:vertAlign w:val="superscript"/>
        </w:rPr>
        <w:t>2</w:t>
      </w:r>
      <w:r>
        <w:rPr>
          <w:rFonts w:ascii="Arial" w:hAnsi="Arial" w:cs="Arial"/>
        </w:rPr>
        <w:t>/day for pediatric recipients</w:t>
      </w:r>
      <w:r w:rsidR="00F91ED8">
        <w:rPr>
          <w:rFonts w:ascii="Arial" w:hAnsi="Arial" w:cs="Arial"/>
        </w:rPr>
        <w:t xml:space="preserve">.  </w:t>
      </w:r>
      <w:r>
        <w:rPr>
          <w:rFonts w:ascii="Arial" w:hAnsi="Arial" w:cs="Arial"/>
        </w:rPr>
        <w:t>Input and output records may be useful in determining the volume of diarrhea</w:t>
      </w:r>
      <w:r w:rsidR="00F91ED8">
        <w:rPr>
          <w:rFonts w:ascii="Arial" w:hAnsi="Arial" w:cs="Arial"/>
        </w:rPr>
        <w:t xml:space="preserve">.  </w:t>
      </w:r>
      <w:r>
        <w:rPr>
          <w:rFonts w:ascii="Arial" w:hAnsi="Arial" w:cs="Arial"/>
        </w:rPr>
        <w:t>Do not report diarrhea ongoing but not attributed to acute GVHD at the time of acute GVHD diagnosis or flare.</w:t>
      </w:r>
    </w:p>
    <w:p w14:paraId="5BD617ED" w14:textId="77777777" w:rsidR="0054325D" w:rsidRDefault="0054325D" w:rsidP="00337399">
      <w:pPr>
        <w:autoSpaceDE w:val="0"/>
        <w:autoSpaceDN w:val="0"/>
        <w:adjustRightInd w:val="0"/>
        <w:rPr>
          <w:rFonts w:ascii="Arial" w:hAnsi="Arial" w:cs="Arial"/>
          <w:b/>
        </w:rPr>
      </w:pPr>
    </w:p>
    <w:p w14:paraId="3F60D26A" w14:textId="751BF363" w:rsidR="0054325D" w:rsidRPr="00917879" w:rsidRDefault="003E7677" w:rsidP="00337399">
      <w:pPr>
        <w:autoSpaceDE w:val="0"/>
        <w:autoSpaceDN w:val="0"/>
        <w:adjustRightInd w:val="0"/>
        <w:rPr>
          <w:rFonts w:ascii="Arial" w:hAnsi="Arial" w:cs="Arial"/>
        </w:rPr>
      </w:pPr>
      <w:r>
        <w:rPr>
          <w:rFonts w:ascii="Arial" w:hAnsi="Arial" w:cs="Arial"/>
          <w:b/>
        </w:rPr>
        <w:t>Upper intestinal tract</w:t>
      </w:r>
      <w:r w:rsidR="00917879">
        <w:rPr>
          <w:rFonts w:ascii="Arial" w:hAnsi="Arial" w:cs="Arial"/>
          <w:b/>
        </w:rPr>
        <w:t>:</w:t>
      </w:r>
      <w:r w:rsidR="00917879">
        <w:rPr>
          <w:rFonts w:ascii="Arial" w:hAnsi="Arial" w:cs="Arial"/>
        </w:rPr>
        <w:t xml:space="preserve"> </w:t>
      </w:r>
      <w:r w:rsidR="005A3F32">
        <w:rPr>
          <w:rFonts w:ascii="Arial" w:hAnsi="Arial" w:cs="Arial"/>
        </w:rPr>
        <w:t xml:space="preserve"> </w:t>
      </w:r>
      <w:r w:rsidR="00917879">
        <w:rPr>
          <w:rFonts w:ascii="Arial" w:hAnsi="Arial" w:cs="Arial"/>
        </w:rPr>
        <w:t>Select the stage that reflects the presence of persistent nausea or vomiting attributed to acute GVHD at the time of acute GVHD diagnosis or flare in the reporting period</w:t>
      </w:r>
      <w:r w:rsidR="00F91ED8">
        <w:rPr>
          <w:rFonts w:ascii="Arial" w:hAnsi="Arial" w:cs="Arial"/>
        </w:rPr>
        <w:t xml:space="preserve">.  </w:t>
      </w:r>
      <w:r w:rsidR="00917879">
        <w:rPr>
          <w:rFonts w:ascii="Arial" w:hAnsi="Arial" w:cs="Arial"/>
        </w:rPr>
        <w:t>Do not report nausea or vomiting ongoing but not attributed to acute GVHD at the time of acute GVHD diagnosis or flare.</w:t>
      </w:r>
    </w:p>
    <w:p w14:paraId="0074F4E5" w14:textId="77777777" w:rsidR="0054325D" w:rsidRDefault="0054325D" w:rsidP="00337399">
      <w:pPr>
        <w:autoSpaceDE w:val="0"/>
        <w:autoSpaceDN w:val="0"/>
        <w:adjustRightInd w:val="0"/>
        <w:rPr>
          <w:rFonts w:ascii="Arial" w:hAnsi="Arial" w:cs="Arial"/>
          <w:b/>
        </w:rPr>
      </w:pPr>
    </w:p>
    <w:p w14:paraId="6EF0FAA8" w14:textId="4C550C3C" w:rsidR="00917879" w:rsidRDefault="003E7677" w:rsidP="00917879">
      <w:pPr>
        <w:rPr>
          <w:rFonts w:ascii="Arial" w:hAnsi="Arial" w:cs="Arial"/>
        </w:rPr>
      </w:pPr>
      <w:r>
        <w:rPr>
          <w:rFonts w:ascii="Arial" w:hAnsi="Arial" w:cs="Arial"/>
          <w:b/>
        </w:rPr>
        <w:t>Liver</w:t>
      </w:r>
      <w:r w:rsidR="00917879">
        <w:rPr>
          <w:rFonts w:ascii="Arial" w:hAnsi="Arial" w:cs="Arial"/>
          <w:b/>
        </w:rPr>
        <w:t>:</w:t>
      </w:r>
      <w:r w:rsidR="00917879" w:rsidRPr="00917879">
        <w:rPr>
          <w:rFonts w:ascii="Arial" w:hAnsi="Arial" w:cs="Arial"/>
        </w:rPr>
        <w:t xml:space="preserve"> </w:t>
      </w:r>
      <w:r w:rsidR="005A3F32">
        <w:rPr>
          <w:rFonts w:ascii="Arial" w:hAnsi="Arial" w:cs="Arial"/>
        </w:rPr>
        <w:t xml:space="preserve"> </w:t>
      </w:r>
      <w:r w:rsidR="00917879">
        <w:rPr>
          <w:rFonts w:ascii="Arial" w:hAnsi="Arial" w:cs="Arial"/>
        </w:rPr>
        <w:t>Select the stage that reflects the bilirubin level attributed to acute GVHD at the time of acute GVHD diagnosis or flare in the reporting period</w:t>
      </w:r>
      <w:r w:rsidR="00F91ED8">
        <w:rPr>
          <w:rFonts w:ascii="Arial" w:hAnsi="Arial" w:cs="Arial"/>
        </w:rPr>
        <w:t xml:space="preserve">.  </w:t>
      </w:r>
      <w:r w:rsidR="00917879">
        <w:rPr>
          <w:rFonts w:ascii="Arial" w:hAnsi="Arial" w:cs="Arial"/>
        </w:rPr>
        <w:t xml:space="preserve">Do not report </w:t>
      </w:r>
      <w:proofErr w:type="spellStart"/>
      <w:r w:rsidR="00917879">
        <w:rPr>
          <w:rFonts w:ascii="Arial" w:hAnsi="Arial" w:cs="Arial"/>
        </w:rPr>
        <w:t>hyperbilirubinemia</w:t>
      </w:r>
      <w:proofErr w:type="spellEnd"/>
      <w:r w:rsidR="00917879">
        <w:rPr>
          <w:rFonts w:ascii="Arial" w:hAnsi="Arial" w:cs="Arial"/>
        </w:rPr>
        <w:t xml:space="preserve"> ongoing but not attributed to acute GVHD at the time of acute GVHD diagnosis or flare.</w:t>
      </w:r>
    </w:p>
    <w:p w14:paraId="1E5D3F10" w14:textId="77777777" w:rsidR="00917879" w:rsidRDefault="00917879" w:rsidP="00917879">
      <w:pPr>
        <w:rPr>
          <w:rFonts w:ascii="Arial" w:hAnsi="Arial" w:cs="Arial"/>
        </w:rPr>
      </w:pPr>
    </w:p>
    <w:p w14:paraId="2DCCFC3D" w14:textId="32F20E4C" w:rsidR="00917879" w:rsidRDefault="00917879" w:rsidP="00917879">
      <w:pPr>
        <w:rPr>
          <w:rFonts w:ascii="Arial" w:hAnsi="Arial" w:cs="Arial"/>
        </w:rPr>
      </w:pPr>
      <w:r>
        <w:rPr>
          <w:rFonts w:ascii="Arial" w:hAnsi="Arial" w:cs="Arial"/>
        </w:rPr>
        <w:t>For recipients who have a normal bilirubin level with elevated transaminase levels attributed to acute GVHD, report this in “Other clinical organ involvement.”</w:t>
      </w:r>
    </w:p>
    <w:p w14:paraId="32B6DD3B" w14:textId="77777777" w:rsidR="0054325D" w:rsidRDefault="0054325D" w:rsidP="00337399">
      <w:pPr>
        <w:autoSpaceDE w:val="0"/>
        <w:autoSpaceDN w:val="0"/>
        <w:adjustRightInd w:val="0"/>
        <w:rPr>
          <w:rFonts w:ascii="Arial" w:hAnsi="Arial" w:cs="Arial"/>
          <w:b/>
        </w:rPr>
      </w:pPr>
    </w:p>
    <w:p w14:paraId="2C51EF99" w14:textId="54E3564F" w:rsidR="0054325D" w:rsidRPr="00917879" w:rsidRDefault="0054325D" w:rsidP="00337399">
      <w:pPr>
        <w:autoSpaceDE w:val="0"/>
        <w:autoSpaceDN w:val="0"/>
        <w:adjustRightInd w:val="0"/>
        <w:rPr>
          <w:rFonts w:ascii="Arial" w:hAnsi="Arial" w:cs="Arial"/>
        </w:rPr>
      </w:pPr>
      <w:r>
        <w:rPr>
          <w:rFonts w:ascii="Arial" w:hAnsi="Arial" w:cs="Arial"/>
          <w:b/>
        </w:rPr>
        <w:t>Other site(s) involved with acute GVHD</w:t>
      </w:r>
      <w:r w:rsidR="00917879">
        <w:rPr>
          <w:rFonts w:ascii="Arial" w:hAnsi="Arial" w:cs="Arial"/>
          <w:b/>
        </w:rPr>
        <w:t xml:space="preserve">: </w:t>
      </w:r>
      <w:r w:rsidR="00917879">
        <w:rPr>
          <w:rFonts w:ascii="Arial" w:hAnsi="Arial" w:cs="Arial"/>
        </w:rPr>
        <w:t xml:space="preserve">Indicate whether acute GVHD affected another organ other than skin, upper GI, lower GI, or liver manifesting with </w:t>
      </w:r>
      <w:proofErr w:type="spellStart"/>
      <w:r w:rsidR="00917879">
        <w:rPr>
          <w:rFonts w:ascii="Arial" w:hAnsi="Arial" w:cs="Arial"/>
        </w:rPr>
        <w:t>hyperbilirubinemia</w:t>
      </w:r>
      <w:proofErr w:type="spellEnd"/>
      <w:r w:rsidR="00F91ED8">
        <w:rPr>
          <w:rFonts w:ascii="Arial" w:hAnsi="Arial" w:cs="Arial"/>
        </w:rPr>
        <w:t xml:space="preserve">.  </w:t>
      </w:r>
      <w:r w:rsidR="00917879">
        <w:rPr>
          <w:rFonts w:ascii="Arial" w:hAnsi="Arial" w:cs="Arial"/>
        </w:rPr>
        <w:t xml:space="preserve">This includes </w:t>
      </w:r>
      <w:proofErr w:type="spellStart"/>
      <w:r w:rsidR="00917879">
        <w:rPr>
          <w:rFonts w:ascii="Arial" w:hAnsi="Arial" w:cs="Arial"/>
        </w:rPr>
        <w:t>transaminitis</w:t>
      </w:r>
      <w:proofErr w:type="spellEnd"/>
      <w:r w:rsidR="00917879">
        <w:rPr>
          <w:rFonts w:ascii="Arial" w:hAnsi="Arial" w:cs="Arial"/>
        </w:rPr>
        <w:t xml:space="preserve"> attributed to acute GVHD</w:t>
      </w:r>
      <w:r w:rsidR="00F91ED8">
        <w:rPr>
          <w:rFonts w:ascii="Arial" w:hAnsi="Arial" w:cs="Arial"/>
        </w:rPr>
        <w:t xml:space="preserve">.  </w:t>
      </w:r>
      <w:r w:rsidR="00917879">
        <w:rPr>
          <w:rFonts w:ascii="Arial" w:hAnsi="Arial" w:cs="Arial"/>
        </w:rPr>
        <w:t>Report only other organ involvement at the time of acute GVHD diagnosis or flare in the reporting period</w:t>
      </w:r>
      <w:r w:rsidR="00F91ED8">
        <w:rPr>
          <w:rFonts w:ascii="Arial" w:hAnsi="Arial" w:cs="Arial"/>
        </w:rPr>
        <w:t xml:space="preserve">.  </w:t>
      </w:r>
      <w:r w:rsidR="00AD41FC">
        <w:rPr>
          <w:rFonts w:ascii="Arial" w:hAnsi="Arial" w:cs="Arial"/>
        </w:rPr>
        <w:t>Do not reporting symptoms ongo</w:t>
      </w:r>
      <w:r w:rsidR="00917879">
        <w:rPr>
          <w:rFonts w:ascii="Arial" w:hAnsi="Arial" w:cs="Arial"/>
        </w:rPr>
        <w:t>ing but not attributed to acute GVHD at the time of acute GVHD diagnosis or flare</w:t>
      </w:r>
      <w:r w:rsidR="00F91ED8">
        <w:rPr>
          <w:rFonts w:ascii="Arial" w:hAnsi="Arial" w:cs="Arial"/>
        </w:rPr>
        <w:t xml:space="preserve">.  </w:t>
      </w:r>
      <w:r w:rsidR="00917879">
        <w:rPr>
          <w:rFonts w:ascii="Arial" w:hAnsi="Arial" w:cs="Arial"/>
        </w:rPr>
        <w:t>Specify the other organ system involvement in question 28.</w:t>
      </w:r>
    </w:p>
    <w:p w14:paraId="28248B2D" w14:textId="75C32998" w:rsidR="0054325D" w:rsidRDefault="0054325D" w:rsidP="00337399">
      <w:pPr>
        <w:autoSpaceDE w:val="0"/>
        <w:autoSpaceDN w:val="0"/>
        <w:adjustRightInd w:val="0"/>
        <w:rPr>
          <w:rFonts w:ascii="Arial" w:hAnsi="Arial" w:cs="Arial"/>
          <w:b/>
        </w:rPr>
      </w:pPr>
      <w:r w:rsidRPr="00A027BA">
        <w:rPr>
          <w:rFonts w:ascii="Arial" w:hAnsi="Arial" w:cs="Arial"/>
          <w:b/>
        </w:rPr>
        <w:lastRenderedPageBreak/>
        <w:t xml:space="preserve">Question 29: </w:t>
      </w:r>
      <w:r w:rsidR="005A3F32">
        <w:rPr>
          <w:rFonts w:ascii="Arial" w:hAnsi="Arial" w:cs="Arial"/>
          <w:b/>
        </w:rPr>
        <w:t xml:space="preserve"> </w:t>
      </w:r>
      <w:r w:rsidRPr="00A027BA">
        <w:rPr>
          <w:rFonts w:ascii="Arial" w:hAnsi="Arial" w:cs="Arial"/>
          <w:b/>
        </w:rPr>
        <w:t>Maxi</w:t>
      </w:r>
      <w:r w:rsidR="003E7677" w:rsidRPr="00A027BA">
        <w:rPr>
          <w:rFonts w:ascii="Arial" w:hAnsi="Arial" w:cs="Arial"/>
          <w:b/>
        </w:rPr>
        <w:t>mum overall grade of acute GVHD</w:t>
      </w:r>
    </w:p>
    <w:p w14:paraId="44AA9011" w14:textId="429DA4FA" w:rsidR="00EA0151" w:rsidRDefault="00EA0151" w:rsidP="00EA0151">
      <w:pPr>
        <w:autoSpaceDE w:val="0"/>
        <w:autoSpaceDN w:val="0"/>
        <w:adjustRightInd w:val="0"/>
        <w:rPr>
          <w:rFonts w:ascii="Arial" w:hAnsi="Arial" w:cs="Arial"/>
        </w:rPr>
      </w:pPr>
      <w:r w:rsidRPr="00FC39A8">
        <w:rPr>
          <w:rFonts w:ascii="Arial" w:hAnsi="Arial" w:cs="Arial"/>
        </w:rPr>
        <w:t xml:space="preserve">The acute GVHD grading scale is based on </w:t>
      </w:r>
      <w:r w:rsidRPr="00302C4A">
        <w:rPr>
          <w:rFonts w:ascii="Arial" w:hAnsi="Arial" w:cs="Arial"/>
          <w:b/>
          <w:bCs/>
          <w:iCs/>
        </w:rPr>
        <w:t>clinical evidence</w:t>
      </w:r>
      <w:r w:rsidRPr="00FC39A8">
        <w:rPr>
          <w:rFonts w:ascii="Arial" w:hAnsi="Arial" w:cs="Arial"/>
          <w:b/>
          <w:bCs/>
          <w:i/>
          <w:iCs/>
        </w:rPr>
        <w:t xml:space="preserve"> </w:t>
      </w:r>
      <w:r w:rsidRPr="00FC39A8">
        <w:rPr>
          <w:rFonts w:ascii="Arial" w:hAnsi="Arial" w:cs="Arial"/>
        </w:rPr>
        <w:t>(physician observation), not histology</w:t>
      </w:r>
      <w:r w:rsidR="00F91ED8">
        <w:rPr>
          <w:rFonts w:ascii="Arial" w:hAnsi="Arial" w:cs="Arial"/>
        </w:rPr>
        <w:t xml:space="preserve">.  </w:t>
      </w:r>
      <w:r w:rsidRPr="00FC39A8">
        <w:rPr>
          <w:rFonts w:ascii="Arial" w:hAnsi="Arial" w:cs="Arial"/>
        </w:rPr>
        <w:t>If there is a difference in the clinical grade recorded by the physician and a histologic</w:t>
      </w:r>
      <w:r>
        <w:rPr>
          <w:rFonts w:ascii="Arial" w:hAnsi="Arial" w:cs="Arial"/>
        </w:rPr>
        <w:t>al</w:t>
      </w:r>
      <w:r w:rsidRPr="00FC39A8">
        <w:rPr>
          <w:rFonts w:ascii="Arial" w:hAnsi="Arial" w:cs="Arial"/>
        </w:rPr>
        <w:t xml:space="preserve"> report, use the data from the clinical documentation</w:t>
      </w:r>
      <w:r w:rsidR="00F91ED8">
        <w:rPr>
          <w:rFonts w:ascii="Arial" w:hAnsi="Arial" w:cs="Arial"/>
        </w:rPr>
        <w:t xml:space="preserve">.  </w:t>
      </w:r>
      <w:r w:rsidRPr="00FC39A8">
        <w:rPr>
          <w:rFonts w:ascii="Arial" w:hAnsi="Arial" w:cs="Arial"/>
        </w:rPr>
        <w:t>Biopsy of affected organs allow</w:t>
      </w:r>
      <w:r>
        <w:rPr>
          <w:rFonts w:ascii="Arial" w:hAnsi="Arial" w:cs="Arial"/>
        </w:rPr>
        <w:t>s</w:t>
      </w:r>
      <w:r w:rsidRPr="00FC39A8">
        <w:rPr>
          <w:rFonts w:ascii="Arial" w:hAnsi="Arial" w:cs="Arial"/>
        </w:rPr>
        <w:t xml:space="preserve"> for more precise diagnosis as to the presence or absence of GVHD. However, </w:t>
      </w:r>
      <w:r w:rsidRPr="009746B7">
        <w:rPr>
          <w:rFonts w:ascii="Arial" w:hAnsi="Arial" w:cs="Arial"/>
          <w:b/>
          <w:bCs/>
          <w:iCs/>
        </w:rPr>
        <w:t>overall grading remains clinical</w:t>
      </w:r>
      <w:r w:rsidRPr="00FC39A8">
        <w:rPr>
          <w:rFonts w:ascii="Arial" w:hAnsi="Arial" w:cs="Arial"/>
          <w:b/>
          <w:bCs/>
          <w:i/>
          <w:iCs/>
        </w:rPr>
        <w:t xml:space="preserve"> </w:t>
      </w:r>
      <w:r w:rsidRPr="00FC39A8">
        <w:rPr>
          <w:rFonts w:ascii="Arial" w:hAnsi="Arial" w:cs="Arial"/>
        </w:rPr>
        <w:t xml:space="preserve">and is based on the criteria published by </w:t>
      </w:r>
      <w:proofErr w:type="spellStart"/>
      <w:r>
        <w:rPr>
          <w:rFonts w:ascii="Arial" w:hAnsi="Arial" w:cs="Arial"/>
        </w:rPr>
        <w:t>Przepiorka</w:t>
      </w:r>
      <w:proofErr w:type="spellEnd"/>
      <w:r>
        <w:rPr>
          <w:rFonts w:ascii="Arial" w:hAnsi="Arial" w:cs="Arial"/>
        </w:rPr>
        <w:t xml:space="preserve"> et al., </w:t>
      </w:r>
      <w:r>
        <w:rPr>
          <w:rFonts w:ascii="Arial" w:hAnsi="Arial" w:cs="Arial"/>
          <w:i/>
        </w:rPr>
        <w:t>Bone Marrow Transplant</w:t>
      </w:r>
      <w:r>
        <w:rPr>
          <w:rFonts w:ascii="Arial" w:hAnsi="Arial" w:cs="Arial"/>
        </w:rPr>
        <w:t xml:space="preserve"> 1995; 15(6):825-8, see table 1 below.</w:t>
      </w:r>
    </w:p>
    <w:p w14:paraId="1CE512F8" w14:textId="77777777" w:rsidR="00EA0151" w:rsidRDefault="00EA0151" w:rsidP="00EA0151">
      <w:pPr>
        <w:rPr>
          <w:rFonts w:ascii="Arial" w:hAnsi="Arial" w:cs="Arial"/>
          <w:b/>
        </w:rPr>
      </w:pPr>
    </w:p>
    <w:p w14:paraId="1B15876B" w14:textId="022981EC" w:rsidR="00EA0151" w:rsidRPr="008B7D6A" w:rsidRDefault="00EA0151" w:rsidP="00EA0151">
      <w:pPr>
        <w:rPr>
          <w:rFonts w:ascii="Arial" w:hAnsi="Arial" w:cs="Arial"/>
          <w:b/>
        </w:rPr>
      </w:pPr>
      <w:r>
        <w:rPr>
          <w:rFonts w:ascii="Arial" w:hAnsi="Arial" w:cs="Arial"/>
          <w:b/>
        </w:rPr>
        <w:t>Table 1 - Repeated</w:t>
      </w:r>
      <w:r w:rsidR="00F91ED8">
        <w:rPr>
          <w:rFonts w:ascii="Arial" w:hAnsi="Arial" w:cs="Arial"/>
          <w:b/>
        </w:rPr>
        <w:t xml:space="preserve">.  </w:t>
      </w:r>
      <w:r w:rsidRPr="008B7D6A">
        <w:rPr>
          <w:rFonts w:ascii="Arial" w:hAnsi="Arial" w:cs="Arial"/>
          <w:b/>
        </w:rPr>
        <w:t>GVHD Grading and Staging</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
        <w:gridCol w:w="2829"/>
        <w:gridCol w:w="2497"/>
        <w:gridCol w:w="2854"/>
      </w:tblGrid>
      <w:tr w:rsidR="00EA0151" w:rsidRPr="0060028C" w14:paraId="19ED740B" w14:textId="77777777" w:rsidTr="00EA0151">
        <w:trPr>
          <w:jc w:val="center"/>
        </w:trPr>
        <w:tc>
          <w:tcPr>
            <w:tcW w:w="9180" w:type="dxa"/>
            <w:gridSpan w:val="4"/>
            <w:shd w:val="clear" w:color="auto" w:fill="63A70A" w:themeFill="accent2"/>
          </w:tcPr>
          <w:p w14:paraId="23F8C6C0" w14:textId="77777777" w:rsidR="00EA0151" w:rsidRPr="0066473D" w:rsidRDefault="00EA0151" w:rsidP="00EA0151">
            <w:pPr>
              <w:rPr>
                <w:rFonts w:ascii="Arial" w:hAnsi="Arial" w:cs="Arial"/>
                <w:b/>
                <w:color w:val="FFFFFF" w:themeColor="background1"/>
                <w:sz w:val="22"/>
                <w:szCs w:val="22"/>
              </w:rPr>
            </w:pPr>
            <w:r w:rsidRPr="0066473D">
              <w:rPr>
                <w:rFonts w:ascii="Arial" w:hAnsi="Arial" w:cs="Arial"/>
                <w:b/>
                <w:color w:val="FFFFFF" w:themeColor="background1"/>
                <w:sz w:val="22"/>
                <w:szCs w:val="22"/>
              </w:rPr>
              <w:t>Extent of Organ Involvement</w:t>
            </w:r>
          </w:p>
        </w:tc>
      </w:tr>
      <w:tr w:rsidR="00EA0151" w:rsidRPr="0060028C" w14:paraId="75ADCEB3" w14:textId="77777777" w:rsidTr="00EA0151">
        <w:trPr>
          <w:jc w:val="center"/>
        </w:trPr>
        <w:tc>
          <w:tcPr>
            <w:tcW w:w="1000" w:type="dxa"/>
            <w:shd w:val="clear" w:color="auto" w:fill="auto"/>
          </w:tcPr>
          <w:p w14:paraId="458977A1" w14:textId="77777777" w:rsidR="00EA0151" w:rsidRPr="0060028C" w:rsidRDefault="00EA0151" w:rsidP="00EA0151">
            <w:pPr>
              <w:jc w:val="center"/>
              <w:rPr>
                <w:rFonts w:ascii="Arial" w:hAnsi="Arial" w:cs="Arial"/>
                <w:b/>
                <w:sz w:val="22"/>
                <w:szCs w:val="22"/>
              </w:rPr>
            </w:pPr>
            <w:r w:rsidRPr="0060028C">
              <w:rPr>
                <w:rFonts w:ascii="Arial" w:hAnsi="Arial" w:cs="Arial"/>
                <w:b/>
                <w:sz w:val="22"/>
                <w:szCs w:val="22"/>
              </w:rPr>
              <w:t>Stage</w:t>
            </w:r>
          </w:p>
        </w:tc>
        <w:tc>
          <w:tcPr>
            <w:tcW w:w="2829" w:type="dxa"/>
            <w:shd w:val="clear" w:color="auto" w:fill="auto"/>
          </w:tcPr>
          <w:p w14:paraId="45BF26B7" w14:textId="77777777" w:rsidR="00EA0151" w:rsidRPr="0060028C" w:rsidRDefault="00EA0151" w:rsidP="00EA0151">
            <w:pPr>
              <w:jc w:val="center"/>
              <w:rPr>
                <w:rFonts w:ascii="Arial" w:hAnsi="Arial" w:cs="Arial"/>
                <w:b/>
                <w:sz w:val="22"/>
                <w:szCs w:val="22"/>
              </w:rPr>
            </w:pPr>
            <w:r w:rsidRPr="0060028C">
              <w:rPr>
                <w:rFonts w:ascii="Arial" w:hAnsi="Arial" w:cs="Arial"/>
                <w:b/>
                <w:sz w:val="22"/>
                <w:szCs w:val="22"/>
              </w:rPr>
              <w:t>Skin</w:t>
            </w:r>
          </w:p>
        </w:tc>
        <w:tc>
          <w:tcPr>
            <w:tcW w:w="2497" w:type="dxa"/>
            <w:shd w:val="clear" w:color="auto" w:fill="auto"/>
          </w:tcPr>
          <w:p w14:paraId="513D2268" w14:textId="77777777" w:rsidR="00EA0151" w:rsidRPr="0060028C" w:rsidRDefault="00EA0151" w:rsidP="00EA0151">
            <w:pPr>
              <w:jc w:val="center"/>
              <w:rPr>
                <w:rFonts w:ascii="Arial" w:hAnsi="Arial" w:cs="Arial"/>
                <w:b/>
                <w:sz w:val="22"/>
                <w:szCs w:val="22"/>
              </w:rPr>
            </w:pPr>
            <w:r w:rsidRPr="0060028C">
              <w:rPr>
                <w:rFonts w:ascii="Arial" w:hAnsi="Arial" w:cs="Arial"/>
                <w:b/>
                <w:sz w:val="22"/>
                <w:szCs w:val="22"/>
              </w:rPr>
              <w:t>Liver</w:t>
            </w:r>
          </w:p>
        </w:tc>
        <w:tc>
          <w:tcPr>
            <w:tcW w:w="2854" w:type="dxa"/>
            <w:shd w:val="clear" w:color="auto" w:fill="auto"/>
          </w:tcPr>
          <w:p w14:paraId="315DC726" w14:textId="77777777" w:rsidR="00EA0151" w:rsidRPr="0060028C" w:rsidRDefault="00EA0151" w:rsidP="00EA0151">
            <w:pPr>
              <w:jc w:val="center"/>
              <w:rPr>
                <w:rFonts w:ascii="Arial" w:hAnsi="Arial" w:cs="Arial"/>
                <w:b/>
                <w:sz w:val="22"/>
                <w:szCs w:val="22"/>
              </w:rPr>
            </w:pPr>
            <w:r w:rsidRPr="0060028C">
              <w:rPr>
                <w:rFonts w:ascii="Arial" w:hAnsi="Arial" w:cs="Arial"/>
                <w:b/>
                <w:sz w:val="22"/>
                <w:szCs w:val="22"/>
              </w:rPr>
              <w:t>Gut</w:t>
            </w:r>
          </w:p>
        </w:tc>
      </w:tr>
      <w:tr w:rsidR="00EA0151" w:rsidRPr="0060028C" w14:paraId="47BB23AD" w14:textId="77777777" w:rsidTr="00EA0151">
        <w:trPr>
          <w:jc w:val="center"/>
        </w:trPr>
        <w:tc>
          <w:tcPr>
            <w:tcW w:w="1000" w:type="dxa"/>
            <w:shd w:val="clear" w:color="auto" w:fill="auto"/>
            <w:vAlign w:val="center"/>
          </w:tcPr>
          <w:p w14:paraId="27DF9753" w14:textId="77777777" w:rsidR="00EA0151" w:rsidRPr="0060028C" w:rsidRDefault="00EA0151" w:rsidP="00EA0151">
            <w:pPr>
              <w:jc w:val="center"/>
              <w:rPr>
                <w:rFonts w:ascii="Arial" w:hAnsi="Arial" w:cs="Arial"/>
                <w:b/>
                <w:sz w:val="22"/>
                <w:szCs w:val="22"/>
              </w:rPr>
            </w:pPr>
            <w:r w:rsidRPr="0060028C">
              <w:rPr>
                <w:rFonts w:ascii="Arial" w:hAnsi="Arial" w:cs="Arial"/>
                <w:b/>
                <w:sz w:val="22"/>
                <w:szCs w:val="22"/>
              </w:rPr>
              <w:t>1</w:t>
            </w:r>
          </w:p>
        </w:tc>
        <w:tc>
          <w:tcPr>
            <w:tcW w:w="2829" w:type="dxa"/>
            <w:shd w:val="clear" w:color="auto" w:fill="auto"/>
            <w:vAlign w:val="center"/>
          </w:tcPr>
          <w:p w14:paraId="47BD0D04" w14:textId="2DC4346F" w:rsidR="00EA0151" w:rsidRPr="0060028C" w:rsidRDefault="00EA0151" w:rsidP="00EA0151">
            <w:pPr>
              <w:rPr>
                <w:rFonts w:ascii="Arial" w:hAnsi="Arial" w:cs="Arial"/>
                <w:sz w:val="22"/>
                <w:szCs w:val="22"/>
              </w:rPr>
            </w:pPr>
            <w:r w:rsidRPr="0060028C">
              <w:rPr>
                <w:rFonts w:ascii="Arial" w:hAnsi="Arial" w:cs="Arial"/>
                <w:sz w:val="22"/>
                <w:szCs w:val="22"/>
              </w:rPr>
              <w:t>Rash on &lt;25% of skin</w:t>
            </w:r>
            <w:r w:rsidR="00AD41FC">
              <w:rPr>
                <w:rFonts w:ascii="Arial" w:hAnsi="Arial" w:cs="Arial"/>
                <w:sz w:val="22"/>
                <w:szCs w:val="22"/>
                <w:vertAlign w:val="superscript"/>
              </w:rPr>
              <w:t>1</w:t>
            </w:r>
          </w:p>
        </w:tc>
        <w:tc>
          <w:tcPr>
            <w:tcW w:w="2497" w:type="dxa"/>
            <w:shd w:val="clear" w:color="auto" w:fill="auto"/>
            <w:vAlign w:val="center"/>
          </w:tcPr>
          <w:p w14:paraId="3AA91F55" w14:textId="697CCA1E" w:rsidR="00EA0151" w:rsidRPr="0060028C" w:rsidRDefault="00EA0151" w:rsidP="00EA0151">
            <w:pPr>
              <w:rPr>
                <w:rFonts w:ascii="Arial" w:hAnsi="Arial" w:cs="Arial"/>
                <w:sz w:val="22"/>
                <w:szCs w:val="22"/>
              </w:rPr>
            </w:pPr>
            <w:r w:rsidRPr="0060028C">
              <w:rPr>
                <w:rFonts w:ascii="Arial" w:hAnsi="Arial" w:cs="Arial"/>
                <w:sz w:val="22"/>
                <w:szCs w:val="22"/>
              </w:rPr>
              <w:t>Bilirubin 2-3 mg/dl</w:t>
            </w:r>
            <w:r w:rsidR="00AD41FC">
              <w:rPr>
                <w:rFonts w:ascii="Arial" w:hAnsi="Arial" w:cs="Arial"/>
                <w:sz w:val="22"/>
                <w:szCs w:val="22"/>
                <w:vertAlign w:val="superscript"/>
              </w:rPr>
              <w:t>2</w:t>
            </w:r>
          </w:p>
        </w:tc>
        <w:tc>
          <w:tcPr>
            <w:tcW w:w="2854" w:type="dxa"/>
            <w:shd w:val="clear" w:color="auto" w:fill="auto"/>
            <w:vAlign w:val="center"/>
          </w:tcPr>
          <w:p w14:paraId="0523C14C" w14:textId="3B12EB2C" w:rsidR="00EA0151" w:rsidRPr="0060028C" w:rsidRDefault="00EA0151" w:rsidP="00EA0151">
            <w:pPr>
              <w:rPr>
                <w:rFonts w:ascii="Arial" w:hAnsi="Arial" w:cs="Arial"/>
                <w:sz w:val="22"/>
                <w:szCs w:val="22"/>
              </w:rPr>
            </w:pPr>
            <w:r w:rsidRPr="0060028C">
              <w:rPr>
                <w:rFonts w:ascii="Arial" w:hAnsi="Arial" w:cs="Arial"/>
                <w:sz w:val="22"/>
                <w:szCs w:val="22"/>
              </w:rPr>
              <w:t>Diarrhea &gt; 500 ml/day</w:t>
            </w:r>
            <w:r w:rsidR="00AD41FC">
              <w:rPr>
                <w:rFonts w:ascii="Arial" w:hAnsi="Arial" w:cs="Arial"/>
                <w:sz w:val="22"/>
                <w:szCs w:val="22"/>
                <w:vertAlign w:val="superscript"/>
              </w:rPr>
              <w:t>3</w:t>
            </w:r>
            <w:r w:rsidRPr="0060028C">
              <w:rPr>
                <w:rFonts w:ascii="Arial" w:hAnsi="Arial" w:cs="Arial"/>
                <w:sz w:val="22"/>
                <w:szCs w:val="22"/>
                <w:vertAlign w:val="superscript"/>
              </w:rPr>
              <w:t xml:space="preserve"> </w:t>
            </w:r>
            <w:r w:rsidRPr="0060028C">
              <w:rPr>
                <w:rFonts w:ascii="Arial" w:hAnsi="Arial" w:cs="Arial"/>
                <w:sz w:val="22"/>
                <w:szCs w:val="22"/>
              </w:rPr>
              <w:t>or persistent nausea</w:t>
            </w:r>
            <w:r w:rsidR="00AD41FC">
              <w:rPr>
                <w:rFonts w:ascii="Arial" w:hAnsi="Arial" w:cs="Arial"/>
                <w:sz w:val="22"/>
                <w:szCs w:val="22"/>
                <w:vertAlign w:val="superscript"/>
              </w:rPr>
              <w:t>4</w:t>
            </w:r>
          </w:p>
        </w:tc>
      </w:tr>
      <w:tr w:rsidR="00EA0151" w:rsidRPr="0060028C" w14:paraId="29F0ECA5" w14:textId="77777777" w:rsidTr="00EA0151">
        <w:trPr>
          <w:jc w:val="center"/>
        </w:trPr>
        <w:tc>
          <w:tcPr>
            <w:tcW w:w="1000" w:type="dxa"/>
            <w:shd w:val="clear" w:color="auto" w:fill="auto"/>
            <w:vAlign w:val="center"/>
          </w:tcPr>
          <w:p w14:paraId="71547DFC" w14:textId="77777777" w:rsidR="00EA0151" w:rsidRPr="0060028C" w:rsidRDefault="00EA0151" w:rsidP="00EA0151">
            <w:pPr>
              <w:jc w:val="center"/>
              <w:rPr>
                <w:rFonts w:ascii="Arial" w:hAnsi="Arial" w:cs="Arial"/>
                <w:b/>
                <w:sz w:val="22"/>
                <w:szCs w:val="22"/>
              </w:rPr>
            </w:pPr>
            <w:r w:rsidRPr="0060028C">
              <w:rPr>
                <w:rFonts w:ascii="Arial" w:hAnsi="Arial" w:cs="Arial"/>
                <w:b/>
                <w:sz w:val="22"/>
                <w:szCs w:val="22"/>
              </w:rPr>
              <w:t>2</w:t>
            </w:r>
          </w:p>
        </w:tc>
        <w:tc>
          <w:tcPr>
            <w:tcW w:w="2829" w:type="dxa"/>
            <w:shd w:val="clear" w:color="auto" w:fill="auto"/>
            <w:vAlign w:val="center"/>
          </w:tcPr>
          <w:p w14:paraId="51721A17" w14:textId="77777777" w:rsidR="00EA0151" w:rsidRPr="0060028C" w:rsidRDefault="00EA0151" w:rsidP="00EA0151">
            <w:pPr>
              <w:rPr>
                <w:rFonts w:ascii="Arial" w:hAnsi="Arial" w:cs="Arial"/>
                <w:sz w:val="22"/>
                <w:szCs w:val="22"/>
              </w:rPr>
            </w:pPr>
            <w:r w:rsidRPr="0060028C">
              <w:rPr>
                <w:rFonts w:ascii="Arial" w:hAnsi="Arial" w:cs="Arial"/>
                <w:sz w:val="22"/>
                <w:szCs w:val="22"/>
              </w:rPr>
              <w:t>Rash on 25-50% of skin</w:t>
            </w:r>
          </w:p>
        </w:tc>
        <w:tc>
          <w:tcPr>
            <w:tcW w:w="2497" w:type="dxa"/>
            <w:shd w:val="clear" w:color="auto" w:fill="auto"/>
            <w:vAlign w:val="center"/>
          </w:tcPr>
          <w:p w14:paraId="215FD3C7" w14:textId="77777777" w:rsidR="00EA0151" w:rsidRPr="0060028C" w:rsidRDefault="00EA0151" w:rsidP="00EA0151">
            <w:pPr>
              <w:rPr>
                <w:rFonts w:ascii="Arial" w:hAnsi="Arial" w:cs="Arial"/>
                <w:sz w:val="22"/>
                <w:szCs w:val="22"/>
              </w:rPr>
            </w:pPr>
            <w:r w:rsidRPr="0060028C">
              <w:rPr>
                <w:rFonts w:ascii="Arial" w:hAnsi="Arial" w:cs="Arial"/>
                <w:sz w:val="22"/>
                <w:szCs w:val="22"/>
              </w:rPr>
              <w:t>Bilirubin 3-6 mg/dl</w:t>
            </w:r>
          </w:p>
        </w:tc>
        <w:tc>
          <w:tcPr>
            <w:tcW w:w="2854" w:type="dxa"/>
            <w:shd w:val="clear" w:color="auto" w:fill="auto"/>
            <w:vAlign w:val="center"/>
          </w:tcPr>
          <w:p w14:paraId="744C3096" w14:textId="77777777" w:rsidR="00EA0151" w:rsidRPr="0060028C" w:rsidRDefault="00EA0151" w:rsidP="00EA0151">
            <w:pPr>
              <w:rPr>
                <w:rFonts w:ascii="Arial" w:hAnsi="Arial" w:cs="Arial"/>
                <w:sz w:val="22"/>
                <w:szCs w:val="22"/>
              </w:rPr>
            </w:pPr>
            <w:r w:rsidRPr="0060028C">
              <w:rPr>
                <w:rFonts w:ascii="Arial" w:hAnsi="Arial" w:cs="Arial"/>
                <w:sz w:val="22"/>
                <w:szCs w:val="22"/>
              </w:rPr>
              <w:t>Diarrhea &gt;1000 ml/day</w:t>
            </w:r>
          </w:p>
        </w:tc>
      </w:tr>
      <w:tr w:rsidR="00EA0151" w:rsidRPr="0060028C" w14:paraId="35BF96E2" w14:textId="77777777" w:rsidTr="00EA0151">
        <w:trPr>
          <w:jc w:val="center"/>
        </w:trPr>
        <w:tc>
          <w:tcPr>
            <w:tcW w:w="1000" w:type="dxa"/>
            <w:shd w:val="clear" w:color="auto" w:fill="auto"/>
            <w:vAlign w:val="center"/>
          </w:tcPr>
          <w:p w14:paraId="1AB33D0D" w14:textId="77777777" w:rsidR="00EA0151" w:rsidRPr="0060028C" w:rsidRDefault="00EA0151" w:rsidP="00EA0151">
            <w:pPr>
              <w:jc w:val="center"/>
              <w:rPr>
                <w:rFonts w:ascii="Arial" w:hAnsi="Arial" w:cs="Arial"/>
                <w:b/>
                <w:sz w:val="22"/>
                <w:szCs w:val="22"/>
              </w:rPr>
            </w:pPr>
            <w:r w:rsidRPr="0060028C">
              <w:rPr>
                <w:rFonts w:ascii="Arial" w:hAnsi="Arial" w:cs="Arial"/>
                <w:b/>
                <w:sz w:val="22"/>
                <w:szCs w:val="22"/>
              </w:rPr>
              <w:t>3</w:t>
            </w:r>
          </w:p>
        </w:tc>
        <w:tc>
          <w:tcPr>
            <w:tcW w:w="2829" w:type="dxa"/>
            <w:shd w:val="clear" w:color="auto" w:fill="auto"/>
            <w:vAlign w:val="center"/>
          </w:tcPr>
          <w:p w14:paraId="6939DDA8" w14:textId="77777777" w:rsidR="00EA0151" w:rsidRPr="0060028C" w:rsidRDefault="00EA0151" w:rsidP="00EA0151">
            <w:pPr>
              <w:rPr>
                <w:rFonts w:ascii="Arial" w:hAnsi="Arial" w:cs="Arial"/>
                <w:sz w:val="22"/>
                <w:szCs w:val="22"/>
              </w:rPr>
            </w:pPr>
            <w:r w:rsidRPr="0060028C">
              <w:rPr>
                <w:rFonts w:ascii="Arial" w:hAnsi="Arial" w:cs="Arial"/>
                <w:sz w:val="22"/>
                <w:szCs w:val="22"/>
              </w:rPr>
              <w:t>Rash on &gt;50% of skin</w:t>
            </w:r>
          </w:p>
        </w:tc>
        <w:tc>
          <w:tcPr>
            <w:tcW w:w="2497" w:type="dxa"/>
            <w:shd w:val="clear" w:color="auto" w:fill="auto"/>
            <w:vAlign w:val="center"/>
          </w:tcPr>
          <w:p w14:paraId="6BF9703D" w14:textId="77777777" w:rsidR="00EA0151" w:rsidRPr="0060028C" w:rsidRDefault="00EA0151" w:rsidP="00EA0151">
            <w:pPr>
              <w:rPr>
                <w:rFonts w:ascii="Arial" w:hAnsi="Arial" w:cs="Arial"/>
                <w:sz w:val="22"/>
                <w:szCs w:val="22"/>
              </w:rPr>
            </w:pPr>
            <w:r w:rsidRPr="0060028C">
              <w:rPr>
                <w:rFonts w:ascii="Arial" w:hAnsi="Arial" w:cs="Arial"/>
                <w:sz w:val="22"/>
                <w:szCs w:val="22"/>
              </w:rPr>
              <w:t>Bilirubin 6-15 mg/dl</w:t>
            </w:r>
          </w:p>
        </w:tc>
        <w:tc>
          <w:tcPr>
            <w:tcW w:w="2854" w:type="dxa"/>
            <w:shd w:val="clear" w:color="auto" w:fill="auto"/>
            <w:vAlign w:val="center"/>
          </w:tcPr>
          <w:p w14:paraId="5B53B7D0" w14:textId="77777777" w:rsidR="00EA0151" w:rsidRPr="0060028C" w:rsidRDefault="00EA0151" w:rsidP="00EA0151">
            <w:pPr>
              <w:rPr>
                <w:rFonts w:ascii="Arial" w:hAnsi="Arial" w:cs="Arial"/>
                <w:sz w:val="22"/>
                <w:szCs w:val="22"/>
              </w:rPr>
            </w:pPr>
            <w:r w:rsidRPr="0060028C">
              <w:rPr>
                <w:rFonts w:ascii="Arial" w:hAnsi="Arial" w:cs="Arial"/>
                <w:sz w:val="22"/>
                <w:szCs w:val="22"/>
              </w:rPr>
              <w:t>Diarrhea &gt;1500 ml/day</w:t>
            </w:r>
          </w:p>
        </w:tc>
      </w:tr>
      <w:tr w:rsidR="00EA0151" w:rsidRPr="0060028C" w14:paraId="06C9E04C" w14:textId="77777777" w:rsidTr="00EA0151">
        <w:trPr>
          <w:jc w:val="center"/>
        </w:trPr>
        <w:tc>
          <w:tcPr>
            <w:tcW w:w="1000" w:type="dxa"/>
            <w:shd w:val="clear" w:color="auto" w:fill="auto"/>
            <w:vAlign w:val="center"/>
          </w:tcPr>
          <w:p w14:paraId="120C1A4C" w14:textId="77777777" w:rsidR="00EA0151" w:rsidRPr="0060028C" w:rsidRDefault="00EA0151" w:rsidP="00EA0151">
            <w:pPr>
              <w:jc w:val="center"/>
              <w:rPr>
                <w:rFonts w:ascii="Arial" w:hAnsi="Arial" w:cs="Arial"/>
                <w:b/>
                <w:sz w:val="22"/>
                <w:szCs w:val="22"/>
              </w:rPr>
            </w:pPr>
            <w:r w:rsidRPr="0060028C">
              <w:rPr>
                <w:rFonts w:ascii="Arial" w:hAnsi="Arial" w:cs="Arial"/>
                <w:b/>
                <w:sz w:val="22"/>
                <w:szCs w:val="22"/>
              </w:rPr>
              <w:t>4</w:t>
            </w:r>
          </w:p>
        </w:tc>
        <w:tc>
          <w:tcPr>
            <w:tcW w:w="2829" w:type="dxa"/>
            <w:shd w:val="clear" w:color="auto" w:fill="auto"/>
            <w:vAlign w:val="center"/>
          </w:tcPr>
          <w:p w14:paraId="75597FF1" w14:textId="77777777" w:rsidR="00EA0151" w:rsidRPr="0060028C" w:rsidRDefault="00EA0151" w:rsidP="00EA0151">
            <w:pPr>
              <w:rPr>
                <w:rFonts w:ascii="Arial" w:hAnsi="Arial" w:cs="Arial"/>
                <w:sz w:val="22"/>
                <w:szCs w:val="22"/>
              </w:rPr>
            </w:pPr>
            <w:r w:rsidRPr="0060028C">
              <w:rPr>
                <w:rFonts w:ascii="Arial" w:hAnsi="Arial" w:cs="Arial"/>
                <w:sz w:val="22"/>
                <w:szCs w:val="22"/>
              </w:rPr>
              <w:t>Generalized erythroderma with bullous formation</w:t>
            </w:r>
          </w:p>
        </w:tc>
        <w:tc>
          <w:tcPr>
            <w:tcW w:w="2497" w:type="dxa"/>
            <w:shd w:val="clear" w:color="auto" w:fill="auto"/>
            <w:vAlign w:val="center"/>
          </w:tcPr>
          <w:p w14:paraId="058E3272" w14:textId="77777777" w:rsidR="00EA0151" w:rsidRPr="0060028C" w:rsidRDefault="00EA0151" w:rsidP="00EA0151">
            <w:pPr>
              <w:rPr>
                <w:rFonts w:ascii="Arial" w:hAnsi="Arial" w:cs="Arial"/>
                <w:sz w:val="22"/>
                <w:szCs w:val="22"/>
              </w:rPr>
            </w:pPr>
            <w:r w:rsidRPr="0060028C">
              <w:rPr>
                <w:rFonts w:ascii="Arial" w:hAnsi="Arial" w:cs="Arial"/>
                <w:sz w:val="22"/>
                <w:szCs w:val="22"/>
              </w:rPr>
              <w:t>Bilirubin &gt;15 mg/dl</w:t>
            </w:r>
          </w:p>
        </w:tc>
        <w:tc>
          <w:tcPr>
            <w:tcW w:w="2854" w:type="dxa"/>
            <w:shd w:val="clear" w:color="auto" w:fill="auto"/>
            <w:vAlign w:val="center"/>
          </w:tcPr>
          <w:p w14:paraId="3B31F67D" w14:textId="77777777" w:rsidR="00EA0151" w:rsidRPr="0060028C" w:rsidRDefault="00EA0151" w:rsidP="00EA0151">
            <w:pPr>
              <w:rPr>
                <w:rFonts w:ascii="Arial" w:hAnsi="Arial" w:cs="Arial"/>
                <w:sz w:val="22"/>
                <w:szCs w:val="22"/>
              </w:rPr>
            </w:pPr>
            <w:r w:rsidRPr="0060028C">
              <w:rPr>
                <w:rFonts w:ascii="Arial" w:hAnsi="Arial" w:cs="Arial"/>
                <w:sz w:val="22"/>
                <w:szCs w:val="22"/>
              </w:rPr>
              <w:t>Severe abdominal pain with or without ileus</w:t>
            </w:r>
          </w:p>
        </w:tc>
      </w:tr>
    </w:tbl>
    <w:p w14:paraId="09AE70A5" w14:textId="77777777" w:rsidR="00EA0151" w:rsidRDefault="00EA0151" w:rsidP="00EA0151"/>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
        <w:gridCol w:w="2829"/>
        <w:gridCol w:w="2497"/>
        <w:gridCol w:w="2854"/>
      </w:tblGrid>
      <w:tr w:rsidR="00EA0151" w:rsidRPr="00D72A78" w14:paraId="797DB88C" w14:textId="77777777" w:rsidTr="00EA0151">
        <w:trPr>
          <w:jc w:val="center"/>
        </w:trPr>
        <w:tc>
          <w:tcPr>
            <w:tcW w:w="9180" w:type="dxa"/>
            <w:gridSpan w:val="4"/>
            <w:shd w:val="clear" w:color="auto" w:fill="63A70A" w:themeFill="accent2"/>
          </w:tcPr>
          <w:p w14:paraId="042423CA" w14:textId="024AC11B" w:rsidR="00EA0151" w:rsidRPr="0066473D" w:rsidRDefault="00EA0151" w:rsidP="00EA0151">
            <w:pPr>
              <w:rPr>
                <w:rFonts w:ascii="Arial" w:hAnsi="Arial" w:cs="Arial"/>
                <w:color w:val="FFFFFF" w:themeColor="background1"/>
                <w:sz w:val="22"/>
                <w:szCs w:val="22"/>
              </w:rPr>
            </w:pPr>
            <w:r w:rsidRPr="0066473D">
              <w:rPr>
                <w:rFonts w:ascii="Arial" w:hAnsi="Arial" w:cs="Arial"/>
                <w:b/>
                <w:color w:val="FFFFFF" w:themeColor="background1"/>
                <w:sz w:val="22"/>
                <w:szCs w:val="22"/>
              </w:rPr>
              <w:t>Grade</w:t>
            </w:r>
            <w:r w:rsidR="00AD41FC">
              <w:rPr>
                <w:rFonts w:ascii="Arial" w:hAnsi="Arial" w:cs="Arial"/>
                <w:b/>
                <w:color w:val="FFFFFF" w:themeColor="background1"/>
                <w:sz w:val="22"/>
                <w:szCs w:val="22"/>
                <w:vertAlign w:val="superscript"/>
              </w:rPr>
              <w:t>5</w:t>
            </w:r>
          </w:p>
        </w:tc>
      </w:tr>
      <w:tr w:rsidR="00EA0151" w:rsidRPr="00D72A78" w14:paraId="5C5A04F8" w14:textId="77777777" w:rsidTr="00EA0151">
        <w:trPr>
          <w:jc w:val="center"/>
        </w:trPr>
        <w:tc>
          <w:tcPr>
            <w:tcW w:w="1000" w:type="dxa"/>
            <w:shd w:val="clear" w:color="auto" w:fill="auto"/>
          </w:tcPr>
          <w:p w14:paraId="671DCD97" w14:textId="77777777" w:rsidR="00EA0151" w:rsidRPr="0060028C" w:rsidRDefault="00EA0151" w:rsidP="00EA0151">
            <w:pPr>
              <w:jc w:val="center"/>
              <w:rPr>
                <w:rFonts w:ascii="Arial" w:hAnsi="Arial" w:cs="Arial"/>
                <w:b/>
                <w:sz w:val="22"/>
                <w:szCs w:val="22"/>
              </w:rPr>
            </w:pPr>
            <w:r w:rsidRPr="0060028C">
              <w:rPr>
                <w:rFonts w:ascii="Arial" w:hAnsi="Arial" w:cs="Arial"/>
                <w:b/>
                <w:sz w:val="22"/>
                <w:szCs w:val="22"/>
              </w:rPr>
              <w:t>I</w:t>
            </w:r>
          </w:p>
        </w:tc>
        <w:tc>
          <w:tcPr>
            <w:tcW w:w="2829" w:type="dxa"/>
            <w:shd w:val="clear" w:color="auto" w:fill="auto"/>
            <w:vAlign w:val="center"/>
          </w:tcPr>
          <w:p w14:paraId="7D650812" w14:textId="77777777" w:rsidR="00EA0151" w:rsidRPr="0060028C" w:rsidRDefault="00EA0151" w:rsidP="00EA0151">
            <w:pPr>
              <w:ind w:left="422" w:right="391"/>
              <w:rPr>
                <w:rFonts w:ascii="Arial" w:hAnsi="Arial" w:cs="Arial"/>
                <w:sz w:val="22"/>
                <w:szCs w:val="22"/>
              </w:rPr>
            </w:pPr>
            <w:r w:rsidRPr="0060028C">
              <w:rPr>
                <w:rFonts w:ascii="Arial" w:hAnsi="Arial" w:cs="Arial"/>
                <w:sz w:val="22"/>
                <w:szCs w:val="22"/>
              </w:rPr>
              <w:t>Stage 1-2</w:t>
            </w:r>
          </w:p>
        </w:tc>
        <w:tc>
          <w:tcPr>
            <w:tcW w:w="2497" w:type="dxa"/>
            <w:shd w:val="clear" w:color="auto" w:fill="auto"/>
            <w:vAlign w:val="center"/>
          </w:tcPr>
          <w:p w14:paraId="27F3A229" w14:textId="77777777" w:rsidR="00EA0151" w:rsidRPr="0060028C" w:rsidRDefault="00EA0151" w:rsidP="00EA0151">
            <w:pPr>
              <w:ind w:right="391"/>
              <w:rPr>
                <w:rFonts w:ascii="Arial" w:hAnsi="Arial" w:cs="Arial"/>
                <w:sz w:val="22"/>
                <w:szCs w:val="22"/>
              </w:rPr>
            </w:pPr>
            <w:r w:rsidRPr="0060028C">
              <w:rPr>
                <w:rFonts w:ascii="Arial" w:hAnsi="Arial" w:cs="Arial"/>
                <w:sz w:val="22"/>
                <w:szCs w:val="22"/>
              </w:rPr>
              <w:t>None</w:t>
            </w:r>
          </w:p>
        </w:tc>
        <w:tc>
          <w:tcPr>
            <w:tcW w:w="2854" w:type="dxa"/>
            <w:shd w:val="clear" w:color="auto" w:fill="auto"/>
            <w:vAlign w:val="center"/>
          </w:tcPr>
          <w:p w14:paraId="48A0D00B" w14:textId="77777777" w:rsidR="00EA0151" w:rsidRPr="0060028C" w:rsidRDefault="00EA0151" w:rsidP="00EA0151">
            <w:pPr>
              <w:ind w:right="391"/>
              <w:rPr>
                <w:rFonts w:ascii="Arial" w:hAnsi="Arial" w:cs="Arial"/>
                <w:sz w:val="22"/>
                <w:szCs w:val="22"/>
              </w:rPr>
            </w:pPr>
            <w:r w:rsidRPr="0060028C">
              <w:rPr>
                <w:rFonts w:ascii="Arial" w:hAnsi="Arial" w:cs="Arial"/>
                <w:sz w:val="22"/>
                <w:szCs w:val="22"/>
              </w:rPr>
              <w:t>None</w:t>
            </w:r>
          </w:p>
        </w:tc>
      </w:tr>
      <w:tr w:rsidR="00EA0151" w:rsidRPr="00D72A78" w14:paraId="17E5E0B1" w14:textId="77777777" w:rsidTr="00EA0151">
        <w:trPr>
          <w:jc w:val="center"/>
        </w:trPr>
        <w:tc>
          <w:tcPr>
            <w:tcW w:w="1000" w:type="dxa"/>
            <w:shd w:val="clear" w:color="auto" w:fill="auto"/>
          </w:tcPr>
          <w:p w14:paraId="047D892C" w14:textId="77777777" w:rsidR="00EA0151" w:rsidRPr="0060028C" w:rsidRDefault="00EA0151" w:rsidP="00EA0151">
            <w:pPr>
              <w:jc w:val="center"/>
              <w:rPr>
                <w:rFonts w:ascii="Arial" w:hAnsi="Arial" w:cs="Arial"/>
                <w:b/>
                <w:sz w:val="22"/>
                <w:szCs w:val="22"/>
              </w:rPr>
            </w:pPr>
            <w:r w:rsidRPr="0060028C">
              <w:rPr>
                <w:rFonts w:ascii="Arial" w:hAnsi="Arial" w:cs="Arial"/>
                <w:b/>
                <w:sz w:val="22"/>
                <w:szCs w:val="22"/>
              </w:rPr>
              <w:t>II</w:t>
            </w:r>
          </w:p>
        </w:tc>
        <w:tc>
          <w:tcPr>
            <w:tcW w:w="2829" w:type="dxa"/>
            <w:shd w:val="clear" w:color="auto" w:fill="auto"/>
            <w:vAlign w:val="center"/>
          </w:tcPr>
          <w:p w14:paraId="5F03FFC0" w14:textId="77777777" w:rsidR="00EA0151" w:rsidRPr="0060028C" w:rsidRDefault="00EA0151" w:rsidP="00EA0151">
            <w:pPr>
              <w:ind w:left="422" w:right="391"/>
              <w:rPr>
                <w:rFonts w:ascii="Arial" w:hAnsi="Arial" w:cs="Arial"/>
                <w:sz w:val="22"/>
                <w:szCs w:val="22"/>
              </w:rPr>
            </w:pPr>
            <w:r w:rsidRPr="0060028C">
              <w:rPr>
                <w:rFonts w:ascii="Arial" w:hAnsi="Arial" w:cs="Arial"/>
                <w:sz w:val="22"/>
                <w:szCs w:val="22"/>
              </w:rPr>
              <w:t>Stage 3 or</w:t>
            </w:r>
          </w:p>
        </w:tc>
        <w:tc>
          <w:tcPr>
            <w:tcW w:w="2497" w:type="dxa"/>
            <w:shd w:val="clear" w:color="auto" w:fill="auto"/>
            <w:vAlign w:val="center"/>
          </w:tcPr>
          <w:p w14:paraId="37774D61" w14:textId="77777777" w:rsidR="00EA0151" w:rsidRPr="0060028C" w:rsidRDefault="00EA0151" w:rsidP="00EA0151">
            <w:pPr>
              <w:ind w:right="391"/>
              <w:rPr>
                <w:rFonts w:ascii="Arial" w:hAnsi="Arial" w:cs="Arial"/>
                <w:sz w:val="22"/>
                <w:szCs w:val="22"/>
              </w:rPr>
            </w:pPr>
            <w:r w:rsidRPr="0060028C">
              <w:rPr>
                <w:rFonts w:ascii="Arial" w:hAnsi="Arial" w:cs="Arial"/>
                <w:sz w:val="22"/>
                <w:szCs w:val="22"/>
              </w:rPr>
              <w:t>Stage 1 or</w:t>
            </w:r>
          </w:p>
        </w:tc>
        <w:tc>
          <w:tcPr>
            <w:tcW w:w="2854" w:type="dxa"/>
            <w:shd w:val="clear" w:color="auto" w:fill="auto"/>
            <w:vAlign w:val="center"/>
          </w:tcPr>
          <w:p w14:paraId="76E059E7" w14:textId="77777777" w:rsidR="00EA0151" w:rsidRPr="0060028C" w:rsidRDefault="00EA0151" w:rsidP="00EA0151">
            <w:pPr>
              <w:ind w:right="391"/>
              <w:rPr>
                <w:rFonts w:ascii="Arial" w:hAnsi="Arial" w:cs="Arial"/>
                <w:sz w:val="22"/>
                <w:szCs w:val="22"/>
              </w:rPr>
            </w:pPr>
            <w:r w:rsidRPr="0060028C">
              <w:rPr>
                <w:rFonts w:ascii="Arial" w:hAnsi="Arial" w:cs="Arial"/>
                <w:sz w:val="22"/>
                <w:szCs w:val="22"/>
              </w:rPr>
              <w:t>Stage 1</w:t>
            </w:r>
          </w:p>
        </w:tc>
      </w:tr>
      <w:tr w:rsidR="00EA0151" w:rsidRPr="00D72A78" w14:paraId="6E375916" w14:textId="77777777" w:rsidTr="00EA0151">
        <w:trPr>
          <w:jc w:val="center"/>
        </w:trPr>
        <w:tc>
          <w:tcPr>
            <w:tcW w:w="1000" w:type="dxa"/>
            <w:shd w:val="clear" w:color="auto" w:fill="auto"/>
          </w:tcPr>
          <w:p w14:paraId="68E99DD2" w14:textId="77777777" w:rsidR="00EA0151" w:rsidRPr="0060028C" w:rsidRDefault="00EA0151" w:rsidP="00EA0151">
            <w:pPr>
              <w:jc w:val="center"/>
              <w:rPr>
                <w:rFonts w:ascii="Arial" w:hAnsi="Arial" w:cs="Arial"/>
                <w:b/>
                <w:sz w:val="22"/>
                <w:szCs w:val="22"/>
              </w:rPr>
            </w:pPr>
            <w:r w:rsidRPr="0060028C">
              <w:rPr>
                <w:rFonts w:ascii="Arial" w:hAnsi="Arial" w:cs="Arial"/>
                <w:b/>
                <w:sz w:val="22"/>
                <w:szCs w:val="22"/>
              </w:rPr>
              <w:t>III</w:t>
            </w:r>
          </w:p>
        </w:tc>
        <w:tc>
          <w:tcPr>
            <w:tcW w:w="2829" w:type="dxa"/>
            <w:shd w:val="clear" w:color="auto" w:fill="auto"/>
            <w:vAlign w:val="center"/>
          </w:tcPr>
          <w:p w14:paraId="655871FB" w14:textId="77777777" w:rsidR="00EA0151" w:rsidRPr="0060028C" w:rsidRDefault="00EA0151" w:rsidP="00EA0151">
            <w:pPr>
              <w:ind w:left="422" w:right="391"/>
              <w:rPr>
                <w:rFonts w:ascii="Arial" w:hAnsi="Arial" w:cs="Arial"/>
                <w:sz w:val="22"/>
                <w:szCs w:val="22"/>
              </w:rPr>
            </w:pPr>
            <w:r w:rsidRPr="0060028C">
              <w:rPr>
                <w:rFonts w:ascii="Arial" w:hAnsi="Arial" w:cs="Arial"/>
                <w:sz w:val="22"/>
                <w:szCs w:val="22"/>
              </w:rPr>
              <w:t>—</w:t>
            </w:r>
          </w:p>
        </w:tc>
        <w:tc>
          <w:tcPr>
            <w:tcW w:w="2497" w:type="dxa"/>
            <w:shd w:val="clear" w:color="auto" w:fill="auto"/>
            <w:vAlign w:val="center"/>
          </w:tcPr>
          <w:p w14:paraId="0D198B38" w14:textId="77777777" w:rsidR="00EA0151" w:rsidRPr="0060028C" w:rsidRDefault="00EA0151" w:rsidP="00EA0151">
            <w:pPr>
              <w:ind w:right="391"/>
              <w:rPr>
                <w:rFonts w:ascii="Arial" w:hAnsi="Arial" w:cs="Arial"/>
                <w:sz w:val="22"/>
                <w:szCs w:val="22"/>
              </w:rPr>
            </w:pPr>
            <w:r w:rsidRPr="0060028C">
              <w:rPr>
                <w:rFonts w:ascii="Arial" w:hAnsi="Arial" w:cs="Arial"/>
                <w:sz w:val="22"/>
                <w:szCs w:val="22"/>
              </w:rPr>
              <w:t>Stage 2-3 or</w:t>
            </w:r>
          </w:p>
        </w:tc>
        <w:tc>
          <w:tcPr>
            <w:tcW w:w="2854" w:type="dxa"/>
            <w:shd w:val="clear" w:color="auto" w:fill="auto"/>
            <w:vAlign w:val="center"/>
          </w:tcPr>
          <w:p w14:paraId="27FE9F70" w14:textId="77777777" w:rsidR="00EA0151" w:rsidRPr="0060028C" w:rsidRDefault="00EA0151" w:rsidP="00EA0151">
            <w:pPr>
              <w:ind w:right="391"/>
              <w:rPr>
                <w:rFonts w:ascii="Arial" w:hAnsi="Arial" w:cs="Arial"/>
                <w:sz w:val="22"/>
                <w:szCs w:val="22"/>
              </w:rPr>
            </w:pPr>
            <w:r w:rsidRPr="0060028C">
              <w:rPr>
                <w:rFonts w:ascii="Arial" w:hAnsi="Arial" w:cs="Arial"/>
                <w:sz w:val="22"/>
                <w:szCs w:val="22"/>
              </w:rPr>
              <w:t>Stage 2-4</w:t>
            </w:r>
          </w:p>
        </w:tc>
      </w:tr>
      <w:tr w:rsidR="00EA0151" w:rsidRPr="00D72A78" w14:paraId="6BA6B483" w14:textId="77777777" w:rsidTr="00EA0151">
        <w:trPr>
          <w:jc w:val="center"/>
        </w:trPr>
        <w:tc>
          <w:tcPr>
            <w:tcW w:w="1000" w:type="dxa"/>
            <w:shd w:val="clear" w:color="auto" w:fill="auto"/>
          </w:tcPr>
          <w:p w14:paraId="5C61932E" w14:textId="66994681" w:rsidR="00EA0151" w:rsidRPr="0060028C" w:rsidRDefault="00EA0151" w:rsidP="00EA0151">
            <w:pPr>
              <w:jc w:val="center"/>
              <w:rPr>
                <w:rFonts w:ascii="Arial" w:hAnsi="Arial" w:cs="Arial"/>
                <w:b/>
                <w:sz w:val="22"/>
                <w:szCs w:val="22"/>
              </w:rPr>
            </w:pPr>
            <w:r w:rsidRPr="0060028C">
              <w:rPr>
                <w:rFonts w:ascii="Arial" w:hAnsi="Arial" w:cs="Arial"/>
                <w:b/>
                <w:sz w:val="22"/>
                <w:szCs w:val="22"/>
              </w:rPr>
              <w:t>IV</w:t>
            </w:r>
            <w:r w:rsidR="00AD41FC">
              <w:rPr>
                <w:rFonts w:ascii="Arial" w:hAnsi="Arial" w:cs="Arial"/>
                <w:b/>
                <w:sz w:val="22"/>
                <w:szCs w:val="22"/>
                <w:vertAlign w:val="superscript"/>
              </w:rPr>
              <w:t>6</w:t>
            </w:r>
          </w:p>
        </w:tc>
        <w:tc>
          <w:tcPr>
            <w:tcW w:w="2829" w:type="dxa"/>
            <w:shd w:val="clear" w:color="auto" w:fill="auto"/>
            <w:vAlign w:val="center"/>
          </w:tcPr>
          <w:p w14:paraId="26584506" w14:textId="77777777" w:rsidR="00EA0151" w:rsidRPr="0060028C" w:rsidRDefault="00EA0151" w:rsidP="00EA0151">
            <w:pPr>
              <w:ind w:left="422" w:right="391"/>
              <w:rPr>
                <w:rFonts w:ascii="Arial" w:hAnsi="Arial" w:cs="Arial"/>
                <w:sz w:val="22"/>
                <w:szCs w:val="22"/>
              </w:rPr>
            </w:pPr>
            <w:r w:rsidRPr="0060028C">
              <w:rPr>
                <w:rFonts w:ascii="Arial" w:hAnsi="Arial" w:cs="Arial"/>
                <w:sz w:val="22"/>
                <w:szCs w:val="22"/>
              </w:rPr>
              <w:t>Stage 4</w:t>
            </w:r>
          </w:p>
        </w:tc>
        <w:tc>
          <w:tcPr>
            <w:tcW w:w="2497" w:type="dxa"/>
            <w:shd w:val="clear" w:color="auto" w:fill="auto"/>
            <w:vAlign w:val="center"/>
          </w:tcPr>
          <w:p w14:paraId="235CAD94" w14:textId="77777777" w:rsidR="00EA0151" w:rsidRPr="0060028C" w:rsidRDefault="00EA0151" w:rsidP="00EA0151">
            <w:pPr>
              <w:ind w:right="391"/>
              <w:rPr>
                <w:rFonts w:ascii="Arial" w:hAnsi="Arial" w:cs="Arial"/>
                <w:sz w:val="22"/>
                <w:szCs w:val="22"/>
              </w:rPr>
            </w:pPr>
            <w:r w:rsidRPr="0060028C">
              <w:rPr>
                <w:rFonts w:ascii="Arial" w:hAnsi="Arial" w:cs="Arial"/>
                <w:sz w:val="22"/>
                <w:szCs w:val="22"/>
              </w:rPr>
              <w:t>Stage 4</w:t>
            </w:r>
          </w:p>
        </w:tc>
        <w:tc>
          <w:tcPr>
            <w:tcW w:w="2854" w:type="dxa"/>
            <w:shd w:val="clear" w:color="auto" w:fill="auto"/>
            <w:vAlign w:val="center"/>
          </w:tcPr>
          <w:p w14:paraId="357BDBA9" w14:textId="77777777" w:rsidR="00EA0151" w:rsidRPr="0060028C" w:rsidRDefault="00EA0151" w:rsidP="00EA0151">
            <w:pPr>
              <w:ind w:right="391"/>
              <w:rPr>
                <w:rFonts w:ascii="Arial" w:hAnsi="Arial" w:cs="Arial"/>
                <w:sz w:val="22"/>
                <w:szCs w:val="22"/>
              </w:rPr>
            </w:pPr>
            <w:r w:rsidRPr="0060028C">
              <w:rPr>
                <w:rFonts w:ascii="Arial" w:hAnsi="Arial" w:cs="Arial"/>
                <w:sz w:val="22"/>
                <w:szCs w:val="22"/>
              </w:rPr>
              <w:t>—</w:t>
            </w:r>
          </w:p>
        </w:tc>
      </w:tr>
      <w:tr w:rsidR="00EA0151" w:rsidRPr="00D72A78" w14:paraId="786CA985" w14:textId="77777777" w:rsidTr="00EA0151">
        <w:trPr>
          <w:trHeight w:val="233"/>
          <w:jc w:val="center"/>
        </w:trPr>
        <w:tc>
          <w:tcPr>
            <w:tcW w:w="9180" w:type="dxa"/>
            <w:gridSpan w:val="4"/>
            <w:shd w:val="clear" w:color="auto" w:fill="auto"/>
          </w:tcPr>
          <w:p w14:paraId="756808C9" w14:textId="1DD3886E" w:rsidR="00EA0151" w:rsidRDefault="00EA0151" w:rsidP="00AD41FC">
            <w:pPr>
              <w:numPr>
                <w:ilvl w:val="0"/>
                <w:numId w:val="20"/>
              </w:numPr>
              <w:spacing w:before="120"/>
              <w:ind w:hanging="293"/>
              <w:rPr>
                <w:rFonts w:ascii="Arial" w:hAnsi="Arial" w:cs="Arial"/>
                <w:sz w:val="20"/>
                <w:szCs w:val="20"/>
              </w:rPr>
            </w:pPr>
            <w:r w:rsidRPr="00D72A78">
              <w:rPr>
                <w:rFonts w:ascii="Arial" w:hAnsi="Arial" w:cs="Arial"/>
                <w:sz w:val="20"/>
                <w:szCs w:val="20"/>
              </w:rPr>
              <w:t xml:space="preserve">Use “Rule of Nines” </w:t>
            </w:r>
            <w:r w:rsidR="00AD41FC">
              <w:rPr>
                <w:rFonts w:ascii="Arial" w:hAnsi="Arial" w:cs="Arial"/>
                <w:sz w:val="20"/>
                <w:szCs w:val="20"/>
              </w:rPr>
              <w:t>(Table 2</w:t>
            </w:r>
            <w:r>
              <w:rPr>
                <w:rFonts w:ascii="Arial" w:hAnsi="Arial" w:cs="Arial"/>
                <w:sz w:val="20"/>
                <w:szCs w:val="20"/>
              </w:rPr>
              <w:t xml:space="preserve">) </w:t>
            </w:r>
            <w:r w:rsidRPr="00D72A78">
              <w:rPr>
                <w:rFonts w:ascii="Arial" w:hAnsi="Arial" w:cs="Arial"/>
                <w:sz w:val="20"/>
                <w:szCs w:val="20"/>
              </w:rPr>
              <w:t>or burn chart to determine extent of rash.</w:t>
            </w:r>
          </w:p>
          <w:p w14:paraId="33260952" w14:textId="3282CF33" w:rsidR="00EA0151" w:rsidRDefault="00EA0151" w:rsidP="00EA0151">
            <w:pPr>
              <w:numPr>
                <w:ilvl w:val="0"/>
                <w:numId w:val="20"/>
              </w:numPr>
              <w:tabs>
                <w:tab w:val="clear" w:pos="360"/>
              </w:tabs>
              <w:ind w:left="432"/>
              <w:rPr>
                <w:rFonts w:ascii="Arial" w:hAnsi="Arial" w:cs="Arial"/>
                <w:sz w:val="20"/>
                <w:szCs w:val="20"/>
              </w:rPr>
            </w:pPr>
            <w:proofErr w:type="gramStart"/>
            <w:r w:rsidRPr="00D72A78">
              <w:rPr>
                <w:rFonts w:ascii="Arial" w:hAnsi="Arial" w:cs="Arial"/>
                <w:sz w:val="20"/>
                <w:szCs w:val="20"/>
              </w:rPr>
              <w:t>Range given as total bilirubin</w:t>
            </w:r>
            <w:r w:rsidR="00F91ED8">
              <w:rPr>
                <w:rFonts w:ascii="Arial" w:hAnsi="Arial" w:cs="Arial"/>
                <w:sz w:val="20"/>
                <w:szCs w:val="20"/>
              </w:rPr>
              <w:t>.</w:t>
            </w:r>
            <w:proofErr w:type="gramEnd"/>
            <w:r w:rsidR="00F91ED8">
              <w:rPr>
                <w:rFonts w:ascii="Arial" w:hAnsi="Arial" w:cs="Arial"/>
                <w:sz w:val="20"/>
                <w:szCs w:val="20"/>
              </w:rPr>
              <w:t xml:space="preserve">  </w:t>
            </w:r>
            <w:r w:rsidRPr="00D72A78">
              <w:rPr>
                <w:rFonts w:ascii="Arial" w:hAnsi="Arial" w:cs="Arial"/>
                <w:sz w:val="20"/>
                <w:szCs w:val="20"/>
              </w:rPr>
              <w:t>Downgrade one stage if an additional cause of elevated bilirubin has been documented.</w:t>
            </w:r>
          </w:p>
          <w:p w14:paraId="554063D5" w14:textId="5D732DC1" w:rsidR="00EA0151" w:rsidRDefault="00EA0151" w:rsidP="00EA0151">
            <w:pPr>
              <w:numPr>
                <w:ilvl w:val="0"/>
                <w:numId w:val="20"/>
              </w:numPr>
              <w:tabs>
                <w:tab w:val="clear" w:pos="360"/>
              </w:tabs>
              <w:ind w:left="432"/>
              <w:rPr>
                <w:rFonts w:ascii="Arial" w:hAnsi="Arial" w:cs="Arial"/>
                <w:sz w:val="20"/>
                <w:szCs w:val="20"/>
              </w:rPr>
            </w:pPr>
            <w:r w:rsidRPr="00D72A78">
              <w:rPr>
                <w:rFonts w:ascii="Arial" w:hAnsi="Arial" w:cs="Arial"/>
                <w:sz w:val="20"/>
                <w:szCs w:val="20"/>
              </w:rPr>
              <w:t>Volume of diarrhea applies to adults</w:t>
            </w:r>
            <w:r w:rsidR="00F91ED8">
              <w:rPr>
                <w:rFonts w:ascii="Arial" w:hAnsi="Arial" w:cs="Arial"/>
                <w:sz w:val="20"/>
                <w:szCs w:val="20"/>
              </w:rPr>
              <w:t xml:space="preserve">.  </w:t>
            </w:r>
            <w:r w:rsidRPr="00D72A78">
              <w:rPr>
                <w:rFonts w:ascii="Arial" w:hAnsi="Arial" w:cs="Arial"/>
                <w:sz w:val="20"/>
                <w:szCs w:val="20"/>
              </w:rPr>
              <w:t xml:space="preserve">For pediatric patients, the volume of diarrhea </w:t>
            </w:r>
            <w:proofErr w:type="gramStart"/>
            <w:r w:rsidRPr="00D72A78">
              <w:rPr>
                <w:rFonts w:ascii="Arial" w:hAnsi="Arial" w:cs="Arial"/>
                <w:sz w:val="20"/>
                <w:szCs w:val="20"/>
              </w:rPr>
              <w:t>should be based</w:t>
            </w:r>
            <w:proofErr w:type="gramEnd"/>
            <w:r w:rsidRPr="00D72A78">
              <w:rPr>
                <w:rFonts w:ascii="Arial" w:hAnsi="Arial" w:cs="Arial"/>
                <w:sz w:val="20"/>
                <w:szCs w:val="20"/>
              </w:rPr>
              <w:t xml:space="preserve"> on body surface area</w:t>
            </w:r>
            <w:r w:rsidR="00F91ED8">
              <w:rPr>
                <w:rFonts w:ascii="Arial" w:hAnsi="Arial" w:cs="Arial"/>
                <w:sz w:val="20"/>
                <w:szCs w:val="20"/>
              </w:rPr>
              <w:t xml:space="preserve">.  </w:t>
            </w:r>
            <w:r w:rsidRPr="00D72A78">
              <w:rPr>
                <w:rFonts w:ascii="Arial" w:hAnsi="Arial" w:cs="Arial"/>
                <w:sz w:val="20"/>
                <w:szCs w:val="20"/>
              </w:rPr>
              <w:t>Downgrade one stage if an additional cause of diarrhea has been documented.</w:t>
            </w:r>
          </w:p>
          <w:p w14:paraId="2242C270" w14:textId="77777777" w:rsidR="00EA0151" w:rsidRDefault="00EA0151" w:rsidP="00EA0151">
            <w:pPr>
              <w:numPr>
                <w:ilvl w:val="0"/>
                <w:numId w:val="20"/>
              </w:numPr>
              <w:tabs>
                <w:tab w:val="clear" w:pos="360"/>
              </w:tabs>
              <w:ind w:left="432"/>
              <w:rPr>
                <w:rFonts w:ascii="Arial" w:hAnsi="Arial" w:cs="Arial"/>
                <w:sz w:val="20"/>
                <w:szCs w:val="20"/>
              </w:rPr>
            </w:pPr>
            <w:r w:rsidRPr="00D72A78">
              <w:rPr>
                <w:rFonts w:ascii="Arial" w:hAnsi="Arial" w:cs="Arial"/>
                <w:sz w:val="20"/>
                <w:szCs w:val="20"/>
              </w:rPr>
              <w:t xml:space="preserve">Persistent nausea with </w:t>
            </w:r>
            <w:r>
              <w:rPr>
                <w:rFonts w:ascii="Arial" w:hAnsi="Arial" w:cs="Arial"/>
                <w:sz w:val="20"/>
                <w:szCs w:val="20"/>
              </w:rPr>
              <w:t xml:space="preserve">or without </w:t>
            </w:r>
            <w:r w:rsidRPr="00D72A78">
              <w:rPr>
                <w:rFonts w:ascii="Arial" w:hAnsi="Arial" w:cs="Arial"/>
                <w:sz w:val="20"/>
                <w:szCs w:val="20"/>
              </w:rPr>
              <w:t>histological evidence of GVHD in the stomach or duodenum.</w:t>
            </w:r>
          </w:p>
          <w:p w14:paraId="762A1747" w14:textId="77777777" w:rsidR="00EA0151" w:rsidRDefault="00EA0151" w:rsidP="00EA0151">
            <w:pPr>
              <w:numPr>
                <w:ilvl w:val="0"/>
                <w:numId w:val="20"/>
              </w:numPr>
              <w:tabs>
                <w:tab w:val="clear" w:pos="360"/>
              </w:tabs>
              <w:ind w:left="432"/>
              <w:rPr>
                <w:rFonts w:ascii="Arial" w:hAnsi="Arial" w:cs="Arial"/>
                <w:sz w:val="20"/>
                <w:szCs w:val="20"/>
              </w:rPr>
            </w:pPr>
            <w:r w:rsidRPr="00D72A78">
              <w:rPr>
                <w:rFonts w:ascii="Arial" w:hAnsi="Arial" w:cs="Arial"/>
                <w:sz w:val="20"/>
                <w:szCs w:val="20"/>
              </w:rPr>
              <w:t>Criteria for grading given as minimum degree of organ involvement required to confer that grade.</w:t>
            </w:r>
          </w:p>
          <w:p w14:paraId="47CC01C4" w14:textId="77777777" w:rsidR="00EA0151" w:rsidRDefault="00EA0151" w:rsidP="00EA0151">
            <w:pPr>
              <w:numPr>
                <w:ilvl w:val="0"/>
                <w:numId w:val="20"/>
              </w:numPr>
              <w:tabs>
                <w:tab w:val="clear" w:pos="360"/>
              </w:tabs>
              <w:ind w:left="432"/>
              <w:rPr>
                <w:rFonts w:ascii="Arial" w:hAnsi="Arial" w:cs="Arial"/>
              </w:rPr>
            </w:pPr>
            <w:r w:rsidRPr="00D72A78">
              <w:rPr>
                <w:rFonts w:ascii="Arial" w:hAnsi="Arial" w:cs="Arial"/>
                <w:sz w:val="20"/>
                <w:szCs w:val="20"/>
              </w:rPr>
              <w:t>Grade IV may also include lesser organ involvement with an extreme decrease in performance status.</w:t>
            </w:r>
          </w:p>
        </w:tc>
      </w:tr>
    </w:tbl>
    <w:p w14:paraId="7BB0540A" w14:textId="77777777" w:rsidR="00EA0151" w:rsidRDefault="00EA0151" w:rsidP="00EA0151">
      <w:pPr>
        <w:autoSpaceDE w:val="0"/>
        <w:autoSpaceDN w:val="0"/>
        <w:adjustRightInd w:val="0"/>
        <w:rPr>
          <w:rFonts w:ascii="Arial" w:hAnsi="Arial" w:cs="Arial"/>
        </w:rPr>
      </w:pPr>
    </w:p>
    <w:p w14:paraId="130E65E9" w14:textId="273D8893" w:rsidR="00687484" w:rsidRPr="00917879" w:rsidRDefault="00687484" w:rsidP="00687484">
      <w:pPr>
        <w:autoSpaceDE w:val="0"/>
        <w:autoSpaceDN w:val="0"/>
        <w:adjustRightInd w:val="0"/>
        <w:rPr>
          <w:rFonts w:ascii="Arial" w:hAnsi="Arial" w:cs="Arial"/>
        </w:rPr>
      </w:pPr>
      <w:r>
        <w:rPr>
          <w:rFonts w:ascii="Arial" w:hAnsi="Arial" w:cs="Arial"/>
        </w:rPr>
        <w:t xml:space="preserve">Report the recipient’s maximum acute GVHD grade in the reporting period; </w:t>
      </w:r>
      <w:r w:rsidRPr="00AD41FC">
        <w:rPr>
          <w:rFonts w:ascii="Arial" w:hAnsi="Arial" w:cs="Arial"/>
          <w:b/>
        </w:rPr>
        <w:t>this may differ from the grade at diagnosis or may be the same</w:t>
      </w:r>
      <w:r w:rsidR="00F91ED8">
        <w:rPr>
          <w:rFonts w:ascii="Arial" w:hAnsi="Arial" w:cs="Arial"/>
        </w:rPr>
        <w:t xml:space="preserve">.  </w:t>
      </w:r>
      <w:r w:rsidRPr="00FC39A8">
        <w:rPr>
          <w:rFonts w:ascii="Arial" w:hAnsi="Arial" w:cs="Arial"/>
        </w:rPr>
        <w:t>If acute GVHD was present, but the maximum grade was not documented</w:t>
      </w:r>
      <w:r>
        <w:rPr>
          <w:rFonts w:ascii="Arial" w:hAnsi="Arial" w:cs="Arial"/>
        </w:rPr>
        <w:t xml:space="preserve"> and it cannot be determined from the grading and staging table, report “not applicable.” </w:t>
      </w:r>
    </w:p>
    <w:p w14:paraId="7D14F526" w14:textId="77777777" w:rsidR="0054325D" w:rsidRDefault="0054325D" w:rsidP="0054325D">
      <w:pPr>
        <w:autoSpaceDE w:val="0"/>
        <w:autoSpaceDN w:val="0"/>
        <w:adjustRightInd w:val="0"/>
        <w:rPr>
          <w:rFonts w:ascii="Arial" w:hAnsi="Arial" w:cs="Arial"/>
          <w:bCs/>
        </w:rPr>
      </w:pPr>
    </w:p>
    <w:p w14:paraId="280DB987" w14:textId="77777777" w:rsidR="0054325D" w:rsidRDefault="0054325D" w:rsidP="0054325D">
      <w:pPr>
        <w:autoSpaceDE w:val="0"/>
        <w:autoSpaceDN w:val="0"/>
        <w:adjustRightInd w:val="0"/>
        <w:rPr>
          <w:rFonts w:ascii="Arial" w:hAnsi="Arial" w:cs="Arial"/>
          <w:b/>
          <w:bCs/>
        </w:rPr>
      </w:pPr>
      <w:r>
        <w:rPr>
          <w:rFonts w:ascii="Arial" w:hAnsi="Arial" w:cs="Arial"/>
          <w:bCs/>
        </w:rPr>
        <w:tab/>
      </w:r>
      <w:r w:rsidRPr="008F5757">
        <w:rPr>
          <w:rFonts w:ascii="Arial" w:hAnsi="Arial" w:cs="Arial"/>
          <w:b/>
          <w:bCs/>
        </w:rPr>
        <w:t>Examples:</w:t>
      </w:r>
    </w:p>
    <w:p w14:paraId="78304FAC" w14:textId="544AD5F6" w:rsidR="0054325D" w:rsidRPr="00687484" w:rsidRDefault="0054325D" w:rsidP="00687484">
      <w:pPr>
        <w:pStyle w:val="ListParagraph"/>
        <w:numPr>
          <w:ilvl w:val="0"/>
          <w:numId w:val="15"/>
        </w:numPr>
        <w:autoSpaceDE w:val="0"/>
        <w:autoSpaceDN w:val="0"/>
        <w:adjustRightInd w:val="0"/>
        <w:spacing w:before="120"/>
        <w:rPr>
          <w:rFonts w:ascii="Arial" w:hAnsi="Arial" w:cs="Arial"/>
          <w:b/>
          <w:bCs/>
        </w:rPr>
      </w:pPr>
      <w:r>
        <w:rPr>
          <w:rFonts w:ascii="Arial" w:hAnsi="Arial" w:cs="Arial"/>
          <w:bCs/>
        </w:rPr>
        <w:t>A recipient developed stage 2 skin involvement and elevated liver function tests (LFTs) attributed to acute GVHD; however, there was no total bilirubin manifestation</w:t>
      </w:r>
      <w:r w:rsidR="00F91ED8">
        <w:rPr>
          <w:rFonts w:ascii="Arial" w:hAnsi="Arial" w:cs="Arial"/>
          <w:bCs/>
        </w:rPr>
        <w:t xml:space="preserve">.  </w:t>
      </w:r>
      <w:r>
        <w:rPr>
          <w:rFonts w:ascii="Arial" w:hAnsi="Arial" w:cs="Arial"/>
          <w:bCs/>
        </w:rPr>
        <w:t>In this case, overall maximum grade I acute GVHD should be reported since the staging/grading can be determined using Table 1.</w:t>
      </w:r>
    </w:p>
    <w:p w14:paraId="706D600F" w14:textId="08BBA994" w:rsidR="0054325D" w:rsidRPr="00A027BA" w:rsidRDefault="0054325D" w:rsidP="0054325D">
      <w:pPr>
        <w:pStyle w:val="ListParagraph"/>
        <w:numPr>
          <w:ilvl w:val="0"/>
          <w:numId w:val="15"/>
        </w:numPr>
        <w:autoSpaceDE w:val="0"/>
        <w:autoSpaceDN w:val="0"/>
        <w:adjustRightInd w:val="0"/>
        <w:spacing w:before="120"/>
        <w:rPr>
          <w:rFonts w:ascii="Arial" w:hAnsi="Arial" w:cs="Arial"/>
          <w:b/>
          <w:bCs/>
        </w:rPr>
      </w:pPr>
      <w:r>
        <w:rPr>
          <w:rFonts w:ascii="Arial" w:hAnsi="Arial" w:cs="Arial"/>
          <w:bCs/>
        </w:rPr>
        <w:t>A recipient developed acute liver GVHD with elevated LFTs</w:t>
      </w:r>
      <w:r w:rsidR="00AD41FC">
        <w:rPr>
          <w:rFonts w:ascii="Arial" w:hAnsi="Arial" w:cs="Arial"/>
          <w:bCs/>
        </w:rPr>
        <w:t xml:space="preserve"> (i.e., transaminases)</w:t>
      </w:r>
      <w:r>
        <w:rPr>
          <w:rFonts w:ascii="Arial" w:hAnsi="Arial" w:cs="Arial"/>
          <w:bCs/>
        </w:rPr>
        <w:t xml:space="preserve"> with no total bilirubin manifestation</w:t>
      </w:r>
      <w:r w:rsidR="00F91ED8">
        <w:rPr>
          <w:rFonts w:ascii="Arial" w:hAnsi="Arial" w:cs="Arial"/>
          <w:bCs/>
        </w:rPr>
        <w:t xml:space="preserve">.  </w:t>
      </w:r>
      <w:r>
        <w:rPr>
          <w:rFonts w:ascii="Arial" w:hAnsi="Arial" w:cs="Arial"/>
          <w:bCs/>
        </w:rPr>
        <w:t xml:space="preserve">The progress notes </w:t>
      </w:r>
      <w:r>
        <w:rPr>
          <w:rFonts w:ascii="Arial" w:hAnsi="Arial" w:cs="Arial"/>
          <w:bCs/>
        </w:rPr>
        <w:lastRenderedPageBreak/>
        <w:t>indicate stage 1 (grade II overall) acute GVHD of the liver</w:t>
      </w:r>
      <w:r w:rsidR="00F91ED8">
        <w:rPr>
          <w:rFonts w:ascii="Arial" w:hAnsi="Arial" w:cs="Arial"/>
          <w:bCs/>
        </w:rPr>
        <w:t xml:space="preserve">.  </w:t>
      </w:r>
      <w:r>
        <w:rPr>
          <w:rFonts w:ascii="Arial" w:hAnsi="Arial" w:cs="Arial"/>
          <w:bCs/>
        </w:rPr>
        <w:t>In this case, the clinical manifestations do not fit the criteria used in Table 1; “</w:t>
      </w:r>
      <w:r w:rsidR="00687484">
        <w:rPr>
          <w:rFonts w:ascii="Arial" w:hAnsi="Arial" w:cs="Arial"/>
          <w:bCs/>
        </w:rPr>
        <w:t>not applicable</w:t>
      </w:r>
      <w:r>
        <w:rPr>
          <w:rFonts w:ascii="Arial" w:hAnsi="Arial" w:cs="Arial"/>
          <w:bCs/>
        </w:rPr>
        <w:t>” would be the best option to report.</w:t>
      </w:r>
    </w:p>
    <w:p w14:paraId="440B8D8E" w14:textId="281405FC" w:rsidR="00A027BA" w:rsidRPr="00687484" w:rsidRDefault="00A027BA" w:rsidP="0054325D">
      <w:pPr>
        <w:pStyle w:val="ListParagraph"/>
        <w:numPr>
          <w:ilvl w:val="0"/>
          <w:numId w:val="15"/>
        </w:numPr>
        <w:autoSpaceDE w:val="0"/>
        <w:autoSpaceDN w:val="0"/>
        <w:adjustRightInd w:val="0"/>
        <w:spacing w:before="120"/>
        <w:rPr>
          <w:rFonts w:ascii="Arial" w:hAnsi="Arial" w:cs="Arial"/>
          <w:b/>
          <w:bCs/>
        </w:rPr>
      </w:pPr>
      <w:r>
        <w:rPr>
          <w:rFonts w:ascii="Arial" w:hAnsi="Arial" w:cs="Arial"/>
          <w:bCs/>
        </w:rPr>
        <w:t>A recipient developed stage 2 skin involvement, which showed improvement in response to topical steroids</w:t>
      </w:r>
      <w:r w:rsidR="00F91ED8">
        <w:rPr>
          <w:rFonts w:ascii="Arial" w:hAnsi="Arial" w:cs="Arial"/>
          <w:bCs/>
        </w:rPr>
        <w:t xml:space="preserve">.  </w:t>
      </w:r>
      <w:r>
        <w:rPr>
          <w:rFonts w:ascii="Arial" w:hAnsi="Arial" w:cs="Arial"/>
          <w:bCs/>
        </w:rPr>
        <w:t xml:space="preserve">However, the recipient then developed hyperbilirubinemia attributed to stage </w:t>
      </w:r>
      <w:proofErr w:type="gramStart"/>
      <w:r>
        <w:rPr>
          <w:rFonts w:ascii="Arial" w:hAnsi="Arial" w:cs="Arial"/>
          <w:bCs/>
        </w:rPr>
        <w:t>1</w:t>
      </w:r>
      <w:proofErr w:type="gramEnd"/>
      <w:r>
        <w:rPr>
          <w:rFonts w:ascii="Arial" w:hAnsi="Arial" w:cs="Arial"/>
          <w:bCs/>
        </w:rPr>
        <w:t xml:space="preserve"> liver involvement; the skin involvement at that time was stage 1</w:t>
      </w:r>
      <w:r w:rsidR="00F91ED8">
        <w:rPr>
          <w:rFonts w:ascii="Arial" w:hAnsi="Arial" w:cs="Arial"/>
          <w:bCs/>
        </w:rPr>
        <w:t xml:space="preserve">.  </w:t>
      </w:r>
      <w:r>
        <w:rPr>
          <w:rFonts w:ascii="Arial" w:hAnsi="Arial" w:cs="Arial"/>
          <w:bCs/>
        </w:rPr>
        <w:t>In this case, grade II would be reported (assuming this was the extent of the recipient’s acute GVHD in the reporting period).</w:t>
      </w:r>
    </w:p>
    <w:p w14:paraId="21C84074" w14:textId="77777777" w:rsidR="0054325D" w:rsidRDefault="0054325D" w:rsidP="0054325D">
      <w:pPr>
        <w:autoSpaceDE w:val="0"/>
        <w:autoSpaceDN w:val="0"/>
        <w:adjustRightInd w:val="0"/>
        <w:rPr>
          <w:rFonts w:ascii="Arial" w:hAnsi="Arial" w:cs="Arial"/>
        </w:rPr>
      </w:pPr>
    </w:p>
    <w:p w14:paraId="1A5D7949" w14:textId="5B1F9737" w:rsidR="0054325D" w:rsidRDefault="0054325D" w:rsidP="0054325D">
      <w:pPr>
        <w:autoSpaceDE w:val="0"/>
        <w:autoSpaceDN w:val="0"/>
        <w:adjustRightInd w:val="0"/>
        <w:rPr>
          <w:rFonts w:ascii="Arial" w:hAnsi="Arial" w:cs="Arial"/>
          <w:b/>
        </w:rPr>
      </w:pPr>
      <w:r>
        <w:rPr>
          <w:rFonts w:ascii="Arial" w:hAnsi="Arial" w:cs="Arial"/>
          <w:b/>
        </w:rPr>
        <w:t xml:space="preserve">Question 30: </w:t>
      </w:r>
      <w:r w:rsidR="005A3F32">
        <w:rPr>
          <w:rFonts w:ascii="Arial" w:hAnsi="Arial" w:cs="Arial"/>
          <w:b/>
        </w:rPr>
        <w:t xml:space="preserve"> </w:t>
      </w:r>
      <w:r>
        <w:rPr>
          <w:rFonts w:ascii="Arial" w:hAnsi="Arial" w:cs="Arial"/>
          <w:b/>
        </w:rPr>
        <w:t>Date maxi</w:t>
      </w:r>
      <w:r w:rsidR="003E7677">
        <w:rPr>
          <w:rFonts w:ascii="Arial" w:hAnsi="Arial" w:cs="Arial"/>
          <w:b/>
        </w:rPr>
        <w:t>mum overall grade of acute GVHD</w:t>
      </w:r>
    </w:p>
    <w:p w14:paraId="39473136" w14:textId="765E89DD" w:rsidR="00A027BA" w:rsidRDefault="00A027BA" w:rsidP="00A027BA">
      <w:pPr>
        <w:autoSpaceDE w:val="0"/>
        <w:autoSpaceDN w:val="0"/>
        <w:adjustRightInd w:val="0"/>
        <w:rPr>
          <w:rFonts w:ascii="Arial" w:hAnsi="Arial" w:cs="Arial"/>
        </w:rPr>
      </w:pPr>
      <w:r w:rsidRPr="00FC39A8">
        <w:rPr>
          <w:rFonts w:ascii="Arial" w:hAnsi="Arial" w:cs="Arial"/>
        </w:rPr>
        <w:t xml:space="preserve">Report the date of </w:t>
      </w:r>
      <w:r>
        <w:rPr>
          <w:rFonts w:ascii="Arial" w:hAnsi="Arial" w:cs="Arial"/>
        </w:rPr>
        <w:t>maximum acute GVHD involvement, based on clinical grade</w:t>
      </w:r>
      <w:r w:rsidR="00F91ED8">
        <w:rPr>
          <w:rFonts w:ascii="Arial" w:hAnsi="Arial" w:cs="Arial"/>
        </w:rPr>
        <w:t xml:space="preserve">.  </w:t>
      </w:r>
      <w:r>
        <w:rPr>
          <w:rFonts w:ascii="Arial" w:hAnsi="Arial" w:cs="Arial"/>
        </w:rPr>
        <w:t>If the recipient had multiple instances in which their GVHD reached the same maximum grade, report the earliest</w:t>
      </w:r>
      <w:r w:rsidR="00AD41FC">
        <w:rPr>
          <w:rFonts w:ascii="Arial" w:hAnsi="Arial" w:cs="Arial"/>
        </w:rPr>
        <w:t xml:space="preserve"> date</w:t>
      </w:r>
      <w:r>
        <w:rPr>
          <w:rFonts w:ascii="Arial" w:hAnsi="Arial" w:cs="Arial"/>
        </w:rPr>
        <w:t>.</w:t>
      </w:r>
    </w:p>
    <w:p w14:paraId="7B37BC21" w14:textId="77777777" w:rsidR="00A027BA" w:rsidRDefault="00A027BA" w:rsidP="0054325D">
      <w:pPr>
        <w:autoSpaceDE w:val="0"/>
        <w:autoSpaceDN w:val="0"/>
        <w:adjustRightInd w:val="0"/>
        <w:rPr>
          <w:rFonts w:ascii="Arial" w:hAnsi="Arial" w:cs="Arial"/>
          <w:b/>
        </w:rPr>
      </w:pPr>
    </w:p>
    <w:p w14:paraId="73214FE2" w14:textId="65F90181" w:rsidR="0054325D" w:rsidRDefault="0054325D" w:rsidP="0054325D">
      <w:pPr>
        <w:autoSpaceDE w:val="0"/>
        <w:autoSpaceDN w:val="0"/>
        <w:adjustRightInd w:val="0"/>
        <w:rPr>
          <w:rFonts w:ascii="Arial" w:hAnsi="Arial" w:cs="Arial"/>
          <w:b/>
        </w:rPr>
      </w:pPr>
      <w:r>
        <w:rPr>
          <w:rFonts w:ascii="Arial" w:hAnsi="Arial" w:cs="Arial"/>
          <w:b/>
        </w:rPr>
        <w:t xml:space="preserve">Question 31: </w:t>
      </w:r>
      <w:r w:rsidR="005A3F32">
        <w:rPr>
          <w:rFonts w:ascii="Arial" w:hAnsi="Arial" w:cs="Arial"/>
          <w:b/>
        </w:rPr>
        <w:t xml:space="preserve"> </w:t>
      </w:r>
      <w:r>
        <w:rPr>
          <w:rFonts w:ascii="Arial" w:hAnsi="Arial" w:cs="Arial"/>
          <w:b/>
        </w:rPr>
        <w:t>Did chronic GVHD develop since the date of last report?</w:t>
      </w:r>
    </w:p>
    <w:p w14:paraId="78A4B5FD" w14:textId="4FC3E28B" w:rsidR="00A027BA" w:rsidRDefault="00A027BA" w:rsidP="00A027BA">
      <w:pPr>
        <w:rPr>
          <w:rFonts w:ascii="Arial" w:hAnsi="Arial" w:cs="Arial"/>
        </w:rPr>
      </w:pPr>
      <w:r w:rsidRPr="009938FF">
        <w:rPr>
          <w:rFonts w:ascii="Arial" w:hAnsi="Arial" w:cs="Arial"/>
        </w:rPr>
        <w:t>Chronic GVHD affects 25-50% of long-term survivors of allogeneic transplants and usually develops after day 100</w:t>
      </w:r>
      <w:r w:rsidR="00F91ED8">
        <w:rPr>
          <w:rFonts w:ascii="Arial" w:hAnsi="Arial" w:cs="Arial"/>
        </w:rPr>
        <w:t xml:space="preserve">.  </w:t>
      </w:r>
      <w:r>
        <w:rPr>
          <w:rFonts w:ascii="Arial" w:hAnsi="Arial" w:cs="Arial"/>
        </w:rPr>
        <w:t>However, i</w:t>
      </w:r>
      <w:r w:rsidRPr="009938FF">
        <w:rPr>
          <w:rFonts w:ascii="Arial" w:hAnsi="Arial" w:cs="Arial"/>
        </w:rPr>
        <w:t xml:space="preserve">t </w:t>
      </w:r>
      <w:proofErr w:type="gramStart"/>
      <w:r w:rsidRPr="009938FF">
        <w:rPr>
          <w:rFonts w:ascii="Arial" w:hAnsi="Arial" w:cs="Arial"/>
        </w:rPr>
        <w:t>has been documented</w:t>
      </w:r>
      <w:proofErr w:type="gramEnd"/>
      <w:r w:rsidRPr="009938FF">
        <w:rPr>
          <w:rFonts w:ascii="Arial" w:hAnsi="Arial" w:cs="Arial"/>
        </w:rPr>
        <w:t xml:space="preserve"> as occurring as early as day 6</w:t>
      </w:r>
      <w:r>
        <w:rPr>
          <w:rFonts w:ascii="Arial" w:hAnsi="Arial" w:cs="Arial"/>
        </w:rPr>
        <w:t>0 and as late as day 400 post-H</w:t>
      </w:r>
      <w:r w:rsidRPr="009938FF">
        <w:rPr>
          <w:rFonts w:ascii="Arial" w:hAnsi="Arial" w:cs="Arial"/>
        </w:rPr>
        <w:t>CT</w:t>
      </w:r>
      <w:r w:rsidR="00F91ED8">
        <w:rPr>
          <w:rFonts w:ascii="Arial" w:hAnsi="Arial" w:cs="Arial"/>
        </w:rPr>
        <w:t xml:space="preserve">.  </w:t>
      </w:r>
      <w:r w:rsidRPr="009938FF">
        <w:rPr>
          <w:rFonts w:ascii="Arial" w:hAnsi="Arial" w:cs="Arial"/>
        </w:rPr>
        <w:t>In chronic GVHD, the mechanism of tissue damage differs from acute GVHD and a greater variety of organs may be affected.</w:t>
      </w:r>
      <w:r>
        <w:rPr>
          <w:rFonts w:ascii="Arial" w:hAnsi="Arial" w:cs="Arial"/>
        </w:rPr>
        <w:t xml:space="preserve"> </w:t>
      </w:r>
    </w:p>
    <w:p w14:paraId="60027834" w14:textId="77777777" w:rsidR="0054325D" w:rsidRDefault="0054325D" w:rsidP="0054325D">
      <w:pPr>
        <w:autoSpaceDE w:val="0"/>
        <w:autoSpaceDN w:val="0"/>
        <w:adjustRightInd w:val="0"/>
        <w:rPr>
          <w:rFonts w:ascii="Arial" w:hAnsi="Arial" w:cs="Arial"/>
          <w:b/>
        </w:rPr>
      </w:pPr>
    </w:p>
    <w:p w14:paraId="6A4F92FB" w14:textId="582F9894" w:rsidR="00A027BA" w:rsidRDefault="00A027BA" w:rsidP="00A027BA">
      <w:pPr>
        <w:autoSpaceDE w:val="0"/>
        <w:autoSpaceDN w:val="0"/>
        <w:adjustRightInd w:val="0"/>
        <w:rPr>
          <w:rFonts w:ascii="Arial" w:hAnsi="Arial" w:cs="Arial"/>
        </w:rPr>
      </w:pPr>
      <w:r>
        <w:rPr>
          <w:rFonts w:ascii="Arial" w:hAnsi="Arial" w:cs="Arial"/>
          <w:color w:val="000000"/>
        </w:rPr>
        <w:t xml:space="preserve">Indicate whether chronic GVHD </w:t>
      </w:r>
      <w:proofErr w:type="gramStart"/>
      <w:r>
        <w:rPr>
          <w:rFonts w:ascii="Arial" w:hAnsi="Arial" w:cs="Arial"/>
          <w:color w:val="000000"/>
        </w:rPr>
        <w:t>was clinically diagnosed</w:t>
      </w:r>
      <w:proofErr w:type="gramEnd"/>
      <w:r>
        <w:rPr>
          <w:rFonts w:ascii="Arial" w:hAnsi="Arial" w:cs="Arial"/>
          <w:color w:val="000000"/>
        </w:rPr>
        <w:t xml:space="preserve"> during the reporting period in response to transplant or donor cellular infusion</w:t>
      </w:r>
      <w:r w:rsidR="00F91ED8">
        <w:rPr>
          <w:rFonts w:ascii="Arial" w:hAnsi="Arial" w:cs="Arial"/>
          <w:color w:val="000000"/>
        </w:rPr>
        <w:t xml:space="preserve">.  </w:t>
      </w:r>
      <w:r>
        <w:rPr>
          <w:rFonts w:ascii="Arial" w:hAnsi="Arial" w:cs="Arial"/>
          <w:color w:val="000000"/>
        </w:rPr>
        <w:t xml:space="preserve">If “yes,” continue with question 34; indicate “yes” if there was a clinical diagnosis and approximate date </w:t>
      </w:r>
      <w:proofErr w:type="gramStart"/>
      <w:r>
        <w:rPr>
          <w:rFonts w:ascii="Arial" w:hAnsi="Arial" w:cs="Arial"/>
          <w:color w:val="000000"/>
        </w:rPr>
        <w:t>is known</w:t>
      </w:r>
      <w:proofErr w:type="gramEnd"/>
      <w:r>
        <w:rPr>
          <w:rFonts w:ascii="Arial" w:hAnsi="Arial" w:cs="Arial"/>
          <w:color w:val="000000"/>
        </w:rPr>
        <w:t>, even if reported date must be estimated</w:t>
      </w:r>
      <w:r w:rsidR="00F91ED8">
        <w:rPr>
          <w:rFonts w:ascii="Arial" w:hAnsi="Arial" w:cs="Arial"/>
          <w:color w:val="000000"/>
        </w:rPr>
        <w:t xml:space="preserve">.  </w:t>
      </w:r>
      <w:r>
        <w:rPr>
          <w:rFonts w:ascii="Arial" w:hAnsi="Arial" w:cs="Arial"/>
          <w:color w:val="000000"/>
        </w:rPr>
        <w:t xml:space="preserve">Refer to </w:t>
      </w:r>
      <w:r>
        <w:rPr>
          <w:rFonts w:ascii="Arial" w:hAnsi="Arial" w:cs="Arial"/>
        </w:rPr>
        <w:t xml:space="preserve">General Instructions, </w:t>
      </w:r>
      <w:hyperlink r:id="rId21" w:history="1">
        <w:r w:rsidRPr="00E22EBE">
          <w:rPr>
            <w:rStyle w:val="Hyperlink"/>
            <w:rFonts w:ascii="Arial" w:hAnsi="Arial" w:cs="Arial"/>
          </w:rPr>
          <w:t>General Guidelines for Completing Forms</w:t>
        </w:r>
      </w:hyperlink>
      <w:r>
        <w:rPr>
          <w:rFonts w:ascii="Arial" w:hAnsi="Arial" w:cs="Arial"/>
        </w:rPr>
        <w:t>, for information about reporting partial or unknown dates.</w:t>
      </w:r>
    </w:p>
    <w:p w14:paraId="09C69196" w14:textId="77777777" w:rsidR="00A027BA" w:rsidRDefault="00A027BA" w:rsidP="00A027BA">
      <w:pPr>
        <w:autoSpaceDE w:val="0"/>
        <w:autoSpaceDN w:val="0"/>
        <w:adjustRightInd w:val="0"/>
        <w:rPr>
          <w:rFonts w:ascii="Arial" w:hAnsi="Arial" w:cs="Arial"/>
        </w:rPr>
      </w:pPr>
    </w:p>
    <w:p w14:paraId="21CBD846" w14:textId="03E006AF" w:rsidR="00A027BA" w:rsidRDefault="00A027BA" w:rsidP="00A027BA">
      <w:pPr>
        <w:autoSpaceDE w:val="0"/>
        <w:autoSpaceDN w:val="0"/>
        <w:adjustRightInd w:val="0"/>
        <w:rPr>
          <w:rFonts w:ascii="Arial" w:hAnsi="Arial" w:cs="Arial"/>
        </w:rPr>
      </w:pPr>
      <w:r>
        <w:rPr>
          <w:rFonts w:ascii="Arial" w:hAnsi="Arial" w:cs="Arial"/>
        </w:rPr>
        <w:t>If the recipient had a flare of chronic GVHD occurring after period of symptom quiescence or immunosuppressive taper or discontinuation, report “yes” and continue with question 34.</w:t>
      </w:r>
    </w:p>
    <w:p w14:paraId="2434B26C" w14:textId="77777777" w:rsidR="00A027BA" w:rsidRDefault="00A027BA" w:rsidP="00A027BA">
      <w:pPr>
        <w:autoSpaceDE w:val="0"/>
        <w:autoSpaceDN w:val="0"/>
        <w:adjustRightInd w:val="0"/>
        <w:rPr>
          <w:rFonts w:ascii="Arial" w:hAnsi="Arial" w:cs="Arial"/>
        </w:rPr>
      </w:pPr>
    </w:p>
    <w:p w14:paraId="14ADAD88" w14:textId="1ADF0C02" w:rsidR="00A027BA" w:rsidRDefault="00A027BA" w:rsidP="00A027BA">
      <w:pPr>
        <w:autoSpaceDE w:val="0"/>
        <w:autoSpaceDN w:val="0"/>
        <w:adjustRightInd w:val="0"/>
        <w:rPr>
          <w:rFonts w:ascii="Arial" w:hAnsi="Arial" w:cs="Arial"/>
          <w:color w:val="000000"/>
        </w:rPr>
      </w:pPr>
      <w:r>
        <w:rPr>
          <w:rFonts w:ascii="Arial" w:hAnsi="Arial" w:cs="Arial"/>
        </w:rPr>
        <w:t>Indicate “no” if chronic GVHD was not clinically diagnosed – initially or as a flare - in the reporting period; this includes instances where chronic GVHD persists from a prior reporting period without flare in the current reporting period</w:t>
      </w:r>
      <w:r w:rsidR="00F91ED8">
        <w:rPr>
          <w:rFonts w:ascii="Arial" w:hAnsi="Arial" w:cs="Arial"/>
        </w:rPr>
        <w:t xml:space="preserve">.  </w:t>
      </w:r>
      <w:r>
        <w:rPr>
          <w:rFonts w:ascii="Arial" w:hAnsi="Arial" w:cs="Arial"/>
        </w:rPr>
        <w:t>Indicate “unknown” if there is no information about the recipient’s GVHD status for the reporting period</w:t>
      </w:r>
      <w:r w:rsidR="00F91ED8">
        <w:rPr>
          <w:rFonts w:ascii="Arial" w:hAnsi="Arial" w:cs="Arial"/>
        </w:rPr>
        <w:t xml:space="preserve">.  </w:t>
      </w:r>
      <w:r>
        <w:rPr>
          <w:rFonts w:ascii="Arial" w:hAnsi="Arial" w:cs="Arial"/>
        </w:rPr>
        <w:t>This option should be used sparingly and only when no judgment can be made about the presence or absence of GVHD in the reporting period.</w:t>
      </w:r>
    </w:p>
    <w:p w14:paraId="5E4E306D" w14:textId="77777777" w:rsidR="00A027BA" w:rsidRDefault="00A027BA" w:rsidP="0054325D">
      <w:pPr>
        <w:autoSpaceDE w:val="0"/>
        <w:autoSpaceDN w:val="0"/>
        <w:adjustRightInd w:val="0"/>
        <w:rPr>
          <w:rFonts w:ascii="Arial" w:hAnsi="Arial" w:cs="Arial"/>
          <w:b/>
        </w:rPr>
      </w:pPr>
    </w:p>
    <w:p w14:paraId="59CA3A55" w14:textId="1CBB9A9E" w:rsidR="0054325D" w:rsidRDefault="0054325D" w:rsidP="0054325D">
      <w:pPr>
        <w:autoSpaceDE w:val="0"/>
        <w:autoSpaceDN w:val="0"/>
        <w:adjustRightInd w:val="0"/>
        <w:rPr>
          <w:rFonts w:ascii="Arial" w:hAnsi="Arial" w:cs="Arial"/>
          <w:b/>
        </w:rPr>
      </w:pPr>
      <w:r w:rsidRPr="00A027BA">
        <w:rPr>
          <w:rFonts w:ascii="Arial" w:hAnsi="Arial" w:cs="Arial"/>
          <w:b/>
        </w:rPr>
        <w:t xml:space="preserve">Question 32: </w:t>
      </w:r>
      <w:r w:rsidR="005A3F32">
        <w:rPr>
          <w:rFonts w:ascii="Arial" w:hAnsi="Arial" w:cs="Arial"/>
          <w:b/>
        </w:rPr>
        <w:t xml:space="preserve"> </w:t>
      </w:r>
      <w:r w:rsidRPr="00A027BA">
        <w:rPr>
          <w:rFonts w:ascii="Arial" w:hAnsi="Arial" w:cs="Arial"/>
          <w:b/>
        </w:rPr>
        <w:t>Date of chronic GVHD diagnosis:</w:t>
      </w:r>
    </w:p>
    <w:p w14:paraId="5F09A669" w14:textId="6D4B9DA0" w:rsidR="00A027BA" w:rsidRDefault="00A027BA" w:rsidP="00A027BA">
      <w:pPr>
        <w:autoSpaceDE w:val="0"/>
        <w:autoSpaceDN w:val="0"/>
        <w:adjustRightInd w:val="0"/>
        <w:rPr>
          <w:rFonts w:ascii="Arial" w:hAnsi="Arial" w:cs="Arial"/>
        </w:rPr>
      </w:pPr>
      <w:r w:rsidRPr="00FC39A8">
        <w:rPr>
          <w:rFonts w:ascii="Arial" w:hAnsi="Arial" w:cs="Arial"/>
        </w:rPr>
        <w:t>Report the date of clinical diagnosis</w:t>
      </w:r>
      <w:r>
        <w:rPr>
          <w:rFonts w:ascii="Arial" w:hAnsi="Arial" w:cs="Arial"/>
        </w:rPr>
        <w:t xml:space="preserve"> of chronic GVHD</w:t>
      </w:r>
      <w:r w:rsidR="00F91ED8">
        <w:rPr>
          <w:rFonts w:ascii="Arial" w:hAnsi="Arial" w:cs="Arial"/>
        </w:rPr>
        <w:t xml:space="preserve">.  </w:t>
      </w:r>
      <w:r>
        <w:rPr>
          <w:rFonts w:ascii="Arial" w:hAnsi="Arial" w:cs="Arial"/>
        </w:rPr>
        <w:t>T</w:t>
      </w:r>
      <w:r w:rsidRPr="00057495">
        <w:rPr>
          <w:rFonts w:ascii="Arial" w:hAnsi="Arial" w:cs="Arial"/>
        </w:rPr>
        <w:t>he clinical diagnosis date may not necessarily be the date the symptoms began</w:t>
      </w:r>
      <w:r>
        <w:rPr>
          <w:rFonts w:ascii="Arial" w:hAnsi="Arial" w:cs="Arial"/>
        </w:rPr>
        <w:t xml:space="preserve"> (example: the recipient developed shortness of breath one month prior to the clinical diagnosis of pulmonary chronic GVHD)</w:t>
      </w:r>
      <w:r w:rsidR="00F91ED8">
        <w:rPr>
          <w:rFonts w:ascii="Arial" w:hAnsi="Arial" w:cs="Arial"/>
        </w:rPr>
        <w:t xml:space="preserve">.  </w:t>
      </w:r>
      <w:r w:rsidRPr="00FC39A8">
        <w:rPr>
          <w:rFonts w:ascii="Arial" w:hAnsi="Arial" w:cs="Arial"/>
        </w:rPr>
        <w:t xml:space="preserve">If the </w:t>
      </w:r>
      <w:r>
        <w:rPr>
          <w:rFonts w:ascii="Arial" w:hAnsi="Arial" w:cs="Arial"/>
        </w:rPr>
        <w:t xml:space="preserve">clinical </w:t>
      </w:r>
      <w:r w:rsidRPr="00FC39A8">
        <w:rPr>
          <w:rFonts w:ascii="Arial" w:hAnsi="Arial" w:cs="Arial"/>
        </w:rPr>
        <w:t xml:space="preserve">diagnosis date </w:t>
      </w:r>
      <w:proofErr w:type="gramStart"/>
      <w:r w:rsidRPr="00FC39A8">
        <w:rPr>
          <w:rFonts w:ascii="Arial" w:hAnsi="Arial" w:cs="Arial"/>
        </w:rPr>
        <w:t>is not documented</w:t>
      </w:r>
      <w:proofErr w:type="gramEnd"/>
      <w:r w:rsidRPr="00FC39A8">
        <w:rPr>
          <w:rFonts w:ascii="Arial" w:hAnsi="Arial" w:cs="Arial"/>
        </w:rPr>
        <w:t xml:space="preserve">, </w:t>
      </w:r>
      <w:r>
        <w:rPr>
          <w:rFonts w:ascii="Arial" w:hAnsi="Arial" w:cs="Arial"/>
        </w:rPr>
        <w:t xml:space="preserve">then report the </w:t>
      </w:r>
      <w:r w:rsidRPr="00FC39A8">
        <w:rPr>
          <w:rFonts w:ascii="Arial" w:hAnsi="Arial" w:cs="Arial"/>
        </w:rPr>
        <w:t>da</w:t>
      </w:r>
      <w:r>
        <w:rPr>
          <w:rFonts w:ascii="Arial" w:hAnsi="Arial" w:cs="Arial"/>
        </w:rPr>
        <w:t>te of histological confirmation</w:t>
      </w:r>
      <w:r w:rsidR="00F91ED8">
        <w:rPr>
          <w:rFonts w:ascii="Arial" w:hAnsi="Arial" w:cs="Arial"/>
        </w:rPr>
        <w:t xml:space="preserve">.  </w:t>
      </w:r>
    </w:p>
    <w:p w14:paraId="1041EE41" w14:textId="77777777" w:rsidR="00A027BA" w:rsidRDefault="00A027BA" w:rsidP="00A027BA">
      <w:pPr>
        <w:autoSpaceDE w:val="0"/>
        <w:autoSpaceDN w:val="0"/>
        <w:adjustRightInd w:val="0"/>
        <w:rPr>
          <w:rFonts w:ascii="Arial" w:hAnsi="Arial" w:cs="Arial"/>
        </w:rPr>
      </w:pPr>
    </w:p>
    <w:p w14:paraId="4C5DDA80" w14:textId="5E1E8C41" w:rsidR="00A027BA" w:rsidRDefault="00A027BA" w:rsidP="00A027BA">
      <w:pPr>
        <w:rPr>
          <w:rFonts w:ascii="Arial" w:hAnsi="Arial" w:cs="Arial"/>
        </w:rPr>
      </w:pPr>
      <w:r>
        <w:rPr>
          <w:rFonts w:ascii="Arial" w:hAnsi="Arial" w:cs="Arial"/>
        </w:rPr>
        <w:lastRenderedPageBreak/>
        <w:t>If the recipient developed more than one episode of chronic GVHD in the same reporting period, report the date of onset of the first episode of chronic GVHD.</w:t>
      </w:r>
    </w:p>
    <w:p w14:paraId="7D1889F7" w14:textId="77777777" w:rsidR="0054325D" w:rsidRDefault="0054325D" w:rsidP="0054325D">
      <w:pPr>
        <w:autoSpaceDE w:val="0"/>
        <w:autoSpaceDN w:val="0"/>
        <w:adjustRightInd w:val="0"/>
        <w:rPr>
          <w:rFonts w:ascii="Arial" w:hAnsi="Arial" w:cs="Arial"/>
          <w:b/>
        </w:rPr>
      </w:pPr>
    </w:p>
    <w:p w14:paraId="3171BEBE" w14:textId="64275053" w:rsidR="0054325D" w:rsidRPr="00A460DF" w:rsidRDefault="0054325D" w:rsidP="0054325D">
      <w:pPr>
        <w:autoSpaceDE w:val="0"/>
        <w:autoSpaceDN w:val="0"/>
        <w:adjustRightInd w:val="0"/>
        <w:rPr>
          <w:rFonts w:ascii="Arial" w:hAnsi="Arial" w:cs="Arial"/>
          <w:b/>
        </w:rPr>
      </w:pPr>
      <w:r w:rsidRPr="00A460DF">
        <w:rPr>
          <w:rFonts w:ascii="Arial" w:hAnsi="Arial" w:cs="Arial"/>
          <w:b/>
        </w:rPr>
        <w:t xml:space="preserve">Question 33: </w:t>
      </w:r>
      <w:r w:rsidR="005A3F32">
        <w:rPr>
          <w:rFonts w:ascii="Arial" w:hAnsi="Arial" w:cs="Arial"/>
          <w:b/>
        </w:rPr>
        <w:t xml:space="preserve"> </w:t>
      </w:r>
      <w:r w:rsidRPr="00A460DF">
        <w:rPr>
          <w:rFonts w:ascii="Arial" w:hAnsi="Arial" w:cs="Arial"/>
          <w:b/>
        </w:rPr>
        <w:t>Did chronic GVHD persist since the date of last report?</w:t>
      </w:r>
    </w:p>
    <w:p w14:paraId="4A40223C" w14:textId="7B422934" w:rsidR="00A460DF" w:rsidRPr="00A460DF" w:rsidRDefault="00A460DF" w:rsidP="00A460DF">
      <w:pPr>
        <w:autoSpaceDE w:val="0"/>
        <w:autoSpaceDN w:val="0"/>
        <w:adjustRightInd w:val="0"/>
        <w:rPr>
          <w:rFonts w:ascii="Arial" w:hAnsi="Arial" w:cs="Arial"/>
        </w:rPr>
      </w:pPr>
      <w:r w:rsidRPr="00A460DF">
        <w:rPr>
          <w:rFonts w:ascii="Arial" w:hAnsi="Arial" w:cs="Arial"/>
          <w:color w:val="000000"/>
        </w:rPr>
        <w:t xml:space="preserve">Indicate whether chronic GVHD </w:t>
      </w:r>
      <w:proofErr w:type="gramStart"/>
      <w:r w:rsidRPr="00A460DF">
        <w:rPr>
          <w:rFonts w:ascii="Arial" w:hAnsi="Arial" w:cs="Arial"/>
          <w:color w:val="000000"/>
        </w:rPr>
        <w:t>was clinically diagnosed during a previous reporting period and persisted, with active symptoms, into the present reporting period</w:t>
      </w:r>
      <w:proofErr w:type="gramEnd"/>
      <w:r w:rsidR="00F91ED8">
        <w:rPr>
          <w:rFonts w:ascii="Arial" w:hAnsi="Arial" w:cs="Arial"/>
          <w:color w:val="000000"/>
        </w:rPr>
        <w:t xml:space="preserve">.  </w:t>
      </w:r>
      <w:r w:rsidRPr="00A460DF">
        <w:rPr>
          <w:rFonts w:ascii="Arial" w:hAnsi="Arial" w:cs="Arial"/>
          <w:color w:val="000000"/>
        </w:rPr>
        <w:t>Do not report quiescent or inactive chronic GVHD, or a prior history of acute GVHD</w:t>
      </w:r>
      <w:r w:rsidR="00F91ED8">
        <w:rPr>
          <w:rFonts w:ascii="Arial" w:hAnsi="Arial" w:cs="Arial"/>
          <w:color w:val="000000"/>
        </w:rPr>
        <w:t xml:space="preserve">.  </w:t>
      </w:r>
      <w:r w:rsidRPr="00A460DF">
        <w:rPr>
          <w:rFonts w:ascii="Arial" w:hAnsi="Arial" w:cs="Arial"/>
          <w:color w:val="000000"/>
        </w:rPr>
        <w:t xml:space="preserve">If “yes,” continue with question 34; indicate “yes” if there was a clinical diagnosis and approximate date </w:t>
      </w:r>
      <w:proofErr w:type="gramStart"/>
      <w:r w:rsidRPr="00A460DF">
        <w:rPr>
          <w:rFonts w:ascii="Arial" w:hAnsi="Arial" w:cs="Arial"/>
          <w:color w:val="000000"/>
        </w:rPr>
        <w:t>is known</w:t>
      </w:r>
      <w:proofErr w:type="gramEnd"/>
      <w:r w:rsidRPr="00A460DF">
        <w:rPr>
          <w:rFonts w:ascii="Arial" w:hAnsi="Arial" w:cs="Arial"/>
          <w:color w:val="000000"/>
        </w:rPr>
        <w:t>, even if reported date must be estimated</w:t>
      </w:r>
      <w:r w:rsidR="00F91ED8">
        <w:rPr>
          <w:rFonts w:ascii="Arial" w:hAnsi="Arial" w:cs="Arial"/>
          <w:color w:val="000000"/>
        </w:rPr>
        <w:t xml:space="preserve">.  </w:t>
      </w:r>
      <w:r w:rsidRPr="00A460DF">
        <w:rPr>
          <w:rFonts w:ascii="Arial" w:hAnsi="Arial" w:cs="Arial"/>
          <w:color w:val="000000"/>
        </w:rPr>
        <w:t xml:space="preserve">Refer to </w:t>
      </w:r>
      <w:r w:rsidRPr="00A460DF">
        <w:rPr>
          <w:rFonts w:ascii="Arial" w:hAnsi="Arial" w:cs="Arial"/>
        </w:rPr>
        <w:t xml:space="preserve">General Instructions, </w:t>
      </w:r>
      <w:hyperlink r:id="rId22" w:history="1">
        <w:r w:rsidRPr="00A460DF">
          <w:rPr>
            <w:rStyle w:val="Hyperlink"/>
            <w:rFonts w:ascii="Arial" w:hAnsi="Arial" w:cs="Arial"/>
          </w:rPr>
          <w:t>General Guidelines for Completing Forms</w:t>
        </w:r>
      </w:hyperlink>
      <w:r w:rsidRPr="00A460DF">
        <w:rPr>
          <w:rFonts w:ascii="Arial" w:hAnsi="Arial" w:cs="Arial"/>
        </w:rPr>
        <w:t>, for information about reporting partial or unknown dates.</w:t>
      </w:r>
    </w:p>
    <w:p w14:paraId="196E4545" w14:textId="77777777" w:rsidR="00A460DF" w:rsidRPr="00A460DF" w:rsidRDefault="00A460DF" w:rsidP="00A460DF">
      <w:pPr>
        <w:autoSpaceDE w:val="0"/>
        <w:autoSpaceDN w:val="0"/>
        <w:adjustRightInd w:val="0"/>
        <w:rPr>
          <w:rFonts w:ascii="Arial" w:hAnsi="Arial" w:cs="Arial"/>
        </w:rPr>
      </w:pPr>
    </w:p>
    <w:p w14:paraId="36642A01" w14:textId="3DF47A85" w:rsidR="00A460DF" w:rsidRPr="00A460DF" w:rsidRDefault="00A460DF" w:rsidP="00A460DF">
      <w:pPr>
        <w:autoSpaceDE w:val="0"/>
        <w:autoSpaceDN w:val="0"/>
        <w:adjustRightInd w:val="0"/>
        <w:rPr>
          <w:rFonts w:ascii="Arial" w:hAnsi="Arial" w:cs="Arial"/>
        </w:rPr>
      </w:pPr>
      <w:r w:rsidRPr="00A460DF">
        <w:rPr>
          <w:rFonts w:ascii="Arial" w:hAnsi="Arial" w:cs="Arial"/>
        </w:rPr>
        <w:t>Indicate “no” if the recipient has no history of chronic GVHD or if all prior chronic GVHD is inactive in the reporting period; continue with question 37</w:t>
      </w:r>
      <w:proofErr w:type="gramStart"/>
      <w:r w:rsidR="00F91ED8">
        <w:rPr>
          <w:rFonts w:ascii="Arial" w:hAnsi="Arial" w:cs="Arial"/>
        </w:rPr>
        <w:t xml:space="preserve">.  </w:t>
      </w:r>
      <w:r w:rsidRPr="00A460DF">
        <w:rPr>
          <w:rFonts w:ascii="Arial" w:hAnsi="Arial" w:cs="Arial"/>
        </w:rPr>
        <w:t xml:space="preserve"> </w:t>
      </w:r>
      <w:proofErr w:type="gramEnd"/>
      <w:r w:rsidRPr="00A460DF">
        <w:rPr>
          <w:rFonts w:ascii="Arial" w:hAnsi="Arial" w:cs="Arial"/>
        </w:rPr>
        <w:t xml:space="preserve">If the recipient previously had chronic GVHD, which was resolved </w:t>
      </w:r>
      <w:r w:rsidR="00AD41FC">
        <w:rPr>
          <w:rFonts w:ascii="Arial" w:hAnsi="Arial" w:cs="Arial"/>
        </w:rPr>
        <w:t>prior to</w:t>
      </w:r>
      <w:r w:rsidRPr="00A460DF">
        <w:rPr>
          <w:rFonts w:ascii="Arial" w:hAnsi="Arial" w:cs="Arial"/>
        </w:rPr>
        <w:t xml:space="preserve"> the start of the current reporting period and flared in the period, indicate “yes” in question 31 and “no” in question 33. </w:t>
      </w:r>
    </w:p>
    <w:p w14:paraId="3BAC3C35" w14:textId="77777777" w:rsidR="00A460DF" w:rsidRPr="00A460DF" w:rsidRDefault="00A460DF" w:rsidP="00A460DF">
      <w:pPr>
        <w:autoSpaceDE w:val="0"/>
        <w:autoSpaceDN w:val="0"/>
        <w:adjustRightInd w:val="0"/>
        <w:rPr>
          <w:rFonts w:ascii="Arial" w:hAnsi="Arial" w:cs="Arial"/>
        </w:rPr>
      </w:pPr>
    </w:p>
    <w:p w14:paraId="598EA0E8" w14:textId="7D3E1BDD" w:rsidR="00A460DF" w:rsidRPr="00A460DF" w:rsidRDefault="00A460DF" w:rsidP="00A460DF">
      <w:pPr>
        <w:autoSpaceDE w:val="0"/>
        <w:autoSpaceDN w:val="0"/>
        <w:adjustRightInd w:val="0"/>
        <w:rPr>
          <w:rFonts w:ascii="Arial" w:hAnsi="Arial" w:cs="Arial"/>
          <w:color w:val="000000"/>
        </w:rPr>
      </w:pPr>
      <w:r w:rsidRPr="00A460DF">
        <w:rPr>
          <w:rFonts w:ascii="Arial" w:hAnsi="Arial" w:cs="Arial"/>
        </w:rPr>
        <w:t>Indicate “unknown” if there is no information about the recipient’s GVHD status for the reporting period</w:t>
      </w:r>
      <w:r w:rsidR="00F91ED8">
        <w:rPr>
          <w:rFonts w:ascii="Arial" w:hAnsi="Arial" w:cs="Arial"/>
        </w:rPr>
        <w:t xml:space="preserve">.  </w:t>
      </w:r>
      <w:r w:rsidRPr="00A460DF">
        <w:rPr>
          <w:rFonts w:ascii="Arial" w:hAnsi="Arial" w:cs="Arial"/>
        </w:rPr>
        <w:t>This option should be used sparingly and only when no judgment can be made about the presence or absence of GVHD in the reporting period.</w:t>
      </w:r>
    </w:p>
    <w:p w14:paraId="41512894" w14:textId="77777777" w:rsidR="0054325D" w:rsidRPr="00A460DF" w:rsidRDefault="0054325D" w:rsidP="00337399">
      <w:pPr>
        <w:autoSpaceDE w:val="0"/>
        <w:autoSpaceDN w:val="0"/>
        <w:adjustRightInd w:val="0"/>
        <w:rPr>
          <w:rFonts w:ascii="Arial" w:hAnsi="Arial" w:cs="Arial"/>
          <w:b/>
        </w:rPr>
      </w:pPr>
    </w:p>
    <w:p w14:paraId="618E9E24" w14:textId="53417171" w:rsidR="00337399" w:rsidRPr="00A460DF" w:rsidRDefault="0054325D" w:rsidP="00337399">
      <w:pPr>
        <w:autoSpaceDE w:val="0"/>
        <w:autoSpaceDN w:val="0"/>
        <w:adjustRightInd w:val="0"/>
        <w:rPr>
          <w:rFonts w:ascii="Arial" w:hAnsi="Arial" w:cs="Arial"/>
          <w:b/>
        </w:rPr>
      </w:pPr>
      <w:r w:rsidRPr="00A460DF">
        <w:rPr>
          <w:rFonts w:ascii="Arial" w:hAnsi="Arial" w:cs="Arial"/>
          <w:b/>
        </w:rPr>
        <w:t>Question 34</w:t>
      </w:r>
      <w:r w:rsidR="00337399" w:rsidRPr="00A460DF">
        <w:rPr>
          <w:rFonts w:ascii="Arial" w:hAnsi="Arial" w:cs="Arial"/>
          <w:b/>
        </w:rPr>
        <w:t xml:space="preserve">: </w:t>
      </w:r>
      <w:r w:rsidR="005A3F32">
        <w:rPr>
          <w:rFonts w:ascii="Arial" w:hAnsi="Arial" w:cs="Arial"/>
          <w:b/>
        </w:rPr>
        <w:t xml:space="preserve"> </w:t>
      </w:r>
      <w:r w:rsidR="00337399" w:rsidRPr="00A460DF">
        <w:rPr>
          <w:rFonts w:ascii="Arial" w:hAnsi="Arial" w:cs="Arial"/>
          <w:b/>
        </w:rPr>
        <w:t xml:space="preserve">Maximum </w:t>
      </w:r>
      <w:r w:rsidRPr="00A460DF">
        <w:rPr>
          <w:rFonts w:ascii="Arial" w:hAnsi="Arial" w:cs="Arial"/>
          <w:b/>
        </w:rPr>
        <w:t>grade</w:t>
      </w:r>
      <w:r w:rsidR="00337399" w:rsidRPr="00A460DF">
        <w:rPr>
          <w:rFonts w:ascii="Arial" w:hAnsi="Arial" w:cs="Arial"/>
          <w:b/>
        </w:rPr>
        <w:t xml:space="preserve"> of Chronic </w:t>
      </w:r>
      <w:r w:rsidR="00A460DF" w:rsidRPr="00A460DF">
        <w:rPr>
          <w:rFonts w:ascii="Arial" w:hAnsi="Arial" w:cs="Arial"/>
          <w:b/>
        </w:rPr>
        <w:t xml:space="preserve">GVHD </w:t>
      </w:r>
      <w:r w:rsidRPr="00A460DF">
        <w:rPr>
          <w:rFonts w:ascii="Arial" w:hAnsi="Arial" w:cs="Arial"/>
          <w:b/>
        </w:rPr>
        <w:t>(according to best clinical judgement)</w:t>
      </w:r>
    </w:p>
    <w:p w14:paraId="579C3746" w14:textId="26715852" w:rsidR="00A460DF" w:rsidRDefault="00A460DF" w:rsidP="00337399">
      <w:pPr>
        <w:autoSpaceDE w:val="0"/>
        <w:autoSpaceDN w:val="0"/>
        <w:adjustRightInd w:val="0"/>
        <w:rPr>
          <w:rFonts w:ascii="Arial" w:hAnsi="Arial" w:cs="Arial"/>
        </w:rPr>
      </w:pPr>
      <w:r w:rsidRPr="00FC39A8">
        <w:rPr>
          <w:rFonts w:ascii="Arial" w:hAnsi="Arial" w:cs="Arial"/>
        </w:rPr>
        <w:t xml:space="preserve">Report the </w:t>
      </w:r>
      <w:r>
        <w:rPr>
          <w:rFonts w:ascii="Arial" w:hAnsi="Arial" w:cs="Arial"/>
        </w:rPr>
        <w:t>maximum chronic GVHD involvement, based on clinical grade</w:t>
      </w:r>
      <w:r w:rsidR="00F91ED8">
        <w:rPr>
          <w:rFonts w:ascii="Arial" w:hAnsi="Arial" w:cs="Arial"/>
        </w:rPr>
        <w:t xml:space="preserve">.  </w:t>
      </w:r>
      <w:r>
        <w:rPr>
          <w:rFonts w:ascii="Arial" w:hAnsi="Arial" w:cs="Arial"/>
        </w:rPr>
        <w:t xml:space="preserve">Clinical grade is based on the severity of signs and symptoms in organ systems involved by chronic GVHD, as well as the total number of organs or organ systems involved by chronic GVHD. </w:t>
      </w:r>
    </w:p>
    <w:p w14:paraId="75F24F68" w14:textId="24E329BB" w:rsidR="00A460DF" w:rsidRDefault="00A460DF" w:rsidP="00A460DF">
      <w:pPr>
        <w:autoSpaceDE w:val="0"/>
        <w:autoSpaceDN w:val="0"/>
        <w:adjustRightInd w:val="0"/>
        <w:ind w:left="720"/>
        <w:rPr>
          <w:rFonts w:ascii="Arial" w:hAnsi="Arial" w:cs="Arial"/>
        </w:rPr>
      </w:pPr>
      <w:r>
        <w:rPr>
          <w:rFonts w:ascii="Arial" w:hAnsi="Arial" w:cs="Arial"/>
          <w:b/>
        </w:rPr>
        <w:t>Mild:</w:t>
      </w:r>
      <w:r>
        <w:rPr>
          <w:rFonts w:ascii="Arial" w:hAnsi="Arial" w:cs="Arial"/>
        </w:rPr>
        <w:t xml:space="preserve"> 1 or 2 organs involved with each organ involved having a score of 1; no lung involvement.</w:t>
      </w:r>
    </w:p>
    <w:p w14:paraId="1E790C8C" w14:textId="44AFCB46" w:rsidR="00A460DF" w:rsidRDefault="00A460DF" w:rsidP="00A460DF">
      <w:pPr>
        <w:autoSpaceDE w:val="0"/>
        <w:autoSpaceDN w:val="0"/>
        <w:adjustRightInd w:val="0"/>
        <w:ind w:left="720"/>
        <w:rPr>
          <w:rFonts w:ascii="Arial" w:hAnsi="Arial" w:cs="Arial"/>
        </w:rPr>
      </w:pPr>
      <w:r>
        <w:rPr>
          <w:rFonts w:ascii="Arial" w:hAnsi="Arial" w:cs="Arial"/>
          <w:b/>
        </w:rPr>
        <w:t>Moderate:</w:t>
      </w:r>
      <w:r>
        <w:rPr>
          <w:rFonts w:ascii="Arial" w:hAnsi="Arial" w:cs="Arial"/>
        </w:rPr>
        <w:t xml:space="preserve"> 3 or more organs involved with each organ involved having a score of 1 </w:t>
      </w:r>
      <w:r>
        <w:rPr>
          <w:rFonts w:ascii="Arial" w:hAnsi="Arial" w:cs="Arial"/>
          <w:b/>
          <w:u w:val="single"/>
        </w:rPr>
        <w:t>or</w:t>
      </w:r>
      <w:r>
        <w:rPr>
          <w:rFonts w:ascii="Arial" w:hAnsi="Arial" w:cs="Arial"/>
        </w:rPr>
        <w:t xml:space="preserve"> at least one organ, other than lung, involved with a score of 2 </w:t>
      </w:r>
      <w:r>
        <w:rPr>
          <w:rFonts w:ascii="Arial" w:hAnsi="Arial" w:cs="Arial"/>
          <w:b/>
          <w:u w:val="single"/>
        </w:rPr>
        <w:t>or</w:t>
      </w:r>
      <w:r>
        <w:rPr>
          <w:rFonts w:ascii="Arial" w:hAnsi="Arial" w:cs="Arial"/>
        </w:rPr>
        <w:t xml:space="preserve"> lung involvement with a score of 1.</w:t>
      </w:r>
    </w:p>
    <w:p w14:paraId="3841859E" w14:textId="5752D8A9" w:rsidR="00A460DF" w:rsidRDefault="00A460DF" w:rsidP="00A460DF">
      <w:pPr>
        <w:autoSpaceDE w:val="0"/>
        <w:autoSpaceDN w:val="0"/>
        <w:adjustRightInd w:val="0"/>
        <w:ind w:left="720"/>
        <w:rPr>
          <w:rFonts w:ascii="Arial" w:hAnsi="Arial" w:cs="Arial"/>
        </w:rPr>
      </w:pPr>
      <w:r>
        <w:rPr>
          <w:rFonts w:ascii="Arial" w:hAnsi="Arial" w:cs="Arial"/>
          <w:b/>
        </w:rPr>
        <w:t>Severe:</w:t>
      </w:r>
      <w:r>
        <w:rPr>
          <w:rFonts w:ascii="Arial" w:hAnsi="Arial" w:cs="Arial"/>
        </w:rPr>
        <w:t xml:space="preserve"> At least </w:t>
      </w:r>
      <w:proofErr w:type="gramStart"/>
      <w:r>
        <w:rPr>
          <w:rFonts w:ascii="Arial" w:hAnsi="Arial" w:cs="Arial"/>
        </w:rPr>
        <w:t>1</w:t>
      </w:r>
      <w:proofErr w:type="gramEnd"/>
      <w:r>
        <w:rPr>
          <w:rFonts w:ascii="Arial" w:hAnsi="Arial" w:cs="Arial"/>
        </w:rPr>
        <w:t xml:space="preserve"> organ involved with a score of 3 </w:t>
      </w:r>
      <w:r>
        <w:rPr>
          <w:rFonts w:ascii="Arial" w:hAnsi="Arial" w:cs="Arial"/>
          <w:b/>
          <w:u w:val="single"/>
        </w:rPr>
        <w:t>or</w:t>
      </w:r>
      <w:r>
        <w:rPr>
          <w:rFonts w:ascii="Arial" w:hAnsi="Arial" w:cs="Arial"/>
        </w:rPr>
        <w:t xml:space="preserve"> lung involvement with a score of 2 or 3.</w:t>
      </w:r>
    </w:p>
    <w:p w14:paraId="0671FD5D" w14:textId="77777777" w:rsidR="00632864" w:rsidRDefault="00632864" w:rsidP="00A460DF">
      <w:pPr>
        <w:autoSpaceDE w:val="0"/>
        <w:autoSpaceDN w:val="0"/>
        <w:adjustRightInd w:val="0"/>
        <w:ind w:left="720"/>
        <w:rPr>
          <w:rFonts w:ascii="Arial" w:hAnsi="Arial" w:cs="Arial"/>
        </w:rPr>
      </w:pPr>
    </w:p>
    <w:p w14:paraId="5E11872A" w14:textId="77777777" w:rsidR="00632864" w:rsidRDefault="00632864" w:rsidP="00A460DF">
      <w:pPr>
        <w:autoSpaceDE w:val="0"/>
        <w:autoSpaceDN w:val="0"/>
        <w:adjustRightInd w:val="0"/>
        <w:ind w:left="720"/>
        <w:rPr>
          <w:rFonts w:ascii="Arial" w:hAnsi="Arial" w:cs="Arial"/>
        </w:rPr>
      </w:pPr>
    </w:p>
    <w:p w14:paraId="617B40CE" w14:textId="77777777" w:rsidR="00632864" w:rsidRDefault="00632864" w:rsidP="00A460DF">
      <w:pPr>
        <w:autoSpaceDE w:val="0"/>
        <w:autoSpaceDN w:val="0"/>
        <w:adjustRightInd w:val="0"/>
        <w:ind w:left="720"/>
        <w:rPr>
          <w:rFonts w:ascii="Arial" w:hAnsi="Arial" w:cs="Arial"/>
        </w:rPr>
      </w:pPr>
    </w:p>
    <w:p w14:paraId="507203EA" w14:textId="77777777" w:rsidR="00632864" w:rsidRDefault="00632864" w:rsidP="00A460DF">
      <w:pPr>
        <w:autoSpaceDE w:val="0"/>
        <w:autoSpaceDN w:val="0"/>
        <w:adjustRightInd w:val="0"/>
        <w:ind w:left="720"/>
        <w:rPr>
          <w:rFonts w:ascii="Arial" w:hAnsi="Arial" w:cs="Arial"/>
        </w:rPr>
      </w:pPr>
    </w:p>
    <w:p w14:paraId="10A9EE78" w14:textId="77777777" w:rsidR="005A3F32" w:rsidRDefault="005A3F32" w:rsidP="00A460DF">
      <w:pPr>
        <w:autoSpaceDE w:val="0"/>
        <w:autoSpaceDN w:val="0"/>
        <w:adjustRightInd w:val="0"/>
        <w:ind w:left="720"/>
        <w:rPr>
          <w:rFonts w:ascii="Arial" w:hAnsi="Arial" w:cs="Arial"/>
        </w:rPr>
      </w:pPr>
    </w:p>
    <w:p w14:paraId="622E3314" w14:textId="77777777" w:rsidR="005A3F32" w:rsidRDefault="005A3F32" w:rsidP="00A460DF">
      <w:pPr>
        <w:autoSpaceDE w:val="0"/>
        <w:autoSpaceDN w:val="0"/>
        <w:adjustRightInd w:val="0"/>
        <w:ind w:left="720"/>
        <w:rPr>
          <w:rFonts w:ascii="Arial" w:hAnsi="Arial" w:cs="Arial"/>
        </w:rPr>
      </w:pPr>
    </w:p>
    <w:p w14:paraId="216A7D07" w14:textId="77777777" w:rsidR="005A3F32" w:rsidRDefault="005A3F32" w:rsidP="00A460DF">
      <w:pPr>
        <w:autoSpaceDE w:val="0"/>
        <w:autoSpaceDN w:val="0"/>
        <w:adjustRightInd w:val="0"/>
        <w:ind w:left="720"/>
        <w:rPr>
          <w:rFonts w:ascii="Arial" w:hAnsi="Arial" w:cs="Arial"/>
        </w:rPr>
      </w:pPr>
    </w:p>
    <w:p w14:paraId="0D4B4B90" w14:textId="77777777" w:rsidR="005A3F32" w:rsidRDefault="005A3F32" w:rsidP="00A460DF">
      <w:pPr>
        <w:autoSpaceDE w:val="0"/>
        <w:autoSpaceDN w:val="0"/>
        <w:adjustRightInd w:val="0"/>
        <w:ind w:left="720"/>
        <w:rPr>
          <w:rFonts w:ascii="Arial" w:hAnsi="Arial" w:cs="Arial"/>
        </w:rPr>
      </w:pPr>
    </w:p>
    <w:p w14:paraId="410D031F" w14:textId="77777777" w:rsidR="00632864" w:rsidRDefault="00632864" w:rsidP="00A460DF">
      <w:pPr>
        <w:autoSpaceDE w:val="0"/>
        <w:autoSpaceDN w:val="0"/>
        <w:adjustRightInd w:val="0"/>
        <w:ind w:left="720"/>
        <w:rPr>
          <w:rFonts w:ascii="Arial" w:hAnsi="Arial" w:cs="Arial"/>
        </w:rPr>
      </w:pPr>
    </w:p>
    <w:p w14:paraId="2B3D914F" w14:textId="77777777" w:rsidR="00632864" w:rsidRDefault="00632864" w:rsidP="00A460DF">
      <w:pPr>
        <w:autoSpaceDE w:val="0"/>
        <w:autoSpaceDN w:val="0"/>
        <w:adjustRightInd w:val="0"/>
        <w:ind w:left="720"/>
        <w:rPr>
          <w:rFonts w:ascii="Arial" w:hAnsi="Arial" w:cs="Arial"/>
        </w:rPr>
      </w:pPr>
    </w:p>
    <w:p w14:paraId="73FC3D64" w14:textId="77777777" w:rsidR="00632864" w:rsidRDefault="00632864" w:rsidP="00A460DF">
      <w:pPr>
        <w:autoSpaceDE w:val="0"/>
        <w:autoSpaceDN w:val="0"/>
        <w:adjustRightInd w:val="0"/>
        <w:ind w:left="720"/>
        <w:rPr>
          <w:rFonts w:ascii="Arial" w:hAnsi="Arial" w:cs="Arial"/>
        </w:rPr>
      </w:pPr>
    </w:p>
    <w:p w14:paraId="075BDB7C" w14:textId="77777777" w:rsidR="00A460DF" w:rsidRDefault="00A460DF" w:rsidP="00A460DF">
      <w:pPr>
        <w:autoSpaceDE w:val="0"/>
        <w:autoSpaceDN w:val="0"/>
        <w:adjustRightInd w:val="0"/>
        <w:rPr>
          <w:rFonts w:ascii="Arial" w:hAnsi="Arial" w:cs="Arial"/>
        </w:rPr>
      </w:pPr>
    </w:p>
    <w:p w14:paraId="69FFE1B6" w14:textId="2E755A74" w:rsidR="00A460DF" w:rsidRDefault="00A460DF" w:rsidP="00A460DF">
      <w:pPr>
        <w:autoSpaceDE w:val="0"/>
        <w:autoSpaceDN w:val="0"/>
        <w:adjustRightInd w:val="0"/>
        <w:rPr>
          <w:rFonts w:ascii="Arial" w:hAnsi="Arial" w:cs="Arial"/>
        </w:rPr>
      </w:pPr>
      <w:proofErr w:type="gramStart"/>
      <w:r>
        <w:rPr>
          <w:rFonts w:ascii="Arial" w:hAnsi="Arial" w:cs="Arial"/>
          <w:b/>
        </w:rPr>
        <w:lastRenderedPageBreak/>
        <w:t>Table 3</w:t>
      </w:r>
      <w:r w:rsidR="00F91ED8">
        <w:rPr>
          <w:rFonts w:ascii="Arial" w:hAnsi="Arial" w:cs="Arial"/>
          <w:b/>
        </w:rPr>
        <w:t>.</w:t>
      </w:r>
      <w:proofErr w:type="gramEnd"/>
      <w:r w:rsidR="00F91ED8">
        <w:rPr>
          <w:rFonts w:ascii="Arial" w:hAnsi="Arial" w:cs="Arial"/>
          <w:b/>
        </w:rPr>
        <w:t xml:space="preserve">  </w:t>
      </w:r>
      <w:r>
        <w:rPr>
          <w:rFonts w:ascii="Arial" w:hAnsi="Arial" w:cs="Arial"/>
          <w:b/>
        </w:rPr>
        <w:t>Organ Scoring of Chronic GVHD</w:t>
      </w:r>
    </w:p>
    <w:tbl>
      <w:tblPr>
        <w:tblStyle w:val="TableGrid"/>
        <w:tblW w:w="10255" w:type="dxa"/>
        <w:tblLayout w:type="fixed"/>
        <w:tblLook w:val="04A0" w:firstRow="1" w:lastRow="0" w:firstColumn="1" w:lastColumn="0" w:noHBand="0" w:noVBand="1"/>
      </w:tblPr>
      <w:tblGrid>
        <w:gridCol w:w="2045"/>
        <w:gridCol w:w="1370"/>
        <w:gridCol w:w="1913"/>
        <w:gridCol w:w="2340"/>
        <w:gridCol w:w="2587"/>
      </w:tblGrid>
      <w:tr w:rsidR="00DE4A94" w14:paraId="27E739FA" w14:textId="77777777" w:rsidTr="00632864">
        <w:tc>
          <w:tcPr>
            <w:tcW w:w="2045" w:type="dxa"/>
            <w:shd w:val="clear" w:color="auto" w:fill="63A70A" w:themeFill="accent2"/>
          </w:tcPr>
          <w:p w14:paraId="6D0518C7" w14:textId="27323356" w:rsidR="00A460DF" w:rsidRPr="00FC765B" w:rsidRDefault="00FC765B" w:rsidP="00FC765B">
            <w:pPr>
              <w:autoSpaceDE w:val="0"/>
              <w:autoSpaceDN w:val="0"/>
              <w:adjustRightInd w:val="0"/>
              <w:jc w:val="center"/>
              <w:rPr>
                <w:rFonts w:ascii="Arial" w:hAnsi="Arial" w:cs="Arial"/>
                <w:b/>
                <w:color w:val="FFFFFF" w:themeColor="background1"/>
              </w:rPr>
            </w:pPr>
            <w:r w:rsidRPr="00FC765B">
              <w:rPr>
                <w:rFonts w:ascii="Arial" w:hAnsi="Arial" w:cs="Arial"/>
                <w:b/>
                <w:color w:val="FFFFFF" w:themeColor="background1"/>
              </w:rPr>
              <w:t>Organ</w:t>
            </w:r>
          </w:p>
        </w:tc>
        <w:tc>
          <w:tcPr>
            <w:tcW w:w="1370" w:type="dxa"/>
            <w:shd w:val="clear" w:color="auto" w:fill="63A70A" w:themeFill="accent2"/>
          </w:tcPr>
          <w:p w14:paraId="77946B52" w14:textId="4EFC5B12" w:rsidR="00A460DF" w:rsidRPr="00FC765B" w:rsidRDefault="00A460DF" w:rsidP="00FC765B">
            <w:pPr>
              <w:autoSpaceDE w:val="0"/>
              <w:autoSpaceDN w:val="0"/>
              <w:adjustRightInd w:val="0"/>
              <w:jc w:val="center"/>
              <w:rPr>
                <w:rFonts w:ascii="Arial" w:hAnsi="Arial" w:cs="Arial"/>
                <w:b/>
                <w:color w:val="FFFFFF" w:themeColor="background1"/>
              </w:rPr>
            </w:pPr>
            <w:r w:rsidRPr="00FC765B">
              <w:rPr>
                <w:rFonts w:ascii="Arial" w:hAnsi="Arial" w:cs="Arial"/>
                <w:b/>
                <w:color w:val="FFFFFF" w:themeColor="background1"/>
              </w:rPr>
              <w:t>Score 0</w:t>
            </w:r>
          </w:p>
        </w:tc>
        <w:tc>
          <w:tcPr>
            <w:tcW w:w="1913" w:type="dxa"/>
            <w:shd w:val="clear" w:color="auto" w:fill="63A70A" w:themeFill="accent2"/>
          </w:tcPr>
          <w:p w14:paraId="13E631B0" w14:textId="423E97DB" w:rsidR="00A460DF" w:rsidRPr="00FC765B" w:rsidRDefault="00A460DF" w:rsidP="00FC765B">
            <w:pPr>
              <w:autoSpaceDE w:val="0"/>
              <w:autoSpaceDN w:val="0"/>
              <w:adjustRightInd w:val="0"/>
              <w:jc w:val="center"/>
              <w:rPr>
                <w:rFonts w:ascii="Arial" w:hAnsi="Arial" w:cs="Arial"/>
                <w:b/>
                <w:color w:val="FFFFFF" w:themeColor="background1"/>
              </w:rPr>
            </w:pPr>
            <w:r w:rsidRPr="00FC765B">
              <w:rPr>
                <w:rFonts w:ascii="Arial" w:hAnsi="Arial" w:cs="Arial"/>
                <w:b/>
                <w:color w:val="FFFFFF" w:themeColor="background1"/>
              </w:rPr>
              <w:t>Score 1</w:t>
            </w:r>
          </w:p>
        </w:tc>
        <w:tc>
          <w:tcPr>
            <w:tcW w:w="2340" w:type="dxa"/>
            <w:shd w:val="clear" w:color="auto" w:fill="63A70A" w:themeFill="accent2"/>
          </w:tcPr>
          <w:p w14:paraId="010CDB06" w14:textId="76548FFC" w:rsidR="00A460DF" w:rsidRPr="00FC765B" w:rsidRDefault="00A460DF" w:rsidP="00FC765B">
            <w:pPr>
              <w:autoSpaceDE w:val="0"/>
              <w:autoSpaceDN w:val="0"/>
              <w:adjustRightInd w:val="0"/>
              <w:jc w:val="center"/>
              <w:rPr>
                <w:rFonts w:ascii="Arial" w:hAnsi="Arial" w:cs="Arial"/>
                <w:b/>
                <w:color w:val="FFFFFF" w:themeColor="background1"/>
              </w:rPr>
            </w:pPr>
            <w:r w:rsidRPr="00FC765B">
              <w:rPr>
                <w:rFonts w:ascii="Arial" w:hAnsi="Arial" w:cs="Arial"/>
                <w:b/>
                <w:color w:val="FFFFFF" w:themeColor="background1"/>
              </w:rPr>
              <w:t>Score 2</w:t>
            </w:r>
          </w:p>
        </w:tc>
        <w:tc>
          <w:tcPr>
            <w:tcW w:w="2587" w:type="dxa"/>
            <w:shd w:val="clear" w:color="auto" w:fill="63A70A" w:themeFill="accent2"/>
          </w:tcPr>
          <w:p w14:paraId="653B1D7D" w14:textId="2524B82D" w:rsidR="00A460DF" w:rsidRPr="00FC765B" w:rsidRDefault="00A460DF" w:rsidP="00FC765B">
            <w:pPr>
              <w:autoSpaceDE w:val="0"/>
              <w:autoSpaceDN w:val="0"/>
              <w:adjustRightInd w:val="0"/>
              <w:jc w:val="center"/>
              <w:rPr>
                <w:rFonts w:ascii="Arial" w:hAnsi="Arial" w:cs="Arial"/>
                <w:b/>
                <w:color w:val="FFFFFF" w:themeColor="background1"/>
              </w:rPr>
            </w:pPr>
            <w:r w:rsidRPr="00FC765B">
              <w:rPr>
                <w:rFonts w:ascii="Arial" w:hAnsi="Arial" w:cs="Arial"/>
                <w:b/>
                <w:color w:val="FFFFFF" w:themeColor="background1"/>
              </w:rPr>
              <w:t>Score 3</w:t>
            </w:r>
          </w:p>
        </w:tc>
      </w:tr>
      <w:tr w:rsidR="00DE4A94" w14:paraId="3C0C7E8B" w14:textId="77777777" w:rsidTr="00632864">
        <w:trPr>
          <w:trHeight w:val="1925"/>
        </w:trPr>
        <w:tc>
          <w:tcPr>
            <w:tcW w:w="2045" w:type="dxa"/>
            <w:vMerge w:val="restart"/>
          </w:tcPr>
          <w:p w14:paraId="56E5977A" w14:textId="7CA419D7" w:rsidR="00A460DF" w:rsidRPr="00FC765B" w:rsidRDefault="00A460DF" w:rsidP="00A460DF">
            <w:pPr>
              <w:autoSpaceDE w:val="0"/>
              <w:autoSpaceDN w:val="0"/>
              <w:adjustRightInd w:val="0"/>
              <w:rPr>
                <w:rFonts w:ascii="Arial" w:hAnsi="Arial" w:cs="Arial"/>
                <w:b/>
              </w:rPr>
            </w:pPr>
            <w:r w:rsidRPr="00FC765B">
              <w:rPr>
                <w:rFonts w:ascii="Arial" w:hAnsi="Arial" w:cs="Arial"/>
                <w:b/>
              </w:rPr>
              <w:t>Skin - %BSA</w:t>
            </w:r>
          </w:p>
          <w:p w14:paraId="235CA244" w14:textId="77777777" w:rsidR="00DE4A94" w:rsidRPr="00632864" w:rsidRDefault="00DE4A94" w:rsidP="00A460DF">
            <w:pPr>
              <w:autoSpaceDE w:val="0"/>
              <w:autoSpaceDN w:val="0"/>
              <w:adjustRightInd w:val="0"/>
              <w:rPr>
                <w:rFonts w:ascii="Arial" w:hAnsi="Arial" w:cs="Arial"/>
                <w:sz w:val="16"/>
                <w:szCs w:val="16"/>
              </w:rPr>
            </w:pPr>
          </w:p>
          <w:p w14:paraId="6CA7EA88" w14:textId="3E4CCCE1" w:rsidR="00A460DF" w:rsidRPr="00DE4A94" w:rsidRDefault="00A460DF" w:rsidP="00DE4A94">
            <w:pPr>
              <w:autoSpaceDE w:val="0"/>
              <w:autoSpaceDN w:val="0"/>
              <w:adjustRightInd w:val="0"/>
              <w:rPr>
                <w:rFonts w:ascii="Arial" w:hAnsi="Arial" w:cs="Arial"/>
                <w:i/>
              </w:rPr>
            </w:pPr>
            <w:r>
              <w:rPr>
                <w:rFonts w:ascii="Arial" w:hAnsi="Arial" w:cs="Arial"/>
                <w:i/>
              </w:rPr>
              <w:t>Features to be scored by BSA:</w:t>
            </w:r>
            <w:r w:rsidR="00DE4A94">
              <w:rPr>
                <w:rFonts w:ascii="Arial" w:hAnsi="Arial" w:cs="Arial"/>
                <w:i/>
              </w:rPr>
              <w:t xml:space="preserve"> </w:t>
            </w:r>
            <w:r w:rsidRPr="00DE4A94">
              <w:rPr>
                <w:rFonts w:ascii="Arial" w:hAnsi="Arial" w:cs="Arial"/>
              </w:rPr>
              <w:t>Maculopapular rash</w:t>
            </w:r>
            <w:r w:rsidR="00DE4A94" w:rsidRPr="00DE4A94">
              <w:rPr>
                <w:rFonts w:ascii="Arial" w:hAnsi="Arial" w:cs="Arial"/>
              </w:rPr>
              <w:t>, l</w:t>
            </w:r>
            <w:r w:rsidRPr="00DE4A94">
              <w:rPr>
                <w:rFonts w:ascii="Arial" w:hAnsi="Arial" w:cs="Arial"/>
              </w:rPr>
              <w:t>ichen planus-like features</w:t>
            </w:r>
            <w:r w:rsidR="00DE4A94" w:rsidRPr="00DE4A94">
              <w:rPr>
                <w:rFonts w:ascii="Arial" w:hAnsi="Arial" w:cs="Arial"/>
              </w:rPr>
              <w:t>, s</w:t>
            </w:r>
            <w:r w:rsidRPr="00DE4A94">
              <w:rPr>
                <w:rFonts w:ascii="Arial" w:hAnsi="Arial" w:cs="Arial"/>
              </w:rPr>
              <w:t>clerotic features</w:t>
            </w:r>
            <w:r w:rsidR="00DE4A94" w:rsidRPr="00DE4A94">
              <w:rPr>
                <w:rFonts w:ascii="Arial" w:hAnsi="Arial" w:cs="Arial"/>
              </w:rPr>
              <w:t xml:space="preserve">, </w:t>
            </w:r>
            <w:proofErr w:type="spellStart"/>
            <w:r w:rsidR="00DE4A94" w:rsidRPr="00DE4A94">
              <w:rPr>
                <w:rFonts w:ascii="Arial" w:hAnsi="Arial" w:cs="Arial"/>
              </w:rPr>
              <w:t>p</w:t>
            </w:r>
            <w:r w:rsidRPr="00DE4A94">
              <w:rPr>
                <w:rFonts w:ascii="Arial" w:hAnsi="Arial" w:cs="Arial"/>
              </w:rPr>
              <w:t>apulosquamous</w:t>
            </w:r>
            <w:proofErr w:type="spellEnd"/>
            <w:r w:rsidRPr="00DE4A94">
              <w:rPr>
                <w:rFonts w:ascii="Arial" w:hAnsi="Arial" w:cs="Arial"/>
              </w:rPr>
              <w:t xml:space="preserve"> lesions or ichthyosis</w:t>
            </w:r>
            <w:r w:rsidR="00DE4A94" w:rsidRPr="00DE4A94">
              <w:rPr>
                <w:rFonts w:ascii="Arial" w:hAnsi="Arial" w:cs="Arial"/>
              </w:rPr>
              <w:t>, k</w:t>
            </w:r>
            <w:r w:rsidRPr="00DE4A94">
              <w:rPr>
                <w:rFonts w:ascii="Arial" w:hAnsi="Arial" w:cs="Arial"/>
              </w:rPr>
              <w:t>eratosis pilaris-like GVHD</w:t>
            </w:r>
          </w:p>
        </w:tc>
        <w:tc>
          <w:tcPr>
            <w:tcW w:w="1370" w:type="dxa"/>
            <w:vAlign w:val="center"/>
          </w:tcPr>
          <w:p w14:paraId="00DD64E3" w14:textId="33E5BD21" w:rsidR="00A460DF" w:rsidRDefault="00A460DF" w:rsidP="00FC765B">
            <w:pPr>
              <w:autoSpaceDE w:val="0"/>
              <w:autoSpaceDN w:val="0"/>
              <w:adjustRightInd w:val="0"/>
              <w:rPr>
                <w:rFonts w:ascii="Arial" w:hAnsi="Arial" w:cs="Arial"/>
              </w:rPr>
            </w:pPr>
            <w:r>
              <w:rPr>
                <w:rFonts w:ascii="Arial" w:hAnsi="Arial" w:cs="Arial"/>
              </w:rPr>
              <w:t>No BSA involved</w:t>
            </w:r>
          </w:p>
        </w:tc>
        <w:tc>
          <w:tcPr>
            <w:tcW w:w="1913" w:type="dxa"/>
            <w:vAlign w:val="center"/>
          </w:tcPr>
          <w:p w14:paraId="48740725" w14:textId="0F957D73" w:rsidR="00A460DF" w:rsidRDefault="00A460DF" w:rsidP="00FC765B">
            <w:pPr>
              <w:autoSpaceDE w:val="0"/>
              <w:autoSpaceDN w:val="0"/>
              <w:adjustRightInd w:val="0"/>
              <w:rPr>
                <w:rFonts w:ascii="Arial" w:hAnsi="Arial" w:cs="Arial"/>
              </w:rPr>
            </w:pPr>
            <w:r>
              <w:rPr>
                <w:rFonts w:ascii="Arial" w:hAnsi="Arial" w:cs="Arial"/>
              </w:rPr>
              <w:t>1-18% BSA</w:t>
            </w:r>
          </w:p>
        </w:tc>
        <w:tc>
          <w:tcPr>
            <w:tcW w:w="2340" w:type="dxa"/>
            <w:vAlign w:val="center"/>
          </w:tcPr>
          <w:p w14:paraId="2642F681" w14:textId="74FA4BD0" w:rsidR="00A460DF" w:rsidRDefault="00A460DF" w:rsidP="00FC765B">
            <w:pPr>
              <w:autoSpaceDE w:val="0"/>
              <w:autoSpaceDN w:val="0"/>
              <w:adjustRightInd w:val="0"/>
              <w:rPr>
                <w:rFonts w:ascii="Arial" w:hAnsi="Arial" w:cs="Arial"/>
              </w:rPr>
            </w:pPr>
            <w:r>
              <w:rPr>
                <w:rFonts w:ascii="Arial" w:hAnsi="Arial" w:cs="Arial"/>
              </w:rPr>
              <w:t>19-50% BSA</w:t>
            </w:r>
          </w:p>
        </w:tc>
        <w:tc>
          <w:tcPr>
            <w:tcW w:w="2587" w:type="dxa"/>
            <w:vAlign w:val="center"/>
          </w:tcPr>
          <w:p w14:paraId="71F76C8E" w14:textId="5A83EDDB" w:rsidR="00A460DF" w:rsidRPr="00A460DF" w:rsidRDefault="00A460DF" w:rsidP="00FC765B">
            <w:pPr>
              <w:autoSpaceDE w:val="0"/>
              <w:autoSpaceDN w:val="0"/>
              <w:adjustRightInd w:val="0"/>
              <w:rPr>
                <w:rFonts w:ascii="Arial" w:hAnsi="Arial" w:cs="Arial"/>
              </w:rPr>
            </w:pPr>
            <w:r>
              <w:rPr>
                <w:rFonts w:ascii="Arial" w:hAnsi="Arial" w:cs="Arial"/>
              </w:rPr>
              <w:t>&gt;</w:t>
            </w:r>
            <w:r w:rsidRPr="00A460DF">
              <w:rPr>
                <w:rFonts w:ascii="Arial" w:hAnsi="Arial" w:cs="Arial"/>
              </w:rPr>
              <w:t>50% BSA</w:t>
            </w:r>
          </w:p>
        </w:tc>
      </w:tr>
      <w:tr w:rsidR="00DE4A94" w14:paraId="44CBBF11" w14:textId="77777777" w:rsidTr="00632864">
        <w:tc>
          <w:tcPr>
            <w:tcW w:w="2045" w:type="dxa"/>
            <w:vMerge/>
          </w:tcPr>
          <w:p w14:paraId="465F772F" w14:textId="77777777" w:rsidR="00A460DF" w:rsidRDefault="00A460DF" w:rsidP="00A460DF">
            <w:pPr>
              <w:autoSpaceDE w:val="0"/>
              <w:autoSpaceDN w:val="0"/>
              <w:adjustRightInd w:val="0"/>
              <w:rPr>
                <w:rFonts w:ascii="Arial" w:hAnsi="Arial" w:cs="Arial"/>
              </w:rPr>
            </w:pPr>
          </w:p>
        </w:tc>
        <w:tc>
          <w:tcPr>
            <w:tcW w:w="1370" w:type="dxa"/>
            <w:vAlign w:val="center"/>
          </w:tcPr>
          <w:p w14:paraId="576C1400" w14:textId="1248CBAB" w:rsidR="00A460DF" w:rsidRDefault="00A460DF" w:rsidP="00FC765B">
            <w:pPr>
              <w:autoSpaceDE w:val="0"/>
              <w:autoSpaceDN w:val="0"/>
              <w:adjustRightInd w:val="0"/>
              <w:rPr>
                <w:rFonts w:ascii="Arial" w:hAnsi="Arial" w:cs="Arial"/>
              </w:rPr>
            </w:pPr>
            <w:r>
              <w:rPr>
                <w:rFonts w:ascii="Arial" w:hAnsi="Arial" w:cs="Arial"/>
              </w:rPr>
              <w:t>No sclerotic features</w:t>
            </w:r>
          </w:p>
        </w:tc>
        <w:tc>
          <w:tcPr>
            <w:tcW w:w="1913" w:type="dxa"/>
            <w:vAlign w:val="center"/>
          </w:tcPr>
          <w:p w14:paraId="68481A3E" w14:textId="2931583B" w:rsidR="00A460DF" w:rsidRDefault="00FC765B" w:rsidP="00FC765B">
            <w:pPr>
              <w:autoSpaceDE w:val="0"/>
              <w:autoSpaceDN w:val="0"/>
              <w:adjustRightInd w:val="0"/>
              <w:rPr>
                <w:rFonts w:ascii="Arial" w:hAnsi="Arial" w:cs="Arial"/>
              </w:rPr>
            </w:pPr>
            <w:r>
              <w:rPr>
                <w:rFonts w:ascii="Arial" w:hAnsi="Arial" w:cs="Arial"/>
              </w:rPr>
              <w:t>N/A</w:t>
            </w:r>
          </w:p>
        </w:tc>
        <w:tc>
          <w:tcPr>
            <w:tcW w:w="2340" w:type="dxa"/>
            <w:vAlign w:val="center"/>
          </w:tcPr>
          <w:p w14:paraId="312398FC" w14:textId="085BE531" w:rsidR="00A460DF" w:rsidRDefault="00A460DF" w:rsidP="00FC765B">
            <w:pPr>
              <w:autoSpaceDE w:val="0"/>
              <w:autoSpaceDN w:val="0"/>
              <w:adjustRightInd w:val="0"/>
              <w:rPr>
                <w:rFonts w:ascii="Arial" w:hAnsi="Arial" w:cs="Arial"/>
              </w:rPr>
            </w:pPr>
            <w:r>
              <w:rPr>
                <w:rFonts w:ascii="Arial" w:hAnsi="Arial" w:cs="Arial"/>
              </w:rPr>
              <w:t>Superficial sclerotic features, but not “hidebound”</w:t>
            </w:r>
          </w:p>
        </w:tc>
        <w:tc>
          <w:tcPr>
            <w:tcW w:w="2587" w:type="dxa"/>
            <w:vAlign w:val="center"/>
          </w:tcPr>
          <w:p w14:paraId="3DB0DAEE" w14:textId="30C9F658" w:rsidR="00A460DF" w:rsidRDefault="00A460DF" w:rsidP="00FC765B">
            <w:pPr>
              <w:autoSpaceDE w:val="0"/>
              <w:autoSpaceDN w:val="0"/>
              <w:adjustRightInd w:val="0"/>
              <w:rPr>
                <w:rFonts w:ascii="Arial" w:hAnsi="Arial" w:cs="Arial"/>
              </w:rPr>
            </w:pPr>
            <w:r>
              <w:rPr>
                <w:rFonts w:ascii="Arial" w:hAnsi="Arial" w:cs="Arial"/>
              </w:rPr>
              <w:t>Deep sclerotic features; “hidebound;” impaired mobility; ulceration</w:t>
            </w:r>
          </w:p>
        </w:tc>
      </w:tr>
      <w:tr w:rsidR="00DE4A94" w14:paraId="3A5337EA" w14:textId="77777777" w:rsidTr="00632864">
        <w:tc>
          <w:tcPr>
            <w:tcW w:w="2045" w:type="dxa"/>
            <w:vAlign w:val="center"/>
          </w:tcPr>
          <w:p w14:paraId="576DCA83" w14:textId="7A2194FB" w:rsidR="00A460DF" w:rsidRPr="00FC765B" w:rsidRDefault="00BA6312" w:rsidP="00FC765B">
            <w:pPr>
              <w:autoSpaceDE w:val="0"/>
              <w:autoSpaceDN w:val="0"/>
              <w:adjustRightInd w:val="0"/>
              <w:rPr>
                <w:rFonts w:ascii="Arial" w:hAnsi="Arial" w:cs="Arial"/>
                <w:b/>
              </w:rPr>
            </w:pPr>
            <w:r w:rsidRPr="00FC765B">
              <w:rPr>
                <w:rFonts w:ascii="Arial" w:hAnsi="Arial" w:cs="Arial"/>
                <w:b/>
              </w:rPr>
              <w:t>Mouth</w:t>
            </w:r>
          </w:p>
        </w:tc>
        <w:tc>
          <w:tcPr>
            <w:tcW w:w="1370" w:type="dxa"/>
            <w:vAlign w:val="center"/>
          </w:tcPr>
          <w:p w14:paraId="29FEED8A" w14:textId="755D5DDD" w:rsidR="00A460DF" w:rsidRDefault="00BA6312" w:rsidP="00FC765B">
            <w:pPr>
              <w:autoSpaceDE w:val="0"/>
              <w:autoSpaceDN w:val="0"/>
              <w:adjustRightInd w:val="0"/>
              <w:rPr>
                <w:rFonts w:ascii="Arial" w:hAnsi="Arial" w:cs="Arial"/>
              </w:rPr>
            </w:pPr>
            <w:r>
              <w:rPr>
                <w:rFonts w:ascii="Arial" w:hAnsi="Arial" w:cs="Arial"/>
              </w:rPr>
              <w:t>No symptoms</w:t>
            </w:r>
          </w:p>
        </w:tc>
        <w:tc>
          <w:tcPr>
            <w:tcW w:w="1913" w:type="dxa"/>
            <w:vAlign w:val="center"/>
          </w:tcPr>
          <w:p w14:paraId="33EB9AD4" w14:textId="19E6CAB8" w:rsidR="00A460DF" w:rsidRDefault="00BA6312" w:rsidP="00FC765B">
            <w:pPr>
              <w:autoSpaceDE w:val="0"/>
              <w:autoSpaceDN w:val="0"/>
              <w:adjustRightInd w:val="0"/>
              <w:rPr>
                <w:rFonts w:ascii="Arial" w:hAnsi="Arial" w:cs="Arial"/>
              </w:rPr>
            </w:pPr>
            <w:r>
              <w:rPr>
                <w:rFonts w:ascii="Arial" w:hAnsi="Arial" w:cs="Arial"/>
              </w:rPr>
              <w:t>Mild symptoms with disease signs but not limiting oral intake significantly</w:t>
            </w:r>
          </w:p>
        </w:tc>
        <w:tc>
          <w:tcPr>
            <w:tcW w:w="2340" w:type="dxa"/>
            <w:vAlign w:val="center"/>
          </w:tcPr>
          <w:p w14:paraId="709F8CBB" w14:textId="45FBA9D1" w:rsidR="00A460DF" w:rsidRDefault="00BA6312" w:rsidP="00FC765B">
            <w:pPr>
              <w:autoSpaceDE w:val="0"/>
              <w:autoSpaceDN w:val="0"/>
              <w:adjustRightInd w:val="0"/>
              <w:rPr>
                <w:rFonts w:ascii="Arial" w:hAnsi="Arial" w:cs="Arial"/>
              </w:rPr>
            </w:pPr>
            <w:r>
              <w:rPr>
                <w:rFonts w:ascii="Arial" w:hAnsi="Arial" w:cs="Arial"/>
              </w:rPr>
              <w:t>Moderate symptoms with disease signs with partial limitation of oral intake</w:t>
            </w:r>
          </w:p>
        </w:tc>
        <w:tc>
          <w:tcPr>
            <w:tcW w:w="2587" w:type="dxa"/>
            <w:vAlign w:val="center"/>
          </w:tcPr>
          <w:p w14:paraId="33E6DA58" w14:textId="62AEA0DF" w:rsidR="00A460DF" w:rsidRDefault="00BA6312" w:rsidP="00FC765B">
            <w:pPr>
              <w:autoSpaceDE w:val="0"/>
              <w:autoSpaceDN w:val="0"/>
              <w:adjustRightInd w:val="0"/>
              <w:rPr>
                <w:rFonts w:ascii="Arial" w:hAnsi="Arial" w:cs="Arial"/>
              </w:rPr>
            </w:pPr>
            <w:r>
              <w:rPr>
                <w:rFonts w:ascii="Arial" w:hAnsi="Arial" w:cs="Arial"/>
              </w:rPr>
              <w:t>Severe symptoms with disease signs with major limitation of oral intake</w:t>
            </w:r>
          </w:p>
        </w:tc>
      </w:tr>
      <w:tr w:rsidR="00DE4A94" w14:paraId="04E0076F" w14:textId="77777777" w:rsidTr="00632864">
        <w:tc>
          <w:tcPr>
            <w:tcW w:w="2045" w:type="dxa"/>
            <w:vAlign w:val="center"/>
          </w:tcPr>
          <w:p w14:paraId="2594CC99" w14:textId="605E8511" w:rsidR="00A460DF" w:rsidRPr="00FC765B" w:rsidRDefault="00BA6312" w:rsidP="00FC765B">
            <w:pPr>
              <w:autoSpaceDE w:val="0"/>
              <w:autoSpaceDN w:val="0"/>
              <w:adjustRightInd w:val="0"/>
              <w:rPr>
                <w:rFonts w:ascii="Arial" w:hAnsi="Arial" w:cs="Arial"/>
                <w:b/>
              </w:rPr>
            </w:pPr>
            <w:r w:rsidRPr="00FC765B">
              <w:rPr>
                <w:rFonts w:ascii="Arial" w:hAnsi="Arial" w:cs="Arial"/>
                <w:b/>
              </w:rPr>
              <w:t>Eyes</w:t>
            </w:r>
          </w:p>
        </w:tc>
        <w:tc>
          <w:tcPr>
            <w:tcW w:w="1370" w:type="dxa"/>
            <w:vAlign w:val="center"/>
          </w:tcPr>
          <w:p w14:paraId="5879D316" w14:textId="2523D942" w:rsidR="00A460DF" w:rsidRDefault="00BA6312" w:rsidP="00FC765B">
            <w:pPr>
              <w:autoSpaceDE w:val="0"/>
              <w:autoSpaceDN w:val="0"/>
              <w:adjustRightInd w:val="0"/>
              <w:rPr>
                <w:rFonts w:ascii="Arial" w:hAnsi="Arial" w:cs="Arial"/>
              </w:rPr>
            </w:pPr>
            <w:r>
              <w:rPr>
                <w:rFonts w:ascii="Arial" w:hAnsi="Arial" w:cs="Arial"/>
              </w:rPr>
              <w:t>No symptoms</w:t>
            </w:r>
          </w:p>
        </w:tc>
        <w:tc>
          <w:tcPr>
            <w:tcW w:w="1913" w:type="dxa"/>
            <w:vAlign w:val="center"/>
          </w:tcPr>
          <w:p w14:paraId="54A3D419" w14:textId="62621B7E" w:rsidR="00A460DF" w:rsidRDefault="00BA6312" w:rsidP="00FC765B">
            <w:pPr>
              <w:autoSpaceDE w:val="0"/>
              <w:autoSpaceDN w:val="0"/>
              <w:adjustRightInd w:val="0"/>
              <w:rPr>
                <w:rFonts w:ascii="Arial" w:hAnsi="Arial" w:cs="Arial"/>
              </w:rPr>
            </w:pPr>
            <w:r>
              <w:rPr>
                <w:rFonts w:ascii="Arial" w:hAnsi="Arial" w:cs="Arial"/>
              </w:rPr>
              <w:t>Mild dry eye symptoms not affecting ADL (requirement of lubricant drops ≤ 3x/day)</w:t>
            </w:r>
          </w:p>
        </w:tc>
        <w:tc>
          <w:tcPr>
            <w:tcW w:w="2340" w:type="dxa"/>
            <w:vAlign w:val="center"/>
          </w:tcPr>
          <w:p w14:paraId="2C0CAC82" w14:textId="68C58C55" w:rsidR="00A460DF" w:rsidRDefault="00BA6312" w:rsidP="00FC765B">
            <w:pPr>
              <w:autoSpaceDE w:val="0"/>
              <w:autoSpaceDN w:val="0"/>
              <w:adjustRightInd w:val="0"/>
              <w:rPr>
                <w:rFonts w:ascii="Arial" w:hAnsi="Arial" w:cs="Arial"/>
              </w:rPr>
            </w:pPr>
            <w:r>
              <w:rPr>
                <w:rFonts w:ascii="Arial" w:hAnsi="Arial" w:cs="Arial"/>
              </w:rPr>
              <w:t xml:space="preserve">Moderate dry eye symptoms partially affecting ADL (requiring lubricant drops &gt; 3x/day or </w:t>
            </w:r>
            <w:proofErr w:type="spellStart"/>
            <w:r>
              <w:rPr>
                <w:rFonts w:ascii="Arial" w:hAnsi="Arial" w:cs="Arial"/>
              </w:rPr>
              <w:t>punctal</w:t>
            </w:r>
            <w:proofErr w:type="spellEnd"/>
            <w:r>
              <w:rPr>
                <w:rFonts w:ascii="Arial" w:hAnsi="Arial" w:cs="Arial"/>
              </w:rPr>
              <w:t xml:space="preserve"> plugs) without new vision impairment due to </w:t>
            </w:r>
            <w:proofErr w:type="spellStart"/>
            <w:r>
              <w:rPr>
                <w:rFonts w:ascii="Arial" w:hAnsi="Arial" w:cs="Arial"/>
              </w:rPr>
              <w:t>keratoconjunctivitis</w:t>
            </w:r>
            <w:proofErr w:type="spellEnd"/>
            <w:r>
              <w:rPr>
                <w:rFonts w:ascii="Arial" w:hAnsi="Arial" w:cs="Arial"/>
              </w:rPr>
              <w:t xml:space="preserve"> </w:t>
            </w:r>
            <w:proofErr w:type="spellStart"/>
            <w:r>
              <w:rPr>
                <w:rFonts w:ascii="Arial" w:hAnsi="Arial" w:cs="Arial"/>
              </w:rPr>
              <w:t>sicca</w:t>
            </w:r>
            <w:proofErr w:type="spellEnd"/>
            <w:r>
              <w:rPr>
                <w:rFonts w:ascii="Arial" w:hAnsi="Arial" w:cs="Arial"/>
              </w:rPr>
              <w:t xml:space="preserve"> (KCS)</w:t>
            </w:r>
          </w:p>
        </w:tc>
        <w:tc>
          <w:tcPr>
            <w:tcW w:w="2587" w:type="dxa"/>
            <w:vAlign w:val="center"/>
          </w:tcPr>
          <w:p w14:paraId="7D42C081" w14:textId="16F2FD5D" w:rsidR="00A460DF" w:rsidRDefault="00BA6312" w:rsidP="00FC765B">
            <w:pPr>
              <w:autoSpaceDE w:val="0"/>
              <w:autoSpaceDN w:val="0"/>
              <w:adjustRightInd w:val="0"/>
              <w:rPr>
                <w:rFonts w:ascii="Arial" w:hAnsi="Arial" w:cs="Arial"/>
              </w:rPr>
            </w:pPr>
            <w:r>
              <w:rPr>
                <w:rFonts w:ascii="Arial" w:hAnsi="Arial" w:cs="Arial"/>
              </w:rPr>
              <w:t xml:space="preserve">Severe dry eye symptoms significantly affecting ADL (special eyewear to relieve pain) or unable to work because of ocular symptoms or loss of vision due to </w:t>
            </w:r>
            <w:proofErr w:type="spellStart"/>
            <w:r>
              <w:rPr>
                <w:rFonts w:ascii="Arial" w:hAnsi="Arial" w:cs="Arial"/>
              </w:rPr>
              <w:t>keratoconjunctivitis</w:t>
            </w:r>
            <w:proofErr w:type="spellEnd"/>
            <w:r>
              <w:rPr>
                <w:rFonts w:ascii="Arial" w:hAnsi="Arial" w:cs="Arial"/>
              </w:rPr>
              <w:t xml:space="preserve"> </w:t>
            </w:r>
            <w:proofErr w:type="spellStart"/>
            <w:r>
              <w:rPr>
                <w:rFonts w:ascii="Arial" w:hAnsi="Arial" w:cs="Arial"/>
              </w:rPr>
              <w:t>sicca</w:t>
            </w:r>
            <w:proofErr w:type="spellEnd"/>
            <w:r>
              <w:rPr>
                <w:rFonts w:ascii="Arial" w:hAnsi="Arial" w:cs="Arial"/>
              </w:rPr>
              <w:t xml:space="preserve"> (KCS)</w:t>
            </w:r>
          </w:p>
        </w:tc>
      </w:tr>
      <w:tr w:rsidR="00DE4A94" w14:paraId="7C4D8DB3" w14:textId="77777777" w:rsidTr="00632864">
        <w:tc>
          <w:tcPr>
            <w:tcW w:w="2045" w:type="dxa"/>
            <w:vAlign w:val="center"/>
          </w:tcPr>
          <w:p w14:paraId="2189D676" w14:textId="02EE9734" w:rsidR="00A460DF" w:rsidRPr="00FC765B" w:rsidRDefault="00BA6312" w:rsidP="00FC765B">
            <w:pPr>
              <w:autoSpaceDE w:val="0"/>
              <w:autoSpaceDN w:val="0"/>
              <w:adjustRightInd w:val="0"/>
              <w:rPr>
                <w:rFonts w:ascii="Arial" w:hAnsi="Arial" w:cs="Arial"/>
                <w:b/>
              </w:rPr>
            </w:pPr>
            <w:r w:rsidRPr="00FC765B">
              <w:rPr>
                <w:rFonts w:ascii="Arial" w:hAnsi="Arial" w:cs="Arial"/>
                <w:b/>
              </w:rPr>
              <w:t>GI Tract</w:t>
            </w:r>
          </w:p>
        </w:tc>
        <w:tc>
          <w:tcPr>
            <w:tcW w:w="1370" w:type="dxa"/>
            <w:vAlign w:val="center"/>
          </w:tcPr>
          <w:p w14:paraId="3FF53BFE" w14:textId="162B6522" w:rsidR="00A460DF" w:rsidRDefault="00BA6312" w:rsidP="00FC765B">
            <w:pPr>
              <w:autoSpaceDE w:val="0"/>
              <w:autoSpaceDN w:val="0"/>
              <w:adjustRightInd w:val="0"/>
              <w:rPr>
                <w:rFonts w:ascii="Arial" w:hAnsi="Arial" w:cs="Arial"/>
              </w:rPr>
            </w:pPr>
            <w:r>
              <w:rPr>
                <w:rFonts w:ascii="Arial" w:hAnsi="Arial" w:cs="Arial"/>
              </w:rPr>
              <w:t>No symptoms</w:t>
            </w:r>
          </w:p>
        </w:tc>
        <w:tc>
          <w:tcPr>
            <w:tcW w:w="1913" w:type="dxa"/>
            <w:vAlign w:val="center"/>
          </w:tcPr>
          <w:p w14:paraId="3E0B51EB" w14:textId="4D0D582E" w:rsidR="00A460DF" w:rsidRDefault="00BA6312" w:rsidP="00FC765B">
            <w:pPr>
              <w:autoSpaceDE w:val="0"/>
              <w:autoSpaceDN w:val="0"/>
              <w:adjustRightInd w:val="0"/>
              <w:rPr>
                <w:rFonts w:ascii="Arial" w:hAnsi="Arial" w:cs="Arial"/>
              </w:rPr>
            </w:pPr>
            <w:r>
              <w:rPr>
                <w:rFonts w:ascii="Arial" w:hAnsi="Arial" w:cs="Arial"/>
              </w:rPr>
              <w:t>Symptoms without significant weight loss</w:t>
            </w:r>
            <w:r w:rsidR="00632864">
              <w:rPr>
                <w:rFonts w:ascii="Arial" w:hAnsi="Arial" w:cs="Arial"/>
              </w:rPr>
              <w:t xml:space="preserve">    </w:t>
            </w:r>
            <w:r>
              <w:rPr>
                <w:rFonts w:ascii="Arial" w:hAnsi="Arial" w:cs="Arial"/>
              </w:rPr>
              <w:t xml:space="preserve"> (&lt; 5%) within 3 months</w:t>
            </w:r>
          </w:p>
        </w:tc>
        <w:tc>
          <w:tcPr>
            <w:tcW w:w="2340" w:type="dxa"/>
            <w:vAlign w:val="center"/>
          </w:tcPr>
          <w:p w14:paraId="53528B9F" w14:textId="3C911291" w:rsidR="00A460DF" w:rsidRDefault="00BA6312" w:rsidP="00FC765B">
            <w:pPr>
              <w:autoSpaceDE w:val="0"/>
              <w:autoSpaceDN w:val="0"/>
              <w:adjustRightInd w:val="0"/>
              <w:rPr>
                <w:rFonts w:ascii="Arial" w:hAnsi="Arial" w:cs="Arial"/>
              </w:rPr>
            </w:pPr>
            <w:r>
              <w:rPr>
                <w:rFonts w:ascii="Arial" w:hAnsi="Arial" w:cs="Arial"/>
              </w:rPr>
              <w:t>Symptoms associated with mild to moderate weight loss (5-15%) within 3 months</w:t>
            </w:r>
          </w:p>
        </w:tc>
        <w:tc>
          <w:tcPr>
            <w:tcW w:w="2587" w:type="dxa"/>
            <w:vAlign w:val="center"/>
          </w:tcPr>
          <w:p w14:paraId="20C33824" w14:textId="2451CD53" w:rsidR="00A460DF" w:rsidRDefault="00BA6312" w:rsidP="00FC765B">
            <w:pPr>
              <w:autoSpaceDE w:val="0"/>
              <w:autoSpaceDN w:val="0"/>
              <w:adjustRightInd w:val="0"/>
              <w:rPr>
                <w:rFonts w:ascii="Arial" w:hAnsi="Arial" w:cs="Arial"/>
              </w:rPr>
            </w:pPr>
            <w:r>
              <w:rPr>
                <w:rFonts w:ascii="Arial" w:hAnsi="Arial" w:cs="Arial"/>
              </w:rPr>
              <w:t xml:space="preserve">Symptoms associated with significant weight loss (&gt; 15%) within 3 months, requires nutritional </w:t>
            </w:r>
            <w:proofErr w:type="spellStart"/>
            <w:r>
              <w:rPr>
                <w:rFonts w:ascii="Arial" w:hAnsi="Arial" w:cs="Arial"/>
              </w:rPr>
              <w:t>supplments</w:t>
            </w:r>
            <w:proofErr w:type="spellEnd"/>
            <w:r>
              <w:rPr>
                <w:rFonts w:ascii="Arial" w:hAnsi="Arial" w:cs="Arial"/>
              </w:rPr>
              <w:t xml:space="preserve"> for most caloric needs or esophageal dilation</w:t>
            </w:r>
          </w:p>
        </w:tc>
      </w:tr>
      <w:tr w:rsidR="00DE4A94" w14:paraId="46520D7F" w14:textId="77777777" w:rsidTr="00632864">
        <w:tc>
          <w:tcPr>
            <w:tcW w:w="2045" w:type="dxa"/>
            <w:vAlign w:val="center"/>
          </w:tcPr>
          <w:p w14:paraId="4641F6F3" w14:textId="1DF45671" w:rsidR="00BA6312" w:rsidRPr="00FC765B" w:rsidRDefault="00BA6312" w:rsidP="00FC765B">
            <w:pPr>
              <w:autoSpaceDE w:val="0"/>
              <w:autoSpaceDN w:val="0"/>
              <w:adjustRightInd w:val="0"/>
              <w:rPr>
                <w:rFonts w:ascii="Arial" w:hAnsi="Arial" w:cs="Arial"/>
                <w:b/>
              </w:rPr>
            </w:pPr>
            <w:r w:rsidRPr="00FC765B">
              <w:rPr>
                <w:rFonts w:ascii="Arial" w:hAnsi="Arial" w:cs="Arial"/>
                <w:b/>
              </w:rPr>
              <w:t>Liver</w:t>
            </w:r>
          </w:p>
        </w:tc>
        <w:tc>
          <w:tcPr>
            <w:tcW w:w="1370" w:type="dxa"/>
            <w:vAlign w:val="center"/>
          </w:tcPr>
          <w:p w14:paraId="6BABA9E8" w14:textId="1644715F" w:rsidR="00BA6312" w:rsidRDefault="00BA6312" w:rsidP="00FC765B">
            <w:pPr>
              <w:autoSpaceDE w:val="0"/>
              <w:autoSpaceDN w:val="0"/>
              <w:adjustRightInd w:val="0"/>
              <w:rPr>
                <w:rFonts w:ascii="Arial" w:hAnsi="Arial" w:cs="Arial"/>
              </w:rPr>
            </w:pPr>
            <w:r>
              <w:rPr>
                <w:rFonts w:ascii="Arial" w:hAnsi="Arial" w:cs="Arial"/>
              </w:rPr>
              <w:t>Normal total bilirubin and ALT &lt; 2 x ULN</w:t>
            </w:r>
          </w:p>
        </w:tc>
        <w:tc>
          <w:tcPr>
            <w:tcW w:w="1913" w:type="dxa"/>
            <w:vAlign w:val="center"/>
          </w:tcPr>
          <w:p w14:paraId="33A21D1F" w14:textId="45490B76" w:rsidR="00BA6312" w:rsidRDefault="00BA6312" w:rsidP="00FC765B">
            <w:pPr>
              <w:autoSpaceDE w:val="0"/>
              <w:autoSpaceDN w:val="0"/>
              <w:adjustRightInd w:val="0"/>
              <w:rPr>
                <w:rFonts w:ascii="Arial" w:hAnsi="Arial" w:cs="Arial"/>
              </w:rPr>
            </w:pPr>
            <w:r>
              <w:rPr>
                <w:rFonts w:ascii="Arial" w:hAnsi="Arial" w:cs="Arial"/>
              </w:rPr>
              <w:t>Normal total bilirubin and ALT ≥ 2 x ULN</w:t>
            </w:r>
          </w:p>
        </w:tc>
        <w:tc>
          <w:tcPr>
            <w:tcW w:w="2340" w:type="dxa"/>
            <w:vAlign w:val="center"/>
          </w:tcPr>
          <w:p w14:paraId="6D440134" w14:textId="2441BD78" w:rsidR="00BA6312" w:rsidRDefault="00BA6312" w:rsidP="00FC765B">
            <w:pPr>
              <w:autoSpaceDE w:val="0"/>
              <w:autoSpaceDN w:val="0"/>
              <w:adjustRightInd w:val="0"/>
              <w:rPr>
                <w:rFonts w:ascii="Arial" w:hAnsi="Arial" w:cs="Arial"/>
              </w:rPr>
            </w:pPr>
            <w:r>
              <w:rPr>
                <w:rFonts w:ascii="Arial" w:hAnsi="Arial" w:cs="Arial"/>
              </w:rPr>
              <w:t>Elevated total bilirubin but ≤ 3 x ULN</w:t>
            </w:r>
          </w:p>
        </w:tc>
        <w:tc>
          <w:tcPr>
            <w:tcW w:w="2587" w:type="dxa"/>
            <w:vAlign w:val="center"/>
          </w:tcPr>
          <w:p w14:paraId="64EF2B03" w14:textId="090E699B" w:rsidR="00BA6312" w:rsidRDefault="00BA6312" w:rsidP="00FC765B">
            <w:pPr>
              <w:autoSpaceDE w:val="0"/>
              <w:autoSpaceDN w:val="0"/>
              <w:adjustRightInd w:val="0"/>
              <w:rPr>
                <w:rFonts w:ascii="Arial" w:hAnsi="Arial" w:cs="Arial"/>
              </w:rPr>
            </w:pPr>
            <w:r>
              <w:rPr>
                <w:rFonts w:ascii="Arial" w:hAnsi="Arial" w:cs="Arial"/>
              </w:rPr>
              <w:t>Elevated total bilirubin &gt; 3 x ULN</w:t>
            </w:r>
          </w:p>
        </w:tc>
      </w:tr>
      <w:tr w:rsidR="00DE4A94" w14:paraId="387AB7AF" w14:textId="77777777" w:rsidTr="00632864">
        <w:tc>
          <w:tcPr>
            <w:tcW w:w="2045" w:type="dxa"/>
            <w:vAlign w:val="center"/>
          </w:tcPr>
          <w:p w14:paraId="54DCA132" w14:textId="66ED9AB6" w:rsidR="00A460DF" w:rsidRDefault="00BA6312" w:rsidP="00FC765B">
            <w:pPr>
              <w:autoSpaceDE w:val="0"/>
              <w:autoSpaceDN w:val="0"/>
              <w:adjustRightInd w:val="0"/>
              <w:rPr>
                <w:rFonts w:ascii="Arial" w:hAnsi="Arial" w:cs="Arial"/>
              </w:rPr>
            </w:pPr>
            <w:r w:rsidRPr="00FC765B">
              <w:rPr>
                <w:rFonts w:ascii="Arial" w:hAnsi="Arial" w:cs="Arial"/>
                <w:b/>
              </w:rPr>
              <w:lastRenderedPageBreak/>
              <w:t>Lungs –</w:t>
            </w:r>
            <w:r>
              <w:rPr>
                <w:rFonts w:ascii="Arial" w:hAnsi="Arial" w:cs="Arial"/>
              </w:rPr>
              <w:t xml:space="preserve"> symptoms</w:t>
            </w:r>
          </w:p>
        </w:tc>
        <w:tc>
          <w:tcPr>
            <w:tcW w:w="1370" w:type="dxa"/>
            <w:vAlign w:val="center"/>
          </w:tcPr>
          <w:p w14:paraId="2F20CFC2" w14:textId="3D40D274" w:rsidR="00A460DF" w:rsidRDefault="00BA6312" w:rsidP="00FC765B">
            <w:pPr>
              <w:autoSpaceDE w:val="0"/>
              <w:autoSpaceDN w:val="0"/>
              <w:adjustRightInd w:val="0"/>
              <w:rPr>
                <w:rFonts w:ascii="Arial" w:hAnsi="Arial" w:cs="Arial"/>
              </w:rPr>
            </w:pPr>
            <w:r>
              <w:rPr>
                <w:rFonts w:ascii="Arial" w:hAnsi="Arial" w:cs="Arial"/>
              </w:rPr>
              <w:t>No symptoms</w:t>
            </w:r>
          </w:p>
        </w:tc>
        <w:tc>
          <w:tcPr>
            <w:tcW w:w="1913" w:type="dxa"/>
            <w:vAlign w:val="center"/>
          </w:tcPr>
          <w:p w14:paraId="18CF2217" w14:textId="7AD692F0" w:rsidR="00A460DF" w:rsidRDefault="00BA6312" w:rsidP="00FC765B">
            <w:pPr>
              <w:autoSpaceDE w:val="0"/>
              <w:autoSpaceDN w:val="0"/>
              <w:adjustRightInd w:val="0"/>
              <w:rPr>
                <w:rFonts w:ascii="Arial" w:hAnsi="Arial" w:cs="Arial"/>
              </w:rPr>
            </w:pPr>
            <w:r>
              <w:rPr>
                <w:rFonts w:ascii="Arial" w:hAnsi="Arial" w:cs="Arial"/>
              </w:rPr>
              <w:t>Mild symptoms (SOB after climbing one flight of steps)</w:t>
            </w:r>
          </w:p>
        </w:tc>
        <w:tc>
          <w:tcPr>
            <w:tcW w:w="2340" w:type="dxa"/>
            <w:vAlign w:val="center"/>
          </w:tcPr>
          <w:p w14:paraId="5D5B9350" w14:textId="0C089D1C" w:rsidR="00A460DF" w:rsidRDefault="00BA6312" w:rsidP="00FC765B">
            <w:pPr>
              <w:autoSpaceDE w:val="0"/>
              <w:autoSpaceDN w:val="0"/>
              <w:adjustRightInd w:val="0"/>
              <w:rPr>
                <w:rFonts w:ascii="Arial" w:hAnsi="Arial" w:cs="Arial"/>
              </w:rPr>
            </w:pPr>
            <w:r>
              <w:rPr>
                <w:rFonts w:ascii="Arial" w:hAnsi="Arial" w:cs="Arial"/>
              </w:rPr>
              <w:t>Moderate symptoms (SOB after walking on flat ground)</w:t>
            </w:r>
          </w:p>
        </w:tc>
        <w:tc>
          <w:tcPr>
            <w:tcW w:w="2587" w:type="dxa"/>
            <w:vAlign w:val="center"/>
          </w:tcPr>
          <w:p w14:paraId="1D2F3E6E" w14:textId="587CEAAE" w:rsidR="00A460DF" w:rsidRDefault="00DE4A94" w:rsidP="00FC765B">
            <w:pPr>
              <w:autoSpaceDE w:val="0"/>
              <w:autoSpaceDN w:val="0"/>
              <w:adjustRightInd w:val="0"/>
              <w:rPr>
                <w:rFonts w:ascii="Arial" w:hAnsi="Arial" w:cs="Arial"/>
              </w:rPr>
            </w:pPr>
            <w:r>
              <w:rPr>
                <w:rFonts w:ascii="Arial" w:hAnsi="Arial" w:cs="Arial"/>
              </w:rPr>
              <w:t>Severe symptoms (SOB at rests; requires O2)</w:t>
            </w:r>
          </w:p>
        </w:tc>
      </w:tr>
      <w:tr w:rsidR="00BA6312" w14:paraId="748D7765" w14:textId="77777777" w:rsidTr="00632864">
        <w:tc>
          <w:tcPr>
            <w:tcW w:w="2045" w:type="dxa"/>
            <w:vAlign w:val="center"/>
          </w:tcPr>
          <w:p w14:paraId="56389F2B" w14:textId="3E8CDE81" w:rsidR="00BA6312" w:rsidRDefault="00BA6312" w:rsidP="00FC765B">
            <w:pPr>
              <w:autoSpaceDE w:val="0"/>
              <w:autoSpaceDN w:val="0"/>
              <w:adjustRightInd w:val="0"/>
              <w:rPr>
                <w:rFonts w:ascii="Arial" w:hAnsi="Arial" w:cs="Arial"/>
              </w:rPr>
            </w:pPr>
            <w:r w:rsidRPr="00FC765B">
              <w:rPr>
                <w:rFonts w:ascii="Arial" w:hAnsi="Arial" w:cs="Arial"/>
                <w:b/>
              </w:rPr>
              <w:t>Lungs –</w:t>
            </w:r>
            <w:r>
              <w:rPr>
                <w:rFonts w:ascii="Arial" w:hAnsi="Arial" w:cs="Arial"/>
              </w:rPr>
              <w:t xml:space="preserve"> FEV1</w:t>
            </w:r>
          </w:p>
        </w:tc>
        <w:tc>
          <w:tcPr>
            <w:tcW w:w="1370" w:type="dxa"/>
            <w:vAlign w:val="center"/>
          </w:tcPr>
          <w:p w14:paraId="553F17E6" w14:textId="367828F3" w:rsidR="00BA6312" w:rsidRDefault="00DE4A94" w:rsidP="00FC765B">
            <w:pPr>
              <w:autoSpaceDE w:val="0"/>
              <w:autoSpaceDN w:val="0"/>
              <w:adjustRightInd w:val="0"/>
              <w:rPr>
                <w:rFonts w:ascii="Arial" w:hAnsi="Arial" w:cs="Arial"/>
              </w:rPr>
            </w:pPr>
            <w:r>
              <w:rPr>
                <w:rFonts w:ascii="Arial" w:hAnsi="Arial" w:cs="Arial"/>
              </w:rPr>
              <w:t>FEV1 ≥ 80%</w:t>
            </w:r>
          </w:p>
        </w:tc>
        <w:tc>
          <w:tcPr>
            <w:tcW w:w="1913" w:type="dxa"/>
            <w:vAlign w:val="center"/>
          </w:tcPr>
          <w:p w14:paraId="7084C63E" w14:textId="3AC7B33E" w:rsidR="00BA6312" w:rsidRDefault="00DE4A94" w:rsidP="00FC765B">
            <w:pPr>
              <w:autoSpaceDE w:val="0"/>
              <w:autoSpaceDN w:val="0"/>
              <w:adjustRightInd w:val="0"/>
              <w:rPr>
                <w:rFonts w:ascii="Arial" w:hAnsi="Arial" w:cs="Arial"/>
              </w:rPr>
            </w:pPr>
            <w:r>
              <w:rPr>
                <w:rFonts w:ascii="Arial" w:hAnsi="Arial" w:cs="Arial"/>
              </w:rPr>
              <w:t>FEV1 60-79%</w:t>
            </w:r>
          </w:p>
        </w:tc>
        <w:tc>
          <w:tcPr>
            <w:tcW w:w="2340" w:type="dxa"/>
            <w:vAlign w:val="center"/>
          </w:tcPr>
          <w:p w14:paraId="30B623BF" w14:textId="4ABAB6AF" w:rsidR="00BA6312" w:rsidRDefault="00DE4A94" w:rsidP="00FC765B">
            <w:pPr>
              <w:autoSpaceDE w:val="0"/>
              <w:autoSpaceDN w:val="0"/>
              <w:adjustRightInd w:val="0"/>
              <w:rPr>
                <w:rFonts w:ascii="Arial" w:hAnsi="Arial" w:cs="Arial"/>
              </w:rPr>
            </w:pPr>
            <w:r>
              <w:rPr>
                <w:rFonts w:ascii="Arial" w:hAnsi="Arial" w:cs="Arial"/>
              </w:rPr>
              <w:t>FEV1 40-59%</w:t>
            </w:r>
          </w:p>
        </w:tc>
        <w:tc>
          <w:tcPr>
            <w:tcW w:w="2587" w:type="dxa"/>
            <w:vAlign w:val="center"/>
          </w:tcPr>
          <w:p w14:paraId="56862D87" w14:textId="6EC94CA3" w:rsidR="00BA6312" w:rsidRDefault="00DE4A94" w:rsidP="00FC765B">
            <w:pPr>
              <w:autoSpaceDE w:val="0"/>
              <w:autoSpaceDN w:val="0"/>
              <w:adjustRightInd w:val="0"/>
              <w:rPr>
                <w:rFonts w:ascii="Arial" w:hAnsi="Arial" w:cs="Arial"/>
              </w:rPr>
            </w:pPr>
            <w:r>
              <w:rPr>
                <w:rFonts w:ascii="Arial" w:hAnsi="Arial" w:cs="Arial"/>
              </w:rPr>
              <w:t>FEV1 ≤ 39%</w:t>
            </w:r>
          </w:p>
        </w:tc>
      </w:tr>
      <w:tr w:rsidR="00BA6312" w14:paraId="028F4547" w14:textId="77777777" w:rsidTr="00632864">
        <w:tc>
          <w:tcPr>
            <w:tcW w:w="2045" w:type="dxa"/>
            <w:vAlign w:val="center"/>
          </w:tcPr>
          <w:p w14:paraId="217F64EE" w14:textId="3B8DF27D" w:rsidR="00BA6312" w:rsidRPr="00FC765B" w:rsidRDefault="00DE4A94" w:rsidP="00FC765B">
            <w:pPr>
              <w:autoSpaceDE w:val="0"/>
              <w:autoSpaceDN w:val="0"/>
              <w:adjustRightInd w:val="0"/>
              <w:rPr>
                <w:rFonts w:ascii="Arial" w:hAnsi="Arial" w:cs="Arial"/>
                <w:b/>
              </w:rPr>
            </w:pPr>
            <w:r w:rsidRPr="00FC765B">
              <w:rPr>
                <w:rFonts w:ascii="Arial" w:hAnsi="Arial" w:cs="Arial"/>
                <w:b/>
              </w:rPr>
              <w:t>Joints and fascia</w:t>
            </w:r>
          </w:p>
        </w:tc>
        <w:tc>
          <w:tcPr>
            <w:tcW w:w="1370" w:type="dxa"/>
            <w:vAlign w:val="center"/>
          </w:tcPr>
          <w:p w14:paraId="2F4FC798" w14:textId="42FB3E37" w:rsidR="00BA6312" w:rsidRDefault="00DE4A94" w:rsidP="00FC765B">
            <w:pPr>
              <w:autoSpaceDE w:val="0"/>
              <w:autoSpaceDN w:val="0"/>
              <w:adjustRightInd w:val="0"/>
              <w:rPr>
                <w:rFonts w:ascii="Arial" w:hAnsi="Arial" w:cs="Arial"/>
              </w:rPr>
            </w:pPr>
            <w:r>
              <w:rPr>
                <w:rFonts w:ascii="Arial" w:hAnsi="Arial" w:cs="Arial"/>
              </w:rPr>
              <w:t>No symptoms</w:t>
            </w:r>
          </w:p>
        </w:tc>
        <w:tc>
          <w:tcPr>
            <w:tcW w:w="1913" w:type="dxa"/>
            <w:vAlign w:val="center"/>
          </w:tcPr>
          <w:p w14:paraId="22A8D07C" w14:textId="2C5705DF" w:rsidR="00BA6312" w:rsidRDefault="00DE4A94" w:rsidP="00FC765B">
            <w:pPr>
              <w:autoSpaceDE w:val="0"/>
              <w:autoSpaceDN w:val="0"/>
              <w:adjustRightInd w:val="0"/>
              <w:rPr>
                <w:rFonts w:ascii="Arial" w:hAnsi="Arial" w:cs="Arial"/>
              </w:rPr>
            </w:pPr>
            <w:r>
              <w:rPr>
                <w:rFonts w:ascii="Arial" w:hAnsi="Arial" w:cs="Arial"/>
              </w:rPr>
              <w:t>Mild tightness of arms or legs, normal or mild decreased range of motion and not affecting ADL</w:t>
            </w:r>
          </w:p>
        </w:tc>
        <w:tc>
          <w:tcPr>
            <w:tcW w:w="2340" w:type="dxa"/>
            <w:vAlign w:val="center"/>
          </w:tcPr>
          <w:p w14:paraId="4152FCB7" w14:textId="4AE533C0" w:rsidR="00BA6312" w:rsidRDefault="00DE4A94" w:rsidP="00FC765B">
            <w:pPr>
              <w:autoSpaceDE w:val="0"/>
              <w:autoSpaceDN w:val="0"/>
              <w:adjustRightInd w:val="0"/>
              <w:rPr>
                <w:rFonts w:ascii="Arial" w:hAnsi="Arial" w:cs="Arial"/>
              </w:rPr>
            </w:pPr>
            <w:r>
              <w:rPr>
                <w:rFonts w:ascii="Arial" w:hAnsi="Arial" w:cs="Arial"/>
              </w:rPr>
              <w:t>T</w:t>
            </w:r>
            <w:r w:rsidR="00F45F5B">
              <w:rPr>
                <w:rFonts w:ascii="Arial" w:hAnsi="Arial" w:cs="Arial"/>
              </w:rPr>
              <w:t>ightness</w:t>
            </w:r>
            <w:r>
              <w:rPr>
                <w:rFonts w:ascii="Arial" w:hAnsi="Arial" w:cs="Arial"/>
              </w:rPr>
              <w:t xml:space="preserve"> of arms or legs or joint contractures, erythema thought to be due to fasciitis, moderate decrease of range of motion and mild to moderate limitation of ADL</w:t>
            </w:r>
          </w:p>
        </w:tc>
        <w:tc>
          <w:tcPr>
            <w:tcW w:w="2587" w:type="dxa"/>
            <w:vAlign w:val="center"/>
          </w:tcPr>
          <w:p w14:paraId="27B5BFE4" w14:textId="2A24BDC7" w:rsidR="00BA6312" w:rsidRDefault="00DE4A94" w:rsidP="00FC765B">
            <w:pPr>
              <w:autoSpaceDE w:val="0"/>
              <w:autoSpaceDN w:val="0"/>
              <w:adjustRightInd w:val="0"/>
              <w:rPr>
                <w:rFonts w:ascii="Arial" w:hAnsi="Arial" w:cs="Arial"/>
              </w:rPr>
            </w:pPr>
            <w:r>
              <w:rPr>
                <w:rFonts w:ascii="Arial" w:hAnsi="Arial" w:cs="Arial"/>
              </w:rPr>
              <w:t>Contractures with significant decrease of range of motion and significant limitation of ADL (unable to tie shoes, button shirts, dress self, etc.)</w:t>
            </w:r>
          </w:p>
        </w:tc>
      </w:tr>
      <w:tr w:rsidR="00BA6312" w14:paraId="1A54B26B" w14:textId="77777777" w:rsidTr="00632864">
        <w:tc>
          <w:tcPr>
            <w:tcW w:w="2045" w:type="dxa"/>
            <w:vAlign w:val="center"/>
          </w:tcPr>
          <w:p w14:paraId="51A51FCF" w14:textId="4F9C8731" w:rsidR="00BA6312" w:rsidRPr="00FC765B" w:rsidRDefault="00DE4A94" w:rsidP="00FC765B">
            <w:pPr>
              <w:autoSpaceDE w:val="0"/>
              <w:autoSpaceDN w:val="0"/>
              <w:adjustRightInd w:val="0"/>
              <w:rPr>
                <w:rFonts w:ascii="Arial" w:hAnsi="Arial" w:cs="Arial"/>
                <w:b/>
              </w:rPr>
            </w:pPr>
            <w:r w:rsidRPr="00FC765B">
              <w:rPr>
                <w:rFonts w:ascii="Arial" w:hAnsi="Arial" w:cs="Arial"/>
                <w:b/>
              </w:rPr>
              <w:t>Genital Tract</w:t>
            </w:r>
          </w:p>
        </w:tc>
        <w:tc>
          <w:tcPr>
            <w:tcW w:w="1370" w:type="dxa"/>
            <w:vAlign w:val="center"/>
          </w:tcPr>
          <w:p w14:paraId="46C23A51" w14:textId="3B8E8E89" w:rsidR="00BA6312" w:rsidRDefault="00DE4A94" w:rsidP="00FC765B">
            <w:pPr>
              <w:autoSpaceDE w:val="0"/>
              <w:autoSpaceDN w:val="0"/>
              <w:adjustRightInd w:val="0"/>
              <w:rPr>
                <w:rFonts w:ascii="Arial" w:hAnsi="Arial" w:cs="Arial"/>
              </w:rPr>
            </w:pPr>
            <w:r>
              <w:rPr>
                <w:rFonts w:ascii="Arial" w:hAnsi="Arial" w:cs="Arial"/>
              </w:rPr>
              <w:t>No signs</w:t>
            </w:r>
          </w:p>
        </w:tc>
        <w:tc>
          <w:tcPr>
            <w:tcW w:w="1913" w:type="dxa"/>
            <w:vAlign w:val="center"/>
          </w:tcPr>
          <w:p w14:paraId="24440168" w14:textId="66FEED57" w:rsidR="00BA6312" w:rsidRDefault="00DE4A94" w:rsidP="00FC765B">
            <w:pPr>
              <w:autoSpaceDE w:val="0"/>
              <w:autoSpaceDN w:val="0"/>
              <w:adjustRightInd w:val="0"/>
              <w:rPr>
                <w:rFonts w:ascii="Arial" w:hAnsi="Arial" w:cs="Arial"/>
              </w:rPr>
            </w:pPr>
            <w:r>
              <w:rPr>
                <w:rFonts w:ascii="Arial" w:hAnsi="Arial" w:cs="Arial"/>
              </w:rPr>
              <w:t>Mild signs and females with or without discomfort on exam</w:t>
            </w:r>
          </w:p>
        </w:tc>
        <w:tc>
          <w:tcPr>
            <w:tcW w:w="2340" w:type="dxa"/>
            <w:vAlign w:val="center"/>
          </w:tcPr>
          <w:p w14:paraId="5FF6AD4C" w14:textId="5CE41F0F" w:rsidR="00BA6312" w:rsidRDefault="00DE4A94" w:rsidP="00FC765B">
            <w:pPr>
              <w:autoSpaceDE w:val="0"/>
              <w:autoSpaceDN w:val="0"/>
              <w:adjustRightInd w:val="0"/>
              <w:rPr>
                <w:rFonts w:ascii="Arial" w:hAnsi="Arial" w:cs="Arial"/>
              </w:rPr>
            </w:pPr>
            <w:r>
              <w:rPr>
                <w:rFonts w:ascii="Arial" w:hAnsi="Arial" w:cs="Arial"/>
              </w:rPr>
              <w:t>Moderate signs and may have signs of discomfort on exam</w:t>
            </w:r>
          </w:p>
        </w:tc>
        <w:tc>
          <w:tcPr>
            <w:tcW w:w="2587" w:type="dxa"/>
            <w:vAlign w:val="center"/>
          </w:tcPr>
          <w:p w14:paraId="1563377F" w14:textId="36887757" w:rsidR="00BA6312" w:rsidRDefault="00DE4A94" w:rsidP="00FC765B">
            <w:pPr>
              <w:autoSpaceDE w:val="0"/>
              <w:autoSpaceDN w:val="0"/>
              <w:adjustRightInd w:val="0"/>
              <w:rPr>
                <w:rFonts w:ascii="Arial" w:hAnsi="Arial" w:cs="Arial"/>
              </w:rPr>
            </w:pPr>
            <w:r>
              <w:rPr>
                <w:rFonts w:ascii="Arial" w:hAnsi="Arial" w:cs="Arial"/>
              </w:rPr>
              <w:t>Severe signs with or without symptoms</w:t>
            </w:r>
          </w:p>
        </w:tc>
      </w:tr>
      <w:tr w:rsidR="00BA6312" w14:paraId="44A09831" w14:textId="77777777" w:rsidTr="00632864">
        <w:tc>
          <w:tcPr>
            <w:tcW w:w="2045" w:type="dxa"/>
          </w:tcPr>
          <w:p w14:paraId="5019E625" w14:textId="0F0FD04B" w:rsidR="00BA6312" w:rsidRDefault="00DE4A94" w:rsidP="00DE4A94">
            <w:pPr>
              <w:autoSpaceDE w:val="0"/>
              <w:autoSpaceDN w:val="0"/>
              <w:adjustRightInd w:val="0"/>
              <w:rPr>
                <w:rFonts w:ascii="Arial" w:hAnsi="Arial" w:cs="Arial"/>
              </w:rPr>
            </w:pPr>
            <w:r w:rsidRPr="00FC765B">
              <w:rPr>
                <w:rFonts w:ascii="Arial" w:hAnsi="Arial" w:cs="Arial"/>
                <w:b/>
              </w:rPr>
              <w:t>Other features:</w:t>
            </w:r>
            <w:r>
              <w:rPr>
                <w:rFonts w:ascii="Arial" w:hAnsi="Arial" w:cs="Arial"/>
              </w:rPr>
              <w:t xml:space="preserve"> ascites, pericardial effusion, pleural effusion(s), nephrotic syndrome, myasthenia gravis, peripheral neuropathy, </w:t>
            </w:r>
            <w:proofErr w:type="spellStart"/>
            <w:r>
              <w:rPr>
                <w:rFonts w:ascii="Arial" w:hAnsi="Arial" w:cs="Arial"/>
              </w:rPr>
              <w:t>polymyositis</w:t>
            </w:r>
            <w:proofErr w:type="spellEnd"/>
            <w:r>
              <w:rPr>
                <w:rFonts w:ascii="Arial" w:hAnsi="Arial" w:cs="Arial"/>
              </w:rPr>
              <w:t>, weight loss without GI symptoms, eosinophilia &gt; 500/</w:t>
            </w:r>
            <w:proofErr w:type="spellStart"/>
            <w:r>
              <w:rPr>
                <w:rFonts w:ascii="Arial" w:hAnsi="Arial" w:cs="Arial"/>
              </w:rPr>
              <w:t>μL</w:t>
            </w:r>
            <w:proofErr w:type="spellEnd"/>
            <w:r>
              <w:rPr>
                <w:rFonts w:ascii="Arial" w:hAnsi="Arial" w:cs="Arial"/>
              </w:rPr>
              <w:t>, platelets &lt; 100,000/</w:t>
            </w:r>
            <w:proofErr w:type="spellStart"/>
            <w:r>
              <w:rPr>
                <w:rFonts w:ascii="Arial" w:hAnsi="Arial" w:cs="Arial"/>
              </w:rPr>
              <w:t>μL</w:t>
            </w:r>
            <w:proofErr w:type="spellEnd"/>
            <w:r>
              <w:rPr>
                <w:rFonts w:ascii="Arial" w:hAnsi="Arial" w:cs="Arial"/>
              </w:rPr>
              <w:t>, others</w:t>
            </w:r>
          </w:p>
        </w:tc>
        <w:tc>
          <w:tcPr>
            <w:tcW w:w="1370" w:type="dxa"/>
            <w:vAlign w:val="center"/>
          </w:tcPr>
          <w:p w14:paraId="0C9F04E4" w14:textId="46DCA6AE" w:rsidR="00BA6312" w:rsidRDefault="00FC765B" w:rsidP="00FC765B">
            <w:pPr>
              <w:autoSpaceDE w:val="0"/>
              <w:autoSpaceDN w:val="0"/>
              <w:adjustRightInd w:val="0"/>
              <w:rPr>
                <w:rFonts w:ascii="Arial" w:hAnsi="Arial" w:cs="Arial"/>
              </w:rPr>
            </w:pPr>
            <w:r>
              <w:rPr>
                <w:rFonts w:ascii="Arial" w:hAnsi="Arial" w:cs="Arial"/>
              </w:rPr>
              <w:t>No GVHD</w:t>
            </w:r>
          </w:p>
        </w:tc>
        <w:tc>
          <w:tcPr>
            <w:tcW w:w="1913" w:type="dxa"/>
            <w:vAlign w:val="center"/>
          </w:tcPr>
          <w:p w14:paraId="4B8B6470" w14:textId="19F3325C" w:rsidR="00BA6312" w:rsidRDefault="00FC765B" w:rsidP="00FC765B">
            <w:pPr>
              <w:autoSpaceDE w:val="0"/>
              <w:autoSpaceDN w:val="0"/>
              <w:adjustRightInd w:val="0"/>
              <w:rPr>
                <w:rFonts w:ascii="Arial" w:hAnsi="Arial" w:cs="Arial"/>
              </w:rPr>
            </w:pPr>
            <w:r>
              <w:rPr>
                <w:rFonts w:ascii="Arial" w:hAnsi="Arial" w:cs="Arial"/>
              </w:rPr>
              <w:t>Mild</w:t>
            </w:r>
          </w:p>
        </w:tc>
        <w:tc>
          <w:tcPr>
            <w:tcW w:w="2340" w:type="dxa"/>
            <w:vAlign w:val="center"/>
          </w:tcPr>
          <w:p w14:paraId="3D98ECB6" w14:textId="21DFC266" w:rsidR="00BA6312" w:rsidRDefault="00FC765B" w:rsidP="00FC765B">
            <w:pPr>
              <w:autoSpaceDE w:val="0"/>
              <w:autoSpaceDN w:val="0"/>
              <w:adjustRightInd w:val="0"/>
              <w:rPr>
                <w:rFonts w:ascii="Arial" w:hAnsi="Arial" w:cs="Arial"/>
              </w:rPr>
            </w:pPr>
            <w:r>
              <w:rPr>
                <w:rFonts w:ascii="Arial" w:hAnsi="Arial" w:cs="Arial"/>
              </w:rPr>
              <w:t>Moderate</w:t>
            </w:r>
          </w:p>
        </w:tc>
        <w:tc>
          <w:tcPr>
            <w:tcW w:w="2587" w:type="dxa"/>
            <w:vAlign w:val="center"/>
          </w:tcPr>
          <w:p w14:paraId="2EBDDBA8" w14:textId="203187C4" w:rsidR="00BA6312" w:rsidRDefault="00FC765B" w:rsidP="00FC765B">
            <w:pPr>
              <w:autoSpaceDE w:val="0"/>
              <w:autoSpaceDN w:val="0"/>
              <w:adjustRightInd w:val="0"/>
              <w:rPr>
                <w:rFonts w:ascii="Arial" w:hAnsi="Arial" w:cs="Arial"/>
              </w:rPr>
            </w:pPr>
            <w:r>
              <w:rPr>
                <w:rFonts w:ascii="Arial" w:hAnsi="Arial" w:cs="Arial"/>
              </w:rPr>
              <w:t>Severe</w:t>
            </w:r>
          </w:p>
        </w:tc>
      </w:tr>
    </w:tbl>
    <w:p w14:paraId="7489BCCA" w14:textId="7ED68826" w:rsidR="00A460DF" w:rsidRPr="00FC765B" w:rsidRDefault="00FC765B" w:rsidP="00A460DF">
      <w:pPr>
        <w:autoSpaceDE w:val="0"/>
        <w:autoSpaceDN w:val="0"/>
        <w:adjustRightInd w:val="0"/>
        <w:rPr>
          <w:rFonts w:ascii="Arial" w:hAnsi="Arial" w:cs="Arial"/>
          <w:i/>
        </w:rPr>
      </w:pPr>
      <w:r>
        <w:rPr>
          <w:rFonts w:ascii="Arial" w:hAnsi="Arial" w:cs="Arial"/>
          <w:i/>
        </w:rPr>
        <w:t>NIH Consensus Criteria, 2005</w:t>
      </w:r>
    </w:p>
    <w:p w14:paraId="3755A5E4" w14:textId="77777777" w:rsidR="0003055D" w:rsidRPr="00A027BA" w:rsidRDefault="0003055D" w:rsidP="00337399">
      <w:pPr>
        <w:autoSpaceDE w:val="0"/>
        <w:autoSpaceDN w:val="0"/>
        <w:adjustRightInd w:val="0"/>
        <w:rPr>
          <w:rFonts w:ascii="Arial" w:hAnsi="Arial" w:cs="Arial"/>
          <w:b/>
          <w:highlight w:val="yellow"/>
        </w:rPr>
      </w:pPr>
    </w:p>
    <w:p w14:paraId="606A171A" w14:textId="77777777" w:rsidR="00632864" w:rsidRDefault="00632864" w:rsidP="00337399">
      <w:pPr>
        <w:autoSpaceDE w:val="0"/>
        <w:autoSpaceDN w:val="0"/>
        <w:adjustRightInd w:val="0"/>
        <w:rPr>
          <w:rFonts w:ascii="Arial" w:hAnsi="Arial" w:cs="Arial"/>
          <w:b/>
        </w:rPr>
      </w:pPr>
    </w:p>
    <w:p w14:paraId="61051FD4" w14:textId="77777777" w:rsidR="00632864" w:rsidRDefault="00632864" w:rsidP="00337399">
      <w:pPr>
        <w:autoSpaceDE w:val="0"/>
        <w:autoSpaceDN w:val="0"/>
        <w:adjustRightInd w:val="0"/>
        <w:rPr>
          <w:rFonts w:ascii="Arial" w:hAnsi="Arial" w:cs="Arial"/>
          <w:b/>
        </w:rPr>
      </w:pPr>
    </w:p>
    <w:p w14:paraId="1CA2EAA0" w14:textId="77777777" w:rsidR="00632864" w:rsidRDefault="00632864" w:rsidP="00337399">
      <w:pPr>
        <w:autoSpaceDE w:val="0"/>
        <w:autoSpaceDN w:val="0"/>
        <w:adjustRightInd w:val="0"/>
        <w:rPr>
          <w:rFonts w:ascii="Arial" w:hAnsi="Arial" w:cs="Arial"/>
          <w:b/>
        </w:rPr>
      </w:pPr>
    </w:p>
    <w:p w14:paraId="6BC9FB5C" w14:textId="13FCB2F5" w:rsidR="0003055D" w:rsidRPr="007563D4" w:rsidRDefault="0003055D" w:rsidP="00337399">
      <w:pPr>
        <w:autoSpaceDE w:val="0"/>
        <w:autoSpaceDN w:val="0"/>
        <w:adjustRightInd w:val="0"/>
        <w:rPr>
          <w:rFonts w:ascii="Arial" w:hAnsi="Arial" w:cs="Arial"/>
          <w:b/>
        </w:rPr>
      </w:pPr>
      <w:r w:rsidRPr="007563D4">
        <w:rPr>
          <w:rFonts w:ascii="Arial" w:hAnsi="Arial" w:cs="Arial"/>
          <w:b/>
        </w:rPr>
        <w:lastRenderedPageBreak/>
        <w:t xml:space="preserve">Question 35: </w:t>
      </w:r>
      <w:r w:rsidR="00632864">
        <w:rPr>
          <w:rFonts w:ascii="Arial" w:hAnsi="Arial" w:cs="Arial"/>
          <w:b/>
        </w:rPr>
        <w:t xml:space="preserve"> </w:t>
      </w:r>
      <w:r w:rsidRPr="007563D4">
        <w:rPr>
          <w:rFonts w:ascii="Arial" w:hAnsi="Arial" w:cs="Arial"/>
          <w:b/>
        </w:rPr>
        <w:t>Specify if chronic GVHD was limited or extensive:</w:t>
      </w:r>
    </w:p>
    <w:p w14:paraId="436774C4" w14:textId="49D5FD80" w:rsidR="00FC765B" w:rsidRPr="007563D4" w:rsidRDefault="00FC765B" w:rsidP="00FC765B">
      <w:pPr>
        <w:autoSpaceDE w:val="0"/>
        <w:autoSpaceDN w:val="0"/>
        <w:adjustRightInd w:val="0"/>
        <w:rPr>
          <w:rFonts w:ascii="Arial" w:hAnsi="Arial" w:cs="Arial"/>
        </w:rPr>
      </w:pPr>
      <w:r w:rsidRPr="007563D4">
        <w:rPr>
          <w:rFonts w:ascii="Arial" w:hAnsi="Arial" w:cs="Arial"/>
        </w:rPr>
        <w:t>Report the date of maximum chronic GVHD involvement, based on chronic GVHD stage</w:t>
      </w:r>
      <w:r w:rsidR="00F91ED8">
        <w:rPr>
          <w:rFonts w:ascii="Arial" w:hAnsi="Arial" w:cs="Arial"/>
        </w:rPr>
        <w:t xml:space="preserve">.  </w:t>
      </w:r>
      <w:r w:rsidRPr="007563D4">
        <w:rPr>
          <w:rFonts w:ascii="Arial" w:hAnsi="Arial" w:cs="Arial"/>
        </w:rPr>
        <w:t>Report “limited” if c</w:t>
      </w:r>
      <w:smartTag w:uri="urn:schemas-microsoft-com:office:smarttags" w:element="PersonName">
        <w:r w:rsidRPr="007563D4">
          <w:rPr>
            <w:rFonts w:ascii="Arial" w:hAnsi="Arial" w:cs="Arial"/>
          </w:rPr>
          <w:t>hr</w:t>
        </w:r>
      </w:smartTag>
      <w:r w:rsidRPr="007563D4">
        <w:rPr>
          <w:rFonts w:ascii="Arial" w:hAnsi="Arial" w:cs="Arial"/>
        </w:rPr>
        <w:t>onic GVHD includes only localized skin involvement and/or liver dysfunction</w:t>
      </w:r>
      <w:r w:rsidR="00F91ED8">
        <w:rPr>
          <w:rFonts w:ascii="Arial" w:hAnsi="Arial" w:cs="Arial"/>
        </w:rPr>
        <w:t xml:space="preserve">.  </w:t>
      </w:r>
      <w:r w:rsidRPr="007563D4">
        <w:rPr>
          <w:rFonts w:ascii="Arial" w:hAnsi="Arial" w:cs="Arial"/>
        </w:rPr>
        <w:t xml:space="preserve">Report “extensive” if </w:t>
      </w:r>
      <w:r w:rsidRPr="007563D4">
        <w:rPr>
          <w:rFonts w:ascii="Arial" w:hAnsi="Arial" w:cs="Arial"/>
          <w:b/>
        </w:rPr>
        <w:t>any</w:t>
      </w:r>
      <w:r w:rsidRPr="007563D4">
        <w:rPr>
          <w:rFonts w:ascii="Arial" w:hAnsi="Arial" w:cs="Arial"/>
        </w:rPr>
        <w:t xml:space="preserve"> of the following symptoms are attributed to chronic GVHD:</w:t>
      </w:r>
    </w:p>
    <w:p w14:paraId="72F74A3B" w14:textId="32DB8CFF" w:rsidR="00FC765B" w:rsidRPr="007563D4" w:rsidRDefault="00FC765B" w:rsidP="00FC765B">
      <w:pPr>
        <w:numPr>
          <w:ilvl w:val="0"/>
          <w:numId w:val="16"/>
        </w:numPr>
        <w:spacing w:before="120" w:after="120"/>
        <w:rPr>
          <w:rFonts w:ascii="Arial" w:hAnsi="Arial" w:cs="Arial"/>
        </w:rPr>
      </w:pPr>
      <w:r w:rsidRPr="007563D4">
        <w:rPr>
          <w:rFonts w:ascii="Arial" w:hAnsi="Arial" w:cs="Arial"/>
        </w:rPr>
        <w:t>Generalized skin involvement; or,</w:t>
      </w:r>
    </w:p>
    <w:p w14:paraId="13E7C122" w14:textId="0A66EEE2" w:rsidR="00FC765B" w:rsidRPr="007563D4" w:rsidRDefault="00FC765B" w:rsidP="00FC765B">
      <w:pPr>
        <w:numPr>
          <w:ilvl w:val="0"/>
          <w:numId w:val="16"/>
        </w:numPr>
        <w:spacing w:after="120"/>
        <w:rPr>
          <w:rFonts w:ascii="Arial" w:hAnsi="Arial" w:cs="Arial"/>
        </w:rPr>
      </w:pPr>
      <w:r w:rsidRPr="007563D4">
        <w:rPr>
          <w:rFonts w:ascii="Arial" w:hAnsi="Arial" w:cs="Arial"/>
        </w:rPr>
        <w:t>Liver histology showing chronic aggressive hepatitis, bridging necrosis, or cirrhosis; or</w:t>
      </w:r>
    </w:p>
    <w:p w14:paraId="3CE8E708" w14:textId="7E0F4211" w:rsidR="00FC765B" w:rsidRPr="007563D4" w:rsidRDefault="00FC765B" w:rsidP="00FC765B">
      <w:pPr>
        <w:numPr>
          <w:ilvl w:val="0"/>
          <w:numId w:val="16"/>
        </w:numPr>
        <w:spacing w:after="120"/>
        <w:rPr>
          <w:rFonts w:ascii="Arial" w:hAnsi="Arial" w:cs="Arial"/>
        </w:rPr>
      </w:pPr>
      <w:r w:rsidRPr="007563D4">
        <w:rPr>
          <w:rFonts w:ascii="Arial" w:hAnsi="Arial" w:cs="Arial"/>
        </w:rPr>
        <w:t>I</w:t>
      </w:r>
      <w:r w:rsidR="00AD41FC">
        <w:rPr>
          <w:rFonts w:ascii="Arial" w:hAnsi="Arial" w:cs="Arial"/>
        </w:rPr>
        <w:t xml:space="preserve">nvolvement of the eye with </w:t>
      </w:r>
      <w:r w:rsidRPr="007563D4">
        <w:rPr>
          <w:rFonts w:ascii="Arial" w:hAnsi="Arial" w:cs="Arial"/>
        </w:rPr>
        <w:t>or</w:t>
      </w:r>
      <w:r w:rsidR="00AD41FC">
        <w:rPr>
          <w:rFonts w:ascii="Arial" w:hAnsi="Arial" w:cs="Arial"/>
        </w:rPr>
        <w:t xml:space="preserve"> without </w:t>
      </w:r>
      <w:proofErr w:type="spellStart"/>
      <w:r w:rsidR="00AD41FC">
        <w:rPr>
          <w:rFonts w:ascii="Arial" w:hAnsi="Arial" w:cs="Arial"/>
        </w:rPr>
        <w:t>Schirmer’s</w:t>
      </w:r>
      <w:proofErr w:type="spellEnd"/>
      <w:r w:rsidR="00AD41FC">
        <w:rPr>
          <w:rFonts w:ascii="Arial" w:hAnsi="Arial" w:cs="Arial"/>
        </w:rPr>
        <w:t xml:space="preserve"> test; or</w:t>
      </w:r>
    </w:p>
    <w:p w14:paraId="4DF3E1CA" w14:textId="569BF260" w:rsidR="00FC765B" w:rsidRPr="007563D4" w:rsidRDefault="00FC765B" w:rsidP="00FC765B">
      <w:pPr>
        <w:numPr>
          <w:ilvl w:val="0"/>
          <w:numId w:val="16"/>
        </w:numPr>
        <w:spacing w:after="120"/>
        <w:rPr>
          <w:rFonts w:ascii="Arial" w:hAnsi="Arial" w:cs="Arial"/>
        </w:rPr>
      </w:pPr>
      <w:r w:rsidRPr="007563D4">
        <w:rPr>
          <w:rFonts w:ascii="Arial" w:hAnsi="Arial" w:cs="Arial"/>
        </w:rPr>
        <w:t>Involvement of the salivary glands or oral mucous membranes</w:t>
      </w:r>
      <w:r w:rsidR="00C146B2">
        <w:rPr>
          <w:rFonts w:ascii="Arial" w:hAnsi="Arial" w:cs="Arial"/>
        </w:rPr>
        <w:t xml:space="preserve"> with or without labial biopsy; or</w:t>
      </w:r>
    </w:p>
    <w:p w14:paraId="45C92248" w14:textId="2C1CD812" w:rsidR="00FC765B" w:rsidRPr="007563D4" w:rsidRDefault="00FC765B" w:rsidP="00FC765B">
      <w:pPr>
        <w:numPr>
          <w:ilvl w:val="0"/>
          <w:numId w:val="16"/>
        </w:numPr>
        <w:spacing w:after="120"/>
        <w:rPr>
          <w:rFonts w:ascii="Arial" w:hAnsi="Arial" w:cs="Arial"/>
        </w:rPr>
      </w:pPr>
      <w:r w:rsidRPr="007563D4">
        <w:rPr>
          <w:rFonts w:ascii="Arial" w:hAnsi="Arial" w:cs="Arial"/>
        </w:rPr>
        <w:t>Involvement of any other target organ</w:t>
      </w:r>
      <w:r w:rsidR="00AC5319">
        <w:rPr>
          <w:rFonts w:ascii="Arial" w:hAnsi="Arial" w:cs="Arial"/>
        </w:rPr>
        <w:t>.</w:t>
      </w:r>
    </w:p>
    <w:p w14:paraId="33AB2F18" w14:textId="1330649B" w:rsidR="00F84477" w:rsidRPr="00A027BA" w:rsidRDefault="007563D4" w:rsidP="00337399">
      <w:pPr>
        <w:autoSpaceDE w:val="0"/>
        <w:autoSpaceDN w:val="0"/>
        <w:adjustRightInd w:val="0"/>
        <w:rPr>
          <w:rFonts w:ascii="Arial" w:hAnsi="Arial" w:cs="Arial"/>
          <w:b/>
          <w:highlight w:val="yellow"/>
        </w:rPr>
      </w:pPr>
      <w:r w:rsidRPr="00A027BA">
        <w:rPr>
          <w:rFonts w:ascii="Arial" w:hAnsi="Arial" w:cs="Arial"/>
          <w:b/>
          <w:noProof/>
          <w:highlight w:val="yellow"/>
        </w:rPr>
        <mc:AlternateContent>
          <mc:Choice Requires="wps">
            <w:drawing>
              <wp:anchor distT="0" distB="0" distL="114300" distR="114300" simplePos="0" relativeHeight="251665408" behindDoc="0" locked="0" layoutInCell="1" allowOverlap="1" wp14:anchorId="504E56B0" wp14:editId="098482A6">
                <wp:simplePos x="0" y="0"/>
                <wp:positionH relativeFrom="margin">
                  <wp:align>right</wp:align>
                </wp:positionH>
                <wp:positionV relativeFrom="paragraph">
                  <wp:posOffset>109855</wp:posOffset>
                </wp:positionV>
                <wp:extent cx="5943600" cy="1143000"/>
                <wp:effectExtent l="0" t="0" r="0" b="0"/>
                <wp:wrapNone/>
                <wp:docPr id="46" name="Text Box 46"/>
                <wp:cNvGraphicFramePr/>
                <a:graphic xmlns:a="http://schemas.openxmlformats.org/drawingml/2006/main">
                  <a:graphicData uri="http://schemas.microsoft.com/office/word/2010/wordprocessingShape">
                    <wps:wsp>
                      <wps:cNvSpPr txBox="1"/>
                      <wps:spPr>
                        <a:xfrm>
                          <a:off x="0" y="0"/>
                          <a:ext cx="5943600" cy="1143000"/>
                        </a:xfrm>
                        <a:prstGeom prst="rect">
                          <a:avLst/>
                        </a:prstGeom>
                        <a:solidFill>
                          <a:schemeClr val="accent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3A3EFC5" w14:textId="77777777" w:rsidR="00632864" w:rsidRDefault="00632864">
                            <w:pPr>
                              <w:rPr>
                                <w:rFonts w:ascii="Arial" w:hAnsi="Arial" w:cs="Arial"/>
                                <w:b/>
                                <w:color w:val="FFFFFF" w:themeColor="background1"/>
                              </w:rPr>
                            </w:pPr>
                            <w:proofErr w:type="gramStart"/>
                            <w:r w:rsidRPr="009829F8">
                              <w:rPr>
                                <w:rFonts w:ascii="Arial" w:hAnsi="Arial" w:cs="Arial"/>
                                <w:b/>
                                <w:color w:val="FFFFFF" w:themeColor="background1"/>
                              </w:rPr>
                              <w:t xml:space="preserve">Reporting Stage of Chronic GVHD (Sullivan KM, </w:t>
                            </w:r>
                            <w:r w:rsidRPr="009829F8">
                              <w:rPr>
                                <w:rFonts w:ascii="Arial" w:hAnsi="Arial" w:cs="Arial"/>
                                <w:b/>
                                <w:i/>
                                <w:color w:val="FFFFFF" w:themeColor="background1"/>
                              </w:rPr>
                              <w:t>Blood</w:t>
                            </w:r>
                            <w:r w:rsidRPr="009829F8">
                              <w:rPr>
                                <w:rFonts w:ascii="Arial" w:hAnsi="Arial" w:cs="Arial"/>
                                <w:b/>
                                <w:color w:val="FFFFFF" w:themeColor="background1"/>
                              </w:rPr>
                              <w:t xml:space="preserve"> 1981; 57:267.</w:t>
                            </w:r>
                            <w:r>
                              <w:rPr>
                                <w:rFonts w:ascii="Arial" w:hAnsi="Arial" w:cs="Arial"/>
                                <w:b/>
                                <w:color w:val="FFFFFF" w:themeColor="background1"/>
                              </w:rPr>
                              <w:t>)</w:t>
                            </w:r>
                            <w:proofErr w:type="gramEnd"/>
                          </w:p>
                          <w:p w14:paraId="23324BCF" w14:textId="77777777" w:rsidR="00632864" w:rsidRDefault="00632864">
                            <w:pPr>
                              <w:rPr>
                                <w:rFonts w:ascii="Arial" w:hAnsi="Arial" w:cs="Arial"/>
                                <w:b/>
                                <w:color w:val="FFFFFF" w:themeColor="background1"/>
                              </w:rPr>
                            </w:pPr>
                          </w:p>
                          <w:p w14:paraId="5B93059C" w14:textId="77777777" w:rsidR="00632864" w:rsidRDefault="00632864">
                            <w:pPr>
                              <w:rPr>
                                <w:rFonts w:ascii="Arial" w:hAnsi="Arial" w:cs="Arial"/>
                                <w:color w:val="FFFFFF" w:themeColor="background1"/>
                              </w:rPr>
                            </w:pPr>
                            <w:r w:rsidRPr="009829F8">
                              <w:rPr>
                                <w:rFonts w:ascii="Arial" w:hAnsi="Arial" w:cs="Arial"/>
                                <w:b/>
                                <w:color w:val="FFFFFF" w:themeColor="background1"/>
                              </w:rPr>
                              <w:t>Limited:</w:t>
                            </w:r>
                            <w:r w:rsidRPr="009829F8">
                              <w:rPr>
                                <w:rFonts w:ascii="Arial" w:hAnsi="Arial" w:cs="Arial"/>
                                <w:color w:val="FFFFFF" w:themeColor="background1"/>
                              </w:rPr>
                              <w:t xml:space="preserve"> Localized skin involvement resembling localized scleroderma with or without liver involvement; no other organ involvement</w:t>
                            </w:r>
                            <w:r>
                              <w:rPr>
                                <w:rFonts w:ascii="Arial" w:hAnsi="Arial" w:cs="Arial"/>
                                <w:color w:val="FFFFFF" w:themeColor="background1"/>
                              </w:rPr>
                              <w:t>.</w:t>
                            </w:r>
                          </w:p>
                          <w:p w14:paraId="324B2177" w14:textId="77777777" w:rsidR="00632864" w:rsidRDefault="00632864">
                            <w:pPr>
                              <w:rPr>
                                <w:rFonts w:ascii="Arial" w:hAnsi="Arial" w:cs="Arial"/>
                                <w:color w:val="FFFFFF" w:themeColor="background1"/>
                              </w:rPr>
                            </w:pPr>
                          </w:p>
                          <w:p w14:paraId="074FAC5F" w14:textId="77777777" w:rsidR="00632864" w:rsidRDefault="00632864">
                            <w:pPr>
                              <w:rPr>
                                <w:rFonts w:ascii="Arial" w:hAnsi="Arial" w:cs="Arial"/>
                                <w:color w:val="FFFFFF" w:themeColor="background1"/>
                              </w:rPr>
                            </w:pPr>
                            <w:r w:rsidRPr="009829F8">
                              <w:rPr>
                                <w:rFonts w:ascii="Arial" w:hAnsi="Arial" w:cs="Arial"/>
                                <w:b/>
                                <w:color w:val="FFFFFF" w:themeColor="background1"/>
                              </w:rPr>
                              <w:t>Extensive:</w:t>
                            </w:r>
                            <w:r w:rsidRPr="009829F8">
                              <w:rPr>
                                <w:rFonts w:ascii="Arial" w:hAnsi="Arial" w:cs="Arial"/>
                                <w:color w:val="FFFFFF" w:themeColor="background1"/>
                              </w:rPr>
                              <w:t xml:space="preserve"> Generalized skin and/or multiple organ involvement</w:t>
                            </w:r>
                            <w:r>
                              <w:rPr>
                                <w:rFonts w:ascii="Arial" w:hAnsi="Arial" w:cs="Arial"/>
                                <w:color w:val="FFFFFF" w:themeColor="background1"/>
                              </w:rPr>
                              <w:t>.</w:t>
                            </w:r>
                          </w:p>
                          <w:p w14:paraId="2589611C" w14:textId="77777777" w:rsidR="00632864" w:rsidRDefault="00632864">
                            <w:pPr>
                              <w:rPr>
                                <w:rFonts w:ascii="Arial" w:hAnsi="Arial" w:cs="Arial"/>
                                <w:color w:val="FFFFFF" w:themeColor="background1"/>
                              </w:rPr>
                            </w:pPr>
                          </w:p>
                          <w:p w14:paraId="16947FB2" w14:textId="77777777" w:rsidR="00632864" w:rsidRDefault="006328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6" o:spid="_x0000_s1032" type="#_x0000_t202" style="position:absolute;margin-left:416.8pt;margin-top:8.65pt;width:468pt;height:90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" fillcolor="#63a70a [3205]" stroked="f" strokeweight=".5pt">
                <v:textbox>
                  <w:txbxContent>
                    <w:p w14:paraId="63A3EFC5" w14:textId="77777777" w:rsidR="00632864" w:rsidRDefault="00632864">
                      <w:pPr>
                        <w:rPr>
                          <w:rFonts w:ascii="Arial" w:hAnsi="Arial" w:cs="Arial"/>
                          <w:b/>
                          <w:color w:val="FFFFFF" w:themeColor="background1"/>
                        </w:rPr>
                      </w:pPr>
                      <w:proofErr w:type="gramStart"/>
                      <w:r w:rsidRPr="009829F8">
                        <w:rPr>
                          <w:rFonts w:ascii="Arial" w:hAnsi="Arial" w:cs="Arial"/>
                          <w:b/>
                          <w:color w:val="FFFFFF" w:themeColor="background1"/>
                        </w:rPr>
                        <w:t xml:space="preserve">Reporting Stage of Chronic GVHD (Sullivan KM, </w:t>
                      </w:r>
                      <w:r w:rsidRPr="009829F8">
                        <w:rPr>
                          <w:rFonts w:ascii="Arial" w:hAnsi="Arial" w:cs="Arial"/>
                          <w:b/>
                          <w:i/>
                          <w:color w:val="FFFFFF" w:themeColor="background1"/>
                        </w:rPr>
                        <w:t>Blood</w:t>
                      </w:r>
                      <w:r w:rsidRPr="009829F8">
                        <w:rPr>
                          <w:rFonts w:ascii="Arial" w:hAnsi="Arial" w:cs="Arial"/>
                          <w:b/>
                          <w:color w:val="FFFFFF" w:themeColor="background1"/>
                        </w:rPr>
                        <w:t xml:space="preserve"> 1981; 57:267.</w:t>
                      </w:r>
                      <w:r>
                        <w:rPr>
                          <w:rFonts w:ascii="Arial" w:hAnsi="Arial" w:cs="Arial"/>
                          <w:b/>
                          <w:color w:val="FFFFFF" w:themeColor="background1"/>
                        </w:rPr>
                        <w:t>)</w:t>
                      </w:r>
                      <w:proofErr w:type="gramEnd"/>
                    </w:p>
                    <w:p w14:paraId="23324BCF" w14:textId="77777777" w:rsidR="00632864" w:rsidRDefault="00632864">
                      <w:pPr>
                        <w:rPr>
                          <w:rFonts w:ascii="Arial" w:hAnsi="Arial" w:cs="Arial"/>
                          <w:b/>
                          <w:color w:val="FFFFFF" w:themeColor="background1"/>
                        </w:rPr>
                      </w:pPr>
                    </w:p>
                    <w:p w14:paraId="5B93059C" w14:textId="77777777" w:rsidR="00632864" w:rsidRDefault="00632864">
                      <w:pPr>
                        <w:rPr>
                          <w:rFonts w:ascii="Arial" w:hAnsi="Arial" w:cs="Arial"/>
                          <w:color w:val="FFFFFF" w:themeColor="background1"/>
                        </w:rPr>
                      </w:pPr>
                      <w:r w:rsidRPr="009829F8">
                        <w:rPr>
                          <w:rFonts w:ascii="Arial" w:hAnsi="Arial" w:cs="Arial"/>
                          <w:b/>
                          <w:color w:val="FFFFFF" w:themeColor="background1"/>
                        </w:rPr>
                        <w:t>Limited:</w:t>
                      </w:r>
                      <w:r w:rsidRPr="009829F8">
                        <w:rPr>
                          <w:rFonts w:ascii="Arial" w:hAnsi="Arial" w:cs="Arial"/>
                          <w:color w:val="FFFFFF" w:themeColor="background1"/>
                        </w:rPr>
                        <w:t xml:space="preserve"> Localized skin involvement resembling localized scleroderma with or without liver involvement; no other organ involvement</w:t>
                      </w:r>
                      <w:r>
                        <w:rPr>
                          <w:rFonts w:ascii="Arial" w:hAnsi="Arial" w:cs="Arial"/>
                          <w:color w:val="FFFFFF" w:themeColor="background1"/>
                        </w:rPr>
                        <w:t>.</w:t>
                      </w:r>
                    </w:p>
                    <w:p w14:paraId="324B2177" w14:textId="77777777" w:rsidR="00632864" w:rsidRDefault="00632864">
                      <w:pPr>
                        <w:rPr>
                          <w:rFonts w:ascii="Arial" w:hAnsi="Arial" w:cs="Arial"/>
                          <w:color w:val="FFFFFF" w:themeColor="background1"/>
                        </w:rPr>
                      </w:pPr>
                    </w:p>
                    <w:p w14:paraId="074FAC5F" w14:textId="77777777" w:rsidR="00632864" w:rsidRDefault="00632864">
                      <w:pPr>
                        <w:rPr>
                          <w:rFonts w:ascii="Arial" w:hAnsi="Arial" w:cs="Arial"/>
                          <w:color w:val="FFFFFF" w:themeColor="background1"/>
                        </w:rPr>
                      </w:pPr>
                      <w:r w:rsidRPr="009829F8">
                        <w:rPr>
                          <w:rFonts w:ascii="Arial" w:hAnsi="Arial" w:cs="Arial"/>
                          <w:b/>
                          <w:color w:val="FFFFFF" w:themeColor="background1"/>
                        </w:rPr>
                        <w:t>Extensive:</w:t>
                      </w:r>
                      <w:r w:rsidRPr="009829F8">
                        <w:rPr>
                          <w:rFonts w:ascii="Arial" w:hAnsi="Arial" w:cs="Arial"/>
                          <w:color w:val="FFFFFF" w:themeColor="background1"/>
                        </w:rPr>
                        <w:t xml:space="preserve"> Generalized skin and/or multiple organ involvement</w:t>
                      </w:r>
                      <w:r>
                        <w:rPr>
                          <w:rFonts w:ascii="Arial" w:hAnsi="Arial" w:cs="Arial"/>
                          <w:color w:val="FFFFFF" w:themeColor="background1"/>
                        </w:rPr>
                        <w:t>.</w:t>
                      </w:r>
                    </w:p>
                    <w:p w14:paraId="2589611C" w14:textId="77777777" w:rsidR="00632864" w:rsidRDefault="00632864">
                      <w:pPr>
                        <w:rPr>
                          <w:rFonts w:ascii="Arial" w:hAnsi="Arial" w:cs="Arial"/>
                          <w:color w:val="FFFFFF" w:themeColor="background1"/>
                        </w:rPr>
                      </w:pPr>
                    </w:p>
                    <w:p w14:paraId="16947FB2" w14:textId="77777777" w:rsidR="00632864" w:rsidRDefault="00632864"/>
                  </w:txbxContent>
                </v:textbox>
                <w10:wrap anchorx="margin"/>
              </v:shape>
            </w:pict>
          </mc:Fallback>
        </mc:AlternateContent>
      </w:r>
    </w:p>
    <w:p w14:paraId="493A7047" w14:textId="77777777" w:rsidR="00F84477" w:rsidRPr="00A027BA" w:rsidRDefault="00F84477" w:rsidP="00337399">
      <w:pPr>
        <w:autoSpaceDE w:val="0"/>
        <w:autoSpaceDN w:val="0"/>
        <w:adjustRightInd w:val="0"/>
        <w:rPr>
          <w:rFonts w:ascii="Arial" w:hAnsi="Arial" w:cs="Arial"/>
          <w:b/>
          <w:highlight w:val="yellow"/>
        </w:rPr>
      </w:pPr>
    </w:p>
    <w:p w14:paraId="61F23559" w14:textId="77777777" w:rsidR="00F84477" w:rsidRPr="00A027BA" w:rsidRDefault="00F84477" w:rsidP="00337399">
      <w:pPr>
        <w:autoSpaceDE w:val="0"/>
        <w:autoSpaceDN w:val="0"/>
        <w:adjustRightInd w:val="0"/>
        <w:rPr>
          <w:rFonts w:ascii="Arial" w:hAnsi="Arial" w:cs="Arial"/>
          <w:b/>
          <w:highlight w:val="yellow"/>
        </w:rPr>
      </w:pPr>
    </w:p>
    <w:p w14:paraId="23F58434" w14:textId="77777777" w:rsidR="00F84477" w:rsidRPr="00A027BA" w:rsidRDefault="00F84477" w:rsidP="00337399">
      <w:pPr>
        <w:autoSpaceDE w:val="0"/>
        <w:autoSpaceDN w:val="0"/>
        <w:adjustRightInd w:val="0"/>
        <w:rPr>
          <w:rFonts w:ascii="Arial" w:hAnsi="Arial" w:cs="Arial"/>
          <w:b/>
          <w:highlight w:val="yellow"/>
        </w:rPr>
      </w:pPr>
    </w:p>
    <w:p w14:paraId="1CDD95CF" w14:textId="77777777" w:rsidR="00F84477" w:rsidRPr="00A027BA" w:rsidRDefault="00F84477" w:rsidP="00337399">
      <w:pPr>
        <w:autoSpaceDE w:val="0"/>
        <w:autoSpaceDN w:val="0"/>
        <w:adjustRightInd w:val="0"/>
        <w:rPr>
          <w:rFonts w:ascii="Arial" w:hAnsi="Arial" w:cs="Arial"/>
          <w:b/>
          <w:highlight w:val="yellow"/>
        </w:rPr>
      </w:pPr>
    </w:p>
    <w:p w14:paraId="7BC8F4A5" w14:textId="77777777" w:rsidR="00F84477" w:rsidRPr="00A027BA" w:rsidRDefault="00F84477" w:rsidP="00337399">
      <w:pPr>
        <w:autoSpaceDE w:val="0"/>
        <w:autoSpaceDN w:val="0"/>
        <w:adjustRightInd w:val="0"/>
        <w:rPr>
          <w:rFonts w:ascii="Arial" w:hAnsi="Arial" w:cs="Arial"/>
          <w:b/>
          <w:highlight w:val="yellow"/>
        </w:rPr>
      </w:pPr>
    </w:p>
    <w:p w14:paraId="6B057CA4" w14:textId="29E3DC5B" w:rsidR="00337399" w:rsidRPr="00A027BA" w:rsidRDefault="007563D4" w:rsidP="007563D4">
      <w:pPr>
        <w:autoSpaceDE w:val="0"/>
        <w:autoSpaceDN w:val="0"/>
        <w:adjustRightInd w:val="0"/>
        <w:rPr>
          <w:rFonts w:ascii="Arial" w:hAnsi="Arial" w:cs="Arial"/>
          <w:b/>
          <w:highlight w:val="yellow"/>
          <w:u w:val="single"/>
        </w:rPr>
      </w:pPr>
      <w:r>
        <w:rPr>
          <w:rFonts w:ascii="Arial" w:hAnsi="Arial" w:cs="Arial"/>
          <w:b/>
          <w:highlight w:val="yellow"/>
        </w:rPr>
        <w:t xml:space="preserve"> </w:t>
      </w:r>
    </w:p>
    <w:p w14:paraId="42903DAA" w14:textId="77777777" w:rsidR="00632864" w:rsidRDefault="00632864" w:rsidP="00337399">
      <w:pPr>
        <w:autoSpaceDE w:val="0"/>
        <w:autoSpaceDN w:val="0"/>
        <w:adjustRightInd w:val="0"/>
        <w:rPr>
          <w:rFonts w:ascii="Arial" w:hAnsi="Arial" w:cs="Arial"/>
          <w:b/>
        </w:rPr>
      </w:pPr>
    </w:p>
    <w:p w14:paraId="4C8B949E" w14:textId="1C9E9ADF" w:rsidR="0003055D" w:rsidRPr="007563D4" w:rsidRDefault="0003055D" w:rsidP="00337399">
      <w:pPr>
        <w:autoSpaceDE w:val="0"/>
        <w:autoSpaceDN w:val="0"/>
        <w:adjustRightInd w:val="0"/>
        <w:rPr>
          <w:rFonts w:ascii="Arial" w:hAnsi="Arial" w:cs="Arial"/>
          <w:b/>
        </w:rPr>
      </w:pPr>
      <w:r w:rsidRPr="007563D4">
        <w:rPr>
          <w:rFonts w:ascii="Arial" w:hAnsi="Arial" w:cs="Arial"/>
          <w:b/>
        </w:rPr>
        <w:t xml:space="preserve">Question 36: </w:t>
      </w:r>
      <w:r w:rsidR="005A3F32">
        <w:rPr>
          <w:rFonts w:ascii="Arial" w:hAnsi="Arial" w:cs="Arial"/>
          <w:b/>
        </w:rPr>
        <w:t xml:space="preserve"> </w:t>
      </w:r>
      <w:r w:rsidRPr="007563D4">
        <w:rPr>
          <w:rFonts w:ascii="Arial" w:hAnsi="Arial" w:cs="Arial"/>
          <w:b/>
        </w:rPr>
        <w:t>Date o</w:t>
      </w:r>
      <w:r w:rsidR="003E7677" w:rsidRPr="007563D4">
        <w:rPr>
          <w:rFonts w:ascii="Arial" w:hAnsi="Arial" w:cs="Arial"/>
          <w:b/>
        </w:rPr>
        <w:t>f maximum grade of chronic GVHD</w:t>
      </w:r>
    </w:p>
    <w:p w14:paraId="54FDD678" w14:textId="71E6E3AD" w:rsidR="007563D4" w:rsidRDefault="007563D4" w:rsidP="007563D4">
      <w:pPr>
        <w:autoSpaceDE w:val="0"/>
        <w:autoSpaceDN w:val="0"/>
        <w:adjustRightInd w:val="0"/>
        <w:rPr>
          <w:rFonts w:ascii="Arial" w:hAnsi="Arial" w:cs="Arial"/>
        </w:rPr>
      </w:pPr>
      <w:r w:rsidRPr="007563D4">
        <w:rPr>
          <w:rFonts w:ascii="Arial" w:hAnsi="Arial" w:cs="Arial"/>
        </w:rPr>
        <w:t>Report the date of maximum chronic GVHD involvement, based on clinical grade</w:t>
      </w:r>
      <w:r w:rsidR="00F91ED8">
        <w:rPr>
          <w:rFonts w:ascii="Arial" w:hAnsi="Arial" w:cs="Arial"/>
        </w:rPr>
        <w:t xml:space="preserve">.  </w:t>
      </w:r>
      <w:r w:rsidRPr="007563D4">
        <w:rPr>
          <w:rFonts w:ascii="Arial" w:hAnsi="Arial" w:cs="Arial"/>
        </w:rPr>
        <w:t>If the recipient had multiple instances in which their GVHD reached the same maximum grade, report the earliest</w:t>
      </w:r>
      <w:r w:rsidR="00C146B2">
        <w:rPr>
          <w:rFonts w:ascii="Arial" w:hAnsi="Arial" w:cs="Arial"/>
        </w:rPr>
        <w:t xml:space="preserve"> date</w:t>
      </w:r>
      <w:r w:rsidRPr="007563D4">
        <w:rPr>
          <w:rFonts w:ascii="Arial" w:hAnsi="Arial" w:cs="Arial"/>
        </w:rPr>
        <w:t>.</w:t>
      </w:r>
    </w:p>
    <w:p w14:paraId="21D140C0" w14:textId="77777777" w:rsidR="0003055D" w:rsidRPr="00A027BA" w:rsidRDefault="0003055D" w:rsidP="00337399">
      <w:pPr>
        <w:autoSpaceDE w:val="0"/>
        <w:autoSpaceDN w:val="0"/>
        <w:adjustRightInd w:val="0"/>
        <w:rPr>
          <w:rFonts w:ascii="Arial" w:hAnsi="Arial" w:cs="Arial"/>
          <w:b/>
          <w:highlight w:val="yellow"/>
        </w:rPr>
      </w:pPr>
    </w:p>
    <w:p w14:paraId="73ADC6EF" w14:textId="0BA82266" w:rsidR="0003055D" w:rsidRPr="008011A3" w:rsidRDefault="0003055D" w:rsidP="00337399">
      <w:pPr>
        <w:autoSpaceDE w:val="0"/>
        <w:autoSpaceDN w:val="0"/>
        <w:adjustRightInd w:val="0"/>
        <w:rPr>
          <w:rFonts w:ascii="Arial" w:hAnsi="Arial" w:cs="Arial"/>
        </w:rPr>
      </w:pPr>
      <w:r w:rsidRPr="008011A3">
        <w:rPr>
          <w:rFonts w:ascii="Arial" w:hAnsi="Arial" w:cs="Arial"/>
          <w:b/>
        </w:rPr>
        <w:t>Question 37:</w:t>
      </w:r>
      <w:r w:rsidR="005A3F32">
        <w:rPr>
          <w:rFonts w:ascii="Arial" w:hAnsi="Arial" w:cs="Arial"/>
          <w:b/>
        </w:rPr>
        <w:t xml:space="preserve"> </w:t>
      </w:r>
      <w:r w:rsidRPr="008011A3">
        <w:rPr>
          <w:rFonts w:ascii="Arial" w:hAnsi="Arial" w:cs="Arial"/>
          <w:b/>
        </w:rPr>
        <w:t xml:space="preserve"> Is the recipient still taking systemic steroids</w:t>
      </w:r>
      <w:proofErr w:type="gramStart"/>
      <w:r w:rsidRPr="008011A3">
        <w:rPr>
          <w:rFonts w:ascii="Arial" w:hAnsi="Arial" w:cs="Arial"/>
          <w:b/>
        </w:rPr>
        <w:t xml:space="preserve">? </w:t>
      </w:r>
      <w:proofErr w:type="gramEnd"/>
      <w:r w:rsidRPr="008011A3">
        <w:rPr>
          <w:rFonts w:ascii="Arial" w:hAnsi="Arial" w:cs="Arial"/>
          <w:b/>
        </w:rPr>
        <w:t>(Do not report steroids for adrenal insufficiency, ≤10 mg/day for adults, &lt;0.1 mg/kg/day for children)</w:t>
      </w:r>
    </w:p>
    <w:p w14:paraId="74DBC5D2" w14:textId="7D03FBC7" w:rsidR="00884901" w:rsidRPr="008011A3" w:rsidRDefault="00884901" w:rsidP="00337399">
      <w:pPr>
        <w:autoSpaceDE w:val="0"/>
        <w:autoSpaceDN w:val="0"/>
        <w:adjustRightInd w:val="0"/>
        <w:rPr>
          <w:rFonts w:ascii="Arial" w:hAnsi="Arial" w:cs="Arial"/>
        </w:rPr>
      </w:pPr>
      <w:r w:rsidRPr="008011A3">
        <w:rPr>
          <w:rFonts w:ascii="Arial" w:hAnsi="Arial" w:cs="Arial"/>
        </w:rPr>
        <w:t>Indicate whether the recipient continues on systemic steroids for GVHD treatment or prophylaxis as of the end of the reporting period</w:t>
      </w:r>
      <w:r w:rsidR="00F91ED8">
        <w:rPr>
          <w:rFonts w:ascii="Arial" w:hAnsi="Arial" w:cs="Arial"/>
        </w:rPr>
        <w:t xml:space="preserve">.  </w:t>
      </w:r>
      <w:r w:rsidRPr="008011A3">
        <w:rPr>
          <w:rFonts w:ascii="Arial" w:hAnsi="Arial" w:cs="Arial"/>
        </w:rPr>
        <w:t xml:space="preserve">If the recipient continues on steroids, report “yes.” If the recipient received systemic steroids at any time post-transplant and steroids were discontinued in the current or previous reporting periods, indicate “no.” If the recipient has never received systemic steroids for GVHD prophylaxis or treatment to date, report “not applicable.” Do not report steroids given for adrenal insufficiency or in doses of </w:t>
      </w:r>
      <w:r w:rsidR="008011A3" w:rsidRPr="008011A3">
        <w:rPr>
          <w:rFonts w:ascii="Arial" w:hAnsi="Arial" w:cs="Arial"/>
        </w:rPr>
        <w:t>≤</w:t>
      </w:r>
      <w:r w:rsidRPr="008011A3">
        <w:rPr>
          <w:rFonts w:ascii="Arial" w:hAnsi="Arial" w:cs="Arial"/>
        </w:rPr>
        <w:t xml:space="preserve"> 10 mg/day for adults or &lt; 0.1 mg/kg/day for pediatric recipients</w:t>
      </w:r>
      <w:r w:rsidR="00F91ED8">
        <w:rPr>
          <w:rFonts w:ascii="Arial" w:hAnsi="Arial" w:cs="Arial"/>
        </w:rPr>
        <w:t xml:space="preserve">.  </w:t>
      </w:r>
      <w:r w:rsidRPr="008011A3">
        <w:rPr>
          <w:rFonts w:ascii="Arial" w:hAnsi="Arial" w:cs="Arial"/>
        </w:rPr>
        <w:t xml:space="preserve">Do not report topical </w:t>
      </w:r>
      <w:r w:rsidR="00EF203F">
        <w:rPr>
          <w:rFonts w:ascii="Arial" w:hAnsi="Arial" w:cs="Arial"/>
        </w:rPr>
        <w:t xml:space="preserve">or locally acting </w:t>
      </w:r>
      <w:r w:rsidRPr="008011A3">
        <w:rPr>
          <w:rFonts w:ascii="Arial" w:hAnsi="Arial" w:cs="Arial"/>
        </w:rPr>
        <w:t xml:space="preserve">steroids; topical steroids include creams and </w:t>
      </w:r>
      <w:r w:rsidR="008011A3" w:rsidRPr="008011A3">
        <w:rPr>
          <w:rFonts w:ascii="Arial" w:hAnsi="Arial" w:cs="Arial"/>
        </w:rPr>
        <w:t xml:space="preserve">ointments, as well as inhaled (e.g., </w:t>
      </w:r>
      <w:proofErr w:type="spellStart"/>
      <w:r w:rsidR="008011A3" w:rsidRPr="008011A3">
        <w:rPr>
          <w:rFonts w:ascii="Arial" w:hAnsi="Arial" w:cs="Arial"/>
        </w:rPr>
        <w:t>Pulmicort</w:t>
      </w:r>
      <w:proofErr w:type="spellEnd"/>
      <w:r w:rsidR="008011A3" w:rsidRPr="008011A3">
        <w:rPr>
          <w:rFonts w:ascii="Arial" w:hAnsi="Arial" w:cs="Arial"/>
        </w:rPr>
        <w:t xml:space="preserve">, Budesonide) or certain oral (e.g., Budesonide, </w:t>
      </w:r>
      <w:proofErr w:type="spellStart"/>
      <w:r w:rsidR="008011A3" w:rsidRPr="008011A3">
        <w:rPr>
          <w:rFonts w:ascii="Arial" w:hAnsi="Arial" w:cs="Arial"/>
        </w:rPr>
        <w:t>Beclomethasone</w:t>
      </w:r>
      <w:proofErr w:type="spellEnd"/>
      <w:r w:rsidR="008011A3" w:rsidRPr="008011A3">
        <w:rPr>
          <w:rFonts w:ascii="Arial" w:hAnsi="Arial" w:cs="Arial"/>
        </w:rPr>
        <w:t>) forms</w:t>
      </w:r>
      <w:r w:rsidR="00F91ED8">
        <w:rPr>
          <w:rFonts w:ascii="Arial" w:hAnsi="Arial" w:cs="Arial"/>
        </w:rPr>
        <w:t xml:space="preserve">.  </w:t>
      </w:r>
      <w:r w:rsidR="00EF203F" w:rsidRPr="00A460DF">
        <w:rPr>
          <w:rFonts w:ascii="Arial" w:hAnsi="Arial" w:cs="Arial"/>
        </w:rPr>
        <w:t xml:space="preserve">Indicate “unknown” if there is no information about the recipient’s </w:t>
      </w:r>
      <w:r w:rsidR="00EF203F">
        <w:rPr>
          <w:rFonts w:ascii="Arial" w:hAnsi="Arial" w:cs="Arial"/>
        </w:rPr>
        <w:t>medication list and administration</w:t>
      </w:r>
      <w:r w:rsidR="00EF203F" w:rsidRPr="00A460DF">
        <w:rPr>
          <w:rFonts w:ascii="Arial" w:hAnsi="Arial" w:cs="Arial"/>
        </w:rPr>
        <w:t xml:space="preserve"> for the reporting period.</w:t>
      </w:r>
    </w:p>
    <w:p w14:paraId="6CB5C013" w14:textId="77777777" w:rsidR="0003055D" w:rsidRDefault="0003055D" w:rsidP="00337399">
      <w:pPr>
        <w:autoSpaceDE w:val="0"/>
        <w:autoSpaceDN w:val="0"/>
        <w:adjustRightInd w:val="0"/>
        <w:rPr>
          <w:rFonts w:ascii="Arial" w:hAnsi="Arial" w:cs="Arial"/>
          <w:b/>
          <w:highlight w:val="yellow"/>
        </w:rPr>
      </w:pPr>
    </w:p>
    <w:p w14:paraId="329A74CE" w14:textId="77777777" w:rsidR="00632864" w:rsidRDefault="00632864" w:rsidP="00337399">
      <w:pPr>
        <w:autoSpaceDE w:val="0"/>
        <w:autoSpaceDN w:val="0"/>
        <w:adjustRightInd w:val="0"/>
        <w:rPr>
          <w:rFonts w:ascii="Arial" w:hAnsi="Arial" w:cs="Arial"/>
          <w:b/>
          <w:highlight w:val="yellow"/>
        </w:rPr>
      </w:pPr>
    </w:p>
    <w:p w14:paraId="6A7FD8B4" w14:textId="77777777" w:rsidR="00632864" w:rsidRPr="00A027BA" w:rsidRDefault="00632864" w:rsidP="00337399">
      <w:pPr>
        <w:autoSpaceDE w:val="0"/>
        <w:autoSpaceDN w:val="0"/>
        <w:adjustRightInd w:val="0"/>
        <w:rPr>
          <w:rFonts w:ascii="Arial" w:hAnsi="Arial" w:cs="Arial"/>
          <w:b/>
          <w:highlight w:val="yellow"/>
        </w:rPr>
      </w:pPr>
    </w:p>
    <w:p w14:paraId="13967F7B" w14:textId="4C3C5E2C" w:rsidR="0003055D" w:rsidRDefault="0003055D" w:rsidP="00337399">
      <w:pPr>
        <w:autoSpaceDE w:val="0"/>
        <w:autoSpaceDN w:val="0"/>
        <w:adjustRightInd w:val="0"/>
        <w:rPr>
          <w:rFonts w:ascii="Arial" w:hAnsi="Arial" w:cs="Arial"/>
        </w:rPr>
      </w:pPr>
      <w:r w:rsidRPr="006C659B">
        <w:rPr>
          <w:rFonts w:ascii="Arial" w:hAnsi="Arial" w:cs="Arial"/>
          <w:b/>
        </w:rPr>
        <w:lastRenderedPageBreak/>
        <w:t xml:space="preserve">Question 38: </w:t>
      </w:r>
      <w:r w:rsidR="005A3F32">
        <w:rPr>
          <w:rFonts w:ascii="Arial" w:hAnsi="Arial" w:cs="Arial"/>
          <w:b/>
        </w:rPr>
        <w:t xml:space="preserve"> </w:t>
      </w:r>
      <w:r w:rsidRPr="006C659B">
        <w:rPr>
          <w:rFonts w:ascii="Arial" w:hAnsi="Arial" w:cs="Arial"/>
          <w:b/>
        </w:rPr>
        <w:t>Is the recipient still taking (non-steroid) immunosuppressive agents (including PUVA) for GVHD?</w:t>
      </w:r>
    </w:p>
    <w:p w14:paraId="39BB0112" w14:textId="06315EB7" w:rsidR="008011A3" w:rsidRPr="008011A3" w:rsidRDefault="00EF203F" w:rsidP="00337399">
      <w:pPr>
        <w:autoSpaceDE w:val="0"/>
        <w:autoSpaceDN w:val="0"/>
        <w:adjustRightInd w:val="0"/>
        <w:rPr>
          <w:rFonts w:ascii="Arial" w:hAnsi="Arial" w:cs="Arial"/>
        </w:rPr>
      </w:pPr>
      <w:r>
        <w:rPr>
          <w:rFonts w:ascii="Arial" w:hAnsi="Arial" w:cs="Arial"/>
        </w:rPr>
        <w:t>Indicate whether the recipient continues on immunosuppressive agents other than steroids for GVHD treatment or prophylaxis as of the end of the reporting period</w:t>
      </w:r>
      <w:r w:rsidR="00F91ED8">
        <w:rPr>
          <w:rFonts w:ascii="Arial" w:hAnsi="Arial" w:cs="Arial"/>
        </w:rPr>
        <w:t xml:space="preserve">.  </w:t>
      </w:r>
      <w:r w:rsidRPr="008011A3">
        <w:rPr>
          <w:rFonts w:ascii="Arial" w:hAnsi="Arial" w:cs="Arial"/>
        </w:rPr>
        <w:t xml:space="preserve">If the recipient continues on </w:t>
      </w:r>
      <w:r>
        <w:rPr>
          <w:rFonts w:ascii="Arial" w:hAnsi="Arial" w:cs="Arial"/>
        </w:rPr>
        <w:t>non-steroidal immunosuppressive agents</w:t>
      </w:r>
      <w:r w:rsidRPr="008011A3">
        <w:rPr>
          <w:rFonts w:ascii="Arial" w:hAnsi="Arial" w:cs="Arial"/>
        </w:rPr>
        <w:t xml:space="preserve"> as of the end of the reporting period, report “yes.” If the recipient received </w:t>
      </w:r>
      <w:r>
        <w:rPr>
          <w:rFonts w:ascii="Arial" w:hAnsi="Arial" w:cs="Arial"/>
        </w:rPr>
        <w:t>non-steroidal immunosuppressive agents</w:t>
      </w:r>
      <w:r w:rsidRPr="008011A3">
        <w:rPr>
          <w:rFonts w:ascii="Arial" w:hAnsi="Arial" w:cs="Arial"/>
        </w:rPr>
        <w:t xml:space="preserve"> at any time post-transplant and </w:t>
      </w:r>
      <w:r>
        <w:rPr>
          <w:rFonts w:ascii="Arial" w:hAnsi="Arial" w:cs="Arial"/>
        </w:rPr>
        <w:t xml:space="preserve">agents </w:t>
      </w:r>
      <w:r w:rsidRPr="008011A3">
        <w:rPr>
          <w:rFonts w:ascii="Arial" w:hAnsi="Arial" w:cs="Arial"/>
        </w:rPr>
        <w:t xml:space="preserve">were discontinued in the current or previous reporting periods, indicate “no.” If the recipient has never received </w:t>
      </w:r>
      <w:r>
        <w:rPr>
          <w:rFonts w:ascii="Arial" w:hAnsi="Arial" w:cs="Arial"/>
        </w:rPr>
        <w:t>non-steroidal immunosuppressive agents</w:t>
      </w:r>
      <w:r w:rsidRPr="008011A3">
        <w:rPr>
          <w:rFonts w:ascii="Arial" w:hAnsi="Arial" w:cs="Arial"/>
        </w:rPr>
        <w:t xml:space="preserve"> for GVHD prophylaxis or treatment to date, report “not applicable.”</w:t>
      </w:r>
      <w:r>
        <w:rPr>
          <w:rFonts w:ascii="Arial" w:hAnsi="Arial" w:cs="Arial"/>
        </w:rPr>
        <w:t xml:space="preserve"> Do not include steroids – systemic, topical, or local</w:t>
      </w:r>
      <w:r w:rsidR="00F91ED8">
        <w:rPr>
          <w:rFonts w:ascii="Arial" w:hAnsi="Arial" w:cs="Arial"/>
        </w:rPr>
        <w:t xml:space="preserve">.  </w:t>
      </w:r>
      <w:proofErr w:type="spellStart"/>
      <w:r w:rsidR="006C659B">
        <w:rPr>
          <w:rFonts w:ascii="Arial" w:hAnsi="Arial" w:cs="Arial"/>
        </w:rPr>
        <w:t>Immunomodulatory</w:t>
      </w:r>
      <w:proofErr w:type="spellEnd"/>
      <w:r w:rsidR="006C659B">
        <w:rPr>
          <w:rFonts w:ascii="Arial" w:hAnsi="Arial" w:cs="Arial"/>
        </w:rPr>
        <w:t xml:space="preserve"> agents or therapies, such as extra-corporeal </w:t>
      </w:r>
      <w:proofErr w:type="spellStart"/>
      <w:r w:rsidR="006C659B">
        <w:rPr>
          <w:rFonts w:ascii="Arial" w:hAnsi="Arial" w:cs="Arial"/>
        </w:rPr>
        <w:t>photopheresis</w:t>
      </w:r>
      <w:proofErr w:type="spellEnd"/>
      <w:r w:rsidR="006C659B">
        <w:rPr>
          <w:rFonts w:ascii="Arial" w:hAnsi="Arial" w:cs="Arial"/>
        </w:rPr>
        <w:t xml:space="preserve"> (ECP) and </w:t>
      </w:r>
      <w:proofErr w:type="spellStart"/>
      <w:r w:rsidR="006C659B">
        <w:rPr>
          <w:rFonts w:ascii="Arial" w:hAnsi="Arial" w:cs="Arial"/>
        </w:rPr>
        <w:t>psoralen</w:t>
      </w:r>
      <w:proofErr w:type="spellEnd"/>
      <w:r w:rsidR="006C659B">
        <w:rPr>
          <w:rFonts w:ascii="Arial" w:hAnsi="Arial" w:cs="Arial"/>
        </w:rPr>
        <w:t xml:space="preserve"> plus UVA (PUVA) therapy, should be included in this determination. </w:t>
      </w:r>
      <w:r w:rsidRPr="00A460DF">
        <w:rPr>
          <w:rFonts w:ascii="Arial" w:hAnsi="Arial" w:cs="Arial"/>
        </w:rPr>
        <w:t xml:space="preserve">Indicate “unknown” if there is no information about the recipient’s </w:t>
      </w:r>
      <w:r>
        <w:rPr>
          <w:rFonts w:ascii="Arial" w:hAnsi="Arial" w:cs="Arial"/>
        </w:rPr>
        <w:t>medication list and administration</w:t>
      </w:r>
      <w:r w:rsidRPr="00A460DF">
        <w:rPr>
          <w:rFonts w:ascii="Arial" w:hAnsi="Arial" w:cs="Arial"/>
        </w:rPr>
        <w:t xml:space="preserve"> for the reporting period.</w:t>
      </w:r>
    </w:p>
    <w:p w14:paraId="0FA55ECA" w14:textId="77777777" w:rsidR="0003055D" w:rsidRDefault="0003055D" w:rsidP="00337399">
      <w:pPr>
        <w:autoSpaceDE w:val="0"/>
        <w:autoSpaceDN w:val="0"/>
        <w:adjustRightInd w:val="0"/>
        <w:rPr>
          <w:rFonts w:ascii="Arial" w:hAnsi="Arial" w:cs="Arial"/>
          <w:b/>
        </w:rPr>
      </w:pPr>
    </w:p>
    <w:p w14:paraId="56321B56" w14:textId="77777777" w:rsidR="0027027A" w:rsidRDefault="00840B75" w:rsidP="00840B75">
      <w:pPr>
        <w:pStyle w:val="Heading1"/>
      </w:pPr>
      <w:bookmarkStart w:id="8" w:name="_Toc450570836"/>
      <w:r>
        <w:t>Liver Toxicity Prophylaxis</w:t>
      </w:r>
      <w:bookmarkEnd w:id="8"/>
    </w:p>
    <w:p w14:paraId="5B4F95AC" w14:textId="77777777" w:rsidR="00840B75" w:rsidRDefault="00840B75" w:rsidP="00840B75"/>
    <w:p w14:paraId="172DC2C0" w14:textId="42F5A3E3" w:rsidR="00840B75" w:rsidRDefault="00840B75" w:rsidP="00840B75">
      <w:pPr>
        <w:rPr>
          <w:rFonts w:ascii="Arial" w:hAnsi="Arial" w:cs="Arial"/>
          <w:b/>
        </w:rPr>
      </w:pPr>
      <w:proofErr w:type="gramStart"/>
      <w:r>
        <w:rPr>
          <w:rFonts w:ascii="Arial" w:hAnsi="Arial" w:cs="Arial"/>
          <w:b/>
        </w:rPr>
        <w:t xml:space="preserve">Question 39: </w:t>
      </w:r>
      <w:r w:rsidR="005A3F32">
        <w:rPr>
          <w:rFonts w:ascii="Arial" w:hAnsi="Arial" w:cs="Arial"/>
          <w:b/>
        </w:rPr>
        <w:t xml:space="preserve"> </w:t>
      </w:r>
      <w:r>
        <w:rPr>
          <w:rFonts w:ascii="Arial" w:hAnsi="Arial" w:cs="Arial"/>
          <w:b/>
        </w:rPr>
        <w:t>Was specific therapy used to prevent liver toxicity?</w:t>
      </w:r>
      <w:proofErr w:type="gramEnd"/>
    </w:p>
    <w:p w14:paraId="53F64EDC" w14:textId="40C199B8" w:rsidR="00B45DA1" w:rsidRDefault="00B45DA1" w:rsidP="00840B75">
      <w:pPr>
        <w:rPr>
          <w:rFonts w:ascii="Arial" w:hAnsi="Arial" w:cs="Arial"/>
        </w:rPr>
      </w:pPr>
      <w:r>
        <w:rPr>
          <w:rFonts w:ascii="Arial" w:hAnsi="Arial" w:cs="Arial"/>
        </w:rPr>
        <w:t xml:space="preserve">Liver toxicities in transplant patients </w:t>
      </w:r>
      <w:proofErr w:type="gramStart"/>
      <w:r>
        <w:rPr>
          <w:rFonts w:ascii="Arial" w:hAnsi="Arial" w:cs="Arial"/>
        </w:rPr>
        <w:t>may be related</w:t>
      </w:r>
      <w:proofErr w:type="gramEnd"/>
      <w:r>
        <w:rPr>
          <w:rFonts w:ascii="Arial" w:hAnsi="Arial" w:cs="Arial"/>
        </w:rPr>
        <w:t xml:space="preserve"> to drug toxicity, infection, GVHD, iron overload, cirrhosis, or sinusoidal obstructive syndrome (SOS)/</w:t>
      </w:r>
      <w:proofErr w:type="spellStart"/>
      <w:r>
        <w:rPr>
          <w:rFonts w:ascii="Arial" w:hAnsi="Arial" w:cs="Arial"/>
        </w:rPr>
        <w:t>veno</w:t>
      </w:r>
      <w:proofErr w:type="spellEnd"/>
      <w:r>
        <w:rPr>
          <w:rFonts w:ascii="Arial" w:hAnsi="Arial" w:cs="Arial"/>
        </w:rPr>
        <w:t>-occlusive disease (VOD)</w:t>
      </w:r>
      <w:r w:rsidR="00F91ED8">
        <w:rPr>
          <w:rFonts w:ascii="Arial" w:hAnsi="Arial" w:cs="Arial"/>
        </w:rPr>
        <w:t xml:space="preserve">.  </w:t>
      </w:r>
      <w:r>
        <w:rPr>
          <w:rFonts w:ascii="Arial" w:hAnsi="Arial" w:cs="Arial"/>
        </w:rPr>
        <w:t xml:space="preserve">Agents such as </w:t>
      </w:r>
      <w:proofErr w:type="spellStart"/>
      <w:r>
        <w:rPr>
          <w:rFonts w:ascii="Arial" w:hAnsi="Arial" w:cs="Arial"/>
        </w:rPr>
        <w:t>ursodiol</w:t>
      </w:r>
      <w:proofErr w:type="spellEnd"/>
      <w:r>
        <w:rPr>
          <w:rFonts w:ascii="Arial" w:hAnsi="Arial" w:cs="Arial"/>
        </w:rPr>
        <w:t xml:space="preserve"> </w:t>
      </w:r>
      <w:proofErr w:type="gramStart"/>
      <w:r>
        <w:rPr>
          <w:rFonts w:ascii="Arial" w:hAnsi="Arial" w:cs="Arial"/>
        </w:rPr>
        <w:t>may be given</w:t>
      </w:r>
      <w:proofErr w:type="gramEnd"/>
      <w:r>
        <w:rPr>
          <w:rFonts w:ascii="Arial" w:hAnsi="Arial" w:cs="Arial"/>
        </w:rPr>
        <w:t xml:space="preserve"> as prophylaxis against one or more of these transplant-related liver injuries</w:t>
      </w:r>
      <w:r w:rsidR="00F91ED8">
        <w:rPr>
          <w:rFonts w:ascii="Arial" w:hAnsi="Arial" w:cs="Arial"/>
        </w:rPr>
        <w:t xml:space="preserve">.  </w:t>
      </w:r>
      <w:r>
        <w:rPr>
          <w:rFonts w:ascii="Arial" w:hAnsi="Arial" w:cs="Arial"/>
        </w:rPr>
        <w:t xml:space="preserve">Agents given to prevent liver toxicity will generally be started prior to or during the conditioning regimen, and may be continued well after transplant. </w:t>
      </w:r>
    </w:p>
    <w:p w14:paraId="3DDF74BC" w14:textId="77777777" w:rsidR="00B45DA1" w:rsidRDefault="00B45DA1" w:rsidP="00840B75">
      <w:pPr>
        <w:rPr>
          <w:rFonts w:ascii="Arial" w:hAnsi="Arial" w:cs="Arial"/>
        </w:rPr>
      </w:pPr>
    </w:p>
    <w:p w14:paraId="5194FC5E" w14:textId="3823ECD5" w:rsidR="00840B75" w:rsidRDefault="00B45DA1" w:rsidP="00840B75">
      <w:pPr>
        <w:rPr>
          <w:rFonts w:ascii="Arial" w:hAnsi="Arial" w:cs="Arial"/>
        </w:rPr>
      </w:pPr>
      <w:r>
        <w:rPr>
          <w:rFonts w:ascii="Arial" w:hAnsi="Arial" w:cs="Arial"/>
        </w:rPr>
        <w:t>Indicate whether the recipient received any therapy intended to prevent liver toxicity during the reporting period</w:t>
      </w:r>
      <w:r w:rsidR="00F91ED8">
        <w:rPr>
          <w:rFonts w:ascii="Arial" w:hAnsi="Arial" w:cs="Arial"/>
        </w:rPr>
        <w:t xml:space="preserve">.  </w:t>
      </w:r>
      <w:r>
        <w:rPr>
          <w:rFonts w:ascii="Arial" w:hAnsi="Arial" w:cs="Arial"/>
        </w:rPr>
        <w:t>For the 100-day reporting period, include therapy given during the conditioning regimen</w:t>
      </w:r>
      <w:r w:rsidR="00F91ED8">
        <w:rPr>
          <w:rFonts w:ascii="Arial" w:hAnsi="Arial" w:cs="Arial"/>
        </w:rPr>
        <w:t xml:space="preserve">.  </w:t>
      </w:r>
      <w:r>
        <w:rPr>
          <w:rFonts w:ascii="Arial" w:hAnsi="Arial" w:cs="Arial"/>
        </w:rPr>
        <w:t>Report only agents given to prevent liver toxicities, not those given to treat a diagnosed liver injury or toxicity</w:t>
      </w:r>
      <w:r w:rsidR="00F91ED8">
        <w:rPr>
          <w:rFonts w:ascii="Arial" w:hAnsi="Arial" w:cs="Arial"/>
        </w:rPr>
        <w:t xml:space="preserve">.  </w:t>
      </w:r>
      <w:r>
        <w:rPr>
          <w:rFonts w:ascii="Arial" w:hAnsi="Arial" w:cs="Arial"/>
        </w:rPr>
        <w:t>If “yes,” continue with question 40</w:t>
      </w:r>
      <w:r w:rsidR="00F91ED8">
        <w:rPr>
          <w:rFonts w:ascii="Arial" w:hAnsi="Arial" w:cs="Arial"/>
        </w:rPr>
        <w:t xml:space="preserve">.  </w:t>
      </w:r>
      <w:r>
        <w:rPr>
          <w:rFonts w:ascii="Arial" w:hAnsi="Arial" w:cs="Arial"/>
        </w:rPr>
        <w:t>If “no,” continue with question 46.</w:t>
      </w:r>
    </w:p>
    <w:p w14:paraId="6CB7FFEF" w14:textId="77777777" w:rsidR="00B45DA1" w:rsidRPr="00B45DA1" w:rsidRDefault="00B45DA1" w:rsidP="00840B75">
      <w:pPr>
        <w:rPr>
          <w:rFonts w:ascii="Arial" w:hAnsi="Arial" w:cs="Arial"/>
        </w:rPr>
      </w:pPr>
    </w:p>
    <w:p w14:paraId="5BA279F7" w14:textId="649D1680" w:rsidR="00840B75" w:rsidRDefault="00840B75" w:rsidP="00840B75">
      <w:pPr>
        <w:rPr>
          <w:rFonts w:ascii="Arial" w:hAnsi="Arial" w:cs="Arial"/>
          <w:b/>
        </w:rPr>
      </w:pPr>
      <w:r>
        <w:rPr>
          <w:rFonts w:ascii="Arial" w:hAnsi="Arial" w:cs="Arial"/>
          <w:b/>
        </w:rPr>
        <w:t>Question</w:t>
      </w:r>
      <w:r w:rsidR="00B45DA1">
        <w:rPr>
          <w:rFonts w:ascii="Arial" w:hAnsi="Arial" w:cs="Arial"/>
          <w:b/>
        </w:rPr>
        <w:t>s</w:t>
      </w:r>
      <w:r>
        <w:rPr>
          <w:rFonts w:ascii="Arial" w:hAnsi="Arial" w:cs="Arial"/>
          <w:b/>
        </w:rPr>
        <w:t xml:space="preserve"> 40</w:t>
      </w:r>
      <w:r w:rsidR="00B45DA1">
        <w:rPr>
          <w:rFonts w:ascii="Arial" w:hAnsi="Arial" w:cs="Arial"/>
          <w:b/>
        </w:rPr>
        <w:t>-45</w:t>
      </w:r>
      <w:r w:rsidR="003E7677">
        <w:rPr>
          <w:rFonts w:ascii="Arial" w:hAnsi="Arial" w:cs="Arial"/>
          <w:b/>
        </w:rPr>
        <w:t xml:space="preserve">: </w:t>
      </w:r>
      <w:r w:rsidR="005A3F32">
        <w:rPr>
          <w:rFonts w:ascii="Arial" w:hAnsi="Arial" w:cs="Arial"/>
          <w:b/>
        </w:rPr>
        <w:t xml:space="preserve"> </w:t>
      </w:r>
      <w:r w:rsidR="003E7677">
        <w:rPr>
          <w:rFonts w:ascii="Arial" w:hAnsi="Arial" w:cs="Arial"/>
          <w:b/>
        </w:rPr>
        <w:t>Specify therapy (Defibrotide, N-</w:t>
      </w:r>
      <w:proofErr w:type="spellStart"/>
      <w:r w:rsidR="003E7677">
        <w:rPr>
          <w:rFonts w:ascii="Arial" w:hAnsi="Arial" w:cs="Arial"/>
          <w:b/>
        </w:rPr>
        <w:t>acetylcysteine</w:t>
      </w:r>
      <w:proofErr w:type="spellEnd"/>
      <w:r w:rsidR="003E7677">
        <w:rPr>
          <w:rFonts w:ascii="Arial" w:hAnsi="Arial" w:cs="Arial"/>
          <w:b/>
        </w:rPr>
        <w:t>, t</w:t>
      </w:r>
      <w:r>
        <w:rPr>
          <w:rFonts w:ascii="Arial" w:hAnsi="Arial" w:cs="Arial"/>
          <w:b/>
        </w:rPr>
        <w:t>iss</w:t>
      </w:r>
      <w:r w:rsidR="003E7677">
        <w:rPr>
          <w:rFonts w:ascii="Arial" w:hAnsi="Arial" w:cs="Arial"/>
          <w:b/>
        </w:rPr>
        <w:t xml:space="preserve">ue plasminogen activator (TPA), </w:t>
      </w:r>
      <w:proofErr w:type="spellStart"/>
      <w:r w:rsidR="003E7677">
        <w:rPr>
          <w:rFonts w:ascii="Arial" w:hAnsi="Arial" w:cs="Arial"/>
          <w:b/>
        </w:rPr>
        <w:t>Ursodiol</w:t>
      </w:r>
      <w:proofErr w:type="spellEnd"/>
      <w:r w:rsidR="00B45DA1">
        <w:rPr>
          <w:rFonts w:ascii="Arial" w:hAnsi="Arial" w:cs="Arial"/>
          <w:b/>
        </w:rPr>
        <w:t>, Other</w:t>
      </w:r>
      <w:r w:rsidR="003E7677">
        <w:rPr>
          <w:rFonts w:ascii="Arial" w:hAnsi="Arial" w:cs="Arial"/>
          <w:b/>
        </w:rPr>
        <w:t>)</w:t>
      </w:r>
    </w:p>
    <w:p w14:paraId="45B1DA12" w14:textId="5AB78324" w:rsidR="00840B75" w:rsidRPr="00B45DA1" w:rsidRDefault="00B45DA1" w:rsidP="00840B75">
      <w:pPr>
        <w:rPr>
          <w:rFonts w:ascii="Arial" w:hAnsi="Arial" w:cs="Arial"/>
        </w:rPr>
      </w:pPr>
      <w:r>
        <w:rPr>
          <w:rFonts w:ascii="Arial" w:hAnsi="Arial" w:cs="Arial"/>
        </w:rPr>
        <w:t>Report all agents given during the reporting period to prevent liver toxicity</w:t>
      </w:r>
      <w:r w:rsidR="00F91ED8">
        <w:rPr>
          <w:rFonts w:ascii="Arial" w:hAnsi="Arial" w:cs="Arial"/>
        </w:rPr>
        <w:t xml:space="preserve">.  </w:t>
      </w:r>
      <w:r>
        <w:rPr>
          <w:rFonts w:ascii="Arial" w:hAnsi="Arial" w:cs="Arial"/>
        </w:rPr>
        <w:t>For the 100-day reporting period, include therapy given during the conditioning regimen</w:t>
      </w:r>
      <w:r w:rsidR="00F91ED8">
        <w:rPr>
          <w:rFonts w:ascii="Arial" w:hAnsi="Arial" w:cs="Arial"/>
        </w:rPr>
        <w:t xml:space="preserve">.  </w:t>
      </w:r>
      <w:r>
        <w:rPr>
          <w:rFonts w:ascii="Arial" w:hAnsi="Arial" w:cs="Arial"/>
        </w:rPr>
        <w:t>Report only agents given to prevent liver toxicities, not those given to treat a diagnosed liver injury or toxicity</w:t>
      </w:r>
      <w:r w:rsidR="00F91ED8">
        <w:rPr>
          <w:rFonts w:ascii="Arial" w:hAnsi="Arial" w:cs="Arial"/>
        </w:rPr>
        <w:t xml:space="preserve">.  </w:t>
      </w:r>
      <w:r>
        <w:rPr>
          <w:rFonts w:ascii="Arial" w:hAnsi="Arial" w:cs="Arial"/>
        </w:rPr>
        <w:t xml:space="preserve">If “other” therapy </w:t>
      </w:r>
      <w:proofErr w:type="gramStart"/>
      <w:r>
        <w:rPr>
          <w:rFonts w:ascii="Arial" w:hAnsi="Arial" w:cs="Arial"/>
        </w:rPr>
        <w:t>is reported</w:t>
      </w:r>
      <w:proofErr w:type="gramEnd"/>
      <w:r>
        <w:rPr>
          <w:rFonts w:ascii="Arial" w:hAnsi="Arial" w:cs="Arial"/>
        </w:rPr>
        <w:t xml:space="preserve"> in question 44, specify agent given as liver toxicity prophylaxis in question 45</w:t>
      </w:r>
      <w:r w:rsidR="00F91ED8">
        <w:rPr>
          <w:rFonts w:ascii="Arial" w:hAnsi="Arial" w:cs="Arial"/>
        </w:rPr>
        <w:t xml:space="preserve">.  </w:t>
      </w:r>
    </w:p>
    <w:p w14:paraId="7CB57897" w14:textId="77777777" w:rsidR="00B45DA1" w:rsidRDefault="00B45DA1" w:rsidP="00840B75">
      <w:pPr>
        <w:rPr>
          <w:rFonts w:ascii="Arial" w:hAnsi="Arial" w:cs="Arial"/>
          <w:b/>
        </w:rPr>
      </w:pPr>
    </w:p>
    <w:p w14:paraId="5307B34A" w14:textId="77777777" w:rsidR="00840B75" w:rsidRDefault="00840B75" w:rsidP="00840B75">
      <w:pPr>
        <w:pStyle w:val="Heading1"/>
      </w:pPr>
      <w:bookmarkStart w:id="9" w:name="_Toc450570837"/>
      <w:proofErr w:type="spellStart"/>
      <w:r>
        <w:t>Veno</w:t>
      </w:r>
      <w:proofErr w:type="spellEnd"/>
      <w:r>
        <w:t>-occlusive disease (VOD) / Sinusoidal obstruction syndrome (SOS)</w:t>
      </w:r>
      <w:bookmarkEnd w:id="9"/>
    </w:p>
    <w:p w14:paraId="6975F40C" w14:textId="77777777" w:rsidR="00840B75" w:rsidRDefault="00840B75" w:rsidP="00840B75"/>
    <w:p w14:paraId="6922C2CA" w14:textId="1EB7C6A7" w:rsidR="006C659B" w:rsidRDefault="006C659B" w:rsidP="00840B75">
      <w:pPr>
        <w:rPr>
          <w:rFonts w:ascii="Arial" w:hAnsi="Arial" w:cs="Arial"/>
        </w:rPr>
      </w:pPr>
      <w:proofErr w:type="spellStart"/>
      <w:r>
        <w:rPr>
          <w:rFonts w:ascii="Arial" w:hAnsi="Arial" w:cs="Arial"/>
        </w:rPr>
        <w:t>Veno</w:t>
      </w:r>
      <w:proofErr w:type="spellEnd"/>
      <w:r>
        <w:rPr>
          <w:rFonts w:ascii="Arial" w:hAnsi="Arial" w:cs="Arial"/>
        </w:rPr>
        <w:t xml:space="preserve">-occlusive disease (VOD) or sinusoidal obstruction syndrome (SOS) occurs following injury to the </w:t>
      </w:r>
      <w:r w:rsidR="008A5C91">
        <w:rPr>
          <w:rFonts w:ascii="Arial" w:hAnsi="Arial" w:cs="Arial"/>
        </w:rPr>
        <w:t xml:space="preserve">hepatic venous endothelium, resulting in hepatic venous outflow obstruction due to occlusion of the hepatic </w:t>
      </w:r>
      <w:proofErr w:type="spellStart"/>
      <w:r w:rsidR="008A5C91">
        <w:rPr>
          <w:rFonts w:ascii="Arial" w:hAnsi="Arial" w:cs="Arial"/>
        </w:rPr>
        <w:t>venules</w:t>
      </w:r>
      <w:proofErr w:type="spellEnd"/>
      <w:r w:rsidR="008A5C91">
        <w:rPr>
          <w:rFonts w:ascii="Arial" w:hAnsi="Arial" w:cs="Arial"/>
        </w:rPr>
        <w:t xml:space="preserve"> and sinusoids</w:t>
      </w:r>
      <w:r w:rsidR="00F91ED8">
        <w:rPr>
          <w:rFonts w:ascii="Arial" w:hAnsi="Arial" w:cs="Arial"/>
        </w:rPr>
        <w:t xml:space="preserve">.  </w:t>
      </w:r>
      <w:r w:rsidR="008A5C91">
        <w:rPr>
          <w:rFonts w:ascii="Arial" w:hAnsi="Arial" w:cs="Arial"/>
        </w:rPr>
        <w:t xml:space="preserve">This typically results </w:t>
      </w:r>
      <w:r w:rsidR="008A5C91">
        <w:rPr>
          <w:rFonts w:ascii="Arial" w:hAnsi="Arial" w:cs="Arial"/>
        </w:rPr>
        <w:lastRenderedPageBreak/>
        <w:t>in a distinctive triad of clinical signs</w:t>
      </w:r>
      <w:r>
        <w:rPr>
          <w:rFonts w:ascii="Arial" w:hAnsi="Arial" w:cs="Arial"/>
        </w:rPr>
        <w:t xml:space="preserve"> </w:t>
      </w:r>
      <w:r w:rsidR="008A5C91">
        <w:rPr>
          <w:rFonts w:ascii="Arial" w:hAnsi="Arial" w:cs="Arial"/>
        </w:rPr>
        <w:t xml:space="preserve">including hepatomegaly with right upper quadrant tenderness, third space fluid retention (e.g., ascites), and jaundice with a </w:t>
      </w:r>
      <w:proofErr w:type="spellStart"/>
      <w:r w:rsidR="008A5C91">
        <w:rPr>
          <w:rFonts w:ascii="Arial" w:hAnsi="Arial" w:cs="Arial"/>
        </w:rPr>
        <w:t>cholestatic</w:t>
      </w:r>
      <w:proofErr w:type="spellEnd"/>
      <w:r w:rsidR="008A5C91">
        <w:rPr>
          <w:rFonts w:ascii="Arial" w:hAnsi="Arial" w:cs="Arial"/>
        </w:rPr>
        <w:t xml:space="preserve"> picture</w:t>
      </w:r>
      <w:r w:rsidR="00F91ED8">
        <w:rPr>
          <w:rFonts w:ascii="Arial" w:hAnsi="Arial" w:cs="Arial"/>
        </w:rPr>
        <w:t xml:space="preserve">.  </w:t>
      </w:r>
      <w:r w:rsidR="008A5C91">
        <w:rPr>
          <w:rFonts w:ascii="Arial" w:hAnsi="Arial" w:cs="Arial"/>
        </w:rPr>
        <w:t>Ancillary features commonly seen include weight gain (≥ 5%), increased platelet transfusion needs, and coagulopathy</w:t>
      </w:r>
      <w:r w:rsidR="00F91ED8">
        <w:rPr>
          <w:rFonts w:ascii="Arial" w:hAnsi="Arial" w:cs="Arial"/>
        </w:rPr>
        <w:t xml:space="preserve">.  </w:t>
      </w:r>
      <w:r w:rsidR="008A5C91">
        <w:rPr>
          <w:rFonts w:ascii="Arial" w:hAnsi="Arial" w:cs="Arial"/>
        </w:rPr>
        <w:t xml:space="preserve">VOD/SOS is most commonly seen in </w:t>
      </w:r>
      <w:proofErr w:type="gramStart"/>
      <w:r w:rsidR="008A5C91">
        <w:rPr>
          <w:rFonts w:ascii="Arial" w:hAnsi="Arial" w:cs="Arial"/>
        </w:rPr>
        <w:t>recipients</w:t>
      </w:r>
      <w:proofErr w:type="gramEnd"/>
      <w:r w:rsidR="008A5C91">
        <w:rPr>
          <w:rFonts w:ascii="Arial" w:hAnsi="Arial" w:cs="Arial"/>
        </w:rPr>
        <w:t xml:space="preserve"> status post hematopoietic stem cell transplantation, and pre-existing liver conditions may make development of VOD/SOS more likely</w:t>
      </w:r>
      <w:r w:rsidR="00F91ED8">
        <w:rPr>
          <w:rFonts w:ascii="Arial" w:hAnsi="Arial" w:cs="Arial"/>
        </w:rPr>
        <w:t xml:space="preserve">.  </w:t>
      </w:r>
      <w:r w:rsidR="008A5C91">
        <w:rPr>
          <w:rFonts w:ascii="Arial" w:hAnsi="Arial" w:cs="Arial"/>
        </w:rPr>
        <w:t xml:space="preserve">There is increased risk of development of VOD/SOS associated with prior history of hepatitis B, drug-induced hepatitis, or cirrhosis; second or greater hematopoietic stem cell transplant; ablative conditioning with high doses of radiation therapy or use of </w:t>
      </w:r>
      <w:proofErr w:type="spellStart"/>
      <w:r w:rsidR="008A5C91">
        <w:rPr>
          <w:rFonts w:ascii="Arial" w:hAnsi="Arial" w:cs="Arial"/>
        </w:rPr>
        <w:t>busulfan</w:t>
      </w:r>
      <w:proofErr w:type="spellEnd"/>
      <w:r w:rsidR="008A5C91">
        <w:rPr>
          <w:rFonts w:ascii="Arial" w:hAnsi="Arial" w:cs="Arial"/>
        </w:rPr>
        <w:t xml:space="preserve">; and </w:t>
      </w:r>
      <w:proofErr w:type="spellStart"/>
      <w:r w:rsidR="008A5C91">
        <w:rPr>
          <w:rFonts w:ascii="Arial" w:hAnsi="Arial" w:cs="Arial"/>
        </w:rPr>
        <w:t>sirolimus</w:t>
      </w:r>
      <w:proofErr w:type="spellEnd"/>
      <w:r w:rsidR="008A5C91">
        <w:rPr>
          <w:rFonts w:ascii="Arial" w:hAnsi="Arial" w:cs="Arial"/>
        </w:rPr>
        <w:t xml:space="preserve"> given to recipients undergoing ablative conditioning</w:t>
      </w:r>
      <w:r w:rsidR="00F91ED8">
        <w:rPr>
          <w:rFonts w:ascii="Arial" w:hAnsi="Arial" w:cs="Arial"/>
        </w:rPr>
        <w:t xml:space="preserve">.  </w:t>
      </w:r>
      <w:r w:rsidR="008A5C91">
        <w:rPr>
          <w:rFonts w:ascii="Arial" w:hAnsi="Arial" w:cs="Arial"/>
        </w:rPr>
        <w:t xml:space="preserve">Agents such as low-dose heparin or </w:t>
      </w:r>
      <w:proofErr w:type="spellStart"/>
      <w:r w:rsidR="008A5C91">
        <w:rPr>
          <w:rFonts w:ascii="Arial" w:hAnsi="Arial" w:cs="Arial"/>
        </w:rPr>
        <w:t>ursodiol</w:t>
      </w:r>
      <w:proofErr w:type="spellEnd"/>
      <w:r w:rsidR="008A5C91">
        <w:rPr>
          <w:rFonts w:ascii="Arial" w:hAnsi="Arial" w:cs="Arial"/>
        </w:rPr>
        <w:t xml:space="preserve"> </w:t>
      </w:r>
      <w:proofErr w:type="gramStart"/>
      <w:r w:rsidR="008A5C91">
        <w:rPr>
          <w:rFonts w:ascii="Arial" w:hAnsi="Arial" w:cs="Arial"/>
        </w:rPr>
        <w:t>may be given</w:t>
      </w:r>
      <w:proofErr w:type="gramEnd"/>
      <w:r w:rsidR="008A5C91">
        <w:rPr>
          <w:rFonts w:ascii="Arial" w:hAnsi="Arial" w:cs="Arial"/>
        </w:rPr>
        <w:t xml:space="preserve"> as prophylaxis against liver toxicities, including VOD/SOS</w:t>
      </w:r>
      <w:r w:rsidR="00F91ED8">
        <w:rPr>
          <w:rFonts w:ascii="Arial" w:hAnsi="Arial" w:cs="Arial"/>
        </w:rPr>
        <w:t xml:space="preserve">.  </w:t>
      </w:r>
      <w:r w:rsidR="008A5C91">
        <w:rPr>
          <w:rFonts w:ascii="Arial" w:hAnsi="Arial" w:cs="Arial"/>
        </w:rPr>
        <w:t xml:space="preserve">VOD/SOS occurs prior to D+100 post-transplant, and </w:t>
      </w:r>
      <w:proofErr w:type="gramStart"/>
      <w:r w:rsidR="008A5C91">
        <w:rPr>
          <w:rFonts w:ascii="Arial" w:hAnsi="Arial" w:cs="Arial"/>
        </w:rPr>
        <w:t>typically</w:t>
      </w:r>
      <w:proofErr w:type="gramEnd"/>
      <w:r w:rsidR="008A5C91">
        <w:rPr>
          <w:rFonts w:ascii="Arial" w:hAnsi="Arial" w:cs="Arial"/>
        </w:rPr>
        <w:t xml:space="preserve"> prior to D+30 post-transplant; diagnosis is based on clinical suspicion</w:t>
      </w:r>
      <w:r w:rsidR="00F91ED8">
        <w:rPr>
          <w:rFonts w:ascii="Arial" w:hAnsi="Arial" w:cs="Arial"/>
        </w:rPr>
        <w:t xml:space="preserve">.  </w:t>
      </w:r>
      <w:r w:rsidR="008A5C91">
        <w:rPr>
          <w:rFonts w:ascii="Arial" w:hAnsi="Arial" w:cs="Arial"/>
        </w:rPr>
        <w:t xml:space="preserve">Ultrasound </w:t>
      </w:r>
      <w:proofErr w:type="gramStart"/>
      <w:r w:rsidR="008A5C91">
        <w:rPr>
          <w:rFonts w:ascii="Arial" w:hAnsi="Arial" w:cs="Arial"/>
        </w:rPr>
        <w:t>may be used</w:t>
      </w:r>
      <w:proofErr w:type="gramEnd"/>
      <w:r w:rsidR="008A5C91">
        <w:rPr>
          <w:rFonts w:ascii="Arial" w:hAnsi="Arial" w:cs="Arial"/>
        </w:rPr>
        <w:t xml:space="preserve"> to exclude other disorders; liver biopsy is often a risky procedure, and is generally reserved </w:t>
      </w:r>
      <w:r w:rsidR="004850C8">
        <w:rPr>
          <w:rFonts w:ascii="Arial" w:hAnsi="Arial" w:cs="Arial"/>
        </w:rPr>
        <w:t>for patients in whom a diagnosis of VOD/SOS is unclear and other diagnoses need to be excluded</w:t>
      </w:r>
      <w:r w:rsidR="00F91ED8">
        <w:rPr>
          <w:rFonts w:ascii="Arial" w:hAnsi="Arial" w:cs="Arial"/>
        </w:rPr>
        <w:t xml:space="preserve">.  </w:t>
      </w:r>
      <w:r w:rsidR="004850C8">
        <w:rPr>
          <w:rFonts w:ascii="Arial" w:hAnsi="Arial" w:cs="Arial"/>
        </w:rPr>
        <w:t>Clinical diagnosis is generally based on either the Seattle, modified Seattle, or Baltimore criteria.</w:t>
      </w:r>
    </w:p>
    <w:p w14:paraId="0BE93F9C" w14:textId="77777777" w:rsidR="004850C8" w:rsidRDefault="004850C8" w:rsidP="00840B75">
      <w:pPr>
        <w:rPr>
          <w:rFonts w:ascii="Arial" w:hAnsi="Arial" w:cs="Arial"/>
        </w:rPr>
      </w:pPr>
    </w:p>
    <w:p w14:paraId="5EABF6EB" w14:textId="735F8904" w:rsidR="004850C8" w:rsidRDefault="004850C8" w:rsidP="00840B75">
      <w:pPr>
        <w:rPr>
          <w:rFonts w:ascii="Arial" w:hAnsi="Arial" w:cs="Arial"/>
          <w:b/>
        </w:rPr>
      </w:pPr>
      <w:r>
        <w:rPr>
          <w:rFonts w:ascii="Arial" w:hAnsi="Arial" w:cs="Arial"/>
          <w:b/>
        </w:rPr>
        <w:t>Seattle Criteria (1984)</w:t>
      </w:r>
    </w:p>
    <w:p w14:paraId="062C7A61" w14:textId="0E8F4EE1" w:rsidR="004850C8" w:rsidRDefault="004850C8" w:rsidP="004850C8">
      <w:pPr>
        <w:pStyle w:val="ListParagraph"/>
        <w:numPr>
          <w:ilvl w:val="0"/>
          <w:numId w:val="25"/>
        </w:numPr>
        <w:rPr>
          <w:rFonts w:ascii="Arial" w:hAnsi="Arial" w:cs="Arial"/>
        </w:rPr>
      </w:pPr>
      <w:r>
        <w:rPr>
          <w:rFonts w:ascii="Arial" w:hAnsi="Arial" w:cs="Arial"/>
        </w:rPr>
        <w:t>Two or more of the following present prior to D+30:</w:t>
      </w:r>
    </w:p>
    <w:p w14:paraId="38D99754" w14:textId="4C534742" w:rsidR="004850C8" w:rsidRDefault="004850C8" w:rsidP="004850C8">
      <w:pPr>
        <w:pStyle w:val="ListParagraph"/>
        <w:numPr>
          <w:ilvl w:val="1"/>
          <w:numId w:val="25"/>
        </w:numPr>
        <w:rPr>
          <w:rFonts w:ascii="Arial" w:hAnsi="Arial" w:cs="Arial"/>
        </w:rPr>
      </w:pPr>
      <w:r>
        <w:rPr>
          <w:rFonts w:ascii="Arial" w:hAnsi="Arial" w:cs="Arial"/>
        </w:rPr>
        <w:t>Bilirubin ≥ 2 mg/</w:t>
      </w:r>
      <w:proofErr w:type="spellStart"/>
      <w:r>
        <w:rPr>
          <w:rFonts w:ascii="Arial" w:hAnsi="Arial" w:cs="Arial"/>
        </w:rPr>
        <w:t>dL</w:t>
      </w:r>
      <w:proofErr w:type="spellEnd"/>
      <w:r>
        <w:rPr>
          <w:rFonts w:ascii="Arial" w:hAnsi="Arial" w:cs="Arial"/>
        </w:rPr>
        <w:t xml:space="preserve"> (34 </w:t>
      </w:r>
      <w:proofErr w:type="spellStart"/>
      <w:r>
        <w:rPr>
          <w:rFonts w:ascii="Arial" w:hAnsi="Arial" w:cs="Arial"/>
        </w:rPr>
        <w:t>μmol</w:t>
      </w:r>
      <w:proofErr w:type="spellEnd"/>
      <w:r>
        <w:rPr>
          <w:rFonts w:ascii="Arial" w:hAnsi="Arial" w:cs="Arial"/>
        </w:rPr>
        <w:t>/L)</w:t>
      </w:r>
    </w:p>
    <w:p w14:paraId="48219B65" w14:textId="36C8AEE3" w:rsidR="004850C8" w:rsidRDefault="004850C8" w:rsidP="004850C8">
      <w:pPr>
        <w:pStyle w:val="ListParagraph"/>
        <w:numPr>
          <w:ilvl w:val="1"/>
          <w:numId w:val="25"/>
        </w:numPr>
        <w:rPr>
          <w:rFonts w:ascii="Arial" w:hAnsi="Arial" w:cs="Arial"/>
        </w:rPr>
      </w:pPr>
      <w:r>
        <w:rPr>
          <w:rFonts w:ascii="Arial" w:hAnsi="Arial" w:cs="Arial"/>
        </w:rPr>
        <w:t>Hepatomegaly and RUQ pain</w:t>
      </w:r>
    </w:p>
    <w:p w14:paraId="31E19973" w14:textId="4BEA19B3" w:rsidR="004850C8" w:rsidRPr="004850C8" w:rsidRDefault="004850C8" w:rsidP="004850C8">
      <w:pPr>
        <w:pStyle w:val="ListParagraph"/>
        <w:numPr>
          <w:ilvl w:val="1"/>
          <w:numId w:val="25"/>
        </w:numPr>
        <w:rPr>
          <w:rFonts w:ascii="Arial" w:hAnsi="Arial" w:cs="Arial"/>
        </w:rPr>
      </w:pPr>
      <w:r>
        <w:rPr>
          <w:rFonts w:ascii="Arial" w:hAnsi="Arial" w:cs="Arial"/>
        </w:rPr>
        <w:t>Ascites with or without unexplained weight gain &gt; 2% over baseline</w:t>
      </w:r>
    </w:p>
    <w:p w14:paraId="08C4BFD3" w14:textId="77777777" w:rsidR="004850C8" w:rsidRDefault="004850C8" w:rsidP="00840B75">
      <w:pPr>
        <w:rPr>
          <w:rFonts w:ascii="Arial" w:hAnsi="Arial" w:cs="Arial"/>
          <w:b/>
        </w:rPr>
      </w:pPr>
    </w:p>
    <w:p w14:paraId="33185DFB" w14:textId="78BCED81" w:rsidR="004850C8" w:rsidRDefault="004850C8" w:rsidP="00840B75">
      <w:pPr>
        <w:rPr>
          <w:rFonts w:ascii="Arial" w:hAnsi="Arial" w:cs="Arial"/>
          <w:b/>
        </w:rPr>
      </w:pPr>
      <w:r>
        <w:rPr>
          <w:rFonts w:ascii="Arial" w:hAnsi="Arial" w:cs="Arial"/>
          <w:b/>
        </w:rPr>
        <w:t>Modified Seattle Criteria (1993)</w:t>
      </w:r>
    </w:p>
    <w:p w14:paraId="511D6E8D" w14:textId="405EBAA1" w:rsidR="004850C8" w:rsidRDefault="004850C8" w:rsidP="004850C8">
      <w:pPr>
        <w:pStyle w:val="ListParagraph"/>
        <w:numPr>
          <w:ilvl w:val="0"/>
          <w:numId w:val="25"/>
        </w:numPr>
        <w:rPr>
          <w:rFonts w:ascii="Arial" w:hAnsi="Arial" w:cs="Arial"/>
        </w:rPr>
      </w:pPr>
      <w:r>
        <w:rPr>
          <w:rFonts w:ascii="Arial" w:hAnsi="Arial" w:cs="Arial"/>
        </w:rPr>
        <w:t>Two or more of the following present prior to D+20:</w:t>
      </w:r>
    </w:p>
    <w:p w14:paraId="7126F58E" w14:textId="77777777" w:rsidR="004850C8" w:rsidRDefault="004850C8" w:rsidP="004850C8">
      <w:pPr>
        <w:pStyle w:val="ListParagraph"/>
        <w:numPr>
          <w:ilvl w:val="1"/>
          <w:numId w:val="25"/>
        </w:numPr>
        <w:rPr>
          <w:rFonts w:ascii="Arial" w:hAnsi="Arial" w:cs="Arial"/>
        </w:rPr>
      </w:pPr>
      <w:r>
        <w:rPr>
          <w:rFonts w:ascii="Arial" w:hAnsi="Arial" w:cs="Arial"/>
        </w:rPr>
        <w:t>Bilirubin ≥ 2 mg/</w:t>
      </w:r>
      <w:proofErr w:type="spellStart"/>
      <w:r>
        <w:rPr>
          <w:rFonts w:ascii="Arial" w:hAnsi="Arial" w:cs="Arial"/>
        </w:rPr>
        <w:t>dL</w:t>
      </w:r>
      <w:proofErr w:type="spellEnd"/>
      <w:r>
        <w:rPr>
          <w:rFonts w:ascii="Arial" w:hAnsi="Arial" w:cs="Arial"/>
        </w:rPr>
        <w:t xml:space="preserve"> (34 </w:t>
      </w:r>
      <w:proofErr w:type="spellStart"/>
      <w:r>
        <w:rPr>
          <w:rFonts w:ascii="Arial" w:hAnsi="Arial" w:cs="Arial"/>
        </w:rPr>
        <w:t>μmol</w:t>
      </w:r>
      <w:proofErr w:type="spellEnd"/>
      <w:r>
        <w:rPr>
          <w:rFonts w:ascii="Arial" w:hAnsi="Arial" w:cs="Arial"/>
        </w:rPr>
        <w:t>/L)</w:t>
      </w:r>
    </w:p>
    <w:p w14:paraId="7EA73CB9" w14:textId="77777777" w:rsidR="004850C8" w:rsidRDefault="004850C8" w:rsidP="004850C8">
      <w:pPr>
        <w:pStyle w:val="ListParagraph"/>
        <w:numPr>
          <w:ilvl w:val="1"/>
          <w:numId w:val="25"/>
        </w:numPr>
        <w:rPr>
          <w:rFonts w:ascii="Arial" w:hAnsi="Arial" w:cs="Arial"/>
        </w:rPr>
      </w:pPr>
      <w:r>
        <w:rPr>
          <w:rFonts w:ascii="Arial" w:hAnsi="Arial" w:cs="Arial"/>
        </w:rPr>
        <w:t>Hepatomegaly and RUQ pain</w:t>
      </w:r>
    </w:p>
    <w:p w14:paraId="70D17406" w14:textId="77777777" w:rsidR="004850C8" w:rsidRPr="004850C8" w:rsidRDefault="004850C8" w:rsidP="004850C8">
      <w:pPr>
        <w:pStyle w:val="ListParagraph"/>
        <w:numPr>
          <w:ilvl w:val="1"/>
          <w:numId w:val="25"/>
        </w:numPr>
        <w:rPr>
          <w:rFonts w:ascii="Arial" w:hAnsi="Arial" w:cs="Arial"/>
        </w:rPr>
      </w:pPr>
      <w:r>
        <w:rPr>
          <w:rFonts w:ascii="Arial" w:hAnsi="Arial" w:cs="Arial"/>
        </w:rPr>
        <w:t>Ascites with or without unexplained weight gain &gt; 2% over baseline</w:t>
      </w:r>
    </w:p>
    <w:p w14:paraId="48DA4604" w14:textId="77777777" w:rsidR="004850C8" w:rsidRDefault="004850C8" w:rsidP="00840B75">
      <w:pPr>
        <w:rPr>
          <w:rFonts w:ascii="Arial" w:hAnsi="Arial" w:cs="Arial"/>
          <w:b/>
        </w:rPr>
      </w:pPr>
    </w:p>
    <w:p w14:paraId="02F056D8" w14:textId="59403C03" w:rsidR="004850C8" w:rsidRDefault="004850C8" w:rsidP="00840B75">
      <w:pPr>
        <w:rPr>
          <w:rFonts w:ascii="Arial" w:hAnsi="Arial" w:cs="Arial"/>
        </w:rPr>
      </w:pPr>
      <w:r>
        <w:rPr>
          <w:rFonts w:ascii="Arial" w:hAnsi="Arial" w:cs="Arial"/>
          <w:b/>
        </w:rPr>
        <w:t>Baltimore Criteria (1987)</w:t>
      </w:r>
    </w:p>
    <w:p w14:paraId="104B2AFE" w14:textId="2699B6E5" w:rsidR="004850C8" w:rsidRDefault="004850C8" w:rsidP="004850C8">
      <w:pPr>
        <w:pStyle w:val="ListParagraph"/>
        <w:numPr>
          <w:ilvl w:val="0"/>
          <w:numId w:val="24"/>
        </w:numPr>
        <w:rPr>
          <w:rFonts w:ascii="Arial" w:hAnsi="Arial" w:cs="Arial"/>
        </w:rPr>
      </w:pPr>
      <w:r>
        <w:rPr>
          <w:rFonts w:ascii="Arial" w:hAnsi="Arial" w:cs="Arial"/>
        </w:rPr>
        <w:t>Bilirubin ≥ 2 mg/</w:t>
      </w:r>
      <w:proofErr w:type="spellStart"/>
      <w:r>
        <w:rPr>
          <w:rFonts w:ascii="Arial" w:hAnsi="Arial" w:cs="Arial"/>
        </w:rPr>
        <w:t>dL</w:t>
      </w:r>
      <w:proofErr w:type="spellEnd"/>
      <w:r>
        <w:rPr>
          <w:rFonts w:ascii="Arial" w:hAnsi="Arial" w:cs="Arial"/>
        </w:rPr>
        <w:t xml:space="preserve"> (34 </w:t>
      </w:r>
      <w:proofErr w:type="spellStart"/>
      <w:r>
        <w:rPr>
          <w:rFonts w:ascii="Arial" w:hAnsi="Arial" w:cs="Arial"/>
        </w:rPr>
        <w:t>μmol</w:t>
      </w:r>
      <w:proofErr w:type="spellEnd"/>
      <w:r>
        <w:rPr>
          <w:rFonts w:ascii="Arial" w:hAnsi="Arial" w:cs="Arial"/>
        </w:rPr>
        <w:t>/L) before D+21 and at least two of the following:</w:t>
      </w:r>
    </w:p>
    <w:p w14:paraId="151EB6AE" w14:textId="472A0DF1" w:rsidR="004850C8" w:rsidRDefault="004850C8" w:rsidP="004850C8">
      <w:pPr>
        <w:pStyle w:val="ListParagraph"/>
        <w:numPr>
          <w:ilvl w:val="1"/>
          <w:numId w:val="24"/>
        </w:numPr>
        <w:rPr>
          <w:rFonts w:ascii="Arial" w:hAnsi="Arial" w:cs="Arial"/>
        </w:rPr>
      </w:pPr>
      <w:r>
        <w:rPr>
          <w:rFonts w:ascii="Arial" w:hAnsi="Arial" w:cs="Arial"/>
        </w:rPr>
        <w:t>Hepatomegaly (generally painful)</w:t>
      </w:r>
    </w:p>
    <w:p w14:paraId="5652F266" w14:textId="61128824" w:rsidR="004850C8" w:rsidRDefault="004850C8" w:rsidP="004850C8">
      <w:pPr>
        <w:pStyle w:val="ListParagraph"/>
        <w:numPr>
          <w:ilvl w:val="1"/>
          <w:numId w:val="24"/>
        </w:numPr>
        <w:rPr>
          <w:rFonts w:ascii="Arial" w:hAnsi="Arial" w:cs="Arial"/>
        </w:rPr>
      </w:pPr>
      <w:r>
        <w:rPr>
          <w:rFonts w:ascii="Arial" w:hAnsi="Arial" w:cs="Arial"/>
        </w:rPr>
        <w:t>Ascites</w:t>
      </w:r>
    </w:p>
    <w:p w14:paraId="3365BD0E" w14:textId="1EFDC6EA" w:rsidR="004850C8" w:rsidRPr="004850C8" w:rsidRDefault="004850C8" w:rsidP="004850C8">
      <w:pPr>
        <w:pStyle w:val="ListParagraph"/>
        <w:numPr>
          <w:ilvl w:val="1"/>
          <w:numId w:val="24"/>
        </w:numPr>
        <w:rPr>
          <w:rFonts w:ascii="Arial" w:hAnsi="Arial" w:cs="Arial"/>
        </w:rPr>
      </w:pPr>
      <w:r>
        <w:rPr>
          <w:rFonts w:ascii="Arial" w:hAnsi="Arial" w:cs="Arial"/>
        </w:rPr>
        <w:t>Weight gain &gt; 5% over baseline</w:t>
      </w:r>
    </w:p>
    <w:p w14:paraId="5A961D1B" w14:textId="77777777" w:rsidR="006C659B" w:rsidRDefault="006C659B" w:rsidP="00840B75"/>
    <w:p w14:paraId="46E34047" w14:textId="77777777" w:rsidR="00840B75" w:rsidRPr="004850C8" w:rsidRDefault="00840B75" w:rsidP="00840B75">
      <w:pPr>
        <w:rPr>
          <w:rFonts w:ascii="Arial" w:hAnsi="Arial" w:cs="Arial"/>
          <w:b/>
        </w:rPr>
      </w:pPr>
      <w:r w:rsidRPr="004850C8">
        <w:rPr>
          <w:rFonts w:ascii="Arial" w:hAnsi="Arial" w:cs="Arial"/>
          <w:b/>
        </w:rPr>
        <w:t xml:space="preserve">Question 46: Did </w:t>
      </w:r>
      <w:proofErr w:type="spellStart"/>
      <w:r w:rsidRPr="004850C8">
        <w:rPr>
          <w:rFonts w:ascii="Arial" w:hAnsi="Arial" w:cs="Arial"/>
          <w:b/>
        </w:rPr>
        <w:t>veno</w:t>
      </w:r>
      <w:proofErr w:type="spellEnd"/>
      <w:r w:rsidRPr="004850C8">
        <w:rPr>
          <w:rFonts w:ascii="Arial" w:hAnsi="Arial" w:cs="Arial"/>
          <w:b/>
        </w:rPr>
        <w:t>-occlusive disease (VOD) / sinusoidal obstruction syndrome (SOS) develop since the date of last report?</w:t>
      </w:r>
    </w:p>
    <w:p w14:paraId="1725C2A8" w14:textId="13F9B7C6" w:rsidR="00840B75" w:rsidRPr="004850C8" w:rsidRDefault="004850C8" w:rsidP="00840B75">
      <w:pPr>
        <w:rPr>
          <w:rFonts w:ascii="Arial" w:hAnsi="Arial" w:cs="Arial"/>
        </w:rPr>
      </w:pPr>
      <w:r w:rsidRPr="004850C8">
        <w:rPr>
          <w:rFonts w:ascii="Arial" w:hAnsi="Arial" w:cs="Arial"/>
        </w:rPr>
        <w:t>Indicate whether the recipient had a diagnosis of VOD/SOS during the current reporting period</w:t>
      </w:r>
      <w:r w:rsidR="00F91ED8">
        <w:rPr>
          <w:rFonts w:ascii="Arial" w:hAnsi="Arial" w:cs="Arial"/>
        </w:rPr>
        <w:t xml:space="preserve">.  </w:t>
      </w:r>
      <w:r w:rsidRPr="004850C8">
        <w:rPr>
          <w:rFonts w:ascii="Arial" w:hAnsi="Arial" w:cs="Arial"/>
        </w:rPr>
        <w:t>Indicate “yes” if there was a clinical diagnosis of VOD/SOS within the reporting period; indicate “no” if the recipient did not develop VOD/SOS within the reporting period</w:t>
      </w:r>
      <w:r w:rsidR="00F91ED8">
        <w:rPr>
          <w:rFonts w:ascii="Arial" w:hAnsi="Arial" w:cs="Arial"/>
        </w:rPr>
        <w:t xml:space="preserve">.  </w:t>
      </w:r>
      <w:r w:rsidRPr="004850C8">
        <w:rPr>
          <w:rFonts w:ascii="Arial" w:hAnsi="Arial" w:cs="Arial"/>
        </w:rPr>
        <w:t>If VOD/SOS persists from the prior reporting period, indicate “no.”</w:t>
      </w:r>
      <w:r w:rsidR="002D5798">
        <w:rPr>
          <w:rFonts w:ascii="Arial" w:hAnsi="Arial" w:cs="Arial"/>
        </w:rPr>
        <w:t xml:space="preserve"> </w:t>
      </w:r>
    </w:p>
    <w:p w14:paraId="70EC187D" w14:textId="77777777" w:rsidR="004850C8" w:rsidRPr="00AB0EA4" w:rsidRDefault="004850C8" w:rsidP="00840B75">
      <w:pPr>
        <w:rPr>
          <w:rFonts w:ascii="Arial" w:hAnsi="Arial" w:cs="Arial"/>
          <w:b/>
        </w:rPr>
      </w:pPr>
    </w:p>
    <w:p w14:paraId="1EA958DC" w14:textId="2C503C24" w:rsidR="00840B75" w:rsidRPr="00AB0EA4" w:rsidRDefault="00B45DA1" w:rsidP="00840B75">
      <w:pPr>
        <w:rPr>
          <w:rFonts w:ascii="Arial" w:hAnsi="Arial" w:cs="Arial"/>
          <w:b/>
        </w:rPr>
      </w:pPr>
      <w:r w:rsidRPr="00AB0EA4">
        <w:rPr>
          <w:rFonts w:ascii="Arial" w:hAnsi="Arial" w:cs="Arial"/>
          <w:b/>
        </w:rPr>
        <w:t>Question 47: Date of diagnosis</w:t>
      </w:r>
    </w:p>
    <w:p w14:paraId="4A8DC627" w14:textId="591CAA10" w:rsidR="00AB0EA4" w:rsidRPr="00AB0EA4" w:rsidRDefault="00AB0EA4" w:rsidP="00840B75">
      <w:pPr>
        <w:rPr>
          <w:rFonts w:ascii="Arial" w:hAnsi="Arial" w:cs="Arial"/>
        </w:rPr>
      </w:pPr>
      <w:r w:rsidRPr="00AB0EA4">
        <w:rPr>
          <w:rFonts w:ascii="Arial" w:hAnsi="Arial" w:cs="Arial"/>
        </w:rPr>
        <w:t>Report the date of clinical diagnosis of VOD/SOS</w:t>
      </w:r>
      <w:r w:rsidR="00F91ED8">
        <w:rPr>
          <w:rFonts w:ascii="Arial" w:hAnsi="Arial" w:cs="Arial"/>
        </w:rPr>
        <w:t xml:space="preserve">.  </w:t>
      </w:r>
      <w:r w:rsidRPr="00AB0EA4">
        <w:rPr>
          <w:rFonts w:ascii="Arial" w:hAnsi="Arial" w:cs="Arial"/>
        </w:rPr>
        <w:t xml:space="preserve">This may be well after signs and symptoms were first noted, but should reflect the time at which the recipient’s primary </w:t>
      </w:r>
      <w:r w:rsidRPr="00AB0EA4">
        <w:rPr>
          <w:rFonts w:ascii="Arial" w:hAnsi="Arial" w:cs="Arial"/>
        </w:rPr>
        <w:lastRenderedPageBreak/>
        <w:t>clinician made the determination that signs and symptoms were related to VOD/SOS; this may be the time at which other diagnoses on the differential are ruled out.</w:t>
      </w:r>
    </w:p>
    <w:p w14:paraId="61C2C1BE" w14:textId="77777777" w:rsidR="00840B75" w:rsidRPr="00B45DA1" w:rsidRDefault="00840B75" w:rsidP="00840B75">
      <w:pPr>
        <w:rPr>
          <w:rFonts w:ascii="Arial" w:hAnsi="Arial" w:cs="Arial"/>
          <w:b/>
          <w:highlight w:val="yellow"/>
        </w:rPr>
      </w:pPr>
    </w:p>
    <w:p w14:paraId="078F7D5A" w14:textId="317F04E8" w:rsidR="00840B75" w:rsidRDefault="00840B75" w:rsidP="00840B75">
      <w:pPr>
        <w:rPr>
          <w:rFonts w:ascii="Arial" w:hAnsi="Arial" w:cs="Arial"/>
          <w:b/>
        </w:rPr>
      </w:pPr>
      <w:r w:rsidRPr="000C49AE">
        <w:rPr>
          <w:rFonts w:ascii="Arial" w:hAnsi="Arial" w:cs="Arial"/>
          <w:b/>
        </w:rPr>
        <w:t xml:space="preserve">Question 48: Did </w:t>
      </w:r>
      <w:proofErr w:type="spellStart"/>
      <w:r w:rsidRPr="000C49AE">
        <w:rPr>
          <w:rFonts w:ascii="Arial" w:hAnsi="Arial" w:cs="Arial"/>
          <w:b/>
        </w:rPr>
        <w:t>veno</w:t>
      </w:r>
      <w:proofErr w:type="spellEnd"/>
      <w:r w:rsidRPr="000C49AE">
        <w:rPr>
          <w:rFonts w:ascii="Arial" w:hAnsi="Arial" w:cs="Arial"/>
          <w:b/>
        </w:rPr>
        <w:t>-occlusive disease (VOD) / sinusoidal obstruction syndrome (SOS) per</w:t>
      </w:r>
      <w:r w:rsidR="004850C8" w:rsidRPr="000C49AE">
        <w:rPr>
          <w:rFonts w:ascii="Arial" w:hAnsi="Arial" w:cs="Arial"/>
          <w:b/>
        </w:rPr>
        <w:t>sist or recur since</w:t>
      </w:r>
      <w:r w:rsidRPr="000C49AE">
        <w:rPr>
          <w:rFonts w:ascii="Arial" w:hAnsi="Arial" w:cs="Arial"/>
          <w:b/>
        </w:rPr>
        <w:t xml:space="preserve"> the date of last report?</w:t>
      </w:r>
    </w:p>
    <w:p w14:paraId="26C8ABAE" w14:textId="2B3DE7A2" w:rsidR="00840B75" w:rsidRDefault="002360EE" w:rsidP="00840B75">
      <w:pPr>
        <w:rPr>
          <w:rFonts w:ascii="Arial" w:hAnsi="Arial" w:cs="Arial"/>
          <w:color w:val="000000"/>
        </w:rPr>
      </w:pPr>
      <w:r w:rsidRPr="00A460DF">
        <w:rPr>
          <w:rFonts w:ascii="Arial" w:hAnsi="Arial" w:cs="Arial"/>
          <w:color w:val="000000"/>
        </w:rPr>
        <w:t xml:space="preserve">Indicate whether </w:t>
      </w:r>
      <w:r>
        <w:rPr>
          <w:rFonts w:ascii="Arial" w:hAnsi="Arial" w:cs="Arial"/>
          <w:color w:val="000000"/>
        </w:rPr>
        <w:t>VOD/SOS</w:t>
      </w:r>
      <w:r w:rsidRPr="00A460DF">
        <w:rPr>
          <w:rFonts w:ascii="Arial" w:hAnsi="Arial" w:cs="Arial"/>
          <w:color w:val="000000"/>
        </w:rPr>
        <w:t xml:space="preserve"> </w:t>
      </w:r>
      <w:proofErr w:type="gramStart"/>
      <w:r w:rsidRPr="00A460DF">
        <w:rPr>
          <w:rFonts w:ascii="Arial" w:hAnsi="Arial" w:cs="Arial"/>
          <w:color w:val="000000"/>
        </w:rPr>
        <w:t>was clinically diagnosed during a previous reporting period and persisted, with active symptoms, into the present reporting period</w:t>
      </w:r>
      <w:proofErr w:type="gramEnd"/>
      <w:r w:rsidR="00F91ED8">
        <w:rPr>
          <w:rFonts w:ascii="Arial" w:hAnsi="Arial" w:cs="Arial"/>
          <w:color w:val="000000"/>
        </w:rPr>
        <w:t xml:space="preserve">.  </w:t>
      </w:r>
      <w:r>
        <w:rPr>
          <w:rFonts w:ascii="Arial" w:hAnsi="Arial" w:cs="Arial"/>
          <w:color w:val="000000"/>
        </w:rPr>
        <w:t>Do not report prior history of VOD/SOS without ongoing, active symptoms in the reporting period.</w:t>
      </w:r>
    </w:p>
    <w:p w14:paraId="44047E3C" w14:textId="77777777" w:rsidR="000E7CF0" w:rsidRDefault="000E7CF0" w:rsidP="00840B75">
      <w:pPr>
        <w:rPr>
          <w:rFonts w:ascii="Arial" w:hAnsi="Arial" w:cs="Arial"/>
          <w:color w:val="000000"/>
        </w:rPr>
      </w:pPr>
    </w:p>
    <w:p w14:paraId="7B6BA952" w14:textId="783EF15A" w:rsidR="000E7CF0" w:rsidRDefault="000E7CF0" w:rsidP="00840B75">
      <w:pPr>
        <w:rPr>
          <w:rFonts w:ascii="Arial" w:hAnsi="Arial" w:cs="Arial"/>
          <w:color w:val="000000"/>
        </w:rPr>
      </w:pPr>
      <w:r>
        <w:rPr>
          <w:rFonts w:ascii="Arial" w:hAnsi="Arial" w:cs="Arial"/>
          <w:color w:val="000000"/>
        </w:rPr>
        <w:t>If VOD/SOS resolved during the previous reporting period and recurred during the current reporting period, report “Yes” for question 48</w:t>
      </w:r>
      <w:r w:rsidR="00F91ED8">
        <w:rPr>
          <w:rFonts w:ascii="Arial" w:hAnsi="Arial" w:cs="Arial"/>
          <w:color w:val="000000"/>
        </w:rPr>
        <w:t xml:space="preserve">.  </w:t>
      </w:r>
      <w:r>
        <w:rPr>
          <w:rFonts w:ascii="Arial" w:hAnsi="Arial" w:cs="Arial"/>
          <w:color w:val="000000"/>
        </w:rPr>
        <w:t xml:space="preserve">For reporting purposes, recurrence of VOD/SOS </w:t>
      </w:r>
      <w:proofErr w:type="gramStart"/>
      <w:r>
        <w:rPr>
          <w:rFonts w:ascii="Arial" w:hAnsi="Arial" w:cs="Arial"/>
          <w:color w:val="000000"/>
        </w:rPr>
        <w:t>is defined</w:t>
      </w:r>
      <w:proofErr w:type="gramEnd"/>
      <w:r>
        <w:rPr>
          <w:rFonts w:ascii="Arial" w:hAnsi="Arial" w:cs="Arial"/>
          <w:color w:val="000000"/>
        </w:rPr>
        <w:t xml:space="preserve"> as a subsequent clinical diagnosis after achieving and maintaining a complete resolution of all symptoms for at least 30 days.</w:t>
      </w:r>
    </w:p>
    <w:p w14:paraId="45A95160" w14:textId="77777777" w:rsidR="00632864" w:rsidRDefault="00632864">
      <w:pPr>
        <w:spacing w:after="200" w:line="276" w:lineRule="auto"/>
      </w:pPr>
    </w:p>
    <w:p w14:paraId="7B6EFEB6" w14:textId="77777777" w:rsidR="00491534" w:rsidRPr="00840B75" w:rsidRDefault="00491534" w:rsidP="009829F8">
      <w:pPr>
        <w:pStyle w:val="Heading1"/>
      </w:pPr>
      <w:bookmarkStart w:id="10" w:name="_Toc450570838"/>
      <w:r w:rsidRPr="009829F8">
        <w:t>New Malignancy,</w:t>
      </w:r>
      <w:r w:rsidR="009829F8">
        <w:t xml:space="preserve"> </w:t>
      </w:r>
      <w:r w:rsidRPr="009829F8">
        <w:t>Lymphoproliferative or Myeloproliferative Disorder</w:t>
      </w:r>
      <w:bookmarkEnd w:id="10"/>
    </w:p>
    <w:p w14:paraId="4069DBD6" w14:textId="77777777" w:rsidR="003E7677" w:rsidRPr="003E7677" w:rsidRDefault="003E7677" w:rsidP="00491534">
      <w:pPr>
        <w:autoSpaceDE w:val="0"/>
        <w:autoSpaceDN w:val="0"/>
        <w:adjustRightInd w:val="0"/>
        <w:rPr>
          <w:rFonts w:ascii="Arial" w:hAnsi="Arial" w:cs="Arial"/>
          <w:highlight w:val="yellow"/>
        </w:rPr>
      </w:pPr>
    </w:p>
    <w:p w14:paraId="38238080" w14:textId="77777777" w:rsidR="00491534" w:rsidRDefault="00840B75" w:rsidP="00491534">
      <w:pPr>
        <w:autoSpaceDE w:val="0"/>
        <w:autoSpaceDN w:val="0"/>
        <w:adjustRightInd w:val="0"/>
        <w:rPr>
          <w:rFonts w:ascii="Arial" w:hAnsi="Arial" w:cs="Arial"/>
          <w:b/>
        </w:rPr>
      </w:pPr>
      <w:r w:rsidRPr="000C49AE">
        <w:rPr>
          <w:rFonts w:ascii="Arial" w:hAnsi="Arial" w:cs="Arial"/>
          <w:b/>
        </w:rPr>
        <w:t>Question 4</w:t>
      </w:r>
      <w:r w:rsidR="00491534" w:rsidRPr="000C49AE">
        <w:rPr>
          <w:rFonts w:ascii="Arial" w:hAnsi="Arial" w:cs="Arial"/>
          <w:b/>
        </w:rPr>
        <w:t xml:space="preserve">9: Did a new malignancy, </w:t>
      </w:r>
      <w:proofErr w:type="spellStart"/>
      <w:r w:rsidRPr="000C49AE">
        <w:rPr>
          <w:rFonts w:ascii="Arial" w:hAnsi="Arial" w:cs="Arial"/>
          <w:b/>
        </w:rPr>
        <w:t>myeloproliferative</w:t>
      </w:r>
      <w:proofErr w:type="spellEnd"/>
      <w:r w:rsidRPr="000C49AE">
        <w:rPr>
          <w:rFonts w:ascii="Arial" w:hAnsi="Arial" w:cs="Arial"/>
          <w:b/>
        </w:rPr>
        <w:t xml:space="preserve">, or lymphoproliferative disease / </w:t>
      </w:r>
      <w:r w:rsidR="00491534" w:rsidRPr="000C49AE">
        <w:rPr>
          <w:rFonts w:ascii="Arial" w:hAnsi="Arial" w:cs="Arial"/>
          <w:b/>
        </w:rPr>
        <w:t>disorder occur</w:t>
      </w:r>
      <w:r w:rsidRPr="000C49AE">
        <w:rPr>
          <w:rFonts w:ascii="Arial" w:hAnsi="Arial" w:cs="Arial"/>
          <w:b/>
        </w:rPr>
        <w:t xml:space="preserve"> that is different from the disease / disorder for which the HCT or cellular therapy was performed? (include clonal cytogenetic abnormalities, and post-transplant lymphoproliferative disorders)</w:t>
      </w:r>
      <w:r>
        <w:rPr>
          <w:rFonts w:ascii="Arial" w:hAnsi="Arial" w:cs="Arial"/>
          <w:b/>
        </w:rPr>
        <w:t xml:space="preserve"> </w:t>
      </w:r>
    </w:p>
    <w:p w14:paraId="45058D96" w14:textId="11FEE029" w:rsidR="00491534" w:rsidRPr="00FC39A8" w:rsidRDefault="00491534" w:rsidP="00491534">
      <w:pPr>
        <w:autoSpaceDE w:val="0"/>
        <w:autoSpaceDN w:val="0"/>
        <w:adjustRightInd w:val="0"/>
        <w:rPr>
          <w:rFonts w:ascii="Arial" w:hAnsi="Arial" w:cs="Arial"/>
        </w:rPr>
      </w:pPr>
      <w:r w:rsidRPr="00FC39A8">
        <w:rPr>
          <w:rFonts w:ascii="Arial" w:hAnsi="Arial" w:cs="Arial"/>
          <w:bCs/>
        </w:rPr>
        <w:t>Indicate whether a new or secondary malignanc</w:t>
      </w:r>
      <w:r>
        <w:rPr>
          <w:rFonts w:ascii="Arial" w:hAnsi="Arial" w:cs="Arial"/>
          <w:bCs/>
        </w:rPr>
        <w:t>y</w:t>
      </w:r>
      <w:r w:rsidRPr="00FC39A8">
        <w:rPr>
          <w:rFonts w:ascii="Arial" w:hAnsi="Arial" w:cs="Arial"/>
          <w:bCs/>
        </w:rPr>
        <w:t>, lymphoproliferative disorder</w:t>
      </w:r>
      <w:r>
        <w:rPr>
          <w:rFonts w:ascii="Arial" w:hAnsi="Arial" w:cs="Arial"/>
          <w:bCs/>
        </w:rPr>
        <w:t>,</w:t>
      </w:r>
      <w:r w:rsidRPr="00FC39A8">
        <w:rPr>
          <w:rFonts w:ascii="Arial" w:hAnsi="Arial" w:cs="Arial"/>
          <w:bCs/>
        </w:rPr>
        <w:t xml:space="preserve"> or </w:t>
      </w:r>
      <w:proofErr w:type="spellStart"/>
      <w:r w:rsidRPr="00FC39A8">
        <w:rPr>
          <w:rFonts w:ascii="Arial" w:hAnsi="Arial" w:cs="Arial"/>
          <w:bCs/>
        </w:rPr>
        <w:t>myeloprolife</w:t>
      </w:r>
      <w:r>
        <w:rPr>
          <w:rFonts w:ascii="Arial" w:hAnsi="Arial" w:cs="Arial"/>
          <w:bCs/>
        </w:rPr>
        <w:t>rative</w:t>
      </w:r>
      <w:proofErr w:type="spellEnd"/>
      <w:r>
        <w:rPr>
          <w:rFonts w:ascii="Arial" w:hAnsi="Arial" w:cs="Arial"/>
          <w:bCs/>
        </w:rPr>
        <w:t xml:space="preserve"> disorder has developed</w:t>
      </w:r>
      <w:r w:rsidR="000C49AE">
        <w:rPr>
          <w:rFonts w:ascii="Arial" w:hAnsi="Arial" w:cs="Arial"/>
        </w:rPr>
        <w:t>; also include the development of clonal cytogenetic abnormalities, uncontrolled proliferation of donor cells without malignant transformation, or post-transplant lymphoproliferative disorder</w:t>
      </w:r>
      <w:r w:rsidR="00F91ED8">
        <w:rPr>
          <w:rFonts w:ascii="Arial" w:hAnsi="Arial" w:cs="Arial"/>
          <w:bCs/>
        </w:rPr>
        <w:t xml:space="preserve">.  </w:t>
      </w:r>
      <w:r w:rsidRPr="00FC39A8">
        <w:rPr>
          <w:rFonts w:ascii="Arial" w:hAnsi="Arial" w:cs="Arial"/>
          <w:bCs/>
        </w:rPr>
        <w:t xml:space="preserve">Do </w:t>
      </w:r>
      <w:r w:rsidRPr="00527C1D">
        <w:rPr>
          <w:rFonts w:ascii="Arial" w:hAnsi="Arial" w:cs="Arial"/>
          <w:bCs/>
          <w:iCs/>
        </w:rPr>
        <w:t>not</w:t>
      </w:r>
      <w:r w:rsidRPr="00FC39A8">
        <w:rPr>
          <w:rFonts w:ascii="Arial" w:hAnsi="Arial" w:cs="Arial"/>
          <w:bCs/>
          <w:i/>
          <w:iCs/>
        </w:rPr>
        <w:t xml:space="preserve"> </w:t>
      </w:r>
      <w:r w:rsidRPr="00FC39A8">
        <w:rPr>
          <w:rFonts w:ascii="Arial" w:hAnsi="Arial" w:cs="Arial"/>
          <w:bCs/>
        </w:rPr>
        <w:t>report recurrence</w:t>
      </w:r>
      <w:r>
        <w:rPr>
          <w:rFonts w:ascii="Arial" w:hAnsi="Arial" w:cs="Arial"/>
          <w:bCs/>
        </w:rPr>
        <w:t>, progression,</w:t>
      </w:r>
      <w:r w:rsidRPr="00FC39A8">
        <w:rPr>
          <w:rFonts w:ascii="Arial" w:hAnsi="Arial" w:cs="Arial"/>
          <w:bCs/>
        </w:rPr>
        <w:t xml:space="preserve"> </w:t>
      </w:r>
      <w:r>
        <w:rPr>
          <w:rFonts w:ascii="Arial" w:hAnsi="Arial" w:cs="Arial"/>
          <w:bCs/>
        </w:rPr>
        <w:t xml:space="preserve">or transformation </w:t>
      </w:r>
      <w:r w:rsidRPr="00FC39A8">
        <w:rPr>
          <w:rFonts w:ascii="Arial" w:hAnsi="Arial" w:cs="Arial"/>
          <w:bCs/>
        </w:rPr>
        <w:t>of the recipient’s primary disease (disease for which the transplant was performed)</w:t>
      </w:r>
      <w:r>
        <w:rPr>
          <w:rFonts w:ascii="Arial" w:hAnsi="Arial" w:cs="Arial"/>
          <w:bCs/>
        </w:rPr>
        <w:t>, or relapse of a prior malignancy</w:t>
      </w:r>
      <w:r w:rsidRPr="00FC39A8">
        <w:rPr>
          <w:rFonts w:ascii="Arial" w:hAnsi="Arial" w:cs="Arial"/>
          <w:bCs/>
        </w:rPr>
        <w:t>.</w:t>
      </w:r>
    </w:p>
    <w:p w14:paraId="01157A3B" w14:textId="77777777" w:rsidR="00491534" w:rsidRDefault="00491534" w:rsidP="00491534">
      <w:pPr>
        <w:rPr>
          <w:rFonts w:ascii="Arial" w:hAnsi="Arial" w:cs="Arial"/>
          <w:b/>
          <w:u w:val="single"/>
        </w:rPr>
      </w:pPr>
    </w:p>
    <w:p w14:paraId="2FFEC888" w14:textId="74BBFE80" w:rsidR="00491534" w:rsidRDefault="00491534" w:rsidP="00491534">
      <w:pPr>
        <w:autoSpaceDE w:val="0"/>
        <w:autoSpaceDN w:val="0"/>
        <w:adjustRightInd w:val="0"/>
        <w:rPr>
          <w:rFonts w:ascii="Arial" w:hAnsi="Arial" w:cs="Arial"/>
        </w:rPr>
      </w:pPr>
      <w:r>
        <w:rPr>
          <w:rFonts w:ascii="Arial" w:hAnsi="Arial" w:cs="Arial"/>
        </w:rPr>
        <w:t>A n</w:t>
      </w:r>
      <w:r w:rsidRPr="000D7C0F">
        <w:rPr>
          <w:rFonts w:ascii="Arial" w:hAnsi="Arial" w:cs="Arial"/>
        </w:rPr>
        <w:t>ew malignanc</w:t>
      </w:r>
      <w:r w:rsidR="00C146B2">
        <w:rPr>
          <w:rFonts w:ascii="Arial" w:hAnsi="Arial" w:cs="Arial"/>
        </w:rPr>
        <w:t>y</w:t>
      </w:r>
      <w:r w:rsidRPr="000D7C0F">
        <w:rPr>
          <w:rFonts w:ascii="Arial" w:hAnsi="Arial" w:cs="Arial"/>
        </w:rPr>
        <w:t>, lymphoproliferative</w:t>
      </w:r>
      <w:r>
        <w:rPr>
          <w:rFonts w:ascii="Arial" w:hAnsi="Arial" w:cs="Arial"/>
        </w:rPr>
        <w:t xml:space="preserve"> disorder,</w:t>
      </w:r>
      <w:r w:rsidRPr="000D7C0F">
        <w:rPr>
          <w:rFonts w:ascii="Arial" w:hAnsi="Arial" w:cs="Arial"/>
        </w:rPr>
        <w:t xml:space="preserve"> or </w:t>
      </w:r>
      <w:proofErr w:type="spellStart"/>
      <w:r w:rsidRPr="000D7C0F">
        <w:rPr>
          <w:rFonts w:ascii="Arial" w:hAnsi="Arial" w:cs="Arial"/>
        </w:rPr>
        <w:t>myeloproliferative</w:t>
      </w:r>
      <w:proofErr w:type="spellEnd"/>
      <w:r w:rsidRPr="000D7C0F">
        <w:rPr>
          <w:rFonts w:ascii="Arial" w:hAnsi="Arial" w:cs="Arial"/>
        </w:rPr>
        <w:t xml:space="preserve"> disorder include but are not limited to:</w:t>
      </w:r>
    </w:p>
    <w:p w14:paraId="5C5FCB7E" w14:textId="699A0174" w:rsidR="00930293" w:rsidRDefault="00491534">
      <w:pPr>
        <w:numPr>
          <w:ilvl w:val="0"/>
          <w:numId w:val="16"/>
        </w:numPr>
        <w:spacing w:before="120" w:after="120"/>
        <w:rPr>
          <w:rFonts w:ascii="Arial" w:hAnsi="Arial" w:cs="Arial"/>
        </w:rPr>
      </w:pPr>
      <w:r>
        <w:rPr>
          <w:rFonts w:ascii="Arial" w:hAnsi="Arial" w:cs="Arial"/>
        </w:rPr>
        <w:t>Skin cancers (basal, squamous, melanoma)</w:t>
      </w:r>
      <w:r w:rsidR="00AC5319">
        <w:rPr>
          <w:rFonts w:ascii="Arial" w:hAnsi="Arial" w:cs="Arial"/>
        </w:rPr>
        <w:t>;</w:t>
      </w:r>
    </w:p>
    <w:p w14:paraId="620E8E0E" w14:textId="5436B3F4" w:rsidR="00930293" w:rsidRDefault="00491534">
      <w:pPr>
        <w:numPr>
          <w:ilvl w:val="0"/>
          <w:numId w:val="16"/>
        </w:numPr>
        <w:spacing w:before="120" w:after="120"/>
        <w:rPr>
          <w:rFonts w:ascii="Arial" w:hAnsi="Arial" w:cs="Arial"/>
        </w:rPr>
      </w:pPr>
      <w:r>
        <w:rPr>
          <w:rFonts w:ascii="Arial" w:hAnsi="Arial" w:cs="Arial"/>
        </w:rPr>
        <w:t>New leukemia</w:t>
      </w:r>
      <w:r w:rsidR="00AC5319">
        <w:rPr>
          <w:rFonts w:ascii="Arial" w:hAnsi="Arial" w:cs="Arial"/>
        </w:rPr>
        <w:t>;</w:t>
      </w:r>
    </w:p>
    <w:p w14:paraId="636C992F" w14:textId="51A2784C" w:rsidR="00930293" w:rsidRDefault="00491534">
      <w:pPr>
        <w:numPr>
          <w:ilvl w:val="0"/>
          <w:numId w:val="16"/>
        </w:numPr>
        <w:spacing w:before="120" w:after="120"/>
        <w:rPr>
          <w:rFonts w:ascii="Arial" w:hAnsi="Arial" w:cs="Arial"/>
        </w:rPr>
      </w:pPr>
      <w:r>
        <w:rPr>
          <w:rFonts w:ascii="Arial" w:hAnsi="Arial" w:cs="Arial"/>
        </w:rPr>
        <w:t>New myelodysplasia</w:t>
      </w:r>
      <w:r w:rsidR="00AC5319">
        <w:rPr>
          <w:rFonts w:ascii="Arial" w:hAnsi="Arial" w:cs="Arial"/>
        </w:rPr>
        <w:t>;</w:t>
      </w:r>
    </w:p>
    <w:p w14:paraId="583D81B4" w14:textId="60EDE196" w:rsidR="00930293" w:rsidRDefault="00491534">
      <w:pPr>
        <w:numPr>
          <w:ilvl w:val="0"/>
          <w:numId w:val="16"/>
        </w:numPr>
        <w:spacing w:before="120" w:after="120"/>
        <w:rPr>
          <w:rFonts w:ascii="Arial" w:hAnsi="Arial" w:cs="Arial"/>
        </w:rPr>
      </w:pPr>
      <w:r>
        <w:rPr>
          <w:rFonts w:ascii="Arial" w:hAnsi="Arial" w:cs="Arial"/>
        </w:rPr>
        <w:t>Solid tumors</w:t>
      </w:r>
      <w:r w:rsidR="00AC5319">
        <w:rPr>
          <w:rFonts w:ascii="Arial" w:hAnsi="Arial" w:cs="Arial"/>
        </w:rPr>
        <w:t>; and</w:t>
      </w:r>
    </w:p>
    <w:p w14:paraId="4AA5CA3B" w14:textId="20F41980" w:rsidR="00930293" w:rsidRDefault="00491534">
      <w:pPr>
        <w:numPr>
          <w:ilvl w:val="0"/>
          <w:numId w:val="16"/>
        </w:numPr>
        <w:spacing w:before="120" w:after="120"/>
        <w:rPr>
          <w:rFonts w:ascii="Arial" w:hAnsi="Arial" w:cs="Arial"/>
        </w:rPr>
      </w:pPr>
      <w:r>
        <w:rPr>
          <w:rFonts w:ascii="Arial" w:hAnsi="Arial" w:cs="Arial"/>
        </w:rPr>
        <w:t>PTLD (post-transplant lymphoproliferative disorder) (report as lymphoma or lymphoproliferative disease</w:t>
      </w:r>
      <w:r w:rsidR="00AC5319">
        <w:rPr>
          <w:rFonts w:ascii="Arial" w:hAnsi="Arial" w:cs="Arial"/>
        </w:rPr>
        <w:t>.</w:t>
      </w:r>
      <w:r>
        <w:rPr>
          <w:rFonts w:ascii="Arial" w:hAnsi="Arial" w:cs="Arial"/>
        </w:rPr>
        <w:t>)</w:t>
      </w:r>
    </w:p>
    <w:p w14:paraId="554C0C3A" w14:textId="77777777" w:rsidR="00491534" w:rsidRDefault="00491534" w:rsidP="00491534">
      <w:pPr>
        <w:autoSpaceDE w:val="0"/>
        <w:autoSpaceDN w:val="0"/>
        <w:adjustRightInd w:val="0"/>
        <w:rPr>
          <w:rFonts w:ascii="Arial" w:hAnsi="Arial" w:cs="Arial"/>
        </w:rPr>
      </w:pPr>
      <w:r>
        <w:rPr>
          <w:rFonts w:ascii="Arial" w:hAnsi="Arial" w:cs="Arial"/>
        </w:rPr>
        <w:t xml:space="preserve">The following should </w:t>
      </w:r>
      <w:r>
        <w:rPr>
          <w:rFonts w:ascii="Arial" w:hAnsi="Arial" w:cs="Arial"/>
          <w:b/>
        </w:rPr>
        <w:t>not</w:t>
      </w:r>
      <w:r>
        <w:rPr>
          <w:rFonts w:ascii="Arial" w:hAnsi="Arial" w:cs="Arial"/>
        </w:rPr>
        <w:t xml:space="preserve"> be reported as new malignancy:</w:t>
      </w:r>
    </w:p>
    <w:p w14:paraId="617E0242" w14:textId="4F830D74" w:rsidR="00930293" w:rsidRDefault="00491534">
      <w:pPr>
        <w:numPr>
          <w:ilvl w:val="0"/>
          <w:numId w:val="16"/>
        </w:numPr>
        <w:spacing w:before="120" w:after="120"/>
        <w:rPr>
          <w:rFonts w:ascii="Arial" w:hAnsi="Arial" w:cs="Arial"/>
        </w:rPr>
      </w:pPr>
      <w:r>
        <w:rPr>
          <w:rFonts w:ascii="Arial" w:hAnsi="Arial" w:cs="Arial"/>
        </w:rPr>
        <w:t>Recurrence of primary disease (report as relapse or disease progression)</w:t>
      </w:r>
      <w:r w:rsidR="00AC5319">
        <w:rPr>
          <w:rFonts w:ascii="Arial" w:hAnsi="Arial" w:cs="Arial"/>
        </w:rPr>
        <w:t>;</w:t>
      </w:r>
    </w:p>
    <w:p w14:paraId="3A297B1D" w14:textId="71A7FFB1" w:rsidR="00930293" w:rsidRDefault="00491534">
      <w:pPr>
        <w:numPr>
          <w:ilvl w:val="0"/>
          <w:numId w:val="16"/>
        </w:numPr>
        <w:spacing w:before="120" w:after="120"/>
        <w:rPr>
          <w:rFonts w:ascii="Arial" w:hAnsi="Arial" w:cs="Arial"/>
        </w:rPr>
      </w:pPr>
      <w:r>
        <w:rPr>
          <w:rFonts w:ascii="Arial" w:hAnsi="Arial" w:cs="Arial"/>
        </w:rPr>
        <w:t>Relapse of malignancy from recipient’s pre-</w:t>
      </w:r>
      <w:r w:rsidR="00AF4E5A">
        <w:rPr>
          <w:rFonts w:ascii="Arial" w:hAnsi="Arial" w:cs="Arial"/>
        </w:rPr>
        <w:t>HCT</w:t>
      </w:r>
      <w:r>
        <w:rPr>
          <w:rFonts w:ascii="Arial" w:hAnsi="Arial" w:cs="Arial"/>
        </w:rPr>
        <w:t xml:space="preserve"> medical history</w:t>
      </w:r>
      <w:r w:rsidR="00AC5319">
        <w:rPr>
          <w:rFonts w:ascii="Arial" w:hAnsi="Arial" w:cs="Arial"/>
        </w:rPr>
        <w:t>;</w:t>
      </w:r>
    </w:p>
    <w:p w14:paraId="6464D8E8" w14:textId="5509205C" w:rsidR="00930293" w:rsidRDefault="00491534">
      <w:pPr>
        <w:numPr>
          <w:ilvl w:val="0"/>
          <w:numId w:val="16"/>
        </w:numPr>
        <w:spacing w:before="120" w:after="120"/>
        <w:rPr>
          <w:rFonts w:ascii="Arial" w:hAnsi="Arial" w:cs="Arial"/>
        </w:rPr>
      </w:pPr>
      <w:r>
        <w:rPr>
          <w:rFonts w:ascii="Arial" w:hAnsi="Arial" w:cs="Arial"/>
        </w:rPr>
        <w:t>Breast cancer found in other (i.e.</w:t>
      </w:r>
      <w:r w:rsidR="00AE6F93">
        <w:rPr>
          <w:rFonts w:ascii="Arial" w:hAnsi="Arial" w:cs="Arial"/>
        </w:rPr>
        <w:t>,</w:t>
      </w:r>
      <w:r>
        <w:rPr>
          <w:rFonts w:ascii="Arial" w:hAnsi="Arial" w:cs="Arial"/>
        </w:rPr>
        <w:t xml:space="preserve"> opposite) breast (report as relapse)</w:t>
      </w:r>
      <w:r w:rsidR="00AC5319">
        <w:rPr>
          <w:rFonts w:ascii="Arial" w:hAnsi="Arial" w:cs="Arial"/>
        </w:rPr>
        <w:t>;</w:t>
      </w:r>
    </w:p>
    <w:p w14:paraId="0BE2202A" w14:textId="4C5DC95E" w:rsidR="00930293" w:rsidRDefault="00491534">
      <w:pPr>
        <w:numPr>
          <w:ilvl w:val="0"/>
          <w:numId w:val="16"/>
        </w:numPr>
        <w:spacing w:before="120" w:after="120"/>
        <w:rPr>
          <w:rFonts w:ascii="Arial" w:hAnsi="Arial" w:cs="Arial"/>
        </w:rPr>
      </w:pPr>
      <w:r>
        <w:rPr>
          <w:rFonts w:ascii="Arial" w:hAnsi="Arial" w:cs="Arial"/>
        </w:rPr>
        <w:lastRenderedPageBreak/>
        <w:t>Post-</w:t>
      </w:r>
      <w:r w:rsidR="00AF4E5A">
        <w:rPr>
          <w:rFonts w:ascii="Arial" w:hAnsi="Arial" w:cs="Arial"/>
        </w:rPr>
        <w:t>HCT</w:t>
      </w:r>
      <w:r>
        <w:rPr>
          <w:rFonts w:ascii="Arial" w:hAnsi="Arial" w:cs="Arial"/>
        </w:rPr>
        <w:t xml:space="preserve"> cytogenetic abnormalities associated with the pre-</w:t>
      </w:r>
      <w:r w:rsidR="00AF4E5A">
        <w:rPr>
          <w:rFonts w:ascii="Arial" w:hAnsi="Arial" w:cs="Arial"/>
        </w:rPr>
        <w:t>HCT</w:t>
      </w:r>
      <w:r>
        <w:rPr>
          <w:rFonts w:ascii="Arial" w:hAnsi="Arial" w:cs="Arial"/>
        </w:rPr>
        <w:t xml:space="preserve"> diagnosis (report as relapse)</w:t>
      </w:r>
      <w:r w:rsidR="00AC5319">
        <w:rPr>
          <w:rFonts w:ascii="Arial" w:hAnsi="Arial" w:cs="Arial"/>
        </w:rPr>
        <w:t xml:space="preserve">; and </w:t>
      </w:r>
    </w:p>
    <w:p w14:paraId="1EDE183C" w14:textId="77777777" w:rsidR="00632864" w:rsidRDefault="00491534" w:rsidP="00F45F5B">
      <w:pPr>
        <w:numPr>
          <w:ilvl w:val="0"/>
          <w:numId w:val="16"/>
        </w:numPr>
        <w:spacing w:before="120"/>
        <w:rPr>
          <w:rFonts w:ascii="Arial" w:hAnsi="Arial" w:cs="Arial"/>
        </w:rPr>
      </w:pPr>
      <w:proofErr w:type="gramStart"/>
      <w:r>
        <w:rPr>
          <w:rFonts w:ascii="Arial" w:hAnsi="Arial" w:cs="Arial"/>
        </w:rPr>
        <w:t>Transformation of MDS to AML post-</w:t>
      </w:r>
      <w:r w:rsidR="00AF4E5A">
        <w:rPr>
          <w:rFonts w:ascii="Arial" w:hAnsi="Arial" w:cs="Arial"/>
        </w:rPr>
        <w:t>HCT</w:t>
      </w:r>
      <w:r>
        <w:rPr>
          <w:rFonts w:ascii="Arial" w:hAnsi="Arial" w:cs="Arial"/>
        </w:rPr>
        <w:t xml:space="preserve"> (report as disease progression)</w:t>
      </w:r>
      <w:r w:rsidR="00AC5319">
        <w:rPr>
          <w:rFonts w:ascii="Arial" w:hAnsi="Arial" w:cs="Arial"/>
        </w:rPr>
        <w:t>.</w:t>
      </w:r>
      <w:proofErr w:type="gramEnd"/>
    </w:p>
    <w:p w14:paraId="69A93B8F" w14:textId="77777777" w:rsidR="00F84477" w:rsidRDefault="00F84477" w:rsidP="00F84477">
      <w:pPr>
        <w:spacing w:before="120"/>
        <w:rPr>
          <w:rFonts w:ascii="Arial" w:hAnsi="Arial" w:cs="Arial"/>
        </w:rPr>
      </w:pPr>
      <w:r>
        <w:rPr>
          <w:rFonts w:ascii="Arial" w:hAnsi="Arial" w:cs="Arial"/>
          <w:noProof/>
        </w:rPr>
        <mc:AlternateContent>
          <mc:Choice Requires="wps">
            <w:drawing>
              <wp:anchor distT="0" distB="0" distL="114300" distR="114300" simplePos="0" relativeHeight="251666432" behindDoc="0" locked="0" layoutInCell="1" allowOverlap="1" wp14:anchorId="5810BCC4" wp14:editId="5A650346">
                <wp:simplePos x="0" y="0"/>
                <wp:positionH relativeFrom="margin">
                  <wp:align>right</wp:align>
                </wp:positionH>
                <wp:positionV relativeFrom="paragraph">
                  <wp:posOffset>171450</wp:posOffset>
                </wp:positionV>
                <wp:extent cx="5943600" cy="2419350"/>
                <wp:effectExtent l="0" t="0" r="0" b="0"/>
                <wp:wrapNone/>
                <wp:docPr id="47" name="Text Box 47"/>
                <wp:cNvGraphicFramePr/>
                <a:graphic xmlns:a="http://schemas.openxmlformats.org/drawingml/2006/main">
                  <a:graphicData uri="http://schemas.microsoft.com/office/word/2010/wordprocessingShape">
                    <wps:wsp>
                      <wps:cNvSpPr txBox="1"/>
                      <wps:spPr>
                        <a:xfrm>
                          <a:off x="0" y="0"/>
                          <a:ext cx="5943600" cy="2419350"/>
                        </a:xfrm>
                        <a:prstGeom prst="rect">
                          <a:avLst/>
                        </a:prstGeom>
                        <a:solidFill>
                          <a:schemeClr val="accent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130E8C3" w14:textId="0CC7DDAD" w:rsidR="00632864" w:rsidRPr="00E65E28" w:rsidRDefault="00632864" w:rsidP="00F84477">
                            <w:pPr>
                              <w:shd w:val="clear" w:color="auto" w:fill="63A70A" w:themeFill="accent2"/>
                              <w:jc w:val="center"/>
                              <w:rPr>
                                <w:rFonts w:ascii="Arial" w:hAnsi="Arial" w:cs="Arial"/>
                                <w:b/>
                                <w:color w:val="FFFFFF" w:themeColor="background1"/>
                              </w:rPr>
                            </w:pPr>
                            <w:r>
                              <w:rPr>
                                <w:rFonts w:ascii="Arial" w:hAnsi="Arial" w:cs="Arial"/>
                                <w:b/>
                                <w:color w:val="FFFFFF" w:themeColor="background1"/>
                              </w:rPr>
                              <w:t>NOTE:  Skin Cancers</w:t>
                            </w:r>
                          </w:p>
                          <w:p w14:paraId="7C5E64DE" w14:textId="77777777" w:rsidR="00632864" w:rsidRDefault="00632864" w:rsidP="00F84477">
                            <w:pPr>
                              <w:shd w:val="clear" w:color="auto" w:fill="63A70A" w:themeFill="accent2"/>
                              <w:rPr>
                                <w:rFonts w:ascii="Arial" w:hAnsi="Arial" w:cs="Arial"/>
                                <w:color w:val="FFFFFF" w:themeColor="background1"/>
                              </w:rPr>
                            </w:pPr>
                            <w:r w:rsidRPr="00E65E28">
                              <w:rPr>
                                <w:rFonts w:ascii="Arial" w:hAnsi="Arial" w:cs="Arial"/>
                                <w:color w:val="FFFFFF" w:themeColor="background1"/>
                              </w:rPr>
                              <w:t>For most malignancies, one does not report recurrence, progression or transformation of the recipient’s primary disease (disease for which the transplant was performed) or relapse of a prior malignancy in the “New Malignancy” section.</w:t>
                            </w:r>
                          </w:p>
                          <w:p w14:paraId="5091518B" w14:textId="77777777" w:rsidR="00632864" w:rsidRDefault="00632864" w:rsidP="00F84477">
                            <w:pPr>
                              <w:shd w:val="clear" w:color="auto" w:fill="63A70A" w:themeFill="accent2"/>
                              <w:rPr>
                                <w:rFonts w:ascii="Arial" w:hAnsi="Arial" w:cs="Arial"/>
                                <w:color w:val="FFFFFF" w:themeColor="background1"/>
                              </w:rPr>
                            </w:pPr>
                          </w:p>
                          <w:p w14:paraId="6E38191F" w14:textId="277F95F2" w:rsidR="00632864" w:rsidRPr="00E65E28" w:rsidRDefault="00632864" w:rsidP="006C659B">
                            <w:pPr>
                              <w:shd w:val="clear" w:color="auto" w:fill="63A70A" w:themeFill="accent2"/>
                              <w:rPr>
                                <w:rFonts w:ascii="Arial" w:hAnsi="Arial" w:cs="Arial"/>
                                <w:color w:val="FFFFFF" w:themeColor="background1"/>
                              </w:rPr>
                            </w:pPr>
                            <w:r w:rsidRPr="00E65E28">
                              <w:rPr>
                                <w:rFonts w:ascii="Arial" w:hAnsi="Arial" w:cs="Arial"/>
                                <w:color w:val="FFFFFF" w:themeColor="background1"/>
                              </w:rPr>
                              <w:t xml:space="preserve">However, in the case of a basal cell or squamous cell skin cancer, one needs to report each discreet episode.  For example, a recipient had a basal cell skin cancer diagnosed on the neck four months post-HCT and </w:t>
                            </w:r>
                            <w:r>
                              <w:rPr>
                                <w:rFonts w:ascii="Arial" w:hAnsi="Arial" w:cs="Arial"/>
                                <w:color w:val="FFFFFF" w:themeColor="background1"/>
                              </w:rPr>
                              <w:t xml:space="preserve">6 </w:t>
                            </w:r>
                            <w:r w:rsidRPr="00E65E28">
                              <w:rPr>
                                <w:rFonts w:ascii="Arial" w:hAnsi="Arial" w:cs="Arial"/>
                                <w:color w:val="FFFFFF" w:themeColor="background1"/>
                              </w:rPr>
                              <w:t>months later had another basal cell located on the nose. The lesion on the nose is not considered a metastasis from the neck, but a new discreet lesion.</w:t>
                            </w:r>
                          </w:p>
                          <w:p w14:paraId="7928AB7A" w14:textId="77777777" w:rsidR="00632864" w:rsidRDefault="00632864" w:rsidP="006C659B"/>
                          <w:p w14:paraId="284752D8" w14:textId="78482E8E" w:rsidR="00632864" w:rsidRPr="00E65E28" w:rsidRDefault="00632864" w:rsidP="006C659B">
                            <w:pPr>
                              <w:shd w:val="clear" w:color="auto" w:fill="63A70A" w:themeFill="accent2"/>
                              <w:rPr>
                                <w:rFonts w:ascii="Arial" w:hAnsi="Arial" w:cs="Arial"/>
                                <w:color w:val="FFFFFF" w:themeColor="background1"/>
                              </w:rPr>
                            </w:pPr>
                            <w:r w:rsidRPr="00E65E28">
                              <w:rPr>
                                <w:rFonts w:ascii="Arial" w:hAnsi="Arial" w:cs="Arial"/>
                                <w:color w:val="FFFFFF" w:themeColor="background1"/>
                              </w:rPr>
                              <w:t>These discreet episodes should be reported in the “Other skin malignancy” questions on the Post-TED form</w:t>
                            </w:r>
                            <w:r>
                              <w:rPr>
                                <w:rFonts w:ascii="Arial" w:hAnsi="Arial" w:cs="Arial"/>
                                <w:color w:val="FFFFFF" w:themeColor="background1"/>
                              </w:rPr>
                              <w:t>.</w:t>
                            </w:r>
                          </w:p>
                          <w:p w14:paraId="71F20F0B" w14:textId="77777777" w:rsidR="00632864" w:rsidRPr="00E65E28" w:rsidRDefault="00632864" w:rsidP="00F84477">
                            <w:pPr>
                              <w:shd w:val="clear" w:color="auto" w:fill="63A70A" w:themeFill="accent2"/>
                              <w:rPr>
                                <w:rFonts w:ascii="Arial" w:hAnsi="Arial" w:cs="Arial"/>
                                <w:color w:val="FFFFFF" w:themeColor="background1"/>
                              </w:rPr>
                            </w:pPr>
                          </w:p>
                          <w:p w14:paraId="4C50855E" w14:textId="77777777" w:rsidR="00632864" w:rsidRDefault="006328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7" o:spid="_x0000_s1033" type="#_x0000_t202" style="position:absolute;margin-left:416.8pt;margin-top:13.5pt;width:468pt;height:190.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" fillcolor="#63a70a [3205]" stroked="f" strokeweight=".5pt">
                <v:textbox>
                  <w:txbxContent>
                    <w:p w14:paraId="7130E8C3" w14:textId="0CC7DDAD" w:rsidR="00632864" w:rsidRPr="00E65E28" w:rsidRDefault="00632864" w:rsidP="00F84477">
                      <w:pPr>
                        <w:shd w:val="clear" w:color="auto" w:fill="63A70A" w:themeFill="accent2"/>
                        <w:jc w:val="center"/>
                        <w:rPr>
                          <w:rFonts w:ascii="Arial" w:hAnsi="Arial" w:cs="Arial"/>
                          <w:b/>
                          <w:color w:val="FFFFFF" w:themeColor="background1"/>
                        </w:rPr>
                      </w:pPr>
                      <w:r>
                        <w:rPr>
                          <w:rFonts w:ascii="Arial" w:hAnsi="Arial" w:cs="Arial"/>
                          <w:b/>
                          <w:color w:val="FFFFFF" w:themeColor="background1"/>
                        </w:rPr>
                        <w:t>NOTE:  Skin Cancers</w:t>
                      </w:r>
                    </w:p>
                    <w:p w14:paraId="7C5E64DE" w14:textId="77777777" w:rsidR="00632864" w:rsidRDefault="00632864" w:rsidP="00F84477">
                      <w:pPr>
                        <w:shd w:val="clear" w:color="auto" w:fill="63A70A" w:themeFill="accent2"/>
                        <w:rPr>
                          <w:rFonts w:ascii="Arial" w:hAnsi="Arial" w:cs="Arial"/>
                          <w:color w:val="FFFFFF" w:themeColor="background1"/>
                        </w:rPr>
                      </w:pPr>
                      <w:r w:rsidRPr="00E65E28">
                        <w:rPr>
                          <w:rFonts w:ascii="Arial" w:hAnsi="Arial" w:cs="Arial"/>
                          <w:color w:val="FFFFFF" w:themeColor="background1"/>
                        </w:rPr>
                        <w:t>For most malignancies, one does not report recurrence, progression or transformation of the recipient’s primary disease (disease for which the transplant was performed) or relapse of a prior malignancy in the “New Malignancy” section.</w:t>
                      </w:r>
                    </w:p>
                    <w:p w14:paraId="5091518B" w14:textId="77777777" w:rsidR="00632864" w:rsidRDefault="00632864" w:rsidP="00F84477">
                      <w:pPr>
                        <w:shd w:val="clear" w:color="auto" w:fill="63A70A" w:themeFill="accent2"/>
                        <w:rPr>
                          <w:rFonts w:ascii="Arial" w:hAnsi="Arial" w:cs="Arial"/>
                          <w:color w:val="FFFFFF" w:themeColor="background1"/>
                        </w:rPr>
                      </w:pPr>
                    </w:p>
                    <w:p w14:paraId="6E38191F" w14:textId="277F95F2" w:rsidR="00632864" w:rsidRPr="00E65E28" w:rsidRDefault="00632864" w:rsidP="006C659B">
                      <w:pPr>
                        <w:shd w:val="clear" w:color="auto" w:fill="63A70A" w:themeFill="accent2"/>
                        <w:rPr>
                          <w:rFonts w:ascii="Arial" w:hAnsi="Arial" w:cs="Arial"/>
                          <w:color w:val="FFFFFF" w:themeColor="background1"/>
                        </w:rPr>
                      </w:pPr>
                      <w:r w:rsidRPr="00E65E28">
                        <w:rPr>
                          <w:rFonts w:ascii="Arial" w:hAnsi="Arial" w:cs="Arial"/>
                          <w:color w:val="FFFFFF" w:themeColor="background1"/>
                        </w:rPr>
                        <w:t xml:space="preserve">However, in the case of a basal cell or squamous cell skin cancer, one needs to report each discreet episode.  For example, a recipient had a basal cell skin cancer diagnosed on the neck four months post-HCT and </w:t>
                      </w:r>
                      <w:r>
                        <w:rPr>
                          <w:rFonts w:ascii="Arial" w:hAnsi="Arial" w:cs="Arial"/>
                          <w:color w:val="FFFFFF" w:themeColor="background1"/>
                        </w:rPr>
                        <w:t xml:space="preserve">6 </w:t>
                      </w:r>
                      <w:r w:rsidRPr="00E65E28">
                        <w:rPr>
                          <w:rFonts w:ascii="Arial" w:hAnsi="Arial" w:cs="Arial"/>
                          <w:color w:val="FFFFFF" w:themeColor="background1"/>
                        </w:rPr>
                        <w:t>months later had another basal cell located on the nose. The lesion on the nose is not considered a metastasis from the neck, but a new discreet lesion.</w:t>
                      </w:r>
                    </w:p>
                    <w:p w14:paraId="7928AB7A" w14:textId="77777777" w:rsidR="00632864" w:rsidRDefault="00632864" w:rsidP="006C659B"/>
                    <w:p w14:paraId="284752D8" w14:textId="78482E8E" w:rsidR="00632864" w:rsidRPr="00E65E28" w:rsidRDefault="00632864" w:rsidP="006C659B">
                      <w:pPr>
                        <w:shd w:val="clear" w:color="auto" w:fill="63A70A" w:themeFill="accent2"/>
                        <w:rPr>
                          <w:rFonts w:ascii="Arial" w:hAnsi="Arial" w:cs="Arial"/>
                          <w:color w:val="FFFFFF" w:themeColor="background1"/>
                        </w:rPr>
                      </w:pPr>
                      <w:r w:rsidRPr="00E65E28">
                        <w:rPr>
                          <w:rFonts w:ascii="Arial" w:hAnsi="Arial" w:cs="Arial"/>
                          <w:color w:val="FFFFFF" w:themeColor="background1"/>
                        </w:rPr>
                        <w:t>These discreet episodes should be reported in the “Other skin malignancy” questions on the Post-TED form</w:t>
                      </w:r>
                      <w:r>
                        <w:rPr>
                          <w:rFonts w:ascii="Arial" w:hAnsi="Arial" w:cs="Arial"/>
                          <w:color w:val="FFFFFF" w:themeColor="background1"/>
                        </w:rPr>
                        <w:t>.</w:t>
                      </w:r>
                    </w:p>
                    <w:p w14:paraId="71F20F0B" w14:textId="77777777" w:rsidR="00632864" w:rsidRPr="00E65E28" w:rsidRDefault="00632864" w:rsidP="00F84477">
                      <w:pPr>
                        <w:shd w:val="clear" w:color="auto" w:fill="63A70A" w:themeFill="accent2"/>
                        <w:rPr>
                          <w:rFonts w:ascii="Arial" w:hAnsi="Arial" w:cs="Arial"/>
                          <w:color w:val="FFFFFF" w:themeColor="background1"/>
                        </w:rPr>
                      </w:pPr>
                    </w:p>
                    <w:p w14:paraId="4C50855E" w14:textId="77777777" w:rsidR="00632864" w:rsidRDefault="00632864"/>
                  </w:txbxContent>
                </v:textbox>
                <w10:wrap anchorx="margin"/>
              </v:shape>
            </w:pict>
          </mc:Fallback>
        </mc:AlternateContent>
      </w:r>
    </w:p>
    <w:p w14:paraId="1C5EDD74" w14:textId="77777777" w:rsidR="00F84477" w:rsidRDefault="00F84477" w:rsidP="00F84477">
      <w:pPr>
        <w:spacing w:before="120"/>
        <w:rPr>
          <w:rFonts w:ascii="Arial" w:hAnsi="Arial" w:cs="Arial"/>
        </w:rPr>
      </w:pPr>
    </w:p>
    <w:p w14:paraId="7E627252" w14:textId="77777777" w:rsidR="00F84477" w:rsidRDefault="00F84477" w:rsidP="00F84477">
      <w:pPr>
        <w:spacing w:before="120"/>
        <w:rPr>
          <w:rFonts w:ascii="Arial" w:hAnsi="Arial" w:cs="Arial"/>
        </w:rPr>
      </w:pPr>
    </w:p>
    <w:p w14:paraId="21C8A30F" w14:textId="77777777" w:rsidR="00F84477" w:rsidRDefault="00F84477" w:rsidP="00F84477">
      <w:pPr>
        <w:spacing w:before="120"/>
        <w:rPr>
          <w:rFonts w:ascii="Arial" w:hAnsi="Arial" w:cs="Arial"/>
        </w:rPr>
      </w:pPr>
    </w:p>
    <w:p w14:paraId="29244640" w14:textId="77777777" w:rsidR="000C4290" w:rsidRDefault="000C4290" w:rsidP="000C4290">
      <w:pPr>
        <w:rPr>
          <w:rFonts w:ascii="Arial" w:hAnsi="Arial" w:cs="Arial"/>
        </w:rPr>
      </w:pPr>
    </w:p>
    <w:p w14:paraId="6FA7C9E2" w14:textId="5341F51F" w:rsidR="0070747A" w:rsidRDefault="0070747A" w:rsidP="000C4290">
      <w:pPr>
        <w:rPr>
          <w:rFonts w:ascii="Arial" w:hAnsi="Arial" w:cs="Arial"/>
        </w:rPr>
      </w:pPr>
    </w:p>
    <w:p w14:paraId="12F8CBA1" w14:textId="77777777" w:rsidR="0070747A" w:rsidRDefault="0070747A" w:rsidP="000C4290">
      <w:pPr>
        <w:rPr>
          <w:rFonts w:ascii="Arial" w:hAnsi="Arial" w:cs="Arial"/>
        </w:rPr>
      </w:pPr>
    </w:p>
    <w:p w14:paraId="6DA8A1F2" w14:textId="77777777" w:rsidR="0070747A" w:rsidRDefault="0070747A" w:rsidP="000C4290">
      <w:pPr>
        <w:rPr>
          <w:rFonts w:ascii="Arial" w:hAnsi="Arial" w:cs="Arial"/>
        </w:rPr>
      </w:pPr>
    </w:p>
    <w:p w14:paraId="7959C589" w14:textId="77777777" w:rsidR="0070747A" w:rsidRDefault="0070747A" w:rsidP="000C4290">
      <w:pPr>
        <w:rPr>
          <w:rFonts w:ascii="Arial" w:hAnsi="Arial" w:cs="Arial"/>
        </w:rPr>
      </w:pPr>
    </w:p>
    <w:p w14:paraId="03FC0618" w14:textId="77777777" w:rsidR="0070747A" w:rsidRDefault="0070747A" w:rsidP="000C4290">
      <w:pPr>
        <w:rPr>
          <w:rFonts w:ascii="Arial" w:hAnsi="Arial" w:cs="Arial"/>
        </w:rPr>
      </w:pPr>
    </w:p>
    <w:p w14:paraId="76827ACA" w14:textId="77777777" w:rsidR="0070747A" w:rsidRDefault="0070747A" w:rsidP="000C4290">
      <w:pPr>
        <w:rPr>
          <w:rFonts w:ascii="Arial" w:hAnsi="Arial" w:cs="Arial"/>
        </w:rPr>
      </w:pPr>
    </w:p>
    <w:p w14:paraId="06ADA0CE" w14:textId="77777777" w:rsidR="0070747A" w:rsidRDefault="0070747A" w:rsidP="000C4290">
      <w:pPr>
        <w:rPr>
          <w:rFonts w:ascii="Arial" w:hAnsi="Arial" w:cs="Arial"/>
        </w:rPr>
      </w:pPr>
    </w:p>
    <w:p w14:paraId="4DFEB768" w14:textId="77777777" w:rsidR="00E65E28" w:rsidRDefault="00E65E28" w:rsidP="00E65E28">
      <w:pPr>
        <w:rPr>
          <w:rFonts w:ascii="Arial" w:hAnsi="Arial" w:cs="Arial"/>
        </w:rPr>
      </w:pPr>
    </w:p>
    <w:p w14:paraId="3FCEEFF1" w14:textId="77777777" w:rsidR="0070747A" w:rsidRDefault="0070747A" w:rsidP="00E65E28">
      <w:pPr>
        <w:rPr>
          <w:rFonts w:ascii="Arial" w:hAnsi="Arial" w:cs="Arial"/>
        </w:rPr>
      </w:pPr>
    </w:p>
    <w:p w14:paraId="00D7BE41" w14:textId="2A5EBC3A" w:rsidR="00AA5DDB" w:rsidRDefault="00491534" w:rsidP="00E65E28">
      <w:pPr>
        <w:rPr>
          <w:rFonts w:ascii="Arial" w:hAnsi="Arial" w:cs="Arial"/>
        </w:rPr>
      </w:pPr>
      <w:r>
        <w:rPr>
          <w:rFonts w:ascii="Arial" w:hAnsi="Arial" w:cs="Arial"/>
        </w:rPr>
        <w:t xml:space="preserve">If a new malignancy, lymphoproliferative disorder, or </w:t>
      </w:r>
      <w:proofErr w:type="spellStart"/>
      <w:r>
        <w:rPr>
          <w:rFonts w:ascii="Arial" w:hAnsi="Arial" w:cs="Arial"/>
        </w:rPr>
        <w:t>myeloproliferative</w:t>
      </w:r>
      <w:proofErr w:type="spellEnd"/>
      <w:r>
        <w:rPr>
          <w:rFonts w:ascii="Arial" w:hAnsi="Arial" w:cs="Arial"/>
        </w:rPr>
        <w:t xml:space="preserve"> disorder has occurred following the </w:t>
      </w:r>
      <w:r w:rsidR="00AF4E5A">
        <w:rPr>
          <w:rFonts w:ascii="Arial" w:hAnsi="Arial" w:cs="Arial"/>
        </w:rPr>
        <w:t>HCT</w:t>
      </w:r>
      <w:r>
        <w:rPr>
          <w:rFonts w:ascii="Arial" w:hAnsi="Arial" w:cs="Arial"/>
        </w:rPr>
        <w:t xml:space="preserve">, check “yes” and continue with question </w:t>
      </w:r>
      <w:r w:rsidR="000C49AE">
        <w:rPr>
          <w:rFonts w:ascii="Arial" w:hAnsi="Arial" w:cs="Arial"/>
        </w:rPr>
        <w:t>5</w:t>
      </w:r>
      <w:r>
        <w:rPr>
          <w:rFonts w:ascii="Arial" w:hAnsi="Arial" w:cs="Arial"/>
        </w:rPr>
        <w:t>0</w:t>
      </w:r>
      <w:r w:rsidR="00F91ED8">
        <w:rPr>
          <w:rFonts w:ascii="Arial" w:hAnsi="Arial" w:cs="Arial"/>
        </w:rPr>
        <w:t xml:space="preserve">.  </w:t>
      </w:r>
      <w:r>
        <w:rPr>
          <w:rFonts w:ascii="Arial" w:hAnsi="Arial" w:cs="Arial"/>
        </w:rPr>
        <w:t xml:space="preserve">If not, check “no” and continue with question </w:t>
      </w:r>
      <w:r w:rsidR="000C49AE">
        <w:rPr>
          <w:rFonts w:ascii="Arial" w:hAnsi="Arial" w:cs="Arial"/>
        </w:rPr>
        <w:t>57</w:t>
      </w:r>
      <w:r>
        <w:rPr>
          <w:rFonts w:ascii="Arial" w:hAnsi="Arial" w:cs="Arial"/>
        </w:rPr>
        <w:t>.</w:t>
      </w:r>
    </w:p>
    <w:p w14:paraId="730B5C15" w14:textId="77777777" w:rsidR="0070747A" w:rsidRDefault="0070747A" w:rsidP="00E65E28">
      <w:pPr>
        <w:rPr>
          <w:rFonts w:ascii="Arial" w:hAnsi="Arial" w:cs="Arial"/>
        </w:rPr>
      </w:pPr>
    </w:p>
    <w:p w14:paraId="00E858C1" w14:textId="797520EF" w:rsidR="000C49AE" w:rsidRPr="000C49AE" w:rsidRDefault="000C49AE" w:rsidP="00E65E28">
      <w:pPr>
        <w:rPr>
          <w:rFonts w:ascii="Arial" w:hAnsi="Arial" w:cs="Arial"/>
          <w:b/>
        </w:rPr>
      </w:pPr>
      <w:r>
        <w:rPr>
          <w:rFonts w:ascii="Arial" w:hAnsi="Arial" w:cs="Arial"/>
          <w:b/>
        </w:rPr>
        <w:t xml:space="preserve">Questions 50-51: </w:t>
      </w:r>
      <w:r w:rsidR="005A3F32">
        <w:rPr>
          <w:rFonts w:ascii="Arial" w:hAnsi="Arial" w:cs="Arial"/>
          <w:b/>
        </w:rPr>
        <w:t xml:space="preserve"> </w:t>
      </w:r>
      <w:r>
        <w:rPr>
          <w:rFonts w:ascii="Arial" w:hAnsi="Arial" w:cs="Arial"/>
          <w:b/>
        </w:rPr>
        <w:t>Specify new malignancy</w:t>
      </w:r>
    </w:p>
    <w:p w14:paraId="15D87D14" w14:textId="1C0E8CF1" w:rsidR="003E7677" w:rsidRDefault="003E7677" w:rsidP="00491534">
      <w:pPr>
        <w:rPr>
          <w:rFonts w:ascii="Arial" w:hAnsi="Arial" w:cs="Arial"/>
        </w:rPr>
      </w:pPr>
      <w:r>
        <w:rPr>
          <w:rFonts w:ascii="Arial" w:hAnsi="Arial" w:cs="Arial"/>
        </w:rPr>
        <w:t>Copy and complete question</w:t>
      </w:r>
      <w:r w:rsidR="000C49AE">
        <w:rPr>
          <w:rFonts w:ascii="Arial" w:hAnsi="Arial" w:cs="Arial"/>
        </w:rPr>
        <w:t>s 50-56</w:t>
      </w:r>
      <w:r>
        <w:rPr>
          <w:rFonts w:ascii="Arial" w:hAnsi="Arial" w:cs="Arial"/>
        </w:rPr>
        <w:t xml:space="preserve"> to report each new malignancy diagnosed since the date of last report</w:t>
      </w:r>
      <w:r w:rsidR="00F91ED8">
        <w:rPr>
          <w:rFonts w:ascii="Arial" w:hAnsi="Arial" w:cs="Arial"/>
        </w:rPr>
        <w:t xml:space="preserve">.  </w:t>
      </w:r>
      <w:r>
        <w:rPr>
          <w:rFonts w:ascii="Arial" w:hAnsi="Arial" w:cs="Arial"/>
        </w:rPr>
        <w:t xml:space="preserve">The submission of a pathology report or other supportive documentation for each reported new malignancy is strongly recommended. </w:t>
      </w:r>
    </w:p>
    <w:p w14:paraId="3618D813" w14:textId="77777777" w:rsidR="000C49AE" w:rsidRDefault="000C49AE" w:rsidP="00491534">
      <w:pPr>
        <w:rPr>
          <w:rFonts w:ascii="Arial" w:hAnsi="Arial" w:cs="Arial"/>
        </w:rPr>
      </w:pPr>
    </w:p>
    <w:p w14:paraId="72260FB1" w14:textId="6A3EA90D" w:rsidR="000C49AE" w:rsidRDefault="000C49AE" w:rsidP="00491534">
      <w:pPr>
        <w:rPr>
          <w:rFonts w:ascii="Arial" w:hAnsi="Arial" w:cs="Arial"/>
        </w:rPr>
      </w:pPr>
      <w:r>
        <w:rPr>
          <w:rFonts w:ascii="Arial" w:hAnsi="Arial" w:cs="Arial"/>
        </w:rPr>
        <w:t>If the new malignancy or disorder does not fit into one of the categories specified in question 50, indicate “other new malignancy,” and specify the type in question 51.</w:t>
      </w:r>
    </w:p>
    <w:p w14:paraId="2777F114" w14:textId="77777777" w:rsidR="00840B75" w:rsidRDefault="00840B75" w:rsidP="00491534">
      <w:pPr>
        <w:rPr>
          <w:rFonts w:ascii="Arial" w:hAnsi="Arial" w:cs="Arial"/>
          <w:b/>
        </w:rPr>
      </w:pPr>
    </w:p>
    <w:p w14:paraId="3F68437D" w14:textId="1D7D7B5E" w:rsidR="00840B75" w:rsidRDefault="00840B75" w:rsidP="00491534">
      <w:pPr>
        <w:rPr>
          <w:rFonts w:ascii="Arial" w:hAnsi="Arial" w:cs="Arial"/>
          <w:b/>
        </w:rPr>
      </w:pPr>
      <w:proofErr w:type="gramStart"/>
      <w:r>
        <w:rPr>
          <w:rFonts w:ascii="Arial" w:hAnsi="Arial" w:cs="Arial"/>
          <w:b/>
        </w:rPr>
        <w:t xml:space="preserve">Question 52: </w:t>
      </w:r>
      <w:r w:rsidR="005A3F32">
        <w:rPr>
          <w:rFonts w:ascii="Arial" w:hAnsi="Arial" w:cs="Arial"/>
          <w:b/>
        </w:rPr>
        <w:t xml:space="preserve"> </w:t>
      </w:r>
      <w:r>
        <w:rPr>
          <w:rFonts w:ascii="Arial" w:hAnsi="Arial" w:cs="Arial"/>
          <w:b/>
        </w:rPr>
        <w:t>Is the tumor EBV positive?</w:t>
      </w:r>
      <w:proofErr w:type="gramEnd"/>
    </w:p>
    <w:p w14:paraId="1DF1E73B" w14:textId="763858F3" w:rsidR="00840B75" w:rsidRPr="00FC39A8" w:rsidRDefault="00840B75" w:rsidP="00840B75">
      <w:pPr>
        <w:rPr>
          <w:rFonts w:ascii="Arial" w:hAnsi="Arial" w:cs="Arial"/>
        </w:rPr>
      </w:pPr>
      <w:r w:rsidRPr="00FC39A8">
        <w:rPr>
          <w:rFonts w:ascii="Arial" w:hAnsi="Arial" w:cs="Arial"/>
        </w:rPr>
        <w:t xml:space="preserve">If the disorder is lymphoma or lymphoproliferative disease, indicate </w:t>
      </w:r>
      <w:r>
        <w:rPr>
          <w:rFonts w:ascii="Arial" w:hAnsi="Arial" w:cs="Arial"/>
        </w:rPr>
        <w:t>if the tumor is EBV positive</w:t>
      </w:r>
      <w:r w:rsidR="00F91ED8">
        <w:rPr>
          <w:rFonts w:ascii="Arial" w:hAnsi="Arial" w:cs="Arial"/>
        </w:rPr>
        <w:t xml:space="preserve">.  </w:t>
      </w:r>
      <w:r w:rsidR="000C49AE">
        <w:rPr>
          <w:rFonts w:ascii="Arial" w:hAnsi="Arial" w:cs="Arial"/>
        </w:rPr>
        <w:t>This question only applies if lymphoma or lymphoproliferative disorder is selected in question 50.</w:t>
      </w:r>
    </w:p>
    <w:p w14:paraId="64408D96" w14:textId="77777777" w:rsidR="00840B75" w:rsidRDefault="00840B75" w:rsidP="00491534">
      <w:pPr>
        <w:rPr>
          <w:rFonts w:ascii="Arial" w:hAnsi="Arial" w:cs="Arial"/>
          <w:b/>
        </w:rPr>
      </w:pPr>
    </w:p>
    <w:p w14:paraId="1B849474" w14:textId="71F29971" w:rsidR="00840B75" w:rsidRDefault="000C49AE" w:rsidP="00491534">
      <w:pPr>
        <w:rPr>
          <w:rFonts w:ascii="Arial" w:hAnsi="Arial" w:cs="Arial"/>
        </w:rPr>
      </w:pPr>
      <w:r>
        <w:rPr>
          <w:rFonts w:ascii="Arial" w:hAnsi="Arial" w:cs="Arial"/>
          <w:b/>
        </w:rPr>
        <w:t xml:space="preserve">Question 53: </w:t>
      </w:r>
      <w:r w:rsidR="005A3F32">
        <w:rPr>
          <w:rFonts w:ascii="Arial" w:hAnsi="Arial" w:cs="Arial"/>
          <w:b/>
        </w:rPr>
        <w:t xml:space="preserve"> </w:t>
      </w:r>
      <w:r>
        <w:rPr>
          <w:rFonts w:ascii="Arial" w:hAnsi="Arial" w:cs="Arial"/>
          <w:b/>
        </w:rPr>
        <w:t>Date of diagnosis</w:t>
      </w:r>
    </w:p>
    <w:p w14:paraId="69DF6C3F" w14:textId="022D6F5C" w:rsidR="00C207E4" w:rsidRDefault="00C207E4" w:rsidP="00491534">
      <w:pPr>
        <w:rPr>
          <w:rFonts w:ascii="Arial" w:hAnsi="Arial" w:cs="Arial"/>
        </w:rPr>
      </w:pPr>
      <w:r>
        <w:rPr>
          <w:rFonts w:ascii="Arial" w:hAnsi="Arial" w:cs="Arial"/>
        </w:rPr>
        <w:t xml:space="preserve">Report </w:t>
      </w:r>
      <w:r w:rsidR="00EE4E48">
        <w:rPr>
          <w:rFonts w:ascii="Arial" w:hAnsi="Arial" w:cs="Arial"/>
        </w:rPr>
        <w:t>the date of first pathological diagnosis (e.g., biopsy) of the new malignancy</w:t>
      </w:r>
      <w:r w:rsidR="00F91ED8">
        <w:rPr>
          <w:rFonts w:ascii="Arial" w:hAnsi="Arial" w:cs="Arial"/>
        </w:rPr>
        <w:t xml:space="preserve">.  </w:t>
      </w:r>
      <w:r w:rsidR="00EE4E48" w:rsidRPr="005C0438">
        <w:rPr>
          <w:rFonts w:ascii="Arial" w:hAnsi="Arial" w:cs="Arial"/>
        </w:rPr>
        <w:t xml:space="preserve">Enter the date the sample </w:t>
      </w:r>
      <w:proofErr w:type="gramStart"/>
      <w:r w:rsidR="00EE4E48">
        <w:rPr>
          <w:rFonts w:ascii="Arial" w:hAnsi="Arial" w:cs="Arial"/>
        </w:rPr>
        <w:t>was collected</w:t>
      </w:r>
      <w:proofErr w:type="gramEnd"/>
      <w:r w:rsidR="00EE4E48">
        <w:rPr>
          <w:rFonts w:ascii="Arial" w:hAnsi="Arial" w:cs="Arial"/>
        </w:rPr>
        <w:t xml:space="preserve"> for examination</w:t>
      </w:r>
      <w:r w:rsidR="00F91ED8">
        <w:rPr>
          <w:rFonts w:ascii="Arial" w:hAnsi="Arial" w:cs="Arial"/>
        </w:rPr>
        <w:t xml:space="preserve">.  </w:t>
      </w:r>
      <w:r w:rsidR="00EE4E48" w:rsidRPr="002879F3">
        <w:rPr>
          <w:rFonts w:ascii="Arial" w:hAnsi="Arial" w:cs="Arial"/>
        </w:rPr>
        <w:t>If the diagnosis was determined at an outside center</w:t>
      </w:r>
      <w:r w:rsidR="00EE4E48">
        <w:rPr>
          <w:rFonts w:ascii="Arial" w:hAnsi="Arial" w:cs="Arial"/>
        </w:rPr>
        <w:t>,</w:t>
      </w:r>
      <w:r w:rsidR="00EE4E48" w:rsidRPr="002879F3">
        <w:rPr>
          <w:rFonts w:ascii="Arial" w:hAnsi="Arial" w:cs="Arial"/>
        </w:rPr>
        <w:t xml:space="preserve"> and no documentation of a pathological or laboratory assessment is available, the dictated date of diagnosis within a physician note </w:t>
      </w:r>
      <w:proofErr w:type="gramStart"/>
      <w:r w:rsidR="00EE4E48" w:rsidRPr="002879F3">
        <w:rPr>
          <w:rFonts w:ascii="Arial" w:hAnsi="Arial" w:cs="Arial"/>
        </w:rPr>
        <w:t>may be reported</w:t>
      </w:r>
      <w:proofErr w:type="gramEnd"/>
      <w:r w:rsidR="00F91ED8">
        <w:rPr>
          <w:rFonts w:ascii="Arial" w:hAnsi="Arial" w:cs="Arial"/>
        </w:rPr>
        <w:t xml:space="preserve">.  </w:t>
      </w:r>
      <w:r w:rsidR="00EE4E48" w:rsidRPr="005C0438">
        <w:rPr>
          <w:rFonts w:ascii="Arial" w:hAnsi="Arial" w:cs="Arial"/>
        </w:rPr>
        <w:t>Do not report the date symptoms first appeared.</w:t>
      </w:r>
      <w:r w:rsidR="00EE4E48">
        <w:rPr>
          <w:rFonts w:ascii="Arial" w:hAnsi="Arial" w:cs="Arial"/>
        </w:rPr>
        <w:t xml:space="preserve"> </w:t>
      </w:r>
    </w:p>
    <w:p w14:paraId="4C50E95E" w14:textId="77777777" w:rsidR="00EE4E48" w:rsidRDefault="00EE4E48" w:rsidP="00491534">
      <w:pPr>
        <w:rPr>
          <w:rFonts w:ascii="Arial" w:hAnsi="Arial" w:cs="Arial"/>
        </w:rPr>
      </w:pPr>
    </w:p>
    <w:p w14:paraId="5715A4B9" w14:textId="344B2D8F" w:rsidR="00EE4E48" w:rsidRDefault="00EE4E48" w:rsidP="00491534">
      <w:pPr>
        <w:rPr>
          <w:rFonts w:ascii="Arial" w:hAnsi="Arial" w:cs="Arial"/>
        </w:rPr>
      </w:pPr>
      <w:r>
        <w:rPr>
          <w:rFonts w:ascii="Arial" w:hAnsi="Arial" w:cs="Arial"/>
        </w:rPr>
        <w:lastRenderedPageBreak/>
        <w:t xml:space="preserve">For malignancies or disorders without pathologic diagnosis, report the date of clinical diagnosis or date of specimen collection for laboratory assessment confirming diagnosis. </w:t>
      </w:r>
    </w:p>
    <w:p w14:paraId="010517D5" w14:textId="77777777" w:rsidR="00EE4E48" w:rsidRDefault="00EE4E48" w:rsidP="00491534">
      <w:pPr>
        <w:rPr>
          <w:rFonts w:ascii="Arial" w:hAnsi="Arial" w:cs="Arial"/>
        </w:rPr>
      </w:pPr>
    </w:p>
    <w:p w14:paraId="51CE385C" w14:textId="2374A0FE" w:rsidR="00EE4E48" w:rsidRPr="00C207E4" w:rsidRDefault="00EE4E48" w:rsidP="00491534">
      <w:pPr>
        <w:rPr>
          <w:rFonts w:ascii="Arial" w:hAnsi="Arial" w:cs="Arial"/>
        </w:rPr>
      </w:pPr>
      <w:r>
        <w:rPr>
          <w:rFonts w:ascii="Arial" w:hAnsi="Arial" w:cs="Arial"/>
        </w:rPr>
        <w:t>If exact date of diagnosis is not known, r</w:t>
      </w:r>
      <w:r w:rsidRPr="00A460DF">
        <w:rPr>
          <w:rFonts w:ascii="Arial" w:hAnsi="Arial" w:cs="Arial"/>
          <w:color w:val="000000"/>
        </w:rPr>
        <w:t xml:space="preserve">efer to </w:t>
      </w:r>
      <w:r w:rsidRPr="00A460DF">
        <w:rPr>
          <w:rFonts w:ascii="Arial" w:hAnsi="Arial" w:cs="Arial"/>
        </w:rPr>
        <w:t xml:space="preserve">General Instructions, </w:t>
      </w:r>
      <w:hyperlink r:id="rId23" w:history="1">
        <w:r w:rsidRPr="00A460DF">
          <w:rPr>
            <w:rStyle w:val="Hyperlink"/>
            <w:rFonts w:ascii="Arial" w:hAnsi="Arial" w:cs="Arial"/>
          </w:rPr>
          <w:t>General Guidelines for Completing Forms</w:t>
        </w:r>
      </w:hyperlink>
      <w:r w:rsidRPr="00A460DF">
        <w:rPr>
          <w:rFonts w:ascii="Arial" w:hAnsi="Arial" w:cs="Arial"/>
        </w:rPr>
        <w:t>, for information about reporting partial or unknown dates.</w:t>
      </w:r>
    </w:p>
    <w:p w14:paraId="483FDB44" w14:textId="77777777" w:rsidR="00840B75" w:rsidRDefault="00840B75" w:rsidP="00491534">
      <w:pPr>
        <w:rPr>
          <w:rFonts w:ascii="Arial" w:hAnsi="Arial" w:cs="Arial"/>
          <w:b/>
        </w:rPr>
      </w:pPr>
    </w:p>
    <w:p w14:paraId="54CB9139" w14:textId="2F4457D3" w:rsidR="00840B75" w:rsidRPr="000B1EC2" w:rsidRDefault="00840B75" w:rsidP="00491534">
      <w:pPr>
        <w:rPr>
          <w:rFonts w:ascii="Arial" w:hAnsi="Arial" w:cs="Arial"/>
          <w:b/>
        </w:rPr>
      </w:pPr>
      <w:r w:rsidRPr="000B1EC2">
        <w:rPr>
          <w:rFonts w:ascii="Arial" w:hAnsi="Arial" w:cs="Arial"/>
          <w:b/>
        </w:rPr>
        <w:t xml:space="preserve">Question 54: </w:t>
      </w:r>
      <w:r w:rsidR="00632864">
        <w:rPr>
          <w:rFonts w:ascii="Arial" w:hAnsi="Arial" w:cs="Arial"/>
          <w:b/>
        </w:rPr>
        <w:t xml:space="preserve"> </w:t>
      </w:r>
      <w:r w:rsidRPr="000B1EC2">
        <w:rPr>
          <w:rFonts w:ascii="Arial" w:hAnsi="Arial" w:cs="Arial"/>
          <w:b/>
        </w:rPr>
        <w:t>Was documentation submitted to the CIBMTR</w:t>
      </w:r>
      <w:proofErr w:type="gramStart"/>
      <w:r w:rsidRPr="000B1EC2">
        <w:rPr>
          <w:rFonts w:ascii="Arial" w:hAnsi="Arial" w:cs="Arial"/>
          <w:b/>
        </w:rPr>
        <w:t xml:space="preserve">? </w:t>
      </w:r>
      <w:proofErr w:type="gramEnd"/>
      <w:r w:rsidRPr="000B1EC2">
        <w:rPr>
          <w:rFonts w:ascii="Arial" w:hAnsi="Arial" w:cs="Arial"/>
          <w:b/>
        </w:rPr>
        <w:t>(e.g. pathology / autopsy report or other documentation)</w:t>
      </w:r>
    </w:p>
    <w:p w14:paraId="208F2986" w14:textId="7379805D" w:rsidR="00840B75" w:rsidRPr="00FC39A8" w:rsidRDefault="00840B75" w:rsidP="00840B75">
      <w:pPr>
        <w:autoSpaceDE w:val="0"/>
        <w:autoSpaceDN w:val="0"/>
        <w:adjustRightInd w:val="0"/>
        <w:rPr>
          <w:rFonts w:ascii="Arial" w:hAnsi="Arial" w:cs="Arial"/>
        </w:rPr>
      </w:pPr>
      <w:r w:rsidRPr="00FC39A8">
        <w:rPr>
          <w:rFonts w:ascii="Arial" w:hAnsi="Arial" w:cs="Arial"/>
        </w:rPr>
        <w:t xml:space="preserve">Attaching a copy of the </w:t>
      </w:r>
      <w:r>
        <w:rPr>
          <w:rFonts w:ascii="Arial" w:hAnsi="Arial" w:cs="Arial"/>
        </w:rPr>
        <w:t>diagnostic pathology report for</w:t>
      </w:r>
      <w:r w:rsidRPr="00FC39A8">
        <w:rPr>
          <w:rFonts w:ascii="Arial" w:hAnsi="Arial" w:cs="Arial"/>
        </w:rPr>
        <w:t xml:space="preserve"> the new malignancy assists in disease confirmation</w:t>
      </w:r>
      <w:r>
        <w:rPr>
          <w:rFonts w:ascii="Arial" w:hAnsi="Arial" w:cs="Arial"/>
        </w:rPr>
        <w:t xml:space="preserve"> and </w:t>
      </w:r>
      <w:r w:rsidRPr="009E1D25">
        <w:rPr>
          <w:rFonts w:ascii="Arial" w:hAnsi="Arial" w:cs="Arial"/>
          <w:b/>
        </w:rPr>
        <w:t>reduces the need for later data queries</w:t>
      </w:r>
      <w:r w:rsidR="00F91ED8">
        <w:rPr>
          <w:rFonts w:ascii="Arial" w:hAnsi="Arial" w:cs="Arial"/>
        </w:rPr>
        <w:t xml:space="preserve">.  </w:t>
      </w:r>
      <w:r w:rsidR="000B1EC2">
        <w:rPr>
          <w:rFonts w:ascii="Arial" w:hAnsi="Arial" w:cs="Arial"/>
        </w:rPr>
        <w:t>Indicate “yes” if an attachment is added in FormsNet 3 to the Form 2450 supporting the diagnosis data reported in questions 49-53.</w:t>
      </w:r>
    </w:p>
    <w:p w14:paraId="64763438" w14:textId="77777777" w:rsidR="00490BD7" w:rsidRDefault="00490BD7" w:rsidP="00840B75">
      <w:pPr>
        <w:autoSpaceDE w:val="0"/>
        <w:autoSpaceDN w:val="0"/>
        <w:adjustRightInd w:val="0"/>
        <w:rPr>
          <w:rFonts w:ascii="Arial" w:hAnsi="Arial" w:cs="Arial"/>
        </w:rPr>
      </w:pPr>
    </w:p>
    <w:p w14:paraId="25BE2C13" w14:textId="6A8FF203" w:rsidR="00490BD7" w:rsidRDefault="00490BD7" w:rsidP="00840B75">
      <w:pPr>
        <w:autoSpaceDE w:val="0"/>
        <w:autoSpaceDN w:val="0"/>
        <w:adjustRightInd w:val="0"/>
        <w:rPr>
          <w:rFonts w:ascii="Arial" w:hAnsi="Arial" w:cs="Arial"/>
          <w:b/>
        </w:rPr>
      </w:pPr>
      <w:proofErr w:type="gramStart"/>
      <w:r w:rsidRPr="00EE4E48">
        <w:rPr>
          <w:rFonts w:ascii="Arial" w:hAnsi="Arial" w:cs="Arial"/>
          <w:b/>
        </w:rPr>
        <w:t xml:space="preserve">Question 55: </w:t>
      </w:r>
      <w:r w:rsidR="00632864">
        <w:rPr>
          <w:rFonts w:ascii="Arial" w:hAnsi="Arial" w:cs="Arial"/>
          <w:b/>
        </w:rPr>
        <w:t xml:space="preserve"> </w:t>
      </w:r>
      <w:r w:rsidRPr="00EE4E48">
        <w:rPr>
          <w:rFonts w:ascii="Arial" w:hAnsi="Arial" w:cs="Arial"/>
          <w:b/>
        </w:rPr>
        <w:t>Was the new malignancy donor / cell product derived?</w:t>
      </w:r>
      <w:proofErr w:type="gramEnd"/>
    </w:p>
    <w:p w14:paraId="0BADA5AE" w14:textId="59EA3829" w:rsidR="00490BD7" w:rsidRPr="00491534" w:rsidRDefault="00EE4E48" w:rsidP="00490BD7">
      <w:pPr>
        <w:rPr>
          <w:rFonts w:ascii="Arial" w:hAnsi="Arial" w:cs="Arial"/>
        </w:rPr>
      </w:pPr>
      <w:r>
        <w:rPr>
          <w:rFonts w:ascii="Arial" w:hAnsi="Arial" w:cs="Arial"/>
        </w:rPr>
        <w:t xml:space="preserve">In spite of stringent criteria for stem cell donors, there is some risk of </w:t>
      </w:r>
      <w:proofErr w:type="gramStart"/>
      <w:r>
        <w:rPr>
          <w:rFonts w:ascii="Arial" w:hAnsi="Arial" w:cs="Arial"/>
        </w:rPr>
        <w:t>donor derived</w:t>
      </w:r>
      <w:proofErr w:type="gramEnd"/>
      <w:r>
        <w:rPr>
          <w:rFonts w:ascii="Arial" w:hAnsi="Arial" w:cs="Arial"/>
        </w:rPr>
        <w:t xml:space="preserve"> malignancy</w:t>
      </w:r>
      <w:r w:rsidR="00F91ED8">
        <w:rPr>
          <w:rFonts w:ascii="Arial" w:hAnsi="Arial" w:cs="Arial"/>
        </w:rPr>
        <w:t xml:space="preserve">.  </w:t>
      </w:r>
      <w:r>
        <w:rPr>
          <w:rFonts w:ascii="Arial" w:hAnsi="Arial" w:cs="Arial"/>
        </w:rPr>
        <w:t xml:space="preserve">Donor related malignancy </w:t>
      </w:r>
      <w:proofErr w:type="gramStart"/>
      <w:r>
        <w:rPr>
          <w:rFonts w:ascii="Arial" w:hAnsi="Arial" w:cs="Arial"/>
        </w:rPr>
        <w:t>may</w:t>
      </w:r>
      <w:proofErr w:type="gramEnd"/>
      <w:r>
        <w:rPr>
          <w:rFonts w:ascii="Arial" w:hAnsi="Arial" w:cs="Arial"/>
        </w:rPr>
        <w:t xml:space="preserve"> be due to direct transmission of tumor or due to a tumor arising from cells of donor origin</w:t>
      </w:r>
      <w:r w:rsidR="00F91ED8">
        <w:rPr>
          <w:rFonts w:ascii="Arial" w:hAnsi="Arial" w:cs="Arial"/>
        </w:rPr>
        <w:t xml:space="preserve">.  </w:t>
      </w:r>
      <w:r w:rsidR="00490BD7" w:rsidRPr="00491534">
        <w:rPr>
          <w:rFonts w:ascii="Arial" w:hAnsi="Arial" w:cs="Arial"/>
        </w:rPr>
        <w:t>Indicate the cell origin of the new malignancy</w:t>
      </w:r>
      <w:r w:rsidR="00F91ED8">
        <w:rPr>
          <w:rFonts w:ascii="Arial" w:hAnsi="Arial" w:cs="Arial"/>
        </w:rPr>
        <w:t xml:space="preserve">.  </w:t>
      </w:r>
      <w:r>
        <w:rPr>
          <w:rFonts w:ascii="Arial" w:hAnsi="Arial" w:cs="Arial"/>
        </w:rPr>
        <w:t xml:space="preserve">Cell origin </w:t>
      </w:r>
      <w:proofErr w:type="gramStart"/>
      <w:r>
        <w:rPr>
          <w:rFonts w:ascii="Arial" w:hAnsi="Arial" w:cs="Arial"/>
        </w:rPr>
        <w:t>may be inferred</w:t>
      </w:r>
      <w:proofErr w:type="gramEnd"/>
      <w:r>
        <w:rPr>
          <w:rFonts w:ascii="Arial" w:hAnsi="Arial" w:cs="Arial"/>
        </w:rPr>
        <w:t xml:space="preserve"> from karyotyping or FISH XX/XY testing the tumor cells following sex-mismatched transplantation, or from molecular methods of testing chimerism of the tumor cells, such as VNTR/STR or RFLP</w:t>
      </w:r>
      <w:r w:rsidR="00F91ED8">
        <w:rPr>
          <w:rFonts w:ascii="Arial" w:hAnsi="Arial" w:cs="Arial"/>
        </w:rPr>
        <w:t xml:space="preserve">.  </w:t>
      </w:r>
      <w:r>
        <w:rPr>
          <w:rFonts w:ascii="Arial" w:hAnsi="Arial" w:cs="Arial"/>
        </w:rPr>
        <w:t>If testing was performed to determine the origin of the tumor cells, indicate whether donor or product cells were detected by selecting “yes,” or not, by selecting “no.” If testing was not performed, indicate “not done.”</w:t>
      </w:r>
    </w:p>
    <w:p w14:paraId="1FB9B059" w14:textId="77777777" w:rsidR="00490BD7" w:rsidRDefault="00490BD7" w:rsidP="00840B75">
      <w:pPr>
        <w:autoSpaceDE w:val="0"/>
        <w:autoSpaceDN w:val="0"/>
        <w:adjustRightInd w:val="0"/>
        <w:rPr>
          <w:rFonts w:ascii="Arial" w:hAnsi="Arial" w:cs="Arial"/>
          <w:b/>
        </w:rPr>
      </w:pPr>
    </w:p>
    <w:p w14:paraId="31AEF949" w14:textId="6BEA015B" w:rsidR="00490BD7" w:rsidRPr="000B1EC2" w:rsidRDefault="00490BD7" w:rsidP="00840B75">
      <w:pPr>
        <w:autoSpaceDE w:val="0"/>
        <w:autoSpaceDN w:val="0"/>
        <w:adjustRightInd w:val="0"/>
        <w:rPr>
          <w:rFonts w:ascii="Arial" w:hAnsi="Arial" w:cs="Arial"/>
          <w:b/>
        </w:rPr>
      </w:pPr>
      <w:r w:rsidRPr="000B1EC2">
        <w:rPr>
          <w:rFonts w:ascii="Arial" w:hAnsi="Arial" w:cs="Arial"/>
          <w:b/>
        </w:rPr>
        <w:t xml:space="preserve">Question 56: </w:t>
      </w:r>
      <w:r w:rsidR="00632864">
        <w:rPr>
          <w:rFonts w:ascii="Arial" w:hAnsi="Arial" w:cs="Arial"/>
          <w:b/>
        </w:rPr>
        <w:t xml:space="preserve"> </w:t>
      </w:r>
      <w:r w:rsidRPr="000B1EC2">
        <w:rPr>
          <w:rFonts w:ascii="Arial" w:hAnsi="Arial" w:cs="Arial"/>
          <w:b/>
        </w:rPr>
        <w:t>Was documentation submitted to the CIBMTR</w:t>
      </w:r>
      <w:proofErr w:type="gramStart"/>
      <w:r w:rsidRPr="000B1EC2">
        <w:rPr>
          <w:rFonts w:ascii="Arial" w:hAnsi="Arial" w:cs="Arial"/>
          <w:b/>
        </w:rPr>
        <w:t xml:space="preserve">? </w:t>
      </w:r>
      <w:proofErr w:type="gramEnd"/>
      <w:r w:rsidRPr="000B1EC2">
        <w:rPr>
          <w:rFonts w:ascii="Arial" w:hAnsi="Arial" w:cs="Arial"/>
          <w:b/>
        </w:rPr>
        <w:t>(</w:t>
      </w:r>
      <w:proofErr w:type="gramStart"/>
      <w:r w:rsidRPr="000B1EC2">
        <w:rPr>
          <w:rFonts w:ascii="Arial" w:hAnsi="Arial" w:cs="Arial"/>
          <w:b/>
        </w:rPr>
        <w:t>e.g</w:t>
      </w:r>
      <w:proofErr w:type="gramEnd"/>
      <w:r w:rsidR="00F91ED8">
        <w:rPr>
          <w:rFonts w:ascii="Arial" w:hAnsi="Arial" w:cs="Arial"/>
          <w:b/>
        </w:rPr>
        <w:t xml:space="preserve">. </w:t>
      </w:r>
      <w:r w:rsidRPr="000B1EC2">
        <w:rPr>
          <w:rFonts w:ascii="Arial" w:hAnsi="Arial" w:cs="Arial"/>
          <w:b/>
        </w:rPr>
        <w:t>cell origin evaluation (VNTR, cytogenetics, FISH))</w:t>
      </w:r>
    </w:p>
    <w:p w14:paraId="71AAA62F" w14:textId="3AE08120" w:rsidR="0070747A" w:rsidRPr="00EA6578" w:rsidRDefault="00490BD7" w:rsidP="000B1EC2">
      <w:pPr>
        <w:autoSpaceDE w:val="0"/>
        <w:autoSpaceDN w:val="0"/>
        <w:adjustRightInd w:val="0"/>
        <w:rPr>
          <w:rFonts w:ascii="Arial" w:hAnsi="Arial" w:cs="Arial"/>
          <w:b/>
        </w:rPr>
      </w:pPr>
      <w:r w:rsidRPr="00491534">
        <w:rPr>
          <w:rFonts w:ascii="Arial" w:hAnsi="Arial" w:cs="Arial"/>
        </w:rPr>
        <w:t xml:space="preserve">Attaching a copy of the evaluation for the cell origin of the new malignancy </w:t>
      </w:r>
      <w:r w:rsidRPr="00491534">
        <w:rPr>
          <w:rFonts w:ascii="Arial" w:hAnsi="Arial" w:cs="Arial"/>
          <w:b/>
        </w:rPr>
        <w:t>reduces the need for later data queries</w:t>
      </w:r>
      <w:r w:rsidR="00F91ED8">
        <w:rPr>
          <w:rFonts w:ascii="Arial" w:hAnsi="Arial" w:cs="Arial"/>
        </w:rPr>
        <w:t xml:space="preserve">.  </w:t>
      </w:r>
      <w:r w:rsidR="000B1EC2">
        <w:rPr>
          <w:rFonts w:ascii="Arial" w:hAnsi="Arial" w:cs="Arial"/>
        </w:rPr>
        <w:t>Indicate “yes” if an attachment is added in FormsNet 3 to the Form 2450 supporting the diagnosis data reported in question 55.</w:t>
      </w:r>
    </w:p>
    <w:p w14:paraId="1E5D97BD" w14:textId="77777777" w:rsidR="00AE796E" w:rsidRDefault="00AE796E"/>
    <w:p w14:paraId="7E21C644" w14:textId="77777777" w:rsidR="007B790F" w:rsidRPr="00DB6F1D" w:rsidRDefault="00490BD7" w:rsidP="009829F8">
      <w:pPr>
        <w:pStyle w:val="Heading1"/>
      </w:pPr>
      <w:bookmarkStart w:id="11" w:name="_Toc450570839"/>
      <w:r>
        <w:t>Chimerism Studies (Cord Blood Units Only)</w:t>
      </w:r>
      <w:bookmarkEnd w:id="11"/>
    </w:p>
    <w:p w14:paraId="70C02220" w14:textId="77777777" w:rsidR="007B790F" w:rsidRPr="003E7677" w:rsidRDefault="007B790F" w:rsidP="007B790F">
      <w:pPr>
        <w:rPr>
          <w:rFonts w:ascii="Arial" w:hAnsi="Arial" w:cs="Arial"/>
          <w:b/>
        </w:rPr>
      </w:pPr>
    </w:p>
    <w:p w14:paraId="15EA168B" w14:textId="4714E613" w:rsidR="003E7677" w:rsidRDefault="003E7677" w:rsidP="003E7677">
      <w:pPr>
        <w:rPr>
          <w:rFonts w:ascii="Arial" w:hAnsi="Arial" w:cs="Arial"/>
        </w:rPr>
      </w:pPr>
      <w:r w:rsidRPr="003E7677">
        <w:rPr>
          <w:rFonts w:ascii="Arial" w:hAnsi="Arial" w:cs="Arial"/>
        </w:rPr>
        <w:t>This section relates to chimerism studies from allogeneic HCTs using cord blood units only</w:t>
      </w:r>
      <w:r w:rsidR="00F91ED8">
        <w:rPr>
          <w:rFonts w:ascii="Arial" w:hAnsi="Arial" w:cs="Arial"/>
        </w:rPr>
        <w:t xml:space="preserve">.  </w:t>
      </w:r>
      <w:r w:rsidRPr="003E7677">
        <w:rPr>
          <w:rFonts w:ascii="Arial" w:hAnsi="Arial" w:cs="Arial"/>
        </w:rPr>
        <w:t>If this was an autologous HCT, or an allogeneic HCT using a bone marrow or PBSC product, continue to disease assessment.</w:t>
      </w:r>
    </w:p>
    <w:p w14:paraId="7BCCF782" w14:textId="77777777" w:rsidR="00EE4E48" w:rsidRDefault="00EE4E48" w:rsidP="003E7677">
      <w:pPr>
        <w:rPr>
          <w:rFonts w:ascii="Arial" w:hAnsi="Arial" w:cs="Arial"/>
        </w:rPr>
      </w:pPr>
    </w:p>
    <w:p w14:paraId="01402174" w14:textId="4973363A" w:rsidR="00EE4E48" w:rsidRDefault="00EE4E48" w:rsidP="003E7677">
      <w:pPr>
        <w:rPr>
          <w:rFonts w:ascii="Arial" w:hAnsi="Arial" w:cs="Arial"/>
          <w:iCs/>
        </w:rPr>
      </w:pPr>
      <w:r>
        <w:rPr>
          <w:rFonts w:ascii="Arial" w:hAnsi="Arial" w:cs="Arial"/>
        </w:rPr>
        <w:t xml:space="preserve">Chimerism studies </w:t>
      </w:r>
      <w:proofErr w:type="gramStart"/>
      <w:r>
        <w:rPr>
          <w:rFonts w:ascii="Arial" w:hAnsi="Arial" w:cs="Arial"/>
        </w:rPr>
        <w:t>are performed</w:t>
      </w:r>
      <w:proofErr w:type="gramEnd"/>
      <w:r>
        <w:rPr>
          <w:rFonts w:ascii="Arial" w:hAnsi="Arial" w:cs="Arial"/>
        </w:rPr>
        <w:t xml:space="preserve"> to determine the percent of blood or marrow cells </w:t>
      </w:r>
      <w:r w:rsidRPr="00EE4E48">
        <w:rPr>
          <w:rFonts w:ascii="Arial" w:hAnsi="Arial" w:cs="Arial"/>
        </w:rPr>
        <w:t>post-transplant that are produced from donor stem cells and the perfect that are product from host (recipient) stem cells</w:t>
      </w:r>
      <w:r w:rsidR="00F91ED8">
        <w:rPr>
          <w:rFonts w:ascii="Arial" w:hAnsi="Arial" w:cs="Arial"/>
        </w:rPr>
        <w:t xml:space="preserve">.  </w:t>
      </w:r>
      <w:r w:rsidRPr="00EE4E48">
        <w:rPr>
          <w:rFonts w:ascii="Arial" w:hAnsi="Arial" w:cs="Arial"/>
        </w:rPr>
        <w:t xml:space="preserve">Different types of blood cells and a variety of laboratory tests </w:t>
      </w:r>
      <w:proofErr w:type="gramStart"/>
      <w:r w:rsidRPr="00EE4E48">
        <w:rPr>
          <w:rFonts w:ascii="Arial" w:hAnsi="Arial" w:cs="Arial"/>
          <w:iCs/>
        </w:rPr>
        <w:t>can be used</w:t>
      </w:r>
      <w:proofErr w:type="gramEnd"/>
      <w:r w:rsidRPr="00EE4E48">
        <w:rPr>
          <w:rFonts w:ascii="Arial" w:hAnsi="Arial" w:cs="Arial"/>
          <w:iCs/>
        </w:rPr>
        <w:t xml:space="preserve"> to determine if a chimera (presence of both donor- and host-derived cells) exists</w:t>
      </w:r>
      <w:r w:rsidR="00F91ED8">
        <w:rPr>
          <w:rFonts w:ascii="Arial" w:hAnsi="Arial" w:cs="Arial"/>
          <w:iCs/>
        </w:rPr>
        <w:t xml:space="preserve">.  </w:t>
      </w:r>
      <w:r w:rsidRPr="00EE4E48">
        <w:rPr>
          <w:rFonts w:ascii="Arial" w:hAnsi="Arial" w:cs="Arial"/>
          <w:iCs/>
        </w:rPr>
        <w:t xml:space="preserve">If cytogenetic testing </w:t>
      </w:r>
      <w:proofErr w:type="gramStart"/>
      <w:r w:rsidRPr="00EE4E48">
        <w:rPr>
          <w:rFonts w:ascii="Arial" w:hAnsi="Arial" w:cs="Arial"/>
          <w:iCs/>
        </w:rPr>
        <w:t>was performed</w:t>
      </w:r>
      <w:proofErr w:type="gramEnd"/>
      <w:r w:rsidRPr="00EE4E48">
        <w:rPr>
          <w:rFonts w:ascii="Arial" w:hAnsi="Arial" w:cs="Arial"/>
          <w:iCs/>
        </w:rPr>
        <w:t xml:space="preserve"> to look for disease markers, and the donor and recipient are different sexes, the test may also be used to determine if a chimera exists</w:t>
      </w:r>
      <w:r w:rsidR="00F91ED8">
        <w:rPr>
          <w:rFonts w:ascii="Arial" w:hAnsi="Arial" w:cs="Arial"/>
          <w:iCs/>
        </w:rPr>
        <w:t xml:space="preserve">.  </w:t>
      </w:r>
      <w:r w:rsidRPr="00EE4E48">
        <w:rPr>
          <w:rFonts w:ascii="Arial" w:hAnsi="Arial" w:cs="Arial"/>
          <w:iCs/>
        </w:rPr>
        <w:t xml:space="preserve">If the donor and recipient are of the same sex, cytogenetic testing using the common staining technique, known as </w:t>
      </w:r>
      <w:proofErr w:type="spellStart"/>
      <w:r w:rsidRPr="00EE4E48">
        <w:rPr>
          <w:rFonts w:ascii="Arial" w:hAnsi="Arial" w:cs="Arial"/>
          <w:iCs/>
        </w:rPr>
        <w:t>giemsa</w:t>
      </w:r>
      <w:proofErr w:type="spellEnd"/>
      <w:r w:rsidRPr="00EE4E48">
        <w:rPr>
          <w:rFonts w:ascii="Arial" w:hAnsi="Arial" w:cs="Arial"/>
          <w:iCs/>
        </w:rPr>
        <w:t xml:space="preserve"> banding (</w:t>
      </w:r>
      <w:proofErr w:type="gramStart"/>
      <w:r w:rsidRPr="00EE4E48">
        <w:rPr>
          <w:rFonts w:ascii="Arial" w:hAnsi="Arial" w:cs="Arial"/>
          <w:iCs/>
        </w:rPr>
        <w:t>G-banding</w:t>
      </w:r>
      <w:proofErr w:type="gramEnd"/>
      <w:r w:rsidRPr="00EE4E48">
        <w:rPr>
          <w:rFonts w:ascii="Arial" w:hAnsi="Arial" w:cs="Arial"/>
          <w:iCs/>
        </w:rPr>
        <w:t>), cannot be used to determine if there is a chimera</w:t>
      </w:r>
      <w:r w:rsidR="00F91ED8">
        <w:rPr>
          <w:rFonts w:ascii="Arial" w:hAnsi="Arial" w:cs="Arial"/>
          <w:iCs/>
        </w:rPr>
        <w:t xml:space="preserve">.  </w:t>
      </w:r>
      <w:r w:rsidRPr="00EE4E48">
        <w:rPr>
          <w:rFonts w:ascii="Arial" w:hAnsi="Arial" w:cs="Arial"/>
          <w:iCs/>
        </w:rPr>
        <w:t xml:space="preserve">However, </w:t>
      </w:r>
      <w:proofErr w:type="spellStart"/>
      <w:r w:rsidRPr="00EE4E48">
        <w:rPr>
          <w:rFonts w:ascii="Arial" w:hAnsi="Arial" w:cs="Arial"/>
          <w:iCs/>
        </w:rPr>
        <w:t>quinicrine</w:t>
      </w:r>
      <w:proofErr w:type="spellEnd"/>
      <w:r w:rsidRPr="00EE4E48">
        <w:rPr>
          <w:rFonts w:ascii="Arial" w:hAnsi="Arial" w:cs="Arial"/>
          <w:iCs/>
        </w:rPr>
        <w:t xml:space="preserve"> banding (</w:t>
      </w:r>
      <w:proofErr w:type="gramStart"/>
      <w:r w:rsidRPr="00EE4E48">
        <w:rPr>
          <w:rFonts w:ascii="Arial" w:hAnsi="Arial" w:cs="Arial"/>
          <w:iCs/>
        </w:rPr>
        <w:t>Q-banding</w:t>
      </w:r>
      <w:proofErr w:type="gramEnd"/>
      <w:r w:rsidRPr="00EE4E48">
        <w:rPr>
          <w:rFonts w:ascii="Arial" w:hAnsi="Arial" w:cs="Arial"/>
          <w:iCs/>
        </w:rPr>
        <w:t xml:space="preserve">) can be </w:t>
      </w:r>
      <w:r w:rsidRPr="00EE4E48">
        <w:rPr>
          <w:rFonts w:ascii="Arial" w:hAnsi="Arial" w:cs="Arial"/>
          <w:iCs/>
        </w:rPr>
        <w:lastRenderedPageBreak/>
        <w:t>used to identify if the cells are of donor origin or not in a same-sex transplant, as this staining technique highlights inherited chromosome polymorphisms on certain human chromosomes including 3, 4, 13, 15, 21, 22, and Y</w:t>
      </w:r>
      <w:r w:rsidR="00F91ED8">
        <w:rPr>
          <w:rFonts w:ascii="Arial" w:hAnsi="Arial" w:cs="Arial"/>
          <w:iCs/>
        </w:rPr>
        <w:t xml:space="preserve">.  </w:t>
      </w:r>
      <w:r w:rsidRPr="00EE4E48">
        <w:rPr>
          <w:rFonts w:ascii="Arial" w:hAnsi="Arial" w:cs="Arial"/>
          <w:iCs/>
        </w:rPr>
        <w:t>This is not a commonly used staining technique and is only helpful when the polymorphism is documented pre-HCT.</w:t>
      </w:r>
    </w:p>
    <w:p w14:paraId="0B42F9BF" w14:textId="77777777" w:rsidR="00632864" w:rsidRPr="005A3F32" w:rsidRDefault="00632864">
      <w:pPr>
        <w:spacing w:after="200" w:line="276" w:lineRule="auto"/>
        <w:rPr>
          <w:rFonts w:ascii="Arial" w:hAnsi="Arial" w:cs="Arial"/>
          <w:sz w:val="18"/>
          <w:szCs w:val="18"/>
        </w:rPr>
      </w:pPr>
    </w:p>
    <w:p w14:paraId="506FA225" w14:textId="77777777" w:rsidR="003E7677" w:rsidRDefault="003E7677" w:rsidP="003E7677">
      <w:pPr>
        <w:rPr>
          <w:rFonts w:ascii="Arial" w:hAnsi="Arial" w:cs="Arial"/>
        </w:rPr>
      </w:pPr>
      <w:r>
        <w:rPr>
          <w:rFonts w:ascii="Arial" w:hAnsi="Arial" w:cs="Arial"/>
          <w:noProof/>
        </w:rPr>
        <mc:AlternateContent>
          <mc:Choice Requires="wps">
            <w:drawing>
              <wp:anchor distT="0" distB="0" distL="114300" distR="114300" simplePos="0" relativeHeight="251693056" behindDoc="0" locked="0" layoutInCell="1" allowOverlap="1" wp14:anchorId="70CD5DB8" wp14:editId="2F17DB93">
                <wp:simplePos x="0" y="0"/>
                <wp:positionH relativeFrom="margin">
                  <wp:align>right</wp:align>
                </wp:positionH>
                <wp:positionV relativeFrom="paragraph">
                  <wp:posOffset>45085</wp:posOffset>
                </wp:positionV>
                <wp:extent cx="5943600" cy="1238250"/>
                <wp:effectExtent l="0" t="0" r="0" b="0"/>
                <wp:wrapNone/>
                <wp:docPr id="73" name="Text Box 73"/>
                <wp:cNvGraphicFramePr/>
                <a:graphic xmlns:a="http://schemas.openxmlformats.org/drawingml/2006/main">
                  <a:graphicData uri="http://schemas.microsoft.com/office/word/2010/wordprocessingShape">
                    <wps:wsp>
                      <wps:cNvSpPr txBox="1"/>
                      <wps:spPr>
                        <a:xfrm>
                          <a:off x="0" y="0"/>
                          <a:ext cx="5943600" cy="1238250"/>
                        </a:xfrm>
                        <a:prstGeom prst="rect">
                          <a:avLst/>
                        </a:prstGeom>
                        <a:solidFill>
                          <a:schemeClr val="accent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ECEA1C" w14:textId="77777777" w:rsidR="00632864" w:rsidRDefault="00632864" w:rsidP="003E7677">
                            <w:pPr>
                              <w:shd w:val="clear" w:color="auto" w:fill="63A70A" w:themeFill="accent2"/>
                              <w:tabs>
                                <w:tab w:val="left" w:pos="2202"/>
                                <w:tab w:val="center" w:pos="4320"/>
                              </w:tabs>
                              <w:jc w:val="center"/>
                              <w:rPr>
                                <w:rFonts w:ascii="Arial" w:hAnsi="Arial" w:cs="Arial"/>
                                <w:b/>
                                <w:iCs/>
                                <w:color w:val="FFFFFF" w:themeColor="background1"/>
                              </w:rPr>
                            </w:pPr>
                            <w:r w:rsidRPr="0066473D">
                              <w:rPr>
                                <w:rFonts w:ascii="Arial" w:hAnsi="Arial" w:cs="Arial"/>
                                <w:b/>
                                <w:color w:val="FFFFFF" w:themeColor="background1"/>
                              </w:rPr>
                              <w:t xml:space="preserve">NOTE: </w:t>
                            </w:r>
                            <w:proofErr w:type="spellStart"/>
                            <w:r w:rsidRPr="0066473D">
                              <w:rPr>
                                <w:rFonts w:ascii="Arial" w:hAnsi="Arial" w:cs="Arial"/>
                                <w:b/>
                                <w:color w:val="FFFFFF" w:themeColor="background1"/>
                              </w:rPr>
                              <w:t>Chimerism</w:t>
                            </w:r>
                            <w:proofErr w:type="spellEnd"/>
                            <w:r w:rsidRPr="0066473D">
                              <w:rPr>
                                <w:rFonts w:ascii="Arial" w:hAnsi="Arial" w:cs="Arial"/>
                                <w:b/>
                                <w:color w:val="FFFFFF" w:themeColor="background1"/>
                              </w:rPr>
                              <w:t xml:space="preserve"> Studies</w:t>
                            </w:r>
                          </w:p>
                          <w:p w14:paraId="3EDE301B" w14:textId="0BCED6B3" w:rsidR="00632864" w:rsidRPr="000C7747" w:rsidRDefault="00632864" w:rsidP="003E7677">
                            <w:pPr>
                              <w:shd w:val="clear" w:color="auto" w:fill="63A70A" w:themeFill="accent2"/>
                              <w:spacing w:after="120"/>
                              <w:rPr>
                                <w:rFonts w:ascii="Arial" w:hAnsi="Arial" w:cs="Arial"/>
                                <w:iCs/>
                                <w:color w:val="FFFFFF" w:themeColor="background1"/>
                              </w:rPr>
                            </w:pPr>
                            <w:r w:rsidRPr="000C7747">
                              <w:rPr>
                                <w:rFonts w:ascii="Arial" w:hAnsi="Arial" w:cs="Arial"/>
                                <w:iCs/>
                                <w:color w:val="FFFFFF" w:themeColor="background1"/>
                              </w:rPr>
                              <w:t xml:space="preserve">If chimerism studies were attempted, but no evaluable results were obtained, do not report the test. </w:t>
                            </w:r>
                          </w:p>
                          <w:p w14:paraId="6CE84011" w14:textId="77777777" w:rsidR="00632864" w:rsidRPr="000C7747" w:rsidRDefault="00632864" w:rsidP="003E7677">
                            <w:pPr>
                              <w:shd w:val="clear" w:color="auto" w:fill="63A70A" w:themeFill="accent2"/>
                              <w:rPr>
                                <w:rFonts w:ascii="Arial" w:hAnsi="Arial" w:cs="Arial"/>
                              </w:rPr>
                            </w:pPr>
                            <w:r w:rsidRPr="000C7747">
                              <w:rPr>
                                <w:rFonts w:ascii="Arial" w:hAnsi="Arial" w:cs="Arial"/>
                                <w:iCs/>
                                <w:color w:val="FFFFFF" w:themeColor="background1"/>
                              </w:rPr>
                              <w:t xml:space="preserve">When a multi-donor chimerism exists and includes a donor (or donors) from a </w:t>
                            </w:r>
                            <w:r w:rsidRPr="000C7747">
                              <w:rPr>
                                <w:rFonts w:ascii="Arial" w:hAnsi="Arial" w:cs="Arial"/>
                                <w:i/>
                                <w:iCs/>
                                <w:color w:val="FFFFFF" w:themeColor="background1"/>
                              </w:rPr>
                              <w:t>previous</w:t>
                            </w:r>
                            <w:r w:rsidRPr="000C7747">
                              <w:rPr>
                                <w:rFonts w:ascii="Arial" w:hAnsi="Arial" w:cs="Arial"/>
                                <w:iCs/>
                                <w:color w:val="FFFFFF" w:themeColor="background1"/>
                              </w:rPr>
                              <w:t xml:space="preserve"> </w:t>
                            </w:r>
                            <w:r>
                              <w:rPr>
                                <w:rFonts w:ascii="Arial" w:hAnsi="Arial" w:cs="Arial"/>
                                <w:iCs/>
                                <w:color w:val="FFFFFF" w:themeColor="background1"/>
                              </w:rPr>
                              <w:t>HCT</w:t>
                            </w:r>
                            <w:r w:rsidRPr="000C7747">
                              <w:rPr>
                                <w:rFonts w:ascii="Arial" w:hAnsi="Arial" w:cs="Arial"/>
                                <w:iCs/>
                                <w:color w:val="FFFFFF" w:themeColor="background1"/>
                              </w:rPr>
                              <w:t xml:space="preserve">, report as a multi-donor chimerism though there may only be one donor for the current transplant. See </w:t>
                            </w:r>
                            <w:hyperlink r:id="rId24" w:history="1">
                              <w:r w:rsidRPr="000C7747">
                                <w:rPr>
                                  <w:rStyle w:val="Hyperlink"/>
                                  <w:rFonts w:ascii="Arial" w:hAnsi="Arial" w:cs="Arial"/>
                                  <w:iCs/>
                                </w:rPr>
                                <w:t>Appendix S</w:t>
                              </w:r>
                            </w:hyperlink>
                            <w:r w:rsidRPr="000C7747">
                              <w:rPr>
                                <w:rFonts w:ascii="Arial" w:hAnsi="Arial" w:cs="Arial"/>
                                <w:iCs/>
                              </w:rPr>
                              <w:t xml:space="preserve"> </w:t>
                            </w:r>
                            <w:r w:rsidRPr="000C7747">
                              <w:rPr>
                                <w:rFonts w:ascii="Arial" w:hAnsi="Arial" w:cs="Arial"/>
                                <w:iCs/>
                                <w:color w:val="FFFFFF" w:themeColor="background1"/>
                              </w:rPr>
                              <w:t>for an example.</w:t>
                            </w:r>
                          </w:p>
                          <w:p w14:paraId="24EEB839" w14:textId="77777777" w:rsidR="00632864" w:rsidRDefault="006328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3" o:spid="_x0000_s1034" type="#_x0000_t202" style="position:absolute;margin-left:416.8pt;margin-top:3.55pt;width:468pt;height:97.5pt;z-index:2516930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" fillcolor="#63a70a [3205]" stroked="f" strokeweight=".5pt">
                <v:textbox>
                  <w:txbxContent>
                    <w:p w14:paraId="7FECEA1C" w14:textId="77777777" w:rsidR="00632864" w:rsidRDefault="00632864" w:rsidP="003E7677">
                      <w:pPr>
                        <w:shd w:val="clear" w:color="auto" w:fill="63A70A" w:themeFill="accent2"/>
                        <w:tabs>
                          <w:tab w:val="left" w:pos="2202"/>
                          <w:tab w:val="center" w:pos="4320"/>
                        </w:tabs>
                        <w:jc w:val="center"/>
                        <w:rPr>
                          <w:rFonts w:ascii="Arial" w:hAnsi="Arial" w:cs="Arial"/>
                          <w:b/>
                          <w:iCs/>
                          <w:color w:val="FFFFFF" w:themeColor="background1"/>
                        </w:rPr>
                      </w:pPr>
                      <w:r w:rsidRPr="0066473D">
                        <w:rPr>
                          <w:rFonts w:ascii="Arial" w:hAnsi="Arial" w:cs="Arial"/>
                          <w:b/>
                          <w:color w:val="FFFFFF" w:themeColor="background1"/>
                        </w:rPr>
                        <w:t xml:space="preserve">NOTE: </w:t>
                      </w:r>
                      <w:proofErr w:type="spellStart"/>
                      <w:r w:rsidRPr="0066473D">
                        <w:rPr>
                          <w:rFonts w:ascii="Arial" w:hAnsi="Arial" w:cs="Arial"/>
                          <w:b/>
                          <w:color w:val="FFFFFF" w:themeColor="background1"/>
                        </w:rPr>
                        <w:t>Chimerism</w:t>
                      </w:r>
                      <w:proofErr w:type="spellEnd"/>
                      <w:r w:rsidRPr="0066473D">
                        <w:rPr>
                          <w:rFonts w:ascii="Arial" w:hAnsi="Arial" w:cs="Arial"/>
                          <w:b/>
                          <w:color w:val="FFFFFF" w:themeColor="background1"/>
                        </w:rPr>
                        <w:t xml:space="preserve"> Studies</w:t>
                      </w:r>
                    </w:p>
                    <w:p w14:paraId="3EDE301B" w14:textId="0BCED6B3" w:rsidR="00632864" w:rsidRPr="000C7747" w:rsidRDefault="00632864" w:rsidP="003E7677">
                      <w:pPr>
                        <w:shd w:val="clear" w:color="auto" w:fill="63A70A" w:themeFill="accent2"/>
                        <w:spacing w:after="120"/>
                        <w:rPr>
                          <w:rFonts w:ascii="Arial" w:hAnsi="Arial" w:cs="Arial"/>
                          <w:iCs/>
                          <w:color w:val="FFFFFF" w:themeColor="background1"/>
                        </w:rPr>
                      </w:pPr>
                      <w:r w:rsidRPr="000C7747">
                        <w:rPr>
                          <w:rFonts w:ascii="Arial" w:hAnsi="Arial" w:cs="Arial"/>
                          <w:iCs/>
                          <w:color w:val="FFFFFF" w:themeColor="background1"/>
                        </w:rPr>
                        <w:t xml:space="preserve">If chimerism studies were attempted, but no evaluable results were obtained, do not report the test. </w:t>
                      </w:r>
                    </w:p>
                    <w:p w14:paraId="6CE84011" w14:textId="77777777" w:rsidR="00632864" w:rsidRPr="000C7747" w:rsidRDefault="00632864" w:rsidP="003E7677">
                      <w:pPr>
                        <w:shd w:val="clear" w:color="auto" w:fill="63A70A" w:themeFill="accent2"/>
                        <w:rPr>
                          <w:rFonts w:ascii="Arial" w:hAnsi="Arial" w:cs="Arial"/>
                        </w:rPr>
                      </w:pPr>
                      <w:r w:rsidRPr="000C7747">
                        <w:rPr>
                          <w:rFonts w:ascii="Arial" w:hAnsi="Arial" w:cs="Arial"/>
                          <w:iCs/>
                          <w:color w:val="FFFFFF" w:themeColor="background1"/>
                        </w:rPr>
                        <w:t xml:space="preserve">When a multi-donor chimerism exists and includes a donor (or donors) from a </w:t>
                      </w:r>
                      <w:r w:rsidRPr="000C7747">
                        <w:rPr>
                          <w:rFonts w:ascii="Arial" w:hAnsi="Arial" w:cs="Arial"/>
                          <w:i/>
                          <w:iCs/>
                          <w:color w:val="FFFFFF" w:themeColor="background1"/>
                        </w:rPr>
                        <w:t>previous</w:t>
                      </w:r>
                      <w:r w:rsidRPr="000C7747">
                        <w:rPr>
                          <w:rFonts w:ascii="Arial" w:hAnsi="Arial" w:cs="Arial"/>
                          <w:iCs/>
                          <w:color w:val="FFFFFF" w:themeColor="background1"/>
                        </w:rPr>
                        <w:t xml:space="preserve"> </w:t>
                      </w:r>
                      <w:r>
                        <w:rPr>
                          <w:rFonts w:ascii="Arial" w:hAnsi="Arial" w:cs="Arial"/>
                          <w:iCs/>
                          <w:color w:val="FFFFFF" w:themeColor="background1"/>
                        </w:rPr>
                        <w:t>HCT</w:t>
                      </w:r>
                      <w:r w:rsidRPr="000C7747">
                        <w:rPr>
                          <w:rFonts w:ascii="Arial" w:hAnsi="Arial" w:cs="Arial"/>
                          <w:iCs/>
                          <w:color w:val="FFFFFF" w:themeColor="background1"/>
                        </w:rPr>
                        <w:t xml:space="preserve">, report as a multi-donor chimerism though there may only be one donor for the current transplant. See </w:t>
                      </w:r>
                      <w:hyperlink r:id="rId25" w:history="1">
                        <w:r w:rsidRPr="000C7747">
                          <w:rPr>
                            <w:rStyle w:val="Hyperlink"/>
                            <w:rFonts w:ascii="Arial" w:hAnsi="Arial" w:cs="Arial"/>
                            <w:iCs/>
                          </w:rPr>
                          <w:t>Appendix S</w:t>
                        </w:r>
                      </w:hyperlink>
                      <w:r w:rsidRPr="000C7747">
                        <w:rPr>
                          <w:rFonts w:ascii="Arial" w:hAnsi="Arial" w:cs="Arial"/>
                          <w:iCs/>
                        </w:rPr>
                        <w:t xml:space="preserve"> </w:t>
                      </w:r>
                      <w:r w:rsidRPr="000C7747">
                        <w:rPr>
                          <w:rFonts w:ascii="Arial" w:hAnsi="Arial" w:cs="Arial"/>
                          <w:iCs/>
                          <w:color w:val="FFFFFF" w:themeColor="background1"/>
                        </w:rPr>
                        <w:t>for an example.</w:t>
                      </w:r>
                    </w:p>
                    <w:p w14:paraId="24EEB839" w14:textId="77777777" w:rsidR="00632864" w:rsidRDefault="00632864"/>
                  </w:txbxContent>
                </v:textbox>
                <w10:wrap anchorx="margin"/>
              </v:shape>
            </w:pict>
          </mc:Fallback>
        </mc:AlternateContent>
      </w:r>
    </w:p>
    <w:p w14:paraId="65AC4280" w14:textId="77777777" w:rsidR="003E7677" w:rsidRDefault="003E7677" w:rsidP="003E7677">
      <w:pPr>
        <w:rPr>
          <w:rFonts w:ascii="Arial" w:hAnsi="Arial" w:cs="Arial"/>
        </w:rPr>
      </w:pPr>
    </w:p>
    <w:p w14:paraId="1C801945" w14:textId="77777777" w:rsidR="003E7677" w:rsidRDefault="003E7677" w:rsidP="003E7677">
      <w:pPr>
        <w:rPr>
          <w:rFonts w:ascii="Arial" w:hAnsi="Arial" w:cs="Arial"/>
        </w:rPr>
      </w:pPr>
    </w:p>
    <w:p w14:paraId="79562DB3" w14:textId="77777777" w:rsidR="003E7677" w:rsidRDefault="003E7677" w:rsidP="003E7677">
      <w:pPr>
        <w:rPr>
          <w:rFonts w:ascii="Arial" w:hAnsi="Arial" w:cs="Arial"/>
        </w:rPr>
      </w:pPr>
    </w:p>
    <w:p w14:paraId="7A2430B9" w14:textId="77777777" w:rsidR="003E7677" w:rsidRDefault="003E7677" w:rsidP="003E7677">
      <w:pPr>
        <w:rPr>
          <w:rFonts w:ascii="Arial" w:hAnsi="Arial" w:cs="Arial"/>
        </w:rPr>
      </w:pPr>
    </w:p>
    <w:p w14:paraId="683D46AD" w14:textId="562FEB72" w:rsidR="003E7677" w:rsidRDefault="003E7677" w:rsidP="003E7677">
      <w:pPr>
        <w:rPr>
          <w:rFonts w:ascii="Arial" w:hAnsi="Arial" w:cs="Arial"/>
        </w:rPr>
      </w:pPr>
    </w:p>
    <w:p w14:paraId="015EA89E" w14:textId="77777777" w:rsidR="00632864" w:rsidRDefault="00632864" w:rsidP="007B790F">
      <w:pPr>
        <w:rPr>
          <w:rFonts w:ascii="Arial" w:hAnsi="Arial" w:cs="Arial"/>
        </w:rPr>
      </w:pPr>
    </w:p>
    <w:p w14:paraId="27775A1D" w14:textId="77777777" w:rsidR="00632864" w:rsidRDefault="00632864" w:rsidP="007B790F">
      <w:pPr>
        <w:rPr>
          <w:rFonts w:ascii="Arial" w:hAnsi="Arial" w:cs="Arial"/>
        </w:rPr>
      </w:pPr>
    </w:p>
    <w:p w14:paraId="28C8E487" w14:textId="77777777" w:rsidR="00632864" w:rsidRDefault="00632864" w:rsidP="007B790F">
      <w:pPr>
        <w:rPr>
          <w:rFonts w:ascii="Arial" w:hAnsi="Arial" w:cs="Arial"/>
          <w:b/>
        </w:rPr>
      </w:pPr>
    </w:p>
    <w:p w14:paraId="158F34B3" w14:textId="380E2232" w:rsidR="0070747A" w:rsidRPr="00375F05" w:rsidRDefault="00D87ED2" w:rsidP="007B790F">
      <w:pPr>
        <w:rPr>
          <w:rFonts w:ascii="Arial" w:hAnsi="Arial" w:cs="Arial"/>
          <w:b/>
        </w:rPr>
      </w:pPr>
      <w:r w:rsidRPr="00375F05">
        <w:rPr>
          <w:rFonts w:ascii="Arial" w:hAnsi="Arial" w:cs="Arial"/>
          <w:b/>
        </w:rPr>
        <w:t xml:space="preserve">Question 57: </w:t>
      </w:r>
      <w:r w:rsidR="005A3F32">
        <w:rPr>
          <w:rFonts w:ascii="Arial" w:hAnsi="Arial" w:cs="Arial"/>
          <w:b/>
        </w:rPr>
        <w:t xml:space="preserve"> </w:t>
      </w:r>
      <w:r w:rsidRPr="00375F05">
        <w:rPr>
          <w:rFonts w:ascii="Arial" w:hAnsi="Arial" w:cs="Arial"/>
          <w:b/>
        </w:rPr>
        <w:t xml:space="preserve">Were </w:t>
      </w:r>
      <w:proofErr w:type="spellStart"/>
      <w:r w:rsidR="00F37832" w:rsidRPr="00375F05">
        <w:rPr>
          <w:rFonts w:ascii="Arial" w:hAnsi="Arial" w:cs="Arial"/>
          <w:b/>
        </w:rPr>
        <w:t>chimerism</w:t>
      </w:r>
      <w:proofErr w:type="spellEnd"/>
      <w:r w:rsidRPr="00375F05">
        <w:rPr>
          <w:rFonts w:ascii="Arial" w:hAnsi="Arial" w:cs="Arial"/>
          <w:b/>
        </w:rPr>
        <w:t xml:space="preserve"> studies performed since the date of last report?</w:t>
      </w:r>
    </w:p>
    <w:p w14:paraId="31E573CC" w14:textId="474B9028" w:rsidR="003E7677" w:rsidRPr="00375F05" w:rsidRDefault="003E7677" w:rsidP="003E7677">
      <w:pPr>
        <w:rPr>
          <w:rFonts w:ascii="Arial" w:hAnsi="Arial" w:cs="Arial"/>
        </w:rPr>
      </w:pPr>
      <w:r w:rsidRPr="00375F05">
        <w:rPr>
          <w:rFonts w:ascii="Arial" w:hAnsi="Arial" w:cs="Arial"/>
        </w:rPr>
        <w:t xml:space="preserve">Indicate whether chimerism studies </w:t>
      </w:r>
      <w:proofErr w:type="gramStart"/>
      <w:r w:rsidRPr="00375F05">
        <w:rPr>
          <w:rFonts w:ascii="Arial" w:hAnsi="Arial" w:cs="Arial"/>
        </w:rPr>
        <w:t>were performed</w:t>
      </w:r>
      <w:proofErr w:type="gramEnd"/>
      <w:r w:rsidRPr="00375F05">
        <w:rPr>
          <w:rFonts w:ascii="Arial" w:hAnsi="Arial" w:cs="Arial"/>
        </w:rPr>
        <w:t xml:space="preserve"> within the reporting period</w:t>
      </w:r>
      <w:r w:rsidR="00F91ED8">
        <w:rPr>
          <w:rFonts w:ascii="Arial" w:hAnsi="Arial" w:cs="Arial"/>
        </w:rPr>
        <w:t xml:space="preserve">.  </w:t>
      </w:r>
      <w:r w:rsidRPr="00375F05">
        <w:rPr>
          <w:rFonts w:ascii="Arial" w:hAnsi="Arial" w:cs="Arial"/>
        </w:rPr>
        <w:t xml:space="preserve">If “yes,” continue with question </w:t>
      </w:r>
      <w:r w:rsidR="00375F05" w:rsidRPr="00375F05">
        <w:rPr>
          <w:rFonts w:ascii="Arial" w:hAnsi="Arial" w:cs="Arial"/>
        </w:rPr>
        <w:t>58</w:t>
      </w:r>
      <w:r w:rsidR="00F91ED8">
        <w:rPr>
          <w:rFonts w:ascii="Arial" w:hAnsi="Arial" w:cs="Arial"/>
        </w:rPr>
        <w:t xml:space="preserve">.  </w:t>
      </w:r>
      <w:r w:rsidRPr="00375F05">
        <w:rPr>
          <w:rFonts w:ascii="Arial" w:hAnsi="Arial" w:cs="Arial"/>
        </w:rPr>
        <w:t xml:space="preserve">If “no,” continue with question </w:t>
      </w:r>
      <w:r w:rsidR="00375F05" w:rsidRPr="00375F05">
        <w:rPr>
          <w:rFonts w:ascii="Arial" w:hAnsi="Arial" w:cs="Arial"/>
        </w:rPr>
        <w:t>76</w:t>
      </w:r>
      <w:r w:rsidR="00F91ED8">
        <w:rPr>
          <w:rFonts w:ascii="Arial" w:hAnsi="Arial" w:cs="Arial"/>
        </w:rPr>
        <w:t xml:space="preserve">.  </w:t>
      </w:r>
      <w:r w:rsidR="00375F05" w:rsidRPr="00375F05">
        <w:rPr>
          <w:rFonts w:ascii="Arial" w:hAnsi="Arial" w:cs="Arial"/>
        </w:rPr>
        <w:t>This question will only apply for allogeneic HCTs with a cord blood unit source.</w:t>
      </w:r>
    </w:p>
    <w:p w14:paraId="7826F142" w14:textId="77777777" w:rsidR="003E7677" w:rsidRPr="00375F05" w:rsidRDefault="003E7677" w:rsidP="007B790F">
      <w:pPr>
        <w:rPr>
          <w:rFonts w:ascii="Arial" w:hAnsi="Arial" w:cs="Arial"/>
          <w:b/>
        </w:rPr>
      </w:pPr>
    </w:p>
    <w:p w14:paraId="09027AC6" w14:textId="1142ADBC" w:rsidR="00D87ED2" w:rsidRPr="00375F05" w:rsidRDefault="00D87ED2" w:rsidP="007B790F">
      <w:pPr>
        <w:rPr>
          <w:rFonts w:ascii="Arial" w:hAnsi="Arial" w:cs="Arial"/>
          <w:b/>
        </w:rPr>
      </w:pPr>
      <w:r w:rsidRPr="00375F05">
        <w:rPr>
          <w:rFonts w:ascii="Arial" w:hAnsi="Arial" w:cs="Arial"/>
          <w:b/>
        </w:rPr>
        <w:t>Question 58:</w:t>
      </w:r>
      <w:r w:rsidR="005A3F32">
        <w:rPr>
          <w:rFonts w:ascii="Arial" w:hAnsi="Arial" w:cs="Arial"/>
          <w:b/>
        </w:rPr>
        <w:t xml:space="preserve"> </w:t>
      </w:r>
      <w:r w:rsidRPr="00375F05">
        <w:rPr>
          <w:rFonts w:ascii="Arial" w:hAnsi="Arial" w:cs="Arial"/>
          <w:b/>
        </w:rPr>
        <w:t xml:space="preserve"> Was documentation submitted to the CIBMTR</w:t>
      </w:r>
      <w:proofErr w:type="gramStart"/>
      <w:r w:rsidRPr="00375F05">
        <w:rPr>
          <w:rFonts w:ascii="Arial" w:hAnsi="Arial" w:cs="Arial"/>
          <w:b/>
        </w:rPr>
        <w:t xml:space="preserve">? </w:t>
      </w:r>
      <w:proofErr w:type="gramEnd"/>
      <w:r w:rsidRPr="00375F05">
        <w:rPr>
          <w:rFonts w:ascii="Arial" w:hAnsi="Arial" w:cs="Arial"/>
          <w:b/>
        </w:rPr>
        <w:t>(e.g. chimerism laboratory reports)</w:t>
      </w:r>
    </w:p>
    <w:p w14:paraId="166E395B" w14:textId="77157808" w:rsidR="00375F05" w:rsidRPr="00375F05" w:rsidRDefault="00375F05" w:rsidP="00375F05">
      <w:pPr>
        <w:autoSpaceDE w:val="0"/>
        <w:autoSpaceDN w:val="0"/>
        <w:adjustRightInd w:val="0"/>
        <w:rPr>
          <w:rFonts w:ascii="Arial" w:hAnsi="Arial" w:cs="Arial"/>
          <w:b/>
        </w:rPr>
      </w:pPr>
      <w:r w:rsidRPr="00375F05">
        <w:rPr>
          <w:rFonts w:ascii="Arial" w:hAnsi="Arial" w:cs="Arial"/>
        </w:rPr>
        <w:t xml:space="preserve">Attaching a copy of chimerism study results </w:t>
      </w:r>
      <w:r w:rsidRPr="00375F05">
        <w:rPr>
          <w:rFonts w:ascii="Arial" w:hAnsi="Arial" w:cs="Arial"/>
          <w:b/>
        </w:rPr>
        <w:t>reduces the need for later data queries</w:t>
      </w:r>
      <w:r w:rsidRPr="00375F05">
        <w:rPr>
          <w:rFonts w:ascii="Arial" w:hAnsi="Arial" w:cs="Arial"/>
        </w:rPr>
        <w:t>. Indicate “yes” if an attachment is added in FormsNet 3 to the Form 2450 supporting the chimerism data reported.</w:t>
      </w:r>
    </w:p>
    <w:p w14:paraId="30D831DE" w14:textId="77777777" w:rsidR="00D87ED2" w:rsidRPr="00375F05" w:rsidRDefault="00D87ED2" w:rsidP="007B790F">
      <w:pPr>
        <w:rPr>
          <w:rFonts w:ascii="Arial" w:hAnsi="Arial" w:cs="Arial"/>
          <w:b/>
        </w:rPr>
      </w:pPr>
    </w:p>
    <w:p w14:paraId="70FDE557" w14:textId="460FC968" w:rsidR="00D87ED2" w:rsidRDefault="00D87ED2" w:rsidP="007B790F">
      <w:pPr>
        <w:rPr>
          <w:rFonts w:ascii="Arial" w:hAnsi="Arial" w:cs="Arial"/>
          <w:b/>
        </w:rPr>
      </w:pPr>
      <w:proofErr w:type="gramStart"/>
      <w:r w:rsidRPr="00375F05">
        <w:rPr>
          <w:rFonts w:ascii="Arial" w:hAnsi="Arial" w:cs="Arial"/>
          <w:b/>
        </w:rPr>
        <w:t>Question 59</w:t>
      </w:r>
      <w:r w:rsidR="00F37832" w:rsidRPr="00375F05">
        <w:rPr>
          <w:rFonts w:ascii="Arial" w:hAnsi="Arial" w:cs="Arial"/>
          <w:b/>
        </w:rPr>
        <w:t xml:space="preserve">: </w:t>
      </w:r>
      <w:r w:rsidR="005A3F32">
        <w:rPr>
          <w:rFonts w:ascii="Arial" w:hAnsi="Arial" w:cs="Arial"/>
          <w:b/>
        </w:rPr>
        <w:t xml:space="preserve"> </w:t>
      </w:r>
      <w:r w:rsidR="00F37832" w:rsidRPr="00375F05">
        <w:rPr>
          <w:rFonts w:ascii="Arial" w:hAnsi="Arial" w:cs="Arial"/>
          <w:b/>
        </w:rPr>
        <w:t xml:space="preserve">Were </w:t>
      </w:r>
      <w:proofErr w:type="spellStart"/>
      <w:r w:rsidR="00F37832" w:rsidRPr="00375F05">
        <w:rPr>
          <w:rFonts w:ascii="Arial" w:hAnsi="Arial" w:cs="Arial"/>
          <w:b/>
        </w:rPr>
        <w:t>chimerism</w:t>
      </w:r>
      <w:proofErr w:type="spellEnd"/>
      <w:r w:rsidR="00F37832" w:rsidRPr="00375F05">
        <w:rPr>
          <w:rFonts w:ascii="Arial" w:hAnsi="Arial" w:cs="Arial"/>
          <w:b/>
        </w:rPr>
        <w:t xml:space="preserve"> studies assessed for more than one donor / multiple donors?</w:t>
      </w:r>
      <w:proofErr w:type="gramEnd"/>
    </w:p>
    <w:p w14:paraId="575436B0" w14:textId="72E39C72" w:rsidR="00A528C0" w:rsidRDefault="00A528C0" w:rsidP="00A528C0">
      <w:pPr>
        <w:rPr>
          <w:rFonts w:ascii="Arial" w:hAnsi="Arial" w:cs="Arial"/>
        </w:rPr>
      </w:pPr>
      <w:r w:rsidRPr="0028247D">
        <w:rPr>
          <w:rFonts w:ascii="Arial" w:hAnsi="Arial" w:cs="Arial"/>
        </w:rPr>
        <w:t xml:space="preserve">Indicate whether this </w:t>
      </w:r>
      <w:r w:rsidR="00AF4E5A">
        <w:rPr>
          <w:rFonts w:ascii="Arial" w:hAnsi="Arial" w:cs="Arial"/>
        </w:rPr>
        <w:t>HCT</w:t>
      </w:r>
      <w:r w:rsidRPr="0028247D">
        <w:rPr>
          <w:rFonts w:ascii="Arial" w:hAnsi="Arial" w:cs="Arial"/>
        </w:rPr>
        <w:t xml:space="preserve"> included product(s) from multiple donors</w:t>
      </w:r>
      <w:r w:rsidR="00F91ED8">
        <w:rPr>
          <w:rFonts w:ascii="Arial" w:hAnsi="Arial" w:cs="Arial"/>
        </w:rPr>
        <w:t xml:space="preserve">.  </w:t>
      </w:r>
      <w:r>
        <w:rPr>
          <w:rFonts w:ascii="Arial" w:hAnsi="Arial" w:cs="Arial"/>
        </w:rPr>
        <w:t xml:space="preserve">When a multi-donor </w:t>
      </w:r>
      <w:proofErr w:type="spellStart"/>
      <w:r>
        <w:rPr>
          <w:rFonts w:ascii="Arial" w:hAnsi="Arial" w:cs="Arial"/>
        </w:rPr>
        <w:t>chimerism</w:t>
      </w:r>
      <w:proofErr w:type="spellEnd"/>
      <w:r>
        <w:rPr>
          <w:rFonts w:ascii="Arial" w:hAnsi="Arial" w:cs="Arial"/>
        </w:rPr>
        <w:t xml:space="preserve"> exists and includes a donor or donors from a previous </w:t>
      </w:r>
      <w:r w:rsidR="00AF4E5A">
        <w:rPr>
          <w:rFonts w:ascii="Arial" w:hAnsi="Arial" w:cs="Arial"/>
        </w:rPr>
        <w:t>HCT</w:t>
      </w:r>
      <w:r>
        <w:rPr>
          <w:rFonts w:ascii="Arial" w:hAnsi="Arial" w:cs="Arial"/>
        </w:rPr>
        <w:t>, report as a multi-donor chimerism though there may only be one donor for the current transplant.</w:t>
      </w:r>
    </w:p>
    <w:p w14:paraId="54C2CFFC" w14:textId="77777777" w:rsidR="00F37832" w:rsidRDefault="00F37832" w:rsidP="007B790F">
      <w:pPr>
        <w:rPr>
          <w:rFonts w:ascii="Arial" w:hAnsi="Arial" w:cs="Arial"/>
          <w:b/>
        </w:rPr>
      </w:pPr>
    </w:p>
    <w:p w14:paraId="50B1CC6A" w14:textId="66AE78E4" w:rsidR="00F37832" w:rsidRDefault="0047769E" w:rsidP="007B790F">
      <w:pPr>
        <w:rPr>
          <w:rFonts w:ascii="Arial" w:hAnsi="Arial" w:cs="Arial"/>
          <w:b/>
        </w:rPr>
      </w:pPr>
      <w:r w:rsidRPr="00052BA0">
        <w:rPr>
          <w:rFonts w:ascii="Arial" w:hAnsi="Arial" w:cs="Arial"/>
          <w:b/>
        </w:rPr>
        <w:t>Question 60</w:t>
      </w:r>
      <w:r w:rsidR="00A528C0" w:rsidRPr="00052BA0">
        <w:rPr>
          <w:rFonts w:ascii="Arial" w:hAnsi="Arial" w:cs="Arial"/>
          <w:b/>
        </w:rPr>
        <w:t>-75</w:t>
      </w:r>
      <w:r w:rsidRPr="00052BA0">
        <w:rPr>
          <w:rFonts w:ascii="Arial" w:hAnsi="Arial" w:cs="Arial"/>
          <w:b/>
        </w:rPr>
        <w:t>:</w:t>
      </w:r>
      <w:r w:rsidR="005A3F32">
        <w:rPr>
          <w:rFonts w:ascii="Arial" w:hAnsi="Arial" w:cs="Arial"/>
          <w:b/>
        </w:rPr>
        <w:t xml:space="preserve"> </w:t>
      </w:r>
      <w:r w:rsidRPr="00052BA0">
        <w:rPr>
          <w:rFonts w:ascii="Arial" w:hAnsi="Arial" w:cs="Arial"/>
          <w:b/>
        </w:rPr>
        <w:t xml:space="preserve"> </w:t>
      </w:r>
      <w:r w:rsidR="00A528C0" w:rsidRPr="00052BA0">
        <w:rPr>
          <w:rFonts w:ascii="Arial" w:hAnsi="Arial" w:cs="Arial"/>
          <w:b/>
        </w:rPr>
        <w:t>Provide date(s), method(s) and other information for all ch</w:t>
      </w:r>
      <w:r w:rsidR="00D17B36" w:rsidRPr="00052BA0">
        <w:rPr>
          <w:rFonts w:ascii="Arial" w:hAnsi="Arial" w:cs="Arial"/>
          <w:b/>
        </w:rPr>
        <w:t>imerism studies performed since the date of last report.</w:t>
      </w:r>
    </w:p>
    <w:p w14:paraId="0C935567" w14:textId="0CD595CF" w:rsidR="00D17B36" w:rsidRDefault="00D17B36" w:rsidP="007B790F">
      <w:pPr>
        <w:rPr>
          <w:rFonts w:ascii="Arial" w:hAnsi="Arial" w:cs="Arial"/>
        </w:rPr>
      </w:pPr>
      <w:r>
        <w:rPr>
          <w:rFonts w:ascii="Arial" w:hAnsi="Arial" w:cs="Arial"/>
        </w:rPr>
        <w:t xml:space="preserve">Copy question 60-75 if needed for multiple </w:t>
      </w:r>
      <w:proofErr w:type="spellStart"/>
      <w:r>
        <w:rPr>
          <w:rFonts w:ascii="Arial" w:hAnsi="Arial" w:cs="Arial"/>
        </w:rPr>
        <w:t>chimerism</w:t>
      </w:r>
      <w:proofErr w:type="spellEnd"/>
      <w:r>
        <w:rPr>
          <w:rFonts w:ascii="Arial" w:hAnsi="Arial" w:cs="Arial"/>
        </w:rPr>
        <w:t xml:space="preserve"> studies</w:t>
      </w:r>
      <w:r w:rsidR="00F91ED8">
        <w:rPr>
          <w:rFonts w:ascii="Arial" w:hAnsi="Arial" w:cs="Arial"/>
        </w:rPr>
        <w:t xml:space="preserve">.  </w:t>
      </w:r>
      <w:r w:rsidR="00375F05">
        <w:rPr>
          <w:rFonts w:ascii="Arial" w:hAnsi="Arial" w:cs="Arial"/>
        </w:rPr>
        <w:t xml:space="preserve">When reporting </w:t>
      </w:r>
      <w:proofErr w:type="spellStart"/>
      <w:r w:rsidR="00375F05">
        <w:rPr>
          <w:rFonts w:ascii="Arial" w:hAnsi="Arial" w:cs="Arial"/>
        </w:rPr>
        <w:t>chimerism</w:t>
      </w:r>
      <w:proofErr w:type="spellEnd"/>
      <w:r w:rsidR="00375F05">
        <w:rPr>
          <w:rFonts w:ascii="Arial" w:hAnsi="Arial" w:cs="Arial"/>
        </w:rPr>
        <w:t xml:space="preserve"> studies for multiple donors, there should be one instance for each donor for each </w:t>
      </w:r>
      <w:proofErr w:type="spellStart"/>
      <w:r w:rsidR="00375F05">
        <w:rPr>
          <w:rFonts w:ascii="Arial" w:hAnsi="Arial" w:cs="Arial"/>
        </w:rPr>
        <w:t>chimerism</w:t>
      </w:r>
      <w:proofErr w:type="spellEnd"/>
      <w:r w:rsidR="00375F05">
        <w:rPr>
          <w:rFonts w:ascii="Arial" w:hAnsi="Arial" w:cs="Arial"/>
        </w:rPr>
        <w:t xml:space="preserve"> test results.</w:t>
      </w:r>
    </w:p>
    <w:p w14:paraId="34C4D245" w14:textId="77777777" w:rsidR="00052BA0" w:rsidRDefault="00052BA0" w:rsidP="007B790F">
      <w:pPr>
        <w:rPr>
          <w:rFonts w:ascii="Arial" w:hAnsi="Arial" w:cs="Arial"/>
        </w:rPr>
      </w:pPr>
    </w:p>
    <w:p w14:paraId="7DC37818" w14:textId="67251B55" w:rsidR="00052BA0" w:rsidRDefault="00052BA0" w:rsidP="007B790F">
      <w:pPr>
        <w:rPr>
          <w:rFonts w:ascii="Arial" w:hAnsi="Arial" w:cs="Arial"/>
        </w:rPr>
      </w:pPr>
      <w:r>
        <w:rPr>
          <w:rFonts w:ascii="Arial" w:hAnsi="Arial" w:cs="Arial"/>
        </w:rPr>
        <w:t xml:space="preserve">Transplant centers may perform frequent </w:t>
      </w:r>
      <w:proofErr w:type="spellStart"/>
      <w:r>
        <w:rPr>
          <w:rFonts w:ascii="Arial" w:hAnsi="Arial" w:cs="Arial"/>
        </w:rPr>
        <w:t>chimerism</w:t>
      </w:r>
      <w:proofErr w:type="spellEnd"/>
      <w:r>
        <w:rPr>
          <w:rFonts w:ascii="Arial" w:hAnsi="Arial" w:cs="Arial"/>
        </w:rPr>
        <w:t xml:space="preserve"> studies</w:t>
      </w:r>
      <w:r w:rsidR="00F91ED8">
        <w:rPr>
          <w:rFonts w:ascii="Arial" w:hAnsi="Arial" w:cs="Arial"/>
        </w:rPr>
        <w:t xml:space="preserve">.  </w:t>
      </w:r>
      <w:r>
        <w:rPr>
          <w:rFonts w:ascii="Arial" w:hAnsi="Arial" w:cs="Arial"/>
        </w:rPr>
        <w:t>If there is a need to reduce the number of chimerism study results reported due to volume, ensure that the following are reporting at a minimum:</w:t>
      </w:r>
    </w:p>
    <w:p w14:paraId="4EE31CCD" w14:textId="002A86F7" w:rsidR="00052BA0" w:rsidRDefault="00052BA0" w:rsidP="00052BA0">
      <w:pPr>
        <w:pStyle w:val="ListParagraph"/>
        <w:numPr>
          <w:ilvl w:val="0"/>
          <w:numId w:val="24"/>
        </w:numPr>
        <w:rPr>
          <w:rFonts w:ascii="Arial" w:hAnsi="Arial" w:cs="Arial"/>
        </w:rPr>
      </w:pPr>
      <w:r>
        <w:rPr>
          <w:rFonts w:ascii="Arial" w:hAnsi="Arial" w:cs="Arial"/>
        </w:rPr>
        <w:t>Studies performed on or at approximately Day+28</w:t>
      </w:r>
    </w:p>
    <w:p w14:paraId="06BF9E5A" w14:textId="5D20F99E" w:rsidR="00052BA0" w:rsidRDefault="00052BA0" w:rsidP="00052BA0">
      <w:pPr>
        <w:pStyle w:val="ListParagraph"/>
        <w:numPr>
          <w:ilvl w:val="0"/>
          <w:numId w:val="24"/>
        </w:numPr>
        <w:rPr>
          <w:rFonts w:ascii="Arial" w:hAnsi="Arial" w:cs="Arial"/>
        </w:rPr>
      </w:pPr>
      <w:r>
        <w:rPr>
          <w:rFonts w:ascii="Arial" w:hAnsi="Arial" w:cs="Arial"/>
        </w:rPr>
        <w:t>Most recent prior to the date of contact, particularly for Day+100</w:t>
      </w:r>
    </w:p>
    <w:p w14:paraId="7A8861E8" w14:textId="5514FFAF" w:rsidR="00052BA0" w:rsidRDefault="00052BA0" w:rsidP="00052BA0">
      <w:pPr>
        <w:pStyle w:val="ListParagraph"/>
        <w:numPr>
          <w:ilvl w:val="0"/>
          <w:numId w:val="24"/>
        </w:numPr>
        <w:rPr>
          <w:rFonts w:ascii="Arial" w:hAnsi="Arial" w:cs="Arial"/>
        </w:rPr>
      </w:pPr>
      <w:r>
        <w:rPr>
          <w:rFonts w:ascii="Arial" w:hAnsi="Arial" w:cs="Arial"/>
        </w:rPr>
        <w:t>Most recent prior to and after an intervention (such as a donor cellular infusion)</w:t>
      </w:r>
    </w:p>
    <w:p w14:paraId="78046291" w14:textId="5B463D80" w:rsidR="00052BA0" w:rsidRPr="00052BA0" w:rsidRDefault="00052BA0" w:rsidP="00052BA0">
      <w:pPr>
        <w:pStyle w:val="ListParagraph"/>
        <w:numPr>
          <w:ilvl w:val="0"/>
          <w:numId w:val="24"/>
        </w:numPr>
        <w:rPr>
          <w:rFonts w:ascii="Arial" w:hAnsi="Arial" w:cs="Arial"/>
        </w:rPr>
      </w:pPr>
      <w:r>
        <w:rPr>
          <w:rFonts w:ascii="Arial" w:hAnsi="Arial" w:cs="Arial"/>
        </w:rPr>
        <w:t>The first result to show complete / 100% donor chimerism</w:t>
      </w:r>
    </w:p>
    <w:p w14:paraId="70DF890C" w14:textId="7B1313F8" w:rsidR="00AF1A77" w:rsidRDefault="00AF1A77">
      <w:pPr>
        <w:spacing w:after="200" w:line="276" w:lineRule="auto"/>
        <w:rPr>
          <w:rFonts w:ascii="Arial" w:hAnsi="Arial" w:cs="Arial"/>
          <w:b/>
        </w:rPr>
      </w:pPr>
      <w:r>
        <w:rPr>
          <w:rFonts w:ascii="Arial" w:hAnsi="Arial" w:cs="Arial"/>
          <w:b/>
        </w:rPr>
        <w:br w:type="page"/>
      </w:r>
    </w:p>
    <w:p w14:paraId="4A999396" w14:textId="15968856" w:rsidR="00A528C0" w:rsidRPr="00950AFE" w:rsidRDefault="001C4D11" w:rsidP="00A528C0">
      <w:pPr>
        <w:spacing w:after="120"/>
        <w:rPr>
          <w:rFonts w:ascii="Arial" w:hAnsi="Arial" w:cs="Arial"/>
          <w:b/>
        </w:rPr>
      </w:pPr>
      <w:proofErr w:type="gramStart"/>
      <w:r>
        <w:rPr>
          <w:rFonts w:ascii="Arial" w:hAnsi="Arial" w:cs="Arial"/>
          <w:b/>
        </w:rPr>
        <w:lastRenderedPageBreak/>
        <w:t>Table 4</w:t>
      </w:r>
      <w:r w:rsidR="00A528C0">
        <w:rPr>
          <w:rFonts w:ascii="Arial" w:hAnsi="Arial" w:cs="Arial"/>
          <w:b/>
        </w:rPr>
        <w:t>.</w:t>
      </w:r>
      <w:proofErr w:type="gramEnd"/>
      <w:r w:rsidR="00F91ED8">
        <w:rPr>
          <w:rFonts w:ascii="Arial" w:hAnsi="Arial" w:cs="Arial"/>
          <w:b/>
        </w:rPr>
        <w:t xml:space="preserve"> </w:t>
      </w:r>
      <w:r w:rsidR="00A528C0" w:rsidRPr="00950AFE">
        <w:rPr>
          <w:rFonts w:ascii="Arial" w:hAnsi="Arial" w:cs="Arial"/>
          <w:b/>
        </w:rPr>
        <w:t xml:space="preserve"> Chimerism - Single Donor</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2628"/>
        <w:gridCol w:w="7020"/>
      </w:tblGrid>
      <w:tr w:rsidR="00A528C0" w:rsidRPr="00A45E02" w14:paraId="342EDCAC" w14:textId="77777777" w:rsidTr="001C4D11">
        <w:tc>
          <w:tcPr>
            <w:tcW w:w="2628" w:type="dxa"/>
            <w:tcBorders>
              <w:top w:val="single" w:sz="12" w:space="0" w:color="auto"/>
              <w:left w:val="single" w:sz="12" w:space="0" w:color="auto"/>
              <w:bottom w:val="single" w:sz="12" w:space="0" w:color="auto"/>
              <w:right w:val="single" w:sz="12" w:space="0" w:color="auto"/>
            </w:tcBorders>
            <w:shd w:val="clear" w:color="auto" w:fill="63A70A" w:themeFill="accent2"/>
          </w:tcPr>
          <w:p w14:paraId="00BFAFA6" w14:textId="77777777" w:rsidR="00A528C0" w:rsidRPr="0066473D" w:rsidRDefault="00A528C0" w:rsidP="007E6138">
            <w:pPr>
              <w:rPr>
                <w:rFonts w:ascii="Arial" w:hAnsi="Arial" w:cs="Arial"/>
                <w:b/>
                <w:color w:val="FFFFFF" w:themeColor="background1"/>
              </w:rPr>
            </w:pPr>
            <w:r w:rsidRPr="0066473D">
              <w:rPr>
                <w:rFonts w:ascii="Arial" w:hAnsi="Arial" w:cs="Arial"/>
                <w:b/>
                <w:color w:val="FFFFFF" w:themeColor="background1"/>
              </w:rPr>
              <w:t>Data Field</w:t>
            </w:r>
          </w:p>
        </w:tc>
        <w:tc>
          <w:tcPr>
            <w:tcW w:w="7020" w:type="dxa"/>
            <w:tcBorders>
              <w:top w:val="single" w:sz="12" w:space="0" w:color="auto"/>
              <w:left w:val="single" w:sz="12" w:space="0" w:color="auto"/>
              <w:bottom w:val="single" w:sz="12" w:space="0" w:color="auto"/>
              <w:right w:val="single" w:sz="12" w:space="0" w:color="auto"/>
            </w:tcBorders>
            <w:shd w:val="clear" w:color="auto" w:fill="63A70A" w:themeFill="accent2"/>
          </w:tcPr>
          <w:p w14:paraId="54C211BA" w14:textId="77777777" w:rsidR="00A528C0" w:rsidRPr="0066473D" w:rsidRDefault="00A528C0" w:rsidP="007E6138">
            <w:pPr>
              <w:rPr>
                <w:rFonts w:ascii="Arial" w:hAnsi="Arial" w:cs="Arial"/>
                <w:b/>
                <w:color w:val="FFFFFF" w:themeColor="background1"/>
              </w:rPr>
            </w:pPr>
            <w:r w:rsidRPr="0066473D">
              <w:rPr>
                <w:rFonts w:ascii="Arial" w:hAnsi="Arial" w:cs="Arial"/>
                <w:b/>
                <w:color w:val="FFFFFF" w:themeColor="background1"/>
              </w:rPr>
              <w:t>Description</w:t>
            </w:r>
          </w:p>
        </w:tc>
      </w:tr>
      <w:tr w:rsidR="001C4D11" w:rsidRPr="00AB2E10" w14:paraId="53D9E201" w14:textId="77777777" w:rsidTr="001C4D11">
        <w:tc>
          <w:tcPr>
            <w:tcW w:w="2628" w:type="dxa"/>
            <w:tcBorders>
              <w:top w:val="single" w:sz="4" w:space="0" w:color="auto"/>
              <w:left w:val="single" w:sz="12" w:space="0" w:color="auto"/>
              <w:right w:val="single" w:sz="12" w:space="0" w:color="auto"/>
            </w:tcBorders>
            <w:shd w:val="clear" w:color="auto" w:fill="FFFFFF"/>
          </w:tcPr>
          <w:p w14:paraId="6D84FABF" w14:textId="18A79079" w:rsidR="001C4D11" w:rsidRPr="00AB2E10" w:rsidRDefault="001C4D11" w:rsidP="007E6138">
            <w:pPr>
              <w:rPr>
                <w:rFonts w:ascii="Arial" w:hAnsi="Arial" w:cs="Arial"/>
                <w:sz w:val="20"/>
                <w:szCs w:val="20"/>
              </w:rPr>
            </w:pPr>
            <w:r>
              <w:rPr>
                <w:rFonts w:ascii="Arial" w:hAnsi="Arial" w:cs="Arial"/>
                <w:sz w:val="20"/>
                <w:szCs w:val="20"/>
              </w:rPr>
              <w:t>60. NMDP donor ID</w:t>
            </w:r>
          </w:p>
        </w:tc>
        <w:tc>
          <w:tcPr>
            <w:tcW w:w="7020" w:type="dxa"/>
            <w:tcBorders>
              <w:top w:val="single" w:sz="4" w:space="0" w:color="auto"/>
              <w:left w:val="single" w:sz="12" w:space="0" w:color="auto"/>
              <w:right w:val="single" w:sz="12" w:space="0" w:color="auto"/>
            </w:tcBorders>
            <w:shd w:val="clear" w:color="auto" w:fill="FFFFFF"/>
          </w:tcPr>
          <w:p w14:paraId="21945DA9" w14:textId="0C6710D1" w:rsidR="001C4D11" w:rsidRPr="001C4D11" w:rsidRDefault="001C4D11" w:rsidP="007E6138">
            <w:pPr>
              <w:rPr>
                <w:rFonts w:ascii="Arial" w:hAnsi="Arial" w:cs="Arial"/>
                <w:sz w:val="20"/>
                <w:szCs w:val="20"/>
              </w:rPr>
            </w:pPr>
            <w:r>
              <w:rPr>
                <w:rFonts w:ascii="Arial" w:hAnsi="Arial" w:cs="Arial"/>
                <w:sz w:val="20"/>
                <w:szCs w:val="20"/>
              </w:rPr>
              <w:t>If the donor or one of the donors was an NMDP PBSC or marrow donor, enter the 9 digit NMDP donor ID.</w:t>
            </w:r>
          </w:p>
        </w:tc>
      </w:tr>
      <w:tr w:rsidR="001C4D11" w:rsidRPr="00AB2E10" w14:paraId="653C5DC9" w14:textId="77777777" w:rsidTr="001C4D11">
        <w:tc>
          <w:tcPr>
            <w:tcW w:w="2628" w:type="dxa"/>
            <w:tcBorders>
              <w:top w:val="single" w:sz="4" w:space="0" w:color="auto"/>
              <w:left w:val="single" w:sz="12" w:space="0" w:color="auto"/>
              <w:right w:val="single" w:sz="12" w:space="0" w:color="auto"/>
            </w:tcBorders>
            <w:shd w:val="clear" w:color="auto" w:fill="FFFFFF"/>
          </w:tcPr>
          <w:p w14:paraId="3EC2E2BF" w14:textId="6F5E335E" w:rsidR="001C4D11" w:rsidRPr="00AB2E10" w:rsidRDefault="001C4D11" w:rsidP="007E6138">
            <w:pPr>
              <w:rPr>
                <w:rFonts w:ascii="Arial" w:hAnsi="Arial" w:cs="Arial"/>
                <w:sz w:val="20"/>
                <w:szCs w:val="20"/>
              </w:rPr>
            </w:pPr>
            <w:r>
              <w:rPr>
                <w:rFonts w:ascii="Arial" w:hAnsi="Arial" w:cs="Arial"/>
                <w:sz w:val="20"/>
                <w:szCs w:val="20"/>
              </w:rPr>
              <w:t>61. NMDP cord blood unit ID</w:t>
            </w:r>
          </w:p>
        </w:tc>
        <w:tc>
          <w:tcPr>
            <w:tcW w:w="7020" w:type="dxa"/>
            <w:tcBorders>
              <w:top w:val="single" w:sz="4" w:space="0" w:color="auto"/>
              <w:left w:val="single" w:sz="12" w:space="0" w:color="auto"/>
              <w:right w:val="single" w:sz="12" w:space="0" w:color="auto"/>
            </w:tcBorders>
            <w:shd w:val="clear" w:color="auto" w:fill="FFFFFF"/>
          </w:tcPr>
          <w:p w14:paraId="5581879C" w14:textId="68FCC896" w:rsidR="001C4D11" w:rsidRPr="00AB2E10" w:rsidRDefault="001C4D11" w:rsidP="007E6138">
            <w:pPr>
              <w:rPr>
                <w:rFonts w:ascii="Arial" w:hAnsi="Arial" w:cs="Arial"/>
                <w:sz w:val="20"/>
                <w:szCs w:val="20"/>
              </w:rPr>
            </w:pPr>
            <w:r>
              <w:rPr>
                <w:rFonts w:ascii="Arial" w:hAnsi="Arial" w:cs="Arial"/>
                <w:sz w:val="20"/>
                <w:szCs w:val="20"/>
              </w:rPr>
              <w:t xml:space="preserve">If the donor or one of the donors was an NMDP cord blood unit, enter the 9 digit NMDP cord blood unit ID. </w:t>
            </w:r>
          </w:p>
        </w:tc>
      </w:tr>
      <w:tr w:rsidR="001C4D11" w:rsidRPr="00AB2E10" w14:paraId="4BE669D0" w14:textId="77777777" w:rsidTr="001C4D11">
        <w:tc>
          <w:tcPr>
            <w:tcW w:w="2628" w:type="dxa"/>
            <w:tcBorders>
              <w:top w:val="single" w:sz="4" w:space="0" w:color="auto"/>
              <w:left w:val="single" w:sz="12" w:space="0" w:color="auto"/>
              <w:right w:val="single" w:sz="12" w:space="0" w:color="auto"/>
            </w:tcBorders>
            <w:shd w:val="clear" w:color="auto" w:fill="FFFFFF"/>
          </w:tcPr>
          <w:p w14:paraId="0AC55407" w14:textId="0BE59872" w:rsidR="001C4D11" w:rsidRPr="00AB2E10" w:rsidRDefault="001C4D11" w:rsidP="007E6138">
            <w:pPr>
              <w:rPr>
                <w:rFonts w:ascii="Arial" w:hAnsi="Arial" w:cs="Arial"/>
                <w:sz w:val="20"/>
                <w:szCs w:val="20"/>
              </w:rPr>
            </w:pPr>
            <w:r>
              <w:rPr>
                <w:rFonts w:ascii="Arial" w:hAnsi="Arial" w:cs="Arial"/>
                <w:sz w:val="20"/>
                <w:szCs w:val="20"/>
              </w:rPr>
              <w:t>62. Non-NMDP unrelated donor ID</w:t>
            </w:r>
          </w:p>
        </w:tc>
        <w:tc>
          <w:tcPr>
            <w:tcW w:w="7020" w:type="dxa"/>
            <w:tcBorders>
              <w:top w:val="single" w:sz="4" w:space="0" w:color="auto"/>
              <w:left w:val="single" w:sz="12" w:space="0" w:color="auto"/>
              <w:right w:val="single" w:sz="12" w:space="0" w:color="auto"/>
            </w:tcBorders>
            <w:shd w:val="clear" w:color="auto" w:fill="FFFFFF"/>
          </w:tcPr>
          <w:p w14:paraId="4F35540E" w14:textId="44A81834" w:rsidR="001C4D11" w:rsidRPr="00AB2E10" w:rsidRDefault="001C4D11" w:rsidP="007E6138">
            <w:pPr>
              <w:rPr>
                <w:rFonts w:ascii="Arial" w:hAnsi="Arial" w:cs="Arial"/>
                <w:sz w:val="20"/>
                <w:szCs w:val="20"/>
              </w:rPr>
            </w:pPr>
            <w:r>
              <w:rPr>
                <w:rFonts w:ascii="Arial" w:hAnsi="Arial" w:cs="Arial"/>
                <w:sz w:val="20"/>
                <w:szCs w:val="20"/>
              </w:rPr>
              <w:t>If the donor or one of the donors was a non-NMDP unrelated PBSC or marrow donor, enter the non-NMDP registry donor ID.</w:t>
            </w:r>
          </w:p>
        </w:tc>
      </w:tr>
      <w:tr w:rsidR="001C4D11" w:rsidRPr="00AB2E10" w14:paraId="31B52473" w14:textId="77777777" w:rsidTr="001C4D11">
        <w:tc>
          <w:tcPr>
            <w:tcW w:w="2628" w:type="dxa"/>
            <w:tcBorders>
              <w:top w:val="single" w:sz="4" w:space="0" w:color="auto"/>
              <w:left w:val="single" w:sz="12" w:space="0" w:color="auto"/>
              <w:right w:val="single" w:sz="12" w:space="0" w:color="auto"/>
            </w:tcBorders>
            <w:shd w:val="clear" w:color="auto" w:fill="FFFFFF"/>
          </w:tcPr>
          <w:p w14:paraId="7C6C7E87" w14:textId="02160FE1" w:rsidR="001C4D11" w:rsidRPr="00AB2E10" w:rsidRDefault="001C4D11" w:rsidP="007E6138">
            <w:pPr>
              <w:rPr>
                <w:rFonts w:ascii="Arial" w:hAnsi="Arial" w:cs="Arial"/>
                <w:sz w:val="20"/>
                <w:szCs w:val="20"/>
              </w:rPr>
            </w:pPr>
            <w:r>
              <w:rPr>
                <w:rFonts w:ascii="Arial" w:hAnsi="Arial" w:cs="Arial"/>
                <w:sz w:val="20"/>
                <w:szCs w:val="20"/>
              </w:rPr>
              <w:t>63. Non-NMDP cord blood unit ID</w:t>
            </w:r>
          </w:p>
        </w:tc>
        <w:tc>
          <w:tcPr>
            <w:tcW w:w="7020" w:type="dxa"/>
            <w:tcBorders>
              <w:top w:val="single" w:sz="4" w:space="0" w:color="auto"/>
              <w:left w:val="single" w:sz="12" w:space="0" w:color="auto"/>
              <w:right w:val="single" w:sz="12" w:space="0" w:color="auto"/>
            </w:tcBorders>
            <w:shd w:val="clear" w:color="auto" w:fill="FFFFFF"/>
          </w:tcPr>
          <w:p w14:paraId="693F0524" w14:textId="03D77EA8" w:rsidR="001C4D11" w:rsidRPr="00AB2E10" w:rsidRDefault="001C4D11" w:rsidP="001C4D11">
            <w:pPr>
              <w:rPr>
                <w:rFonts w:ascii="Arial" w:hAnsi="Arial" w:cs="Arial"/>
                <w:sz w:val="20"/>
                <w:szCs w:val="20"/>
              </w:rPr>
            </w:pPr>
            <w:r>
              <w:rPr>
                <w:rFonts w:ascii="Arial" w:hAnsi="Arial" w:cs="Arial"/>
                <w:sz w:val="20"/>
                <w:szCs w:val="20"/>
              </w:rPr>
              <w:t>If the donor or one of the donors was a non-NMDP cord blood unit, enter the non-NMDP registry donor ID.</w:t>
            </w:r>
          </w:p>
        </w:tc>
      </w:tr>
      <w:tr w:rsidR="001C4D11" w:rsidRPr="00AB2E10" w14:paraId="008F6879" w14:textId="77777777" w:rsidTr="001C4D11">
        <w:tc>
          <w:tcPr>
            <w:tcW w:w="2628" w:type="dxa"/>
            <w:tcBorders>
              <w:top w:val="single" w:sz="4" w:space="0" w:color="auto"/>
              <w:left w:val="single" w:sz="12" w:space="0" w:color="auto"/>
              <w:right w:val="single" w:sz="12" w:space="0" w:color="auto"/>
            </w:tcBorders>
            <w:shd w:val="clear" w:color="auto" w:fill="FFFFFF"/>
          </w:tcPr>
          <w:p w14:paraId="3331F888" w14:textId="236BE2A3" w:rsidR="001C4D11" w:rsidRDefault="001C4D11" w:rsidP="007E6138">
            <w:pPr>
              <w:rPr>
                <w:rFonts w:ascii="Arial" w:hAnsi="Arial" w:cs="Arial"/>
                <w:sz w:val="20"/>
                <w:szCs w:val="20"/>
              </w:rPr>
            </w:pPr>
            <w:r>
              <w:rPr>
                <w:rFonts w:ascii="Arial" w:hAnsi="Arial" w:cs="Arial"/>
                <w:sz w:val="20"/>
                <w:szCs w:val="20"/>
              </w:rPr>
              <w:t>64. Date of birth or age</w:t>
            </w:r>
          </w:p>
        </w:tc>
        <w:tc>
          <w:tcPr>
            <w:tcW w:w="7020" w:type="dxa"/>
            <w:tcBorders>
              <w:top w:val="single" w:sz="4" w:space="0" w:color="auto"/>
              <w:left w:val="single" w:sz="12" w:space="0" w:color="auto"/>
              <w:right w:val="single" w:sz="12" w:space="0" w:color="auto"/>
            </w:tcBorders>
            <w:shd w:val="clear" w:color="auto" w:fill="FFFFFF"/>
          </w:tcPr>
          <w:p w14:paraId="1F184157" w14:textId="251BEAD0" w:rsidR="001C4D11" w:rsidRPr="00AB2E10" w:rsidRDefault="001C4D11" w:rsidP="001C4D11">
            <w:pPr>
              <w:rPr>
                <w:rFonts w:ascii="Arial" w:hAnsi="Arial" w:cs="Arial"/>
                <w:sz w:val="20"/>
                <w:szCs w:val="20"/>
              </w:rPr>
            </w:pPr>
            <w:r>
              <w:rPr>
                <w:rFonts w:ascii="Arial" w:hAnsi="Arial" w:cs="Arial"/>
                <w:sz w:val="20"/>
                <w:szCs w:val="20"/>
              </w:rPr>
              <w:t xml:space="preserve">If the donor was related or the cord blood unit was related or supplied by a non-NMDP registry, provide </w:t>
            </w:r>
            <w:r w:rsidR="0054062F">
              <w:rPr>
                <w:rFonts w:ascii="Arial" w:hAnsi="Arial" w:cs="Arial"/>
                <w:sz w:val="20"/>
                <w:szCs w:val="20"/>
              </w:rPr>
              <w:t xml:space="preserve">the date of birth, if known; if date of birth is not known, provide the donor’s age at donation. </w:t>
            </w:r>
          </w:p>
        </w:tc>
      </w:tr>
      <w:tr w:rsidR="001C4D11" w:rsidRPr="00AB2E10" w14:paraId="066605EE" w14:textId="77777777" w:rsidTr="001C4D11">
        <w:tc>
          <w:tcPr>
            <w:tcW w:w="2628" w:type="dxa"/>
            <w:tcBorders>
              <w:top w:val="single" w:sz="4" w:space="0" w:color="auto"/>
              <w:left w:val="single" w:sz="12" w:space="0" w:color="auto"/>
              <w:right w:val="single" w:sz="12" w:space="0" w:color="auto"/>
            </w:tcBorders>
            <w:shd w:val="clear" w:color="auto" w:fill="FFFFFF"/>
          </w:tcPr>
          <w:p w14:paraId="011EA18A" w14:textId="7CE24E05" w:rsidR="001C4D11" w:rsidRDefault="001C4D11" w:rsidP="007E6138">
            <w:pPr>
              <w:rPr>
                <w:rFonts w:ascii="Arial" w:hAnsi="Arial" w:cs="Arial"/>
                <w:sz w:val="20"/>
                <w:szCs w:val="20"/>
              </w:rPr>
            </w:pPr>
            <w:r>
              <w:rPr>
                <w:rFonts w:ascii="Arial" w:hAnsi="Arial" w:cs="Arial"/>
                <w:sz w:val="20"/>
                <w:szCs w:val="20"/>
              </w:rPr>
              <w:t>65. Sex</w:t>
            </w:r>
          </w:p>
        </w:tc>
        <w:tc>
          <w:tcPr>
            <w:tcW w:w="7020" w:type="dxa"/>
            <w:tcBorders>
              <w:top w:val="single" w:sz="4" w:space="0" w:color="auto"/>
              <w:left w:val="single" w:sz="12" w:space="0" w:color="auto"/>
              <w:right w:val="single" w:sz="12" w:space="0" w:color="auto"/>
            </w:tcBorders>
            <w:shd w:val="clear" w:color="auto" w:fill="FFFFFF"/>
          </w:tcPr>
          <w:p w14:paraId="0F27D6BF" w14:textId="4AC17650" w:rsidR="001C4D11" w:rsidRPr="00AB2E10" w:rsidRDefault="0054062F" w:rsidP="007E6138">
            <w:pPr>
              <w:rPr>
                <w:rFonts w:ascii="Arial" w:hAnsi="Arial" w:cs="Arial"/>
                <w:sz w:val="20"/>
                <w:szCs w:val="20"/>
              </w:rPr>
            </w:pPr>
            <w:r>
              <w:rPr>
                <w:rFonts w:ascii="Arial" w:hAnsi="Arial" w:cs="Arial"/>
                <w:sz w:val="20"/>
                <w:szCs w:val="20"/>
              </w:rPr>
              <w:t>If the donor was related or the cord blood unit was related or supplied by a non-NMDP registry, provide the biological sex.</w:t>
            </w:r>
          </w:p>
        </w:tc>
      </w:tr>
      <w:tr w:rsidR="0054062F" w:rsidRPr="00AB2E10" w14:paraId="0D3520C7" w14:textId="77777777" w:rsidTr="001C4D11">
        <w:tc>
          <w:tcPr>
            <w:tcW w:w="2628" w:type="dxa"/>
            <w:tcBorders>
              <w:top w:val="single" w:sz="4" w:space="0" w:color="auto"/>
              <w:left w:val="single" w:sz="12" w:space="0" w:color="auto"/>
              <w:right w:val="single" w:sz="12" w:space="0" w:color="auto"/>
            </w:tcBorders>
            <w:shd w:val="clear" w:color="auto" w:fill="FFFFFF"/>
          </w:tcPr>
          <w:p w14:paraId="2066C88E" w14:textId="05B60BE1" w:rsidR="0054062F" w:rsidRDefault="0054062F" w:rsidP="007E6138">
            <w:pPr>
              <w:rPr>
                <w:rFonts w:ascii="Arial" w:hAnsi="Arial" w:cs="Arial"/>
                <w:sz w:val="20"/>
                <w:szCs w:val="20"/>
              </w:rPr>
            </w:pPr>
            <w:r>
              <w:rPr>
                <w:rFonts w:ascii="Arial" w:hAnsi="Arial" w:cs="Arial"/>
                <w:sz w:val="20"/>
                <w:szCs w:val="20"/>
              </w:rPr>
              <w:t>66. Date sample collected</w:t>
            </w:r>
          </w:p>
        </w:tc>
        <w:tc>
          <w:tcPr>
            <w:tcW w:w="7020" w:type="dxa"/>
            <w:tcBorders>
              <w:top w:val="single" w:sz="4" w:space="0" w:color="auto"/>
              <w:left w:val="single" w:sz="12" w:space="0" w:color="auto"/>
              <w:right w:val="single" w:sz="12" w:space="0" w:color="auto"/>
            </w:tcBorders>
            <w:shd w:val="clear" w:color="auto" w:fill="FFFFFF"/>
          </w:tcPr>
          <w:p w14:paraId="2228AB02" w14:textId="6A35F834" w:rsidR="0054062F" w:rsidRDefault="0054062F" w:rsidP="007E6138">
            <w:pPr>
              <w:rPr>
                <w:rFonts w:ascii="Arial" w:hAnsi="Arial" w:cs="Arial"/>
                <w:sz w:val="20"/>
                <w:szCs w:val="20"/>
              </w:rPr>
            </w:pPr>
            <w:r>
              <w:rPr>
                <w:rFonts w:ascii="Arial" w:hAnsi="Arial" w:cs="Arial"/>
                <w:sz w:val="20"/>
                <w:szCs w:val="20"/>
              </w:rPr>
              <w:t>Enter the date</w:t>
            </w:r>
            <w:r w:rsidRPr="00AB2E10">
              <w:rPr>
                <w:rFonts w:ascii="Arial" w:hAnsi="Arial" w:cs="Arial"/>
                <w:sz w:val="20"/>
                <w:szCs w:val="20"/>
              </w:rPr>
              <w:t xml:space="preserve"> the sample was collected for the chimerism test.</w:t>
            </w:r>
          </w:p>
        </w:tc>
      </w:tr>
      <w:tr w:rsidR="00A528C0" w:rsidRPr="00AB2E10" w14:paraId="04BE411C" w14:textId="77777777" w:rsidTr="007E6138">
        <w:tc>
          <w:tcPr>
            <w:tcW w:w="2628" w:type="dxa"/>
            <w:tcBorders>
              <w:left w:val="single" w:sz="12" w:space="0" w:color="auto"/>
              <w:right w:val="single" w:sz="12" w:space="0" w:color="auto"/>
            </w:tcBorders>
            <w:shd w:val="clear" w:color="auto" w:fill="FFFFFF"/>
          </w:tcPr>
          <w:p w14:paraId="0DE13A7A" w14:textId="14C4689E" w:rsidR="00A528C0" w:rsidRPr="00AB2E10" w:rsidRDefault="001C4D11" w:rsidP="007E6138">
            <w:pPr>
              <w:rPr>
                <w:rFonts w:ascii="Arial" w:hAnsi="Arial" w:cs="Arial"/>
                <w:sz w:val="20"/>
                <w:szCs w:val="20"/>
              </w:rPr>
            </w:pPr>
            <w:r>
              <w:rPr>
                <w:rFonts w:ascii="Arial" w:hAnsi="Arial" w:cs="Arial"/>
                <w:sz w:val="20"/>
                <w:szCs w:val="20"/>
              </w:rPr>
              <w:t xml:space="preserve">67-68. </w:t>
            </w:r>
            <w:r w:rsidR="00A528C0" w:rsidRPr="00AB2E10">
              <w:rPr>
                <w:rFonts w:ascii="Arial" w:hAnsi="Arial" w:cs="Arial"/>
                <w:sz w:val="20"/>
                <w:szCs w:val="20"/>
              </w:rPr>
              <w:t>Method</w:t>
            </w:r>
          </w:p>
        </w:tc>
        <w:tc>
          <w:tcPr>
            <w:tcW w:w="7020" w:type="dxa"/>
            <w:tcBorders>
              <w:left w:val="single" w:sz="12" w:space="0" w:color="auto"/>
              <w:right w:val="single" w:sz="12" w:space="0" w:color="auto"/>
            </w:tcBorders>
            <w:shd w:val="clear" w:color="auto" w:fill="FFFFFF"/>
          </w:tcPr>
          <w:p w14:paraId="148D1DD5" w14:textId="2BF5B5E0" w:rsidR="00A528C0" w:rsidRPr="00AB2E10" w:rsidRDefault="0054062F" w:rsidP="00F91ED8">
            <w:pPr>
              <w:rPr>
                <w:rFonts w:ascii="Arial" w:hAnsi="Arial" w:cs="Arial"/>
                <w:sz w:val="20"/>
                <w:szCs w:val="20"/>
              </w:rPr>
            </w:pPr>
            <w:r>
              <w:rPr>
                <w:rFonts w:ascii="Arial" w:hAnsi="Arial" w:cs="Arial"/>
                <w:sz w:val="20"/>
                <w:szCs w:val="20"/>
              </w:rPr>
              <w:t>Report the test method used for the reported chimerism study. Karyotyping and FISH methods are only valid for sex mismatched transplants</w:t>
            </w:r>
            <w:r w:rsidR="00F91ED8">
              <w:rPr>
                <w:rFonts w:ascii="Arial" w:hAnsi="Arial" w:cs="Arial"/>
                <w:sz w:val="20"/>
                <w:szCs w:val="20"/>
              </w:rPr>
              <w:t xml:space="preserve"> </w:t>
            </w:r>
            <w:r>
              <w:rPr>
                <w:rFonts w:ascii="Arial" w:hAnsi="Arial" w:cs="Arial"/>
                <w:sz w:val="20"/>
                <w:szCs w:val="20"/>
              </w:rPr>
              <w:t>VNTR/STR is one of the most common molecular methods for assessing chimerism</w:t>
            </w:r>
            <w:proofErr w:type="gramStart"/>
            <w:r>
              <w:rPr>
                <w:rFonts w:ascii="Arial" w:hAnsi="Arial" w:cs="Arial"/>
                <w:sz w:val="20"/>
                <w:szCs w:val="20"/>
              </w:rPr>
              <w:t>.</w:t>
            </w:r>
            <w:r w:rsidR="00A528C0" w:rsidRPr="00AB2E10">
              <w:rPr>
                <w:rFonts w:ascii="Arial" w:hAnsi="Arial" w:cs="Arial"/>
                <w:sz w:val="20"/>
                <w:szCs w:val="20"/>
              </w:rPr>
              <w:t xml:space="preserve"> </w:t>
            </w:r>
            <w:proofErr w:type="gramEnd"/>
            <w:r>
              <w:rPr>
                <w:rFonts w:ascii="Arial" w:hAnsi="Arial" w:cs="Arial"/>
                <w:sz w:val="20"/>
                <w:szCs w:val="20"/>
              </w:rPr>
              <w:t xml:space="preserve">See </w:t>
            </w:r>
            <w:r w:rsidR="00710B6D">
              <w:rPr>
                <w:rFonts w:ascii="Arial" w:hAnsi="Arial" w:cs="Arial"/>
                <w:sz w:val="20"/>
                <w:szCs w:val="20"/>
              </w:rPr>
              <w:t>Table 6</w:t>
            </w:r>
            <w:r>
              <w:rPr>
                <w:rFonts w:ascii="Arial" w:hAnsi="Arial" w:cs="Arial"/>
                <w:sz w:val="20"/>
                <w:szCs w:val="20"/>
              </w:rPr>
              <w:t xml:space="preserve"> for additional details on chimerism testing methods.</w:t>
            </w:r>
          </w:p>
        </w:tc>
      </w:tr>
      <w:tr w:rsidR="001C4D11" w:rsidRPr="00AB2E10" w14:paraId="1BBC4F08" w14:textId="77777777" w:rsidTr="007E6138">
        <w:tc>
          <w:tcPr>
            <w:tcW w:w="2628" w:type="dxa"/>
            <w:tcBorders>
              <w:left w:val="single" w:sz="12" w:space="0" w:color="auto"/>
              <w:right w:val="single" w:sz="12" w:space="0" w:color="auto"/>
            </w:tcBorders>
            <w:shd w:val="clear" w:color="auto" w:fill="FFFFFF"/>
          </w:tcPr>
          <w:p w14:paraId="7227158A" w14:textId="45AB5F26" w:rsidR="001C4D11" w:rsidRDefault="001C4D11" w:rsidP="007E6138">
            <w:pPr>
              <w:rPr>
                <w:rFonts w:ascii="Arial" w:hAnsi="Arial" w:cs="Arial"/>
                <w:sz w:val="20"/>
                <w:szCs w:val="20"/>
              </w:rPr>
            </w:pPr>
            <w:r>
              <w:rPr>
                <w:rFonts w:ascii="Arial" w:hAnsi="Arial" w:cs="Arial"/>
                <w:sz w:val="20"/>
                <w:szCs w:val="20"/>
              </w:rPr>
              <w:t>69. Cell source</w:t>
            </w:r>
          </w:p>
        </w:tc>
        <w:tc>
          <w:tcPr>
            <w:tcW w:w="7020" w:type="dxa"/>
            <w:tcBorders>
              <w:left w:val="single" w:sz="12" w:space="0" w:color="auto"/>
              <w:right w:val="single" w:sz="12" w:space="0" w:color="auto"/>
            </w:tcBorders>
            <w:shd w:val="clear" w:color="auto" w:fill="FFFFFF"/>
          </w:tcPr>
          <w:p w14:paraId="60724B36" w14:textId="57469B17" w:rsidR="001C4D11" w:rsidRPr="00AB2E10" w:rsidRDefault="0054062F" w:rsidP="007E6138">
            <w:pPr>
              <w:rPr>
                <w:rFonts w:ascii="Arial" w:hAnsi="Arial" w:cs="Arial"/>
                <w:sz w:val="20"/>
                <w:szCs w:val="20"/>
              </w:rPr>
            </w:pPr>
            <w:r>
              <w:rPr>
                <w:rFonts w:ascii="Arial" w:hAnsi="Arial" w:cs="Arial"/>
                <w:sz w:val="20"/>
                <w:szCs w:val="20"/>
              </w:rPr>
              <w:t xml:space="preserve">Report whether the specimen taken for chimerism testing was from a marrow or peripheral blood source. </w:t>
            </w:r>
          </w:p>
        </w:tc>
      </w:tr>
      <w:tr w:rsidR="00A528C0" w:rsidRPr="00AB2E10" w14:paraId="71FDAF35" w14:textId="77777777" w:rsidTr="001C4D11">
        <w:tc>
          <w:tcPr>
            <w:tcW w:w="2628" w:type="dxa"/>
            <w:tcBorders>
              <w:left w:val="single" w:sz="12" w:space="0" w:color="auto"/>
              <w:right w:val="single" w:sz="12" w:space="0" w:color="auto"/>
            </w:tcBorders>
            <w:shd w:val="clear" w:color="auto" w:fill="FFFFFF"/>
          </w:tcPr>
          <w:p w14:paraId="11D482A7" w14:textId="00033386" w:rsidR="00A528C0" w:rsidRPr="00AB2E10" w:rsidRDefault="001C4D11" w:rsidP="007E6138">
            <w:pPr>
              <w:rPr>
                <w:rFonts w:ascii="Arial" w:hAnsi="Arial" w:cs="Arial"/>
                <w:sz w:val="20"/>
                <w:szCs w:val="20"/>
              </w:rPr>
            </w:pPr>
            <w:r>
              <w:rPr>
                <w:rFonts w:ascii="Arial" w:hAnsi="Arial" w:cs="Arial"/>
                <w:sz w:val="20"/>
                <w:szCs w:val="20"/>
              </w:rPr>
              <w:t>70-71. Cell t</w:t>
            </w:r>
            <w:r w:rsidR="00A528C0" w:rsidRPr="00AB2E10">
              <w:rPr>
                <w:rFonts w:ascii="Arial" w:hAnsi="Arial" w:cs="Arial"/>
                <w:sz w:val="20"/>
                <w:szCs w:val="20"/>
              </w:rPr>
              <w:t>ype</w:t>
            </w:r>
          </w:p>
        </w:tc>
        <w:tc>
          <w:tcPr>
            <w:tcW w:w="7020" w:type="dxa"/>
            <w:tcBorders>
              <w:left w:val="single" w:sz="12" w:space="0" w:color="auto"/>
              <w:bottom w:val="single" w:sz="4" w:space="0" w:color="auto"/>
              <w:right w:val="single" w:sz="12" w:space="0" w:color="auto"/>
            </w:tcBorders>
            <w:shd w:val="clear" w:color="auto" w:fill="FFFFFF"/>
          </w:tcPr>
          <w:p w14:paraId="20A4EBFB" w14:textId="4FE7FF20" w:rsidR="00A528C0" w:rsidRPr="00AB2E10" w:rsidRDefault="0054062F" w:rsidP="007E6138">
            <w:pPr>
              <w:rPr>
                <w:rFonts w:ascii="Arial" w:hAnsi="Arial" w:cs="Arial"/>
                <w:sz w:val="20"/>
                <w:szCs w:val="20"/>
              </w:rPr>
            </w:pPr>
            <w:r>
              <w:rPr>
                <w:rFonts w:ascii="Arial" w:hAnsi="Arial" w:cs="Arial"/>
                <w:sz w:val="20"/>
                <w:szCs w:val="20"/>
              </w:rPr>
              <w:t>Indicate the cell line or type tested</w:t>
            </w:r>
            <w:r w:rsidR="00F91ED8">
              <w:rPr>
                <w:rFonts w:ascii="Arial" w:hAnsi="Arial" w:cs="Arial"/>
                <w:sz w:val="20"/>
                <w:szCs w:val="20"/>
              </w:rPr>
              <w:t xml:space="preserve">.  </w:t>
            </w:r>
            <w:r>
              <w:rPr>
                <w:rFonts w:ascii="Arial" w:hAnsi="Arial" w:cs="Arial"/>
                <w:sz w:val="20"/>
                <w:szCs w:val="20"/>
              </w:rPr>
              <w:t>If the specimen was not sorted for a specific cell line, indicate “unsorted / whole.” See table below for additional details on cell markers unique to certain cell lines.</w:t>
            </w:r>
          </w:p>
        </w:tc>
      </w:tr>
      <w:tr w:rsidR="00A528C0" w:rsidRPr="00AB2E10" w14:paraId="3BF8AA75" w14:textId="77777777" w:rsidTr="001C4D11">
        <w:tc>
          <w:tcPr>
            <w:tcW w:w="2628" w:type="dxa"/>
            <w:tcBorders>
              <w:left w:val="single" w:sz="12" w:space="0" w:color="auto"/>
              <w:right w:val="single" w:sz="12" w:space="0" w:color="auto"/>
            </w:tcBorders>
            <w:shd w:val="clear" w:color="auto" w:fill="FFFFFF"/>
          </w:tcPr>
          <w:p w14:paraId="6723C238" w14:textId="06B8DA89" w:rsidR="00A528C0" w:rsidRPr="00AB2E10" w:rsidRDefault="001C4D11" w:rsidP="007E6138">
            <w:pPr>
              <w:rPr>
                <w:rFonts w:ascii="Arial" w:hAnsi="Arial" w:cs="Arial"/>
                <w:sz w:val="20"/>
                <w:szCs w:val="20"/>
              </w:rPr>
            </w:pPr>
            <w:r>
              <w:rPr>
                <w:rFonts w:ascii="Arial" w:hAnsi="Arial" w:cs="Arial"/>
                <w:sz w:val="20"/>
                <w:szCs w:val="20"/>
              </w:rPr>
              <w:t>72. Total cells examined</w:t>
            </w:r>
          </w:p>
        </w:tc>
        <w:tc>
          <w:tcPr>
            <w:tcW w:w="7020" w:type="dxa"/>
            <w:tcBorders>
              <w:left w:val="single" w:sz="12" w:space="0" w:color="auto"/>
              <w:bottom w:val="nil"/>
              <w:right w:val="single" w:sz="12" w:space="0" w:color="auto"/>
            </w:tcBorders>
            <w:shd w:val="clear" w:color="auto" w:fill="FFFFFF"/>
          </w:tcPr>
          <w:p w14:paraId="61DED0AF" w14:textId="5C864328" w:rsidR="00A528C0" w:rsidRPr="00AB2E10" w:rsidRDefault="0054062F" w:rsidP="0054062F">
            <w:pPr>
              <w:rPr>
                <w:rFonts w:ascii="Arial" w:hAnsi="Arial" w:cs="Arial"/>
                <w:sz w:val="20"/>
                <w:szCs w:val="20"/>
              </w:rPr>
            </w:pPr>
            <w:r>
              <w:rPr>
                <w:rFonts w:ascii="Arial" w:hAnsi="Arial" w:cs="Arial"/>
                <w:sz w:val="20"/>
                <w:szCs w:val="20"/>
              </w:rPr>
              <w:t xml:space="preserve">Cytogenetic </w:t>
            </w:r>
            <w:r w:rsidR="009D3AEB">
              <w:rPr>
                <w:rFonts w:ascii="Arial" w:hAnsi="Arial" w:cs="Arial"/>
                <w:sz w:val="20"/>
                <w:szCs w:val="20"/>
              </w:rPr>
              <w:t>testing methods</w:t>
            </w:r>
            <w:r w:rsidR="00A528C0" w:rsidRPr="00AB2E10">
              <w:rPr>
                <w:rFonts w:ascii="Arial" w:hAnsi="Arial" w:cs="Arial"/>
                <w:sz w:val="20"/>
                <w:szCs w:val="20"/>
              </w:rPr>
              <w:t xml:space="preserve"> include </w:t>
            </w:r>
            <w:r>
              <w:rPr>
                <w:rFonts w:ascii="Arial" w:hAnsi="Arial" w:cs="Arial"/>
                <w:sz w:val="20"/>
                <w:szCs w:val="20"/>
              </w:rPr>
              <w:t>k</w:t>
            </w:r>
            <w:r w:rsidR="009D3AEB">
              <w:rPr>
                <w:rFonts w:ascii="Arial" w:hAnsi="Arial" w:cs="Arial"/>
                <w:sz w:val="20"/>
                <w:szCs w:val="20"/>
              </w:rPr>
              <w:t>aryotyp</w:t>
            </w:r>
            <w:r>
              <w:rPr>
                <w:rFonts w:ascii="Arial" w:hAnsi="Arial" w:cs="Arial"/>
                <w:sz w:val="20"/>
                <w:szCs w:val="20"/>
              </w:rPr>
              <w:t>ing</w:t>
            </w:r>
            <w:r w:rsidR="00A528C0" w:rsidRPr="00AB2E10">
              <w:rPr>
                <w:rFonts w:ascii="Arial" w:hAnsi="Arial" w:cs="Arial"/>
                <w:sz w:val="20"/>
                <w:szCs w:val="20"/>
              </w:rPr>
              <w:t xml:space="preserve"> and fluoresce</w:t>
            </w:r>
            <w:r>
              <w:rPr>
                <w:rFonts w:ascii="Arial" w:hAnsi="Arial" w:cs="Arial"/>
                <w:sz w:val="20"/>
                <w:szCs w:val="20"/>
              </w:rPr>
              <w:t>nt in situ hybridiza</w:t>
            </w:r>
            <w:r w:rsidR="009D3AEB">
              <w:rPr>
                <w:rFonts w:ascii="Arial" w:hAnsi="Arial" w:cs="Arial"/>
                <w:sz w:val="20"/>
                <w:szCs w:val="20"/>
              </w:rPr>
              <w:t>tion (FISH), each of which examines</w:t>
            </w:r>
            <w:r>
              <w:rPr>
                <w:rFonts w:ascii="Arial" w:hAnsi="Arial" w:cs="Arial"/>
                <w:sz w:val="20"/>
                <w:szCs w:val="20"/>
              </w:rPr>
              <w:t xml:space="preserve"> a specific and relatively low number of cells – generally 15 to 200, depending on specimen and test method</w:t>
            </w:r>
            <w:r w:rsidR="00F91ED8">
              <w:rPr>
                <w:rFonts w:ascii="Arial" w:hAnsi="Arial" w:cs="Arial"/>
                <w:sz w:val="20"/>
                <w:szCs w:val="20"/>
              </w:rPr>
              <w:t xml:space="preserve">.  </w:t>
            </w:r>
            <w:r w:rsidR="00A528C0" w:rsidRPr="00AB2E10">
              <w:rPr>
                <w:rFonts w:ascii="Arial" w:hAnsi="Arial" w:cs="Arial"/>
                <w:sz w:val="20"/>
                <w:szCs w:val="20"/>
              </w:rPr>
              <w:t xml:space="preserve">If a </w:t>
            </w:r>
            <w:r>
              <w:rPr>
                <w:rFonts w:ascii="Arial" w:hAnsi="Arial" w:cs="Arial"/>
                <w:sz w:val="20"/>
                <w:szCs w:val="20"/>
              </w:rPr>
              <w:t>cytogenetic</w:t>
            </w:r>
            <w:r w:rsidR="00A528C0" w:rsidRPr="00AB2E10">
              <w:rPr>
                <w:rFonts w:ascii="Arial" w:hAnsi="Arial" w:cs="Arial"/>
                <w:sz w:val="20"/>
                <w:szCs w:val="20"/>
              </w:rPr>
              <w:t xml:space="preserve"> method </w:t>
            </w:r>
            <w:proofErr w:type="gramStart"/>
            <w:r w:rsidR="00A528C0" w:rsidRPr="00AB2E10">
              <w:rPr>
                <w:rFonts w:ascii="Arial" w:hAnsi="Arial" w:cs="Arial"/>
                <w:sz w:val="20"/>
                <w:szCs w:val="20"/>
              </w:rPr>
              <w:t>was used</w:t>
            </w:r>
            <w:proofErr w:type="gramEnd"/>
            <w:r w:rsidR="00A528C0" w:rsidRPr="00AB2E10">
              <w:rPr>
                <w:rFonts w:ascii="Arial" w:hAnsi="Arial" w:cs="Arial"/>
                <w:sz w:val="20"/>
                <w:szCs w:val="20"/>
              </w:rPr>
              <w:t>, enter the total number of cells that were examined</w:t>
            </w:r>
            <w:r w:rsidR="00F91ED8">
              <w:rPr>
                <w:rFonts w:ascii="Arial" w:hAnsi="Arial" w:cs="Arial"/>
                <w:sz w:val="20"/>
                <w:szCs w:val="20"/>
              </w:rPr>
              <w:t xml:space="preserve">.  </w:t>
            </w:r>
            <w:r w:rsidR="00A528C0" w:rsidRPr="00AB2E10">
              <w:rPr>
                <w:rFonts w:ascii="Arial" w:hAnsi="Arial" w:cs="Arial"/>
                <w:sz w:val="20"/>
                <w:szCs w:val="20"/>
              </w:rPr>
              <w:t>If a non-</w:t>
            </w:r>
            <w:r>
              <w:rPr>
                <w:rFonts w:ascii="Arial" w:hAnsi="Arial" w:cs="Arial"/>
                <w:sz w:val="20"/>
                <w:szCs w:val="20"/>
              </w:rPr>
              <w:t xml:space="preserve">cytogenetic </w:t>
            </w:r>
            <w:r w:rsidR="00A528C0" w:rsidRPr="00AB2E10">
              <w:rPr>
                <w:rFonts w:ascii="Arial" w:hAnsi="Arial" w:cs="Arial"/>
                <w:sz w:val="20"/>
                <w:szCs w:val="20"/>
              </w:rPr>
              <w:t xml:space="preserve">test </w:t>
            </w:r>
            <w:proofErr w:type="gramStart"/>
            <w:r w:rsidR="00A528C0" w:rsidRPr="00AB2E10">
              <w:rPr>
                <w:rFonts w:ascii="Arial" w:hAnsi="Arial" w:cs="Arial"/>
                <w:sz w:val="20"/>
                <w:szCs w:val="20"/>
              </w:rPr>
              <w:t>was used</w:t>
            </w:r>
            <w:proofErr w:type="gramEnd"/>
            <w:r w:rsidR="00A528C0" w:rsidRPr="00AB2E10">
              <w:rPr>
                <w:rFonts w:ascii="Arial" w:hAnsi="Arial" w:cs="Arial"/>
                <w:sz w:val="20"/>
                <w:szCs w:val="20"/>
              </w:rPr>
              <w:t>, leave these boxes blank.</w:t>
            </w:r>
          </w:p>
        </w:tc>
      </w:tr>
      <w:tr w:rsidR="001C4D11" w:rsidRPr="00AB2E10" w14:paraId="3CE77D5B" w14:textId="77777777" w:rsidTr="001C4D11">
        <w:tc>
          <w:tcPr>
            <w:tcW w:w="2628" w:type="dxa"/>
            <w:tcBorders>
              <w:left w:val="single" w:sz="12" w:space="0" w:color="auto"/>
              <w:right w:val="single" w:sz="12" w:space="0" w:color="auto"/>
            </w:tcBorders>
            <w:shd w:val="clear" w:color="auto" w:fill="FFFFFF"/>
          </w:tcPr>
          <w:p w14:paraId="63DB2CC2" w14:textId="17C0EDB1" w:rsidR="001C4D11" w:rsidRDefault="001C4D11" w:rsidP="007E6138">
            <w:pPr>
              <w:rPr>
                <w:rFonts w:ascii="Arial" w:hAnsi="Arial" w:cs="Arial"/>
                <w:sz w:val="20"/>
                <w:szCs w:val="20"/>
              </w:rPr>
            </w:pPr>
            <w:r>
              <w:rPr>
                <w:rFonts w:ascii="Arial" w:hAnsi="Arial" w:cs="Arial"/>
                <w:sz w:val="20"/>
                <w:szCs w:val="20"/>
              </w:rPr>
              <w:t>73. Number of donor cells</w:t>
            </w:r>
          </w:p>
        </w:tc>
        <w:tc>
          <w:tcPr>
            <w:tcW w:w="7020" w:type="dxa"/>
            <w:tcBorders>
              <w:left w:val="single" w:sz="12" w:space="0" w:color="auto"/>
              <w:bottom w:val="single" w:sz="4" w:space="0" w:color="auto"/>
              <w:right w:val="single" w:sz="12" w:space="0" w:color="auto"/>
            </w:tcBorders>
            <w:shd w:val="clear" w:color="auto" w:fill="FFFFFF"/>
          </w:tcPr>
          <w:p w14:paraId="6A50E82A" w14:textId="41ECAE52" w:rsidR="001C4D11" w:rsidRPr="00AB2E10" w:rsidRDefault="0054062F" w:rsidP="0054062F">
            <w:pPr>
              <w:rPr>
                <w:rFonts w:ascii="Arial" w:hAnsi="Arial" w:cs="Arial"/>
                <w:sz w:val="20"/>
                <w:szCs w:val="20"/>
              </w:rPr>
            </w:pPr>
            <w:r>
              <w:rPr>
                <w:rFonts w:ascii="Arial" w:hAnsi="Arial" w:cs="Arial"/>
                <w:sz w:val="20"/>
                <w:szCs w:val="20"/>
              </w:rPr>
              <w:t xml:space="preserve">Cytogenetic </w:t>
            </w:r>
            <w:r w:rsidR="009D3AEB">
              <w:rPr>
                <w:rFonts w:ascii="Arial" w:hAnsi="Arial" w:cs="Arial"/>
                <w:sz w:val="20"/>
                <w:szCs w:val="20"/>
              </w:rPr>
              <w:t>testing methods</w:t>
            </w:r>
            <w:r w:rsidRPr="00AB2E10">
              <w:rPr>
                <w:rFonts w:ascii="Arial" w:hAnsi="Arial" w:cs="Arial"/>
                <w:sz w:val="20"/>
                <w:szCs w:val="20"/>
              </w:rPr>
              <w:t xml:space="preserve"> include </w:t>
            </w:r>
            <w:r>
              <w:rPr>
                <w:rFonts w:ascii="Arial" w:hAnsi="Arial" w:cs="Arial"/>
                <w:sz w:val="20"/>
                <w:szCs w:val="20"/>
              </w:rPr>
              <w:t>k</w:t>
            </w:r>
            <w:r w:rsidR="009D3AEB">
              <w:rPr>
                <w:rFonts w:ascii="Arial" w:hAnsi="Arial" w:cs="Arial"/>
                <w:sz w:val="20"/>
                <w:szCs w:val="20"/>
              </w:rPr>
              <w:t>aryotyp</w:t>
            </w:r>
            <w:r>
              <w:rPr>
                <w:rFonts w:ascii="Arial" w:hAnsi="Arial" w:cs="Arial"/>
                <w:sz w:val="20"/>
                <w:szCs w:val="20"/>
              </w:rPr>
              <w:t>ing</w:t>
            </w:r>
            <w:r w:rsidRPr="00AB2E10">
              <w:rPr>
                <w:rFonts w:ascii="Arial" w:hAnsi="Arial" w:cs="Arial"/>
                <w:sz w:val="20"/>
                <w:szCs w:val="20"/>
              </w:rPr>
              <w:t xml:space="preserve"> and fluoresce</w:t>
            </w:r>
            <w:r>
              <w:rPr>
                <w:rFonts w:ascii="Arial" w:hAnsi="Arial" w:cs="Arial"/>
                <w:sz w:val="20"/>
                <w:szCs w:val="20"/>
              </w:rPr>
              <w:t>nt in situ hybridiza</w:t>
            </w:r>
            <w:r w:rsidR="009D3AEB">
              <w:rPr>
                <w:rFonts w:ascii="Arial" w:hAnsi="Arial" w:cs="Arial"/>
                <w:sz w:val="20"/>
                <w:szCs w:val="20"/>
              </w:rPr>
              <w:t>tion (FISH), each of which examines</w:t>
            </w:r>
            <w:r>
              <w:rPr>
                <w:rFonts w:ascii="Arial" w:hAnsi="Arial" w:cs="Arial"/>
                <w:sz w:val="20"/>
                <w:szCs w:val="20"/>
              </w:rPr>
              <w:t xml:space="preserve"> a specific and relatively low number of cells – generally 15 to 200, depending on specimen and test method</w:t>
            </w:r>
            <w:r w:rsidR="00F91ED8">
              <w:rPr>
                <w:rFonts w:ascii="Arial" w:hAnsi="Arial" w:cs="Arial"/>
                <w:sz w:val="20"/>
                <w:szCs w:val="20"/>
              </w:rPr>
              <w:t xml:space="preserve">.  </w:t>
            </w:r>
            <w:r w:rsidRPr="00AB2E10">
              <w:rPr>
                <w:rFonts w:ascii="Arial" w:hAnsi="Arial" w:cs="Arial"/>
                <w:sz w:val="20"/>
                <w:szCs w:val="20"/>
              </w:rPr>
              <w:t xml:space="preserve">If a </w:t>
            </w:r>
            <w:r>
              <w:rPr>
                <w:rFonts w:ascii="Arial" w:hAnsi="Arial" w:cs="Arial"/>
                <w:sz w:val="20"/>
                <w:szCs w:val="20"/>
              </w:rPr>
              <w:t>cytogenetic</w:t>
            </w:r>
            <w:r w:rsidRPr="00AB2E10">
              <w:rPr>
                <w:rFonts w:ascii="Arial" w:hAnsi="Arial" w:cs="Arial"/>
                <w:sz w:val="20"/>
                <w:szCs w:val="20"/>
              </w:rPr>
              <w:t xml:space="preserve"> method </w:t>
            </w:r>
            <w:proofErr w:type="gramStart"/>
            <w:r w:rsidRPr="00AB2E10">
              <w:rPr>
                <w:rFonts w:ascii="Arial" w:hAnsi="Arial" w:cs="Arial"/>
                <w:sz w:val="20"/>
                <w:szCs w:val="20"/>
              </w:rPr>
              <w:t>was used</w:t>
            </w:r>
            <w:proofErr w:type="gramEnd"/>
            <w:r w:rsidRPr="00AB2E10">
              <w:rPr>
                <w:rFonts w:ascii="Arial" w:hAnsi="Arial" w:cs="Arial"/>
                <w:sz w:val="20"/>
                <w:szCs w:val="20"/>
              </w:rPr>
              <w:t>, enter the total number of cells that were examined</w:t>
            </w:r>
            <w:r>
              <w:rPr>
                <w:rFonts w:ascii="Arial" w:hAnsi="Arial" w:cs="Arial"/>
                <w:sz w:val="20"/>
                <w:szCs w:val="20"/>
              </w:rPr>
              <w:t xml:space="preserve"> and found to be of donor origin</w:t>
            </w:r>
            <w:r w:rsidR="00F91ED8">
              <w:rPr>
                <w:rFonts w:ascii="Arial" w:hAnsi="Arial" w:cs="Arial"/>
                <w:sz w:val="20"/>
                <w:szCs w:val="20"/>
              </w:rPr>
              <w:t xml:space="preserve">.  </w:t>
            </w:r>
            <w:r>
              <w:rPr>
                <w:rFonts w:ascii="Arial" w:hAnsi="Arial" w:cs="Arial"/>
                <w:sz w:val="20"/>
                <w:szCs w:val="20"/>
              </w:rPr>
              <w:t xml:space="preserve">If a non-cytogenetic </w:t>
            </w:r>
            <w:r w:rsidRPr="00AB2E10">
              <w:rPr>
                <w:rFonts w:ascii="Arial" w:hAnsi="Arial" w:cs="Arial"/>
                <w:sz w:val="20"/>
                <w:szCs w:val="20"/>
              </w:rPr>
              <w:t>test was used, leave these boxes blank.</w:t>
            </w:r>
          </w:p>
        </w:tc>
      </w:tr>
      <w:tr w:rsidR="001C4D11" w:rsidRPr="00AB2E10" w14:paraId="74C4BFA8" w14:textId="77777777" w:rsidTr="0054062F">
        <w:tc>
          <w:tcPr>
            <w:tcW w:w="2628" w:type="dxa"/>
            <w:tcBorders>
              <w:left w:val="single" w:sz="12" w:space="0" w:color="auto"/>
              <w:bottom w:val="single" w:sz="4" w:space="0" w:color="auto"/>
              <w:right w:val="single" w:sz="12" w:space="0" w:color="auto"/>
            </w:tcBorders>
            <w:shd w:val="clear" w:color="auto" w:fill="FFFFFF"/>
          </w:tcPr>
          <w:p w14:paraId="3735ADB5" w14:textId="21141045" w:rsidR="001C4D11" w:rsidRDefault="001C4D11" w:rsidP="00F91ED8">
            <w:pPr>
              <w:rPr>
                <w:rFonts w:ascii="Arial" w:hAnsi="Arial" w:cs="Arial"/>
                <w:sz w:val="20"/>
                <w:szCs w:val="20"/>
              </w:rPr>
            </w:pPr>
            <w:proofErr w:type="gramStart"/>
            <w:r>
              <w:rPr>
                <w:rFonts w:ascii="Arial" w:hAnsi="Arial" w:cs="Arial"/>
                <w:sz w:val="20"/>
                <w:szCs w:val="20"/>
              </w:rPr>
              <w:t>74</w:t>
            </w:r>
            <w:r w:rsidR="00F91ED8">
              <w:rPr>
                <w:rFonts w:ascii="Arial" w:hAnsi="Arial" w:cs="Arial"/>
                <w:sz w:val="20"/>
                <w:szCs w:val="20"/>
              </w:rPr>
              <w:t xml:space="preserve">. </w:t>
            </w:r>
            <w:r>
              <w:rPr>
                <w:rFonts w:ascii="Arial" w:hAnsi="Arial" w:cs="Arial"/>
                <w:sz w:val="20"/>
                <w:szCs w:val="20"/>
              </w:rPr>
              <w:t>Were donor cells detected</w:t>
            </w:r>
            <w:proofErr w:type="gramEnd"/>
            <w:r>
              <w:rPr>
                <w:rFonts w:ascii="Arial" w:hAnsi="Arial" w:cs="Arial"/>
                <w:sz w:val="20"/>
                <w:szCs w:val="20"/>
              </w:rPr>
              <w:t>?</w:t>
            </w:r>
          </w:p>
        </w:tc>
        <w:tc>
          <w:tcPr>
            <w:tcW w:w="7020" w:type="dxa"/>
            <w:tcBorders>
              <w:left w:val="single" w:sz="12" w:space="0" w:color="auto"/>
              <w:bottom w:val="single" w:sz="4" w:space="0" w:color="auto"/>
              <w:right w:val="single" w:sz="12" w:space="0" w:color="auto"/>
            </w:tcBorders>
            <w:shd w:val="clear" w:color="auto" w:fill="FFFFFF"/>
          </w:tcPr>
          <w:p w14:paraId="2155D478" w14:textId="2B40D794" w:rsidR="001C4D11" w:rsidRPr="00AB2E10" w:rsidRDefault="009D3AEB" w:rsidP="007E6138">
            <w:pPr>
              <w:rPr>
                <w:rFonts w:ascii="Arial" w:hAnsi="Arial" w:cs="Arial"/>
                <w:sz w:val="20"/>
                <w:szCs w:val="20"/>
              </w:rPr>
            </w:pPr>
            <w:r>
              <w:rPr>
                <w:rFonts w:ascii="Arial" w:hAnsi="Arial" w:cs="Arial"/>
                <w:sz w:val="20"/>
                <w:szCs w:val="20"/>
              </w:rPr>
              <w:t>Molecular testing methods include RFLP and VNTR/STR</w:t>
            </w:r>
            <w:r w:rsidR="00F91ED8">
              <w:rPr>
                <w:rFonts w:ascii="Arial" w:hAnsi="Arial" w:cs="Arial"/>
                <w:sz w:val="20"/>
                <w:szCs w:val="20"/>
              </w:rPr>
              <w:t xml:space="preserve">.  </w:t>
            </w:r>
            <w:r w:rsidR="00CC5F40">
              <w:rPr>
                <w:rFonts w:ascii="Arial" w:hAnsi="Arial" w:cs="Arial"/>
                <w:sz w:val="20"/>
                <w:szCs w:val="20"/>
              </w:rPr>
              <w:t xml:space="preserve">If a molecular method </w:t>
            </w:r>
            <w:proofErr w:type="gramStart"/>
            <w:r w:rsidR="00CC5F40">
              <w:rPr>
                <w:rFonts w:ascii="Arial" w:hAnsi="Arial" w:cs="Arial"/>
                <w:sz w:val="20"/>
                <w:szCs w:val="20"/>
              </w:rPr>
              <w:t>was used</w:t>
            </w:r>
            <w:proofErr w:type="gramEnd"/>
            <w:r w:rsidR="00CC5F40">
              <w:rPr>
                <w:rFonts w:ascii="Arial" w:hAnsi="Arial" w:cs="Arial"/>
                <w:sz w:val="20"/>
                <w:szCs w:val="20"/>
              </w:rPr>
              <w:t>, indicate whether donor cells were detected</w:t>
            </w:r>
            <w:r w:rsidR="00F91ED8">
              <w:rPr>
                <w:rFonts w:ascii="Arial" w:hAnsi="Arial" w:cs="Arial"/>
                <w:sz w:val="20"/>
                <w:szCs w:val="20"/>
              </w:rPr>
              <w:t xml:space="preserve">.  </w:t>
            </w:r>
            <w:r w:rsidR="00CC5F40">
              <w:rPr>
                <w:rFonts w:ascii="Arial" w:hAnsi="Arial" w:cs="Arial"/>
                <w:sz w:val="20"/>
                <w:szCs w:val="20"/>
              </w:rPr>
              <w:t>Report “yes,” if the testing identified any percentage of cells as being of donor origin.</w:t>
            </w:r>
          </w:p>
        </w:tc>
      </w:tr>
      <w:tr w:rsidR="001C4D11" w:rsidRPr="00AB2E10" w14:paraId="71606BC4" w14:textId="77777777" w:rsidTr="0054062F">
        <w:tc>
          <w:tcPr>
            <w:tcW w:w="2628" w:type="dxa"/>
            <w:tcBorders>
              <w:left w:val="single" w:sz="12" w:space="0" w:color="auto"/>
              <w:bottom w:val="single" w:sz="12" w:space="0" w:color="auto"/>
              <w:right w:val="single" w:sz="12" w:space="0" w:color="auto"/>
            </w:tcBorders>
            <w:shd w:val="clear" w:color="auto" w:fill="FFFFFF"/>
          </w:tcPr>
          <w:p w14:paraId="126707DA" w14:textId="677FE67F" w:rsidR="001C4D11" w:rsidRDefault="001C4D11" w:rsidP="007E6138">
            <w:pPr>
              <w:rPr>
                <w:rFonts w:ascii="Arial" w:hAnsi="Arial" w:cs="Arial"/>
                <w:sz w:val="20"/>
                <w:szCs w:val="20"/>
              </w:rPr>
            </w:pPr>
            <w:r>
              <w:rPr>
                <w:rFonts w:ascii="Arial" w:hAnsi="Arial" w:cs="Arial"/>
                <w:sz w:val="20"/>
                <w:szCs w:val="20"/>
              </w:rPr>
              <w:t>75</w:t>
            </w:r>
            <w:r w:rsidR="00F91ED8">
              <w:rPr>
                <w:rFonts w:ascii="Arial" w:hAnsi="Arial" w:cs="Arial"/>
                <w:sz w:val="20"/>
                <w:szCs w:val="20"/>
              </w:rPr>
              <w:t xml:space="preserve">.  </w:t>
            </w:r>
            <w:r>
              <w:rPr>
                <w:rFonts w:ascii="Arial" w:hAnsi="Arial" w:cs="Arial"/>
                <w:sz w:val="20"/>
                <w:szCs w:val="20"/>
              </w:rPr>
              <w:t>Percent donor cells</w:t>
            </w:r>
          </w:p>
        </w:tc>
        <w:tc>
          <w:tcPr>
            <w:tcW w:w="7020" w:type="dxa"/>
            <w:tcBorders>
              <w:left w:val="single" w:sz="12" w:space="0" w:color="auto"/>
              <w:bottom w:val="single" w:sz="12" w:space="0" w:color="auto"/>
              <w:right w:val="single" w:sz="12" w:space="0" w:color="auto"/>
            </w:tcBorders>
            <w:shd w:val="clear" w:color="auto" w:fill="FFFFFF"/>
          </w:tcPr>
          <w:p w14:paraId="15A4E135" w14:textId="3E067991" w:rsidR="001C4D11" w:rsidRPr="00AB2E10" w:rsidRDefault="00CC5F40" w:rsidP="00CC5F40">
            <w:pPr>
              <w:rPr>
                <w:rFonts w:ascii="Arial" w:hAnsi="Arial" w:cs="Arial"/>
                <w:sz w:val="20"/>
                <w:szCs w:val="20"/>
              </w:rPr>
            </w:pPr>
            <w:r>
              <w:rPr>
                <w:rFonts w:ascii="Arial" w:hAnsi="Arial" w:cs="Arial"/>
                <w:sz w:val="20"/>
                <w:szCs w:val="20"/>
              </w:rPr>
              <w:t>Molecular testing methods include RFLP and VNTR/STR</w:t>
            </w:r>
            <w:r w:rsidR="00F91ED8">
              <w:rPr>
                <w:rFonts w:ascii="Arial" w:hAnsi="Arial" w:cs="Arial"/>
                <w:sz w:val="20"/>
                <w:szCs w:val="20"/>
              </w:rPr>
              <w:t xml:space="preserve">.  </w:t>
            </w:r>
            <w:r>
              <w:rPr>
                <w:rFonts w:ascii="Arial" w:hAnsi="Arial" w:cs="Arial"/>
                <w:sz w:val="20"/>
                <w:szCs w:val="20"/>
              </w:rPr>
              <w:t>Report the percentage of donor cells identified by RFLP or VNTR/STR or other molecular testing</w:t>
            </w:r>
            <w:r w:rsidR="00F91ED8">
              <w:rPr>
                <w:rFonts w:ascii="Arial" w:hAnsi="Arial" w:cs="Arial"/>
                <w:sz w:val="20"/>
                <w:szCs w:val="20"/>
              </w:rPr>
              <w:t xml:space="preserve">.  </w:t>
            </w:r>
            <w:r>
              <w:rPr>
                <w:rFonts w:ascii="Arial" w:hAnsi="Arial" w:cs="Arial"/>
                <w:sz w:val="20"/>
                <w:szCs w:val="20"/>
              </w:rPr>
              <w:t>If the test result did not detect any recipient cell population within the sensitivity of the assay, report 100% donor cells</w:t>
            </w:r>
            <w:r w:rsidR="00F91ED8">
              <w:rPr>
                <w:rFonts w:ascii="Arial" w:hAnsi="Arial" w:cs="Arial"/>
                <w:sz w:val="20"/>
                <w:szCs w:val="20"/>
              </w:rPr>
              <w:t xml:space="preserve">.  </w:t>
            </w:r>
            <w:proofErr w:type="gramStart"/>
            <w:r>
              <w:rPr>
                <w:rFonts w:ascii="Arial" w:hAnsi="Arial" w:cs="Arial"/>
                <w:sz w:val="20"/>
                <w:szCs w:val="20"/>
              </w:rPr>
              <w:t>If the test detected recipient cells but indicated donor cells “&gt; x%,” report “x + 1” percent donor cells</w:t>
            </w:r>
            <w:r w:rsidR="00F91ED8">
              <w:rPr>
                <w:rFonts w:ascii="Arial" w:hAnsi="Arial" w:cs="Arial"/>
                <w:sz w:val="20"/>
                <w:szCs w:val="20"/>
              </w:rPr>
              <w:t>.</w:t>
            </w:r>
            <w:proofErr w:type="gramEnd"/>
            <w:r w:rsidR="00F91ED8">
              <w:rPr>
                <w:rFonts w:ascii="Arial" w:hAnsi="Arial" w:cs="Arial"/>
                <w:sz w:val="20"/>
                <w:szCs w:val="20"/>
              </w:rPr>
              <w:t xml:space="preserve">  </w:t>
            </w:r>
            <w:r>
              <w:rPr>
                <w:rFonts w:ascii="Arial" w:hAnsi="Arial" w:cs="Arial"/>
                <w:sz w:val="20"/>
                <w:szCs w:val="20"/>
              </w:rPr>
              <w:t xml:space="preserve">If the test detected donor cells but indicated donor cells “&lt; x%,” report “x - 1” percent donor cells. </w:t>
            </w:r>
          </w:p>
        </w:tc>
      </w:tr>
    </w:tbl>
    <w:p w14:paraId="7D38695C" w14:textId="2B9D9AE3" w:rsidR="00AF1A77" w:rsidRDefault="00AF1A77" w:rsidP="007B790F">
      <w:pPr>
        <w:rPr>
          <w:rFonts w:ascii="Arial" w:hAnsi="Arial" w:cs="Arial"/>
          <w:b/>
        </w:rPr>
      </w:pPr>
    </w:p>
    <w:p w14:paraId="584BCB82" w14:textId="77777777" w:rsidR="00AF1A77" w:rsidRDefault="00AF1A77">
      <w:pPr>
        <w:spacing w:after="200" w:line="276" w:lineRule="auto"/>
        <w:rPr>
          <w:rFonts w:ascii="Arial" w:hAnsi="Arial" w:cs="Arial"/>
          <w:b/>
        </w:rPr>
      </w:pPr>
      <w:r>
        <w:rPr>
          <w:rFonts w:ascii="Arial" w:hAnsi="Arial" w:cs="Arial"/>
          <w:b/>
        </w:rPr>
        <w:br w:type="page"/>
      </w:r>
    </w:p>
    <w:p w14:paraId="782EEC26" w14:textId="58633206" w:rsidR="00A528C0" w:rsidRPr="0083760C" w:rsidRDefault="00CC5F40" w:rsidP="00A528C0">
      <w:pPr>
        <w:rPr>
          <w:rFonts w:ascii="Arial" w:hAnsi="Arial" w:cs="Arial"/>
          <w:b/>
        </w:rPr>
      </w:pPr>
      <w:proofErr w:type="gramStart"/>
      <w:r>
        <w:rPr>
          <w:rFonts w:ascii="Arial" w:hAnsi="Arial" w:cs="Arial"/>
          <w:b/>
        </w:rPr>
        <w:lastRenderedPageBreak/>
        <w:t>Table 5</w:t>
      </w:r>
      <w:r w:rsidR="00F91ED8">
        <w:rPr>
          <w:rFonts w:ascii="Arial" w:hAnsi="Arial" w:cs="Arial"/>
          <w:b/>
        </w:rPr>
        <w:t>.</w:t>
      </w:r>
      <w:proofErr w:type="gramEnd"/>
      <w:r w:rsidR="00F91ED8">
        <w:rPr>
          <w:rFonts w:ascii="Arial" w:hAnsi="Arial" w:cs="Arial"/>
          <w:b/>
        </w:rPr>
        <w:t xml:space="preserve">  </w:t>
      </w:r>
      <w:proofErr w:type="spellStart"/>
      <w:r w:rsidR="00A528C0" w:rsidRPr="006F4BCF">
        <w:rPr>
          <w:rFonts w:ascii="Arial" w:hAnsi="Arial" w:cs="Arial"/>
          <w:b/>
        </w:rPr>
        <w:t>Chimerism</w:t>
      </w:r>
      <w:proofErr w:type="spellEnd"/>
      <w:r w:rsidR="00A528C0" w:rsidRPr="006F4BCF">
        <w:rPr>
          <w:rFonts w:ascii="Arial" w:hAnsi="Arial" w:cs="Arial"/>
          <w:b/>
        </w:rPr>
        <w:t xml:space="preserve"> Cell Types</w:t>
      </w:r>
    </w:p>
    <w:tbl>
      <w:tblPr>
        <w:tblW w:w="9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5"/>
        <w:gridCol w:w="7020"/>
      </w:tblGrid>
      <w:tr w:rsidR="00A528C0" w:rsidRPr="0083760C" w14:paraId="771E41AF" w14:textId="77777777" w:rsidTr="00676E4B">
        <w:tc>
          <w:tcPr>
            <w:tcW w:w="2635" w:type="dxa"/>
            <w:shd w:val="clear" w:color="auto" w:fill="63A70A" w:themeFill="accent2"/>
          </w:tcPr>
          <w:p w14:paraId="3B266637" w14:textId="77777777" w:rsidR="00A528C0" w:rsidRPr="0066473D" w:rsidRDefault="00A528C0" w:rsidP="007E6138">
            <w:pPr>
              <w:rPr>
                <w:rFonts w:ascii="Arial" w:hAnsi="Arial" w:cs="Arial"/>
                <w:b/>
                <w:color w:val="FFFFFF" w:themeColor="background1"/>
              </w:rPr>
            </w:pPr>
            <w:r w:rsidRPr="0066473D">
              <w:rPr>
                <w:rFonts w:ascii="Arial" w:hAnsi="Arial" w:cs="Arial"/>
                <w:b/>
                <w:color w:val="FFFFFF" w:themeColor="background1"/>
              </w:rPr>
              <w:t>Cell Type</w:t>
            </w:r>
          </w:p>
        </w:tc>
        <w:tc>
          <w:tcPr>
            <w:tcW w:w="7020" w:type="dxa"/>
            <w:shd w:val="clear" w:color="auto" w:fill="63A70A" w:themeFill="accent2"/>
          </w:tcPr>
          <w:p w14:paraId="4B2C21EC" w14:textId="77777777" w:rsidR="00A528C0" w:rsidRPr="0066473D" w:rsidRDefault="00A528C0" w:rsidP="007E6138">
            <w:pPr>
              <w:rPr>
                <w:rFonts w:ascii="Arial" w:hAnsi="Arial" w:cs="Arial"/>
                <w:b/>
                <w:color w:val="FFFFFF" w:themeColor="background1"/>
              </w:rPr>
            </w:pPr>
            <w:r w:rsidRPr="0066473D">
              <w:rPr>
                <w:rFonts w:ascii="Arial" w:hAnsi="Arial" w:cs="Arial"/>
                <w:b/>
                <w:color w:val="FFFFFF" w:themeColor="background1"/>
              </w:rPr>
              <w:t>Description</w:t>
            </w:r>
          </w:p>
        </w:tc>
      </w:tr>
      <w:tr w:rsidR="00A528C0" w:rsidRPr="00AB2E10" w14:paraId="3D2DCDD4" w14:textId="77777777" w:rsidTr="00676E4B">
        <w:tc>
          <w:tcPr>
            <w:tcW w:w="2635" w:type="dxa"/>
          </w:tcPr>
          <w:p w14:paraId="5ECAC671" w14:textId="15A80EB6" w:rsidR="00A528C0" w:rsidRPr="00CC5F40" w:rsidRDefault="00CC5F40" w:rsidP="00CC5F40">
            <w:pPr>
              <w:pStyle w:val="ListParagraph"/>
              <w:ind w:left="0"/>
              <w:rPr>
                <w:rFonts w:ascii="Arial" w:hAnsi="Arial" w:cs="Arial"/>
                <w:sz w:val="20"/>
                <w:szCs w:val="20"/>
              </w:rPr>
            </w:pPr>
            <w:r>
              <w:rPr>
                <w:rFonts w:ascii="Arial" w:hAnsi="Arial" w:cs="Arial"/>
                <w:sz w:val="20"/>
                <w:szCs w:val="20"/>
              </w:rPr>
              <w:t>Unsorted / whole</w:t>
            </w:r>
          </w:p>
        </w:tc>
        <w:tc>
          <w:tcPr>
            <w:tcW w:w="7020" w:type="dxa"/>
          </w:tcPr>
          <w:p w14:paraId="242BBE3C" w14:textId="153F9217" w:rsidR="00A528C0" w:rsidRPr="00AB2E10" w:rsidRDefault="00CC5F40" w:rsidP="007E6138">
            <w:pPr>
              <w:rPr>
                <w:rFonts w:ascii="Arial" w:hAnsi="Arial" w:cs="Arial"/>
                <w:sz w:val="20"/>
                <w:szCs w:val="20"/>
              </w:rPr>
            </w:pPr>
            <w:r>
              <w:rPr>
                <w:rFonts w:ascii="Arial" w:hAnsi="Arial" w:cs="Arial"/>
                <w:sz w:val="20"/>
                <w:szCs w:val="20"/>
              </w:rPr>
              <w:t>The peripheral blood or bone marrow sample has not been sorted or selected for a certain cell line.</w:t>
            </w:r>
            <w:r w:rsidR="00A528C0" w:rsidRPr="00AB2E10">
              <w:rPr>
                <w:rFonts w:ascii="Arial" w:hAnsi="Arial" w:cs="Arial"/>
                <w:sz w:val="20"/>
                <w:szCs w:val="20"/>
              </w:rPr>
              <w:t xml:space="preserve"> </w:t>
            </w:r>
          </w:p>
        </w:tc>
      </w:tr>
      <w:tr w:rsidR="00A528C0" w:rsidRPr="00AB2E10" w14:paraId="76ACCCFF" w14:textId="77777777" w:rsidTr="00676E4B">
        <w:tc>
          <w:tcPr>
            <w:tcW w:w="2635" w:type="dxa"/>
          </w:tcPr>
          <w:p w14:paraId="213E032D" w14:textId="0245779E" w:rsidR="00A528C0" w:rsidRPr="00CC5F40" w:rsidRDefault="00CC5F40" w:rsidP="007E6138">
            <w:pPr>
              <w:pStyle w:val="ListParagraph"/>
              <w:ind w:left="0"/>
              <w:rPr>
                <w:rFonts w:ascii="Arial" w:hAnsi="Arial" w:cs="Arial"/>
                <w:sz w:val="20"/>
                <w:szCs w:val="20"/>
              </w:rPr>
            </w:pPr>
            <w:r>
              <w:rPr>
                <w:rFonts w:ascii="Arial" w:hAnsi="Arial" w:cs="Arial"/>
                <w:sz w:val="20"/>
                <w:szCs w:val="20"/>
              </w:rPr>
              <w:t>Red blood cells</w:t>
            </w:r>
          </w:p>
        </w:tc>
        <w:tc>
          <w:tcPr>
            <w:tcW w:w="7020" w:type="dxa"/>
          </w:tcPr>
          <w:p w14:paraId="630CA1EC" w14:textId="433BCCDC" w:rsidR="00A528C0" w:rsidRPr="00AB2E10" w:rsidRDefault="00CC5F40" w:rsidP="007162E1">
            <w:pPr>
              <w:rPr>
                <w:rFonts w:ascii="Arial" w:hAnsi="Arial" w:cs="Arial"/>
                <w:sz w:val="20"/>
                <w:szCs w:val="20"/>
              </w:rPr>
            </w:pPr>
            <w:r>
              <w:rPr>
                <w:rFonts w:ascii="Arial" w:hAnsi="Arial" w:cs="Arial"/>
                <w:sz w:val="20"/>
                <w:szCs w:val="20"/>
              </w:rPr>
              <w:t>Also</w:t>
            </w:r>
            <w:r w:rsidR="007162E1">
              <w:rPr>
                <w:rFonts w:ascii="Arial" w:hAnsi="Arial" w:cs="Arial"/>
                <w:sz w:val="20"/>
                <w:szCs w:val="20"/>
              </w:rPr>
              <w:t xml:space="preserve"> known as RBCs or erythrocytes; carry the CD235a cell marker</w:t>
            </w:r>
          </w:p>
        </w:tc>
      </w:tr>
      <w:tr w:rsidR="007162E1" w:rsidRPr="00AB2E10" w14:paraId="58FAB18C" w14:textId="77777777" w:rsidTr="00676E4B">
        <w:tc>
          <w:tcPr>
            <w:tcW w:w="2635" w:type="dxa"/>
          </w:tcPr>
          <w:p w14:paraId="397856F0" w14:textId="7B85AC0B" w:rsidR="007162E1" w:rsidRDefault="007162E1" w:rsidP="007E6138">
            <w:pPr>
              <w:pStyle w:val="ListParagraph"/>
              <w:ind w:left="0"/>
              <w:rPr>
                <w:rFonts w:ascii="Arial" w:hAnsi="Arial" w:cs="Arial"/>
                <w:sz w:val="20"/>
                <w:szCs w:val="20"/>
              </w:rPr>
            </w:pPr>
            <w:r>
              <w:rPr>
                <w:rFonts w:ascii="Arial" w:hAnsi="Arial" w:cs="Arial"/>
                <w:sz w:val="20"/>
                <w:szCs w:val="20"/>
              </w:rPr>
              <w:t>Hematopoietic progenitor cells</w:t>
            </w:r>
          </w:p>
        </w:tc>
        <w:tc>
          <w:tcPr>
            <w:tcW w:w="7020" w:type="dxa"/>
          </w:tcPr>
          <w:p w14:paraId="58ABFC4B" w14:textId="5226122A" w:rsidR="007162E1" w:rsidRDefault="007162E1" w:rsidP="007162E1">
            <w:pPr>
              <w:rPr>
                <w:rFonts w:ascii="Arial" w:hAnsi="Arial" w:cs="Arial"/>
                <w:sz w:val="20"/>
                <w:szCs w:val="20"/>
              </w:rPr>
            </w:pPr>
            <w:r>
              <w:rPr>
                <w:rFonts w:ascii="Arial" w:hAnsi="Arial" w:cs="Arial"/>
                <w:sz w:val="20"/>
                <w:szCs w:val="20"/>
              </w:rPr>
              <w:t>Includes CD34+ cells</w:t>
            </w:r>
          </w:p>
        </w:tc>
      </w:tr>
      <w:tr w:rsidR="007162E1" w:rsidRPr="00AB2E10" w14:paraId="1E95FBC3" w14:textId="77777777" w:rsidTr="00676E4B">
        <w:tc>
          <w:tcPr>
            <w:tcW w:w="2635" w:type="dxa"/>
          </w:tcPr>
          <w:p w14:paraId="7C281D17" w14:textId="1460D640" w:rsidR="007162E1" w:rsidRDefault="007162E1" w:rsidP="007E6138">
            <w:pPr>
              <w:pStyle w:val="ListParagraph"/>
              <w:ind w:left="0"/>
              <w:rPr>
                <w:rFonts w:ascii="Arial" w:hAnsi="Arial" w:cs="Arial"/>
                <w:sz w:val="20"/>
                <w:szCs w:val="20"/>
              </w:rPr>
            </w:pPr>
            <w:r>
              <w:rPr>
                <w:rFonts w:ascii="Arial" w:hAnsi="Arial" w:cs="Arial"/>
                <w:sz w:val="20"/>
                <w:szCs w:val="20"/>
              </w:rPr>
              <w:t>Total mononuclear cells</w:t>
            </w:r>
          </w:p>
        </w:tc>
        <w:tc>
          <w:tcPr>
            <w:tcW w:w="7020" w:type="dxa"/>
          </w:tcPr>
          <w:p w14:paraId="29F10693" w14:textId="62080F9E" w:rsidR="007162E1" w:rsidRDefault="007162E1" w:rsidP="007162E1">
            <w:pPr>
              <w:rPr>
                <w:rFonts w:ascii="Arial" w:hAnsi="Arial" w:cs="Arial"/>
                <w:sz w:val="20"/>
                <w:szCs w:val="20"/>
              </w:rPr>
            </w:pPr>
            <w:r>
              <w:rPr>
                <w:rFonts w:ascii="Arial" w:hAnsi="Arial" w:cs="Arial"/>
                <w:sz w:val="20"/>
                <w:szCs w:val="20"/>
              </w:rPr>
              <w:t>Total mononuclear cells would be a specimen containing only and both lymphocytes and monocytes</w:t>
            </w:r>
          </w:p>
        </w:tc>
      </w:tr>
      <w:tr w:rsidR="00A528C0" w:rsidRPr="00AB2E10" w14:paraId="00F6BC94" w14:textId="77777777" w:rsidTr="00676E4B">
        <w:tc>
          <w:tcPr>
            <w:tcW w:w="2635" w:type="dxa"/>
          </w:tcPr>
          <w:p w14:paraId="5E4152EA" w14:textId="7CEA5C13" w:rsidR="00A528C0" w:rsidRPr="00CC5F40" w:rsidRDefault="007162E1" w:rsidP="007E6138">
            <w:pPr>
              <w:pStyle w:val="ListParagraph"/>
              <w:ind w:left="0"/>
              <w:rPr>
                <w:rFonts w:ascii="Arial" w:hAnsi="Arial" w:cs="Arial"/>
                <w:sz w:val="20"/>
                <w:szCs w:val="20"/>
              </w:rPr>
            </w:pPr>
            <w:r>
              <w:rPr>
                <w:rFonts w:ascii="Arial" w:hAnsi="Arial" w:cs="Arial"/>
                <w:sz w:val="20"/>
                <w:szCs w:val="20"/>
              </w:rPr>
              <w:t xml:space="preserve">T </w:t>
            </w:r>
            <w:r w:rsidR="00A528C0" w:rsidRPr="00CC5F40">
              <w:rPr>
                <w:rFonts w:ascii="Arial" w:hAnsi="Arial" w:cs="Arial"/>
                <w:sz w:val="20"/>
                <w:szCs w:val="20"/>
              </w:rPr>
              <w:t>cells</w:t>
            </w:r>
          </w:p>
        </w:tc>
        <w:tc>
          <w:tcPr>
            <w:tcW w:w="7020" w:type="dxa"/>
          </w:tcPr>
          <w:p w14:paraId="0B16B3A7" w14:textId="5F4EA426" w:rsidR="00A528C0" w:rsidRPr="00AB2E10" w:rsidRDefault="007162E1" w:rsidP="007162E1">
            <w:pPr>
              <w:rPr>
                <w:rFonts w:ascii="Arial" w:hAnsi="Arial" w:cs="Arial"/>
                <w:sz w:val="20"/>
                <w:szCs w:val="20"/>
              </w:rPr>
            </w:pPr>
            <w:r>
              <w:rPr>
                <w:rFonts w:ascii="Arial" w:hAnsi="Arial" w:cs="Arial"/>
                <w:sz w:val="20"/>
                <w:szCs w:val="20"/>
              </w:rPr>
              <w:t xml:space="preserve">Includes CD3+, </w:t>
            </w:r>
            <w:r w:rsidR="00A528C0" w:rsidRPr="00AB2E10">
              <w:rPr>
                <w:rFonts w:ascii="Arial" w:hAnsi="Arial" w:cs="Arial"/>
                <w:sz w:val="20"/>
                <w:szCs w:val="20"/>
              </w:rPr>
              <w:t>CD4+</w:t>
            </w:r>
            <w:r>
              <w:rPr>
                <w:rFonts w:ascii="Arial" w:hAnsi="Arial" w:cs="Arial"/>
                <w:sz w:val="20"/>
                <w:szCs w:val="20"/>
              </w:rPr>
              <w:t>, and/or CD8+</w:t>
            </w:r>
            <w:r w:rsidR="00A528C0" w:rsidRPr="00AB2E10">
              <w:rPr>
                <w:rFonts w:ascii="Arial" w:hAnsi="Arial" w:cs="Arial"/>
                <w:sz w:val="20"/>
                <w:szCs w:val="20"/>
              </w:rPr>
              <w:t xml:space="preserve"> cells</w:t>
            </w:r>
          </w:p>
        </w:tc>
      </w:tr>
      <w:tr w:rsidR="00A528C0" w:rsidRPr="00AB2E10" w14:paraId="4633D875" w14:textId="77777777" w:rsidTr="00676E4B">
        <w:tc>
          <w:tcPr>
            <w:tcW w:w="2635" w:type="dxa"/>
          </w:tcPr>
          <w:p w14:paraId="14AD2201" w14:textId="06FFB9AE" w:rsidR="00A528C0" w:rsidRPr="00CC5F40" w:rsidRDefault="007162E1" w:rsidP="007E6138">
            <w:pPr>
              <w:pStyle w:val="ListParagraph"/>
              <w:ind w:left="0"/>
              <w:rPr>
                <w:rFonts w:ascii="Arial" w:hAnsi="Arial" w:cs="Arial"/>
                <w:sz w:val="20"/>
                <w:szCs w:val="20"/>
              </w:rPr>
            </w:pPr>
            <w:r>
              <w:rPr>
                <w:rFonts w:ascii="Arial" w:hAnsi="Arial" w:cs="Arial"/>
                <w:sz w:val="20"/>
                <w:szCs w:val="20"/>
              </w:rPr>
              <w:t xml:space="preserve">B </w:t>
            </w:r>
            <w:r w:rsidR="00A528C0" w:rsidRPr="00CC5F40">
              <w:rPr>
                <w:rFonts w:ascii="Arial" w:hAnsi="Arial" w:cs="Arial"/>
                <w:sz w:val="20"/>
                <w:szCs w:val="20"/>
              </w:rPr>
              <w:t>cells</w:t>
            </w:r>
          </w:p>
        </w:tc>
        <w:tc>
          <w:tcPr>
            <w:tcW w:w="7020" w:type="dxa"/>
          </w:tcPr>
          <w:p w14:paraId="50FE4898" w14:textId="77777777" w:rsidR="00A528C0" w:rsidRPr="00AB2E10" w:rsidRDefault="00A528C0" w:rsidP="007E6138">
            <w:pPr>
              <w:rPr>
                <w:rFonts w:ascii="Arial" w:hAnsi="Arial" w:cs="Arial"/>
                <w:sz w:val="20"/>
                <w:szCs w:val="20"/>
              </w:rPr>
            </w:pPr>
            <w:r w:rsidRPr="00AB2E10">
              <w:rPr>
                <w:rFonts w:ascii="Arial" w:hAnsi="Arial" w:cs="Arial"/>
                <w:sz w:val="20"/>
                <w:szCs w:val="20"/>
              </w:rPr>
              <w:t>Includes CD19+ or CD20+ cells</w:t>
            </w:r>
          </w:p>
        </w:tc>
      </w:tr>
      <w:tr w:rsidR="007162E1" w:rsidRPr="00AB2E10" w14:paraId="763BE65E" w14:textId="77777777" w:rsidTr="00676E4B">
        <w:tc>
          <w:tcPr>
            <w:tcW w:w="2635" w:type="dxa"/>
          </w:tcPr>
          <w:p w14:paraId="114ED477" w14:textId="730192F7" w:rsidR="007162E1" w:rsidRPr="00CC5F40" w:rsidRDefault="007162E1" w:rsidP="007E6138">
            <w:pPr>
              <w:pStyle w:val="ListParagraph"/>
              <w:ind w:left="0"/>
              <w:rPr>
                <w:rFonts w:ascii="Arial" w:hAnsi="Arial" w:cs="Arial"/>
                <w:sz w:val="20"/>
                <w:szCs w:val="20"/>
              </w:rPr>
            </w:pPr>
            <w:r>
              <w:rPr>
                <w:rFonts w:ascii="Arial" w:hAnsi="Arial" w:cs="Arial"/>
                <w:sz w:val="20"/>
                <w:szCs w:val="20"/>
              </w:rPr>
              <w:t>Granulocytes</w:t>
            </w:r>
          </w:p>
        </w:tc>
        <w:tc>
          <w:tcPr>
            <w:tcW w:w="7020" w:type="dxa"/>
          </w:tcPr>
          <w:p w14:paraId="1839A356" w14:textId="69EE0CC3" w:rsidR="007162E1" w:rsidRPr="00AB2E10" w:rsidRDefault="007162E1" w:rsidP="007162E1">
            <w:pPr>
              <w:rPr>
                <w:rFonts w:ascii="Arial" w:hAnsi="Arial" w:cs="Arial"/>
                <w:sz w:val="20"/>
                <w:szCs w:val="20"/>
              </w:rPr>
            </w:pPr>
            <w:r>
              <w:rPr>
                <w:rFonts w:ascii="Arial" w:hAnsi="Arial" w:cs="Arial"/>
                <w:sz w:val="20"/>
                <w:szCs w:val="20"/>
              </w:rPr>
              <w:t xml:space="preserve">Also known as </w:t>
            </w:r>
            <w:proofErr w:type="spellStart"/>
            <w:r>
              <w:rPr>
                <w:rFonts w:ascii="Arial" w:hAnsi="Arial" w:cs="Arial"/>
                <w:sz w:val="20"/>
                <w:szCs w:val="20"/>
              </w:rPr>
              <w:t>polymorphonuclear</w:t>
            </w:r>
            <w:proofErr w:type="spellEnd"/>
            <w:r>
              <w:rPr>
                <w:rFonts w:ascii="Arial" w:hAnsi="Arial" w:cs="Arial"/>
                <w:sz w:val="20"/>
                <w:szCs w:val="20"/>
              </w:rPr>
              <w:t xml:space="preserve"> leukocytes (PMNs, PMLs) and includes neutrophils, eosinophils, and basophils</w:t>
            </w:r>
            <w:r w:rsidR="00F91ED8">
              <w:rPr>
                <w:rFonts w:ascii="Arial" w:hAnsi="Arial" w:cs="Arial"/>
                <w:sz w:val="20"/>
                <w:szCs w:val="20"/>
              </w:rPr>
              <w:t xml:space="preserve">.  </w:t>
            </w:r>
            <w:r>
              <w:rPr>
                <w:rFonts w:ascii="Arial" w:hAnsi="Arial" w:cs="Arial"/>
                <w:sz w:val="20"/>
                <w:szCs w:val="20"/>
              </w:rPr>
              <w:t>Includes CD33+ cells</w:t>
            </w:r>
          </w:p>
        </w:tc>
      </w:tr>
      <w:tr w:rsidR="007162E1" w:rsidRPr="00AB2E10" w14:paraId="7C96C983" w14:textId="77777777" w:rsidTr="00676E4B">
        <w:tc>
          <w:tcPr>
            <w:tcW w:w="2635" w:type="dxa"/>
          </w:tcPr>
          <w:p w14:paraId="3E5D6C06" w14:textId="1E700073" w:rsidR="007162E1" w:rsidRPr="00CC5F40" w:rsidRDefault="007162E1" w:rsidP="007E6138">
            <w:pPr>
              <w:pStyle w:val="ListParagraph"/>
              <w:ind w:left="0"/>
              <w:rPr>
                <w:rFonts w:ascii="Arial" w:hAnsi="Arial" w:cs="Arial"/>
                <w:sz w:val="20"/>
                <w:szCs w:val="20"/>
              </w:rPr>
            </w:pPr>
            <w:r>
              <w:rPr>
                <w:rFonts w:ascii="Arial" w:hAnsi="Arial" w:cs="Arial"/>
                <w:sz w:val="20"/>
                <w:szCs w:val="20"/>
              </w:rPr>
              <w:t>NK cells</w:t>
            </w:r>
          </w:p>
        </w:tc>
        <w:tc>
          <w:tcPr>
            <w:tcW w:w="7020" w:type="dxa"/>
          </w:tcPr>
          <w:p w14:paraId="2105F50D" w14:textId="6390D663" w:rsidR="007162E1" w:rsidRPr="00AB2E10" w:rsidRDefault="007162E1" w:rsidP="007E6138">
            <w:pPr>
              <w:rPr>
                <w:rFonts w:ascii="Arial" w:hAnsi="Arial" w:cs="Arial"/>
                <w:sz w:val="20"/>
                <w:szCs w:val="20"/>
              </w:rPr>
            </w:pPr>
            <w:r>
              <w:rPr>
                <w:rFonts w:ascii="Arial" w:hAnsi="Arial" w:cs="Arial"/>
                <w:sz w:val="20"/>
                <w:szCs w:val="20"/>
              </w:rPr>
              <w:t>Includes CD56+ cells</w:t>
            </w:r>
          </w:p>
        </w:tc>
      </w:tr>
      <w:tr w:rsidR="00A528C0" w:rsidRPr="00AB2E10" w14:paraId="487014FA" w14:textId="77777777" w:rsidTr="00676E4B">
        <w:tc>
          <w:tcPr>
            <w:tcW w:w="2635" w:type="dxa"/>
          </w:tcPr>
          <w:p w14:paraId="22ED2314" w14:textId="467D7CB7" w:rsidR="00A528C0" w:rsidRPr="00CC5F40" w:rsidRDefault="00A528C0" w:rsidP="007E6138">
            <w:pPr>
              <w:ind w:left="180" w:hanging="180"/>
              <w:rPr>
                <w:rFonts w:ascii="Arial" w:hAnsi="Arial" w:cs="Arial"/>
                <w:sz w:val="20"/>
                <w:szCs w:val="20"/>
              </w:rPr>
            </w:pPr>
            <w:r w:rsidRPr="00CC5F40">
              <w:rPr>
                <w:rFonts w:ascii="Arial" w:hAnsi="Arial" w:cs="Arial"/>
                <w:sz w:val="20"/>
                <w:szCs w:val="20"/>
              </w:rPr>
              <w:t>Other, specify</w:t>
            </w:r>
          </w:p>
        </w:tc>
        <w:tc>
          <w:tcPr>
            <w:tcW w:w="7020" w:type="dxa"/>
          </w:tcPr>
          <w:p w14:paraId="2D9857E1" w14:textId="2A73AA80" w:rsidR="00A528C0" w:rsidRPr="00AB2E10" w:rsidRDefault="00A528C0" w:rsidP="007E6138">
            <w:pPr>
              <w:rPr>
                <w:rFonts w:ascii="Arial" w:hAnsi="Arial" w:cs="Arial"/>
                <w:sz w:val="20"/>
                <w:szCs w:val="20"/>
              </w:rPr>
            </w:pPr>
            <w:r w:rsidRPr="00AB2E10">
              <w:rPr>
                <w:rFonts w:ascii="Arial" w:hAnsi="Arial" w:cs="Arial"/>
                <w:sz w:val="20"/>
                <w:szCs w:val="20"/>
              </w:rPr>
              <w:t>Use this option to report cell types that do not fit in a categ</w:t>
            </w:r>
            <w:r w:rsidR="007162E1">
              <w:rPr>
                <w:rFonts w:ascii="Arial" w:hAnsi="Arial" w:cs="Arial"/>
                <w:sz w:val="20"/>
                <w:szCs w:val="20"/>
              </w:rPr>
              <w:t>ory above.</w:t>
            </w:r>
          </w:p>
        </w:tc>
      </w:tr>
    </w:tbl>
    <w:p w14:paraId="0EE1842E" w14:textId="77777777" w:rsidR="00D17B36" w:rsidRDefault="00D17B36" w:rsidP="00D17B36">
      <w:pPr>
        <w:rPr>
          <w:rFonts w:ascii="Arial" w:hAnsi="Arial" w:cs="Arial"/>
          <w:b/>
          <w:color w:val="FFFFFF" w:themeColor="background1"/>
          <w:sz w:val="28"/>
          <w:szCs w:val="28"/>
        </w:rPr>
      </w:pPr>
    </w:p>
    <w:p w14:paraId="41247BD3" w14:textId="192F003F" w:rsidR="00C146B2" w:rsidRPr="0083760C" w:rsidRDefault="00C146B2" w:rsidP="00C146B2">
      <w:pPr>
        <w:rPr>
          <w:rFonts w:ascii="Arial" w:hAnsi="Arial" w:cs="Arial"/>
          <w:b/>
        </w:rPr>
      </w:pPr>
      <w:proofErr w:type="gramStart"/>
      <w:r>
        <w:rPr>
          <w:rFonts w:ascii="Arial" w:hAnsi="Arial" w:cs="Arial"/>
          <w:b/>
        </w:rPr>
        <w:t>Table 6</w:t>
      </w:r>
      <w:r w:rsidR="00F91ED8">
        <w:rPr>
          <w:rFonts w:ascii="Arial" w:hAnsi="Arial" w:cs="Arial"/>
          <w:b/>
        </w:rPr>
        <w:t>.</w:t>
      </w:r>
      <w:proofErr w:type="gramEnd"/>
      <w:r w:rsidR="00F91ED8">
        <w:rPr>
          <w:rFonts w:ascii="Arial" w:hAnsi="Arial" w:cs="Arial"/>
          <w:b/>
        </w:rPr>
        <w:t xml:space="preserve">  </w:t>
      </w:r>
      <w:proofErr w:type="spellStart"/>
      <w:r w:rsidRPr="006F4BCF">
        <w:rPr>
          <w:rFonts w:ascii="Arial" w:hAnsi="Arial" w:cs="Arial"/>
          <w:b/>
        </w:rPr>
        <w:t>Chimerism</w:t>
      </w:r>
      <w:proofErr w:type="spellEnd"/>
      <w:r w:rsidRPr="006F4BCF">
        <w:rPr>
          <w:rFonts w:ascii="Arial" w:hAnsi="Arial" w:cs="Arial"/>
          <w:b/>
        </w:rPr>
        <w:t xml:space="preserve"> </w:t>
      </w:r>
      <w:r>
        <w:rPr>
          <w:rFonts w:ascii="Arial" w:hAnsi="Arial" w:cs="Arial"/>
          <w:b/>
        </w:rPr>
        <w:t>Methods</w:t>
      </w:r>
    </w:p>
    <w:tbl>
      <w:tblPr>
        <w:tblW w:w="9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5"/>
        <w:gridCol w:w="7027"/>
      </w:tblGrid>
      <w:tr w:rsidR="00C146B2" w:rsidRPr="0083760C" w14:paraId="4E38B55E" w14:textId="77777777" w:rsidTr="00676E4B">
        <w:tc>
          <w:tcPr>
            <w:tcW w:w="2635" w:type="dxa"/>
            <w:shd w:val="clear" w:color="auto" w:fill="63A70A" w:themeFill="accent2"/>
          </w:tcPr>
          <w:p w14:paraId="2FAF2C96" w14:textId="4CE94D80" w:rsidR="00C146B2" w:rsidRPr="0066473D" w:rsidRDefault="00C146B2" w:rsidP="00F44B3F">
            <w:pPr>
              <w:rPr>
                <w:rFonts w:ascii="Arial" w:hAnsi="Arial" w:cs="Arial"/>
                <w:b/>
                <w:color w:val="FFFFFF" w:themeColor="background1"/>
              </w:rPr>
            </w:pPr>
            <w:r>
              <w:rPr>
                <w:rFonts w:ascii="Arial" w:hAnsi="Arial" w:cs="Arial"/>
                <w:b/>
                <w:color w:val="FFFFFF" w:themeColor="background1"/>
              </w:rPr>
              <w:t>Method</w:t>
            </w:r>
          </w:p>
        </w:tc>
        <w:tc>
          <w:tcPr>
            <w:tcW w:w="7027" w:type="dxa"/>
            <w:shd w:val="clear" w:color="auto" w:fill="63A70A" w:themeFill="accent2"/>
          </w:tcPr>
          <w:p w14:paraId="6E4E55A6" w14:textId="77777777" w:rsidR="00C146B2" w:rsidRPr="0066473D" w:rsidRDefault="00C146B2" w:rsidP="00F44B3F">
            <w:pPr>
              <w:rPr>
                <w:rFonts w:ascii="Arial" w:hAnsi="Arial" w:cs="Arial"/>
                <w:b/>
                <w:color w:val="FFFFFF" w:themeColor="background1"/>
              </w:rPr>
            </w:pPr>
            <w:r w:rsidRPr="0066473D">
              <w:rPr>
                <w:rFonts w:ascii="Arial" w:hAnsi="Arial" w:cs="Arial"/>
                <w:b/>
                <w:color w:val="FFFFFF" w:themeColor="background1"/>
              </w:rPr>
              <w:t>Description</w:t>
            </w:r>
          </w:p>
        </w:tc>
      </w:tr>
      <w:tr w:rsidR="00C146B2" w:rsidRPr="00AB2E10" w14:paraId="22983C2F" w14:textId="77777777" w:rsidTr="00676E4B">
        <w:tc>
          <w:tcPr>
            <w:tcW w:w="2635" w:type="dxa"/>
          </w:tcPr>
          <w:p w14:paraId="7092BEEC" w14:textId="24246AB2" w:rsidR="00C146B2" w:rsidRPr="00CC5F40" w:rsidRDefault="00C146B2" w:rsidP="00F44B3F">
            <w:pPr>
              <w:pStyle w:val="ListParagraph"/>
              <w:ind w:left="0"/>
              <w:rPr>
                <w:rFonts w:ascii="Arial" w:hAnsi="Arial" w:cs="Arial"/>
                <w:sz w:val="20"/>
                <w:szCs w:val="20"/>
              </w:rPr>
            </w:pPr>
            <w:r>
              <w:rPr>
                <w:rFonts w:ascii="Arial" w:hAnsi="Arial" w:cs="Arial"/>
                <w:sz w:val="20"/>
                <w:szCs w:val="20"/>
              </w:rPr>
              <w:t>Karyotyping for XX/XY</w:t>
            </w:r>
          </w:p>
        </w:tc>
        <w:tc>
          <w:tcPr>
            <w:tcW w:w="7027" w:type="dxa"/>
          </w:tcPr>
          <w:p w14:paraId="48B35387" w14:textId="3395DEC5" w:rsidR="00C146B2" w:rsidRPr="00AB2E10" w:rsidRDefault="0068053C" w:rsidP="00710B6D">
            <w:pPr>
              <w:rPr>
                <w:rFonts w:ascii="Arial" w:hAnsi="Arial" w:cs="Arial"/>
                <w:sz w:val="20"/>
                <w:szCs w:val="20"/>
              </w:rPr>
            </w:pPr>
            <w:r>
              <w:rPr>
                <w:rFonts w:ascii="Arial" w:hAnsi="Arial" w:cs="Arial"/>
                <w:sz w:val="20"/>
                <w:szCs w:val="20"/>
              </w:rPr>
              <w:t xml:space="preserve">Cells </w:t>
            </w:r>
            <w:proofErr w:type="gramStart"/>
            <w:r>
              <w:rPr>
                <w:rFonts w:ascii="Arial" w:hAnsi="Arial" w:cs="Arial"/>
                <w:sz w:val="20"/>
                <w:szCs w:val="20"/>
              </w:rPr>
              <w:t xml:space="preserve">are grown in culture, stained, and examined under a microscope to </w:t>
            </w:r>
            <w:r w:rsidR="00710B6D">
              <w:rPr>
                <w:rFonts w:ascii="Arial" w:hAnsi="Arial" w:cs="Arial"/>
                <w:sz w:val="20"/>
                <w:szCs w:val="20"/>
              </w:rPr>
              <w:t>identify</w:t>
            </w:r>
            <w:r>
              <w:rPr>
                <w:rFonts w:ascii="Arial" w:hAnsi="Arial" w:cs="Arial"/>
                <w:sz w:val="20"/>
                <w:szCs w:val="20"/>
              </w:rPr>
              <w:t xml:space="preserve"> </w:t>
            </w:r>
            <w:r w:rsidR="00A05BCB">
              <w:rPr>
                <w:rFonts w:ascii="Arial" w:hAnsi="Arial" w:cs="Arial"/>
                <w:sz w:val="20"/>
                <w:szCs w:val="20"/>
              </w:rPr>
              <w:t xml:space="preserve">the </w:t>
            </w:r>
            <w:r w:rsidR="00A05BCB" w:rsidRPr="00667EDE">
              <w:rPr>
                <w:rFonts w:ascii="Arial" w:hAnsi="Arial" w:cs="Arial"/>
                <w:b/>
                <w:sz w:val="20"/>
                <w:szCs w:val="20"/>
              </w:rPr>
              <w:t>number</w:t>
            </w:r>
            <w:r w:rsidR="00A05BCB">
              <w:rPr>
                <w:rFonts w:ascii="Arial" w:hAnsi="Arial" w:cs="Arial"/>
                <w:sz w:val="20"/>
                <w:szCs w:val="20"/>
              </w:rPr>
              <w:t xml:space="preserve"> of cells matching the sex of the donor</w:t>
            </w:r>
            <w:proofErr w:type="gramEnd"/>
            <w:r w:rsidR="00F91ED8">
              <w:rPr>
                <w:rFonts w:ascii="Arial" w:hAnsi="Arial" w:cs="Arial"/>
                <w:sz w:val="20"/>
                <w:szCs w:val="20"/>
              </w:rPr>
              <w:t xml:space="preserve">.  </w:t>
            </w:r>
            <w:r w:rsidR="00710B6D">
              <w:rPr>
                <w:rFonts w:ascii="Arial" w:hAnsi="Arial" w:cs="Arial"/>
                <w:sz w:val="20"/>
                <w:szCs w:val="20"/>
              </w:rPr>
              <w:t>This method is only valid when donor and recipient are sex mismatched.</w:t>
            </w:r>
          </w:p>
        </w:tc>
      </w:tr>
      <w:tr w:rsidR="00C146B2" w:rsidRPr="00AB2E10" w14:paraId="726637D3" w14:textId="77777777" w:rsidTr="00676E4B">
        <w:tc>
          <w:tcPr>
            <w:tcW w:w="2635" w:type="dxa"/>
          </w:tcPr>
          <w:p w14:paraId="45499E42" w14:textId="2AEB34E8" w:rsidR="00C146B2" w:rsidRPr="00CC5F40" w:rsidRDefault="00710B6D" w:rsidP="00F44B3F">
            <w:pPr>
              <w:pStyle w:val="ListParagraph"/>
              <w:ind w:left="0"/>
              <w:rPr>
                <w:rFonts w:ascii="Arial" w:hAnsi="Arial" w:cs="Arial"/>
                <w:sz w:val="20"/>
                <w:szCs w:val="20"/>
              </w:rPr>
            </w:pPr>
            <w:r>
              <w:rPr>
                <w:rFonts w:ascii="Arial" w:hAnsi="Arial" w:cs="Arial"/>
                <w:sz w:val="20"/>
                <w:szCs w:val="20"/>
              </w:rPr>
              <w:t>Fluorescent</w:t>
            </w:r>
            <w:r w:rsidR="00C146B2">
              <w:rPr>
                <w:rFonts w:ascii="Arial" w:hAnsi="Arial" w:cs="Arial"/>
                <w:sz w:val="20"/>
                <w:szCs w:val="20"/>
              </w:rPr>
              <w:t xml:space="preserve"> in situ hybridization (FISH) for XX/XY</w:t>
            </w:r>
          </w:p>
        </w:tc>
        <w:tc>
          <w:tcPr>
            <w:tcW w:w="7027" w:type="dxa"/>
          </w:tcPr>
          <w:p w14:paraId="344912E2" w14:textId="5DA03992" w:rsidR="00C146B2" w:rsidRPr="00AB2E10" w:rsidRDefault="0068053C" w:rsidP="00710B6D">
            <w:pPr>
              <w:rPr>
                <w:rFonts w:ascii="Arial" w:hAnsi="Arial" w:cs="Arial"/>
                <w:sz w:val="20"/>
                <w:szCs w:val="20"/>
              </w:rPr>
            </w:pPr>
            <w:r>
              <w:rPr>
                <w:rFonts w:ascii="Arial" w:hAnsi="Arial" w:cs="Arial"/>
                <w:sz w:val="20"/>
                <w:szCs w:val="20"/>
              </w:rPr>
              <w:t xml:space="preserve">Cells are exposed to </w:t>
            </w:r>
            <w:r w:rsidR="00AD07FF">
              <w:rPr>
                <w:rFonts w:ascii="Arial" w:hAnsi="Arial" w:cs="Arial"/>
                <w:sz w:val="20"/>
                <w:szCs w:val="20"/>
              </w:rPr>
              <w:t>fluorescent</w:t>
            </w:r>
            <w:r>
              <w:rPr>
                <w:rFonts w:ascii="Arial" w:hAnsi="Arial" w:cs="Arial"/>
                <w:sz w:val="20"/>
                <w:szCs w:val="20"/>
              </w:rPr>
              <w:t xml:space="preserve"> DNA </w:t>
            </w:r>
            <w:proofErr w:type="gramStart"/>
            <w:r>
              <w:rPr>
                <w:rFonts w:ascii="Arial" w:hAnsi="Arial" w:cs="Arial"/>
                <w:sz w:val="20"/>
                <w:szCs w:val="20"/>
              </w:rPr>
              <w:t>probes which</w:t>
            </w:r>
            <w:proofErr w:type="gramEnd"/>
            <w:r>
              <w:rPr>
                <w:rFonts w:ascii="Arial" w:hAnsi="Arial" w:cs="Arial"/>
                <w:sz w:val="20"/>
                <w:szCs w:val="20"/>
              </w:rPr>
              <w:t xml:space="preserve"> attach to X and Y chromosomes</w:t>
            </w:r>
            <w:r w:rsidR="00F91ED8">
              <w:rPr>
                <w:rFonts w:ascii="Arial" w:hAnsi="Arial" w:cs="Arial"/>
                <w:sz w:val="20"/>
                <w:szCs w:val="20"/>
              </w:rPr>
              <w:t xml:space="preserve">.  </w:t>
            </w:r>
            <w:r>
              <w:rPr>
                <w:rFonts w:ascii="Arial" w:hAnsi="Arial" w:cs="Arial"/>
                <w:sz w:val="20"/>
                <w:szCs w:val="20"/>
              </w:rPr>
              <w:t xml:space="preserve">A microscope </w:t>
            </w:r>
            <w:proofErr w:type="gramStart"/>
            <w:r>
              <w:rPr>
                <w:rFonts w:ascii="Arial" w:hAnsi="Arial" w:cs="Arial"/>
                <w:sz w:val="20"/>
                <w:szCs w:val="20"/>
              </w:rPr>
              <w:t>is used</w:t>
            </w:r>
            <w:proofErr w:type="gramEnd"/>
            <w:r>
              <w:rPr>
                <w:rFonts w:ascii="Arial" w:hAnsi="Arial" w:cs="Arial"/>
                <w:sz w:val="20"/>
                <w:szCs w:val="20"/>
              </w:rPr>
              <w:t xml:space="preserve"> to </w:t>
            </w:r>
            <w:r w:rsidR="00945227">
              <w:rPr>
                <w:rFonts w:ascii="Arial" w:hAnsi="Arial" w:cs="Arial"/>
                <w:sz w:val="20"/>
                <w:szCs w:val="20"/>
              </w:rPr>
              <w:t>identify</w:t>
            </w:r>
            <w:r>
              <w:rPr>
                <w:rFonts w:ascii="Arial" w:hAnsi="Arial" w:cs="Arial"/>
                <w:sz w:val="20"/>
                <w:szCs w:val="20"/>
              </w:rPr>
              <w:t xml:space="preserve"> the </w:t>
            </w:r>
            <w:r w:rsidRPr="00667EDE">
              <w:rPr>
                <w:rFonts w:ascii="Arial" w:hAnsi="Arial" w:cs="Arial"/>
                <w:b/>
                <w:sz w:val="20"/>
                <w:szCs w:val="20"/>
              </w:rPr>
              <w:t>number</w:t>
            </w:r>
            <w:r>
              <w:rPr>
                <w:rFonts w:ascii="Arial" w:hAnsi="Arial" w:cs="Arial"/>
                <w:sz w:val="20"/>
                <w:szCs w:val="20"/>
              </w:rPr>
              <w:t xml:space="preserve"> of cell</w:t>
            </w:r>
            <w:r w:rsidR="00945227">
              <w:rPr>
                <w:rFonts w:ascii="Arial" w:hAnsi="Arial" w:cs="Arial"/>
                <w:sz w:val="20"/>
                <w:szCs w:val="20"/>
              </w:rPr>
              <w:t>s matching the sex of the donor</w:t>
            </w:r>
            <w:r w:rsidR="00F91ED8">
              <w:rPr>
                <w:rFonts w:ascii="Arial" w:hAnsi="Arial" w:cs="Arial"/>
                <w:sz w:val="20"/>
                <w:szCs w:val="20"/>
              </w:rPr>
              <w:t xml:space="preserve">.  </w:t>
            </w:r>
            <w:r w:rsidR="00710B6D">
              <w:rPr>
                <w:rFonts w:ascii="Arial" w:hAnsi="Arial" w:cs="Arial"/>
                <w:sz w:val="20"/>
                <w:szCs w:val="20"/>
              </w:rPr>
              <w:t>This method is only valid when donor and recipient are sex mismatched</w:t>
            </w:r>
            <w:r w:rsidR="00F91ED8">
              <w:rPr>
                <w:rFonts w:ascii="Arial" w:hAnsi="Arial" w:cs="Arial"/>
                <w:sz w:val="20"/>
                <w:szCs w:val="20"/>
              </w:rPr>
              <w:t xml:space="preserve">.  </w:t>
            </w:r>
            <w:r w:rsidR="00945227" w:rsidRPr="00945227">
              <w:rPr>
                <w:rFonts w:ascii="Arial" w:hAnsi="Arial" w:cs="Arial"/>
                <w:i/>
                <w:sz w:val="20"/>
                <w:szCs w:val="20"/>
              </w:rPr>
              <w:t xml:space="preserve">Do not report FISH testing </w:t>
            </w:r>
            <w:r w:rsidR="00945227">
              <w:rPr>
                <w:rFonts w:ascii="Arial" w:hAnsi="Arial" w:cs="Arial"/>
                <w:i/>
                <w:sz w:val="20"/>
                <w:szCs w:val="20"/>
              </w:rPr>
              <w:t>fo</w:t>
            </w:r>
            <w:r w:rsidR="00710B6D">
              <w:rPr>
                <w:rFonts w:ascii="Arial" w:hAnsi="Arial" w:cs="Arial"/>
                <w:i/>
                <w:sz w:val="20"/>
                <w:szCs w:val="20"/>
              </w:rPr>
              <w:t xml:space="preserve">r disease-specific abnormalities </w:t>
            </w:r>
            <w:r w:rsidR="00945227" w:rsidRPr="00945227">
              <w:rPr>
                <w:rFonts w:ascii="Arial" w:hAnsi="Arial" w:cs="Arial"/>
                <w:i/>
                <w:sz w:val="20"/>
                <w:szCs w:val="20"/>
              </w:rPr>
              <w:t>in the chimerism section of the Post-TED.</w:t>
            </w:r>
          </w:p>
        </w:tc>
      </w:tr>
      <w:tr w:rsidR="00C146B2" w:rsidRPr="00AB2E10" w14:paraId="5E1861CE" w14:textId="77777777" w:rsidTr="00676E4B">
        <w:tc>
          <w:tcPr>
            <w:tcW w:w="2635" w:type="dxa"/>
          </w:tcPr>
          <w:p w14:paraId="56787DAE" w14:textId="1B4A6095" w:rsidR="00C146B2" w:rsidRDefault="00397DFF" w:rsidP="00F44B3F">
            <w:pPr>
              <w:pStyle w:val="ListParagraph"/>
              <w:ind w:left="0"/>
              <w:rPr>
                <w:rFonts w:ascii="Arial" w:hAnsi="Arial" w:cs="Arial"/>
                <w:sz w:val="20"/>
                <w:szCs w:val="20"/>
              </w:rPr>
            </w:pPr>
            <w:r>
              <w:rPr>
                <w:rFonts w:ascii="Arial" w:hAnsi="Arial" w:cs="Arial"/>
                <w:sz w:val="20"/>
                <w:szCs w:val="20"/>
              </w:rPr>
              <w:t xml:space="preserve">Restricted fragment </w:t>
            </w:r>
            <w:r w:rsidR="00C146B2">
              <w:rPr>
                <w:rFonts w:ascii="Arial" w:hAnsi="Arial" w:cs="Arial"/>
                <w:sz w:val="20"/>
                <w:szCs w:val="20"/>
              </w:rPr>
              <w:t>length polymorphisms (RFLP)</w:t>
            </w:r>
          </w:p>
        </w:tc>
        <w:tc>
          <w:tcPr>
            <w:tcW w:w="7027" w:type="dxa"/>
          </w:tcPr>
          <w:p w14:paraId="677A68EE" w14:textId="36481764" w:rsidR="00C146B2" w:rsidRDefault="00990B81" w:rsidP="00B41183">
            <w:pPr>
              <w:rPr>
                <w:rFonts w:ascii="Arial" w:hAnsi="Arial" w:cs="Arial"/>
                <w:sz w:val="20"/>
                <w:szCs w:val="20"/>
              </w:rPr>
            </w:pPr>
            <w:r>
              <w:rPr>
                <w:rFonts w:ascii="Arial" w:hAnsi="Arial" w:cs="Arial"/>
                <w:sz w:val="20"/>
                <w:szCs w:val="20"/>
              </w:rPr>
              <w:t xml:space="preserve">A restriction fragment is a portion of </w:t>
            </w:r>
            <w:proofErr w:type="gramStart"/>
            <w:r>
              <w:rPr>
                <w:rFonts w:ascii="Arial" w:hAnsi="Arial" w:cs="Arial"/>
                <w:sz w:val="20"/>
                <w:szCs w:val="20"/>
              </w:rPr>
              <w:t>DNA which</w:t>
            </w:r>
            <w:proofErr w:type="gramEnd"/>
            <w:r>
              <w:rPr>
                <w:rFonts w:ascii="Arial" w:hAnsi="Arial" w:cs="Arial"/>
                <w:sz w:val="20"/>
                <w:szCs w:val="20"/>
              </w:rPr>
              <w:t xml:space="preserve"> has been cut out by an enzyme</w:t>
            </w:r>
            <w:r w:rsidR="00F91ED8">
              <w:rPr>
                <w:rFonts w:ascii="Arial" w:hAnsi="Arial" w:cs="Arial"/>
                <w:sz w:val="20"/>
                <w:szCs w:val="20"/>
              </w:rPr>
              <w:t xml:space="preserve">.  </w:t>
            </w:r>
            <w:r>
              <w:rPr>
                <w:rFonts w:ascii="Arial" w:hAnsi="Arial" w:cs="Arial"/>
                <w:sz w:val="20"/>
                <w:szCs w:val="20"/>
              </w:rPr>
              <w:t xml:space="preserve">RFLP testing begins by isolating </w:t>
            </w:r>
            <w:r w:rsidR="00397DFF">
              <w:rPr>
                <w:rFonts w:ascii="Arial" w:hAnsi="Arial" w:cs="Arial"/>
                <w:sz w:val="20"/>
                <w:szCs w:val="20"/>
              </w:rPr>
              <w:t>DNA from the sample</w:t>
            </w:r>
            <w:r w:rsidR="00F91ED8">
              <w:rPr>
                <w:rFonts w:ascii="Arial" w:hAnsi="Arial" w:cs="Arial"/>
                <w:sz w:val="20"/>
                <w:szCs w:val="20"/>
              </w:rPr>
              <w:t xml:space="preserve">.  </w:t>
            </w:r>
            <w:r w:rsidR="00397DFF">
              <w:rPr>
                <w:rFonts w:ascii="Arial" w:hAnsi="Arial" w:cs="Arial"/>
                <w:sz w:val="20"/>
                <w:szCs w:val="20"/>
              </w:rPr>
              <w:t>E</w:t>
            </w:r>
            <w:r w:rsidR="00AD07FF">
              <w:rPr>
                <w:rFonts w:ascii="Arial" w:hAnsi="Arial" w:cs="Arial"/>
                <w:sz w:val="20"/>
                <w:szCs w:val="20"/>
              </w:rPr>
              <w:t xml:space="preserve">nzymes </w:t>
            </w:r>
            <w:proofErr w:type="gramStart"/>
            <w:r w:rsidR="00AD07FF">
              <w:rPr>
                <w:rFonts w:ascii="Arial" w:hAnsi="Arial" w:cs="Arial"/>
                <w:sz w:val="20"/>
                <w:szCs w:val="20"/>
              </w:rPr>
              <w:t>are used</w:t>
            </w:r>
            <w:proofErr w:type="gramEnd"/>
            <w:r w:rsidR="00AD07FF">
              <w:rPr>
                <w:rFonts w:ascii="Arial" w:hAnsi="Arial" w:cs="Arial"/>
                <w:sz w:val="20"/>
                <w:szCs w:val="20"/>
              </w:rPr>
              <w:t xml:space="preserve"> to </w:t>
            </w:r>
            <w:r>
              <w:rPr>
                <w:rFonts w:ascii="Arial" w:hAnsi="Arial" w:cs="Arial"/>
                <w:sz w:val="20"/>
                <w:szCs w:val="20"/>
              </w:rPr>
              <w:t>cut the DNA at specific loci resulting in many unique restriction fragments</w:t>
            </w:r>
            <w:r w:rsidR="00F91ED8">
              <w:rPr>
                <w:rFonts w:ascii="Arial" w:hAnsi="Arial" w:cs="Arial"/>
                <w:sz w:val="20"/>
                <w:szCs w:val="20"/>
              </w:rPr>
              <w:t xml:space="preserve">.  </w:t>
            </w:r>
            <w:r w:rsidR="00B41183">
              <w:rPr>
                <w:rFonts w:ascii="Arial" w:hAnsi="Arial" w:cs="Arial"/>
                <w:sz w:val="20"/>
                <w:szCs w:val="20"/>
              </w:rPr>
              <w:t>The fragments</w:t>
            </w:r>
            <w:r w:rsidR="00AD07FF">
              <w:rPr>
                <w:rFonts w:ascii="Arial" w:hAnsi="Arial" w:cs="Arial"/>
                <w:sz w:val="20"/>
                <w:szCs w:val="20"/>
              </w:rPr>
              <w:t xml:space="preserve"> </w:t>
            </w:r>
            <w:proofErr w:type="gramStart"/>
            <w:r w:rsidR="00AD07FF">
              <w:rPr>
                <w:rFonts w:ascii="Arial" w:hAnsi="Arial" w:cs="Arial"/>
                <w:sz w:val="20"/>
                <w:szCs w:val="20"/>
              </w:rPr>
              <w:t>are separated</w:t>
            </w:r>
            <w:proofErr w:type="gramEnd"/>
            <w:r w:rsidR="00AD07FF">
              <w:rPr>
                <w:rFonts w:ascii="Arial" w:hAnsi="Arial" w:cs="Arial"/>
                <w:sz w:val="20"/>
                <w:szCs w:val="20"/>
              </w:rPr>
              <w:t xml:space="preserve"> according to size by electrophoresis</w:t>
            </w:r>
            <w:r w:rsidR="00F91ED8">
              <w:rPr>
                <w:rFonts w:ascii="Arial" w:hAnsi="Arial" w:cs="Arial"/>
                <w:sz w:val="20"/>
                <w:szCs w:val="20"/>
              </w:rPr>
              <w:t xml:space="preserve">.  </w:t>
            </w:r>
            <w:r w:rsidR="00AD07FF">
              <w:rPr>
                <w:rFonts w:ascii="Arial" w:hAnsi="Arial" w:cs="Arial"/>
                <w:sz w:val="20"/>
                <w:szCs w:val="20"/>
              </w:rPr>
              <w:t>The unique pattern of</w:t>
            </w:r>
            <w:r w:rsidR="0044540B">
              <w:rPr>
                <w:rFonts w:ascii="Arial" w:hAnsi="Arial" w:cs="Arial"/>
                <w:sz w:val="20"/>
                <w:szCs w:val="20"/>
              </w:rPr>
              <w:t xml:space="preserve"> separation is used to </w:t>
            </w:r>
            <w:r w:rsidR="00945227">
              <w:rPr>
                <w:rFonts w:ascii="Arial" w:hAnsi="Arial" w:cs="Arial"/>
                <w:sz w:val="20"/>
                <w:szCs w:val="20"/>
              </w:rPr>
              <w:t>identify</w:t>
            </w:r>
            <w:r w:rsidR="0044540B">
              <w:rPr>
                <w:rFonts w:ascii="Arial" w:hAnsi="Arial" w:cs="Arial"/>
                <w:sz w:val="20"/>
                <w:szCs w:val="20"/>
              </w:rPr>
              <w:t xml:space="preserve"> the </w:t>
            </w:r>
            <w:r w:rsidR="0044540B" w:rsidRPr="00667EDE">
              <w:rPr>
                <w:rFonts w:ascii="Arial" w:hAnsi="Arial" w:cs="Arial"/>
                <w:b/>
                <w:sz w:val="20"/>
                <w:szCs w:val="20"/>
              </w:rPr>
              <w:t>p</w:t>
            </w:r>
            <w:r w:rsidR="00945227" w:rsidRPr="00667EDE">
              <w:rPr>
                <w:rFonts w:ascii="Arial" w:hAnsi="Arial" w:cs="Arial"/>
                <w:b/>
                <w:sz w:val="20"/>
                <w:szCs w:val="20"/>
              </w:rPr>
              <w:t>ercent</w:t>
            </w:r>
            <w:r w:rsidR="00945227">
              <w:rPr>
                <w:rFonts w:ascii="Arial" w:hAnsi="Arial" w:cs="Arial"/>
                <w:sz w:val="20"/>
                <w:szCs w:val="20"/>
              </w:rPr>
              <w:t xml:space="preserve"> </w:t>
            </w:r>
            <w:r w:rsidR="0044540B">
              <w:rPr>
                <w:rFonts w:ascii="Arial" w:hAnsi="Arial" w:cs="Arial"/>
                <w:sz w:val="20"/>
                <w:szCs w:val="20"/>
              </w:rPr>
              <w:t>donor DNA present in the sample.</w:t>
            </w:r>
          </w:p>
        </w:tc>
      </w:tr>
      <w:tr w:rsidR="00F44B3F" w:rsidRPr="00AB2E10" w14:paraId="3E3337B2" w14:textId="77777777" w:rsidTr="00676E4B">
        <w:tc>
          <w:tcPr>
            <w:tcW w:w="2635" w:type="dxa"/>
          </w:tcPr>
          <w:p w14:paraId="70F03A5D" w14:textId="334C89FD" w:rsidR="00F44B3F" w:rsidRDefault="00F44B3F" w:rsidP="00F44B3F">
            <w:pPr>
              <w:pStyle w:val="ListParagraph"/>
              <w:ind w:left="0"/>
              <w:rPr>
                <w:rFonts w:ascii="Arial" w:hAnsi="Arial" w:cs="Arial"/>
                <w:sz w:val="20"/>
                <w:szCs w:val="20"/>
              </w:rPr>
            </w:pPr>
            <w:r>
              <w:rPr>
                <w:rFonts w:ascii="Arial" w:hAnsi="Arial" w:cs="Arial"/>
                <w:sz w:val="20"/>
                <w:szCs w:val="20"/>
              </w:rPr>
              <w:t xml:space="preserve">Variable number tandem repeat (VNTR), micro- or minisatellite </w:t>
            </w:r>
          </w:p>
        </w:tc>
        <w:tc>
          <w:tcPr>
            <w:tcW w:w="7027" w:type="dxa"/>
          </w:tcPr>
          <w:p w14:paraId="4AFBF001" w14:textId="2EB3F9E9" w:rsidR="00F44B3F" w:rsidRDefault="00F44B3F" w:rsidP="00990B81">
            <w:pPr>
              <w:rPr>
                <w:rFonts w:ascii="Arial" w:hAnsi="Arial" w:cs="Arial"/>
                <w:sz w:val="20"/>
                <w:szCs w:val="20"/>
              </w:rPr>
            </w:pPr>
            <w:r>
              <w:rPr>
                <w:rFonts w:ascii="Arial" w:hAnsi="Arial" w:cs="Arial"/>
                <w:sz w:val="20"/>
                <w:szCs w:val="20"/>
              </w:rPr>
              <w:t xml:space="preserve">VNTR refers to a portion of DNA </w:t>
            </w:r>
            <w:r w:rsidR="00EC2E4F">
              <w:rPr>
                <w:rFonts w:ascii="Arial" w:hAnsi="Arial" w:cs="Arial"/>
                <w:sz w:val="20"/>
                <w:szCs w:val="20"/>
              </w:rPr>
              <w:t>containing a repeating sequence</w:t>
            </w:r>
            <w:r>
              <w:rPr>
                <w:rFonts w:ascii="Arial" w:hAnsi="Arial" w:cs="Arial"/>
                <w:sz w:val="20"/>
                <w:szCs w:val="20"/>
              </w:rPr>
              <w:t xml:space="preserve"> of base pairs (micro- or minisatellite)</w:t>
            </w:r>
            <w:r w:rsidR="00F91ED8">
              <w:rPr>
                <w:rFonts w:ascii="Arial" w:hAnsi="Arial" w:cs="Arial"/>
                <w:sz w:val="20"/>
                <w:szCs w:val="20"/>
              </w:rPr>
              <w:t xml:space="preserve">.  </w:t>
            </w:r>
            <w:r>
              <w:rPr>
                <w:rFonts w:ascii="Arial" w:hAnsi="Arial" w:cs="Arial"/>
                <w:sz w:val="20"/>
                <w:szCs w:val="20"/>
              </w:rPr>
              <w:t xml:space="preserve">The number of times a micro- or minisatellite repeats </w:t>
            </w:r>
            <w:r w:rsidR="00EC2E4F">
              <w:rPr>
                <w:rFonts w:ascii="Arial" w:hAnsi="Arial" w:cs="Arial"/>
                <w:sz w:val="20"/>
                <w:szCs w:val="20"/>
              </w:rPr>
              <w:t xml:space="preserve">within specific loci </w:t>
            </w:r>
            <w:r w:rsidR="00CB5FF4">
              <w:rPr>
                <w:rFonts w:ascii="Arial" w:hAnsi="Arial" w:cs="Arial"/>
                <w:sz w:val="20"/>
                <w:szCs w:val="20"/>
              </w:rPr>
              <w:t>can differ between individuals</w:t>
            </w:r>
            <w:r w:rsidR="00F91ED8">
              <w:rPr>
                <w:rFonts w:ascii="Arial" w:hAnsi="Arial" w:cs="Arial"/>
                <w:sz w:val="20"/>
                <w:szCs w:val="20"/>
              </w:rPr>
              <w:t xml:space="preserve">.  </w:t>
            </w:r>
            <w:r w:rsidR="00CB5FF4">
              <w:rPr>
                <w:rFonts w:ascii="Arial" w:hAnsi="Arial" w:cs="Arial"/>
                <w:sz w:val="20"/>
                <w:szCs w:val="20"/>
              </w:rPr>
              <w:t xml:space="preserve">These differences </w:t>
            </w:r>
            <w:proofErr w:type="gramStart"/>
            <w:r w:rsidR="00EC2E4F">
              <w:rPr>
                <w:rFonts w:ascii="Arial" w:hAnsi="Arial" w:cs="Arial"/>
                <w:sz w:val="20"/>
                <w:szCs w:val="20"/>
              </w:rPr>
              <w:t>are</w:t>
            </w:r>
            <w:r>
              <w:rPr>
                <w:rFonts w:ascii="Arial" w:hAnsi="Arial" w:cs="Arial"/>
                <w:sz w:val="20"/>
                <w:szCs w:val="20"/>
              </w:rPr>
              <w:t xml:space="preserve"> used</w:t>
            </w:r>
            <w:proofErr w:type="gramEnd"/>
            <w:r>
              <w:rPr>
                <w:rFonts w:ascii="Arial" w:hAnsi="Arial" w:cs="Arial"/>
                <w:sz w:val="20"/>
                <w:szCs w:val="20"/>
              </w:rPr>
              <w:t xml:space="preserve"> to distinguish donor DNA from recipient DNA</w:t>
            </w:r>
            <w:r w:rsidR="00F91ED8">
              <w:rPr>
                <w:rFonts w:ascii="Arial" w:hAnsi="Arial" w:cs="Arial"/>
                <w:sz w:val="20"/>
                <w:szCs w:val="20"/>
              </w:rPr>
              <w:t xml:space="preserve">.  </w:t>
            </w:r>
            <w:r w:rsidR="00990B81">
              <w:rPr>
                <w:rFonts w:ascii="Arial" w:hAnsi="Arial" w:cs="Arial"/>
                <w:sz w:val="20"/>
                <w:szCs w:val="20"/>
              </w:rPr>
              <w:t>VNTR testing</w:t>
            </w:r>
            <w:r w:rsidR="00CB5FF4">
              <w:rPr>
                <w:rFonts w:ascii="Arial" w:hAnsi="Arial" w:cs="Arial"/>
                <w:sz w:val="20"/>
                <w:szCs w:val="20"/>
              </w:rPr>
              <w:t xml:space="preserve"> involves </w:t>
            </w:r>
            <w:r w:rsidR="00EC2E4F">
              <w:rPr>
                <w:rFonts w:ascii="Arial" w:hAnsi="Arial" w:cs="Arial"/>
                <w:sz w:val="20"/>
                <w:szCs w:val="20"/>
              </w:rPr>
              <w:t xml:space="preserve">obtaining </w:t>
            </w:r>
            <w:r w:rsidR="00990B81">
              <w:rPr>
                <w:rFonts w:ascii="Arial" w:hAnsi="Arial" w:cs="Arial"/>
                <w:sz w:val="20"/>
                <w:szCs w:val="20"/>
              </w:rPr>
              <w:t>samples</w:t>
            </w:r>
            <w:r w:rsidR="00EC2E4F">
              <w:rPr>
                <w:rFonts w:ascii="Arial" w:hAnsi="Arial" w:cs="Arial"/>
                <w:sz w:val="20"/>
                <w:szCs w:val="20"/>
              </w:rPr>
              <w:t xml:space="preserve"> from the recipient and donor prior to transplant</w:t>
            </w:r>
            <w:r w:rsidR="00F91ED8">
              <w:rPr>
                <w:rFonts w:ascii="Arial" w:hAnsi="Arial" w:cs="Arial"/>
                <w:sz w:val="20"/>
                <w:szCs w:val="20"/>
              </w:rPr>
              <w:t xml:space="preserve">.  </w:t>
            </w:r>
            <w:r w:rsidR="00397DFF">
              <w:rPr>
                <w:rFonts w:ascii="Arial" w:hAnsi="Arial" w:cs="Arial"/>
                <w:sz w:val="20"/>
                <w:szCs w:val="20"/>
              </w:rPr>
              <w:t xml:space="preserve">Specific loci </w:t>
            </w:r>
            <w:proofErr w:type="gramStart"/>
            <w:r w:rsidR="00397DFF">
              <w:rPr>
                <w:rFonts w:ascii="Arial" w:hAnsi="Arial" w:cs="Arial"/>
                <w:sz w:val="20"/>
                <w:szCs w:val="20"/>
              </w:rPr>
              <w:t>are compared</w:t>
            </w:r>
            <w:proofErr w:type="gramEnd"/>
            <w:r w:rsidR="00EC2E4F">
              <w:rPr>
                <w:rFonts w:ascii="Arial" w:hAnsi="Arial" w:cs="Arial"/>
                <w:sz w:val="20"/>
                <w:szCs w:val="20"/>
              </w:rPr>
              <w:t xml:space="preserve"> to determine which loci contain VNTRs unique to the donor</w:t>
            </w:r>
            <w:r w:rsidR="00F91ED8">
              <w:rPr>
                <w:rFonts w:ascii="Arial" w:hAnsi="Arial" w:cs="Arial"/>
                <w:sz w:val="20"/>
                <w:szCs w:val="20"/>
              </w:rPr>
              <w:t xml:space="preserve">.  </w:t>
            </w:r>
            <w:r w:rsidR="00EC2E4F">
              <w:rPr>
                <w:rFonts w:ascii="Arial" w:hAnsi="Arial" w:cs="Arial"/>
                <w:sz w:val="20"/>
                <w:szCs w:val="20"/>
              </w:rPr>
              <w:t>After transplant,</w:t>
            </w:r>
            <w:r w:rsidR="00990B81">
              <w:rPr>
                <w:rFonts w:ascii="Arial" w:hAnsi="Arial" w:cs="Arial"/>
                <w:sz w:val="20"/>
                <w:szCs w:val="20"/>
              </w:rPr>
              <w:t xml:space="preserve"> DNA is isolated from recipient samples</w:t>
            </w:r>
            <w:r w:rsidR="00F91ED8">
              <w:rPr>
                <w:rFonts w:ascii="Arial" w:hAnsi="Arial" w:cs="Arial"/>
                <w:sz w:val="20"/>
                <w:szCs w:val="20"/>
              </w:rPr>
              <w:t xml:space="preserve">.  </w:t>
            </w:r>
            <w:r w:rsidR="00397DFF">
              <w:rPr>
                <w:rFonts w:ascii="Arial" w:hAnsi="Arial" w:cs="Arial"/>
                <w:sz w:val="20"/>
                <w:szCs w:val="20"/>
              </w:rPr>
              <w:t>Donor</w:t>
            </w:r>
            <w:r w:rsidR="00EC2E4F">
              <w:rPr>
                <w:rFonts w:ascii="Arial" w:hAnsi="Arial" w:cs="Arial"/>
                <w:sz w:val="20"/>
                <w:szCs w:val="20"/>
              </w:rPr>
              <w:t xml:space="preserve">-specific VNTRs </w:t>
            </w:r>
            <w:proofErr w:type="gramStart"/>
            <w:r w:rsidR="00EC2E4F">
              <w:rPr>
                <w:rFonts w:ascii="Arial" w:hAnsi="Arial" w:cs="Arial"/>
                <w:sz w:val="20"/>
                <w:szCs w:val="20"/>
              </w:rPr>
              <w:t>are amplified</w:t>
            </w:r>
            <w:proofErr w:type="gramEnd"/>
            <w:r w:rsidR="00CB5FF4">
              <w:rPr>
                <w:rFonts w:ascii="Arial" w:hAnsi="Arial" w:cs="Arial"/>
                <w:sz w:val="20"/>
                <w:szCs w:val="20"/>
              </w:rPr>
              <w:t xml:space="preserve"> by</w:t>
            </w:r>
            <w:r w:rsidR="00B41183">
              <w:rPr>
                <w:rFonts w:ascii="Arial" w:hAnsi="Arial" w:cs="Arial"/>
                <w:sz w:val="20"/>
                <w:szCs w:val="20"/>
              </w:rPr>
              <w:t xml:space="preserve"> PCR techniques</w:t>
            </w:r>
            <w:r w:rsidR="00F91ED8">
              <w:rPr>
                <w:rFonts w:ascii="Arial" w:hAnsi="Arial" w:cs="Arial"/>
                <w:sz w:val="20"/>
                <w:szCs w:val="20"/>
              </w:rPr>
              <w:t xml:space="preserve">.  </w:t>
            </w:r>
            <w:r w:rsidR="00EC2E4F">
              <w:rPr>
                <w:rFonts w:ascii="Arial" w:hAnsi="Arial" w:cs="Arial"/>
                <w:sz w:val="20"/>
                <w:szCs w:val="20"/>
              </w:rPr>
              <w:t xml:space="preserve">The sample is then analyzed to determine the </w:t>
            </w:r>
            <w:r w:rsidR="00EC2E4F" w:rsidRPr="00EC2E4F">
              <w:rPr>
                <w:rFonts w:ascii="Arial" w:hAnsi="Arial" w:cs="Arial"/>
                <w:b/>
                <w:sz w:val="20"/>
                <w:szCs w:val="20"/>
              </w:rPr>
              <w:t>percent</w:t>
            </w:r>
            <w:r w:rsidR="00EC2E4F">
              <w:rPr>
                <w:rFonts w:ascii="Arial" w:hAnsi="Arial" w:cs="Arial"/>
                <w:sz w:val="20"/>
                <w:szCs w:val="20"/>
              </w:rPr>
              <w:t xml:space="preserve"> donor DNA present.</w:t>
            </w:r>
          </w:p>
        </w:tc>
      </w:tr>
      <w:tr w:rsidR="00F44B3F" w:rsidRPr="00AB2E10" w14:paraId="496FE7DD" w14:textId="77777777" w:rsidTr="00676E4B">
        <w:tc>
          <w:tcPr>
            <w:tcW w:w="2635" w:type="dxa"/>
          </w:tcPr>
          <w:p w14:paraId="7F8120E4" w14:textId="769ECB78" w:rsidR="00F44B3F" w:rsidRDefault="00EC2E4F" w:rsidP="00EC2E4F">
            <w:pPr>
              <w:pStyle w:val="ListParagraph"/>
              <w:ind w:left="0"/>
              <w:rPr>
                <w:rFonts w:ascii="Arial" w:hAnsi="Arial" w:cs="Arial"/>
                <w:sz w:val="20"/>
                <w:szCs w:val="20"/>
              </w:rPr>
            </w:pPr>
            <w:r>
              <w:rPr>
                <w:rFonts w:ascii="Arial" w:hAnsi="Arial" w:cs="Arial"/>
                <w:sz w:val="20"/>
                <w:szCs w:val="20"/>
              </w:rPr>
              <w:t>Small tandem repeat (STR), micro- or minisatellite</w:t>
            </w:r>
          </w:p>
        </w:tc>
        <w:tc>
          <w:tcPr>
            <w:tcW w:w="7027" w:type="dxa"/>
          </w:tcPr>
          <w:p w14:paraId="17D7B60E" w14:textId="5A432DD6" w:rsidR="00F44B3F" w:rsidRDefault="00990B81" w:rsidP="00B41183">
            <w:pPr>
              <w:rPr>
                <w:rFonts w:ascii="Arial" w:hAnsi="Arial" w:cs="Arial"/>
                <w:sz w:val="20"/>
                <w:szCs w:val="20"/>
              </w:rPr>
            </w:pPr>
            <w:r>
              <w:rPr>
                <w:rFonts w:ascii="Arial" w:hAnsi="Arial" w:cs="Arial"/>
                <w:sz w:val="20"/>
                <w:szCs w:val="20"/>
              </w:rPr>
              <w:t xml:space="preserve">STR </w:t>
            </w:r>
            <w:r w:rsidR="00B41183">
              <w:rPr>
                <w:rFonts w:ascii="Arial" w:hAnsi="Arial" w:cs="Arial"/>
                <w:sz w:val="20"/>
                <w:szCs w:val="20"/>
              </w:rPr>
              <w:t xml:space="preserve">also </w:t>
            </w:r>
            <w:r>
              <w:rPr>
                <w:rFonts w:ascii="Arial" w:hAnsi="Arial" w:cs="Arial"/>
                <w:sz w:val="20"/>
                <w:szCs w:val="20"/>
              </w:rPr>
              <w:t>refers to a portion of DNA containing a repeating sequence of base pairs (micro- or minisatellite)</w:t>
            </w:r>
            <w:r w:rsidR="00F91ED8">
              <w:rPr>
                <w:rFonts w:ascii="Arial" w:hAnsi="Arial" w:cs="Arial"/>
                <w:sz w:val="20"/>
                <w:szCs w:val="20"/>
              </w:rPr>
              <w:t xml:space="preserve">.  </w:t>
            </w:r>
            <w:r>
              <w:rPr>
                <w:rFonts w:ascii="Arial" w:hAnsi="Arial" w:cs="Arial"/>
                <w:sz w:val="20"/>
                <w:szCs w:val="20"/>
              </w:rPr>
              <w:t>The number of times a micro- or minisatellite repeats within specific loci can differ between individuals</w:t>
            </w:r>
            <w:r w:rsidR="00F91ED8">
              <w:rPr>
                <w:rFonts w:ascii="Arial" w:hAnsi="Arial" w:cs="Arial"/>
                <w:sz w:val="20"/>
                <w:szCs w:val="20"/>
              </w:rPr>
              <w:t xml:space="preserve">.  </w:t>
            </w:r>
            <w:r>
              <w:rPr>
                <w:rFonts w:ascii="Arial" w:hAnsi="Arial" w:cs="Arial"/>
                <w:sz w:val="20"/>
                <w:szCs w:val="20"/>
              </w:rPr>
              <w:t xml:space="preserve">These differences </w:t>
            </w:r>
            <w:proofErr w:type="gramStart"/>
            <w:r>
              <w:rPr>
                <w:rFonts w:ascii="Arial" w:hAnsi="Arial" w:cs="Arial"/>
                <w:sz w:val="20"/>
                <w:szCs w:val="20"/>
              </w:rPr>
              <w:t>are used</w:t>
            </w:r>
            <w:proofErr w:type="gramEnd"/>
            <w:r>
              <w:rPr>
                <w:rFonts w:ascii="Arial" w:hAnsi="Arial" w:cs="Arial"/>
                <w:sz w:val="20"/>
                <w:szCs w:val="20"/>
              </w:rPr>
              <w:t xml:space="preserve"> to distinguish donor DNA from recipient DNA</w:t>
            </w:r>
            <w:r w:rsidR="00F91ED8">
              <w:rPr>
                <w:rFonts w:ascii="Arial" w:hAnsi="Arial" w:cs="Arial"/>
                <w:sz w:val="20"/>
                <w:szCs w:val="20"/>
              </w:rPr>
              <w:t xml:space="preserve">.  </w:t>
            </w:r>
            <w:r>
              <w:rPr>
                <w:rFonts w:ascii="Arial" w:hAnsi="Arial" w:cs="Arial"/>
                <w:sz w:val="20"/>
                <w:szCs w:val="20"/>
              </w:rPr>
              <w:t>STR testing involves obtaining samples from the recipient and donor prior to transplant</w:t>
            </w:r>
            <w:r w:rsidR="00F91ED8">
              <w:rPr>
                <w:rFonts w:ascii="Arial" w:hAnsi="Arial" w:cs="Arial"/>
                <w:sz w:val="20"/>
                <w:szCs w:val="20"/>
              </w:rPr>
              <w:t xml:space="preserve">.  </w:t>
            </w:r>
            <w:r>
              <w:rPr>
                <w:rFonts w:ascii="Arial" w:hAnsi="Arial" w:cs="Arial"/>
                <w:sz w:val="20"/>
                <w:szCs w:val="20"/>
              </w:rPr>
              <w:t xml:space="preserve">Specific loci </w:t>
            </w:r>
            <w:proofErr w:type="gramStart"/>
            <w:r>
              <w:rPr>
                <w:rFonts w:ascii="Arial" w:hAnsi="Arial" w:cs="Arial"/>
                <w:sz w:val="20"/>
                <w:szCs w:val="20"/>
              </w:rPr>
              <w:t>are compared</w:t>
            </w:r>
            <w:proofErr w:type="gramEnd"/>
            <w:r>
              <w:rPr>
                <w:rFonts w:ascii="Arial" w:hAnsi="Arial" w:cs="Arial"/>
                <w:sz w:val="20"/>
                <w:szCs w:val="20"/>
              </w:rPr>
              <w:t xml:space="preserve"> to determine which loci contain STRs unique to the donor</w:t>
            </w:r>
            <w:r w:rsidR="00F91ED8">
              <w:rPr>
                <w:rFonts w:ascii="Arial" w:hAnsi="Arial" w:cs="Arial"/>
                <w:sz w:val="20"/>
                <w:szCs w:val="20"/>
              </w:rPr>
              <w:t xml:space="preserve">.  </w:t>
            </w:r>
            <w:r>
              <w:rPr>
                <w:rFonts w:ascii="Arial" w:hAnsi="Arial" w:cs="Arial"/>
                <w:sz w:val="20"/>
                <w:szCs w:val="20"/>
              </w:rPr>
              <w:t>After transplant, DNA is isolated from recipient samples</w:t>
            </w:r>
            <w:r w:rsidR="00F91ED8">
              <w:rPr>
                <w:rFonts w:ascii="Arial" w:hAnsi="Arial" w:cs="Arial"/>
                <w:sz w:val="20"/>
                <w:szCs w:val="20"/>
              </w:rPr>
              <w:t xml:space="preserve">.  </w:t>
            </w:r>
            <w:r>
              <w:rPr>
                <w:rFonts w:ascii="Arial" w:hAnsi="Arial" w:cs="Arial"/>
                <w:sz w:val="20"/>
                <w:szCs w:val="20"/>
              </w:rPr>
              <w:t xml:space="preserve">Donor-specific STRs </w:t>
            </w:r>
            <w:proofErr w:type="gramStart"/>
            <w:r>
              <w:rPr>
                <w:rFonts w:ascii="Arial" w:hAnsi="Arial" w:cs="Arial"/>
                <w:sz w:val="20"/>
                <w:szCs w:val="20"/>
              </w:rPr>
              <w:t>are amplified</w:t>
            </w:r>
            <w:proofErr w:type="gramEnd"/>
            <w:r>
              <w:rPr>
                <w:rFonts w:ascii="Arial" w:hAnsi="Arial" w:cs="Arial"/>
                <w:sz w:val="20"/>
                <w:szCs w:val="20"/>
              </w:rPr>
              <w:t xml:space="preserve"> by</w:t>
            </w:r>
            <w:r w:rsidR="00B41183">
              <w:rPr>
                <w:rFonts w:ascii="Arial" w:hAnsi="Arial" w:cs="Arial"/>
                <w:sz w:val="20"/>
                <w:szCs w:val="20"/>
              </w:rPr>
              <w:t xml:space="preserve"> PCR techniques</w:t>
            </w:r>
            <w:r w:rsidR="00F91ED8">
              <w:rPr>
                <w:rFonts w:ascii="Arial" w:hAnsi="Arial" w:cs="Arial"/>
                <w:sz w:val="20"/>
                <w:szCs w:val="20"/>
              </w:rPr>
              <w:t xml:space="preserve">.  </w:t>
            </w:r>
            <w:r>
              <w:rPr>
                <w:rFonts w:ascii="Arial" w:hAnsi="Arial" w:cs="Arial"/>
                <w:sz w:val="20"/>
                <w:szCs w:val="20"/>
              </w:rPr>
              <w:t xml:space="preserve">The sample is then analyzed to determine the </w:t>
            </w:r>
            <w:r w:rsidRPr="00EC2E4F">
              <w:rPr>
                <w:rFonts w:ascii="Arial" w:hAnsi="Arial" w:cs="Arial"/>
                <w:b/>
                <w:sz w:val="20"/>
                <w:szCs w:val="20"/>
              </w:rPr>
              <w:t>percent</w:t>
            </w:r>
            <w:r>
              <w:rPr>
                <w:rFonts w:ascii="Arial" w:hAnsi="Arial" w:cs="Arial"/>
                <w:sz w:val="20"/>
                <w:szCs w:val="20"/>
              </w:rPr>
              <w:t xml:space="preserve"> donor DNA present.</w:t>
            </w:r>
          </w:p>
        </w:tc>
      </w:tr>
      <w:tr w:rsidR="00990B81" w:rsidRPr="00AB2E10" w14:paraId="5A47CB4C" w14:textId="77777777" w:rsidTr="00676E4B">
        <w:tc>
          <w:tcPr>
            <w:tcW w:w="2635" w:type="dxa"/>
          </w:tcPr>
          <w:p w14:paraId="686CF287" w14:textId="0F67EA4E" w:rsidR="00990B81" w:rsidRDefault="00990B81" w:rsidP="00990B81">
            <w:pPr>
              <w:pStyle w:val="ListParagraph"/>
              <w:ind w:left="0"/>
              <w:rPr>
                <w:rFonts w:ascii="Arial" w:hAnsi="Arial" w:cs="Arial"/>
                <w:sz w:val="20"/>
                <w:szCs w:val="20"/>
              </w:rPr>
            </w:pPr>
            <w:r>
              <w:rPr>
                <w:rFonts w:ascii="Arial" w:hAnsi="Arial" w:cs="Arial"/>
                <w:sz w:val="20"/>
                <w:szCs w:val="20"/>
              </w:rPr>
              <w:t>Amplified fragment length polymorphisms (AFLP)</w:t>
            </w:r>
          </w:p>
        </w:tc>
        <w:tc>
          <w:tcPr>
            <w:tcW w:w="7027" w:type="dxa"/>
          </w:tcPr>
          <w:p w14:paraId="36A104F4" w14:textId="22055C0F" w:rsidR="00990B81" w:rsidRPr="00B41183" w:rsidRDefault="00B41183" w:rsidP="00990B81">
            <w:pPr>
              <w:rPr>
                <w:rFonts w:ascii="Arial" w:hAnsi="Arial" w:cs="Arial"/>
                <w:i/>
                <w:sz w:val="20"/>
                <w:szCs w:val="20"/>
              </w:rPr>
            </w:pPr>
            <w:r>
              <w:rPr>
                <w:rFonts w:ascii="Arial" w:hAnsi="Arial" w:cs="Arial"/>
                <w:sz w:val="20"/>
                <w:szCs w:val="20"/>
              </w:rPr>
              <w:t xml:space="preserve">A restriction fragment is a portion of </w:t>
            </w:r>
            <w:proofErr w:type="gramStart"/>
            <w:r>
              <w:rPr>
                <w:rFonts w:ascii="Arial" w:hAnsi="Arial" w:cs="Arial"/>
                <w:sz w:val="20"/>
                <w:szCs w:val="20"/>
              </w:rPr>
              <w:t>DNA which</w:t>
            </w:r>
            <w:proofErr w:type="gramEnd"/>
            <w:r>
              <w:rPr>
                <w:rFonts w:ascii="Arial" w:hAnsi="Arial" w:cs="Arial"/>
                <w:sz w:val="20"/>
                <w:szCs w:val="20"/>
              </w:rPr>
              <w:t xml:space="preserve"> has been cut out by an enzyme</w:t>
            </w:r>
            <w:r w:rsidR="00F91ED8">
              <w:rPr>
                <w:rFonts w:ascii="Arial" w:hAnsi="Arial" w:cs="Arial"/>
                <w:sz w:val="20"/>
                <w:szCs w:val="20"/>
              </w:rPr>
              <w:t xml:space="preserve">.  </w:t>
            </w:r>
            <w:r>
              <w:rPr>
                <w:rFonts w:ascii="Arial" w:hAnsi="Arial" w:cs="Arial"/>
                <w:sz w:val="20"/>
                <w:szCs w:val="20"/>
              </w:rPr>
              <w:t>AFLP testing begins by isolating DNA from the sample</w:t>
            </w:r>
            <w:r w:rsidR="00F91ED8">
              <w:rPr>
                <w:rFonts w:ascii="Arial" w:hAnsi="Arial" w:cs="Arial"/>
                <w:sz w:val="20"/>
                <w:szCs w:val="20"/>
              </w:rPr>
              <w:t xml:space="preserve">.  </w:t>
            </w:r>
            <w:r>
              <w:rPr>
                <w:rFonts w:ascii="Arial" w:hAnsi="Arial" w:cs="Arial"/>
                <w:sz w:val="20"/>
                <w:szCs w:val="20"/>
              </w:rPr>
              <w:t xml:space="preserve">Enzymes </w:t>
            </w:r>
            <w:proofErr w:type="gramStart"/>
            <w:r>
              <w:rPr>
                <w:rFonts w:ascii="Arial" w:hAnsi="Arial" w:cs="Arial"/>
                <w:sz w:val="20"/>
                <w:szCs w:val="20"/>
              </w:rPr>
              <w:t>are used</w:t>
            </w:r>
            <w:proofErr w:type="gramEnd"/>
            <w:r>
              <w:rPr>
                <w:rFonts w:ascii="Arial" w:hAnsi="Arial" w:cs="Arial"/>
                <w:sz w:val="20"/>
                <w:szCs w:val="20"/>
              </w:rPr>
              <w:t xml:space="preserve"> to cut the DNA at specific loci resulting in many unique restriction </w:t>
            </w:r>
            <w:r>
              <w:rPr>
                <w:rFonts w:ascii="Arial" w:hAnsi="Arial" w:cs="Arial"/>
                <w:sz w:val="20"/>
                <w:szCs w:val="20"/>
              </w:rPr>
              <w:lastRenderedPageBreak/>
              <w:t>fragments</w:t>
            </w:r>
            <w:r w:rsidR="00F91ED8">
              <w:rPr>
                <w:rFonts w:ascii="Arial" w:hAnsi="Arial" w:cs="Arial"/>
                <w:sz w:val="20"/>
                <w:szCs w:val="20"/>
              </w:rPr>
              <w:t xml:space="preserve">.  </w:t>
            </w:r>
            <w:r>
              <w:rPr>
                <w:rFonts w:ascii="Arial" w:hAnsi="Arial" w:cs="Arial"/>
                <w:sz w:val="20"/>
                <w:szCs w:val="20"/>
              </w:rPr>
              <w:t xml:space="preserve">Many restrictions fragments are amplified using PCR techniques. The fragments </w:t>
            </w:r>
            <w:proofErr w:type="gramStart"/>
            <w:r>
              <w:rPr>
                <w:rFonts w:ascii="Arial" w:hAnsi="Arial" w:cs="Arial"/>
                <w:sz w:val="20"/>
                <w:szCs w:val="20"/>
              </w:rPr>
              <w:t>are separated</w:t>
            </w:r>
            <w:proofErr w:type="gramEnd"/>
            <w:r>
              <w:rPr>
                <w:rFonts w:ascii="Arial" w:hAnsi="Arial" w:cs="Arial"/>
                <w:sz w:val="20"/>
                <w:szCs w:val="20"/>
              </w:rPr>
              <w:t xml:space="preserve"> according to size by electrophoresis</w:t>
            </w:r>
            <w:r w:rsidR="00F91ED8">
              <w:rPr>
                <w:rFonts w:ascii="Arial" w:hAnsi="Arial" w:cs="Arial"/>
                <w:sz w:val="20"/>
                <w:szCs w:val="20"/>
              </w:rPr>
              <w:t xml:space="preserve">.  </w:t>
            </w:r>
            <w:r>
              <w:rPr>
                <w:rFonts w:ascii="Arial" w:hAnsi="Arial" w:cs="Arial"/>
                <w:sz w:val="20"/>
                <w:szCs w:val="20"/>
              </w:rPr>
              <w:t xml:space="preserve">The unique pattern of separation </w:t>
            </w:r>
            <w:proofErr w:type="gramStart"/>
            <w:r>
              <w:rPr>
                <w:rFonts w:ascii="Arial" w:hAnsi="Arial" w:cs="Arial"/>
                <w:sz w:val="20"/>
                <w:szCs w:val="20"/>
              </w:rPr>
              <w:t>is used</w:t>
            </w:r>
            <w:proofErr w:type="gramEnd"/>
            <w:r>
              <w:rPr>
                <w:rFonts w:ascii="Arial" w:hAnsi="Arial" w:cs="Arial"/>
                <w:sz w:val="20"/>
                <w:szCs w:val="20"/>
              </w:rPr>
              <w:t xml:space="preserve"> to identify the </w:t>
            </w:r>
            <w:r w:rsidRPr="00667EDE">
              <w:rPr>
                <w:rFonts w:ascii="Arial" w:hAnsi="Arial" w:cs="Arial"/>
                <w:b/>
                <w:sz w:val="20"/>
                <w:szCs w:val="20"/>
              </w:rPr>
              <w:t>percent</w:t>
            </w:r>
            <w:r>
              <w:rPr>
                <w:rFonts w:ascii="Arial" w:hAnsi="Arial" w:cs="Arial"/>
                <w:sz w:val="20"/>
                <w:szCs w:val="20"/>
              </w:rPr>
              <w:t xml:space="preserve"> donor DNA present in the sample</w:t>
            </w:r>
            <w:r w:rsidR="00F91ED8">
              <w:rPr>
                <w:rFonts w:ascii="Arial" w:hAnsi="Arial" w:cs="Arial"/>
                <w:sz w:val="20"/>
                <w:szCs w:val="20"/>
              </w:rPr>
              <w:t xml:space="preserve">.  </w:t>
            </w:r>
            <w:r>
              <w:rPr>
                <w:rFonts w:ascii="Arial" w:hAnsi="Arial" w:cs="Arial"/>
                <w:i/>
                <w:sz w:val="20"/>
                <w:szCs w:val="20"/>
              </w:rPr>
              <w:t>Report AFLP testing using the VNTR/STR method option on the 2450 form.</w:t>
            </w:r>
          </w:p>
        </w:tc>
      </w:tr>
    </w:tbl>
    <w:p w14:paraId="20AF13EE" w14:textId="77777777" w:rsidR="00C146B2" w:rsidRDefault="00C146B2" w:rsidP="00D17B36">
      <w:pPr>
        <w:rPr>
          <w:rFonts w:ascii="Arial" w:hAnsi="Arial" w:cs="Arial"/>
          <w:b/>
          <w:color w:val="FFFFFF" w:themeColor="background1"/>
          <w:sz w:val="28"/>
          <w:szCs w:val="28"/>
        </w:rPr>
      </w:pPr>
    </w:p>
    <w:p w14:paraId="6A822D15" w14:textId="132214B6" w:rsidR="00770BD6" w:rsidRDefault="00D17B36" w:rsidP="00945292">
      <w:pPr>
        <w:pStyle w:val="Heading1"/>
        <w:rPr>
          <w:b w:val="0"/>
          <w:highlight w:val="yellow"/>
        </w:rPr>
      </w:pPr>
      <w:bookmarkStart w:id="12" w:name="_Toc450570840"/>
      <w:r>
        <w:t>Disease Assessment at the Time of Best Response to HCT</w:t>
      </w:r>
      <w:bookmarkEnd w:id="12"/>
    </w:p>
    <w:p w14:paraId="2825D7F7" w14:textId="77777777" w:rsidR="00945292" w:rsidRDefault="00945292" w:rsidP="008903E5">
      <w:pPr>
        <w:autoSpaceDE w:val="0"/>
        <w:autoSpaceDN w:val="0"/>
        <w:adjustRightInd w:val="0"/>
        <w:rPr>
          <w:rFonts w:ascii="Arial" w:hAnsi="Arial" w:cs="Arial"/>
        </w:rPr>
      </w:pPr>
    </w:p>
    <w:p w14:paraId="1F087FA8" w14:textId="76D5E86F" w:rsidR="008903E5" w:rsidRPr="00143B43" w:rsidRDefault="008903E5" w:rsidP="008903E5">
      <w:pPr>
        <w:autoSpaceDE w:val="0"/>
        <w:autoSpaceDN w:val="0"/>
        <w:adjustRightInd w:val="0"/>
        <w:rPr>
          <w:rFonts w:ascii="Arial" w:hAnsi="Arial" w:cs="Arial"/>
        </w:rPr>
      </w:pPr>
      <w:r w:rsidRPr="00143B43">
        <w:rPr>
          <w:rFonts w:ascii="Arial" w:hAnsi="Arial" w:cs="Arial"/>
        </w:rPr>
        <w:t xml:space="preserve">This section collects the data known as “best response to transplant.” </w:t>
      </w:r>
      <w:r w:rsidRPr="00143B43">
        <w:rPr>
          <w:rFonts w:ascii="Arial" w:hAnsi="Arial" w:cs="Arial"/>
          <w:b/>
          <w:bCs/>
        </w:rPr>
        <w:t xml:space="preserve">The purpose of this section is to report the recipient’s best response to the planned course of the </w:t>
      </w:r>
      <w:r w:rsidR="00AF4E5A" w:rsidRPr="00143B43">
        <w:rPr>
          <w:rFonts w:ascii="Arial" w:hAnsi="Arial" w:cs="Arial"/>
          <w:b/>
          <w:bCs/>
        </w:rPr>
        <w:t>HCT</w:t>
      </w:r>
      <w:r w:rsidR="00F91ED8">
        <w:rPr>
          <w:rFonts w:ascii="Arial" w:hAnsi="Arial" w:cs="Arial"/>
          <w:b/>
          <w:bCs/>
        </w:rPr>
        <w:t xml:space="preserve">.  </w:t>
      </w:r>
      <w:r w:rsidRPr="00143B43">
        <w:rPr>
          <w:rFonts w:ascii="Arial" w:hAnsi="Arial" w:cs="Arial"/>
        </w:rPr>
        <w:t>This</w:t>
      </w:r>
      <w:r w:rsidR="00143B43" w:rsidRPr="00143B43">
        <w:rPr>
          <w:rFonts w:ascii="Arial" w:hAnsi="Arial" w:cs="Arial"/>
        </w:rPr>
        <w:t xml:space="preserve"> includes response to any therapy given for post-HCT maintenance or consolidation, but</w:t>
      </w:r>
      <w:r w:rsidRPr="00143B43">
        <w:rPr>
          <w:rFonts w:ascii="Arial" w:hAnsi="Arial" w:cs="Arial"/>
        </w:rPr>
        <w:t xml:space="preserve"> does not include</w:t>
      </w:r>
      <w:r w:rsidR="00143B43" w:rsidRPr="00143B43">
        <w:rPr>
          <w:rFonts w:ascii="Arial" w:hAnsi="Arial" w:cs="Arial"/>
        </w:rPr>
        <w:t xml:space="preserve"> response to</w:t>
      </w:r>
      <w:r w:rsidRPr="00143B43">
        <w:rPr>
          <w:rFonts w:ascii="Arial" w:hAnsi="Arial" w:cs="Arial"/>
        </w:rPr>
        <w:t xml:space="preserve"> treatment given for relapsed or persistent disease that was not planned before the </w:t>
      </w:r>
      <w:r w:rsidR="00AF4E5A" w:rsidRPr="00143B43">
        <w:rPr>
          <w:rFonts w:ascii="Arial" w:hAnsi="Arial" w:cs="Arial"/>
        </w:rPr>
        <w:t>HCT</w:t>
      </w:r>
      <w:r w:rsidRPr="00143B43">
        <w:rPr>
          <w:rFonts w:ascii="Arial" w:hAnsi="Arial" w:cs="Arial"/>
        </w:rPr>
        <w:t xml:space="preserve"> was executed</w:t>
      </w:r>
      <w:r w:rsidR="00F91ED8">
        <w:rPr>
          <w:rFonts w:ascii="Arial" w:hAnsi="Arial" w:cs="Arial"/>
        </w:rPr>
        <w:t xml:space="preserve">.  </w:t>
      </w:r>
      <w:r w:rsidRPr="00143B43">
        <w:rPr>
          <w:rFonts w:ascii="Arial" w:hAnsi="Arial" w:cs="Arial"/>
        </w:rPr>
        <w:t xml:space="preserve">Best response </w:t>
      </w:r>
      <w:proofErr w:type="gramStart"/>
      <w:r w:rsidRPr="00143B43">
        <w:rPr>
          <w:rFonts w:ascii="Arial" w:hAnsi="Arial" w:cs="Arial"/>
        </w:rPr>
        <w:t>is often achieved</w:t>
      </w:r>
      <w:proofErr w:type="gramEnd"/>
      <w:r w:rsidRPr="00143B43">
        <w:rPr>
          <w:rFonts w:ascii="Arial" w:hAnsi="Arial" w:cs="Arial"/>
        </w:rPr>
        <w:t xml:space="preserve"> in the first 100 days</w:t>
      </w:r>
      <w:r w:rsidR="00F91ED8">
        <w:rPr>
          <w:rFonts w:ascii="Arial" w:hAnsi="Arial" w:cs="Arial"/>
        </w:rPr>
        <w:t xml:space="preserve">.  </w:t>
      </w:r>
      <w:r w:rsidRPr="00143B43">
        <w:rPr>
          <w:rFonts w:ascii="Arial" w:hAnsi="Arial" w:cs="Arial"/>
        </w:rPr>
        <w:t xml:space="preserve">However, for some diseases such as multiple myeloma and CLL, the best response to </w:t>
      </w:r>
      <w:r w:rsidR="00AF4E5A" w:rsidRPr="00143B43">
        <w:rPr>
          <w:rFonts w:ascii="Arial" w:hAnsi="Arial" w:cs="Arial"/>
        </w:rPr>
        <w:t>HCT</w:t>
      </w:r>
      <w:r w:rsidRPr="00143B43">
        <w:rPr>
          <w:rFonts w:ascii="Arial" w:hAnsi="Arial" w:cs="Arial"/>
        </w:rPr>
        <w:t xml:space="preserve"> may take longer.</w:t>
      </w:r>
    </w:p>
    <w:p w14:paraId="241621A1" w14:textId="77777777" w:rsidR="008903E5" w:rsidRPr="00945292" w:rsidRDefault="008903E5" w:rsidP="008903E5">
      <w:pPr>
        <w:autoSpaceDE w:val="0"/>
        <w:autoSpaceDN w:val="0"/>
        <w:adjustRightInd w:val="0"/>
        <w:rPr>
          <w:rFonts w:ascii="Arial" w:hAnsi="Arial" w:cs="Arial"/>
          <w:highlight w:val="yellow"/>
        </w:rPr>
      </w:pPr>
    </w:p>
    <w:p w14:paraId="0014EFEA" w14:textId="06014AA8" w:rsidR="008903E5" w:rsidRDefault="008903E5" w:rsidP="008903E5">
      <w:pPr>
        <w:autoSpaceDE w:val="0"/>
        <w:autoSpaceDN w:val="0"/>
        <w:adjustRightInd w:val="0"/>
        <w:rPr>
          <w:rFonts w:ascii="Arial" w:hAnsi="Arial" w:cs="Arial"/>
        </w:rPr>
      </w:pPr>
      <w:r w:rsidRPr="00143B43">
        <w:rPr>
          <w:rFonts w:ascii="Arial" w:hAnsi="Arial" w:cs="Arial"/>
        </w:rPr>
        <w:t xml:space="preserve">If the recipient relapses/progresses and receives therapy for the disease relapse/progression, the response to that additional therapy </w:t>
      </w:r>
      <w:proofErr w:type="gramStart"/>
      <w:r w:rsidRPr="00143B43">
        <w:rPr>
          <w:rFonts w:ascii="Arial" w:hAnsi="Arial" w:cs="Arial"/>
        </w:rPr>
        <w:t xml:space="preserve">should </w:t>
      </w:r>
      <w:r w:rsidRPr="00143B43">
        <w:rPr>
          <w:rFonts w:ascii="Arial" w:hAnsi="Arial" w:cs="Arial"/>
          <w:b/>
        </w:rPr>
        <w:t>not</w:t>
      </w:r>
      <w:r w:rsidRPr="00143B43">
        <w:rPr>
          <w:rFonts w:ascii="Arial" w:hAnsi="Arial" w:cs="Arial"/>
        </w:rPr>
        <w:t xml:space="preserve"> be reported</w:t>
      </w:r>
      <w:proofErr w:type="gramEnd"/>
      <w:r w:rsidRPr="00143B43">
        <w:rPr>
          <w:rFonts w:ascii="Arial" w:hAnsi="Arial" w:cs="Arial"/>
        </w:rPr>
        <w:t xml:space="preserve"> in this section</w:t>
      </w:r>
      <w:r w:rsidR="00F91ED8">
        <w:rPr>
          <w:rFonts w:ascii="Arial" w:hAnsi="Arial" w:cs="Arial"/>
        </w:rPr>
        <w:t xml:space="preserve">.  </w:t>
      </w:r>
      <w:r w:rsidRPr="00143B43">
        <w:rPr>
          <w:rFonts w:ascii="Arial" w:hAnsi="Arial" w:cs="Arial"/>
        </w:rPr>
        <w:t>The best response prior to the relapse/</w:t>
      </w:r>
      <w:r w:rsidR="00143B43" w:rsidRPr="00143B43">
        <w:rPr>
          <w:rFonts w:ascii="Arial" w:hAnsi="Arial" w:cs="Arial"/>
        </w:rPr>
        <w:t xml:space="preserve">progression </w:t>
      </w:r>
      <w:proofErr w:type="gramStart"/>
      <w:r w:rsidR="00143B43" w:rsidRPr="00143B43">
        <w:rPr>
          <w:rFonts w:ascii="Arial" w:hAnsi="Arial" w:cs="Arial"/>
        </w:rPr>
        <w:t>should be reported</w:t>
      </w:r>
      <w:proofErr w:type="gramEnd"/>
      <w:r w:rsidR="00F91ED8">
        <w:rPr>
          <w:rFonts w:ascii="Arial" w:hAnsi="Arial" w:cs="Arial"/>
        </w:rPr>
        <w:t xml:space="preserve">.  </w:t>
      </w:r>
      <w:r w:rsidR="00143B43" w:rsidRPr="00143B43">
        <w:rPr>
          <w:rFonts w:ascii="Arial" w:hAnsi="Arial" w:cs="Arial"/>
        </w:rPr>
        <w:t>Reporting periods subsequent to that in which best response prior to the start of unplanned was reported will indicate that best response was previously reported.</w:t>
      </w:r>
    </w:p>
    <w:p w14:paraId="3E448FFE" w14:textId="77777777" w:rsidR="008903E5" w:rsidRDefault="008903E5" w:rsidP="008903E5">
      <w:pPr>
        <w:autoSpaceDE w:val="0"/>
        <w:autoSpaceDN w:val="0"/>
        <w:adjustRightInd w:val="0"/>
        <w:rPr>
          <w:rFonts w:ascii="Arial" w:hAnsi="Arial" w:cs="Arial"/>
        </w:rPr>
      </w:pPr>
      <w:r>
        <w:rPr>
          <w:rFonts w:ascii="Arial" w:hAnsi="Arial" w:cs="Arial"/>
          <w:noProof/>
        </w:rPr>
        <mc:AlternateContent>
          <mc:Choice Requires="wps">
            <w:drawing>
              <wp:anchor distT="0" distB="0" distL="114300" distR="114300" simplePos="0" relativeHeight="251691008" behindDoc="0" locked="0" layoutInCell="1" allowOverlap="1" wp14:anchorId="0B84830A" wp14:editId="0D36DFD0">
                <wp:simplePos x="0" y="0"/>
                <wp:positionH relativeFrom="margin">
                  <wp:align>right</wp:align>
                </wp:positionH>
                <wp:positionV relativeFrom="paragraph">
                  <wp:posOffset>85725</wp:posOffset>
                </wp:positionV>
                <wp:extent cx="5943600" cy="809625"/>
                <wp:effectExtent l="0" t="0" r="0" b="9525"/>
                <wp:wrapNone/>
                <wp:docPr id="70" name="Text Box 70"/>
                <wp:cNvGraphicFramePr/>
                <a:graphic xmlns:a="http://schemas.openxmlformats.org/drawingml/2006/main">
                  <a:graphicData uri="http://schemas.microsoft.com/office/word/2010/wordprocessingShape">
                    <wps:wsp>
                      <wps:cNvSpPr txBox="1"/>
                      <wps:spPr>
                        <a:xfrm>
                          <a:off x="0" y="0"/>
                          <a:ext cx="5943600" cy="809625"/>
                        </a:xfrm>
                        <a:prstGeom prst="rect">
                          <a:avLst/>
                        </a:prstGeom>
                        <a:solidFill>
                          <a:schemeClr val="accent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CE6F79C" w14:textId="02F7EA37" w:rsidR="00632864" w:rsidRPr="00837078" w:rsidRDefault="00632864" w:rsidP="008903E5">
                            <w:pPr>
                              <w:shd w:val="clear" w:color="auto" w:fill="63A70A" w:themeFill="accent2"/>
                              <w:jc w:val="center"/>
                              <w:rPr>
                                <w:rFonts w:ascii="Arial" w:hAnsi="Arial" w:cs="Arial"/>
                                <w:b/>
                                <w:color w:val="FFFFFF" w:themeColor="background1"/>
                              </w:rPr>
                            </w:pPr>
                            <w:r w:rsidRPr="00837078">
                              <w:rPr>
                                <w:rFonts w:ascii="Arial" w:hAnsi="Arial" w:cs="Arial"/>
                                <w:b/>
                                <w:color w:val="FFFFFF" w:themeColor="background1"/>
                              </w:rPr>
                              <w:t xml:space="preserve">Note: </w:t>
                            </w:r>
                            <w:r>
                              <w:rPr>
                                <w:rFonts w:ascii="Arial" w:hAnsi="Arial" w:cs="Arial"/>
                                <w:b/>
                                <w:color w:val="FFFFFF" w:themeColor="background1"/>
                              </w:rPr>
                              <w:t xml:space="preserve"> </w:t>
                            </w:r>
                            <w:r w:rsidRPr="00837078">
                              <w:rPr>
                                <w:rFonts w:ascii="Arial" w:hAnsi="Arial" w:cs="Arial"/>
                                <w:b/>
                                <w:color w:val="FFFFFF" w:themeColor="background1"/>
                              </w:rPr>
                              <w:t>Reporting Complete Remission (CR) Post-HCT</w:t>
                            </w:r>
                          </w:p>
                          <w:p w14:paraId="1E64963D" w14:textId="2DBEFBFD" w:rsidR="00632864" w:rsidRPr="00837078" w:rsidRDefault="00632864" w:rsidP="00837078">
                            <w:pPr>
                              <w:shd w:val="clear" w:color="auto" w:fill="63A70A" w:themeFill="accent2"/>
                              <w:rPr>
                                <w:rFonts w:ascii="Arial" w:hAnsi="Arial" w:cs="Arial"/>
                                <w:color w:val="FFFFFF" w:themeColor="background1"/>
                              </w:rPr>
                            </w:pPr>
                            <w:r>
                              <w:rPr>
                                <w:rFonts w:ascii="Arial" w:hAnsi="Arial" w:cs="Arial"/>
                                <w:color w:val="FFFFFF" w:themeColor="background1"/>
                              </w:rPr>
                              <w:t xml:space="preserve">Complete remission (CR) criteria vary by disease and are outlined in the CIBMTR Forms Instructions Manual. Please refer to the disease status criteria for the disease on which you are reporting.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0" o:spid="_x0000_s1035" type="#_x0000_t202" style="position:absolute;margin-left:416.8pt;margin-top:6.75pt;width:468pt;height:63.75pt;z-index:2516910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" fillcolor="#63a70a [3205]" stroked="f" strokeweight=".5pt">
                <v:textbox>
                  <w:txbxContent>
                    <w:p w14:paraId="5CE6F79C" w14:textId="02F7EA37" w:rsidR="00632864" w:rsidRPr="00837078" w:rsidRDefault="00632864" w:rsidP="008903E5">
                      <w:pPr>
                        <w:shd w:val="clear" w:color="auto" w:fill="63A70A" w:themeFill="accent2"/>
                        <w:jc w:val="center"/>
                        <w:rPr>
                          <w:rFonts w:ascii="Arial" w:hAnsi="Arial" w:cs="Arial"/>
                          <w:b/>
                          <w:color w:val="FFFFFF" w:themeColor="background1"/>
                        </w:rPr>
                      </w:pPr>
                      <w:r w:rsidRPr="00837078">
                        <w:rPr>
                          <w:rFonts w:ascii="Arial" w:hAnsi="Arial" w:cs="Arial"/>
                          <w:b/>
                          <w:color w:val="FFFFFF" w:themeColor="background1"/>
                        </w:rPr>
                        <w:t xml:space="preserve">Note: </w:t>
                      </w:r>
                      <w:r>
                        <w:rPr>
                          <w:rFonts w:ascii="Arial" w:hAnsi="Arial" w:cs="Arial"/>
                          <w:b/>
                          <w:color w:val="FFFFFF" w:themeColor="background1"/>
                        </w:rPr>
                        <w:t xml:space="preserve"> </w:t>
                      </w:r>
                      <w:r w:rsidRPr="00837078">
                        <w:rPr>
                          <w:rFonts w:ascii="Arial" w:hAnsi="Arial" w:cs="Arial"/>
                          <w:b/>
                          <w:color w:val="FFFFFF" w:themeColor="background1"/>
                        </w:rPr>
                        <w:t>Reporting Complete Remission (CR) Post-HCT</w:t>
                      </w:r>
                    </w:p>
                    <w:p w14:paraId="1E64963D" w14:textId="2DBEFBFD" w:rsidR="00632864" w:rsidRPr="00837078" w:rsidRDefault="00632864" w:rsidP="00837078">
                      <w:pPr>
                        <w:shd w:val="clear" w:color="auto" w:fill="63A70A" w:themeFill="accent2"/>
                        <w:rPr>
                          <w:rFonts w:ascii="Arial" w:hAnsi="Arial" w:cs="Arial"/>
                          <w:color w:val="FFFFFF" w:themeColor="background1"/>
                        </w:rPr>
                      </w:pPr>
                      <w:r>
                        <w:rPr>
                          <w:rFonts w:ascii="Arial" w:hAnsi="Arial" w:cs="Arial"/>
                          <w:color w:val="FFFFFF" w:themeColor="background1"/>
                        </w:rPr>
                        <w:t xml:space="preserve">Complete remission (CR) criteria vary by disease and are outlined in the CIBMTR Forms Instructions Manual. Please refer to the disease status criteria for the disease on which you are reporting. </w:t>
                      </w:r>
                    </w:p>
                  </w:txbxContent>
                </v:textbox>
                <w10:wrap anchorx="margin"/>
              </v:shape>
            </w:pict>
          </mc:Fallback>
        </mc:AlternateContent>
      </w:r>
    </w:p>
    <w:p w14:paraId="6754CEA7" w14:textId="77777777" w:rsidR="008903E5" w:rsidRDefault="008903E5" w:rsidP="008903E5">
      <w:pPr>
        <w:autoSpaceDE w:val="0"/>
        <w:autoSpaceDN w:val="0"/>
        <w:adjustRightInd w:val="0"/>
        <w:rPr>
          <w:rFonts w:ascii="Arial" w:hAnsi="Arial" w:cs="Arial"/>
        </w:rPr>
      </w:pPr>
    </w:p>
    <w:p w14:paraId="3B88B9CE" w14:textId="77777777" w:rsidR="008903E5" w:rsidRDefault="008903E5" w:rsidP="008903E5">
      <w:pPr>
        <w:autoSpaceDE w:val="0"/>
        <w:autoSpaceDN w:val="0"/>
        <w:adjustRightInd w:val="0"/>
        <w:rPr>
          <w:rFonts w:ascii="Arial" w:hAnsi="Arial" w:cs="Arial"/>
        </w:rPr>
      </w:pPr>
    </w:p>
    <w:p w14:paraId="074CE536" w14:textId="77777777" w:rsidR="008903E5" w:rsidRDefault="008903E5" w:rsidP="008903E5">
      <w:pPr>
        <w:autoSpaceDE w:val="0"/>
        <w:autoSpaceDN w:val="0"/>
        <w:adjustRightInd w:val="0"/>
        <w:rPr>
          <w:rFonts w:ascii="Arial" w:hAnsi="Arial" w:cs="Arial"/>
        </w:rPr>
      </w:pPr>
    </w:p>
    <w:p w14:paraId="2C020623" w14:textId="77777777" w:rsidR="008903E5" w:rsidRDefault="008903E5" w:rsidP="008903E5">
      <w:pPr>
        <w:autoSpaceDE w:val="0"/>
        <w:autoSpaceDN w:val="0"/>
        <w:adjustRightInd w:val="0"/>
        <w:rPr>
          <w:rFonts w:ascii="Arial" w:hAnsi="Arial" w:cs="Arial"/>
        </w:rPr>
      </w:pPr>
    </w:p>
    <w:p w14:paraId="219181BD" w14:textId="77777777" w:rsidR="008903E5" w:rsidRDefault="008903E5" w:rsidP="008903E5">
      <w:pPr>
        <w:autoSpaceDE w:val="0"/>
        <w:autoSpaceDN w:val="0"/>
        <w:adjustRightInd w:val="0"/>
        <w:rPr>
          <w:rFonts w:ascii="Arial" w:hAnsi="Arial" w:cs="Arial"/>
        </w:rPr>
      </w:pPr>
    </w:p>
    <w:p w14:paraId="662AFCAF" w14:textId="3492E8C0" w:rsidR="00770BD6" w:rsidRPr="000A7999" w:rsidRDefault="00770BD6" w:rsidP="0070747A">
      <w:pPr>
        <w:rPr>
          <w:rFonts w:ascii="Arial" w:hAnsi="Arial" w:cs="Arial"/>
          <w:b/>
        </w:rPr>
      </w:pPr>
      <w:r w:rsidRPr="000A7999">
        <w:rPr>
          <w:rFonts w:ascii="Arial" w:hAnsi="Arial" w:cs="Arial"/>
          <w:b/>
        </w:rPr>
        <w:t xml:space="preserve">Question 76: </w:t>
      </w:r>
      <w:r w:rsidR="00632864">
        <w:rPr>
          <w:rFonts w:ascii="Arial" w:hAnsi="Arial" w:cs="Arial"/>
          <w:b/>
        </w:rPr>
        <w:t xml:space="preserve"> </w:t>
      </w:r>
      <w:r w:rsidRPr="000A7999">
        <w:rPr>
          <w:rFonts w:ascii="Arial" w:hAnsi="Arial" w:cs="Arial"/>
          <w:b/>
        </w:rPr>
        <w:t>Compared to the disease status prior to the preparative regimen, what was the best response to HCT since the date of the last report</w:t>
      </w:r>
      <w:proofErr w:type="gramStart"/>
      <w:r w:rsidRPr="000A7999">
        <w:rPr>
          <w:rFonts w:ascii="Arial" w:hAnsi="Arial" w:cs="Arial"/>
          <w:b/>
        </w:rPr>
        <w:t xml:space="preserve">? </w:t>
      </w:r>
      <w:proofErr w:type="gramEnd"/>
      <w:r w:rsidRPr="000A7999">
        <w:rPr>
          <w:rFonts w:ascii="Arial" w:hAnsi="Arial" w:cs="Arial"/>
          <w:b/>
        </w:rPr>
        <w:t>(Include response to any therapy given for post-HCT maintenance or consolidation, but exclude any therapy given for relapsed, persistent, or progressive disease):</w:t>
      </w:r>
    </w:p>
    <w:p w14:paraId="1A2CBB4A" w14:textId="75954F3D" w:rsidR="00770BD6" w:rsidRPr="000A7999" w:rsidRDefault="00770BD6" w:rsidP="00770BD6">
      <w:pPr>
        <w:autoSpaceDE w:val="0"/>
        <w:autoSpaceDN w:val="0"/>
        <w:adjustRightInd w:val="0"/>
        <w:rPr>
          <w:rFonts w:ascii="Arial" w:hAnsi="Arial" w:cs="Arial"/>
        </w:rPr>
      </w:pPr>
      <w:r w:rsidRPr="000A7999">
        <w:rPr>
          <w:rFonts w:ascii="Arial" w:hAnsi="Arial" w:cs="Arial"/>
        </w:rPr>
        <w:t>If the recipient was already in CR at the start of the preparative regimen, check “</w:t>
      </w:r>
      <w:r w:rsidR="000A7999" w:rsidRPr="000A7999">
        <w:rPr>
          <w:rFonts w:ascii="Arial" w:hAnsi="Arial" w:cs="Arial"/>
        </w:rPr>
        <w:t>Continued complete remission (CCR)” and c</w:t>
      </w:r>
      <w:r w:rsidR="009F7874">
        <w:rPr>
          <w:rFonts w:ascii="Arial" w:hAnsi="Arial" w:cs="Arial"/>
        </w:rPr>
        <w:t>ontinue with question 99</w:t>
      </w:r>
      <w:r w:rsidR="000A7999" w:rsidRPr="000A7999">
        <w:rPr>
          <w:rFonts w:ascii="Arial" w:hAnsi="Arial" w:cs="Arial"/>
        </w:rPr>
        <w:t>.</w:t>
      </w:r>
    </w:p>
    <w:p w14:paraId="4119C712" w14:textId="77777777" w:rsidR="00770BD6" w:rsidRPr="00143B43" w:rsidRDefault="00770BD6" w:rsidP="00770BD6">
      <w:pPr>
        <w:autoSpaceDE w:val="0"/>
        <w:autoSpaceDN w:val="0"/>
        <w:adjustRightInd w:val="0"/>
        <w:rPr>
          <w:rFonts w:ascii="Arial" w:hAnsi="Arial" w:cs="Arial"/>
          <w:highlight w:val="yellow"/>
        </w:rPr>
      </w:pPr>
    </w:p>
    <w:p w14:paraId="14F6D86E" w14:textId="08310DFF" w:rsidR="00770BD6" w:rsidRPr="00514A4D" w:rsidRDefault="00770BD6" w:rsidP="00770BD6">
      <w:pPr>
        <w:autoSpaceDE w:val="0"/>
        <w:autoSpaceDN w:val="0"/>
        <w:adjustRightInd w:val="0"/>
        <w:rPr>
          <w:rFonts w:ascii="Arial" w:hAnsi="Arial" w:cs="Arial"/>
        </w:rPr>
      </w:pPr>
      <w:r w:rsidRPr="00514A4D">
        <w:rPr>
          <w:rFonts w:ascii="Arial" w:hAnsi="Arial" w:cs="Arial"/>
        </w:rPr>
        <w:t>If the recipient achieved CR post-</w:t>
      </w:r>
      <w:r w:rsidR="00AF4E5A" w:rsidRPr="00514A4D">
        <w:rPr>
          <w:rFonts w:ascii="Arial" w:hAnsi="Arial" w:cs="Arial"/>
        </w:rPr>
        <w:t>HCT</w:t>
      </w:r>
      <w:r w:rsidRPr="00514A4D">
        <w:rPr>
          <w:rFonts w:ascii="Arial" w:hAnsi="Arial" w:cs="Arial"/>
        </w:rPr>
        <w:t xml:space="preserve"> (excluding unplanned therapy), check “</w:t>
      </w:r>
      <w:r w:rsidR="000A7999" w:rsidRPr="00514A4D">
        <w:rPr>
          <w:rFonts w:ascii="Arial" w:hAnsi="Arial" w:cs="Arial"/>
        </w:rPr>
        <w:t>complete remission (CR)” and continue with question 78.</w:t>
      </w:r>
    </w:p>
    <w:p w14:paraId="5CD9B419" w14:textId="77777777" w:rsidR="00770BD6" w:rsidRPr="00514A4D" w:rsidRDefault="00770BD6" w:rsidP="00770BD6">
      <w:pPr>
        <w:autoSpaceDE w:val="0"/>
        <w:autoSpaceDN w:val="0"/>
        <w:adjustRightInd w:val="0"/>
        <w:rPr>
          <w:rFonts w:ascii="Arial" w:hAnsi="Arial" w:cs="Arial"/>
        </w:rPr>
      </w:pPr>
    </w:p>
    <w:p w14:paraId="26DF0F81" w14:textId="46CB73FF" w:rsidR="00770BD6" w:rsidRPr="00514A4D" w:rsidRDefault="00770BD6" w:rsidP="00770BD6">
      <w:pPr>
        <w:autoSpaceDE w:val="0"/>
        <w:autoSpaceDN w:val="0"/>
        <w:adjustRightInd w:val="0"/>
        <w:rPr>
          <w:rFonts w:ascii="Arial" w:hAnsi="Arial" w:cs="Arial"/>
        </w:rPr>
      </w:pPr>
      <w:r w:rsidRPr="00514A4D">
        <w:rPr>
          <w:rFonts w:ascii="Arial" w:hAnsi="Arial" w:cs="Arial"/>
        </w:rPr>
        <w:t xml:space="preserve">If the recipient </w:t>
      </w:r>
      <w:r w:rsidR="00514A4D" w:rsidRPr="00514A4D">
        <w:rPr>
          <w:rFonts w:ascii="Arial" w:hAnsi="Arial" w:cs="Arial"/>
        </w:rPr>
        <w:t>has not achieved a post-HCT CR to date</w:t>
      </w:r>
      <w:r w:rsidRPr="00514A4D">
        <w:rPr>
          <w:rFonts w:ascii="Arial" w:hAnsi="Arial" w:cs="Arial"/>
        </w:rPr>
        <w:t>, check “no</w:t>
      </w:r>
      <w:r w:rsidR="00514A4D" w:rsidRPr="00514A4D">
        <w:rPr>
          <w:rFonts w:ascii="Arial" w:hAnsi="Arial" w:cs="Arial"/>
        </w:rPr>
        <w:t>t in complete remission</w:t>
      </w:r>
      <w:r w:rsidRPr="00514A4D">
        <w:rPr>
          <w:rFonts w:ascii="Arial" w:hAnsi="Arial" w:cs="Arial"/>
        </w:rPr>
        <w:t xml:space="preserve">” and continue with </w:t>
      </w:r>
      <w:r w:rsidR="00514A4D" w:rsidRPr="00514A4D">
        <w:rPr>
          <w:rFonts w:ascii="Arial" w:hAnsi="Arial" w:cs="Arial"/>
        </w:rPr>
        <w:t>question 77.</w:t>
      </w:r>
      <w:r w:rsidR="00514A4D">
        <w:rPr>
          <w:rFonts w:ascii="Arial" w:hAnsi="Arial" w:cs="Arial"/>
        </w:rPr>
        <w:t xml:space="preserve"> </w:t>
      </w:r>
    </w:p>
    <w:p w14:paraId="56629B55" w14:textId="77777777" w:rsidR="00770BD6" w:rsidRPr="00143B43" w:rsidRDefault="00770BD6" w:rsidP="00770BD6">
      <w:pPr>
        <w:autoSpaceDE w:val="0"/>
        <w:autoSpaceDN w:val="0"/>
        <w:adjustRightInd w:val="0"/>
        <w:rPr>
          <w:rFonts w:ascii="Arial" w:hAnsi="Arial" w:cs="Arial"/>
          <w:highlight w:val="yellow"/>
        </w:rPr>
      </w:pPr>
    </w:p>
    <w:p w14:paraId="1FEDF30F" w14:textId="7688B540" w:rsidR="00770BD6" w:rsidRDefault="00770BD6" w:rsidP="00770BD6">
      <w:pPr>
        <w:autoSpaceDE w:val="0"/>
        <w:autoSpaceDN w:val="0"/>
        <w:adjustRightInd w:val="0"/>
        <w:rPr>
          <w:rFonts w:ascii="Arial" w:hAnsi="Arial" w:cs="Arial"/>
        </w:rPr>
      </w:pPr>
      <w:r w:rsidRPr="00514A4D">
        <w:rPr>
          <w:rFonts w:ascii="Arial" w:hAnsi="Arial" w:cs="Arial"/>
        </w:rPr>
        <w:t>If the recipient’s disease status was not evaluated post-</w:t>
      </w:r>
      <w:r w:rsidR="00AF4E5A" w:rsidRPr="00514A4D">
        <w:rPr>
          <w:rFonts w:ascii="Arial" w:hAnsi="Arial" w:cs="Arial"/>
        </w:rPr>
        <w:t>HCT</w:t>
      </w:r>
      <w:r w:rsidRPr="00514A4D">
        <w:rPr>
          <w:rFonts w:ascii="Arial" w:hAnsi="Arial" w:cs="Arial"/>
        </w:rPr>
        <w:t xml:space="preserve">, check “not evaluated” and continue with question </w:t>
      </w:r>
      <w:r w:rsidR="00514A4D" w:rsidRPr="00514A4D">
        <w:rPr>
          <w:rFonts w:ascii="Arial" w:hAnsi="Arial" w:cs="Arial"/>
        </w:rPr>
        <w:t>99</w:t>
      </w:r>
      <w:r w:rsidR="00F91ED8">
        <w:rPr>
          <w:rFonts w:ascii="Arial" w:hAnsi="Arial" w:cs="Arial"/>
        </w:rPr>
        <w:t xml:space="preserve">.  </w:t>
      </w:r>
      <w:r w:rsidRPr="00514A4D">
        <w:rPr>
          <w:rFonts w:ascii="Arial" w:hAnsi="Arial" w:cs="Arial"/>
        </w:rPr>
        <w:t xml:space="preserve">This option is </w:t>
      </w:r>
      <w:r w:rsidRPr="00514A4D">
        <w:rPr>
          <w:rFonts w:ascii="Arial" w:hAnsi="Arial" w:cs="Arial"/>
          <w:b/>
        </w:rPr>
        <w:t>not</w:t>
      </w:r>
      <w:r w:rsidRPr="00514A4D">
        <w:rPr>
          <w:rFonts w:ascii="Arial" w:hAnsi="Arial" w:cs="Arial"/>
        </w:rPr>
        <w:t xml:space="preserve"> commonly used, as this would indicate that no tests (radiological, laboratory, or a clinical assessment) were performed to assess the CR status at </w:t>
      </w:r>
      <w:r w:rsidRPr="00514A4D">
        <w:rPr>
          <w:rFonts w:ascii="Arial" w:hAnsi="Arial" w:cs="Arial"/>
          <w:b/>
        </w:rPr>
        <w:t>any time</w:t>
      </w:r>
      <w:r w:rsidRPr="00514A4D">
        <w:rPr>
          <w:rFonts w:ascii="Arial" w:hAnsi="Arial" w:cs="Arial"/>
        </w:rPr>
        <w:t xml:space="preserve"> during the reporting period.</w:t>
      </w:r>
    </w:p>
    <w:p w14:paraId="6F917C1F" w14:textId="77777777" w:rsidR="00E60D7F" w:rsidRDefault="00E60D7F" w:rsidP="00770BD6">
      <w:pPr>
        <w:autoSpaceDE w:val="0"/>
        <w:autoSpaceDN w:val="0"/>
        <w:adjustRightInd w:val="0"/>
        <w:rPr>
          <w:rFonts w:ascii="Arial" w:hAnsi="Arial" w:cs="Arial"/>
        </w:rPr>
      </w:pPr>
    </w:p>
    <w:p w14:paraId="3B5391B2" w14:textId="6C0B0E48" w:rsidR="00E60D7F" w:rsidRPr="00514A4D" w:rsidRDefault="00E60D7F" w:rsidP="00770BD6">
      <w:pPr>
        <w:autoSpaceDE w:val="0"/>
        <w:autoSpaceDN w:val="0"/>
        <w:adjustRightInd w:val="0"/>
        <w:rPr>
          <w:rFonts w:ascii="Arial" w:hAnsi="Arial" w:cs="Arial"/>
        </w:rPr>
      </w:pPr>
      <w:r w:rsidRPr="00486DAD">
        <w:rPr>
          <w:rFonts w:ascii="Arial" w:hAnsi="Arial" w:cs="Arial"/>
        </w:rPr>
        <w:lastRenderedPageBreak/>
        <w:t>If the recipient never achieved a post-transplant complete response and started unplanned therapy, given for relapsed, persistent, or progressive disease, in a previous reporting period, indicate “not evaluated.”</w:t>
      </w:r>
    </w:p>
    <w:p w14:paraId="06923E80" w14:textId="77777777" w:rsidR="00770BD6" w:rsidRPr="00143B43" w:rsidRDefault="00770BD6" w:rsidP="0070747A">
      <w:pPr>
        <w:rPr>
          <w:rFonts w:ascii="Arial" w:hAnsi="Arial" w:cs="Arial"/>
          <w:b/>
          <w:highlight w:val="yellow"/>
        </w:rPr>
      </w:pPr>
    </w:p>
    <w:p w14:paraId="337462E2" w14:textId="4E60A210" w:rsidR="00770BD6" w:rsidRPr="002E1FAE" w:rsidRDefault="00770BD6" w:rsidP="0070747A">
      <w:pPr>
        <w:rPr>
          <w:rFonts w:ascii="Arial" w:hAnsi="Arial" w:cs="Arial"/>
          <w:b/>
        </w:rPr>
      </w:pPr>
      <w:r w:rsidRPr="002E1FAE">
        <w:rPr>
          <w:rFonts w:ascii="Arial" w:hAnsi="Arial" w:cs="Arial"/>
          <w:b/>
        </w:rPr>
        <w:t xml:space="preserve">Question 77: </w:t>
      </w:r>
      <w:r w:rsidR="005A3F32">
        <w:rPr>
          <w:rFonts w:ascii="Arial" w:hAnsi="Arial" w:cs="Arial"/>
          <w:b/>
        </w:rPr>
        <w:t xml:space="preserve"> </w:t>
      </w:r>
      <w:r w:rsidRPr="002E1FAE">
        <w:rPr>
          <w:rFonts w:ascii="Arial" w:hAnsi="Arial" w:cs="Arial"/>
          <w:b/>
        </w:rPr>
        <w:t>Specify disease status if not in complete remission:</w:t>
      </w:r>
    </w:p>
    <w:p w14:paraId="5AD1C9C3" w14:textId="0C2716B5" w:rsidR="00591173" w:rsidRPr="002E1FAE" w:rsidRDefault="00591173" w:rsidP="0070747A">
      <w:pPr>
        <w:rPr>
          <w:rFonts w:ascii="Arial" w:hAnsi="Arial" w:cs="Arial"/>
        </w:rPr>
      </w:pPr>
      <w:r w:rsidRPr="002E1FAE">
        <w:rPr>
          <w:rFonts w:ascii="Arial" w:hAnsi="Arial" w:cs="Arial"/>
        </w:rPr>
        <w:t>For recipients “not in complete remission,” indicate whether clinical evidence</w:t>
      </w:r>
      <w:r w:rsidR="00486DAD">
        <w:rPr>
          <w:rFonts w:ascii="Arial" w:hAnsi="Arial" w:cs="Arial"/>
        </w:rPr>
        <w:t xml:space="preserve"> of</w:t>
      </w:r>
      <w:r w:rsidRPr="002E1FAE">
        <w:rPr>
          <w:rFonts w:ascii="Arial" w:hAnsi="Arial" w:cs="Arial"/>
        </w:rPr>
        <w:t xml:space="preserve"> disease persisted on disease-specific assessments within the reporting period</w:t>
      </w:r>
      <w:r w:rsidR="00F91ED8">
        <w:rPr>
          <w:rFonts w:ascii="Arial" w:hAnsi="Arial" w:cs="Arial"/>
        </w:rPr>
        <w:t xml:space="preserve">.  </w:t>
      </w:r>
      <w:r w:rsidRPr="002E1FAE">
        <w:rPr>
          <w:rFonts w:ascii="Arial" w:hAnsi="Arial" w:cs="Arial"/>
        </w:rPr>
        <w:t>If all assessments have shown resolution of disease, but not all assessments required to report complete remission have been completed, indicate “no disease detected but incomplete evaluation to establish CR.” This option is also appropriate for scenarios in which the recipient has not previously achieved a post-HCT CR but does not have any disease assessments performed within the reporting period</w:t>
      </w:r>
      <w:r w:rsidR="00F91ED8">
        <w:rPr>
          <w:rFonts w:ascii="Arial" w:hAnsi="Arial" w:cs="Arial"/>
        </w:rPr>
        <w:t xml:space="preserve">.  </w:t>
      </w:r>
      <w:r w:rsidRPr="002E1FAE">
        <w:rPr>
          <w:rFonts w:ascii="Arial" w:hAnsi="Arial" w:cs="Arial"/>
        </w:rPr>
        <w:t>Indicate “disease detected” if disease persists by any method of radiological or clinical assessment; persistence of abnormalities by molecular, cytogenetic, or flow cytometry assessments does not constitute “disease detected.”</w:t>
      </w:r>
    </w:p>
    <w:p w14:paraId="61288982" w14:textId="77777777" w:rsidR="00591173" w:rsidRPr="002E1FAE" w:rsidRDefault="00591173" w:rsidP="0070747A">
      <w:pPr>
        <w:rPr>
          <w:rFonts w:ascii="Arial" w:hAnsi="Arial" w:cs="Arial"/>
        </w:rPr>
      </w:pPr>
    </w:p>
    <w:p w14:paraId="06F81087" w14:textId="6ADD719D" w:rsidR="002E1FAE" w:rsidRPr="002E1FAE" w:rsidRDefault="00591173" w:rsidP="002E1FAE">
      <w:pPr>
        <w:ind w:left="720"/>
        <w:rPr>
          <w:rFonts w:ascii="Arial" w:hAnsi="Arial" w:cs="Arial"/>
        </w:rPr>
      </w:pPr>
      <w:r w:rsidRPr="002E1FAE">
        <w:rPr>
          <w:rFonts w:ascii="Arial" w:hAnsi="Arial" w:cs="Arial"/>
          <w:b/>
        </w:rPr>
        <w:t>Example 1:</w:t>
      </w:r>
      <w:r w:rsidRPr="002E1FAE">
        <w:rPr>
          <w:rFonts w:ascii="Arial" w:hAnsi="Arial" w:cs="Arial"/>
        </w:rPr>
        <w:t xml:space="preserve"> </w:t>
      </w:r>
      <w:r w:rsidR="005A3F32">
        <w:rPr>
          <w:rFonts w:ascii="Arial" w:hAnsi="Arial" w:cs="Arial"/>
        </w:rPr>
        <w:t xml:space="preserve"> </w:t>
      </w:r>
      <w:r w:rsidRPr="002E1FAE">
        <w:rPr>
          <w:rFonts w:ascii="Arial" w:hAnsi="Arial" w:cs="Arial"/>
        </w:rPr>
        <w:t>A recipient with multiple myeloma goes to transplant in VGPR, with</w:t>
      </w:r>
      <w:r w:rsidR="002E1FAE" w:rsidRPr="002E1FAE">
        <w:rPr>
          <w:rFonts w:ascii="Arial" w:hAnsi="Arial" w:cs="Arial"/>
        </w:rPr>
        <w:t>out a</w:t>
      </w:r>
      <w:r w:rsidRPr="002E1FAE">
        <w:rPr>
          <w:rFonts w:ascii="Arial" w:hAnsi="Arial" w:cs="Arial"/>
        </w:rPr>
        <w:t xml:space="preserve"> bone marrow showing &lt; </w:t>
      </w:r>
      <w:proofErr w:type="gramStart"/>
      <w:r w:rsidRPr="002E1FAE">
        <w:rPr>
          <w:rFonts w:ascii="Arial" w:hAnsi="Arial" w:cs="Arial"/>
        </w:rPr>
        <w:t>5%</w:t>
      </w:r>
      <w:proofErr w:type="gramEnd"/>
      <w:r w:rsidRPr="002E1FAE">
        <w:rPr>
          <w:rFonts w:ascii="Arial" w:hAnsi="Arial" w:cs="Arial"/>
        </w:rPr>
        <w:t xml:space="preserve"> blasts completed prior to transplant</w:t>
      </w:r>
      <w:r w:rsidR="00F91ED8">
        <w:rPr>
          <w:rFonts w:ascii="Arial" w:hAnsi="Arial" w:cs="Arial"/>
        </w:rPr>
        <w:t xml:space="preserve">.  </w:t>
      </w:r>
      <w:r w:rsidR="002E1FAE" w:rsidRPr="002E1FAE">
        <w:rPr>
          <w:rFonts w:ascii="Arial" w:hAnsi="Arial" w:cs="Arial"/>
        </w:rPr>
        <w:t xml:space="preserve">Post-transplant serum and urine electrophoreses and </w:t>
      </w:r>
      <w:proofErr w:type="spellStart"/>
      <w:r w:rsidR="002E1FAE" w:rsidRPr="002E1FAE">
        <w:rPr>
          <w:rFonts w:ascii="Arial" w:hAnsi="Arial" w:cs="Arial"/>
        </w:rPr>
        <w:t>immunofixations</w:t>
      </w:r>
      <w:proofErr w:type="spellEnd"/>
      <w:r w:rsidR="002E1FAE" w:rsidRPr="002E1FAE">
        <w:rPr>
          <w:rFonts w:ascii="Arial" w:hAnsi="Arial" w:cs="Arial"/>
        </w:rPr>
        <w:t xml:space="preserve"> are negative. However, no bone marrow biopsy </w:t>
      </w:r>
      <w:proofErr w:type="gramStart"/>
      <w:r w:rsidR="002E1FAE" w:rsidRPr="002E1FAE">
        <w:rPr>
          <w:rFonts w:ascii="Arial" w:hAnsi="Arial" w:cs="Arial"/>
        </w:rPr>
        <w:t>is performed</w:t>
      </w:r>
      <w:proofErr w:type="gramEnd"/>
      <w:r w:rsidR="002E1FAE" w:rsidRPr="002E1FAE">
        <w:rPr>
          <w:rFonts w:ascii="Arial" w:hAnsi="Arial" w:cs="Arial"/>
        </w:rPr>
        <w:t xml:space="preserve"> within the 100-day reporting period</w:t>
      </w:r>
      <w:r w:rsidR="00F91ED8">
        <w:rPr>
          <w:rFonts w:ascii="Arial" w:hAnsi="Arial" w:cs="Arial"/>
        </w:rPr>
        <w:t xml:space="preserve">.  </w:t>
      </w:r>
      <w:r w:rsidR="002E1FAE" w:rsidRPr="002E1FAE">
        <w:rPr>
          <w:rFonts w:ascii="Arial" w:hAnsi="Arial" w:cs="Arial"/>
        </w:rPr>
        <w:t>In this case, “not in complete remission” should be selected for question 76, and “no disease detected by incomplete evaluation to establish CR” for question 77.</w:t>
      </w:r>
    </w:p>
    <w:p w14:paraId="6727D8AA" w14:textId="77777777" w:rsidR="002E1FAE" w:rsidRPr="002E1FAE" w:rsidRDefault="002E1FAE" w:rsidP="002E1FAE">
      <w:pPr>
        <w:ind w:left="720"/>
        <w:rPr>
          <w:rFonts w:ascii="Arial" w:hAnsi="Arial" w:cs="Arial"/>
        </w:rPr>
      </w:pPr>
    </w:p>
    <w:p w14:paraId="13023C4A" w14:textId="6C36147B" w:rsidR="00770BD6" w:rsidRPr="002E1FAE" w:rsidRDefault="002E1FAE" w:rsidP="002E1FAE">
      <w:pPr>
        <w:ind w:left="720"/>
        <w:rPr>
          <w:rFonts w:ascii="Arial" w:hAnsi="Arial" w:cs="Arial"/>
        </w:rPr>
      </w:pPr>
      <w:r w:rsidRPr="002E1FAE">
        <w:rPr>
          <w:rFonts w:ascii="Arial" w:hAnsi="Arial" w:cs="Arial"/>
          <w:b/>
        </w:rPr>
        <w:t>Example 2:</w:t>
      </w:r>
      <w:r w:rsidRPr="002E1FAE">
        <w:rPr>
          <w:rFonts w:ascii="Arial" w:hAnsi="Arial" w:cs="Arial"/>
        </w:rPr>
        <w:t xml:space="preserve"> </w:t>
      </w:r>
      <w:r w:rsidR="005A3F32">
        <w:rPr>
          <w:rFonts w:ascii="Arial" w:hAnsi="Arial" w:cs="Arial"/>
        </w:rPr>
        <w:t xml:space="preserve"> </w:t>
      </w:r>
      <w:r w:rsidRPr="002E1FAE">
        <w:rPr>
          <w:rFonts w:ascii="Arial" w:hAnsi="Arial" w:cs="Arial"/>
        </w:rPr>
        <w:t>A recipient with AML goes to transplant in primary induction failure</w:t>
      </w:r>
      <w:proofErr w:type="gramStart"/>
      <w:r w:rsidRPr="002E1FAE">
        <w:rPr>
          <w:rFonts w:ascii="Arial" w:hAnsi="Arial" w:cs="Arial"/>
        </w:rPr>
        <w:t xml:space="preserve">. </w:t>
      </w:r>
      <w:proofErr w:type="gramEnd"/>
      <w:r w:rsidRPr="002E1FAE">
        <w:rPr>
          <w:rFonts w:ascii="Arial" w:hAnsi="Arial" w:cs="Arial"/>
        </w:rPr>
        <w:t>Post-transplant, they recover their counts, but had circulating blasts noted on differential</w:t>
      </w:r>
      <w:r w:rsidR="00F91ED8">
        <w:rPr>
          <w:rFonts w:ascii="Arial" w:hAnsi="Arial" w:cs="Arial"/>
        </w:rPr>
        <w:t xml:space="preserve">.  </w:t>
      </w:r>
      <w:r w:rsidRPr="002E1FAE">
        <w:rPr>
          <w:rFonts w:ascii="Arial" w:hAnsi="Arial" w:cs="Arial"/>
        </w:rPr>
        <w:t>They expire due to relapse with their last CBC performed on their date of death showing circulating blasts</w:t>
      </w:r>
      <w:r w:rsidR="00F91ED8">
        <w:rPr>
          <w:rFonts w:ascii="Arial" w:hAnsi="Arial" w:cs="Arial"/>
        </w:rPr>
        <w:t xml:space="preserve">.  </w:t>
      </w:r>
      <w:r w:rsidRPr="002E1FAE">
        <w:rPr>
          <w:rFonts w:ascii="Arial" w:hAnsi="Arial" w:cs="Arial"/>
        </w:rPr>
        <w:t>In this case, “not in complete remission” should be selected for question 76, and “disease detected” in question 77.</w:t>
      </w:r>
    </w:p>
    <w:p w14:paraId="47DAE200" w14:textId="77777777" w:rsidR="002E1FAE" w:rsidRPr="002E1FAE" w:rsidRDefault="002E1FAE" w:rsidP="002E1FAE">
      <w:pPr>
        <w:ind w:left="720"/>
        <w:rPr>
          <w:rFonts w:ascii="Arial" w:hAnsi="Arial" w:cs="Arial"/>
        </w:rPr>
      </w:pPr>
    </w:p>
    <w:p w14:paraId="331CEB39" w14:textId="71BC9643" w:rsidR="002E1FAE" w:rsidRPr="002E1FAE" w:rsidRDefault="002E1FAE" w:rsidP="002E1FAE">
      <w:pPr>
        <w:ind w:left="720"/>
        <w:rPr>
          <w:rFonts w:ascii="Arial" w:hAnsi="Arial" w:cs="Arial"/>
        </w:rPr>
      </w:pPr>
      <w:r w:rsidRPr="002E1FAE">
        <w:rPr>
          <w:rFonts w:ascii="Arial" w:hAnsi="Arial" w:cs="Arial"/>
          <w:b/>
        </w:rPr>
        <w:t>Example 3:</w:t>
      </w:r>
      <w:r w:rsidR="005A3F32">
        <w:rPr>
          <w:rFonts w:ascii="Arial" w:hAnsi="Arial" w:cs="Arial"/>
          <w:b/>
        </w:rPr>
        <w:t xml:space="preserve"> </w:t>
      </w:r>
      <w:r w:rsidRPr="002E1FAE">
        <w:rPr>
          <w:rFonts w:ascii="Arial" w:hAnsi="Arial" w:cs="Arial"/>
          <w:b/>
        </w:rPr>
        <w:t xml:space="preserve"> </w:t>
      </w:r>
      <w:r w:rsidRPr="002E1FAE">
        <w:rPr>
          <w:rFonts w:ascii="Arial" w:hAnsi="Arial" w:cs="Arial"/>
        </w:rPr>
        <w:t>Similar to example 2, a recipient with AML goes to transplant in primary induction failure</w:t>
      </w:r>
      <w:r w:rsidR="00F91ED8">
        <w:rPr>
          <w:rFonts w:ascii="Arial" w:hAnsi="Arial" w:cs="Arial"/>
        </w:rPr>
        <w:t xml:space="preserve">.  </w:t>
      </w:r>
      <w:r w:rsidRPr="002E1FAE">
        <w:rPr>
          <w:rFonts w:ascii="Arial" w:hAnsi="Arial" w:cs="Arial"/>
        </w:rPr>
        <w:t>They expire on D+11 due to infection, and had not engrafted as of that date</w:t>
      </w:r>
      <w:r w:rsidR="00F91ED8">
        <w:rPr>
          <w:rFonts w:ascii="Arial" w:hAnsi="Arial" w:cs="Arial"/>
        </w:rPr>
        <w:t xml:space="preserve">.  </w:t>
      </w:r>
      <w:r w:rsidRPr="002E1FAE">
        <w:rPr>
          <w:rFonts w:ascii="Arial" w:hAnsi="Arial" w:cs="Arial"/>
        </w:rPr>
        <w:t>Their last CBC showed a WBC of 0.5 x 10</w:t>
      </w:r>
      <w:r w:rsidRPr="002E1FAE">
        <w:rPr>
          <w:rFonts w:ascii="Arial" w:hAnsi="Arial" w:cs="Arial"/>
          <w:vertAlign w:val="superscript"/>
        </w:rPr>
        <w:t>9</w:t>
      </w:r>
      <w:r w:rsidRPr="002E1FAE">
        <w:rPr>
          <w:rFonts w:ascii="Arial" w:hAnsi="Arial" w:cs="Arial"/>
        </w:rPr>
        <w:t>/L</w:t>
      </w:r>
      <w:r w:rsidR="00F91ED8">
        <w:rPr>
          <w:rFonts w:ascii="Arial" w:hAnsi="Arial" w:cs="Arial"/>
        </w:rPr>
        <w:t xml:space="preserve">.  </w:t>
      </w:r>
      <w:r w:rsidRPr="002E1FAE">
        <w:rPr>
          <w:rFonts w:ascii="Arial" w:hAnsi="Arial" w:cs="Arial"/>
        </w:rPr>
        <w:t>In this case, “not in complete remission” should be selected for question 76, and “no disease detected by incomplete evaluation to establish CR” in question 77.</w:t>
      </w:r>
    </w:p>
    <w:p w14:paraId="2D8D8AAA" w14:textId="77777777" w:rsidR="00591173" w:rsidRPr="00143B43" w:rsidRDefault="00591173" w:rsidP="0070747A">
      <w:pPr>
        <w:rPr>
          <w:rFonts w:ascii="Arial" w:hAnsi="Arial" w:cs="Arial"/>
          <w:b/>
          <w:highlight w:val="yellow"/>
        </w:rPr>
      </w:pPr>
    </w:p>
    <w:p w14:paraId="57CFA199" w14:textId="4C5C75D1" w:rsidR="00770BD6" w:rsidRPr="00591173" w:rsidRDefault="00770BD6" w:rsidP="0070747A">
      <w:pPr>
        <w:rPr>
          <w:rFonts w:ascii="Arial" w:hAnsi="Arial" w:cs="Arial"/>
          <w:b/>
        </w:rPr>
      </w:pPr>
      <w:r w:rsidRPr="00591173">
        <w:rPr>
          <w:rFonts w:ascii="Arial" w:hAnsi="Arial" w:cs="Arial"/>
          <w:b/>
        </w:rPr>
        <w:t xml:space="preserve">Question 78: </w:t>
      </w:r>
      <w:r w:rsidR="005A3F32">
        <w:rPr>
          <w:rFonts w:ascii="Arial" w:hAnsi="Arial" w:cs="Arial"/>
          <w:b/>
        </w:rPr>
        <w:t xml:space="preserve"> </w:t>
      </w:r>
      <w:proofErr w:type="gramStart"/>
      <w:r w:rsidRPr="00591173">
        <w:rPr>
          <w:rFonts w:ascii="Arial" w:hAnsi="Arial" w:cs="Arial"/>
          <w:b/>
        </w:rPr>
        <w:t>Was the date of best response previously reported</w:t>
      </w:r>
      <w:proofErr w:type="gramEnd"/>
      <w:r w:rsidRPr="00591173">
        <w:rPr>
          <w:rFonts w:ascii="Arial" w:hAnsi="Arial" w:cs="Arial"/>
          <w:b/>
        </w:rPr>
        <w:t>?</w:t>
      </w:r>
    </w:p>
    <w:p w14:paraId="062DDF1F" w14:textId="1B214911" w:rsidR="00514A4D" w:rsidRPr="00591173" w:rsidRDefault="00514A4D" w:rsidP="00770BD6">
      <w:pPr>
        <w:autoSpaceDE w:val="0"/>
        <w:autoSpaceDN w:val="0"/>
        <w:adjustRightInd w:val="0"/>
        <w:rPr>
          <w:rFonts w:ascii="Arial" w:hAnsi="Arial" w:cs="Arial"/>
        </w:rPr>
      </w:pPr>
      <w:r w:rsidRPr="00591173">
        <w:rPr>
          <w:rFonts w:ascii="Arial" w:hAnsi="Arial" w:cs="Arial"/>
        </w:rPr>
        <w:t xml:space="preserve">Indicate whether </w:t>
      </w:r>
      <w:r w:rsidR="00591173" w:rsidRPr="00591173">
        <w:rPr>
          <w:rFonts w:ascii="Arial" w:hAnsi="Arial" w:cs="Arial"/>
        </w:rPr>
        <w:t xml:space="preserve">complete remission </w:t>
      </w:r>
      <w:proofErr w:type="gramStart"/>
      <w:r w:rsidR="00591173" w:rsidRPr="00591173">
        <w:rPr>
          <w:rFonts w:ascii="Arial" w:hAnsi="Arial" w:cs="Arial"/>
        </w:rPr>
        <w:t>was reported</w:t>
      </w:r>
      <w:proofErr w:type="gramEnd"/>
      <w:r w:rsidR="00591173" w:rsidRPr="00591173">
        <w:rPr>
          <w:rFonts w:ascii="Arial" w:hAnsi="Arial" w:cs="Arial"/>
        </w:rPr>
        <w:t xml:space="preserve"> in a previously reporting period; if “yes,” continue with question 99 and if “no,” continue with question 79</w:t>
      </w:r>
      <w:r w:rsidR="00F91ED8">
        <w:rPr>
          <w:rFonts w:ascii="Arial" w:hAnsi="Arial" w:cs="Arial"/>
        </w:rPr>
        <w:t xml:space="preserve">.  </w:t>
      </w:r>
      <w:r w:rsidR="00591173" w:rsidRPr="00591173">
        <w:rPr>
          <w:rFonts w:ascii="Arial" w:hAnsi="Arial" w:cs="Arial"/>
        </w:rPr>
        <w:t>This question does not apply for “not in complete remission” responses to question 76.</w:t>
      </w:r>
    </w:p>
    <w:p w14:paraId="520B4528" w14:textId="77777777" w:rsidR="00770BD6" w:rsidRPr="00143B43" w:rsidRDefault="00770BD6" w:rsidP="0070747A">
      <w:pPr>
        <w:rPr>
          <w:rFonts w:ascii="Arial" w:hAnsi="Arial" w:cs="Arial"/>
          <w:b/>
          <w:highlight w:val="yellow"/>
        </w:rPr>
      </w:pPr>
    </w:p>
    <w:p w14:paraId="1568EC25" w14:textId="1220AE6B" w:rsidR="00770BD6" w:rsidRPr="002E1FAE" w:rsidRDefault="00770BD6" w:rsidP="0070747A">
      <w:pPr>
        <w:rPr>
          <w:rFonts w:ascii="Arial" w:hAnsi="Arial" w:cs="Arial"/>
          <w:b/>
        </w:rPr>
      </w:pPr>
      <w:r w:rsidRPr="002E1FAE">
        <w:rPr>
          <w:rFonts w:ascii="Arial" w:hAnsi="Arial" w:cs="Arial"/>
          <w:b/>
        </w:rPr>
        <w:t xml:space="preserve">Question 79: </w:t>
      </w:r>
      <w:r w:rsidR="005A3F32">
        <w:rPr>
          <w:rFonts w:ascii="Arial" w:hAnsi="Arial" w:cs="Arial"/>
          <w:b/>
        </w:rPr>
        <w:t xml:space="preserve"> </w:t>
      </w:r>
      <w:r w:rsidRPr="002E1FAE">
        <w:rPr>
          <w:rFonts w:ascii="Arial" w:hAnsi="Arial" w:cs="Arial"/>
          <w:b/>
        </w:rPr>
        <w:t>Date assessed:</w:t>
      </w:r>
    </w:p>
    <w:p w14:paraId="4BC45C5A" w14:textId="4B4B3ABC" w:rsidR="00770BD6" w:rsidRPr="002E1FAE" w:rsidRDefault="002E1FAE" w:rsidP="00770BD6">
      <w:pPr>
        <w:autoSpaceDE w:val="0"/>
        <w:autoSpaceDN w:val="0"/>
        <w:adjustRightInd w:val="0"/>
        <w:rPr>
          <w:rFonts w:ascii="Arial" w:hAnsi="Arial" w:cs="Arial"/>
        </w:rPr>
      </w:pPr>
      <w:r w:rsidRPr="002E1FAE">
        <w:rPr>
          <w:rFonts w:ascii="Arial" w:hAnsi="Arial" w:cs="Arial"/>
        </w:rPr>
        <w:t xml:space="preserve">Report the date complete remission </w:t>
      </w:r>
      <w:proofErr w:type="gramStart"/>
      <w:r w:rsidRPr="002E1FAE">
        <w:rPr>
          <w:rFonts w:ascii="Arial" w:hAnsi="Arial" w:cs="Arial"/>
        </w:rPr>
        <w:t>was achieved</w:t>
      </w:r>
      <w:proofErr w:type="gramEnd"/>
      <w:r w:rsidR="00F91ED8">
        <w:rPr>
          <w:rFonts w:ascii="Arial" w:hAnsi="Arial" w:cs="Arial"/>
        </w:rPr>
        <w:t xml:space="preserve">.  </w:t>
      </w:r>
      <w:r w:rsidRPr="002E1FAE">
        <w:rPr>
          <w:rFonts w:ascii="Arial" w:hAnsi="Arial" w:cs="Arial"/>
        </w:rPr>
        <w:t>This date should fall after transplant but before or on the date of contact for the current reporting period</w:t>
      </w:r>
      <w:r w:rsidR="00F91ED8">
        <w:rPr>
          <w:rFonts w:ascii="Arial" w:hAnsi="Arial" w:cs="Arial"/>
        </w:rPr>
        <w:t xml:space="preserve">.  </w:t>
      </w:r>
      <w:r w:rsidRPr="002E1FAE">
        <w:rPr>
          <w:rFonts w:ascii="Arial" w:hAnsi="Arial" w:cs="Arial"/>
        </w:rPr>
        <w:t>This should reflect the date of specimen collection or imaging for the latest assessment required to fulfill complete remission criteria for the recipient’s transplant disease.</w:t>
      </w:r>
    </w:p>
    <w:p w14:paraId="40AEDBC3" w14:textId="0ACFEA09" w:rsidR="008903E5" w:rsidRPr="00E60D7F" w:rsidRDefault="008903E5" w:rsidP="00770BD6">
      <w:pPr>
        <w:autoSpaceDE w:val="0"/>
        <w:autoSpaceDN w:val="0"/>
        <w:adjustRightInd w:val="0"/>
        <w:rPr>
          <w:rFonts w:ascii="Arial" w:hAnsi="Arial" w:cs="Arial"/>
          <w:b/>
        </w:rPr>
      </w:pPr>
      <w:proofErr w:type="gramStart"/>
      <w:r w:rsidRPr="00E60D7F">
        <w:rPr>
          <w:rFonts w:ascii="Arial" w:hAnsi="Arial" w:cs="Arial"/>
          <w:b/>
        </w:rPr>
        <w:lastRenderedPageBreak/>
        <w:t xml:space="preserve">Question 80: </w:t>
      </w:r>
      <w:r w:rsidR="005A3F32">
        <w:rPr>
          <w:rFonts w:ascii="Arial" w:hAnsi="Arial" w:cs="Arial"/>
          <w:b/>
        </w:rPr>
        <w:t xml:space="preserve"> </w:t>
      </w:r>
      <w:r w:rsidRPr="00E60D7F">
        <w:rPr>
          <w:rFonts w:ascii="Arial" w:hAnsi="Arial" w:cs="Arial"/>
          <w:b/>
        </w:rPr>
        <w:t>Was the disease status assessed by molecular testing (e.g. PCR)?</w:t>
      </w:r>
      <w:proofErr w:type="gramEnd"/>
    </w:p>
    <w:p w14:paraId="0F31A5CE" w14:textId="3F71EF29" w:rsidR="00662EC3" w:rsidRPr="00E60D7F" w:rsidRDefault="00662EC3" w:rsidP="00662EC3">
      <w:pPr>
        <w:autoSpaceDE w:val="0"/>
        <w:autoSpaceDN w:val="0"/>
        <w:adjustRightInd w:val="0"/>
        <w:rPr>
          <w:rFonts w:ascii="Arial" w:hAnsi="Arial" w:cs="Arial"/>
        </w:rPr>
      </w:pPr>
      <w:r w:rsidRPr="00E60D7F">
        <w:rPr>
          <w:rFonts w:ascii="Arial" w:hAnsi="Arial" w:cs="Arial"/>
        </w:rPr>
        <w:t>Molecular assessment involves determining whether a molecular marker for the disease exists in the blood or bone marrow</w:t>
      </w:r>
      <w:r w:rsidR="00F91ED8">
        <w:rPr>
          <w:rFonts w:ascii="Arial" w:hAnsi="Arial" w:cs="Arial"/>
        </w:rPr>
        <w:t xml:space="preserve">.  </w:t>
      </w:r>
      <w:r w:rsidRPr="00E60D7F">
        <w:rPr>
          <w:rFonts w:ascii="Arial" w:hAnsi="Arial" w:cs="Arial"/>
        </w:rPr>
        <w:t xml:space="preserve">Molecular assessment is the most sensitive method of detection, and can indicate known genetic abnormalities associated with the disease for which the </w:t>
      </w:r>
      <w:r w:rsidR="00AF4E5A" w:rsidRPr="00E60D7F">
        <w:rPr>
          <w:rFonts w:ascii="Arial" w:hAnsi="Arial" w:cs="Arial"/>
        </w:rPr>
        <w:t>HCT</w:t>
      </w:r>
      <w:r w:rsidRPr="00E60D7F">
        <w:rPr>
          <w:rFonts w:ascii="Arial" w:hAnsi="Arial" w:cs="Arial"/>
        </w:rPr>
        <w:t xml:space="preserve"> </w:t>
      </w:r>
      <w:proofErr w:type="gramStart"/>
      <w:r w:rsidRPr="00E60D7F">
        <w:rPr>
          <w:rFonts w:ascii="Arial" w:hAnsi="Arial" w:cs="Arial"/>
        </w:rPr>
        <w:t>was performed</w:t>
      </w:r>
      <w:proofErr w:type="gramEnd"/>
      <w:r w:rsidR="00F91ED8">
        <w:rPr>
          <w:rFonts w:ascii="Arial" w:hAnsi="Arial" w:cs="Arial"/>
        </w:rPr>
        <w:t xml:space="preserve">.  </w:t>
      </w:r>
      <w:r w:rsidRPr="00E60D7F">
        <w:rPr>
          <w:rFonts w:ascii="Arial" w:hAnsi="Arial" w:cs="Arial"/>
        </w:rPr>
        <w:t>RFLP testing (with PCR amplification)</w:t>
      </w:r>
      <w:r w:rsidRPr="00E60D7F">
        <w:rPr>
          <w:rFonts w:ascii="Arial" w:hAnsi="Arial" w:cs="Arial"/>
          <w:color w:val="272E78"/>
          <w:sz w:val="20"/>
          <w:szCs w:val="20"/>
        </w:rPr>
        <w:t xml:space="preserve"> </w:t>
      </w:r>
      <w:r w:rsidRPr="00E60D7F">
        <w:rPr>
          <w:rFonts w:ascii="Arial" w:hAnsi="Arial" w:cs="Arial"/>
        </w:rPr>
        <w:t xml:space="preserve">is an example of a molecular test method used to detect </w:t>
      </w:r>
      <w:r w:rsidR="0044297A">
        <w:rPr>
          <w:rFonts w:ascii="Arial" w:hAnsi="Arial" w:cs="Arial"/>
        </w:rPr>
        <w:t xml:space="preserve">the molecular marker </w:t>
      </w:r>
      <w:r w:rsidRPr="00E60D7F">
        <w:rPr>
          <w:rFonts w:ascii="Arial" w:hAnsi="Arial" w:cs="Arial"/>
        </w:rPr>
        <w:t>BCR/ABL.</w:t>
      </w:r>
    </w:p>
    <w:p w14:paraId="7A7DD228" w14:textId="77777777" w:rsidR="00E60D7F" w:rsidRPr="00E60D7F" w:rsidRDefault="00E60D7F" w:rsidP="00662EC3">
      <w:pPr>
        <w:autoSpaceDE w:val="0"/>
        <w:autoSpaceDN w:val="0"/>
        <w:adjustRightInd w:val="0"/>
        <w:rPr>
          <w:rFonts w:ascii="Arial" w:hAnsi="Arial" w:cs="Arial"/>
        </w:rPr>
      </w:pPr>
    </w:p>
    <w:p w14:paraId="47F4467C" w14:textId="78F90FC5" w:rsidR="00E60D7F" w:rsidRPr="00E60D7F" w:rsidRDefault="00E60D7F" w:rsidP="00662EC3">
      <w:pPr>
        <w:autoSpaceDE w:val="0"/>
        <w:autoSpaceDN w:val="0"/>
        <w:adjustRightInd w:val="0"/>
        <w:rPr>
          <w:rFonts w:ascii="Arial" w:hAnsi="Arial" w:cs="Arial"/>
        </w:rPr>
      </w:pPr>
      <w:r w:rsidRPr="00E60D7F">
        <w:rPr>
          <w:rFonts w:ascii="Arial" w:hAnsi="Arial" w:cs="Arial"/>
        </w:rPr>
        <w:t>For recipients with “complete remission” selected for question 76: Select “yes” if a molecular d</w:t>
      </w:r>
      <w:r w:rsidR="00486DAD">
        <w:rPr>
          <w:rFonts w:ascii="Arial" w:hAnsi="Arial" w:cs="Arial"/>
        </w:rPr>
        <w:t>i</w:t>
      </w:r>
      <w:r w:rsidRPr="00E60D7F">
        <w:rPr>
          <w:rFonts w:ascii="Arial" w:hAnsi="Arial" w:cs="Arial"/>
        </w:rPr>
        <w:t>sease assessment was performed at the time complete remission was established; if no</w:t>
      </w:r>
      <w:r w:rsidR="0044297A">
        <w:rPr>
          <w:rFonts w:ascii="Arial" w:hAnsi="Arial" w:cs="Arial"/>
        </w:rPr>
        <w:t xml:space="preserve"> molecular disease assessment</w:t>
      </w:r>
      <w:r w:rsidRPr="00E60D7F">
        <w:rPr>
          <w:rFonts w:ascii="Arial" w:hAnsi="Arial" w:cs="Arial"/>
        </w:rPr>
        <w:t xml:space="preserve"> was performed at the time of complete remission assessment, report the molecular study nearest that time and within the reporting period in which complete remission was established</w:t>
      </w:r>
      <w:r w:rsidR="00F91ED8">
        <w:rPr>
          <w:rFonts w:ascii="Arial" w:hAnsi="Arial" w:cs="Arial"/>
        </w:rPr>
        <w:t xml:space="preserve">.  </w:t>
      </w:r>
      <w:r w:rsidR="0044297A">
        <w:rPr>
          <w:rFonts w:ascii="Arial" w:hAnsi="Arial" w:cs="Arial"/>
          <w:u w:val="single"/>
        </w:rPr>
        <w:t>Do not</w:t>
      </w:r>
      <w:r w:rsidR="0044297A">
        <w:rPr>
          <w:rFonts w:ascii="Arial" w:hAnsi="Arial" w:cs="Arial"/>
        </w:rPr>
        <w:t xml:space="preserve"> report a molecular disease assessment performed</w:t>
      </w:r>
      <w:r w:rsidRPr="00E60D7F">
        <w:rPr>
          <w:rFonts w:ascii="Arial" w:hAnsi="Arial" w:cs="Arial"/>
        </w:rPr>
        <w:t xml:space="preserve"> at the time of relapse or progression, if applicable</w:t>
      </w:r>
      <w:r w:rsidR="00F91ED8">
        <w:rPr>
          <w:rFonts w:ascii="Arial" w:hAnsi="Arial" w:cs="Arial"/>
        </w:rPr>
        <w:t xml:space="preserve">.  </w:t>
      </w:r>
      <w:r w:rsidRPr="00E60D7F">
        <w:rPr>
          <w:rFonts w:ascii="Arial" w:hAnsi="Arial" w:cs="Arial"/>
        </w:rPr>
        <w:t xml:space="preserve">Indicate “no” if molecular </w:t>
      </w:r>
      <w:r w:rsidR="0044297A">
        <w:rPr>
          <w:rFonts w:ascii="Arial" w:hAnsi="Arial" w:cs="Arial"/>
        </w:rPr>
        <w:t xml:space="preserve">disease </w:t>
      </w:r>
      <w:r w:rsidRPr="00E60D7F">
        <w:rPr>
          <w:rFonts w:ascii="Arial" w:hAnsi="Arial" w:cs="Arial"/>
        </w:rPr>
        <w:t xml:space="preserve">assessments were not performed in the reporting period </w:t>
      </w:r>
      <w:r w:rsidRPr="00E60D7F">
        <w:rPr>
          <w:rFonts w:ascii="Arial" w:hAnsi="Arial" w:cs="Arial"/>
          <w:u w:val="single"/>
        </w:rPr>
        <w:t>or</w:t>
      </w:r>
      <w:r w:rsidRPr="00E60D7F">
        <w:rPr>
          <w:rFonts w:ascii="Arial" w:hAnsi="Arial" w:cs="Arial"/>
        </w:rPr>
        <w:t xml:space="preserve"> were only performed at the time of relapse or progression</w:t>
      </w:r>
      <w:r w:rsidR="00F91ED8">
        <w:rPr>
          <w:rFonts w:ascii="Arial" w:hAnsi="Arial" w:cs="Arial"/>
        </w:rPr>
        <w:t xml:space="preserve">.  </w:t>
      </w:r>
      <w:r w:rsidRPr="00E60D7F">
        <w:rPr>
          <w:rFonts w:ascii="Arial" w:hAnsi="Arial" w:cs="Arial"/>
        </w:rPr>
        <w:t xml:space="preserve">Indicate “not applicable” if molecular studies </w:t>
      </w:r>
      <w:proofErr w:type="gramStart"/>
      <w:r w:rsidRPr="00E60D7F">
        <w:rPr>
          <w:rFonts w:ascii="Arial" w:hAnsi="Arial" w:cs="Arial"/>
        </w:rPr>
        <w:t>have never previously been performed</w:t>
      </w:r>
      <w:proofErr w:type="gramEnd"/>
      <w:r w:rsidR="00692EC8">
        <w:rPr>
          <w:rFonts w:ascii="Arial" w:hAnsi="Arial" w:cs="Arial"/>
        </w:rPr>
        <w:t xml:space="preserve">, or have been performed but never </w:t>
      </w:r>
      <w:r w:rsidRPr="00E60D7F">
        <w:rPr>
          <w:rFonts w:ascii="Arial" w:hAnsi="Arial" w:cs="Arial"/>
        </w:rPr>
        <w:t>shown molecular abnormalities associated with the recipient’s primary transplant disease</w:t>
      </w:r>
      <w:r w:rsidR="00F91ED8">
        <w:rPr>
          <w:rFonts w:ascii="Arial" w:hAnsi="Arial" w:cs="Arial"/>
        </w:rPr>
        <w:t xml:space="preserve">.  </w:t>
      </w:r>
    </w:p>
    <w:p w14:paraId="083A3505" w14:textId="77777777" w:rsidR="00E60D7F" w:rsidRPr="00E60D7F" w:rsidRDefault="00E60D7F" w:rsidP="00662EC3">
      <w:pPr>
        <w:autoSpaceDE w:val="0"/>
        <w:autoSpaceDN w:val="0"/>
        <w:adjustRightInd w:val="0"/>
        <w:rPr>
          <w:rFonts w:ascii="Arial" w:hAnsi="Arial" w:cs="Arial"/>
        </w:rPr>
      </w:pPr>
    </w:p>
    <w:p w14:paraId="3C10BF75" w14:textId="247D8B8F" w:rsidR="00E60D7F" w:rsidRPr="00E60D7F" w:rsidRDefault="00E60D7F" w:rsidP="00662EC3">
      <w:pPr>
        <w:autoSpaceDE w:val="0"/>
        <w:autoSpaceDN w:val="0"/>
        <w:adjustRightInd w:val="0"/>
        <w:rPr>
          <w:rFonts w:ascii="Arial" w:hAnsi="Arial" w:cs="Arial"/>
        </w:rPr>
      </w:pPr>
      <w:r w:rsidRPr="00E60D7F">
        <w:rPr>
          <w:rFonts w:ascii="Arial" w:hAnsi="Arial" w:cs="Arial"/>
        </w:rPr>
        <w:t xml:space="preserve">For recipients “not in complete remission” selected for question 76: Select “yes” if a molecular disease assessment </w:t>
      </w:r>
      <w:proofErr w:type="gramStart"/>
      <w:r w:rsidRPr="00E60D7F">
        <w:rPr>
          <w:rFonts w:ascii="Arial" w:hAnsi="Arial" w:cs="Arial"/>
        </w:rPr>
        <w:t>was perform</w:t>
      </w:r>
      <w:r w:rsidR="000E2ACC">
        <w:rPr>
          <w:rFonts w:ascii="Arial" w:hAnsi="Arial" w:cs="Arial"/>
        </w:rPr>
        <w:t>ed</w:t>
      </w:r>
      <w:proofErr w:type="gramEnd"/>
      <w:r w:rsidR="000E2ACC">
        <w:rPr>
          <w:rFonts w:ascii="Arial" w:hAnsi="Arial" w:cs="Arial"/>
        </w:rPr>
        <w:t xml:space="preserve"> within the reporting period</w:t>
      </w:r>
      <w:r w:rsidR="00F91ED8">
        <w:rPr>
          <w:rFonts w:ascii="Arial" w:hAnsi="Arial" w:cs="Arial"/>
        </w:rPr>
        <w:t xml:space="preserve">.  </w:t>
      </w:r>
      <w:r w:rsidR="000E2ACC">
        <w:rPr>
          <w:rFonts w:ascii="Arial" w:hAnsi="Arial" w:cs="Arial"/>
        </w:rPr>
        <w:t>Report the results of the most recent study</w:t>
      </w:r>
      <w:r w:rsidR="000E2ACC" w:rsidRPr="000E2ACC">
        <w:rPr>
          <w:rFonts w:ascii="Arial" w:hAnsi="Arial" w:cs="Arial"/>
        </w:rPr>
        <w:t xml:space="preserve"> </w:t>
      </w:r>
      <w:r w:rsidR="000E2ACC">
        <w:rPr>
          <w:rFonts w:ascii="Arial" w:hAnsi="Arial" w:cs="Arial"/>
        </w:rPr>
        <w:t>if multiple assessments were performed during the reporting period</w:t>
      </w:r>
      <w:proofErr w:type="gramStart"/>
      <w:r w:rsidR="000E2ACC">
        <w:rPr>
          <w:rFonts w:ascii="Arial" w:hAnsi="Arial" w:cs="Arial"/>
        </w:rPr>
        <w:t xml:space="preserve">. </w:t>
      </w:r>
      <w:proofErr w:type="gramEnd"/>
      <w:r w:rsidRPr="00E60D7F">
        <w:rPr>
          <w:rFonts w:ascii="Arial" w:hAnsi="Arial" w:cs="Arial"/>
        </w:rPr>
        <w:t>Indicate “no” if there were no molecular disease assessments performed within the reporting period</w:t>
      </w:r>
      <w:r w:rsidR="00F91ED8">
        <w:rPr>
          <w:rFonts w:ascii="Arial" w:hAnsi="Arial" w:cs="Arial"/>
        </w:rPr>
        <w:t xml:space="preserve">.  </w:t>
      </w:r>
      <w:r w:rsidRPr="00E60D7F">
        <w:rPr>
          <w:rFonts w:ascii="Arial" w:hAnsi="Arial" w:cs="Arial"/>
        </w:rPr>
        <w:t>Indicate “not applicable” if molecular studies have never previously been performed</w:t>
      </w:r>
      <w:r w:rsidR="00692EC8">
        <w:rPr>
          <w:rFonts w:ascii="Arial" w:hAnsi="Arial" w:cs="Arial"/>
        </w:rPr>
        <w:t xml:space="preserve">, or have been performed but never </w:t>
      </w:r>
      <w:r w:rsidRPr="00E60D7F">
        <w:rPr>
          <w:rFonts w:ascii="Arial" w:hAnsi="Arial" w:cs="Arial"/>
        </w:rPr>
        <w:t xml:space="preserve">shown molecular abnormalities associated with the recipient’s primary transplant disease. </w:t>
      </w:r>
    </w:p>
    <w:p w14:paraId="0146CAF3" w14:textId="77777777" w:rsidR="008903E5" w:rsidRPr="006B5827" w:rsidRDefault="008903E5" w:rsidP="00770BD6">
      <w:pPr>
        <w:autoSpaceDE w:val="0"/>
        <w:autoSpaceDN w:val="0"/>
        <w:adjustRightInd w:val="0"/>
        <w:rPr>
          <w:rFonts w:ascii="Arial" w:hAnsi="Arial" w:cs="Arial"/>
          <w:b/>
        </w:rPr>
      </w:pPr>
    </w:p>
    <w:p w14:paraId="13E47ABC" w14:textId="6552005B" w:rsidR="008903E5" w:rsidRPr="006B5827" w:rsidRDefault="008903E5" w:rsidP="00770BD6">
      <w:pPr>
        <w:autoSpaceDE w:val="0"/>
        <w:autoSpaceDN w:val="0"/>
        <w:adjustRightInd w:val="0"/>
        <w:rPr>
          <w:rFonts w:ascii="Arial" w:hAnsi="Arial" w:cs="Arial"/>
          <w:b/>
        </w:rPr>
      </w:pPr>
      <w:r w:rsidRPr="006B5827">
        <w:rPr>
          <w:rFonts w:ascii="Arial" w:hAnsi="Arial" w:cs="Arial"/>
          <w:b/>
        </w:rPr>
        <w:t xml:space="preserve">Question 81: </w:t>
      </w:r>
      <w:r w:rsidR="005A3F32">
        <w:rPr>
          <w:rFonts w:ascii="Arial" w:hAnsi="Arial" w:cs="Arial"/>
          <w:b/>
        </w:rPr>
        <w:t xml:space="preserve"> </w:t>
      </w:r>
      <w:r w:rsidRPr="006B5827">
        <w:rPr>
          <w:rFonts w:ascii="Arial" w:hAnsi="Arial" w:cs="Arial"/>
          <w:b/>
        </w:rPr>
        <w:t>Date assessed:</w:t>
      </w:r>
    </w:p>
    <w:p w14:paraId="3A45C0E5" w14:textId="17AAACF2" w:rsidR="00662EC3" w:rsidRPr="006B5827" w:rsidRDefault="0044297A" w:rsidP="00662EC3">
      <w:pPr>
        <w:rPr>
          <w:rFonts w:ascii="Arial" w:hAnsi="Arial" w:cs="Arial"/>
        </w:rPr>
      </w:pPr>
      <w:r w:rsidRPr="006B5827">
        <w:rPr>
          <w:rFonts w:ascii="Arial" w:hAnsi="Arial" w:cs="Arial"/>
        </w:rPr>
        <w:t>Report the date of specimen collection for molecular disease assessment</w:t>
      </w:r>
      <w:r w:rsidR="00F91ED8">
        <w:rPr>
          <w:rFonts w:ascii="Arial" w:hAnsi="Arial" w:cs="Arial"/>
        </w:rPr>
        <w:t xml:space="preserve">.  </w:t>
      </w:r>
      <w:r w:rsidRPr="006B5827">
        <w:rPr>
          <w:rFonts w:ascii="Arial" w:hAnsi="Arial" w:cs="Arial"/>
        </w:rPr>
        <w:t>If exact date is not known, r</w:t>
      </w:r>
      <w:r w:rsidRPr="006B5827">
        <w:rPr>
          <w:rFonts w:ascii="Arial" w:hAnsi="Arial" w:cs="Arial"/>
          <w:color w:val="000000"/>
        </w:rPr>
        <w:t xml:space="preserve">efer to </w:t>
      </w:r>
      <w:r w:rsidRPr="006B5827">
        <w:rPr>
          <w:rFonts w:ascii="Arial" w:hAnsi="Arial" w:cs="Arial"/>
        </w:rPr>
        <w:t xml:space="preserve">General Instructions, </w:t>
      </w:r>
      <w:hyperlink r:id="rId26" w:history="1">
        <w:r w:rsidRPr="006B5827">
          <w:rPr>
            <w:rStyle w:val="Hyperlink"/>
            <w:rFonts w:ascii="Arial" w:hAnsi="Arial" w:cs="Arial"/>
          </w:rPr>
          <w:t>General Guidelines for Completing Forms</w:t>
        </w:r>
      </w:hyperlink>
      <w:r w:rsidRPr="006B5827">
        <w:rPr>
          <w:rFonts w:ascii="Arial" w:hAnsi="Arial" w:cs="Arial"/>
        </w:rPr>
        <w:t>, for information about reporting partial or unknown dates.</w:t>
      </w:r>
    </w:p>
    <w:p w14:paraId="2105F2D3" w14:textId="77777777" w:rsidR="008903E5" w:rsidRPr="00143B43" w:rsidRDefault="008903E5" w:rsidP="00770BD6">
      <w:pPr>
        <w:autoSpaceDE w:val="0"/>
        <w:autoSpaceDN w:val="0"/>
        <w:adjustRightInd w:val="0"/>
        <w:rPr>
          <w:rFonts w:ascii="Arial" w:hAnsi="Arial" w:cs="Arial"/>
          <w:b/>
          <w:highlight w:val="yellow"/>
        </w:rPr>
      </w:pPr>
    </w:p>
    <w:p w14:paraId="7C415620" w14:textId="15E49FE4" w:rsidR="008903E5" w:rsidRPr="006B5827" w:rsidRDefault="008903E5" w:rsidP="00770BD6">
      <w:pPr>
        <w:autoSpaceDE w:val="0"/>
        <w:autoSpaceDN w:val="0"/>
        <w:adjustRightInd w:val="0"/>
        <w:rPr>
          <w:rFonts w:ascii="Arial" w:hAnsi="Arial" w:cs="Arial"/>
          <w:b/>
        </w:rPr>
      </w:pPr>
      <w:proofErr w:type="gramStart"/>
      <w:r w:rsidRPr="006B5827">
        <w:rPr>
          <w:rFonts w:ascii="Arial" w:hAnsi="Arial" w:cs="Arial"/>
          <w:b/>
        </w:rPr>
        <w:t xml:space="preserve">Question 82: </w:t>
      </w:r>
      <w:r w:rsidR="005A3F32">
        <w:rPr>
          <w:rFonts w:ascii="Arial" w:hAnsi="Arial" w:cs="Arial"/>
          <w:b/>
        </w:rPr>
        <w:t xml:space="preserve"> </w:t>
      </w:r>
      <w:r w:rsidRPr="006B5827">
        <w:rPr>
          <w:rFonts w:ascii="Arial" w:hAnsi="Arial" w:cs="Arial"/>
          <w:b/>
        </w:rPr>
        <w:t>Was disease detected?</w:t>
      </w:r>
      <w:proofErr w:type="gramEnd"/>
    </w:p>
    <w:p w14:paraId="4E13C68D" w14:textId="7FCDE092" w:rsidR="00662EC3" w:rsidRPr="006B5827" w:rsidRDefault="006B5827" w:rsidP="006B5827">
      <w:pPr>
        <w:rPr>
          <w:rFonts w:ascii="Arial" w:hAnsi="Arial" w:cs="Arial"/>
        </w:rPr>
      </w:pPr>
      <w:r w:rsidRPr="006B5827">
        <w:rPr>
          <w:rFonts w:ascii="Arial" w:hAnsi="Arial" w:cs="Arial"/>
        </w:rPr>
        <w:t xml:space="preserve">Report whether molecular markers for the primary transplant disease </w:t>
      </w:r>
      <w:proofErr w:type="gramStart"/>
      <w:r w:rsidRPr="006B5827">
        <w:rPr>
          <w:rFonts w:ascii="Arial" w:hAnsi="Arial" w:cs="Arial"/>
        </w:rPr>
        <w:t>were identified</w:t>
      </w:r>
      <w:proofErr w:type="gramEnd"/>
      <w:r w:rsidR="00F91ED8">
        <w:rPr>
          <w:rFonts w:ascii="Arial" w:hAnsi="Arial" w:cs="Arial"/>
        </w:rPr>
        <w:t xml:space="preserve">.  </w:t>
      </w:r>
      <w:r w:rsidRPr="006B5827">
        <w:rPr>
          <w:rFonts w:ascii="Arial" w:hAnsi="Arial" w:cs="Arial"/>
        </w:rPr>
        <w:t xml:space="preserve">In order to </w:t>
      </w:r>
      <w:proofErr w:type="gramStart"/>
      <w:r w:rsidRPr="006B5827">
        <w:rPr>
          <w:rFonts w:ascii="Arial" w:hAnsi="Arial" w:cs="Arial"/>
        </w:rPr>
        <w:t>be considered</w:t>
      </w:r>
      <w:proofErr w:type="gramEnd"/>
      <w:r w:rsidRPr="006B5827">
        <w:rPr>
          <w:rFonts w:ascii="Arial" w:hAnsi="Arial" w:cs="Arial"/>
        </w:rPr>
        <w:t xml:space="preserve"> positive for a molecular</w:t>
      </w:r>
      <w:r>
        <w:rPr>
          <w:rFonts w:ascii="Arial" w:hAnsi="Arial" w:cs="Arial"/>
        </w:rPr>
        <w:t xml:space="preserve"> marker, the assay must detect</w:t>
      </w:r>
      <w:r w:rsidRPr="006B5827">
        <w:rPr>
          <w:rFonts w:ascii="Arial" w:hAnsi="Arial" w:cs="Arial"/>
        </w:rPr>
        <w:t xml:space="preserve"> a number of copies of the molecular marker exceeding the threshold for sensitivity of the assay, for a quantitative study</w:t>
      </w:r>
      <w:r w:rsidR="00F91ED8">
        <w:rPr>
          <w:rFonts w:ascii="Arial" w:hAnsi="Arial" w:cs="Arial"/>
        </w:rPr>
        <w:t xml:space="preserve">.  </w:t>
      </w:r>
      <w:r w:rsidRPr="006B5827">
        <w:rPr>
          <w:rFonts w:ascii="Arial" w:hAnsi="Arial" w:cs="Arial"/>
        </w:rPr>
        <w:t>However, do note that presence of only a single marker amongst numerous tested is sufficient to indicate disease detected</w:t>
      </w:r>
      <w:r w:rsidR="00F91ED8">
        <w:rPr>
          <w:rFonts w:ascii="Arial" w:hAnsi="Arial" w:cs="Arial"/>
        </w:rPr>
        <w:t xml:space="preserve">.  </w:t>
      </w:r>
    </w:p>
    <w:p w14:paraId="725CE266" w14:textId="77777777" w:rsidR="00662EC3" w:rsidRPr="00143B43" w:rsidRDefault="00662EC3" w:rsidP="00770BD6">
      <w:pPr>
        <w:autoSpaceDE w:val="0"/>
        <w:autoSpaceDN w:val="0"/>
        <w:adjustRightInd w:val="0"/>
        <w:rPr>
          <w:rFonts w:ascii="Arial" w:hAnsi="Arial" w:cs="Arial"/>
          <w:b/>
          <w:highlight w:val="yellow"/>
        </w:rPr>
      </w:pPr>
    </w:p>
    <w:p w14:paraId="70664DC0" w14:textId="7ED6B8D4" w:rsidR="008903E5" w:rsidRPr="006B5827" w:rsidRDefault="008903E5" w:rsidP="00770BD6">
      <w:pPr>
        <w:autoSpaceDE w:val="0"/>
        <w:autoSpaceDN w:val="0"/>
        <w:adjustRightInd w:val="0"/>
        <w:rPr>
          <w:rFonts w:ascii="Arial" w:hAnsi="Arial" w:cs="Arial"/>
          <w:b/>
        </w:rPr>
      </w:pPr>
      <w:proofErr w:type="gramStart"/>
      <w:r w:rsidRPr="006B5827">
        <w:rPr>
          <w:rFonts w:ascii="Arial" w:hAnsi="Arial" w:cs="Arial"/>
          <w:b/>
        </w:rPr>
        <w:t xml:space="preserve">Question 83: </w:t>
      </w:r>
      <w:r w:rsidR="005A3F32">
        <w:rPr>
          <w:rFonts w:ascii="Arial" w:hAnsi="Arial" w:cs="Arial"/>
          <w:b/>
        </w:rPr>
        <w:t xml:space="preserve"> </w:t>
      </w:r>
      <w:r w:rsidRPr="006B5827">
        <w:rPr>
          <w:rFonts w:ascii="Arial" w:hAnsi="Arial" w:cs="Arial"/>
          <w:b/>
        </w:rPr>
        <w:t>Was the disease status assessed via flow cytometry?</w:t>
      </w:r>
      <w:proofErr w:type="gramEnd"/>
    </w:p>
    <w:p w14:paraId="1FC1B1C4" w14:textId="19C8494F" w:rsidR="008903E5" w:rsidRPr="006B5827" w:rsidRDefault="006B5827" w:rsidP="00770BD6">
      <w:pPr>
        <w:autoSpaceDE w:val="0"/>
        <w:autoSpaceDN w:val="0"/>
        <w:adjustRightInd w:val="0"/>
        <w:rPr>
          <w:rFonts w:ascii="Arial" w:hAnsi="Arial" w:cs="Arial"/>
        </w:rPr>
      </w:pPr>
      <w:r w:rsidRPr="006B5827">
        <w:rPr>
          <w:rFonts w:ascii="Arial" w:hAnsi="Arial" w:cs="Arial"/>
        </w:rPr>
        <w:t xml:space="preserve">Flow cytometry is a technique that </w:t>
      </w:r>
      <w:proofErr w:type="gramStart"/>
      <w:r w:rsidRPr="006B5827">
        <w:rPr>
          <w:rFonts w:ascii="Arial" w:hAnsi="Arial" w:cs="Arial"/>
        </w:rPr>
        <w:t>can be performed</w:t>
      </w:r>
      <w:proofErr w:type="gramEnd"/>
      <w:r w:rsidRPr="006B5827">
        <w:rPr>
          <w:rFonts w:ascii="Arial" w:hAnsi="Arial" w:cs="Arial"/>
        </w:rPr>
        <w:t xml:space="preserve"> on blood, marrow, or tissue preparations where the cell surface markers can be quantified on cellular material</w:t>
      </w:r>
      <w:r w:rsidR="00F91ED8">
        <w:rPr>
          <w:rFonts w:ascii="Arial" w:hAnsi="Arial" w:cs="Arial"/>
        </w:rPr>
        <w:t xml:space="preserve">.  </w:t>
      </w:r>
      <w:r w:rsidRPr="006B5827">
        <w:rPr>
          <w:rFonts w:ascii="Arial" w:hAnsi="Arial" w:cs="Arial"/>
        </w:rPr>
        <w:t xml:space="preserve">This allows for the detection of abnormal cell populations for some diseases. </w:t>
      </w:r>
    </w:p>
    <w:p w14:paraId="1AF74691" w14:textId="77777777" w:rsidR="006B5827" w:rsidRDefault="006B5827" w:rsidP="006B5827">
      <w:pPr>
        <w:autoSpaceDE w:val="0"/>
        <w:autoSpaceDN w:val="0"/>
        <w:adjustRightInd w:val="0"/>
        <w:rPr>
          <w:rFonts w:ascii="Arial" w:hAnsi="Arial" w:cs="Arial"/>
        </w:rPr>
      </w:pPr>
    </w:p>
    <w:p w14:paraId="0E7D9667" w14:textId="77777777" w:rsidR="005A3F32" w:rsidRPr="00E60D7F" w:rsidRDefault="005A3F32" w:rsidP="006B5827">
      <w:pPr>
        <w:autoSpaceDE w:val="0"/>
        <w:autoSpaceDN w:val="0"/>
        <w:adjustRightInd w:val="0"/>
        <w:rPr>
          <w:rFonts w:ascii="Arial" w:hAnsi="Arial" w:cs="Arial"/>
        </w:rPr>
      </w:pPr>
    </w:p>
    <w:p w14:paraId="1B5AD662" w14:textId="7948870D" w:rsidR="006B5827" w:rsidRPr="00E60D7F" w:rsidRDefault="006B5827" w:rsidP="006B5827">
      <w:pPr>
        <w:autoSpaceDE w:val="0"/>
        <w:autoSpaceDN w:val="0"/>
        <w:adjustRightInd w:val="0"/>
        <w:rPr>
          <w:rFonts w:ascii="Arial" w:hAnsi="Arial" w:cs="Arial"/>
        </w:rPr>
      </w:pPr>
      <w:r w:rsidRPr="00E60D7F">
        <w:rPr>
          <w:rFonts w:ascii="Arial" w:hAnsi="Arial" w:cs="Arial"/>
        </w:rPr>
        <w:lastRenderedPageBreak/>
        <w:t xml:space="preserve">For recipients with “complete remission” selected for question 76: Select “yes” if a </w:t>
      </w:r>
      <w:r>
        <w:rPr>
          <w:rFonts w:ascii="Arial" w:hAnsi="Arial" w:cs="Arial"/>
        </w:rPr>
        <w:t>flow cytometry disease</w:t>
      </w:r>
      <w:r w:rsidRPr="00E60D7F">
        <w:rPr>
          <w:rFonts w:ascii="Arial" w:hAnsi="Arial" w:cs="Arial"/>
        </w:rPr>
        <w:t xml:space="preserve"> assessment was performed at the time complete remission was established; if no</w:t>
      </w:r>
      <w:r>
        <w:rPr>
          <w:rFonts w:ascii="Arial" w:hAnsi="Arial" w:cs="Arial"/>
        </w:rPr>
        <w:t xml:space="preserve"> flow cytometry disease assessment</w:t>
      </w:r>
      <w:r w:rsidRPr="00E60D7F">
        <w:rPr>
          <w:rFonts w:ascii="Arial" w:hAnsi="Arial" w:cs="Arial"/>
        </w:rPr>
        <w:t xml:space="preserve"> was performed at the time of complete remission assessment, report the </w:t>
      </w:r>
      <w:r>
        <w:rPr>
          <w:rFonts w:ascii="Arial" w:hAnsi="Arial" w:cs="Arial"/>
        </w:rPr>
        <w:t xml:space="preserve">flow cytometry </w:t>
      </w:r>
      <w:r w:rsidRPr="00E60D7F">
        <w:rPr>
          <w:rFonts w:ascii="Arial" w:hAnsi="Arial" w:cs="Arial"/>
        </w:rPr>
        <w:t>study nearest that time and within the reporting period in which complete remission was established</w:t>
      </w:r>
      <w:r w:rsidR="00F91ED8">
        <w:rPr>
          <w:rFonts w:ascii="Arial" w:hAnsi="Arial" w:cs="Arial"/>
        </w:rPr>
        <w:t xml:space="preserve">.  </w:t>
      </w:r>
      <w:r>
        <w:rPr>
          <w:rFonts w:ascii="Arial" w:hAnsi="Arial" w:cs="Arial"/>
          <w:u w:val="single"/>
        </w:rPr>
        <w:t>Do not</w:t>
      </w:r>
      <w:r>
        <w:rPr>
          <w:rFonts w:ascii="Arial" w:hAnsi="Arial" w:cs="Arial"/>
        </w:rPr>
        <w:t xml:space="preserve"> report a </w:t>
      </w:r>
      <w:proofErr w:type="gramStart"/>
      <w:r>
        <w:rPr>
          <w:rFonts w:ascii="Arial" w:hAnsi="Arial" w:cs="Arial"/>
        </w:rPr>
        <w:t>flow cytometry disease assessment</w:t>
      </w:r>
      <w:proofErr w:type="gramEnd"/>
      <w:r>
        <w:rPr>
          <w:rFonts w:ascii="Arial" w:hAnsi="Arial" w:cs="Arial"/>
        </w:rPr>
        <w:t xml:space="preserve"> performed</w:t>
      </w:r>
      <w:r w:rsidRPr="00E60D7F">
        <w:rPr>
          <w:rFonts w:ascii="Arial" w:hAnsi="Arial" w:cs="Arial"/>
        </w:rPr>
        <w:t xml:space="preserve"> at the time of relapse or progression, if applicable</w:t>
      </w:r>
      <w:r w:rsidR="00F91ED8">
        <w:rPr>
          <w:rFonts w:ascii="Arial" w:hAnsi="Arial" w:cs="Arial"/>
        </w:rPr>
        <w:t xml:space="preserve">.  </w:t>
      </w:r>
      <w:r w:rsidRPr="00E60D7F">
        <w:rPr>
          <w:rFonts w:ascii="Arial" w:hAnsi="Arial" w:cs="Arial"/>
        </w:rPr>
        <w:t xml:space="preserve">Indicate “no” if </w:t>
      </w:r>
      <w:r>
        <w:rPr>
          <w:rFonts w:ascii="Arial" w:hAnsi="Arial" w:cs="Arial"/>
        </w:rPr>
        <w:t xml:space="preserve">flow cytometry disease </w:t>
      </w:r>
      <w:r w:rsidRPr="00E60D7F">
        <w:rPr>
          <w:rFonts w:ascii="Arial" w:hAnsi="Arial" w:cs="Arial"/>
        </w:rPr>
        <w:t xml:space="preserve">assessments </w:t>
      </w:r>
      <w:proofErr w:type="gramStart"/>
      <w:r w:rsidRPr="00E60D7F">
        <w:rPr>
          <w:rFonts w:ascii="Arial" w:hAnsi="Arial" w:cs="Arial"/>
        </w:rPr>
        <w:t>were not performed</w:t>
      </w:r>
      <w:proofErr w:type="gramEnd"/>
      <w:r w:rsidRPr="00E60D7F">
        <w:rPr>
          <w:rFonts w:ascii="Arial" w:hAnsi="Arial" w:cs="Arial"/>
        </w:rPr>
        <w:t xml:space="preserve"> in the reporting period </w:t>
      </w:r>
      <w:r w:rsidRPr="00E60D7F">
        <w:rPr>
          <w:rFonts w:ascii="Arial" w:hAnsi="Arial" w:cs="Arial"/>
          <w:u w:val="single"/>
        </w:rPr>
        <w:t>or</w:t>
      </w:r>
      <w:r w:rsidRPr="00E60D7F">
        <w:rPr>
          <w:rFonts w:ascii="Arial" w:hAnsi="Arial" w:cs="Arial"/>
        </w:rPr>
        <w:t xml:space="preserve"> were only performed at the time of relapse or progression</w:t>
      </w:r>
      <w:r w:rsidR="00F91ED8">
        <w:rPr>
          <w:rFonts w:ascii="Arial" w:hAnsi="Arial" w:cs="Arial"/>
        </w:rPr>
        <w:t xml:space="preserve">.  </w:t>
      </w:r>
      <w:r w:rsidRPr="00E60D7F">
        <w:rPr>
          <w:rFonts w:ascii="Arial" w:hAnsi="Arial" w:cs="Arial"/>
        </w:rPr>
        <w:t xml:space="preserve">Indicate “not applicable” if </w:t>
      </w:r>
      <w:r>
        <w:rPr>
          <w:rFonts w:ascii="Arial" w:hAnsi="Arial" w:cs="Arial"/>
        </w:rPr>
        <w:t>flow cytometry stud</w:t>
      </w:r>
      <w:r w:rsidR="00F012CA">
        <w:rPr>
          <w:rFonts w:ascii="Arial" w:hAnsi="Arial" w:cs="Arial"/>
        </w:rPr>
        <w:t>i</w:t>
      </w:r>
      <w:r>
        <w:rPr>
          <w:rFonts w:ascii="Arial" w:hAnsi="Arial" w:cs="Arial"/>
        </w:rPr>
        <w:t>es</w:t>
      </w:r>
      <w:r w:rsidRPr="00E60D7F">
        <w:rPr>
          <w:rFonts w:ascii="Arial" w:hAnsi="Arial" w:cs="Arial"/>
        </w:rPr>
        <w:t xml:space="preserve"> have </w:t>
      </w:r>
      <w:r w:rsidR="00692EC8">
        <w:rPr>
          <w:rFonts w:ascii="Arial" w:hAnsi="Arial" w:cs="Arial"/>
        </w:rPr>
        <w:t>never previously been performed, or have been performed but never previously</w:t>
      </w:r>
      <w:r w:rsidR="00692EC8" w:rsidRPr="00D17CFA">
        <w:rPr>
          <w:rFonts w:ascii="Arial" w:hAnsi="Arial" w:cs="Arial"/>
        </w:rPr>
        <w:t xml:space="preserve"> </w:t>
      </w:r>
      <w:r w:rsidRPr="00E60D7F">
        <w:rPr>
          <w:rFonts w:ascii="Arial" w:hAnsi="Arial" w:cs="Arial"/>
        </w:rPr>
        <w:t>shown abnormalities associated with the recipient’</w:t>
      </w:r>
      <w:r>
        <w:rPr>
          <w:rFonts w:ascii="Arial" w:hAnsi="Arial" w:cs="Arial"/>
        </w:rPr>
        <w:t>s primary transplant disease, or if &lt; 5% plasma cells are detected by flow cytometry for recipients with multiple myeloma.</w:t>
      </w:r>
    </w:p>
    <w:p w14:paraId="06DF3FCD" w14:textId="77777777" w:rsidR="006B5827" w:rsidRPr="00E60D7F" w:rsidRDefault="006B5827" w:rsidP="006B5827">
      <w:pPr>
        <w:autoSpaceDE w:val="0"/>
        <w:autoSpaceDN w:val="0"/>
        <w:adjustRightInd w:val="0"/>
        <w:rPr>
          <w:rFonts w:ascii="Arial" w:hAnsi="Arial" w:cs="Arial"/>
        </w:rPr>
      </w:pPr>
    </w:p>
    <w:p w14:paraId="3D9F58EA" w14:textId="79757DA4" w:rsidR="006B5827" w:rsidRPr="00E60D7F" w:rsidRDefault="006B5827" w:rsidP="006B5827">
      <w:pPr>
        <w:autoSpaceDE w:val="0"/>
        <w:autoSpaceDN w:val="0"/>
        <w:adjustRightInd w:val="0"/>
        <w:rPr>
          <w:rFonts w:ascii="Arial" w:hAnsi="Arial" w:cs="Arial"/>
        </w:rPr>
      </w:pPr>
      <w:r w:rsidRPr="00E60D7F">
        <w:rPr>
          <w:rFonts w:ascii="Arial" w:hAnsi="Arial" w:cs="Arial"/>
        </w:rPr>
        <w:t xml:space="preserve">For recipients “not in complete remission” selected for question 76: Select “yes” if a </w:t>
      </w:r>
      <w:proofErr w:type="gramStart"/>
      <w:r>
        <w:rPr>
          <w:rFonts w:ascii="Arial" w:hAnsi="Arial" w:cs="Arial"/>
        </w:rPr>
        <w:t xml:space="preserve">flow cytometry </w:t>
      </w:r>
      <w:r w:rsidRPr="00E60D7F">
        <w:rPr>
          <w:rFonts w:ascii="Arial" w:hAnsi="Arial" w:cs="Arial"/>
        </w:rPr>
        <w:t>disease assessment</w:t>
      </w:r>
      <w:proofErr w:type="gramEnd"/>
      <w:r w:rsidRPr="00E60D7F">
        <w:rPr>
          <w:rFonts w:ascii="Arial" w:hAnsi="Arial" w:cs="Arial"/>
        </w:rPr>
        <w:t xml:space="preserve"> was performed within the reporting period</w:t>
      </w:r>
      <w:r w:rsidR="00F91ED8">
        <w:rPr>
          <w:rFonts w:ascii="Arial" w:hAnsi="Arial" w:cs="Arial"/>
        </w:rPr>
        <w:t xml:space="preserve">.  </w:t>
      </w:r>
      <w:r w:rsidR="00CC5120">
        <w:rPr>
          <w:rFonts w:ascii="Arial" w:hAnsi="Arial" w:cs="Arial"/>
        </w:rPr>
        <w:t>Report the results of the most recent study</w:t>
      </w:r>
      <w:r w:rsidR="00CC5120" w:rsidRPr="000E2ACC">
        <w:rPr>
          <w:rFonts w:ascii="Arial" w:hAnsi="Arial" w:cs="Arial"/>
        </w:rPr>
        <w:t xml:space="preserve"> </w:t>
      </w:r>
      <w:r w:rsidR="00CC5120">
        <w:rPr>
          <w:rFonts w:ascii="Arial" w:hAnsi="Arial" w:cs="Arial"/>
        </w:rPr>
        <w:t>if multiple assessments were performed during the reporting period</w:t>
      </w:r>
      <w:proofErr w:type="gramStart"/>
      <w:r w:rsidR="00CC5120">
        <w:rPr>
          <w:rFonts w:ascii="Arial" w:hAnsi="Arial" w:cs="Arial"/>
        </w:rPr>
        <w:t>.</w:t>
      </w:r>
      <w:r w:rsidRPr="00E60D7F">
        <w:rPr>
          <w:rFonts w:ascii="Arial" w:hAnsi="Arial" w:cs="Arial"/>
        </w:rPr>
        <w:t xml:space="preserve"> </w:t>
      </w:r>
      <w:proofErr w:type="gramEnd"/>
      <w:r w:rsidRPr="00E60D7F">
        <w:rPr>
          <w:rFonts w:ascii="Arial" w:hAnsi="Arial" w:cs="Arial"/>
        </w:rPr>
        <w:t xml:space="preserve">Indicate “no” if there </w:t>
      </w:r>
      <w:proofErr w:type="gramStart"/>
      <w:r w:rsidRPr="00E60D7F">
        <w:rPr>
          <w:rFonts w:ascii="Arial" w:hAnsi="Arial" w:cs="Arial"/>
        </w:rPr>
        <w:t>were</w:t>
      </w:r>
      <w:proofErr w:type="gramEnd"/>
      <w:r w:rsidRPr="00E60D7F">
        <w:rPr>
          <w:rFonts w:ascii="Arial" w:hAnsi="Arial" w:cs="Arial"/>
        </w:rPr>
        <w:t xml:space="preserve"> no </w:t>
      </w:r>
      <w:r>
        <w:rPr>
          <w:rFonts w:ascii="Arial" w:hAnsi="Arial" w:cs="Arial"/>
        </w:rPr>
        <w:t>flow cytometry</w:t>
      </w:r>
      <w:r w:rsidRPr="00E60D7F">
        <w:rPr>
          <w:rFonts w:ascii="Arial" w:hAnsi="Arial" w:cs="Arial"/>
        </w:rPr>
        <w:t xml:space="preserve"> disease assessments performed within the reporting period</w:t>
      </w:r>
      <w:r w:rsidR="00F91ED8">
        <w:rPr>
          <w:rFonts w:ascii="Arial" w:hAnsi="Arial" w:cs="Arial"/>
        </w:rPr>
        <w:t xml:space="preserve">.  </w:t>
      </w:r>
      <w:r w:rsidRPr="00E60D7F">
        <w:rPr>
          <w:rFonts w:ascii="Arial" w:hAnsi="Arial" w:cs="Arial"/>
        </w:rPr>
        <w:t xml:space="preserve">Indicate “not applicable” if </w:t>
      </w:r>
      <w:r>
        <w:rPr>
          <w:rFonts w:ascii="Arial" w:hAnsi="Arial" w:cs="Arial"/>
        </w:rPr>
        <w:t xml:space="preserve">flow cytometry </w:t>
      </w:r>
      <w:r w:rsidRPr="00E60D7F">
        <w:rPr>
          <w:rFonts w:ascii="Arial" w:hAnsi="Arial" w:cs="Arial"/>
        </w:rPr>
        <w:t>studies have never previously been performed</w:t>
      </w:r>
      <w:r w:rsidR="00692EC8">
        <w:rPr>
          <w:rFonts w:ascii="Arial" w:hAnsi="Arial" w:cs="Arial"/>
        </w:rPr>
        <w:t>, have never previously</w:t>
      </w:r>
      <w:r w:rsidRPr="00E60D7F">
        <w:rPr>
          <w:rFonts w:ascii="Arial" w:hAnsi="Arial" w:cs="Arial"/>
        </w:rPr>
        <w:t xml:space="preserve"> shown abnormalities associated with the recipient’</w:t>
      </w:r>
      <w:r>
        <w:rPr>
          <w:rFonts w:ascii="Arial" w:hAnsi="Arial" w:cs="Arial"/>
        </w:rPr>
        <w:t xml:space="preserve">s primary transplant disease, or if &lt; </w:t>
      </w:r>
      <w:proofErr w:type="gramStart"/>
      <w:r>
        <w:rPr>
          <w:rFonts w:ascii="Arial" w:hAnsi="Arial" w:cs="Arial"/>
        </w:rPr>
        <w:t>5%</w:t>
      </w:r>
      <w:proofErr w:type="gramEnd"/>
      <w:r>
        <w:rPr>
          <w:rFonts w:ascii="Arial" w:hAnsi="Arial" w:cs="Arial"/>
        </w:rPr>
        <w:t xml:space="preserve"> plasma cells are detected by flow cytometry for recipients with multiple myeloma.</w:t>
      </w:r>
    </w:p>
    <w:p w14:paraId="4DAFFD48" w14:textId="77777777" w:rsidR="006B5827" w:rsidRPr="00143B43" w:rsidRDefault="006B5827" w:rsidP="00770BD6">
      <w:pPr>
        <w:autoSpaceDE w:val="0"/>
        <w:autoSpaceDN w:val="0"/>
        <w:adjustRightInd w:val="0"/>
        <w:rPr>
          <w:rFonts w:ascii="Arial" w:hAnsi="Arial" w:cs="Arial"/>
          <w:b/>
          <w:highlight w:val="yellow"/>
        </w:rPr>
      </w:pPr>
    </w:p>
    <w:p w14:paraId="64CD7F26" w14:textId="02FFAACA" w:rsidR="008903E5" w:rsidRPr="00A3340A" w:rsidRDefault="00662EC3" w:rsidP="00770BD6">
      <w:pPr>
        <w:autoSpaceDE w:val="0"/>
        <w:autoSpaceDN w:val="0"/>
        <w:adjustRightInd w:val="0"/>
        <w:rPr>
          <w:rFonts w:ascii="Arial" w:hAnsi="Arial" w:cs="Arial"/>
          <w:b/>
        </w:rPr>
      </w:pPr>
      <w:r w:rsidRPr="00A3340A">
        <w:rPr>
          <w:rFonts w:ascii="Arial" w:hAnsi="Arial" w:cs="Arial"/>
          <w:b/>
        </w:rPr>
        <w:t xml:space="preserve">Question 84: </w:t>
      </w:r>
      <w:r w:rsidR="005A3F32">
        <w:rPr>
          <w:rFonts w:ascii="Arial" w:hAnsi="Arial" w:cs="Arial"/>
          <w:b/>
        </w:rPr>
        <w:t xml:space="preserve"> </w:t>
      </w:r>
      <w:r w:rsidRPr="00A3340A">
        <w:rPr>
          <w:rFonts w:ascii="Arial" w:hAnsi="Arial" w:cs="Arial"/>
          <w:b/>
        </w:rPr>
        <w:t>Date assessed</w:t>
      </w:r>
    </w:p>
    <w:p w14:paraId="552524A8" w14:textId="68C3DB0E" w:rsidR="005D00E5" w:rsidRPr="00A3340A" w:rsidRDefault="005D00E5" w:rsidP="005D00E5">
      <w:pPr>
        <w:rPr>
          <w:rFonts w:ascii="Arial" w:hAnsi="Arial" w:cs="Arial"/>
        </w:rPr>
      </w:pPr>
      <w:r w:rsidRPr="00A3340A">
        <w:rPr>
          <w:rFonts w:ascii="Arial" w:hAnsi="Arial" w:cs="Arial"/>
        </w:rPr>
        <w:t>Report the date of specimen collection for flow cytometry assessment</w:t>
      </w:r>
      <w:r w:rsidR="00F91ED8">
        <w:rPr>
          <w:rFonts w:ascii="Arial" w:hAnsi="Arial" w:cs="Arial"/>
        </w:rPr>
        <w:t xml:space="preserve">.  </w:t>
      </w:r>
      <w:r w:rsidRPr="00A3340A">
        <w:rPr>
          <w:rFonts w:ascii="Arial" w:hAnsi="Arial" w:cs="Arial"/>
        </w:rPr>
        <w:t>If exact date is not known, r</w:t>
      </w:r>
      <w:r w:rsidRPr="00A3340A">
        <w:rPr>
          <w:rFonts w:ascii="Arial" w:hAnsi="Arial" w:cs="Arial"/>
          <w:color w:val="000000"/>
        </w:rPr>
        <w:t xml:space="preserve">efer to </w:t>
      </w:r>
      <w:r w:rsidRPr="00A3340A">
        <w:rPr>
          <w:rFonts w:ascii="Arial" w:hAnsi="Arial" w:cs="Arial"/>
        </w:rPr>
        <w:t xml:space="preserve">General Instructions, </w:t>
      </w:r>
      <w:hyperlink r:id="rId27" w:history="1">
        <w:r w:rsidRPr="00A3340A">
          <w:rPr>
            <w:rStyle w:val="Hyperlink"/>
            <w:rFonts w:ascii="Arial" w:hAnsi="Arial" w:cs="Arial"/>
          </w:rPr>
          <w:t>General Guidelines for Completing Forms</w:t>
        </w:r>
      </w:hyperlink>
      <w:r w:rsidRPr="00A3340A">
        <w:rPr>
          <w:rFonts w:ascii="Arial" w:hAnsi="Arial" w:cs="Arial"/>
        </w:rPr>
        <w:t>, for information about reporting partial or unknown dates.</w:t>
      </w:r>
    </w:p>
    <w:p w14:paraId="0A1FC4BC" w14:textId="77777777" w:rsidR="008903E5" w:rsidRPr="00A3340A" w:rsidRDefault="008903E5" w:rsidP="00770BD6">
      <w:pPr>
        <w:autoSpaceDE w:val="0"/>
        <w:autoSpaceDN w:val="0"/>
        <w:adjustRightInd w:val="0"/>
        <w:rPr>
          <w:rFonts w:ascii="Arial" w:hAnsi="Arial" w:cs="Arial"/>
          <w:b/>
        </w:rPr>
      </w:pPr>
    </w:p>
    <w:p w14:paraId="7FCB15CB" w14:textId="2547B1CB" w:rsidR="008903E5" w:rsidRPr="00A3340A" w:rsidRDefault="008903E5" w:rsidP="00770BD6">
      <w:pPr>
        <w:autoSpaceDE w:val="0"/>
        <w:autoSpaceDN w:val="0"/>
        <w:adjustRightInd w:val="0"/>
        <w:rPr>
          <w:rFonts w:ascii="Arial" w:hAnsi="Arial" w:cs="Arial"/>
          <w:b/>
        </w:rPr>
      </w:pPr>
      <w:proofErr w:type="gramStart"/>
      <w:r w:rsidRPr="00A3340A">
        <w:rPr>
          <w:rFonts w:ascii="Arial" w:hAnsi="Arial" w:cs="Arial"/>
          <w:b/>
        </w:rPr>
        <w:t xml:space="preserve">Question 85: </w:t>
      </w:r>
      <w:r w:rsidR="005A3F32">
        <w:rPr>
          <w:rFonts w:ascii="Arial" w:hAnsi="Arial" w:cs="Arial"/>
          <w:b/>
        </w:rPr>
        <w:t xml:space="preserve"> </w:t>
      </w:r>
      <w:r w:rsidRPr="00A3340A">
        <w:rPr>
          <w:rFonts w:ascii="Arial" w:hAnsi="Arial" w:cs="Arial"/>
          <w:b/>
        </w:rPr>
        <w:t>Was disease detected?</w:t>
      </w:r>
      <w:proofErr w:type="gramEnd"/>
    </w:p>
    <w:p w14:paraId="7712B2AC" w14:textId="6CF68E18" w:rsidR="00A3340A" w:rsidRPr="006B5827" w:rsidRDefault="00A3340A" w:rsidP="00A3340A">
      <w:pPr>
        <w:rPr>
          <w:rFonts w:ascii="Arial" w:hAnsi="Arial" w:cs="Arial"/>
        </w:rPr>
      </w:pPr>
      <w:r w:rsidRPr="00A3340A">
        <w:rPr>
          <w:rFonts w:ascii="Arial" w:hAnsi="Arial" w:cs="Arial"/>
        </w:rPr>
        <w:t xml:space="preserve">Report whether an abnormal cellular population associated with the recipient’s primary transplant disease </w:t>
      </w:r>
      <w:proofErr w:type="gramStart"/>
      <w:r w:rsidRPr="00A3340A">
        <w:rPr>
          <w:rFonts w:ascii="Arial" w:hAnsi="Arial" w:cs="Arial"/>
        </w:rPr>
        <w:t>was detected</w:t>
      </w:r>
      <w:proofErr w:type="gramEnd"/>
      <w:r w:rsidR="00F91ED8">
        <w:rPr>
          <w:rFonts w:ascii="Arial" w:hAnsi="Arial" w:cs="Arial"/>
        </w:rPr>
        <w:t xml:space="preserve">.  </w:t>
      </w:r>
      <w:r>
        <w:rPr>
          <w:rFonts w:ascii="Arial" w:hAnsi="Arial" w:cs="Arial"/>
        </w:rPr>
        <w:t>Report “disease detected” if an abnormal cell population associated with the recipient’s primary transplant disease was detected regardless of the sensitivity of the flow cytometry panel performed; this means an abnormal cell population detected by MRD flow cytometry would be reported in the same way as an abnormal cell population detected by a standard flow cytometry assay.</w:t>
      </w:r>
    </w:p>
    <w:p w14:paraId="2D10011C" w14:textId="77777777" w:rsidR="008903E5" w:rsidRPr="00143B43" w:rsidRDefault="008903E5" w:rsidP="00770BD6">
      <w:pPr>
        <w:autoSpaceDE w:val="0"/>
        <w:autoSpaceDN w:val="0"/>
        <w:adjustRightInd w:val="0"/>
        <w:rPr>
          <w:rFonts w:ascii="Arial" w:hAnsi="Arial" w:cs="Arial"/>
          <w:b/>
          <w:highlight w:val="yellow"/>
        </w:rPr>
      </w:pPr>
    </w:p>
    <w:p w14:paraId="5A076C75" w14:textId="4A7C8B3F" w:rsidR="008903E5" w:rsidRPr="00D17CFA" w:rsidRDefault="008903E5" w:rsidP="00770BD6">
      <w:pPr>
        <w:autoSpaceDE w:val="0"/>
        <w:autoSpaceDN w:val="0"/>
        <w:adjustRightInd w:val="0"/>
        <w:rPr>
          <w:rFonts w:ascii="Arial" w:hAnsi="Arial" w:cs="Arial"/>
          <w:b/>
        </w:rPr>
      </w:pPr>
      <w:proofErr w:type="gramStart"/>
      <w:r w:rsidRPr="00D17CFA">
        <w:rPr>
          <w:rFonts w:ascii="Arial" w:hAnsi="Arial" w:cs="Arial"/>
          <w:b/>
        </w:rPr>
        <w:t xml:space="preserve">Question 86: </w:t>
      </w:r>
      <w:r w:rsidR="005A3F32">
        <w:rPr>
          <w:rFonts w:ascii="Arial" w:hAnsi="Arial" w:cs="Arial"/>
          <w:b/>
        </w:rPr>
        <w:t xml:space="preserve"> </w:t>
      </w:r>
      <w:r w:rsidRPr="00D17CFA">
        <w:rPr>
          <w:rFonts w:ascii="Arial" w:hAnsi="Arial" w:cs="Arial"/>
          <w:b/>
        </w:rPr>
        <w:t>Was the disease status assessed by cytogenetic testing (karyotyping or FISH)?</w:t>
      </w:r>
      <w:proofErr w:type="gramEnd"/>
    </w:p>
    <w:p w14:paraId="4CC0667A" w14:textId="7EDC10BB" w:rsidR="00662EC3" w:rsidRPr="00D17CFA" w:rsidRDefault="00D17CFA" w:rsidP="00662EC3">
      <w:pPr>
        <w:autoSpaceDE w:val="0"/>
        <w:autoSpaceDN w:val="0"/>
        <w:adjustRightInd w:val="0"/>
        <w:rPr>
          <w:rFonts w:ascii="Arial" w:hAnsi="Arial" w:cs="Arial"/>
        </w:rPr>
      </w:pPr>
      <w:r w:rsidRPr="00D17CFA">
        <w:rPr>
          <w:rFonts w:ascii="Arial" w:hAnsi="Arial" w:cs="Arial"/>
        </w:rPr>
        <w:t>Cytogenetic studies involve the study of chromosomes, typically through one of two methods: karyotyping or fluorescence in situ hybridization (FISH)</w:t>
      </w:r>
      <w:r w:rsidR="00F91ED8">
        <w:rPr>
          <w:rFonts w:ascii="Arial" w:hAnsi="Arial" w:cs="Arial"/>
        </w:rPr>
        <w:t xml:space="preserve">.  </w:t>
      </w:r>
      <w:proofErr w:type="gramStart"/>
      <w:r w:rsidRPr="00D17CFA">
        <w:rPr>
          <w:rFonts w:ascii="Arial" w:hAnsi="Arial" w:cs="Arial"/>
        </w:rPr>
        <w:t>Blood, bone marrow, or tissue preparations may be tested by either of these two methods</w:t>
      </w:r>
      <w:proofErr w:type="gramEnd"/>
      <w:r w:rsidR="00F91ED8">
        <w:rPr>
          <w:rFonts w:ascii="Arial" w:hAnsi="Arial" w:cs="Arial"/>
        </w:rPr>
        <w:t xml:space="preserve">.  </w:t>
      </w:r>
      <w:r w:rsidRPr="00D17CFA">
        <w:rPr>
          <w:rFonts w:ascii="Arial" w:hAnsi="Arial" w:cs="Arial"/>
        </w:rPr>
        <w:t>Karyotyping is both less sensitive and less specific than FISH testing; FISH studies identify only abnormalities detectable by the employed probe set, and cannot provide information about the presence or absence of chromosomal abnormalities or markers outside the specific probe set utilized.</w:t>
      </w:r>
    </w:p>
    <w:p w14:paraId="24EC3D65" w14:textId="77777777" w:rsidR="00D17CFA" w:rsidRPr="00D17CFA" w:rsidRDefault="00D17CFA" w:rsidP="00662EC3">
      <w:pPr>
        <w:autoSpaceDE w:val="0"/>
        <w:autoSpaceDN w:val="0"/>
        <w:adjustRightInd w:val="0"/>
        <w:rPr>
          <w:rFonts w:ascii="Arial" w:hAnsi="Arial" w:cs="Arial"/>
        </w:rPr>
      </w:pPr>
    </w:p>
    <w:p w14:paraId="15FC2383" w14:textId="50E4CD13" w:rsidR="00D17CFA" w:rsidRPr="00D17CFA" w:rsidRDefault="00D17CFA" w:rsidP="00662EC3">
      <w:pPr>
        <w:autoSpaceDE w:val="0"/>
        <w:autoSpaceDN w:val="0"/>
        <w:adjustRightInd w:val="0"/>
        <w:rPr>
          <w:rFonts w:ascii="Arial" w:hAnsi="Arial" w:cs="Arial"/>
          <w:b/>
        </w:rPr>
      </w:pPr>
      <w:r w:rsidRPr="00D17CFA">
        <w:rPr>
          <w:rFonts w:ascii="Arial" w:hAnsi="Arial" w:cs="Arial"/>
        </w:rPr>
        <w:lastRenderedPageBreak/>
        <w:t xml:space="preserve">Report “yes” if FISH or karyotyping </w:t>
      </w:r>
      <w:proofErr w:type="gramStart"/>
      <w:r w:rsidRPr="00D17CFA">
        <w:rPr>
          <w:rFonts w:ascii="Arial" w:hAnsi="Arial" w:cs="Arial"/>
        </w:rPr>
        <w:t>was performed</w:t>
      </w:r>
      <w:proofErr w:type="gramEnd"/>
      <w:r w:rsidRPr="00D17CFA">
        <w:rPr>
          <w:rFonts w:ascii="Arial" w:hAnsi="Arial" w:cs="Arial"/>
        </w:rPr>
        <w:t xml:space="preserve"> within the reporting period and was considered relevant to the recipient’s disease assessment</w:t>
      </w:r>
      <w:r w:rsidR="00F91ED8">
        <w:rPr>
          <w:rFonts w:ascii="Arial" w:hAnsi="Arial" w:cs="Arial"/>
        </w:rPr>
        <w:t xml:space="preserve">.  </w:t>
      </w:r>
      <w:r w:rsidRPr="00D17CFA">
        <w:rPr>
          <w:rFonts w:ascii="Arial" w:hAnsi="Arial" w:cs="Arial"/>
        </w:rPr>
        <w:t xml:space="preserve">Select “no” if </w:t>
      </w:r>
      <w:r w:rsidR="00F6637E">
        <w:rPr>
          <w:rFonts w:ascii="Arial" w:hAnsi="Arial" w:cs="Arial"/>
        </w:rPr>
        <w:t xml:space="preserve">neither </w:t>
      </w:r>
      <w:r w:rsidRPr="00D17CFA">
        <w:rPr>
          <w:rFonts w:ascii="Arial" w:hAnsi="Arial" w:cs="Arial"/>
        </w:rPr>
        <w:t xml:space="preserve">FISH </w:t>
      </w:r>
      <w:r w:rsidR="00F6637E">
        <w:rPr>
          <w:rFonts w:ascii="Arial" w:hAnsi="Arial" w:cs="Arial"/>
        </w:rPr>
        <w:t>n</w:t>
      </w:r>
      <w:r w:rsidRPr="00D17CFA">
        <w:rPr>
          <w:rFonts w:ascii="Arial" w:hAnsi="Arial" w:cs="Arial"/>
        </w:rPr>
        <w:t>or karyotyping was performed</w:t>
      </w:r>
      <w:r w:rsidR="00F6637E">
        <w:rPr>
          <w:rFonts w:ascii="Arial" w:hAnsi="Arial" w:cs="Arial"/>
        </w:rPr>
        <w:t xml:space="preserve"> to assess disease status</w:t>
      </w:r>
      <w:r w:rsidRPr="00D17CFA">
        <w:rPr>
          <w:rFonts w:ascii="Arial" w:hAnsi="Arial" w:cs="Arial"/>
        </w:rPr>
        <w:t xml:space="preserve"> within the reporting period</w:t>
      </w:r>
      <w:r w:rsidR="00F91ED8">
        <w:rPr>
          <w:rFonts w:ascii="Arial" w:hAnsi="Arial" w:cs="Arial"/>
        </w:rPr>
        <w:t xml:space="preserve">.  </w:t>
      </w:r>
      <w:r w:rsidRPr="00D17CFA">
        <w:rPr>
          <w:rFonts w:ascii="Arial" w:hAnsi="Arial" w:cs="Arial"/>
        </w:rPr>
        <w:t xml:space="preserve">Report “not applicable” if FISH and karyotyping studies </w:t>
      </w:r>
      <w:proofErr w:type="gramStart"/>
      <w:r w:rsidRPr="00D17CFA">
        <w:rPr>
          <w:rFonts w:ascii="Arial" w:hAnsi="Arial" w:cs="Arial"/>
        </w:rPr>
        <w:t>have never previously been performed</w:t>
      </w:r>
      <w:proofErr w:type="gramEnd"/>
      <w:r w:rsidR="00692EC8">
        <w:rPr>
          <w:rFonts w:ascii="Arial" w:hAnsi="Arial" w:cs="Arial"/>
        </w:rPr>
        <w:t>, or have been performed but never previously</w:t>
      </w:r>
      <w:r w:rsidRPr="00D17CFA">
        <w:rPr>
          <w:rFonts w:ascii="Arial" w:hAnsi="Arial" w:cs="Arial"/>
        </w:rPr>
        <w:t xml:space="preserve"> shown cytogenetic abnormalities associated with the recipient’s primary transplant disease</w:t>
      </w:r>
      <w:r w:rsidR="00F91ED8">
        <w:rPr>
          <w:rFonts w:ascii="Arial" w:hAnsi="Arial" w:cs="Arial"/>
        </w:rPr>
        <w:t xml:space="preserve">.  </w:t>
      </w:r>
    </w:p>
    <w:p w14:paraId="0C2840A6" w14:textId="77777777" w:rsidR="008903E5" w:rsidRPr="00143B43" w:rsidRDefault="008903E5" w:rsidP="00770BD6">
      <w:pPr>
        <w:autoSpaceDE w:val="0"/>
        <w:autoSpaceDN w:val="0"/>
        <w:adjustRightInd w:val="0"/>
        <w:rPr>
          <w:rFonts w:ascii="Arial" w:hAnsi="Arial" w:cs="Arial"/>
          <w:b/>
          <w:highlight w:val="yellow"/>
        </w:rPr>
      </w:pPr>
    </w:p>
    <w:p w14:paraId="7F44CA1C" w14:textId="26F6B9D8" w:rsidR="008903E5" w:rsidRDefault="008903E5" w:rsidP="00770BD6">
      <w:pPr>
        <w:autoSpaceDE w:val="0"/>
        <w:autoSpaceDN w:val="0"/>
        <w:adjustRightInd w:val="0"/>
        <w:rPr>
          <w:rFonts w:ascii="Arial" w:hAnsi="Arial" w:cs="Arial"/>
          <w:b/>
        </w:rPr>
      </w:pPr>
      <w:proofErr w:type="gramStart"/>
      <w:r w:rsidRPr="00675C4D">
        <w:rPr>
          <w:rFonts w:ascii="Arial" w:hAnsi="Arial" w:cs="Arial"/>
          <w:b/>
        </w:rPr>
        <w:t xml:space="preserve">Question 87: </w:t>
      </w:r>
      <w:r w:rsidR="005A3F32">
        <w:rPr>
          <w:rFonts w:ascii="Arial" w:hAnsi="Arial" w:cs="Arial"/>
          <w:b/>
        </w:rPr>
        <w:t xml:space="preserve"> </w:t>
      </w:r>
      <w:r w:rsidRPr="00675C4D">
        <w:rPr>
          <w:rFonts w:ascii="Arial" w:hAnsi="Arial" w:cs="Arial"/>
          <w:b/>
        </w:rPr>
        <w:t>Was the disease status assessed via FISH?</w:t>
      </w:r>
      <w:proofErr w:type="gramEnd"/>
    </w:p>
    <w:p w14:paraId="373229F6" w14:textId="1A8087E7" w:rsidR="00696B14" w:rsidRDefault="00696B14" w:rsidP="00770BD6">
      <w:pPr>
        <w:autoSpaceDE w:val="0"/>
        <w:autoSpaceDN w:val="0"/>
        <w:adjustRightInd w:val="0"/>
        <w:rPr>
          <w:rFonts w:ascii="Arial" w:hAnsi="Arial" w:cs="Arial"/>
        </w:rPr>
      </w:pPr>
      <w:r w:rsidRPr="00696B14">
        <w:rPr>
          <w:rFonts w:ascii="Arial" w:hAnsi="Arial" w:cs="Arial"/>
        </w:rPr>
        <w:t>FISH XX/XY probe sets are not considered relevant to disease assessment, and should not be reported in the disease assessment section.</w:t>
      </w:r>
    </w:p>
    <w:p w14:paraId="4FEA71F9" w14:textId="77777777" w:rsidR="00696B14" w:rsidRPr="00675C4D" w:rsidRDefault="00696B14" w:rsidP="00770BD6">
      <w:pPr>
        <w:autoSpaceDE w:val="0"/>
        <w:autoSpaceDN w:val="0"/>
        <w:adjustRightInd w:val="0"/>
        <w:rPr>
          <w:rFonts w:ascii="Arial" w:hAnsi="Arial" w:cs="Arial"/>
          <w:b/>
        </w:rPr>
      </w:pPr>
    </w:p>
    <w:p w14:paraId="582A4B47" w14:textId="2FB5DAB3" w:rsidR="00692EC8" w:rsidRPr="00675C4D" w:rsidRDefault="00692EC8" w:rsidP="00692EC8">
      <w:pPr>
        <w:autoSpaceDE w:val="0"/>
        <w:autoSpaceDN w:val="0"/>
        <w:adjustRightInd w:val="0"/>
        <w:rPr>
          <w:rFonts w:ascii="Arial" w:hAnsi="Arial" w:cs="Arial"/>
        </w:rPr>
      </w:pPr>
      <w:r w:rsidRPr="00675C4D">
        <w:rPr>
          <w:rFonts w:ascii="Arial" w:hAnsi="Arial" w:cs="Arial"/>
        </w:rPr>
        <w:t>For recipients with “complete remission” selected for question 76: Select “yes” if a FISH disease assessment was performed at the time complete remission was established; if no FISH disease assessment was performed at the time of complete remission assessment, report the FISH study nearest that time and within the reporting period in which complete remission was established</w:t>
      </w:r>
      <w:r w:rsidR="00F91ED8">
        <w:rPr>
          <w:rFonts w:ascii="Arial" w:hAnsi="Arial" w:cs="Arial"/>
        </w:rPr>
        <w:t xml:space="preserve">.  </w:t>
      </w:r>
      <w:r w:rsidRPr="00675C4D">
        <w:rPr>
          <w:rFonts w:ascii="Arial" w:hAnsi="Arial" w:cs="Arial"/>
          <w:u w:val="single"/>
        </w:rPr>
        <w:t>Do not</w:t>
      </w:r>
      <w:r w:rsidRPr="00675C4D">
        <w:rPr>
          <w:rFonts w:ascii="Arial" w:hAnsi="Arial" w:cs="Arial"/>
        </w:rPr>
        <w:t xml:space="preserve"> report a FISH disease assessment performed at the time of relapse or progression, if applicable</w:t>
      </w:r>
      <w:r w:rsidR="00F91ED8">
        <w:rPr>
          <w:rFonts w:ascii="Arial" w:hAnsi="Arial" w:cs="Arial"/>
        </w:rPr>
        <w:t xml:space="preserve">.  </w:t>
      </w:r>
      <w:r w:rsidRPr="00675C4D">
        <w:rPr>
          <w:rFonts w:ascii="Arial" w:hAnsi="Arial" w:cs="Arial"/>
        </w:rPr>
        <w:t xml:space="preserve">Indicate “no” if FISH disease assessments </w:t>
      </w:r>
      <w:proofErr w:type="gramStart"/>
      <w:r w:rsidRPr="00675C4D">
        <w:rPr>
          <w:rFonts w:ascii="Arial" w:hAnsi="Arial" w:cs="Arial"/>
        </w:rPr>
        <w:t>were not performed</w:t>
      </w:r>
      <w:proofErr w:type="gramEnd"/>
      <w:r w:rsidRPr="00675C4D">
        <w:rPr>
          <w:rFonts w:ascii="Arial" w:hAnsi="Arial" w:cs="Arial"/>
        </w:rPr>
        <w:t xml:space="preserve"> in the reporting period </w:t>
      </w:r>
      <w:r w:rsidRPr="00675C4D">
        <w:rPr>
          <w:rFonts w:ascii="Arial" w:hAnsi="Arial" w:cs="Arial"/>
          <w:u w:val="single"/>
        </w:rPr>
        <w:t>or</w:t>
      </w:r>
      <w:r w:rsidRPr="00675C4D">
        <w:rPr>
          <w:rFonts w:ascii="Arial" w:hAnsi="Arial" w:cs="Arial"/>
        </w:rPr>
        <w:t xml:space="preserve"> were only performed at the time of relapse or progression</w:t>
      </w:r>
      <w:r w:rsidR="00F91ED8">
        <w:rPr>
          <w:rFonts w:ascii="Arial" w:hAnsi="Arial" w:cs="Arial"/>
        </w:rPr>
        <w:t xml:space="preserve">.  </w:t>
      </w:r>
      <w:r w:rsidRPr="00675C4D">
        <w:rPr>
          <w:rFonts w:ascii="Arial" w:hAnsi="Arial" w:cs="Arial"/>
        </w:rPr>
        <w:t xml:space="preserve">Indicate “not applicable” if </w:t>
      </w:r>
      <w:r w:rsidR="00724BE0" w:rsidRPr="00675C4D">
        <w:rPr>
          <w:rFonts w:ascii="Arial" w:hAnsi="Arial" w:cs="Arial"/>
        </w:rPr>
        <w:t>FISH</w:t>
      </w:r>
      <w:r w:rsidRPr="00675C4D">
        <w:rPr>
          <w:rFonts w:ascii="Arial" w:hAnsi="Arial" w:cs="Arial"/>
        </w:rPr>
        <w:t xml:space="preserve"> stud</w:t>
      </w:r>
      <w:r w:rsidR="00724BE0" w:rsidRPr="00675C4D">
        <w:rPr>
          <w:rFonts w:ascii="Arial" w:hAnsi="Arial" w:cs="Arial"/>
        </w:rPr>
        <w:t>i</w:t>
      </w:r>
      <w:r w:rsidRPr="00675C4D">
        <w:rPr>
          <w:rFonts w:ascii="Arial" w:hAnsi="Arial" w:cs="Arial"/>
        </w:rPr>
        <w:t xml:space="preserve">es have never previously been performed, or have been performed but never previously shown </w:t>
      </w:r>
      <w:r w:rsidR="00724BE0" w:rsidRPr="00675C4D">
        <w:rPr>
          <w:rFonts w:ascii="Arial" w:hAnsi="Arial" w:cs="Arial"/>
        </w:rPr>
        <w:t>FISH</w:t>
      </w:r>
      <w:r w:rsidRPr="00675C4D">
        <w:rPr>
          <w:rFonts w:ascii="Arial" w:hAnsi="Arial" w:cs="Arial"/>
        </w:rPr>
        <w:t xml:space="preserve"> abnormalities associated with the recipient’s primary transplant disease</w:t>
      </w:r>
      <w:r w:rsidR="00724BE0" w:rsidRPr="00675C4D">
        <w:rPr>
          <w:rFonts w:ascii="Arial" w:hAnsi="Arial" w:cs="Arial"/>
        </w:rPr>
        <w:t>.</w:t>
      </w:r>
    </w:p>
    <w:p w14:paraId="6996BFA0" w14:textId="77777777" w:rsidR="00692EC8" w:rsidRPr="00675C4D" w:rsidRDefault="00692EC8" w:rsidP="00692EC8">
      <w:pPr>
        <w:autoSpaceDE w:val="0"/>
        <w:autoSpaceDN w:val="0"/>
        <w:adjustRightInd w:val="0"/>
        <w:rPr>
          <w:rFonts w:ascii="Arial" w:hAnsi="Arial" w:cs="Arial"/>
        </w:rPr>
      </w:pPr>
    </w:p>
    <w:p w14:paraId="57425F59" w14:textId="3F79994A" w:rsidR="00692EC8" w:rsidRPr="00E60D7F" w:rsidRDefault="00692EC8" w:rsidP="00692EC8">
      <w:pPr>
        <w:autoSpaceDE w:val="0"/>
        <w:autoSpaceDN w:val="0"/>
        <w:adjustRightInd w:val="0"/>
        <w:rPr>
          <w:rFonts w:ascii="Arial" w:hAnsi="Arial" w:cs="Arial"/>
        </w:rPr>
      </w:pPr>
      <w:r w:rsidRPr="00675C4D">
        <w:rPr>
          <w:rFonts w:ascii="Arial" w:hAnsi="Arial" w:cs="Arial"/>
        </w:rPr>
        <w:t xml:space="preserve">For recipients “not in complete remission” selected for question 76: Select “yes” if a </w:t>
      </w:r>
      <w:r w:rsidR="00724BE0" w:rsidRPr="00675C4D">
        <w:rPr>
          <w:rFonts w:ascii="Arial" w:hAnsi="Arial" w:cs="Arial"/>
        </w:rPr>
        <w:t xml:space="preserve">FISH </w:t>
      </w:r>
      <w:r w:rsidRPr="00675C4D">
        <w:rPr>
          <w:rFonts w:ascii="Arial" w:hAnsi="Arial" w:cs="Arial"/>
        </w:rPr>
        <w:t xml:space="preserve">disease assessment </w:t>
      </w:r>
      <w:proofErr w:type="gramStart"/>
      <w:r w:rsidRPr="00675C4D">
        <w:rPr>
          <w:rFonts w:ascii="Arial" w:hAnsi="Arial" w:cs="Arial"/>
        </w:rPr>
        <w:t>was performed</w:t>
      </w:r>
      <w:proofErr w:type="gramEnd"/>
      <w:r w:rsidRPr="00675C4D">
        <w:rPr>
          <w:rFonts w:ascii="Arial" w:hAnsi="Arial" w:cs="Arial"/>
        </w:rPr>
        <w:t xml:space="preserve"> within the reporting period</w:t>
      </w:r>
      <w:r w:rsidR="00F91ED8">
        <w:rPr>
          <w:rFonts w:ascii="Arial" w:hAnsi="Arial" w:cs="Arial"/>
        </w:rPr>
        <w:t xml:space="preserve">.  </w:t>
      </w:r>
      <w:r w:rsidR="00CC5120">
        <w:rPr>
          <w:rFonts w:ascii="Arial" w:hAnsi="Arial" w:cs="Arial"/>
        </w:rPr>
        <w:t>Report the results of the most recent study</w:t>
      </w:r>
      <w:r w:rsidR="00CC5120" w:rsidRPr="000E2ACC">
        <w:rPr>
          <w:rFonts w:ascii="Arial" w:hAnsi="Arial" w:cs="Arial"/>
        </w:rPr>
        <w:t xml:space="preserve"> </w:t>
      </w:r>
      <w:r w:rsidR="00CC5120">
        <w:rPr>
          <w:rFonts w:ascii="Arial" w:hAnsi="Arial" w:cs="Arial"/>
        </w:rPr>
        <w:t>if multiple assessments were performed during the reporting period</w:t>
      </w:r>
      <w:proofErr w:type="gramStart"/>
      <w:r w:rsidR="00CC5120">
        <w:rPr>
          <w:rFonts w:ascii="Arial" w:hAnsi="Arial" w:cs="Arial"/>
        </w:rPr>
        <w:t xml:space="preserve">. </w:t>
      </w:r>
      <w:proofErr w:type="gramEnd"/>
      <w:r w:rsidRPr="00675C4D">
        <w:rPr>
          <w:rFonts w:ascii="Arial" w:hAnsi="Arial" w:cs="Arial"/>
        </w:rPr>
        <w:t xml:space="preserve">Indicate “no” </w:t>
      </w:r>
      <w:proofErr w:type="gramStart"/>
      <w:r w:rsidRPr="00675C4D">
        <w:rPr>
          <w:rFonts w:ascii="Arial" w:hAnsi="Arial" w:cs="Arial"/>
        </w:rPr>
        <w:t xml:space="preserve">if there were no </w:t>
      </w:r>
      <w:r w:rsidR="00724BE0" w:rsidRPr="00675C4D">
        <w:rPr>
          <w:rFonts w:ascii="Arial" w:hAnsi="Arial" w:cs="Arial"/>
        </w:rPr>
        <w:t>FISH</w:t>
      </w:r>
      <w:r w:rsidRPr="00675C4D">
        <w:rPr>
          <w:rFonts w:ascii="Arial" w:hAnsi="Arial" w:cs="Arial"/>
        </w:rPr>
        <w:t xml:space="preserve"> assessments performed within the reporting period</w:t>
      </w:r>
      <w:proofErr w:type="gramEnd"/>
      <w:r w:rsidR="00F91ED8">
        <w:rPr>
          <w:rFonts w:ascii="Arial" w:hAnsi="Arial" w:cs="Arial"/>
        </w:rPr>
        <w:t xml:space="preserve">.  </w:t>
      </w:r>
      <w:r w:rsidRPr="00675C4D">
        <w:rPr>
          <w:rFonts w:ascii="Arial" w:hAnsi="Arial" w:cs="Arial"/>
        </w:rPr>
        <w:t xml:space="preserve">Indicate “not applicable” if </w:t>
      </w:r>
      <w:r w:rsidR="00724BE0" w:rsidRPr="00675C4D">
        <w:rPr>
          <w:rFonts w:ascii="Arial" w:hAnsi="Arial" w:cs="Arial"/>
        </w:rPr>
        <w:t>FISH</w:t>
      </w:r>
      <w:r w:rsidRPr="00675C4D">
        <w:rPr>
          <w:rFonts w:ascii="Arial" w:hAnsi="Arial" w:cs="Arial"/>
        </w:rPr>
        <w:t xml:space="preserve"> studies have never previously been performed,</w:t>
      </w:r>
      <w:r w:rsidR="00724BE0" w:rsidRPr="00675C4D">
        <w:rPr>
          <w:rFonts w:ascii="Arial" w:hAnsi="Arial" w:cs="Arial"/>
        </w:rPr>
        <w:t xml:space="preserve"> or had been performed but</w:t>
      </w:r>
      <w:r w:rsidRPr="00675C4D">
        <w:rPr>
          <w:rFonts w:ascii="Arial" w:hAnsi="Arial" w:cs="Arial"/>
        </w:rPr>
        <w:t xml:space="preserve"> never previously shown </w:t>
      </w:r>
      <w:r w:rsidR="00724BE0" w:rsidRPr="00675C4D">
        <w:rPr>
          <w:rFonts w:ascii="Arial" w:hAnsi="Arial" w:cs="Arial"/>
        </w:rPr>
        <w:t>FISH</w:t>
      </w:r>
      <w:r w:rsidRPr="00675C4D">
        <w:rPr>
          <w:rFonts w:ascii="Arial" w:hAnsi="Arial" w:cs="Arial"/>
        </w:rPr>
        <w:t xml:space="preserve"> abnormalities associated with the recipient’s primary transplant disease</w:t>
      </w:r>
      <w:r w:rsidR="00724BE0" w:rsidRPr="00675C4D">
        <w:rPr>
          <w:rFonts w:ascii="Arial" w:hAnsi="Arial" w:cs="Arial"/>
        </w:rPr>
        <w:t>.</w:t>
      </w:r>
    </w:p>
    <w:p w14:paraId="0D0AA204" w14:textId="77777777" w:rsidR="008903E5" w:rsidRPr="00143B43" w:rsidRDefault="008903E5" w:rsidP="00770BD6">
      <w:pPr>
        <w:autoSpaceDE w:val="0"/>
        <w:autoSpaceDN w:val="0"/>
        <w:adjustRightInd w:val="0"/>
        <w:rPr>
          <w:rFonts w:ascii="Arial" w:hAnsi="Arial" w:cs="Arial"/>
          <w:b/>
          <w:highlight w:val="yellow"/>
        </w:rPr>
      </w:pPr>
    </w:p>
    <w:p w14:paraId="6BF62115" w14:textId="624451A8" w:rsidR="008903E5" w:rsidRPr="00675C4D" w:rsidRDefault="007E1D5D" w:rsidP="00770BD6">
      <w:pPr>
        <w:autoSpaceDE w:val="0"/>
        <w:autoSpaceDN w:val="0"/>
        <w:adjustRightInd w:val="0"/>
        <w:rPr>
          <w:rFonts w:ascii="Arial" w:hAnsi="Arial" w:cs="Arial"/>
          <w:b/>
        </w:rPr>
      </w:pPr>
      <w:r w:rsidRPr="00675C4D">
        <w:rPr>
          <w:rFonts w:ascii="Arial" w:hAnsi="Arial" w:cs="Arial"/>
          <w:b/>
        </w:rPr>
        <w:t>Question 88:</w:t>
      </w:r>
      <w:r w:rsidR="005A3F32">
        <w:rPr>
          <w:rFonts w:ascii="Arial" w:hAnsi="Arial" w:cs="Arial"/>
          <w:b/>
        </w:rPr>
        <w:t xml:space="preserve"> </w:t>
      </w:r>
      <w:r w:rsidRPr="00675C4D">
        <w:rPr>
          <w:rFonts w:ascii="Arial" w:hAnsi="Arial" w:cs="Arial"/>
          <w:b/>
        </w:rPr>
        <w:t xml:space="preserve"> Date assessed</w:t>
      </w:r>
    </w:p>
    <w:p w14:paraId="7D1E0424" w14:textId="45D185E5" w:rsidR="00675C4D" w:rsidRPr="00A3340A" w:rsidRDefault="00675C4D" w:rsidP="00675C4D">
      <w:pPr>
        <w:rPr>
          <w:rFonts w:ascii="Arial" w:hAnsi="Arial" w:cs="Arial"/>
        </w:rPr>
      </w:pPr>
      <w:r w:rsidRPr="00A3340A">
        <w:rPr>
          <w:rFonts w:ascii="Arial" w:hAnsi="Arial" w:cs="Arial"/>
        </w:rPr>
        <w:t>Report the d</w:t>
      </w:r>
      <w:r>
        <w:rPr>
          <w:rFonts w:ascii="Arial" w:hAnsi="Arial" w:cs="Arial"/>
        </w:rPr>
        <w:t>ate of specimen collection for FISH</w:t>
      </w:r>
      <w:r w:rsidRPr="00A3340A">
        <w:rPr>
          <w:rFonts w:ascii="Arial" w:hAnsi="Arial" w:cs="Arial"/>
        </w:rPr>
        <w:t xml:space="preserve"> assessment</w:t>
      </w:r>
      <w:r w:rsidR="00F91ED8">
        <w:rPr>
          <w:rFonts w:ascii="Arial" w:hAnsi="Arial" w:cs="Arial"/>
        </w:rPr>
        <w:t xml:space="preserve">.  </w:t>
      </w:r>
      <w:r w:rsidRPr="00A3340A">
        <w:rPr>
          <w:rFonts w:ascii="Arial" w:hAnsi="Arial" w:cs="Arial"/>
        </w:rPr>
        <w:t>If exact date is not known, r</w:t>
      </w:r>
      <w:r w:rsidRPr="00A3340A">
        <w:rPr>
          <w:rFonts w:ascii="Arial" w:hAnsi="Arial" w:cs="Arial"/>
          <w:color w:val="000000"/>
        </w:rPr>
        <w:t xml:space="preserve">efer to </w:t>
      </w:r>
      <w:r w:rsidRPr="00A3340A">
        <w:rPr>
          <w:rFonts w:ascii="Arial" w:hAnsi="Arial" w:cs="Arial"/>
        </w:rPr>
        <w:t xml:space="preserve">General Instructions, </w:t>
      </w:r>
      <w:hyperlink r:id="rId28" w:history="1">
        <w:r w:rsidRPr="00A3340A">
          <w:rPr>
            <w:rStyle w:val="Hyperlink"/>
            <w:rFonts w:ascii="Arial" w:hAnsi="Arial" w:cs="Arial"/>
          </w:rPr>
          <w:t>General Guidelines for Completing Forms</w:t>
        </w:r>
      </w:hyperlink>
      <w:r w:rsidRPr="00A3340A">
        <w:rPr>
          <w:rFonts w:ascii="Arial" w:hAnsi="Arial" w:cs="Arial"/>
        </w:rPr>
        <w:t>, for information about reporting partial or unknown dates.</w:t>
      </w:r>
    </w:p>
    <w:p w14:paraId="6DB23A5E" w14:textId="77777777" w:rsidR="008903E5" w:rsidRPr="00143B43" w:rsidRDefault="008903E5" w:rsidP="00770BD6">
      <w:pPr>
        <w:autoSpaceDE w:val="0"/>
        <w:autoSpaceDN w:val="0"/>
        <w:adjustRightInd w:val="0"/>
        <w:rPr>
          <w:rFonts w:ascii="Arial" w:hAnsi="Arial" w:cs="Arial"/>
          <w:b/>
          <w:highlight w:val="yellow"/>
        </w:rPr>
      </w:pPr>
    </w:p>
    <w:p w14:paraId="69762474" w14:textId="71FD9117" w:rsidR="008903E5" w:rsidRPr="00696B14" w:rsidRDefault="008903E5" w:rsidP="00770BD6">
      <w:pPr>
        <w:autoSpaceDE w:val="0"/>
        <w:autoSpaceDN w:val="0"/>
        <w:adjustRightInd w:val="0"/>
        <w:rPr>
          <w:rFonts w:ascii="Arial" w:hAnsi="Arial" w:cs="Arial"/>
          <w:b/>
        </w:rPr>
      </w:pPr>
      <w:proofErr w:type="gramStart"/>
      <w:r w:rsidRPr="00696B14">
        <w:rPr>
          <w:rFonts w:ascii="Arial" w:hAnsi="Arial" w:cs="Arial"/>
          <w:b/>
        </w:rPr>
        <w:t xml:space="preserve">Question 89: </w:t>
      </w:r>
      <w:r w:rsidR="005A3F32">
        <w:rPr>
          <w:rFonts w:ascii="Arial" w:hAnsi="Arial" w:cs="Arial"/>
          <w:b/>
        </w:rPr>
        <w:t xml:space="preserve"> </w:t>
      </w:r>
      <w:r w:rsidRPr="00696B14">
        <w:rPr>
          <w:rFonts w:ascii="Arial" w:hAnsi="Arial" w:cs="Arial"/>
          <w:b/>
        </w:rPr>
        <w:t>Was disease detected?</w:t>
      </w:r>
      <w:proofErr w:type="gramEnd"/>
    </w:p>
    <w:p w14:paraId="71F674DA" w14:textId="5D94F970" w:rsidR="00662EC3" w:rsidRPr="00696B14" w:rsidRDefault="00696B14" w:rsidP="00662EC3">
      <w:pPr>
        <w:rPr>
          <w:rFonts w:ascii="Arial" w:hAnsi="Arial" w:cs="Arial"/>
        </w:rPr>
      </w:pPr>
      <w:r w:rsidRPr="00696B14">
        <w:rPr>
          <w:rFonts w:ascii="Arial" w:hAnsi="Arial" w:cs="Arial"/>
        </w:rPr>
        <w:t xml:space="preserve">Report whether FISH abnormalities associated with the primary transplant disease were detected. </w:t>
      </w:r>
    </w:p>
    <w:p w14:paraId="16EDC6EF" w14:textId="77777777" w:rsidR="008903E5" w:rsidRPr="00143B43" w:rsidRDefault="008903E5" w:rsidP="00770BD6">
      <w:pPr>
        <w:autoSpaceDE w:val="0"/>
        <w:autoSpaceDN w:val="0"/>
        <w:adjustRightInd w:val="0"/>
        <w:rPr>
          <w:rFonts w:ascii="Arial" w:hAnsi="Arial" w:cs="Arial"/>
          <w:b/>
          <w:highlight w:val="yellow"/>
        </w:rPr>
      </w:pPr>
    </w:p>
    <w:p w14:paraId="3AF57C7E" w14:textId="27B41140" w:rsidR="008903E5" w:rsidRPr="00675C4D" w:rsidRDefault="008903E5" w:rsidP="00770BD6">
      <w:pPr>
        <w:autoSpaceDE w:val="0"/>
        <w:autoSpaceDN w:val="0"/>
        <w:adjustRightInd w:val="0"/>
        <w:rPr>
          <w:rFonts w:ascii="Arial" w:hAnsi="Arial" w:cs="Arial"/>
          <w:b/>
        </w:rPr>
      </w:pPr>
      <w:proofErr w:type="gramStart"/>
      <w:r w:rsidRPr="00675C4D">
        <w:rPr>
          <w:rFonts w:ascii="Arial" w:hAnsi="Arial" w:cs="Arial"/>
          <w:b/>
        </w:rPr>
        <w:t>Question 90:</w:t>
      </w:r>
      <w:r w:rsidR="005A3F32">
        <w:rPr>
          <w:rFonts w:ascii="Arial" w:hAnsi="Arial" w:cs="Arial"/>
          <w:b/>
        </w:rPr>
        <w:t xml:space="preserve"> </w:t>
      </w:r>
      <w:r w:rsidRPr="00675C4D">
        <w:rPr>
          <w:rFonts w:ascii="Arial" w:hAnsi="Arial" w:cs="Arial"/>
          <w:b/>
        </w:rPr>
        <w:t xml:space="preserve"> Was the disease status assessed via karyotyping?</w:t>
      </w:r>
      <w:proofErr w:type="gramEnd"/>
    </w:p>
    <w:p w14:paraId="226B20F1" w14:textId="42067B53" w:rsidR="00675C4D" w:rsidRPr="00675C4D" w:rsidRDefault="00675C4D" w:rsidP="00675C4D">
      <w:pPr>
        <w:autoSpaceDE w:val="0"/>
        <w:autoSpaceDN w:val="0"/>
        <w:adjustRightInd w:val="0"/>
        <w:rPr>
          <w:rFonts w:ascii="Arial" w:hAnsi="Arial" w:cs="Arial"/>
        </w:rPr>
      </w:pPr>
      <w:r w:rsidRPr="00675C4D">
        <w:rPr>
          <w:rFonts w:ascii="Arial" w:hAnsi="Arial" w:cs="Arial"/>
        </w:rPr>
        <w:t xml:space="preserve">For recipients with “complete remission” selected for question 76: </w:t>
      </w:r>
      <w:r w:rsidR="005A3F32">
        <w:rPr>
          <w:rFonts w:ascii="Arial" w:hAnsi="Arial" w:cs="Arial"/>
        </w:rPr>
        <w:t xml:space="preserve"> </w:t>
      </w:r>
      <w:r w:rsidRPr="00675C4D">
        <w:rPr>
          <w:rFonts w:ascii="Arial" w:hAnsi="Arial" w:cs="Arial"/>
        </w:rPr>
        <w:t xml:space="preserve">Select “yes” if karyotyping </w:t>
      </w:r>
      <w:proofErr w:type="gramStart"/>
      <w:r w:rsidRPr="00675C4D">
        <w:rPr>
          <w:rFonts w:ascii="Arial" w:hAnsi="Arial" w:cs="Arial"/>
        </w:rPr>
        <w:t>was performed</w:t>
      </w:r>
      <w:proofErr w:type="gramEnd"/>
      <w:r w:rsidRPr="00675C4D">
        <w:rPr>
          <w:rFonts w:ascii="Arial" w:hAnsi="Arial" w:cs="Arial"/>
        </w:rPr>
        <w:t xml:space="preserve"> at the time complete remission was established; if no karyotyping was performed at the time of complete remission assessment, report the karyotyping performed nearest that time and within the reporting period in which complete remission was established</w:t>
      </w:r>
      <w:r w:rsidR="00F91ED8">
        <w:rPr>
          <w:rFonts w:ascii="Arial" w:hAnsi="Arial" w:cs="Arial"/>
        </w:rPr>
        <w:t xml:space="preserve">.  </w:t>
      </w:r>
      <w:r w:rsidRPr="00675C4D">
        <w:rPr>
          <w:rFonts w:ascii="Arial" w:hAnsi="Arial" w:cs="Arial"/>
          <w:u w:val="single"/>
        </w:rPr>
        <w:t>Do not</w:t>
      </w:r>
      <w:r w:rsidRPr="00675C4D">
        <w:rPr>
          <w:rFonts w:ascii="Arial" w:hAnsi="Arial" w:cs="Arial"/>
        </w:rPr>
        <w:t xml:space="preserve"> report karyotyping performed at the time of </w:t>
      </w:r>
      <w:r w:rsidRPr="00675C4D">
        <w:rPr>
          <w:rFonts w:ascii="Arial" w:hAnsi="Arial" w:cs="Arial"/>
        </w:rPr>
        <w:lastRenderedPageBreak/>
        <w:t>relapse or progression, if applicable</w:t>
      </w:r>
      <w:r w:rsidR="00F91ED8">
        <w:rPr>
          <w:rFonts w:ascii="Arial" w:hAnsi="Arial" w:cs="Arial"/>
        </w:rPr>
        <w:t xml:space="preserve">.  </w:t>
      </w:r>
      <w:r w:rsidRPr="00675C4D">
        <w:rPr>
          <w:rFonts w:ascii="Arial" w:hAnsi="Arial" w:cs="Arial"/>
        </w:rPr>
        <w:t xml:space="preserve">Indicate “no” if karyotyping </w:t>
      </w:r>
      <w:proofErr w:type="gramStart"/>
      <w:r w:rsidRPr="00675C4D">
        <w:rPr>
          <w:rFonts w:ascii="Arial" w:hAnsi="Arial" w:cs="Arial"/>
        </w:rPr>
        <w:t>was not performed</w:t>
      </w:r>
      <w:proofErr w:type="gramEnd"/>
      <w:r w:rsidRPr="00675C4D">
        <w:rPr>
          <w:rFonts w:ascii="Arial" w:hAnsi="Arial" w:cs="Arial"/>
        </w:rPr>
        <w:t xml:space="preserve"> in the reporting period </w:t>
      </w:r>
      <w:r w:rsidRPr="00675C4D">
        <w:rPr>
          <w:rFonts w:ascii="Arial" w:hAnsi="Arial" w:cs="Arial"/>
          <w:u w:val="single"/>
        </w:rPr>
        <w:t>or</w:t>
      </w:r>
      <w:r w:rsidRPr="00675C4D">
        <w:rPr>
          <w:rFonts w:ascii="Arial" w:hAnsi="Arial" w:cs="Arial"/>
        </w:rPr>
        <w:t xml:space="preserve"> was only performed at the time of relapse or progression</w:t>
      </w:r>
      <w:r w:rsidR="00F91ED8">
        <w:rPr>
          <w:rFonts w:ascii="Arial" w:hAnsi="Arial" w:cs="Arial"/>
        </w:rPr>
        <w:t xml:space="preserve">.  </w:t>
      </w:r>
      <w:r w:rsidRPr="00675C4D">
        <w:rPr>
          <w:rFonts w:ascii="Arial" w:hAnsi="Arial" w:cs="Arial"/>
        </w:rPr>
        <w:t>Indicate “not applicable” if karyotyping has never previously been performed, or has been performed but never previously shown abnormalities associated with the recipient’s primary transplant disease.</w:t>
      </w:r>
    </w:p>
    <w:p w14:paraId="02DB7DB2" w14:textId="77777777" w:rsidR="00675C4D" w:rsidRPr="00675C4D" w:rsidRDefault="00675C4D" w:rsidP="00675C4D">
      <w:pPr>
        <w:autoSpaceDE w:val="0"/>
        <w:autoSpaceDN w:val="0"/>
        <w:adjustRightInd w:val="0"/>
        <w:rPr>
          <w:rFonts w:ascii="Arial" w:hAnsi="Arial" w:cs="Arial"/>
        </w:rPr>
      </w:pPr>
    </w:p>
    <w:p w14:paraId="3971B55C" w14:textId="3EC07E1C" w:rsidR="00675C4D" w:rsidRPr="00675C4D" w:rsidRDefault="00675C4D" w:rsidP="00675C4D">
      <w:pPr>
        <w:autoSpaceDE w:val="0"/>
        <w:autoSpaceDN w:val="0"/>
        <w:adjustRightInd w:val="0"/>
        <w:rPr>
          <w:rFonts w:ascii="Arial" w:hAnsi="Arial" w:cs="Arial"/>
        </w:rPr>
      </w:pPr>
      <w:r w:rsidRPr="00675C4D">
        <w:rPr>
          <w:rFonts w:ascii="Arial" w:hAnsi="Arial" w:cs="Arial"/>
        </w:rPr>
        <w:t xml:space="preserve">For recipients “not in complete remission” selected for question 76: Select “yes” if a karyotyping </w:t>
      </w:r>
      <w:proofErr w:type="gramStart"/>
      <w:r w:rsidRPr="00675C4D">
        <w:rPr>
          <w:rFonts w:ascii="Arial" w:hAnsi="Arial" w:cs="Arial"/>
        </w:rPr>
        <w:t>was performed</w:t>
      </w:r>
      <w:proofErr w:type="gramEnd"/>
      <w:r w:rsidRPr="00675C4D">
        <w:rPr>
          <w:rFonts w:ascii="Arial" w:hAnsi="Arial" w:cs="Arial"/>
        </w:rPr>
        <w:t xml:space="preserve"> within the reporting period</w:t>
      </w:r>
      <w:r w:rsidR="00F91ED8">
        <w:rPr>
          <w:rFonts w:ascii="Arial" w:hAnsi="Arial" w:cs="Arial"/>
        </w:rPr>
        <w:t xml:space="preserve">.  </w:t>
      </w:r>
      <w:r w:rsidR="00CC5120">
        <w:rPr>
          <w:rFonts w:ascii="Arial" w:hAnsi="Arial" w:cs="Arial"/>
        </w:rPr>
        <w:t>Report the results of the most recent study</w:t>
      </w:r>
      <w:r w:rsidR="00CC5120" w:rsidRPr="000E2ACC">
        <w:rPr>
          <w:rFonts w:ascii="Arial" w:hAnsi="Arial" w:cs="Arial"/>
        </w:rPr>
        <w:t xml:space="preserve"> </w:t>
      </w:r>
      <w:r w:rsidR="00CC5120">
        <w:rPr>
          <w:rFonts w:ascii="Arial" w:hAnsi="Arial" w:cs="Arial"/>
        </w:rPr>
        <w:t>if multiple assessments were performed during the reporting period</w:t>
      </w:r>
      <w:proofErr w:type="gramStart"/>
      <w:r w:rsidR="00CC5120">
        <w:rPr>
          <w:rFonts w:ascii="Arial" w:hAnsi="Arial" w:cs="Arial"/>
        </w:rPr>
        <w:t xml:space="preserve">. </w:t>
      </w:r>
      <w:proofErr w:type="gramEnd"/>
      <w:r w:rsidRPr="00675C4D">
        <w:rPr>
          <w:rFonts w:ascii="Arial" w:hAnsi="Arial" w:cs="Arial"/>
        </w:rPr>
        <w:t xml:space="preserve">Indicate “no” if karyotyping </w:t>
      </w:r>
      <w:proofErr w:type="gramStart"/>
      <w:r w:rsidRPr="00675C4D">
        <w:rPr>
          <w:rFonts w:ascii="Arial" w:hAnsi="Arial" w:cs="Arial"/>
        </w:rPr>
        <w:t>was not performed</w:t>
      </w:r>
      <w:proofErr w:type="gramEnd"/>
      <w:r w:rsidRPr="00675C4D">
        <w:rPr>
          <w:rFonts w:ascii="Arial" w:hAnsi="Arial" w:cs="Arial"/>
        </w:rPr>
        <w:t xml:space="preserve"> within the reporting period</w:t>
      </w:r>
      <w:r w:rsidR="00F91ED8">
        <w:rPr>
          <w:rFonts w:ascii="Arial" w:hAnsi="Arial" w:cs="Arial"/>
        </w:rPr>
        <w:t xml:space="preserve">.  </w:t>
      </w:r>
      <w:r w:rsidRPr="00675C4D">
        <w:rPr>
          <w:rFonts w:ascii="Arial" w:hAnsi="Arial" w:cs="Arial"/>
        </w:rPr>
        <w:t>Indicate “not applicable” if karyotyping had never previously been performed, or had been performed but never previously shown abnormalities associated with the recipient’s primary transplant disease.</w:t>
      </w:r>
    </w:p>
    <w:p w14:paraId="76B5B40E" w14:textId="77777777" w:rsidR="008903E5" w:rsidRPr="00675C4D" w:rsidRDefault="008903E5" w:rsidP="00770BD6">
      <w:pPr>
        <w:autoSpaceDE w:val="0"/>
        <w:autoSpaceDN w:val="0"/>
        <w:adjustRightInd w:val="0"/>
        <w:rPr>
          <w:rFonts w:ascii="Arial" w:hAnsi="Arial" w:cs="Arial"/>
          <w:b/>
        </w:rPr>
      </w:pPr>
    </w:p>
    <w:p w14:paraId="33C96576" w14:textId="0DB5E60A" w:rsidR="008903E5" w:rsidRPr="00675C4D" w:rsidRDefault="008903E5" w:rsidP="00770BD6">
      <w:pPr>
        <w:autoSpaceDE w:val="0"/>
        <w:autoSpaceDN w:val="0"/>
        <w:adjustRightInd w:val="0"/>
        <w:rPr>
          <w:rFonts w:ascii="Arial" w:hAnsi="Arial" w:cs="Arial"/>
          <w:b/>
        </w:rPr>
      </w:pPr>
      <w:r w:rsidRPr="00675C4D">
        <w:rPr>
          <w:rFonts w:ascii="Arial" w:hAnsi="Arial" w:cs="Arial"/>
          <w:b/>
        </w:rPr>
        <w:t xml:space="preserve">Question 91: </w:t>
      </w:r>
      <w:r w:rsidR="005A3F32">
        <w:rPr>
          <w:rFonts w:ascii="Arial" w:hAnsi="Arial" w:cs="Arial"/>
          <w:b/>
        </w:rPr>
        <w:t xml:space="preserve"> </w:t>
      </w:r>
      <w:r w:rsidRPr="00675C4D">
        <w:rPr>
          <w:rFonts w:ascii="Arial" w:hAnsi="Arial" w:cs="Arial"/>
          <w:b/>
        </w:rPr>
        <w:t>Date assesse</w:t>
      </w:r>
      <w:r w:rsidR="007E1D5D" w:rsidRPr="00675C4D">
        <w:rPr>
          <w:rFonts w:ascii="Arial" w:hAnsi="Arial" w:cs="Arial"/>
          <w:b/>
        </w:rPr>
        <w:t>d</w:t>
      </w:r>
    </w:p>
    <w:p w14:paraId="75D63F6F" w14:textId="5ABF9F50" w:rsidR="00675C4D" w:rsidRPr="00696B14" w:rsidRDefault="00675C4D" w:rsidP="00675C4D">
      <w:pPr>
        <w:rPr>
          <w:rFonts w:ascii="Arial" w:hAnsi="Arial" w:cs="Arial"/>
        </w:rPr>
      </w:pPr>
      <w:r w:rsidRPr="00675C4D">
        <w:rPr>
          <w:rFonts w:ascii="Arial" w:hAnsi="Arial" w:cs="Arial"/>
        </w:rPr>
        <w:t xml:space="preserve">Report the date of specimen collection for </w:t>
      </w:r>
      <w:r>
        <w:rPr>
          <w:rFonts w:ascii="Arial" w:hAnsi="Arial" w:cs="Arial"/>
        </w:rPr>
        <w:t>k</w:t>
      </w:r>
      <w:r w:rsidR="0077695B">
        <w:rPr>
          <w:rFonts w:ascii="Arial" w:hAnsi="Arial" w:cs="Arial"/>
        </w:rPr>
        <w:t>aryo</w:t>
      </w:r>
      <w:r>
        <w:rPr>
          <w:rFonts w:ascii="Arial" w:hAnsi="Arial" w:cs="Arial"/>
        </w:rPr>
        <w:t>ty</w:t>
      </w:r>
      <w:r w:rsidR="0077695B">
        <w:rPr>
          <w:rFonts w:ascii="Arial" w:hAnsi="Arial" w:cs="Arial"/>
        </w:rPr>
        <w:t>p</w:t>
      </w:r>
      <w:r>
        <w:rPr>
          <w:rFonts w:ascii="Arial" w:hAnsi="Arial" w:cs="Arial"/>
        </w:rPr>
        <w:t>ing</w:t>
      </w:r>
      <w:r w:rsidR="00F91ED8">
        <w:rPr>
          <w:rFonts w:ascii="Arial" w:hAnsi="Arial" w:cs="Arial"/>
        </w:rPr>
        <w:t xml:space="preserve">.  </w:t>
      </w:r>
      <w:r w:rsidRPr="00A3340A">
        <w:rPr>
          <w:rFonts w:ascii="Arial" w:hAnsi="Arial" w:cs="Arial"/>
        </w:rPr>
        <w:t>If exact date is not known, r</w:t>
      </w:r>
      <w:r w:rsidRPr="00A3340A">
        <w:rPr>
          <w:rFonts w:ascii="Arial" w:hAnsi="Arial" w:cs="Arial"/>
          <w:color w:val="000000"/>
        </w:rPr>
        <w:t xml:space="preserve">efer to </w:t>
      </w:r>
      <w:r w:rsidRPr="00A3340A">
        <w:rPr>
          <w:rFonts w:ascii="Arial" w:hAnsi="Arial" w:cs="Arial"/>
        </w:rPr>
        <w:t xml:space="preserve">General </w:t>
      </w:r>
      <w:r w:rsidRPr="00696B14">
        <w:rPr>
          <w:rFonts w:ascii="Arial" w:hAnsi="Arial" w:cs="Arial"/>
        </w:rPr>
        <w:t xml:space="preserve">Instructions, </w:t>
      </w:r>
      <w:hyperlink r:id="rId29" w:history="1">
        <w:r w:rsidRPr="00696B14">
          <w:rPr>
            <w:rStyle w:val="Hyperlink"/>
            <w:rFonts w:ascii="Arial" w:hAnsi="Arial" w:cs="Arial"/>
          </w:rPr>
          <w:t>General Guidelines for Completing Forms</w:t>
        </w:r>
      </w:hyperlink>
      <w:r w:rsidRPr="00696B14">
        <w:rPr>
          <w:rFonts w:ascii="Arial" w:hAnsi="Arial" w:cs="Arial"/>
        </w:rPr>
        <w:t>, for information about reporting partial or unknown dates.</w:t>
      </w:r>
    </w:p>
    <w:p w14:paraId="7EFD26F8" w14:textId="77777777" w:rsidR="008903E5" w:rsidRPr="00696B14" w:rsidRDefault="008903E5" w:rsidP="00770BD6">
      <w:pPr>
        <w:autoSpaceDE w:val="0"/>
        <w:autoSpaceDN w:val="0"/>
        <w:adjustRightInd w:val="0"/>
        <w:rPr>
          <w:rFonts w:ascii="Arial" w:hAnsi="Arial" w:cs="Arial"/>
          <w:b/>
        </w:rPr>
      </w:pPr>
    </w:p>
    <w:p w14:paraId="50CD05A2" w14:textId="1646BAAB" w:rsidR="008903E5" w:rsidRPr="00696B14" w:rsidRDefault="008903E5" w:rsidP="00770BD6">
      <w:pPr>
        <w:autoSpaceDE w:val="0"/>
        <w:autoSpaceDN w:val="0"/>
        <w:adjustRightInd w:val="0"/>
        <w:rPr>
          <w:rFonts w:ascii="Arial" w:hAnsi="Arial" w:cs="Arial"/>
          <w:b/>
        </w:rPr>
      </w:pPr>
      <w:proofErr w:type="gramStart"/>
      <w:r w:rsidRPr="00696B14">
        <w:rPr>
          <w:rFonts w:ascii="Arial" w:hAnsi="Arial" w:cs="Arial"/>
          <w:b/>
        </w:rPr>
        <w:t xml:space="preserve">Question 92: </w:t>
      </w:r>
      <w:r w:rsidR="005A3F32">
        <w:rPr>
          <w:rFonts w:ascii="Arial" w:hAnsi="Arial" w:cs="Arial"/>
          <w:b/>
        </w:rPr>
        <w:t xml:space="preserve"> </w:t>
      </w:r>
      <w:r w:rsidRPr="00696B14">
        <w:rPr>
          <w:rFonts w:ascii="Arial" w:hAnsi="Arial" w:cs="Arial"/>
          <w:b/>
        </w:rPr>
        <w:t>Was disease detected?</w:t>
      </w:r>
      <w:proofErr w:type="gramEnd"/>
    </w:p>
    <w:p w14:paraId="17092C0C" w14:textId="280B21C3" w:rsidR="00696B14" w:rsidRPr="00696B14" w:rsidRDefault="00696B14" w:rsidP="00696B14">
      <w:pPr>
        <w:rPr>
          <w:rFonts w:ascii="Arial" w:hAnsi="Arial" w:cs="Arial"/>
        </w:rPr>
      </w:pPr>
      <w:r w:rsidRPr="00696B14">
        <w:rPr>
          <w:rFonts w:ascii="Arial" w:hAnsi="Arial" w:cs="Arial"/>
        </w:rPr>
        <w:t xml:space="preserve">Report whether cytogenetic abnormalities associated with the primary transplant disease </w:t>
      </w:r>
      <w:proofErr w:type="gramStart"/>
      <w:r w:rsidRPr="00696B14">
        <w:rPr>
          <w:rFonts w:ascii="Arial" w:hAnsi="Arial" w:cs="Arial"/>
        </w:rPr>
        <w:t>were detected</w:t>
      </w:r>
      <w:proofErr w:type="gramEnd"/>
      <w:r w:rsidRPr="00696B14">
        <w:rPr>
          <w:rFonts w:ascii="Arial" w:hAnsi="Arial" w:cs="Arial"/>
        </w:rPr>
        <w:t xml:space="preserve"> by karyotyping</w:t>
      </w:r>
      <w:r w:rsidR="00F91ED8">
        <w:rPr>
          <w:rFonts w:ascii="Arial" w:hAnsi="Arial" w:cs="Arial"/>
        </w:rPr>
        <w:t xml:space="preserve">.  </w:t>
      </w:r>
      <w:r w:rsidRPr="00696B14">
        <w:rPr>
          <w:rFonts w:ascii="Arial" w:hAnsi="Arial" w:cs="Arial"/>
        </w:rPr>
        <w:t>Do not include</w:t>
      </w:r>
      <w:r w:rsidR="0077695B">
        <w:rPr>
          <w:rFonts w:ascii="Arial" w:hAnsi="Arial" w:cs="Arial"/>
        </w:rPr>
        <w:t xml:space="preserve"> clinically insignificant polymorphism, or</w:t>
      </w:r>
      <w:r w:rsidRPr="00696B14">
        <w:rPr>
          <w:rFonts w:ascii="Arial" w:hAnsi="Arial" w:cs="Arial"/>
        </w:rPr>
        <w:t xml:space="preserve"> chromosomal abnormalities of no known significance</w:t>
      </w:r>
      <w:r w:rsidR="0077695B">
        <w:rPr>
          <w:rFonts w:ascii="Arial" w:hAnsi="Arial" w:cs="Arial"/>
        </w:rPr>
        <w:t>,</w:t>
      </w:r>
      <w:r w:rsidRPr="00696B14">
        <w:rPr>
          <w:rFonts w:ascii="Arial" w:hAnsi="Arial" w:cs="Arial"/>
        </w:rPr>
        <w:t xml:space="preserve"> as disease detected; this includes anomalies such as age-dependent loss of the chromosome Y</w:t>
      </w:r>
      <w:r w:rsidR="00F91ED8">
        <w:rPr>
          <w:rFonts w:ascii="Arial" w:hAnsi="Arial" w:cs="Arial"/>
        </w:rPr>
        <w:t xml:space="preserve">.  </w:t>
      </w:r>
    </w:p>
    <w:p w14:paraId="7E33A8A0" w14:textId="77777777" w:rsidR="008903E5" w:rsidRPr="00143B43" w:rsidRDefault="008903E5" w:rsidP="00770BD6">
      <w:pPr>
        <w:autoSpaceDE w:val="0"/>
        <w:autoSpaceDN w:val="0"/>
        <w:adjustRightInd w:val="0"/>
        <w:rPr>
          <w:rFonts w:ascii="Arial" w:hAnsi="Arial" w:cs="Arial"/>
          <w:b/>
          <w:highlight w:val="yellow"/>
        </w:rPr>
      </w:pPr>
    </w:p>
    <w:p w14:paraId="1ED9003B" w14:textId="3273EBF8" w:rsidR="008903E5" w:rsidRPr="00F012CA" w:rsidRDefault="008903E5" w:rsidP="00770BD6">
      <w:pPr>
        <w:autoSpaceDE w:val="0"/>
        <w:autoSpaceDN w:val="0"/>
        <w:adjustRightInd w:val="0"/>
        <w:rPr>
          <w:rFonts w:ascii="Arial" w:hAnsi="Arial" w:cs="Arial"/>
          <w:b/>
        </w:rPr>
      </w:pPr>
      <w:r w:rsidRPr="00F012CA">
        <w:rPr>
          <w:rFonts w:ascii="Arial" w:hAnsi="Arial" w:cs="Arial"/>
          <w:b/>
        </w:rPr>
        <w:t xml:space="preserve">Question 93: </w:t>
      </w:r>
      <w:r w:rsidR="005A3F32">
        <w:rPr>
          <w:rFonts w:ascii="Arial" w:hAnsi="Arial" w:cs="Arial"/>
          <w:b/>
        </w:rPr>
        <w:t xml:space="preserve"> </w:t>
      </w:r>
      <w:r w:rsidRPr="00F012CA">
        <w:rPr>
          <w:rFonts w:ascii="Arial" w:hAnsi="Arial" w:cs="Arial"/>
          <w:b/>
        </w:rPr>
        <w:t xml:space="preserve">Was the disease status assessed by radiological assessment (e.g. PET, MRI, </w:t>
      </w:r>
      <w:proofErr w:type="gramStart"/>
      <w:r w:rsidRPr="00F012CA">
        <w:rPr>
          <w:rFonts w:ascii="Arial" w:hAnsi="Arial" w:cs="Arial"/>
          <w:b/>
        </w:rPr>
        <w:t>CT</w:t>
      </w:r>
      <w:proofErr w:type="gramEnd"/>
      <w:r w:rsidRPr="00F012CA">
        <w:rPr>
          <w:rFonts w:ascii="Arial" w:hAnsi="Arial" w:cs="Arial"/>
          <w:b/>
        </w:rPr>
        <w:t>)</w:t>
      </w:r>
    </w:p>
    <w:p w14:paraId="05EAA5E3" w14:textId="7ACD1AA4" w:rsidR="008903E5" w:rsidRPr="00F012CA" w:rsidRDefault="00F012CA" w:rsidP="00770BD6">
      <w:pPr>
        <w:autoSpaceDE w:val="0"/>
        <w:autoSpaceDN w:val="0"/>
        <w:adjustRightInd w:val="0"/>
        <w:rPr>
          <w:rFonts w:ascii="Arial" w:hAnsi="Arial" w:cs="Arial"/>
        </w:rPr>
      </w:pPr>
      <w:r w:rsidRPr="00F012CA">
        <w:rPr>
          <w:rFonts w:ascii="Arial" w:hAnsi="Arial" w:cs="Arial"/>
        </w:rPr>
        <w:t>Radiologic assessments are imaging techniques used to assess disease response to transplant, typically for lymphomas or solid tumors, though valuable in some less common presentations of disease, such as leukemia cutis</w:t>
      </w:r>
      <w:r w:rsidR="00F91ED8">
        <w:rPr>
          <w:rFonts w:ascii="Arial" w:hAnsi="Arial" w:cs="Arial"/>
        </w:rPr>
        <w:t xml:space="preserve">.  </w:t>
      </w:r>
      <w:r w:rsidR="007B2025">
        <w:rPr>
          <w:rFonts w:ascii="Arial" w:hAnsi="Arial" w:cs="Arial"/>
        </w:rPr>
        <w:t>Imaging techniques used to evaluate disease response typically include PET, CT, or MIBG, but may include x-ray, skeletal survey, or ultrasound in some cases.</w:t>
      </w:r>
    </w:p>
    <w:p w14:paraId="451DF0F6" w14:textId="77777777" w:rsidR="00F012CA" w:rsidRDefault="00F012CA" w:rsidP="00770BD6">
      <w:pPr>
        <w:autoSpaceDE w:val="0"/>
        <w:autoSpaceDN w:val="0"/>
        <w:adjustRightInd w:val="0"/>
        <w:rPr>
          <w:rFonts w:ascii="Arial" w:hAnsi="Arial" w:cs="Arial"/>
          <w:highlight w:val="yellow"/>
        </w:rPr>
      </w:pPr>
    </w:p>
    <w:p w14:paraId="491FCF08" w14:textId="264D610E" w:rsidR="00F012CA" w:rsidRPr="00675C4D" w:rsidRDefault="00F012CA" w:rsidP="00F012CA">
      <w:pPr>
        <w:autoSpaceDE w:val="0"/>
        <w:autoSpaceDN w:val="0"/>
        <w:adjustRightInd w:val="0"/>
        <w:rPr>
          <w:rFonts w:ascii="Arial" w:hAnsi="Arial" w:cs="Arial"/>
        </w:rPr>
      </w:pPr>
      <w:r w:rsidRPr="00675C4D">
        <w:rPr>
          <w:rFonts w:ascii="Arial" w:hAnsi="Arial" w:cs="Arial"/>
        </w:rPr>
        <w:t>For recipients with “complete remission” selected f</w:t>
      </w:r>
      <w:r w:rsidR="00CC5120">
        <w:rPr>
          <w:rFonts w:ascii="Arial" w:hAnsi="Arial" w:cs="Arial"/>
        </w:rPr>
        <w:t xml:space="preserve">or question 76: Select “yes” if </w:t>
      </w:r>
      <w:r>
        <w:rPr>
          <w:rFonts w:ascii="Arial" w:hAnsi="Arial" w:cs="Arial"/>
        </w:rPr>
        <w:t xml:space="preserve">radiologic assessment </w:t>
      </w:r>
      <w:r w:rsidRPr="00675C4D">
        <w:rPr>
          <w:rFonts w:ascii="Arial" w:hAnsi="Arial" w:cs="Arial"/>
        </w:rPr>
        <w:t xml:space="preserve">was performed at the time complete remission </w:t>
      </w:r>
      <w:proofErr w:type="gramStart"/>
      <w:r w:rsidRPr="00675C4D">
        <w:rPr>
          <w:rFonts w:ascii="Arial" w:hAnsi="Arial" w:cs="Arial"/>
        </w:rPr>
        <w:t>was established</w:t>
      </w:r>
      <w:proofErr w:type="gramEnd"/>
      <w:r w:rsidRPr="00675C4D">
        <w:rPr>
          <w:rFonts w:ascii="Arial" w:hAnsi="Arial" w:cs="Arial"/>
        </w:rPr>
        <w:t xml:space="preserve">; </w:t>
      </w:r>
      <w:r w:rsidRPr="003D46BB">
        <w:rPr>
          <w:rFonts w:ascii="Arial" w:hAnsi="Arial" w:cs="Arial"/>
        </w:rPr>
        <w:t xml:space="preserve">if </w:t>
      </w:r>
      <w:r w:rsidR="003D46BB" w:rsidRPr="003D46BB">
        <w:rPr>
          <w:rFonts w:ascii="Arial" w:hAnsi="Arial" w:cs="Arial"/>
        </w:rPr>
        <w:t xml:space="preserve">multiple </w:t>
      </w:r>
      <w:r w:rsidRPr="003D46BB">
        <w:rPr>
          <w:rFonts w:ascii="Arial" w:hAnsi="Arial" w:cs="Arial"/>
        </w:rPr>
        <w:t>imaging techniques relevant to determination of recipient’s disease status</w:t>
      </w:r>
      <w:r w:rsidR="003D46BB" w:rsidRPr="003D46BB">
        <w:rPr>
          <w:rFonts w:ascii="Arial" w:hAnsi="Arial" w:cs="Arial"/>
        </w:rPr>
        <w:t xml:space="preserve"> were performed</w:t>
      </w:r>
      <w:r w:rsidRPr="003D46BB">
        <w:rPr>
          <w:rFonts w:ascii="Arial" w:hAnsi="Arial" w:cs="Arial"/>
        </w:rPr>
        <w:t xml:space="preserve">, report the imaging assessment performed </w:t>
      </w:r>
      <w:r w:rsidR="003D46BB" w:rsidRPr="003D46BB">
        <w:rPr>
          <w:rFonts w:ascii="Arial" w:hAnsi="Arial" w:cs="Arial"/>
        </w:rPr>
        <w:t>nearest that time and within the reporting period in which complete remission was established</w:t>
      </w:r>
      <w:r w:rsidR="00F91ED8">
        <w:rPr>
          <w:rFonts w:ascii="Arial" w:hAnsi="Arial" w:cs="Arial"/>
        </w:rPr>
        <w:t xml:space="preserve">.  </w:t>
      </w:r>
      <w:r w:rsidRPr="00675C4D">
        <w:rPr>
          <w:rFonts w:ascii="Arial" w:hAnsi="Arial" w:cs="Arial"/>
          <w:u w:val="single"/>
        </w:rPr>
        <w:t>Do not</w:t>
      </w:r>
      <w:r w:rsidRPr="00675C4D">
        <w:rPr>
          <w:rFonts w:ascii="Arial" w:hAnsi="Arial" w:cs="Arial"/>
        </w:rPr>
        <w:t xml:space="preserve"> report </w:t>
      </w:r>
      <w:r>
        <w:rPr>
          <w:rFonts w:ascii="Arial" w:hAnsi="Arial" w:cs="Arial"/>
        </w:rPr>
        <w:t xml:space="preserve">radiologic assessment </w:t>
      </w:r>
      <w:r w:rsidRPr="00675C4D">
        <w:rPr>
          <w:rFonts w:ascii="Arial" w:hAnsi="Arial" w:cs="Arial"/>
        </w:rPr>
        <w:t>performed at the time of relapse or progression, if applicable</w:t>
      </w:r>
      <w:r w:rsidR="00F91ED8">
        <w:rPr>
          <w:rFonts w:ascii="Arial" w:hAnsi="Arial" w:cs="Arial"/>
        </w:rPr>
        <w:t xml:space="preserve">.  </w:t>
      </w:r>
      <w:r w:rsidRPr="00675C4D">
        <w:rPr>
          <w:rFonts w:ascii="Arial" w:hAnsi="Arial" w:cs="Arial"/>
        </w:rPr>
        <w:t xml:space="preserve">Indicate “no” if </w:t>
      </w:r>
      <w:r>
        <w:rPr>
          <w:rFonts w:ascii="Arial" w:hAnsi="Arial" w:cs="Arial"/>
        </w:rPr>
        <w:t>radiologic assessment</w:t>
      </w:r>
      <w:r w:rsidRPr="00675C4D">
        <w:rPr>
          <w:rFonts w:ascii="Arial" w:hAnsi="Arial" w:cs="Arial"/>
        </w:rPr>
        <w:t xml:space="preserve"> was not performed in the reporting period </w:t>
      </w:r>
      <w:r w:rsidRPr="00675C4D">
        <w:rPr>
          <w:rFonts w:ascii="Arial" w:hAnsi="Arial" w:cs="Arial"/>
          <w:u w:val="single"/>
        </w:rPr>
        <w:t>or</w:t>
      </w:r>
      <w:r w:rsidRPr="00675C4D">
        <w:rPr>
          <w:rFonts w:ascii="Arial" w:hAnsi="Arial" w:cs="Arial"/>
        </w:rPr>
        <w:t xml:space="preserve"> was only performed at the time of relapse or progression</w:t>
      </w:r>
      <w:r w:rsidR="00F91ED8">
        <w:rPr>
          <w:rFonts w:ascii="Arial" w:hAnsi="Arial" w:cs="Arial"/>
        </w:rPr>
        <w:t xml:space="preserve">.  </w:t>
      </w:r>
      <w:r w:rsidRPr="00675C4D">
        <w:rPr>
          <w:rFonts w:ascii="Arial" w:hAnsi="Arial" w:cs="Arial"/>
        </w:rPr>
        <w:t xml:space="preserve">Indicate “not applicable” if </w:t>
      </w:r>
      <w:r>
        <w:rPr>
          <w:rFonts w:ascii="Arial" w:hAnsi="Arial" w:cs="Arial"/>
        </w:rPr>
        <w:t>radiologic assessment w</w:t>
      </w:r>
      <w:r w:rsidRPr="00675C4D">
        <w:rPr>
          <w:rFonts w:ascii="Arial" w:hAnsi="Arial" w:cs="Arial"/>
        </w:rPr>
        <w:t>as never p</w:t>
      </w:r>
      <w:r>
        <w:rPr>
          <w:rFonts w:ascii="Arial" w:hAnsi="Arial" w:cs="Arial"/>
        </w:rPr>
        <w:t>reviously been performed, or was not pertinent to determination of recipient’s disease status, based on primary transplant disease type.</w:t>
      </w:r>
    </w:p>
    <w:p w14:paraId="6456527A" w14:textId="77777777" w:rsidR="00F012CA" w:rsidRDefault="00F012CA" w:rsidP="00F012CA">
      <w:pPr>
        <w:autoSpaceDE w:val="0"/>
        <w:autoSpaceDN w:val="0"/>
        <w:adjustRightInd w:val="0"/>
        <w:rPr>
          <w:rFonts w:ascii="Arial" w:hAnsi="Arial" w:cs="Arial"/>
        </w:rPr>
      </w:pPr>
    </w:p>
    <w:p w14:paraId="7BE0F8FF" w14:textId="77777777" w:rsidR="00632864" w:rsidRPr="00675C4D" w:rsidRDefault="00632864" w:rsidP="00F012CA">
      <w:pPr>
        <w:autoSpaceDE w:val="0"/>
        <w:autoSpaceDN w:val="0"/>
        <w:adjustRightInd w:val="0"/>
        <w:rPr>
          <w:rFonts w:ascii="Arial" w:hAnsi="Arial" w:cs="Arial"/>
        </w:rPr>
      </w:pPr>
    </w:p>
    <w:p w14:paraId="5EA6F3BA" w14:textId="00BD579D" w:rsidR="00F012CA" w:rsidRPr="00675C4D" w:rsidRDefault="00F012CA" w:rsidP="00F012CA">
      <w:pPr>
        <w:autoSpaceDE w:val="0"/>
        <w:autoSpaceDN w:val="0"/>
        <w:adjustRightInd w:val="0"/>
        <w:rPr>
          <w:rFonts w:ascii="Arial" w:hAnsi="Arial" w:cs="Arial"/>
        </w:rPr>
      </w:pPr>
      <w:r w:rsidRPr="00675C4D">
        <w:rPr>
          <w:rFonts w:ascii="Arial" w:hAnsi="Arial" w:cs="Arial"/>
        </w:rPr>
        <w:lastRenderedPageBreak/>
        <w:t xml:space="preserve">For recipients “not in complete remission” selected for question 76: Select “yes” if a </w:t>
      </w:r>
      <w:r>
        <w:rPr>
          <w:rFonts w:ascii="Arial" w:hAnsi="Arial" w:cs="Arial"/>
        </w:rPr>
        <w:t xml:space="preserve">radiologic assessment </w:t>
      </w:r>
      <w:proofErr w:type="gramStart"/>
      <w:r w:rsidRPr="00675C4D">
        <w:rPr>
          <w:rFonts w:ascii="Arial" w:hAnsi="Arial" w:cs="Arial"/>
        </w:rPr>
        <w:t>was performed</w:t>
      </w:r>
      <w:proofErr w:type="gramEnd"/>
      <w:r w:rsidRPr="00675C4D">
        <w:rPr>
          <w:rFonts w:ascii="Arial" w:hAnsi="Arial" w:cs="Arial"/>
        </w:rPr>
        <w:t xml:space="preserve"> within the reporting period</w:t>
      </w:r>
      <w:r w:rsidR="00F91ED8">
        <w:rPr>
          <w:rFonts w:ascii="Arial" w:hAnsi="Arial" w:cs="Arial"/>
        </w:rPr>
        <w:t xml:space="preserve">.  </w:t>
      </w:r>
      <w:r w:rsidR="00CC5120">
        <w:rPr>
          <w:rFonts w:ascii="Arial" w:hAnsi="Arial" w:cs="Arial"/>
        </w:rPr>
        <w:t>Report the results of the most recent study</w:t>
      </w:r>
      <w:r w:rsidR="00CC5120" w:rsidRPr="000E2ACC">
        <w:rPr>
          <w:rFonts w:ascii="Arial" w:hAnsi="Arial" w:cs="Arial"/>
        </w:rPr>
        <w:t xml:space="preserve"> </w:t>
      </w:r>
      <w:r w:rsidR="00CC5120">
        <w:rPr>
          <w:rFonts w:ascii="Arial" w:hAnsi="Arial" w:cs="Arial"/>
        </w:rPr>
        <w:t xml:space="preserve">if multiple assessments </w:t>
      </w:r>
      <w:proofErr w:type="gramStart"/>
      <w:r w:rsidR="00CC5120">
        <w:rPr>
          <w:rFonts w:ascii="Arial" w:hAnsi="Arial" w:cs="Arial"/>
        </w:rPr>
        <w:t>were performed</w:t>
      </w:r>
      <w:proofErr w:type="gramEnd"/>
      <w:r w:rsidR="00CC5120">
        <w:rPr>
          <w:rFonts w:ascii="Arial" w:hAnsi="Arial" w:cs="Arial"/>
        </w:rPr>
        <w:t xml:space="preserve"> during the reporting period.</w:t>
      </w:r>
      <w:r w:rsidR="00632864">
        <w:rPr>
          <w:rFonts w:ascii="Arial" w:hAnsi="Arial" w:cs="Arial"/>
        </w:rPr>
        <w:t xml:space="preserve"> </w:t>
      </w:r>
      <w:r w:rsidR="00CC5120">
        <w:rPr>
          <w:rFonts w:ascii="Arial" w:hAnsi="Arial" w:cs="Arial"/>
        </w:rPr>
        <w:t xml:space="preserve"> </w:t>
      </w:r>
      <w:r w:rsidRPr="00675C4D">
        <w:rPr>
          <w:rFonts w:ascii="Arial" w:hAnsi="Arial" w:cs="Arial"/>
        </w:rPr>
        <w:t xml:space="preserve">Indicate “no” if </w:t>
      </w:r>
      <w:r>
        <w:rPr>
          <w:rFonts w:ascii="Arial" w:hAnsi="Arial" w:cs="Arial"/>
        </w:rPr>
        <w:t>radiologic assessment</w:t>
      </w:r>
      <w:r w:rsidRPr="00675C4D">
        <w:rPr>
          <w:rFonts w:ascii="Arial" w:hAnsi="Arial" w:cs="Arial"/>
        </w:rPr>
        <w:t xml:space="preserve"> </w:t>
      </w:r>
      <w:proofErr w:type="gramStart"/>
      <w:r w:rsidRPr="00675C4D">
        <w:rPr>
          <w:rFonts w:ascii="Arial" w:hAnsi="Arial" w:cs="Arial"/>
        </w:rPr>
        <w:t>was not performed</w:t>
      </w:r>
      <w:proofErr w:type="gramEnd"/>
      <w:r w:rsidRPr="00675C4D">
        <w:rPr>
          <w:rFonts w:ascii="Arial" w:hAnsi="Arial" w:cs="Arial"/>
        </w:rPr>
        <w:t xml:space="preserve"> within the reporting period</w:t>
      </w:r>
      <w:r w:rsidR="00F91ED8">
        <w:rPr>
          <w:rFonts w:ascii="Arial" w:hAnsi="Arial" w:cs="Arial"/>
        </w:rPr>
        <w:t xml:space="preserve">.  </w:t>
      </w:r>
      <w:r w:rsidRPr="00675C4D">
        <w:rPr>
          <w:rFonts w:ascii="Arial" w:hAnsi="Arial" w:cs="Arial"/>
        </w:rPr>
        <w:t xml:space="preserve">Indicate “not applicable” if </w:t>
      </w:r>
      <w:r>
        <w:rPr>
          <w:rFonts w:ascii="Arial" w:hAnsi="Arial" w:cs="Arial"/>
        </w:rPr>
        <w:t>radiologic assessment w</w:t>
      </w:r>
      <w:r w:rsidRPr="00675C4D">
        <w:rPr>
          <w:rFonts w:ascii="Arial" w:hAnsi="Arial" w:cs="Arial"/>
        </w:rPr>
        <w:t>as never p</w:t>
      </w:r>
      <w:r>
        <w:rPr>
          <w:rFonts w:ascii="Arial" w:hAnsi="Arial" w:cs="Arial"/>
        </w:rPr>
        <w:t>reviously been performed, or was not pertinent to determination of recipient’s disease status, based on primary transplant disease type.</w:t>
      </w:r>
    </w:p>
    <w:p w14:paraId="12E10B9F" w14:textId="77777777" w:rsidR="00F012CA" w:rsidRPr="00F012CA" w:rsidRDefault="00F012CA" w:rsidP="00770BD6">
      <w:pPr>
        <w:autoSpaceDE w:val="0"/>
        <w:autoSpaceDN w:val="0"/>
        <w:adjustRightInd w:val="0"/>
        <w:rPr>
          <w:rFonts w:ascii="Arial" w:hAnsi="Arial" w:cs="Arial"/>
          <w:highlight w:val="yellow"/>
        </w:rPr>
      </w:pPr>
    </w:p>
    <w:p w14:paraId="15EAAFC3" w14:textId="24304543" w:rsidR="008903E5" w:rsidRPr="00675C4D" w:rsidRDefault="007E1D5D" w:rsidP="00770BD6">
      <w:pPr>
        <w:autoSpaceDE w:val="0"/>
        <w:autoSpaceDN w:val="0"/>
        <w:adjustRightInd w:val="0"/>
        <w:rPr>
          <w:rFonts w:ascii="Arial" w:hAnsi="Arial" w:cs="Arial"/>
          <w:b/>
        </w:rPr>
      </w:pPr>
      <w:r w:rsidRPr="00675C4D">
        <w:rPr>
          <w:rFonts w:ascii="Arial" w:hAnsi="Arial" w:cs="Arial"/>
          <w:b/>
        </w:rPr>
        <w:t xml:space="preserve">Question 94: </w:t>
      </w:r>
      <w:r w:rsidR="005A3F32">
        <w:rPr>
          <w:rFonts w:ascii="Arial" w:hAnsi="Arial" w:cs="Arial"/>
          <w:b/>
        </w:rPr>
        <w:t xml:space="preserve"> </w:t>
      </w:r>
      <w:r w:rsidRPr="00675C4D">
        <w:rPr>
          <w:rFonts w:ascii="Arial" w:hAnsi="Arial" w:cs="Arial"/>
          <w:b/>
        </w:rPr>
        <w:t>Date assessed</w:t>
      </w:r>
    </w:p>
    <w:p w14:paraId="373CEFF1" w14:textId="4B80262C" w:rsidR="00675C4D" w:rsidRPr="00A3340A" w:rsidRDefault="00675C4D" w:rsidP="00675C4D">
      <w:pPr>
        <w:rPr>
          <w:rFonts w:ascii="Arial" w:hAnsi="Arial" w:cs="Arial"/>
        </w:rPr>
      </w:pPr>
      <w:r w:rsidRPr="00675C4D">
        <w:rPr>
          <w:rFonts w:ascii="Arial" w:hAnsi="Arial" w:cs="Arial"/>
        </w:rPr>
        <w:t>Report the date of radiological assessment</w:t>
      </w:r>
      <w:r w:rsidR="00F91ED8">
        <w:rPr>
          <w:rFonts w:ascii="Arial" w:hAnsi="Arial" w:cs="Arial"/>
        </w:rPr>
        <w:t xml:space="preserve">.  </w:t>
      </w:r>
      <w:r>
        <w:rPr>
          <w:rFonts w:ascii="Arial" w:hAnsi="Arial" w:cs="Arial"/>
        </w:rPr>
        <w:t>For recipients with “complete remission” reported in question 76, this may match the date CR was achieved reported in question 79 for recipients with lymphomas, solid tumors, or other diseases with imaging criteria for reporting CR</w:t>
      </w:r>
      <w:r w:rsidR="00F91ED8">
        <w:rPr>
          <w:rFonts w:ascii="Arial" w:hAnsi="Arial" w:cs="Arial"/>
        </w:rPr>
        <w:t xml:space="preserve">.  </w:t>
      </w:r>
      <w:r w:rsidRPr="00675C4D">
        <w:rPr>
          <w:rFonts w:ascii="Arial" w:hAnsi="Arial" w:cs="Arial"/>
        </w:rPr>
        <w:t>If exact date is not known, r</w:t>
      </w:r>
      <w:r w:rsidRPr="00675C4D">
        <w:rPr>
          <w:rFonts w:ascii="Arial" w:hAnsi="Arial" w:cs="Arial"/>
          <w:color w:val="000000"/>
        </w:rPr>
        <w:t xml:space="preserve">efer to </w:t>
      </w:r>
      <w:r w:rsidRPr="00675C4D">
        <w:rPr>
          <w:rFonts w:ascii="Arial" w:hAnsi="Arial" w:cs="Arial"/>
        </w:rPr>
        <w:t xml:space="preserve">General Instructions, </w:t>
      </w:r>
      <w:hyperlink r:id="rId30" w:history="1">
        <w:r w:rsidRPr="00675C4D">
          <w:rPr>
            <w:rStyle w:val="Hyperlink"/>
            <w:rFonts w:ascii="Arial" w:hAnsi="Arial" w:cs="Arial"/>
          </w:rPr>
          <w:t>General Guidelines for Completing Forms</w:t>
        </w:r>
      </w:hyperlink>
      <w:r w:rsidRPr="00675C4D">
        <w:rPr>
          <w:rFonts w:ascii="Arial" w:hAnsi="Arial" w:cs="Arial"/>
        </w:rPr>
        <w:t>, for information about reporting partial or unknown dates.</w:t>
      </w:r>
    </w:p>
    <w:p w14:paraId="3CD3209B" w14:textId="77777777" w:rsidR="00E039D0" w:rsidRPr="00143B43" w:rsidRDefault="00E039D0" w:rsidP="00770BD6">
      <w:pPr>
        <w:autoSpaceDE w:val="0"/>
        <w:autoSpaceDN w:val="0"/>
        <w:adjustRightInd w:val="0"/>
        <w:rPr>
          <w:rFonts w:ascii="Arial" w:hAnsi="Arial" w:cs="Arial"/>
          <w:b/>
          <w:highlight w:val="yellow"/>
        </w:rPr>
      </w:pPr>
    </w:p>
    <w:p w14:paraId="0A96A5EA" w14:textId="6ADDEFB5" w:rsidR="00E039D0" w:rsidRPr="0077695B" w:rsidRDefault="00E039D0" w:rsidP="00770BD6">
      <w:pPr>
        <w:autoSpaceDE w:val="0"/>
        <w:autoSpaceDN w:val="0"/>
        <w:adjustRightInd w:val="0"/>
        <w:rPr>
          <w:rFonts w:ascii="Arial" w:hAnsi="Arial" w:cs="Arial"/>
          <w:b/>
        </w:rPr>
      </w:pPr>
      <w:r w:rsidRPr="0077695B">
        <w:rPr>
          <w:rFonts w:ascii="Arial" w:hAnsi="Arial" w:cs="Arial"/>
          <w:b/>
        </w:rPr>
        <w:t xml:space="preserve">Question 95: </w:t>
      </w:r>
      <w:r w:rsidR="005A3F32">
        <w:rPr>
          <w:rFonts w:ascii="Arial" w:hAnsi="Arial" w:cs="Arial"/>
          <w:b/>
        </w:rPr>
        <w:t xml:space="preserve"> </w:t>
      </w:r>
      <w:proofErr w:type="gramStart"/>
      <w:r w:rsidRPr="0077695B">
        <w:rPr>
          <w:rFonts w:ascii="Arial" w:hAnsi="Arial" w:cs="Arial"/>
          <w:b/>
        </w:rPr>
        <w:t>Was disease detected</w:t>
      </w:r>
      <w:proofErr w:type="gramEnd"/>
      <w:r w:rsidRPr="0077695B">
        <w:rPr>
          <w:rFonts w:ascii="Arial" w:hAnsi="Arial" w:cs="Arial"/>
          <w:b/>
        </w:rPr>
        <w:t>?</w:t>
      </w:r>
    </w:p>
    <w:p w14:paraId="5067C00C" w14:textId="4211CA4A" w:rsidR="00E039D0" w:rsidRDefault="0077695B" w:rsidP="00770BD6">
      <w:pPr>
        <w:autoSpaceDE w:val="0"/>
        <w:autoSpaceDN w:val="0"/>
        <w:adjustRightInd w:val="0"/>
        <w:rPr>
          <w:rFonts w:ascii="Arial" w:hAnsi="Arial" w:cs="Arial"/>
        </w:rPr>
      </w:pPr>
      <w:r w:rsidRPr="0077695B">
        <w:rPr>
          <w:rFonts w:ascii="Arial" w:hAnsi="Arial" w:cs="Arial"/>
        </w:rPr>
        <w:t>Report whether radiological abnormalities associated with the primary transplant disease were detected.</w:t>
      </w:r>
    </w:p>
    <w:p w14:paraId="018DBB7B" w14:textId="77777777" w:rsidR="0077695B" w:rsidRPr="00143B43" w:rsidRDefault="0077695B" w:rsidP="00770BD6">
      <w:pPr>
        <w:autoSpaceDE w:val="0"/>
        <w:autoSpaceDN w:val="0"/>
        <w:adjustRightInd w:val="0"/>
        <w:rPr>
          <w:rFonts w:ascii="Arial" w:hAnsi="Arial" w:cs="Arial"/>
          <w:b/>
          <w:highlight w:val="yellow"/>
        </w:rPr>
      </w:pPr>
    </w:p>
    <w:p w14:paraId="373F757C" w14:textId="5F41E0D2" w:rsidR="00E039D0" w:rsidRPr="007E3915" w:rsidRDefault="00E039D0" w:rsidP="00770BD6">
      <w:pPr>
        <w:autoSpaceDE w:val="0"/>
        <w:autoSpaceDN w:val="0"/>
        <w:adjustRightInd w:val="0"/>
        <w:rPr>
          <w:rFonts w:ascii="Arial" w:hAnsi="Arial" w:cs="Arial"/>
          <w:b/>
        </w:rPr>
      </w:pPr>
      <w:r w:rsidRPr="007E3915">
        <w:rPr>
          <w:rFonts w:ascii="Arial" w:hAnsi="Arial" w:cs="Arial"/>
          <w:b/>
        </w:rPr>
        <w:t>Question 96:</w:t>
      </w:r>
      <w:r w:rsidR="005A3F32">
        <w:rPr>
          <w:rFonts w:ascii="Arial" w:hAnsi="Arial" w:cs="Arial"/>
          <w:b/>
        </w:rPr>
        <w:t xml:space="preserve"> </w:t>
      </w:r>
      <w:r w:rsidRPr="007E3915">
        <w:rPr>
          <w:rFonts w:ascii="Arial" w:hAnsi="Arial" w:cs="Arial"/>
          <w:b/>
        </w:rPr>
        <w:t xml:space="preserve"> </w:t>
      </w:r>
      <w:proofErr w:type="gramStart"/>
      <w:r w:rsidRPr="007E3915">
        <w:rPr>
          <w:rFonts w:ascii="Arial" w:hAnsi="Arial" w:cs="Arial"/>
          <w:b/>
        </w:rPr>
        <w:t>Was the disease status assessed</w:t>
      </w:r>
      <w:proofErr w:type="gramEnd"/>
      <w:r w:rsidRPr="007E3915">
        <w:rPr>
          <w:rFonts w:ascii="Arial" w:hAnsi="Arial" w:cs="Arial"/>
          <w:b/>
        </w:rPr>
        <w:t xml:space="preserve"> by clinical/hematologic assessment?</w:t>
      </w:r>
    </w:p>
    <w:p w14:paraId="188AE9D2" w14:textId="53438BA3" w:rsidR="00662EC3" w:rsidRPr="007E3915" w:rsidRDefault="00662EC3" w:rsidP="00662EC3">
      <w:pPr>
        <w:autoSpaceDE w:val="0"/>
        <w:autoSpaceDN w:val="0"/>
        <w:adjustRightInd w:val="0"/>
        <w:rPr>
          <w:rFonts w:ascii="Arial" w:hAnsi="Arial" w:cs="Arial"/>
        </w:rPr>
      </w:pPr>
      <w:r w:rsidRPr="007E3915">
        <w:rPr>
          <w:rFonts w:ascii="Arial" w:hAnsi="Arial" w:cs="Arial"/>
        </w:rPr>
        <w:t>Clinical/hematologic assessment is the least sensitive method of disease detection</w:t>
      </w:r>
      <w:r w:rsidR="00F91ED8">
        <w:rPr>
          <w:rFonts w:ascii="Arial" w:hAnsi="Arial" w:cs="Arial"/>
        </w:rPr>
        <w:t xml:space="preserve">.  </w:t>
      </w:r>
      <w:r w:rsidRPr="007E3915">
        <w:rPr>
          <w:rFonts w:ascii="Arial" w:hAnsi="Arial" w:cs="Arial"/>
        </w:rPr>
        <w:t>Examples include circulating blasts in the bloodstream for AML, and enlargement of a malignant mass for lymphoma or a solid tumor</w:t>
      </w:r>
      <w:r w:rsidR="007E3915" w:rsidRPr="007E3915">
        <w:rPr>
          <w:rFonts w:ascii="Arial" w:hAnsi="Arial" w:cs="Arial"/>
        </w:rPr>
        <w:t xml:space="preserve"> on physical examination</w:t>
      </w:r>
      <w:r w:rsidR="00F91ED8">
        <w:rPr>
          <w:rFonts w:ascii="Arial" w:hAnsi="Arial" w:cs="Arial"/>
        </w:rPr>
        <w:t xml:space="preserve">.  </w:t>
      </w:r>
      <w:r w:rsidRPr="007E3915">
        <w:rPr>
          <w:rFonts w:ascii="Arial" w:hAnsi="Arial" w:cs="Arial"/>
        </w:rPr>
        <w:t>Every recipient who has an evaluation by a physician has a “clinical” assessment</w:t>
      </w:r>
      <w:r w:rsidR="00F91ED8">
        <w:rPr>
          <w:rFonts w:ascii="Arial" w:hAnsi="Arial" w:cs="Arial"/>
        </w:rPr>
        <w:t xml:space="preserve">.  </w:t>
      </w:r>
      <w:r w:rsidR="007E3915" w:rsidRPr="007E3915">
        <w:rPr>
          <w:rFonts w:ascii="Arial" w:hAnsi="Arial" w:cs="Arial"/>
        </w:rPr>
        <w:t>Do not include radiologic or imaging assessments when reporting for question 96</w:t>
      </w:r>
      <w:r w:rsidR="00F91ED8">
        <w:rPr>
          <w:rFonts w:ascii="Arial" w:hAnsi="Arial" w:cs="Arial"/>
        </w:rPr>
        <w:t xml:space="preserve">.  </w:t>
      </w:r>
    </w:p>
    <w:p w14:paraId="4DD868AD" w14:textId="77777777" w:rsidR="007E3915" w:rsidRDefault="007E3915" w:rsidP="007E3915">
      <w:pPr>
        <w:autoSpaceDE w:val="0"/>
        <w:autoSpaceDN w:val="0"/>
        <w:adjustRightInd w:val="0"/>
        <w:rPr>
          <w:rFonts w:ascii="Arial" w:hAnsi="Arial" w:cs="Arial"/>
          <w:highlight w:val="yellow"/>
        </w:rPr>
      </w:pPr>
    </w:p>
    <w:p w14:paraId="0234A339" w14:textId="403EBB67" w:rsidR="007E3915" w:rsidRPr="00675C4D" w:rsidRDefault="007E3915" w:rsidP="007E3915">
      <w:pPr>
        <w:autoSpaceDE w:val="0"/>
        <w:autoSpaceDN w:val="0"/>
        <w:adjustRightInd w:val="0"/>
        <w:rPr>
          <w:rFonts w:ascii="Arial" w:hAnsi="Arial" w:cs="Arial"/>
        </w:rPr>
      </w:pPr>
      <w:proofErr w:type="gramStart"/>
      <w:r w:rsidRPr="00675C4D">
        <w:rPr>
          <w:rFonts w:ascii="Arial" w:hAnsi="Arial" w:cs="Arial"/>
        </w:rPr>
        <w:t xml:space="preserve">For recipients with “complete remission” selected for question 76: Select “yes” if </w:t>
      </w:r>
      <w:r>
        <w:rPr>
          <w:rFonts w:ascii="Arial" w:hAnsi="Arial" w:cs="Arial"/>
        </w:rPr>
        <w:t xml:space="preserve">clinical/hematologic assessment </w:t>
      </w:r>
      <w:r w:rsidRPr="00675C4D">
        <w:rPr>
          <w:rFonts w:ascii="Arial" w:hAnsi="Arial" w:cs="Arial"/>
        </w:rPr>
        <w:t xml:space="preserve">was performed at the time complete remission was established; if </w:t>
      </w:r>
      <w:r>
        <w:rPr>
          <w:rFonts w:ascii="Arial" w:hAnsi="Arial" w:cs="Arial"/>
        </w:rPr>
        <w:t>clinical/hematologic assessment</w:t>
      </w:r>
      <w:r w:rsidRPr="00675C4D">
        <w:rPr>
          <w:rFonts w:ascii="Arial" w:hAnsi="Arial" w:cs="Arial"/>
        </w:rPr>
        <w:t xml:space="preserve"> was performed at the time of complete remission assessment, </w:t>
      </w:r>
      <w:r w:rsidR="003D46BB">
        <w:rPr>
          <w:rFonts w:ascii="Arial" w:hAnsi="Arial" w:cs="Arial"/>
        </w:rPr>
        <w:t>and</w:t>
      </w:r>
      <w:r>
        <w:rPr>
          <w:rFonts w:ascii="Arial" w:hAnsi="Arial" w:cs="Arial"/>
        </w:rPr>
        <w:t xml:space="preserve"> clinical/hematologic assessment(s) were relevant to determination of recipient’s disease status, </w:t>
      </w:r>
      <w:r w:rsidRPr="00675C4D">
        <w:rPr>
          <w:rFonts w:ascii="Arial" w:hAnsi="Arial" w:cs="Arial"/>
        </w:rPr>
        <w:t xml:space="preserve">report the </w:t>
      </w:r>
      <w:r>
        <w:rPr>
          <w:rFonts w:ascii="Arial" w:hAnsi="Arial" w:cs="Arial"/>
        </w:rPr>
        <w:t>clinical/hematologic assessment</w:t>
      </w:r>
      <w:r w:rsidRPr="00675C4D">
        <w:rPr>
          <w:rFonts w:ascii="Arial" w:hAnsi="Arial" w:cs="Arial"/>
        </w:rPr>
        <w:t xml:space="preserve"> performed nearest that time and within the reporting period in which complete remission was established</w:t>
      </w:r>
      <w:r w:rsidR="00F91ED8">
        <w:rPr>
          <w:rFonts w:ascii="Arial" w:hAnsi="Arial" w:cs="Arial"/>
        </w:rPr>
        <w:t>.</w:t>
      </w:r>
      <w:proofErr w:type="gramEnd"/>
      <w:r w:rsidR="00F91ED8">
        <w:rPr>
          <w:rFonts w:ascii="Arial" w:hAnsi="Arial" w:cs="Arial"/>
        </w:rPr>
        <w:t xml:space="preserve">  </w:t>
      </w:r>
      <w:r w:rsidRPr="00675C4D">
        <w:rPr>
          <w:rFonts w:ascii="Arial" w:hAnsi="Arial" w:cs="Arial"/>
          <w:u w:val="single"/>
        </w:rPr>
        <w:t>Do not</w:t>
      </w:r>
      <w:r w:rsidRPr="00675C4D">
        <w:rPr>
          <w:rFonts w:ascii="Arial" w:hAnsi="Arial" w:cs="Arial"/>
        </w:rPr>
        <w:t xml:space="preserve"> report </w:t>
      </w:r>
      <w:r>
        <w:rPr>
          <w:rFonts w:ascii="Arial" w:hAnsi="Arial" w:cs="Arial"/>
        </w:rPr>
        <w:t xml:space="preserve">clinical/hematologic assessment </w:t>
      </w:r>
      <w:r w:rsidRPr="00675C4D">
        <w:rPr>
          <w:rFonts w:ascii="Arial" w:hAnsi="Arial" w:cs="Arial"/>
        </w:rPr>
        <w:t>performed at the time of relapse or progression, if applicable</w:t>
      </w:r>
      <w:r w:rsidR="00F91ED8">
        <w:rPr>
          <w:rFonts w:ascii="Arial" w:hAnsi="Arial" w:cs="Arial"/>
        </w:rPr>
        <w:t xml:space="preserve">.  </w:t>
      </w:r>
      <w:r w:rsidRPr="00675C4D">
        <w:rPr>
          <w:rFonts w:ascii="Arial" w:hAnsi="Arial" w:cs="Arial"/>
        </w:rPr>
        <w:t xml:space="preserve">Indicate “no” if </w:t>
      </w:r>
      <w:r>
        <w:rPr>
          <w:rFonts w:ascii="Arial" w:hAnsi="Arial" w:cs="Arial"/>
        </w:rPr>
        <w:t>clinical/hematologic assessment</w:t>
      </w:r>
      <w:r w:rsidRPr="00675C4D">
        <w:rPr>
          <w:rFonts w:ascii="Arial" w:hAnsi="Arial" w:cs="Arial"/>
        </w:rPr>
        <w:t xml:space="preserve"> was not performed in the reporting period </w:t>
      </w:r>
      <w:r w:rsidRPr="00675C4D">
        <w:rPr>
          <w:rFonts w:ascii="Arial" w:hAnsi="Arial" w:cs="Arial"/>
          <w:u w:val="single"/>
        </w:rPr>
        <w:t>or</w:t>
      </w:r>
      <w:r w:rsidRPr="00675C4D">
        <w:rPr>
          <w:rFonts w:ascii="Arial" w:hAnsi="Arial" w:cs="Arial"/>
        </w:rPr>
        <w:t xml:space="preserve"> was only performed at the time of relapse or progression</w:t>
      </w:r>
      <w:r w:rsidR="00F91ED8">
        <w:rPr>
          <w:rFonts w:ascii="Arial" w:hAnsi="Arial" w:cs="Arial"/>
        </w:rPr>
        <w:t xml:space="preserve">.  </w:t>
      </w:r>
    </w:p>
    <w:p w14:paraId="3866642D" w14:textId="77777777" w:rsidR="007E3915" w:rsidRPr="00675C4D" w:rsidRDefault="007E3915" w:rsidP="007E3915">
      <w:pPr>
        <w:autoSpaceDE w:val="0"/>
        <w:autoSpaceDN w:val="0"/>
        <w:adjustRightInd w:val="0"/>
        <w:rPr>
          <w:rFonts w:ascii="Arial" w:hAnsi="Arial" w:cs="Arial"/>
        </w:rPr>
      </w:pPr>
    </w:p>
    <w:p w14:paraId="2438D39D" w14:textId="6C65CBC3" w:rsidR="00662EC3" w:rsidRPr="007E3915" w:rsidRDefault="007E3915" w:rsidP="007E3915">
      <w:pPr>
        <w:autoSpaceDE w:val="0"/>
        <w:autoSpaceDN w:val="0"/>
        <w:adjustRightInd w:val="0"/>
        <w:rPr>
          <w:rFonts w:ascii="Arial" w:hAnsi="Arial" w:cs="Arial"/>
        </w:rPr>
      </w:pPr>
      <w:r w:rsidRPr="00675C4D">
        <w:rPr>
          <w:rFonts w:ascii="Arial" w:hAnsi="Arial" w:cs="Arial"/>
        </w:rPr>
        <w:t xml:space="preserve">For recipients “not in complete remission” selected for question 76: Select “yes” if a </w:t>
      </w:r>
      <w:r>
        <w:rPr>
          <w:rFonts w:ascii="Arial" w:hAnsi="Arial" w:cs="Arial"/>
        </w:rPr>
        <w:t xml:space="preserve">clinical/hematologic assessment </w:t>
      </w:r>
      <w:proofErr w:type="gramStart"/>
      <w:r w:rsidRPr="00675C4D">
        <w:rPr>
          <w:rFonts w:ascii="Arial" w:hAnsi="Arial" w:cs="Arial"/>
        </w:rPr>
        <w:t>was performed</w:t>
      </w:r>
      <w:proofErr w:type="gramEnd"/>
      <w:r w:rsidRPr="00675C4D">
        <w:rPr>
          <w:rFonts w:ascii="Arial" w:hAnsi="Arial" w:cs="Arial"/>
        </w:rPr>
        <w:t xml:space="preserve"> within the reporting period</w:t>
      </w:r>
      <w:r w:rsidR="00F91ED8">
        <w:rPr>
          <w:rFonts w:ascii="Arial" w:hAnsi="Arial" w:cs="Arial"/>
        </w:rPr>
        <w:t xml:space="preserve">.  </w:t>
      </w:r>
      <w:r w:rsidR="00CC5120">
        <w:rPr>
          <w:rFonts w:ascii="Arial" w:hAnsi="Arial" w:cs="Arial"/>
        </w:rPr>
        <w:t>Report the results of the most disease-specific assessment performed within approximately 30 days of the contact date</w:t>
      </w:r>
      <w:proofErr w:type="gramStart"/>
      <w:r w:rsidR="00CC5120">
        <w:rPr>
          <w:rFonts w:ascii="Arial" w:hAnsi="Arial" w:cs="Arial"/>
        </w:rPr>
        <w:t xml:space="preserve">. </w:t>
      </w:r>
      <w:proofErr w:type="gramEnd"/>
      <w:r w:rsidRPr="00675C4D">
        <w:rPr>
          <w:rFonts w:ascii="Arial" w:hAnsi="Arial" w:cs="Arial"/>
        </w:rPr>
        <w:t>Indicate “no” if</w:t>
      </w:r>
      <w:r w:rsidR="00CC5120">
        <w:rPr>
          <w:rFonts w:ascii="Arial" w:hAnsi="Arial" w:cs="Arial"/>
        </w:rPr>
        <w:t xml:space="preserve"> a</w:t>
      </w:r>
      <w:r w:rsidRPr="00675C4D">
        <w:rPr>
          <w:rFonts w:ascii="Arial" w:hAnsi="Arial" w:cs="Arial"/>
        </w:rPr>
        <w:t xml:space="preserve"> </w:t>
      </w:r>
      <w:r>
        <w:rPr>
          <w:rFonts w:ascii="Arial" w:hAnsi="Arial" w:cs="Arial"/>
        </w:rPr>
        <w:t>clinical/hematologic assessment</w:t>
      </w:r>
      <w:r w:rsidRPr="00675C4D">
        <w:rPr>
          <w:rFonts w:ascii="Arial" w:hAnsi="Arial" w:cs="Arial"/>
        </w:rPr>
        <w:t xml:space="preserve"> </w:t>
      </w:r>
      <w:proofErr w:type="gramStart"/>
      <w:r w:rsidRPr="00675C4D">
        <w:rPr>
          <w:rFonts w:ascii="Arial" w:hAnsi="Arial" w:cs="Arial"/>
        </w:rPr>
        <w:t>was not performed</w:t>
      </w:r>
      <w:proofErr w:type="gramEnd"/>
      <w:r w:rsidRPr="00675C4D">
        <w:rPr>
          <w:rFonts w:ascii="Arial" w:hAnsi="Arial" w:cs="Arial"/>
        </w:rPr>
        <w:t xml:space="preserve"> within the reporting period</w:t>
      </w:r>
      <w:r w:rsidR="00F91ED8">
        <w:rPr>
          <w:rFonts w:ascii="Arial" w:hAnsi="Arial" w:cs="Arial"/>
        </w:rPr>
        <w:t xml:space="preserve">.  </w:t>
      </w:r>
    </w:p>
    <w:p w14:paraId="651592BC" w14:textId="77777777" w:rsidR="00E039D0" w:rsidRDefault="00E039D0" w:rsidP="00770BD6">
      <w:pPr>
        <w:autoSpaceDE w:val="0"/>
        <w:autoSpaceDN w:val="0"/>
        <w:adjustRightInd w:val="0"/>
        <w:rPr>
          <w:rFonts w:ascii="Arial" w:hAnsi="Arial" w:cs="Arial"/>
          <w:b/>
          <w:highlight w:val="yellow"/>
        </w:rPr>
      </w:pPr>
    </w:p>
    <w:p w14:paraId="7AD6C792" w14:textId="77777777" w:rsidR="00632864" w:rsidRPr="00143B43" w:rsidRDefault="00632864" w:rsidP="00770BD6">
      <w:pPr>
        <w:autoSpaceDE w:val="0"/>
        <w:autoSpaceDN w:val="0"/>
        <w:adjustRightInd w:val="0"/>
        <w:rPr>
          <w:rFonts w:ascii="Arial" w:hAnsi="Arial" w:cs="Arial"/>
          <w:b/>
          <w:highlight w:val="yellow"/>
        </w:rPr>
      </w:pPr>
    </w:p>
    <w:p w14:paraId="07AB18E8" w14:textId="7D5AD20B" w:rsidR="00E039D0" w:rsidRPr="00675C4D" w:rsidRDefault="00E039D0" w:rsidP="00770BD6">
      <w:pPr>
        <w:autoSpaceDE w:val="0"/>
        <w:autoSpaceDN w:val="0"/>
        <w:adjustRightInd w:val="0"/>
        <w:rPr>
          <w:rFonts w:ascii="Arial" w:hAnsi="Arial" w:cs="Arial"/>
          <w:b/>
        </w:rPr>
      </w:pPr>
      <w:r w:rsidRPr="00675C4D">
        <w:rPr>
          <w:rFonts w:ascii="Arial" w:hAnsi="Arial" w:cs="Arial"/>
          <w:b/>
        </w:rPr>
        <w:lastRenderedPageBreak/>
        <w:t xml:space="preserve">Question 97: </w:t>
      </w:r>
      <w:r w:rsidR="005A3F32">
        <w:rPr>
          <w:rFonts w:ascii="Arial" w:hAnsi="Arial" w:cs="Arial"/>
          <w:b/>
        </w:rPr>
        <w:t xml:space="preserve"> </w:t>
      </w:r>
      <w:r w:rsidRPr="00675C4D">
        <w:rPr>
          <w:rFonts w:ascii="Arial" w:hAnsi="Arial" w:cs="Arial"/>
          <w:b/>
        </w:rPr>
        <w:t>Date assessed</w:t>
      </w:r>
    </w:p>
    <w:p w14:paraId="30BC8C85" w14:textId="18EA7D60" w:rsidR="00675C4D" w:rsidRPr="00A3340A" w:rsidRDefault="00675C4D" w:rsidP="00675C4D">
      <w:pPr>
        <w:rPr>
          <w:rFonts w:ascii="Arial" w:hAnsi="Arial" w:cs="Arial"/>
        </w:rPr>
      </w:pPr>
      <w:r w:rsidRPr="00675C4D">
        <w:rPr>
          <w:rFonts w:ascii="Arial" w:hAnsi="Arial" w:cs="Arial"/>
        </w:rPr>
        <w:t xml:space="preserve">Report the date of </w:t>
      </w:r>
      <w:r>
        <w:rPr>
          <w:rFonts w:ascii="Arial" w:hAnsi="Arial" w:cs="Arial"/>
        </w:rPr>
        <w:t>clinical/hematologic assessment</w:t>
      </w:r>
      <w:r w:rsidR="00F91ED8">
        <w:rPr>
          <w:rFonts w:ascii="Arial" w:hAnsi="Arial" w:cs="Arial"/>
        </w:rPr>
        <w:t xml:space="preserve">.  </w:t>
      </w:r>
      <w:r>
        <w:rPr>
          <w:rFonts w:ascii="Arial" w:hAnsi="Arial" w:cs="Arial"/>
        </w:rPr>
        <w:t>For recipients with “complete remission” reported in question 76, this will likely match the date CR was achieved reported in question 79, since complete remission criteria generally require clinical or hematologic assessment to confirm</w:t>
      </w:r>
      <w:r w:rsidR="00F91ED8">
        <w:rPr>
          <w:rFonts w:ascii="Arial" w:hAnsi="Arial" w:cs="Arial"/>
        </w:rPr>
        <w:t xml:space="preserve">.  </w:t>
      </w:r>
      <w:r w:rsidRPr="00675C4D">
        <w:rPr>
          <w:rFonts w:ascii="Arial" w:hAnsi="Arial" w:cs="Arial"/>
        </w:rPr>
        <w:t>If exact date is not known, r</w:t>
      </w:r>
      <w:r w:rsidRPr="00675C4D">
        <w:rPr>
          <w:rFonts w:ascii="Arial" w:hAnsi="Arial" w:cs="Arial"/>
          <w:color w:val="000000"/>
        </w:rPr>
        <w:t xml:space="preserve">efer to </w:t>
      </w:r>
      <w:r w:rsidRPr="00675C4D">
        <w:rPr>
          <w:rFonts w:ascii="Arial" w:hAnsi="Arial" w:cs="Arial"/>
        </w:rPr>
        <w:t xml:space="preserve">General Instructions, </w:t>
      </w:r>
      <w:hyperlink r:id="rId31" w:history="1">
        <w:r w:rsidRPr="00675C4D">
          <w:rPr>
            <w:rStyle w:val="Hyperlink"/>
            <w:rFonts w:ascii="Arial" w:hAnsi="Arial" w:cs="Arial"/>
          </w:rPr>
          <w:t>General Guidelines for Completing Forms</w:t>
        </w:r>
      </w:hyperlink>
      <w:r w:rsidRPr="00675C4D">
        <w:rPr>
          <w:rFonts w:ascii="Arial" w:hAnsi="Arial" w:cs="Arial"/>
        </w:rPr>
        <w:t>, for information about reporting partial or unknown dates.</w:t>
      </w:r>
    </w:p>
    <w:p w14:paraId="1BDCFE72" w14:textId="77777777" w:rsidR="00E039D0" w:rsidRPr="00143B43" w:rsidRDefault="00E039D0" w:rsidP="00770BD6">
      <w:pPr>
        <w:autoSpaceDE w:val="0"/>
        <w:autoSpaceDN w:val="0"/>
        <w:adjustRightInd w:val="0"/>
        <w:rPr>
          <w:rFonts w:ascii="Arial" w:hAnsi="Arial" w:cs="Arial"/>
          <w:b/>
          <w:highlight w:val="yellow"/>
        </w:rPr>
      </w:pPr>
    </w:p>
    <w:p w14:paraId="081A2D77" w14:textId="77777777" w:rsidR="00E039D0" w:rsidRPr="0077695B" w:rsidRDefault="00E039D0" w:rsidP="00770BD6">
      <w:pPr>
        <w:autoSpaceDE w:val="0"/>
        <w:autoSpaceDN w:val="0"/>
        <w:adjustRightInd w:val="0"/>
        <w:rPr>
          <w:rFonts w:ascii="Arial" w:hAnsi="Arial" w:cs="Arial"/>
          <w:b/>
        </w:rPr>
      </w:pPr>
      <w:r w:rsidRPr="0077695B">
        <w:rPr>
          <w:rFonts w:ascii="Arial" w:hAnsi="Arial" w:cs="Arial"/>
          <w:b/>
        </w:rPr>
        <w:t>Question 98: Was disease detected?</w:t>
      </w:r>
    </w:p>
    <w:p w14:paraId="60C4C6AE" w14:textId="6E6325C8" w:rsidR="0077695B" w:rsidRPr="00696B14" w:rsidRDefault="0077695B" w:rsidP="0077695B">
      <w:pPr>
        <w:rPr>
          <w:rFonts w:ascii="Arial" w:hAnsi="Arial" w:cs="Arial"/>
        </w:rPr>
      </w:pPr>
      <w:r w:rsidRPr="00696B14">
        <w:rPr>
          <w:rFonts w:ascii="Arial" w:hAnsi="Arial" w:cs="Arial"/>
        </w:rPr>
        <w:t xml:space="preserve">Report whether </w:t>
      </w:r>
      <w:r>
        <w:rPr>
          <w:rFonts w:ascii="Arial" w:hAnsi="Arial" w:cs="Arial"/>
        </w:rPr>
        <w:t>clinical/hematologic abnormalities</w:t>
      </w:r>
      <w:r w:rsidRPr="00696B14">
        <w:rPr>
          <w:rFonts w:ascii="Arial" w:hAnsi="Arial" w:cs="Arial"/>
        </w:rPr>
        <w:t xml:space="preserve"> associated with the primary transplant disease </w:t>
      </w:r>
      <w:proofErr w:type="gramStart"/>
      <w:r w:rsidRPr="00696B14">
        <w:rPr>
          <w:rFonts w:ascii="Arial" w:hAnsi="Arial" w:cs="Arial"/>
        </w:rPr>
        <w:t>were detected</w:t>
      </w:r>
      <w:proofErr w:type="gramEnd"/>
      <w:r w:rsidR="00F91ED8">
        <w:rPr>
          <w:rFonts w:ascii="Arial" w:hAnsi="Arial" w:cs="Arial"/>
        </w:rPr>
        <w:t xml:space="preserve">.  </w:t>
      </w:r>
      <w:r>
        <w:rPr>
          <w:rFonts w:ascii="Arial" w:hAnsi="Arial" w:cs="Arial"/>
        </w:rPr>
        <w:t>In general, if the clinical/hematologic assessment date is that same as that reported in question 79 for recipients achieving complete remission in the reporting period, the answer to question 98 should be “no.”</w:t>
      </w:r>
    </w:p>
    <w:p w14:paraId="78725142" w14:textId="77777777" w:rsidR="00662EC3" w:rsidRPr="008903E5" w:rsidRDefault="00662EC3" w:rsidP="00770BD6">
      <w:pPr>
        <w:autoSpaceDE w:val="0"/>
        <w:autoSpaceDN w:val="0"/>
        <w:adjustRightInd w:val="0"/>
        <w:rPr>
          <w:rFonts w:ascii="Arial" w:hAnsi="Arial" w:cs="Arial"/>
          <w:b/>
        </w:rPr>
      </w:pPr>
    </w:p>
    <w:p w14:paraId="54A439CD" w14:textId="77777777" w:rsidR="00A3714F" w:rsidRDefault="00E039D0" w:rsidP="0070747A">
      <w:pPr>
        <w:pStyle w:val="Heading1"/>
      </w:pPr>
      <w:bookmarkStart w:id="13" w:name="_Toc450570841"/>
      <w:r>
        <w:t>Post-H</w:t>
      </w:r>
      <w:r w:rsidR="00A3714F" w:rsidRPr="00DB6F1D">
        <w:t>CT Therapy</w:t>
      </w:r>
      <w:bookmarkEnd w:id="13"/>
    </w:p>
    <w:p w14:paraId="3B4A4BCF" w14:textId="77777777" w:rsidR="00D17B36" w:rsidRDefault="00D17B36" w:rsidP="00D17B36">
      <w:pPr>
        <w:rPr>
          <w:rFonts w:ascii="Arial" w:hAnsi="Arial" w:cs="Arial"/>
        </w:rPr>
      </w:pPr>
    </w:p>
    <w:p w14:paraId="2C4B11FA" w14:textId="0AAFA0C3" w:rsidR="00E039D0" w:rsidRDefault="00D17B36" w:rsidP="00E039D0">
      <w:pPr>
        <w:rPr>
          <w:rFonts w:ascii="Arial" w:hAnsi="Arial" w:cs="Arial"/>
        </w:rPr>
      </w:pPr>
      <w:r w:rsidRPr="00A3340A">
        <w:rPr>
          <w:rFonts w:ascii="Arial" w:hAnsi="Arial" w:cs="Arial"/>
        </w:rPr>
        <w:t>Report therapy given since the date of last report to prevent relapse or progressive disease</w:t>
      </w:r>
      <w:r w:rsidR="00F91ED8">
        <w:rPr>
          <w:rFonts w:ascii="Arial" w:hAnsi="Arial" w:cs="Arial"/>
        </w:rPr>
        <w:t xml:space="preserve">.  </w:t>
      </w:r>
      <w:r w:rsidRPr="00A3340A">
        <w:rPr>
          <w:rFonts w:ascii="Arial" w:hAnsi="Arial" w:cs="Arial"/>
        </w:rPr>
        <w:t>This may include maintenance and consolidation therapy</w:t>
      </w:r>
      <w:r w:rsidR="00F91ED8">
        <w:rPr>
          <w:rFonts w:ascii="Arial" w:hAnsi="Arial" w:cs="Arial"/>
        </w:rPr>
        <w:t xml:space="preserve">.  </w:t>
      </w:r>
      <w:r w:rsidRPr="00A3340A">
        <w:rPr>
          <w:rFonts w:ascii="Arial" w:hAnsi="Arial" w:cs="Arial"/>
        </w:rPr>
        <w:t>Do not report any therapy given for relapse, persistent, or progressive disease.</w:t>
      </w:r>
    </w:p>
    <w:p w14:paraId="56FD6C20" w14:textId="77777777" w:rsidR="00D17B36" w:rsidRPr="00D17B36" w:rsidRDefault="00D17B36" w:rsidP="00E039D0">
      <w:pPr>
        <w:rPr>
          <w:rFonts w:ascii="Arial" w:hAnsi="Arial" w:cs="Arial"/>
        </w:rPr>
      </w:pPr>
    </w:p>
    <w:p w14:paraId="1482F99C" w14:textId="2038F692" w:rsidR="00E039D0" w:rsidRPr="009D4F71" w:rsidRDefault="00E039D0" w:rsidP="00A3714F">
      <w:pPr>
        <w:autoSpaceDE w:val="0"/>
        <w:autoSpaceDN w:val="0"/>
        <w:adjustRightInd w:val="0"/>
        <w:rPr>
          <w:rFonts w:ascii="Arial" w:hAnsi="Arial" w:cs="Arial"/>
          <w:b/>
        </w:rPr>
      </w:pPr>
      <w:r w:rsidRPr="009D4F71">
        <w:rPr>
          <w:rFonts w:ascii="Arial" w:hAnsi="Arial" w:cs="Arial"/>
          <w:b/>
        </w:rPr>
        <w:t xml:space="preserve">Question 99: </w:t>
      </w:r>
      <w:r w:rsidR="005A3F32">
        <w:rPr>
          <w:rFonts w:ascii="Arial" w:hAnsi="Arial" w:cs="Arial"/>
          <w:b/>
        </w:rPr>
        <w:t xml:space="preserve"> </w:t>
      </w:r>
      <w:r w:rsidRPr="009D4F71">
        <w:rPr>
          <w:rFonts w:ascii="Arial" w:hAnsi="Arial" w:cs="Arial"/>
          <w:b/>
        </w:rPr>
        <w:t>Was therapy given since the date of the last report for reasons other than relapse, persistent, o</w:t>
      </w:r>
      <w:r w:rsidR="009D4F71" w:rsidRPr="009D4F71">
        <w:rPr>
          <w:rFonts w:ascii="Arial" w:hAnsi="Arial" w:cs="Arial"/>
          <w:b/>
        </w:rPr>
        <w:t>r progressive disease</w:t>
      </w:r>
      <w:proofErr w:type="gramStart"/>
      <w:r w:rsidR="009D4F71" w:rsidRPr="009D4F71">
        <w:rPr>
          <w:rFonts w:ascii="Arial" w:hAnsi="Arial" w:cs="Arial"/>
          <w:b/>
        </w:rPr>
        <w:t xml:space="preserve">? </w:t>
      </w:r>
      <w:proofErr w:type="gramEnd"/>
      <w:r w:rsidR="009D4F71" w:rsidRPr="009D4F71">
        <w:rPr>
          <w:rFonts w:ascii="Arial" w:hAnsi="Arial" w:cs="Arial"/>
          <w:b/>
        </w:rPr>
        <w:t xml:space="preserve">(Include </w:t>
      </w:r>
      <w:r w:rsidRPr="009D4F71">
        <w:rPr>
          <w:rFonts w:ascii="Arial" w:hAnsi="Arial" w:cs="Arial"/>
          <w:b/>
        </w:rPr>
        <w:t>maintenance and consolidation therapy)</w:t>
      </w:r>
    </w:p>
    <w:p w14:paraId="1BCBF347" w14:textId="65CBF479" w:rsidR="00A3340A" w:rsidRPr="009D4F71" w:rsidRDefault="009D4F71" w:rsidP="00A3714F">
      <w:pPr>
        <w:autoSpaceDE w:val="0"/>
        <w:autoSpaceDN w:val="0"/>
        <w:adjustRightInd w:val="0"/>
        <w:rPr>
          <w:rFonts w:ascii="Arial" w:hAnsi="Arial" w:cs="Arial"/>
        </w:rPr>
      </w:pPr>
      <w:r w:rsidRPr="009D4F71">
        <w:rPr>
          <w:rFonts w:ascii="Arial" w:hAnsi="Arial" w:cs="Arial"/>
        </w:rPr>
        <w:t xml:space="preserve">Indicate whether therapy </w:t>
      </w:r>
      <w:proofErr w:type="gramStart"/>
      <w:r w:rsidRPr="009D4F71">
        <w:rPr>
          <w:rFonts w:ascii="Arial" w:hAnsi="Arial" w:cs="Arial"/>
        </w:rPr>
        <w:t>was given</w:t>
      </w:r>
      <w:proofErr w:type="gramEnd"/>
      <w:r w:rsidRPr="009D4F71">
        <w:rPr>
          <w:rFonts w:ascii="Arial" w:hAnsi="Arial" w:cs="Arial"/>
        </w:rPr>
        <w:t xml:space="preserve"> during the reporting period for maintenance or consolidation; this therapy may have been specifically planned as part of the original transplant protocol or determined after transplant</w:t>
      </w:r>
      <w:r w:rsidR="00F91ED8">
        <w:rPr>
          <w:rFonts w:ascii="Arial" w:hAnsi="Arial" w:cs="Arial"/>
        </w:rPr>
        <w:t xml:space="preserve">.  </w:t>
      </w:r>
      <w:r w:rsidRPr="009D4F71">
        <w:rPr>
          <w:rFonts w:ascii="Arial" w:hAnsi="Arial" w:cs="Arial"/>
        </w:rPr>
        <w:t>Do not include therapy given for relapse, persistent, or progressive disease</w:t>
      </w:r>
      <w:r w:rsidR="00F91ED8">
        <w:rPr>
          <w:rFonts w:ascii="Arial" w:hAnsi="Arial" w:cs="Arial"/>
        </w:rPr>
        <w:t xml:space="preserve">.  </w:t>
      </w:r>
      <w:r w:rsidRPr="009D4F71">
        <w:rPr>
          <w:rFonts w:ascii="Arial" w:hAnsi="Arial" w:cs="Arial"/>
        </w:rPr>
        <w:t xml:space="preserve">Any post-transplant therapy included as part of the initial transplant protocol </w:t>
      </w:r>
      <w:proofErr w:type="gramStart"/>
      <w:r w:rsidRPr="009D4F71">
        <w:rPr>
          <w:rFonts w:ascii="Arial" w:hAnsi="Arial" w:cs="Arial"/>
        </w:rPr>
        <w:t>should be reported</w:t>
      </w:r>
      <w:proofErr w:type="gramEnd"/>
      <w:r w:rsidRPr="009D4F71">
        <w:rPr>
          <w:rFonts w:ascii="Arial" w:hAnsi="Arial" w:cs="Arial"/>
        </w:rPr>
        <w:t xml:space="preserve"> in this area of the form</w:t>
      </w:r>
      <w:r w:rsidR="00F91ED8">
        <w:rPr>
          <w:rFonts w:ascii="Arial" w:hAnsi="Arial" w:cs="Arial"/>
        </w:rPr>
        <w:t xml:space="preserve">.  </w:t>
      </w:r>
    </w:p>
    <w:p w14:paraId="634DB9EF" w14:textId="77777777" w:rsidR="009D4F71" w:rsidRPr="009D4F71" w:rsidRDefault="009D4F71" w:rsidP="00A3714F">
      <w:pPr>
        <w:autoSpaceDE w:val="0"/>
        <w:autoSpaceDN w:val="0"/>
        <w:adjustRightInd w:val="0"/>
        <w:rPr>
          <w:rFonts w:ascii="Arial" w:hAnsi="Arial" w:cs="Arial"/>
        </w:rPr>
      </w:pPr>
    </w:p>
    <w:p w14:paraId="7A40B964" w14:textId="4457FB35" w:rsidR="00A3340A" w:rsidRPr="009D4F71" w:rsidRDefault="00A3340A" w:rsidP="00A3714F">
      <w:pPr>
        <w:autoSpaceDE w:val="0"/>
        <w:autoSpaceDN w:val="0"/>
        <w:adjustRightInd w:val="0"/>
        <w:rPr>
          <w:rFonts w:ascii="Arial" w:hAnsi="Arial" w:cs="Arial"/>
          <w:b/>
        </w:rPr>
      </w:pPr>
      <w:r w:rsidRPr="009D4F71">
        <w:rPr>
          <w:rFonts w:ascii="Arial" w:hAnsi="Arial" w:cs="Arial"/>
          <w:b/>
        </w:rPr>
        <w:t xml:space="preserve">Question 100: </w:t>
      </w:r>
      <w:r w:rsidR="005A3F32">
        <w:rPr>
          <w:rFonts w:ascii="Arial" w:hAnsi="Arial" w:cs="Arial"/>
          <w:b/>
        </w:rPr>
        <w:t xml:space="preserve"> </w:t>
      </w:r>
      <w:r w:rsidRPr="009D4F71">
        <w:rPr>
          <w:rFonts w:ascii="Arial" w:hAnsi="Arial" w:cs="Arial"/>
          <w:b/>
        </w:rPr>
        <w:t>Systemic therapy</w:t>
      </w:r>
    </w:p>
    <w:p w14:paraId="20151FED" w14:textId="11842593" w:rsidR="00A3340A" w:rsidRPr="009D4F71" w:rsidRDefault="009D4F71" w:rsidP="00A3714F">
      <w:pPr>
        <w:autoSpaceDE w:val="0"/>
        <w:autoSpaceDN w:val="0"/>
        <w:adjustRightInd w:val="0"/>
        <w:rPr>
          <w:rFonts w:ascii="Arial" w:hAnsi="Arial" w:cs="Arial"/>
        </w:rPr>
      </w:pPr>
      <w:r w:rsidRPr="009D4F71">
        <w:rPr>
          <w:rFonts w:ascii="Arial" w:hAnsi="Arial" w:cs="Arial"/>
        </w:rPr>
        <w:t xml:space="preserve">Systemic therapy refers to a delivery mechanism where a therapeutic agent </w:t>
      </w:r>
      <w:proofErr w:type="gramStart"/>
      <w:r w:rsidRPr="009D4F71">
        <w:rPr>
          <w:rFonts w:ascii="Arial" w:hAnsi="Arial" w:cs="Arial"/>
        </w:rPr>
        <w:t>is delivered</w:t>
      </w:r>
      <w:proofErr w:type="gramEnd"/>
      <w:r w:rsidRPr="009D4F71">
        <w:rPr>
          <w:rFonts w:ascii="Arial" w:hAnsi="Arial" w:cs="Arial"/>
        </w:rPr>
        <w:t xml:space="preserve"> orally or intravenously, enters the bloodstream, and is distributed throughout the body</w:t>
      </w:r>
      <w:r w:rsidR="00F91ED8">
        <w:rPr>
          <w:rFonts w:ascii="Arial" w:hAnsi="Arial" w:cs="Arial"/>
        </w:rPr>
        <w:t xml:space="preserve">.  </w:t>
      </w:r>
      <w:r w:rsidRPr="009D4F71">
        <w:rPr>
          <w:rFonts w:ascii="Arial" w:hAnsi="Arial" w:cs="Arial"/>
        </w:rPr>
        <w:t xml:space="preserve">Indicate whether systemic therapy </w:t>
      </w:r>
      <w:proofErr w:type="gramStart"/>
      <w:r w:rsidRPr="009D4F71">
        <w:rPr>
          <w:rFonts w:ascii="Arial" w:hAnsi="Arial" w:cs="Arial"/>
        </w:rPr>
        <w:t>was given</w:t>
      </w:r>
      <w:proofErr w:type="gramEnd"/>
      <w:r w:rsidR="00F91ED8">
        <w:rPr>
          <w:rFonts w:ascii="Arial" w:hAnsi="Arial" w:cs="Arial"/>
        </w:rPr>
        <w:t xml:space="preserve">.  </w:t>
      </w:r>
      <w:r w:rsidRPr="009D4F71">
        <w:rPr>
          <w:rFonts w:ascii="Arial" w:hAnsi="Arial" w:cs="Arial"/>
        </w:rPr>
        <w:t>Indicate “yes” if the recipient received systemic therapy during the reporting period for reasons other than relapse, persistent, or progressive disease.</w:t>
      </w:r>
    </w:p>
    <w:p w14:paraId="77C7C800" w14:textId="77777777" w:rsidR="009D4F71" w:rsidRPr="00046297" w:rsidRDefault="009D4F71" w:rsidP="00A3714F">
      <w:pPr>
        <w:autoSpaceDE w:val="0"/>
        <w:autoSpaceDN w:val="0"/>
        <w:adjustRightInd w:val="0"/>
        <w:rPr>
          <w:rFonts w:ascii="Arial" w:hAnsi="Arial" w:cs="Arial"/>
        </w:rPr>
      </w:pPr>
    </w:p>
    <w:p w14:paraId="0DDEA45A" w14:textId="7E4CF49F" w:rsidR="00A3340A" w:rsidRPr="00046297" w:rsidRDefault="00A3340A" w:rsidP="00A3714F">
      <w:pPr>
        <w:autoSpaceDE w:val="0"/>
        <w:autoSpaceDN w:val="0"/>
        <w:adjustRightInd w:val="0"/>
        <w:rPr>
          <w:rFonts w:ascii="Arial" w:hAnsi="Arial" w:cs="Arial"/>
          <w:b/>
        </w:rPr>
      </w:pPr>
      <w:r w:rsidRPr="00046297">
        <w:rPr>
          <w:rFonts w:ascii="Arial" w:hAnsi="Arial" w:cs="Arial"/>
          <w:b/>
        </w:rPr>
        <w:t xml:space="preserve">Questions 101-156: </w:t>
      </w:r>
      <w:r w:rsidR="005A3F32">
        <w:rPr>
          <w:rFonts w:ascii="Arial" w:hAnsi="Arial" w:cs="Arial"/>
          <w:b/>
        </w:rPr>
        <w:t xml:space="preserve"> </w:t>
      </w:r>
      <w:r w:rsidRPr="00046297">
        <w:rPr>
          <w:rFonts w:ascii="Arial" w:hAnsi="Arial" w:cs="Arial"/>
          <w:b/>
        </w:rPr>
        <w:t>Specify systemic therapy</w:t>
      </w:r>
    </w:p>
    <w:p w14:paraId="4F1D837F" w14:textId="4D4E70D6" w:rsidR="00010B0C" w:rsidRPr="00046297" w:rsidRDefault="008E3960" w:rsidP="00A3714F">
      <w:pPr>
        <w:autoSpaceDE w:val="0"/>
        <w:autoSpaceDN w:val="0"/>
        <w:adjustRightInd w:val="0"/>
        <w:rPr>
          <w:rFonts w:ascii="Arial" w:hAnsi="Arial" w:cs="Arial"/>
        </w:rPr>
      </w:pPr>
      <w:r w:rsidRPr="00046297">
        <w:rPr>
          <w:rFonts w:ascii="Arial" w:hAnsi="Arial" w:cs="Arial"/>
        </w:rPr>
        <w:t>Systemic therapy agents and treatment regimens vary based on disease, prognosis, and protocol</w:t>
      </w:r>
      <w:r w:rsidR="00F91ED8">
        <w:rPr>
          <w:rFonts w:ascii="Arial" w:hAnsi="Arial" w:cs="Arial"/>
        </w:rPr>
        <w:t xml:space="preserve">.  </w:t>
      </w:r>
      <w:r w:rsidRPr="00046297">
        <w:rPr>
          <w:rFonts w:ascii="Arial" w:hAnsi="Arial" w:cs="Arial"/>
        </w:rPr>
        <w:t xml:space="preserve">Treatment may consistent of one or multiple drugs, and </w:t>
      </w:r>
      <w:proofErr w:type="gramStart"/>
      <w:r w:rsidRPr="00046297">
        <w:rPr>
          <w:rFonts w:ascii="Arial" w:hAnsi="Arial" w:cs="Arial"/>
        </w:rPr>
        <w:t>may be given</w:t>
      </w:r>
      <w:proofErr w:type="gramEnd"/>
      <w:r w:rsidRPr="00046297">
        <w:rPr>
          <w:rFonts w:ascii="Arial" w:hAnsi="Arial" w:cs="Arial"/>
        </w:rPr>
        <w:t xml:space="preserve"> in an inpatient or outpatient setting; additionally, drugs may be administered on a single day, over consecutive days, or continuously</w:t>
      </w:r>
      <w:r w:rsidR="00F91ED8">
        <w:rPr>
          <w:rFonts w:ascii="Arial" w:hAnsi="Arial" w:cs="Arial"/>
        </w:rPr>
        <w:t xml:space="preserve">.  </w:t>
      </w:r>
    </w:p>
    <w:p w14:paraId="1A440A7D" w14:textId="77777777" w:rsidR="008E3960" w:rsidRPr="00046297" w:rsidRDefault="008E3960" w:rsidP="00A3714F">
      <w:pPr>
        <w:autoSpaceDE w:val="0"/>
        <w:autoSpaceDN w:val="0"/>
        <w:adjustRightInd w:val="0"/>
        <w:rPr>
          <w:rFonts w:ascii="Arial" w:hAnsi="Arial" w:cs="Arial"/>
        </w:rPr>
      </w:pPr>
    </w:p>
    <w:p w14:paraId="70E3E453" w14:textId="09512BAF" w:rsidR="008E3960" w:rsidRPr="00046297" w:rsidRDefault="008E3960" w:rsidP="00A3714F">
      <w:pPr>
        <w:autoSpaceDE w:val="0"/>
        <w:autoSpaceDN w:val="0"/>
        <w:adjustRightInd w:val="0"/>
        <w:rPr>
          <w:rFonts w:ascii="Arial" w:hAnsi="Arial" w:cs="Arial"/>
        </w:rPr>
      </w:pPr>
      <w:r w:rsidRPr="00046297">
        <w:rPr>
          <w:rFonts w:ascii="Arial" w:hAnsi="Arial" w:cs="Arial"/>
        </w:rPr>
        <w:t xml:space="preserve">Form options </w:t>
      </w:r>
      <w:proofErr w:type="gramStart"/>
      <w:r w:rsidRPr="00046297">
        <w:rPr>
          <w:rFonts w:ascii="Arial" w:hAnsi="Arial" w:cs="Arial"/>
        </w:rPr>
        <w:t>are arranged</w:t>
      </w:r>
      <w:proofErr w:type="gramEnd"/>
      <w:r w:rsidRPr="00046297">
        <w:rPr>
          <w:rFonts w:ascii="Arial" w:hAnsi="Arial" w:cs="Arial"/>
        </w:rPr>
        <w:t xml:space="preserve"> by drug class, which is determined by the chemical structure and </w:t>
      </w:r>
      <w:r w:rsidR="00046297" w:rsidRPr="00046297">
        <w:rPr>
          <w:rFonts w:ascii="Arial" w:hAnsi="Arial" w:cs="Arial"/>
        </w:rPr>
        <w:t>action against cancer cells</w:t>
      </w:r>
      <w:r w:rsidR="00F91ED8">
        <w:rPr>
          <w:rFonts w:ascii="Arial" w:hAnsi="Arial" w:cs="Arial"/>
        </w:rPr>
        <w:t xml:space="preserve">.  </w:t>
      </w:r>
      <w:r w:rsidR="00046297" w:rsidRPr="00046297">
        <w:rPr>
          <w:rFonts w:ascii="Arial" w:hAnsi="Arial" w:cs="Arial"/>
        </w:rPr>
        <w:t xml:space="preserve">Review each option within the drug classes to determine whether any agents from that class </w:t>
      </w:r>
      <w:proofErr w:type="gramStart"/>
      <w:r w:rsidR="00046297" w:rsidRPr="00046297">
        <w:rPr>
          <w:rFonts w:ascii="Arial" w:hAnsi="Arial" w:cs="Arial"/>
        </w:rPr>
        <w:t>were given</w:t>
      </w:r>
      <w:proofErr w:type="gramEnd"/>
      <w:r w:rsidR="00F91ED8">
        <w:rPr>
          <w:rFonts w:ascii="Arial" w:hAnsi="Arial" w:cs="Arial"/>
        </w:rPr>
        <w:t xml:space="preserve">.  </w:t>
      </w:r>
      <w:r w:rsidRPr="00046297">
        <w:rPr>
          <w:rFonts w:ascii="Arial" w:hAnsi="Arial" w:cs="Arial"/>
        </w:rPr>
        <w:t xml:space="preserve">Report “yes” or “no” </w:t>
      </w:r>
      <w:r w:rsidR="00046297" w:rsidRPr="00046297">
        <w:rPr>
          <w:rFonts w:ascii="Arial" w:hAnsi="Arial" w:cs="Arial"/>
        </w:rPr>
        <w:t xml:space="preserve">for each drug class with an agent administered during the current reporting period for reasons </w:t>
      </w:r>
      <w:r w:rsidR="00046297" w:rsidRPr="00046297">
        <w:rPr>
          <w:rFonts w:ascii="Arial" w:hAnsi="Arial" w:cs="Arial"/>
        </w:rPr>
        <w:lastRenderedPageBreak/>
        <w:t>other than relapse, persistent, or progressive disease</w:t>
      </w:r>
      <w:r w:rsidR="00F91ED8">
        <w:rPr>
          <w:rFonts w:ascii="Arial" w:hAnsi="Arial" w:cs="Arial"/>
        </w:rPr>
        <w:t xml:space="preserve">.  </w:t>
      </w:r>
      <w:r w:rsidR="00046297" w:rsidRPr="00046297">
        <w:rPr>
          <w:rFonts w:ascii="Arial" w:hAnsi="Arial" w:cs="Arial"/>
        </w:rPr>
        <w:t xml:space="preserve">For each </w:t>
      </w:r>
      <w:proofErr w:type="gramStart"/>
      <w:r w:rsidR="00046297" w:rsidRPr="00046297">
        <w:rPr>
          <w:rFonts w:ascii="Arial" w:hAnsi="Arial" w:cs="Arial"/>
        </w:rPr>
        <w:t>drug</w:t>
      </w:r>
      <w:proofErr w:type="gramEnd"/>
      <w:r w:rsidR="00046297" w:rsidRPr="00046297">
        <w:rPr>
          <w:rFonts w:ascii="Arial" w:hAnsi="Arial" w:cs="Arial"/>
        </w:rPr>
        <w:t xml:space="preserve"> class where “yes” indicated, report “yes” or “no” for each agent listed below</w:t>
      </w:r>
      <w:r w:rsidR="00F91ED8">
        <w:rPr>
          <w:rFonts w:ascii="Arial" w:hAnsi="Arial" w:cs="Arial"/>
        </w:rPr>
        <w:t xml:space="preserve">.  </w:t>
      </w:r>
      <w:r w:rsidR="00046297" w:rsidRPr="00046297">
        <w:rPr>
          <w:rFonts w:ascii="Arial" w:hAnsi="Arial" w:cs="Arial"/>
        </w:rPr>
        <w:t>If the recipient received a therapeutic agent that is not listed within the class, select “other” and specify; if the recipient received a therapeutic agent that does not fall into any of the drug class options available on the form, select “yes” for question 155 and specify in question 156.</w:t>
      </w:r>
    </w:p>
    <w:p w14:paraId="083C6762" w14:textId="77777777" w:rsidR="008E3960" w:rsidRDefault="008E3960" w:rsidP="00A3714F">
      <w:pPr>
        <w:autoSpaceDE w:val="0"/>
        <w:autoSpaceDN w:val="0"/>
        <w:adjustRightInd w:val="0"/>
        <w:rPr>
          <w:rFonts w:ascii="Arial" w:hAnsi="Arial" w:cs="Arial"/>
          <w:b/>
          <w:highlight w:val="yellow"/>
        </w:rPr>
      </w:pPr>
    </w:p>
    <w:p w14:paraId="07509DEF" w14:textId="0A0593EC" w:rsidR="00676E4B" w:rsidRPr="0083760C" w:rsidRDefault="00676E4B" w:rsidP="00676E4B">
      <w:pPr>
        <w:rPr>
          <w:rFonts w:ascii="Arial" w:hAnsi="Arial" w:cs="Arial"/>
          <w:b/>
        </w:rPr>
      </w:pPr>
      <w:proofErr w:type="gramStart"/>
      <w:r>
        <w:rPr>
          <w:rFonts w:ascii="Arial" w:hAnsi="Arial" w:cs="Arial"/>
          <w:b/>
        </w:rPr>
        <w:t>Table 7</w:t>
      </w:r>
      <w:r w:rsidRPr="006F4BCF">
        <w:rPr>
          <w:rFonts w:ascii="Arial" w:hAnsi="Arial" w:cs="Arial"/>
          <w:b/>
        </w:rPr>
        <w:t>.</w:t>
      </w:r>
      <w:proofErr w:type="gramEnd"/>
      <w:r w:rsidRPr="006F4BCF">
        <w:rPr>
          <w:rFonts w:ascii="Arial" w:hAnsi="Arial" w:cs="Arial"/>
          <w:b/>
        </w:rPr>
        <w:t xml:space="preserve"> </w:t>
      </w:r>
      <w:r w:rsidR="00F91ED8">
        <w:rPr>
          <w:rFonts w:ascii="Arial" w:hAnsi="Arial" w:cs="Arial"/>
          <w:b/>
        </w:rPr>
        <w:t xml:space="preserve"> </w:t>
      </w:r>
      <w:r>
        <w:rPr>
          <w:rFonts w:ascii="Arial" w:hAnsi="Arial" w:cs="Arial"/>
          <w:b/>
        </w:rPr>
        <w:t>Drug Classes</w:t>
      </w:r>
    </w:p>
    <w:p w14:paraId="7A829AFC" w14:textId="77777777" w:rsidR="00676E4B" w:rsidRDefault="00676E4B" w:rsidP="00A3714F">
      <w:pPr>
        <w:autoSpaceDE w:val="0"/>
        <w:autoSpaceDN w:val="0"/>
        <w:adjustRightInd w:val="0"/>
        <w:rPr>
          <w:rFonts w:ascii="Arial" w:hAnsi="Arial" w:cs="Arial"/>
          <w:b/>
          <w:highlight w:val="yellow"/>
        </w:rPr>
      </w:pPr>
    </w:p>
    <w:tbl>
      <w:tblPr>
        <w:tblW w:w="9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7124"/>
      </w:tblGrid>
      <w:tr w:rsidR="00676E4B" w:rsidRPr="0083760C" w14:paraId="05512259" w14:textId="77777777" w:rsidTr="005A3F32">
        <w:tc>
          <w:tcPr>
            <w:tcW w:w="2538" w:type="dxa"/>
            <w:shd w:val="clear" w:color="auto" w:fill="63A70A" w:themeFill="accent2"/>
          </w:tcPr>
          <w:p w14:paraId="35C0CC56" w14:textId="4316BA96" w:rsidR="00676E4B" w:rsidRPr="0066473D" w:rsidRDefault="00676E4B" w:rsidP="009F7874">
            <w:pPr>
              <w:rPr>
                <w:rFonts w:ascii="Arial" w:hAnsi="Arial" w:cs="Arial"/>
                <w:b/>
                <w:color w:val="FFFFFF" w:themeColor="background1"/>
              </w:rPr>
            </w:pPr>
            <w:r>
              <w:rPr>
                <w:rFonts w:ascii="Arial" w:hAnsi="Arial" w:cs="Arial"/>
                <w:b/>
                <w:color w:val="FFFFFF" w:themeColor="background1"/>
              </w:rPr>
              <w:t>Drug Class</w:t>
            </w:r>
          </w:p>
        </w:tc>
        <w:tc>
          <w:tcPr>
            <w:tcW w:w="7124" w:type="dxa"/>
            <w:shd w:val="clear" w:color="auto" w:fill="63A70A" w:themeFill="accent2"/>
          </w:tcPr>
          <w:p w14:paraId="406BDEDA" w14:textId="77777777" w:rsidR="00676E4B" w:rsidRPr="0066473D" w:rsidRDefault="00676E4B" w:rsidP="009F7874">
            <w:pPr>
              <w:rPr>
                <w:rFonts w:ascii="Arial" w:hAnsi="Arial" w:cs="Arial"/>
                <w:b/>
                <w:color w:val="FFFFFF" w:themeColor="background1"/>
              </w:rPr>
            </w:pPr>
            <w:r w:rsidRPr="0066473D">
              <w:rPr>
                <w:rFonts w:ascii="Arial" w:hAnsi="Arial" w:cs="Arial"/>
                <w:b/>
                <w:color w:val="FFFFFF" w:themeColor="background1"/>
              </w:rPr>
              <w:t>Description</w:t>
            </w:r>
          </w:p>
        </w:tc>
      </w:tr>
      <w:tr w:rsidR="00676E4B" w:rsidRPr="00AB2E10" w14:paraId="4038C341" w14:textId="77777777" w:rsidTr="005A3F32">
        <w:tc>
          <w:tcPr>
            <w:tcW w:w="2538" w:type="dxa"/>
          </w:tcPr>
          <w:p w14:paraId="149F58F2" w14:textId="7BFF83BB" w:rsidR="00676E4B" w:rsidRPr="00CC5F40" w:rsidRDefault="00676E4B" w:rsidP="009F7874">
            <w:pPr>
              <w:pStyle w:val="ListParagraph"/>
              <w:ind w:left="0"/>
              <w:rPr>
                <w:rFonts w:ascii="Arial" w:hAnsi="Arial" w:cs="Arial"/>
                <w:sz w:val="20"/>
                <w:szCs w:val="20"/>
              </w:rPr>
            </w:pPr>
            <w:r>
              <w:rPr>
                <w:rFonts w:ascii="Arial" w:hAnsi="Arial" w:cs="Arial"/>
                <w:sz w:val="20"/>
                <w:szCs w:val="20"/>
              </w:rPr>
              <w:t>Monoclonal antibody (</w:t>
            </w:r>
            <w:proofErr w:type="spellStart"/>
            <w:r>
              <w:rPr>
                <w:rFonts w:ascii="Arial" w:hAnsi="Arial" w:cs="Arial"/>
                <w:sz w:val="20"/>
                <w:szCs w:val="20"/>
              </w:rPr>
              <w:t>mAb</w:t>
            </w:r>
            <w:proofErr w:type="spellEnd"/>
            <w:r>
              <w:rPr>
                <w:rFonts w:ascii="Arial" w:hAnsi="Arial" w:cs="Arial"/>
                <w:sz w:val="20"/>
                <w:szCs w:val="20"/>
              </w:rPr>
              <w:t>)</w:t>
            </w:r>
          </w:p>
        </w:tc>
        <w:tc>
          <w:tcPr>
            <w:tcW w:w="7124" w:type="dxa"/>
          </w:tcPr>
          <w:p w14:paraId="402400A0" w14:textId="671F9A37" w:rsidR="00676E4B" w:rsidRPr="00AB2E10" w:rsidRDefault="00D71405" w:rsidP="00F91ED8">
            <w:pPr>
              <w:rPr>
                <w:rFonts w:ascii="Arial" w:hAnsi="Arial" w:cs="Arial"/>
                <w:sz w:val="20"/>
                <w:szCs w:val="20"/>
              </w:rPr>
            </w:pPr>
            <w:r>
              <w:rPr>
                <w:rFonts w:ascii="Arial" w:hAnsi="Arial" w:cs="Arial"/>
                <w:sz w:val="20"/>
                <w:szCs w:val="20"/>
              </w:rPr>
              <w:t xml:space="preserve">Monoclonal antibodies </w:t>
            </w:r>
            <w:proofErr w:type="gramStart"/>
            <w:r>
              <w:rPr>
                <w:rFonts w:ascii="Arial" w:hAnsi="Arial" w:cs="Arial"/>
                <w:sz w:val="20"/>
                <w:szCs w:val="20"/>
              </w:rPr>
              <w:t>are</w:t>
            </w:r>
            <w:r w:rsidR="00676E4B">
              <w:rPr>
                <w:rFonts w:ascii="Arial" w:hAnsi="Arial" w:cs="Arial"/>
                <w:sz w:val="20"/>
                <w:szCs w:val="20"/>
              </w:rPr>
              <w:t xml:space="preserve"> developed</w:t>
            </w:r>
            <w:proofErr w:type="gramEnd"/>
            <w:r w:rsidR="00676E4B">
              <w:rPr>
                <w:rFonts w:ascii="Arial" w:hAnsi="Arial" w:cs="Arial"/>
                <w:sz w:val="20"/>
                <w:szCs w:val="20"/>
              </w:rPr>
              <w:t xml:space="preserve"> to bind to a specific cell </w:t>
            </w:r>
            <w:r>
              <w:rPr>
                <w:rFonts w:ascii="Arial" w:hAnsi="Arial" w:cs="Arial"/>
                <w:sz w:val="20"/>
                <w:szCs w:val="20"/>
              </w:rPr>
              <w:t xml:space="preserve">surface marker </w:t>
            </w:r>
            <w:r w:rsidR="00676E4B">
              <w:rPr>
                <w:rFonts w:ascii="Arial" w:hAnsi="Arial" w:cs="Arial"/>
                <w:sz w:val="20"/>
                <w:szCs w:val="20"/>
              </w:rPr>
              <w:t>or protein</w:t>
            </w:r>
            <w:r w:rsidR="005A4883">
              <w:rPr>
                <w:rFonts w:ascii="Arial" w:hAnsi="Arial" w:cs="Arial"/>
                <w:sz w:val="20"/>
                <w:szCs w:val="20"/>
              </w:rPr>
              <w:t>.</w:t>
            </w:r>
            <w:r w:rsidR="00F91ED8">
              <w:rPr>
                <w:rFonts w:ascii="Arial" w:hAnsi="Arial" w:cs="Arial"/>
                <w:sz w:val="20"/>
                <w:szCs w:val="20"/>
              </w:rPr>
              <w:t xml:space="preserve"> </w:t>
            </w:r>
            <w:r w:rsidR="005A4883">
              <w:rPr>
                <w:rFonts w:ascii="Arial" w:hAnsi="Arial" w:cs="Arial"/>
                <w:sz w:val="20"/>
                <w:szCs w:val="20"/>
              </w:rPr>
              <w:t xml:space="preserve"> The</w:t>
            </w:r>
            <w:r w:rsidR="006E0E34">
              <w:rPr>
                <w:rFonts w:ascii="Arial" w:hAnsi="Arial" w:cs="Arial"/>
                <w:sz w:val="20"/>
                <w:szCs w:val="20"/>
              </w:rPr>
              <w:t>se</w:t>
            </w:r>
            <w:r w:rsidR="005A4883">
              <w:rPr>
                <w:rFonts w:ascii="Arial" w:hAnsi="Arial" w:cs="Arial"/>
                <w:sz w:val="20"/>
                <w:szCs w:val="20"/>
              </w:rPr>
              <w:t xml:space="preserve"> antibodies</w:t>
            </w:r>
            <w:r w:rsidR="006E0E34">
              <w:rPr>
                <w:rFonts w:ascii="Arial" w:hAnsi="Arial" w:cs="Arial"/>
                <w:sz w:val="20"/>
                <w:szCs w:val="20"/>
              </w:rPr>
              <w:t xml:space="preserve"> either </w:t>
            </w:r>
            <w:r w:rsidR="005A4883">
              <w:rPr>
                <w:rFonts w:ascii="Arial" w:hAnsi="Arial" w:cs="Arial"/>
                <w:sz w:val="20"/>
                <w:szCs w:val="20"/>
              </w:rPr>
              <w:t>prompt the recipient’s imm</w:t>
            </w:r>
            <w:r w:rsidR="006E0E34">
              <w:rPr>
                <w:rFonts w:ascii="Arial" w:hAnsi="Arial" w:cs="Arial"/>
                <w:sz w:val="20"/>
                <w:szCs w:val="20"/>
              </w:rPr>
              <w:t xml:space="preserve">une system to attack the target or they deliver treatments directly to sites of disease (e.g., </w:t>
            </w:r>
            <w:proofErr w:type="spellStart"/>
            <w:r w:rsidR="006E0E34">
              <w:rPr>
                <w:rFonts w:ascii="Arial" w:hAnsi="Arial" w:cs="Arial"/>
                <w:sz w:val="20"/>
                <w:szCs w:val="20"/>
              </w:rPr>
              <w:t>radioimmunotherapy</w:t>
            </w:r>
            <w:proofErr w:type="spellEnd"/>
            <w:r w:rsidR="006E0E34">
              <w:rPr>
                <w:rFonts w:ascii="Arial" w:hAnsi="Arial" w:cs="Arial"/>
                <w:sz w:val="20"/>
                <w:szCs w:val="20"/>
              </w:rPr>
              <w:t>)</w:t>
            </w:r>
            <w:r w:rsidR="00F91ED8">
              <w:rPr>
                <w:rFonts w:ascii="Arial" w:hAnsi="Arial" w:cs="Arial"/>
                <w:sz w:val="20"/>
                <w:szCs w:val="20"/>
              </w:rPr>
              <w:t xml:space="preserve"> </w:t>
            </w:r>
            <w:r w:rsidR="006316F3" w:rsidRPr="00D71405">
              <w:rPr>
                <w:rFonts w:ascii="Arial" w:hAnsi="Arial" w:cs="Arial"/>
                <w:i/>
                <w:sz w:val="20"/>
                <w:szCs w:val="20"/>
              </w:rPr>
              <w:t xml:space="preserve">Do not report PD1 </w:t>
            </w:r>
            <w:r w:rsidRPr="00D71405">
              <w:rPr>
                <w:rFonts w:ascii="Arial" w:hAnsi="Arial" w:cs="Arial"/>
                <w:i/>
                <w:sz w:val="20"/>
                <w:szCs w:val="20"/>
              </w:rPr>
              <w:t xml:space="preserve">or tyrosine kinase </w:t>
            </w:r>
            <w:r w:rsidR="006316F3" w:rsidRPr="00D71405">
              <w:rPr>
                <w:rFonts w:ascii="Arial" w:hAnsi="Arial" w:cs="Arial"/>
                <w:i/>
                <w:sz w:val="20"/>
                <w:szCs w:val="20"/>
              </w:rPr>
              <w:t xml:space="preserve">inhibitors </w:t>
            </w:r>
            <w:r w:rsidR="00EB0C9B" w:rsidRPr="00D71405">
              <w:rPr>
                <w:rFonts w:ascii="Arial" w:hAnsi="Arial" w:cs="Arial"/>
                <w:i/>
                <w:sz w:val="20"/>
                <w:szCs w:val="20"/>
              </w:rPr>
              <w:t>under this class</w:t>
            </w:r>
            <w:r w:rsidR="00F91ED8">
              <w:rPr>
                <w:rFonts w:ascii="Arial" w:hAnsi="Arial" w:cs="Arial"/>
                <w:i/>
                <w:sz w:val="20"/>
                <w:szCs w:val="20"/>
              </w:rPr>
              <w:t xml:space="preserve">.  </w:t>
            </w:r>
            <w:r w:rsidR="006316F3" w:rsidRPr="00D71405">
              <w:rPr>
                <w:rFonts w:ascii="Arial" w:hAnsi="Arial" w:cs="Arial"/>
                <w:i/>
                <w:sz w:val="20"/>
                <w:szCs w:val="20"/>
              </w:rPr>
              <w:t>These drugs are captured separately.</w:t>
            </w:r>
            <w:r w:rsidR="006E0E34">
              <w:rPr>
                <w:rFonts w:ascii="Arial" w:hAnsi="Arial" w:cs="Arial"/>
                <w:sz w:val="20"/>
                <w:szCs w:val="20"/>
              </w:rPr>
              <w:t xml:space="preserve"> </w:t>
            </w:r>
          </w:p>
        </w:tc>
      </w:tr>
      <w:tr w:rsidR="00676E4B" w:rsidRPr="00AB2E10" w14:paraId="65FD7A35" w14:textId="77777777" w:rsidTr="005A3F32">
        <w:tc>
          <w:tcPr>
            <w:tcW w:w="2538" w:type="dxa"/>
          </w:tcPr>
          <w:p w14:paraId="5CA7793E" w14:textId="7A778AAE" w:rsidR="00676E4B" w:rsidRPr="00CC5F40" w:rsidRDefault="00676E4B" w:rsidP="009F7874">
            <w:pPr>
              <w:pStyle w:val="ListParagraph"/>
              <w:ind w:left="0"/>
              <w:rPr>
                <w:rFonts w:ascii="Arial" w:hAnsi="Arial" w:cs="Arial"/>
                <w:sz w:val="20"/>
                <w:szCs w:val="20"/>
              </w:rPr>
            </w:pPr>
            <w:r>
              <w:rPr>
                <w:rFonts w:ascii="Arial" w:hAnsi="Arial" w:cs="Arial"/>
                <w:sz w:val="20"/>
                <w:szCs w:val="20"/>
              </w:rPr>
              <w:t>Tyrosine kinase inhibitors (TKI)</w:t>
            </w:r>
          </w:p>
        </w:tc>
        <w:tc>
          <w:tcPr>
            <w:tcW w:w="7124" w:type="dxa"/>
          </w:tcPr>
          <w:p w14:paraId="1FE31731" w14:textId="4B2563BD" w:rsidR="00676E4B" w:rsidRPr="00AB2E10" w:rsidRDefault="006316F3" w:rsidP="003576F7">
            <w:pPr>
              <w:rPr>
                <w:rFonts w:ascii="Arial" w:hAnsi="Arial" w:cs="Arial"/>
                <w:sz w:val="20"/>
                <w:szCs w:val="20"/>
              </w:rPr>
            </w:pPr>
            <w:r>
              <w:rPr>
                <w:rFonts w:ascii="Arial" w:hAnsi="Arial" w:cs="Arial"/>
                <w:sz w:val="20"/>
                <w:szCs w:val="20"/>
              </w:rPr>
              <w:t>Tyrosine kinases</w:t>
            </w:r>
            <w:r w:rsidR="003576F7">
              <w:rPr>
                <w:rFonts w:ascii="Arial" w:hAnsi="Arial" w:cs="Arial"/>
                <w:sz w:val="20"/>
                <w:szCs w:val="20"/>
              </w:rPr>
              <w:t xml:space="preserve"> (TKs)</w:t>
            </w:r>
            <w:r>
              <w:rPr>
                <w:rFonts w:ascii="Arial" w:hAnsi="Arial" w:cs="Arial"/>
                <w:sz w:val="20"/>
                <w:szCs w:val="20"/>
              </w:rPr>
              <w:t xml:space="preserve"> are proteins responsible for </w:t>
            </w:r>
            <w:r w:rsidR="00FF2311">
              <w:rPr>
                <w:rFonts w:ascii="Arial" w:hAnsi="Arial" w:cs="Arial"/>
                <w:sz w:val="20"/>
                <w:szCs w:val="20"/>
              </w:rPr>
              <w:t>many</w:t>
            </w:r>
            <w:r>
              <w:rPr>
                <w:rFonts w:ascii="Arial" w:hAnsi="Arial" w:cs="Arial"/>
                <w:sz w:val="20"/>
                <w:szCs w:val="20"/>
              </w:rPr>
              <w:t xml:space="preserve"> cell functions</w:t>
            </w:r>
            <w:r w:rsidR="00523E0C">
              <w:rPr>
                <w:rFonts w:ascii="Arial" w:hAnsi="Arial" w:cs="Arial"/>
                <w:sz w:val="20"/>
                <w:szCs w:val="20"/>
              </w:rPr>
              <w:t xml:space="preserve"> and </w:t>
            </w:r>
            <w:proofErr w:type="gramStart"/>
            <w:r w:rsidR="00523E0C">
              <w:rPr>
                <w:rFonts w:ascii="Arial" w:hAnsi="Arial" w:cs="Arial"/>
                <w:sz w:val="20"/>
                <w:szCs w:val="20"/>
              </w:rPr>
              <w:t>can be found</w:t>
            </w:r>
            <w:proofErr w:type="gramEnd"/>
            <w:r w:rsidR="00523E0C">
              <w:rPr>
                <w:rFonts w:ascii="Arial" w:hAnsi="Arial" w:cs="Arial"/>
                <w:sz w:val="20"/>
                <w:szCs w:val="20"/>
              </w:rPr>
              <w:t xml:space="preserve"> in the cell membrane, cytoplasm, and nucleus</w:t>
            </w:r>
            <w:r w:rsidR="00F91ED8">
              <w:rPr>
                <w:rFonts w:ascii="Arial" w:hAnsi="Arial" w:cs="Arial"/>
                <w:sz w:val="20"/>
                <w:szCs w:val="20"/>
              </w:rPr>
              <w:t xml:space="preserve">.  </w:t>
            </w:r>
            <w:r w:rsidR="00B73196">
              <w:rPr>
                <w:rFonts w:ascii="Arial" w:hAnsi="Arial" w:cs="Arial"/>
                <w:sz w:val="20"/>
                <w:szCs w:val="20"/>
              </w:rPr>
              <w:t>This large category of proteins is involved in many different cellular processes</w:t>
            </w:r>
            <w:r w:rsidR="00F91ED8">
              <w:rPr>
                <w:rFonts w:ascii="Arial" w:hAnsi="Arial" w:cs="Arial"/>
                <w:sz w:val="20"/>
                <w:szCs w:val="20"/>
              </w:rPr>
              <w:t xml:space="preserve">.  </w:t>
            </w:r>
            <w:r w:rsidR="003576F7">
              <w:rPr>
                <w:rFonts w:ascii="Arial" w:hAnsi="Arial" w:cs="Arial"/>
                <w:sz w:val="20"/>
                <w:szCs w:val="20"/>
              </w:rPr>
              <w:t xml:space="preserve">Overactive TKs </w:t>
            </w:r>
            <w:r w:rsidR="00417BC5">
              <w:rPr>
                <w:rFonts w:ascii="Arial" w:hAnsi="Arial" w:cs="Arial"/>
                <w:sz w:val="20"/>
                <w:szCs w:val="20"/>
              </w:rPr>
              <w:t xml:space="preserve">can </w:t>
            </w:r>
            <w:r w:rsidR="00523E0C">
              <w:rPr>
                <w:rFonts w:ascii="Arial" w:hAnsi="Arial" w:cs="Arial"/>
                <w:sz w:val="20"/>
                <w:szCs w:val="20"/>
              </w:rPr>
              <w:t>result in</w:t>
            </w:r>
            <w:r w:rsidR="00417BC5">
              <w:rPr>
                <w:rFonts w:ascii="Arial" w:hAnsi="Arial" w:cs="Arial"/>
                <w:sz w:val="20"/>
                <w:szCs w:val="20"/>
              </w:rPr>
              <w:t xml:space="preserve"> significant disruption of normal </w:t>
            </w:r>
            <w:r w:rsidR="00FF2311">
              <w:rPr>
                <w:rFonts w:ascii="Arial" w:hAnsi="Arial" w:cs="Arial"/>
                <w:sz w:val="20"/>
                <w:szCs w:val="20"/>
              </w:rPr>
              <w:t>cellular processes including uncontrolled growth and proliferation</w:t>
            </w:r>
            <w:r w:rsidR="00F91ED8">
              <w:rPr>
                <w:rFonts w:ascii="Arial" w:hAnsi="Arial" w:cs="Arial"/>
                <w:sz w:val="20"/>
                <w:szCs w:val="20"/>
              </w:rPr>
              <w:t xml:space="preserve">.  </w:t>
            </w:r>
            <w:r>
              <w:rPr>
                <w:rFonts w:ascii="Arial" w:hAnsi="Arial" w:cs="Arial"/>
                <w:sz w:val="20"/>
                <w:szCs w:val="20"/>
              </w:rPr>
              <w:t xml:space="preserve">TKI’s </w:t>
            </w:r>
            <w:r w:rsidR="00523E0C">
              <w:rPr>
                <w:rFonts w:ascii="Arial" w:hAnsi="Arial" w:cs="Arial"/>
                <w:sz w:val="20"/>
                <w:szCs w:val="20"/>
              </w:rPr>
              <w:t>disrupt</w:t>
            </w:r>
            <w:r>
              <w:rPr>
                <w:rFonts w:ascii="Arial" w:hAnsi="Arial" w:cs="Arial"/>
                <w:sz w:val="20"/>
                <w:szCs w:val="20"/>
              </w:rPr>
              <w:t xml:space="preserve"> the function of these overactive proteins allowing other normal cell processes </w:t>
            </w:r>
            <w:r w:rsidR="00FF2311">
              <w:rPr>
                <w:rFonts w:ascii="Arial" w:hAnsi="Arial" w:cs="Arial"/>
                <w:sz w:val="20"/>
                <w:szCs w:val="20"/>
              </w:rPr>
              <w:t>such as adhesion and apoptosis to resume</w:t>
            </w:r>
            <w:r w:rsidR="00F91ED8">
              <w:rPr>
                <w:rFonts w:ascii="Arial" w:hAnsi="Arial" w:cs="Arial"/>
                <w:sz w:val="20"/>
                <w:szCs w:val="20"/>
              </w:rPr>
              <w:t xml:space="preserve">.  </w:t>
            </w:r>
            <w:r w:rsidR="001865EF" w:rsidRPr="00D71405">
              <w:rPr>
                <w:rFonts w:ascii="Arial" w:hAnsi="Arial" w:cs="Arial"/>
                <w:i/>
                <w:sz w:val="20"/>
                <w:szCs w:val="20"/>
              </w:rPr>
              <w:t>Do not report FLT3</w:t>
            </w:r>
            <w:r w:rsidR="00B9772F" w:rsidRPr="00D71405">
              <w:rPr>
                <w:rFonts w:ascii="Arial" w:hAnsi="Arial" w:cs="Arial"/>
                <w:i/>
                <w:sz w:val="20"/>
                <w:szCs w:val="20"/>
              </w:rPr>
              <w:t xml:space="preserve"> or BTK</w:t>
            </w:r>
            <w:r w:rsidR="001865EF" w:rsidRPr="00D71405">
              <w:rPr>
                <w:rFonts w:ascii="Arial" w:hAnsi="Arial" w:cs="Arial"/>
                <w:i/>
                <w:sz w:val="20"/>
                <w:szCs w:val="20"/>
              </w:rPr>
              <w:t xml:space="preserve"> inhibitors </w:t>
            </w:r>
            <w:r w:rsidR="00EB0C9B" w:rsidRPr="00D71405">
              <w:rPr>
                <w:rFonts w:ascii="Arial" w:hAnsi="Arial" w:cs="Arial"/>
                <w:i/>
                <w:sz w:val="20"/>
                <w:szCs w:val="20"/>
              </w:rPr>
              <w:t>under this class</w:t>
            </w:r>
            <w:r w:rsidR="00F91ED8">
              <w:rPr>
                <w:rFonts w:ascii="Arial" w:hAnsi="Arial" w:cs="Arial"/>
                <w:i/>
                <w:sz w:val="20"/>
                <w:szCs w:val="20"/>
              </w:rPr>
              <w:t xml:space="preserve">.  </w:t>
            </w:r>
            <w:r w:rsidR="001865EF" w:rsidRPr="00D71405">
              <w:rPr>
                <w:rFonts w:ascii="Arial" w:hAnsi="Arial" w:cs="Arial"/>
                <w:i/>
                <w:sz w:val="20"/>
                <w:szCs w:val="20"/>
              </w:rPr>
              <w:t xml:space="preserve">These drugs are captured </w:t>
            </w:r>
            <w:r w:rsidR="00524A33" w:rsidRPr="00D71405">
              <w:rPr>
                <w:rFonts w:ascii="Arial" w:hAnsi="Arial" w:cs="Arial"/>
                <w:i/>
                <w:sz w:val="20"/>
                <w:szCs w:val="20"/>
              </w:rPr>
              <w:t>separately.</w:t>
            </w:r>
          </w:p>
        </w:tc>
      </w:tr>
      <w:tr w:rsidR="00676E4B" w:rsidRPr="00AB2E10" w14:paraId="59D808EC" w14:textId="77777777" w:rsidTr="005A3F32">
        <w:tc>
          <w:tcPr>
            <w:tcW w:w="2538" w:type="dxa"/>
          </w:tcPr>
          <w:p w14:paraId="48462110" w14:textId="09FC04A5" w:rsidR="00676E4B" w:rsidRDefault="00676E4B" w:rsidP="009F7874">
            <w:pPr>
              <w:pStyle w:val="ListParagraph"/>
              <w:ind w:left="0"/>
              <w:rPr>
                <w:rFonts w:ascii="Arial" w:hAnsi="Arial" w:cs="Arial"/>
                <w:sz w:val="20"/>
                <w:szCs w:val="20"/>
              </w:rPr>
            </w:pPr>
            <w:r>
              <w:rPr>
                <w:rFonts w:ascii="Arial" w:hAnsi="Arial" w:cs="Arial"/>
                <w:sz w:val="20"/>
                <w:szCs w:val="20"/>
              </w:rPr>
              <w:t>FLT3 inhibitor</w:t>
            </w:r>
          </w:p>
        </w:tc>
        <w:tc>
          <w:tcPr>
            <w:tcW w:w="7124" w:type="dxa"/>
          </w:tcPr>
          <w:p w14:paraId="456F4C89" w14:textId="31072F83" w:rsidR="00676E4B" w:rsidRDefault="00523E0C" w:rsidP="003576F7">
            <w:pPr>
              <w:rPr>
                <w:rFonts w:ascii="Arial" w:hAnsi="Arial" w:cs="Arial"/>
                <w:sz w:val="20"/>
                <w:szCs w:val="20"/>
              </w:rPr>
            </w:pPr>
            <w:r>
              <w:rPr>
                <w:rFonts w:ascii="Arial" w:hAnsi="Arial" w:cs="Arial"/>
                <w:sz w:val="20"/>
                <w:szCs w:val="20"/>
              </w:rPr>
              <w:t xml:space="preserve">The FLT3 gene produces a specific receptor type tyrosine </w:t>
            </w:r>
            <w:proofErr w:type="gramStart"/>
            <w:r>
              <w:rPr>
                <w:rFonts w:ascii="Arial" w:hAnsi="Arial" w:cs="Arial"/>
                <w:sz w:val="20"/>
                <w:szCs w:val="20"/>
              </w:rPr>
              <w:t>kinase which</w:t>
            </w:r>
            <w:proofErr w:type="gramEnd"/>
            <w:r>
              <w:rPr>
                <w:rFonts w:ascii="Arial" w:hAnsi="Arial" w:cs="Arial"/>
                <w:sz w:val="20"/>
                <w:szCs w:val="20"/>
              </w:rPr>
              <w:t xml:space="preserve"> acts as a cell surface receptor for cytokines</w:t>
            </w:r>
            <w:r w:rsidR="00F91ED8">
              <w:rPr>
                <w:rFonts w:ascii="Arial" w:hAnsi="Arial" w:cs="Arial"/>
                <w:sz w:val="20"/>
                <w:szCs w:val="20"/>
              </w:rPr>
              <w:t xml:space="preserve">.  </w:t>
            </w:r>
            <w:r w:rsidR="00B73196">
              <w:rPr>
                <w:rFonts w:ascii="Arial" w:hAnsi="Arial" w:cs="Arial"/>
                <w:sz w:val="20"/>
                <w:szCs w:val="20"/>
              </w:rPr>
              <w:t xml:space="preserve">This protein </w:t>
            </w:r>
            <w:proofErr w:type="gramStart"/>
            <w:r w:rsidR="00B73196">
              <w:rPr>
                <w:rFonts w:ascii="Arial" w:hAnsi="Arial" w:cs="Arial"/>
                <w:sz w:val="20"/>
                <w:szCs w:val="20"/>
              </w:rPr>
              <w:t>has been shown</w:t>
            </w:r>
            <w:proofErr w:type="gramEnd"/>
            <w:r w:rsidR="00B73196">
              <w:rPr>
                <w:rFonts w:ascii="Arial" w:hAnsi="Arial" w:cs="Arial"/>
                <w:sz w:val="20"/>
                <w:szCs w:val="20"/>
              </w:rPr>
              <w:t xml:space="preserve"> to be overactive in certain malignancies such as AML</w:t>
            </w:r>
            <w:r w:rsidR="00F91ED8">
              <w:rPr>
                <w:rFonts w:ascii="Arial" w:hAnsi="Arial" w:cs="Arial"/>
                <w:sz w:val="20"/>
                <w:szCs w:val="20"/>
              </w:rPr>
              <w:t xml:space="preserve">.  </w:t>
            </w:r>
            <w:r w:rsidR="00B73196">
              <w:rPr>
                <w:rFonts w:ascii="Arial" w:hAnsi="Arial" w:cs="Arial"/>
                <w:sz w:val="20"/>
                <w:szCs w:val="20"/>
              </w:rPr>
              <w:t xml:space="preserve">Treatments </w:t>
            </w:r>
            <w:proofErr w:type="gramStart"/>
            <w:r w:rsidR="00B73196">
              <w:rPr>
                <w:rFonts w:ascii="Arial" w:hAnsi="Arial" w:cs="Arial"/>
                <w:sz w:val="20"/>
                <w:szCs w:val="20"/>
              </w:rPr>
              <w:t>have been developed</w:t>
            </w:r>
            <w:proofErr w:type="gramEnd"/>
            <w:r w:rsidR="00B73196">
              <w:rPr>
                <w:rFonts w:ascii="Arial" w:hAnsi="Arial" w:cs="Arial"/>
                <w:sz w:val="20"/>
                <w:szCs w:val="20"/>
              </w:rPr>
              <w:t xml:space="preserve"> to target and disrupt FLT3</w:t>
            </w:r>
            <w:r w:rsidR="003576F7">
              <w:rPr>
                <w:rFonts w:ascii="Arial" w:hAnsi="Arial" w:cs="Arial"/>
                <w:sz w:val="20"/>
                <w:szCs w:val="20"/>
              </w:rPr>
              <w:t xml:space="preserve"> protein</w:t>
            </w:r>
            <w:r w:rsidR="00B73196">
              <w:rPr>
                <w:rFonts w:ascii="Arial" w:hAnsi="Arial" w:cs="Arial"/>
                <w:sz w:val="20"/>
                <w:szCs w:val="20"/>
              </w:rPr>
              <w:t xml:space="preserve"> function and restore normal cellular processes</w:t>
            </w:r>
            <w:r w:rsidR="00F91ED8">
              <w:rPr>
                <w:rFonts w:ascii="Arial" w:hAnsi="Arial" w:cs="Arial"/>
                <w:sz w:val="20"/>
                <w:szCs w:val="20"/>
              </w:rPr>
              <w:t xml:space="preserve">.  </w:t>
            </w:r>
            <w:r w:rsidR="00524A33">
              <w:rPr>
                <w:rFonts w:ascii="Arial" w:hAnsi="Arial" w:cs="Arial"/>
                <w:sz w:val="20"/>
                <w:szCs w:val="20"/>
              </w:rPr>
              <w:t xml:space="preserve">Report all FLT3 targeted therapies </w:t>
            </w:r>
            <w:r w:rsidR="00EB0C9B">
              <w:rPr>
                <w:rFonts w:ascii="Arial" w:hAnsi="Arial" w:cs="Arial"/>
                <w:sz w:val="20"/>
                <w:szCs w:val="20"/>
              </w:rPr>
              <w:t>under this class</w:t>
            </w:r>
            <w:r w:rsidR="00524A33">
              <w:rPr>
                <w:rFonts w:ascii="Arial" w:hAnsi="Arial" w:cs="Arial"/>
                <w:sz w:val="20"/>
                <w:szCs w:val="20"/>
              </w:rPr>
              <w:t>.</w:t>
            </w:r>
          </w:p>
        </w:tc>
      </w:tr>
      <w:tr w:rsidR="00676E4B" w:rsidRPr="00AB2E10" w14:paraId="1F1E5E44" w14:textId="77777777" w:rsidTr="005A3F32">
        <w:tc>
          <w:tcPr>
            <w:tcW w:w="2538" w:type="dxa"/>
          </w:tcPr>
          <w:p w14:paraId="4FDB27D1" w14:textId="79EA1479" w:rsidR="00676E4B" w:rsidRDefault="00676E4B" w:rsidP="009F7874">
            <w:pPr>
              <w:pStyle w:val="ListParagraph"/>
              <w:ind w:left="0"/>
              <w:rPr>
                <w:rFonts w:ascii="Arial" w:hAnsi="Arial" w:cs="Arial"/>
                <w:sz w:val="20"/>
                <w:szCs w:val="20"/>
              </w:rPr>
            </w:pPr>
            <w:r>
              <w:rPr>
                <w:rFonts w:ascii="Arial" w:hAnsi="Arial" w:cs="Arial"/>
                <w:sz w:val="20"/>
                <w:szCs w:val="20"/>
              </w:rPr>
              <w:t>Hypomethylating agent</w:t>
            </w:r>
          </w:p>
        </w:tc>
        <w:tc>
          <w:tcPr>
            <w:tcW w:w="7124" w:type="dxa"/>
          </w:tcPr>
          <w:p w14:paraId="25934DDA" w14:textId="6ECC9F00" w:rsidR="00676E4B" w:rsidRDefault="00524A33" w:rsidP="00EB0C9B">
            <w:pPr>
              <w:rPr>
                <w:rFonts w:ascii="Arial" w:hAnsi="Arial" w:cs="Arial"/>
                <w:sz w:val="20"/>
                <w:szCs w:val="20"/>
              </w:rPr>
            </w:pPr>
            <w:r>
              <w:rPr>
                <w:rFonts w:ascii="Arial" w:hAnsi="Arial" w:cs="Arial"/>
                <w:sz w:val="20"/>
                <w:szCs w:val="20"/>
              </w:rPr>
              <w:t xml:space="preserve">Methylation of specific nucleotides </w:t>
            </w:r>
            <w:proofErr w:type="gramStart"/>
            <w:r>
              <w:rPr>
                <w:rFonts w:ascii="Arial" w:hAnsi="Arial" w:cs="Arial"/>
                <w:sz w:val="20"/>
                <w:szCs w:val="20"/>
              </w:rPr>
              <w:t>impacts</w:t>
            </w:r>
            <w:proofErr w:type="gramEnd"/>
            <w:r>
              <w:rPr>
                <w:rFonts w:ascii="Arial" w:hAnsi="Arial" w:cs="Arial"/>
                <w:sz w:val="20"/>
                <w:szCs w:val="20"/>
              </w:rPr>
              <w:t xml:space="preserve"> whether specific portions of DNA are available for transcription</w:t>
            </w:r>
            <w:r w:rsidR="00F91ED8">
              <w:rPr>
                <w:rFonts w:ascii="Arial" w:hAnsi="Arial" w:cs="Arial"/>
                <w:sz w:val="20"/>
                <w:szCs w:val="20"/>
              </w:rPr>
              <w:t xml:space="preserve">.  </w:t>
            </w:r>
            <w:r>
              <w:rPr>
                <w:rFonts w:ascii="Arial" w:hAnsi="Arial" w:cs="Arial"/>
                <w:sz w:val="20"/>
                <w:szCs w:val="20"/>
              </w:rPr>
              <w:t xml:space="preserve">Some cancers experience significant cell growth and proliferation due to excessive methylation of </w:t>
            </w:r>
            <w:proofErr w:type="gramStart"/>
            <w:r>
              <w:rPr>
                <w:rFonts w:ascii="Arial" w:hAnsi="Arial" w:cs="Arial"/>
                <w:sz w:val="20"/>
                <w:szCs w:val="20"/>
              </w:rPr>
              <w:t>DNA which</w:t>
            </w:r>
            <w:proofErr w:type="gramEnd"/>
            <w:r>
              <w:rPr>
                <w:rFonts w:ascii="Arial" w:hAnsi="Arial" w:cs="Arial"/>
                <w:sz w:val="20"/>
                <w:szCs w:val="20"/>
              </w:rPr>
              <w:t xml:space="preserve"> can turn off tumor suppressor genes</w:t>
            </w:r>
            <w:r w:rsidR="00F91ED8">
              <w:rPr>
                <w:rFonts w:ascii="Arial" w:hAnsi="Arial" w:cs="Arial"/>
                <w:sz w:val="20"/>
                <w:szCs w:val="20"/>
              </w:rPr>
              <w:t xml:space="preserve">.  </w:t>
            </w:r>
            <w:proofErr w:type="spellStart"/>
            <w:r>
              <w:rPr>
                <w:rFonts w:ascii="Arial" w:hAnsi="Arial" w:cs="Arial"/>
                <w:sz w:val="20"/>
                <w:szCs w:val="20"/>
              </w:rPr>
              <w:t>Hypomethylating</w:t>
            </w:r>
            <w:proofErr w:type="spellEnd"/>
            <w:r>
              <w:rPr>
                <w:rFonts w:ascii="Arial" w:hAnsi="Arial" w:cs="Arial"/>
                <w:sz w:val="20"/>
                <w:szCs w:val="20"/>
              </w:rPr>
              <w:t xml:space="preserve"> agents </w:t>
            </w:r>
            <w:r w:rsidR="00EB0C9B">
              <w:rPr>
                <w:rFonts w:ascii="Arial" w:hAnsi="Arial" w:cs="Arial"/>
                <w:sz w:val="20"/>
                <w:szCs w:val="20"/>
              </w:rPr>
              <w:t>counter</w:t>
            </w:r>
            <w:r>
              <w:rPr>
                <w:rFonts w:ascii="Arial" w:hAnsi="Arial" w:cs="Arial"/>
                <w:sz w:val="20"/>
                <w:szCs w:val="20"/>
              </w:rPr>
              <w:t xml:space="preserve"> this process by </w:t>
            </w:r>
            <w:r w:rsidR="00EB0C9B">
              <w:rPr>
                <w:rFonts w:ascii="Arial" w:hAnsi="Arial" w:cs="Arial"/>
                <w:sz w:val="20"/>
                <w:szCs w:val="20"/>
              </w:rPr>
              <w:t>reducing the amount of DNA methylation and restoring function to tumor suppressor genes</w:t>
            </w:r>
            <w:r w:rsidR="00F91ED8">
              <w:rPr>
                <w:rFonts w:ascii="Arial" w:hAnsi="Arial" w:cs="Arial"/>
                <w:sz w:val="20"/>
                <w:szCs w:val="20"/>
              </w:rPr>
              <w:t xml:space="preserve">.  </w:t>
            </w:r>
            <w:r w:rsidR="00EB0C9B">
              <w:rPr>
                <w:rFonts w:ascii="Arial" w:hAnsi="Arial" w:cs="Arial"/>
                <w:sz w:val="20"/>
                <w:szCs w:val="20"/>
              </w:rPr>
              <w:t xml:space="preserve">Report all </w:t>
            </w:r>
            <w:proofErr w:type="spellStart"/>
            <w:r w:rsidR="00EB0C9B">
              <w:rPr>
                <w:rFonts w:ascii="Arial" w:hAnsi="Arial" w:cs="Arial"/>
                <w:sz w:val="20"/>
                <w:szCs w:val="20"/>
              </w:rPr>
              <w:t>hypomethylating</w:t>
            </w:r>
            <w:proofErr w:type="spellEnd"/>
            <w:r w:rsidR="00EB0C9B">
              <w:rPr>
                <w:rFonts w:ascii="Arial" w:hAnsi="Arial" w:cs="Arial"/>
                <w:sz w:val="20"/>
                <w:szCs w:val="20"/>
              </w:rPr>
              <w:t xml:space="preserve"> agents under this class.</w:t>
            </w:r>
          </w:p>
        </w:tc>
      </w:tr>
      <w:tr w:rsidR="00676E4B" w:rsidRPr="00AB2E10" w14:paraId="1B42E3E1" w14:textId="77777777" w:rsidTr="005A3F32">
        <w:tc>
          <w:tcPr>
            <w:tcW w:w="2538" w:type="dxa"/>
          </w:tcPr>
          <w:p w14:paraId="6B1327C6" w14:textId="57096192" w:rsidR="00676E4B" w:rsidRDefault="00676E4B" w:rsidP="009F7874">
            <w:pPr>
              <w:pStyle w:val="ListParagraph"/>
              <w:ind w:left="0"/>
              <w:rPr>
                <w:rFonts w:ascii="Arial" w:hAnsi="Arial" w:cs="Arial"/>
                <w:sz w:val="20"/>
                <w:szCs w:val="20"/>
              </w:rPr>
            </w:pPr>
            <w:r>
              <w:rPr>
                <w:rFonts w:ascii="Arial" w:hAnsi="Arial" w:cs="Arial"/>
                <w:sz w:val="20"/>
                <w:szCs w:val="20"/>
              </w:rPr>
              <w:t>Proteasome inhibitor</w:t>
            </w:r>
          </w:p>
        </w:tc>
        <w:tc>
          <w:tcPr>
            <w:tcW w:w="7124" w:type="dxa"/>
          </w:tcPr>
          <w:p w14:paraId="58E9C54C" w14:textId="3F21BF60" w:rsidR="00676E4B" w:rsidRDefault="00EB0C9B" w:rsidP="00B73196">
            <w:pPr>
              <w:rPr>
                <w:rFonts w:ascii="Arial" w:hAnsi="Arial" w:cs="Arial"/>
                <w:sz w:val="20"/>
                <w:szCs w:val="20"/>
              </w:rPr>
            </w:pPr>
            <w:r>
              <w:rPr>
                <w:rFonts w:ascii="Arial" w:hAnsi="Arial" w:cs="Arial"/>
                <w:sz w:val="20"/>
                <w:szCs w:val="20"/>
              </w:rPr>
              <w:t>Certain</w:t>
            </w:r>
            <w:r w:rsidR="00B73196">
              <w:rPr>
                <w:rFonts w:ascii="Arial" w:hAnsi="Arial" w:cs="Arial"/>
                <w:sz w:val="20"/>
                <w:szCs w:val="20"/>
              </w:rPr>
              <w:t xml:space="preserve"> intracellular</w:t>
            </w:r>
            <w:r>
              <w:rPr>
                <w:rFonts w:ascii="Arial" w:hAnsi="Arial" w:cs="Arial"/>
                <w:sz w:val="20"/>
                <w:szCs w:val="20"/>
              </w:rPr>
              <w:t xml:space="preserve"> proteins, such as P53, are necessary for the activation of apoptosis in cancer cells</w:t>
            </w:r>
            <w:r w:rsidR="00F91ED8">
              <w:rPr>
                <w:rFonts w:ascii="Arial" w:hAnsi="Arial" w:cs="Arial"/>
                <w:sz w:val="20"/>
                <w:szCs w:val="20"/>
              </w:rPr>
              <w:t xml:space="preserve">.  </w:t>
            </w:r>
            <w:r>
              <w:rPr>
                <w:rFonts w:ascii="Arial" w:hAnsi="Arial" w:cs="Arial"/>
                <w:sz w:val="20"/>
                <w:szCs w:val="20"/>
              </w:rPr>
              <w:t>Proteasomes break down many intracellular proteins including P53</w:t>
            </w:r>
            <w:r w:rsidR="00F91ED8">
              <w:rPr>
                <w:rFonts w:ascii="Arial" w:hAnsi="Arial" w:cs="Arial"/>
                <w:sz w:val="20"/>
                <w:szCs w:val="20"/>
              </w:rPr>
              <w:t xml:space="preserve">.  </w:t>
            </w:r>
            <w:r>
              <w:rPr>
                <w:rFonts w:ascii="Arial" w:hAnsi="Arial" w:cs="Arial"/>
                <w:sz w:val="20"/>
                <w:szCs w:val="20"/>
              </w:rPr>
              <w:t xml:space="preserve">Proteasome inhibitors disrupt the function of proteasomes and are </w:t>
            </w:r>
            <w:r w:rsidR="00B73196">
              <w:rPr>
                <w:rFonts w:ascii="Arial" w:hAnsi="Arial" w:cs="Arial"/>
                <w:sz w:val="20"/>
                <w:szCs w:val="20"/>
              </w:rPr>
              <w:t>believed</w:t>
            </w:r>
            <w:r>
              <w:rPr>
                <w:rFonts w:ascii="Arial" w:hAnsi="Arial" w:cs="Arial"/>
                <w:sz w:val="20"/>
                <w:szCs w:val="20"/>
              </w:rPr>
              <w:t xml:space="preserve"> to slow or prevent the excessive degradation of</w:t>
            </w:r>
            <w:r w:rsidR="00B73196">
              <w:rPr>
                <w:rFonts w:ascii="Arial" w:hAnsi="Arial" w:cs="Arial"/>
                <w:sz w:val="20"/>
                <w:szCs w:val="20"/>
              </w:rPr>
              <w:t xml:space="preserve"> the</w:t>
            </w:r>
            <w:r>
              <w:rPr>
                <w:rFonts w:ascii="Arial" w:hAnsi="Arial" w:cs="Arial"/>
                <w:sz w:val="20"/>
                <w:szCs w:val="20"/>
              </w:rPr>
              <w:t xml:space="preserve"> </w:t>
            </w:r>
            <w:proofErr w:type="gramStart"/>
            <w:r>
              <w:rPr>
                <w:rFonts w:ascii="Arial" w:hAnsi="Arial" w:cs="Arial"/>
                <w:sz w:val="20"/>
                <w:szCs w:val="20"/>
              </w:rPr>
              <w:t>proteins which</w:t>
            </w:r>
            <w:proofErr w:type="gramEnd"/>
            <w:r>
              <w:rPr>
                <w:rFonts w:ascii="Arial" w:hAnsi="Arial" w:cs="Arial"/>
                <w:sz w:val="20"/>
                <w:szCs w:val="20"/>
              </w:rPr>
              <w:t xml:space="preserve"> activate apoptosis</w:t>
            </w:r>
            <w:r w:rsidR="00F91ED8">
              <w:rPr>
                <w:rFonts w:ascii="Arial" w:hAnsi="Arial" w:cs="Arial"/>
                <w:sz w:val="20"/>
                <w:szCs w:val="20"/>
              </w:rPr>
              <w:t xml:space="preserve">.  </w:t>
            </w:r>
            <w:r>
              <w:rPr>
                <w:rFonts w:ascii="Arial" w:hAnsi="Arial" w:cs="Arial"/>
                <w:sz w:val="20"/>
                <w:szCs w:val="20"/>
              </w:rPr>
              <w:t>Report all proteasome inhibitors under this class.</w:t>
            </w:r>
          </w:p>
        </w:tc>
      </w:tr>
      <w:tr w:rsidR="00676E4B" w:rsidRPr="00AB2E10" w14:paraId="4BCFB5E9" w14:textId="77777777" w:rsidTr="005A3F32">
        <w:tc>
          <w:tcPr>
            <w:tcW w:w="2538" w:type="dxa"/>
          </w:tcPr>
          <w:p w14:paraId="702CFE76" w14:textId="421730C1" w:rsidR="00676E4B" w:rsidRDefault="00676E4B" w:rsidP="009F7874">
            <w:pPr>
              <w:pStyle w:val="ListParagraph"/>
              <w:ind w:left="0"/>
              <w:rPr>
                <w:rFonts w:ascii="Arial" w:hAnsi="Arial" w:cs="Arial"/>
                <w:sz w:val="20"/>
                <w:szCs w:val="20"/>
              </w:rPr>
            </w:pPr>
            <w:r>
              <w:rPr>
                <w:rFonts w:ascii="Arial" w:hAnsi="Arial" w:cs="Arial"/>
                <w:sz w:val="20"/>
                <w:szCs w:val="20"/>
              </w:rPr>
              <w:t>Immune modulating agent</w:t>
            </w:r>
          </w:p>
        </w:tc>
        <w:tc>
          <w:tcPr>
            <w:tcW w:w="7124" w:type="dxa"/>
          </w:tcPr>
          <w:p w14:paraId="092AD8E6" w14:textId="41EA52EE" w:rsidR="00676E4B" w:rsidRPr="00EB0C9B" w:rsidRDefault="00812B0C" w:rsidP="00492E90">
            <w:pPr>
              <w:rPr>
                <w:rFonts w:ascii="Arial" w:hAnsi="Arial" w:cs="Arial"/>
                <w:sz w:val="20"/>
                <w:szCs w:val="20"/>
              </w:rPr>
            </w:pPr>
            <w:r>
              <w:rPr>
                <w:rFonts w:ascii="Arial" w:hAnsi="Arial" w:cs="Arial"/>
                <w:sz w:val="20"/>
                <w:szCs w:val="20"/>
              </w:rPr>
              <w:t xml:space="preserve">Immune modulating agents have </w:t>
            </w:r>
            <w:r w:rsidR="00492E90">
              <w:rPr>
                <w:rFonts w:ascii="Arial" w:hAnsi="Arial" w:cs="Arial"/>
                <w:sz w:val="20"/>
                <w:szCs w:val="20"/>
              </w:rPr>
              <w:t>varied targets and</w:t>
            </w:r>
            <w:r>
              <w:rPr>
                <w:rFonts w:ascii="Arial" w:hAnsi="Arial" w:cs="Arial"/>
                <w:sz w:val="20"/>
                <w:szCs w:val="20"/>
              </w:rPr>
              <w:t xml:space="preserve"> mechanisms of action, but </w:t>
            </w:r>
            <w:proofErr w:type="gramStart"/>
            <w:r>
              <w:rPr>
                <w:rFonts w:ascii="Arial" w:hAnsi="Arial" w:cs="Arial"/>
                <w:sz w:val="20"/>
                <w:szCs w:val="20"/>
              </w:rPr>
              <w:t>are all similarly intended</w:t>
            </w:r>
            <w:proofErr w:type="gramEnd"/>
            <w:r>
              <w:rPr>
                <w:rFonts w:ascii="Arial" w:hAnsi="Arial" w:cs="Arial"/>
                <w:sz w:val="20"/>
                <w:szCs w:val="20"/>
              </w:rPr>
              <w:t xml:space="preserve"> to prompt an anti-tumor response from the recipient’s </w:t>
            </w:r>
            <w:r w:rsidR="00492E90">
              <w:rPr>
                <w:rFonts w:ascii="Arial" w:hAnsi="Arial" w:cs="Arial"/>
                <w:sz w:val="20"/>
                <w:szCs w:val="20"/>
              </w:rPr>
              <w:t xml:space="preserve">own </w:t>
            </w:r>
            <w:r>
              <w:rPr>
                <w:rFonts w:ascii="Arial" w:hAnsi="Arial" w:cs="Arial"/>
                <w:sz w:val="20"/>
                <w:szCs w:val="20"/>
              </w:rPr>
              <w:t>immune system</w:t>
            </w:r>
            <w:r w:rsidR="00F91ED8">
              <w:rPr>
                <w:rFonts w:ascii="Arial" w:hAnsi="Arial" w:cs="Arial"/>
                <w:sz w:val="20"/>
                <w:szCs w:val="20"/>
              </w:rPr>
              <w:t xml:space="preserve">.  </w:t>
            </w:r>
            <w:r w:rsidR="00492E90" w:rsidRPr="00D71405">
              <w:rPr>
                <w:rFonts w:ascii="Arial" w:hAnsi="Arial" w:cs="Arial"/>
                <w:i/>
                <w:sz w:val="20"/>
                <w:szCs w:val="20"/>
              </w:rPr>
              <w:t xml:space="preserve">Do not report </w:t>
            </w:r>
            <w:proofErr w:type="spellStart"/>
            <w:r w:rsidR="00492E90" w:rsidRPr="00D71405">
              <w:rPr>
                <w:rFonts w:ascii="Arial" w:hAnsi="Arial" w:cs="Arial"/>
                <w:i/>
                <w:sz w:val="20"/>
                <w:szCs w:val="20"/>
              </w:rPr>
              <w:t>mAb</w:t>
            </w:r>
            <w:proofErr w:type="spellEnd"/>
            <w:r w:rsidR="00D71405">
              <w:rPr>
                <w:rFonts w:ascii="Arial" w:hAnsi="Arial" w:cs="Arial"/>
                <w:i/>
                <w:sz w:val="20"/>
                <w:szCs w:val="20"/>
              </w:rPr>
              <w:t xml:space="preserve"> therapy</w:t>
            </w:r>
            <w:r w:rsidR="00492E90" w:rsidRPr="00D71405">
              <w:rPr>
                <w:rFonts w:ascii="Arial" w:hAnsi="Arial" w:cs="Arial"/>
                <w:i/>
                <w:sz w:val="20"/>
                <w:szCs w:val="20"/>
              </w:rPr>
              <w:t xml:space="preserve"> or PD1 inhibitors under this class</w:t>
            </w:r>
            <w:r w:rsidR="00F91ED8">
              <w:rPr>
                <w:rFonts w:ascii="Arial" w:hAnsi="Arial" w:cs="Arial"/>
                <w:i/>
                <w:sz w:val="20"/>
                <w:szCs w:val="20"/>
              </w:rPr>
              <w:t xml:space="preserve">.  </w:t>
            </w:r>
            <w:r w:rsidR="00492E90" w:rsidRPr="00D71405">
              <w:rPr>
                <w:rFonts w:ascii="Arial" w:hAnsi="Arial" w:cs="Arial"/>
                <w:i/>
                <w:sz w:val="20"/>
                <w:szCs w:val="20"/>
              </w:rPr>
              <w:t>These drugs are captured separately.</w:t>
            </w:r>
          </w:p>
        </w:tc>
      </w:tr>
      <w:tr w:rsidR="00676E4B" w:rsidRPr="00AB2E10" w14:paraId="02354F7E" w14:textId="77777777" w:rsidTr="005A3F32">
        <w:tc>
          <w:tcPr>
            <w:tcW w:w="2538" w:type="dxa"/>
          </w:tcPr>
          <w:p w14:paraId="297941A0" w14:textId="52375656" w:rsidR="00676E4B" w:rsidRDefault="00676E4B" w:rsidP="009F7874">
            <w:pPr>
              <w:pStyle w:val="ListParagraph"/>
              <w:ind w:left="0"/>
              <w:rPr>
                <w:rFonts w:ascii="Arial" w:hAnsi="Arial" w:cs="Arial"/>
                <w:sz w:val="20"/>
                <w:szCs w:val="20"/>
              </w:rPr>
            </w:pPr>
            <w:r>
              <w:rPr>
                <w:rFonts w:ascii="Arial" w:hAnsi="Arial" w:cs="Arial"/>
                <w:sz w:val="20"/>
                <w:szCs w:val="20"/>
              </w:rPr>
              <w:t>PD1 inhibitor</w:t>
            </w:r>
          </w:p>
        </w:tc>
        <w:tc>
          <w:tcPr>
            <w:tcW w:w="7124" w:type="dxa"/>
          </w:tcPr>
          <w:p w14:paraId="2BD76B1F" w14:textId="796B7D11" w:rsidR="00676E4B" w:rsidRDefault="00492E90" w:rsidP="005A3F32">
            <w:pPr>
              <w:rPr>
                <w:rFonts w:ascii="Arial" w:hAnsi="Arial" w:cs="Arial"/>
                <w:sz w:val="20"/>
                <w:szCs w:val="20"/>
              </w:rPr>
            </w:pPr>
            <w:r>
              <w:rPr>
                <w:rFonts w:ascii="Arial" w:hAnsi="Arial" w:cs="Arial"/>
                <w:sz w:val="20"/>
                <w:szCs w:val="20"/>
              </w:rPr>
              <w:t>PD1 is a cell surface receptor protei</w:t>
            </w:r>
            <w:r w:rsidR="00B9772F">
              <w:rPr>
                <w:rFonts w:ascii="Arial" w:hAnsi="Arial" w:cs="Arial"/>
                <w:sz w:val="20"/>
                <w:szCs w:val="20"/>
              </w:rPr>
              <w:t>n present on T-c</w:t>
            </w:r>
            <w:r>
              <w:rPr>
                <w:rFonts w:ascii="Arial" w:hAnsi="Arial" w:cs="Arial"/>
                <w:sz w:val="20"/>
                <w:szCs w:val="20"/>
              </w:rPr>
              <w:t>ells</w:t>
            </w:r>
            <w:r w:rsidR="00F91ED8">
              <w:rPr>
                <w:rFonts w:ascii="Arial" w:hAnsi="Arial" w:cs="Arial"/>
                <w:sz w:val="20"/>
                <w:szCs w:val="20"/>
              </w:rPr>
              <w:t xml:space="preserve">.  </w:t>
            </w:r>
            <w:r>
              <w:rPr>
                <w:rFonts w:ascii="Arial" w:hAnsi="Arial" w:cs="Arial"/>
                <w:sz w:val="20"/>
                <w:szCs w:val="20"/>
              </w:rPr>
              <w:t xml:space="preserve">It detects the presence of normal cell surface molecules on healthy cells and prevents </w:t>
            </w:r>
            <w:r w:rsidR="00F91ED8">
              <w:rPr>
                <w:rFonts w:ascii="Arial" w:hAnsi="Arial" w:cs="Arial"/>
                <w:sz w:val="20"/>
                <w:szCs w:val="20"/>
              </w:rPr>
              <w:t xml:space="preserve">  </w:t>
            </w:r>
            <w:r w:rsidR="00F57F50">
              <w:rPr>
                <w:rFonts w:ascii="Arial" w:hAnsi="Arial" w:cs="Arial"/>
                <w:sz w:val="20"/>
                <w:szCs w:val="20"/>
              </w:rPr>
              <w:t xml:space="preserve">   </w:t>
            </w:r>
            <w:r w:rsidR="00F91ED8">
              <w:rPr>
                <w:rFonts w:ascii="Arial" w:hAnsi="Arial" w:cs="Arial"/>
                <w:sz w:val="20"/>
                <w:szCs w:val="20"/>
              </w:rPr>
              <w:t xml:space="preserve">  </w:t>
            </w:r>
            <w:r>
              <w:rPr>
                <w:rFonts w:ascii="Arial" w:hAnsi="Arial" w:cs="Arial"/>
                <w:sz w:val="20"/>
                <w:szCs w:val="20"/>
              </w:rPr>
              <w:t>T-cells from destroying them</w:t>
            </w:r>
            <w:r w:rsidR="00F91ED8">
              <w:rPr>
                <w:rFonts w:ascii="Arial" w:hAnsi="Arial" w:cs="Arial"/>
                <w:sz w:val="20"/>
                <w:szCs w:val="20"/>
              </w:rPr>
              <w:t xml:space="preserve">.  </w:t>
            </w:r>
            <w:r w:rsidR="00B73196">
              <w:rPr>
                <w:rFonts w:ascii="Arial" w:hAnsi="Arial" w:cs="Arial"/>
                <w:sz w:val="20"/>
                <w:szCs w:val="20"/>
              </w:rPr>
              <w:t>Some cancer cells</w:t>
            </w:r>
            <w:r>
              <w:rPr>
                <w:rFonts w:ascii="Arial" w:hAnsi="Arial" w:cs="Arial"/>
                <w:sz w:val="20"/>
                <w:szCs w:val="20"/>
              </w:rPr>
              <w:t xml:space="preserve"> also produce similar cell surface molecules </w:t>
            </w:r>
            <w:r w:rsidR="00B73196">
              <w:rPr>
                <w:rFonts w:ascii="Arial" w:hAnsi="Arial" w:cs="Arial"/>
                <w:sz w:val="20"/>
                <w:szCs w:val="20"/>
              </w:rPr>
              <w:t>which</w:t>
            </w:r>
            <w:r w:rsidR="00B9772F">
              <w:rPr>
                <w:rFonts w:ascii="Arial" w:hAnsi="Arial" w:cs="Arial"/>
                <w:sz w:val="20"/>
                <w:szCs w:val="20"/>
              </w:rPr>
              <w:t xml:space="preserve"> prevent T-cells from recognizing and attacking them</w:t>
            </w:r>
            <w:proofErr w:type="gramStart"/>
            <w:r w:rsidR="00F91ED8">
              <w:rPr>
                <w:rFonts w:ascii="Arial" w:hAnsi="Arial" w:cs="Arial"/>
                <w:sz w:val="20"/>
                <w:szCs w:val="20"/>
              </w:rPr>
              <w:t xml:space="preserve">.   </w:t>
            </w:r>
            <w:proofErr w:type="gramEnd"/>
            <w:r w:rsidR="00B9772F">
              <w:rPr>
                <w:rFonts w:ascii="Arial" w:hAnsi="Arial" w:cs="Arial"/>
                <w:sz w:val="20"/>
                <w:szCs w:val="20"/>
              </w:rPr>
              <w:t>PD1 inhibitors block this interaction allowing T-cells to attack cancer cells</w:t>
            </w:r>
            <w:r w:rsidR="00F91ED8">
              <w:rPr>
                <w:rFonts w:ascii="Arial" w:hAnsi="Arial" w:cs="Arial"/>
                <w:sz w:val="20"/>
                <w:szCs w:val="20"/>
              </w:rPr>
              <w:t xml:space="preserve"> </w:t>
            </w:r>
            <w:r w:rsidR="00B9772F">
              <w:rPr>
                <w:rFonts w:ascii="Arial" w:hAnsi="Arial" w:cs="Arial"/>
                <w:sz w:val="20"/>
                <w:szCs w:val="20"/>
              </w:rPr>
              <w:t>Report all PD1 inhibitors under this class.</w:t>
            </w:r>
          </w:p>
        </w:tc>
      </w:tr>
      <w:tr w:rsidR="00676E4B" w:rsidRPr="00AB2E10" w14:paraId="0DB19529" w14:textId="77777777" w:rsidTr="005A3F32">
        <w:tc>
          <w:tcPr>
            <w:tcW w:w="2538" w:type="dxa"/>
          </w:tcPr>
          <w:p w14:paraId="5CCE855F" w14:textId="70B3F612" w:rsidR="00676E4B" w:rsidRDefault="00676E4B" w:rsidP="009F7874">
            <w:pPr>
              <w:pStyle w:val="ListParagraph"/>
              <w:ind w:left="0"/>
              <w:rPr>
                <w:rFonts w:ascii="Arial" w:hAnsi="Arial" w:cs="Arial"/>
                <w:sz w:val="20"/>
                <w:szCs w:val="20"/>
              </w:rPr>
            </w:pPr>
            <w:r>
              <w:rPr>
                <w:rFonts w:ascii="Arial" w:hAnsi="Arial" w:cs="Arial"/>
                <w:sz w:val="20"/>
                <w:szCs w:val="20"/>
              </w:rPr>
              <w:t>BTK inhibitor</w:t>
            </w:r>
          </w:p>
        </w:tc>
        <w:tc>
          <w:tcPr>
            <w:tcW w:w="7124" w:type="dxa"/>
          </w:tcPr>
          <w:p w14:paraId="79DF7C54" w14:textId="4DF480A8" w:rsidR="00676E4B" w:rsidRDefault="00B9772F" w:rsidP="00B73196">
            <w:pPr>
              <w:rPr>
                <w:rFonts w:ascii="Arial" w:hAnsi="Arial" w:cs="Arial"/>
                <w:sz w:val="20"/>
                <w:szCs w:val="20"/>
              </w:rPr>
            </w:pPr>
            <w:proofErr w:type="spellStart"/>
            <w:r>
              <w:rPr>
                <w:rFonts w:ascii="Arial" w:hAnsi="Arial" w:cs="Arial"/>
                <w:sz w:val="20"/>
                <w:szCs w:val="20"/>
              </w:rPr>
              <w:t>Bruton’s</w:t>
            </w:r>
            <w:proofErr w:type="spellEnd"/>
            <w:r>
              <w:rPr>
                <w:rFonts w:ascii="Arial" w:hAnsi="Arial" w:cs="Arial"/>
                <w:sz w:val="20"/>
                <w:szCs w:val="20"/>
              </w:rPr>
              <w:t xml:space="preserve"> tyrosine kinase is a protein involved in B-cell maturation</w:t>
            </w:r>
            <w:r w:rsidR="00F91ED8">
              <w:rPr>
                <w:rFonts w:ascii="Arial" w:hAnsi="Arial" w:cs="Arial"/>
                <w:sz w:val="20"/>
                <w:szCs w:val="20"/>
              </w:rPr>
              <w:t xml:space="preserve">.  </w:t>
            </w:r>
            <w:r>
              <w:rPr>
                <w:rFonts w:ascii="Arial" w:hAnsi="Arial" w:cs="Arial"/>
                <w:sz w:val="20"/>
                <w:szCs w:val="20"/>
              </w:rPr>
              <w:t xml:space="preserve">This protein </w:t>
            </w:r>
            <w:proofErr w:type="gramStart"/>
            <w:r w:rsidR="00B73196">
              <w:rPr>
                <w:rFonts w:ascii="Arial" w:hAnsi="Arial" w:cs="Arial"/>
                <w:sz w:val="20"/>
                <w:szCs w:val="20"/>
              </w:rPr>
              <w:t>has been shown</w:t>
            </w:r>
            <w:proofErr w:type="gramEnd"/>
            <w:r w:rsidR="00B73196">
              <w:rPr>
                <w:rFonts w:ascii="Arial" w:hAnsi="Arial" w:cs="Arial"/>
                <w:sz w:val="20"/>
                <w:szCs w:val="20"/>
              </w:rPr>
              <w:t xml:space="preserve"> to be overactive in certain malignancies such as CLL</w:t>
            </w:r>
            <w:r w:rsidR="00F91ED8">
              <w:rPr>
                <w:rFonts w:ascii="Arial" w:hAnsi="Arial" w:cs="Arial"/>
                <w:sz w:val="20"/>
                <w:szCs w:val="20"/>
              </w:rPr>
              <w:t xml:space="preserve">.  </w:t>
            </w:r>
            <w:r w:rsidR="00B73196">
              <w:rPr>
                <w:rFonts w:ascii="Arial" w:hAnsi="Arial" w:cs="Arial"/>
                <w:sz w:val="20"/>
                <w:szCs w:val="20"/>
              </w:rPr>
              <w:t>Treatments have been developed to target and disrupt BTK function and restore normal cellular processes</w:t>
            </w:r>
            <w:proofErr w:type="gramStart"/>
            <w:r w:rsidR="00F91ED8">
              <w:rPr>
                <w:rFonts w:ascii="Arial" w:hAnsi="Arial" w:cs="Arial"/>
                <w:sz w:val="20"/>
                <w:szCs w:val="20"/>
              </w:rPr>
              <w:t xml:space="preserve">.   </w:t>
            </w:r>
            <w:proofErr w:type="gramEnd"/>
            <w:r w:rsidR="00B73196">
              <w:rPr>
                <w:rFonts w:ascii="Arial" w:hAnsi="Arial" w:cs="Arial"/>
                <w:sz w:val="20"/>
                <w:szCs w:val="20"/>
              </w:rPr>
              <w:t>Report all BTK inhibitors under this class.</w:t>
            </w:r>
            <w:r>
              <w:rPr>
                <w:rFonts w:ascii="Arial" w:hAnsi="Arial" w:cs="Arial"/>
                <w:sz w:val="20"/>
                <w:szCs w:val="20"/>
              </w:rPr>
              <w:t xml:space="preserve"> </w:t>
            </w:r>
          </w:p>
        </w:tc>
      </w:tr>
      <w:tr w:rsidR="00676E4B" w:rsidRPr="00AB2E10" w14:paraId="11B2B67B" w14:textId="77777777" w:rsidTr="005A3F32">
        <w:tc>
          <w:tcPr>
            <w:tcW w:w="2538" w:type="dxa"/>
          </w:tcPr>
          <w:p w14:paraId="10B84947" w14:textId="100F3A78" w:rsidR="00676E4B" w:rsidRDefault="00676E4B" w:rsidP="009F7874">
            <w:pPr>
              <w:pStyle w:val="ListParagraph"/>
              <w:ind w:left="0"/>
              <w:rPr>
                <w:rFonts w:ascii="Arial" w:hAnsi="Arial" w:cs="Arial"/>
                <w:sz w:val="20"/>
                <w:szCs w:val="20"/>
              </w:rPr>
            </w:pPr>
            <w:r>
              <w:rPr>
                <w:rFonts w:ascii="Arial" w:hAnsi="Arial" w:cs="Arial"/>
                <w:sz w:val="20"/>
                <w:szCs w:val="20"/>
              </w:rPr>
              <w:lastRenderedPageBreak/>
              <w:t>Chemotherapy</w:t>
            </w:r>
          </w:p>
        </w:tc>
        <w:tc>
          <w:tcPr>
            <w:tcW w:w="7124" w:type="dxa"/>
          </w:tcPr>
          <w:p w14:paraId="08DFEDCE" w14:textId="3DAC5E16" w:rsidR="00676E4B" w:rsidRDefault="00D71405" w:rsidP="00D71405">
            <w:pPr>
              <w:rPr>
                <w:rFonts w:ascii="Arial" w:hAnsi="Arial" w:cs="Arial"/>
                <w:sz w:val="20"/>
                <w:szCs w:val="20"/>
              </w:rPr>
            </w:pPr>
            <w:r>
              <w:rPr>
                <w:rFonts w:ascii="Arial" w:hAnsi="Arial" w:cs="Arial"/>
                <w:sz w:val="20"/>
                <w:szCs w:val="20"/>
              </w:rPr>
              <w:t>Any</w:t>
            </w:r>
            <w:r w:rsidR="003576F7">
              <w:rPr>
                <w:rFonts w:ascii="Arial" w:hAnsi="Arial" w:cs="Arial"/>
                <w:sz w:val="20"/>
                <w:szCs w:val="20"/>
              </w:rPr>
              <w:t xml:space="preserve"> systemic cytotoxic agents not already reported </w:t>
            </w:r>
            <w:r w:rsidR="00E036AC">
              <w:rPr>
                <w:rFonts w:ascii="Arial" w:hAnsi="Arial" w:cs="Arial"/>
                <w:sz w:val="20"/>
                <w:szCs w:val="20"/>
              </w:rPr>
              <w:t>under a drug class above</w:t>
            </w:r>
            <w:r w:rsidR="00F91ED8">
              <w:rPr>
                <w:rFonts w:ascii="Arial" w:hAnsi="Arial" w:cs="Arial"/>
                <w:sz w:val="20"/>
                <w:szCs w:val="20"/>
              </w:rPr>
              <w:t xml:space="preserve">.  </w:t>
            </w:r>
            <w:r w:rsidR="00E036AC" w:rsidRPr="00D71405">
              <w:rPr>
                <w:rFonts w:ascii="Arial" w:hAnsi="Arial" w:cs="Arial"/>
                <w:i/>
                <w:sz w:val="20"/>
                <w:szCs w:val="20"/>
              </w:rPr>
              <w:t>Do not report intrathecal therapy under this class</w:t>
            </w:r>
            <w:r w:rsidR="00F91ED8">
              <w:rPr>
                <w:rFonts w:ascii="Arial" w:hAnsi="Arial" w:cs="Arial"/>
                <w:i/>
                <w:sz w:val="20"/>
                <w:szCs w:val="20"/>
              </w:rPr>
              <w:t xml:space="preserve">.  </w:t>
            </w:r>
            <w:r w:rsidR="00E036AC" w:rsidRPr="00D71405">
              <w:rPr>
                <w:rFonts w:ascii="Arial" w:hAnsi="Arial" w:cs="Arial"/>
                <w:i/>
                <w:sz w:val="20"/>
                <w:szCs w:val="20"/>
              </w:rPr>
              <w:t>These treatments should be reported under “other therapy” in questions 160-161.</w:t>
            </w:r>
          </w:p>
        </w:tc>
      </w:tr>
    </w:tbl>
    <w:p w14:paraId="675EF9EC" w14:textId="77777777" w:rsidR="00676E4B" w:rsidRDefault="00676E4B" w:rsidP="00A3714F">
      <w:pPr>
        <w:autoSpaceDE w:val="0"/>
        <w:autoSpaceDN w:val="0"/>
        <w:adjustRightInd w:val="0"/>
        <w:rPr>
          <w:rFonts w:ascii="Arial" w:hAnsi="Arial" w:cs="Arial"/>
          <w:b/>
          <w:highlight w:val="yellow"/>
        </w:rPr>
      </w:pPr>
    </w:p>
    <w:p w14:paraId="41A6C42D" w14:textId="77777777" w:rsidR="00676E4B" w:rsidRPr="00143B43" w:rsidRDefault="00676E4B" w:rsidP="00A3714F">
      <w:pPr>
        <w:autoSpaceDE w:val="0"/>
        <w:autoSpaceDN w:val="0"/>
        <w:adjustRightInd w:val="0"/>
        <w:rPr>
          <w:rFonts w:ascii="Arial" w:hAnsi="Arial" w:cs="Arial"/>
          <w:b/>
          <w:highlight w:val="yellow"/>
        </w:rPr>
      </w:pPr>
    </w:p>
    <w:p w14:paraId="3A4A84F7" w14:textId="2BA9E50C" w:rsidR="00010B0C" w:rsidRPr="009D4F71" w:rsidRDefault="007E1D5D" w:rsidP="00A3714F">
      <w:pPr>
        <w:autoSpaceDE w:val="0"/>
        <w:autoSpaceDN w:val="0"/>
        <w:adjustRightInd w:val="0"/>
        <w:rPr>
          <w:rFonts w:ascii="Arial" w:hAnsi="Arial" w:cs="Arial"/>
        </w:rPr>
      </w:pPr>
      <w:r w:rsidRPr="009D4F71">
        <w:rPr>
          <w:rFonts w:ascii="Arial" w:hAnsi="Arial" w:cs="Arial"/>
          <w:b/>
        </w:rPr>
        <w:t xml:space="preserve">Question 157: </w:t>
      </w:r>
      <w:r w:rsidR="00F57F50">
        <w:rPr>
          <w:rFonts w:ascii="Arial" w:hAnsi="Arial" w:cs="Arial"/>
          <w:b/>
        </w:rPr>
        <w:t xml:space="preserve"> </w:t>
      </w:r>
      <w:r w:rsidRPr="009D4F71">
        <w:rPr>
          <w:rFonts w:ascii="Arial" w:hAnsi="Arial" w:cs="Arial"/>
          <w:b/>
        </w:rPr>
        <w:t>Radiation</w:t>
      </w:r>
    </w:p>
    <w:p w14:paraId="01F400C8" w14:textId="4DAE5B98" w:rsidR="009D4F71" w:rsidRPr="009D4F71" w:rsidRDefault="009D4F71" w:rsidP="00A3714F">
      <w:pPr>
        <w:autoSpaceDE w:val="0"/>
        <w:autoSpaceDN w:val="0"/>
        <w:adjustRightInd w:val="0"/>
        <w:rPr>
          <w:rFonts w:ascii="Arial" w:hAnsi="Arial" w:cs="Arial"/>
        </w:rPr>
      </w:pPr>
      <w:r w:rsidRPr="009D4F71">
        <w:rPr>
          <w:rFonts w:ascii="Arial" w:hAnsi="Arial" w:cs="Arial"/>
        </w:rPr>
        <w:t>Radiation therapy uses high-energy radiation to kill cancer cells</w:t>
      </w:r>
      <w:r w:rsidR="00F91ED8">
        <w:rPr>
          <w:rFonts w:ascii="Arial" w:hAnsi="Arial" w:cs="Arial"/>
        </w:rPr>
        <w:t xml:space="preserve">.  </w:t>
      </w:r>
      <w:r w:rsidRPr="009D4F71">
        <w:rPr>
          <w:rFonts w:ascii="Arial" w:hAnsi="Arial" w:cs="Arial"/>
        </w:rPr>
        <w:t>External beam radiation is one of the more frequently used types of radiation</w:t>
      </w:r>
      <w:r w:rsidR="00F91ED8">
        <w:rPr>
          <w:rFonts w:ascii="Arial" w:hAnsi="Arial" w:cs="Arial"/>
        </w:rPr>
        <w:t xml:space="preserve">.  </w:t>
      </w:r>
      <w:r w:rsidRPr="009D4F71">
        <w:rPr>
          <w:rFonts w:ascii="Arial" w:hAnsi="Arial" w:cs="Arial"/>
        </w:rPr>
        <w:t xml:space="preserve">In this method, a beam of radiation is delivered to a specific part of the body, such as the mediastinum. Radiation may be planned if bulky disease was </w:t>
      </w:r>
      <w:proofErr w:type="gramStart"/>
      <w:r w:rsidRPr="009D4F71">
        <w:rPr>
          <w:rFonts w:ascii="Arial" w:hAnsi="Arial" w:cs="Arial"/>
        </w:rPr>
        <w:t>present</w:t>
      </w:r>
      <w:proofErr w:type="gramEnd"/>
      <w:r w:rsidRPr="009D4F71">
        <w:rPr>
          <w:rFonts w:ascii="Arial" w:hAnsi="Arial" w:cs="Arial"/>
        </w:rPr>
        <w:t xml:space="preserve"> just prior to transplant for a recipient with lymphoma or a solid tumor</w:t>
      </w:r>
      <w:r w:rsidR="00F91ED8">
        <w:rPr>
          <w:rFonts w:ascii="Arial" w:hAnsi="Arial" w:cs="Arial"/>
        </w:rPr>
        <w:t xml:space="preserve">.  </w:t>
      </w:r>
      <w:r w:rsidRPr="009D4F71">
        <w:rPr>
          <w:rFonts w:ascii="Arial" w:hAnsi="Arial" w:cs="Arial"/>
        </w:rPr>
        <w:t>Indicate “yes” if the recipient received radiation therapy during the reporting period for reasons other than relapse, persistent, or progressive disease.</w:t>
      </w:r>
    </w:p>
    <w:p w14:paraId="57DBCBCD" w14:textId="77777777" w:rsidR="00010B0C" w:rsidRPr="004E0BE6" w:rsidRDefault="00010B0C" w:rsidP="00A3714F">
      <w:pPr>
        <w:autoSpaceDE w:val="0"/>
        <w:autoSpaceDN w:val="0"/>
        <w:adjustRightInd w:val="0"/>
        <w:rPr>
          <w:rFonts w:ascii="Arial" w:hAnsi="Arial" w:cs="Arial"/>
          <w:b/>
        </w:rPr>
      </w:pPr>
    </w:p>
    <w:p w14:paraId="262649AC" w14:textId="2FC4B82E" w:rsidR="00010B0C" w:rsidRPr="004E0BE6" w:rsidRDefault="00010B0C" w:rsidP="00A3714F">
      <w:pPr>
        <w:autoSpaceDE w:val="0"/>
        <w:autoSpaceDN w:val="0"/>
        <w:adjustRightInd w:val="0"/>
        <w:rPr>
          <w:rFonts w:ascii="Arial" w:hAnsi="Arial" w:cs="Arial"/>
          <w:b/>
        </w:rPr>
      </w:pPr>
      <w:r w:rsidRPr="004E0BE6">
        <w:rPr>
          <w:rFonts w:ascii="Arial" w:hAnsi="Arial" w:cs="Arial"/>
          <w:b/>
        </w:rPr>
        <w:t xml:space="preserve">Question 158: </w:t>
      </w:r>
      <w:r w:rsidR="00F57F50">
        <w:rPr>
          <w:rFonts w:ascii="Arial" w:hAnsi="Arial" w:cs="Arial"/>
          <w:b/>
        </w:rPr>
        <w:t xml:space="preserve"> </w:t>
      </w:r>
      <w:r w:rsidRPr="004E0BE6">
        <w:rPr>
          <w:rFonts w:ascii="Arial" w:hAnsi="Arial" w:cs="Arial"/>
          <w:b/>
        </w:rPr>
        <w:t>Ce</w:t>
      </w:r>
      <w:r w:rsidR="007E1D5D" w:rsidRPr="004E0BE6">
        <w:rPr>
          <w:rFonts w:ascii="Arial" w:hAnsi="Arial" w:cs="Arial"/>
          <w:b/>
        </w:rPr>
        <w:t>llular therapy</w:t>
      </w:r>
    </w:p>
    <w:p w14:paraId="3531A7CF" w14:textId="51E227E9" w:rsidR="00046297" w:rsidRPr="004E0BE6" w:rsidRDefault="00046297" w:rsidP="00A3714F">
      <w:pPr>
        <w:autoSpaceDE w:val="0"/>
        <w:autoSpaceDN w:val="0"/>
        <w:adjustRightInd w:val="0"/>
        <w:rPr>
          <w:rFonts w:ascii="Arial" w:hAnsi="Arial" w:cs="Arial"/>
        </w:rPr>
      </w:pPr>
      <w:r w:rsidRPr="004E0BE6">
        <w:rPr>
          <w:rFonts w:ascii="Arial" w:hAnsi="Arial" w:cs="Arial"/>
        </w:rPr>
        <w:t xml:space="preserve">Cellular therapy refers to the infusion of human or animal derived cells, which </w:t>
      </w:r>
      <w:proofErr w:type="gramStart"/>
      <w:r w:rsidRPr="004E0BE6">
        <w:rPr>
          <w:rFonts w:ascii="Arial" w:hAnsi="Arial" w:cs="Arial"/>
        </w:rPr>
        <w:t>may be modified or processed to achieve a specific composition</w:t>
      </w:r>
      <w:proofErr w:type="gramEnd"/>
      <w:r w:rsidR="00F91ED8">
        <w:rPr>
          <w:rFonts w:ascii="Arial" w:hAnsi="Arial" w:cs="Arial"/>
        </w:rPr>
        <w:t xml:space="preserve">.  </w:t>
      </w:r>
      <w:r w:rsidRPr="004E0BE6">
        <w:rPr>
          <w:rFonts w:ascii="Arial" w:hAnsi="Arial" w:cs="Arial"/>
        </w:rPr>
        <w:t xml:space="preserve">Examples include </w:t>
      </w:r>
      <w:r w:rsidR="004E0BE6" w:rsidRPr="004E0BE6">
        <w:rPr>
          <w:rFonts w:ascii="Arial" w:hAnsi="Arial" w:cs="Arial"/>
        </w:rPr>
        <w:t>T-cell, NK cell, and mesenchymal cell infusions</w:t>
      </w:r>
      <w:r w:rsidR="00F91ED8">
        <w:rPr>
          <w:rFonts w:ascii="Arial" w:hAnsi="Arial" w:cs="Arial"/>
        </w:rPr>
        <w:t xml:space="preserve">.  </w:t>
      </w:r>
      <w:r w:rsidR="004E0BE6" w:rsidRPr="004E0BE6">
        <w:rPr>
          <w:rFonts w:ascii="Arial" w:hAnsi="Arial" w:cs="Arial"/>
        </w:rPr>
        <w:t>Indicate “yes” if the recipient received any form of cellular therapy</w:t>
      </w:r>
      <w:r w:rsidR="004E0BE6">
        <w:rPr>
          <w:rFonts w:ascii="Arial" w:hAnsi="Arial" w:cs="Arial"/>
        </w:rPr>
        <w:t xml:space="preserve"> for reasons other than relapse, persistent, or progressive disease or decreasing / loss of donor chimerism</w:t>
      </w:r>
      <w:r w:rsidR="004E0BE6" w:rsidRPr="004E0BE6">
        <w:rPr>
          <w:rFonts w:ascii="Arial" w:hAnsi="Arial" w:cs="Arial"/>
        </w:rPr>
        <w:t>; hematopoietic cell transplantation should not be reported as cellular therapy, as this is captured in questions 7-13 of the Post-TED form.</w:t>
      </w:r>
    </w:p>
    <w:p w14:paraId="25E508ED" w14:textId="77777777" w:rsidR="00010B0C" w:rsidRPr="00143B43" w:rsidRDefault="00010B0C" w:rsidP="00A3714F">
      <w:pPr>
        <w:autoSpaceDE w:val="0"/>
        <w:autoSpaceDN w:val="0"/>
        <w:adjustRightInd w:val="0"/>
        <w:rPr>
          <w:rFonts w:ascii="Arial" w:hAnsi="Arial" w:cs="Arial"/>
          <w:b/>
          <w:highlight w:val="yellow"/>
        </w:rPr>
      </w:pPr>
    </w:p>
    <w:p w14:paraId="5E9443D6" w14:textId="28DA86BE" w:rsidR="00010B0C" w:rsidRPr="002C7733" w:rsidRDefault="00010B0C" w:rsidP="00A3714F">
      <w:pPr>
        <w:autoSpaceDE w:val="0"/>
        <w:autoSpaceDN w:val="0"/>
        <w:adjustRightInd w:val="0"/>
        <w:rPr>
          <w:rFonts w:ascii="Arial" w:hAnsi="Arial" w:cs="Arial"/>
          <w:b/>
        </w:rPr>
      </w:pPr>
      <w:r w:rsidRPr="002C7733">
        <w:rPr>
          <w:rFonts w:ascii="Arial" w:hAnsi="Arial" w:cs="Arial"/>
          <w:b/>
        </w:rPr>
        <w:t>Questio</w:t>
      </w:r>
      <w:r w:rsidR="007E1D5D" w:rsidRPr="002C7733">
        <w:rPr>
          <w:rFonts w:ascii="Arial" w:hAnsi="Arial" w:cs="Arial"/>
          <w:b/>
        </w:rPr>
        <w:t xml:space="preserve">n 159: </w:t>
      </w:r>
      <w:r w:rsidR="00F57F50">
        <w:rPr>
          <w:rFonts w:ascii="Arial" w:hAnsi="Arial" w:cs="Arial"/>
          <w:b/>
        </w:rPr>
        <w:t xml:space="preserve"> </w:t>
      </w:r>
      <w:r w:rsidR="007E1D5D" w:rsidRPr="002C7733">
        <w:rPr>
          <w:rFonts w:ascii="Arial" w:hAnsi="Arial" w:cs="Arial"/>
          <w:b/>
        </w:rPr>
        <w:t>Blinded randomized trial</w:t>
      </w:r>
    </w:p>
    <w:p w14:paraId="33ECDC43" w14:textId="250C0853" w:rsidR="002C7733" w:rsidRPr="002C7733" w:rsidRDefault="002C7733" w:rsidP="00A3714F">
      <w:pPr>
        <w:autoSpaceDE w:val="0"/>
        <w:autoSpaceDN w:val="0"/>
        <w:adjustRightInd w:val="0"/>
        <w:rPr>
          <w:rFonts w:ascii="Arial" w:hAnsi="Arial" w:cs="Arial"/>
        </w:rPr>
      </w:pPr>
      <w:r w:rsidRPr="002C7733">
        <w:rPr>
          <w:rFonts w:ascii="Arial" w:hAnsi="Arial" w:cs="Arial"/>
        </w:rPr>
        <w:t xml:space="preserve">A blinded, randomized trial refers to a research treatment protocol in which the participant </w:t>
      </w:r>
      <w:proofErr w:type="gramStart"/>
      <w:r w:rsidRPr="002C7733">
        <w:rPr>
          <w:rFonts w:ascii="Arial" w:hAnsi="Arial" w:cs="Arial"/>
        </w:rPr>
        <w:t>is assigned</w:t>
      </w:r>
      <w:proofErr w:type="gramEnd"/>
      <w:r w:rsidRPr="002C7733">
        <w:rPr>
          <w:rFonts w:ascii="Arial" w:hAnsi="Arial" w:cs="Arial"/>
        </w:rPr>
        <w:t xml:space="preserve"> to the control arm or investigational group, and the researcher or clinician is not informed whether the subject is receiving the placebo or standard of care versus the investigational therapy</w:t>
      </w:r>
      <w:r w:rsidR="00F91ED8">
        <w:rPr>
          <w:rFonts w:ascii="Arial" w:hAnsi="Arial" w:cs="Arial"/>
        </w:rPr>
        <w:t xml:space="preserve">.  </w:t>
      </w:r>
      <w:r w:rsidRPr="002C7733">
        <w:rPr>
          <w:rFonts w:ascii="Arial" w:hAnsi="Arial" w:cs="Arial"/>
        </w:rPr>
        <w:t>This makes it impossible to report agents or therapies the recipient is receiving</w:t>
      </w:r>
      <w:r w:rsidR="00F91ED8">
        <w:rPr>
          <w:rFonts w:ascii="Arial" w:hAnsi="Arial" w:cs="Arial"/>
        </w:rPr>
        <w:t xml:space="preserve">.  </w:t>
      </w:r>
      <w:r w:rsidRPr="002C7733">
        <w:rPr>
          <w:rFonts w:ascii="Arial" w:hAnsi="Arial" w:cs="Arial"/>
        </w:rPr>
        <w:t>Indicate “yes” if the recipient is receiving therapy on a randomized, blinded clinical trial during the reporting period for reasons other than relapsed, persistent, or progressive disease or decreasing / loss of donor chimerism.</w:t>
      </w:r>
    </w:p>
    <w:p w14:paraId="78FB5D7A" w14:textId="77777777" w:rsidR="00010B0C" w:rsidRPr="00143B43" w:rsidRDefault="00010B0C" w:rsidP="00A3714F">
      <w:pPr>
        <w:autoSpaceDE w:val="0"/>
        <w:autoSpaceDN w:val="0"/>
        <w:adjustRightInd w:val="0"/>
        <w:rPr>
          <w:rFonts w:ascii="Arial" w:hAnsi="Arial" w:cs="Arial"/>
          <w:b/>
          <w:highlight w:val="yellow"/>
        </w:rPr>
      </w:pPr>
    </w:p>
    <w:p w14:paraId="353BA679" w14:textId="626FEC2E" w:rsidR="009D4F71" w:rsidRPr="00BC0C5E" w:rsidRDefault="00010B0C" w:rsidP="00A3714F">
      <w:pPr>
        <w:autoSpaceDE w:val="0"/>
        <w:autoSpaceDN w:val="0"/>
        <w:adjustRightInd w:val="0"/>
        <w:rPr>
          <w:rFonts w:ascii="Arial" w:hAnsi="Arial" w:cs="Arial"/>
          <w:b/>
        </w:rPr>
      </w:pPr>
      <w:r w:rsidRPr="00BC0C5E">
        <w:rPr>
          <w:rFonts w:ascii="Arial" w:hAnsi="Arial" w:cs="Arial"/>
          <w:b/>
        </w:rPr>
        <w:t>Question</w:t>
      </w:r>
      <w:r w:rsidR="00A3340A" w:rsidRPr="00BC0C5E">
        <w:rPr>
          <w:rFonts w:ascii="Arial" w:hAnsi="Arial" w:cs="Arial"/>
          <w:b/>
        </w:rPr>
        <w:t>s</w:t>
      </w:r>
      <w:r w:rsidRPr="00BC0C5E">
        <w:rPr>
          <w:rFonts w:ascii="Arial" w:hAnsi="Arial" w:cs="Arial"/>
          <w:b/>
        </w:rPr>
        <w:t xml:space="preserve"> 160</w:t>
      </w:r>
      <w:r w:rsidR="00A3340A" w:rsidRPr="00BC0C5E">
        <w:rPr>
          <w:rFonts w:ascii="Arial" w:hAnsi="Arial" w:cs="Arial"/>
          <w:b/>
        </w:rPr>
        <w:t>-161</w:t>
      </w:r>
      <w:r w:rsidRPr="00BC0C5E">
        <w:rPr>
          <w:rFonts w:ascii="Arial" w:hAnsi="Arial" w:cs="Arial"/>
          <w:b/>
        </w:rPr>
        <w:t xml:space="preserve">: </w:t>
      </w:r>
      <w:r w:rsidR="00F57F50">
        <w:rPr>
          <w:rFonts w:ascii="Arial" w:hAnsi="Arial" w:cs="Arial"/>
          <w:b/>
        </w:rPr>
        <w:t xml:space="preserve"> </w:t>
      </w:r>
      <w:r w:rsidRPr="00BC0C5E">
        <w:rPr>
          <w:rFonts w:ascii="Arial" w:hAnsi="Arial" w:cs="Arial"/>
          <w:b/>
        </w:rPr>
        <w:t>Other therapy</w:t>
      </w:r>
      <w:r w:rsidR="009D4F71" w:rsidRPr="00BC0C5E">
        <w:rPr>
          <w:rFonts w:ascii="Arial" w:hAnsi="Arial" w:cs="Arial"/>
          <w:b/>
        </w:rPr>
        <w:t xml:space="preserve"> </w:t>
      </w:r>
    </w:p>
    <w:p w14:paraId="5E3E115F" w14:textId="79AEF41A" w:rsidR="00010B0C" w:rsidRPr="00BC0C5E" w:rsidRDefault="00BC0C5E" w:rsidP="00A3714F">
      <w:pPr>
        <w:autoSpaceDE w:val="0"/>
        <w:autoSpaceDN w:val="0"/>
        <w:adjustRightInd w:val="0"/>
        <w:rPr>
          <w:rFonts w:ascii="Arial" w:hAnsi="Arial" w:cs="Arial"/>
          <w:b/>
        </w:rPr>
      </w:pPr>
      <w:r w:rsidRPr="00BC0C5E">
        <w:rPr>
          <w:rFonts w:ascii="Arial" w:hAnsi="Arial" w:cs="Arial"/>
        </w:rPr>
        <w:t xml:space="preserve">Report whether the recipient received additional therapy for reasons other than relapsed, persistent, or progressive disease or declining / loss of donor </w:t>
      </w:r>
      <w:proofErr w:type="gramStart"/>
      <w:r w:rsidRPr="00BC0C5E">
        <w:rPr>
          <w:rFonts w:ascii="Arial" w:hAnsi="Arial" w:cs="Arial"/>
        </w:rPr>
        <w:t>chimerism which</w:t>
      </w:r>
      <w:proofErr w:type="gramEnd"/>
      <w:r w:rsidRPr="00BC0C5E">
        <w:rPr>
          <w:rFonts w:ascii="Arial" w:hAnsi="Arial" w:cs="Arial"/>
        </w:rPr>
        <w:t xml:space="preserve"> does not fit into the previous form categories</w:t>
      </w:r>
      <w:r w:rsidR="00F91ED8">
        <w:rPr>
          <w:rFonts w:ascii="Arial" w:hAnsi="Arial" w:cs="Arial"/>
        </w:rPr>
        <w:t xml:space="preserve">.  </w:t>
      </w:r>
      <w:r w:rsidRPr="00BC0C5E">
        <w:rPr>
          <w:rFonts w:ascii="Arial" w:hAnsi="Arial" w:cs="Arial"/>
        </w:rPr>
        <w:t>Examples may include intrathecal therapy or surgery</w:t>
      </w:r>
      <w:r w:rsidR="00F91ED8">
        <w:rPr>
          <w:rFonts w:ascii="Arial" w:hAnsi="Arial" w:cs="Arial"/>
        </w:rPr>
        <w:t xml:space="preserve">.  </w:t>
      </w:r>
      <w:r>
        <w:rPr>
          <w:rFonts w:ascii="Arial" w:hAnsi="Arial" w:cs="Arial"/>
        </w:rPr>
        <w:t>Specify the other therapy given in question 161.</w:t>
      </w:r>
    </w:p>
    <w:p w14:paraId="4C340CB4" w14:textId="77777777" w:rsidR="00906D61" w:rsidRDefault="00906D61"/>
    <w:p w14:paraId="03D828A4" w14:textId="77777777" w:rsidR="006A1B3A" w:rsidRDefault="006A1B3A" w:rsidP="006A1B3A">
      <w:pPr>
        <w:pStyle w:val="Heading1"/>
      </w:pPr>
      <w:bookmarkStart w:id="14" w:name="_Toc450570842"/>
      <w:r>
        <w:t>Relapse or Progression Post-HCT</w:t>
      </w:r>
      <w:bookmarkEnd w:id="14"/>
    </w:p>
    <w:p w14:paraId="169BC77D" w14:textId="77777777" w:rsidR="00D17B36" w:rsidRDefault="00D17B36" w:rsidP="0047769E">
      <w:pPr>
        <w:rPr>
          <w:rFonts w:ascii="Arial" w:hAnsi="Arial" w:cs="Arial"/>
        </w:rPr>
      </w:pPr>
    </w:p>
    <w:p w14:paraId="7140CAD1" w14:textId="680F34ED" w:rsidR="0047769E" w:rsidRPr="0047769E" w:rsidRDefault="0047769E" w:rsidP="0047769E">
      <w:pPr>
        <w:rPr>
          <w:rFonts w:ascii="Arial" w:hAnsi="Arial" w:cs="Arial"/>
        </w:rPr>
      </w:pPr>
      <w:r w:rsidRPr="0047769E">
        <w:rPr>
          <w:rFonts w:ascii="Arial" w:hAnsi="Arial" w:cs="Arial"/>
        </w:rPr>
        <w:t>Report if the recipient has experience</w:t>
      </w:r>
      <w:r w:rsidR="008E57B5">
        <w:rPr>
          <w:rFonts w:ascii="Arial" w:hAnsi="Arial" w:cs="Arial"/>
        </w:rPr>
        <w:t>d</w:t>
      </w:r>
      <w:r w:rsidRPr="0047769E">
        <w:rPr>
          <w:rFonts w:ascii="Arial" w:hAnsi="Arial" w:cs="Arial"/>
        </w:rPr>
        <w:t xml:space="preserve"> a clinical/hematologic relapse or progression post-HCT</w:t>
      </w:r>
      <w:r w:rsidR="00F91ED8">
        <w:rPr>
          <w:rFonts w:ascii="Arial" w:hAnsi="Arial" w:cs="Arial"/>
        </w:rPr>
        <w:t xml:space="preserve">.  </w:t>
      </w:r>
      <w:r w:rsidRPr="0047769E">
        <w:rPr>
          <w:rFonts w:ascii="Arial" w:hAnsi="Arial" w:cs="Arial"/>
        </w:rPr>
        <w:t xml:space="preserve">If the relapse or progression was detected in a previous reporting </w:t>
      </w:r>
      <w:proofErr w:type="gramStart"/>
      <w:r w:rsidRPr="0047769E">
        <w:rPr>
          <w:rFonts w:ascii="Arial" w:hAnsi="Arial" w:cs="Arial"/>
        </w:rPr>
        <w:t>period</w:t>
      </w:r>
      <w:proofErr w:type="gramEnd"/>
      <w:r w:rsidRPr="0047769E">
        <w:rPr>
          <w:rFonts w:ascii="Arial" w:hAnsi="Arial" w:cs="Arial"/>
        </w:rPr>
        <w:t xml:space="preserve"> indicate that and continue on</w:t>
      </w:r>
      <w:r w:rsidR="00F91ED8">
        <w:rPr>
          <w:rFonts w:ascii="Arial" w:hAnsi="Arial" w:cs="Arial"/>
        </w:rPr>
        <w:t xml:space="preserve">.  </w:t>
      </w:r>
      <w:r w:rsidRPr="0047769E">
        <w:rPr>
          <w:rFonts w:ascii="Arial" w:hAnsi="Arial" w:cs="Arial"/>
        </w:rPr>
        <w:t>If the first clinical/hematologic relapse occurred since the date of the last report, indicate the date it was first detected in this reporting period.</w:t>
      </w:r>
    </w:p>
    <w:p w14:paraId="5DB1ADE8" w14:textId="77777777" w:rsidR="006A1B3A" w:rsidRDefault="006A1B3A" w:rsidP="006A1B3A"/>
    <w:p w14:paraId="62613992" w14:textId="77777777" w:rsidR="00F57F50" w:rsidRDefault="00F57F50" w:rsidP="006A1B3A"/>
    <w:p w14:paraId="04699266" w14:textId="7AC493A6" w:rsidR="006A1B3A" w:rsidRPr="00150627" w:rsidRDefault="006A1B3A" w:rsidP="006A1B3A">
      <w:pPr>
        <w:rPr>
          <w:rFonts w:ascii="Arial" w:hAnsi="Arial" w:cs="Arial"/>
          <w:b/>
        </w:rPr>
      </w:pPr>
      <w:proofErr w:type="gramStart"/>
      <w:r w:rsidRPr="00150627">
        <w:rPr>
          <w:rFonts w:ascii="Arial" w:hAnsi="Arial" w:cs="Arial"/>
          <w:b/>
        </w:rPr>
        <w:lastRenderedPageBreak/>
        <w:t xml:space="preserve">Question 162: </w:t>
      </w:r>
      <w:r w:rsidR="00F57F50">
        <w:rPr>
          <w:rFonts w:ascii="Arial" w:hAnsi="Arial" w:cs="Arial"/>
          <w:b/>
        </w:rPr>
        <w:t xml:space="preserve"> </w:t>
      </w:r>
      <w:r w:rsidRPr="00150627">
        <w:rPr>
          <w:rFonts w:ascii="Arial" w:hAnsi="Arial" w:cs="Arial"/>
          <w:b/>
        </w:rPr>
        <w:t>Did the recipient experience a clinical/hematologic relapse or progression post-HCT?</w:t>
      </w:r>
      <w:proofErr w:type="gramEnd"/>
    </w:p>
    <w:p w14:paraId="245BD104" w14:textId="43DD857E" w:rsidR="00EC0852" w:rsidRPr="00150627" w:rsidRDefault="00EC0852" w:rsidP="00EC0852">
      <w:pPr>
        <w:autoSpaceDE w:val="0"/>
        <w:autoSpaceDN w:val="0"/>
        <w:adjustRightInd w:val="0"/>
        <w:rPr>
          <w:rFonts w:ascii="Arial" w:hAnsi="Arial" w:cs="Arial"/>
        </w:rPr>
      </w:pPr>
      <w:r w:rsidRPr="00150627">
        <w:rPr>
          <w:rFonts w:ascii="Arial" w:hAnsi="Arial" w:cs="Arial"/>
        </w:rPr>
        <w:t>Clinical/hematologic assessment is the least sensitive method of disease detection. Examples include circulating blasts in the bloodstream for AML, or enlargement of a malignant mass for lymphoma or a solid tumor</w:t>
      </w:r>
      <w:r w:rsidR="00F91ED8">
        <w:rPr>
          <w:rFonts w:ascii="Arial" w:hAnsi="Arial" w:cs="Arial"/>
        </w:rPr>
        <w:t xml:space="preserve">.  </w:t>
      </w:r>
      <w:r w:rsidRPr="00150627">
        <w:rPr>
          <w:rFonts w:ascii="Arial" w:hAnsi="Arial" w:cs="Arial"/>
        </w:rPr>
        <w:t>Every recipient who has an evaluation by a physic</w:t>
      </w:r>
      <w:r w:rsidR="00150627" w:rsidRPr="00150627">
        <w:rPr>
          <w:rFonts w:ascii="Arial" w:hAnsi="Arial" w:cs="Arial"/>
        </w:rPr>
        <w:t>ian has a “clinical” assessment</w:t>
      </w:r>
      <w:r w:rsidR="00F91ED8">
        <w:rPr>
          <w:rFonts w:ascii="Arial" w:hAnsi="Arial" w:cs="Arial"/>
        </w:rPr>
        <w:t xml:space="preserve">.  </w:t>
      </w:r>
      <w:r w:rsidR="00150627" w:rsidRPr="00150627">
        <w:rPr>
          <w:rFonts w:ascii="Arial" w:hAnsi="Arial" w:cs="Arial"/>
        </w:rPr>
        <w:t>Include radiographic evidence of relapse or progression as clinical/hematologic relapse or progression</w:t>
      </w:r>
      <w:r w:rsidR="00F91ED8">
        <w:rPr>
          <w:rFonts w:ascii="Arial" w:hAnsi="Arial" w:cs="Arial"/>
        </w:rPr>
        <w:t xml:space="preserve">.  </w:t>
      </w:r>
      <w:r w:rsidR="00150627" w:rsidRPr="00150627">
        <w:rPr>
          <w:rFonts w:ascii="Arial" w:hAnsi="Arial" w:cs="Arial"/>
        </w:rPr>
        <w:t xml:space="preserve">Disease specific criteria for establishing relapse or progression </w:t>
      </w:r>
      <w:proofErr w:type="gramStart"/>
      <w:r w:rsidR="00150627" w:rsidRPr="00150627">
        <w:rPr>
          <w:rFonts w:ascii="Arial" w:hAnsi="Arial" w:cs="Arial"/>
        </w:rPr>
        <w:t>are published</w:t>
      </w:r>
      <w:proofErr w:type="gramEnd"/>
      <w:r w:rsidR="00150627" w:rsidRPr="00150627">
        <w:rPr>
          <w:rFonts w:ascii="Arial" w:hAnsi="Arial" w:cs="Arial"/>
        </w:rPr>
        <w:t xml:space="preserve"> as part of the CIBMTR Forms Instructions Manual</w:t>
      </w:r>
      <w:r w:rsidR="00F91ED8">
        <w:rPr>
          <w:rFonts w:ascii="Arial" w:hAnsi="Arial" w:cs="Arial"/>
        </w:rPr>
        <w:t xml:space="preserve">.  </w:t>
      </w:r>
      <w:r w:rsidRPr="00150627">
        <w:rPr>
          <w:rFonts w:ascii="Arial" w:hAnsi="Arial" w:cs="Arial"/>
        </w:rPr>
        <w:t>If the recipient dies, and the relapse or progression of disease is discovered by autopsy, the date of assessment should be reported as the date of death, not the autopsy date.</w:t>
      </w:r>
    </w:p>
    <w:p w14:paraId="5D4B2F78" w14:textId="77777777" w:rsidR="00150627" w:rsidRPr="00150627" w:rsidRDefault="00150627" w:rsidP="00EC0852">
      <w:pPr>
        <w:autoSpaceDE w:val="0"/>
        <w:autoSpaceDN w:val="0"/>
        <w:adjustRightInd w:val="0"/>
        <w:rPr>
          <w:rFonts w:ascii="Arial" w:hAnsi="Arial" w:cs="Arial"/>
        </w:rPr>
      </w:pPr>
    </w:p>
    <w:p w14:paraId="716E4251" w14:textId="2C296EE8" w:rsidR="00EC0852" w:rsidRPr="00150627" w:rsidRDefault="00EC0852" w:rsidP="00EC0852">
      <w:pPr>
        <w:rPr>
          <w:rFonts w:ascii="Arial" w:hAnsi="Arial" w:cs="Arial"/>
          <w:b/>
          <w:u w:val="single"/>
        </w:rPr>
      </w:pPr>
      <w:r w:rsidRPr="00150627">
        <w:rPr>
          <w:rFonts w:ascii="Arial" w:hAnsi="Arial" w:cs="Arial"/>
        </w:rPr>
        <w:t>If clinical/hematologic evidence of relapse/progressive disease was found</w:t>
      </w:r>
      <w:r w:rsidR="00150627" w:rsidRPr="00150627">
        <w:rPr>
          <w:rFonts w:ascii="Arial" w:hAnsi="Arial" w:cs="Arial"/>
        </w:rPr>
        <w:t xml:space="preserve"> </w:t>
      </w:r>
      <w:r w:rsidR="00150627" w:rsidRPr="00150627">
        <w:rPr>
          <w:rFonts w:ascii="Arial" w:hAnsi="Arial" w:cs="Arial"/>
          <w:u w:val="single"/>
        </w:rPr>
        <w:t>at any time post-transplant</w:t>
      </w:r>
      <w:r w:rsidRPr="00150627">
        <w:rPr>
          <w:rFonts w:ascii="Arial" w:hAnsi="Arial" w:cs="Arial"/>
        </w:rPr>
        <w:t>, check “y</w:t>
      </w:r>
      <w:r w:rsidR="00150627" w:rsidRPr="00150627">
        <w:rPr>
          <w:rFonts w:ascii="Arial" w:hAnsi="Arial" w:cs="Arial"/>
        </w:rPr>
        <w:t>es” and continue with question 163.</w:t>
      </w:r>
    </w:p>
    <w:p w14:paraId="2DF322A6" w14:textId="77777777" w:rsidR="00EC0852" w:rsidRPr="00150627" w:rsidRDefault="00EC0852" w:rsidP="00EC0852">
      <w:pPr>
        <w:rPr>
          <w:rFonts w:ascii="Arial" w:hAnsi="Arial" w:cs="Arial"/>
          <w:b/>
          <w:u w:val="single"/>
        </w:rPr>
      </w:pPr>
    </w:p>
    <w:p w14:paraId="638512A5" w14:textId="5F47B52F" w:rsidR="00EC0852" w:rsidRPr="00150627" w:rsidRDefault="00EC0852" w:rsidP="00EC0852">
      <w:pPr>
        <w:rPr>
          <w:rFonts w:ascii="Arial" w:hAnsi="Arial" w:cs="Arial"/>
        </w:rPr>
      </w:pPr>
      <w:r w:rsidRPr="00150627">
        <w:rPr>
          <w:rFonts w:ascii="Arial" w:hAnsi="Arial" w:cs="Arial"/>
        </w:rPr>
        <w:t>If clinical/hematologic evidence of relapse/progressive disease was not found</w:t>
      </w:r>
      <w:r w:rsidR="00150627" w:rsidRPr="00150627">
        <w:rPr>
          <w:rFonts w:ascii="Arial" w:hAnsi="Arial" w:cs="Arial"/>
        </w:rPr>
        <w:t xml:space="preserve"> </w:t>
      </w:r>
      <w:r w:rsidR="00150627" w:rsidRPr="00150627">
        <w:rPr>
          <w:rFonts w:ascii="Arial" w:hAnsi="Arial" w:cs="Arial"/>
          <w:u w:val="single"/>
        </w:rPr>
        <w:t>at any time post-transplant</w:t>
      </w:r>
      <w:r w:rsidRPr="00150627">
        <w:rPr>
          <w:rFonts w:ascii="Arial" w:hAnsi="Arial" w:cs="Arial"/>
        </w:rPr>
        <w:t xml:space="preserve">, check “no” and continue with question </w:t>
      </w:r>
      <w:r w:rsidR="00150627" w:rsidRPr="00150627">
        <w:rPr>
          <w:rFonts w:ascii="Arial" w:hAnsi="Arial" w:cs="Arial"/>
        </w:rPr>
        <w:t>165.</w:t>
      </w:r>
    </w:p>
    <w:p w14:paraId="2BF6056E" w14:textId="77777777" w:rsidR="006A1B3A" w:rsidRPr="00143B43" w:rsidRDefault="006A1B3A" w:rsidP="006A1B3A">
      <w:pPr>
        <w:rPr>
          <w:rFonts w:ascii="Arial" w:hAnsi="Arial" w:cs="Arial"/>
          <w:b/>
          <w:highlight w:val="yellow"/>
        </w:rPr>
      </w:pPr>
    </w:p>
    <w:p w14:paraId="183B0948" w14:textId="46EA7007" w:rsidR="006A1B3A" w:rsidRPr="008E57B5" w:rsidRDefault="006A1B3A" w:rsidP="006A1B3A">
      <w:pPr>
        <w:rPr>
          <w:rFonts w:ascii="Arial" w:hAnsi="Arial" w:cs="Arial"/>
          <w:b/>
        </w:rPr>
      </w:pPr>
      <w:r w:rsidRPr="008E57B5">
        <w:rPr>
          <w:rFonts w:ascii="Arial" w:hAnsi="Arial" w:cs="Arial"/>
          <w:b/>
        </w:rPr>
        <w:t xml:space="preserve">Question 163: </w:t>
      </w:r>
      <w:r w:rsidR="00F57F50">
        <w:rPr>
          <w:rFonts w:ascii="Arial" w:hAnsi="Arial" w:cs="Arial"/>
          <w:b/>
        </w:rPr>
        <w:t xml:space="preserve"> </w:t>
      </w:r>
      <w:proofErr w:type="gramStart"/>
      <w:r w:rsidRPr="008E57B5">
        <w:rPr>
          <w:rFonts w:ascii="Arial" w:hAnsi="Arial" w:cs="Arial"/>
          <w:b/>
        </w:rPr>
        <w:t>Was the date of clinical/hematologic relapse or progression previously reported</w:t>
      </w:r>
      <w:proofErr w:type="gramEnd"/>
      <w:r w:rsidRPr="008E57B5">
        <w:rPr>
          <w:rFonts w:ascii="Arial" w:hAnsi="Arial" w:cs="Arial"/>
          <w:b/>
        </w:rPr>
        <w:t>?</w:t>
      </w:r>
    </w:p>
    <w:p w14:paraId="2BDFCB1A" w14:textId="753C7DDD" w:rsidR="006A1B3A" w:rsidRPr="008E57B5" w:rsidRDefault="008E57B5" w:rsidP="006A1B3A">
      <w:pPr>
        <w:rPr>
          <w:rFonts w:ascii="Arial" w:hAnsi="Arial" w:cs="Arial"/>
        </w:rPr>
      </w:pPr>
      <w:r w:rsidRPr="008E57B5">
        <w:rPr>
          <w:rFonts w:ascii="Arial" w:hAnsi="Arial" w:cs="Arial"/>
        </w:rPr>
        <w:t xml:space="preserve">Only the date of first clinical/hematologic relapse or progression post-transplant needs to </w:t>
      </w:r>
      <w:proofErr w:type="gramStart"/>
      <w:r w:rsidRPr="008E57B5">
        <w:rPr>
          <w:rFonts w:ascii="Arial" w:hAnsi="Arial" w:cs="Arial"/>
        </w:rPr>
        <w:t>be reported</w:t>
      </w:r>
      <w:proofErr w:type="gramEnd"/>
      <w:r w:rsidR="00F91ED8">
        <w:rPr>
          <w:rFonts w:ascii="Arial" w:hAnsi="Arial" w:cs="Arial"/>
        </w:rPr>
        <w:t xml:space="preserve">.  </w:t>
      </w:r>
      <w:r w:rsidRPr="008E57B5">
        <w:rPr>
          <w:rFonts w:ascii="Arial" w:hAnsi="Arial" w:cs="Arial"/>
        </w:rPr>
        <w:t>Therefore, if the recipient experienced clinical/hematologic relapse or progression in a prior reporting period, report “yes” and continue with question 165</w:t>
      </w:r>
      <w:r w:rsidR="00F91ED8">
        <w:rPr>
          <w:rFonts w:ascii="Arial" w:hAnsi="Arial" w:cs="Arial"/>
        </w:rPr>
        <w:t xml:space="preserve">.  </w:t>
      </w:r>
      <w:r w:rsidRPr="008E57B5">
        <w:rPr>
          <w:rFonts w:ascii="Arial" w:hAnsi="Arial" w:cs="Arial"/>
        </w:rPr>
        <w:t>If this is the report of first instance of clinical/hematologic relapse or progression, indicate “no” and continue with question 164.</w:t>
      </w:r>
    </w:p>
    <w:p w14:paraId="011CB1E7" w14:textId="77777777" w:rsidR="008E57B5" w:rsidRPr="00143B43" w:rsidRDefault="008E57B5" w:rsidP="006A1B3A">
      <w:pPr>
        <w:rPr>
          <w:rFonts w:ascii="Arial" w:hAnsi="Arial" w:cs="Arial"/>
          <w:b/>
          <w:highlight w:val="yellow"/>
        </w:rPr>
      </w:pPr>
    </w:p>
    <w:p w14:paraId="437F63E9" w14:textId="2AD89C27" w:rsidR="006A1B3A" w:rsidRPr="008E57B5" w:rsidRDefault="006A1B3A" w:rsidP="006A1B3A">
      <w:pPr>
        <w:rPr>
          <w:rFonts w:ascii="Arial" w:hAnsi="Arial" w:cs="Arial"/>
          <w:b/>
        </w:rPr>
      </w:pPr>
      <w:r w:rsidRPr="008E57B5">
        <w:rPr>
          <w:rFonts w:ascii="Arial" w:hAnsi="Arial" w:cs="Arial"/>
          <w:b/>
        </w:rPr>
        <w:t xml:space="preserve">Question 164: </w:t>
      </w:r>
      <w:r w:rsidR="00F57F50">
        <w:rPr>
          <w:rFonts w:ascii="Arial" w:hAnsi="Arial" w:cs="Arial"/>
          <w:b/>
        </w:rPr>
        <w:t xml:space="preserve"> </w:t>
      </w:r>
      <w:r w:rsidRPr="008E57B5">
        <w:rPr>
          <w:rFonts w:ascii="Arial" w:hAnsi="Arial" w:cs="Arial"/>
          <w:b/>
        </w:rPr>
        <w:t>Date first seen:</w:t>
      </w:r>
    </w:p>
    <w:p w14:paraId="4D237B85" w14:textId="47DA1497" w:rsidR="0047769E" w:rsidRPr="00143B43" w:rsidRDefault="00EC0852" w:rsidP="008E57B5">
      <w:pPr>
        <w:rPr>
          <w:rFonts w:ascii="Arial" w:hAnsi="Arial" w:cs="Arial"/>
          <w:highlight w:val="yellow"/>
        </w:rPr>
      </w:pPr>
      <w:r w:rsidRPr="008E57B5">
        <w:rPr>
          <w:rFonts w:ascii="Arial" w:hAnsi="Arial" w:cs="Arial"/>
        </w:rPr>
        <w:t xml:space="preserve">Indicate the date relapse/progressive disease </w:t>
      </w:r>
      <w:proofErr w:type="gramStart"/>
      <w:r w:rsidRPr="008E57B5">
        <w:rPr>
          <w:rFonts w:ascii="Arial" w:hAnsi="Arial" w:cs="Arial"/>
        </w:rPr>
        <w:t>was determined</w:t>
      </w:r>
      <w:proofErr w:type="gramEnd"/>
      <w:r w:rsidRPr="008E57B5">
        <w:rPr>
          <w:rFonts w:ascii="Arial" w:hAnsi="Arial" w:cs="Arial"/>
        </w:rPr>
        <w:t xml:space="preserve"> by clinical/hematological evaluation</w:t>
      </w:r>
      <w:r w:rsidR="00F91ED8">
        <w:rPr>
          <w:rFonts w:ascii="Arial" w:hAnsi="Arial" w:cs="Arial"/>
        </w:rPr>
        <w:t xml:space="preserve">.  </w:t>
      </w:r>
      <w:r w:rsidR="008E57B5" w:rsidRPr="008E57B5">
        <w:rPr>
          <w:rFonts w:ascii="Arial" w:hAnsi="Arial" w:cs="Arial"/>
        </w:rPr>
        <w:t>If exact date is not known</w:t>
      </w:r>
      <w:r w:rsidR="008E57B5" w:rsidRPr="00675C4D">
        <w:rPr>
          <w:rFonts w:ascii="Arial" w:hAnsi="Arial" w:cs="Arial"/>
        </w:rPr>
        <w:t>, r</w:t>
      </w:r>
      <w:r w:rsidR="008E57B5" w:rsidRPr="00675C4D">
        <w:rPr>
          <w:rFonts w:ascii="Arial" w:hAnsi="Arial" w:cs="Arial"/>
          <w:color w:val="000000"/>
        </w:rPr>
        <w:t xml:space="preserve">efer to </w:t>
      </w:r>
      <w:r w:rsidR="008E57B5" w:rsidRPr="00675C4D">
        <w:rPr>
          <w:rFonts w:ascii="Arial" w:hAnsi="Arial" w:cs="Arial"/>
        </w:rPr>
        <w:t xml:space="preserve">General Instructions, </w:t>
      </w:r>
      <w:hyperlink r:id="rId32" w:history="1">
        <w:r w:rsidR="008E57B5" w:rsidRPr="00675C4D">
          <w:rPr>
            <w:rStyle w:val="Hyperlink"/>
            <w:rFonts w:ascii="Arial" w:hAnsi="Arial" w:cs="Arial"/>
          </w:rPr>
          <w:t>General Guidelines for Completing Forms</w:t>
        </w:r>
      </w:hyperlink>
      <w:r w:rsidR="008E57B5" w:rsidRPr="00675C4D">
        <w:rPr>
          <w:rFonts w:ascii="Arial" w:hAnsi="Arial" w:cs="Arial"/>
        </w:rPr>
        <w:t>, for information about reporting partial or unknown dates.</w:t>
      </w:r>
    </w:p>
    <w:p w14:paraId="6E476D3C" w14:textId="77777777" w:rsidR="004E0BE6" w:rsidRPr="00143B43" w:rsidRDefault="004E0BE6" w:rsidP="006A1B3A">
      <w:pPr>
        <w:rPr>
          <w:rFonts w:ascii="Arial" w:hAnsi="Arial" w:cs="Arial"/>
          <w:b/>
          <w:highlight w:val="yellow"/>
        </w:rPr>
      </w:pPr>
    </w:p>
    <w:p w14:paraId="5B504B76" w14:textId="52EB5551" w:rsidR="006A1B3A" w:rsidRPr="004E0BE6" w:rsidRDefault="006A1B3A" w:rsidP="006A1B3A">
      <w:pPr>
        <w:rPr>
          <w:rFonts w:ascii="Arial" w:hAnsi="Arial" w:cs="Arial"/>
          <w:b/>
        </w:rPr>
      </w:pPr>
      <w:r w:rsidRPr="004E0BE6">
        <w:rPr>
          <w:rFonts w:ascii="Arial" w:hAnsi="Arial" w:cs="Arial"/>
          <w:b/>
        </w:rPr>
        <w:t xml:space="preserve">Question 165: </w:t>
      </w:r>
      <w:r w:rsidR="00F57F50">
        <w:rPr>
          <w:rFonts w:ascii="Arial" w:hAnsi="Arial" w:cs="Arial"/>
          <w:b/>
        </w:rPr>
        <w:t xml:space="preserve"> </w:t>
      </w:r>
      <w:r w:rsidRPr="004E0BE6">
        <w:rPr>
          <w:rFonts w:ascii="Arial" w:hAnsi="Arial" w:cs="Arial"/>
          <w:b/>
        </w:rPr>
        <w:t>Was intervention given for relapsed, persistent or progressive disease, or decreased/loss of chimerism since the date of last report?</w:t>
      </w:r>
    </w:p>
    <w:p w14:paraId="598A2DE1" w14:textId="5F448061" w:rsidR="004E0BE6" w:rsidRPr="009D4F71" w:rsidRDefault="004E0BE6" w:rsidP="004E0BE6">
      <w:pPr>
        <w:autoSpaceDE w:val="0"/>
        <w:autoSpaceDN w:val="0"/>
        <w:adjustRightInd w:val="0"/>
        <w:rPr>
          <w:rFonts w:ascii="Arial" w:hAnsi="Arial" w:cs="Arial"/>
        </w:rPr>
      </w:pPr>
      <w:r w:rsidRPr="004E0BE6">
        <w:rPr>
          <w:rFonts w:ascii="Arial" w:hAnsi="Arial" w:cs="Arial"/>
        </w:rPr>
        <w:t xml:space="preserve">Indicate whether therapy </w:t>
      </w:r>
      <w:proofErr w:type="gramStart"/>
      <w:r w:rsidRPr="004E0BE6">
        <w:rPr>
          <w:rFonts w:ascii="Arial" w:hAnsi="Arial" w:cs="Arial"/>
        </w:rPr>
        <w:t>was given</w:t>
      </w:r>
      <w:proofErr w:type="gramEnd"/>
      <w:r w:rsidRPr="004E0BE6">
        <w:rPr>
          <w:rFonts w:ascii="Arial" w:hAnsi="Arial" w:cs="Arial"/>
        </w:rPr>
        <w:t xml:space="preserve"> during the reporting period for relapsed, persistent, or progressive disease or for decreased / loss of donor </w:t>
      </w:r>
      <w:proofErr w:type="spellStart"/>
      <w:r w:rsidRPr="004E0BE6">
        <w:rPr>
          <w:rFonts w:ascii="Arial" w:hAnsi="Arial" w:cs="Arial"/>
        </w:rPr>
        <w:t>chimerism</w:t>
      </w:r>
      <w:proofErr w:type="spellEnd"/>
      <w:r w:rsidR="00F91ED8">
        <w:rPr>
          <w:rFonts w:ascii="Arial" w:hAnsi="Arial" w:cs="Arial"/>
        </w:rPr>
        <w:t xml:space="preserve">.  </w:t>
      </w:r>
      <w:r w:rsidRPr="004E0BE6">
        <w:rPr>
          <w:rFonts w:ascii="Arial" w:hAnsi="Arial" w:cs="Arial"/>
        </w:rPr>
        <w:t>Do not include therapy given for maintenance or planned post-transplant consolidation</w:t>
      </w:r>
      <w:r w:rsidR="00F91ED8">
        <w:rPr>
          <w:rFonts w:ascii="Arial" w:hAnsi="Arial" w:cs="Arial"/>
        </w:rPr>
        <w:t xml:space="preserve">.  </w:t>
      </w:r>
      <w:r w:rsidRPr="004E0BE6">
        <w:rPr>
          <w:rFonts w:ascii="Arial" w:hAnsi="Arial" w:cs="Arial"/>
        </w:rPr>
        <w:t xml:space="preserve">Any post-transplant therapy included as part of the initial transplant protocol </w:t>
      </w:r>
      <w:proofErr w:type="gramStart"/>
      <w:r w:rsidRPr="004E0BE6">
        <w:rPr>
          <w:rFonts w:ascii="Arial" w:hAnsi="Arial" w:cs="Arial"/>
        </w:rPr>
        <w:t>should not be reported</w:t>
      </w:r>
      <w:proofErr w:type="gramEnd"/>
      <w:r w:rsidRPr="004E0BE6">
        <w:rPr>
          <w:rFonts w:ascii="Arial" w:hAnsi="Arial" w:cs="Arial"/>
        </w:rPr>
        <w:t xml:space="preserve"> in this area of the form</w:t>
      </w:r>
      <w:r w:rsidR="00F91ED8">
        <w:rPr>
          <w:rFonts w:ascii="Arial" w:hAnsi="Arial" w:cs="Arial"/>
        </w:rPr>
        <w:t xml:space="preserve">.  </w:t>
      </w:r>
    </w:p>
    <w:p w14:paraId="326BCF80" w14:textId="77777777" w:rsidR="006A1B3A" w:rsidRPr="00143B43" w:rsidRDefault="006A1B3A" w:rsidP="006A1B3A">
      <w:pPr>
        <w:rPr>
          <w:rFonts w:ascii="Arial" w:hAnsi="Arial" w:cs="Arial"/>
          <w:b/>
          <w:highlight w:val="yellow"/>
        </w:rPr>
      </w:pPr>
    </w:p>
    <w:p w14:paraId="6D042EF9" w14:textId="2934D367" w:rsidR="006A1B3A" w:rsidRPr="00E6304B" w:rsidRDefault="006A1B3A" w:rsidP="006A1B3A">
      <w:pPr>
        <w:rPr>
          <w:rFonts w:ascii="Arial" w:hAnsi="Arial" w:cs="Arial"/>
          <w:b/>
        </w:rPr>
      </w:pPr>
      <w:r w:rsidRPr="00E6304B">
        <w:rPr>
          <w:rFonts w:ascii="Arial" w:hAnsi="Arial" w:cs="Arial"/>
          <w:b/>
        </w:rPr>
        <w:t xml:space="preserve">Question 166: </w:t>
      </w:r>
      <w:r w:rsidR="00F57F50">
        <w:rPr>
          <w:rFonts w:ascii="Arial" w:hAnsi="Arial" w:cs="Arial"/>
          <w:b/>
        </w:rPr>
        <w:t xml:space="preserve"> </w:t>
      </w:r>
      <w:r w:rsidRPr="00E6304B">
        <w:rPr>
          <w:rFonts w:ascii="Arial" w:hAnsi="Arial" w:cs="Arial"/>
          <w:b/>
        </w:rPr>
        <w:t>Specify reason f</w:t>
      </w:r>
      <w:r w:rsidR="0047769E" w:rsidRPr="00E6304B">
        <w:rPr>
          <w:rFonts w:ascii="Arial" w:hAnsi="Arial" w:cs="Arial"/>
          <w:b/>
        </w:rPr>
        <w:t>or which intervention was given</w:t>
      </w:r>
    </w:p>
    <w:p w14:paraId="548AFF9D" w14:textId="672DA335" w:rsidR="0047769E" w:rsidRDefault="00E6304B" w:rsidP="006A1B3A">
      <w:pPr>
        <w:rPr>
          <w:rFonts w:ascii="Arial" w:hAnsi="Arial" w:cs="Arial"/>
        </w:rPr>
      </w:pPr>
      <w:r w:rsidRPr="00E6304B">
        <w:rPr>
          <w:rFonts w:ascii="Arial" w:hAnsi="Arial" w:cs="Arial"/>
        </w:rPr>
        <w:t>Indicate whether therapy was given for persistent disease, relapsed / progressive disease, or for decreased / loss of donor</w:t>
      </w:r>
      <w:r w:rsidRPr="004E0BE6">
        <w:rPr>
          <w:rFonts w:ascii="Arial" w:hAnsi="Arial" w:cs="Arial"/>
        </w:rPr>
        <w:t xml:space="preserve"> </w:t>
      </w:r>
      <w:proofErr w:type="spellStart"/>
      <w:r w:rsidRPr="004E0BE6">
        <w:rPr>
          <w:rFonts w:ascii="Arial" w:hAnsi="Arial" w:cs="Arial"/>
        </w:rPr>
        <w:t>chimerism</w:t>
      </w:r>
      <w:proofErr w:type="spellEnd"/>
      <w:r w:rsidR="00F91ED8">
        <w:rPr>
          <w:rFonts w:ascii="Arial" w:hAnsi="Arial" w:cs="Arial"/>
        </w:rPr>
        <w:t xml:space="preserve">.  </w:t>
      </w:r>
      <w:r>
        <w:rPr>
          <w:rFonts w:ascii="Arial" w:hAnsi="Arial" w:cs="Arial"/>
        </w:rPr>
        <w:t xml:space="preserve">In some instances, therapy may be given for both persistent disease </w:t>
      </w:r>
      <w:r>
        <w:rPr>
          <w:rFonts w:ascii="Arial" w:hAnsi="Arial" w:cs="Arial"/>
          <w:i/>
        </w:rPr>
        <w:t>and</w:t>
      </w:r>
      <w:r>
        <w:rPr>
          <w:rFonts w:ascii="Arial" w:hAnsi="Arial" w:cs="Arial"/>
        </w:rPr>
        <w:t xml:space="preserve"> decreased / loss of donor chimerism or both relapsed / progressive disease </w:t>
      </w:r>
      <w:r>
        <w:rPr>
          <w:rFonts w:ascii="Arial" w:hAnsi="Arial" w:cs="Arial"/>
          <w:i/>
        </w:rPr>
        <w:t>and</w:t>
      </w:r>
      <w:r>
        <w:rPr>
          <w:rFonts w:ascii="Arial" w:hAnsi="Arial" w:cs="Arial"/>
        </w:rPr>
        <w:t xml:space="preserve"> decreased / loss of donor chimerism, and in these cases, the disease status related justification should be selected.</w:t>
      </w:r>
    </w:p>
    <w:p w14:paraId="22268AB7" w14:textId="77777777" w:rsidR="006A1B3A" w:rsidRPr="00143B43" w:rsidRDefault="006A1B3A" w:rsidP="006A1B3A">
      <w:pPr>
        <w:rPr>
          <w:rFonts w:ascii="Arial" w:hAnsi="Arial" w:cs="Arial"/>
          <w:b/>
          <w:highlight w:val="yellow"/>
        </w:rPr>
      </w:pPr>
    </w:p>
    <w:p w14:paraId="3BA45BBB" w14:textId="6A9EDB20" w:rsidR="006A1B3A" w:rsidRPr="006C58F4" w:rsidRDefault="006A1B3A" w:rsidP="006A1B3A">
      <w:pPr>
        <w:rPr>
          <w:rFonts w:ascii="Arial" w:hAnsi="Arial" w:cs="Arial"/>
        </w:rPr>
      </w:pPr>
      <w:r w:rsidRPr="006C58F4">
        <w:rPr>
          <w:rFonts w:ascii="Arial" w:hAnsi="Arial" w:cs="Arial"/>
          <w:b/>
        </w:rPr>
        <w:lastRenderedPageBreak/>
        <w:t xml:space="preserve">Question 167-172: </w:t>
      </w:r>
      <w:r w:rsidR="00F57F50">
        <w:rPr>
          <w:rFonts w:ascii="Arial" w:hAnsi="Arial" w:cs="Arial"/>
          <w:b/>
        </w:rPr>
        <w:t xml:space="preserve"> </w:t>
      </w:r>
      <w:r w:rsidRPr="006C58F4">
        <w:rPr>
          <w:rFonts w:ascii="Arial" w:hAnsi="Arial" w:cs="Arial"/>
          <w:b/>
        </w:rPr>
        <w:t>Specify the method(s) of detection f</w:t>
      </w:r>
      <w:r w:rsidR="0047769E" w:rsidRPr="006C58F4">
        <w:rPr>
          <w:rFonts w:ascii="Arial" w:hAnsi="Arial" w:cs="Arial"/>
          <w:b/>
        </w:rPr>
        <w:t>or which intervention was given</w:t>
      </w:r>
    </w:p>
    <w:p w14:paraId="29AB27EC" w14:textId="048B1759" w:rsidR="006C58F4" w:rsidRPr="006C58F4" w:rsidRDefault="006C58F4" w:rsidP="006A1B3A">
      <w:pPr>
        <w:rPr>
          <w:rFonts w:ascii="Arial" w:hAnsi="Arial" w:cs="Arial"/>
        </w:rPr>
      </w:pPr>
      <w:r w:rsidRPr="006C58F4">
        <w:rPr>
          <w:rFonts w:ascii="Arial" w:hAnsi="Arial" w:cs="Arial"/>
        </w:rPr>
        <w:t xml:space="preserve">Indicate the methods detecting the reason for which therapy for persistent disease, relapsed / progressive disease, or for decreased / loss of donor </w:t>
      </w:r>
      <w:proofErr w:type="spellStart"/>
      <w:r w:rsidRPr="006C58F4">
        <w:rPr>
          <w:rFonts w:ascii="Arial" w:hAnsi="Arial" w:cs="Arial"/>
        </w:rPr>
        <w:t>chimerism</w:t>
      </w:r>
      <w:proofErr w:type="spellEnd"/>
      <w:r w:rsidRPr="006C58F4">
        <w:rPr>
          <w:rFonts w:ascii="Arial" w:hAnsi="Arial" w:cs="Arial"/>
        </w:rPr>
        <w:t xml:space="preserve"> </w:t>
      </w:r>
      <w:proofErr w:type="gramStart"/>
      <w:r w:rsidRPr="006C58F4">
        <w:rPr>
          <w:rFonts w:ascii="Arial" w:hAnsi="Arial" w:cs="Arial"/>
        </w:rPr>
        <w:t>was given</w:t>
      </w:r>
      <w:proofErr w:type="gramEnd"/>
      <w:r w:rsidR="00F91ED8">
        <w:rPr>
          <w:rFonts w:ascii="Arial" w:hAnsi="Arial" w:cs="Arial"/>
        </w:rPr>
        <w:t xml:space="preserve">.  </w:t>
      </w:r>
      <w:r w:rsidRPr="006C58F4">
        <w:rPr>
          <w:rFonts w:ascii="Arial" w:hAnsi="Arial" w:cs="Arial"/>
        </w:rPr>
        <w:t>For each option, select “yes” if last assessment by that method was consistent with the rationale reported in question 166</w:t>
      </w:r>
      <w:r w:rsidR="00F91ED8">
        <w:rPr>
          <w:rFonts w:ascii="Arial" w:hAnsi="Arial" w:cs="Arial"/>
        </w:rPr>
        <w:t xml:space="preserve">.  </w:t>
      </w:r>
      <w:r w:rsidRPr="006C58F4">
        <w:rPr>
          <w:rFonts w:ascii="Arial" w:hAnsi="Arial" w:cs="Arial"/>
        </w:rPr>
        <w:t>There may be some cases for which an assessment by a particular method was last performed in the prior reporting period, but was still consistent with the justification reported in question 166; in this case, the response should still indicate “yes.” For example, in the 100-day reporting period, the last cytogenetic assessment detected a new abnormality associated with the recipient’s primary transplant disease</w:t>
      </w:r>
      <w:r w:rsidR="00F91ED8">
        <w:rPr>
          <w:rFonts w:ascii="Arial" w:hAnsi="Arial" w:cs="Arial"/>
        </w:rPr>
        <w:t xml:space="preserve">.  </w:t>
      </w:r>
      <w:r w:rsidRPr="006C58F4">
        <w:rPr>
          <w:rFonts w:ascii="Arial" w:hAnsi="Arial" w:cs="Arial"/>
        </w:rPr>
        <w:t xml:space="preserve">In this case, monosomy 7 </w:t>
      </w:r>
      <w:proofErr w:type="gramStart"/>
      <w:r w:rsidRPr="006C58F4">
        <w:rPr>
          <w:rFonts w:ascii="Arial" w:hAnsi="Arial" w:cs="Arial"/>
        </w:rPr>
        <w:t>was identified</w:t>
      </w:r>
      <w:proofErr w:type="gramEnd"/>
      <w:r w:rsidRPr="006C58F4">
        <w:rPr>
          <w:rFonts w:ascii="Arial" w:hAnsi="Arial" w:cs="Arial"/>
        </w:rPr>
        <w:t xml:space="preserve"> on a peripheral blood sample for a recipient transplanted for AML in CR1 with normal </w:t>
      </w:r>
      <w:proofErr w:type="spellStart"/>
      <w:r w:rsidRPr="006C58F4">
        <w:rPr>
          <w:rFonts w:ascii="Arial" w:hAnsi="Arial" w:cs="Arial"/>
        </w:rPr>
        <w:t>cytogenetics</w:t>
      </w:r>
      <w:proofErr w:type="spellEnd"/>
      <w:r w:rsidRPr="006C58F4">
        <w:rPr>
          <w:rFonts w:ascii="Arial" w:hAnsi="Arial" w:cs="Arial"/>
        </w:rPr>
        <w:t xml:space="preserve"> prior to transplant</w:t>
      </w:r>
      <w:r w:rsidR="00F91ED8">
        <w:rPr>
          <w:rFonts w:ascii="Arial" w:hAnsi="Arial" w:cs="Arial"/>
        </w:rPr>
        <w:t xml:space="preserve">.  </w:t>
      </w:r>
      <w:r w:rsidRPr="006C58F4">
        <w:rPr>
          <w:rFonts w:ascii="Arial" w:hAnsi="Arial" w:cs="Arial"/>
        </w:rPr>
        <w:t xml:space="preserve">In the 6-month reporting period, relapse </w:t>
      </w:r>
      <w:proofErr w:type="gramStart"/>
      <w:r w:rsidRPr="006C58F4">
        <w:rPr>
          <w:rFonts w:ascii="Arial" w:hAnsi="Arial" w:cs="Arial"/>
        </w:rPr>
        <w:t>was detected</w:t>
      </w:r>
      <w:proofErr w:type="gramEnd"/>
      <w:r w:rsidRPr="006C58F4">
        <w:rPr>
          <w:rFonts w:ascii="Arial" w:hAnsi="Arial" w:cs="Arial"/>
        </w:rPr>
        <w:t xml:space="preserve"> in the bone marrow morphology (clinical assessment) and concurrent flow cytometry (flow cytometry) and therapy was initiated for relapsed / progressive disease</w:t>
      </w:r>
      <w:r w:rsidR="00F91ED8">
        <w:rPr>
          <w:rFonts w:ascii="Arial" w:hAnsi="Arial" w:cs="Arial"/>
        </w:rPr>
        <w:t xml:space="preserve">.  </w:t>
      </w:r>
      <w:r w:rsidRPr="006C58F4">
        <w:rPr>
          <w:rFonts w:ascii="Arial" w:hAnsi="Arial" w:cs="Arial"/>
        </w:rPr>
        <w:t>In this case, each of questions 167, 169, and 170 would be answered “yes” on the Post-TED form in the 6-month reporting period.</w:t>
      </w:r>
    </w:p>
    <w:p w14:paraId="4B85668C" w14:textId="77777777" w:rsidR="006C58F4" w:rsidRDefault="006C58F4" w:rsidP="006A1B3A">
      <w:pPr>
        <w:rPr>
          <w:rFonts w:ascii="Arial" w:hAnsi="Arial" w:cs="Arial"/>
        </w:rPr>
      </w:pPr>
    </w:p>
    <w:p w14:paraId="502B7EDD" w14:textId="6DD10E98" w:rsidR="006C58F4" w:rsidRDefault="006C58F4" w:rsidP="006A1B3A">
      <w:pPr>
        <w:rPr>
          <w:rFonts w:ascii="Arial" w:hAnsi="Arial" w:cs="Arial"/>
        </w:rPr>
      </w:pPr>
      <w:r>
        <w:rPr>
          <w:rFonts w:ascii="Arial" w:hAnsi="Arial" w:cs="Arial"/>
        </w:rPr>
        <w:t>If assessment by that method was not performed or was performed and no</w:t>
      </w:r>
      <w:r w:rsidR="00E036AC">
        <w:rPr>
          <w:rFonts w:ascii="Arial" w:hAnsi="Arial" w:cs="Arial"/>
        </w:rPr>
        <w:t>t</w:t>
      </w:r>
      <w:r>
        <w:rPr>
          <w:rFonts w:ascii="Arial" w:hAnsi="Arial" w:cs="Arial"/>
        </w:rPr>
        <w:t xml:space="preserve"> consistent with the reason for which intervention was given reported in question 166, report “no.”</w:t>
      </w:r>
    </w:p>
    <w:p w14:paraId="44F41D5B" w14:textId="77777777" w:rsidR="006C58F4" w:rsidRDefault="006C58F4" w:rsidP="006A1B3A">
      <w:pPr>
        <w:rPr>
          <w:rFonts w:ascii="Arial" w:hAnsi="Arial" w:cs="Arial"/>
        </w:rPr>
      </w:pPr>
    </w:p>
    <w:p w14:paraId="2B5FF930" w14:textId="76B13B19" w:rsidR="0047769E" w:rsidRPr="00FE03C5" w:rsidRDefault="006C58F4" w:rsidP="006A1B3A">
      <w:pPr>
        <w:rPr>
          <w:rFonts w:ascii="Arial" w:hAnsi="Arial" w:cs="Arial"/>
        </w:rPr>
      </w:pPr>
      <w:r w:rsidRPr="00FE03C5">
        <w:rPr>
          <w:rFonts w:ascii="Arial" w:hAnsi="Arial" w:cs="Arial"/>
          <w:i/>
        </w:rPr>
        <w:t>See below for definitions and examples of each method of detection:</w:t>
      </w:r>
    </w:p>
    <w:p w14:paraId="00328087" w14:textId="514EEEEF" w:rsidR="00FE03C5" w:rsidRPr="00FE03C5" w:rsidRDefault="006C58F4" w:rsidP="00FE03C5">
      <w:pPr>
        <w:pStyle w:val="ListParagraph"/>
        <w:numPr>
          <w:ilvl w:val="0"/>
          <w:numId w:val="26"/>
        </w:numPr>
        <w:rPr>
          <w:rFonts w:ascii="Arial" w:hAnsi="Arial" w:cs="Arial"/>
        </w:rPr>
      </w:pPr>
      <w:r w:rsidRPr="00FE03C5">
        <w:rPr>
          <w:rFonts w:ascii="Arial" w:hAnsi="Arial" w:cs="Arial"/>
        </w:rPr>
        <w:t>Clinical/hematologic</w:t>
      </w:r>
      <w:r w:rsidR="00FE03C5" w:rsidRPr="00FE03C5">
        <w:rPr>
          <w:rFonts w:ascii="Arial" w:hAnsi="Arial" w:cs="Arial"/>
        </w:rPr>
        <w:t>: Clinical/hematologic assessment is the least sensitive method of disease detection</w:t>
      </w:r>
      <w:r w:rsidR="00F91ED8">
        <w:rPr>
          <w:rFonts w:ascii="Arial" w:hAnsi="Arial" w:cs="Arial"/>
        </w:rPr>
        <w:t xml:space="preserve">.  </w:t>
      </w:r>
      <w:r w:rsidR="00FE03C5" w:rsidRPr="00FE03C5">
        <w:rPr>
          <w:rFonts w:ascii="Arial" w:hAnsi="Arial" w:cs="Arial"/>
        </w:rPr>
        <w:t>Examples include circulating blasts in the bloodstream for AML, or enlargement of a malignant mass for lymphoma or a solid tumor</w:t>
      </w:r>
      <w:r w:rsidR="00F91ED8">
        <w:rPr>
          <w:rFonts w:ascii="Arial" w:hAnsi="Arial" w:cs="Arial"/>
        </w:rPr>
        <w:t xml:space="preserve">.  </w:t>
      </w:r>
      <w:r w:rsidR="00FE03C5" w:rsidRPr="00FE03C5">
        <w:rPr>
          <w:rFonts w:ascii="Arial" w:hAnsi="Arial" w:cs="Arial"/>
        </w:rPr>
        <w:t>Every recipient who has an evaluation by a physician has a “clinical” assessment</w:t>
      </w:r>
      <w:r w:rsidR="00F91ED8">
        <w:rPr>
          <w:rFonts w:ascii="Arial" w:hAnsi="Arial" w:cs="Arial"/>
        </w:rPr>
        <w:t xml:space="preserve">.  </w:t>
      </w:r>
      <w:r w:rsidR="00FE03C5" w:rsidRPr="00FE03C5">
        <w:rPr>
          <w:rFonts w:ascii="Arial" w:hAnsi="Arial" w:cs="Arial"/>
        </w:rPr>
        <w:t>Examples of clinical/hematologic assessments include: bone marrow biopsy / morphologic evaluation, complete blood count, serum protein electrophoresis, etc.</w:t>
      </w:r>
    </w:p>
    <w:p w14:paraId="7BF1823A" w14:textId="66B0098B" w:rsidR="00FE03C5" w:rsidRPr="00FE03C5" w:rsidRDefault="006C58F4" w:rsidP="00FE03C5">
      <w:pPr>
        <w:pStyle w:val="ListParagraph"/>
        <w:numPr>
          <w:ilvl w:val="0"/>
          <w:numId w:val="26"/>
        </w:numPr>
        <w:rPr>
          <w:rFonts w:ascii="Arial" w:hAnsi="Arial" w:cs="Arial"/>
        </w:rPr>
      </w:pPr>
      <w:r w:rsidRPr="00FE03C5">
        <w:rPr>
          <w:rFonts w:ascii="Arial" w:hAnsi="Arial" w:cs="Arial"/>
        </w:rPr>
        <w:t xml:space="preserve">Radiologic (e.g., PET, MRI, </w:t>
      </w:r>
      <w:proofErr w:type="gramStart"/>
      <w:r w:rsidRPr="00FE03C5">
        <w:rPr>
          <w:rFonts w:ascii="Arial" w:hAnsi="Arial" w:cs="Arial"/>
        </w:rPr>
        <w:t>CT</w:t>
      </w:r>
      <w:proofErr w:type="gramEnd"/>
      <w:r w:rsidRPr="00FE03C5">
        <w:rPr>
          <w:rFonts w:ascii="Arial" w:hAnsi="Arial" w:cs="Arial"/>
        </w:rPr>
        <w:t>)</w:t>
      </w:r>
      <w:r w:rsidR="00FE03C5" w:rsidRPr="00FE03C5">
        <w:rPr>
          <w:rFonts w:ascii="Arial" w:hAnsi="Arial" w:cs="Arial"/>
        </w:rPr>
        <w:t>: Radiologic assessments are imaging techniques used to assess disease response</w:t>
      </w:r>
      <w:r w:rsidR="00F91ED8">
        <w:rPr>
          <w:rFonts w:ascii="Arial" w:hAnsi="Arial" w:cs="Arial"/>
        </w:rPr>
        <w:t xml:space="preserve">.  </w:t>
      </w:r>
      <w:r w:rsidR="00FE03C5" w:rsidRPr="00FE03C5">
        <w:rPr>
          <w:rFonts w:ascii="Arial" w:hAnsi="Arial" w:cs="Arial"/>
        </w:rPr>
        <w:t>Imaging techniques used to evaluate disease response typically include PET, CT, or MIBG, but may include x-ray, skeletal survey, or ultrasound in some cases.</w:t>
      </w:r>
    </w:p>
    <w:p w14:paraId="63C3D67C" w14:textId="48DFC40C" w:rsidR="00FE03C5" w:rsidRPr="00FE03C5" w:rsidRDefault="006C58F4" w:rsidP="00FE03C5">
      <w:pPr>
        <w:pStyle w:val="ListParagraph"/>
        <w:numPr>
          <w:ilvl w:val="0"/>
          <w:numId w:val="26"/>
        </w:numPr>
        <w:rPr>
          <w:rFonts w:ascii="Arial" w:hAnsi="Arial" w:cs="Arial"/>
        </w:rPr>
      </w:pPr>
      <w:r w:rsidRPr="00FE03C5">
        <w:rPr>
          <w:rFonts w:ascii="Arial" w:hAnsi="Arial" w:cs="Arial"/>
        </w:rPr>
        <w:t>Cytogenetic</w:t>
      </w:r>
      <w:r w:rsidR="00FE03C5" w:rsidRPr="00FE03C5">
        <w:rPr>
          <w:rFonts w:ascii="Arial" w:hAnsi="Arial" w:cs="Arial"/>
        </w:rPr>
        <w:t>: Cytogenetic studies involve the study of chromosomes, typically through one of two methods: karyotyping or fluorescence in situ hybridization (FISH)</w:t>
      </w:r>
      <w:r w:rsidR="00F91ED8">
        <w:rPr>
          <w:rFonts w:ascii="Arial" w:hAnsi="Arial" w:cs="Arial"/>
        </w:rPr>
        <w:t xml:space="preserve">.  </w:t>
      </w:r>
      <w:r w:rsidR="00FE03C5" w:rsidRPr="00FE03C5">
        <w:rPr>
          <w:rFonts w:ascii="Arial" w:hAnsi="Arial" w:cs="Arial"/>
        </w:rPr>
        <w:t>Blood, bone marrow, or tissue preparations may be tested by either of these two methods. Karyotyping is both less sensitive and less specific than FISH testing; FISH studies identify only abnormalities detectable by the employed probe set, and cannot provide information about the presence or absence of chromosomal abnormalities or markers outside the specific probe set utilized.</w:t>
      </w:r>
    </w:p>
    <w:p w14:paraId="61AE4F15" w14:textId="74174B34" w:rsidR="006C58F4" w:rsidRPr="00FE03C5" w:rsidRDefault="006C58F4" w:rsidP="00FE03C5">
      <w:pPr>
        <w:pStyle w:val="ListParagraph"/>
        <w:numPr>
          <w:ilvl w:val="0"/>
          <w:numId w:val="26"/>
        </w:numPr>
        <w:rPr>
          <w:rFonts w:ascii="Arial" w:hAnsi="Arial" w:cs="Arial"/>
        </w:rPr>
      </w:pPr>
      <w:r w:rsidRPr="00FE03C5">
        <w:rPr>
          <w:rFonts w:ascii="Arial" w:hAnsi="Arial" w:cs="Arial"/>
        </w:rPr>
        <w:t>Flow cytometry</w:t>
      </w:r>
      <w:r w:rsidR="00FE03C5" w:rsidRPr="00FE03C5">
        <w:rPr>
          <w:rFonts w:ascii="Arial" w:hAnsi="Arial" w:cs="Arial"/>
        </w:rPr>
        <w:t xml:space="preserve">: </w:t>
      </w:r>
      <w:r w:rsidR="00F91ED8">
        <w:rPr>
          <w:rFonts w:ascii="Arial" w:hAnsi="Arial" w:cs="Arial"/>
        </w:rPr>
        <w:t xml:space="preserve"> </w:t>
      </w:r>
      <w:r w:rsidR="00FE03C5" w:rsidRPr="00FE03C5">
        <w:rPr>
          <w:rFonts w:ascii="Arial" w:hAnsi="Arial" w:cs="Arial"/>
        </w:rPr>
        <w:t>Flow cytometry is a technique that can be performed on blood, marrow, or tissue preparations where the cell surface markers can be quantified on cellular material</w:t>
      </w:r>
      <w:proofErr w:type="gramStart"/>
      <w:r w:rsidR="00FE03C5" w:rsidRPr="00FE03C5">
        <w:rPr>
          <w:rFonts w:ascii="Arial" w:hAnsi="Arial" w:cs="Arial"/>
        </w:rPr>
        <w:t xml:space="preserve">. </w:t>
      </w:r>
      <w:proofErr w:type="gramEnd"/>
      <w:r w:rsidR="00FE03C5" w:rsidRPr="00FE03C5">
        <w:rPr>
          <w:rFonts w:ascii="Arial" w:hAnsi="Arial" w:cs="Arial"/>
        </w:rPr>
        <w:t xml:space="preserve">This allows for the detection of abnormal cell populations for some diseases. </w:t>
      </w:r>
      <w:r w:rsidR="00F91ED8">
        <w:rPr>
          <w:rFonts w:ascii="Arial" w:hAnsi="Arial" w:cs="Arial"/>
        </w:rPr>
        <w:t xml:space="preserve"> </w:t>
      </w:r>
      <w:r w:rsidR="00FE03C5" w:rsidRPr="00FE03C5">
        <w:rPr>
          <w:rFonts w:ascii="Arial" w:hAnsi="Arial" w:cs="Arial"/>
        </w:rPr>
        <w:t xml:space="preserve">Flow cytometry </w:t>
      </w:r>
      <w:proofErr w:type="gramStart"/>
      <w:r w:rsidR="00FE03C5" w:rsidRPr="00FE03C5">
        <w:rPr>
          <w:rFonts w:ascii="Arial" w:hAnsi="Arial" w:cs="Arial"/>
        </w:rPr>
        <w:t>may also be referred</w:t>
      </w:r>
      <w:proofErr w:type="gramEnd"/>
      <w:r w:rsidR="00FE03C5" w:rsidRPr="00FE03C5">
        <w:rPr>
          <w:rFonts w:ascii="Arial" w:hAnsi="Arial" w:cs="Arial"/>
        </w:rPr>
        <w:t xml:space="preserve"> to as </w:t>
      </w:r>
      <w:proofErr w:type="spellStart"/>
      <w:r w:rsidR="00FE03C5" w:rsidRPr="00FE03C5">
        <w:rPr>
          <w:rFonts w:ascii="Arial" w:hAnsi="Arial" w:cs="Arial"/>
        </w:rPr>
        <w:t>immunophenotyping</w:t>
      </w:r>
      <w:proofErr w:type="spellEnd"/>
      <w:r w:rsidR="00FE03C5" w:rsidRPr="00FE03C5">
        <w:rPr>
          <w:rFonts w:ascii="Arial" w:hAnsi="Arial" w:cs="Arial"/>
        </w:rPr>
        <w:t>.</w:t>
      </w:r>
    </w:p>
    <w:p w14:paraId="246486D8" w14:textId="410883E0" w:rsidR="006C58F4" w:rsidRPr="00FE03C5" w:rsidRDefault="006C58F4" w:rsidP="006C58F4">
      <w:pPr>
        <w:pStyle w:val="ListParagraph"/>
        <w:numPr>
          <w:ilvl w:val="0"/>
          <w:numId w:val="26"/>
        </w:numPr>
        <w:rPr>
          <w:rFonts w:ascii="Arial" w:hAnsi="Arial" w:cs="Arial"/>
        </w:rPr>
      </w:pPr>
      <w:r w:rsidRPr="00FE03C5">
        <w:rPr>
          <w:rFonts w:ascii="Arial" w:hAnsi="Arial" w:cs="Arial"/>
        </w:rPr>
        <w:lastRenderedPageBreak/>
        <w:t>Disease specific molecular marker</w:t>
      </w:r>
      <w:r w:rsidR="00FE03C5" w:rsidRPr="00FE03C5">
        <w:rPr>
          <w:rFonts w:ascii="Arial" w:hAnsi="Arial" w:cs="Arial"/>
        </w:rPr>
        <w:t>: Molecular assessment involves determining whether a molecular marker for the disease exists in the blood or bone marrow</w:t>
      </w:r>
      <w:r w:rsidR="00F91ED8">
        <w:rPr>
          <w:rFonts w:ascii="Arial" w:hAnsi="Arial" w:cs="Arial"/>
        </w:rPr>
        <w:t xml:space="preserve"> </w:t>
      </w:r>
      <w:r w:rsidR="00FE03C5" w:rsidRPr="00FE03C5">
        <w:rPr>
          <w:rFonts w:ascii="Arial" w:hAnsi="Arial" w:cs="Arial"/>
        </w:rPr>
        <w:t xml:space="preserve">Molecular assessment is the most sensitive method of detection, and can indicate known genetic abnormalities associated with the disease for which the HCT </w:t>
      </w:r>
      <w:proofErr w:type="gramStart"/>
      <w:r w:rsidR="00FE03C5" w:rsidRPr="00FE03C5">
        <w:rPr>
          <w:rFonts w:ascii="Arial" w:hAnsi="Arial" w:cs="Arial"/>
        </w:rPr>
        <w:t>was performed</w:t>
      </w:r>
      <w:proofErr w:type="gramEnd"/>
      <w:r w:rsidR="00FE03C5" w:rsidRPr="00FE03C5">
        <w:rPr>
          <w:rFonts w:ascii="Arial" w:hAnsi="Arial" w:cs="Arial"/>
        </w:rPr>
        <w:t>.</w:t>
      </w:r>
    </w:p>
    <w:p w14:paraId="70F12190" w14:textId="34EB03E9" w:rsidR="006C58F4" w:rsidRPr="00FE03C5" w:rsidRDefault="006C58F4" w:rsidP="006C58F4">
      <w:pPr>
        <w:pStyle w:val="ListParagraph"/>
        <w:numPr>
          <w:ilvl w:val="0"/>
          <w:numId w:val="26"/>
        </w:numPr>
        <w:rPr>
          <w:rFonts w:ascii="Arial" w:hAnsi="Arial" w:cs="Arial"/>
        </w:rPr>
      </w:pPr>
      <w:r w:rsidRPr="00FE03C5">
        <w:rPr>
          <w:rFonts w:ascii="Arial" w:hAnsi="Arial" w:cs="Arial"/>
        </w:rPr>
        <w:t>Chimerism testing</w:t>
      </w:r>
      <w:r w:rsidR="00FE03C5" w:rsidRPr="00FE03C5">
        <w:rPr>
          <w:rFonts w:ascii="Arial" w:hAnsi="Arial" w:cs="Arial"/>
        </w:rPr>
        <w:t>: Chimerism testing refers to cytogenetic or molecular evaluation used to detect presence of donor- and recipient-specific cells. Examples include VNTR/STR for recipient specific markers or FISH testing using an XX/XY probe set after sex mismatched transplant.</w:t>
      </w:r>
    </w:p>
    <w:p w14:paraId="21B39C77" w14:textId="77777777" w:rsidR="006C58F4" w:rsidRPr="00143B43" w:rsidRDefault="006C58F4" w:rsidP="006A1B3A">
      <w:pPr>
        <w:rPr>
          <w:rFonts w:ascii="Arial" w:hAnsi="Arial" w:cs="Arial"/>
          <w:b/>
          <w:highlight w:val="yellow"/>
        </w:rPr>
      </w:pPr>
    </w:p>
    <w:p w14:paraId="1BE781A1" w14:textId="6B494A1E" w:rsidR="006A1B3A" w:rsidRPr="007B2AE3" w:rsidRDefault="006A1B3A" w:rsidP="006A1B3A">
      <w:pPr>
        <w:rPr>
          <w:rFonts w:ascii="Arial" w:hAnsi="Arial" w:cs="Arial"/>
          <w:b/>
        </w:rPr>
      </w:pPr>
      <w:r w:rsidRPr="007B2AE3">
        <w:rPr>
          <w:rFonts w:ascii="Arial" w:hAnsi="Arial" w:cs="Arial"/>
          <w:b/>
        </w:rPr>
        <w:t>Question</w:t>
      </w:r>
      <w:r w:rsidR="0047769E" w:rsidRPr="007B2AE3">
        <w:rPr>
          <w:rFonts w:ascii="Arial" w:hAnsi="Arial" w:cs="Arial"/>
          <w:b/>
        </w:rPr>
        <w:t xml:space="preserve"> 173: </w:t>
      </w:r>
      <w:r w:rsidR="00F57F50">
        <w:rPr>
          <w:rFonts w:ascii="Arial" w:hAnsi="Arial" w:cs="Arial"/>
          <w:b/>
        </w:rPr>
        <w:t xml:space="preserve"> </w:t>
      </w:r>
      <w:r w:rsidR="0047769E" w:rsidRPr="007B2AE3">
        <w:rPr>
          <w:rFonts w:ascii="Arial" w:hAnsi="Arial" w:cs="Arial"/>
          <w:b/>
        </w:rPr>
        <w:t>Date intervention started</w:t>
      </w:r>
    </w:p>
    <w:p w14:paraId="7801CE03" w14:textId="3B9A18DD" w:rsidR="007B2AE3" w:rsidRPr="007B2AE3" w:rsidRDefault="007B2AE3" w:rsidP="006A1B3A">
      <w:pPr>
        <w:rPr>
          <w:rFonts w:ascii="Arial" w:hAnsi="Arial" w:cs="Arial"/>
        </w:rPr>
      </w:pPr>
      <w:r w:rsidRPr="007B2AE3">
        <w:rPr>
          <w:rFonts w:ascii="Arial" w:hAnsi="Arial" w:cs="Arial"/>
        </w:rPr>
        <w:t xml:space="preserve">Report the date of earliest administration of therapy for relapsed, persistent, or progressive disease or decreasing / loss of donor chimerism within the report period; if multiple instances, cycles, or lines of therapy are administered, report the first. </w:t>
      </w:r>
    </w:p>
    <w:p w14:paraId="07CCD8A4" w14:textId="77777777" w:rsidR="006A1B3A" w:rsidRDefault="006A1B3A" w:rsidP="006A1B3A">
      <w:pPr>
        <w:rPr>
          <w:rFonts w:ascii="Arial" w:hAnsi="Arial" w:cs="Arial"/>
          <w:b/>
          <w:highlight w:val="yellow"/>
        </w:rPr>
      </w:pPr>
    </w:p>
    <w:p w14:paraId="25BEFA4E" w14:textId="75AD4586" w:rsidR="00A3340A" w:rsidRPr="005E1A70" w:rsidRDefault="00A3340A" w:rsidP="006A1B3A">
      <w:pPr>
        <w:rPr>
          <w:rFonts w:ascii="Arial" w:hAnsi="Arial" w:cs="Arial"/>
          <w:b/>
        </w:rPr>
      </w:pPr>
      <w:r w:rsidRPr="005E1A70">
        <w:rPr>
          <w:rFonts w:ascii="Arial" w:hAnsi="Arial" w:cs="Arial"/>
          <w:b/>
        </w:rPr>
        <w:t xml:space="preserve">Question 174: </w:t>
      </w:r>
      <w:r w:rsidR="00F57F50">
        <w:rPr>
          <w:rFonts w:ascii="Arial" w:hAnsi="Arial" w:cs="Arial"/>
          <w:b/>
        </w:rPr>
        <w:t xml:space="preserve"> </w:t>
      </w:r>
      <w:r w:rsidRPr="005E1A70">
        <w:rPr>
          <w:rFonts w:ascii="Arial" w:hAnsi="Arial" w:cs="Arial"/>
          <w:b/>
        </w:rPr>
        <w:t>Systemic therapy</w:t>
      </w:r>
    </w:p>
    <w:p w14:paraId="5641F3D8" w14:textId="51417C51" w:rsidR="004E0BE6" w:rsidRPr="009D4F71" w:rsidRDefault="004E0BE6" w:rsidP="004E0BE6">
      <w:pPr>
        <w:autoSpaceDE w:val="0"/>
        <w:autoSpaceDN w:val="0"/>
        <w:adjustRightInd w:val="0"/>
        <w:rPr>
          <w:rFonts w:ascii="Arial" w:hAnsi="Arial" w:cs="Arial"/>
        </w:rPr>
      </w:pPr>
      <w:r w:rsidRPr="005E1A70">
        <w:rPr>
          <w:rFonts w:ascii="Arial" w:hAnsi="Arial" w:cs="Arial"/>
        </w:rPr>
        <w:t xml:space="preserve">Systemic therapy refers to a delivery mechanism where a therapeutic agent is delivered orally or intravenously, enters the bloodstream, and is distributed throughout the body. Indicate whether systemic therapy </w:t>
      </w:r>
      <w:proofErr w:type="gramStart"/>
      <w:r w:rsidRPr="005E1A70">
        <w:rPr>
          <w:rFonts w:ascii="Arial" w:hAnsi="Arial" w:cs="Arial"/>
        </w:rPr>
        <w:t>was given</w:t>
      </w:r>
      <w:proofErr w:type="gramEnd"/>
      <w:r w:rsidR="00F91ED8">
        <w:rPr>
          <w:rFonts w:ascii="Arial" w:hAnsi="Arial" w:cs="Arial"/>
        </w:rPr>
        <w:t xml:space="preserve">.  </w:t>
      </w:r>
      <w:r w:rsidRPr="005E1A70">
        <w:rPr>
          <w:rFonts w:ascii="Arial" w:hAnsi="Arial" w:cs="Arial"/>
        </w:rPr>
        <w:t xml:space="preserve">Indicate “yes” if the recipient received systemic therapy during the reporting period for </w:t>
      </w:r>
      <w:r w:rsidR="005E1A70" w:rsidRPr="005E1A70">
        <w:rPr>
          <w:rFonts w:ascii="Arial" w:hAnsi="Arial" w:cs="Arial"/>
        </w:rPr>
        <w:t>relapsed, persistent, or progressive disease, or decreased / loss of donor chimerism.</w:t>
      </w:r>
      <w:r w:rsidR="00D71405">
        <w:rPr>
          <w:rFonts w:ascii="Arial" w:hAnsi="Arial" w:cs="Arial"/>
        </w:rPr>
        <w:t xml:space="preserve"> </w:t>
      </w:r>
    </w:p>
    <w:p w14:paraId="0BB1715C" w14:textId="77777777" w:rsidR="00A3340A" w:rsidRPr="005E1A70" w:rsidRDefault="00A3340A" w:rsidP="006A1B3A">
      <w:pPr>
        <w:rPr>
          <w:rFonts w:ascii="Arial" w:hAnsi="Arial" w:cs="Arial"/>
          <w:b/>
        </w:rPr>
      </w:pPr>
    </w:p>
    <w:p w14:paraId="2A955881" w14:textId="135123C9" w:rsidR="00A3340A" w:rsidRPr="005E1A70" w:rsidRDefault="00A3340A" w:rsidP="006A1B3A">
      <w:pPr>
        <w:rPr>
          <w:rFonts w:ascii="Arial" w:hAnsi="Arial" w:cs="Arial"/>
          <w:b/>
        </w:rPr>
      </w:pPr>
      <w:r w:rsidRPr="005E1A70">
        <w:rPr>
          <w:rFonts w:ascii="Arial" w:hAnsi="Arial" w:cs="Arial"/>
          <w:b/>
        </w:rPr>
        <w:t xml:space="preserve">Questions 175-230: </w:t>
      </w:r>
      <w:r w:rsidR="00F57F50">
        <w:rPr>
          <w:rFonts w:ascii="Arial" w:hAnsi="Arial" w:cs="Arial"/>
          <w:b/>
        </w:rPr>
        <w:t xml:space="preserve"> </w:t>
      </w:r>
      <w:r w:rsidRPr="005E1A70">
        <w:rPr>
          <w:rFonts w:ascii="Arial" w:hAnsi="Arial" w:cs="Arial"/>
          <w:b/>
        </w:rPr>
        <w:t>Specify systemic therapy</w:t>
      </w:r>
    </w:p>
    <w:p w14:paraId="4A2F6C6C" w14:textId="584B060B" w:rsidR="005E1A70" w:rsidRPr="005E1A70" w:rsidRDefault="005E1A70" w:rsidP="005E1A70">
      <w:pPr>
        <w:autoSpaceDE w:val="0"/>
        <w:autoSpaceDN w:val="0"/>
        <w:adjustRightInd w:val="0"/>
        <w:rPr>
          <w:rFonts w:ascii="Arial" w:hAnsi="Arial" w:cs="Arial"/>
        </w:rPr>
      </w:pPr>
      <w:r w:rsidRPr="005E1A70">
        <w:rPr>
          <w:rFonts w:ascii="Arial" w:hAnsi="Arial" w:cs="Arial"/>
        </w:rPr>
        <w:t xml:space="preserve">Systemic therapy agents and treatment regimens vary based on disease, prognosis, and protocol. </w:t>
      </w:r>
      <w:r w:rsidR="00F91ED8">
        <w:rPr>
          <w:rFonts w:ascii="Arial" w:hAnsi="Arial" w:cs="Arial"/>
        </w:rPr>
        <w:t xml:space="preserve"> </w:t>
      </w:r>
      <w:r w:rsidRPr="005E1A70">
        <w:rPr>
          <w:rFonts w:ascii="Arial" w:hAnsi="Arial" w:cs="Arial"/>
        </w:rPr>
        <w:t xml:space="preserve">Treatment may consistent of one or multiple drugs, and </w:t>
      </w:r>
      <w:proofErr w:type="gramStart"/>
      <w:r w:rsidRPr="005E1A70">
        <w:rPr>
          <w:rFonts w:ascii="Arial" w:hAnsi="Arial" w:cs="Arial"/>
        </w:rPr>
        <w:t>may be given</w:t>
      </w:r>
      <w:proofErr w:type="gramEnd"/>
      <w:r w:rsidRPr="005E1A70">
        <w:rPr>
          <w:rFonts w:ascii="Arial" w:hAnsi="Arial" w:cs="Arial"/>
        </w:rPr>
        <w:t xml:space="preserve"> in an inpatient or outpatient setting; additionally, drugs may be administered on a single day, over consecutive days, or continuously. </w:t>
      </w:r>
    </w:p>
    <w:p w14:paraId="185F453A" w14:textId="77777777" w:rsidR="005E1A70" w:rsidRPr="005E1A70" w:rsidRDefault="005E1A70" w:rsidP="005E1A70">
      <w:pPr>
        <w:autoSpaceDE w:val="0"/>
        <w:autoSpaceDN w:val="0"/>
        <w:adjustRightInd w:val="0"/>
        <w:rPr>
          <w:rFonts w:ascii="Arial" w:hAnsi="Arial" w:cs="Arial"/>
        </w:rPr>
      </w:pPr>
    </w:p>
    <w:p w14:paraId="19EF7B51" w14:textId="5A9687D5" w:rsidR="005E1A70" w:rsidRPr="005E1A70" w:rsidRDefault="005E1A70" w:rsidP="005E1A70">
      <w:pPr>
        <w:autoSpaceDE w:val="0"/>
        <w:autoSpaceDN w:val="0"/>
        <w:adjustRightInd w:val="0"/>
        <w:rPr>
          <w:rFonts w:ascii="Arial" w:hAnsi="Arial" w:cs="Arial"/>
        </w:rPr>
      </w:pPr>
      <w:r w:rsidRPr="005E1A70">
        <w:rPr>
          <w:rFonts w:ascii="Arial" w:hAnsi="Arial" w:cs="Arial"/>
        </w:rPr>
        <w:t xml:space="preserve">Form options </w:t>
      </w:r>
      <w:proofErr w:type="gramStart"/>
      <w:r w:rsidRPr="005E1A70">
        <w:rPr>
          <w:rFonts w:ascii="Arial" w:hAnsi="Arial" w:cs="Arial"/>
        </w:rPr>
        <w:t>are arranged</w:t>
      </w:r>
      <w:proofErr w:type="gramEnd"/>
      <w:r w:rsidRPr="005E1A70">
        <w:rPr>
          <w:rFonts w:ascii="Arial" w:hAnsi="Arial" w:cs="Arial"/>
        </w:rPr>
        <w:t xml:space="preserve"> by drug class, which is determined by the chemical structure and action against cancer cells</w:t>
      </w:r>
      <w:r w:rsidR="00F91ED8">
        <w:rPr>
          <w:rFonts w:ascii="Arial" w:hAnsi="Arial" w:cs="Arial"/>
        </w:rPr>
        <w:t xml:space="preserve">.  </w:t>
      </w:r>
      <w:r w:rsidR="00D71405">
        <w:rPr>
          <w:rFonts w:ascii="Arial" w:hAnsi="Arial" w:cs="Arial"/>
        </w:rPr>
        <w:t>See Table 7 for additional information regarding drug classes</w:t>
      </w:r>
      <w:r w:rsidR="00F91ED8">
        <w:rPr>
          <w:rFonts w:ascii="Arial" w:hAnsi="Arial" w:cs="Arial"/>
        </w:rPr>
        <w:t xml:space="preserve">.  </w:t>
      </w:r>
      <w:r w:rsidRPr="005E1A70">
        <w:rPr>
          <w:rFonts w:ascii="Arial" w:hAnsi="Arial" w:cs="Arial"/>
        </w:rPr>
        <w:t xml:space="preserve">Review each option within the drug classes to determine whether any agents from that class </w:t>
      </w:r>
      <w:proofErr w:type="gramStart"/>
      <w:r w:rsidRPr="005E1A70">
        <w:rPr>
          <w:rFonts w:ascii="Arial" w:hAnsi="Arial" w:cs="Arial"/>
        </w:rPr>
        <w:t>were given</w:t>
      </w:r>
      <w:proofErr w:type="gramEnd"/>
      <w:r w:rsidR="00F91ED8">
        <w:rPr>
          <w:rFonts w:ascii="Arial" w:hAnsi="Arial" w:cs="Arial"/>
        </w:rPr>
        <w:t xml:space="preserve">.  </w:t>
      </w:r>
      <w:r w:rsidRPr="005E1A70">
        <w:rPr>
          <w:rFonts w:ascii="Arial" w:hAnsi="Arial" w:cs="Arial"/>
        </w:rPr>
        <w:t xml:space="preserve">Report “yes” or “no” for each drug class with an agent administered during the current reporting period for relapsed, persistent, or progressive disease or for decreased / loss of donor </w:t>
      </w:r>
      <w:proofErr w:type="spellStart"/>
      <w:r w:rsidRPr="005E1A70">
        <w:rPr>
          <w:rFonts w:ascii="Arial" w:hAnsi="Arial" w:cs="Arial"/>
        </w:rPr>
        <w:t>chimerism</w:t>
      </w:r>
      <w:proofErr w:type="spellEnd"/>
      <w:r w:rsidR="00F91ED8">
        <w:rPr>
          <w:rFonts w:ascii="Arial" w:hAnsi="Arial" w:cs="Arial"/>
        </w:rPr>
        <w:t xml:space="preserve">.  </w:t>
      </w:r>
      <w:r w:rsidRPr="005E1A70">
        <w:rPr>
          <w:rFonts w:ascii="Arial" w:hAnsi="Arial" w:cs="Arial"/>
        </w:rPr>
        <w:t xml:space="preserve">For each </w:t>
      </w:r>
      <w:proofErr w:type="gramStart"/>
      <w:r w:rsidRPr="005E1A70">
        <w:rPr>
          <w:rFonts w:ascii="Arial" w:hAnsi="Arial" w:cs="Arial"/>
        </w:rPr>
        <w:t>drug</w:t>
      </w:r>
      <w:proofErr w:type="gramEnd"/>
      <w:r w:rsidRPr="005E1A70">
        <w:rPr>
          <w:rFonts w:ascii="Arial" w:hAnsi="Arial" w:cs="Arial"/>
        </w:rPr>
        <w:t xml:space="preserve"> class where “yes” indicated, report “yes” or “no” for each agent listed below</w:t>
      </w:r>
      <w:r w:rsidR="00F91ED8">
        <w:rPr>
          <w:rFonts w:ascii="Arial" w:hAnsi="Arial" w:cs="Arial"/>
        </w:rPr>
        <w:t xml:space="preserve">.  </w:t>
      </w:r>
      <w:r w:rsidRPr="005E1A70">
        <w:rPr>
          <w:rFonts w:ascii="Arial" w:hAnsi="Arial" w:cs="Arial"/>
        </w:rPr>
        <w:t>If the recipient received a therapeutic agent that is not listed within the class, select “other” and specify; if the recipient received a therapeutic agent that does not fall into any of the drug class options available on the form, select “yes” for question 229 and specify in question 230.</w:t>
      </w:r>
    </w:p>
    <w:p w14:paraId="09C781F4" w14:textId="77777777" w:rsidR="008E57B5" w:rsidRPr="005E1A70" w:rsidRDefault="008E57B5" w:rsidP="006A1B3A">
      <w:pPr>
        <w:rPr>
          <w:rFonts w:ascii="Arial" w:hAnsi="Arial" w:cs="Arial"/>
          <w:b/>
        </w:rPr>
      </w:pPr>
    </w:p>
    <w:p w14:paraId="2DFCF92B" w14:textId="2AD6A479" w:rsidR="00EC0852" w:rsidRPr="005E1A70" w:rsidRDefault="00EC0852" w:rsidP="006A1B3A">
      <w:pPr>
        <w:autoSpaceDE w:val="0"/>
        <w:autoSpaceDN w:val="0"/>
        <w:adjustRightInd w:val="0"/>
        <w:rPr>
          <w:rFonts w:ascii="Arial" w:hAnsi="Arial" w:cs="Arial"/>
          <w:b/>
        </w:rPr>
      </w:pPr>
      <w:r w:rsidRPr="005E1A70">
        <w:rPr>
          <w:rFonts w:ascii="Arial" w:hAnsi="Arial" w:cs="Arial"/>
          <w:b/>
        </w:rPr>
        <w:t>Question 23</w:t>
      </w:r>
      <w:r w:rsidR="00A3340A" w:rsidRPr="005E1A70">
        <w:rPr>
          <w:rFonts w:ascii="Arial" w:hAnsi="Arial" w:cs="Arial"/>
          <w:b/>
        </w:rPr>
        <w:t xml:space="preserve">1: </w:t>
      </w:r>
      <w:r w:rsidR="00F57F50">
        <w:rPr>
          <w:rFonts w:ascii="Arial" w:hAnsi="Arial" w:cs="Arial"/>
          <w:b/>
        </w:rPr>
        <w:t xml:space="preserve"> </w:t>
      </w:r>
      <w:r w:rsidR="00A3340A" w:rsidRPr="005E1A70">
        <w:rPr>
          <w:rFonts w:ascii="Arial" w:hAnsi="Arial" w:cs="Arial"/>
          <w:b/>
        </w:rPr>
        <w:t>Radiation</w:t>
      </w:r>
    </w:p>
    <w:p w14:paraId="17420D61" w14:textId="4D49A191" w:rsidR="005E1A70" w:rsidRPr="009D4F71" w:rsidRDefault="005E1A70" w:rsidP="005E1A70">
      <w:pPr>
        <w:autoSpaceDE w:val="0"/>
        <w:autoSpaceDN w:val="0"/>
        <w:adjustRightInd w:val="0"/>
        <w:rPr>
          <w:rFonts w:ascii="Arial" w:hAnsi="Arial" w:cs="Arial"/>
        </w:rPr>
      </w:pPr>
      <w:r w:rsidRPr="009D4F71">
        <w:rPr>
          <w:rFonts w:ascii="Arial" w:hAnsi="Arial" w:cs="Arial"/>
        </w:rPr>
        <w:t>Radiation therapy uses high-energy radiation to kill cancer cells</w:t>
      </w:r>
      <w:r w:rsidR="00F91ED8">
        <w:rPr>
          <w:rFonts w:ascii="Arial" w:hAnsi="Arial" w:cs="Arial"/>
        </w:rPr>
        <w:t xml:space="preserve">.  </w:t>
      </w:r>
      <w:r w:rsidRPr="009D4F71">
        <w:rPr>
          <w:rFonts w:ascii="Arial" w:hAnsi="Arial" w:cs="Arial"/>
        </w:rPr>
        <w:t>External beam radiation is one of the more frequently used types of radiation</w:t>
      </w:r>
      <w:r w:rsidR="00F91ED8">
        <w:rPr>
          <w:rFonts w:ascii="Arial" w:hAnsi="Arial" w:cs="Arial"/>
        </w:rPr>
        <w:t xml:space="preserve">.  </w:t>
      </w:r>
      <w:r w:rsidRPr="009D4F71">
        <w:rPr>
          <w:rFonts w:ascii="Arial" w:hAnsi="Arial" w:cs="Arial"/>
        </w:rPr>
        <w:t xml:space="preserve">In this method, a beam of radiation is delivered to a specific part of the body, such as the mediastinum. Radiation may be planned if bulky disease was </w:t>
      </w:r>
      <w:proofErr w:type="gramStart"/>
      <w:r w:rsidRPr="009D4F71">
        <w:rPr>
          <w:rFonts w:ascii="Arial" w:hAnsi="Arial" w:cs="Arial"/>
        </w:rPr>
        <w:t>present</w:t>
      </w:r>
      <w:proofErr w:type="gramEnd"/>
      <w:r w:rsidRPr="009D4F71">
        <w:rPr>
          <w:rFonts w:ascii="Arial" w:hAnsi="Arial" w:cs="Arial"/>
        </w:rPr>
        <w:t xml:space="preserve"> just prior to transplant for a recipient with lymphoma or a solid tumor</w:t>
      </w:r>
      <w:r w:rsidR="00F91ED8">
        <w:rPr>
          <w:rFonts w:ascii="Arial" w:hAnsi="Arial" w:cs="Arial"/>
        </w:rPr>
        <w:t xml:space="preserve">.  </w:t>
      </w:r>
      <w:r w:rsidRPr="009D4F71">
        <w:rPr>
          <w:rFonts w:ascii="Arial" w:hAnsi="Arial" w:cs="Arial"/>
        </w:rPr>
        <w:t xml:space="preserve">Indicate “yes” if the recipient received </w:t>
      </w:r>
      <w:r w:rsidRPr="009D4F71">
        <w:rPr>
          <w:rFonts w:ascii="Arial" w:hAnsi="Arial" w:cs="Arial"/>
        </w:rPr>
        <w:lastRenderedPageBreak/>
        <w:t>radiation therapy during the reporting period for relapse</w:t>
      </w:r>
      <w:r>
        <w:rPr>
          <w:rFonts w:ascii="Arial" w:hAnsi="Arial" w:cs="Arial"/>
        </w:rPr>
        <w:t>d</w:t>
      </w:r>
      <w:r w:rsidRPr="009D4F71">
        <w:rPr>
          <w:rFonts w:ascii="Arial" w:hAnsi="Arial" w:cs="Arial"/>
        </w:rPr>
        <w:t>, per</w:t>
      </w:r>
      <w:r>
        <w:rPr>
          <w:rFonts w:ascii="Arial" w:hAnsi="Arial" w:cs="Arial"/>
        </w:rPr>
        <w:t>sistent, or progressive disease.</w:t>
      </w:r>
    </w:p>
    <w:p w14:paraId="5CEFBF1C" w14:textId="77777777" w:rsidR="00EC0852" w:rsidRPr="00143B43" w:rsidRDefault="00EC0852" w:rsidP="006A1B3A">
      <w:pPr>
        <w:autoSpaceDE w:val="0"/>
        <w:autoSpaceDN w:val="0"/>
        <w:adjustRightInd w:val="0"/>
        <w:rPr>
          <w:rFonts w:ascii="Arial" w:hAnsi="Arial" w:cs="Arial"/>
          <w:b/>
          <w:highlight w:val="yellow"/>
        </w:rPr>
      </w:pPr>
    </w:p>
    <w:p w14:paraId="7440557D" w14:textId="07707041" w:rsidR="00EC0852" w:rsidRPr="005E1A70" w:rsidRDefault="00A3340A" w:rsidP="006A1B3A">
      <w:pPr>
        <w:autoSpaceDE w:val="0"/>
        <w:autoSpaceDN w:val="0"/>
        <w:adjustRightInd w:val="0"/>
        <w:rPr>
          <w:rFonts w:ascii="Arial" w:hAnsi="Arial" w:cs="Arial"/>
          <w:b/>
        </w:rPr>
      </w:pPr>
      <w:r w:rsidRPr="005E1A70">
        <w:rPr>
          <w:rFonts w:ascii="Arial" w:hAnsi="Arial" w:cs="Arial"/>
          <w:b/>
        </w:rPr>
        <w:t xml:space="preserve">Question 232: </w:t>
      </w:r>
      <w:r w:rsidR="00F57F50">
        <w:rPr>
          <w:rFonts w:ascii="Arial" w:hAnsi="Arial" w:cs="Arial"/>
          <w:b/>
        </w:rPr>
        <w:t xml:space="preserve"> </w:t>
      </w:r>
      <w:r w:rsidRPr="005E1A70">
        <w:rPr>
          <w:rFonts w:ascii="Arial" w:hAnsi="Arial" w:cs="Arial"/>
          <w:b/>
        </w:rPr>
        <w:t>Cellular therapy</w:t>
      </w:r>
    </w:p>
    <w:p w14:paraId="3AFF6168" w14:textId="00F1A573" w:rsidR="005E1A70" w:rsidRPr="004E0BE6" w:rsidRDefault="005E1A70" w:rsidP="005E1A70">
      <w:pPr>
        <w:autoSpaceDE w:val="0"/>
        <w:autoSpaceDN w:val="0"/>
        <w:adjustRightInd w:val="0"/>
        <w:rPr>
          <w:rFonts w:ascii="Arial" w:hAnsi="Arial" w:cs="Arial"/>
        </w:rPr>
      </w:pPr>
      <w:r w:rsidRPr="004E0BE6">
        <w:rPr>
          <w:rFonts w:ascii="Arial" w:hAnsi="Arial" w:cs="Arial"/>
        </w:rPr>
        <w:t xml:space="preserve">Cellular therapy refers to the infusion of human or animal derived cells, which </w:t>
      </w:r>
      <w:proofErr w:type="gramStart"/>
      <w:r w:rsidRPr="004E0BE6">
        <w:rPr>
          <w:rFonts w:ascii="Arial" w:hAnsi="Arial" w:cs="Arial"/>
        </w:rPr>
        <w:t>may be modified or processed to achieve a specific composition</w:t>
      </w:r>
      <w:proofErr w:type="gramEnd"/>
      <w:r w:rsidR="00F91ED8">
        <w:rPr>
          <w:rFonts w:ascii="Arial" w:hAnsi="Arial" w:cs="Arial"/>
        </w:rPr>
        <w:t xml:space="preserve">.  </w:t>
      </w:r>
      <w:r w:rsidRPr="004E0BE6">
        <w:rPr>
          <w:rFonts w:ascii="Arial" w:hAnsi="Arial" w:cs="Arial"/>
        </w:rPr>
        <w:t>Examples include T-cell, NK cell, and mesenchymal cell infusions</w:t>
      </w:r>
      <w:r w:rsidR="00F91ED8">
        <w:rPr>
          <w:rFonts w:ascii="Arial" w:hAnsi="Arial" w:cs="Arial"/>
        </w:rPr>
        <w:t xml:space="preserve">.  </w:t>
      </w:r>
      <w:r w:rsidRPr="004E0BE6">
        <w:rPr>
          <w:rFonts w:ascii="Arial" w:hAnsi="Arial" w:cs="Arial"/>
        </w:rPr>
        <w:t>Indicate “yes” if the recipient received any form of cellular therapy</w:t>
      </w:r>
      <w:r>
        <w:rPr>
          <w:rFonts w:ascii="Arial" w:hAnsi="Arial" w:cs="Arial"/>
        </w:rPr>
        <w:t xml:space="preserve"> for relapsed, persistent, or progressive disease or decreasing / loss of donor chimerism</w:t>
      </w:r>
      <w:r w:rsidRPr="004E0BE6">
        <w:rPr>
          <w:rFonts w:ascii="Arial" w:hAnsi="Arial" w:cs="Arial"/>
        </w:rPr>
        <w:t>; hematopoietic cell transplantation should not be reported as cellular therapy, as this is captured in questions 7-13 of the Post-TED form.</w:t>
      </w:r>
    </w:p>
    <w:p w14:paraId="6763EB5A" w14:textId="77777777" w:rsidR="00A3340A" w:rsidRPr="002C7733" w:rsidRDefault="00A3340A" w:rsidP="006A1B3A">
      <w:pPr>
        <w:autoSpaceDE w:val="0"/>
        <w:autoSpaceDN w:val="0"/>
        <w:adjustRightInd w:val="0"/>
        <w:rPr>
          <w:rFonts w:ascii="Arial" w:hAnsi="Arial" w:cs="Arial"/>
          <w:b/>
        </w:rPr>
      </w:pPr>
    </w:p>
    <w:p w14:paraId="631C8A54" w14:textId="7F8F2D39" w:rsidR="00EC0852" w:rsidRPr="002C7733" w:rsidRDefault="00EC0852" w:rsidP="006A1B3A">
      <w:pPr>
        <w:autoSpaceDE w:val="0"/>
        <w:autoSpaceDN w:val="0"/>
        <w:adjustRightInd w:val="0"/>
        <w:rPr>
          <w:rFonts w:ascii="Arial" w:hAnsi="Arial" w:cs="Arial"/>
          <w:b/>
        </w:rPr>
      </w:pPr>
      <w:r w:rsidRPr="002C7733">
        <w:rPr>
          <w:rFonts w:ascii="Arial" w:hAnsi="Arial" w:cs="Arial"/>
          <w:b/>
        </w:rPr>
        <w:t>Questio</w:t>
      </w:r>
      <w:r w:rsidR="00A3340A" w:rsidRPr="002C7733">
        <w:rPr>
          <w:rFonts w:ascii="Arial" w:hAnsi="Arial" w:cs="Arial"/>
          <w:b/>
        </w:rPr>
        <w:t xml:space="preserve">n 233: </w:t>
      </w:r>
      <w:r w:rsidR="00F57F50">
        <w:rPr>
          <w:rFonts w:ascii="Arial" w:hAnsi="Arial" w:cs="Arial"/>
          <w:b/>
        </w:rPr>
        <w:t xml:space="preserve"> </w:t>
      </w:r>
      <w:r w:rsidR="00A3340A" w:rsidRPr="002C7733">
        <w:rPr>
          <w:rFonts w:ascii="Arial" w:hAnsi="Arial" w:cs="Arial"/>
          <w:b/>
        </w:rPr>
        <w:t>Blinded randomized trial</w:t>
      </w:r>
    </w:p>
    <w:p w14:paraId="58F3A456" w14:textId="145B8539" w:rsidR="00EC0852" w:rsidRPr="00BC0C5E" w:rsidRDefault="002C7733" w:rsidP="006A1B3A">
      <w:pPr>
        <w:autoSpaceDE w:val="0"/>
        <w:autoSpaceDN w:val="0"/>
        <w:adjustRightInd w:val="0"/>
        <w:rPr>
          <w:rFonts w:ascii="Arial" w:hAnsi="Arial" w:cs="Arial"/>
        </w:rPr>
      </w:pPr>
      <w:r w:rsidRPr="002C7733">
        <w:rPr>
          <w:rFonts w:ascii="Arial" w:hAnsi="Arial" w:cs="Arial"/>
        </w:rPr>
        <w:t xml:space="preserve">A blinded, randomized trial refers to a research </w:t>
      </w:r>
      <w:r w:rsidR="00F57F50">
        <w:rPr>
          <w:rFonts w:ascii="Arial" w:hAnsi="Arial" w:cs="Arial"/>
        </w:rPr>
        <w:t xml:space="preserve"> </w:t>
      </w:r>
      <w:r w:rsidRPr="002C7733">
        <w:rPr>
          <w:rFonts w:ascii="Arial" w:hAnsi="Arial" w:cs="Arial"/>
        </w:rPr>
        <w:t xml:space="preserve"> protocol in which the participant </w:t>
      </w:r>
      <w:proofErr w:type="gramStart"/>
      <w:r w:rsidRPr="002C7733">
        <w:rPr>
          <w:rFonts w:ascii="Arial" w:hAnsi="Arial" w:cs="Arial"/>
        </w:rPr>
        <w:t>is assigned</w:t>
      </w:r>
      <w:proofErr w:type="gramEnd"/>
      <w:r w:rsidRPr="002C7733">
        <w:rPr>
          <w:rFonts w:ascii="Arial" w:hAnsi="Arial" w:cs="Arial"/>
        </w:rPr>
        <w:t xml:space="preserve"> to the control arm or investigational group, and the researcher or clinician is not informed whether the subject is receiving the placebo or standard of care versus the investigational therapy</w:t>
      </w:r>
      <w:r w:rsidR="00F91ED8">
        <w:rPr>
          <w:rFonts w:ascii="Arial" w:hAnsi="Arial" w:cs="Arial"/>
        </w:rPr>
        <w:t xml:space="preserve">.  </w:t>
      </w:r>
      <w:r w:rsidRPr="002C7733">
        <w:rPr>
          <w:rFonts w:ascii="Arial" w:hAnsi="Arial" w:cs="Arial"/>
        </w:rPr>
        <w:t>This makes it impossible to report agents or therapies the recipient is receiving</w:t>
      </w:r>
      <w:r w:rsidR="00F91ED8">
        <w:rPr>
          <w:rFonts w:ascii="Arial" w:hAnsi="Arial" w:cs="Arial"/>
        </w:rPr>
        <w:t xml:space="preserve">.  </w:t>
      </w:r>
      <w:r w:rsidRPr="002C7733">
        <w:rPr>
          <w:rFonts w:ascii="Arial" w:hAnsi="Arial" w:cs="Arial"/>
        </w:rPr>
        <w:t xml:space="preserve">Indicate “yes” if the recipient is receiving therapy on a randomized, blinded clinical trial during the reporting period for relapsed, persistent, or </w:t>
      </w:r>
      <w:r w:rsidRPr="00BC0C5E">
        <w:rPr>
          <w:rFonts w:ascii="Arial" w:hAnsi="Arial" w:cs="Arial"/>
        </w:rPr>
        <w:t>progressive disease or decreasing / loss of donor chimerism.</w:t>
      </w:r>
    </w:p>
    <w:p w14:paraId="332EF85F" w14:textId="77777777" w:rsidR="002C7733" w:rsidRPr="00BC0C5E" w:rsidRDefault="002C7733" w:rsidP="006A1B3A">
      <w:pPr>
        <w:autoSpaceDE w:val="0"/>
        <w:autoSpaceDN w:val="0"/>
        <w:adjustRightInd w:val="0"/>
        <w:rPr>
          <w:rFonts w:ascii="Arial" w:hAnsi="Arial" w:cs="Arial"/>
          <w:b/>
        </w:rPr>
      </w:pPr>
    </w:p>
    <w:p w14:paraId="15F45FB2" w14:textId="161299E7" w:rsidR="00EC0852" w:rsidRPr="00BC0C5E" w:rsidRDefault="00A3340A" w:rsidP="006A1B3A">
      <w:pPr>
        <w:autoSpaceDE w:val="0"/>
        <w:autoSpaceDN w:val="0"/>
        <w:adjustRightInd w:val="0"/>
        <w:rPr>
          <w:rFonts w:ascii="Arial" w:hAnsi="Arial" w:cs="Arial"/>
          <w:b/>
        </w:rPr>
      </w:pPr>
      <w:r w:rsidRPr="00BC0C5E">
        <w:rPr>
          <w:rFonts w:ascii="Arial" w:hAnsi="Arial" w:cs="Arial"/>
          <w:b/>
        </w:rPr>
        <w:t xml:space="preserve">Questions 234-235: </w:t>
      </w:r>
      <w:r w:rsidR="00F57F50">
        <w:rPr>
          <w:rFonts w:ascii="Arial" w:hAnsi="Arial" w:cs="Arial"/>
          <w:b/>
        </w:rPr>
        <w:t xml:space="preserve"> </w:t>
      </w:r>
      <w:r w:rsidRPr="00BC0C5E">
        <w:rPr>
          <w:rFonts w:ascii="Arial" w:hAnsi="Arial" w:cs="Arial"/>
          <w:b/>
        </w:rPr>
        <w:t>Other therapy</w:t>
      </w:r>
    </w:p>
    <w:p w14:paraId="3BC9B166" w14:textId="59C4D2CE" w:rsidR="00BC0C5E" w:rsidRPr="00BC0C5E" w:rsidRDefault="00BC0C5E" w:rsidP="00BC0C5E">
      <w:pPr>
        <w:autoSpaceDE w:val="0"/>
        <w:autoSpaceDN w:val="0"/>
        <w:adjustRightInd w:val="0"/>
        <w:rPr>
          <w:rFonts w:ascii="Arial" w:hAnsi="Arial" w:cs="Arial"/>
          <w:b/>
        </w:rPr>
      </w:pPr>
      <w:r w:rsidRPr="00BC0C5E">
        <w:rPr>
          <w:rFonts w:ascii="Arial" w:hAnsi="Arial" w:cs="Arial"/>
        </w:rPr>
        <w:t xml:space="preserve">Report whether the recipient received additional therapy for relapsed, persistent, or progressive disease or declining / loss of donor </w:t>
      </w:r>
      <w:proofErr w:type="gramStart"/>
      <w:r w:rsidRPr="00BC0C5E">
        <w:rPr>
          <w:rFonts w:ascii="Arial" w:hAnsi="Arial" w:cs="Arial"/>
        </w:rPr>
        <w:t>chimerism which</w:t>
      </w:r>
      <w:proofErr w:type="gramEnd"/>
      <w:r w:rsidRPr="00BC0C5E">
        <w:rPr>
          <w:rFonts w:ascii="Arial" w:hAnsi="Arial" w:cs="Arial"/>
        </w:rPr>
        <w:t xml:space="preserve"> does not fit into the previous form categories</w:t>
      </w:r>
      <w:r w:rsidR="00F91ED8">
        <w:rPr>
          <w:rFonts w:ascii="Arial" w:hAnsi="Arial" w:cs="Arial"/>
        </w:rPr>
        <w:t xml:space="preserve">.  </w:t>
      </w:r>
      <w:r w:rsidRPr="00BC0C5E">
        <w:rPr>
          <w:rFonts w:ascii="Arial" w:hAnsi="Arial" w:cs="Arial"/>
        </w:rPr>
        <w:t>Examples may include intrathecal therapy or surgery</w:t>
      </w:r>
      <w:r w:rsidR="00F91ED8">
        <w:rPr>
          <w:rFonts w:ascii="Arial" w:hAnsi="Arial" w:cs="Arial"/>
        </w:rPr>
        <w:t xml:space="preserve">.  </w:t>
      </w:r>
      <w:r>
        <w:rPr>
          <w:rFonts w:ascii="Arial" w:hAnsi="Arial" w:cs="Arial"/>
        </w:rPr>
        <w:t>Specify the other therapy given in question 235.</w:t>
      </w:r>
    </w:p>
    <w:p w14:paraId="76BB508C" w14:textId="77777777" w:rsidR="00EC0852" w:rsidRDefault="00EC0852" w:rsidP="006A1B3A">
      <w:pPr>
        <w:autoSpaceDE w:val="0"/>
        <w:autoSpaceDN w:val="0"/>
        <w:adjustRightInd w:val="0"/>
        <w:rPr>
          <w:rFonts w:ascii="Arial" w:hAnsi="Arial" w:cs="Arial"/>
          <w:b/>
        </w:rPr>
      </w:pPr>
    </w:p>
    <w:p w14:paraId="0B0E00CD" w14:textId="77777777" w:rsidR="00EC0852" w:rsidRDefault="00EC0852" w:rsidP="00EC0852">
      <w:pPr>
        <w:pStyle w:val="Heading1"/>
      </w:pPr>
      <w:bookmarkStart w:id="15" w:name="_Toc450570843"/>
      <w:r>
        <w:t>Current Disease Status</w:t>
      </w:r>
      <w:bookmarkEnd w:id="15"/>
    </w:p>
    <w:p w14:paraId="3341685A" w14:textId="77777777" w:rsidR="006A1B3A" w:rsidRDefault="006A1B3A" w:rsidP="006A1B3A">
      <w:pPr>
        <w:rPr>
          <w:rFonts w:ascii="Arial" w:hAnsi="Arial" w:cs="Arial"/>
          <w:b/>
        </w:rPr>
      </w:pPr>
    </w:p>
    <w:p w14:paraId="6F4D2127" w14:textId="62A6DD40" w:rsidR="00EC0852" w:rsidRPr="00A90749" w:rsidRDefault="00EC0852" w:rsidP="006A1B3A">
      <w:pPr>
        <w:rPr>
          <w:rFonts w:ascii="Arial" w:hAnsi="Arial" w:cs="Arial"/>
          <w:b/>
        </w:rPr>
      </w:pPr>
      <w:r w:rsidRPr="00A90749">
        <w:rPr>
          <w:rFonts w:ascii="Arial" w:hAnsi="Arial" w:cs="Arial"/>
          <w:b/>
        </w:rPr>
        <w:t xml:space="preserve">Question 236: </w:t>
      </w:r>
      <w:r w:rsidR="00F57F50">
        <w:rPr>
          <w:rFonts w:ascii="Arial" w:hAnsi="Arial" w:cs="Arial"/>
          <w:b/>
        </w:rPr>
        <w:t xml:space="preserve"> </w:t>
      </w:r>
      <w:r w:rsidRPr="00A90749">
        <w:rPr>
          <w:rFonts w:ascii="Arial" w:hAnsi="Arial" w:cs="Arial"/>
          <w:b/>
        </w:rPr>
        <w:t>What is the current disease status?</w:t>
      </w:r>
    </w:p>
    <w:p w14:paraId="7CFDDAE9" w14:textId="39A92B8C" w:rsidR="00EC0852" w:rsidRPr="00A90749" w:rsidRDefault="00A90749" w:rsidP="00A90749">
      <w:pPr>
        <w:autoSpaceDE w:val="0"/>
        <w:autoSpaceDN w:val="0"/>
        <w:adjustRightInd w:val="0"/>
        <w:rPr>
          <w:rFonts w:ascii="Arial" w:hAnsi="Arial" w:cs="Arial"/>
        </w:rPr>
      </w:pPr>
      <w:r w:rsidRPr="00A90749">
        <w:rPr>
          <w:rFonts w:ascii="Arial" w:hAnsi="Arial" w:cs="Arial"/>
        </w:rPr>
        <w:t>Indicate the disease status of the primary transplant disease as of the last evaluation in the reporting period</w:t>
      </w:r>
      <w:r w:rsidR="00F91ED8">
        <w:rPr>
          <w:rFonts w:ascii="Arial" w:hAnsi="Arial" w:cs="Arial"/>
        </w:rPr>
        <w:t xml:space="preserve">.  </w:t>
      </w:r>
      <w:r w:rsidRPr="00A90749">
        <w:rPr>
          <w:rFonts w:ascii="Arial" w:hAnsi="Arial" w:cs="Arial"/>
        </w:rPr>
        <w:t xml:space="preserve">Complete remission (CR) criteria vary by disease, and </w:t>
      </w:r>
      <w:proofErr w:type="gramStart"/>
      <w:r w:rsidRPr="00A90749">
        <w:rPr>
          <w:rFonts w:ascii="Arial" w:hAnsi="Arial" w:cs="Arial"/>
        </w:rPr>
        <w:t>are outlined</w:t>
      </w:r>
      <w:proofErr w:type="gramEnd"/>
      <w:r w:rsidRPr="00A90749">
        <w:rPr>
          <w:rFonts w:ascii="Arial" w:hAnsi="Arial" w:cs="Arial"/>
        </w:rPr>
        <w:t xml:space="preserve"> in the CIBMTR Forms Instructions Manual</w:t>
      </w:r>
      <w:r w:rsidR="00F91ED8">
        <w:rPr>
          <w:rFonts w:ascii="Arial" w:hAnsi="Arial" w:cs="Arial"/>
        </w:rPr>
        <w:t xml:space="preserve">.  </w:t>
      </w:r>
      <w:r w:rsidRPr="00A90749">
        <w:rPr>
          <w:rFonts w:ascii="Arial" w:hAnsi="Arial" w:cs="Arial"/>
        </w:rPr>
        <w:t>If the recipient achieves CR or continues in CR at the time of last evaluation in the reporting period, indicate “complete remission (CR).” If the recipient is not in CR due to presence of disease on last evaluation in the reporting period or an incomplete evaluation that does not allow for reporting CR, indicate “not in complete remission.” If the recipient’s disease status was not evaluated post-HCT, check “not evaluated” and continue with question 99</w:t>
      </w:r>
      <w:r w:rsidR="00F91ED8">
        <w:rPr>
          <w:rFonts w:ascii="Arial" w:hAnsi="Arial" w:cs="Arial"/>
        </w:rPr>
        <w:t xml:space="preserve">.  </w:t>
      </w:r>
      <w:r w:rsidRPr="00A90749">
        <w:rPr>
          <w:rFonts w:ascii="Arial" w:hAnsi="Arial" w:cs="Arial"/>
        </w:rPr>
        <w:t xml:space="preserve">This option is </w:t>
      </w:r>
      <w:r w:rsidRPr="00A90749">
        <w:rPr>
          <w:rFonts w:ascii="Arial" w:hAnsi="Arial" w:cs="Arial"/>
          <w:b/>
        </w:rPr>
        <w:t>not</w:t>
      </w:r>
      <w:r w:rsidRPr="00A90749">
        <w:rPr>
          <w:rFonts w:ascii="Arial" w:hAnsi="Arial" w:cs="Arial"/>
        </w:rPr>
        <w:t xml:space="preserve"> commonly used, as this would indicate that no tests (radiological, laboratory, or a clinical assessment) were performed to assess the CR status at </w:t>
      </w:r>
      <w:r w:rsidRPr="00A90749">
        <w:rPr>
          <w:rFonts w:ascii="Arial" w:hAnsi="Arial" w:cs="Arial"/>
          <w:b/>
        </w:rPr>
        <w:t>any time</w:t>
      </w:r>
      <w:r w:rsidRPr="00A90749">
        <w:rPr>
          <w:rFonts w:ascii="Arial" w:hAnsi="Arial" w:cs="Arial"/>
        </w:rPr>
        <w:t xml:space="preserve"> during the reporting period.</w:t>
      </w:r>
    </w:p>
    <w:p w14:paraId="40008FF6" w14:textId="77777777" w:rsidR="00A90749" w:rsidRPr="00A90749" w:rsidRDefault="00A90749" w:rsidP="006A1B3A">
      <w:pPr>
        <w:rPr>
          <w:rFonts w:ascii="Arial" w:hAnsi="Arial" w:cs="Arial"/>
          <w:highlight w:val="yellow"/>
        </w:rPr>
      </w:pPr>
    </w:p>
    <w:p w14:paraId="31C425B1" w14:textId="3682D224" w:rsidR="00EC0852" w:rsidRPr="00F012CA" w:rsidRDefault="00EC0852" w:rsidP="006A1B3A">
      <w:pPr>
        <w:rPr>
          <w:rFonts w:ascii="Arial" w:hAnsi="Arial" w:cs="Arial"/>
          <w:b/>
        </w:rPr>
      </w:pPr>
      <w:r w:rsidRPr="00F012CA">
        <w:rPr>
          <w:rFonts w:ascii="Arial" w:hAnsi="Arial" w:cs="Arial"/>
          <w:b/>
        </w:rPr>
        <w:t xml:space="preserve">Question 237: </w:t>
      </w:r>
      <w:r w:rsidR="00F57F50">
        <w:rPr>
          <w:rFonts w:ascii="Arial" w:hAnsi="Arial" w:cs="Arial"/>
          <w:b/>
        </w:rPr>
        <w:t xml:space="preserve"> </w:t>
      </w:r>
      <w:r w:rsidRPr="00F012CA">
        <w:rPr>
          <w:rFonts w:ascii="Arial" w:hAnsi="Arial" w:cs="Arial"/>
          <w:b/>
        </w:rPr>
        <w:t>Specify disease stat</w:t>
      </w:r>
      <w:r w:rsidR="00A90749" w:rsidRPr="00F012CA">
        <w:rPr>
          <w:rFonts w:ascii="Arial" w:hAnsi="Arial" w:cs="Arial"/>
          <w:b/>
        </w:rPr>
        <w:t>us if not in complete remission</w:t>
      </w:r>
    </w:p>
    <w:p w14:paraId="4CE6B351" w14:textId="3CBD5D37" w:rsidR="00EC0852" w:rsidRPr="00F012CA" w:rsidRDefault="00A90749" w:rsidP="006A1B3A">
      <w:pPr>
        <w:rPr>
          <w:rFonts w:ascii="Arial" w:hAnsi="Arial" w:cs="Arial"/>
        </w:rPr>
      </w:pPr>
      <w:r w:rsidRPr="00F012CA">
        <w:rPr>
          <w:rFonts w:ascii="Arial" w:hAnsi="Arial" w:cs="Arial"/>
        </w:rPr>
        <w:t xml:space="preserve">Disease status criteria </w:t>
      </w:r>
      <w:proofErr w:type="gramStart"/>
      <w:r w:rsidRPr="00F012CA">
        <w:rPr>
          <w:rFonts w:ascii="Arial" w:hAnsi="Arial" w:cs="Arial"/>
        </w:rPr>
        <w:t>are generally based</w:t>
      </w:r>
      <w:proofErr w:type="gramEnd"/>
      <w:r w:rsidRPr="00F012CA">
        <w:rPr>
          <w:rFonts w:ascii="Arial" w:hAnsi="Arial" w:cs="Arial"/>
        </w:rPr>
        <w:t xml:space="preserve"> upon clinical assessment confirming ongoing presence or absence of disease</w:t>
      </w:r>
      <w:r w:rsidR="00F91ED8">
        <w:rPr>
          <w:rFonts w:ascii="Arial" w:hAnsi="Arial" w:cs="Arial"/>
        </w:rPr>
        <w:t xml:space="preserve">.  </w:t>
      </w:r>
      <w:r w:rsidRPr="00F012CA">
        <w:rPr>
          <w:rFonts w:ascii="Arial" w:hAnsi="Arial" w:cs="Arial"/>
        </w:rPr>
        <w:t xml:space="preserve">However, there are also situations in which an evaluation may have been performed but be incomplete and not have all testing required in order to meet the criteria for reporting complete remission (CR). </w:t>
      </w:r>
    </w:p>
    <w:p w14:paraId="53086508" w14:textId="77777777" w:rsidR="00A90749" w:rsidRDefault="00A90749" w:rsidP="006A1B3A">
      <w:pPr>
        <w:rPr>
          <w:rFonts w:ascii="Arial" w:hAnsi="Arial" w:cs="Arial"/>
          <w:highlight w:val="yellow"/>
        </w:rPr>
      </w:pPr>
    </w:p>
    <w:p w14:paraId="0464475F" w14:textId="70BDCB50" w:rsidR="00A90749" w:rsidRPr="002E1FAE" w:rsidRDefault="00A90749" w:rsidP="00A90749">
      <w:pPr>
        <w:rPr>
          <w:rFonts w:ascii="Arial" w:hAnsi="Arial" w:cs="Arial"/>
        </w:rPr>
      </w:pPr>
      <w:r w:rsidRPr="002E1FAE">
        <w:rPr>
          <w:rFonts w:ascii="Arial" w:hAnsi="Arial" w:cs="Arial"/>
        </w:rPr>
        <w:t>For recipients “not in complete remission,” indicate whether clinical evidence</w:t>
      </w:r>
      <w:r w:rsidR="00D71405">
        <w:rPr>
          <w:rFonts w:ascii="Arial" w:hAnsi="Arial" w:cs="Arial"/>
        </w:rPr>
        <w:t xml:space="preserve"> of</w:t>
      </w:r>
      <w:r w:rsidRPr="002E1FAE">
        <w:rPr>
          <w:rFonts w:ascii="Arial" w:hAnsi="Arial" w:cs="Arial"/>
        </w:rPr>
        <w:t xml:space="preserve"> disease persisted on disease-specific assessments within the reporting period</w:t>
      </w:r>
      <w:r w:rsidR="00F91ED8">
        <w:rPr>
          <w:rFonts w:ascii="Arial" w:hAnsi="Arial" w:cs="Arial"/>
        </w:rPr>
        <w:t xml:space="preserve">.  </w:t>
      </w:r>
      <w:r w:rsidRPr="002E1FAE">
        <w:rPr>
          <w:rFonts w:ascii="Arial" w:hAnsi="Arial" w:cs="Arial"/>
        </w:rPr>
        <w:t>If all assessments have shown resolution of disease, but not all assessments required to report complete remission have been completed, indicate “no disease detected but incomplete evaluation to establish CR.” This option is also appropriate for scenarios in which the recipient has not previously achieved a post-HCT CR but does not have any disease assessments performed within the reporting period</w:t>
      </w:r>
      <w:r w:rsidR="00F91ED8">
        <w:rPr>
          <w:rFonts w:ascii="Arial" w:hAnsi="Arial" w:cs="Arial"/>
        </w:rPr>
        <w:t xml:space="preserve">.  </w:t>
      </w:r>
      <w:r w:rsidRPr="002E1FAE">
        <w:rPr>
          <w:rFonts w:ascii="Arial" w:hAnsi="Arial" w:cs="Arial"/>
        </w:rPr>
        <w:t>Indicate “disease detected” if disease persists by any method of radiological or clinical assessment; persistence of abnormalities by molecular, cytogenetic, or flow cytometry assessments does not constitute “disease detected.”</w:t>
      </w:r>
    </w:p>
    <w:p w14:paraId="1612B885" w14:textId="77777777" w:rsidR="00A90749" w:rsidRPr="002E1FAE" w:rsidRDefault="00A90749" w:rsidP="00A90749">
      <w:pPr>
        <w:rPr>
          <w:rFonts w:ascii="Arial" w:hAnsi="Arial" w:cs="Arial"/>
        </w:rPr>
      </w:pPr>
    </w:p>
    <w:p w14:paraId="673D71D9" w14:textId="5A38F8E9" w:rsidR="00A90749" w:rsidRPr="002E1FAE" w:rsidRDefault="00A90749" w:rsidP="00A90749">
      <w:pPr>
        <w:ind w:left="720"/>
        <w:rPr>
          <w:rFonts w:ascii="Arial" w:hAnsi="Arial" w:cs="Arial"/>
        </w:rPr>
      </w:pPr>
      <w:r w:rsidRPr="002E1FAE">
        <w:rPr>
          <w:rFonts w:ascii="Arial" w:hAnsi="Arial" w:cs="Arial"/>
          <w:b/>
        </w:rPr>
        <w:t>Example 1:</w:t>
      </w:r>
      <w:r w:rsidRPr="002E1FAE">
        <w:rPr>
          <w:rFonts w:ascii="Arial" w:hAnsi="Arial" w:cs="Arial"/>
        </w:rPr>
        <w:t xml:space="preserve"> </w:t>
      </w:r>
      <w:r w:rsidR="00F91ED8">
        <w:rPr>
          <w:rFonts w:ascii="Arial" w:hAnsi="Arial" w:cs="Arial"/>
        </w:rPr>
        <w:t xml:space="preserve"> </w:t>
      </w:r>
      <w:r w:rsidRPr="002E1FAE">
        <w:rPr>
          <w:rFonts w:ascii="Arial" w:hAnsi="Arial" w:cs="Arial"/>
        </w:rPr>
        <w:t xml:space="preserve">A recipient with multiple myeloma goes to transplant in VGPR, without a bone marrow showing &lt; </w:t>
      </w:r>
      <w:proofErr w:type="gramStart"/>
      <w:r w:rsidRPr="002E1FAE">
        <w:rPr>
          <w:rFonts w:ascii="Arial" w:hAnsi="Arial" w:cs="Arial"/>
        </w:rPr>
        <w:t>5%</w:t>
      </w:r>
      <w:proofErr w:type="gramEnd"/>
      <w:r w:rsidRPr="002E1FAE">
        <w:rPr>
          <w:rFonts w:ascii="Arial" w:hAnsi="Arial" w:cs="Arial"/>
        </w:rPr>
        <w:t xml:space="preserve"> blasts completed prior to transplant</w:t>
      </w:r>
      <w:r w:rsidR="00F91ED8">
        <w:rPr>
          <w:rFonts w:ascii="Arial" w:hAnsi="Arial" w:cs="Arial"/>
        </w:rPr>
        <w:t xml:space="preserve">.  </w:t>
      </w:r>
      <w:r w:rsidRPr="002E1FAE">
        <w:rPr>
          <w:rFonts w:ascii="Arial" w:hAnsi="Arial" w:cs="Arial"/>
        </w:rPr>
        <w:t xml:space="preserve">Post-transplant serum and urine electrophoreses and </w:t>
      </w:r>
      <w:proofErr w:type="spellStart"/>
      <w:r w:rsidRPr="002E1FAE">
        <w:rPr>
          <w:rFonts w:ascii="Arial" w:hAnsi="Arial" w:cs="Arial"/>
        </w:rPr>
        <w:t>immunofixations</w:t>
      </w:r>
      <w:proofErr w:type="spellEnd"/>
      <w:r w:rsidRPr="002E1FAE">
        <w:rPr>
          <w:rFonts w:ascii="Arial" w:hAnsi="Arial" w:cs="Arial"/>
        </w:rPr>
        <w:t xml:space="preserve"> are negative. However, no bone marrow biopsy </w:t>
      </w:r>
      <w:proofErr w:type="gramStart"/>
      <w:r w:rsidRPr="002E1FAE">
        <w:rPr>
          <w:rFonts w:ascii="Arial" w:hAnsi="Arial" w:cs="Arial"/>
        </w:rPr>
        <w:t>is performed</w:t>
      </w:r>
      <w:proofErr w:type="gramEnd"/>
      <w:r w:rsidRPr="002E1FAE">
        <w:rPr>
          <w:rFonts w:ascii="Arial" w:hAnsi="Arial" w:cs="Arial"/>
        </w:rPr>
        <w:t xml:space="preserve"> within the 100-day reporting period</w:t>
      </w:r>
      <w:r w:rsidR="00F91ED8">
        <w:rPr>
          <w:rFonts w:ascii="Arial" w:hAnsi="Arial" w:cs="Arial"/>
        </w:rPr>
        <w:t xml:space="preserve">.  </w:t>
      </w:r>
      <w:r w:rsidRPr="002E1FAE">
        <w:rPr>
          <w:rFonts w:ascii="Arial" w:hAnsi="Arial" w:cs="Arial"/>
        </w:rPr>
        <w:t xml:space="preserve">In this case, “not in complete remission” should be selected for question </w:t>
      </w:r>
      <w:r w:rsidR="00F012CA">
        <w:rPr>
          <w:rFonts w:ascii="Arial" w:hAnsi="Arial" w:cs="Arial"/>
        </w:rPr>
        <w:t>236</w:t>
      </w:r>
      <w:r w:rsidRPr="002E1FAE">
        <w:rPr>
          <w:rFonts w:ascii="Arial" w:hAnsi="Arial" w:cs="Arial"/>
        </w:rPr>
        <w:t>, and “no disease detected by incomplete evaluation</w:t>
      </w:r>
      <w:r w:rsidR="00F012CA">
        <w:rPr>
          <w:rFonts w:ascii="Arial" w:hAnsi="Arial" w:cs="Arial"/>
        </w:rPr>
        <w:t xml:space="preserve"> to establish CR” for question 23</w:t>
      </w:r>
      <w:r w:rsidRPr="002E1FAE">
        <w:rPr>
          <w:rFonts w:ascii="Arial" w:hAnsi="Arial" w:cs="Arial"/>
        </w:rPr>
        <w:t>7.</w:t>
      </w:r>
    </w:p>
    <w:p w14:paraId="3B458021" w14:textId="77777777" w:rsidR="00A90749" w:rsidRPr="002E1FAE" w:rsidRDefault="00A90749" w:rsidP="00A90749">
      <w:pPr>
        <w:ind w:left="720"/>
        <w:rPr>
          <w:rFonts w:ascii="Arial" w:hAnsi="Arial" w:cs="Arial"/>
        </w:rPr>
      </w:pPr>
    </w:p>
    <w:p w14:paraId="745133D9" w14:textId="32B0EBB8" w:rsidR="00A90749" w:rsidRPr="002E1FAE" w:rsidRDefault="00A90749" w:rsidP="00A90749">
      <w:pPr>
        <w:ind w:left="720"/>
        <w:rPr>
          <w:rFonts w:ascii="Arial" w:hAnsi="Arial" w:cs="Arial"/>
        </w:rPr>
      </w:pPr>
      <w:r w:rsidRPr="002E1FAE">
        <w:rPr>
          <w:rFonts w:ascii="Arial" w:hAnsi="Arial" w:cs="Arial"/>
          <w:b/>
        </w:rPr>
        <w:t>Example 2:</w:t>
      </w:r>
      <w:r w:rsidRPr="002E1FAE">
        <w:rPr>
          <w:rFonts w:ascii="Arial" w:hAnsi="Arial" w:cs="Arial"/>
        </w:rPr>
        <w:t xml:space="preserve"> </w:t>
      </w:r>
      <w:r w:rsidR="00F91ED8">
        <w:rPr>
          <w:rFonts w:ascii="Arial" w:hAnsi="Arial" w:cs="Arial"/>
        </w:rPr>
        <w:t xml:space="preserve"> </w:t>
      </w:r>
      <w:r w:rsidRPr="002E1FAE">
        <w:rPr>
          <w:rFonts w:ascii="Arial" w:hAnsi="Arial" w:cs="Arial"/>
        </w:rPr>
        <w:t>A recipient with AML goes to transplant in primary induction failure</w:t>
      </w:r>
      <w:proofErr w:type="gramStart"/>
      <w:r w:rsidRPr="002E1FAE">
        <w:rPr>
          <w:rFonts w:ascii="Arial" w:hAnsi="Arial" w:cs="Arial"/>
        </w:rPr>
        <w:t xml:space="preserve">. </w:t>
      </w:r>
      <w:proofErr w:type="gramEnd"/>
      <w:r w:rsidRPr="002E1FAE">
        <w:rPr>
          <w:rFonts w:ascii="Arial" w:hAnsi="Arial" w:cs="Arial"/>
        </w:rPr>
        <w:t>Post-transplant, they recover their counts, but had circulating blasts noted on differential</w:t>
      </w:r>
      <w:r w:rsidR="00F91ED8">
        <w:rPr>
          <w:rFonts w:ascii="Arial" w:hAnsi="Arial" w:cs="Arial"/>
        </w:rPr>
        <w:t xml:space="preserve">.  </w:t>
      </w:r>
      <w:r w:rsidRPr="002E1FAE">
        <w:rPr>
          <w:rFonts w:ascii="Arial" w:hAnsi="Arial" w:cs="Arial"/>
        </w:rPr>
        <w:t>They expire due to relapse with their last CBC performed on their date of death showing circulating blasts</w:t>
      </w:r>
      <w:r w:rsidR="00F91ED8">
        <w:rPr>
          <w:rFonts w:ascii="Arial" w:hAnsi="Arial" w:cs="Arial"/>
        </w:rPr>
        <w:t xml:space="preserve">.  </w:t>
      </w:r>
      <w:r w:rsidRPr="002E1FAE">
        <w:rPr>
          <w:rFonts w:ascii="Arial" w:hAnsi="Arial" w:cs="Arial"/>
        </w:rPr>
        <w:t>In this case, “not in complete remission” should be</w:t>
      </w:r>
      <w:r w:rsidR="00F012CA">
        <w:rPr>
          <w:rFonts w:ascii="Arial" w:hAnsi="Arial" w:cs="Arial"/>
        </w:rPr>
        <w:t xml:space="preserve"> selected for question 23</w:t>
      </w:r>
      <w:r w:rsidRPr="002E1FAE">
        <w:rPr>
          <w:rFonts w:ascii="Arial" w:hAnsi="Arial" w:cs="Arial"/>
        </w:rPr>
        <w:t xml:space="preserve">6, and </w:t>
      </w:r>
      <w:r w:rsidR="00F012CA">
        <w:rPr>
          <w:rFonts w:ascii="Arial" w:hAnsi="Arial" w:cs="Arial"/>
        </w:rPr>
        <w:t>“disease detected” in question 23</w:t>
      </w:r>
      <w:r w:rsidRPr="002E1FAE">
        <w:rPr>
          <w:rFonts w:ascii="Arial" w:hAnsi="Arial" w:cs="Arial"/>
        </w:rPr>
        <w:t>7.</w:t>
      </w:r>
    </w:p>
    <w:p w14:paraId="6A3EFF12" w14:textId="77777777" w:rsidR="00A90749" w:rsidRPr="002E1FAE" w:rsidRDefault="00A90749" w:rsidP="00A90749">
      <w:pPr>
        <w:ind w:left="720"/>
        <w:rPr>
          <w:rFonts w:ascii="Arial" w:hAnsi="Arial" w:cs="Arial"/>
        </w:rPr>
      </w:pPr>
    </w:p>
    <w:p w14:paraId="4353E425" w14:textId="6A7FF38E" w:rsidR="00A90749" w:rsidRPr="00A90749" w:rsidRDefault="00A90749" w:rsidP="00A90749">
      <w:pPr>
        <w:ind w:left="720"/>
        <w:rPr>
          <w:rFonts w:ascii="Arial" w:hAnsi="Arial" w:cs="Arial"/>
        </w:rPr>
      </w:pPr>
      <w:r w:rsidRPr="002E1FAE">
        <w:rPr>
          <w:rFonts w:ascii="Arial" w:hAnsi="Arial" w:cs="Arial"/>
          <w:b/>
        </w:rPr>
        <w:t xml:space="preserve">Example 3: </w:t>
      </w:r>
      <w:r w:rsidR="00F91ED8">
        <w:rPr>
          <w:rFonts w:ascii="Arial" w:hAnsi="Arial" w:cs="Arial"/>
          <w:b/>
        </w:rPr>
        <w:t xml:space="preserve"> </w:t>
      </w:r>
      <w:r w:rsidRPr="002E1FAE">
        <w:rPr>
          <w:rFonts w:ascii="Arial" w:hAnsi="Arial" w:cs="Arial"/>
        </w:rPr>
        <w:t>Similar to example 2, a recipient with AML goes to transplant in primary induction failure</w:t>
      </w:r>
      <w:r w:rsidR="00F91ED8">
        <w:rPr>
          <w:rFonts w:ascii="Arial" w:hAnsi="Arial" w:cs="Arial"/>
        </w:rPr>
        <w:t xml:space="preserve">.  </w:t>
      </w:r>
      <w:r w:rsidRPr="002E1FAE">
        <w:rPr>
          <w:rFonts w:ascii="Arial" w:hAnsi="Arial" w:cs="Arial"/>
        </w:rPr>
        <w:t>They expire on D+11 due to infection, and had not engrafted as of that date</w:t>
      </w:r>
      <w:r w:rsidR="00F91ED8">
        <w:rPr>
          <w:rFonts w:ascii="Arial" w:hAnsi="Arial" w:cs="Arial"/>
        </w:rPr>
        <w:t xml:space="preserve">.  </w:t>
      </w:r>
      <w:r w:rsidRPr="002E1FAE">
        <w:rPr>
          <w:rFonts w:ascii="Arial" w:hAnsi="Arial" w:cs="Arial"/>
        </w:rPr>
        <w:t>Their last CBC showed a WBC of 0.5 x 10</w:t>
      </w:r>
      <w:r w:rsidRPr="002E1FAE">
        <w:rPr>
          <w:rFonts w:ascii="Arial" w:hAnsi="Arial" w:cs="Arial"/>
          <w:vertAlign w:val="superscript"/>
        </w:rPr>
        <w:t>9</w:t>
      </w:r>
      <w:r w:rsidRPr="002E1FAE">
        <w:rPr>
          <w:rFonts w:ascii="Arial" w:hAnsi="Arial" w:cs="Arial"/>
        </w:rPr>
        <w:t>/L</w:t>
      </w:r>
      <w:r w:rsidR="00F91ED8">
        <w:rPr>
          <w:rFonts w:ascii="Arial" w:hAnsi="Arial" w:cs="Arial"/>
        </w:rPr>
        <w:t xml:space="preserve">.  </w:t>
      </w:r>
      <w:r w:rsidRPr="002E1FAE">
        <w:rPr>
          <w:rFonts w:ascii="Arial" w:hAnsi="Arial" w:cs="Arial"/>
        </w:rPr>
        <w:t>In this case, “not in complete remission” s</w:t>
      </w:r>
      <w:r w:rsidR="00F012CA">
        <w:rPr>
          <w:rFonts w:ascii="Arial" w:hAnsi="Arial" w:cs="Arial"/>
        </w:rPr>
        <w:t>hould be selected for question 23</w:t>
      </w:r>
      <w:r w:rsidRPr="002E1FAE">
        <w:rPr>
          <w:rFonts w:ascii="Arial" w:hAnsi="Arial" w:cs="Arial"/>
        </w:rPr>
        <w:t>6, and “no disease detected by incomplete evaluation t</w:t>
      </w:r>
      <w:r w:rsidR="00F012CA">
        <w:rPr>
          <w:rFonts w:ascii="Arial" w:hAnsi="Arial" w:cs="Arial"/>
        </w:rPr>
        <w:t>o establish CR” in question 23</w:t>
      </w:r>
      <w:r>
        <w:rPr>
          <w:rFonts w:ascii="Arial" w:hAnsi="Arial" w:cs="Arial"/>
        </w:rPr>
        <w:t>7.</w:t>
      </w:r>
    </w:p>
    <w:p w14:paraId="765FFE46" w14:textId="77777777" w:rsidR="00A90749" w:rsidRPr="002F47D8" w:rsidRDefault="00A90749" w:rsidP="006A1B3A">
      <w:pPr>
        <w:rPr>
          <w:rFonts w:ascii="Arial" w:hAnsi="Arial" w:cs="Arial"/>
          <w:b/>
        </w:rPr>
      </w:pPr>
    </w:p>
    <w:p w14:paraId="497A1739" w14:textId="53C48C83" w:rsidR="00EC0852" w:rsidRDefault="002F47D8" w:rsidP="006A1B3A">
      <w:pPr>
        <w:rPr>
          <w:rFonts w:ascii="Arial" w:hAnsi="Arial" w:cs="Arial"/>
        </w:rPr>
      </w:pPr>
      <w:r w:rsidRPr="002F47D8">
        <w:rPr>
          <w:rFonts w:ascii="Arial" w:hAnsi="Arial" w:cs="Arial"/>
          <w:b/>
        </w:rPr>
        <w:t>Question 238-</w:t>
      </w:r>
      <w:r w:rsidR="00EC0852" w:rsidRPr="002F47D8">
        <w:rPr>
          <w:rFonts w:ascii="Arial" w:hAnsi="Arial" w:cs="Arial"/>
          <w:b/>
        </w:rPr>
        <w:t>239:</w:t>
      </w:r>
      <w:r w:rsidR="00F57F50">
        <w:rPr>
          <w:rFonts w:ascii="Arial" w:hAnsi="Arial" w:cs="Arial"/>
          <w:b/>
        </w:rPr>
        <w:t xml:space="preserve"> </w:t>
      </w:r>
      <w:bookmarkStart w:id="16" w:name="_GoBack"/>
      <w:bookmarkEnd w:id="16"/>
      <w:r w:rsidR="00EC0852" w:rsidRPr="002F47D8">
        <w:rPr>
          <w:rFonts w:ascii="Arial" w:hAnsi="Arial" w:cs="Arial"/>
          <w:b/>
        </w:rPr>
        <w:t xml:space="preserve"> Date of most recent </w:t>
      </w:r>
      <w:r w:rsidRPr="002F47D8">
        <w:rPr>
          <w:rFonts w:ascii="Arial" w:hAnsi="Arial" w:cs="Arial"/>
          <w:b/>
        </w:rPr>
        <w:t>disease assessment</w:t>
      </w:r>
    </w:p>
    <w:p w14:paraId="0ECB907F" w14:textId="6BE69101" w:rsidR="002F47D8" w:rsidRDefault="002F47D8" w:rsidP="006A1B3A">
      <w:pPr>
        <w:rPr>
          <w:rFonts w:ascii="Arial" w:hAnsi="Arial" w:cs="Arial"/>
        </w:rPr>
      </w:pPr>
      <w:r>
        <w:rPr>
          <w:rFonts w:ascii="Arial" w:hAnsi="Arial" w:cs="Arial"/>
        </w:rPr>
        <w:t xml:space="preserve">Indicate whether the date of most recent disease assessment is known or unknown. Use known even if only approximate date is known, then refer to </w:t>
      </w:r>
      <w:r w:rsidRPr="00675C4D">
        <w:rPr>
          <w:rFonts w:ascii="Arial" w:hAnsi="Arial" w:cs="Arial"/>
        </w:rPr>
        <w:t xml:space="preserve">General Instructions, </w:t>
      </w:r>
      <w:hyperlink r:id="rId33" w:history="1">
        <w:r w:rsidRPr="00675C4D">
          <w:rPr>
            <w:rStyle w:val="Hyperlink"/>
            <w:rFonts w:ascii="Arial" w:hAnsi="Arial" w:cs="Arial"/>
          </w:rPr>
          <w:t>General Guidelines for Completing Forms</w:t>
        </w:r>
      </w:hyperlink>
      <w:r w:rsidRPr="00675C4D">
        <w:rPr>
          <w:rFonts w:ascii="Arial" w:hAnsi="Arial" w:cs="Arial"/>
        </w:rPr>
        <w:t>, for information about reporting partial or unknown dates</w:t>
      </w:r>
      <w:r w:rsidR="00F91ED8">
        <w:rPr>
          <w:rFonts w:ascii="Arial" w:hAnsi="Arial" w:cs="Arial"/>
        </w:rPr>
        <w:t xml:space="preserve">.  </w:t>
      </w:r>
      <w:r>
        <w:rPr>
          <w:rFonts w:ascii="Arial" w:hAnsi="Arial" w:cs="Arial"/>
        </w:rPr>
        <w:t xml:space="preserve">“Unknown” should only be used when there is no record – exact or approximate – of disease assessment within the reporting period. </w:t>
      </w:r>
    </w:p>
    <w:p w14:paraId="60847E22" w14:textId="77777777" w:rsidR="002F47D8" w:rsidRDefault="002F47D8" w:rsidP="006A1B3A">
      <w:pPr>
        <w:rPr>
          <w:rFonts w:ascii="Arial" w:hAnsi="Arial" w:cs="Arial"/>
        </w:rPr>
      </w:pPr>
    </w:p>
    <w:p w14:paraId="6E2E88FF" w14:textId="5874C105" w:rsidR="002F47D8" w:rsidRPr="002F47D8" w:rsidRDefault="002F47D8" w:rsidP="006A1B3A">
      <w:pPr>
        <w:rPr>
          <w:rFonts w:ascii="Arial" w:hAnsi="Arial" w:cs="Arial"/>
        </w:rPr>
      </w:pPr>
      <w:r>
        <w:rPr>
          <w:rFonts w:ascii="Arial" w:hAnsi="Arial" w:cs="Arial"/>
        </w:rPr>
        <w:t>Report the date of latest disease assessment consistent with disease status reported in questions 236-237</w:t>
      </w:r>
      <w:r w:rsidR="00F91ED8">
        <w:rPr>
          <w:rFonts w:ascii="Arial" w:hAnsi="Arial" w:cs="Arial"/>
        </w:rPr>
        <w:t xml:space="preserve">.  </w:t>
      </w:r>
      <w:r>
        <w:rPr>
          <w:rFonts w:ascii="Arial" w:hAnsi="Arial" w:cs="Arial"/>
        </w:rPr>
        <w:t>The reported date may reflect a disease assessment by any method – molecular, cytogenetic, FISH, flow cytometry, radiologic, or clinical/hematologic</w:t>
      </w:r>
      <w:r w:rsidR="00F91ED8">
        <w:rPr>
          <w:rFonts w:ascii="Arial" w:hAnsi="Arial" w:cs="Arial"/>
        </w:rPr>
        <w:t xml:space="preserve">.  </w:t>
      </w:r>
      <w:r>
        <w:rPr>
          <w:rFonts w:ascii="Arial" w:hAnsi="Arial" w:cs="Arial"/>
        </w:rPr>
        <w:t>If there are multiple disease assessments within the 30 days prior to or on the date of contact, report the most recent that is consistent with the disease status reported in questions 236-237</w:t>
      </w:r>
      <w:r w:rsidR="00F91ED8">
        <w:rPr>
          <w:rFonts w:ascii="Arial" w:hAnsi="Arial" w:cs="Arial"/>
        </w:rPr>
        <w:t xml:space="preserve">.  </w:t>
      </w:r>
      <w:r>
        <w:rPr>
          <w:rFonts w:ascii="Arial" w:hAnsi="Arial" w:cs="Arial"/>
        </w:rPr>
        <w:t xml:space="preserve">If there are no disease specific assessments </w:t>
      </w:r>
      <w:r>
        <w:rPr>
          <w:rFonts w:ascii="Arial" w:hAnsi="Arial" w:cs="Arial"/>
        </w:rPr>
        <w:lastRenderedPageBreak/>
        <w:t>within the 30 days prior to or on the date of contact, report the latest assessment in which the recipient was clinically assessed by a physician or midlevel clinician.</w:t>
      </w:r>
    </w:p>
    <w:p w14:paraId="1A1AC09B" w14:textId="77777777" w:rsidR="00EC0852" w:rsidRDefault="00EC0852" w:rsidP="00474D24">
      <w:pPr>
        <w:autoSpaceDE w:val="0"/>
        <w:autoSpaceDN w:val="0"/>
        <w:adjustRightInd w:val="0"/>
        <w:rPr>
          <w:rFonts w:ascii="Arial" w:hAnsi="Arial" w:cs="Arial"/>
        </w:rPr>
      </w:pPr>
    </w:p>
    <w:p w14:paraId="0F5BB462" w14:textId="77777777" w:rsidR="00474D24" w:rsidRPr="00907719" w:rsidRDefault="007E1D5D" w:rsidP="00474D24">
      <w:pPr>
        <w:autoSpaceDE w:val="0"/>
        <w:autoSpaceDN w:val="0"/>
        <w:adjustRightInd w:val="0"/>
        <w:rPr>
          <w:rFonts w:ascii="Arial" w:hAnsi="Arial" w:cs="Arial"/>
          <w:b/>
        </w:rPr>
      </w:pPr>
      <w:r>
        <w:rPr>
          <w:rFonts w:ascii="Arial" w:hAnsi="Arial" w:cs="Arial"/>
          <w:b/>
        </w:rPr>
        <w:t>Signature Lines</w:t>
      </w:r>
    </w:p>
    <w:p w14:paraId="4C23BE4F" w14:textId="77777777" w:rsidR="00474D24" w:rsidRPr="001966A8" w:rsidRDefault="00474D24" w:rsidP="00474D24">
      <w:pPr>
        <w:rPr>
          <w:color w:val="000000"/>
        </w:rPr>
      </w:pPr>
      <w:r w:rsidRPr="001966A8">
        <w:rPr>
          <w:rFonts w:ascii="Arial" w:hAnsi="Arial" w:cs="Arial"/>
          <w:color w:val="000000"/>
        </w:rPr>
        <w:t>The FormsNet3</w:t>
      </w:r>
      <w:r w:rsidRPr="001966A8">
        <w:rPr>
          <w:rFonts w:ascii="Arial" w:hAnsi="Arial" w:cs="Arial"/>
          <w:color w:val="000000"/>
          <w:vertAlign w:val="superscript"/>
        </w:rPr>
        <w:t>SM</w:t>
      </w:r>
      <w:r w:rsidRPr="001966A8">
        <w:rPr>
          <w:rFonts w:ascii="Arial" w:hAnsi="Arial" w:cs="Arial"/>
          <w:color w:val="000000"/>
        </w:rPr>
        <w:t xml:space="preserve"> application will automatically populate the signature data fields, including name and email address of person completing the form and date upon submission of the form. </w:t>
      </w:r>
    </w:p>
    <w:p w14:paraId="1CB32C52" w14:textId="77777777" w:rsidR="00632864" w:rsidRDefault="00632864">
      <w:pPr>
        <w:spacing w:after="200" w:line="276" w:lineRule="auto"/>
        <w:rPr>
          <w:rFonts w:ascii="Arial" w:hAnsi="Arial" w:cs="Arial"/>
        </w:rPr>
      </w:pPr>
    </w:p>
    <w:p w14:paraId="0DA33A5F" w14:textId="77777777" w:rsidR="002F4235" w:rsidRPr="005A1021" w:rsidRDefault="002F4235" w:rsidP="00151CA8">
      <w:pPr>
        <w:pStyle w:val="Heading1"/>
      </w:pPr>
      <w:bookmarkStart w:id="17" w:name="_Toc372804376"/>
      <w:bookmarkStart w:id="18" w:name="_Toc372804908"/>
      <w:bookmarkStart w:id="19" w:name="_Toc372805810"/>
      <w:bookmarkStart w:id="20" w:name="_Toc450570844"/>
      <w:r>
        <w:t>Manual Change History</w:t>
      </w:r>
      <w:bookmarkEnd w:id="17"/>
      <w:bookmarkEnd w:id="18"/>
      <w:bookmarkEnd w:id="19"/>
      <w:bookmarkEnd w:id="20"/>
    </w:p>
    <w:p w14:paraId="4A031744" w14:textId="77777777" w:rsidR="002F4235" w:rsidRDefault="002F4235" w:rsidP="002F4235">
      <w:pPr>
        <w:autoSpaceDE w:val="0"/>
        <w:autoSpaceDN w:val="0"/>
        <w:adjustRightInd w:val="0"/>
        <w:rPr>
          <w:rFonts w:ascii="Arial" w:hAnsi="Arial" w:cs="Arial"/>
          <w:szCs w:val="20"/>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1350"/>
        <w:gridCol w:w="1890"/>
        <w:gridCol w:w="5220"/>
      </w:tblGrid>
      <w:tr w:rsidR="00921D25" w:rsidRPr="002065E6" w14:paraId="6E4C1B6A" w14:textId="77777777" w:rsidTr="00B45DA1">
        <w:trPr>
          <w:trHeight w:val="647"/>
        </w:trPr>
        <w:tc>
          <w:tcPr>
            <w:tcW w:w="1098" w:type="dxa"/>
            <w:shd w:val="clear" w:color="auto" w:fill="63A70A" w:themeFill="accent2"/>
            <w:vAlign w:val="center"/>
          </w:tcPr>
          <w:p w14:paraId="73A073DA" w14:textId="77777777" w:rsidR="00921D25" w:rsidRPr="0066473D" w:rsidRDefault="00921D25" w:rsidP="0029205D">
            <w:pPr>
              <w:rPr>
                <w:rFonts w:ascii="Arial" w:hAnsi="Arial" w:cs="Arial"/>
                <w:b/>
                <w:color w:val="FFFFFF" w:themeColor="background1"/>
              </w:rPr>
            </w:pPr>
            <w:r w:rsidRPr="0066473D">
              <w:rPr>
                <w:rFonts w:ascii="Arial" w:hAnsi="Arial" w:cs="Arial"/>
                <w:b/>
                <w:color w:val="FFFFFF" w:themeColor="background1"/>
                <w:sz w:val="22"/>
                <w:szCs w:val="22"/>
              </w:rPr>
              <w:t>Version Number</w:t>
            </w:r>
          </w:p>
        </w:tc>
        <w:tc>
          <w:tcPr>
            <w:tcW w:w="1350" w:type="dxa"/>
            <w:shd w:val="clear" w:color="auto" w:fill="63A70A" w:themeFill="accent2"/>
            <w:vAlign w:val="center"/>
          </w:tcPr>
          <w:p w14:paraId="6D895E77" w14:textId="77777777" w:rsidR="00921D25" w:rsidRPr="0066473D" w:rsidRDefault="00921D25" w:rsidP="0029205D">
            <w:pPr>
              <w:rPr>
                <w:rFonts w:ascii="Arial" w:hAnsi="Arial" w:cs="Arial"/>
                <w:b/>
                <w:color w:val="FFFFFF" w:themeColor="background1"/>
              </w:rPr>
            </w:pPr>
            <w:r w:rsidRPr="0066473D">
              <w:rPr>
                <w:rFonts w:ascii="Arial" w:hAnsi="Arial" w:cs="Arial"/>
                <w:b/>
                <w:color w:val="FFFFFF" w:themeColor="background1"/>
                <w:sz w:val="22"/>
                <w:szCs w:val="22"/>
              </w:rPr>
              <w:t>Date of Change</w:t>
            </w:r>
          </w:p>
        </w:tc>
        <w:tc>
          <w:tcPr>
            <w:tcW w:w="1890" w:type="dxa"/>
            <w:shd w:val="clear" w:color="auto" w:fill="63A70A" w:themeFill="accent2"/>
            <w:vAlign w:val="center"/>
          </w:tcPr>
          <w:p w14:paraId="49F9E734" w14:textId="77777777" w:rsidR="00921D25" w:rsidRPr="0066473D" w:rsidRDefault="00921D25" w:rsidP="0029205D">
            <w:pPr>
              <w:rPr>
                <w:rFonts w:ascii="Arial" w:hAnsi="Arial" w:cs="Arial"/>
                <w:b/>
                <w:color w:val="FFFFFF" w:themeColor="background1"/>
              </w:rPr>
            </w:pPr>
            <w:r w:rsidRPr="0066473D">
              <w:rPr>
                <w:rFonts w:ascii="Arial" w:hAnsi="Arial" w:cs="Arial"/>
                <w:b/>
                <w:color w:val="FFFFFF" w:themeColor="background1"/>
                <w:sz w:val="22"/>
                <w:szCs w:val="22"/>
              </w:rPr>
              <w:t>Type of Change (Add / Remove / Modify)</w:t>
            </w:r>
          </w:p>
        </w:tc>
        <w:tc>
          <w:tcPr>
            <w:tcW w:w="5220" w:type="dxa"/>
            <w:shd w:val="clear" w:color="auto" w:fill="63A70A" w:themeFill="accent2"/>
            <w:vAlign w:val="center"/>
          </w:tcPr>
          <w:p w14:paraId="132785FE" w14:textId="77777777" w:rsidR="00921D25" w:rsidRPr="0066473D" w:rsidRDefault="00921D25" w:rsidP="0029205D">
            <w:pPr>
              <w:rPr>
                <w:rFonts w:ascii="Arial" w:hAnsi="Arial" w:cs="Arial"/>
                <w:b/>
                <w:color w:val="FFFFFF" w:themeColor="background1"/>
              </w:rPr>
            </w:pPr>
            <w:r w:rsidRPr="0066473D">
              <w:rPr>
                <w:rFonts w:ascii="Arial" w:hAnsi="Arial" w:cs="Arial"/>
                <w:b/>
                <w:color w:val="FFFFFF" w:themeColor="background1"/>
                <w:sz w:val="22"/>
                <w:szCs w:val="22"/>
              </w:rPr>
              <w:t>Description of Change</w:t>
            </w:r>
          </w:p>
        </w:tc>
      </w:tr>
      <w:tr w:rsidR="00B45DA1" w:rsidRPr="002065E6" w14:paraId="1961CB22" w14:textId="77777777" w:rsidTr="00B45DA1">
        <w:tc>
          <w:tcPr>
            <w:tcW w:w="1098" w:type="dxa"/>
            <w:shd w:val="clear" w:color="auto" w:fill="auto"/>
            <w:vAlign w:val="center"/>
          </w:tcPr>
          <w:p w14:paraId="7C9B9900" w14:textId="77777777" w:rsidR="00B45DA1" w:rsidRPr="00B45DA1" w:rsidRDefault="00B45DA1" w:rsidP="0029205D">
            <w:pPr>
              <w:rPr>
                <w:rFonts w:ascii="Arial" w:hAnsi="Arial" w:cs="Arial"/>
                <w:sz w:val="22"/>
                <w:szCs w:val="22"/>
              </w:rPr>
            </w:pPr>
          </w:p>
        </w:tc>
        <w:tc>
          <w:tcPr>
            <w:tcW w:w="1350" w:type="dxa"/>
            <w:shd w:val="clear" w:color="auto" w:fill="auto"/>
            <w:vAlign w:val="center"/>
          </w:tcPr>
          <w:p w14:paraId="7849A1B6" w14:textId="77777777" w:rsidR="00B45DA1" w:rsidRPr="00B45DA1" w:rsidRDefault="00B45DA1" w:rsidP="0029205D">
            <w:pPr>
              <w:rPr>
                <w:rFonts w:ascii="Arial" w:hAnsi="Arial" w:cs="Arial"/>
                <w:sz w:val="22"/>
                <w:szCs w:val="22"/>
              </w:rPr>
            </w:pPr>
          </w:p>
        </w:tc>
        <w:tc>
          <w:tcPr>
            <w:tcW w:w="1890" w:type="dxa"/>
            <w:shd w:val="clear" w:color="auto" w:fill="auto"/>
            <w:vAlign w:val="center"/>
          </w:tcPr>
          <w:p w14:paraId="3BCDC81E" w14:textId="77777777" w:rsidR="00B45DA1" w:rsidRPr="00B45DA1" w:rsidRDefault="00B45DA1" w:rsidP="0029205D">
            <w:pPr>
              <w:rPr>
                <w:rFonts w:ascii="Arial" w:hAnsi="Arial" w:cs="Arial"/>
                <w:sz w:val="22"/>
                <w:szCs w:val="22"/>
              </w:rPr>
            </w:pPr>
          </w:p>
        </w:tc>
        <w:tc>
          <w:tcPr>
            <w:tcW w:w="5220" w:type="dxa"/>
            <w:shd w:val="clear" w:color="auto" w:fill="auto"/>
            <w:vAlign w:val="center"/>
          </w:tcPr>
          <w:p w14:paraId="6082EA42" w14:textId="77777777" w:rsidR="00B45DA1" w:rsidRPr="00B45DA1" w:rsidRDefault="00B45DA1" w:rsidP="0029205D">
            <w:pPr>
              <w:rPr>
                <w:rFonts w:ascii="Arial" w:hAnsi="Arial" w:cs="Arial"/>
                <w:sz w:val="22"/>
                <w:szCs w:val="22"/>
              </w:rPr>
            </w:pPr>
          </w:p>
        </w:tc>
      </w:tr>
    </w:tbl>
    <w:p w14:paraId="63298F6E" w14:textId="77777777" w:rsidR="002F4235" w:rsidRDefault="002F4235" w:rsidP="006E18FF"/>
    <w:sectPr w:rsidR="002F4235" w:rsidSect="002D545E">
      <w:headerReference w:type="default" r:id="rId34"/>
      <w:footerReference w:type="default" r:id="rId35"/>
      <w:footerReference w:type="first" r:id="rId36"/>
      <w:type w:val="continuous"/>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B1B0A2A" w15:done="0"/>
  <w15:commentEx w15:paraId="3D045D1A" w15:done="0"/>
  <w15:commentEx w15:paraId="69EFB997" w15:done="0"/>
  <w15:commentEx w15:paraId="7B72517E" w15:done="0"/>
  <w15:commentEx w15:paraId="7C3A6690" w15:done="0"/>
  <w15:commentEx w15:paraId="74DD5294" w15:done="0"/>
  <w15:commentEx w15:paraId="69B5F92A" w15:done="0"/>
  <w15:commentEx w15:paraId="59A9B195" w15:done="0"/>
  <w15:commentEx w15:paraId="4DE51237" w15:done="0"/>
  <w15:commentEx w15:paraId="0A5F3049" w15:done="0"/>
  <w15:commentEx w15:paraId="5F8DDD78" w15:done="0"/>
  <w15:commentEx w15:paraId="76865C52" w15:done="0"/>
  <w15:commentEx w15:paraId="151D0A0F" w15:done="0"/>
  <w15:commentEx w15:paraId="69851900" w15:done="0"/>
  <w15:commentEx w15:paraId="0BBC4568" w15:done="0"/>
  <w15:commentEx w15:paraId="1B84D9F6" w15:done="0"/>
  <w15:commentEx w15:paraId="35D5C68B" w15:done="0"/>
  <w15:commentEx w15:paraId="45E5FB4C" w15:done="0"/>
  <w15:commentEx w15:paraId="7C4B8FEA" w15:done="0"/>
  <w15:commentEx w15:paraId="42B2D6B1" w15:done="0"/>
  <w15:commentEx w15:paraId="297CC728" w15:done="0"/>
  <w15:commentEx w15:paraId="421B5747" w15:done="0"/>
  <w15:commentEx w15:paraId="4F1A067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5BC7D6" w14:textId="77777777" w:rsidR="00632864" w:rsidRDefault="00632864" w:rsidP="00906D61">
      <w:r>
        <w:separator/>
      </w:r>
    </w:p>
  </w:endnote>
  <w:endnote w:type="continuationSeparator" w:id="0">
    <w:p w14:paraId="66D14481" w14:textId="77777777" w:rsidR="00632864" w:rsidRDefault="00632864" w:rsidP="00906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MT">
    <w:altName w:val="Ari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71A927" w14:textId="77777777" w:rsidR="00632864" w:rsidRDefault="00632864" w:rsidP="002F4235">
    <w:pPr>
      <w:pStyle w:val="Footer"/>
      <w:pBdr>
        <w:top w:val="single" w:sz="4" w:space="0" w:color="auto"/>
      </w:pBdr>
      <w:ind w:right="360"/>
      <w:jc w:val="center"/>
      <w:rPr>
        <w:rFonts w:ascii="Arial" w:hAnsi="Arial" w:cs="Arial"/>
        <w:sz w:val="16"/>
        <w:szCs w:val="16"/>
      </w:rPr>
    </w:pPr>
    <w:r>
      <w:rPr>
        <w:rFonts w:ascii="Arial" w:hAnsi="Arial" w:cs="Arial"/>
        <w:sz w:val="16"/>
        <w:szCs w:val="16"/>
      </w:rPr>
      <w:t>© 2013 N</w:t>
    </w:r>
    <w:r w:rsidRPr="00935742">
      <w:rPr>
        <w:rFonts w:ascii="Arial" w:hAnsi="Arial" w:cs="Arial"/>
        <w:sz w:val="16"/>
        <w:szCs w:val="16"/>
      </w:rPr>
      <w:t>ational Marrow Donor Program</w:t>
    </w:r>
    <w:r w:rsidRPr="00935742">
      <w:rPr>
        <w:rFonts w:ascii="Arial" w:hAnsi="Arial" w:cs="Arial"/>
        <w:sz w:val="16"/>
        <w:szCs w:val="16"/>
        <w:vertAlign w:val="superscript"/>
      </w:rPr>
      <w:t xml:space="preserve"> ®</w:t>
    </w:r>
    <w:r w:rsidRPr="00935742">
      <w:rPr>
        <w:rFonts w:ascii="Arial" w:hAnsi="Arial" w:cs="Arial"/>
        <w:sz w:val="16"/>
        <w:szCs w:val="16"/>
      </w:rPr>
      <w:t xml:space="preserve"> and The Medical College of Wisconsin</w:t>
    </w:r>
  </w:p>
  <w:p w14:paraId="4372F2F7" w14:textId="77777777" w:rsidR="00632864" w:rsidRPr="00935742" w:rsidRDefault="00632864" w:rsidP="002F4235">
    <w:pPr>
      <w:pStyle w:val="Footer"/>
      <w:pBdr>
        <w:top w:val="single" w:sz="4" w:space="0" w:color="auto"/>
      </w:pBdr>
      <w:ind w:right="360"/>
      <w:jc w:val="center"/>
      <w:rPr>
        <w:rFonts w:ascii="Arial" w:hAnsi="Arial" w:cs="Arial"/>
        <w:b/>
        <w:sz w:val="16"/>
        <w:szCs w:val="16"/>
      </w:rPr>
    </w:pPr>
  </w:p>
  <w:p w14:paraId="2BDFD79B" w14:textId="77777777" w:rsidR="00632864" w:rsidRPr="00935742" w:rsidRDefault="00632864" w:rsidP="002F4235">
    <w:pPr>
      <w:pStyle w:val="Footer"/>
      <w:pBdr>
        <w:top w:val="single" w:sz="4" w:space="0" w:color="auto"/>
      </w:pBdr>
      <w:ind w:right="360"/>
      <w:rPr>
        <w:rFonts w:ascii="Arial" w:hAnsi="Arial" w:cs="Arial"/>
        <w:sz w:val="16"/>
        <w:szCs w:val="16"/>
      </w:rPr>
    </w:pPr>
    <w:r w:rsidRPr="00935742">
      <w:rPr>
        <w:rFonts w:ascii="Arial" w:hAnsi="Arial" w:cs="Arial"/>
        <w:b/>
        <w:sz w:val="16"/>
        <w:szCs w:val="16"/>
      </w:rPr>
      <w:t xml:space="preserve">Document Title: </w:t>
    </w:r>
    <w:r w:rsidRPr="00935742">
      <w:rPr>
        <w:rFonts w:ascii="Arial" w:hAnsi="Arial" w:cs="Arial"/>
        <w:sz w:val="16"/>
        <w:szCs w:val="16"/>
      </w:rPr>
      <w:t xml:space="preserve">CIBMTR Forms Manual: </w:t>
    </w:r>
    <w:r>
      <w:rPr>
        <w:rFonts w:ascii="Arial" w:hAnsi="Arial" w:cs="Arial"/>
        <w:sz w:val="16"/>
        <w:szCs w:val="16"/>
      </w:rPr>
      <w:t>Post-TED (Form 2450)</w:t>
    </w:r>
  </w:p>
  <w:p w14:paraId="455F2209" w14:textId="77777777" w:rsidR="00632864" w:rsidRPr="00935742" w:rsidRDefault="00632864" w:rsidP="002F4235">
    <w:pPr>
      <w:pStyle w:val="Footer"/>
      <w:pBdr>
        <w:top w:val="single" w:sz="4" w:space="0" w:color="auto"/>
      </w:pBdr>
      <w:ind w:right="360"/>
      <w:rPr>
        <w:rFonts w:ascii="Arial" w:hAnsi="Arial" w:cs="Arial"/>
        <w:sz w:val="16"/>
        <w:szCs w:val="16"/>
      </w:rPr>
    </w:pPr>
    <w:r w:rsidRPr="007E6138">
      <w:rPr>
        <w:rFonts w:ascii="Arial" w:hAnsi="Arial" w:cs="Arial"/>
        <w:sz w:val="16"/>
        <w:szCs w:val="16"/>
        <w:highlight w:val="yellow"/>
      </w:rPr>
      <w:t>Version 3.0 (xx/xx/2016)</w:t>
    </w:r>
  </w:p>
  <w:p w14:paraId="6DA98D1B" w14:textId="77777777" w:rsidR="00632864" w:rsidRPr="002F4235" w:rsidRDefault="00632864" w:rsidP="002F4235">
    <w:pPr>
      <w:pStyle w:val="Footer"/>
      <w:pBdr>
        <w:top w:val="single" w:sz="4" w:space="0" w:color="auto"/>
      </w:pBdr>
      <w:ind w:right="360"/>
    </w:pPr>
    <w:r w:rsidRPr="00935742">
      <w:rPr>
        <w:rFonts w:ascii="Arial" w:hAnsi="Arial" w:cs="Arial"/>
        <w:sz w:val="16"/>
        <w:szCs w:val="16"/>
      </w:rPr>
      <w:t xml:space="preserve">Page </w:t>
    </w:r>
    <w:r w:rsidRPr="00935742">
      <w:rPr>
        <w:rFonts w:ascii="Arial" w:hAnsi="Arial" w:cs="Arial"/>
        <w:sz w:val="16"/>
        <w:szCs w:val="16"/>
      </w:rPr>
      <w:fldChar w:fldCharType="begin"/>
    </w:r>
    <w:r w:rsidRPr="00935742">
      <w:rPr>
        <w:rFonts w:ascii="Arial" w:hAnsi="Arial" w:cs="Arial"/>
        <w:sz w:val="16"/>
        <w:szCs w:val="16"/>
      </w:rPr>
      <w:instrText xml:space="preserve"> PAGE </w:instrText>
    </w:r>
    <w:r w:rsidRPr="00935742">
      <w:rPr>
        <w:rFonts w:ascii="Arial" w:hAnsi="Arial" w:cs="Arial"/>
        <w:sz w:val="16"/>
        <w:szCs w:val="16"/>
      </w:rPr>
      <w:fldChar w:fldCharType="separate"/>
    </w:r>
    <w:r w:rsidR="00F57F50">
      <w:rPr>
        <w:rFonts w:ascii="Arial" w:hAnsi="Arial" w:cs="Arial"/>
        <w:noProof/>
        <w:sz w:val="16"/>
        <w:szCs w:val="16"/>
      </w:rPr>
      <w:t>53</w:t>
    </w:r>
    <w:r w:rsidRPr="00935742">
      <w:rPr>
        <w:rFonts w:ascii="Arial" w:hAnsi="Arial" w:cs="Arial"/>
        <w:sz w:val="16"/>
        <w:szCs w:val="16"/>
      </w:rPr>
      <w:fldChar w:fldCharType="end"/>
    </w:r>
    <w:r w:rsidRPr="00935742">
      <w:rPr>
        <w:rFonts w:ascii="Arial" w:hAnsi="Arial" w:cs="Arial"/>
        <w:sz w:val="16"/>
        <w:szCs w:val="16"/>
      </w:rPr>
      <w:t xml:space="preserve"> of </w:t>
    </w:r>
    <w:r w:rsidRPr="002F4235">
      <w:rPr>
        <w:rStyle w:val="PageNumber"/>
        <w:rFonts w:ascii="Arial" w:hAnsi="Arial" w:cs="Arial"/>
        <w:sz w:val="16"/>
        <w:szCs w:val="16"/>
      </w:rPr>
      <w:fldChar w:fldCharType="begin"/>
    </w:r>
    <w:r w:rsidRPr="002F4235">
      <w:rPr>
        <w:rStyle w:val="PageNumber"/>
        <w:rFonts w:ascii="Arial" w:hAnsi="Arial" w:cs="Arial"/>
        <w:sz w:val="16"/>
        <w:szCs w:val="16"/>
      </w:rPr>
      <w:instrText xml:space="preserve"> NUMPAGES </w:instrText>
    </w:r>
    <w:r w:rsidRPr="002F4235">
      <w:rPr>
        <w:rStyle w:val="PageNumber"/>
        <w:rFonts w:ascii="Arial" w:hAnsi="Arial" w:cs="Arial"/>
        <w:sz w:val="16"/>
        <w:szCs w:val="16"/>
      </w:rPr>
      <w:fldChar w:fldCharType="separate"/>
    </w:r>
    <w:r w:rsidR="00F57F50">
      <w:rPr>
        <w:rStyle w:val="PageNumber"/>
        <w:rFonts w:ascii="Arial" w:hAnsi="Arial" w:cs="Arial"/>
        <w:noProof/>
        <w:sz w:val="16"/>
        <w:szCs w:val="16"/>
      </w:rPr>
      <w:t>53</w:t>
    </w:r>
    <w:r w:rsidRPr="002F4235">
      <w:rPr>
        <w:rStyle w:val="PageNumbe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060401" w14:textId="77777777" w:rsidR="00632864" w:rsidRDefault="00632864" w:rsidP="005F17C1">
    <w:pPr>
      <w:pStyle w:val="Footer"/>
      <w:pBdr>
        <w:top w:val="single" w:sz="4" w:space="0" w:color="auto"/>
      </w:pBdr>
      <w:ind w:right="360"/>
      <w:jc w:val="center"/>
      <w:rPr>
        <w:rFonts w:ascii="Arial" w:hAnsi="Arial" w:cs="Arial"/>
        <w:sz w:val="16"/>
        <w:szCs w:val="16"/>
      </w:rPr>
    </w:pPr>
    <w:r>
      <w:rPr>
        <w:rFonts w:ascii="Arial" w:hAnsi="Arial" w:cs="Arial"/>
        <w:sz w:val="16"/>
        <w:szCs w:val="16"/>
      </w:rPr>
      <w:t>© 2013 N</w:t>
    </w:r>
    <w:r w:rsidRPr="00935742">
      <w:rPr>
        <w:rFonts w:ascii="Arial" w:hAnsi="Arial" w:cs="Arial"/>
        <w:sz w:val="16"/>
        <w:szCs w:val="16"/>
      </w:rPr>
      <w:t>ational Marrow Donor Program</w:t>
    </w:r>
    <w:r w:rsidRPr="00935742">
      <w:rPr>
        <w:rFonts w:ascii="Arial" w:hAnsi="Arial" w:cs="Arial"/>
        <w:sz w:val="16"/>
        <w:szCs w:val="16"/>
        <w:vertAlign w:val="superscript"/>
      </w:rPr>
      <w:t xml:space="preserve"> ®</w:t>
    </w:r>
    <w:r w:rsidRPr="00935742">
      <w:rPr>
        <w:rFonts w:ascii="Arial" w:hAnsi="Arial" w:cs="Arial"/>
        <w:sz w:val="16"/>
        <w:szCs w:val="16"/>
      </w:rPr>
      <w:t xml:space="preserve"> and The Medical College of Wisconsin</w:t>
    </w:r>
  </w:p>
  <w:p w14:paraId="0ED49CE4" w14:textId="77777777" w:rsidR="00632864" w:rsidRPr="00935742" w:rsidRDefault="00632864" w:rsidP="005F17C1">
    <w:pPr>
      <w:pStyle w:val="Footer"/>
      <w:pBdr>
        <w:top w:val="single" w:sz="4" w:space="0" w:color="auto"/>
      </w:pBdr>
      <w:ind w:right="360"/>
      <w:jc w:val="center"/>
      <w:rPr>
        <w:rFonts w:ascii="Arial" w:hAnsi="Arial" w:cs="Arial"/>
        <w:b/>
        <w:sz w:val="16"/>
        <w:szCs w:val="16"/>
      </w:rPr>
    </w:pPr>
  </w:p>
  <w:p w14:paraId="0D939A7E" w14:textId="77777777" w:rsidR="00632864" w:rsidRPr="00935742" w:rsidRDefault="00632864" w:rsidP="005F17C1">
    <w:pPr>
      <w:pStyle w:val="Footer"/>
      <w:pBdr>
        <w:top w:val="single" w:sz="4" w:space="0" w:color="auto"/>
      </w:pBdr>
      <w:ind w:right="360"/>
      <w:rPr>
        <w:rFonts w:ascii="Arial" w:hAnsi="Arial" w:cs="Arial"/>
        <w:sz w:val="16"/>
        <w:szCs w:val="16"/>
      </w:rPr>
    </w:pPr>
    <w:r w:rsidRPr="00935742">
      <w:rPr>
        <w:rFonts w:ascii="Arial" w:hAnsi="Arial" w:cs="Arial"/>
        <w:b/>
        <w:sz w:val="16"/>
        <w:szCs w:val="16"/>
      </w:rPr>
      <w:t xml:space="preserve">Document Title: </w:t>
    </w:r>
    <w:r w:rsidRPr="00935742">
      <w:rPr>
        <w:rFonts w:ascii="Arial" w:hAnsi="Arial" w:cs="Arial"/>
        <w:sz w:val="16"/>
        <w:szCs w:val="16"/>
      </w:rPr>
      <w:t xml:space="preserve">CIBMTR Forms Manual: </w:t>
    </w:r>
    <w:r>
      <w:rPr>
        <w:rFonts w:ascii="Arial" w:hAnsi="Arial" w:cs="Arial"/>
        <w:sz w:val="16"/>
        <w:szCs w:val="16"/>
      </w:rPr>
      <w:t>Post-TED (Form2450)</w:t>
    </w:r>
  </w:p>
  <w:p w14:paraId="729A8812" w14:textId="77777777" w:rsidR="00632864" w:rsidRPr="00935742" w:rsidRDefault="00632864" w:rsidP="002F4235">
    <w:pPr>
      <w:pStyle w:val="Footer"/>
      <w:pBdr>
        <w:top w:val="single" w:sz="4" w:space="0" w:color="auto"/>
      </w:pBdr>
      <w:ind w:right="360"/>
      <w:rPr>
        <w:rFonts w:ascii="Arial" w:hAnsi="Arial" w:cs="Arial"/>
        <w:sz w:val="16"/>
        <w:szCs w:val="16"/>
      </w:rPr>
    </w:pPr>
    <w:r>
      <w:rPr>
        <w:rFonts w:ascii="Arial" w:hAnsi="Arial" w:cs="Arial"/>
        <w:sz w:val="16"/>
        <w:szCs w:val="16"/>
      </w:rPr>
      <w:t>V</w:t>
    </w:r>
    <w:r w:rsidRPr="00935742">
      <w:rPr>
        <w:rFonts w:ascii="Arial" w:hAnsi="Arial" w:cs="Arial"/>
        <w:sz w:val="16"/>
        <w:szCs w:val="16"/>
      </w:rPr>
      <w:t xml:space="preserve">ersion </w:t>
    </w:r>
    <w:r>
      <w:rPr>
        <w:rFonts w:ascii="Arial" w:hAnsi="Arial" w:cs="Arial"/>
        <w:sz w:val="16"/>
        <w:szCs w:val="16"/>
      </w:rPr>
      <w:t>2.5 (01/15/2015)</w:t>
    </w:r>
  </w:p>
  <w:p w14:paraId="2D631280" w14:textId="77777777" w:rsidR="00632864" w:rsidRDefault="00632864" w:rsidP="002F4235">
    <w:pPr>
      <w:pStyle w:val="Footer"/>
      <w:pBdr>
        <w:top w:val="single" w:sz="4" w:space="0" w:color="auto"/>
      </w:pBdr>
      <w:ind w:right="360"/>
    </w:pPr>
    <w:r w:rsidRPr="00935742">
      <w:rPr>
        <w:rFonts w:ascii="Arial" w:hAnsi="Arial" w:cs="Arial"/>
        <w:sz w:val="16"/>
        <w:szCs w:val="16"/>
      </w:rPr>
      <w:t xml:space="preserve">Page </w:t>
    </w:r>
    <w:r w:rsidRPr="00935742">
      <w:rPr>
        <w:rFonts w:ascii="Arial" w:hAnsi="Arial" w:cs="Arial"/>
        <w:sz w:val="16"/>
        <w:szCs w:val="16"/>
      </w:rPr>
      <w:fldChar w:fldCharType="begin"/>
    </w:r>
    <w:r w:rsidRPr="00935742">
      <w:rPr>
        <w:rFonts w:ascii="Arial" w:hAnsi="Arial" w:cs="Arial"/>
        <w:sz w:val="16"/>
        <w:szCs w:val="16"/>
      </w:rPr>
      <w:instrText xml:space="preserve"> PAGE </w:instrText>
    </w:r>
    <w:r w:rsidRPr="00935742">
      <w:rPr>
        <w:rFonts w:ascii="Arial" w:hAnsi="Arial" w:cs="Arial"/>
        <w:sz w:val="16"/>
        <w:szCs w:val="16"/>
      </w:rPr>
      <w:fldChar w:fldCharType="separate"/>
    </w:r>
    <w:r>
      <w:rPr>
        <w:rFonts w:ascii="Arial" w:hAnsi="Arial" w:cs="Arial"/>
        <w:noProof/>
        <w:sz w:val="16"/>
        <w:szCs w:val="16"/>
      </w:rPr>
      <w:t>1</w:t>
    </w:r>
    <w:r w:rsidRPr="00935742">
      <w:rPr>
        <w:rFonts w:ascii="Arial" w:hAnsi="Arial" w:cs="Arial"/>
        <w:sz w:val="16"/>
        <w:szCs w:val="16"/>
      </w:rPr>
      <w:fldChar w:fldCharType="end"/>
    </w:r>
    <w:r w:rsidRPr="00935742">
      <w:rPr>
        <w:rFonts w:ascii="Arial" w:hAnsi="Arial" w:cs="Arial"/>
        <w:sz w:val="16"/>
        <w:szCs w:val="16"/>
      </w:rPr>
      <w:t xml:space="preserve"> of </w:t>
    </w:r>
    <w:r w:rsidRPr="00935742">
      <w:rPr>
        <w:rStyle w:val="PageNumber"/>
        <w:sz w:val="16"/>
        <w:szCs w:val="16"/>
      </w:rPr>
      <w:fldChar w:fldCharType="begin"/>
    </w:r>
    <w:r w:rsidRPr="00935742">
      <w:rPr>
        <w:rStyle w:val="PageNumber"/>
        <w:sz w:val="16"/>
        <w:szCs w:val="16"/>
      </w:rPr>
      <w:instrText xml:space="preserve"> NUMPAGES </w:instrText>
    </w:r>
    <w:r w:rsidRPr="00935742">
      <w:rPr>
        <w:rStyle w:val="PageNumber"/>
        <w:sz w:val="16"/>
        <w:szCs w:val="16"/>
      </w:rPr>
      <w:fldChar w:fldCharType="separate"/>
    </w:r>
    <w:r>
      <w:rPr>
        <w:rStyle w:val="PageNumber"/>
        <w:noProof/>
        <w:sz w:val="16"/>
        <w:szCs w:val="16"/>
      </w:rPr>
      <w:t>51</w:t>
    </w:r>
    <w:r w:rsidRPr="00935742">
      <w:rPr>
        <w:rStyle w:val="PageNumbe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3B3B5E" w14:textId="77777777" w:rsidR="00632864" w:rsidRDefault="00632864" w:rsidP="00906D61">
      <w:r>
        <w:separator/>
      </w:r>
    </w:p>
  </w:footnote>
  <w:footnote w:type="continuationSeparator" w:id="0">
    <w:p w14:paraId="5715112C" w14:textId="77777777" w:rsidR="00632864" w:rsidRDefault="00632864" w:rsidP="00906D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ED0ACA" w14:textId="77777777" w:rsidR="00632864" w:rsidRDefault="00632864" w:rsidP="00906D61">
    <w:pPr>
      <w:pStyle w:val="Header"/>
      <w:jc w:val="right"/>
      <w:rPr>
        <w:rFonts w:ascii="Arial" w:hAnsi="Arial" w:cs="Arial"/>
        <w:sz w:val="20"/>
        <w:szCs w:val="20"/>
      </w:rPr>
    </w:pPr>
    <w:r>
      <w:rPr>
        <w:rFonts w:ascii="Arial" w:hAnsi="Arial" w:cs="Arial"/>
        <w:sz w:val="20"/>
        <w:szCs w:val="20"/>
      </w:rPr>
      <w:t>Instructions for Post-TED</w:t>
    </w:r>
  </w:p>
  <w:p w14:paraId="1BC3ACFE" w14:textId="77777777" w:rsidR="00632864" w:rsidRPr="001D48C9" w:rsidRDefault="00632864" w:rsidP="00906D61">
    <w:pPr>
      <w:pStyle w:val="Header"/>
      <w:pBdr>
        <w:bottom w:val="single" w:sz="4" w:space="0" w:color="auto"/>
      </w:pBdr>
      <w:jc w:val="right"/>
      <w:rPr>
        <w:rFonts w:ascii="Arial" w:hAnsi="Arial" w:cs="Arial"/>
        <w:sz w:val="20"/>
        <w:szCs w:val="20"/>
      </w:rPr>
    </w:pPr>
    <w:r w:rsidRPr="001D48C9">
      <w:rPr>
        <w:rFonts w:ascii="Arial" w:hAnsi="Arial" w:cs="Arial"/>
        <w:sz w:val="20"/>
        <w:szCs w:val="20"/>
      </w:rPr>
      <w:t>CIBMTR Fo</w:t>
    </w:r>
    <w:r>
      <w:rPr>
        <w:rFonts w:ascii="Arial" w:hAnsi="Arial" w:cs="Arial"/>
        <w:sz w:val="20"/>
        <w:szCs w:val="20"/>
      </w:rPr>
      <w:t>rm</w:t>
    </w:r>
    <w:r w:rsidRPr="001D48C9">
      <w:rPr>
        <w:rFonts w:ascii="Arial" w:hAnsi="Arial" w:cs="Arial"/>
        <w:sz w:val="20"/>
        <w:szCs w:val="20"/>
      </w:rPr>
      <w:t xml:space="preserve"> 24</w:t>
    </w:r>
    <w:r>
      <w:rPr>
        <w:rFonts w:ascii="Arial" w:hAnsi="Arial" w:cs="Arial"/>
        <w:sz w:val="20"/>
        <w:szCs w:val="20"/>
      </w:rPr>
      <w:t>50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07373"/>
    <w:multiLevelType w:val="hybridMultilevel"/>
    <w:tmpl w:val="35D805D2"/>
    <w:lvl w:ilvl="0" w:tplc="81C87094">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nsid w:val="08235B47"/>
    <w:multiLevelType w:val="hybridMultilevel"/>
    <w:tmpl w:val="BB0A1476"/>
    <w:lvl w:ilvl="0" w:tplc="0409000F">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BF01A12"/>
    <w:multiLevelType w:val="hybridMultilevel"/>
    <w:tmpl w:val="C526FA6C"/>
    <w:lvl w:ilvl="0" w:tplc="541C133A">
      <w:start w:val="1"/>
      <w:numFmt w:val="bullet"/>
      <w:lvlText w:val=""/>
      <w:lvlJc w:val="left"/>
      <w:pPr>
        <w:tabs>
          <w:tab w:val="num" w:pos="1008"/>
        </w:tabs>
        <w:ind w:left="1008" w:hanging="288"/>
      </w:pPr>
      <w:rPr>
        <w:rFonts w:ascii="Symbol" w:hAnsi="Symbol" w:hint="default"/>
        <w:sz w:val="24"/>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3376F4"/>
    <w:multiLevelType w:val="hybridMultilevel"/>
    <w:tmpl w:val="A2FE5AF6"/>
    <w:lvl w:ilvl="0" w:tplc="51C0BDC2">
      <w:start w:val="1"/>
      <w:numFmt w:val="bullet"/>
      <w:lvlText w:val=""/>
      <w:lvlJc w:val="left"/>
      <w:pPr>
        <w:tabs>
          <w:tab w:val="num" w:pos="864"/>
        </w:tabs>
        <w:ind w:left="864" w:hanging="144"/>
      </w:pPr>
      <w:rPr>
        <w:rFonts w:ascii="Symbol" w:hAnsi="Symbol" w:hint="default"/>
        <w:sz w:val="18"/>
        <w:szCs w:val="18"/>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nsid w:val="123C3854"/>
    <w:multiLevelType w:val="hybridMultilevel"/>
    <w:tmpl w:val="4AFC1D7C"/>
    <w:lvl w:ilvl="0" w:tplc="541C133A">
      <w:start w:val="1"/>
      <w:numFmt w:val="bullet"/>
      <w:lvlText w:val=""/>
      <w:lvlJc w:val="left"/>
      <w:pPr>
        <w:tabs>
          <w:tab w:val="num" w:pos="1008"/>
        </w:tabs>
        <w:ind w:left="1008" w:hanging="288"/>
      </w:pPr>
      <w:rPr>
        <w:rFonts w:ascii="Symbol" w:hAnsi="Symbol" w:hint="default"/>
        <w:sz w:val="24"/>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55C210B"/>
    <w:multiLevelType w:val="hybridMultilevel"/>
    <w:tmpl w:val="92C8AC50"/>
    <w:lvl w:ilvl="0" w:tplc="0409000F">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16B7287C"/>
    <w:multiLevelType w:val="hybridMultilevel"/>
    <w:tmpl w:val="940868A8"/>
    <w:lvl w:ilvl="0" w:tplc="BA18A9CC">
      <w:start w:val="19"/>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F4163F"/>
    <w:multiLevelType w:val="hybridMultilevel"/>
    <w:tmpl w:val="1E38BA68"/>
    <w:lvl w:ilvl="0" w:tplc="E9CA7EEC">
      <w:start w:val="1"/>
      <w:numFmt w:val="bullet"/>
      <w:lvlText w:val=""/>
      <w:lvlJc w:val="left"/>
      <w:pPr>
        <w:tabs>
          <w:tab w:val="num" w:pos="2016"/>
        </w:tabs>
        <w:ind w:left="2016" w:hanging="216"/>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D190257"/>
    <w:multiLevelType w:val="hybridMultilevel"/>
    <w:tmpl w:val="C69CF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1D3FD8"/>
    <w:multiLevelType w:val="hybridMultilevel"/>
    <w:tmpl w:val="0A269F78"/>
    <w:lvl w:ilvl="0" w:tplc="0DB8A5C6">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5F15273"/>
    <w:multiLevelType w:val="hybridMultilevel"/>
    <w:tmpl w:val="7610A616"/>
    <w:lvl w:ilvl="0" w:tplc="7460F81C">
      <w:start w:val="1"/>
      <w:numFmt w:val="bullet"/>
      <w:lvlText w:val=""/>
      <w:lvlJc w:val="left"/>
      <w:pPr>
        <w:tabs>
          <w:tab w:val="num" w:pos="792"/>
        </w:tabs>
        <w:ind w:left="792" w:hanging="216"/>
      </w:pPr>
      <w:rPr>
        <w:rFonts w:ascii="Symbol" w:hAnsi="Symbol" w:hint="default"/>
        <w:sz w:val="16"/>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E9CA7EEC">
      <w:start w:val="1"/>
      <w:numFmt w:val="bullet"/>
      <w:lvlText w:val=""/>
      <w:lvlJc w:val="left"/>
      <w:pPr>
        <w:tabs>
          <w:tab w:val="num" w:pos="2016"/>
        </w:tabs>
        <w:ind w:left="2016" w:hanging="216"/>
      </w:pPr>
      <w:rPr>
        <w:rFonts w:ascii="Symbol" w:hAnsi="Symbol" w:hint="default"/>
        <w:sz w:val="16"/>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1">
    <w:nsid w:val="28C959C4"/>
    <w:multiLevelType w:val="hybridMultilevel"/>
    <w:tmpl w:val="DF9287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6B1740"/>
    <w:multiLevelType w:val="hybridMultilevel"/>
    <w:tmpl w:val="166805D0"/>
    <w:lvl w:ilvl="0" w:tplc="35741D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EBC2580"/>
    <w:multiLevelType w:val="hybridMultilevel"/>
    <w:tmpl w:val="E92262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2E5A18"/>
    <w:multiLevelType w:val="hybridMultilevel"/>
    <w:tmpl w:val="3C363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1A7E6B"/>
    <w:multiLevelType w:val="hybridMultilevel"/>
    <w:tmpl w:val="601C7224"/>
    <w:lvl w:ilvl="0" w:tplc="658C4766">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1A473C6"/>
    <w:multiLevelType w:val="hybridMultilevel"/>
    <w:tmpl w:val="98E07278"/>
    <w:lvl w:ilvl="0" w:tplc="BA549A9A">
      <w:start w:val="1"/>
      <w:numFmt w:val="bullet"/>
      <w:lvlText w:val=""/>
      <w:lvlJc w:val="left"/>
      <w:pPr>
        <w:ind w:left="720" w:hanging="360"/>
      </w:pPr>
      <w:rPr>
        <w:rFonts w:ascii="Symbol" w:hAnsi="Symbol" w:hint="default"/>
        <w:sz w:val="24"/>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092475"/>
    <w:multiLevelType w:val="hybridMultilevel"/>
    <w:tmpl w:val="C7C08ED8"/>
    <w:lvl w:ilvl="0" w:tplc="E9CA7EEC">
      <w:start w:val="1"/>
      <w:numFmt w:val="bullet"/>
      <w:lvlText w:val=""/>
      <w:lvlJc w:val="left"/>
      <w:pPr>
        <w:tabs>
          <w:tab w:val="num" w:pos="2736"/>
        </w:tabs>
        <w:ind w:left="2736" w:hanging="216"/>
      </w:pPr>
      <w:rPr>
        <w:rFonts w:ascii="Symbol" w:hAnsi="Symbol" w:hint="default"/>
        <w:sz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E9CA7EEC">
      <w:start w:val="1"/>
      <w:numFmt w:val="bullet"/>
      <w:lvlText w:val=""/>
      <w:lvlJc w:val="left"/>
      <w:pPr>
        <w:tabs>
          <w:tab w:val="num" w:pos="2016"/>
        </w:tabs>
        <w:ind w:left="2016" w:hanging="216"/>
      </w:pPr>
      <w:rPr>
        <w:rFonts w:ascii="Symbol" w:hAnsi="Symbol" w:hint="default"/>
        <w:sz w:val="16"/>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503E0EBC"/>
    <w:multiLevelType w:val="hybridMultilevel"/>
    <w:tmpl w:val="F856B90C"/>
    <w:lvl w:ilvl="0" w:tplc="04090015">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8BC6823"/>
    <w:multiLevelType w:val="hybridMultilevel"/>
    <w:tmpl w:val="BE7C5120"/>
    <w:lvl w:ilvl="0" w:tplc="E9CA7EEC">
      <w:start w:val="1"/>
      <w:numFmt w:val="bullet"/>
      <w:lvlText w:val=""/>
      <w:lvlJc w:val="left"/>
      <w:pPr>
        <w:tabs>
          <w:tab w:val="num" w:pos="-2088"/>
        </w:tabs>
        <w:ind w:left="-2088" w:hanging="216"/>
      </w:pPr>
      <w:rPr>
        <w:rFonts w:ascii="Symbol" w:hAnsi="Symbol" w:hint="default"/>
        <w:sz w:val="16"/>
      </w:rPr>
    </w:lvl>
    <w:lvl w:ilvl="1" w:tplc="04090003">
      <w:start w:val="1"/>
      <w:numFmt w:val="bullet"/>
      <w:lvlText w:val="o"/>
      <w:lvlJc w:val="left"/>
      <w:pPr>
        <w:tabs>
          <w:tab w:val="num" w:pos="-2664"/>
        </w:tabs>
        <w:ind w:left="-2664" w:hanging="360"/>
      </w:pPr>
      <w:rPr>
        <w:rFonts w:ascii="Courier New" w:hAnsi="Courier New" w:cs="Courier New" w:hint="default"/>
      </w:rPr>
    </w:lvl>
    <w:lvl w:ilvl="2" w:tplc="04090005">
      <w:start w:val="1"/>
      <w:numFmt w:val="bullet"/>
      <w:lvlText w:val=""/>
      <w:lvlJc w:val="left"/>
      <w:pPr>
        <w:tabs>
          <w:tab w:val="num" w:pos="-1944"/>
        </w:tabs>
        <w:ind w:left="-1944" w:hanging="360"/>
      </w:pPr>
      <w:rPr>
        <w:rFonts w:ascii="Wingdings" w:hAnsi="Wingdings" w:hint="default"/>
      </w:rPr>
    </w:lvl>
    <w:lvl w:ilvl="3" w:tplc="04090001">
      <w:start w:val="1"/>
      <w:numFmt w:val="bullet"/>
      <w:lvlText w:val=""/>
      <w:lvlJc w:val="left"/>
      <w:pPr>
        <w:tabs>
          <w:tab w:val="num" w:pos="-1224"/>
        </w:tabs>
        <w:ind w:left="-1224" w:hanging="360"/>
      </w:pPr>
      <w:rPr>
        <w:rFonts w:ascii="Symbol" w:hAnsi="Symbol" w:hint="default"/>
      </w:rPr>
    </w:lvl>
    <w:lvl w:ilvl="4" w:tplc="04090003">
      <w:start w:val="1"/>
      <w:numFmt w:val="bullet"/>
      <w:lvlText w:val="o"/>
      <w:lvlJc w:val="left"/>
      <w:pPr>
        <w:tabs>
          <w:tab w:val="num" w:pos="-504"/>
        </w:tabs>
        <w:ind w:left="-504" w:hanging="360"/>
      </w:pPr>
      <w:rPr>
        <w:rFonts w:ascii="Courier New" w:hAnsi="Courier New" w:cs="Courier New" w:hint="default"/>
      </w:rPr>
    </w:lvl>
    <w:lvl w:ilvl="5" w:tplc="04090005">
      <w:start w:val="1"/>
      <w:numFmt w:val="bullet"/>
      <w:lvlText w:val=""/>
      <w:lvlJc w:val="left"/>
      <w:pPr>
        <w:tabs>
          <w:tab w:val="num" w:pos="216"/>
        </w:tabs>
        <w:ind w:left="216" w:hanging="360"/>
      </w:pPr>
      <w:rPr>
        <w:rFonts w:ascii="Wingdings" w:hAnsi="Wingdings" w:hint="default"/>
      </w:rPr>
    </w:lvl>
    <w:lvl w:ilvl="6" w:tplc="04090001">
      <w:start w:val="1"/>
      <w:numFmt w:val="bullet"/>
      <w:lvlText w:val=""/>
      <w:lvlJc w:val="left"/>
      <w:pPr>
        <w:tabs>
          <w:tab w:val="num" w:pos="936"/>
        </w:tabs>
        <w:ind w:left="936" w:hanging="360"/>
      </w:pPr>
      <w:rPr>
        <w:rFonts w:ascii="Symbol" w:hAnsi="Symbol" w:hint="default"/>
      </w:rPr>
    </w:lvl>
    <w:lvl w:ilvl="7" w:tplc="04090003" w:tentative="1">
      <w:start w:val="1"/>
      <w:numFmt w:val="bullet"/>
      <w:lvlText w:val="o"/>
      <w:lvlJc w:val="left"/>
      <w:pPr>
        <w:tabs>
          <w:tab w:val="num" w:pos="1656"/>
        </w:tabs>
        <w:ind w:left="1656" w:hanging="360"/>
      </w:pPr>
      <w:rPr>
        <w:rFonts w:ascii="Courier New" w:hAnsi="Courier New" w:cs="Courier New" w:hint="default"/>
      </w:rPr>
    </w:lvl>
    <w:lvl w:ilvl="8" w:tplc="04090005" w:tentative="1">
      <w:start w:val="1"/>
      <w:numFmt w:val="bullet"/>
      <w:lvlText w:val=""/>
      <w:lvlJc w:val="left"/>
      <w:pPr>
        <w:tabs>
          <w:tab w:val="num" w:pos="2376"/>
        </w:tabs>
        <w:ind w:left="2376" w:hanging="360"/>
      </w:pPr>
      <w:rPr>
        <w:rFonts w:ascii="Wingdings" w:hAnsi="Wingdings" w:hint="default"/>
      </w:rPr>
    </w:lvl>
  </w:abstractNum>
  <w:abstractNum w:abstractNumId="20">
    <w:nsid w:val="5A1A4E8C"/>
    <w:multiLevelType w:val="hybridMultilevel"/>
    <w:tmpl w:val="498CD6C4"/>
    <w:lvl w:ilvl="0" w:tplc="2216F69C">
      <w:start w:val="19"/>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A995884"/>
    <w:multiLevelType w:val="hybridMultilevel"/>
    <w:tmpl w:val="A08A7DC8"/>
    <w:lvl w:ilvl="0" w:tplc="E9CA7EEC">
      <w:start w:val="1"/>
      <w:numFmt w:val="bullet"/>
      <w:lvlText w:val=""/>
      <w:lvlJc w:val="left"/>
      <w:pPr>
        <w:tabs>
          <w:tab w:val="num" w:pos="2016"/>
        </w:tabs>
        <w:ind w:left="2016" w:hanging="216"/>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CE22282"/>
    <w:multiLevelType w:val="hybridMultilevel"/>
    <w:tmpl w:val="0756B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8D44FBA"/>
    <w:multiLevelType w:val="hybridMultilevel"/>
    <w:tmpl w:val="B00419B8"/>
    <w:lvl w:ilvl="0" w:tplc="541C133A">
      <w:start w:val="1"/>
      <w:numFmt w:val="bullet"/>
      <w:lvlText w:val=""/>
      <w:lvlJc w:val="left"/>
      <w:pPr>
        <w:tabs>
          <w:tab w:val="num" w:pos="1008"/>
        </w:tabs>
        <w:ind w:left="1008" w:hanging="288"/>
      </w:pPr>
      <w:rPr>
        <w:rFonts w:ascii="Symbol" w:hAnsi="Symbol" w:hint="default"/>
        <w:sz w:val="24"/>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C930D07"/>
    <w:multiLevelType w:val="hybridMultilevel"/>
    <w:tmpl w:val="DAB4D454"/>
    <w:lvl w:ilvl="0" w:tplc="541C133A">
      <w:start w:val="1"/>
      <w:numFmt w:val="bullet"/>
      <w:lvlText w:val=""/>
      <w:lvlJc w:val="left"/>
      <w:pPr>
        <w:tabs>
          <w:tab w:val="num" w:pos="1008"/>
        </w:tabs>
        <w:ind w:left="1008" w:hanging="288"/>
      </w:pPr>
      <w:rPr>
        <w:rFonts w:ascii="Symbol" w:hAnsi="Symbol" w:hint="default"/>
        <w:sz w:val="24"/>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8373402"/>
    <w:multiLevelType w:val="multilevel"/>
    <w:tmpl w:val="CAC0B7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7899490A"/>
    <w:multiLevelType w:val="hybridMultilevel"/>
    <w:tmpl w:val="8668C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7"/>
  </w:num>
  <w:num w:numId="3">
    <w:abstractNumId w:val="3"/>
  </w:num>
  <w:num w:numId="4">
    <w:abstractNumId w:val="10"/>
  </w:num>
  <w:num w:numId="5">
    <w:abstractNumId w:val="0"/>
  </w:num>
  <w:num w:numId="6">
    <w:abstractNumId w:val="5"/>
  </w:num>
  <w:num w:numId="7">
    <w:abstractNumId w:val="23"/>
  </w:num>
  <w:num w:numId="8">
    <w:abstractNumId w:val="24"/>
  </w:num>
  <w:num w:numId="9">
    <w:abstractNumId w:val="2"/>
  </w:num>
  <w:num w:numId="10">
    <w:abstractNumId w:val="17"/>
  </w:num>
  <w:num w:numId="11">
    <w:abstractNumId w:val="21"/>
  </w:num>
  <w:num w:numId="12">
    <w:abstractNumId w:val="4"/>
  </w:num>
  <w:num w:numId="13">
    <w:abstractNumId w:val="11"/>
  </w:num>
  <w:num w:numId="14">
    <w:abstractNumId w:val="12"/>
  </w:num>
  <w:num w:numId="15">
    <w:abstractNumId w:val="18"/>
  </w:num>
  <w:num w:numId="16">
    <w:abstractNumId w:val="16"/>
  </w:num>
  <w:num w:numId="1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9"/>
  </w:num>
  <w:num w:numId="20">
    <w:abstractNumId w:val="1"/>
  </w:num>
  <w:num w:numId="21">
    <w:abstractNumId w:val="15"/>
  </w:num>
  <w:num w:numId="22">
    <w:abstractNumId w:val="20"/>
  </w:num>
  <w:num w:numId="23">
    <w:abstractNumId w:val="6"/>
  </w:num>
  <w:num w:numId="24">
    <w:abstractNumId w:val="13"/>
  </w:num>
  <w:num w:numId="25">
    <w:abstractNumId w:val="14"/>
  </w:num>
  <w:num w:numId="26">
    <w:abstractNumId w:val="26"/>
  </w:num>
  <w:num w:numId="27">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lliam Affield">
    <w15:presenceInfo w15:providerId="AD" w15:userId="S-1-5-21-1485032252-1053319084-924866336-46346"/>
  </w15:person>
  <w15:person w15:author="Catherine Newcomb">
    <w15:presenceInfo w15:providerId="AD" w15:userId="S-1-5-21-1485032252-1053319084-924866336-440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3E1"/>
    <w:rsid w:val="00000BAA"/>
    <w:rsid w:val="00003917"/>
    <w:rsid w:val="00005000"/>
    <w:rsid w:val="00006B56"/>
    <w:rsid w:val="00010127"/>
    <w:rsid w:val="00010B0C"/>
    <w:rsid w:val="00011F21"/>
    <w:rsid w:val="0001647A"/>
    <w:rsid w:val="00017A28"/>
    <w:rsid w:val="00017D25"/>
    <w:rsid w:val="00020AFC"/>
    <w:rsid w:val="000217E1"/>
    <w:rsid w:val="00024FE4"/>
    <w:rsid w:val="00025519"/>
    <w:rsid w:val="00026044"/>
    <w:rsid w:val="00026E0C"/>
    <w:rsid w:val="00030138"/>
    <w:rsid w:val="0003055D"/>
    <w:rsid w:val="00031B36"/>
    <w:rsid w:val="00031CF4"/>
    <w:rsid w:val="00034B38"/>
    <w:rsid w:val="000353AC"/>
    <w:rsid w:val="0003776D"/>
    <w:rsid w:val="00037A09"/>
    <w:rsid w:val="0004113F"/>
    <w:rsid w:val="00041862"/>
    <w:rsid w:val="00041A51"/>
    <w:rsid w:val="00042236"/>
    <w:rsid w:val="00043CAB"/>
    <w:rsid w:val="00046297"/>
    <w:rsid w:val="00051092"/>
    <w:rsid w:val="0005158A"/>
    <w:rsid w:val="00051AA0"/>
    <w:rsid w:val="000525F6"/>
    <w:rsid w:val="00052BA0"/>
    <w:rsid w:val="00053396"/>
    <w:rsid w:val="00056BCD"/>
    <w:rsid w:val="00057197"/>
    <w:rsid w:val="00057589"/>
    <w:rsid w:val="00061345"/>
    <w:rsid w:val="00061DD6"/>
    <w:rsid w:val="00063697"/>
    <w:rsid w:val="00074349"/>
    <w:rsid w:val="00077150"/>
    <w:rsid w:val="00077B6E"/>
    <w:rsid w:val="00080875"/>
    <w:rsid w:val="00080D29"/>
    <w:rsid w:val="00083211"/>
    <w:rsid w:val="0008495D"/>
    <w:rsid w:val="00084B42"/>
    <w:rsid w:val="000860B5"/>
    <w:rsid w:val="00091632"/>
    <w:rsid w:val="00094172"/>
    <w:rsid w:val="00094CB3"/>
    <w:rsid w:val="00094F2C"/>
    <w:rsid w:val="00095E40"/>
    <w:rsid w:val="00096E42"/>
    <w:rsid w:val="000A0A6A"/>
    <w:rsid w:val="000A0D46"/>
    <w:rsid w:val="000A70E6"/>
    <w:rsid w:val="000A7999"/>
    <w:rsid w:val="000B10AD"/>
    <w:rsid w:val="000B1EC2"/>
    <w:rsid w:val="000B4994"/>
    <w:rsid w:val="000B6222"/>
    <w:rsid w:val="000B759C"/>
    <w:rsid w:val="000C1A1A"/>
    <w:rsid w:val="000C1B5F"/>
    <w:rsid w:val="000C23C6"/>
    <w:rsid w:val="000C24D9"/>
    <w:rsid w:val="000C4290"/>
    <w:rsid w:val="000C49AE"/>
    <w:rsid w:val="000C676F"/>
    <w:rsid w:val="000D1302"/>
    <w:rsid w:val="000D212E"/>
    <w:rsid w:val="000D2488"/>
    <w:rsid w:val="000D2750"/>
    <w:rsid w:val="000D40A6"/>
    <w:rsid w:val="000D49D0"/>
    <w:rsid w:val="000D4CB5"/>
    <w:rsid w:val="000D52F7"/>
    <w:rsid w:val="000D652D"/>
    <w:rsid w:val="000D77F5"/>
    <w:rsid w:val="000D792E"/>
    <w:rsid w:val="000D7F29"/>
    <w:rsid w:val="000E2ACC"/>
    <w:rsid w:val="000E2E2C"/>
    <w:rsid w:val="000E3518"/>
    <w:rsid w:val="000E3CFC"/>
    <w:rsid w:val="000E4564"/>
    <w:rsid w:val="000E7CF0"/>
    <w:rsid w:val="000F0CC8"/>
    <w:rsid w:val="000F4134"/>
    <w:rsid w:val="000F4814"/>
    <w:rsid w:val="000F4B8F"/>
    <w:rsid w:val="000F7076"/>
    <w:rsid w:val="0010049F"/>
    <w:rsid w:val="00101B4B"/>
    <w:rsid w:val="00101B98"/>
    <w:rsid w:val="00102001"/>
    <w:rsid w:val="00102132"/>
    <w:rsid w:val="00102D1A"/>
    <w:rsid w:val="00102E0F"/>
    <w:rsid w:val="001034FF"/>
    <w:rsid w:val="0010464C"/>
    <w:rsid w:val="001067D0"/>
    <w:rsid w:val="00107931"/>
    <w:rsid w:val="001136D9"/>
    <w:rsid w:val="00114C8F"/>
    <w:rsid w:val="00114D4A"/>
    <w:rsid w:val="00116EAD"/>
    <w:rsid w:val="0012187D"/>
    <w:rsid w:val="00121CF0"/>
    <w:rsid w:val="00126817"/>
    <w:rsid w:val="0012695B"/>
    <w:rsid w:val="00127813"/>
    <w:rsid w:val="0013158D"/>
    <w:rsid w:val="00136238"/>
    <w:rsid w:val="00137E0E"/>
    <w:rsid w:val="001413D2"/>
    <w:rsid w:val="00143B43"/>
    <w:rsid w:val="001458EE"/>
    <w:rsid w:val="0014618D"/>
    <w:rsid w:val="00150627"/>
    <w:rsid w:val="0015167F"/>
    <w:rsid w:val="00151CA8"/>
    <w:rsid w:val="00153371"/>
    <w:rsid w:val="001534B7"/>
    <w:rsid w:val="00153924"/>
    <w:rsid w:val="00153FFC"/>
    <w:rsid w:val="001560D8"/>
    <w:rsid w:val="001565A6"/>
    <w:rsid w:val="001608B8"/>
    <w:rsid w:val="00162FB6"/>
    <w:rsid w:val="001712EC"/>
    <w:rsid w:val="00173309"/>
    <w:rsid w:val="001746AB"/>
    <w:rsid w:val="00176BE9"/>
    <w:rsid w:val="00180140"/>
    <w:rsid w:val="00182221"/>
    <w:rsid w:val="00182270"/>
    <w:rsid w:val="001828B9"/>
    <w:rsid w:val="00184337"/>
    <w:rsid w:val="00185ADC"/>
    <w:rsid w:val="001865EF"/>
    <w:rsid w:val="00187638"/>
    <w:rsid w:val="0019030D"/>
    <w:rsid w:val="001931E1"/>
    <w:rsid w:val="00193DDC"/>
    <w:rsid w:val="00196680"/>
    <w:rsid w:val="00196760"/>
    <w:rsid w:val="00197865"/>
    <w:rsid w:val="001978E5"/>
    <w:rsid w:val="001A4197"/>
    <w:rsid w:val="001A7266"/>
    <w:rsid w:val="001A770E"/>
    <w:rsid w:val="001A7E0E"/>
    <w:rsid w:val="001B07FA"/>
    <w:rsid w:val="001B28E7"/>
    <w:rsid w:val="001B42A4"/>
    <w:rsid w:val="001B5A7C"/>
    <w:rsid w:val="001B62A6"/>
    <w:rsid w:val="001C45A7"/>
    <w:rsid w:val="001C4D11"/>
    <w:rsid w:val="001C60E8"/>
    <w:rsid w:val="001C63D9"/>
    <w:rsid w:val="001C68AD"/>
    <w:rsid w:val="001D0381"/>
    <w:rsid w:val="001D1601"/>
    <w:rsid w:val="001D28B0"/>
    <w:rsid w:val="001D32FF"/>
    <w:rsid w:val="001D45B4"/>
    <w:rsid w:val="001D568A"/>
    <w:rsid w:val="001E282E"/>
    <w:rsid w:val="001E5CA7"/>
    <w:rsid w:val="001F09D8"/>
    <w:rsid w:val="001F388D"/>
    <w:rsid w:val="001F4FB0"/>
    <w:rsid w:val="001F77BE"/>
    <w:rsid w:val="00203F00"/>
    <w:rsid w:val="00204FC9"/>
    <w:rsid w:val="0020724A"/>
    <w:rsid w:val="0021024E"/>
    <w:rsid w:val="002107F5"/>
    <w:rsid w:val="00210E14"/>
    <w:rsid w:val="002127FD"/>
    <w:rsid w:val="0021280A"/>
    <w:rsid w:val="0022167C"/>
    <w:rsid w:val="002220DB"/>
    <w:rsid w:val="0022218F"/>
    <w:rsid w:val="00223C6D"/>
    <w:rsid w:val="00224C75"/>
    <w:rsid w:val="00225024"/>
    <w:rsid w:val="00226A54"/>
    <w:rsid w:val="00232BF9"/>
    <w:rsid w:val="002360EE"/>
    <w:rsid w:val="00236923"/>
    <w:rsid w:val="002375BC"/>
    <w:rsid w:val="00240CA9"/>
    <w:rsid w:val="00242C10"/>
    <w:rsid w:val="00246133"/>
    <w:rsid w:val="00246A66"/>
    <w:rsid w:val="00247E31"/>
    <w:rsid w:val="002505C7"/>
    <w:rsid w:val="002506A1"/>
    <w:rsid w:val="00254985"/>
    <w:rsid w:val="00256E76"/>
    <w:rsid w:val="0026309F"/>
    <w:rsid w:val="002669E7"/>
    <w:rsid w:val="0027027A"/>
    <w:rsid w:val="00270BF8"/>
    <w:rsid w:val="0027741F"/>
    <w:rsid w:val="002802E8"/>
    <w:rsid w:val="00283C54"/>
    <w:rsid w:val="00284994"/>
    <w:rsid w:val="0029205D"/>
    <w:rsid w:val="00292E0E"/>
    <w:rsid w:val="00294500"/>
    <w:rsid w:val="00294CF8"/>
    <w:rsid w:val="00296AB4"/>
    <w:rsid w:val="002971E2"/>
    <w:rsid w:val="00297F3E"/>
    <w:rsid w:val="002A00B7"/>
    <w:rsid w:val="002A1CE5"/>
    <w:rsid w:val="002A2521"/>
    <w:rsid w:val="002A34BD"/>
    <w:rsid w:val="002A4692"/>
    <w:rsid w:val="002A6B2D"/>
    <w:rsid w:val="002B131A"/>
    <w:rsid w:val="002B148C"/>
    <w:rsid w:val="002B34AE"/>
    <w:rsid w:val="002B4208"/>
    <w:rsid w:val="002B7334"/>
    <w:rsid w:val="002C09CF"/>
    <w:rsid w:val="002C09E5"/>
    <w:rsid w:val="002C0ECA"/>
    <w:rsid w:val="002C23AE"/>
    <w:rsid w:val="002C3509"/>
    <w:rsid w:val="002C3FD7"/>
    <w:rsid w:val="002C4D3C"/>
    <w:rsid w:val="002C5F8E"/>
    <w:rsid w:val="002C626D"/>
    <w:rsid w:val="002C6802"/>
    <w:rsid w:val="002C7733"/>
    <w:rsid w:val="002D024A"/>
    <w:rsid w:val="002D0731"/>
    <w:rsid w:val="002D367F"/>
    <w:rsid w:val="002D3CD1"/>
    <w:rsid w:val="002D545E"/>
    <w:rsid w:val="002D5798"/>
    <w:rsid w:val="002D6C1D"/>
    <w:rsid w:val="002D71BB"/>
    <w:rsid w:val="002E1FAE"/>
    <w:rsid w:val="002E47F8"/>
    <w:rsid w:val="002E5D5D"/>
    <w:rsid w:val="002E5F13"/>
    <w:rsid w:val="002E6004"/>
    <w:rsid w:val="002E7919"/>
    <w:rsid w:val="002F2AD0"/>
    <w:rsid w:val="002F2B90"/>
    <w:rsid w:val="002F4235"/>
    <w:rsid w:val="002F47D8"/>
    <w:rsid w:val="002F4B73"/>
    <w:rsid w:val="002F60CA"/>
    <w:rsid w:val="003007C4"/>
    <w:rsid w:val="00304555"/>
    <w:rsid w:val="003078DD"/>
    <w:rsid w:val="00307B3C"/>
    <w:rsid w:val="0031062F"/>
    <w:rsid w:val="00312461"/>
    <w:rsid w:val="003210DF"/>
    <w:rsid w:val="003215D0"/>
    <w:rsid w:val="0032191B"/>
    <w:rsid w:val="0032570C"/>
    <w:rsid w:val="00330AA5"/>
    <w:rsid w:val="003319D0"/>
    <w:rsid w:val="00333BE5"/>
    <w:rsid w:val="0033427A"/>
    <w:rsid w:val="00337399"/>
    <w:rsid w:val="00342A0E"/>
    <w:rsid w:val="003441AD"/>
    <w:rsid w:val="003458C1"/>
    <w:rsid w:val="00345D0C"/>
    <w:rsid w:val="00346BBD"/>
    <w:rsid w:val="00352DA4"/>
    <w:rsid w:val="00355FC9"/>
    <w:rsid w:val="00356182"/>
    <w:rsid w:val="003576F7"/>
    <w:rsid w:val="003601EF"/>
    <w:rsid w:val="00362CBA"/>
    <w:rsid w:val="003649F6"/>
    <w:rsid w:val="00367057"/>
    <w:rsid w:val="00367606"/>
    <w:rsid w:val="00367EFA"/>
    <w:rsid w:val="003732B5"/>
    <w:rsid w:val="00375F05"/>
    <w:rsid w:val="00381204"/>
    <w:rsid w:val="003842A0"/>
    <w:rsid w:val="00384D0E"/>
    <w:rsid w:val="00385167"/>
    <w:rsid w:val="00385630"/>
    <w:rsid w:val="00391F0C"/>
    <w:rsid w:val="0039394E"/>
    <w:rsid w:val="00393F33"/>
    <w:rsid w:val="00393FDA"/>
    <w:rsid w:val="00395C0E"/>
    <w:rsid w:val="00397DFF"/>
    <w:rsid w:val="003A177A"/>
    <w:rsid w:val="003A3B81"/>
    <w:rsid w:val="003A58FE"/>
    <w:rsid w:val="003A67AB"/>
    <w:rsid w:val="003B1B40"/>
    <w:rsid w:val="003B2BE0"/>
    <w:rsid w:val="003B390D"/>
    <w:rsid w:val="003B6F25"/>
    <w:rsid w:val="003C256F"/>
    <w:rsid w:val="003C61A3"/>
    <w:rsid w:val="003D2EFD"/>
    <w:rsid w:val="003D46BB"/>
    <w:rsid w:val="003D4FAE"/>
    <w:rsid w:val="003D7321"/>
    <w:rsid w:val="003D7898"/>
    <w:rsid w:val="003E04D3"/>
    <w:rsid w:val="003E3B23"/>
    <w:rsid w:val="003E45C8"/>
    <w:rsid w:val="003E6B97"/>
    <w:rsid w:val="003E7677"/>
    <w:rsid w:val="003F002A"/>
    <w:rsid w:val="003F32EF"/>
    <w:rsid w:val="003F3583"/>
    <w:rsid w:val="003F36B8"/>
    <w:rsid w:val="003F3A76"/>
    <w:rsid w:val="003F473D"/>
    <w:rsid w:val="003F6E18"/>
    <w:rsid w:val="003F76AD"/>
    <w:rsid w:val="0040089E"/>
    <w:rsid w:val="00401ED0"/>
    <w:rsid w:val="0040217C"/>
    <w:rsid w:val="004033E3"/>
    <w:rsid w:val="00405C2A"/>
    <w:rsid w:val="00410AE9"/>
    <w:rsid w:val="00412739"/>
    <w:rsid w:val="004134AA"/>
    <w:rsid w:val="00413666"/>
    <w:rsid w:val="004157FB"/>
    <w:rsid w:val="00417BC5"/>
    <w:rsid w:val="0042123C"/>
    <w:rsid w:val="004218D7"/>
    <w:rsid w:val="00421DD6"/>
    <w:rsid w:val="00421ED9"/>
    <w:rsid w:val="00422EAF"/>
    <w:rsid w:val="00425856"/>
    <w:rsid w:val="0042753B"/>
    <w:rsid w:val="004341F0"/>
    <w:rsid w:val="00434D4B"/>
    <w:rsid w:val="0044217B"/>
    <w:rsid w:val="0044297A"/>
    <w:rsid w:val="00444FB0"/>
    <w:rsid w:val="0044540B"/>
    <w:rsid w:val="00445D2C"/>
    <w:rsid w:val="00446A9E"/>
    <w:rsid w:val="00447C09"/>
    <w:rsid w:val="00450B08"/>
    <w:rsid w:val="00450CA6"/>
    <w:rsid w:val="00451BBE"/>
    <w:rsid w:val="00453519"/>
    <w:rsid w:val="00455272"/>
    <w:rsid w:val="00455E0E"/>
    <w:rsid w:val="00463A5F"/>
    <w:rsid w:val="004663CA"/>
    <w:rsid w:val="0046683B"/>
    <w:rsid w:val="00470677"/>
    <w:rsid w:val="0047114B"/>
    <w:rsid w:val="00473060"/>
    <w:rsid w:val="00473568"/>
    <w:rsid w:val="00474D24"/>
    <w:rsid w:val="00475A2B"/>
    <w:rsid w:val="0047769E"/>
    <w:rsid w:val="0048176C"/>
    <w:rsid w:val="00482C30"/>
    <w:rsid w:val="004850C8"/>
    <w:rsid w:val="004856AE"/>
    <w:rsid w:val="0048576F"/>
    <w:rsid w:val="00486DAD"/>
    <w:rsid w:val="00490B88"/>
    <w:rsid w:val="00490BD7"/>
    <w:rsid w:val="00491534"/>
    <w:rsid w:val="00492E90"/>
    <w:rsid w:val="004948F8"/>
    <w:rsid w:val="004973D5"/>
    <w:rsid w:val="00497652"/>
    <w:rsid w:val="004A5CCF"/>
    <w:rsid w:val="004A65F0"/>
    <w:rsid w:val="004B2557"/>
    <w:rsid w:val="004B3BE4"/>
    <w:rsid w:val="004B443D"/>
    <w:rsid w:val="004B4F05"/>
    <w:rsid w:val="004B5CCC"/>
    <w:rsid w:val="004B6D86"/>
    <w:rsid w:val="004C0CEF"/>
    <w:rsid w:val="004C1C56"/>
    <w:rsid w:val="004C31B6"/>
    <w:rsid w:val="004C610E"/>
    <w:rsid w:val="004C7593"/>
    <w:rsid w:val="004D02FF"/>
    <w:rsid w:val="004D06EB"/>
    <w:rsid w:val="004D0B5E"/>
    <w:rsid w:val="004D158C"/>
    <w:rsid w:val="004D1786"/>
    <w:rsid w:val="004D1FBC"/>
    <w:rsid w:val="004D3887"/>
    <w:rsid w:val="004D6E48"/>
    <w:rsid w:val="004E0BE6"/>
    <w:rsid w:val="004E24F6"/>
    <w:rsid w:val="004E2989"/>
    <w:rsid w:val="004E546F"/>
    <w:rsid w:val="004E61B6"/>
    <w:rsid w:val="004E6CA4"/>
    <w:rsid w:val="004E735D"/>
    <w:rsid w:val="004F233F"/>
    <w:rsid w:val="004F28BE"/>
    <w:rsid w:val="004F500D"/>
    <w:rsid w:val="004F5503"/>
    <w:rsid w:val="004F58F4"/>
    <w:rsid w:val="004F59B6"/>
    <w:rsid w:val="004F64FA"/>
    <w:rsid w:val="004F679F"/>
    <w:rsid w:val="005014CA"/>
    <w:rsid w:val="005016EE"/>
    <w:rsid w:val="00501748"/>
    <w:rsid w:val="005019E0"/>
    <w:rsid w:val="00502398"/>
    <w:rsid w:val="00503F00"/>
    <w:rsid w:val="00504684"/>
    <w:rsid w:val="00504B5B"/>
    <w:rsid w:val="00505D3E"/>
    <w:rsid w:val="005116CF"/>
    <w:rsid w:val="005139CB"/>
    <w:rsid w:val="00514401"/>
    <w:rsid w:val="0051447C"/>
    <w:rsid w:val="00514A4D"/>
    <w:rsid w:val="0051583D"/>
    <w:rsid w:val="00522AB5"/>
    <w:rsid w:val="00523E0C"/>
    <w:rsid w:val="005246B2"/>
    <w:rsid w:val="00524A33"/>
    <w:rsid w:val="00524E1E"/>
    <w:rsid w:val="005256A0"/>
    <w:rsid w:val="00526A17"/>
    <w:rsid w:val="00526E18"/>
    <w:rsid w:val="00530245"/>
    <w:rsid w:val="00533441"/>
    <w:rsid w:val="00533FED"/>
    <w:rsid w:val="00537570"/>
    <w:rsid w:val="0054025B"/>
    <w:rsid w:val="0054062F"/>
    <w:rsid w:val="00542550"/>
    <w:rsid w:val="0054325D"/>
    <w:rsid w:val="00543CED"/>
    <w:rsid w:val="00544826"/>
    <w:rsid w:val="0055217F"/>
    <w:rsid w:val="00552F5B"/>
    <w:rsid w:val="00553C8D"/>
    <w:rsid w:val="005549FE"/>
    <w:rsid w:val="00555603"/>
    <w:rsid w:val="005605E3"/>
    <w:rsid w:val="00560725"/>
    <w:rsid w:val="00564527"/>
    <w:rsid w:val="00565805"/>
    <w:rsid w:val="005663BC"/>
    <w:rsid w:val="00566818"/>
    <w:rsid w:val="005673ED"/>
    <w:rsid w:val="00572CDD"/>
    <w:rsid w:val="005739E2"/>
    <w:rsid w:val="00575454"/>
    <w:rsid w:val="005762DC"/>
    <w:rsid w:val="00580863"/>
    <w:rsid w:val="0058293E"/>
    <w:rsid w:val="005847BE"/>
    <w:rsid w:val="005867F9"/>
    <w:rsid w:val="005908E7"/>
    <w:rsid w:val="00591173"/>
    <w:rsid w:val="00592019"/>
    <w:rsid w:val="005962B9"/>
    <w:rsid w:val="00596F1E"/>
    <w:rsid w:val="005A05E1"/>
    <w:rsid w:val="005A13B0"/>
    <w:rsid w:val="005A3F32"/>
    <w:rsid w:val="005A4883"/>
    <w:rsid w:val="005A54CE"/>
    <w:rsid w:val="005A5819"/>
    <w:rsid w:val="005A5840"/>
    <w:rsid w:val="005A62E7"/>
    <w:rsid w:val="005A6432"/>
    <w:rsid w:val="005A69BC"/>
    <w:rsid w:val="005A6F72"/>
    <w:rsid w:val="005C46E6"/>
    <w:rsid w:val="005C5079"/>
    <w:rsid w:val="005D0030"/>
    <w:rsid w:val="005D00E5"/>
    <w:rsid w:val="005D0D72"/>
    <w:rsid w:val="005D0F78"/>
    <w:rsid w:val="005D2750"/>
    <w:rsid w:val="005D5B55"/>
    <w:rsid w:val="005E017E"/>
    <w:rsid w:val="005E057E"/>
    <w:rsid w:val="005E1A70"/>
    <w:rsid w:val="005E1AE4"/>
    <w:rsid w:val="005E5346"/>
    <w:rsid w:val="005E598A"/>
    <w:rsid w:val="005E7B8C"/>
    <w:rsid w:val="005F09CE"/>
    <w:rsid w:val="005F17C1"/>
    <w:rsid w:val="005F1A93"/>
    <w:rsid w:val="00600B8B"/>
    <w:rsid w:val="006038A3"/>
    <w:rsid w:val="00603DE7"/>
    <w:rsid w:val="00604352"/>
    <w:rsid w:val="00604F43"/>
    <w:rsid w:val="00605014"/>
    <w:rsid w:val="0060579D"/>
    <w:rsid w:val="0060654B"/>
    <w:rsid w:val="00611A6F"/>
    <w:rsid w:val="006155EC"/>
    <w:rsid w:val="00615A6A"/>
    <w:rsid w:val="00615B7E"/>
    <w:rsid w:val="00615CFE"/>
    <w:rsid w:val="00622DCD"/>
    <w:rsid w:val="00624BDB"/>
    <w:rsid w:val="00626DF6"/>
    <w:rsid w:val="006316F3"/>
    <w:rsid w:val="00631B4D"/>
    <w:rsid w:val="00632840"/>
    <w:rsid w:val="00632864"/>
    <w:rsid w:val="00632C54"/>
    <w:rsid w:val="00633A9F"/>
    <w:rsid w:val="00641629"/>
    <w:rsid w:val="00643BBB"/>
    <w:rsid w:val="006459B1"/>
    <w:rsid w:val="00647C24"/>
    <w:rsid w:val="006510AA"/>
    <w:rsid w:val="0065304C"/>
    <w:rsid w:val="00653318"/>
    <w:rsid w:val="00655F01"/>
    <w:rsid w:val="00656289"/>
    <w:rsid w:val="006575E1"/>
    <w:rsid w:val="00657884"/>
    <w:rsid w:val="00661DFD"/>
    <w:rsid w:val="006622F3"/>
    <w:rsid w:val="00662EC3"/>
    <w:rsid w:val="00663447"/>
    <w:rsid w:val="006657A6"/>
    <w:rsid w:val="00665AD4"/>
    <w:rsid w:val="00666B80"/>
    <w:rsid w:val="00666BB1"/>
    <w:rsid w:val="00667EDE"/>
    <w:rsid w:val="006708CD"/>
    <w:rsid w:val="00673CB3"/>
    <w:rsid w:val="00674B36"/>
    <w:rsid w:val="0067558A"/>
    <w:rsid w:val="00675C4D"/>
    <w:rsid w:val="00676721"/>
    <w:rsid w:val="00676E4B"/>
    <w:rsid w:val="0067707D"/>
    <w:rsid w:val="0068053C"/>
    <w:rsid w:val="0068240C"/>
    <w:rsid w:val="006836D4"/>
    <w:rsid w:val="00684059"/>
    <w:rsid w:val="00687484"/>
    <w:rsid w:val="006909CD"/>
    <w:rsid w:val="00692EB0"/>
    <w:rsid w:val="00692EC8"/>
    <w:rsid w:val="006937CA"/>
    <w:rsid w:val="00696B14"/>
    <w:rsid w:val="0069702A"/>
    <w:rsid w:val="006970A6"/>
    <w:rsid w:val="006A1980"/>
    <w:rsid w:val="006A1B3A"/>
    <w:rsid w:val="006A1C8F"/>
    <w:rsid w:val="006A26AC"/>
    <w:rsid w:val="006A4AC0"/>
    <w:rsid w:val="006A5F5E"/>
    <w:rsid w:val="006A65B0"/>
    <w:rsid w:val="006A79F6"/>
    <w:rsid w:val="006B0451"/>
    <w:rsid w:val="006B23D8"/>
    <w:rsid w:val="006B3AA3"/>
    <w:rsid w:val="006B5827"/>
    <w:rsid w:val="006B6531"/>
    <w:rsid w:val="006B7B5F"/>
    <w:rsid w:val="006C274A"/>
    <w:rsid w:val="006C2818"/>
    <w:rsid w:val="006C4882"/>
    <w:rsid w:val="006C4C4D"/>
    <w:rsid w:val="006C58F4"/>
    <w:rsid w:val="006C659B"/>
    <w:rsid w:val="006C70E3"/>
    <w:rsid w:val="006D1D07"/>
    <w:rsid w:val="006D1EBC"/>
    <w:rsid w:val="006D29D4"/>
    <w:rsid w:val="006D4D7E"/>
    <w:rsid w:val="006D6BA0"/>
    <w:rsid w:val="006E07C4"/>
    <w:rsid w:val="006E0E34"/>
    <w:rsid w:val="006E18FF"/>
    <w:rsid w:val="006E2D53"/>
    <w:rsid w:val="006E741D"/>
    <w:rsid w:val="006E796F"/>
    <w:rsid w:val="006F2E56"/>
    <w:rsid w:val="006F75C7"/>
    <w:rsid w:val="00703993"/>
    <w:rsid w:val="0070457F"/>
    <w:rsid w:val="00704B39"/>
    <w:rsid w:val="00704C7B"/>
    <w:rsid w:val="00705300"/>
    <w:rsid w:val="00706315"/>
    <w:rsid w:val="0070747A"/>
    <w:rsid w:val="00710B6D"/>
    <w:rsid w:val="00711FFE"/>
    <w:rsid w:val="0071249A"/>
    <w:rsid w:val="00712719"/>
    <w:rsid w:val="00713EEB"/>
    <w:rsid w:val="0071488A"/>
    <w:rsid w:val="007162E1"/>
    <w:rsid w:val="00716B48"/>
    <w:rsid w:val="00720793"/>
    <w:rsid w:val="00720ABD"/>
    <w:rsid w:val="00721807"/>
    <w:rsid w:val="0072284E"/>
    <w:rsid w:val="007231F4"/>
    <w:rsid w:val="00723B47"/>
    <w:rsid w:val="00724BE0"/>
    <w:rsid w:val="00725E1C"/>
    <w:rsid w:val="00726D3D"/>
    <w:rsid w:val="007314E1"/>
    <w:rsid w:val="00731910"/>
    <w:rsid w:val="00732C08"/>
    <w:rsid w:val="007330B5"/>
    <w:rsid w:val="007355EA"/>
    <w:rsid w:val="00736900"/>
    <w:rsid w:val="00736E8E"/>
    <w:rsid w:val="00737FB3"/>
    <w:rsid w:val="00742C7E"/>
    <w:rsid w:val="00743E89"/>
    <w:rsid w:val="00744534"/>
    <w:rsid w:val="00746B7A"/>
    <w:rsid w:val="007470A3"/>
    <w:rsid w:val="00747B0D"/>
    <w:rsid w:val="007500C7"/>
    <w:rsid w:val="007508D0"/>
    <w:rsid w:val="00751D94"/>
    <w:rsid w:val="00751F20"/>
    <w:rsid w:val="00753A0A"/>
    <w:rsid w:val="007563D4"/>
    <w:rsid w:val="00761F8C"/>
    <w:rsid w:val="007626D2"/>
    <w:rsid w:val="0076480E"/>
    <w:rsid w:val="007652F8"/>
    <w:rsid w:val="00765B57"/>
    <w:rsid w:val="00767DB6"/>
    <w:rsid w:val="00770BD6"/>
    <w:rsid w:val="00773312"/>
    <w:rsid w:val="00774E5D"/>
    <w:rsid w:val="0077668B"/>
    <w:rsid w:val="0077695B"/>
    <w:rsid w:val="0077773D"/>
    <w:rsid w:val="00781C10"/>
    <w:rsid w:val="00782C57"/>
    <w:rsid w:val="007854A2"/>
    <w:rsid w:val="00785E05"/>
    <w:rsid w:val="00787CEE"/>
    <w:rsid w:val="00791DAD"/>
    <w:rsid w:val="00792EA8"/>
    <w:rsid w:val="007937DF"/>
    <w:rsid w:val="007954FD"/>
    <w:rsid w:val="00797578"/>
    <w:rsid w:val="007977EC"/>
    <w:rsid w:val="007A0454"/>
    <w:rsid w:val="007A27AF"/>
    <w:rsid w:val="007A548D"/>
    <w:rsid w:val="007A6531"/>
    <w:rsid w:val="007A69F4"/>
    <w:rsid w:val="007B18F9"/>
    <w:rsid w:val="007B1B3D"/>
    <w:rsid w:val="007B2025"/>
    <w:rsid w:val="007B2AE3"/>
    <w:rsid w:val="007B637F"/>
    <w:rsid w:val="007B790F"/>
    <w:rsid w:val="007C42BF"/>
    <w:rsid w:val="007C5F75"/>
    <w:rsid w:val="007C6534"/>
    <w:rsid w:val="007C6DDE"/>
    <w:rsid w:val="007D1029"/>
    <w:rsid w:val="007D1A6C"/>
    <w:rsid w:val="007D371C"/>
    <w:rsid w:val="007D43E1"/>
    <w:rsid w:val="007D49F0"/>
    <w:rsid w:val="007D73E1"/>
    <w:rsid w:val="007E0684"/>
    <w:rsid w:val="007E1D5D"/>
    <w:rsid w:val="007E3758"/>
    <w:rsid w:val="007E3915"/>
    <w:rsid w:val="007E3DD6"/>
    <w:rsid w:val="007E42FD"/>
    <w:rsid w:val="007E6138"/>
    <w:rsid w:val="007E6564"/>
    <w:rsid w:val="007E6F2D"/>
    <w:rsid w:val="007E7618"/>
    <w:rsid w:val="007F0095"/>
    <w:rsid w:val="007F05B2"/>
    <w:rsid w:val="007F1979"/>
    <w:rsid w:val="007F4A51"/>
    <w:rsid w:val="007F4B71"/>
    <w:rsid w:val="007F6268"/>
    <w:rsid w:val="007F7B62"/>
    <w:rsid w:val="007F7CCD"/>
    <w:rsid w:val="008011A3"/>
    <w:rsid w:val="008031ED"/>
    <w:rsid w:val="008049EF"/>
    <w:rsid w:val="00811A34"/>
    <w:rsid w:val="00812B0C"/>
    <w:rsid w:val="00813D3C"/>
    <w:rsid w:val="0081691A"/>
    <w:rsid w:val="00822D27"/>
    <w:rsid w:val="0083090C"/>
    <w:rsid w:val="00831D17"/>
    <w:rsid w:val="008333E4"/>
    <w:rsid w:val="0083530B"/>
    <w:rsid w:val="00835AA5"/>
    <w:rsid w:val="00837078"/>
    <w:rsid w:val="008372BD"/>
    <w:rsid w:val="00840871"/>
    <w:rsid w:val="00840B75"/>
    <w:rsid w:val="0084100E"/>
    <w:rsid w:val="00841B6D"/>
    <w:rsid w:val="008436D7"/>
    <w:rsid w:val="008459AF"/>
    <w:rsid w:val="0084631E"/>
    <w:rsid w:val="00846420"/>
    <w:rsid w:val="00846984"/>
    <w:rsid w:val="00847F2C"/>
    <w:rsid w:val="00847F6F"/>
    <w:rsid w:val="008520B6"/>
    <w:rsid w:val="008558DE"/>
    <w:rsid w:val="00855F1B"/>
    <w:rsid w:val="00855F44"/>
    <w:rsid w:val="00864765"/>
    <w:rsid w:val="008676A1"/>
    <w:rsid w:val="00867995"/>
    <w:rsid w:val="00867DFE"/>
    <w:rsid w:val="00872BD7"/>
    <w:rsid w:val="00873D8C"/>
    <w:rsid w:val="00875D68"/>
    <w:rsid w:val="00877E77"/>
    <w:rsid w:val="00880F18"/>
    <w:rsid w:val="00882B16"/>
    <w:rsid w:val="00883616"/>
    <w:rsid w:val="00884206"/>
    <w:rsid w:val="00884901"/>
    <w:rsid w:val="00884DB8"/>
    <w:rsid w:val="00884E7B"/>
    <w:rsid w:val="00885BB6"/>
    <w:rsid w:val="008903E5"/>
    <w:rsid w:val="00891F54"/>
    <w:rsid w:val="00892243"/>
    <w:rsid w:val="00892558"/>
    <w:rsid w:val="00893FD5"/>
    <w:rsid w:val="008949CF"/>
    <w:rsid w:val="008954C7"/>
    <w:rsid w:val="00895BB7"/>
    <w:rsid w:val="00896181"/>
    <w:rsid w:val="00896656"/>
    <w:rsid w:val="008A1DB2"/>
    <w:rsid w:val="008A377D"/>
    <w:rsid w:val="008A421E"/>
    <w:rsid w:val="008A50E7"/>
    <w:rsid w:val="008A5C91"/>
    <w:rsid w:val="008A6137"/>
    <w:rsid w:val="008A7085"/>
    <w:rsid w:val="008A7E44"/>
    <w:rsid w:val="008A7EC9"/>
    <w:rsid w:val="008B1FC0"/>
    <w:rsid w:val="008B3BA9"/>
    <w:rsid w:val="008B4AAC"/>
    <w:rsid w:val="008B4C11"/>
    <w:rsid w:val="008B6045"/>
    <w:rsid w:val="008B7C7E"/>
    <w:rsid w:val="008C2CF7"/>
    <w:rsid w:val="008C4767"/>
    <w:rsid w:val="008C64E6"/>
    <w:rsid w:val="008C658C"/>
    <w:rsid w:val="008D0FD5"/>
    <w:rsid w:val="008D265C"/>
    <w:rsid w:val="008D3362"/>
    <w:rsid w:val="008D3612"/>
    <w:rsid w:val="008D4768"/>
    <w:rsid w:val="008D7AD2"/>
    <w:rsid w:val="008E3960"/>
    <w:rsid w:val="008E4F62"/>
    <w:rsid w:val="008E57B5"/>
    <w:rsid w:val="008E7D2D"/>
    <w:rsid w:val="008F0CB9"/>
    <w:rsid w:val="008F27BF"/>
    <w:rsid w:val="008F4BA9"/>
    <w:rsid w:val="008F5757"/>
    <w:rsid w:val="009010FA"/>
    <w:rsid w:val="0090214B"/>
    <w:rsid w:val="009026F6"/>
    <w:rsid w:val="009039B5"/>
    <w:rsid w:val="00905552"/>
    <w:rsid w:val="009055EF"/>
    <w:rsid w:val="00906D61"/>
    <w:rsid w:val="00906F07"/>
    <w:rsid w:val="009070D1"/>
    <w:rsid w:val="00912602"/>
    <w:rsid w:val="00916027"/>
    <w:rsid w:val="00916B7B"/>
    <w:rsid w:val="00917879"/>
    <w:rsid w:val="00920936"/>
    <w:rsid w:val="00921D25"/>
    <w:rsid w:val="00923B3E"/>
    <w:rsid w:val="00923EDF"/>
    <w:rsid w:val="009240CF"/>
    <w:rsid w:val="00924A3A"/>
    <w:rsid w:val="00927067"/>
    <w:rsid w:val="00930225"/>
    <w:rsid w:val="00930293"/>
    <w:rsid w:val="00933AC3"/>
    <w:rsid w:val="009350A1"/>
    <w:rsid w:val="00935661"/>
    <w:rsid w:val="00936CB7"/>
    <w:rsid w:val="00941129"/>
    <w:rsid w:val="00941285"/>
    <w:rsid w:val="00941CAE"/>
    <w:rsid w:val="00941CF7"/>
    <w:rsid w:val="00942854"/>
    <w:rsid w:val="00945091"/>
    <w:rsid w:val="00945227"/>
    <w:rsid w:val="00945292"/>
    <w:rsid w:val="009461D8"/>
    <w:rsid w:val="009468CC"/>
    <w:rsid w:val="00946E1F"/>
    <w:rsid w:val="00950897"/>
    <w:rsid w:val="00951E95"/>
    <w:rsid w:val="00954384"/>
    <w:rsid w:val="0095650C"/>
    <w:rsid w:val="0095651F"/>
    <w:rsid w:val="00960B18"/>
    <w:rsid w:val="009611DE"/>
    <w:rsid w:val="00961578"/>
    <w:rsid w:val="009618D5"/>
    <w:rsid w:val="00961B50"/>
    <w:rsid w:val="00961DF0"/>
    <w:rsid w:val="00965158"/>
    <w:rsid w:val="009661BB"/>
    <w:rsid w:val="00967C37"/>
    <w:rsid w:val="00970617"/>
    <w:rsid w:val="00971025"/>
    <w:rsid w:val="00974577"/>
    <w:rsid w:val="0098102C"/>
    <w:rsid w:val="00982330"/>
    <w:rsid w:val="009829F8"/>
    <w:rsid w:val="00982A7B"/>
    <w:rsid w:val="00982CAC"/>
    <w:rsid w:val="00986313"/>
    <w:rsid w:val="0099012C"/>
    <w:rsid w:val="00990B81"/>
    <w:rsid w:val="009918A2"/>
    <w:rsid w:val="0099266F"/>
    <w:rsid w:val="00994707"/>
    <w:rsid w:val="00995F01"/>
    <w:rsid w:val="00997CC4"/>
    <w:rsid w:val="00997FEF"/>
    <w:rsid w:val="009A096A"/>
    <w:rsid w:val="009A23E5"/>
    <w:rsid w:val="009A2C33"/>
    <w:rsid w:val="009B1882"/>
    <w:rsid w:val="009B1E34"/>
    <w:rsid w:val="009B53BD"/>
    <w:rsid w:val="009C07EA"/>
    <w:rsid w:val="009C0C37"/>
    <w:rsid w:val="009C22AE"/>
    <w:rsid w:val="009C6F97"/>
    <w:rsid w:val="009D0834"/>
    <w:rsid w:val="009D2B35"/>
    <w:rsid w:val="009D2CCD"/>
    <w:rsid w:val="009D3AEB"/>
    <w:rsid w:val="009D40DF"/>
    <w:rsid w:val="009D4454"/>
    <w:rsid w:val="009D4AC0"/>
    <w:rsid w:val="009D4F71"/>
    <w:rsid w:val="009D6983"/>
    <w:rsid w:val="009D71AD"/>
    <w:rsid w:val="009E6031"/>
    <w:rsid w:val="009F7874"/>
    <w:rsid w:val="00A027BA"/>
    <w:rsid w:val="00A0365E"/>
    <w:rsid w:val="00A042C6"/>
    <w:rsid w:val="00A048EE"/>
    <w:rsid w:val="00A0514B"/>
    <w:rsid w:val="00A05963"/>
    <w:rsid w:val="00A05BCB"/>
    <w:rsid w:val="00A05F08"/>
    <w:rsid w:val="00A13F9E"/>
    <w:rsid w:val="00A15C23"/>
    <w:rsid w:val="00A15E50"/>
    <w:rsid w:val="00A16C6E"/>
    <w:rsid w:val="00A1704B"/>
    <w:rsid w:val="00A1720C"/>
    <w:rsid w:val="00A22D8F"/>
    <w:rsid w:val="00A25F72"/>
    <w:rsid w:val="00A27012"/>
    <w:rsid w:val="00A27C4C"/>
    <w:rsid w:val="00A32FD2"/>
    <w:rsid w:val="00A3340A"/>
    <w:rsid w:val="00A3563C"/>
    <w:rsid w:val="00A35647"/>
    <w:rsid w:val="00A35DD0"/>
    <w:rsid w:val="00A3714F"/>
    <w:rsid w:val="00A41AA2"/>
    <w:rsid w:val="00A4200E"/>
    <w:rsid w:val="00A440A3"/>
    <w:rsid w:val="00A460DF"/>
    <w:rsid w:val="00A46CD4"/>
    <w:rsid w:val="00A510DE"/>
    <w:rsid w:val="00A514DF"/>
    <w:rsid w:val="00A522BA"/>
    <w:rsid w:val="00A526FA"/>
    <w:rsid w:val="00A5276C"/>
    <w:rsid w:val="00A528C0"/>
    <w:rsid w:val="00A52957"/>
    <w:rsid w:val="00A55C55"/>
    <w:rsid w:val="00A562C5"/>
    <w:rsid w:val="00A56312"/>
    <w:rsid w:val="00A56A71"/>
    <w:rsid w:val="00A606DC"/>
    <w:rsid w:val="00A6517B"/>
    <w:rsid w:val="00A71A62"/>
    <w:rsid w:val="00A7208C"/>
    <w:rsid w:val="00A76C12"/>
    <w:rsid w:val="00A774C2"/>
    <w:rsid w:val="00A77CF2"/>
    <w:rsid w:val="00A8210F"/>
    <w:rsid w:val="00A83174"/>
    <w:rsid w:val="00A84399"/>
    <w:rsid w:val="00A8463A"/>
    <w:rsid w:val="00A84C0C"/>
    <w:rsid w:val="00A858C2"/>
    <w:rsid w:val="00A8601E"/>
    <w:rsid w:val="00A87495"/>
    <w:rsid w:val="00A90749"/>
    <w:rsid w:val="00A91BA5"/>
    <w:rsid w:val="00A9294B"/>
    <w:rsid w:val="00A975EA"/>
    <w:rsid w:val="00A97F68"/>
    <w:rsid w:val="00AA0975"/>
    <w:rsid w:val="00AA1158"/>
    <w:rsid w:val="00AA12B2"/>
    <w:rsid w:val="00AA284A"/>
    <w:rsid w:val="00AA4A7A"/>
    <w:rsid w:val="00AA4F0D"/>
    <w:rsid w:val="00AA5DDB"/>
    <w:rsid w:val="00AA74BE"/>
    <w:rsid w:val="00AB0EA4"/>
    <w:rsid w:val="00AB4607"/>
    <w:rsid w:val="00AB69F3"/>
    <w:rsid w:val="00AB78A7"/>
    <w:rsid w:val="00AB7BB9"/>
    <w:rsid w:val="00AC229B"/>
    <w:rsid w:val="00AC5319"/>
    <w:rsid w:val="00AC5929"/>
    <w:rsid w:val="00AC7D0D"/>
    <w:rsid w:val="00AD07FF"/>
    <w:rsid w:val="00AD1D86"/>
    <w:rsid w:val="00AD321C"/>
    <w:rsid w:val="00AD41FC"/>
    <w:rsid w:val="00AD63B0"/>
    <w:rsid w:val="00AD6D0D"/>
    <w:rsid w:val="00AD739F"/>
    <w:rsid w:val="00AE0EF5"/>
    <w:rsid w:val="00AE1939"/>
    <w:rsid w:val="00AE1A20"/>
    <w:rsid w:val="00AE3846"/>
    <w:rsid w:val="00AE6355"/>
    <w:rsid w:val="00AE6F93"/>
    <w:rsid w:val="00AE71B8"/>
    <w:rsid w:val="00AE796E"/>
    <w:rsid w:val="00AF1A77"/>
    <w:rsid w:val="00AF42CA"/>
    <w:rsid w:val="00AF44F6"/>
    <w:rsid w:val="00AF4E5A"/>
    <w:rsid w:val="00AF5F3C"/>
    <w:rsid w:val="00AF7578"/>
    <w:rsid w:val="00B0046D"/>
    <w:rsid w:val="00B01D80"/>
    <w:rsid w:val="00B036B4"/>
    <w:rsid w:val="00B04041"/>
    <w:rsid w:val="00B069A8"/>
    <w:rsid w:val="00B07833"/>
    <w:rsid w:val="00B122DA"/>
    <w:rsid w:val="00B14EF0"/>
    <w:rsid w:val="00B15183"/>
    <w:rsid w:val="00B1668D"/>
    <w:rsid w:val="00B20526"/>
    <w:rsid w:val="00B20594"/>
    <w:rsid w:val="00B20958"/>
    <w:rsid w:val="00B20AB8"/>
    <w:rsid w:val="00B21CA3"/>
    <w:rsid w:val="00B224A4"/>
    <w:rsid w:val="00B23C00"/>
    <w:rsid w:val="00B24AED"/>
    <w:rsid w:val="00B26F0D"/>
    <w:rsid w:val="00B32021"/>
    <w:rsid w:val="00B37B86"/>
    <w:rsid w:val="00B37F80"/>
    <w:rsid w:val="00B4086F"/>
    <w:rsid w:val="00B41183"/>
    <w:rsid w:val="00B41DB2"/>
    <w:rsid w:val="00B43C04"/>
    <w:rsid w:val="00B45C6D"/>
    <w:rsid w:val="00B45DA1"/>
    <w:rsid w:val="00B45EE8"/>
    <w:rsid w:val="00B46018"/>
    <w:rsid w:val="00B53353"/>
    <w:rsid w:val="00B5343E"/>
    <w:rsid w:val="00B53527"/>
    <w:rsid w:val="00B56C4D"/>
    <w:rsid w:val="00B57112"/>
    <w:rsid w:val="00B57E16"/>
    <w:rsid w:val="00B6094F"/>
    <w:rsid w:val="00B60A25"/>
    <w:rsid w:val="00B60C04"/>
    <w:rsid w:val="00B61A6A"/>
    <w:rsid w:val="00B62C07"/>
    <w:rsid w:val="00B63BB9"/>
    <w:rsid w:val="00B6518C"/>
    <w:rsid w:val="00B66363"/>
    <w:rsid w:val="00B67E82"/>
    <w:rsid w:val="00B70CF0"/>
    <w:rsid w:val="00B7177B"/>
    <w:rsid w:val="00B73196"/>
    <w:rsid w:val="00B76E4F"/>
    <w:rsid w:val="00B776BE"/>
    <w:rsid w:val="00B81C6F"/>
    <w:rsid w:val="00B84D68"/>
    <w:rsid w:val="00B850FD"/>
    <w:rsid w:val="00B85A1B"/>
    <w:rsid w:val="00B87C1B"/>
    <w:rsid w:val="00B9296C"/>
    <w:rsid w:val="00B948C5"/>
    <w:rsid w:val="00B94A9E"/>
    <w:rsid w:val="00B94D98"/>
    <w:rsid w:val="00B963BA"/>
    <w:rsid w:val="00B9772F"/>
    <w:rsid w:val="00B97C70"/>
    <w:rsid w:val="00BA350C"/>
    <w:rsid w:val="00BA3762"/>
    <w:rsid w:val="00BA4C4B"/>
    <w:rsid w:val="00BA6312"/>
    <w:rsid w:val="00BA67BB"/>
    <w:rsid w:val="00BA75B4"/>
    <w:rsid w:val="00BB0279"/>
    <w:rsid w:val="00BB36C1"/>
    <w:rsid w:val="00BB4642"/>
    <w:rsid w:val="00BB5469"/>
    <w:rsid w:val="00BB744E"/>
    <w:rsid w:val="00BC0C5E"/>
    <w:rsid w:val="00BC28D7"/>
    <w:rsid w:val="00BC331C"/>
    <w:rsid w:val="00BC4EF8"/>
    <w:rsid w:val="00BD3A2E"/>
    <w:rsid w:val="00BD5E91"/>
    <w:rsid w:val="00BE147B"/>
    <w:rsid w:val="00BE443B"/>
    <w:rsid w:val="00BF0280"/>
    <w:rsid w:val="00BF1C2D"/>
    <w:rsid w:val="00BF6A10"/>
    <w:rsid w:val="00BF736E"/>
    <w:rsid w:val="00C00DDF"/>
    <w:rsid w:val="00C0652D"/>
    <w:rsid w:val="00C06806"/>
    <w:rsid w:val="00C07414"/>
    <w:rsid w:val="00C07E0A"/>
    <w:rsid w:val="00C122F4"/>
    <w:rsid w:val="00C12D0E"/>
    <w:rsid w:val="00C146B2"/>
    <w:rsid w:val="00C16454"/>
    <w:rsid w:val="00C167AE"/>
    <w:rsid w:val="00C16834"/>
    <w:rsid w:val="00C16BE3"/>
    <w:rsid w:val="00C1732A"/>
    <w:rsid w:val="00C207E4"/>
    <w:rsid w:val="00C26BF3"/>
    <w:rsid w:val="00C3002D"/>
    <w:rsid w:val="00C412AA"/>
    <w:rsid w:val="00C41738"/>
    <w:rsid w:val="00C439CE"/>
    <w:rsid w:val="00C45441"/>
    <w:rsid w:val="00C50D18"/>
    <w:rsid w:val="00C52502"/>
    <w:rsid w:val="00C52C8E"/>
    <w:rsid w:val="00C52E4D"/>
    <w:rsid w:val="00C530C1"/>
    <w:rsid w:val="00C532C2"/>
    <w:rsid w:val="00C55206"/>
    <w:rsid w:val="00C56AEE"/>
    <w:rsid w:val="00C61CB7"/>
    <w:rsid w:val="00C62445"/>
    <w:rsid w:val="00C62D68"/>
    <w:rsid w:val="00C66495"/>
    <w:rsid w:val="00C727AC"/>
    <w:rsid w:val="00C72B6C"/>
    <w:rsid w:val="00C72D18"/>
    <w:rsid w:val="00C7468C"/>
    <w:rsid w:val="00C749BF"/>
    <w:rsid w:val="00C753EF"/>
    <w:rsid w:val="00C765BF"/>
    <w:rsid w:val="00C81064"/>
    <w:rsid w:val="00C83485"/>
    <w:rsid w:val="00C84DED"/>
    <w:rsid w:val="00C86D6C"/>
    <w:rsid w:val="00C90BA7"/>
    <w:rsid w:val="00C91731"/>
    <w:rsid w:val="00C94B76"/>
    <w:rsid w:val="00CA016A"/>
    <w:rsid w:val="00CA02EF"/>
    <w:rsid w:val="00CA33C4"/>
    <w:rsid w:val="00CA70FD"/>
    <w:rsid w:val="00CB05F6"/>
    <w:rsid w:val="00CB184E"/>
    <w:rsid w:val="00CB29DF"/>
    <w:rsid w:val="00CB2FC6"/>
    <w:rsid w:val="00CB5FF4"/>
    <w:rsid w:val="00CC0B36"/>
    <w:rsid w:val="00CC12A7"/>
    <w:rsid w:val="00CC5120"/>
    <w:rsid w:val="00CC5F40"/>
    <w:rsid w:val="00CD0B9B"/>
    <w:rsid w:val="00CD1E4F"/>
    <w:rsid w:val="00CD24F0"/>
    <w:rsid w:val="00CD51DA"/>
    <w:rsid w:val="00CD690F"/>
    <w:rsid w:val="00CE47E1"/>
    <w:rsid w:val="00CE7CA5"/>
    <w:rsid w:val="00CF1DF2"/>
    <w:rsid w:val="00CF32D8"/>
    <w:rsid w:val="00CF335C"/>
    <w:rsid w:val="00CF5054"/>
    <w:rsid w:val="00CF6A9D"/>
    <w:rsid w:val="00CF799F"/>
    <w:rsid w:val="00D02ECB"/>
    <w:rsid w:val="00D03FF6"/>
    <w:rsid w:val="00D058E0"/>
    <w:rsid w:val="00D1098E"/>
    <w:rsid w:val="00D12ECD"/>
    <w:rsid w:val="00D13CAE"/>
    <w:rsid w:val="00D142A3"/>
    <w:rsid w:val="00D16EEA"/>
    <w:rsid w:val="00D17B36"/>
    <w:rsid w:val="00D17CFA"/>
    <w:rsid w:val="00D21EFC"/>
    <w:rsid w:val="00D22658"/>
    <w:rsid w:val="00D24112"/>
    <w:rsid w:val="00D246A7"/>
    <w:rsid w:val="00D25545"/>
    <w:rsid w:val="00D27520"/>
    <w:rsid w:val="00D3080D"/>
    <w:rsid w:val="00D32D0A"/>
    <w:rsid w:val="00D35D90"/>
    <w:rsid w:val="00D36200"/>
    <w:rsid w:val="00D36247"/>
    <w:rsid w:val="00D40622"/>
    <w:rsid w:val="00D4082E"/>
    <w:rsid w:val="00D40C54"/>
    <w:rsid w:val="00D47CA9"/>
    <w:rsid w:val="00D502DB"/>
    <w:rsid w:val="00D515E9"/>
    <w:rsid w:val="00D52636"/>
    <w:rsid w:val="00D61895"/>
    <w:rsid w:val="00D62ADA"/>
    <w:rsid w:val="00D63DFB"/>
    <w:rsid w:val="00D65041"/>
    <w:rsid w:val="00D65C76"/>
    <w:rsid w:val="00D6627C"/>
    <w:rsid w:val="00D70867"/>
    <w:rsid w:val="00D71405"/>
    <w:rsid w:val="00D72E4D"/>
    <w:rsid w:val="00D80783"/>
    <w:rsid w:val="00D824A0"/>
    <w:rsid w:val="00D83E52"/>
    <w:rsid w:val="00D8599F"/>
    <w:rsid w:val="00D86E88"/>
    <w:rsid w:val="00D87ED2"/>
    <w:rsid w:val="00D90CE6"/>
    <w:rsid w:val="00D91CEE"/>
    <w:rsid w:val="00D925F3"/>
    <w:rsid w:val="00D957E6"/>
    <w:rsid w:val="00DA0F5F"/>
    <w:rsid w:val="00DA1067"/>
    <w:rsid w:val="00DA1079"/>
    <w:rsid w:val="00DA4051"/>
    <w:rsid w:val="00DA687D"/>
    <w:rsid w:val="00DA7003"/>
    <w:rsid w:val="00DB0A9B"/>
    <w:rsid w:val="00DB1387"/>
    <w:rsid w:val="00DB35F0"/>
    <w:rsid w:val="00DB360C"/>
    <w:rsid w:val="00DB4362"/>
    <w:rsid w:val="00DB722B"/>
    <w:rsid w:val="00DB7E56"/>
    <w:rsid w:val="00DC3AE1"/>
    <w:rsid w:val="00DC5F37"/>
    <w:rsid w:val="00DC6093"/>
    <w:rsid w:val="00DD0385"/>
    <w:rsid w:val="00DD12DF"/>
    <w:rsid w:val="00DD3853"/>
    <w:rsid w:val="00DD3CDE"/>
    <w:rsid w:val="00DD43AD"/>
    <w:rsid w:val="00DE0A4C"/>
    <w:rsid w:val="00DE104B"/>
    <w:rsid w:val="00DE10C7"/>
    <w:rsid w:val="00DE22EF"/>
    <w:rsid w:val="00DE4A94"/>
    <w:rsid w:val="00DE649A"/>
    <w:rsid w:val="00DE79A7"/>
    <w:rsid w:val="00DF1091"/>
    <w:rsid w:val="00DF14BD"/>
    <w:rsid w:val="00DF1943"/>
    <w:rsid w:val="00DF2097"/>
    <w:rsid w:val="00DF2208"/>
    <w:rsid w:val="00DF2317"/>
    <w:rsid w:val="00DF29E1"/>
    <w:rsid w:val="00DF682C"/>
    <w:rsid w:val="00DF6E33"/>
    <w:rsid w:val="00DF72BA"/>
    <w:rsid w:val="00DF7B1A"/>
    <w:rsid w:val="00E036AC"/>
    <w:rsid w:val="00E039D0"/>
    <w:rsid w:val="00E04E6B"/>
    <w:rsid w:val="00E05C58"/>
    <w:rsid w:val="00E05F72"/>
    <w:rsid w:val="00E07540"/>
    <w:rsid w:val="00E0759B"/>
    <w:rsid w:val="00E07B77"/>
    <w:rsid w:val="00E11ECB"/>
    <w:rsid w:val="00E137F0"/>
    <w:rsid w:val="00E21D0E"/>
    <w:rsid w:val="00E22EBE"/>
    <w:rsid w:val="00E3087B"/>
    <w:rsid w:val="00E30B61"/>
    <w:rsid w:val="00E31C94"/>
    <w:rsid w:val="00E34513"/>
    <w:rsid w:val="00E35010"/>
    <w:rsid w:val="00E37C34"/>
    <w:rsid w:val="00E44E06"/>
    <w:rsid w:val="00E5044C"/>
    <w:rsid w:val="00E52141"/>
    <w:rsid w:val="00E52159"/>
    <w:rsid w:val="00E52DDB"/>
    <w:rsid w:val="00E53CE8"/>
    <w:rsid w:val="00E60D7F"/>
    <w:rsid w:val="00E6296A"/>
    <w:rsid w:val="00E6304B"/>
    <w:rsid w:val="00E63132"/>
    <w:rsid w:val="00E6403A"/>
    <w:rsid w:val="00E65713"/>
    <w:rsid w:val="00E65E28"/>
    <w:rsid w:val="00E6642C"/>
    <w:rsid w:val="00E70036"/>
    <w:rsid w:val="00E722C3"/>
    <w:rsid w:val="00E726F6"/>
    <w:rsid w:val="00E72F4E"/>
    <w:rsid w:val="00E742A7"/>
    <w:rsid w:val="00E743EA"/>
    <w:rsid w:val="00E75C22"/>
    <w:rsid w:val="00E7704D"/>
    <w:rsid w:val="00E8201F"/>
    <w:rsid w:val="00E84BD5"/>
    <w:rsid w:val="00E85E58"/>
    <w:rsid w:val="00E87D1C"/>
    <w:rsid w:val="00E87F3A"/>
    <w:rsid w:val="00E91BF7"/>
    <w:rsid w:val="00EA0151"/>
    <w:rsid w:val="00EA0A33"/>
    <w:rsid w:val="00EA6450"/>
    <w:rsid w:val="00EB0A83"/>
    <w:rsid w:val="00EB0C9B"/>
    <w:rsid w:val="00EB5A88"/>
    <w:rsid w:val="00EB5B0C"/>
    <w:rsid w:val="00EC0852"/>
    <w:rsid w:val="00EC2295"/>
    <w:rsid w:val="00EC2E4F"/>
    <w:rsid w:val="00EC737D"/>
    <w:rsid w:val="00ED1342"/>
    <w:rsid w:val="00ED2400"/>
    <w:rsid w:val="00ED2E69"/>
    <w:rsid w:val="00ED2F98"/>
    <w:rsid w:val="00ED62BD"/>
    <w:rsid w:val="00ED7948"/>
    <w:rsid w:val="00ED7A2A"/>
    <w:rsid w:val="00ED7CC5"/>
    <w:rsid w:val="00EE071B"/>
    <w:rsid w:val="00EE4E48"/>
    <w:rsid w:val="00EF1328"/>
    <w:rsid w:val="00EF203F"/>
    <w:rsid w:val="00EF6E54"/>
    <w:rsid w:val="00F0051F"/>
    <w:rsid w:val="00F012CA"/>
    <w:rsid w:val="00F05310"/>
    <w:rsid w:val="00F061A8"/>
    <w:rsid w:val="00F1195D"/>
    <w:rsid w:val="00F168C8"/>
    <w:rsid w:val="00F2082A"/>
    <w:rsid w:val="00F20DEB"/>
    <w:rsid w:val="00F20F05"/>
    <w:rsid w:val="00F2160A"/>
    <w:rsid w:val="00F2462D"/>
    <w:rsid w:val="00F24B12"/>
    <w:rsid w:val="00F27A37"/>
    <w:rsid w:val="00F30B7B"/>
    <w:rsid w:val="00F3274C"/>
    <w:rsid w:val="00F3277D"/>
    <w:rsid w:val="00F33294"/>
    <w:rsid w:val="00F33791"/>
    <w:rsid w:val="00F33A38"/>
    <w:rsid w:val="00F37832"/>
    <w:rsid w:val="00F44357"/>
    <w:rsid w:val="00F44B3F"/>
    <w:rsid w:val="00F45F5B"/>
    <w:rsid w:val="00F47635"/>
    <w:rsid w:val="00F5184E"/>
    <w:rsid w:val="00F51BCB"/>
    <w:rsid w:val="00F55895"/>
    <w:rsid w:val="00F578F5"/>
    <w:rsid w:val="00F57DB6"/>
    <w:rsid w:val="00F57F50"/>
    <w:rsid w:val="00F607E7"/>
    <w:rsid w:val="00F633E7"/>
    <w:rsid w:val="00F647C7"/>
    <w:rsid w:val="00F6637E"/>
    <w:rsid w:val="00F66F91"/>
    <w:rsid w:val="00F6789E"/>
    <w:rsid w:val="00F725EE"/>
    <w:rsid w:val="00F766E2"/>
    <w:rsid w:val="00F819A7"/>
    <w:rsid w:val="00F8279A"/>
    <w:rsid w:val="00F828A2"/>
    <w:rsid w:val="00F8334D"/>
    <w:rsid w:val="00F84477"/>
    <w:rsid w:val="00F84782"/>
    <w:rsid w:val="00F857D6"/>
    <w:rsid w:val="00F86A35"/>
    <w:rsid w:val="00F90248"/>
    <w:rsid w:val="00F91ED8"/>
    <w:rsid w:val="00F92852"/>
    <w:rsid w:val="00F92BA3"/>
    <w:rsid w:val="00F94F3B"/>
    <w:rsid w:val="00F96F2A"/>
    <w:rsid w:val="00F977A9"/>
    <w:rsid w:val="00FA4EA8"/>
    <w:rsid w:val="00FA58A1"/>
    <w:rsid w:val="00FA58FF"/>
    <w:rsid w:val="00FA5D6F"/>
    <w:rsid w:val="00FA724D"/>
    <w:rsid w:val="00FA7F92"/>
    <w:rsid w:val="00FB18F4"/>
    <w:rsid w:val="00FB29F8"/>
    <w:rsid w:val="00FB43BA"/>
    <w:rsid w:val="00FB7616"/>
    <w:rsid w:val="00FC1610"/>
    <w:rsid w:val="00FC5035"/>
    <w:rsid w:val="00FC51C8"/>
    <w:rsid w:val="00FC59A6"/>
    <w:rsid w:val="00FC765B"/>
    <w:rsid w:val="00FD4697"/>
    <w:rsid w:val="00FD5EF7"/>
    <w:rsid w:val="00FD5FE1"/>
    <w:rsid w:val="00FD6072"/>
    <w:rsid w:val="00FD690C"/>
    <w:rsid w:val="00FE03C5"/>
    <w:rsid w:val="00FE1420"/>
    <w:rsid w:val="00FE1EC3"/>
    <w:rsid w:val="00FE34D5"/>
    <w:rsid w:val="00FE3BE9"/>
    <w:rsid w:val="00FE5B35"/>
    <w:rsid w:val="00FE7314"/>
    <w:rsid w:val="00FF0A72"/>
    <w:rsid w:val="00FF12A5"/>
    <w:rsid w:val="00FF1D79"/>
    <w:rsid w:val="00FF2311"/>
    <w:rsid w:val="00FF3A17"/>
    <w:rsid w:val="00FF3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6145"/>
    <o:shapelayout v:ext="edit">
      <o:idmap v:ext="edit" data="1"/>
    </o:shapelayout>
  </w:shapeDefaults>
  <w:decimalSymbol w:val="."/>
  <w:listSeparator w:val=","/>
  <w14:docId w14:val="3EBD1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D6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829F8"/>
    <w:pPr>
      <w:shd w:val="clear" w:color="auto" w:fill="0079C1" w:themeFill="accent1"/>
      <w:outlineLvl w:val="0"/>
    </w:pPr>
    <w:rPr>
      <w:rFonts w:ascii="Arial" w:hAnsi="Arial" w:cs="Arial"/>
      <w:b/>
      <w:color w:val="FFFFFF" w:themeColor="background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6D61"/>
    <w:pPr>
      <w:tabs>
        <w:tab w:val="center" w:pos="4680"/>
        <w:tab w:val="right" w:pos="9360"/>
      </w:tabs>
    </w:pPr>
  </w:style>
  <w:style w:type="character" w:customStyle="1" w:styleId="HeaderChar">
    <w:name w:val="Header Char"/>
    <w:basedOn w:val="DefaultParagraphFont"/>
    <w:link w:val="Header"/>
    <w:uiPriority w:val="99"/>
    <w:rsid w:val="00906D61"/>
  </w:style>
  <w:style w:type="paragraph" w:styleId="Footer">
    <w:name w:val="footer"/>
    <w:basedOn w:val="Normal"/>
    <w:link w:val="FooterChar"/>
    <w:unhideWhenUsed/>
    <w:rsid w:val="00906D61"/>
    <w:pPr>
      <w:tabs>
        <w:tab w:val="center" w:pos="4680"/>
        <w:tab w:val="right" w:pos="9360"/>
      </w:tabs>
    </w:pPr>
  </w:style>
  <w:style w:type="character" w:customStyle="1" w:styleId="FooterChar">
    <w:name w:val="Footer Char"/>
    <w:basedOn w:val="DefaultParagraphFont"/>
    <w:link w:val="Footer"/>
    <w:rsid w:val="00906D61"/>
  </w:style>
  <w:style w:type="paragraph" w:styleId="BalloonText">
    <w:name w:val="Balloon Text"/>
    <w:basedOn w:val="Normal"/>
    <w:link w:val="BalloonTextChar"/>
    <w:uiPriority w:val="99"/>
    <w:semiHidden/>
    <w:unhideWhenUsed/>
    <w:rsid w:val="00906D61"/>
    <w:rPr>
      <w:rFonts w:ascii="Tahoma" w:hAnsi="Tahoma" w:cs="Tahoma"/>
      <w:sz w:val="16"/>
      <w:szCs w:val="16"/>
    </w:rPr>
  </w:style>
  <w:style w:type="character" w:customStyle="1" w:styleId="BalloonTextChar">
    <w:name w:val="Balloon Text Char"/>
    <w:basedOn w:val="DefaultParagraphFont"/>
    <w:link w:val="BalloonText"/>
    <w:uiPriority w:val="99"/>
    <w:semiHidden/>
    <w:rsid w:val="00906D61"/>
    <w:rPr>
      <w:rFonts w:ascii="Tahoma" w:hAnsi="Tahoma" w:cs="Tahoma"/>
      <w:sz w:val="16"/>
      <w:szCs w:val="16"/>
    </w:rPr>
  </w:style>
  <w:style w:type="character" w:styleId="Hyperlink">
    <w:name w:val="Hyperlink"/>
    <w:basedOn w:val="DefaultParagraphFont"/>
    <w:uiPriority w:val="99"/>
    <w:rsid w:val="00906D61"/>
    <w:rPr>
      <w:color w:val="0000FF"/>
      <w:u w:val="single"/>
    </w:rPr>
  </w:style>
  <w:style w:type="paragraph" w:styleId="TOC1">
    <w:name w:val="toc 1"/>
    <w:basedOn w:val="Normal"/>
    <w:autoRedefine/>
    <w:uiPriority w:val="39"/>
    <w:rsid w:val="00151CA8"/>
    <w:pPr>
      <w:tabs>
        <w:tab w:val="left" w:pos="360"/>
        <w:tab w:val="right" w:leader="dot" w:pos="9000"/>
      </w:tabs>
      <w:spacing w:line="320" w:lineRule="atLeast"/>
    </w:pPr>
    <w:rPr>
      <w:rFonts w:ascii="Arial" w:hAnsi="Arial"/>
      <w:b/>
      <w:noProof/>
    </w:rPr>
  </w:style>
  <w:style w:type="paragraph" w:customStyle="1" w:styleId="TOCTitle">
    <w:name w:val="TOC Title"/>
    <w:basedOn w:val="Normal"/>
    <w:rsid w:val="00906D61"/>
    <w:pPr>
      <w:jc w:val="center"/>
    </w:pPr>
    <w:rPr>
      <w:b/>
    </w:rPr>
  </w:style>
  <w:style w:type="character" w:styleId="PageNumber">
    <w:name w:val="page number"/>
    <w:basedOn w:val="DefaultParagraphFont"/>
    <w:rsid w:val="00906D61"/>
  </w:style>
  <w:style w:type="paragraph" w:styleId="CommentText">
    <w:name w:val="annotation text"/>
    <w:basedOn w:val="Normal"/>
    <w:link w:val="CommentTextChar"/>
    <w:semiHidden/>
    <w:rsid w:val="006C4C4D"/>
    <w:rPr>
      <w:sz w:val="20"/>
      <w:szCs w:val="20"/>
    </w:rPr>
  </w:style>
  <w:style w:type="character" w:customStyle="1" w:styleId="CommentTextChar">
    <w:name w:val="Comment Text Char"/>
    <w:basedOn w:val="DefaultParagraphFont"/>
    <w:link w:val="CommentText"/>
    <w:semiHidden/>
    <w:rsid w:val="006C4C4D"/>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A1720C"/>
    <w:rPr>
      <w:sz w:val="16"/>
      <w:szCs w:val="16"/>
    </w:rPr>
  </w:style>
  <w:style w:type="paragraph" w:styleId="CommentSubject">
    <w:name w:val="annotation subject"/>
    <w:basedOn w:val="CommentText"/>
    <w:next w:val="CommentText"/>
    <w:link w:val="CommentSubjectChar"/>
    <w:uiPriority w:val="99"/>
    <w:semiHidden/>
    <w:unhideWhenUsed/>
    <w:rsid w:val="00A1720C"/>
    <w:rPr>
      <w:b/>
      <w:bCs/>
    </w:rPr>
  </w:style>
  <w:style w:type="character" w:customStyle="1" w:styleId="CommentSubjectChar">
    <w:name w:val="Comment Subject Char"/>
    <w:basedOn w:val="CommentTextChar"/>
    <w:link w:val="CommentSubject"/>
    <w:uiPriority w:val="99"/>
    <w:semiHidden/>
    <w:rsid w:val="00A1720C"/>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136238"/>
    <w:rPr>
      <w:color w:val="800080" w:themeColor="followedHyperlink"/>
      <w:u w:val="single"/>
    </w:rPr>
  </w:style>
  <w:style w:type="paragraph" w:customStyle="1" w:styleId="Default">
    <w:name w:val="Default"/>
    <w:rsid w:val="004C7593"/>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337399"/>
    <w:pPr>
      <w:ind w:left="720"/>
      <w:contextualSpacing/>
    </w:pPr>
  </w:style>
  <w:style w:type="paragraph" w:styleId="Revision">
    <w:name w:val="Revision"/>
    <w:hidden/>
    <w:uiPriority w:val="99"/>
    <w:semiHidden/>
    <w:rsid w:val="00434D4B"/>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CD1E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nualHeadingStyle1">
    <w:name w:val="Manual Heading Style 1"/>
    <w:basedOn w:val="Normal"/>
    <w:link w:val="ManualHeadingStyle1Char"/>
    <w:qFormat/>
    <w:rsid w:val="002F4235"/>
    <w:pPr>
      <w:shd w:val="clear" w:color="auto" w:fill="000000"/>
    </w:pPr>
    <w:rPr>
      <w:rFonts w:ascii="Arial" w:hAnsi="Arial" w:cs="Arial"/>
      <w:b/>
      <w:sz w:val="28"/>
      <w:szCs w:val="28"/>
    </w:rPr>
  </w:style>
  <w:style w:type="character" w:customStyle="1" w:styleId="ManualHeadingStyle1Char">
    <w:name w:val="Manual Heading Style 1 Char"/>
    <w:basedOn w:val="DefaultParagraphFont"/>
    <w:link w:val="ManualHeadingStyle1"/>
    <w:rsid w:val="002F4235"/>
    <w:rPr>
      <w:rFonts w:ascii="Arial" w:eastAsia="Times New Roman" w:hAnsi="Arial" w:cs="Arial"/>
      <w:b/>
      <w:sz w:val="28"/>
      <w:szCs w:val="28"/>
      <w:shd w:val="clear" w:color="auto" w:fill="000000"/>
    </w:rPr>
  </w:style>
  <w:style w:type="character" w:customStyle="1" w:styleId="Heading1Char">
    <w:name w:val="Heading 1 Char"/>
    <w:basedOn w:val="DefaultParagraphFont"/>
    <w:link w:val="Heading1"/>
    <w:uiPriority w:val="9"/>
    <w:rsid w:val="009829F8"/>
    <w:rPr>
      <w:rFonts w:ascii="Arial" w:eastAsia="Times New Roman" w:hAnsi="Arial" w:cs="Arial"/>
      <w:b/>
      <w:color w:val="FFFFFF" w:themeColor="background1"/>
      <w:sz w:val="28"/>
      <w:szCs w:val="28"/>
      <w:shd w:val="clear" w:color="auto" w:fill="0079C1" w:themeFill="accent1"/>
    </w:rPr>
  </w:style>
  <w:style w:type="paragraph" w:styleId="TOCHeading">
    <w:name w:val="TOC Heading"/>
    <w:basedOn w:val="Heading1"/>
    <w:next w:val="Normal"/>
    <w:uiPriority w:val="39"/>
    <w:semiHidden/>
    <w:unhideWhenUsed/>
    <w:qFormat/>
    <w:rsid w:val="00151CA8"/>
    <w:pPr>
      <w:keepNext/>
      <w:keepLines/>
      <w:shd w:val="clear" w:color="auto" w:fill="auto"/>
      <w:spacing w:before="480" w:line="276" w:lineRule="auto"/>
      <w:outlineLvl w:val="9"/>
    </w:pPr>
    <w:rPr>
      <w:rFonts w:asciiTheme="majorHAnsi" w:eastAsiaTheme="majorEastAsia" w:hAnsiTheme="majorHAnsi" w:cstheme="majorBidi"/>
      <w:bCs/>
      <w:color w:val="005990" w:themeColor="accent1" w:themeShade="BF"/>
    </w:rPr>
  </w:style>
  <w:style w:type="character" w:styleId="Emphasis">
    <w:name w:val="Emphasis"/>
    <w:basedOn w:val="DefaultParagraphFont"/>
    <w:uiPriority w:val="20"/>
    <w:qFormat/>
    <w:rsid w:val="00867995"/>
    <w:rPr>
      <w:i/>
      <w:iCs/>
    </w:rPr>
  </w:style>
  <w:style w:type="paragraph" w:styleId="TOC7">
    <w:name w:val="toc 7"/>
    <w:basedOn w:val="Normal"/>
    <w:next w:val="Normal"/>
    <w:autoRedefine/>
    <w:uiPriority w:val="39"/>
    <w:semiHidden/>
    <w:unhideWhenUsed/>
    <w:rsid w:val="00B850FD"/>
    <w:pPr>
      <w:spacing w:after="100"/>
      <w:ind w:left="1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D6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829F8"/>
    <w:pPr>
      <w:shd w:val="clear" w:color="auto" w:fill="0079C1" w:themeFill="accent1"/>
      <w:outlineLvl w:val="0"/>
    </w:pPr>
    <w:rPr>
      <w:rFonts w:ascii="Arial" w:hAnsi="Arial" w:cs="Arial"/>
      <w:b/>
      <w:color w:val="FFFFFF" w:themeColor="background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6D61"/>
    <w:pPr>
      <w:tabs>
        <w:tab w:val="center" w:pos="4680"/>
        <w:tab w:val="right" w:pos="9360"/>
      </w:tabs>
    </w:pPr>
  </w:style>
  <w:style w:type="character" w:customStyle="1" w:styleId="HeaderChar">
    <w:name w:val="Header Char"/>
    <w:basedOn w:val="DefaultParagraphFont"/>
    <w:link w:val="Header"/>
    <w:uiPriority w:val="99"/>
    <w:rsid w:val="00906D61"/>
  </w:style>
  <w:style w:type="paragraph" w:styleId="Footer">
    <w:name w:val="footer"/>
    <w:basedOn w:val="Normal"/>
    <w:link w:val="FooterChar"/>
    <w:unhideWhenUsed/>
    <w:rsid w:val="00906D61"/>
    <w:pPr>
      <w:tabs>
        <w:tab w:val="center" w:pos="4680"/>
        <w:tab w:val="right" w:pos="9360"/>
      </w:tabs>
    </w:pPr>
  </w:style>
  <w:style w:type="character" w:customStyle="1" w:styleId="FooterChar">
    <w:name w:val="Footer Char"/>
    <w:basedOn w:val="DefaultParagraphFont"/>
    <w:link w:val="Footer"/>
    <w:rsid w:val="00906D61"/>
  </w:style>
  <w:style w:type="paragraph" w:styleId="BalloonText">
    <w:name w:val="Balloon Text"/>
    <w:basedOn w:val="Normal"/>
    <w:link w:val="BalloonTextChar"/>
    <w:uiPriority w:val="99"/>
    <w:semiHidden/>
    <w:unhideWhenUsed/>
    <w:rsid w:val="00906D61"/>
    <w:rPr>
      <w:rFonts w:ascii="Tahoma" w:hAnsi="Tahoma" w:cs="Tahoma"/>
      <w:sz w:val="16"/>
      <w:szCs w:val="16"/>
    </w:rPr>
  </w:style>
  <w:style w:type="character" w:customStyle="1" w:styleId="BalloonTextChar">
    <w:name w:val="Balloon Text Char"/>
    <w:basedOn w:val="DefaultParagraphFont"/>
    <w:link w:val="BalloonText"/>
    <w:uiPriority w:val="99"/>
    <w:semiHidden/>
    <w:rsid w:val="00906D61"/>
    <w:rPr>
      <w:rFonts w:ascii="Tahoma" w:hAnsi="Tahoma" w:cs="Tahoma"/>
      <w:sz w:val="16"/>
      <w:szCs w:val="16"/>
    </w:rPr>
  </w:style>
  <w:style w:type="character" w:styleId="Hyperlink">
    <w:name w:val="Hyperlink"/>
    <w:basedOn w:val="DefaultParagraphFont"/>
    <w:uiPriority w:val="99"/>
    <w:rsid w:val="00906D61"/>
    <w:rPr>
      <w:color w:val="0000FF"/>
      <w:u w:val="single"/>
    </w:rPr>
  </w:style>
  <w:style w:type="paragraph" w:styleId="TOC1">
    <w:name w:val="toc 1"/>
    <w:basedOn w:val="Normal"/>
    <w:autoRedefine/>
    <w:uiPriority w:val="39"/>
    <w:rsid w:val="00151CA8"/>
    <w:pPr>
      <w:tabs>
        <w:tab w:val="left" w:pos="360"/>
        <w:tab w:val="right" w:leader="dot" w:pos="9000"/>
      </w:tabs>
      <w:spacing w:line="320" w:lineRule="atLeast"/>
    </w:pPr>
    <w:rPr>
      <w:rFonts w:ascii="Arial" w:hAnsi="Arial"/>
      <w:b/>
      <w:noProof/>
    </w:rPr>
  </w:style>
  <w:style w:type="paragraph" w:customStyle="1" w:styleId="TOCTitle">
    <w:name w:val="TOC Title"/>
    <w:basedOn w:val="Normal"/>
    <w:rsid w:val="00906D61"/>
    <w:pPr>
      <w:jc w:val="center"/>
    </w:pPr>
    <w:rPr>
      <w:b/>
    </w:rPr>
  </w:style>
  <w:style w:type="character" w:styleId="PageNumber">
    <w:name w:val="page number"/>
    <w:basedOn w:val="DefaultParagraphFont"/>
    <w:rsid w:val="00906D61"/>
  </w:style>
  <w:style w:type="paragraph" w:styleId="CommentText">
    <w:name w:val="annotation text"/>
    <w:basedOn w:val="Normal"/>
    <w:link w:val="CommentTextChar"/>
    <w:semiHidden/>
    <w:rsid w:val="006C4C4D"/>
    <w:rPr>
      <w:sz w:val="20"/>
      <w:szCs w:val="20"/>
    </w:rPr>
  </w:style>
  <w:style w:type="character" w:customStyle="1" w:styleId="CommentTextChar">
    <w:name w:val="Comment Text Char"/>
    <w:basedOn w:val="DefaultParagraphFont"/>
    <w:link w:val="CommentText"/>
    <w:semiHidden/>
    <w:rsid w:val="006C4C4D"/>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A1720C"/>
    <w:rPr>
      <w:sz w:val="16"/>
      <w:szCs w:val="16"/>
    </w:rPr>
  </w:style>
  <w:style w:type="paragraph" w:styleId="CommentSubject">
    <w:name w:val="annotation subject"/>
    <w:basedOn w:val="CommentText"/>
    <w:next w:val="CommentText"/>
    <w:link w:val="CommentSubjectChar"/>
    <w:uiPriority w:val="99"/>
    <w:semiHidden/>
    <w:unhideWhenUsed/>
    <w:rsid w:val="00A1720C"/>
    <w:rPr>
      <w:b/>
      <w:bCs/>
    </w:rPr>
  </w:style>
  <w:style w:type="character" w:customStyle="1" w:styleId="CommentSubjectChar">
    <w:name w:val="Comment Subject Char"/>
    <w:basedOn w:val="CommentTextChar"/>
    <w:link w:val="CommentSubject"/>
    <w:uiPriority w:val="99"/>
    <w:semiHidden/>
    <w:rsid w:val="00A1720C"/>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136238"/>
    <w:rPr>
      <w:color w:val="800080" w:themeColor="followedHyperlink"/>
      <w:u w:val="single"/>
    </w:rPr>
  </w:style>
  <w:style w:type="paragraph" w:customStyle="1" w:styleId="Default">
    <w:name w:val="Default"/>
    <w:rsid w:val="004C7593"/>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337399"/>
    <w:pPr>
      <w:ind w:left="720"/>
      <w:contextualSpacing/>
    </w:pPr>
  </w:style>
  <w:style w:type="paragraph" w:styleId="Revision">
    <w:name w:val="Revision"/>
    <w:hidden/>
    <w:uiPriority w:val="99"/>
    <w:semiHidden/>
    <w:rsid w:val="00434D4B"/>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CD1E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nualHeadingStyle1">
    <w:name w:val="Manual Heading Style 1"/>
    <w:basedOn w:val="Normal"/>
    <w:link w:val="ManualHeadingStyle1Char"/>
    <w:qFormat/>
    <w:rsid w:val="002F4235"/>
    <w:pPr>
      <w:shd w:val="clear" w:color="auto" w:fill="000000"/>
    </w:pPr>
    <w:rPr>
      <w:rFonts w:ascii="Arial" w:hAnsi="Arial" w:cs="Arial"/>
      <w:b/>
      <w:sz w:val="28"/>
      <w:szCs w:val="28"/>
    </w:rPr>
  </w:style>
  <w:style w:type="character" w:customStyle="1" w:styleId="ManualHeadingStyle1Char">
    <w:name w:val="Manual Heading Style 1 Char"/>
    <w:basedOn w:val="DefaultParagraphFont"/>
    <w:link w:val="ManualHeadingStyle1"/>
    <w:rsid w:val="002F4235"/>
    <w:rPr>
      <w:rFonts w:ascii="Arial" w:eastAsia="Times New Roman" w:hAnsi="Arial" w:cs="Arial"/>
      <w:b/>
      <w:sz w:val="28"/>
      <w:szCs w:val="28"/>
      <w:shd w:val="clear" w:color="auto" w:fill="000000"/>
    </w:rPr>
  </w:style>
  <w:style w:type="character" w:customStyle="1" w:styleId="Heading1Char">
    <w:name w:val="Heading 1 Char"/>
    <w:basedOn w:val="DefaultParagraphFont"/>
    <w:link w:val="Heading1"/>
    <w:uiPriority w:val="9"/>
    <w:rsid w:val="009829F8"/>
    <w:rPr>
      <w:rFonts w:ascii="Arial" w:eastAsia="Times New Roman" w:hAnsi="Arial" w:cs="Arial"/>
      <w:b/>
      <w:color w:val="FFFFFF" w:themeColor="background1"/>
      <w:sz w:val="28"/>
      <w:szCs w:val="28"/>
      <w:shd w:val="clear" w:color="auto" w:fill="0079C1" w:themeFill="accent1"/>
    </w:rPr>
  </w:style>
  <w:style w:type="paragraph" w:styleId="TOCHeading">
    <w:name w:val="TOC Heading"/>
    <w:basedOn w:val="Heading1"/>
    <w:next w:val="Normal"/>
    <w:uiPriority w:val="39"/>
    <w:semiHidden/>
    <w:unhideWhenUsed/>
    <w:qFormat/>
    <w:rsid w:val="00151CA8"/>
    <w:pPr>
      <w:keepNext/>
      <w:keepLines/>
      <w:shd w:val="clear" w:color="auto" w:fill="auto"/>
      <w:spacing w:before="480" w:line="276" w:lineRule="auto"/>
      <w:outlineLvl w:val="9"/>
    </w:pPr>
    <w:rPr>
      <w:rFonts w:asciiTheme="majorHAnsi" w:eastAsiaTheme="majorEastAsia" w:hAnsiTheme="majorHAnsi" w:cstheme="majorBidi"/>
      <w:bCs/>
      <w:color w:val="005990" w:themeColor="accent1" w:themeShade="BF"/>
    </w:rPr>
  </w:style>
  <w:style w:type="character" w:styleId="Emphasis">
    <w:name w:val="Emphasis"/>
    <w:basedOn w:val="DefaultParagraphFont"/>
    <w:uiPriority w:val="20"/>
    <w:qFormat/>
    <w:rsid w:val="00867995"/>
    <w:rPr>
      <w:i/>
      <w:iCs/>
    </w:rPr>
  </w:style>
  <w:style w:type="paragraph" w:styleId="TOC7">
    <w:name w:val="toc 7"/>
    <w:basedOn w:val="Normal"/>
    <w:next w:val="Normal"/>
    <w:autoRedefine/>
    <w:uiPriority w:val="39"/>
    <w:semiHidden/>
    <w:unhideWhenUsed/>
    <w:rsid w:val="00B850FD"/>
    <w:pPr>
      <w:spacing w:after="100"/>
      <w:ind w:left="1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8921">
      <w:bodyDiv w:val="1"/>
      <w:marLeft w:val="0"/>
      <w:marRight w:val="0"/>
      <w:marTop w:val="0"/>
      <w:marBottom w:val="0"/>
      <w:divBdr>
        <w:top w:val="none" w:sz="0" w:space="0" w:color="auto"/>
        <w:left w:val="none" w:sz="0" w:space="0" w:color="auto"/>
        <w:bottom w:val="none" w:sz="0" w:space="0" w:color="auto"/>
        <w:right w:val="none" w:sz="0" w:space="0" w:color="auto"/>
      </w:divBdr>
    </w:div>
    <w:div w:id="1148089419">
      <w:bodyDiv w:val="1"/>
      <w:marLeft w:val="0"/>
      <w:marRight w:val="0"/>
      <w:marTop w:val="0"/>
      <w:marBottom w:val="0"/>
      <w:divBdr>
        <w:top w:val="none" w:sz="0" w:space="0" w:color="auto"/>
        <w:left w:val="none" w:sz="0" w:space="0" w:color="auto"/>
        <w:bottom w:val="none" w:sz="0" w:space="0" w:color="auto"/>
        <w:right w:val="none" w:sz="0" w:space="0" w:color="auto"/>
      </w:divBdr>
      <w:divsChild>
        <w:div w:id="651174205">
          <w:marLeft w:val="0"/>
          <w:marRight w:val="0"/>
          <w:marTop w:val="0"/>
          <w:marBottom w:val="0"/>
          <w:divBdr>
            <w:top w:val="none" w:sz="0" w:space="0" w:color="auto"/>
            <w:left w:val="none" w:sz="0" w:space="0" w:color="auto"/>
            <w:bottom w:val="none" w:sz="0" w:space="0" w:color="auto"/>
            <w:right w:val="none" w:sz="0" w:space="0" w:color="auto"/>
          </w:divBdr>
        </w:div>
      </w:divsChild>
    </w:div>
    <w:div w:id="158283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ibmtr.org/manuals/fim/1/en/topic/general-guidelines-for-completing-forms" TargetMode="External"/><Relationship Id="rId18" Type="http://schemas.openxmlformats.org/officeDocument/2006/relationships/hyperlink" Target="http://www.cibmtr.org/DataManagement/TrainingReference/Manuals/DataManagement/Documents/section14.pdf" TargetMode="External"/><Relationship Id="rId26" Type="http://schemas.openxmlformats.org/officeDocument/2006/relationships/hyperlink" Target="http://www.cibmtr.org/DataManagement/TrainingReference/Manuals/DataManagement/Documents/section14.pdf" TargetMode="External"/><Relationship Id="rId3" Type="http://schemas.openxmlformats.org/officeDocument/2006/relationships/styles" Target="styles.xml"/><Relationship Id="rId21" Type="http://schemas.openxmlformats.org/officeDocument/2006/relationships/hyperlink" Target="http://www.cibmtr.org/DataManagement/TrainingReference/Manuals/DataManagement/Documents/section14.pdf" TargetMode="External"/><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cibmtr.org/DataManagement/TrainingReference/Manuals/DataManagement/Documents/section3.pdf" TargetMode="External"/><Relationship Id="rId17" Type="http://schemas.openxmlformats.org/officeDocument/2006/relationships/hyperlink" Target="http://www.cibmtr.org/DataManagement/TrainingReference/Manuals/DataManagement/Documents/section14.pdf" TargetMode="External"/><Relationship Id="rId25" Type="http://schemas.openxmlformats.org/officeDocument/2006/relationships/hyperlink" Target="http://www.cibmtr.org/DataManagement/TrainingReference/Manuals/DataManagement/Documents/Appendix%20S_Multiple%20Donor%20Chimerism.pdf" TargetMode="External"/><Relationship Id="rId33" Type="http://schemas.openxmlformats.org/officeDocument/2006/relationships/hyperlink" Target="http://www.cibmtr.org/DataManagement/TrainingReference/Manuals/DataManagement/Documents/section14.pdf"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ibmtr.org/manuals/fim/1/en/topic/appendix-o-how-to-distinguish-infusion-types" TargetMode="External"/><Relationship Id="rId20" Type="http://schemas.openxmlformats.org/officeDocument/2006/relationships/hyperlink" Target="http://www.cibmtr.org/DataManagement/TrainingReference/Manuals/DataManagement/Documents/section14.pdf" TargetMode="External"/><Relationship Id="rId29" Type="http://schemas.openxmlformats.org/officeDocument/2006/relationships/hyperlink" Target="http://www.cibmtr.org/DataManagement/TrainingReference/Manuals/DataManagement/Documents/section14.pdf" TargetMode="External"/><Relationship Id="rId41"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ibmtr.org/DataManagement/TrainingReference/Manuals/DataManagement/Documents/section2.pdf" TargetMode="External"/><Relationship Id="rId24" Type="http://schemas.openxmlformats.org/officeDocument/2006/relationships/hyperlink" Target="http://www.cibmtr.org/DataManagement/TrainingReference/Manuals/DataManagement/Documents/Appendix%20S_Multiple%20Donor%20Chimerism.pdf" TargetMode="External"/><Relationship Id="rId32" Type="http://schemas.openxmlformats.org/officeDocument/2006/relationships/hyperlink" Target="http://www.cibmtr.org/DataManagement/TrainingReference/Manuals/DataManagement/Documents/section14.pdf" TargetMode="External"/><Relationship Id="rId37" Type="http://schemas.openxmlformats.org/officeDocument/2006/relationships/fontTable" Target="fontTable.xml"/><Relationship Id="rId40"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s://www.cibmtr.org/manuals/fim/1/en/topic/appendix-o-how-to-distinguish-infusion-types" TargetMode="External"/><Relationship Id="rId23" Type="http://schemas.openxmlformats.org/officeDocument/2006/relationships/hyperlink" Target="http://www.cibmtr.org/DataManagement/TrainingReference/Manuals/DataManagement/Documents/section14.pdf" TargetMode="External"/><Relationship Id="rId28" Type="http://schemas.openxmlformats.org/officeDocument/2006/relationships/hyperlink" Target="http://www.cibmtr.org/DataManagement/TrainingReference/Manuals/DataManagement/Documents/section14.pdf" TargetMode="External"/><Relationship Id="rId36" Type="http://schemas.openxmlformats.org/officeDocument/2006/relationships/footer" Target="footer2.xml"/><Relationship Id="rId10" Type="http://schemas.openxmlformats.org/officeDocument/2006/relationships/hyperlink" Target="mailto:CIBMTRFormsManualComments@nmdp.org" TargetMode="External"/><Relationship Id="rId19" Type="http://schemas.openxmlformats.org/officeDocument/2006/relationships/hyperlink" Target="http://www.cibmtr.org/DataManagement/TrainingReference/Manuals/DataManagement/Documents/section14.pdf" TargetMode="External"/><Relationship Id="rId31" Type="http://schemas.openxmlformats.org/officeDocument/2006/relationships/hyperlink" Target="http://www.cibmtr.org/DataManagement/TrainingReference/Manuals/DataManagement/Documents/section14.pd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cibmtr.org/manuals/fim/1/en/topic/general-guidelines-for-completing-forms" TargetMode="External"/><Relationship Id="rId22" Type="http://schemas.openxmlformats.org/officeDocument/2006/relationships/hyperlink" Target="http://www.cibmtr.org/DataManagement/TrainingReference/Manuals/DataManagement/Documents/section14.pdf" TargetMode="External"/><Relationship Id="rId27" Type="http://schemas.openxmlformats.org/officeDocument/2006/relationships/hyperlink" Target="http://www.cibmtr.org/DataManagement/TrainingReference/Manuals/DataManagement/Documents/section14.pdf" TargetMode="External"/><Relationship Id="rId30" Type="http://schemas.openxmlformats.org/officeDocument/2006/relationships/hyperlink" Target="http://www.cibmtr.org/DataManagement/TrainingReference/Manuals/DataManagement/Documents/section14.pdf"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CIBMTR Colors">
      <a:dk1>
        <a:sysClr val="windowText" lastClr="000000"/>
      </a:dk1>
      <a:lt1>
        <a:sysClr val="window" lastClr="FFFFFF"/>
      </a:lt1>
      <a:dk2>
        <a:srgbClr val="1F497D"/>
      </a:dk2>
      <a:lt2>
        <a:srgbClr val="EEECE1"/>
      </a:lt2>
      <a:accent1>
        <a:srgbClr val="0079C1"/>
      </a:accent1>
      <a:accent2>
        <a:srgbClr val="63A70A"/>
      </a:accent2>
      <a:accent3>
        <a:srgbClr val="EA7200"/>
      </a:accent3>
      <a:accent4>
        <a:srgbClr val="00A0DD"/>
      </a:accent4>
      <a:accent5>
        <a:srgbClr val="BDCC2A"/>
      </a:accent5>
      <a:accent6>
        <a:srgbClr val="F6B331"/>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B0519D-7E82-4FD3-9D57-2594545BD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53</Pages>
  <Words>19659</Words>
  <Characters>112060</Characters>
  <Application>Microsoft Office Word</Application>
  <DocSecurity>0</DocSecurity>
  <Lines>933</Lines>
  <Paragraphs>262</Paragraphs>
  <ScaleCrop>false</ScaleCrop>
  <HeadingPairs>
    <vt:vector size="2" baseType="variant">
      <vt:variant>
        <vt:lpstr>Title</vt:lpstr>
      </vt:variant>
      <vt:variant>
        <vt:i4>1</vt:i4>
      </vt:variant>
    </vt:vector>
  </HeadingPairs>
  <TitlesOfParts>
    <vt:vector size="1" baseType="lpstr">
      <vt:lpstr/>
    </vt:vector>
  </TitlesOfParts>
  <Company>NMDP</Company>
  <LinksUpToDate>false</LinksUpToDate>
  <CharactersWithSpaces>131457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abirch</dc:creator>
  <cp:lastModifiedBy>Janet Steinback</cp:lastModifiedBy>
  <cp:revision>4</cp:revision>
  <cp:lastPrinted>2015-01-15T17:01:00Z</cp:lastPrinted>
  <dcterms:created xsi:type="dcterms:W3CDTF">2016-08-02T19:08:00Z</dcterms:created>
  <dcterms:modified xsi:type="dcterms:W3CDTF">2016-08-02T19:42:00Z</dcterms:modified>
</cp:coreProperties>
</file>