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CFA" w:rsidRDefault="00970CFA" w:rsidP="00970CFA">
      <w:pPr>
        <w:jc w:val="center"/>
      </w:pPr>
    </w:p>
    <w:p w:rsidR="00970CFA" w:rsidRPr="00970CFA" w:rsidRDefault="00970CFA" w:rsidP="00970CFA">
      <w:pPr>
        <w:pStyle w:val="NoSpacing"/>
        <w:jc w:val="center"/>
        <w:rPr>
          <w:b/>
          <w:sz w:val="24"/>
          <w:szCs w:val="24"/>
        </w:rPr>
      </w:pPr>
      <w:r w:rsidRPr="00970CFA">
        <w:rPr>
          <w:b/>
          <w:sz w:val="24"/>
          <w:szCs w:val="24"/>
        </w:rPr>
        <w:t>National Health Service Corps Students to Service Loan Repayment Program</w:t>
      </w:r>
    </w:p>
    <w:p w:rsidR="00970CFA" w:rsidRDefault="00970CFA" w:rsidP="00970CFA">
      <w:pPr>
        <w:jc w:val="center"/>
        <w:rPr>
          <w:b/>
          <w:sz w:val="24"/>
          <w:szCs w:val="24"/>
        </w:rPr>
      </w:pPr>
      <w:r w:rsidRPr="00970CFA">
        <w:rPr>
          <w:b/>
          <w:sz w:val="24"/>
          <w:szCs w:val="24"/>
        </w:rPr>
        <w:t>Verification of Disadvantaged Background</w:t>
      </w:r>
    </w:p>
    <w:p w:rsidR="006A2B8F" w:rsidRPr="006A2B8F" w:rsidRDefault="00986CB0" w:rsidP="00970CFA">
      <w:pPr>
        <w:jc w:val="center"/>
      </w:pPr>
      <w:r>
        <w:t xml:space="preserve">(For School Use Only – Must be </w:t>
      </w:r>
      <w:r w:rsidR="000A054C">
        <w:t xml:space="preserve">completed </w:t>
      </w:r>
      <w:r w:rsidR="006A2B8F">
        <w:t>by a Financial Aid Official)</w:t>
      </w:r>
    </w:p>
    <w:p w:rsidR="006A2B8F" w:rsidRDefault="006779AB" w:rsidP="006A2B8F">
      <w:pPr>
        <w:spacing w:after="0"/>
      </w:pPr>
      <w:r>
        <w:pict>
          <v:rect id="_x0000_i1025" style="width:0;height:1.5pt" o:hralign="center" o:hrstd="t" o:hr="t" fillcolor="#a0a0a0" stroked="f"/>
        </w:pict>
      </w:r>
    </w:p>
    <w:p w:rsidR="0091398F" w:rsidRDefault="006A2B8F" w:rsidP="006A2B8F">
      <w:pPr>
        <w:spacing w:after="0"/>
      </w:pPr>
      <w:r>
        <w:t>Name of Student</w:t>
      </w:r>
      <w:r w:rsidR="000A054C">
        <w:t xml:space="preserve"> (First, Middle initial, Last)</w:t>
      </w:r>
      <w:r>
        <w:tab/>
      </w:r>
      <w:r>
        <w:tab/>
      </w:r>
      <w:r>
        <w:tab/>
      </w:r>
      <w:r>
        <w:tab/>
        <w:t>Last 4 Digits of the Applicant’s SSN</w:t>
      </w:r>
    </w:p>
    <w:p w:rsidR="006A2B8F" w:rsidRDefault="006A2B8F" w:rsidP="006A2B8F">
      <w:pPr>
        <w:spacing w:after="0"/>
      </w:pPr>
    </w:p>
    <w:p w:rsidR="006A2B8F" w:rsidRDefault="006A2B8F" w:rsidP="006A2B8F">
      <w:pPr>
        <w:spacing w:after="0"/>
      </w:pPr>
      <w:r>
        <w:t>Students from a disadvantaged background have either participated in or would have been eligible to participate in Federal programs such as “Scholarships for Disadvantaged Students,” Loans to Disadvantaged Students,” or the “Nursing Workforce Diversity Grant Program.”</w:t>
      </w:r>
    </w:p>
    <w:p w:rsidR="006A2B8F" w:rsidRDefault="006A2B8F" w:rsidP="006A2B8F">
      <w:pPr>
        <w:spacing w:after="0"/>
      </w:pPr>
    </w:p>
    <w:p w:rsidR="00224FB8" w:rsidRDefault="00224FB8" w:rsidP="006A2B8F">
      <w:pPr>
        <w:spacing w:after="0"/>
      </w:pPr>
      <w:r>
        <w:t>Criteria for Disadvantaged Background Status:</w:t>
      </w:r>
    </w:p>
    <w:p w:rsidR="00224FB8" w:rsidRPr="00224FB8" w:rsidRDefault="00224FB8" w:rsidP="00224FB8">
      <w:pPr>
        <w:pStyle w:val="ListParagraph"/>
        <w:numPr>
          <w:ilvl w:val="0"/>
          <w:numId w:val="3"/>
        </w:numPr>
        <w:spacing w:after="0"/>
      </w:pPr>
      <w:r>
        <w:t xml:space="preserve">Come from an environment that has inhibited them from </w:t>
      </w:r>
      <w:r w:rsidRPr="008C7113">
        <w:rPr>
          <w:rFonts w:ascii="Calibri" w:hAnsi="Calibri"/>
          <w:color w:val="000000"/>
        </w:rPr>
        <w:t>obtaining the knowledge, skill, and abilities required to enroll in and graduate from</w:t>
      </w:r>
      <w:bookmarkStart w:id="0" w:name="_GoBack"/>
      <w:bookmarkEnd w:id="0"/>
      <w:r w:rsidRPr="008C7113">
        <w:rPr>
          <w:rFonts w:ascii="Calibri" w:hAnsi="Calibri"/>
          <w:color w:val="000000"/>
        </w:rPr>
        <w:t xml:space="preserve"> a school</w:t>
      </w:r>
      <w:r>
        <w:rPr>
          <w:rFonts w:ascii="Calibri" w:hAnsi="Calibri"/>
          <w:color w:val="000000"/>
        </w:rPr>
        <w:t xml:space="preserve">.  Examples for environmental factors may include:  </w:t>
      </w:r>
    </w:p>
    <w:p w:rsidR="00224FB8" w:rsidRDefault="00224FB8" w:rsidP="00224FB8">
      <w:pPr>
        <w:pStyle w:val="ListParagraph"/>
        <w:numPr>
          <w:ilvl w:val="1"/>
          <w:numId w:val="3"/>
        </w:numPr>
        <w:spacing w:after="0"/>
      </w:pPr>
      <w:r>
        <w:t>Person that attended a high school with low average SAT/ACT scores or below the average State test results.</w:t>
      </w:r>
    </w:p>
    <w:p w:rsidR="00224FB8" w:rsidRDefault="00224FB8" w:rsidP="00224FB8">
      <w:pPr>
        <w:pStyle w:val="ListParagraph"/>
        <w:numPr>
          <w:ilvl w:val="1"/>
          <w:numId w:val="3"/>
        </w:numPr>
        <w:spacing w:after="0"/>
      </w:pPr>
      <w:r>
        <w:t>Person from a school district where 50 percent or less of graduates go to college.</w:t>
      </w:r>
    </w:p>
    <w:p w:rsidR="00224FB8" w:rsidRDefault="00224FB8" w:rsidP="00224FB8">
      <w:pPr>
        <w:pStyle w:val="ListParagraph"/>
        <w:numPr>
          <w:ilvl w:val="1"/>
          <w:numId w:val="3"/>
        </w:numPr>
        <w:spacing w:after="0"/>
      </w:pPr>
      <w:r>
        <w:t>Person who has a diagnosed physical or mental impairment that substantially limits participation in educational experiences.</w:t>
      </w:r>
    </w:p>
    <w:p w:rsidR="00224FB8" w:rsidRDefault="00224FB8" w:rsidP="00224FB8">
      <w:pPr>
        <w:pStyle w:val="ListParagraph"/>
        <w:numPr>
          <w:ilvl w:val="1"/>
          <w:numId w:val="3"/>
        </w:numPr>
        <w:spacing w:after="0"/>
      </w:pPr>
      <w:r>
        <w:t>Person for whom English is not his/her primary language and for whom language is still a barrier to academic performance.</w:t>
      </w:r>
    </w:p>
    <w:p w:rsidR="00224FB8" w:rsidRDefault="00224FB8" w:rsidP="00224FB8">
      <w:pPr>
        <w:pStyle w:val="ListParagraph"/>
        <w:numPr>
          <w:ilvl w:val="1"/>
          <w:numId w:val="3"/>
        </w:numPr>
        <w:spacing w:after="0"/>
      </w:pPr>
      <w:r>
        <w:t>Person who is the first generation to attend college.</w:t>
      </w:r>
    </w:p>
    <w:p w:rsidR="00224FB8" w:rsidRPr="00224FB8" w:rsidRDefault="00224FB8" w:rsidP="00224FB8">
      <w:pPr>
        <w:pStyle w:val="ListParagraph"/>
        <w:numPr>
          <w:ilvl w:val="1"/>
          <w:numId w:val="3"/>
        </w:numPr>
        <w:spacing w:after="0"/>
      </w:pPr>
      <w:r>
        <w:t>Person from a high school where at least 30 percent of enrolled students are eligible for free or reduced-price lunches.</w:t>
      </w:r>
    </w:p>
    <w:p w:rsidR="00B16D72" w:rsidRDefault="00224FB8" w:rsidP="00B16D72">
      <w:pPr>
        <w:pStyle w:val="ListParagraph"/>
        <w:numPr>
          <w:ilvl w:val="0"/>
          <w:numId w:val="3"/>
        </w:numPr>
        <w:spacing w:after="0"/>
      </w:pPr>
      <w:r>
        <w:rPr>
          <w:rFonts w:ascii="Calibri" w:hAnsi="Calibri"/>
          <w:color w:val="000000"/>
        </w:rPr>
        <w:t>C</w:t>
      </w:r>
      <w:r w:rsidRPr="008C7113">
        <w:rPr>
          <w:rFonts w:ascii="Calibri" w:hAnsi="Calibri"/>
          <w:color w:val="000000"/>
        </w:rPr>
        <w:t>ome from a family with an annual income below a level based on low-income thresholds according to family size published by the U.S. Bureau of the Census, adjusted annually for changes in the Consumer Price Index, and adjusted by the Secretary of Health and Human Services</w:t>
      </w:r>
      <w:r>
        <w:rPr>
          <w:rFonts w:ascii="Calibri" w:hAnsi="Calibri"/>
          <w:color w:val="000000"/>
        </w:rPr>
        <w:t xml:space="preserve"> (HHS)</w:t>
      </w:r>
      <w:r w:rsidRPr="008C7113">
        <w:rPr>
          <w:rFonts w:ascii="Calibri" w:hAnsi="Calibri"/>
          <w:color w:val="000000"/>
        </w:rPr>
        <w:t xml:space="preserve"> for adaptation to this program</w:t>
      </w:r>
      <w:r>
        <w:rPr>
          <w:rFonts w:ascii="Calibri" w:hAnsi="Calibri"/>
          <w:color w:val="000000"/>
        </w:rPr>
        <w:t>.</w:t>
      </w:r>
      <w:r w:rsidR="00B16D72">
        <w:t xml:space="preserve">  For purposes of this program, annual income may not exceed 200 percent of the HHS poverty guidelines.</w:t>
      </w:r>
    </w:p>
    <w:p w:rsidR="006A2B8F" w:rsidRDefault="006A2B8F" w:rsidP="006A2B8F">
      <w:pPr>
        <w:spacing w:after="0"/>
      </w:pPr>
    </w:p>
    <w:p w:rsidR="006A2B8F" w:rsidRPr="00B16D72" w:rsidRDefault="006A2B8F" w:rsidP="006A2B8F">
      <w:pPr>
        <w:spacing w:after="0"/>
        <w:rPr>
          <w:b/>
        </w:rPr>
      </w:pPr>
      <w:r w:rsidRPr="00B16D72">
        <w:rPr>
          <w:b/>
        </w:rPr>
        <w:t>The Financial Aid Officer identified below certifies that the above-named student:</w:t>
      </w:r>
    </w:p>
    <w:p w:rsidR="006A2B8F" w:rsidRDefault="006A2B8F" w:rsidP="006A2B8F">
      <w:pPr>
        <w:pStyle w:val="ListParagraph"/>
        <w:numPr>
          <w:ilvl w:val="0"/>
          <w:numId w:val="2"/>
        </w:numPr>
        <w:spacing w:after="0"/>
      </w:pPr>
      <w:r w:rsidRPr="006A2B8F">
        <w:rPr>
          <w:b/>
        </w:rPr>
        <w:t>Is</w:t>
      </w:r>
      <w:r>
        <w:t xml:space="preserve"> from a disadvantaged background.  </w:t>
      </w:r>
    </w:p>
    <w:p w:rsidR="006A2B8F" w:rsidRDefault="006A2B8F" w:rsidP="006A2B8F">
      <w:pPr>
        <w:pStyle w:val="ListParagraph"/>
        <w:numPr>
          <w:ilvl w:val="0"/>
          <w:numId w:val="2"/>
        </w:numPr>
        <w:spacing w:after="0"/>
      </w:pPr>
      <w:r>
        <w:rPr>
          <w:b/>
        </w:rPr>
        <w:t xml:space="preserve">Is NOT </w:t>
      </w:r>
      <w:r>
        <w:t>from a disadvantaged background.</w:t>
      </w:r>
    </w:p>
    <w:p w:rsidR="006A2B8F" w:rsidRDefault="006A2B8F" w:rsidP="009966E7">
      <w:pPr>
        <w:pStyle w:val="ListParagraph"/>
        <w:spacing w:after="0" w:line="240" w:lineRule="exact"/>
        <w:ind w:left="770"/>
      </w:pPr>
    </w:p>
    <w:p w:rsidR="009966E7" w:rsidRDefault="009966E7" w:rsidP="009966E7">
      <w:pPr>
        <w:pStyle w:val="ListParagraph"/>
        <w:spacing w:after="0" w:line="200" w:lineRule="exact"/>
        <w:ind w:left="770"/>
      </w:pPr>
    </w:p>
    <w:p w:rsidR="006A2B8F" w:rsidRPr="009966E7" w:rsidRDefault="006779AB" w:rsidP="009966E7">
      <w:pPr>
        <w:spacing w:after="0" w:line="200" w:lineRule="exact"/>
        <w:rPr>
          <w:sz w:val="20"/>
          <w:szCs w:val="20"/>
        </w:rPr>
      </w:pPr>
      <w:r>
        <w:rPr>
          <w:sz w:val="20"/>
          <w:szCs w:val="20"/>
        </w:rPr>
        <w:pict>
          <v:rect id="_x0000_i1026" style="width:0;height:1.5pt" o:hralign="center" o:hrstd="t" o:hr="t" fillcolor="#a0a0a0" stroked="f"/>
        </w:pict>
      </w:r>
    </w:p>
    <w:p w:rsidR="00B16D72" w:rsidRPr="009966E7" w:rsidRDefault="00B16D72" w:rsidP="009966E7">
      <w:pPr>
        <w:spacing w:after="0" w:line="200" w:lineRule="exact"/>
        <w:rPr>
          <w:sz w:val="20"/>
          <w:szCs w:val="20"/>
        </w:rPr>
      </w:pPr>
      <w:r w:rsidRPr="009966E7">
        <w:rPr>
          <w:sz w:val="20"/>
          <w:szCs w:val="20"/>
        </w:rPr>
        <w:t>Signature</w:t>
      </w:r>
      <w:r w:rsidRPr="009966E7">
        <w:rPr>
          <w:sz w:val="20"/>
          <w:szCs w:val="20"/>
        </w:rPr>
        <w:tab/>
      </w:r>
      <w:r w:rsidRPr="009966E7">
        <w:rPr>
          <w:sz w:val="20"/>
          <w:szCs w:val="20"/>
        </w:rPr>
        <w:tab/>
      </w:r>
      <w:r w:rsidRPr="009966E7">
        <w:rPr>
          <w:sz w:val="20"/>
          <w:szCs w:val="20"/>
        </w:rPr>
        <w:tab/>
      </w:r>
      <w:r w:rsidRPr="009966E7">
        <w:rPr>
          <w:sz w:val="20"/>
          <w:szCs w:val="20"/>
        </w:rPr>
        <w:tab/>
      </w:r>
      <w:r w:rsidRPr="009966E7">
        <w:rPr>
          <w:sz w:val="20"/>
          <w:szCs w:val="20"/>
        </w:rPr>
        <w:tab/>
        <w:t>Printed Name</w:t>
      </w:r>
      <w:r w:rsidRPr="009966E7">
        <w:rPr>
          <w:sz w:val="20"/>
          <w:szCs w:val="20"/>
        </w:rPr>
        <w:tab/>
      </w:r>
      <w:r w:rsidRPr="009966E7">
        <w:rPr>
          <w:sz w:val="20"/>
          <w:szCs w:val="20"/>
        </w:rPr>
        <w:tab/>
      </w:r>
      <w:r w:rsidRPr="009966E7">
        <w:rPr>
          <w:sz w:val="20"/>
          <w:szCs w:val="20"/>
        </w:rPr>
        <w:tab/>
      </w:r>
      <w:r w:rsidRPr="009966E7">
        <w:rPr>
          <w:sz w:val="20"/>
          <w:szCs w:val="20"/>
        </w:rPr>
        <w:tab/>
      </w:r>
      <w:r w:rsidRPr="009966E7">
        <w:rPr>
          <w:sz w:val="20"/>
          <w:szCs w:val="20"/>
        </w:rPr>
        <w:tab/>
        <w:t>Date</w:t>
      </w:r>
    </w:p>
    <w:p w:rsidR="00B16D72" w:rsidRPr="009966E7" w:rsidRDefault="00B16D72" w:rsidP="009966E7">
      <w:pPr>
        <w:spacing w:after="0" w:line="240" w:lineRule="exact"/>
        <w:rPr>
          <w:sz w:val="20"/>
          <w:szCs w:val="20"/>
        </w:rPr>
      </w:pPr>
    </w:p>
    <w:p w:rsidR="00B16D72" w:rsidRPr="009966E7" w:rsidRDefault="006779AB" w:rsidP="009966E7">
      <w:pPr>
        <w:spacing w:after="0" w:line="200" w:lineRule="exact"/>
        <w:rPr>
          <w:sz w:val="20"/>
          <w:szCs w:val="20"/>
        </w:rPr>
      </w:pPr>
      <w:r>
        <w:rPr>
          <w:sz w:val="20"/>
          <w:szCs w:val="20"/>
        </w:rPr>
        <w:pict>
          <v:rect id="_x0000_i1027" style="width:0;height:1.5pt" o:hralign="center" o:hrstd="t" o:hr="t" fillcolor="#a0a0a0" stroked="f"/>
        </w:pict>
      </w:r>
    </w:p>
    <w:p w:rsidR="006A2B8F" w:rsidRPr="009966E7" w:rsidRDefault="00B16D72" w:rsidP="009966E7">
      <w:pPr>
        <w:spacing w:after="0" w:line="200" w:lineRule="exact"/>
        <w:rPr>
          <w:sz w:val="20"/>
          <w:szCs w:val="20"/>
        </w:rPr>
      </w:pPr>
      <w:r w:rsidRPr="009966E7">
        <w:rPr>
          <w:sz w:val="20"/>
          <w:szCs w:val="20"/>
        </w:rPr>
        <w:t>Title</w:t>
      </w:r>
      <w:r w:rsidRPr="009966E7">
        <w:rPr>
          <w:sz w:val="20"/>
          <w:szCs w:val="20"/>
        </w:rPr>
        <w:tab/>
      </w:r>
      <w:r w:rsidRPr="009966E7">
        <w:rPr>
          <w:sz w:val="20"/>
          <w:szCs w:val="20"/>
        </w:rPr>
        <w:tab/>
      </w:r>
      <w:r w:rsidRPr="009966E7">
        <w:rPr>
          <w:sz w:val="20"/>
          <w:szCs w:val="20"/>
        </w:rPr>
        <w:tab/>
      </w:r>
      <w:r w:rsidRPr="009966E7">
        <w:rPr>
          <w:sz w:val="20"/>
          <w:szCs w:val="20"/>
        </w:rPr>
        <w:tab/>
      </w:r>
      <w:r w:rsidR="009966E7" w:rsidRPr="009966E7">
        <w:rPr>
          <w:sz w:val="20"/>
          <w:szCs w:val="20"/>
        </w:rPr>
        <w:tab/>
      </w:r>
      <w:r w:rsidR="009966E7" w:rsidRPr="009966E7">
        <w:rPr>
          <w:sz w:val="20"/>
          <w:szCs w:val="20"/>
        </w:rPr>
        <w:tab/>
      </w:r>
      <w:r w:rsidRPr="009966E7">
        <w:rPr>
          <w:sz w:val="20"/>
          <w:szCs w:val="20"/>
        </w:rPr>
        <w:t>Phone</w:t>
      </w:r>
      <w:r w:rsidRPr="009966E7">
        <w:rPr>
          <w:sz w:val="20"/>
          <w:szCs w:val="20"/>
        </w:rPr>
        <w:tab/>
      </w:r>
      <w:r w:rsidRPr="009966E7">
        <w:rPr>
          <w:sz w:val="20"/>
          <w:szCs w:val="20"/>
        </w:rPr>
        <w:tab/>
      </w:r>
      <w:r w:rsidRPr="009966E7">
        <w:rPr>
          <w:sz w:val="20"/>
          <w:szCs w:val="20"/>
        </w:rPr>
        <w:tab/>
      </w:r>
      <w:r w:rsidRPr="009966E7">
        <w:rPr>
          <w:sz w:val="20"/>
          <w:szCs w:val="20"/>
        </w:rPr>
        <w:tab/>
      </w:r>
      <w:r w:rsidRPr="009966E7">
        <w:rPr>
          <w:sz w:val="20"/>
          <w:szCs w:val="20"/>
        </w:rPr>
        <w:tab/>
      </w:r>
      <w:r w:rsidR="009966E7" w:rsidRPr="009966E7">
        <w:rPr>
          <w:sz w:val="20"/>
          <w:szCs w:val="20"/>
        </w:rPr>
        <w:tab/>
      </w:r>
      <w:r w:rsidRPr="009966E7">
        <w:rPr>
          <w:sz w:val="20"/>
          <w:szCs w:val="20"/>
        </w:rPr>
        <w:t>Email</w:t>
      </w:r>
    </w:p>
    <w:p w:rsidR="009966E7" w:rsidRPr="009966E7" w:rsidRDefault="009966E7" w:rsidP="009966E7">
      <w:pPr>
        <w:spacing w:after="0" w:line="240" w:lineRule="exact"/>
        <w:rPr>
          <w:sz w:val="20"/>
          <w:szCs w:val="20"/>
        </w:rPr>
      </w:pPr>
    </w:p>
    <w:p w:rsidR="009966E7" w:rsidRPr="009966E7" w:rsidRDefault="006779AB" w:rsidP="009966E7">
      <w:pPr>
        <w:spacing w:after="0" w:line="200" w:lineRule="exact"/>
        <w:rPr>
          <w:sz w:val="20"/>
          <w:szCs w:val="20"/>
        </w:rPr>
      </w:pPr>
      <w:r>
        <w:rPr>
          <w:sz w:val="20"/>
          <w:szCs w:val="20"/>
        </w:rPr>
        <w:pict>
          <v:rect id="_x0000_i1028" style="width:0;height:1.5pt" o:hralign="center" o:hrstd="t" o:hr="t" fillcolor="#a0a0a0" stroked="f"/>
        </w:pict>
      </w:r>
    </w:p>
    <w:p w:rsidR="009966E7" w:rsidRPr="009966E7" w:rsidRDefault="009966E7" w:rsidP="009966E7">
      <w:pPr>
        <w:spacing w:after="0" w:line="200" w:lineRule="exact"/>
        <w:rPr>
          <w:sz w:val="20"/>
          <w:szCs w:val="20"/>
        </w:rPr>
      </w:pPr>
      <w:r w:rsidRPr="009966E7">
        <w:rPr>
          <w:sz w:val="20"/>
          <w:szCs w:val="20"/>
        </w:rPr>
        <w:t>Name of School</w:t>
      </w:r>
    </w:p>
    <w:sectPr w:rsidR="009966E7" w:rsidRPr="009966E7" w:rsidSect="00F81841">
      <w:headerReference w:type="default" r:id="rId9"/>
      <w:pgSz w:w="12240" w:h="15840"/>
      <w:pgMar w:top="1008" w:right="1152" w:bottom="1008" w:left="1152"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9AB" w:rsidRDefault="006779AB" w:rsidP="00F2112A">
      <w:pPr>
        <w:spacing w:after="0" w:line="240" w:lineRule="auto"/>
      </w:pPr>
      <w:r>
        <w:separator/>
      </w:r>
    </w:p>
  </w:endnote>
  <w:endnote w:type="continuationSeparator" w:id="0">
    <w:p w:rsidR="006779AB" w:rsidRDefault="006779AB" w:rsidP="00F2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9AB" w:rsidRDefault="006779AB" w:rsidP="00F2112A">
      <w:pPr>
        <w:spacing w:after="0" w:line="240" w:lineRule="auto"/>
      </w:pPr>
      <w:r>
        <w:separator/>
      </w:r>
    </w:p>
  </w:footnote>
  <w:footnote w:type="continuationSeparator" w:id="0">
    <w:p w:rsidR="006779AB" w:rsidRDefault="006779AB" w:rsidP="00F21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841" w:rsidRDefault="008F6DFB" w:rsidP="00F81841">
    <w:pPr>
      <w:pStyle w:val="Header"/>
      <w:ind w:left="-720"/>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4632960</wp:posOffset>
              </wp:positionH>
              <wp:positionV relativeFrom="paragraph">
                <wp:posOffset>1270</wp:posOffset>
              </wp:positionV>
              <wp:extent cx="2409825" cy="642620"/>
              <wp:effectExtent l="0" t="0" r="952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841" w:rsidRDefault="009966E7" w:rsidP="00F81841">
                          <w:pPr>
                            <w:pStyle w:val="NoSpacing"/>
                            <w:jc w:val="center"/>
                            <w:rPr>
                              <w:sz w:val="18"/>
                              <w:szCs w:val="18"/>
                            </w:rPr>
                          </w:pPr>
                          <w:r>
                            <w:rPr>
                              <w:b/>
                              <w:sz w:val="18"/>
                              <w:szCs w:val="18"/>
                            </w:rPr>
                            <w:t>Bureau of Clinician Recruitment and Service</w:t>
                          </w:r>
                        </w:p>
                        <w:p w:rsidR="00F81841" w:rsidRPr="004817F2" w:rsidRDefault="009966E7" w:rsidP="00F81841">
                          <w:pPr>
                            <w:pStyle w:val="NoSpacing"/>
                            <w:jc w:val="center"/>
                            <w:rPr>
                              <w:sz w:val="18"/>
                              <w:szCs w:val="18"/>
                            </w:rPr>
                          </w:pPr>
                          <w:r w:rsidRPr="004817F2">
                            <w:rPr>
                              <w:sz w:val="18"/>
                              <w:szCs w:val="18"/>
                            </w:rPr>
                            <w:t>U.S. Department of Health and Human Services</w:t>
                          </w:r>
                        </w:p>
                        <w:p w:rsidR="00F81841" w:rsidRPr="004817F2" w:rsidRDefault="009966E7" w:rsidP="00F81841">
                          <w:pPr>
                            <w:pStyle w:val="NoSpacing"/>
                            <w:jc w:val="center"/>
                            <w:rPr>
                              <w:sz w:val="18"/>
                              <w:szCs w:val="18"/>
                            </w:rPr>
                          </w:pPr>
                          <w:r>
                            <w:rPr>
                              <w:sz w:val="18"/>
                              <w:szCs w:val="18"/>
                            </w:rPr>
                            <w:t>Health R</w:t>
                          </w:r>
                          <w:r w:rsidRPr="004817F2">
                            <w:rPr>
                              <w:sz w:val="18"/>
                              <w:szCs w:val="18"/>
                            </w:rPr>
                            <w:t>esou</w:t>
                          </w:r>
                          <w:r>
                            <w:rPr>
                              <w:sz w:val="18"/>
                              <w:szCs w:val="18"/>
                            </w:rPr>
                            <w:t>r</w:t>
                          </w:r>
                          <w:r w:rsidRPr="004817F2">
                            <w:rPr>
                              <w:sz w:val="18"/>
                              <w:szCs w:val="18"/>
                            </w:rPr>
                            <w:t xml:space="preserve">ces and </w:t>
                          </w:r>
                          <w:r>
                            <w:rPr>
                              <w:sz w:val="18"/>
                              <w:szCs w:val="18"/>
                            </w:rPr>
                            <w:t>S</w:t>
                          </w:r>
                          <w:r w:rsidRPr="004817F2">
                            <w:rPr>
                              <w:sz w:val="18"/>
                              <w:szCs w:val="18"/>
                            </w:rPr>
                            <w:t>ervice</w:t>
                          </w:r>
                          <w:r>
                            <w:rPr>
                              <w:sz w:val="18"/>
                              <w:szCs w:val="18"/>
                            </w:rPr>
                            <w:t>s</w:t>
                          </w:r>
                          <w:r w:rsidRPr="004817F2">
                            <w:rPr>
                              <w:sz w:val="18"/>
                              <w:szCs w:val="18"/>
                            </w:rPr>
                            <w:t xml:space="preserve"> </w:t>
                          </w:r>
                          <w:r>
                            <w:rPr>
                              <w:sz w:val="18"/>
                              <w:szCs w:val="18"/>
                            </w:rPr>
                            <w:t>A</w:t>
                          </w:r>
                          <w:r w:rsidRPr="004817F2">
                            <w:rPr>
                              <w:sz w:val="18"/>
                              <w:szCs w:val="18"/>
                            </w:rPr>
                            <w:t>dministration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4.8pt;margin-top:.1pt;width:189.75pt;height: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9pggw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" stroked="f">
              <v:textbox>
                <w:txbxContent>
                  <w:p w:rsidR="00F81841" w:rsidRDefault="009966E7" w:rsidP="00F81841">
                    <w:pPr>
                      <w:pStyle w:val="NoSpacing"/>
                      <w:jc w:val="center"/>
                      <w:rPr>
                        <w:sz w:val="18"/>
                        <w:szCs w:val="18"/>
                      </w:rPr>
                    </w:pPr>
                    <w:r>
                      <w:rPr>
                        <w:b/>
                        <w:sz w:val="18"/>
                        <w:szCs w:val="18"/>
                      </w:rPr>
                      <w:t>Bureau of Clinician Recruitment and Service</w:t>
                    </w:r>
                  </w:p>
                  <w:p w:rsidR="00F81841" w:rsidRPr="004817F2" w:rsidRDefault="009966E7" w:rsidP="00F81841">
                    <w:pPr>
                      <w:pStyle w:val="NoSpacing"/>
                      <w:jc w:val="center"/>
                      <w:rPr>
                        <w:sz w:val="18"/>
                        <w:szCs w:val="18"/>
                      </w:rPr>
                    </w:pPr>
                    <w:r w:rsidRPr="004817F2">
                      <w:rPr>
                        <w:sz w:val="18"/>
                        <w:szCs w:val="18"/>
                      </w:rPr>
                      <w:t>U.S. Department of Health and Human Services</w:t>
                    </w:r>
                  </w:p>
                  <w:p w:rsidR="00F81841" w:rsidRPr="004817F2" w:rsidRDefault="009966E7" w:rsidP="00F81841">
                    <w:pPr>
                      <w:pStyle w:val="NoSpacing"/>
                      <w:jc w:val="center"/>
                      <w:rPr>
                        <w:sz w:val="18"/>
                        <w:szCs w:val="18"/>
                      </w:rPr>
                    </w:pPr>
                    <w:r>
                      <w:rPr>
                        <w:sz w:val="18"/>
                        <w:szCs w:val="18"/>
                      </w:rPr>
                      <w:t>Health R</w:t>
                    </w:r>
                    <w:r w:rsidRPr="004817F2">
                      <w:rPr>
                        <w:sz w:val="18"/>
                        <w:szCs w:val="18"/>
                      </w:rPr>
                      <w:t>esou</w:t>
                    </w:r>
                    <w:r>
                      <w:rPr>
                        <w:sz w:val="18"/>
                        <w:szCs w:val="18"/>
                      </w:rPr>
                      <w:t>r</w:t>
                    </w:r>
                    <w:r w:rsidRPr="004817F2">
                      <w:rPr>
                        <w:sz w:val="18"/>
                        <w:szCs w:val="18"/>
                      </w:rPr>
                      <w:t xml:space="preserve">ces and </w:t>
                    </w:r>
                    <w:r>
                      <w:rPr>
                        <w:sz w:val="18"/>
                        <w:szCs w:val="18"/>
                      </w:rPr>
                      <w:t>S</w:t>
                    </w:r>
                    <w:r w:rsidRPr="004817F2">
                      <w:rPr>
                        <w:sz w:val="18"/>
                        <w:szCs w:val="18"/>
                      </w:rPr>
                      <w:t>ervice</w:t>
                    </w:r>
                    <w:r>
                      <w:rPr>
                        <w:sz w:val="18"/>
                        <w:szCs w:val="18"/>
                      </w:rPr>
                      <w:t>s</w:t>
                    </w:r>
                    <w:r w:rsidRPr="004817F2">
                      <w:rPr>
                        <w:sz w:val="18"/>
                        <w:szCs w:val="18"/>
                      </w:rPr>
                      <w:t xml:space="preserve"> </w:t>
                    </w:r>
                    <w:r>
                      <w:rPr>
                        <w:sz w:val="18"/>
                        <w:szCs w:val="18"/>
                      </w:rPr>
                      <w:t>A</w:t>
                    </w:r>
                    <w:r w:rsidRPr="004817F2">
                      <w:rPr>
                        <w:sz w:val="18"/>
                        <w:szCs w:val="18"/>
                      </w:rPr>
                      <w:t>dministration</w:t>
                    </w:r>
                  </w:p>
                </w:txbxContent>
              </v:textbox>
            </v:shape>
          </w:pict>
        </mc:Fallback>
      </mc:AlternateContent>
    </w:r>
    <w:r w:rsidR="009966E7">
      <w:rPr>
        <w:noProof/>
      </w:rPr>
      <w:drawing>
        <wp:inline distT="0" distB="0" distL="0" distR="0">
          <wp:extent cx="866775" cy="81089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6775" cy="8108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34FDE"/>
    <w:multiLevelType w:val="hybridMultilevel"/>
    <w:tmpl w:val="35AEA312"/>
    <w:lvl w:ilvl="0" w:tplc="7A80E7AC">
      <w:start w:val="1"/>
      <w:numFmt w:val="bullet"/>
      <w:lvlText w:val=""/>
      <w:lvlJc w:val="left"/>
      <w:pPr>
        <w:ind w:left="77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93C44"/>
    <w:multiLevelType w:val="hybridMultilevel"/>
    <w:tmpl w:val="F46093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61357"/>
    <w:multiLevelType w:val="hybridMultilevel"/>
    <w:tmpl w:val="6F7C71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FA"/>
    <w:rsid w:val="000A054C"/>
    <w:rsid w:val="000B3F4C"/>
    <w:rsid w:val="00224FB8"/>
    <w:rsid w:val="00250945"/>
    <w:rsid w:val="003676B1"/>
    <w:rsid w:val="00444F98"/>
    <w:rsid w:val="00496DFB"/>
    <w:rsid w:val="006770A6"/>
    <w:rsid w:val="006779AB"/>
    <w:rsid w:val="006A2B8F"/>
    <w:rsid w:val="008F6DFB"/>
    <w:rsid w:val="0091398F"/>
    <w:rsid w:val="00970CFA"/>
    <w:rsid w:val="00986CB0"/>
    <w:rsid w:val="009966E7"/>
    <w:rsid w:val="00AA2DA3"/>
    <w:rsid w:val="00B16D72"/>
    <w:rsid w:val="00CD3B98"/>
    <w:rsid w:val="00D7019E"/>
    <w:rsid w:val="00F21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F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70CFA"/>
    <w:pPr>
      <w:spacing w:after="0" w:line="240" w:lineRule="auto"/>
    </w:pPr>
    <w:rPr>
      <w:rFonts w:eastAsiaTheme="minorEastAsia"/>
    </w:rPr>
  </w:style>
  <w:style w:type="paragraph" w:styleId="Header">
    <w:name w:val="header"/>
    <w:basedOn w:val="Normal"/>
    <w:link w:val="HeaderChar"/>
    <w:uiPriority w:val="99"/>
    <w:unhideWhenUsed/>
    <w:rsid w:val="00970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CFA"/>
    <w:rPr>
      <w:rFonts w:eastAsiaTheme="minorEastAsia"/>
    </w:rPr>
  </w:style>
  <w:style w:type="paragraph" w:styleId="BalloonText">
    <w:name w:val="Balloon Text"/>
    <w:basedOn w:val="Normal"/>
    <w:link w:val="BalloonTextChar"/>
    <w:uiPriority w:val="99"/>
    <w:semiHidden/>
    <w:unhideWhenUsed/>
    <w:rsid w:val="00970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FA"/>
    <w:rPr>
      <w:rFonts w:ascii="Tahoma" w:eastAsiaTheme="minorEastAsia" w:hAnsi="Tahoma" w:cs="Tahoma"/>
      <w:sz w:val="16"/>
      <w:szCs w:val="16"/>
    </w:rPr>
  </w:style>
  <w:style w:type="paragraph" w:styleId="ListParagraph">
    <w:name w:val="List Paragraph"/>
    <w:basedOn w:val="Normal"/>
    <w:uiPriority w:val="34"/>
    <w:qFormat/>
    <w:rsid w:val="006A2B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F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70CFA"/>
    <w:pPr>
      <w:spacing w:after="0" w:line="240" w:lineRule="auto"/>
    </w:pPr>
    <w:rPr>
      <w:rFonts w:eastAsiaTheme="minorEastAsia"/>
    </w:rPr>
  </w:style>
  <w:style w:type="paragraph" w:styleId="Header">
    <w:name w:val="header"/>
    <w:basedOn w:val="Normal"/>
    <w:link w:val="HeaderChar"/>
    <w:uiPriority w:val="99"/>
    <w:unhideWhenUsed/>
    <w:rsid w:val="00970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CFA"/>
    <w:rPr>
      <w:rFonts w:eastAsiaTheme="minorEastAsia"/>
    </w:rPr>
  </w:style>
  <w:style w:type="paragraph" w:styleId="BalloonText">
    <w:name w:val="Balloon Text"/>
    <w:basedOn w:val="Normal"/>
    <w:link w:val="BalloonTextChar"/>
    <w:uiPriority w:val="99"/>
    <w:semiHidden/>
    <w:unhideWhenUsed/>
    <w:rsid w:val="00970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FA"/>
    <w:rPr>
      <w:rFonts w:ascii="Tahoma" w:eastAsiaTheme="minorEastAsia" w:hAnsi="Tahoma" w:cs="Tahoma"/>
      <w:sz w:val="16"/>
      <w:szCs w:val="16"/>
    </w:rPr>
  </w:style>
  <w:style w:type="paragraph" w:styleId="ListParagraph">
    <w:name w:val="List Paragraph"/>
    <w:basedOn w:val="Normal"/>
    <w:uiPriority w:val="34"/>
    <w:qFormat/>
    <w:rsid w:val="006A2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802EE-4F32-4852-B124-06B68180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Ltoohey</dc:creator>
  <cp:lastModifiedBy>MG</cp:lastModifiedBy>
  <cp:revision>3</cp:revision>
  <dcterms:created xsi:type="dcterms:W3CDTF">2013-07-29T13:02:00Z</dcterms:created>
  <dcterms:modified xsi:type="dcterms:W3CDTF">2013-07-29T13:02:00Z</dcterms:modified>
</cp:coreProperties>
</file>