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3A" w:rsidRPr="00F81BA5" w:rsidRDefault="0038553A" w:rsidP="0038553A">
      <w:pPr>
        <w:jc w:val="center"/>
        <w:rPr>
          <w:lang w:val="en-CA"/>
        </w:rPr>
      </w:pPr>
    </w:p>
    <w:p w:rsidR="0038553A" w:rsidRPr="00F81BA5" w:rsidRDefault="0038553A" w:rsidP="0038553A">
      <w:pPr>
        <w:jc w:val="center"/>
        <w:rPr>
          <w:lang w:val="en-CA"/>
        </w:rPr>
      </w:pPr>
    </w:p>
    <w:p w:rsidR="0038553A" w:rsidRPr="00F80D4C" w:rsidRDefault="00F80D4C" w:rsidP="0038553A">
      <w:pPr>
        <w:jc w:val="center"/>
        <w:rPr>
          <w:sz w:val="28"/>
          <w:szCs w:val="28"/>
        </w:rPr>
      </w:pPr>
      <w:r w:rsidRPr="00F80D4C">
        <w:rPr>
          <w:bCs/>
          <w:sz w:val="28"/>
          <w:szCs w:val="28"/>
        </w:rPr>
        <w:t>Survey of MSD Prevention Tools/Methods: 10-year Follow-Up</w:t>
      </w:r>
    </w:p>
    <w:p w:rsidR="0038553A" w:rsidRPr="00F81BA5" w:rsidRDefault="0038553A" w:rsidP="0038553A">
      <w:pPr>
        <w:jc w:val="center"/>
      </w:pPr>
    </w:p>
    <w:p w:rsidR="0038553A" w:rsidRPr="00F81BA5" w:rsidRDefault="0038553A" w:rsidP="0038553A">
      <w:pPr>
        <w:jc w:val="center"/>
      </w:pPr>
      <w:r w:rsidRPr="00F81BA5">
        <w:t>Request for Office of Management and Budget (OMB) Review and Approval</w:t>
      </w:r>
    </w:p>
    <w:p w:rsidR="0038553A" w:rsidRPr="00F81BA5" w:rsidRDefault="0038553A" w:rsidP="0038553A">
      <w:pPr>
        <w:jc w:val="center"/>
      </w:pPr>
      <w:proofErr w:type="gramStart"/>
      <w:r w:rsidRPr="00F81BA5">
        <w:t>for</w:t>
      </w:r>
      <w:proofErr w:type="gramEnd"/>
      <w:r w:rsidRPr="00F81BA5">
        <w:t xml:space="preserve"> a Federally Sponsored Data Collection</w:t>
      </w:r>
    </w:p>
    <w:p w:rsidR="0038553A" w:rsidRPr="00F81BA5" w:rsidRDefault="0038553A" w:rsidP="0038553A">
      <w:pPr>
        <w:jc w:val="center"/>
      </w:pPr>
    </w:p>
    <w:p w:rsidR="0038553A" w:rsidRPr="00F81BA5" w:rsidRDefault="0038553A" w:rsidP="0038553A">
      <w:pPr>
        <w:jc w:val="center"/>
      </w:pPr>
    </w:p>
    <w:p w:rsidR="00144F90" w:rsidRPr="00144F90" w:rsidRDefault="00144F90" w:rsidP="00144F90">
      <w:pPr>
        <w:rPr>
          <w:rFonts w:asciiTheme="minorHAnsi" w:eastAsiaTheme="minorHAnsi" w:hAnsiTheme="minorHAnsi" w:cstheme="minorBidi"/>
          <w:sz w:val="22"/>
          <w:szCs w:val="22"/>
        </w:rPr>
      </w:pPr>
    </w:p>
    <w:p w:rsidR="00144F90" w:rsidRPr="00144F90" w:rsidRDefault="00144F90" w:rsidP="00144F90">
      <w:pPr>
        <w:spacing w:after="200" w:line="276" w:lineRule="auto"/>
        <w:rPr>
          <w:rFonts w:asciiTheme="minorHAnsi" w:eastAsiaTheme="minorHAnsi" w:hAnsiTheme="minorHAnsi" w:cstheme="minorBidi"/>
          <w:sz w:val="22"/>
          <w:szCs w:val="22"/>
        </w:rPr>
      </w:pPr>
    </w:p>
    <w:p w:rsidR="00144F90" w:rsidRPr="00144F90" w:rsidRDefault="00144F90" w:rsidP="00144F90">
      <w:pPr>
        <w:spacing w:after="200" w:line="276" w:lineRule="auto"/>
        <w:rPr>
          <w:rFonts w:asciiTheme="minorHAnsi" w:eastAsiaTheme="minorHAnsi" w:hAnsiTheme="minorHAnsi" w:cstheme="minorBidi"/>
          <w:sz w:val="22"/>
          <w:szCs w:val="22"/>
        </w:rPr>
      </w:pPr>
    </w:p>
    <w:p w:rsidR="00144F90" w:rsidRPr="00144F90" w:rsidRDefault="00144F90" w:rsidP="00144F90">
      <w:pPr>
        <w:spacing w:after="200" w:line="276" w:lineRule="auto"/>
        <w:rPr>
          <w:rFonts w:asciiTheme="minorHAnsi" w:eastAsiaTheme="minorHAnsi" w:hAnsiTheme="minorHAnsi" w:cstheme="minorBidi"/>
          <w:sz w:val="22"/>
          <w:szCs w:val="22"/>
        </w:rPr>
      </w:pPr>
    </w:p>
    <w:p w:rsidR="00144F90" w:rsidRPr="00144F90" w:rsidRDefault="00144F90" w:rsidP="00144F90">
      <w:pPr>
        <w:spacing w:after="200" w:line="276" w:lineRule="auto"/>
        <w:rPr>
          <w:rFonts w:asciiTheme="minorHAnsi" w:eastAsiaTheme="minorHAnsi" w:hAnsiTheme="minorHAnsi" w:cstheme="minorBidi"/>
          <w:sz w:val="22"/>
          <w:szCs w:val="22"/>
        </w:rP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Pr>
        <w:jc w:val="center"/>
      </w:pPr>
    </w:p>
    <w:p w:rsidR="0038553A" w:rsidRPr="00F81BA5" w:rsidRDefault="0038553A" w:rsidP="0038553A"/>
    <w:p w:rsidR="0038553A" w:rsidRPr="00F81BA5" w:rsidRDefault="0038553A" w:rsidP="0038553A">
      <w:pPr>
        <w:jc w:val="center"/>
      </w:pPr>
    </w:p>
    <w:p w:rsidR="0038553A" w:rsidRPr="00F81BA5" w:rsidRDefault="0038553A" w:rsidP="0038553A">
      <w:pPr>
        <w:jc w:val="center"/>
      </w:pPr>
    </w:p>
    <w:p w:rsidR="0038553A" w:rsidRPr="00F81BA5" w:rsidRDefault="0038553A" w:rsidP="0038553A"/>
    <w:p w:rsidR="00530AF0" w:rsidRDefault="00BD1450" w:rsidP="0038553A">
      <w:pPr>
        <w:jc w:val="center"/>
        <w:rPr>
          <w:lang w:val="de-DE"/>
        </w:rPr>
      </w:pPr>
      <w:r>
        <w:rPr>
          <w:lang w:val="de-DE"/>
        </w:rPr>
        <w:t>Brian D. Lowe,</w:t>
      </w:r>
      <w:r w:rsidR="0038553A" w:rsidRPr="00F81BA5">
        <w:rPr>
          <w:lang w:val="de-DE"/>
        </w:rPr>
        <w:t xml:space="preserve"> Ph.D.</w:t>
      </w:r>
    </w:p>
    <w:p w:rsidR="0038553A" w:rsidRPr="00F81BA5" w:rsidRDefault="00530AF0" w:rsidP="0038553A">
      <w:pPr>
        <w:jc w:val="center"/>
        <w:rPr>
          <w:lang w:val="de-DE"/>
        </w:rPr>
      </w:pPr>
      <w:r>
        <w:rPr>
          <w:lang w:val="de-DE"/>
        </w:rPr>
        <w:t xml:space="preserve">Research Industrial </w:t>
      </w:r>
      <w:r w:rsidR="00BD1450">
        <w:rPr>
          <w:lang w:val="de-DE"/>
        </w:rPr>
        <w:t>Engineer</w:t>
      </w:r>
      <w:r w:rsidR="0038553A" w:rsidRPr="00F81BA5">
        <w:rPr>
          <w:lang w:val="en-CA"/>
        </w:rPr>
        <w:fldChar w:fldCharType="begin"/>
      </w:r>
      <w:r w:rsidR="0038553A" w:rsidRPr="00F81BA5">
        <w:rPr>
          <w:lang w:val="de-DE"/>
        </w:rPr>
        <w:instrText xml:space="preserve"> SEQ CHAPTER \h \r 1</w:instrText>
      </w:r>
      <w:r w:rsidR="0038553A" w:rsidRPr="00F81BA5">
        <w:rPr>
          <w:lang w:val="en-CA"/>
        </w:rPr>
        <w:fldChar w:fldCharType="end"/>
      </w:r>
    </w:p>
    <w:p w:rsidR="0038553A" w:rsidRPr="00F81BA5" w:rsidRDefault="0038553A" w:rsidP="00530AF0">
      <w:pPr>
        <w:jc w:val="center"/>
      </w:pPr>
      <w:r w:rsidRPr="00F81BA5">
        <w:t>Project Officer</w:t>
      </w:r>
    </w:p>
    <w:p w:rsidR="0038553A" w:rsidRPr="00F81BA5" w:rsidRDefault="00BD1450" w:rsidP="0038553A">
      <w:pPr>
        <w:jc w:val="center"/>
      </w:pPr>
      <w:r>
        <w:t>blowe</w:t>
      </w:r>
      <w:r w:rsidR="0038553A" w:rsidRPr="00F81BA5">
        <w:t>@</w:t>
      </w:r>
      <w:r w:rsidR="00BE0E22">
        <w:t>cdc.gov</w:t>
      </w:r>
    </w:p>
    <w:p w:rsidR="0038553A" w:rsidRPr="00F81BA5" w:rsidRDefault="0038553A" w:rsidP="0038553A">
      <w:pPr>
        <w:jc w:val="center"/>
      </w:pPr>
    </w:p>
    <w:p w:rsidR="0038553A" w:rsidRPr="00F81BA5" w:rsidRDefault="0038553A" w:rsidP="0038553A">
      <w:pPr>
        <w:jc w:val="center"/>
      </w:pPr>
      <w:r w:rsidRPr="00F81BA5">
        <w:t>National Institute for Occupational Safety and Health</w:t>
      </w:r>
    </w:p>
    <w:p w:rsidR="0038553A" w:rsidRPr="00F81BA5" w:rsidRDefault="0038553A" w:rsidP="0038553A">
      <w:pPr>
        <w:jc w:val="center"/>
      </w:pPr>
      <w:r w:rsidRPr="00F81BA5">
        <w:t xml:space="preserve">Division of </w:t>
      </w:r>
      <w:r w:rsidR="00BD1450">
        <w:t>Applied Research and Technology</w:t>
      </w:r>
    </w:p>
    <w:p w:rsidR="0038553A" w:rsidRPr="00F81BA5" w:rsidRDefault="0038553A" w:rsidP="0038553A">
      <w:pPr>
        <w:jc w:val="center"/>
      </w:pPr>
      <w:r w:rsidRPr="00F81BA5">
        <w:t>4676 Columbia Parkway</w:t>
      </w:r>
      <w:r w:rsidR="00BD1450">
        <w:t>,</w:t>
      </w:r>
      <w:r w:rsidR="00226509">
        <w:t xml:space="preserve"> Mail Stop </w:t>
      </w:r>
      <w:r w:rsidR="00BD1450">
        <w:t>C-24</w:t>
      </w:r>
    </w:p>
    <w:p w:rsidR="0038553A" w:rsidRPr="00F81BA5" w:rsidRDefault="0038553A" w:rsidP="0038553A">
      <w:pPr>
        <w:jc w:val="center"/>
      </w:pPr>
      <w:smartTag w:uri="urn:schemas-microsoft-com:office:smarttags" w:element="place">
        <w:smartTag w:uri="urn:schemas-microsoft-com:office:smarttags" w:element="City">
          <w:r w:rsidRPr="00F81BA5">
            <w:t>Cincinnati</w:t>
          </w:r>
        </w:smartTag>
        <w:r w:rsidRPr="00F81BA5">
          <w:t xml:space="preserve">, </w:t>
        </w:r>
        <w:smartTag w:uri="urn:schemas-microsoft-com:office:smarttags" w:element="State">
          <w:r w:rsidRPr="00F81BA5">
            <w:t>Ohio</w:t>
          </w:r>
        </w:smartTag>
        <w:r w:rsidRPr="00F81BA5">
          <w:t xml:space="preserve"> </w:t>
        </w:r>
        <w:smartTag w:uri="urn:schemas-microsoft-com:office:smarttags" w:element="PostalCode">
          <w:r w:rsidRPr="00F81BA5">
            <w:t>45226</w:t>
          </w:r>
        </w:smartTag>
      </w:smartTag>
    </w:p>
    <w:p w:rsidR="0038553A" w:rsidRPr="00F81BA5" w:rsidRDefault="0038553A" w:rsidP="0038553A">
      <w:pPr>
        <w:jc w:val="center"/>
      </w:pPr>
    </w:p>
    <w:p w:rsidR="0038553A" w:rsidRPr="00F81BA5" w:rsidRDefault="0038553A" w:rsidP="0038553A">
      <w:pPr>
        <w:jc w:val="center"/>
      </w:pPr>
      <w:r w:rsidRPr="00F81BA5">
        <w:t>513-</w:t>
      </w:r>
      <w:r w:rsidR="00BD1450">
        <w:t>533-8161</w:t>
      </w:r>
      <w:r w:rsidR="00EB3A2B">
        <w:tab/>
        <w:t>(phone</w:t>
      </w:r>
      <w:r w:rsidRPr="00F81BA5">
        <w:t>)</w:t>
      </w:r>
    </w:p>
    <w:p w:rsidR="0038553A" w:rsidRPr="00F81BA5" w:rsidRDefault="0038553A" w:rsidP="0038553A">
      <w:pPr>
        <w:jc w:val="center"/>
      </w:pPr>
      <w:r w:rsidRPr="00F81BA5">
        <w:t>513-</w:t>
      </w:r>
      <w:r w:rsidR="00BD1450">
        <w:t>533</w:t>
      </w:r>
      <w:r w:rsidRPr="00F81BA5">
        <w:t>-</w:t>
      </w:r>
      <w:r w:rsidR="00BD1450">
        <w:t>8596</w:t>
      </w:r>
      <w:r w:rsidRPr="00F81BA5">
        <w:t xml:space="preserve"> (fax)</w:t>
      </w:r>
    </w:p>
    <w:p w:rsidR="0038553A" w:rsidRPr="00F81BA5" w:rsidRDefault="0038553A" w:rsidP="0038553A">
      <w:pPr>
        <w:jc w:val="center"/>
      </w:pPr>
    </w:p>
    <w:p w:rsidR="0038553A" w:rsidRPr="00F81BA5" w:rsidRDefault="00F25715" w:rsidP="0038553A">
      <w:pPr>
        <w:jc w:val="center"/>
      </w:pPr>
      <w:r>
        <w:t>September 2</w:t>
      </w:r>
      <w:r w:rsidR="00396751" w:rsidRPr="00AC23F3">
        <w:t>, 201</w:t>
      </w:r>
      <w:r w:rsidR="006A3C92">
        <w:t>6</w:t>
      </w:r>
    </w:p>
    <w:p w:rsidR="00B9590E" w:rsidRDefault="0038553A" w:rsidP="00B9590E">
      <w:pPr>
        <w:jc w:val="center"/>
        <w:rPr>
          <w:b/>
          <w:bCs/>
        </w:rPr>
      </w:pPr>
      <w:r w:rsidRPr="00F81BA5">
        <w:br w:type="page"/>
      </w:r>
      <w:r w:rsidRPr="007A66F8">
        <w:rPr>
          <w:lang w:val="en-CA"/>
        </w:rPr>
        <w:lastRenderedPageBreak/>
        <w:fldChar w:fldCharType="begin"/>
      </w:r>
      <w:r w:rsidRPr="007A66F8">
        <w:rPr>
          <w:lang w:val="en-CA"/>
        </w:rPr>
        <w:instrText xml:space="preserve"> SEQ CHAPTER \h \r 1</w:instrText>
      </w:r>
      <w:r w:rsidRPr="007A66F8">
        <w:rPr>
          <w:lang w:val="en-CA"/>
        </w:rPr>
        <w:fldChar w:fldCharType="end"/>
      </w:r>
      <w:r w:rsidR="00B9590E" w:rsidRPr="007A66F8">
        <w:rPr>
          <w:b/>
          <w:bCs/>
        </w:rPr>
        <w:t>Table of Contents</w:t>
      </w:r>
    </w:p>
    <w:p w:rsidR="00B9590E" w:rsidRPr="00F81BA5" w:rsidRDefault="00B9590E" w:rsidP="00B9590E">
      <w:pPr>
        <w:jc w:val="right"/>
      </w:pP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bCs/>
        </w:rPr>
        <w:tab/>
      </w:r>
      <w:r w:rsidRPr="00F81BA5">
        <w:rPr>
          <w:lang w:val="en-CA"/>
        </w:rPr>
        <w:fldChar w:fldCharType="begin"/>
      </w:r>
      <w:r w:rsidRPr="00F81BA5">
        <w:rPr>
          <w:lang w:val="en-CA"/>
        </w:rPr>
        <w:instrText xml:space="preserve"> SEQ CHAPTER \h \r 1</w:instrText>
      </w:r>
      <w:r w:rsidRPr="00F81BA5">
        <w:rPr>
          <w:lang w:val="en-CA"/>
        </w:rPr>
        <w:fldChar w:fldCharType="end"/>
      </w:r>
    </w:p>
    <w:p w:rsidR="00B9590E" w:rsidRDefault="00B9590E" w:rsidP="00B9590E">
      <w:pPr>
        <w:jc w:val="right"/>
        <w:rPr>
          <w:lang w:val="en-CA"/>
        </w:rPr>
      </w:pPr>
    </w:p>
    <w:p w:rsidR="00B9590E" w:rsidRDefault="00B9590E" w:rsidP="00B9590E">
      <w:pPr>
        <w:jc w:val="center"/>
        <w:rPr>
          <w:b/>
          <w:bCs/>
        </w:rPr>
      </w:pPr>
    </w:p>
    <w:p w:rsidR="00B9590E" w:rsidRDefault="00B9590E" w:rsidP="00B9590E">
      <w:pPr>
        <w:jc w:val="center"/>
        <w:rPr>
          <w:b/>
          <w:bCs/>
        </w:rPr>
      </w:pPr>
    </w:p>
    <w:p w:rsidR="00B9590E" w:rsidRPr="00826C3F" w:rsidRDefault="00B9590E" w:rsidP="00B9590E">
      <w:r w:rsidRPr="00826C3F">
        <w:fldChar w:fldCharType="begin"/>
      </w:r>
      <w:r w:rsidRPr="00826C3F">
        <w:instrText>TOC \f</w:instrText>
      </w:r>
      <w:r w:rsidRPr="00826C3F">
        <w:fldChar w:fldCharType="separate"/>
      </w:r>
      <w:r w:rsidRPr="00826C3F">
        <w:rPr>
          <w:bCs/>
        </w:rPr>
        <w:t>A.  J</w:t>
      </w:r>
      <w:r w:rsidR="006100EC" w:rsidRPr="00826C3F">
        <w:rPr>
          <w:bCs/>
        </w:rPr>
        <w:t>USTIFICATION</w:t>
      </w:r>
    </w:p>
    <w:p w:rsidR="00B9590E" w:rsidRPr="00826C3F" w:rsidRDefault="00B9590E" w:rsidP="00B9590E">
      <w:pPr>
        <w:tabs>
          <w:tab w:val="right" w:leader="dot" w:pos="9360"/>
        </w:tabs>
        <w:ind w:left="1440" w:hanging="720"/>
      </w:pPr>
      <w:r w:rsidRPr="00826C3F">
        <w:t>A1.    Circumstances Making the Collection of Information Necessary</w:t>
      </w:r>
      <w:r w:rsidRPr="00826C3F">
        <w:tab/>
      </w:r>
      <w:r w:rsidR="00C26095" w:rsidRPr="00826C3F">
        <w:t>4</w:t>
      </w:r>
    </w:p>
    <w:p w:rsidR="00B9590E" w:rsidRPr="00826C3F" w:rsidRDefault="00B9590E" w:rsidP="00B9590E">
      <w:pPr>
        <w:tabs>
          <w:tab w:val="right" w:leader="dot" w:pos="9360"/>
        </w:tabs>
        <w:ind w:left="1440" w:hanging="720"/>
      </w:pPr>
      <w:r w:rsidRPr="00826C3F">
        <w:t>A2.    Purpose and Use of Information Collection</w:t>
      </w:r>
      <w:r w:rsidRPr="00826C3F">
        <w:tab/>
      </w:r>
      <w:r w:rsidR="00CB52DB">
        <w:t>4</w:t>
      </w:r>
    </w:p>
    <w:p w:rsidR="00B9590E" w:rsidRPr="00826C3F" w:rsidRDefault="00B9590E" w:rsidP="00B9590E">
      <w:pPr>
        <w:tabs>
          <w:tab w:val="right" w:leader="dot" w:pos="9360"/>
        </w:tabs>
        <w:ind w:left="1440" w:hanging="720"/>
      </w:pPr>
      <w:r w:rsidRPr="00826C3F">
        <w:t>A3.    Use of Improved Information Technology and Burden Reduction</w:t>
      </w:r>
      <w:r w:rsidRPr="00826C3F">
        <w:tab/>
      </w:r>
      <w:r w:rsidR="00CB52DB">
        <w:t>5</w:t>
      </w:r>
    </w:p>
    <w:p w:rsidR="00B9590E" w:rsidRPr="00826C3F" w:rsidRDefault="00B9590E" w:rsidP="00B9590E">
      <w:pPr>
        <w:tabs>
          <w:tab w:val="right" w:leader="dot" w:pos="9360"/>
        </w:tabs>
        <w:ind w:left="1440" w:hanging="720"/>
      </w:pPr>
      <w:r w:rsidRPr="00826C3F">
        <w:t>A4.    Efforts to Identify Duplication and Use of Similar Information</w:t>
      </w:r>
      <w:r w:rsidRPr="00826C3F">
        <w:tab/>
      </w:r>
      <w:r w:rsidR="00CB52DB">
        <w:t>6</w:t>
      </w:r>
    </w:p>
    <w:p w:rsidR="00B9590E" w:rsidRPr="00826C3F" w:rsidRDefault="00B9590E" w:rsidP="00B9590E">
      <w:pPr>
        <w:tabs>
          <w:tab w:val="right" w:leader="dot" w:pos="9360"/>
        </w:tabs>
        <w:ind w:left="1440" w:hanging="720"/>
      </w:pPr>
      <w:r w:rsidRPr="00826C3F">
        <w:t>A5.    Impact on Small Businesses or Other Small Entities</w:t>
      </w:r>
      <w:r w:rsidRPr="00826C3F">
        <w:tab/>
      </w:r>
      <w:r w:rsidR="00CB52DB">
        <w:t>6</w:t>
      </w:r>
    </w:p>
    <w:p w:rsidR="00B9590E" w:rsidRPr="00826C3F" w:rsidRDefault="00B9590E" w:rsidP="00B9590E">
      <w:pPr>
        <w:tabs>
          <w:tab w:val="right" w:leader="dot" w:pos="9360"/>
        </w:tabs>
        <w:ind w:left="1440" w:hanging="720"/>
      </w:pPr>
      <w:r w:rsidRPr="00826C3F">
        <w:t>A6.    Consequences of Collecting the Information Less Frequently</w:t>
      </w:r>
      <w:r w:rsidRPr="00826C3F">
        <w:tab/>
      </w:r>
      <w:r w:rsidR="00CB52DB">
        <w:t>6</w:t>
      </w:r>
    </w:p>
    <w:p w:rsidR="00B9590E" w:rsidRPr="00826C3F" w:rsidRDefault="00B9590E" w:rsidP="00B9590E">
      <w:pPr>
        <w:tabs>
          <w:tab w:val="right" w:leader="dot" w:pos="9360"/>
        </w:tabs>
        <w:ind w:left="1440" w:hanging="720"/>
      </w:pPr>
      <w:r w:rsidRPr="00826C3F">
        <w:t>A7.    Special Circumstances Relating to the Guidelines of 5 CFR 1320.5</w:t>
      </w:r>
      <w:r w:rsidRPr="00826C3F">
        <w:tab/>
      </w:r>
      <w:r w:rsidR="00CB52DB">
        <w:t>6</w:t>
      </w:r>
    </w:p>
    <w:p w:rsidR="00B9590E" w:rsidRPr="00826C3F" w:rsidRDefault="00B9590E" w:rsidP="00B9590E">
      <w:pPr>
        <w:tabs>
          <w:tab w:val="right" w:leader="dot" w:pos="9360"/>
        </w:tabs>
        <w:ind w:left="1440" w:hanging="720"/>
      </w:pPr>
      <w:r w:rsidRPr="00826C3F">
        <w:t>A8.    Comments in Response to the Federal Register Notice and Efforts to Consult Outside the Agency</w:t>
      </w:r>
      <w:r w:rsidRPr="00826C3F">
        <w:tab/>
      </w:r>
      <w:r w:rsidR="00CB52DB">
        <w:t>6</w:t>
      </w:r>
    </w:p>
    <w:p w:rsidR="00B9590E" w:rsidRPr="00826C3F" w:rsidRDefault="00B9590E" w:rsidP="00B9590E">
      <w:pPr>
        <w:tabs>
          <w:tab w:val="right" w:leader="dot" w:pos="9360"/>
        </w:tabs>
        <w:ind w:left="1440" w:hanging="720"/>
      </w:pPr>
      <w:r w:rsidRPr="00826C3F">
        <w:t>A9.    Explanation of Any Payment or Gift to Respondents</w:t>
      </w:r>
      <w:r w:rsidRPr="00826C3F">
        <w:tab/>
      </w:r>
      <w:r w:rsidR="00CB52DB">
        <w:t>7</w:t>
      </w:r>
    </w:p>
    <w:p w:rsidR="00B9590E" w:rsidRPr="00826C3F" w:rsidRDefault="00B9590E" w:rsidP="00B9590E">
      <w:pPr>
        <w:tabs>
          <w:tab w:val="right" w:leader="dot" w:pos="9360"/>
        </w:tabs>
        <w:ind w:left="1440" w:hanging="720"/>
      </w:pPr>
      <w:r w:rsidRPr="00826C3F">
        <w:t>A10.  Assurance of Confidentiality Provided to Respondents</w:t>
      </w:r>
      <w:r w:rsidRPr="00826C3F">
        <w:tab/>
      </w:r>
      <w:r w:rsidR="00CB52DB">
        <w:t>7</w:t>
      </w:r>
    </w:p>
    <w:p w:rsidR="00B9590E" w:rsidRPr="00826C3F" w:rsidRDefault="00B9590E" w:rsidP="00B9590E">
      <w:pPr>
        <w:tabs>
          <w:tab w:val="right" w:leader="dot" w:pos="9360"/>
        </w:tabs>
        <w:ind w:left="1440" w:hanging="720"/>
      </w:pPr>
      <w:r w:rsidRPr="00826C3F">
        <w:t>A11.  Justification for Sensitive Questions</w:t>
      </w:r>
      <w:r w:rsidRPr="00826C3F">
        <w:tab/>
      </w:r>
      <w:r w:rsidR="00CB52DB">
        <w:t>8</w:t>
      </w:r>
    </w:p>
    <w:p w:rsidR="00B9590E" w:rsidRPr="00826C3F" w:rsidRDefault="00B9590E" w:rsidP="00B9590E">
      <w:pPr>
        <w:tabs>
          <w:tab w:val="right" w:leader="dot" w:pos="9360"/>
        </w:tabs>
        <w:ind w:left="1440" w:hanging="720"/>
      </w:pPr>
      <w:r w:rsidRPr="00826C3F">
        <w:t>A12.  Estimates of Annualized Burden Hours and Costs</w:t>
      </w:r>
      <w:r w:rsidRPr="00826C3F">
        <w:tab/>
      </w:r>
      <w:r w:rsidR="00CB52DB">
        <w:t>9</w:t>
      </w:r>
    </w:p>
    <w:p w:rsidR="00B9590E" w:rsidRPr="00826C3F" w:rsidRDefault="00B9590E" w:rsidP="00B9590E">
      <w:pPr>
        <w:tabs>
          <w:tab w:val="right" w:leader="dot" w:pos="9360"/>
        </w:tabs>
        <w:ind w:left="1440" w:hanging="720"/>
      </w:pPr>
      <w:r w:rsidRPr="00826C3F">
        <w:t>A13.  Estimates of Other Total Annual Cost Burden to Respondents or Record Keepers</w:t>
      </w:r>
      <w:r w:rsidRPr="00826C3F">
        <w:tab/>
      </w:r>
      <w:r w:rsidR="00CB52DB">
        <w:t>9</w:t>
      </w:r>
    </w:p>
    <w:p w:rsidR="00B9590E" w:rsidRPr="00826C3F" w:rsidRDefault="00B9590E" w:rsidP="00B9590E">
      <w:pPr>
        <w:tabs>
          <w:tab w:val="right" w:leader="dot" w:pos="9360"/>
        </w:tabs>
        <w:ind w:left="1440" w:hanging="720"/>
      </w:pPr>
      <w:r w:rsidRPr="00826C3F">
        <w:t>A14.  Annualized Cost to the Government</w:t>
      </w:r>
      <w:r w:rsidRPr="00826C3F">
        <w:tab/>
      </w:r>
      <w:r w:rsidR="00CB52DB">
        <w:t>9</w:t>
      </w:r>
    </w:p>
    <w:p w:rsidR="00B9590E" w:rsidRPr="00826C3F" w:rsidRDefault="00B9590E" w:rsidP="00B9590E">
      <w:pPr>
        <w:tabs>
          <w:tab w:val="right" w:leader="dot" w:pos="9360"/>
        </w:tabs>
        <w:ind w:left="1440" w:hanging="720"/>
      </w:pPr>
      <w:r w:rsidRPr="00826C3F">
        <w:t>A15.  Explanation for Program Changes or Adjustments</w:t>
      </w:r>
      <w:r w:rsidRPr="00826C3F">
        <w:tab/>
      </w:r>
      <w:r w:rsidR="00CB52DB">
        <w:t>10</w:t>
      </w:r>
    </w:p>
    <w:p w:rsidR="00B9590E" w:rsidRPr="00826C3F" w:rsidRDefault="00B9590E" w:rsidP="00B9590E">
      <w:pPr>
        <w:tabs>
          <w:tab w:val="right" w:leader="dot" w:pos="9360"/>
        </w:tabs>
        <w:ind w:left="1440" w:hanging="720"/>
      </w:pPr>
      <w:r w:rsidRPr="00826C3F">
        <w:t>A16.  Plans for Tabulation and Publication and Project Time Schedule</w:t>
      </w:r>
      <w:r w:rsidRPr="00826C3F">
        <w:tab/>
      </w:r>
      <w:r w:rsidR="00CB52DB">
        <w:t>11</w:t>
      </w:r>
    </w:p>
    <w:p w:rsidR="00B9590E" w:rsidRPr="00826C3F" w:rsidRDefault="00B9590E" w:rsidP="00B9590E">
      <w:pPr>
        <w:tabs>
          <w:tab w:val="right" w:leader="dot" w:pos="9360"/>
        </w:tabs>
        <w:ind w:left="1440" w:hanging="720"/>
      </w:pPr>
      <w:r w:rsidRPr="00826C3F">
        <w:t>A17.  Reason(s) Display of OMB Expiration Date is Inappropriate</w:t>
      </w:r>
      <w:r w:rsidRPr="00826C3F">
        <w:tab/>
      </w:r>
      <w:r w:rsidR="00361B17" w:rsidRPr="00826C3F">
        <w:t>25</w:t>
      </w:r>
    </w:p>
    <w:p w:rsidR="00B9590E" w:rsidRPr="00826C3F" w:rsidRDefault="00B9590E" w:rsidP="00B9590E">
      <w:pPr>
        <w:tabs>
          <w:tab w:val="right" w:leader="dot" w:pos="9360"/>
        </w:tabs>
        <w:ind w:left="1440" w:hanging="720"/>
      </w:pPr>
      <w:r w:rsidRPr="00826C3F">
        <w:t>A18.  Exceptions to Certification for Paperwork Reduction Act Submissions</w:t>
      </w:r>
      <w:r w:rsidRPr="00826C3F">
        <w:tab/>
      </w:r>
      <w:r w:rsidR="00361B17" w:rsidRPr="00826C3F">
        <w:t>26</w:t>
      </w:r>
    </w:p>
    <w:p w:rsidR="00B9590E" w:rsidRPr="00826C3F" w:rsidRDefault="00B9590E" w:rsidP="00B9590E"/>
    <w:p w:rsidR="00B9590E" w:rsidRPr="00826C3F" w:rsidRDefault="00B9590E" w:rsidP="00B9590E">
      <w:pPr>
        <w:tabs>
          <w:tab w:val="right" w:leader="dot" w:pos="9360"/>
        </w:tabs>
        <w:ind w:left="1440" w:hanging="720"/>
      </w:pPr>
    </w:p>
    <w:p w:rsidR="00B9590E" w:rsidRPr="00826C3F" w:rsidRDefault="00B9590E" w:rsidP="00B9590E"/>
    <w:p w:rsidR="00B9590E" w:rsidRPr="00826C3F" w:rsidRDefault="00B9590E" w:rsidP="00B9590E">
      <w:pPr>
        <w:tabs>
          <w:tab w:val="right" w:leader="dot" w:pos="9360"/>
        </w:tabs>
      </w:pPr>
      <w:r w:rsidRPr="00826C3F">
        <w:fldChar w:fldCharType="end"/>
      </w:r>
    </w:p>
    <w:p w:rsidR="00B9590E" w:rsidRPr="00826C3F" w:rsidRDefault="00B9590E" w:rsidP="00B9590E">
      <w:pPr>
        <w:rPr>
          <w:b/>
          <w:bCs/>
        </w:rPr>
      </w:pPr>
    </w:p>
    <w:p w:rsidR="009A153F" w:rsidRDefault="009A153F" w:rsidP="00B9590E">
      <w:pPr>
        <w:rPr>
          <w:bCs/>
        </w:rPr>
      </w:pPr>
    </w:p>
    <w:p w:rsidR="009A153F" w:rsidRDefault="009A153F" w:rsidP="00B9590E">
      <w:pPr>
        <w:rPr>
          <w:bCs/>
        </w:rPr>
      </w:pPr>
    </w:p>
    <w:p w:rsidR="009A153F" w:rsidRDefault="009A153F" w:rsidP="00B9590E">
      <w:pPr>
        <w:rPr>
          <w:bCs/>
        </w:rPr>
      </w:pPr>
    </w:p>
    <w:p w:rsidR="009A153F" w:rsidRDefault="009A153F" w:rsidP="00B9590E">
      <w:pPr>
        <w:rPr>
          <w:bCs/>
        </w:rPr>
      </w:pPr>
    </w:p>
    <w:p w:rsidR="00B9590E" w:rsidRPr="00826C3F" w:rsidRDefault="006100EC" w:rsidP="00B9590E">
      <w:pPr>
        <w:rPr>
          <w:bCs/>
        </w:rPr>
      </w:pPr>
      <w:r w:rsidRPr="00826C3F">
        <w:rPr>
          <w:bCs/>
        </w:rPr>
        <w:t>LIST OF ATTACHMENTS</w:t>
      </w:r>
    </w:p>
    <w:p w:rsidR="00242A30" w:rsidRDefault="00242A30" w:rsidP="00B9590E"/>
    <w:p w:rsidR="00B94EC3" w:rsidRDefault="00B94EC3" w:rsidP="00B9590E">
      <w:r>
        <w:t>Attachment A: Authorizing Legislation</w:t>
      </w:r>
    </w:p>
    <w:p w:rsidR="00B94EC3" w:rsidRPr="00826C3F" w:rsidRDefault="00B94EC3" w:rsidP="00B9590E">
      <w:r>
        <w:t>Attachment B: 60- Day Federal Register Notice</w:t>
      </w:r>
    </w:p>
    <w:p w:rsidR="009C52BA" w:rsidRDefault="009C52BA" w:rsidP="00950E43">
      <w:pPr>
        <w:ind w:left="540" w:hanging="540"/>
      </w:pPr>
      <w:r>
        <w:t xml:space="preserve">Attachment </w:t>
      </w:r>
      <w:r w:rsidR="00FA66CF">
        <w:t>C</w:t>
      </w:r>
      <w:r>
        <w:t>:  (IRB Exemption Determination for NIOSH Protocol 16-DART-01XM, "Survey of MSD Prevention Tools/Methods: 10-year Follow-Up"</w:t>
      </w:r>
      <w:r w:rsidR="00FB30AF">
        <w:t>)</w:t>
      </w:r>
    </w:p>
    <w:p w:rsidR="00B94EC3" w:rsidRPr="00826C3F" w:rsidRDefault="00B94EC3" w:rsidP="00950E43">
      <w:pPr>
        <w:ind w:left="540" w:hanging="540"/>
      </w:pPr>
      <w:r>
        <w:t>Attachment D: Questionnaire</w:t>
      </w:r>
    </w:p>
    <w:p w:rsidR="00041A17" w:rsidRDefault="00041A17" w:rsidP="00A51C4E">
      <w:pPr>
        <w:tabs>
          <w:tab w:val="left" w:pos="720"/>
          <w:tab w:val="left" w:pos="1440"/>
          <w:tab w:val="left" w:pos="2160"/>
        </w:tabs>
        <w:ind w:left="2160" w:hanging="2160"/>
      </w:pPr>
    </w:p>
    <w:p w:rsidR="00A51C4E" w:rsidRDefault="00A51C4E" w:rsidP="00B9590E">
      <w:pPr>
        <w:tabs>
          <w:tab w:val="left" w:pos="720"/>
          <w:tab w:val="left" w:pos="1440"/>
          <w:tab w:val="left" w:pos="2160"/>
        </w:tabs>
        <w:ind w:left="2160" w:hanging="2160"/>
      </w:pPr>
    </w:p>
    <w:p w:rsidR="004E1725" w:rsidRDefault="004E1725" w:rsidP="00B9590E">
      <w:pPr>
        <w:tabs>
          <w:tab w:val="left" w:pos="720"/>
          <w:tab w:val="left" w:pos="1440"/>
          <w:tab w:val="left" w:pos="2160"/>
        </w:tabs>
        <w:ind w:left="2160" w:hanging="2160"/>
      </w:pPr>
    </w:p>
    <w:p w:rsidR="00B9590E" w:rsidRPr="00F81BA5" w:rsidRDefault="00B9590E" w:rsidP="009E3D9F">
      <w:pPr>
        <w:tabs>
          <w:tab w:val="left" w:pos="720"/>
          <w:tab w:val="left" w:pos="1440"/>
          <w:tab w:val="left" w:pos="2160"/>
        </w:tabs>
        <w:ind w:left="2160" w:hanging="2160"/>
        <w:rPr>
          <w:bCs/>
        </w:rPr>
      </w:pPr>
      <w:r>
        <w:tab/>
      </w:r>
    </w:p>
    <w:p w:rsidR="0038553A" w:rsidRDefault="0038553A" w:rsidP="0038553A">
      <w:pPr>
        <w:tabs>
          <w:tab w:val="left" w:pos="720"/>
          <w:tab w:val="left" w:pos="1440"/>
          <w:tab w:val="left" w:pos="2160"/>
        </w:tabs>
        <w:ind w:left="2160" w:hanging="2160"/>
        <w:rPr>
          <w:bCs/>
        </w:rPr>
      </w:pPr>
    </w:p>
    <w:p w:rsidR="00CB52DB" w:rsidRDefault="00CB52DB" w:rsidP="0038553A">
      <w:pPr>
        <w:tabs>
          <w:tab w:val="left" w:pos="720"/>
          <w:tab w:val="left" w:pos="1440"/>
          <w:tab w:val="left" w:pos="2160"/>
        </w:tabs>
        <w:ind w:left="2160" w:hanging="2160"/>
        <w:rPr>
          <w:bCs/>
        </w:rPr>
      </w:pPr>
    </w:p>
    <w:p w:rsidR="00AF5CD6" w:rsidRDefault="00AF5CD6" w:rsidP="0038553A">
      <w:pPr>
        <w:tabs>
          <w:tab w:val="left" w:pos="720"/>
          <w:tab w:val="left" w:pos="1440"/>
          <w:tab w:val="left" w:pos="2160"/>
        </w:tabs>
        <w:ind w:left="2160" w:hanging="2160"/>
        <w:rPr>
          <w:bCs/>
        </w:rPr>
      </w:pPr>
    </w:p>
    <w:p w:rsidR="00AF5CD6" w:rsidRDefault="00AF5CD6" w:rsidP="0038553A">
      <w:pPr>
        <w:tabs>
          <w:tab w:val="left" w:pos="720"/>
          <w:tab w:val="left" w:pos="1440"/>
          <w:tab w:val="left" w:pos="2160"/>
        </w:tabs>
        <w:ind w:left="2160" w:hanging="2160"/>
        <w:rPr>
          <w:bCs/>
        </w:rPr>
      </w:pPr>
    </w:p>
    <w:p w:rsidR="00AF5CD6" w:rsidRDefault="00AF5CD6" w:rsidP="0038553A">
      <w:pPr>
        <w:tabs>
          <w:tab w:val="left" w:pos="720"/>
          <w:tab w:val="left" w:pos="1440"/>
          <w:tab w:val="left" w:pos="2160"/>
        </w:tabs>
        <w:ind w:left="2160" w:hanging="2160"/>
        <w:rPr>
          <w:bCs/>
        </w:rPr>
      </w:pPr>
    </w:p>
    <w:p w:rsidR="00AF5CD6" w:rsidRPr="00F81BA5" w:rsidRDefault="00AF5CD6" w:rsidP="0038553A">
      <w:pPr>
        <w:tabs>
          <w:tab w:val="left" w:pos="720"/>
          <w:tab w:val="left" w:pos="1440"/>
          <w:tab w:val="left" w:pos="2160"/>
        </w:tabs>
        <w:ind w:left="2160" w:hanging="2160"/>
        <w:rPr>
          <w:bCs/>
        </w:rPr>
        <w:sectPr w:rsidR="00AF5CD6" w:rsidRPr="00F81BA5" w:rsidSect="0038553A">
          <w:footerReference w:type="even" r:id="rId8"/>
          <w:footerReference w:type="default" r:id="rId9"/>
          <w:pgSz w:w="12240" w:h="15840"/>
          <w:pgMar w:top="1440" w:right="1800" w:bottom="1440" w:left="1800" w:header="720" w:footer="720" w:gutter="0"/>
          <w:cols w:space="720"/>
          <w:docGrid w:linePitch="360"/>
        </w:sectPr>
      </w:pPr>
    </w:p>
    <w:p w:rsidR="00AF5CD6" w:rsidRDefault="00AF5CD6" w:rsidP="00FE6EB1">
      <w:pPr>
        <w:jc w:val="center"/>
        <w:rPr>
          <w:b/>
          <w:sz w:val="32"/>
          <w:szCs w:val="32"/>
        </w:rPr>
      </w:pPr>
    </w:p>
    <w:p w:rsidR="00AF5CD6" w:rsidRDefault="00AF5CD6" w:rsidP="00FE6EB1">
      <w:pPr>
        <w:jc w:val="center"/>
        <w:rPr>
          <w:b/>
          <w:sz w:val="32"/>
          <w:szCs w:val="32"/>
        </w:rPr>
      </w:pPr>
      <w:r w:rsidRPr="00AF5CD6">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5D3EBEF" wp14:editId="3E0F01B9">
                <wp:simplePos x="0" y="0"/>
                <wp:positionH relativeFrom="margin">
                  <wp:posOffset>-381000</wp:posOffset>
                </wp:positionH>
                <wp:positionV relativeFrom="paragraph">
                  <wp:posOffset>137795</wp:posOffset>
                </wp:positionV>
                <wp:extent cx="6219825" cy="3219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19450"/>
                        </a:xfrm>
                        <a:prstGeom prst="rect">
                          <a:avLst/>
                        </a:prstGeom>
                        <a:solidFill>
                          <a:srgbClr val="FFFFFF"/>
                        </a:solidFill>
                        <a:ln w="9525">
                          <a:solidFill>
                            <a:srgbClr val="000000"/>
                          </a:solidFill>
                          <a:miter lim="800000"/>
                          <a:headEnd/>
                          <a:tailEnd/>
                        </a:ln>
                      </wps:spPr>
                      <wps:txbx>
                        <w:txbxContent>
                          <w:p w:rsidR="00AF5CD6" w:rsidRDefault="00AF5CD6" w:rsidP="00AF5CD6">
                            <w:pPr>
                              <w:pStyle w:val="ListParagraph"/>
                              <w:numPr>
                                <w:ilvl w:val="0"/>
                                <w:numId w:val="8"/>
                              </w:numPr>
                              <w:spacing w:after="200" w:line="276" w:lineRule="auto"/>
                              <w:jc w:val="left"/>
                            </w:pPr>
                            <w:r>
                              <w:t xml:space="preserve">Goal of the study:  </w:t>
                            </w:r>
                            <w:r w:rsidRPr="00605FD7">
                              <w:t xml:space="preserve">The purpose of this </w:t>
                            </w:r>
                            <w:r>
                              <w:t>study</w:t>
                            </w:r>
                            <w:r w:rsidRPr="00605FD7">
                              <w:t xml:space="preserve"> is to administer a survey</w:t>
                            </w:r>
                            <w:r>
                              <w:t xml:space="preserve"> of ergonomics practitioners (those holding professional certification) </w:t>
                            </w:r>
                            <w:r w:rsidRPr="00605FD7">
                              <w:t xml:space="preserve">to gather information on the basic tools, direct and observational measurement techniques, and software used </w:t>
                            </w:r>
                            <w:r>
                              <w:t>at work sites</w:t>
                            </w:r>
                            <w:r w:rsidRPr="00605FD7">
                              <w:t xml:space="preserve"> to assess risk factors for musculoskeletal disorders</w:t>
                            </w:r>
                            <w:r>
                              <w:t>.</w:t>
                            </w:r>
                            <w:r w:rsidRPr="00605FD7">
                              <w:t xml:space="preserve"> </w:t>
                            </w:r>
                          </w:p>
                          <w:p w:rsidR="00AF5CD6" w:rsidRDefault="00AF5CD6" w:rsidP="00AF5CD6">
                            <w:pPr>
                              <w:pStyle w:val="ListParagraph"/>
                              <w:ind w:left="360"/>
                            </w:pPr>
                          </w:p>
                          <w:p w:rsidR="00AF5CD6" w:rsidRDefault="00AF5CD6" w:rsidP="00AF5CD6">
                            <w:pPr>
                              <w:pStyle w:val="ListParagraph"/>
                              <w:numPr>
                                <w:ilvl w:val="0"/>
                                <w:numId w:val="8"/>
                              </w:numPr>
                              <w:spacing w:after="200" w:line="276" w:lineRule="auto"/>
                              <w:jc w:val="left"/>
                            </w:pPr>
                            <w:r>
                              <w:t>Intended use of the resulting data:  Data will be used to determine current use of various assessment methods and to identify changes in the use of tools and assessment methods based on comparison to a similar survey published in 2005.</w:t>
                            </w:r>
                          </w:p>
                          <w:p w:rsidR="00AF5CD6" w:rsidRDefault="00AF5CD6" w:rsidP="00AF5CD6">
                            <w:pPr>
                              <w:pStyle w:val="ListParagraph"/>
                              <w:ind w:left="360"/>
                            </w:pPr>
                          </w:p>
                          <w:p w:rsidR="00AF5CD6" w:rsidRDefault="00AF5CD6" w:rsidP="00AF5CD6">
                            <w:pPr>
                              <w:pStyle w:val="ListParagraph"/>
                              <w:numPr>
                                <w:ilvl w:val="0"/>
                                <w:numId w:val="8"/>
                              </w:numPr>
                              <w:spacing w:after="200" w:line="276" w:lineRule="auto"/>
                              <w:jc w:val="left"/>
                            </w:pPr>
                            <w:r>
                              <w:t xml:space="preserve">Methods to be used to collect:  Data will be collected by web-based survey.  </w:t>
                            </w:r>
                          </w:p>
                          <w:p w:rsidR="00AF5CD6" w:rsidRDefault="00AF5CD6" w:rsidP="00AF5CD6">
                            <w:pPr>
                              <w:pStyle w:val="ListParagraph"/>
                            </w:pPr>
                          </w:p>
                          <w:p w:rsidR="00AF5CD6" w:rsidRDefault="00AF5CD6" w:rsidP="00AF5CD6">
                            <w:pPr>
                              <w:pStyle w:val="ListParagraph"/>
                              <w:numPr>
                                <w:ilvl w:val="0"/>
                                <w:numId w:val="8"/>
                              </w:numPr>
                              <w:spacing w:after="200" w:line="276" w:lineRule="auto"/>
                              <w:jc w:val="left"/>
                            </w:pPr>
                            <w:r>
                              <w:t>The subpopulation to be studied:  Professional ergonomists in five English-speaking countries (U.S., Canada, U.K., Australia, New Zealand) with certifications endorsed by the International Ergonomics Association.  The population of these certificate holders will be invited to participate.</w:t>
                            </w:r>
                          </w:p>
                          <w:p w:rsidR="00AF5CD6" w:rsidRDefault="00AF5CD6" w:rsidP="00AF5CD6">
                            <w:pPr>
                              <w:pStyle w:val="ListParagraph"/>
                              <w:ind w:left="360"/>
                            </w:pPr>
                          </w:p>
                          <w:p w:rsidR="00AF5CD6" w:rsidRDefault="00AF5CD6" w:rsidP="00AF5CD6">
                            <w:pPr>
                              <w:pStyle w:val="ListParagraph"/>
                              <w:numPr>
                                <w:ilvl w:val="0"/>
                                <w:numId w:val="8"/>
                              </w:numPr>
                              <w:spacing w:after="200" w:line="276" w:lineRule="auto"/>
                              <w:jc w:val="left"/>
                            </w:pPr>
                            <w:r>
                              <w:t>How data will be analyzed:  Descriptive statistics will be reported and tests of proportions will compare 2005 percentages to those of the present.</w:t>
                            </w:r>
                          </w:p>
                          <w:p w:rsidR="00AF5CD6" w:rsidRDefault="00AF5CD6" w:rsidP="00AF5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3EBEF" id="_x0000_t202" coordsize="21600,21600" o:spt="202" path="m,l,21600r21600,l21600,xe">
                <v:stroke joinstyle="miter"/>
                <v:path gradientshapeok="t" o:connecttype="rect"/>
              </v:shapetype>
              <v:shape id="Text Box 2" o:spid="_x0000_s1026" type="#_x0000_t202" style="position:absolute;left:0;text-align:left;margin-left:-30pt;margin-top:10.85pt;width:489.75pt;height:2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">
                <v:textbox>
                  <w:txbxContent>
                    <w:p w:rsidR="00AF5CD6" w:rsidRDefault="00AF5CD6" w:rsidP="00AF5CD6">
                      <w:pPr>
                        <w:pStyle w:val="ListParagraph"/>
                        <w:numPr>
                          <w:ilvl w:val="0"/>
                          <w:numId w:val="8"/>
                        </w:numPr>
                        <w:spacing w:after="200" w:line="276" w:lineRule="auto"/>
                        <w:jc w:val="left"/>
                      </w:pPr>
                      <w:r>
                        <w:t xml:space="preserve">Goal of the study:  </w:t>
                      </w:r>
                      <w:r w:rsidRPr="00605FD7">
                        <w:t xml:space="preserve">The purpose of this </w:t>
                      </w:r>
                      <w:r>
                        <w:t>study</w:t>
                      </w:r>
                      <w:r w:rsidRPr="00605FD7">
                        <w:t xml:space="preserve"> is to administer a survey</w:t>
                      </w:r>
                      <w:r>
                        <w:t xml:space="preserve"> of ergonomics practitioners (those holding professional certification) </w:t>
                      </w:r>
                      <w:r w:rsidRPr="00605FD7">
                        <w:t xml:space="preserve">to gather information on the basic tools, direct and observational measurement techniques, and software used </w:t>
                      </w:r>
                      <w:r>
                        <w:t>at work sites</w:t>
                      </w:r>
                      <w:r w:rsidRPr="00605FD7">
                        <w:t xml:space="preserve"> to assess risk factors for musculoskeletal disorders</w:t>
                      </w:r>
                      <w:r>
                        <w:t>.</w:t>
                      </w:r>
                      <w:r w:rsidRPr="00605FD7">
                        <w:t xml:space="preserve"> </w:t>
                      </w:r>
                    </w:p>
                    <w:p w:rsidR="00AF5CD6" w:rsidRDefault="00AF5CD6" w:rsidP="00AF5CD6">
                      <w:pPr>
                        <w:pStyle w:val="ListParagraph"/>
                        <w:ind w:left="360"/>
                      </w:pPr>
                    </w:p>
                    <w:p w:rsidR="00AF5CD6" w:rsidRDefault="00AF5CD6" w:rsidP="00AF5CD6">
                      <w:pPr>
                        <w:pStyle w:val="ListParagraph"/>
                        <w:numPr>
                          <w:ilvl w:val="0"/>
                          <w:numId w:val="8"/>
                        </w:numPr>
                        <w:spacing w:after="200" w:line="276" w:lineRule="auto"/>
                        <w:jc w:val="left"/>
                      </w:pPr>
                      <w:r>
                        <w:t>Intended use of the resulting data:  Data will be used to determine current use of various assessment methods and to identify changes in the use of tools and assessment methods based on comparison to a similar survey published in 2005.</w:t>
                      </w:r>
                    </w:p>
                    <w:p w:rsidR="00AF5CD6" w:rsidRDefault="00AF5CD6" w:rsidP="00AF5CD6">
                      <w:pPr>
                        <w:pStyle w:val="ListParagraph"/>
                        <w:ind w:left="360"/>
                      </w:pPr>
                    </w:p>
                    <w:p w:rsidR="00AF5CD6" w:rsidRDefault="00AF5CD6" w:rsidP="00AF5CD6">
                      <w:pPr>
                        <w:pStyle w:val="ListParagraph"/>
                        <w:numPr>
                          <w:ilvl w:val="0"/>
                          <w:numId w:val="8"/>
                        </w:numPr>
                        <w:spacing w:after="200" w:line="276" w:lineRule="auto"/>
                        <w:jc w:val="left"/>
                      </w:pPr>
                      <w:r>
                        <w:t xml:space="preserve">Methods to be used to collect:  Data will be collected by web-based survey.  </w:t>
                      </w:r>
                    </w:p>
                    <w:p w:rsidR="00AF5CD6" w:rsidRDefault="00AF5CD6" w:rsidP="00AF5CD6">
                      <w:pPr>
                        <w:pStyle w:val="ListParagraph"/>
                      </w:pPr>
                    </w:p>
                    <w:p w:rsidR="00AF5CD6" w:rsidRDefault="00AF5CD6" w:rsidP="00AF5CD6">
                      <w:pPr>
                        <w:pStyle w:val="ListParagraph"/>
                        <w:numPr>
                          <w:ilvl w:val="0"/>
                          <w:numId w:val="8"/>
                        </w:numPr>
                        <w:spacing w:after="200" w:line="276" w:lineRule="auto"/>
                        <w:jc w:val="left"/>
                      </w:pPr>
                      <w:r>
                        <w:t>The subpopulation to be studied:  Professional ergonomists in five English-speaking countries (U.S., Canada, U.K., Australia, New Zealand) with certifications endorsed by the International Ergonomics Association.  The population of these certificate holders will be invited to participate.</w:t>
                      </w:r>
                    </w:p>
                    <w:p w:rsidR="00AF5CD6" w:rsidRDefault="00AF5CD6" w:rsidP="00AF5CD6">
                      <w:pPr>
                        <w:pStyle w:val="ListParagraph"/>
                        <w:ind w:left="360"/>
                      </w:pPr>
                    </w:p>
                    <w:p w:rsidR="00AF5CD6" w:rsidRDefault="00AF5CD6" w:rsidP="00AF5CD6">
                      <w:pPr>
                        <w:pStyle w:val="ListParagraph"/>
                        <w:numPr>
                          <w:ilvl w:val="0"/>
                          <w:numId w:val="8"/>
                        </w:numPr>
                        <w:spacing w:after="200" w:line="276" w:lineRule="auto"/>
                        <w:jc w:val="left"/>
                      </w:pPr>
                      <w:r>
                        <w:t>How data will be analyzed:  Descriptive statistics will be reported and tests of proportions will compare 2005 percentages to those of the present.</w:t>
                      </w:r>
                    </w:p>
                    <w:p w:rsidR="00AF5CD6" w:rsidRDefault="00AF5CD6" w:rsidP="00AF5CD6"/>
                  </w:txbxContent>
                </v:textbox>
                <w10:wrap anchorx="margin"/>
              </v:shape>
            </w:pict>
          </mc:Fallback>
        </mc:AlternateContent>
      </w: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AF5CD6" w:rsidRDefault="00AF5CD6" w:rsidP="00FE6EB1">
      <w:pPr>
        <w:jc w:val="center"/>
        <w:rPr>
          <w:b/>
          <w:sz w:val="32"/>
          <w:szCs w:val="32"/>
        </w:rPr>
      </w:pPr>
    </w:p>
    <w:p w:rsidR="0038553A" w:rsidRDefault="00FE6EB1" w:rsidP="00FE6EB1">
      <w:pPr>
        <w:jc w:val="center"/>
        <w:rPr>
          <w:b/>
          <w:sz w:val="32"/>
          <w:szCs w:val="32"/>
        </w:rPr>
      </w:pPr>
      <w:r w:rsidRPr="00FE6EB1">
        <w:rPr>
          <w:b/>
          <w:sz w:val="32"/>
          <w:szCs w:val="32"/>
        </w:rPr>
        <w:t>SECTION A. JUSTIFICATION</w:t>
      </w:r>
    </w:p>
    <w:p w:rsidR="00FE6EB1" w:rsidRPr="00FE6EB1" w:rsidRDefault="00FE6EB1" w:rsidP="00FE6EB1">
      <w:pPr>
        <w:jc w:val="center"/>
        <w:rPr>
          <w:b/>
          <w:sz w:val="32"/>
          <w:szCs w:val="32"/>
        </w:rPr>
      </w:pPr>
    </w:p>
    <w:p w:rsidR="0038553A" w:rsidRPr="00F22A4F" w:rsidRDefault="0038553A" w:rsidP="0038553A">
      <w:pPr>
        <w:pStyle w:val="Heading2"/>
        <w:rPr>
          <w:b w:val="0"/>
        </w:rPr>
      </w:pPr>
      <w:bookmarkStart w:id="0" w:name="_Toc239826773"/>
      <w:bookmarkStart w:id="1" w:name="_Toc248821740"/>
      <w:bookmarkStart w:id="2" w:name="_Toc261966284"/>
      <w:r w:rsidRPr="00F22A4F">
        <w:rPr>
          <w:b w:val="0"/>
        </w:rPr>
        <w:t>A1.</w:t>
      </w:r>
      <w:r w:rsidRPr="00F22A4F">
        <w:rPr>
          <w:b w:val="0"/>
        </w:rPr>
        <w:tab/>
        <w:t>Circumstances Making the Collection of Information Necessary</w:t>
      </w:r>
      <w:bookmarkEnd w:id="0"/>
      <w:bookmarkEnd w:id="1"/>
      <w:bookmarkEnd w:id="2"/>
    </w:p>
    <w:p w:rsidR="0038553A" w:rsidRDefault="0038553A" w:rsidP="0038553A"/>
    <w:p w:rsidR="00C717E6" w:rsidRDefault="00C717E6" w:rsidP="00AB40F5">
      <w:r>
        <w:t>A</w:t>
      </w:r>
      <w:r w:rsidRPr="00C717E6">
        <w:t xml:space="preserve"> Strategic Goal </w:t>
      </w:r>
      <w:r>
        <w:t>of the NIOSH Musculoskeletal Disorders (MSD) Cross Sector Program is to</w:t>
      </w:r>
      <w:r w:rsidRPr="00C717E6">
        <w:t xml:space="preserve"> </w:t>
      </w:r>
      <w:r>
        <w:t>r</w:t>
      </w:r>
      <w:r w:rsidRPr="00C717E6">
        <w:t xml:space="preserve">educe the incidence of work-related MSDs </w:t>
      </w:r>
      <w:r>
        <w:t>by</w:t>
      </w:r>
      <w:r w:rsidRPr="00C717E6">
        <w:t xml:space="preserve"> reduc</w:t>
      </w:r>
      <w:r>
        <w:t>ing</w:t>
      </w:r>
      <w:r w:rsidRPr="00C717E6">
        <w:t xml:space="preserve"> exposure to MSD risk factors.</w:t>
      </w:r>
      <w:r>
        <w:t xml:space="preserve"> </w:t>
      </w:r>
      <w:r w:rsidRPr="00C717E6">
        <w:t xml:space="preserve">This </w:t>
      </w:r>
      <w:r>
        <w:t>project</w:t>
      </w:r>
      <w:r w:rsidRPr="00C717E6">
        <w:t xml:space="preserve"> addresses the prevalence of use of </w:t>
      </w:r>
      <w:r w:rsidR="00D85ABE" w:rsidRPr="00C717E6">
        <w:t xml:space="preserve">ergonomics and MSD </w:t>
      </w:r>
      <w:r w:rsidR="00D85ABE">
        <w:t>risk factor</w:t>
      </w:r>
      <w:r w:rsidR="00D85ABE" w:rsidRPr="00C717E6">
        <w:t xml:space="preserve"> </w:t>
      </w:r>
      <w:r w:rsidR="00D85ABE">
        <w:t>assessment</w:t>
      </w:r>
      <w:r w:rsidRPr="00C717E6">
        <w:t xml:space="preserve"> methods by practitioners within the discipline.  </w:t>
      </w:r>
      <w:r w:rsidR="00D85ABE">
        <w:t>This</w:t>
      </w:r>
      <w:r w:rsidRPr="00C717E6">
        <w:t xml:space="preserve"> study will have implications for dissemination efforts related to musculoskeletal disorder risk assessment tools and methods since the</w:t>
      </w:r>
      <w:r w:rsidR="00D85ABE">
        <w:t xml:space="preserve"> results</w:t>
      </w:r>
      <w:r w:rsidRPr="00C717E6">
        <w:t xml:space="preserve"> will provide insight into the current practices of ergonomics professionals.  It is ineffective to continue dissemination efforts for tools and methods that practitioners do not have a need for or do not find useful.</w:t>
      </w:r>
    </w:p>
    <w:p w:rsidR="00C717E6" w:rsidRDefault="00C717E6" w:rsidP="00AB40F5"/>
    <w:p w:rsidR="002072C2" w:rsidRDefault="00E20D95" w:rsidP="00AB40F5">
      <w:r>
        <w:t xml:space="preserve">This Information Collection Request (ICR) is a NEW request to administer a survey </w:t>
      </w:r>
      <w:r w:rsidR="002072C2">
        <w:t xml:space="preserve">to a specific </w:t>
      </w:r>
      <w:proofErr w:type="spellStart"/>
      <w:r w:rsidR="002072C2">
        <w:t>targetted</w:t>
      </w:r>
      <w:proofErr w:type="spellEnd"/>
      <w:r w:rsidR="002072C2">
        <w:t xml:space="preserve"> population of professionals in the Ergonomics discipline.  The request is for </w:t>
      </w:r>
      <w:r>
        <w:t xml:space="preserve">a 12 month period.  </w:t>
      </w:r>
      <w:r w:rsidR="00887144" w:rsidRPr="00887144">
        <w:t xml:space="preserve">NIOSH </w:t>
      </w:r>
      <w:r w:rsidR="00920762">
        <w:t xml:space="preserve">will </w:t>
      </w:r>
      <w:r w:rsidR="00887144" w:rsidRPr="00887144">
        <w:t xml:space="preserve">administer </w:t>
      </w:r>
      <w:r w:rsidR="002072C2">
        <w:t>this</w:t>
      </w:r>
      <w:r w:rsidR="00887144" w:rsidRPr="00887144">
        <w:t xml:space="preserve"> survey of ergonomics professionals as a 10-year follow-up to a survey conducted of U.S. Certified Professional Ergonomists </w:t>
      </w:r>
      <w:r w:rsidR="00887144" w:rsidRPr="00887144">
        <w:lastRenderedPageBreak/>
        <w:t xml:space="preserve">(CPEs) by Dempsey et al and published in 2005 (A survey of tools and methods used by certified professional ergonomists.  </w:t>
      </w:r>
      <w:r w:rsidR="00887144" w:rsidRPr="002072C2">
        <w:rPr>
          <w:i/>
        </w:rPr>
        <w:t>Applied Ergonomics</w:t>
      </w:r>
      <w:r w:rsidR="00887144" w:rsidRPr="00887144">
        <w:t xml:space="preserve">, </w:t>
      </w:r>
      <w:r w:rsidR="00887144" w:rsidRPr="002072C2">
        <w:rPr>
          <w:i/>
        </w:rPr>
        <w:t>36</w:t>
      </w:r>
      <w:r w:rsidR="00887144" w:rsidRPr="00887144">
        <w:t xml:space="preserve">, 489-503).  </w:t>
      </w:r>
      <w:r w:rsidR="00537B68">
        <w:t xml:space="preserve">The motivation for the original 2005 survey was to better understand the types of tools and methods practitioners use, their opinions of these tools, and to potentially gain an understanding of the constraints or preferences that influence this selection.  </w:t>
      </w:r>
      <w:r w:rsidR="00AB40F5">
        <w:t xml:space="preserve">The planned questionnaire was modified from that originally published in 2005 by Dempsey et al. (Attachment </w:t>
      </w:r>
      <w:r w:rsidR="00B94EC3">
        <w:t>D</w:t>
      </w:r>
      <w:r w:rsidR="00AB40F5">
        <w:t>).</w:t>
      </w:r>
    </w:p>
    <w:p w:rsidR="002072C2" w:rsidRDefault="002072C2" w:rsidP="00537B68"/>
    <w:p w:rsidR="00537B68" w:rsidRDefault="00537B68" w:rsidP="00537B68">
      <w:r>
        <w:t xml:space="preserve">At the time of the 2005 survey there were many tools reported in the literature, but little information on the extent to which these different tools were used by practitioners. Similarly, there was little published information on users’ experiences with these different tools. </w:t>
      </w:r>
      <w:r w:rsidR="00887144">
        <w:t xml:space="preserve"> </w:t>
      </w:r>
      <w:r>
        <w:t>There has been considerable interest in the findings and the Dempsey et al (2005) publication has been widely cited.  It is anticipated that this follow-up effort will result in even greater interest as changes in the practice of ergonomics and prevention of soft tissue MSDs can be inferred from comparisons between the two surveys time points.</w:t>
      </w:r>
    </w:p>
    <w:p w:rsidR="00537B68" w:rsidRDefault="00537B68" w:rsidP="00537B68"/>
    <w:p w:rsidR="009A153F" w:rsidRDefault="009A153F" w:rsidP="00883D81">
      <w:pPr>
        <w:rPr>
          <w:b/>
        </w:rPr>
      </w:pPr>
      <w:bookmarkStart w:id="3" w:name="_Toc248224216"/>
    </w:p>
    <w:p w:rsidR="0038553A" w:rsidRDefault="0038553A" w:rsidP="0038553A">
      <w:pPr>
        <w:pStyle w:val="Heading2"/>
        <w:rPr>
          <w:b w:val="0"/>
        </w:rPr>
      </w:pPr>
      <w:bookmarkStart w:id="4" w:name="_Toc239826774"/>
      <w:bookmarkStart w:id="5" w:name="_Toc248821741"/>
      <w:bookmarkStart w:id="6" w:name="_Toc261966285"/>
      <w:bookmarkEnd w:id="3"/>
      <w:r w:rsidRPr="008B1340">
        <w:rPr>
          <w:b w:val="0"/>
        </w:rPr>
        <w:t>A2.</w:t>
      </w:r>
      <w:r w:rsidRPr="008B1340">
        <w:rPr>
          <w:b w:val="0"/>
        </w:rPr>
        <w:tab/>
        <w:t>Purpose and Use of Information Collection</w:t>
      </w:r>
      <w:bookmarkEnd w:id="4"/>
      <w:bookmarkEnd w:id="5"/>
      <w:bookmarkEnd w:id="6"/>
    </w:p>
    <w:p w:rsidR="00C717E6" w:rsidRDefault="00C717E6" w:rsidP="00C717E6"/>
    <w:p w:rsidR="00C717E6" w:rsidRDefault="00C717E6" w:rsidP="00C717E6">
      <w:r w:rsidRPr="00887144">
        <w:t>The purpose of th</w:t>
      </w:r>
      <w:r>
        <w:t xml:space="preserve">is survey will be </w:t>
      </w:r>
      <w:r w:rsidRPr="00887144">
        <w:t xml:space="preserve">to gather information on the types of basic tools, direct and observational measurement techniques, and software used in the field </w:t>
      </w:r>
      <w:r>
        <w:t xml:space="preserve">of Ergonomics </w:t>
      </w:r>
      <w:r w:rsidRPr="00887144">
        <w:t xml:space="preserve">by practitioners to assess workplace risk factors for </w:t>
      </w:r>
      <w:r>
        <w:t xml:space="preserve">work related </w:t>
      </w:r>
      <w:r w:rsidRPr="00887144">
        <w:t xml:space="preserve">musculoskeletal disorders </w:t>
      </w:r>
      <w:r>
        <w:t xml:space="preserve">(WMSDs) </w:t>
      </w:r>
      <w:r w:rsidRPr="00887144">
        <w:t>and to evaluate workplace interventions.</w:t>
      </w:r>
      <w:r>
        <w:t xml:space="preserve">  The project is innovative in that we are not aware of any international formalized survey of tools and methods used by ergonomics practitioners in the assessment of workplace risk factors having ever been conducted.  The study by Dempsey et al. (2005) is the most comprehensive data we are aware of on the degree of use of various tools and techniques for MSD risk factor assessment.  With time, the development and acceptance of newer technologies, and new emerging issues of relevance to the scope of ergonomics practice, the 2005 study becomes increasingly dated.</w:t>
      </w:r>
    </w:p>
    <w:p w:rsidR="00C717E6" w:rsidRDefault="00C717E6" w:rsidP="00C717E6">
      <w:pPr>
        <w:rPr>
          <w:bCs/>
          <w:iCs/>
        </w:rPr>
      </w:pPr>
    </w:p>
    <w:p w:rsidR="00C717E6" w:rsidRDefault="00C717E6" w:rsidP="00C717E6">
      <w:pPr>
        <w:rPr>
          <w:bCs/>
          <w:iCs/>
        </w:rPr>
      </w:pPr>
      <w:r>
        <w:rPr>
          <w:bCs/>
          <w:iCs/>
        </w:rPr>
        <w:t>Two specific aims are (1)</w:t>
      </w:r>
      <w:r w:rsidRPr="005E34E1">
        <w:rPr>
          <w:bCs/>
          <w:iCs/>
        </w:rPr>
        <w:t xml:space="preserve"> Extend the original ergonomist survey population to include the international community of practicing ergonomists.  This will serve to better characterize the current scope of practices of the international community of specialists working in the field of MSD prevention and to formally determine international use of various tools and techniques.  </w:t>
      </w:r>
      <w:r>
        <w:rPr>
          <w:bCs/>
          <w:iCs/>
        </w:rPr>
        <w:t xml:space="preserve">(2)  </w:t>
      </w:r>
      <w:r w:rsidRPr="005E34E1">
        <w:rPr>
          <w:bCs/>
          <w:iCs/>
        </w:rPr>
        <w:t>Through modification to the original survey, determine the use of contemporary technologies that in the 2005 survey were not yet available, or used by only the earliest adopters.  One specific example is the use of touch screen smartphone or pad/tablet devices with photo and video capture capabilities, and associated use of mobile applications (“apps</w:t>
      </w:r>
      <w:r>
        <w:rPr>
          <w:bCs/>
          <w:iCs/>
        </w:rPr>
        <w:t>”</w:t>
      </w:r>
      <w:r w:rsidRPr="005E34E1">
        <w:rPr>
          <w:bCs/>
          <w:iCs/>
        </w:rPr>
        <w:t>)</w:t>
      </w:r>
      <w:r>
        <w:rPr>
          <w:bCs/>
          <w:iCs/>
        </w:rPr>
        <w:t>.</w:t>
      </w:r>
      <w:r w:rsidRPr="005E34E1">
        <w:rPr>
          <w:bCs/>
          <w:iCs/>
        </w:rPr>
        <w:t xml:space="preserve">  A second example includes the class of physical activity monitoring technologies based on popular consumer-grade smartphone/smartwatch/</w:t>
      </w:r>
      <w:r>
        <w:rPr>
          <w:bCs/>
          <w:iCs/>
        </w:rPr>
        <w:t>app activity monitoring systems.</w:t>
      </w:r>
    </w:p>
    <w:p w:rsidR="00D85ABE" w:rsidRDefault="00D85ABE" w:rsidP="00C717E6">
      <w:pPr>
        <w:rPr>
          <w:bCs/>
          <w:iCs/>
        </w:rPr>
      </w:pPr>
    </w:p>
    <w:p w:rsidR="00D85ABE" w:rsidRDefault="00D85ABE" w:rsidP="00D85ABE">
      <w:r>
        <w:lastRenderedPageBreak/>
        <w:t>Since publication of the initial survey findings there has been a proliferation of smart phone/smart device-embedded gyroscopic and linear acceleration sensors and related “apps” for human motion and activity logging.  Further, the capture of digital still photos and video is now trivial with small touchscreen mobile pads, tablet and smartphones.  In the 2005 survey summary digital and video cameras were used by 87% and 96%, respectively, of the respondents.  Little is known about the extent to which ergonomics practitioners are using newer technologies towards assessing workplace physical activity (and now, workplace inactivity and “</w:t>
      </w:r>
      <w:proofErr w:type="spellStart"/>
      <w:r>
        <w:t>sedentarism</w:t>
      </w:r>
      <w:proofErr w:type="spellEnd"/>
      <w:r>
        <w:t>”) and other job demands.  Thus, the survey will provide a contemporary perspective on the scope of use of assessment tools and methods by these professionals.</w:t>
      </w:r>
    </w:p>
    <w:p w:rsidR="00D85ABE" w:rsidRDefault="00D85ABE" w:rsidP="00C717E6">
      <w:pPr>
        <w:rPr>
          <w:bCs/>
          <w:iCs/>
        </w:rPr>
      </w:pPr>
    </w:p>
    <w:p w:rsidR="00793779" w:rsidRDefault="00793779" w:rsidP="003465EE">
      <w:pPr>
        <w:rPr>
          <w:lang w:eastAsia="ja-JP"/>
        </w:rPr>
      </w:pPr>
      <w:bookmarkStart w:id="7" w:name="_GoBack"/>
      <w:bookmarkEnd w:id="7"/>
    </w:p>
    <w:p w:rsidR="0038553A" w:rsidRPr="00F81BA5" w:rsidRDefault="0038553A" w:rsidP="0038553A">
      <w:pPr>
        <w:pStyle w:val="Heading2"/>
        <w:rPr>
          <w:b w:val="0"/>
        </w:rPr>
      </w:pPr>
      <w:bookmarkStart w:id="8" w:name="_Toc239826775"/>
      <w:bookmarkStart w:id="9" w:name="_Toc248821742"/>
      <w:bookmarkStart w:id="10" w:name="_Toc261966286"/>
      <w:r w:rsidRPr="004B6905">
        <w:rPr>
          <w:b w:val="0"/>
        </w:rPr>
        <w:t>A3.</w:t>
      </w:r>
      <w:r w:rsidRPr="004B6905">
        <w:rPr>
          <w:b w:val="0"/>
        </w:rPr>
        <w:tab/>
        <w:t>Use of Improved Information Technology and Burden Reduction</w:t>
      </w:r>
      <w:bookmarkEnd w:id="8"/>
      <w:bookmarkEnd w:id="9"/>
      <w:bookmarkEnd w:id="10"/>
    </w:p>
    <w:p w:rsidR="007E408F" w:rsidRDefault="007E408F" w:rsidP="0038553A"/>
    <w:p w:rsidR="000250D3" w:rsidRDefault="004B11CA" w:rsidP="004B11CA">
      <w:pPr>
        <w:ind w:firstLine="720"/>
      </w:pPr>
      <w:r>
        <w:t xml:space="preserve">This data collection </w:t>
      </w:r>
      <w:r w:rsidR="003F57FE">
        <w:t xml:space="preserve">will be conducted </w:t>
      </w:r>
      <w:r w:rsidR="005C42B7">
        <w:t xml:space="preserve">(100%) </w:t>
      </w:r>
      <w:r w:rsidR="003F57FE">
        <w:t>through an on-line web survey service</w:t>
      </w:r>
      <w:r w:rsidR="00D059B3">
        <w:t xml:space="preserve"> (</w:t>
      </w:r>
      <w:proofErr w:type="spellStart"/>
      <w:r w:rsidR="00D059B3">
        <w:t>SurveyMonkey</w:t>
      </w:r>
      <w:proofErr w:type="spellEnd"/>
      <w:r w:rsidR="00D059B3">
        <w:t>)</w:t>
      </w:r>
      <w:r w:rsidR="003F57FE">
        <w:t xml:space="preserve">.  </w:t>
      </w:r>
      <w:r>
        <w:t xml:space="preserve">Electronic data collection procedures are being used </w:t>
      </w:r>
      <w:r w:rsidR="003F57FE">
        <w:t>to eliminate paper questionnaire mailing costs and to eliminate the handling of paper surveys</w:t>
      </w:r>
      <w:r>
        <w:t xml:space="preserve">. </w:t>
      </w:r>
      <w:r w:rsidR="003F57FE">
        <w:t xml:space="preserve"> </w:t>
      </w:r>
      <w:r w:rsidR="00BD4C2F">
        <w:t>Q</w:t>
      </w:r>
      <w:r w:rsidR="003F57FE">
        <w:t xml:space="preserve">uestionnaire responses submitted </w:t>
      </w:r>
      <w:r w:rsidR="00803DEF">
        <w:t xml:space="preserve">through the web will </w:t>
      </w:r>
      <w:r>
        <w:t xml:space="preserve">not contain any </w:t>
      </w:r>
      <w:r w:rsidR="00A20A40">
        <w:t>IIF.</w:t>
      </w:r>
    </w:p>
    <w:p w:rsidR="00803DEF" w:rsidRDefault="00803DEF" w:rsidP="004B11CA">
      <w:pPr>
        <w:ind w:firstLine="720"/>
      </w:pPr>
    </w:p>
    <w:p w:rsidR="0038553A" w:rsidRDefault="0038553A" w:rsidP="0038553A">
      <w:pPr>
        <w:pStyle w:val="Heading2"/>
        <w:rPr>
          <w:b w:val="0"/>
        </w:rPr>
      </w:pPr>
      <w:bookmarkStart w:id="11" w:name="_Toc239826776"/>
      <w:bookmarkStart w:id="12" w:name="_Toc248821743"/>
      <w:bookmarkStart w:id="13" w:name="_Toc261966287"/>
      <w:r w:rsidRPr="008B1340">
        <w:rPr>
          <w:b w:val="0"/>
        </w:rPr>
        <w:t>A4.</w:t>
      </w:r>
      <w:r w:rsidRPr="008B1340">
        <w:rPr>
          <w:b w:val="0"/>
        </w:rPr>
        <w:tab/>
        <w:t>Efforts to Identify Duplication and Use of Similar Information</w:t>
      </w:r>
      <w:bookmarkEnd w:id="11"/>
      <w:bookmarkEnd w:id="12"/>
      <w:bookmarkEnd w:id="13"/>
    </w:p>
    <w:p w:rsidR="00BE39A8" w:rsidRDefault="00BE39A8" w:rsidP="00BE39A8">
      <w:pPr>
        <w:rPr>
          <w:lang w:eastAsia="ja-JP"/>
        </w:rPr>
      </w:pPr>
    </w:p>
    <w:p w:rsidR="008B1340" w:rsidRDefault="000F3669" w:rsidP="00BE39A8">
      <w:pPr>
        <w:tabs>
          <w:tab w:val="left" w:pos="0"/>
          <w:tab w:val="left" w:pos="540"/>
        </w:tabs>
      </w:pPr>
      <w:r>
        <w:tab/>
      </w:r>
      <w:r w:rsidR="00BE39A8">
        <w:t xml:space="preserve">NIOSH has searched the scientific literature, contacted colleagues </w:t>
      </w:r>
      <w:r w:rsidR="00F22A4F">
        <w:t>throughout the occupational safety and health community</w:t>
      </w:r>
      <w:r w:rsidR="00BE39A8">
        <w:t xml:space="preserve">, </w:t>
      </w:r>
      <w:r w:rsidR="00F22A4F">
        <w:t xml:space="preserve">and </w:t>
      </w:r>
      <w:r w:rsidR="00D059B3">
        <w:t xml:space="preserve">contacted professional organizations.  </w:t>
      </w:r>
      <w:r w:rsidR="00A20A40">
        <w:t xml:space="preserve">The original </w:t>
      </w:r>
      <w:r w:rsidR="008368EC">
        <w:t xml:space="preserve">collection of this information was done </w:t>
      </w:r>
      <w:r w:rsidR="00E139B2">
        <w:t>approximately</w:t>
      </w:r>
      <w:r w:rsidR="008368EC">
        <w:t xml:space="preserve"> </w:t>
      </w:r>
      <w:r w:rsidR="00E139B2">
        <w:t>12</w:t>
      </w:r>
      <w:r w:rsidR="008368EC">
        <w:t xml:space="preserve"> years ago and that information is outdated.</w:t>
      </w:r>
    </w:p>
    <w:p w:rsidR="00BE39A8" w:rsidRDefault="00BE39A8" w:rsidP="00BE39A8">
      <w:pPr>
        <w:tabs>
          <w:tab w:val="left" w:pos="0"/>
          <w:tab w:val="left" w:pos="540"/>
        </w:tabs>
      </w:pPr>
      <w:r>
        <w:t xml:space="preserve"> </w:t>
      </w:r>
    </w:p>
    <w:p w:rsidR="0038553A" w:rsidRPr="00F81BA5" w:rsidRDefault="0038553A" w:rsidP="0038553A">
      <w:pPr>
        <w:pStyle w:val="Heading2"/>
        <w:rPr>
          <w:b w:val="0"/>
        </w:rPr>
      </w:pPr>
      <w:bookmarkStart w:id="14" w:name="_Toc239826777"/>
      <w:bookmarkStart w:id="15" w:name="_Toc248821744"/>
      <w:bookmarkStart w:id="16" w:name="_Toc261966288"/>
      <w:r w:rsidRPr="008B1340">
        <w:rPr>
          <w:b w:val="0"/>
        </w:rPr>
        <w:t>A5.</w:t>
      </w:r>
      <w:r w:rsidRPr="008B1340">
        <w:rPr>
          <w:b w:val="0"/>
        </w:rPr>
        <w:tab/>
        <w:t>Impact on Small Businesses or Other Small Entities</w:t>
      </w:r>
      <w:bookmarkEnd w:id="14"/>
      <w:bookmarkEnd w:id="15"/>
      <w:bookmarkEnd w:id="16"/>
    </w:p>
    <w:p w:rsidR="001F197B" w:rsidRDefault="001F197B" w:rsidP="0038553A"/>
    <w:p w:rsidR="008B1340" w:rsidRDefault="001C5F19" w:rsidP="001C5F19">
      <w:r>
        <w:t>This data collection will not involve small businesses.</w:t>
      </w:r>
    </w:p>
    <w:p w:rsidR="001C5F19" w:rsidRDefault="001C5F19" w:rsidP="001C5F19"/>
    <w:p w:rsidR="0038553A" w:rsidRPr="00F81BA5" w:rsidRDefault="0038553A" w:rsidP="0038553A">
      <w:pPr>
        <w:pStyle w:val="Heading2"/>
        <w:rPr>
          <w:b w:val="0"/>
        </w:rPr>
      </w:pPr>
      <w:bookmarkStart w:id="17" w:name="_Toc239826778"/>
      <w:bookmarkStart w:id="18" w:name="_Toc248821745"/>
      <w:bookmarkStart w:id="19" w:name="_Toc261966289"/>
      <w:r w:rsidRPr="008B1340">
        <w:rPr>
          <w:b w:val="0"/>
        </w:rPr>
        <w:t>A6.</w:t>
      </w:r>
      <w:r w:rsidRPr="008B1340">
        <w:rPr>
          <w:b w:val="0"/>
        </w:rPr>
        <w:tab/>
        <w:t>Consequences of Information Collected Less Frequently</w:t>
      </w:r>
      <w:bookmarkEnd w:id="17"/>
      <w:bookmarkEnd w:id="18"/>
      <w:bookmarkEnd w:id="19"/>
    </w:p>
    <w:p w:rsidR="00343A22" w:rsidRDefault="00343A22" w:rsidP="0038553A"/>
    <w:p w:rsidR="00D14DD0" w:rsidRDefault="00343A22" w:rsidP="0038553A">
      <w:r>
        <w:t xml:space="preserve">Respondents will be asked to </w:t>
      </w:r>
      <w:r w:rsidR="00E139B2">
        <w:t xml:space="preserve">voluntarily </w:t>
      </w:r>
      <w:r>
        <w:t xml:space="preserve">respond to the data collection </w:t>
      </w:r>
      <w:r w:rsidR="005C7ED7">
        <w:t>one time.  There is no lesser frequency</w:t>
      </w:r>
      <w:r w:rsidR="00A20A40">
        <w:t xml:space="preserve"> of information collection</w:t>
      </w:r>
      <w:r w:rsidR="005C7ED7">
        <w:t>.</w:t>
      </w:r>
      <w:r w:rsidR="00A8221D">
        <w:t xml:space="preserve"> </w:t>
      </w:r>
    </w:p>
    <w:p w:rsidR="00EC1189" w:rsidRDefault="00EC1189" w:rsidP="0038553A"/>
    <w:p w:rsidR="00D95AC2" w:rsidRDefault="00D95AC2" w:rsidP="0038553A"/>
    <w:p w:rsidR="0038553A" w:rsidRPr="00F81BA5" w:rsidRDefault="0038553A" w:rsidP="0038553A">
      <w:pPr>
        <w:pStyle w:val="Heading2"/>
        <w:rPr>
          <w:b w:val="0"/>
        </w:rPr>
      </w:pPr>
      <w:bookmarkStart w:id="20" w:name="_Toc239826779"/>
      <w:bookmarkStart w:id="21" w:name="_Toc248821746"/>
      <w:bookmarkStart w:id="22" w:name="_Toc261966290"/>
      <w:r w:rsidRPr="001E09BF">
        <w:rPr>
          <w:b w:val="0"/>
        </w:rPr>
        <w:t>A7.</w:t>
      </w:r>
      <w:r w:rsidRPr="001E09BF">
        <w:rPr>
          <w:b w:val="0"/>
        </w:rPr>
        <w:tab/>
        <w:t>Special Circumstances Relating</w:t>
      </w:r>
      <w:r w:rsidR="00EC1189" w:rsidRPr="001E09BF">
        <w:rPr>
          <w:b w:val="0"/>
        </w:rPr>
        <w:t xml:space="preserve"> </w:t>
      </w:r>
      <w:r w:rsidRPr="001E09BF">
        <w:rPr>
          <w:b w:val="0"/>
        </w:rPr>
        <w:t>to the Guidelines of 5 CFR 1320.5</w:t>
      </w:r>
      <w:bookmarkEnd w:id="20"/>
      <w:bookmarkEnd w:id="21"/>
      <w:bookmarkEnd w:id="22"/>
    </w:p>
    <w:p w:rsidR="00473E46" w:rsidRDefault="00473E46" w:rsidP="0038553A"/>
    <w:p w:rsidR="001C5F19" w:rsidRDefault="001C5F19" w:rsidP="001C5F19">
      <w:pPr>
        <w:pStyle w:val="Heading2"/>
        <w:ind w:left="720" w:hanging="720"/>
        <w:rPr>
          <w:rFonts w:cs="Times New Roman"/>
          <w:b w:val="0"/>
          <w:color w:val="auto"/>
          <w:sz w:val="24"/>
          <w:szCs w:val="24"/>
          <w:lang w:eastAsia="en-US"/>
        </w:rPr>
      </w:pPr>
      <w:bookmarkStart w:id="23" w:name="_Toc239826780"/>
      <w:bookmarkStart w:id="24" w:name="_Toc248821747"/>
      <w:bookmarkStart w:id="25" w:name="_Toc261966291"/>
      <w:r w:rsidRPr="001C5F19">
        <w:rPr>
          <w:rFonts w:cs="Times New Roman"/>
          <w:b w:val="0"/>
          <w:color w:val="auto"/>
          <w:sz w:val="24"/>
          <w:szCs w:val="24"/>
          <w:lang w:eastAsia="en-US"/>
        </w:rPr>
        <w:lastRenderedPageBreak/>
        <w:t>This request fully complies with the regulation 5 CFR 1320.5</w:t>
      </w:r>
      <w:r>
        <w:rPr>
          <w:rFonts w:cs="Times New Roman"/>
          <w:b w:val="0"/>
          <w:color w:val="auto"/>
          <w:sz w:val="24"/>
          <w:szCs w:val="24"/>
          <w:lang w:eastAsia="en-US"/>
        </w:rPr>
        <w:t>.</w:t>
      </w:r>
    </w:p>
    <w:p w:rsidR="001C5F19" w:rsidRDefault="001C5F19" w:rsidP="001C5F19"/>
    <w:p w:rsidR="005C42B7" w:rsidRPr="001C5F19" w:rsidRDefault="005C42B7" w:rsidP="001C5F19"/>
    <w:p w:rsidR="0038553A" w:rsidRPr="00F81BA5" w:rsidRDefault="0038553A" w:rsidP="001C5F19">
      <w:pPr>
        <w:pStyle w:val="Heading2"/>
        <w:ind w:left="720" w:hanging="720"/>
        <w:rPr>
          <w:b w:val="0"/>
        </w:rPr>
      </w:pPr>
      <w:r w:rsidRPr="008D248E">
        <w:rPr>
          <w:b w:val="0"/>
        </w:rPr>
        <w:t>A8.</w:t>
      </w:r>
      <w:r w:rsidRPr="008D248E">
        <w:rPr>
          <w:b w:val="0"/>
        </w:rPr>
        <w:tab/>
        <w:t>Comments in Response to the Federal Register Notice and Efforts to Consult Outside the Agency</w:t>
      </w:r>
      <w:bookmarkEnd w:id="23"/>
      <w:bookmarkEnd w:id="24"/>
      <w:bookmarkEnd w:id="25"/>
    </w:p>
    <w:p w:rsidR="00CF3A2A" w:rsidRDefault="00CF3A2A" w:rsidP="0038553A">
      <w:pPr>
        <w:pStyle w:val="QuickA"/>
        <w:ind w:left="0" w:firstLine="0"/>
      </w:pPr>
    </w:p>
    <w:p w:rsidR="00FA7614" w:rsidRDefault="00FA7614" w:rsidP="00FA7614">
      <w:pPr>
        <w:pStyle w:val="QuickA"/>
        <w:tabs>
          <w:tab w:val="left" w:pos="0"/>
          <w:tab w:val="left" w:pos="360"/>
          <w:tab w:val="left" w:pos="1080"/>
        </w:tabs>
        <w:ind w:left="0" w:firstLine="0"/>
        <w:outlineLvl w:val="9"/>
        <w:rPr>
          <w:bCs/>
          <w:iCs/>
        </w:rPr>
      </w:pPr>
      <w:r>
        <w:t>A:</w:t>
      </w:r>
      <w:r w:rsidR="00473E46">
        <w:t xml:space="preserve"> </w:t>
      </w:r>
      <w:r>
        <w:t xml:space="preserve"> </w:t>
      </w:r>
      <w:r w:rsidR="00AF6B5C">
        <w:t>A</w:t>
      </w:r>
      <w:r w:rsidR="00CF3A2A" w:rsidRPr="00E07467">
        <w:t xml:space="preserve"> 60-day publication period in the </w:t>
      </w:r>
      <w:r w:rsidR="00CF3A2A" w:rsidRPr="00FA4E2B">
        <w:rPr>
          <w:i/>
        </w:rPr>
        <w:t>Federal Register</w:t>
      </w:r>
      <w:r w:rsidR="00CF3A2A" w:rsidRPr="00FA4E2B">
        <w:t xml:space="preserve"> </w:t>
      </w:r>
      <w:r w:rsidR="00CF3A2A" w:rsidRPr="009C1B28">
        <w:rPr>
          <w:u w:val="single"/>
        </w:rPr>
        <w:t>(</w:t>
      </w:r>
      <w:r w:rsidR="00835DE4">
        <w:rPr>
          <w:u w:val="single"/>
        </w:rPr>
        <w:t xml:space="preserve">published </w:t>
      </w:r>
      <w:r w:rsidR="00AF6B5C" w:rsidRPr="009C1B28">
        <w:rPr>
          <w:u w:val="single"/>
        </w:rPr>
        <w:t>Ju</w:t>
      </w:r>
      <w:r w:rsidR="009C1B28" w:rsidRPr="009C1B28">
        <w:rPr>
          <w:u w:val="single"/>
        </w:rPr>
        <w:t>ne</w:t>
      </w:r>
      <w:r w:rsidR="00AF6B5C" w:rsidRPr="009C1B28">
        <w:rPr>
          <w:u w:val="single"/>
        </w:rPr>
        <w:t xml:space="preserve"> </w:t>
      </w:r>
      <w:r w:rsidR="00835DE4">
        <w:rPr>
          <w:u w:val="single"/>
        </w:rPr>
        <w:t>7,</w:t>
      </w:r>
      <w:r w:rsidR="00AF6B5C">
        <w:rPr>
          <w:u w:val="single"/>
        </w:rPr>
        <w:t xml:space="preserve"> 201</w:t>
      </w:r>
      <w:r w:rsidR="009C1B28">
        <w:rPr>
          <w:u w:val="single"/>
        </w:rPr>
        <w:t>6;</w:t>
      </w:r>
      <w:r w:rsidR="00CF3A2A" w:rsidRPr="00FA4E2B">
        <w:rPr>
          <w:u w:val="single"/>
        </w:rPr>
        <w:t xml:space="preserve"> </w:t>
      </w:r>
      <w:r w:rsidR="00AF6B5C" w:rsidRPr="00AF6B5C">
        <w:rPr>
          <w:u w:val="single"/>
        </w:rPr>
        <w:t>v</w:t>
      </w:r>
      <w:r w:rsidR="00CF3A2A" w:rsidRPr="00AF6B5C">
        <w:rPr>
          <w:u w:val="single"/>
        </w:rPr>
        <w:t xml:space="preserve">ol. </w:t>
      </w:r>
      <w:r w:rsidR="009C1B28">
        <w:rPr>
          <w:u w:val="single"/>
        </w:rPr>
        <w:t>81</w:t>
      </w:r>
      <w:r w:rsidR="00CF3A2A" w:rsidRPr="00AF6B5C">
        <w:rPr>
          <w:u w:val="single"/>
        </w:rPr>
        <w:t xml:space="preserve">, page </w:t>
      </w:r>
      <w:r w:rsidR="009C1B28">
        <w:rPr>
          <w:u w:val="single"/>
        </w:rPr>
        <w:t>36547</w:t>
      </w:r>
      <w:r w:rsidR="00CF3A2A" w:rsidRPr="00AF6B5C">
        <w:t xml:space="preserve"> (</w:t>
      </w:r>
      <w:r w:rsidR="00AF6B5C">
        <w:t xml:space="preserve">see </w:t>
      </w:r>
      <w:r w:rsidR="00CF3A2A" w:rsidRPr="002651B9">
        <w:rPr>
          <w:bCs/>
          <w:iCs/>
        </w:rPr>
        <w:t xml:space="preserve">Attachment </w:t>
      </w:r>
      <w:r w:rsidR="00F2045C" w:rsidRPr="002651B9">
        <w:rPr>
          <w:bCs/>
          <w:iCs/>
        </w:rPr>
        <w:t>B</w:t>
      </w:r>
      <w:r w:rsidR="00CF3A2A" w:rsidRPr="002651B9">
        <w:rPr>
          <w:bCs/>
          <w:iCs/>
        </w:rPr>
        <w:t>)</w:t>
      </w:r>
      <w:r w:rsidR="00CF3A2A" w:rsidRPr="00FA4E2B">
        <w:rPr>
          <w:bCs/>
          <w:iCs/>
        </w:rPr>
        <w:t xml:space="preserve">.  </w:t>
      </w:r>
      <w:r w:rsidR="00E139B2">
        <w:rPr>
          <w:bCs/>
          <w:iCs/>
        </w:rPr>
        <w:t xml:space="preserve"> No comments were received.</w:t>
      </w:r>
    </w:p>
    <w:p w:rsidR="00D059B3" w:rsidRDefault="00D059B3" w:rsidP="00FA7614">
      <w:pPr>
        <w:pStyle w:val="QuickA"/>
        <w:tabs>
          <w:tab w:val="left" w:pos="0"/>
          <w:tab w:val="left" w:pos="360"/>
          <w:tab w:val="left" w:pos="1080"/>
        </w:tabs>
        <w:ind w:left="0" w:firstLine="0"/>
        <w:outlineLvl w:val="9"/>
      </w:pPr>
    </w:p>
    <w:p w:rsidR="00981EEA" w:rsidRDefault="00FA7614" w:rsidP="00981EEA">
      <w:pPr>
        <w:pStyle w:val="QuickA"/>
        <w:tabs>
          <w:tab w:val="left" w:pos="0"/>
          <w:tab w:val="left" w:pos="360"/>
        </w:tabs>
        <w:ind w:left="0" w:firstLine="0"/>
      </w:pPr>
      <w:r>
        <w:t xml:space="preserve">B: </w:t>
      </w:r>
      <w:r w:rsidR="00473E46">
        <w:t xml:space="preserve"> </w:t>
      </w:r>
      <w:r w:rsidR="00CF3A2A" w:rsidRPr="005A4AEC">
        <w:t xml:space="preserve">NIOSH has consulted </w:t>
      </w:r>
      <w:r w:rsidR="0038553A" w:rsidRPr="00F81BA5">
        <w:t>with numerous individuals outside the agency regarding the availability and usefulness of the proposed data collection</w:t>
      </w:r>
      <w:r w:rsidR="00981EEA">
        <w:t>. The following chronology documents these contacts:</w:t>
      </w:r>
    </w:p>
    <w:p w:rsidR="00D059B3" w:rsidRDefault="00D059B3" w:rsidP="00D059B3">
      <w:pPr>
        <w:pStyle w:val="QuickA"/>
        <w:numPr>
          <w:ilvl w:val="0"/>
          <w:numId w:val="10"/>
        </w:numPr>
        <w:tabs>
          <w:tab w:val="left" w:pos="0"/>
          <w:tab w:val="left" w:pos="360"/>
        </w:tabs>
      </w:pPr>
      <w:r>
        <w:t>Peer review of a study protocol conducted by NIOSH in November, 2015.</w:t>
      </w:r>
      <w:r w:rsidR="009C1B28">
        <w:t xml:space="preserve">  This external peer review was part of the NIOSH </w:t>
      </w:r>
      <w:r w:rsidR="004053CC">
        <w:t>project funding process</w:t>
      </w:r>
      <w:r w:rsidR="005C42B7">
        <w:t xml:space="preserve"> </w:t>
      </w:r>
      <w:r w:rsidR="00BA407D">
        <w:t>with</w:t>
      </w:r>
      <w:r w:rsidR="005C42B7">
        <w:t xml:space="preserve"> expert and stakeholder comments incorporated in the funded project plan</w:t>
      </w:r>
      <w:r w:rsidR="004053CC">
        <w:t>.</w:t>
      </w:r>
    </w:p>
    <w:p w:rsidR="00D059B3" w:rsidRDefault="00D059B3" w:rsidP="00D059B3">
      <w:pPr>
        <w:pStyle w:val="QuickA"/>
        <w:numPr>
          <w:ilvl w:val="0"/>
          <w:numId w:val="10"/>
        </w:numPr>
        <w:tabs>
          <w:tab w:val="left" w:pos="0"/>
          <w:tab w:val="left" w:pos="360"/>
        </w:tabs>
      </w:pPr>
      <w:r>
        <w:t xml:space="preserve">Ad hoc discussions with a group of eight professional ergonomists at the </w:t>
      </w:r>
      <w:r w:rsidRPr="004053CC">
        <w:rPr>
          <w:i/>
        </w:rPr>
        <w:t>Applied Ergonomics Conference</w:t>
      </w:r>
      <w:r>
        <w:t xml:space="preserve"> in March, 2016</w:t>
      </w:r>
      <w:r w:rsidR="004053CC">
        <w:t>.</w:t>
      </w:r>
    </w:p>
    <w:p w:rsidR="00B974ED" w:rsidRDefault="00B974ED" w:rsidP="00302EC4">
      <w:pPr>
        <w:pStyle w:val="QuickA"/>
        <w:ind w:left="0" w:firstLine="0"/>
      </w:pPr>
    </w:p>
    <w:p w:rsidR="00BD4C2F" w:rsidRDefault="00BD4C2F" w:rsidP="00302EC4">
      <w:pPr>
        <w:pStyle w:val="QuickA"/>
        <w:ind w:left="0" w:firstLine="0"/>
      </w:pPr>
    </w:p>
    <w:p w:rsidR="0038553A" w:rsidRPr="008368EC" w:rsidRDefault="0038553A" w:rsidP="0038553A">
      <w:pPr>
        <w:pStyle w:val="Heading2"/>
        <w:rPr>
          <w:b w:val="0"/>
        </w:rPr>
      </w:pPr>
      <w:bookmarkStart w:id="26" w:name="_Toc239826781"/>
      <w:bookmarkStart w:id="27" w:name="_Toc248821748"/>
      <w:bookmarkStart w:id="28" w:name="_Toc261966292"/>
      <w:r w:rsidRPr="008368EC">
        <w:rPr>
          <w:b w:val="0"/>
        </w:rPr>
        <w:t>A9.</w:t>
      </w:r>
      <w:r w:rsidRPr="008368EC">
        <w:rPr>
          <w:b w:val="0"/>
        </w:rPr>
        <w:tab/>
        <w:t>Explanation of Any Payment or Gift to Respondents</w:t>
      </w:r>
      <w:bookmarkEnd w:id="26"/>
      <w:bookmarkEnd w:id="27"/>
      <w:bookmarkEnd w:id="28"/>
      <w:r w:rsidRPr="008368EC">
        <w:rPr>
          <w:b w:val="0"/>
        </w:rPr>
        <w:t xml:space="preserve"> </w:t>
      </w:r>
    </w:p>
    <w:p w:rsidR="00535EF4" w:rsidRPr="008368EC" w:rsidRDefault="00535EF4" w:rsidP="00535EF4">
      <w:pPr>
        <w:rPr>
          <w:lang w:eastAsia="ja-JP"/>
        </w:rPr>
      </w:pPr>
    </w:p>
    <w:p w:rsidR="00A273E7" w:rsidRPr="008368EC" w:rsidRDefault="002C5374" w:rsidP="00885B9A">
      <w:r w:rsidRPr="008368EC">
        <w:t xml:space="preserve">No </w:t>
      </w:r>
      <w:r w:rsidR="00A273E7" w:rsidRPr="008368EC">
        <w:t xml:space="preserve">direct </w:t>
      </w:r>
      <w:r w:rsidR="00B94EC3">
        <w:t>remuneration</w:t>
      </w:r>
      <w:r w:rsidRPr="008368EC">
        <w:t xml:space="preserve"> or gifts will be</w:t>
      </w:r>
      <w:r w:rsidR="00A273E7" w:rsidRPr="008368EC">
        <w:t xml:space="preserve"> provided for respondents.  </w:t>
      </w:r>
      <w:r w:rsidR="008368EC" w:rsidRPr="008368EC">
        <w:t xml:space="preserve">Past experience (Dempsey et al, 2005) indicates that </w:t>
      </w:r>
      <w:r w:rsidR="004053CC">
        <w:t xml:space="preserve">a </w:t>
      </w:r>
      <w:r w:rsidR="00E2733C">
        <w:t>significant</w:t>
      </w:r>
      <w:r w:rsidR="004053CC">
        <w:t xml:space="preserve"> percentage of eligible</w:t>
      </w:r>
      <w:r w:rsidR="008368EC" w:rsidRPr="008368EC">
        <w:t xml:space="preserve"> participants will contribute this time out of professional interest and good will.  </w:t>
      </w:r>
    </w:p>
    <w:p w:rsidR="005C7ED7" w:rsidRDefault="005C7ED7" w:rsidP="00885B9A">
      <w:pPr>
        <w:rPr>
          <w:highlight w:val="yellow"/>
        </w:rPr>
      </w:pPr>
    </w:p>
    <w:p w:rsidR="00B03288" w:rsidRPr="00953D2D" w:rsidRDefault="00B03288" w:rsidP="00885B9A">
      <w:pPr>
        <w:rPr>
          <w:highlight w:val="yellow"/>
        </w:rPr>
      </w:pPr>
    </w:p>
    <w:p w:rsidR="0038553A" w:rsidRPr="008368EC" w:rsidRDefault="0038553A" w:rsidP="0038553A">
      <w:pPr>
        <w:pStyle w:val="Heading2"/>
        <w:rPr>
          <w:b w:val="0"/>
        </w:rPr>
      </w:pPr>
      <w:bookmarkStart w:id="29" w:name="_Toc239826782"/>
      <w:bookmarkStart w:id="30" w:name="_Toc248821749"/>
      <w:bookmarkStart w:id="31" w:name="_Toc261966293"/>
      <w:r w:rsidRPr="008368EC">
        <w:rPr>
          <w:b w:val="0"/>
        </w:rPr>
        <w:t>A10.</w:t>
      </w:r>
      <w:r w:rsidRPr="008368EC">
        <w:rPr>
          <w:b w:val="0"/>
        </w:rPr>
        <w:tab/>
      </w:r>
      <w:bookmarkEnd w:id="29"/>
      <w:bookmarkEnd w:id="30"/>
      <w:bookmarkEnd w:id="31"/>
      <w:r w:rsidR="003E569D" w:rsidRPr="003E569D">
        <w:rPr>
          <w:b w:val="0"/>
        </w:rPr>
        <w:t>Pro</w:t>
      </w:r>
      <w:r w:rsidR="003E569D">
        <w:rPr>
          <w:b w:val="0"/>
        </w:rPr>
        <w:t>tection of the Privacy and Con</w:t>
      </w:r>
      <w:r w:rsidR="003E569D">
        <w:rPr>
          <w:b w:val="0"/>
        </w:rPr>
        <w:softHyphen/>
        <w:t>fi</w:t>
      </w:r>
      <w:r w:rsidR="003E569D" w:rsidRPr="003E569D">
        <w:rPr>
          <w:b w:val="0"/>
        </w:rPr>
        <w:t>dentiality of Information Provided by Respondents</w:t>
      </w:r>
    </w:p>
    <w:p w:rsidR="008762CD" w:rsidRDefault="008762CD" w:rsidP="0083422C">
      <w:pPr>
        <w:rPr>
          <w:highlight w:val="yellow"/>
        </w:rPr>
      </w:pPr>
    </w:p>
    <w:p w:rsidR="007446E9" w:rsidRPr="008227A6" w:rsidRDefault="008227A6" w:rsidP="007446E9">
      <w:pPr>
        <w:rPr>
          <w:highlight w:val="yellow"/>
        </w:rPr>
      </w:pPr>
      <w:r w:rsidRPr="008227A6">
        <w:t>The NIOSH’s Information Systems Security Officer reviewed this submission and determined that the Privacy Act does not apply.</w:t>
      </w:r>
      <w:r>
        <w:t xml:space="preserve"> The</w:t>
      </w:r>
      <w:r w:rsidR="002F76F8">
        <w:t xml:space="preserve"> survey </w:t>
      </w:r>
      <w:r w:rsidR="00B94EC3">
        <w:t>instrument (Attachment D</w:t>
      </w:r>
      <w:r w:rsidR="007803BE">
        <w:t>)</w:t>
      </w:r>
      <w:r w:rsidR="007C3414">
        <w:t xml:space="preserve"> </w:t>
      </w:r>
      <w:r w:rsidR="008762CD">
        <w:t>do</w:t>
      </w:r>
      <w:r w:rsidR="007C3414">
        <w:t>es</w:t>
      </w:r>
      <w:r w:rsidR="008762CD">
        <w:t xml:space="preserve"> not involve the collection of individ</w:t>
      </w:r>
      <w:r w:rsidR="00E01805">
        <w:t xml:space="preserve">ually identifiable </w:t>
      </w:r>
      <w:r w:rsidR="002F76F8">
        <w:t>i</w:t>
      </w:r>
      <w:r w:rsidR="00E01805">
        <w:t>nformation</w:t>
      </w:r>
      <w:r w:rsidR="002F76F8">
        <w:t xml:space="preserve">. </w:t>
      </w:r>
      <w:r w:rsidR="00E01805">
        <w:t xml:space="preserve"> </w:t>
      </w:r>
      <w:r w:rsidR="002F76F8">
        <w:t>Survey r</w:t>
      </w:r>
      <w:r w:rsidR="008762CD">
        <w:t xml:space="preserve">esponse data </w:t>
      </w:r>
      <w:r w:rsidR="00457B99">
        <w:t>will</w:t>
      </w:r>
      <w:r w:rsidR="007C3414">
        <w:t xml:space="preserve"> initially</w:t>
      </w:r>
      <w:r w:rsidR="00E01805">
        <w:t xml:space="preserve"> </w:t>
      </w:r>
      <w:r w:rsidR="009154B4">
        <w:t>contain</w:t>
      </w:r>
      <w:r w:rsidR="00426281">
        <w:t xml:space="preserve"> a linkage </w:t>
      </w:r>
      <w:r w:rsidR="00E01805">
        <w:t>to identi</w:t>
      </w:r>
      <w:r w:rsidR="00426281">
        <w:t>t</w:t>
      </w:r>
      <w:r w:rsidR="00E01805">
        <w:t xml:space="preserve">ies of </w:t>
      </w:r>
      <w:r w:rsidR="007803BE">
        <w:t xml:space="preserve">individual </w:t>
      </w:r>
      <w:r w:rsidR="002F76F8">
        <w:t xml:space="preserve">respondents </w:t>
      </w:r>
      <w:r w:rsidR="007C3414">
        <w:t>through the e-mail address used to invite them to</w:t>
      </w:r>
      <w:r w:rsidR="002F76F8">
        <w:t xml:space="preserve"> participate in the web survey.  Identities of respondents</w:t>
      </w:r>
      <w:r w:rsidR="007446E9" w:rsidRPr="00F81BA5">
        <w:t xml:space="preserve"> </w:t>
      </w:r>
      <w:r w:rsidR="007446E9">
        <w:t>w</w:t>
      </w:r>
      <w:r w:rsidR="00F539F5">
        <w:t xml:space="preserve">ill be </w:t>
      </w:r>
      <w:r w:rsidR="002F76F8">
        <w:t xml:space="preserve">known </w:t>
      </w:r>
      <w:r w:rsidR="00F539F5">
        <w:t xml:space="preserve">insofar as the </w:t>
      </w:r>
      <w:r w:rsidR="007803BE">
        <w:t>Investigator</w:t>
      </w:r>
      <w:r w:rsidR="007446E9">
        <w:t xml:space="preserve"> will send e-mail invitations to individuals eligible to participate in the survey.  Eligibility is based on the respondent holding a specific professional certification related to the practice of Ergonomics</w:t>
      </w:r>
      <w:r w:rsidR="007C3414">
        <w:t xml:space="preserve"> in the eligible English-speaking Ergonomics certification countries</w:t>
      </w:r>
      <w:r w:rsidR="007446E9">
        <w:t xml:space="preserve">.  The </w:t>
      </w:r>
      <w:r w:rsidR="007803BE">
        <w:t xml:space="preserve">Investigator </w:t>
      </w:r>
      <w:r w:rsidR="007446E9">
        <w:t>currently has access to a list of eligible individuals</w:t>
      </w:r>
      <w:r w:rsidR="007C3414">
        <w:t xml:space="preserve"> and e-mail addresses.</w:t>
      </w:r>
    </w:p>
    <w:p w:rsidR="007C3414" w:rsidRDefault="007C3414" w:rsidP="007446E9"/>
    <w:p w:rsidR="00AE7206" w:rsidRDefault="00AE7206" w:rsidP="007446E9">
      <w:r w:rsidRPr="00AE7206">
        <w:lastRenderedPageBreak/>
        <w:t xml:space="preserve">Participants’ responses submitted through the web-based survey </w:t>
      </w:r>
      <w:r w:rsidR="007803BE">
        <w:t>instrument</w:t>
      </w:r>
      <w:r w:rsidRPr="00AE7206">
        <w:t xml:space="preserve"> will not contain Information in Identifiable Form (IIF), but the investigators will have a linkage between respondent’s personal identity (name</w:t>
      </w:r>
      <w:r w:rsidR="009154B4">
        <w:t xml:space="preserve">, </w:t>
      </w:r>
      <w:r w:rsidR="00426281">
        <w:t>e-mail address</w:t>
      </w:r>
      <w:r w:rsidR="009154B4">
        <w:t>, country</w:t>
      </w:r>
      <w:r w:rsidRPr="00AE7206">
        <w:t xml:space="preserve">) and </w:t>
      </w:r>
      <w:r w:rsidR="00457B99">
        <w:t>the</w:t>
      </w:r>
      <w:r w:rsidRPr="00AE7206">
        <w:t xml:space="preserve"> unique URL entry to the survey for each respondent.  </w:t>
      </w:r>
      <w:r w:rsidR="00457B99">
        <w:t xml:space="preserve">Only the </w:t>
      </w:r>
      <w:r w:rsidR="007803BE">
        <w:t>Investigator</w:t>
      </w:r>
      <w:r w:rsidR="00457B99">
        <w:t xml:space="preserve"> and two members of the research team will have access to this linkage and </w:t>
      </w:r>
      <w:r w:rsidR="009154B4">
        <w:t>the linkage</w:t>
      </w:r>
      <w:r w:rsidR="00457B99">
        <w:t xml:space="preserve"> will </w:t>
      </w:r>
      <w:r w:rsidR="00426281">
        <w:t xml:space="preserve">be </w:t>
      </w:r>
      <w:r w:rsidR="00457B99">
        <w:t xml:space="preserve">destroyed </w:t>
      </w:r>
      <w:r w:rsidR="00426281">
        <w:t xml:space="preserve">within </w:t>
      </w:r>
      <w:r w:rsidR="009154B4">
        <w:t>ten (10) business days</w:t>
      </w:r>
      <w:r w:rsidR="00426281">
        <w:t xml:space="preserve"> </w:t>
      </w:r>
      <w:r w:rsidR="007803BE">
        <w:t>of</w:t>
      </w:r>
      <w:r w:rsidR="00457B99">
        <w:t xml:space="preserve"> the completion of the survey </w:t>
      </w:r>
      <w:r w:rsidR="009154B4">
        <w:t xml:space="preserve">administration </w:t>
      </w:r>
      <w:r w:rsidR="00457B99">
        <w:t>period</w:t>
      </w:r>
      <w:r w:rsidRPr="00AE7206">
        <w:t xml:space="preserve">. </w:t>
      </w:r>
      <w:r w:rsidR="00426281">
        <w:t xml:space="preserve"> The sole use of this </w:t>
      </w:r>
      <w:r w:rsidR="009154B4">
        <w:t>linkage</w:t>
      </w:r>
      <w:r w:rsidR="00426281">
        <w:t xml:space="preserve"> will be to </w:t>
      </w:r>
      <w:r w:rsidR="009154B4">
        <w:t>calculate</w:t>
      </w:r>
      <w:r w:rsidR="00426281">
        <w:t xml:space="preserve"> response rates in each of the countries from which the eligible respondents are invited. </w:t>
      </w:r>
      <w:r w:rsidRPr="00AE7206">
        <w:t xml:space="preserve"> </w:t>
      </w:r>
      <w:r w:rsidR="00CC22D0">
        <w:t xml:space="preserve">Response rate will be calculated as the number of submitted questionnaires from a country divided by the eligible respondents from that country less e-mails that unsuccessfully transmitted.   </w:t>
      </w:r>
      <w:r w:rsidR="00426281">
        <w:t xml:space="preserve">Importantly, no </w:t>
      </w:r>
      <w:r w:rsidRPr="00AE7206">
        <w:t>sensitive data</w:t>
      </w:r>
      <w:r w:rsidR="00426281">
        <w:t xml:space="preserve"> </w:t>
      </w:r>
      <w:r w:rsidR="004F044C">
        <w:t xml:space="preserve">whatsoever </w:t>
      </w:r>
      <w:r w:rsidR="00426281">
        <w:t>is being collected in this study</w:t>
      </w:r>
      <w:r w:rsidRPr="00AE7206">
        <w:t xml:space="preserve">.  </w:t>
      </w:r>
    </w:p>
    <w:p w:rsidR="007C3414" w:rsidRDefault="007C3414" w:rsidP="007446E9"/>
    <w:p w:rsidR="007C3414" w:rsidRDefault="007C3414" w:rsidP="007C3414">
      <w:r>
        <w:t>Resp</w:t>
      </w:r>
      <w:r w:rsidRPr="008368EC">
        <w:t>ondents will be required to acknowledge informed consent by checking a box to indicate this on an entry screen to the survey questionnaire.</w:t>
      </w:r>
      <w:r>
        <w:t xml:space="preserve"> </w:t>
      </w:r>
      <w:r w:rsidRPr="008368EC">
        <w:t xml:space="preserve">Respondents will be informed that their participation is voluntary, and that they may discontinue participation at any time. </w:t>
      </w:r>
      <w:r>
        <w:t xml:space="preserve"> </w:t>
      </w:r>
      <w:r w:rsidR="00CC22D0">
        <w:t>They will not be able to proceed to the survey until that consent box is checked.</w:t>
      </w:r>
    </w:p>
    <w:p w:rsidR="005035C4" w:rsidRDefault="005035C4" w:rsidP="007446E9"/>
    <w:p w:rsidR="007446E9" w:rsidRDefault="007446E9" w:rsidP="007446E9">
      <w:r w:rsidRPr="00AB1A46">
        <w:t>Individual participant</w:t>
      </w:r>
      <w:r>
        <w:t>’s</w:t>
      </w:r>
      <w:r w:rsidRPr="00AB1A46">
        <w:t xml:space="preserve"> personal information will not be published in any identifiable form and will be protected to the extent allowed by law (Freedom of Information Act and</w:t>
      </w:r>
      <w:r w:rsidRPr="002D6667">
        <w:t xml:space="preserve"> the Privacy Act</w:t>
      </w:r>
      <w:r>
        <w:t xml:space="preserve">).   Information will be maintained until the conclusion of the study </w:t>
      </w:r>
      <w:r w:rsidRPr="00E419EE">
        <w:t>in 201</w:t>
      </w:r>
      <w:r>
        <w:t>8</w:t>
      </w:r>
      <w:r w:rsidRPr="00E419EE">
        <w:t xml:space="preserve">. </w:t>
      </w:r>
    </w:p>
    <w:p w:rsidR="00B11D86" w:rsidRDefault="00B11D86" w:rsidP="00B11D86">
      <w:pPr>
        <w:rPr>
          <w:color w:val="000000"/>
        </w:rPr>
      </w:pPr>
      <w:bookmarkStart w:id="32" w:name="_Toc239826783"/>
      <w:bookmarkStart w:id="33" w:name="_Toc248821750"/>
      <w:bookmarkStart w:id="34" w:name="_Toc261966294"/>
    </w:p>
    <w:p w:rsidR="00B11D86" w:rsidRDefault="00B11D86" w:rsidP="00B11D86">
      <w:r w:rsidRPr="00A563FC">
        <w:rPr>
          <w:color w:val="000000"/>
        </w:rPr>
        <w:t xml:space="preserve">The confidentiality of </w:t>
      </w:r>
      <w:r>
        <w:rPr>
          <w:color w:val="000000"/>
        </w:rPr>
        <w:t xml:space="preserve">all data </w:t>
      </w:r>
      <w:r w:rsidRPr="00A563FC">
        <w:rPr>
          <w:color w:val="000000"/>
        </w:rPr>
        <w:t>collected will be protected to the extent legally possible, as covered by the Privacy Act of 1974, Title 5, United States Code, Section 522 (a).  The method of handling the information complies with the Freedom of Information Act and the Privacy Act of 1974. Disclosure under the Privacy Act System is permitted: to private contractors assisting NIOSH; to collaborating researchers under certain limited circumstances to conduct further investigations; to the Department of Justice in the event of litigation; and to a congressional office assisting individuals in obtaining their records.</w:t>
      </w:r>
      <w:r>
        <w:rPr>
          <w:color w:val="000000"/>
        </w:rPr>
        <w:t xml:space="preserve"> </w:t>
      </w:r>
      <w:r w:rsidRPr="00637114">
        <w:t>Records management practices will adhere to all applicable federal, Health and Human Services (HHS), Centers for Disease Control (CDC), and NIOSH IT security policies and procedures</w:t>
      </w:r>
      <w:r>
        <w:t xml:space="preserve"> [</w:t>
      </w:r>
      <w:r w:rsidRPr="00637114">
        <w:t>Security Requirements for Federal Information Technology Resources</w:t>
      </w:r>
      <w:r>
        <w:t xml:space="preserve">, </w:t>
      </w:r>
      <w:r w:rsidRPr="00637114">
        <w:t xml:space="preserve">January 2010; Health and Human Services Acquisition Regulation (HHSAR), Clause 352.239-72]. </w:t>
      </w:r>
      <w:r w:rsidRPr="0082344A">
        <w:t xml:space="preserve">For example, data </w:t>
      </w:r>
      <w:r w:rsidRPr="00090902">
        <w:t xml:space="preserve">will be </w:t>
      </w:r>
      <w:r>
        <w:t xml:space="preserve">stored on </w:t>
      </w:r>
      <w:r w:rsidRPr="00090902">
        <w:t xml:space="preserve">encrypted CDs, flash drives, and/or ftp sites according to applicable Federal Information Processing Standards Publications (FIPS PUBS, see </w:t>
      </w:r>
      <w:hyperlink r:id="rId10" w:history="1">
        <w:r w:rsidRPr="00F0502D">
          <w:rPr>
            <w:rStyle w:val="Hyperlink"/>
          </w:rPr>
          <w:t>http://www.itl.nist.gov/fipspubs</w:t>
        </w:r>
      </w:hyperlink>
      <w:r w:rsidRPr="00090902">
        <w:t xml:space="preserve">).  </w:t>
      </w:r>
    </w:p>
    <w:p w:rsidR="00B11D86" w:rsidRDefault="00B11D86" w:rsidP="00B11D86">
      <w:pPr>
        <w:rPr>
          <w:color w:val="000000"/>
        </w:rPr>
      </w:pPr>
    </w:p>
    <w:p w:rsidR="00B11D86" w:rsidRDefault="00B11D86" w:rsidP="006575B7">
      <w:pPr>
        <w:rPr>
          <w:highlight w:val="yellow"/>
        </w:rPr>
      </w:pPr>
    </w:p>
    <w:p w:rsidR="00B11D86" w:rsidRDefault="00B11D86" w:rsidP="006575B7">
      <w:pPr>
        <w:rPr>
          <w:highlight w:val="yellow"/>
        </w:rPr>
      </w:pPr>
    </w:p>
    <w:p w:rsidR="00F3244A" w:rsidRPr="00953D2D" w:rsidRDefault="00F3244A" w:rsidP="006575B7">
      <w:pPr>
        <w:rPr>
          <w:highlight w:val="yellow"/>
        </w:rPr>
      </w:pPr>
    </w:p>
    <w:p w:rsidR="0038553A" w:rsidRPr="00F3244A" w:rsidRDefault="0038553A" w:rsidP="006575B7">
      <w:pPr>
        <w:rPr>
          <w:sz w:val="28"/>
          <w:szCs w:val="28"/>
        </w:rPr>
      </w:pPr>
      <w:r w:rsidRPr="00F3244A">
        <w:rPr>
          <w:sz w:val="28"/>
          <w:szCs w:val="28"/>
        </w:rPr>
        <w:t>A11.</w:t>
      </w:r>
      <w:r w:rsidRPr="00F3244A">
        <w:rPr>
          <w:sz w:val="28"/>
          <w:szCs w:val="28"/>
        </w:rPr>
        <w:tab/>
      </w:r>
      <w:r w:rsidR="00065D19" w:rsidRPr="00065D19">
        <w:rPr>
          <w:sz w:val="28"/>
          <w:szCs w:val="28"/>
        </w:rPr>
        <w:t>Institutional Review Board (IRB) and Justi</w:t>
      </w:r>
      <w:r w:rsidR="00065D19" w:rsidRPr="00065D19">
        <w:rPr>
          <w:sz w:val="28"/>
          <w:szCs w:val="28"/>
        </w:rPr>
        <w:softHyphen/>
      </w:r>
      <w:r w:rsidR="00065D19">
        <w:rPr>
          <w:sz w:val="28"/>
          <w:szCs w:val="28"/>
        </w:rPr>
        <w:t>fi</w:t>
      </w:r>
      <w:r w:rsidR="00065D19" w:rsidRPr="00065D19">
        <w:rPr>
          <w:sz w:val="28"/>
          <w:szCs w:val="28"/>
        </w:rPr>
        <w:t>cation for Sensitive Questions</w:t>
      </w:r>
      <w:r w:rsidR="00065D19">
        <w:rPr>
          <w:sz w:val="28"/>
          <w:szCs w:val="28"/>
        </w:rPr>
        <w:t xml:space="preserve"> </w:t>
      </w:r>
      <w:bookmarkEnd w:id="32"/>
      <w:bookmarkEnd w:id="33"/>
      <w:bookmarkEnd w:id="34"/>
    </w:p>
    <w:p w:rsidR="008807A6" w:rsidRDefault="008807A6" w:rsidP="006575B7">
      <w:pPr>
        <w:rPr>
          <w:b/>
        </w:rPr>
      </w:pPr>
    </w:p>
    <w:p w:rsidR="008227A6" w:rsidRPr="008227A6" w:rsidRDefault="008227A6" w:rsidP="006575B7">
      <w:r w:rsidRPr="008227A6">
        <w:t xml:space="preserve">IRB Approval </w:t>
      </w:r>
    </w:p>
    <w:p w:rsidR="008227A6" w:rsidRPr="00287BCC" w:rsidRDefault="008227A6" w:rsidP="006575B7">
      <w:pPr>
        <w:rPr>
          <w:b/>
        </w:rPr>
      </w:pPr>
    </w:p>
    <w:p w:rsidR="00860B8D" w:rsidRPr="00287BCC" w:rsidRDefault="00860B8D" w:rsidP="00860B8D">
      <w:r w:rsidRPr="00287BCC">
        <w:lastRenderedPageBreak/>
        <w:t xml:space="preserve">The NIOSH IRB reviewed </w:t>
      </w:r>
      <w:r w:rsidR="009C52BA" w:rsidRPr="00287BCC">
        <w:t xml:space="preserve">the </w:t>
      </w:r>
      <w:r w:rsidRPr="00287BCC">
        <w:t xml:space="preserve">request to exempt </w:t>
      </w:r>
      <w:r w:rsidR="009C52BA" w:rsidRPr="00287BCC">
        <w:t xml:space="preserve">this data collection (protocol </w:t>
      </w:r>
      <w:r w:rsidRPr="00287BCC">
        <w:t>16-DART-01XM</w:t>
      </w:r>
      <w:r w:rsidR="009C52BA" w:rsidRPr="00287BCC">
        <w:t>)</w:t>
      </w:r>
      <w:r w:rsidRPr="00287BCC">
        <w:t>, and f</w:t>
      </w:r>
      <w:r w:rsidR="009C52BA" w:rsidRPr="00287BCC">
        <w:t>ound</w:t>
      </w:r>
      <w:r w:rsidRPr="00287BCC">
        <w:t xml:space="preserve"> this research activity (administration of the</w:t>
      </w:r>
      <w:r w:rsidR="009C52BA" w:rsidRPr="00287BCC">
        <w:t xml:space="preserve"> </w:t>
      </w:r>
      <w:r w:rsidRPr="00287BCC">
        <w:t>survey) is exempt under 45 CFR 46.101(b)(2). Th</w:t>
      </w:r>
      <w:r w:rsidR="009C52BA" w:rsidRPr="00287BCC">
        <w:t>at</w:t>
      </w:r>
      <w:r w:rsidRPr="00287BCC">
        <w:t xml:space="preserve"> determination is valid for a period of</w:t>
      </w:r>
      <w:r w:rsidR="009C52BA" w:rsidRPr="00287BCC">
        <w:t xml:space="preserve"> </w:t>
      </w:r>
      <w:r w:rsidRPr="00287BCC">
        <w:t>three years through May 17, 2019.</w:t>
      </w:r>
      <w:r w:rsidR="00016638">
        <w:t xml:space="preserve">  (IRB memo is contained in Attachment </w:t>
      </w:r>
      <w:r w:rsidR="00FA66CF">
        <w:t>C</w:t>
      </w:r>
      <w:r w:rsidR="00016638">
        <w:t>.)</w:t>
      </w:r>
    </w:p>
    <w:p w:rsidR="00860B8D" w:rsidRDefault="00860B8D" w:rsidP="006575B7"/>
    <w:p w:rsidR="008227A6" w:rsidRDefault="008227A6" w:rsidP="006575B7">
      <w:r>
        <w:t>Sensitive Questions</w:t>
      </w:r>
    </w:p>
    <w:p w:rsidR="008227A6" w:rsidRPr="00287BCC" w:rsidRDefault="008227A6" w:rsidP="006575B7"/>
    <w:p w:rsidR="006532BC" w:rsidRPr="00287BCC" w:rsidRDefault="000D0283" w:rsidP="00287BCC">
      <w:r w:rsidRPr="00287BCC">
        <w:t>Th</w:t>
      </w:r>
      <w:r w:rsidR="0020565C" w:rsidRPr="00287BCC">
        <w:t>e question</w:t>
      </w:r>
      <w:r w:rsidR="006532BC" w:rsidRPr="00287BCC">
        <w:t>naire instrument contain</w:t>
      </w:r>
      <w:r w:rsidR="00F3244A" w:rsidRPr="00287BCC">
        <w:t>s</w:t>
      </w:r>
      <w:r w:rsidR="006532BC" w:rsidRPr="00287BCC">
        <w:t xml:space="preserve"> </w:t>
      </w:r>
      <w:r w:rsidR="00F3244A" w:rsidRPr="00287BCC">
        <w:t xml:space="preserve">no </w:t>
      </w:r>
      <w:r w:rsidR="006532BC" w:rsidRPr="00287BCC">
        <w:t>questions</w:t>
      </w:r>
      <w:r w:rsidR="00287BCC" w:rsidRPr="00287BCC">
        <w:t xml:space="preserve"> of a sensitive nature, such as criminal behavior, sexual behavior and attitudes, alcohol or drug use, religious beliefs, and other matters that are commonly considered private</w:t>
      </w:r>
      <w:r w:rsidR="00F3244A" w:rsidRPr="00287BCC">
        <w:t xml:space="preserve">.  The questions pertain only to </w:t>
      </w:r>
      <w:r w:rsidR="008368EC" w:rsidRPr="00287BCC">
        <w:t xml:space="preserve">the </w:t>
      </w:r>
      <w:r w:rsidR="00F3244A" w:rsidRPr="00287BCC">
        <w:t xml:space="preserve">professional practice of </w:t>
      </w:r>
      <w:r w:rsidR="004F044C">
        <w:t>E</w:t>
      </w:r>
      <w:r w:rsidR="00F3244A" w:rsidRPr="00287BCC">
        <w:t>rgonomics.</w:t>
      </w:r>
    </w:p>
    <w:p w:rsidR="00DE7798" w:rsidRDefault="00DE7798" w:rsidP="006575B7">
      <w:pPr>
        <w:rPr>
          <w:b/>
          <w:highlight w:val="yellow"/>
        </w:rPr>
      </w:pPr>
    </w:p>
    <w:p w:rsidR="00002D3F" w:rsidRPr="00953D2D" w:rsidRDefault="00002D3F" w:rsidP="00002D3F">
      <w:pPr>
        <w:rPr>
          <w:b/>
          <w:highlight w:val="yellow"/>
        </w:rPr>
      </w:pPr>
    </w:p>
    <w:p w:rsidR="0038553A" w:rsidRPr="00F3244A" w:rsidRDefault="0038553A" w:rsidP="0038553A">
      <w:pPr>
        <w:pStyle w:val="Heading2"/>
        <w:rPr>
          <w:b w:val="0"/>
        </w:rPr>
      </w:pPr>
      <w:bookmarkStart w:id="35" w:name="_Toc239826784"/>
      <w:bookmarkStart w:id="36" w:name="_Toc248821751"/>
      <w:bookmarkStart w:id="37" w:name="_Toc261966295"/>
      <w:r w:rsidRPr="00F3244A">
        <w:rPr>
          <w:b w:val="0"/>
        </w:rPr>
        <w:t>A12.</w:t>
      </w:r>
      <w:r w:rsidRPr="00F3244A">
        <w:rPr>
          <w:b w:val="0"/>
        </w:rPr>
        <w:tab/>
        <w:t>Estimates of Annualized Burden Hours and Costs</w:t>
      </w:r>
      <w:bookmarkEnd w:id="35"/>
      <w:bookmarkEnd w:id="36"/>
      <w:bookmarkEnd w:id="37"/>
    </w:p>
    <w:p w:rsidR="007979EA" w:rsidRPr="00F3244A" w:rsidRDefault="007979EA" w:rsidP="0038553A"/>
    <w:p w:rsidR="0038553A" w:rsidRPr="00F3244A" w:rsidRDefault="0038553A" w:rsidP="0038553A">
      <w:r w:rsidRPr="00F3244A">
        <w:t>A. Annualized Burden to Respondents</w:t>
      </w:r>
    </w:p>
    <w:p w:rsidR="0038553A" w:rsidRDefault="0038553A" w:rsidP="0038553A"/>
    <w:p w:rsidR="004B06D2" w:rsidRPr="00F3244A" w:rsidRDefault="008227A6" w:rsidP="0038553A">
      <w:r>
        <w:t xml:space="preserve">The respondents </w:t>
      </w:r>
      <w:r w:rsidR="008A2EBC">
        <w:t>eligible</w:t>
      </w:r>
      <w:r>
        <w:t xml:space="preserve"> for this study will include only ergonomics professionals from five countries with specific certification credentials</w:t>
      </w:r>
      <w:r w:rsidR="008A2EBC">
        <w:t>.  From rosters of the professional organizations we have identified 1,172 eligible individuals who will be</w:t>
      </w:r>
      <w:r>
        <w:t xml:space="preserve"> invited to participate.  The number of respondents will be 938 in the estimation of annualized burden hours</w:t>
      </w:r>
      <w:r w:rsidR="008A2EBC">
        <w:t>, which assumes an 80% response rate</w:t>
      </w:r>
      <w:r>
        <w:t xml:space="preserve">.  It is estimated that it will take 30 minutes to complete the survey. </w:t>
      </w:r>
      <w:r w:rsidR="0038553A" w:rsidRPr="00F3244A">
        <w:t xml:space="preserve">No direct costs will accrue to respondents. </w:t>
      </w:r>
      <w:r w:rsidR="00953D2D" w:rsidRPr="00F3244A">
        <w:t xml:space="preserve"> </w:t>
      </w:r>
      <w:r w:rsidR="00141C61" w:rsidRPr="00F3244A">
        <w:t xml:space="preserve">All hour-burden estimates were derived based on </w:t>
      </w:r>
      <w:r w:rsidR="00D90C9C" w:rsidRPr="00F3244A">
        <w:t>actual statistics</w:t>
      </w:r>
      <w:r w:rsidR="00953D2D" w:rsidRPr="00F3244A">
        <w:t xml:space="preserve"> reported from the administration of an original similar survey in 2004.  </w:t>
      </w:r>
    </w:p>
    <w:p w:rsidR="00D4587A" w:rsidRDefault="00D4587A" w:rsidP="0038553A"/>
    <w:p w:rsidR="008227A6" w:rsidRPr="00F3244A" w:rsidRDefault="008227A6" w:rsidP="0038553A">
      <w:r>
        <w:t>The following table provides an estimate of the annualized burden hours.</w:t>
      </w:r>
    </w:p>
    <w:p w:rsidR="00D4587A" w:rsidRPr="00F3244A" w:rsidRDefault="00D4587A" w:rsidP="0038553A"/>
    <w:p w:rsidR="009F729B" w:rsidRPr="00F3244A" w:rsidRDefault="009F729B" w:rsidP="0038553A"/>
    <w:p w:rsidR="00514252" w:rsidRPr="00F3244A" w:rsidRDefault="00514252" w:rsidP="00514252">
      <w:pPr>
        <w:jc w:val="center"/>
      </w:pPr>
      <w:r w:rsidRPr="00F3244A">
        <w:t>Table A.12-1. Estimated Annualized Burden to Respondents</w:t>
      </w:r>
    </w:p>
    <w:p w:rsidR="00953D2D" w:rsidRPr="00DB5CD8" w:rsidRDefault="00953D2D" w:rsidP="00953D2D">
      <w:pPr>
        <w:autoSpaceDE w:val="0"/>
        <w:autoSpaceDN w:val="0"/>
        <w:adjustRightInd w:val="0"/>
        <w:rPr>
          <w:rFonts w:ascii="Courier New" w:hAnsi="Courier New" w:cs="Courier New"/>
          <w:color w:val="000000"/>
        </w:rPr>
      </w:pPr>
    </w:p>
    <w:tbl>
      <w:tblPr>
        <w:tblW w:w="0" w:type="auto"/>
        <w:tblInd w:w="10" w:type="dxa"/>
        <w:tblBorders>
          <w:top w:val="nil"/>
          <w:left w:val="nil"/>
          <w:bottom w:val="nil"/>
          <w:right w:val="nil"/>
        </w:tblBorders>
        <w:tblLook w:val="0000" w:firstRow="0" w:lastRow="0" w:firstColumn="0" w:lastColumn="0" w:noHBand="0" w:noVBand="0"/>
      </w:tblPr>
      <w:tblGrid>
        <w:gridCol w:w="1443"/>
        <w:gridCol w:w="1443"/>
        <w:gridCol w:w="1443"/>
        <w:gridCol w:w="1350"/>
        <w:gridCol w:w="1136"/>
        <w:gridCol w:w="1676"/>
      </w:tblGrid>
      <w:tr w:rsidR="00A635AB" w:rsidRPr="00DB5CD8" w:rsidTr="009D6FBE">
        <w:trPr>
          <w:trHeight w:val="973"/>
        </w:trPr>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 xml:space="preserve">Respondents </w:t>
            </w:r>
          </w:p>
        </w:tc>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Pr>
                <w:color w:val="000000"/>
              </w:rPr>
              <w:t xml:space="preserve">Form Name </w:t>
            </w:r>
          </w:p>
        </w:tc>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 xml:space="preserve">No. of </w:t>
            </w:r>
          </w:p>
          <w:p w:rsidR="00A635AB" w:rsidRPr="00953D2D" w:rsidRDefault="00A635AB" w:rsidP="00920762">
            <w:pPr>
              <w:autoSpaceDE w:val="0"/>
              <w:autoSpaceDN w:val="0"/>
              <w:adjustRightInd w:val="0"/>
              <w:jc w:val="center"/>
              <w:rPr>
                <w:color w:val="000000"/>
              </w:rPr>
            </w:pPr>
            <w:r w:rsidRPr="00953D2D">
              <w:rPr>
                <w:color w:val="000000"/>
              </w:rPr>
              <w:t>Respondents</w:t>
            </w:r>
          </w:p>
        </w:tc>
        <w:tc>
          <w:tcPr>
            <w:tcW w:w="1350"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 xml:space="preserve">No. of </w:t>
            </w:r>
          </w:p>
          <w:p w:rsidR="00A635AB" w:rsidRPr="00953D2D" w:rsidRDefault="00A635AB" w:rsidP="00920762">
            <w:pPr>
              <w:autoSpaceDE w:val="0"/>
              <w:autoSpaceDN w:val="0"/>
              <w:adjustRightInd w:val="0"/>
              <w:jc w:val="center"/>
              <w:rPr>
                <w:color w:val="000000"/>
              </w:rPr>
            </w:pPr>
            <w:r w:rsidRPr="00953D2D">
              <w:rPr>
                <w:color w:val="000000"/>
              </w:rPr>
              <w:t xml:space="preserve">Responses per Respondent </w:t>
            </w:r>
          </w:p>
        </w:tc>
        <w:tc>
          <w:tcPr>
            <w:tcW w:w="1136"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 xml:space="preserve">Average Burden per Response (in hours) </w:t>
            </w:r>
          </w:p>
        </w:tc>
        <w:tc>
          <w:tcPr>
            <w:tcW w:w="1676"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Total Burden</w:t>
            </w:r>
          </w:p>
          <w:p w:rsidR="00A635AB" w:rsidRPr="00953D2D" w:rsidRDefault="00A635AB" w:rsidP="00920762">
            <w:pPr>
              <w:autoSpaceDE w:val="0"/>
              <w:autoSpaceDN w:val="0"/>
              <w:adjustRightInd w:val="0"/>
              <w:jc w:val="center"/>
              <w:rPr>
                <w:color w:val="000000"/>
              </w:rPr>
            </w:pPr>
            <w:r w:rsidRPr="00953D2D">
              <w:rPr>
                <w:color w:val="000000"/>
              </w:rPr>
              <w:t xml:space="preserve">(in hours) </w:t>
            </w:r>
          </w:p>
        </w:tc>
      </w:tr>
      <w:tr w:rsidR="00A635AB" w:rsidRPr="00DB5CD8" w:rsidTr="009D6FBE">
        <w:trPr>
          <w:trHeight w:val="253"/>
        </w:trPr>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A635AB">
            <w:pPr>
              <w:autoSpaceDE w:val="0"/>
              <w:autoSpaceDN w:val="0"/>
              <w:adjustRightInd w:val="0"/>
              <w:rPr>
                <w:color w:val="000000"/>
              </w:rPr>
            </w:pPr>
            <w:r w:rsidRPr="00953D2D">
              <w:rPr>
                <w:color w:val="000000"/>
              </w:rPr>
              <w:t xml:space="preserve">Practicing Ergonomist </w:t>
            </w:r>
          </w:p>
        </w:tc>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A635AB">
              <w:rPr>
                <w:color w:val="000000"/>
              </w:rPr>
              <w:t>Survey of Tools and Methods</w:t>
            </w:r>
          </w:p>
        </w:tc>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938</w:t>
            </w:r>
          </w:p>
        </w:tc>
        <w:tc>
          <w:tcPr>
            <w:tcW w:w="1350"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1</w:t>
            </w:r>
          </w:p>
        </w:tc>
        <w:tc>
          <w:tcPr>
            <w:tcW w:w="1136"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Pr>
                <w:color w:val="000000"/>
              </w:rPr>
              <w:t>30/60</w:t>
            </w:r>
          </w:p>
        </w:tc>
        <w:tc>
          <w:tcPr>
            <w:tcW w:w="1676"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r w:rsidRPr="00953D2D">
              <w:rPr>
                <w:color w:val="000000"/>
              </w:rPr>
              <w:t>469</w:t>
            </w:r>
          </w:p>
        </w:tc>
      </w:tr>
      <w:tr w:rsidR="00A635AB" w:rsidRPr="00DB5CD8" w:rsidTr="009D6FBE">
        <w:trPr>
          <w:trHeight w:val="253"/>
        </w:trPr>
        <w:tc>
          <w:tcPr>
            <w:tcW w:w="1443"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rPr>
                <w:color w:val="000000"/>
              </w:rPr>
            </w:pPr>
          </w:p>
        </w:tc>
        <w:tc>
          <w:tcPr>
            <w:tcW w:w="5372" w:type="dxa"/>
            <w:gridSpan w:val="4"/>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rPr>
                <w:color w:val="000000"/>
              </w:rPr>
            </w:pPr>
          </w:p>
          <w:p w:rsidR="00A635AB" w:rsidRPr="00953D2D" w:rsidRDefault="00A635AB" w:rsidP="00920762">
            <w:pPr>
              <w:autoSpaceDE w:val="0"/>
              <w:autoSpaceDN w:val="0"/>
              <w:adjustRightInd w:val="0"/>
              <w:rPr>
                <w:color w:val="000000"/>
              </w:rPr>
            </w:pPr>
            <w:r w:rsidRPr="00953D2D">
              <w:rPr>
                <w:color w:val="000000"/>
              </w:rPr>
              <w:t xml:space="preserve">Total </w:t>
            </w:r>
          </w:p>
        </w:tc>
        <w:tc>
          <w:tcPr>
            <w:tcW w:w="1676" w:type="dxa"/>
            <w:tcBorders>
              <w:top w:val="single" w:sz="8" w:space="0" w:color="000000"/>
              <w:left w:val="single" w:sz="8" w:space="0" w:color="000000"/>
              <w:bottom w:val="single" w:sz="8" w:space="0" w:color="000000"/>
              <w:right w:val="single" w:sz="8" w:space="0" w:color="000000"/>
            </w:tcBorders>
          </w:tcPr>
          <w:p w:rsidR="00A635AB" w:rsidRPr="00953D2D" w:rsidRDefault="00A635AB" w:rsidP="00920762">
            <w:pPr>
              <w:autoSpaceDE w:val="0"/>
              <w:autoSpaceDN w:val="0"/>
              <w:adjustRightInd w:val="0"/>
              <w:jc w:val="center"/>
              <w:rPr>
                <w:color w:val="000000"/>
              </w:rPr>
            </w:pPr>
          </w:p>
          <w:p w:rsidR="00A635AB" w:rsidRPr="00953D2D" w:rsidRDefault="00A635AB" w:rsidP="00920762">
            <w:pPr>
              <w:autoSpaceDE w:val="0"/>
              <w:autoSpaceDN w:val="0"/>
              <w:adjustRightInd w:val="0"/>
              <w:jc w:val="center"/>
              <w:rPr>
                <w:color w:val="000000"/>
              </w:rPr>
            </w:pPr>
            <w:r w:rsidRPr="00953D2D">
              <w:rPr>
                <w:color w:val="000000"/>
              </w:rPr>
              <w:t>469</w:t>
            </w:r>
          </w:p>
        </w:tc>
      </w:tr>
    </w:tbl>
    <w:p w:rsidR="00953D2D" w:rsidRPr="00DB5CD8" w:rsidRDefault="00953D2D" w:rsidP="00953D2D">
      <w:pPr>
        <w:autoSpaceDE w:val="0"/>
        <w:autoSpaceDN w:val="0"/>
        <w:adjustRightInd w:val="0"/>
        <w:rPr>
          <w:rFonts w:ascii="Courier New" w:hAnsi="Courier New" w:cs="Courier New"/>
        </w:rPr>
      </w:pPr>
    </w:p>
    <w:p w:rsidR="0038553A" w:rsidRDefault="0038553A" w:rsidP="0038553A">
      <w:pPr>
        <w:rPr>
          <w:highlight w:val="yellow"/>
        </w:rPr>
      </w:pPr>
    </w:p>
    <w:p w:rsidR="00953D2D" w:rsidRPr="00953D2D" w:rsidRDefault="00953D2D" w:rsidP="0038553A">
      <w:pPr>
        <w:rPr>
          <w:highlight w:val="yellow"/>
        </w:rPr>
      </w:pPr>
    </w:p>
    <w:p w:rsidR="0038553A" w:rsidRPr="00953D2D" w:rsidRDefault="0038553A" w:rsidP="0038553A">
      <w:r w:rsidRPr="00953D2D">
        <w:t>B. Annualized Cost to Respondents</w:t>
      </w:r>
    </w:p>
    <w:p w:rsidR="0038553A" w:rsidRPr="00953D2D" w:rsidRDefault="0038553A" w:rsidP="0038553A"/>
    <w:p w:rsidR="00040C3B" w:rsidRDefault="00953D2D" w:rsidP="003938D6">
      <w:r w:rsidRPr="00953D2D">
        <w:t>There is no cost to respondents beyond voluntary time to participate in the research</w:t>
      </w:r>
      <w:r w:rsidR="00AA5A21" w:rsidRPr="00953D2D">
        <w:t>.</w:t>
      </w:r>
    </w:p>
    <w:p w:rsidR="00CB52DB" w:rsidRDefault="00CB52DB" w:rsidP="003938D6"/>
    <w:p w:rsidR="00CB52DB" w:rsidRDefault="00CB52DB" w:rsidP="003938D6"/>
    <w:p w:rsidR="00CB52DB" w:rsidRPr="00953D2D" w:rsidRDefault="00CB52DB" w:rsidP="003938D6"/>
    <w:p w:rsidR="0038553A" w:rsidRPr="00953D2D" w:rsidRDefault="0038553A" w:rsidP="0038553A">
      <w:pPr>
        <w:outlineLvl w:val="1"/>
        <w:rPr>
          <w:rStyle w:val="Heading2Char"/>
          <w:b w:val="0"/>
        </w:rPr>
      </w:pPr>
      <w:bookmarkStart w:id="38" w:name="_Toc239826785"/>
      <w:bookmarkStart w:id="39" w:name="_Toc248224222"/>
      <w:bookmarkStart w:id="40" w:name="_Toc248224359"/>
      <w:bookmarkStart w:id="41" w:name="_Toc248224902"/>
      <w:bookmarkStart w:id="42" w:name="_Toc248225333"/>
      <w:bookmarkStart w:id="43" w:name="_Toc248225622"/>
      <w:bookmarkStart w:id="44" w:name="_Toc248821752"/>
      <w:bookmarkStart w:id="45" w:name="_Toc261966296"/>
      <w:r w:rsidRPr="00953D2D">
        <w:rPr>
          <w:rStyle w:val="Heading2Char"/>
          <w:b w:val="0"/>
        </w:rPr>
        <w:t>A13.</w:t>
      </w:r>
      <w:r w:rsidRPr="00953D2D">
        <w:rPr>
          <w:rStyle w:val="Heading2Char"/>
          <w:b w:val="0"/>
        </w:rPr>
        <w:tab/>
        <w:t>Estimates of Other Total Annual Cost Burden to Respondents or Record Keepers</w:t>
      </w:r>
      <w:bookmarkEnd w:id="38"/>
      <w:bookmarkEnd w:id="39"/>
      <w:bookmarkEnd w:id="40"/>
      <w:bookmarkEnd w:id="41"/>
      <w:bookmarkEnd w:id="42"/>
      <w:bookmarkEnd w:id="43"/>
      <w:bookmarkEnd w:id="44"/>
      <w:bookmarkEnd w:id="45"/>
    </w:p>
    <w:p w:rsidR="003938D6" w:rsidRPr="00953D2D" w:rsidRDefault="003938D6" w:rsidP="0038553A">
      <w:pPr>
        <w:outlineLvl w:val="1"/>
        <w:rPr>
          <w:rStyle w:val="Heading2Char"/>
          <w:b w:val="0"/>
        </w:rPr>
      </w:pPr>
    </w:p>
    <w:p w:rsidR="0038553A" w:rsidRPr="00953D2D" w:rsidRDefault="0038553A" w:rsidP="0038553A">
      <w:r w:rsidRPr="00953D2D">
        <w:t>There are no capital or maintenance costs to respondents.</w:t>
      </w:r>
    </w:p>
    <w:p w:rsidR="0038553A" w:rsidRDefault="0038553A" w:rsidP="0038553A">
      <w:pPr>
        <w:rPr>
          <w:highlight w:val="yellow"/>
        </w:rPr>
      </w:pPr>
    </w:p>
    <w:p w:rsidR="00CB52DB" w:rsidRPr="00953D2D" w:rsidRDefault="00CB52DB" w:rsidP="0038553A">
      <w:pPr>
        <w:rPr>
          <w:highlight w:val="yellow"/>
        </w:rPr>
      </w:pPr>
    </w:p>
    <w:p w:rsidR="0038553A" w:rsidRPr="008D1EAD" w:rsidRDefault="0038553A" w:rsidP="0038553A">
      <w:pPr>
        <w:pStyle w:val="Heading2"/>
        <w:rPr>
          <w:b w:val="0"/>
        </w:rPr>
      </w:pPr>
      <w:bookmarkStart w:id="46" w:name="_Toc239826786"/>
      <w:bookmarkStart w:id="47" w:name="_Toc248821753"/>
      <w:bookmarkStart w:id="48" w:name="_Toc261966297"/>
      <w:r w:rsidRPr="008D1EAD">
        <w:rPr>
          <w:b w:val="0"/>
        </w:rPr>
        <w:t>A14.</w:t>
      </w:r>
      <w:r w:rsidRPr="008D1EAD">
        <w:rPr>
          <w:b w:val="0"/>
        </w:rPr>
        <w:tab/>
        <w:t>Annualized Cost to the Government</w:t>
      </w:r>
      <w:bookmarkEnd w:id="46"/>
      <w:bookmarkEnd w:id="47"/>
      <w:bookmarkEnd w:id="48"/>
    </w:p>
    <w:p w:rsidR="00125462" w:rsidRPr="008D1EAD" w:rsidRDefault="00125462" w:rsidP="00125462">
      <w:pPr>
        <w:rPr>
          <w:lang w:eastAsia="ja-JP"/>
        </w:rPr>
      </w:pPr>
    </w:p>
    <w:p w:rsidR="0038553A" w:rsidRPr="008D1EAD" w:rsidRDefault="0038553A" w:rsidP="0038553A">
      <w:r w:rsidRPr="008D1EAD">
        <w:t xml:space="preserve">Total costs include work performed </w:t>
      </w:r>
      <w:r w:rsidR="00535E57" w:rsidRPr="008D1EAD">
        <w:t xml:space="preserve">over the course of </w:t>
      </w:r>
      <w:r w:rsidR="000D0283" w:rsidRPr="008D1EAD">
        <w:t>three</w:t>
      </w:r>
      <w:r w:rsidR="00535E57" w:rsidRPr="008D1EAD">
        <w:t xml:space="preserve"> years </w:t>
      </w:r>
      <w:r w:rsidRPr="008D1EAD">
        <w:t xml:space="preserve">by </w:t>
      </w:r>
      <w:r w:rsidR="00125462" w:rsidRPr="008D1EAD">
        <w:t>CDC</w:t>
      </w:r>
      <w:r w:rsidR="00077388" w:rsidRPr="008D1EAD">
        <w:t xml:space="preserve"> research personnel</w:t>
      </w:r>
      <w:r w:rsidR="00535E57" w:rsidRPr="008D1EAD">
        <w:t xml:space="preserve"> </w:t>
      </w:r>
      <w:r w:rsidR="00950A99" w:rsidRPr="008D1EAD">
        <w:t xml:space="preserve">at partial levels of effort </w:t>
      </w:r>
      <w:r w:rsidR="00535E57" w:rsidRPr="008D1EAD">
        <w:t xml:space="preserve">(1 </w:t>
      </w:r>
      <w:r w:rsidR="000D0283" w:rsidRPr="008D1EAD">
        <w:t>research industrial engineer</w:t>
      </w:r>
      <w:r w:rsidR="00535E57" w:rsidRPr="008D1EAD">
        <w:t>)</w:t>
      </w:r>
      <w:r w:rsidR="00077388" w:rsidRPr="008D1EAD">
        <w:t xml:space="preserve"> and contracted administrative</w:t>
      </w:r>
      <w:r w:rsidR="00125462" w:rsidRPr="008D1EAD">
        <w:t xml:space="preserve"> personnel, including </w:t>
      </w:r>
      <w:r w:rsidRPr="008D1EAD">
        <w:t>tasks such as: (1) development of survey materials; (2) development of sampl</w:t>
      </w:r>
      <w:r w:rsidR="00535E57" w:rsidRPr="008D1EAD">
        <w:t>ing</w:t>
      </w:r>
      <w:r w:rsidRPr="008D1EAD">
        <w:t xml:space="preserve"> frame and sample selection; (3) survey conduct; (4) sample tracking; (5) data receipt and processing; and (6) data entry and delivery.  Estimated annualized costs to the Federal Government for the survey period are presented in Table A.14-1 below.</w:t>
      </w:r>
    </w:p>
    <w:p w:rsidR="00040C3B" w:rsidRDefault="00040C3B" w:rsidP="0038553A">
      <w:pPr>
        <w:rPr>
          <w:highlight w:val="yellow"/>
        </w:rPr>
      </w:pPr>
    </w:p>
    <w:p w:rsidR="00663DF8" w:rsidRDefault="00663DF8" w:rsidP="0038553A">
      <w:pPr>
        <w:rPr>
          <w:highlight w:val="yellow"/>
        </w:rPr>
      </w:pPr>
    </w:p>
    <w:p w:rsidR="00663DF8" w:rsidRPr="00953D2D" w:rsidRDefault="00663DF8" w:rsidP="0038553A">
      <w:pPr>
        <w:rPr>
          <w:highlight w:val="yellow"/>
        </w:rPr>
      </w:pPr>
    </w:p>
    <w:p w:rsidR="003C0C00" w:rsidRPr="00953D2D" w:rsidRDefault="003C0C00" w:rsidP="0038553A">
      <w:pPr>
        <w:rPr>
          <w:highlight w:val="yellow"/>
        </w:rPr>
      </w:pPr>
    </w:p>
    <w:p w:rsidR="0038553A" w:rsidRPr="00663DF8" w:rsidRDefault="0038553A" w:rsidP="00514252">
      <w:pPr>
        <w:jc w:val="center"/>
      </w:pPr>
      <w:r w:rsidRPr="00663DF8">
        <w:t>Table A.14-1. Estimated Annualized Cost to the Federal Government</w:t>
      </w:r>
    </w:p>
    <w:p w:rsidR="00040C3B" w:rsidRDefault="00040C3B" w:rsidP="00040C3B">
      <w:pPr>
        <w:rPr>
          <w:highlight w:val="yellow"/>
          <w:lang w:eastAsia="ja-JP"/>
        </w:rPr>
      </w:pPr>
      <w:bookmarkStart w:id="49" w:name="_Toc239826787"/>
      <w:bookmarkStart w:id="50" w:name="_Toc248821754"/>
      <w:bookmarkStart w:id="51" w:name="_Toc261966298"/>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230"/>
        <w:gridCol w:w="1244"/>
        <w:gridCol w:w="1309"/>
        <w:gridCol w:w="1575"/>
        <w:gridCol w:w="1440"/>
      </w:tblGrid>
      <w:tr w:rsidR="00663DF8" w:rsidRPr="00663DF8" w:rsidTr="0076073B">
        <w:tc>
          <w:tcPr>
            <w:tcW w:w="1747" w:type="dxa"/>
          </w:tcPr>
          <w:p w:rsidR="00663DF8" w:rsidRPr="00663DF8" w:rsidRDefault="00663DF8" w:rsidP="00663DF8">
            <w:pPr>
              <w:spacing w:before="120" w:after="120"/>
            </w:pPr>
            <w:r w:rsidRPr="00663DF8">
              <w:t>Fiscal Year</w:t>
            </w:r>
          </w:p>
        </w:tc>
        <w:tc>
          <w:tcPr>
            <w:tcW w:w="1230" w:type="dxa"/>
          </w:tcPr>
          <w:p w:rsidR="00663DF8" w:rsidRPr="00663DF8" w:rsidRDefault="00663DF8" w:rsidP="0076073B">
            <w:pPr>
              <w:spacing w:before="120" w:after="120"/>
              <w:jc w:val="center"/>
            </w:pPr>
            <w:r w:rsidRPr="00663DF8">
              <w:t>FY2016</w:t>
            </w:r>
          </w:p>
        </w:tc>
        <w:tc>
          <w:tcPr>
            <w:tcW w:w="1244" w:type="dxa"/>
          </w:tcPr>
          <w:p w:rsidR="00663DF8" w:rsidRPr="00663DF8" w:rsidRDefault="00663DF8" w:rsidP="0076073B">
            <w:pPr>
              <w:spacing w:before="120" w:after="120"/>
              <w:jc w:val="center"/>
            </w:pPr>
            <w:r w:rsidRPr="00663DF8">
              <w:t>FY2017</w:t>
            </w:r>
          </w:p>
        </w:tc>
        <w:tc>
          <w:tcPr>
            <w:tcW w:w="1309" w:type="dxa"/>
          </w:tcPr>
          <w:p w:rsidR="00663DF8" w:rsidRPr="00663DF8" w:rsidRDefault="00663DF8" w:rsidP="0076073B">
            <w:pPr>
              <w:spacing w:before="120" w:after="120"/>
              <w:jc w:val="center"/>
            </w:pPr>
            <w:r w:rsidRPr="00663DF8">
              <w:t>FY2018</w:t>
            </w:r>
          </w:p>
        </w:tc>
        <w:tc>
          <w:tcPr>
            <w:tcW w:w="1575" w:type="dxa"/>
          </w:tcPr>
          <w:p w:rsidR="00663DF8" w:rsidRPr="00663DF8" w:rsidRDefault="00663DF8" w:rsidP="0076073B">
            <w:pPr>
              <w:spacing w:before="120" w:after="120"/>
              <w:jc w:val="center"/>
            </w:pPr>
            <w:r w:rsidRPr="00663DF8">
              <w:t>Total Project</w:t>
            </w:r>
          </w:p>
        </w:tc>
        <w:tc>
          <w:tcPr>
            <w:tcW w:w="1440" w:type="dxa"/>
          </w:tcPr>
          <w:p w:rsidR="00663DF8" w:rsidRPr="00663DF8" w:rsidRDefault="00663DF8" w:rsidP="0076073B">
            <w:pPr>
              <w:spacing w:before="120" w:after="120"/>
              <w:jc w:val="center"/>
            </w:pPr>
            <w:r w:rsidRPr="00663DF8">
              <w:t>Annualized</w:t>
            </w:r>
          </w:p>
        </w:tc>
      </w:tr>
      <w:tr w:rsidR="00663DF8" w:rsidRPr="00663DF8" w:rsidTr="0076073B">
        <w:tc>
          <w:tcPr>
            <w:tcW w:w="1747" w:type="dxa"/>
          </w:tcPr>
          <w:p w:rsidR="00663DF8" w:rsidRPr="00663DF8" w:rsidRDefault="00663DF8" w:rsidP="00663DF8">
            <w:pPr>
              <w:spacing w:before="120" w:after="120"/>
            </w:pPr>
            <w:r w:rsidRPr="00663DF8">
              <w:t>CDC Personnel Salaries and Benefits</w:t>
            </w:r>
            <w:r w:rsidRPr="00663DF8">
              <w:rPr>
                <w:vertAlign w:val="superscript"/>
              </w:rPr>
              <w:t xml:space="preserve"> a</w:t>
            </w:r>
          </w:p>
        </w:tc>
        <w:tc>
          <w:tcPr>
            <w:tcW w:w="1230" w:type="dxa"/>
            <w:tcMar>
              <w:top w:w="43" w:type="dxa"/>
              <w:left w:w="115" w:type="dxa"/>
              <w:bottom w:w="43" w:type="dxa"/>
              <w:right w:w="115" w:type="dxa"/>
            </w:tcMar>
            <w:vAlign w:val="center"/>
          </w:tcPr>
          <w:p w:rsidR="00663DF8" w:rsidRPr="00663DF8" w:rsidRDefault="00663DF8" w:rsidP="0076073B">
            <w:pPr>
              <w:jc w:val="center"/>
            </w:pPr>
            <w:r>
              <w:t>$67,000</w:t>
            </w:r>
          </w:p>
        </w:tc>
        <w:tc>
          <w:tcPr>
            <w:tcW w:w="1244" w:type="dxa"/>
            <w:tcMar>
              <w:top w:w="43" w:type="dxa"/>
              <w:left w:w="115" w:type="dxa"/>
              <w:bottom w:w="43" w:type="dxa"/>
              <w:right w:w="115" w:type="dxa"/>
            </w:tcMar>
            <w:vAlign w:val="center"/>
          </w:tcPr>
          <w:p w:rsidR="00663DF8" w:rsidRPr="00663DF8" w:rsidRDefault="00663DF8" w:rsidP="0076073B">
            <w:pPr>
              <w:jc w:val="center"/>
            </w:pPr>
            <w:r>
              <w:t>$69,010</w:t>
            </w:r>
          </w:p>
        </w:tc>
        <w:tc>
          <w:tcPr>
            <w:tcW w:w="1309" w:type="dxa"/>
            <w:tcMar>
              <w:top w:w="43" w:type="dxa"/>
              <w:left w:w="115" w:type="dxa"/>
              <w:bottom w:w="43" w:type="dxa"/>
              <w:right w:w="115" w:type="dxa"/>
            </w:tcMar>
            <w:vAlign w:val="center"/>
          </w:tcPr>
          <w:p w:rsidR="00663DF8" w:rsidRPr="00663DF8" w:rsidRDefault="00663DF8" w:rsidP="0076073B">
            <w:pPr>
              <w:jc w:val="center"/>
            </w:pPr>
            <w:r>
              <w:t>$71,080</w:t>
            </w:r>
          </w:p>
        </w:tc>
        <w:tc>
          <w:tcPr>
            <w:tcW w:w="1575" w:type="dxa"/>
            <w:tcMar>
              <w:top w:w="43" w:type="dxa"/>
              <w:left w:w="115" w:type="dxa"/>
              <w:bottom w:w="43" w:type="dxa"/>
              <w:right w:w="115" w:type="dxa"/>
            </w:tcMar>
            <w:vAlign w:val="center"/>
          </w:tcPr>
          <w:p w:rsidR="00663DF8" w:rsidRPr="00663DF8" w:rsidRDefault="00663DF8" w:rsidP="0076073B">
            <w:pPr>
              <w:jc w:val="center"/>
            </w:pPr>
            <w:r>
              <w:t>$207,090</w:t>
            </w:r>
          </w:p>
        </w:tc>
        <w:tc>
          <w:tcPr>
            <w:tcW w:w="1440" w:type="dxa"/>
            <w:vAlign w:val="center"/>
          </w:tcPr>
          <w:p w:rsidR="00663DF8" w:rsidRPr="00B1598C" w:rsidRDefault="00663DF8" w:rsidP="0076073B">
            <w:pPr>
              <w:jc w:val="center"/>
            </w:pPr>
            <w:r w:rsidRPr="00B1598C">
              <w:t>$69,030</w:t>
            </w:r>
          </w:p>
        </w:tc>
      </w:tr>
      <w:tr w:rsidR="00663DF8" w:rsidRPr="00663DF8" w:rsidTr="0076073B">
        <w:tc>
          <w:tcPr>
            <w:tcW w:w="1747" w:type="dxa"/>
          </w:tcPr>
          <w:p w:rsidR="00663DF8" w:rsidRPr="00663DF8" w:rsidRDefault="00663DF8" w:rsidP="00663DF8">
            <w:pPr>
              <w:spacing w:before="120" w:after="120"/>
            </w:pPr>
            <w:r w:rsidRPr="00663DF8">
              <w:t>Travel</w:t>
            </w:r>
          </w:p>
        </w:tc>
        <w:tc>
          <w:tcPr>
            <w:tcW w:w="1230" w:type="dxa"/>
            <w:tcMar>
              <w:top w:w="43" w:type="dxa"/>
              <w:left w:w="115" w:type="dxa"/>
              <w:bottom w:w="43" w:type="dxa"/>
              <w:right w:w="115" w:type="dxa"/>
            </w:tcMar>
            <w:vAlign w:val="center"/>
          </w:tcPr>
          <w:p w:rsidR="00663DF8" w:rsidRPr="00663DF8" w:rsidRDefault="00663DF8" w:rsidP="0076073B">
            <w:pPr>
              <w:jc w:val="center"/>
            </w:pPr>
            <w:r w:rsidRPr="00663DF8">
              <w:t>$4,000</w:t>
            </w:r>
          </w:p>
        </w:tc>
        <w:tc>
          <w:tcPr>
            <w:tcW w:w="1244" w:type="dxa"/>
            <w:tcMar>
              <w:top w:w="43" w:type="dxa"/>
              <w:left w:w="115" w:type="dxa"/>
              <w:bottom w:w="43" w:type="dxa"/>
              <w:right w:w="115" w:type="dxa"/>
            </w:tcMar>
            <w:vAlign w:val="center"/>
          </w:tcPr>
          <w:p w:rsidR="00663DF8" w:rsidRPr="00663DF8" w:rsidRDefault="00663DF8" w:rsidP="0076073B">
            <w:pPr>
              <w:jc w:val="center"/>
            </w:pPr>
            <w:r w:rsidRPr="00663DF8">
              <w:t>$2,000</w:t>
            </w:r>
          </w:p>
        </w:tc>
        <w:tc>
          <w:tcPr>
            <w:tcW w:w="1309" w:type="dxa"/>
            <w:tcMar>
              <w:top w:w="43" w:type="dxa"/>
              <w:left w:w="115" w:type="dxa"/>
              <w:bottom w:w="43" w:type="dxa"/>
              <w:right w:w="115" w:type="dxa"/>
            </w:tcMar>
            <w:vAlign w:val="center"/>
          </w:tcPr>
          <w:p w:rsidR="00663DF8" w:rsidRPr="00663DF8" w:rsidRDefault="00663DF8" w:rsidP="0076073B">
            <w:pPr>
              <w:jc w:val="center"/>
            </w:pPr>
            <w:r w:rsidRPr="00663DF8">
              <w:t>$3,000</w:t>
            </w:r>
          </w:p>
        </w:tc>
        <w:tc>
          <w:tcPr>
            <w:tcW w:w="1575" w:type="dxa"/>
            <w:tcMar>
              <w:top w:w="43" w:type="dxa"/>
              <w:left w:w="115" w:type="dxa"/>
              <w:bottom w:w="43" w:type="dxa"/>
              <w:right w:w="115" w:type="dxa"/>
            </w:tcMar>
            <w:vAlign w:val="center"/>
          </w:tcPr>
          <w:p w:rsidR="00663DF8" w:rsidRPr="00663DF8" w:rsidRDefault="00663DF8" w:rsidP="0076073B">
            <w:pPr>
              <w:jc w:val="center"/>
            </w:pPr>
            <w:r w:rsidRPr="00663DF8">
              <w:t>$9,000</w:t>
            </w:r>
          </w:p>
        </w:tc>
        <w:tc>
          <w:tcPr>
            <w:tcW w:w="1440" w:type="dxa"/>
            <w:vAlign w:val="center"/>
          </w:tcPr>
          <w:p w:rsidR="00663DF8" w:rsidRPr="00B1598C" w:rsidRDefault="00663DF8" w:rsidP="0076073B">
            <w:pPr>
              <w:jc w:val="center"/>
            </w:pPr>
            <w:r w:rsidRPr="00B1598C">
              <w:t>$3,000</w:t>
            </w:r>
          </w:p>
        </w:tc>
      </w:tr>
      <w:tr w:rsidR="00663DF8" w:rsidRPr="00663DF8" w:rsidTr="0076073B">
        <w:tc>
          <w:tcPr>
            <w:tcW w:w="1747" w:type="dxa"/>
          </w:tcPr>
          <w:p w:rsidR="00663DF8" w:rsidRPr="00663DF8" w:rsidRDefault="00663DF8" w:rsidP="00663DF8">
            <w:pPr>
              <w:spacing w:before="120" w:after="120"/>
            </w:pPr>
            <w:r w:rsidRPr="00663DF8">
              <w:t>Equipment</w:t>
            </w:r>
          </w:p>
        </w:tc>
        <w:tc>
          <w:tcPr>
            <w:tcW w:w="1230" w:type="dxa"/>
            <w:tcMar>
              <w:top w:w="43" w:type="dxa"/>
              <w:left w:w="115" w:type="dxa"/>
              <w:bottom w:w="43" w:type="dxa"/>
              <w:right w:w="115" w:type="dxa"/>
            </w:tcMar>
            <w:vAlign w:val="center"/>
          </w:tcPr>
          <w:p w:rsidR="00663DF8" w:rsidRPr="00663DF8" w:rsidRDefault="00663DF8" w:rsidP="0076073B">
            <w:pPr>
              <w:jc w:val="center"/>
            </w:pPr>
            <w:r w:rsidRPr="00663DF8">
              <w:t>$2,000</w:t>
            </w:r>
          </w:p>
        </w:tc>
        <w:tc>
          <w:tcPr>
            <w:tcW w:w="1244" w:type="dxa"/>
            <w:tcMar>
              <w:top w:w="43" w:type="dxa"/>
              <w:left w:w="115" w:type="dxa"/>
              <w:bottom w:w="43" w:type="dxa"/>
              <w:right w:w="115" w:type="dxa"/>
            </w:tcMar>
            <w:vAlign w:val="center"/>
          </w:tcPr>
          <w:p w:rsidR="00663DF8" w:rsidRPr="00663DF8" w:rsidRDefault="00663DF8" w:rsidP="0076073B">
            <w:pPr>
              <w:jc w:val="center"/>
            </w:pPr>
            <w:r w:rsidRPr="00663DF8">
              <w:t>$2,000</w:t>
            </w:r>
          </w:p>
        </w:tc>
        <w:tc>
          <w:tcPr>
            <w:tcW w:w="1309" w:type="dxa"/>
            <w:tcMar>
              <w:top w:w="43" w:type="dxa"/>
              <w:left w:w="115" w:type="dxa"/>
              <w:bottom w:w="43" w:type="dxa"/>
              <w:right w:w="115" w:type="dxa"/>
            </w:tcMar>
            <w:vAlign w:val="center"/>
          </w:tcPr>
          <w:p w:rsidR="00663DF8" w:rsidRPr="00663DF8" w:rsidRDefault="00663DF8" w:rsidP="0076073B">
            <w:pPr>
              <w:jc w:val="center"/>
            </w:pPr>
            <w:r w:rsidRPr="00663DF8">
              <w:t>$2,000</w:t>
            </w:r>
          </w:p>
        </w:tc>
        <w:tc>
          <w:tcPr>
            <w:tcW w:w="1575" w:type="dxa"/>
            <w:tcMar>
              <w:top w:w="43" w:type="dxa"/>
              <w:left w:w="115" w:type="dxa"/>
              <w:bottom w:w="43" w:type="dxa"/>
              <w:right w:w="115" w:type="dxa"/>
            </w:tcMar>
            <w:vAlign w:val="center"/>
          </w:tcPr>
          <w:p w:rsidR="00663DF8" w:rsidRPr="00663DF8" w:rsidRDefault="00663DF8" w:rsidP="0076073B">
            <w:pPr>
              <w:jc w:val="center"/>
            </w:pPr>
            <w:r w:rsidRPr="00663DF8">
              <w:t>$6,000</w:t>
            </w:r>
          </w:p>
        </w:tc>
        <w:tc>
          <w:tcPr>
            <w:tcW w:w="1440" w:type="dxa"/>
            <w:vAlign w:val="center"/>
          </w:tcPr>
          <w:p w:rsidR="00663DF8" w:rsidRPr="00B1598C" w:rsidRDefault="00663DF8" w:rsidP="0076073B">
            <w:pPr>
              <w:jc w:val="center"/>
            </w:pPr>
            <w:r w:rsidRPr="00B1598C">
              <w:t>$2,000</w:t>
            </w:r>
          </w:p>
        </w:tc>
      </w:tr>
      <w:tr w:rsidR="00663DF8" w:rsidRPr="00663DF8" w:rsidTr="0076073B">
        <w:tc>
          <w:tcPr>
            <w:tcW w:w="1747" w:type="dxa"/>
          </w:tcPr>
          <w:p w:rsidR="00663DF8" w:rsidRPr="00663DF8" w:rsidRDefault="00663DF8" w:rsidP="00663DF8">
            <w:pPr>
              <w:spacing w:before="120" w:after="120"/>
            </w:pPr>
            <w:r w:rsidRPr="00663DF8">
              <w:t>Supplies</w:t>
            </w:r>
          </w:p>
        </w:tc>
        <w:tc>
          <w:tcPr>
            <w:tcW w:w="1230" w:type="dxa"/>
            <w:tcMar>
              <w:top w:w="43" w:type="dxa"/>
              <w:left w:w="115" w:type="dxa"/>
              <w:bottom w:w="43" w:type="dxa"/>
              <w:right w:w="115" w:type="dxa"/>
            </w:tcMar>
            <w:vAlign w:val="center"/>
          </w:tcPr>
          <w:p w:rsidR="00663DF8" w:rsidRPr="00663DF8" w:rsidRDefault="00663DF8" w:rsidP="0076073B">
            <w:pPr>
              <w:jc w:val="center"/>
            </w:pPr>
            <w:r w:rsidRPr="00663DF8">
              <w:t>$1,000</w:t>
            </w:r>
          </w:p>
        </w:tc>
        <w:tc>
          <w:tcPr>
            <w:tcW w:w="1244" w:type="dxa"/>
            <w:tcMar>
              <w:top w:w="43" w:type="dxa"/>
              <w:left w:w="115" w:type="dxa"/>
              <w:bottom w:w="43" w:type="dxa"/>
              <w:right w:w="115" w:type="dxa"/>
            </w:tcMar>
            <w:vAlign w:val="center"/>
          </w:tcPr>
          <w:p w:rsidR="00663DF8" w:rsidRPr="00663DF8" w:rsidRDefault="00663DF8" w:rsidP="0076073B">
            <w:pPr>
              <w:jc w:val="center"/>
            </w:pPr>
            <w:r w:rsidRPr="00663DF8">
              <w:t>$1,000</w:t>
            </w:r>
          </w:p>
        </w:tc>
        <w:tc>
          <w:tcPr>
            <w:tcW w:w="1309" w:type="dxa"/>
            <w:tcMar>
              <w:top w:w="43" w:type="dxa"/>
              <w:left w:w="115" w:type="dxa"/>
              <w:bottom w:w="43" w:type="dxa"/>
              <w:right w:w="115" w:type="dxa"/>
            </w:tcMar>
            <w:vAlign w:val="center"/>
          </w:tcPr>
          <w:p w:rsidR="00663DF8" w:rsidRPr="00663DF8" w:rsidRDefault="00663DF8" w:rsidP="0076073B">
            <w:pPr>
              <w:jc w:val="center"/>
            </w:pPr>
            <w:r w:rsidRPr="00663DF8">
              <w:t>$1,000</w:t>
            </w:r>
          </w:p>
        </w:tc>
        <w:tc>
          <w:tcPr>
            <w:tcW w:w="1575" w:type="dxa"/>
            <w:tcMar>
              <w:top w:w="43" w:type="dxa"/>
              <w:left w:w="115" w:type="dxa"/>
              <w:bottom w:w="43" w:type="dxa"/>
              <w:right w:w="115" w:type="dxa"/>
            </w:tcMar>
            <w:vAlign w:val="center"/>
          </w:tcPr>
          <w:p w:rsidR="00663DF8" w:rsidRPr="00663DF8" w:rsidRDefault="00663DF8" w:rsidP="0076073B">
            <w:pPr>
              <w:jc w:val="center"/>
            </w:pPr>
            <w:r w:rsidRPr="00663DF8">
              <w:t>$3,000</w:t>
            </w:r>
          </w:p>
        </w:tc>
        <w:tc>
          <w:tcPr>
            <w:tcW w:w="1440" w:type="dxa"/>
            <w:vAlign w:val="center"/>
          </w:tcPr>
          <w:p w:rsidR="00663DF8" w:rsidRPr="00B1598C" w:rsidRDefault="00663DF8" w:rsidP="0076073B">
            <w:pPr>
              <w:jc w:val="center"/>
            </w:pPr>
            <w:r w:rsidRPr="00B1598C">
              <w:t>$1,000</w:t>
            </w:r>
          </w:p>
        </w:tc>
      </w:tr>
      <w:tr w:rsidR="00663DF8" w:rsidRPr="00663DF8" w:rsidTr="0076073B">
        <w:tc>
          <w:tcPr>
            <w:tcW w:w="1747" w:type="dxa"/>
          </w:tcPr>
          <w:p w:rsidR="00663DF8" w:rsidRPr="00663DF8" w:rsidRDefault="00663DF8" w:rsidP="00663DF8">
            <w:pPr>
              <w:spacing w:before="120" w:after="120"/>
            </w:pPr>
            <w:r w:rsidRPr="00663DF8">
              <w:t>Contract(s)</w:t>
            </w:r>
          </w:p>
          <w:p w:rsidR="00663DF8" w:rsidRPr="00663DF8" w:rsidRDefault="00663DF8" w:rsidP="00663DF8">
            <w:pPr>
              <w:spacing w:before="120" w:after="120"/>
              <w:rPr>
                <w:sz w:val="18"/>
                <w:szCs w:val="18"/>
              </w:rPr>
            </w:pPr>
          </w:p>
        </w:tc>
        <w:tc>
          <w:tcPr>
            <w:tcW w:w="1230" w:type="dxa"/>
            <w:tcMar>
              <w:top w:w="43" w:type="dxa"/>
              <w:left w:w="115" w:type="dxa"/>
              <w:bottom w:w="43" w:type="dxa"/>
              <w:right w:w="115" w:type="dxa"/>
            </w:tcMar>
            <w:vAlign w:val="center"/>
          </w:tcPr>
          <w:p w:rsidR="00663DF8" w:rsidRPr="00663DF8" w:rsidRDefault="00663DF8" w:rsidP="0076073B">
            <w:pPr>
              <w:jc w:val="center"/>
            </w:pPr>
          </w:p>
        </w:tc>
        <w:tc>
          <w:tcPr>
            <w:tcW w:w="1244" w:type="dxa"/>
            <w:tcMar>
              <w:top w:w="43" w:type="dxa"/>
              <w:left w:w="115" w:type="dxa"/>
              <w:bottom w:w="43" w:type="dxa"/>
              <w:right w:w="115" w:type="dxa"/>
            </w:tcMar>
            <w:vAlign w:val="center"/>
          </w:tcPr>
          <w:p w:rsidR="00663DF8" w:rsidRPr="00663DF8" w:rsidRDefault="00663DF8" w:rsidP="0076073B">
            <w:pPr>
              <w:jc w:val="center"/>
            </w:pPr>
            <w:r w:rsidRPr="00663DF8">
              <w:t>$20,000</w:t>
            </w:r>
          </w:p>
        </w:tc>
        <w:tc>
          <w:tcPr>
            <w:tcW w:w="1309" w:type="dxa"/>
            <w:tcMar>
              <w:top w:w="43" w:type="dxa"/>
              <w:left w:w="115" w:type="dxa"/>
              <w:bottom w:w="43" w:type="dxa"/>
              <w:right w:w="115" w:type="dxa"/>
            </w:tcMar>
            <w:vAlign w:val="center"/>
          </w:tcPr>
          <w:p w:rsidR="00663DF8" w:rsidRPr="00663DF8" w:rsidRDefault="00663DF8" w:rsidP="0076073B">
            <w:pPr>
              <w:jc w:val="center"/>
            </w:pPr>
          </w:p>
        </w:tc>
        <w:tc>
          <w:tcPr>
            <w:tcW w:w="1575" w:type="dxa"/>
            <w:tcMar>
              <w:top w:w="43" w:type="dxa"/>
              <w:left w:w="115" w:type="dxa"/>
              <w:bottom w:w="43" w:type="dxa"/>
              <w:right w:w="115" w:type="dxa"/>
            </w:tcMar>
            <w:vAlign w:val="center"/>
          </w:tcPr>
          <w:p w:rsidR="00663DF8" w:rsidRPr="00663DF8" w:rsidRDefault="00663DF8" w:rsidP="0076073B">
            <w:pPr>
              <w:jc w:val="center"/>
            </w:pPr>
            <w:r w:rsidRPr="00663DF8">
              <w:t>$20,000</w:t>
            </w:r>
          </w:p>
        </w:tc>
        <w:tc>
          <w:tcPr>
            <w:tcW w:w="1440" w:type="dxa"/>
            <w:vAlign w:val="center"/>
          </w:tcPr>
          <w:p w:rsidR="00663DF8" w:rsidRDefault="00663DF8" w:rsidP="0076073B">
            <w:pPr>
              <w:jc w:val="center"/>
            </w:pPr>
            <w:r w:rsidRPr="00B1598C">
              <w:t>$6,667</w:t>
            </w:r>
          </w:p>
        </w:tc>
      </w:tr>
      <w:tr w:rsidR="00663DF8" w:rsidRPr="00663DF8" w:rsidTr="0076073B">
        <w:tc>
          <w:tcPr>
            <w:tcW w:w="1747" w:type="dxa"/>
          </w:tcPr>
          <w:p w:rsidR="00663DF8" w:rsidRPr="00663DF8" w:rsidRDefault="00663DF8" w:rsidP="00663DF8">
            <w:pPr>
              <w:spacing w:before="120" w:after="120"/>
              <w:jc w:val="right"/>
            </w:pPr>
            <w:r w:rsidRPr="00663DF8">
              <w:lastRenderedPageBreak/>
              <w:t>Total for year</w:t>
            </w:r>
          </w:p>
        </w:tc>
        <w:tc>
          <w:tcPr>
            <w:tcW w:w="1230" w:type="dxa"/>
            <w:tcMar>
              <w:top w:w="43" w:type="dxa"/>
              <w:left w:w="115" w:type="dxa"/>
              <w:bottom w:w="43" w:type="dxa"/>
              <w:right w:w="115" w:type="dxa"/>
            </w:tcMar>
            <w:vAlign w:val="center"/>
          </w:tcPr>
          <w:p w:rsidR="00663DF8" w:rsidRPr="000B76FC" w:rsidRDefault="00663DF8" w:rsidP="0076073B">
            <w:pPr>
              <w:jc w:val="center"/>
            </w:pPr>
            <w:r w:rsidRPr="000B76FC">
              <w:t>$74,000</w:t>
            </w:r>
          </w:p>
        </w:tc>
        <w:tc>
          <w:tcPr>
            <w:tcW w:w="1244" w:type="dxa"/>
            <w:tcMar>
              <w:top w:w="43" w:type="dxa"/>
              <w:left w:w="115" w:type="dxa"/>
              <w:bottom w:w="43" w:type="dxa"/>
              <w:right w:w="115" w:type="dxa"/>
            </w:tcMar>
            <w:vAlign w:val="center"/>
          </w:tcPr>
          <w:p w:rsidR="00663DF8" w:rsidRPr="000B76FC" w:rsidRDefault="00663DF8" w:rsidP="0076073B">
            <w:pPr>
              <w:jc w:val="center"/>
            </w:pPr>
            <w:r w:rsidRPr="000B76FC">
              <w:t>$94,010</w:t>
            </w:r>
          </w:p>
        </w:tc>
        <w:tc>
          <w:tcPr>
            <w:tcW w:w="1309" w:type="dxa"/>
            <w:tcMar>
              <w:top w:w="43" w:type="dxa"/>
              <w:left w:w="115" w:type="dxa"/>
              <w:bottom w:w="43" w:type="dxa"/>
              <w:right w:w="115" w:type="dxa"/>
            </w:tcMar>
            <w:vAlign w:val="center"/>
          </w:tcPr>
          <w:p w:rsidR="00663DF8" w:rsidRPr="000B76FC" w:rsidRDefault="00663DF8" w:rsidP="0076073B">
            <w:pPr>
              <w:jc w:val="center"/>
            </w:pPr>
            <w:r w:rsidRPr="000B76FC">
              <w:t>$77,080</w:t>
            </w:r>
          </w:p>
        </w:tc>
        <w:tc>
          <w:tcPr>
            <w:tcW w:w="1575" w:type="dxa"/>
            <w:tcMar>
              <w:top w:w="43" w:type="dxa"/>
              <w:left w:w="115" w:type="dxa"/>
              <w:bottom w:w="43" w:type="dxa"/>
              <w:right w:w="115" w:type="dxa"/>
            </w:tcMar>
            <w:vAlign w:val="center"/>
          </w:tcPr>
          <w:p w:rsidR="00663DF8" w:rsidRPr="000B76FC" w:rsidRDefault="00663DF8" w:rsidP="0076073B">
            <w:pPr>
              <w:jc w:val="center"/>
            </w:pPr>
            <w:r w:rsidRPr="000B76FC">
              <w:t>$245,090</w:t>
            </w:r>
          </w:p>
        </w:tc>
        <w:tc>
          <w:tcPr>
            <w:tcW w:w="1440" w:type="dxa"/>
            <w:vAlign w:val="center"/>
          </w:tcPr>
          <w:p w:rsidR="00663DF8" w:rsidRDefault="00663DF8" w:rsidP="0076073B">
            <w:pPr>
              <w:jc w:val="center"/>
            </w:pPr>
            <w:r w:rsidRPr="000B76FC">
              <w:t>$81,697</w:t>
            </w:r>
          </w:p>
        </w:tc>
      </w:tr>
      <w:tr w:rsidR="00663DF8" w:rsidRPr="00663DF8" w:rsidTr="0076073B">
        <w:tc>
          <w:tcPr>
            <w:tcW w:w="5530" w:type="dxa"/>
            <w:gridSpan w:val="4"/>
            <w:vAlign w:val="center"/>
          </w:tcPr>
          <w:p w:rsidR="00663DF8" w:rsidRPr="00663DF8" w:rsidRDefault="00663DF8" w:rsidP="0076073B">
            <w:pPr>
              <w:spacing w:before="120" w:after="120"/>
              <w:jc w:val="center"/>
              <w:rPr>
                <w:b/>
              </w:rPr>
            </w:pPr>
            <w:r w:rsidRPr="00663DF8">
              <w:rPr>
                <w:b/>
              </w:rPr>
              <w:t>Total for all years</w:t>
            </w:r>
          </w:p>
        </w:tc>
        <w:tc>
          <w:tcPr>
            <w:tcW w:w="1575" w:type="dxa"/>
            <w:tcMar>
              <w:top w:w="43" w:type="dxa"/>
              <w:left w:w="115" w:type="dxa"/>
              <w:bottom w:w="43" w:type="dxa"/>
              <w:right w:w="115" w:type="dxa"/>
            </w:tcMar>
            <w:vAlign w:val="center"/>
          </w:tcPr>
          <w:p w:rsidR="00663DF8" w:rsidRPr="00663DF8" w:rsidRDefault="00D059B3" w:rsidP="0076073B">
            <w:pPr>
              <w:spacing w:before="120" w:after="120"/>
              <w:jc w:val="center"/>
            </w:pPr>
            <w:r>
              <w:t>$245,090</w:t>
            </w:r>
          </w:p>
        </w:tc>
        <w:tc>
          <w:tcPr>
            <w:tcW w:w="1440" w:type="dxa"/>
            <w:vAlign w:val="center"/>
          </w:tcPr>
          <w:p w:rsidR="00663DF8" w:rsidRPr="00663DF8" w:rsidRDefault="00663DF8" w:rsidP="0076073B">
            <w:pPr>
              <w:spacing w:before="120" w:after="120"/>
              <w:jc w:val="center"/>
            </w:pPr>
          </w:p>
        </w:tc>
      </w:tr>
    </w:tbl>
    <w:p w:rsidR="00663DF8" w:rsidRPr="00663DF8" w:rsidRDefault="00663DF8" w:rsidP="00663DF8">
      <w:pPr>
        <w:pStyle w:val="Heading2"/>
        <w:rPr>
          <w:b w:val="0"/>
          <w:sz w:val="20"/>
          <w:szCs w:val="20"/>
        </w:rPr>
      </w:pPr>
      <w:proofErr w:type="spellStart"/>
      <w:r w:rsidRPr="00663DF8">
        <w:rPr>
          <w:b w:val="0"/>
          <w:vertAlign w:val="superscript"/>
        </w:rPr>
        <w:t>a</w:t>
      </w:r>
      <w:proofErr w:type="spellEnd"/>
      <w:r w:rsidRPr="00663DF8">
        <w:rPr>
          <w:b w:val="0"/>
          <w:vertAlign w:val="superscript"/>
        </w:rPr>
        <w:t xml:space="preserve"> </w:t>
      </w:r>
      <w:r w:rsidRPr="00663DF8">
        <w:rPr>
          <w:b w:val="0"/>
          <w:sz w:val="20"/>
          <w:szCs w:val="20"/>
        </w:rPr>
        <w:t>Includes a 3% personnel cost of living salary increase per year</w:t>
      </w:r>
    </w:p>
    <w:p w:rsidR="00663DF8" w:rsidRPr="00663DF8" w:rsidRDefault="00663DF8" w:rsidP="00663DF8">
      <w:pPr>
        <w:autoSpaceDE w:val="0"/>
        <w:autoSpaceDN w:val="0"/>
        <w:adjustRightInd w:val="0"/>
        <w:spacing w:after="200" w:line="276" w:lineRule="auto"/>
        <w:rPr>
          <w:rFonts w:asciiTheme="minorHAnsi" w:eastAsiaTheme="minorHAnsi" w:hAnsiTheme="minorHAnsi" w:cstheme="minorBidi"/>
          <w:sz w:val="22"/>
          <w:szCs w:val="22"/>
        </w:rPr>
      </w:pPr>
    </w:p>
    <w:p w:rsidR="00663DF8" w:rsidRDefault="00663DF8" w:rsidP="00040C3B">
      <w:pPr>
        <w:rPr>
          <w:highlight w:val="yellow"/>
          <w:lang w:eastAsia="ja-JP"/>
        </w:rPr>
      </w:pPr>
    </w:p>
    <w:p w:rsidR="00663DF8" w:rsidRDefault="00663DF8" w:rsidP="00040C3B">
      <w:pPr>
        <w:rPr>
          <w:highlight w:val="yellow"/>
          <w:lang w:eastAsia="ja-JP"/>
        </w:rPr>
      </w:pPr>
    </w:p>
    <w:p w:rsidR="00663DF8" w:rsidRPr="00953D2D" w:rsidRDefault="00663DF8" w:rsidP="00040C3B">
      <w:pPr>
        <w:rPr>
          <w:highlight w:val="yellow"/>
          <w:lang w:eastAsia="ja-JP"/>
        </w:rPr>
      </w:pPr>
    </w:p>
    <w:p w:rsidR="0038553A" w:rsidRPr="008368EC" w:rsidRDefault="0038553A" w:rsidP="0038553A">
      <w:pPr>
        <w:pStyle w:val="Heading2"/>
        <w:rPr>
          <w:b w:val="0"/>
        </w:rPr>
      </w:pPr>
      <w:r w:rsidRPr="008368EC">
        <w:rPr>
          <w:b w:val="0"/>
        </w:rPr>
        <w:t>A15.</w:t>
      </w:r>
      <w:r w:rsidRPr="008368EC">
        <w:rPr>
          <w:b w:val="0"/>
        </w:rPr>
        <w:tab/>
        <w:t>Explanation for Program Changes or Adjustments</w:t>
      </w:r>
      <w:bookmarkEnd w:id="49"/>
      <w:bookmarkEnd w:id="50"/>
      <w:bookmarkEnd w:id="51"/>
    </w:p>
    <w:p w:rsidR="007C1590" w:rsidRPr="008368EC" w:rsidRDefault="007C1590" w:rsidP="0038553A"/>
    <w:p w:rsidR="00040C3B" w:rsidRPr="00953D2D" w:rsidRDefault="00016638" w:rsidP="0038553A">
      <w:pPr>
        <w:rPr>
          <w:highlight w:val="yellow"/>
        </w:rPr>
      </w:pPr>
      <w:r w:rsidRPr="00016638">
        <w:t>This is a new data/information collection.</w:t>
      </w:r>
    </w:p>
    <w:p w:rsidR="005E6B07" w:rsidRPr="00953D2D" w:rsidRDefault="005E6B07" w:rsidP="0038553A">
      <w:pPr>
        <w:rPr>
          <w:highlight w:val="yellow"/>
        </w:rPr>
      </w:pPr>
    </w:p>
    <w:p w:rsidR="0038553A" w:rsidRPr="008D1EAD" w:rsidRDefault="0038553A" w:rsidP="0038553A">
      <w:pPr>
        <w:pStyle w:val="Heading2"/>
        <w:rPr>
          <w:b w:val="0"/>
        </w:rPr>
      </w:pPr>
      <w:bookmarkStart w:id="52" w:name="_Toc239826788"/>
      <w:bookmarkStart w:id="53" w:name="_Toc248821755"/>
      <w:bookmarkStart w:id="54" w:name="_Toc261966299"/>
      <w:bookmarkStart w:id="55" w:name="OLE_LINK11"/>
      <w:bookmarkStart w:id="56" w:name="OLE_LINK12"/>
      <w:r w:rsidRPr="008D1EAD">
        <w:rPr>
          <w:b w:val="0"/>
        </w:rPr>
        <w:t>A16.</w:t>
      </w:r>
      <w:r w:rsidRPr="008D1EAD">
        <w:rPr>
          <w:b w:val="0"/>
        </w:rPr>
        <w:tab/>
        <w:t>Plans for Tabulation and Publication and Project Time Schedule</w:t>
      </w:r>
      <w:bookmarkEnd w:id="52"/>
      <w:bookmarkEnd w:id="53"/>
      <w:bookmarkEnd w:id="54"/>
    </w:p>
    <w:p w:rsidR="00F0406C" w:rsidRPr="008D1EAD" w:rsidRDefault="00F0406C" w:rsidP="0038553A"/>
    <w:p w:rsidR="0038553A" w:rsidRPr="008D1EAD" w:rsidRDefault="00887144" w:rsidP="0038553A">
      <w:pPr>
        <w:rPr>
          <w:i/>
        </w:rPr>
      </w:pPr>
      <w:r w:rsidRPr="008D1EAD">
        <w:rPr>
          <w:i/>
        </w:rPr>
        <w:t>Plans for Tabulation and Publication</w:t>
      </w:r>
    </w:p>
    <w:p w:rsidR="00514252" w:rsidRPr="008D1EAD" w:rsidRDefault="00514252" w:rsidP="0038553A"/>
    <w:p w:rsidR="00793779" w:rsidRDefault="00A93C5E" w:rsidP="00793779">
      <w:pPr>
        <w:rPr>
          <w:lang w:eastAsia="ja-JP"/>
        </w:rPr>
      </w:pPr>
      <w:r w:rsidRPr="008D1EAD">
        <w:t xml:space="preserve">Data collection </w:t>
      </w:r>
      <w:r w:rsidR="00016638">
        <w:t>is planned to</w:t>
      </w:r>
      <w:r w:rsidRPr="008D1EAD">
        <w:t xml:space="preserve"> be completed </w:t>
      </w:r>
      <w:r w:rsidR="00171BC0" w:rsidRPr="008D1EAD">
        <w:t xml:space="preserve">over </w:t>
      </w:r>
      <w:r w:rsidR="005E6B07" w:rsidRPr="008D1EAD">
        <w:t xml:space="preserve">a </w:t>
      </w:r>
      <w:r w:rsidR="008D1EAD" w:rsidRPr="008D1EAD">
        <w:t>5</w:t>
      </w:r>
      <w:r w:rsidR="00950A99" w:rsidRPr="008D1EAD">
        <w:t xml:space="preserve"> month</w:t>
      </w:r>
      <w:r w:rsidR="005E6B07" w:rsidRPr="008D1EAD">
        <w:t xml:space="preserve"> period</w:t>
      </w:r>
      <w:r w:rsidRPr="008D1EAD">
        <w:t xml:space="preserve">, followed by </w:t>
      </w:r>
      <w:r w:rsidR="00810E4F" w:rsidRPr="008D1EAD">
        <w:t xml:space="preserve">statistical </w:t>
      </w:r>
      <w:r w:rsidRPr="008D1EAD">
        <w:t>analysis</w:t>
      </w:r>
      <w:r w:rsidR="00810E4F" w:rsidRPr="008D1EAD">
        <w:t xml:space="preserve"> and dissemination of data.  </w:t>
      </w:r>
      <w:r w:rsidR="006F1144" w:rsidRPr="008D1EAD">
        <w:t xml:space="preserve">A full description of the </w:t>
      </w:r>
      <w:r w:rsidR="0067347A" w:rsidRPr="008D1EAD">
        <w:t xml:space="preserve">statistical </w:t>
      </w:r>
      <w:r w:rsidR="006F1144" w:rsidRPr="008D1EAD">
        <w:t xml:space="preserve">protocol is provided in </w:t>
      </w:r>
      <w:r w:rsidR="0067347A" w:rsidRPr="008D1EAD">
        <w:t>Part B</w:t>
      </w:r>
      <w:r w:rsidR="008E2BA5" w:rsidRPr="008D1EAD">
        <w:t>1 and B2</w:t>
      </w:r>
      <w:r w:rsidR="0067347A" w:rsidRPr="008D1EAD">
        <w:t xml:space="preserve"> of this ICR. </w:t>
      </w:r>
      <w:r w:rsidR="00950A99" w:rsidRPr="008D1EAD">
        <w:t xml:space="preserve"> </w:t>
      </w:r>
      <w:r w:rsidR="00793779" w:rsidRPr="00287BCC">
        <w:rPr>
          <w:lang w:eastAsia="ja-JP"/>
        </w:rPr>
        <w:t xml:space="preserve">Results of the study will be disseminated in the scientific literature by NIOSH.  Publications would be prepared in FY18.   We anticipate a publication in a peer reviewed journal (e.g. Applied Ergonomics) and a NIOSH published information product, in a format to be determined, that describes the state of the art in Ergonomics and MSD prevention.  </w:t>
      </w:r>
    </w:p>
    <w:p w:rsidR="00793779" w:rsidRDefault="00793779" w:rsidP="00793779">
      <w:pPr>
        <w:autoSpaceDE w:val="0"/>
        <w:autoSpaceDN w:val="0"/>
        <w:adjustRightInd w:val="0"/>
        <w:rPr>
          <w:color w:val="000000"/>
        </w:rPr>
      </w:pPr>
    </w:p>
    <w:p w:rsidR="00793779" w:rsidRPr="001F4A52" w:rsidRDefault="00793779" w:rsidP="00793779">
      <w:pPr>
        <w:autoSpaceDE w:val="0"/>
        <w:autoSpaceDN w:val="0"/>
        <w:adjustRightInd w:val="0"/>
        <w:rPr>
          <w:color w:val="000000"/>
        </w:rPr>
      </w:pPr>
      <w:r w:rsidRPr="001F4A52">
        <w:rPr>
          <w:color w:val="000000"/>
        </w:rPr>
        <w:t xml:space="preserve">The findings from this project will be transferred to stakeholders and OSH practitioners </w:t>
      </w:r>
      <w:r>
        <w:rPr>
          <w:color w:val="000000"/>
        </w:rPr>
        <w:t xml:space="preserve">in the private sector </w:t>
      </w:r>
      <w:r w:rsidRPr="001F4A52">
        <w:rPr>
          <w:color w:val="000000"/>
        </w:rPr>
        <w:t>using several channels:</w:t>
      </w:r>
    </w:p>
    <w:p w:rsidR="00793779" w:rsidRPr="001F4A52" w:rsidRDefault="00793779" w:rsidP="00793779">
      <w:pPr>
        <w:autoSpaceDE w:val="0"/>
        <w:autoSpaceDN w:val="0"/>
        <w:adjustRightInd w:val="0"/>
        <w:ind w:left="390"/>
        <w:rPr>
          <w:color w:val="000000"/>
        </w:rPr>
      </w:pPr>
    </w:p>
    <w:p w:rsidR="00793779" w:rsidRPr="009F2BDC" w:rsidRDefault="00793779" w:rsidP="00793779">
      <w:pPr>
        <w:autoSpaceDE w:val="0"/>
        <w:autoSpaceDN w:val="0"/>
        <w:adjustRightInd w:val="0"/>
        <w:ind w:left="390"/>
        <w:rPr>
          <w:color w:val="000000"/>
        </w:rPr>
      </w:pPr>
      <w:r>
        <w:rPr>
          <w:color w:val="000000"/>
        </w:rPr>
        <w:t>Professional</w:t>
      </w:r>
      <w:r w:rsidRPr="009F2BDC">
        <w:rPr>
          <w:color w:val="000000"/>
        </w:rPr>
        <w:t xml:space="preserve"> trade organizations (website, publications, </w:t>
      </w:r>
      <w:r>
        <w:rPr>
          <w:color w:val="000000"/>
        </w:rPr>
        <w:t>etc.</w:t>
      </w:r>
      <w:r w:rsidRPr="009F2BDC">
        <w:rPr>
          <w:color w:val="000000"/>
        </w:rPr>
        <w:t>)</w:t>
      </w:r>
    </w:p>
    <w:p w:rsidR="00793779" w:rsidRPr="009F2BDC" w:rsidRDefault="00793779" w:rsidP="00793779">
      <w:pPr>
        <w:pStyle w:val="ListParagraph"/>
        <w:numPr>
          <w:ilvl w:val="1"/>
          <w:numId w:val="4"/>
        </w:numPr>
        <w:autoSpaceDE w:val="0"/>
        <w:autoSpaceDN w:val="0"/>
        <w:adjustRightInd w:val="0"/>
        <w:spacing w:line="240" w:lineRule="auto"/>
        <w:contextualSpacing w:val="0"/>
        <w:jc w:val="left"/>
        <w:rPr>
          <w:color w:val="000000"/>
          <w:sz w:val="24"/>
          <w:szCs w:val="24"/>
        </w:rPr>
      </w:pPr>
      <w:r>
        <w:rPr>
          <w:color w:val="000000"/>
          <w:sz w:val="24"/>
          <w:szCs w:val="24"/>
        </w:rPr>
        <w:t>A report targeted towards professional society</w:t>
      </w:r>
      <w:r w:rsidRPr="009F2BDC">
        <w:rPr>
          <w:color w:val="000000"/>
          <w:sz w:val="24"/>
          <w:szCs w:val="24"/>
        </w:rPr>
        <w:t xml:space="preserve"> dissemination will be </w:t>
      </w:r>
      <w:r>
        <w:rPr>
          <w:color w:val="000000"/>
          <w:sz w:val="24"/>
          <w:szCs w:val="24"/>
        </w:rPr>
        <w:t>prepared in a format to be determined.</w:t>
      </w:r>
    </w:p>
    <w:p w:rsidR="00793779" w:rsidRPr="009F2BDC" w:rsidRDefault="00793779" w:rsidP="00793779">
      <w:pPr>
        <w:pStyle w:val="ListParagraph"/>
        <w:autoSpaceDE w:val="0"/>
        <w:autoSpaceDN w:val="0"/>
        <w:adjustRightInd w:val="0"/>
        <w:ind w:left="1080"/>
        <w:rPr>
          <w:color w:val="000000"/>
          <w:sz w:val="24"/>
          <w:szCs w:val="24"/>
        </w:rPr>
      </w:pPr>
    </w:p>
    <w:p w:rsidR="00793779" w:rsidRPr="009F2BDC" w:rsidRDefault="00793779" w:rsidP="00793779">
      <w:pPr>
        <w:autoSpaceDE w:val="0"/>
        <w:autoSpaceDN w:val="0"/>
        <w:adjustRightInd w:val="0"/>
        <w:ind w:left="390"/>
        <w:rPr>
          <w:color w:val="000000"/>
        </w:rPr>
      </w:pPr>
      <w:r w:rsidRPr="009F2BDC">
        <w:rPr>
          <w:color w:val="000000"/>
        </w:rPr>
        <w:t>Peer reviewed journals</w:t>
      </w:r>
    </w:p>
    <w:p w:rsidR="00793779" w:rsidRPr="009F2BDC" w:rsidRDefault="00793779" w:rsidP="00793779">
      <w:pPr>
        <w:pStyle w:val="ListParagraph"/>
        <w:numPr>
          <w:ilvl w:val="1"/>
          <w:numId w:val="4"/>
        </w:numPr>
        <w:autoSpaceDE w:val="0"/>
        <w:autoSpaceDN w:val="0"/>
        <w:adjustRightInd w:val="0"/>
        <w:spacing w:line="240" w:lineRule="auto"/>
        <w:contextualSpacing w:val="0"/>
        <w:jc w:val="left"/>
        <w:rPr>
          <w:color w:val="000000"/>
          <w:sz w:val="24"/>
          <w:szCs w:val="24"/>
        </w:rPr>
      </w:pPr>
      <w:r w:rsidRPr="009F2BDC">
        <w:rPr>
          <w:color w:val="000000"/>
          <w:sz w:val="24"/>
          <w:szCs w:val="24"/>
        </w:rPr>
        <w:t xml:space="preserve">At least </w:t>
      </w:r>
      <w:r>
        <w:rPr>
          <w:color w:val="000000"/>
          <w:sz w:val="24"/>
          <w:szCs w:val="24"/>
        </w:rPr>
        <w:t>one</w:t>
      </w:r>
      <w:r w:rsidRPr="009F2BDC">
        <w:rPr>
          <w:color w:val="000000"/>
          <w:sz w:val="24"/>
          <w:szCs w:val="24"/>
        </w:rPr>
        <w:t xml:space="preserve"> manuscript </w:t>
      </w:r>
      <w:r>
        <w:rPr>
          <w:color w:val="000000"/>
          <w:sz w:val="24"/>
          <w:szCs w:val="24"/>
        </w:rPr>
        <w:t>is</w:t>
      </w:r>
      <w:r w:rsidRPr="009F2BDC">
        <w:rPr>
          <w:color w:val="000000"/>
          <w:sz w:val="24"/>
          <w:szCs w:val="24"/>
        </w:rPr>
        <w:t xml:space="preserve"> planned for publication in the peer reviewed literature. Main audiences for these types of journals are fellow researchers, but also OSH practitioners, and stakeholders. </w:t>
      </w:r>
    </w:p>
    <w:p w:rsidR="00793779" w:rsidRDefault="00793779" w:rsidP="00793779">
      <w:pPr>
        <w:pStyle w:val="ListParagraph"/>
        <w:autoSpaceDE w:val="0"/>
        <w:autoSpaceDN w:val="0"/>
        <w:adjustRightInd w:val="0"/>
        <w:spacing w:line="240" w:lineRule="auto"/>
        <w:contextualSpacing w:val="0"/>
        <w:jc w:val="left"/>
        <w:rPr>
          <w:color w:val="000000"/>
          <w:sz w:val="24"/>
          <w:szCs w:val="24"/>
        </w:rPr>
      </w:pPr>
    </w:p>
    <w:p w:rsidR="00793779" w:rsidRPr="001F4A52" w:rsidRDefault="00793779" w:rsidP="00793779">
      <w:pPr>
        <w:rPr>
          <w:color w:val="000000"/>
        </w:rPr>
      </w:pPr>
      <w:r w:rsidRPr="007351E8">
        <w:t xml:space="preserve">We will explore other modes of dissemination of the findings through the certification organizations from which we recruit participants.  </w:t>
      </w:r>
      <w:r w:rsidRPr="00C60CB2">
        <w:rPr>
          <w:color w:val="000000"/>
        </w:rPr>
        <w:t xml:space="preserve">Results of this study will be </w:t>
      </w:r>
      <w:r>
        <w:rPr>
          <w:color w:val="000000"/>
        </w:rPr>
        <w:t>critical</w:t>
      </w:r>
      <w:r w:rsidRPr="00C60CB2">
        <w:rPr>
          <w:color w:val="000000"/>
        </w:rPr>
        <w:t xml:space="preserve"> to understand</w:t>
      </w:r>
      <w:r>
        <w:rPr>
          <w:color w:val="000000"/>
        </w:rPr>
        <w:t>ing</w:t>
      </w:r>
      <w:r w:rsidRPr="00C60CB2">
        <w:rPr>
          <w:color w:val="000000"/>
        </w:rPr>
        <w:t xml:space="preserve"> the prevalence of use of tools and methods by practitioners within the discipline.  </w:t>
      </w:r>
      <w:r>
        <w:rPr>
          <w:color w:val="000000"/>
        </w:rPr>
        <w:t>Findings</w:t>
      </w:r>
      <w:r w:rsidRPr="00C60CB2">
        <w:rPr>
          <w:color w:val="000000"/>
        </w:rPr>
        <w:t xml:space="preserve"> will have implications for dissemination efforts related to </w:t>
      </w:r>
      <w:r w:rsidRPr="00C60CB2">
        <w:rPr>
          <w:color w:val="000000"/>
        </w:rPr>
        <w:lastRenderedPageBreak/>
        <w:t>musculoskeletal disorder risk assessment tools and methods since they will provide insight into the current practices of ergonomics professionals.  It is ineffective to continue dissemination efforts for tools and methods that practitioners do not have a need for or do not find useful.</w:t>
      </w:r>
    </w:p>
    <w:p w:rsidR="00793779" w:rsidRDefault="00793779" w:rsidP="0038553A"/>
    <w:p w:rsidR="0038553A" w:rsidRPr="008D1EAD" w:rsidRDefault="0038553A" w:rsidP="0038553A">
      <w:pPr>
        <w:rPr>
          <w:i/>
        </w:rPr>
      </w:pPr>
      <w:r w:rsidRPr="008D1EAD">
        <w:rPr>
          <w:i/>
        </w:rPr>
        <w:t>Project Time Schedule</w:t>
      </w:r>
    </w:p>
    <w:p w:rsidR="0038553A" w:rsidRPr="00953D2D" w:rsidRDefault="0038553A" w:rsidP="009B0789">
      <w:pPr>
        <w:pStyle w:val="TableTitle"/>
        <w:jc w:val="center"/>
        <w:rPr>
          <w:rFonts w:ascii="Times New Roman" w:hAnsi="Times New Roman"/>
          <w:b w:val="0"/>
          <w:sz w:val="24"/>
          <w:szCs w:val="24"/>
        </w:rPr>
      </w:pPr>
      <w:bookmarkStart w:id="57" w:name="_Toc140979763"/>
      <w:bookmarkEnd w:id="55"/>
      <w:bookmarkEnd w:id="56"/>
      <w:r w:rsidRPr="00953D2D">
        <w:rPr>
          <w:rFonts w:ascii="Times New Roman" w:hAnsi="Times New Roman"/>
          <w:b w:val="0"/>
          <w:sz w:val="24"/>
          <w:szCs w:val="24"/>
        </w:rPr>
        <w:t>Table A.16-1. Project Time Schedule</w:t>
      </w:r>
      <w:bookmarkEnd w:id="57"/>
    </w:p>
    <w:tbl>
      <w:tblPr>
        <w:tblW w:w="754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7"/>
        <w:gridCol w:w="2677"/>
      </w:tblGrid>
      <w:tr w:rsidR="00040C3B" w:rsidRPr="00953D2D" w:rsidTr="00887144">
        <w:trPr>
          <w:cantSplit/>
        </w:trPr>
        <w:tc>
          <w:tcPr>
            <w:tcW w:w="3226" w:type="pct"/>
            <w:tcBorders>
              <w:bottom w:val="single" w:sz="4" w:space="0" w:color="auto"/>
            </w:tcBorders>
            <w:noWrap/>
          </w:tcPr>
          <w:p w:rsidR="00040C3B" w:rsidRPr="00953D2D" w:rsidRDefault="00040C3B" w:rsidP="00040C3B">
            <w:pPr>
              <w:widowControl w:val="0"/>
              <w:autoSpaceDE w:val="0"/>
              <w:autoSpaceDN w:val="0"/>
              <w:adjustRightInd w:val="0"/>
              <w:spacing w:before="80" w:after="80"/>
              <w:jc w:val="center"/>
              <w:outlineLvl w:val="0"/>
              <w:rPr>
                <w:bCs/>
                <w:color w:val="000000"/>
              </w:rPr>
            </w:pPr>
            <w:r w:rsidRPr="00953D2D">
              <w:rPr>
                <w:bCs/>
                <w:color w:val="000000"/>
              </w:rPr>
              <w:t>Activity</w:t>
            </w:r>
          </w:p>
        </w:tc>
        <w:tc>
          <w:tcPr>
            <w:tcW w:w="1774" w:type="pct"/>
            <w:tcBorders>
              <w:bottom w:val="single" w:sz="4" w:space="0" w:color="auto"/>
            </w:tcBorders>
            <w:noWrap/>
          </w:tcPr>
          <w:p w:rsidR="00040C3B" w:rsidRPr="00953D2D" w:rsidRDefault="00040C3B" w:rsidP="00887144">
            <w:pPr>
              <w:widowControl w:val="0"/>
              <w:autoSpaceDE w:val="0"/>
              <w:autoSpaceDN w:val="0"/>
              <w:adjustRightInd w:val="0"/>
              <w:spacing w:before="80" w:after="80"/>
              <w:jc w:val="center"/>
              <w:outlineLvl w:val="0"/>
              <w:rPr>
                <w:bCs/>
                <w:color w:val="000000"/>
              </w:rPr>
            </w:pPr>
            <w:r w:rsidRPr="00953D2D">
              <w:rPr>
                <w:bCs/>
                <w:color w:val="000000"/>
              </w:rPr>
              <w:t>Time Schedule</w:t>
            </w:r>
          </w:p>
          <w:p w:rsidR="00040C3B" w:rsidRPr="00953D2D" w:rsidRDefault="00040C3B" w:rsidP="00887144">
            <w:pPr>
              <w:widowControl w:val="0"/>
              <w:autoSpaceDE w:val="0"/>
              <w:autoSpaceDN w:val="0"/>
              <w:adjustRightInd w:val="0"/>
              <w:spacing w:before="80" w:after="80"/>
              <w:jc w:val="center"/>
              <w:outlineLvl w:val="0"/>
              <w:rPr>
                <w:bCs/>
                <w:color w:val="000000"/>
              </w:rPr>
            </w:pPr>
            <w:r w:rsidRPr="00953D2D">
              <w:rPr>
                <w:bCs/>
                <w:color w:val="000000"/>
              </w:rPr>
              <w:t>(Months After OMB Approval)</w:t>
            </w:r>
          </w:p>
        </w:tc>
      </w:tr>
      <w:tr w:rsidR="002C56B1" w:rsidRPr="00953D2D" w:rsidTr="00887144">
        <w:trPr>
          <w:cantSplit/>
        </w:trPr>
        <w:tc>
          <w:tcPr>
            <w:tcW w:w="3226" w:type="pct"/>
            <w:noWrap/>
          </w:tcPr>
          <w:p w:rsidR="002C56B1" w:rsidRPr="00953D2D" w:rsidRDefault="00953D2D" w:rsidP="00E17647">
            <w:pPr>
              <w:autoSpaceDE w:val="0"/>
              <w:autoSpaceDN w:val="0"/>
              <w:adjustRightInd w:val="0"/>
              <w:rPr>
                <w:color w:val="000000"/>
                <w:sz w:val="22"/>
                <w:szCs w:val="22"/>
              </w:rPr>
            </w:pPr>
            <w:r>
              <w:rPr>
                <w:color w:val="000000"/>
                <w:sz w:val="22"/>
                <w:szCs w:val="22"/>
              </w:rPr>
              <w:t>E-mail invitations</w:t>
            </w:r>
            <w:r w:rsidR="008D1EAD">
              <w:rPr>
                <w:color w:val="000000"/>
                <w:sz w:val="22"/>
                <w:szCs w:val="22"/>
              </w:rPr>
              <w:t xml:space="preserve"> sent; survey period </w:t>
            </w:r>
            <w:r w:rsidR="00E17647">
              <w:rPr>
                <w:color w:val="000000"/>
                <w:sz w:val="22"/>
                <w:szCs w:val="22"/>
              </w:rPr>
              <w:t>opens</w:t>
            </w:r>
          </w:p>
        </w:tc>
        <w:tc>
          <w:tcPr>
            <w:tcW w:w="1774" w:type="pct"/>
            <w:noWrap/>
          </w:tcPr>
          <w:p w:rsidR="002C56B1" w:rsidRPr="00953D2D" w:rsidRDefault="002C56B1" w:rsidP="00887144">
            <w:pPr>
              <w:widowControl w:val="0"/>
              <w:autoSpaceDE w:val="0"/>
              <w:autoSpaceDN w:val="0"/>
              <w:adjustRightInd w:val="0"/>
              <w:spacing w:before="80" w:after="80"/>
              <w:jc w:val="center"/>
              <w:outlineLvl w:val="0"/>
              <w:rPr>
                <w:bCs/>
                <w:color w:val="000000"/>
                <w:sz w:val="22"/>
                <w:szCs w:val="22"/>
              </w:rPr>
            </w:pPr>
            <w:r w:rsidRPr="00953D2D">
              <w:rPr>
                <w:bCs/>
                <w:color w:val="000000"/>
                <w:sz w:val="22"/>
                <w:szCs w:val="22"/>
              </w:rPr>
              <w:t>0</w:t>
            </w:r>
          </w:p>
        </w:tc>
      </w:tr>
      <w:tr w:rsidR="00040C3B" w:rsidRPr="00953D2D" w:rsidTr="00887144">
        <w:trPr>
          <w:cantSplit/>
        </w:trPr>
        <w:tc>
          <w:tcPr>
            <w:tcW w:w="3226" w:type="pct"/>
            <w:noWrap/>
          </w:tcPr>
          <w:p w:rsidR="00040C3B" w:rsidRPr="00953D2D" w:rsidRDefault="00953D2D" w:rsidP="00186952">
            <w:pPr>
              <w:autoSpaceDE w:val="0"/>
              <w:autoSpaceDN w:val="0"/>
              <w:adjustRightInd w:val="0"/>
              <w:rPr>
                <w:color w:val="000000"/>
                <w:sz w:val="22"/>
                <w:szCs w:val="22"/>
              </w:rPr>
            </w:pPr>
            <w:r>
              <w:rPr>
                <w:color w:val="000000"/>
                <w:sz w:val="22"/>
                <w:szCs w:val="22"/>
              </w:rPr>
              <w:t>Follow-up e-mail to non-respondents</w:t>
            </w:r>
          </w:p>
        </w:tc>
        <w:tc>
          <w:tcPr>
            <w:tcW w:w="1774" w:type="pct"/>
            <w:noWrap/>
          </w:tcPr>
          <w:p w:rsidR="00040C3B" w:rsidRPr="00953D2D" w:rsidRDefault="00953D2D" w:rsidP="00E17647">
            <w:pPr>
              <w:widowControl w:val="0"/>
              <w:autoSpaceDE w:val="0"/>
              <w:autoSpaceDN w:val="0"/>
              <w:adjustRightInd w:val="0"/>
              <w:spacing w:before="80" w:after="80"/>
              <w:jc w:val="center"/>
              <w:outlineLvl w:val="0"/>
              <w:rPr>
                <w:bCs/>
                <w:color w:val="000000"/>
                <w:sz w:val="22"/>
                <w:szCs w:val="22"/>
              </w:rPr>
            </w:pPr>
            <w:r>
              <w:rPr>
                <w:bCs/>
                <w:color w:val="000000"/>
                <w:sz w:val="22"/>
                <w:szCs w:val="22"/>
              </w:rPr>
              <w:t>1</w:t>
            </w:r>
            <w:r w:rsidR="00E17647">
              <w:rPr>
                <w:bCs/>
                <w:color w:val="000000"/>
                <w:sz w:val="22"/>
                <w:szCs w:val="22"/>
              </w:rPr>
              <w:t>-2</w:t>
            </w:r>
          </w:p>
        </w:tc>
      </w:tr>
      <w:tr w:rsidR="00953D2D" w:rsidRPr="00953D2D" w:rsidTr="00887144">
        <w:trPr>
          <w:cantSplit/>
        </w:trPr>
        <w:tc>
          <w:tcPr>
            <w:tcW w:w="3226" w:type="pct"/>
            <w:noWrap/>
          </w:tcPr>
          <w:p w:rsidR="00953D2D" w:rsidRPr="00953D2D" w:rsidRDefault="008D1EAD" w:rsidP="00186952">
            <w:pPr>
              <w:autoSpaceDE w:val="0"/>
              <w:autoSpaceDN w:val="0"/>
              <w:adjustRightInd w:val="0"/>
              <w:rPr>
                <w:color w:val="000000"/>
                <w:sz w:val="22"/>
                <w:szCs w:val="22"/>
              </w:rPr>
            </w:pPr>
            <w:r>
              <w:rPr>
                <w:color w:val="000000"/>
                <w:sz w:val="22"/>
                <w:szCs w:val="22"/>
              </w:rPr>
              <w:t>Third</w:t>
            </w:r>
            <w:r w:rsidR="00953D2D">
              <w:rPr>
                <w:color w:val="000000"/>
                <w:sz w:val="22"/>
                <w:szCs w:val="22"/>
              </w:rPr>
              <w:t xml:space="preserve"> and final e-mail to non-</w:t>
            </w:r>
            <w:r>
              <w:rPr>
                <w:color w:val="000000"/>
                <w:sz w:val="22"/>
                <w:szCs w:val="22"/>
              </w:rPr>
              <w:t>respondents</w:t>
            </w:r>
          </w:p>
        </w:tc>
        <w:tc>
          <w:tcPr>
            <w:tcW w:w="1774" w:type="pct"/>
            <w:noWrap/>
          </w:tcPr>
          <w:p w:rsidR="00953D2D" w:rsidRPr="00953D2D" w:rsidRDefault="00953D2D" w:rsidP="00887144">
            <w:pPr>
              <w:widowControl w:val="0"/>
              <w:autoSpaceDE w:val="0"/>
              <w:autoSpaceDN w:val="0"/>
              <w:adjustRightInd w:val="0"/>
              <w:spacing w:before="80" w:after="80"/>
              <w:jc w:val="center"/>
              <w:outlineLvl w:val="0"/>
              <w:rPr>
                <w:bCs/>
                <w:color w:val="000000"/>
                <w:sz w:val="22"/>
                <w:szCs w:val="22"/>
              </w:rPr>
            </w:pPr>
            <w:r>
              <w:rPr>
                <w:bCs/>
                <w:color w:val="000000"/>
                <w:sz w:val="22"/>
                <w:szCs w:val="22"/>
              </w:rPr>
              <w:t>3</w:t>
            </w:r>
          </w:p>
        </w:tc>
      </w:tr>
      <w:tr w:rsidR="00953D2D" w:rsidRPr="00953D2D" w:rsidTr="00CB52DB">
        <w:trPr>
          <w:cantSplit/>
        </w:trPr>
        <w:tc>
          <w:tcPr>
            <w:tcW w:w="3226" w:type="pct"/>
            <w:tcBorders>
              <w:bottom w:val="single" w:sz="4" w:space="0" w:color="auto"/>
            </w:tcBorders>
            <w:noWrap/>
          </w:tcPr>
          <w:p w:rsidR="00953D2D" w:rsidRPr="00953D2D" w:rsidRDefault="00953D2D" w:rsidP="00186952">
            <w:pPr>
              <w:autoSpaceDE w:val="0"/>
              <w:autoSpaceDN w:val="0"/>
              <w:adjustRightInd w:val="0"/>
              <w:rPr>
                <w:color w:val="000000"/>
                <w:sz w:val="22"/>
                <w:szCs w:val="22"/>
              </w:rPr>
            </w:pPr>
            <w:r>
              <w:rPr>
                <w:color w:val="000000"/>
                <w:sz w:val="22"/>
                <w:szCs w:val="22"/>
              </w:rPr>
              <w:t>Close data collection period</w:t>
            </w:r>
          </w:p>
        </w:tc>
        <w:tc>
          <w:tcPr>
            <w:tcW w:w="1774" w:type="pct"/>
            <w:tcBorders>
              <w:bottom w:val="single" w:sz="4" w:space="0" w:color="auto"/>
            </w:tcBorders>
            <w:noWrap/>
          </w:tcPr>
          <w:p w:rsidR="00953D2D" w:rsidRPr="00953D2D" w:rsidRDefault="00953D2D" w:rsidP="00887144">
            <w:pPr>
              <w:widowControl w:val="0"/>
              <w:autoSpaceDE w:val="0"/>
              <w:autoSpaceDN w:val="0"/>
              <w:adjustRightInd w:val="0"/>
              <w:spacing w:before="80" w:after="80"/>
              <w:jc w:val="center"/>
              <w:outlineLvl w:val="0"/>
              <w:rPr>
                <w:bCs/>
                <w:color w:val="000000"/>
                <w:sz w:val="22"/>
                <w:szCs w:val="22"/>
              </w:rPr>
            </w:pPr>
            <w:r>
              <w:rPr>
                <w:bCs/>
                <w:color w:val="000000"/>
                <w:sz w:val="22"/>
                <w:szCs w:val="22"/>
              </w:rPr>
              <w:t>5</w:t>
            </w:r>
          </w:p>
        </w:tc>
      </w:tr>
      <w:tr w:rsidR="00953D2D" w:rsidRPr="00953D2D" w:rsidTr="00CB52DB">
        <w:trPr>
          <w:cantSplit/>
        </w:trPr>
        <w:tc>
          <w:tcPr>
            <w:tcW w:w="3226" w:type="pct"/>
            <w:tcBorders>
              <w:bottom w:val="single" w:sz="4" w:space="0" w:color="auto"/>
            </w:tcBorders>
            <w:noWrap/>
          </w:tcPr>
          <w:p w:rsidR="00953D2D" w:rsidRPr="00953D2D" w:rsidRDefault="008D1EAD" w:rsidP="008D1EAD">
            <w:pPr>
              <w:autoSpaceDE w:val="0"/>
              <w:autoSpaceDN w:val="0"/>
              <w:adjustRightInd w:val="0"/>
              <w:rPr>
                <w:color w:val="000000"/>
                <w:sz w:val="22"/>
                <w:szCs w:val="22"/>
              </w:rPr>
            </w:pPr>
            <w:r>
              <w:rPr>
                <w:color w:val="000000"/>
                <w:sz w:val="22"/>
                <w:szCs w:val="22"/>
              </w:rPr>
              <w:t xml:space="preserve">Data analysis, </w:t>
            </w:r>
            <w:r w:rsidR="00953D2D">
              <w:rPr>
                <w:color w:val="000000"/>
                <w:sz w:val="22"/>
                <w:szCs w:val="22"/>
              </w:rPr>
              <w:t>preparation of reports</w:t>
            </w:r>
            <w:r>
              <w:rPr>
                <w:color w:val="000000"/>
                <w:sz w:val="22"/>
                <w:szCs w:val="22"/>
              </w:rPr>
              <w:t>, publication</w:t>
            </w:r>
          </w:p>
        </w:tc>
        <w:tc>
          <w:tcPr>
            <w:tcW w:w="1774" w:type="pct"/>
            <w:tcBorders>
              <w:bottom w:val="single" w:sz="4" w:space="0" w:color="auto"/>
            </w:tcBorders>
            <w:noWrap/>
          </w:tcPr>
          <w:p w:rsidR="00953D2D" w:rsidRPr="00953D2D" w:rsidRDefault="00953D2D" w:rsidP="00887144">
            <w:pPr>
              <w:widowControl w:val="0"/>
              <w:autoSpaceDE w:val="0"/>
              <w:autoSpaceDN w:val="0"/>
              <w:adjustRightInd w:val="0"/>
              <w:spacing w:before="80" w:after="80"/>
              <w:jc w:val="center"/>
              <w:outlineLvl w:val="0"/>
              <w:rPr>
                <w:bCs/>
                <w:color w:val="000000"/>
                <w:sz w:val="22"/>
                <w:szCs w:val="22"/>
              </w:rPr>
            </w:pPr>
            <w:r>
              <w:rPr>
                <w:bCs/>
                <w:color w:val="000000"/>
                <w:sz w:val="22"/>
                <w:szCs w:val="22"/>
              </w:rPr>
              <w:t>12</w:t>
            </w:r>
          </w:p>
        </w:tc>
      </w:tr>
    </w:tbl>
    <w:p w:rsidR="002651B9" w:rsidRPr="00953D2D" w:rsidRDefault="002651B9" w:rsidP="0038553A">
      <w:pPr>
        <w:pStyle w:val="Heading2"/>
        <w:rPr>
          <w:b w:val="0"/>
          <w:highlight w:val="yellow"/>
        </w:rPr>
      </w:pPr>
      <w:bookmarkStart w:id="58" w:name="_Toc239826789"/>
      <w:bookmarkStart w:id="59" w:name="_Toc248821756"/>
      <w:bookmarkStart w:id="60" w:name="_Toc261966300"/>
    </w:p>
    <w:p w:rsidR="0038553A" w:rsidRPr="00953D2D" w:rsidRDefault="0038553A" w:rsidP="0038553A">
      <w:pPr>
        <w:pStyle w:val="Heading2"/>
        <w:rPr>
          <w:b w:val="0"/>
        </w:rPr>
      </w:pPr>
      <w:r w:rsidRPr="00953D2D">
        <w:rPr>
          <w:b w:val="0"/>
        </w:rPr>
        <w:t>A17.</w:t>
      </w:r>
      <w:r w:rsidRPr="00953D2D">
        <w:rPr>
          <w:b w:val="0"/>
        </w:rPr>
        <w:tab/>
        <w:t>Reason(s) Display of OMB Expiration Date is Inappropriate</w:t>
      </w:r>
      <w:bookmarkEnd w:id="58"/>
      <w:bookmarkEnd w:id="59"/>
      <w:bookmarkEnd w:id="60"/>
    </w:p>
    <w:p w:rsidR="00B9590E" w:rsidRPr="00953D2D" w:rsidRDefault="00B9590E" w:rsidP="00B9590E">
      <w:pPr>
        <w:rPr>
          <w:lang w:eastAsia="ja-JP"/>
        </w:rPr>
      </w:pPr>
    </w:p>
    <w:p w:rsidR="0038553A" w:rsidRDefault="00E17647" w:rsidP="00E17647">
      <w:r>
        <w:t>The display of the OMB expiration date is not inappropriate.</w:t>
      </w:r>
    </w:p>
    <w:p w:rsidR="00CB52DB" w:rsidRDefault="00CB52DB" w:rsidP="0038553A"/>
    <w:p w:rsidR="00E17647" w:rsidRPr="00953D2D" w:rsidRDefault="00E17647" w:rsidP="0038553A"/>
    <w:p w:rsidR="0038553A" w:rsidRPr="00953D2D" w:rsidRDefault="0038553A" w:rsidP="0038553A">
      <w:pPr>
        <w:pStyle w:val="Heading2"/>
        <w:rPr>
          <w:b w:val="0"/>
        </w:rPr>
      </w:pPr>
      <w:bookmarkStart w:id="61" w:name="_Toc239826790"/>
      <w:bookmarkStart w:id="62" w:name="_Toc248821757"/>
      <w:bookmarkStart w:id="63" w:name="_Toc261966301"/>
      <w:r w:rsidRPr="00953D2D">
        <w:rPr>
          <w:b w:val="0"/>
        </w:rPr>
        <w:t>A18.</w:t>
      </w:r>
      <w:r w:rsidRPr="00953D2D">
        <w:rPr>
          <w:b w:val="0"/>
        </w:rPr>
        <w:tab/>
        <w:t>Exceptions to Certification for Paperwork Reduction Act Submissions</w:t>
      </w:r>
      <w:bookmarkEnd w:id="61"/>
      <w:bookmarkEnd w:id="62"/>
      <w:bookmarkEnd w:id="63"/>
    </w:p>
    <w:p w:rsidR="00B9590E" w:rsidRPr="00953D2D" w:rsidRDefault="00B9590E" w:rsidP="00B9590E">
      <w:pPr>
        <w:rPr>
          <w:lang w:eastAsia="ja-JP"/>
        </w:rPr>
      </w:pPr>
    </w:p>
    <w:p w:rsidR="0038553A" w:rsidRPr="00F81BA5" w:rsidRDefault="0038553A" w:rsidP="0038553A">
      <w:pPr>
        <w:rPr>
          <w:color w:val="000000"/>
          <w:lang w:eastAsia="ja-JP"/>
        </w:rPr>
      </w:pPr>
      <w:r w:rsidRPr="00953D2D">
        <w:t>There are no exceptions to the certification statement.</w:t>
      </w:r>
    </w:p>
    <w:sectPr w:rsidR="0038553A" w:rsidRPr="00F81BA5" w:rsidSect="0038553A">
      <w:headerReference w:type="even" r:id="rId11"/>
      <w:headerReference w:type="default" r:id="rId12"/>
      <w:headerReference w:type="first" r:id="rId13"/>
      <w:type w:val="continuous"/>
      <w:pgSz w:w="12240" w:h="15840" w:code="1"/>
      <w:pgMar w:top="1440" w:right="1800" w:bottom="1440" w:left="180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21" w:rsidRDefault="00DB5121">
      <w:r>
        <w:separator/>
      </w:r>
    </w:p>
  </w:endnote>
  <w:endnote w:type="continuationSeparator" w:id="0">
    <w:p w:rsidR="00DB5121" w:rsidRDefault="00DB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B4" w:rsidRDefault="009154B4" w:rsidP="00385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54B4" w:rsidRDefault="00915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B4" w:rsidRPr="00F0710F" w:rsidRDefault="009154B4" w:rsidP="0038553A">
    <w:pPr>
      <w:pStyle w:val="Footer"/>
      <w:framePr w:wrap="around" w:vAnchor="text" w:hAnchor="margin" w:xAlign="center" w:y="1"/>
      <w:rPr>
        <w:rStyle w:val="PageNumber"/>
        <w:sz w:val="24"/>
        <w:szCs w:val="24"/>
      </w:rPr>
    </w:pPr>
    <w:r w:rsidRPr="00F0710F">
      <w:rPr>
        <w:rStyle w:val="PageNumber"/>
        <w:sz w:val="24"/>
        <w:szCs w:val="24"/>
      </w:rPr>
      <w:fldChar w:fldCharType="begin"/>
    </w:r>
    <w:r w:rsidRPr="00F0710F">
      <w:rPr>
        <w:rStyle w:val="PageNumber"/>
        <w:sz w:val="24"/>
        <w:szCs w:val="24"/>
      </w:rPr>
      <w:instrText xml:space="preserve">PAGE  </w:instrText>
    </w:r>
    <w:r w:rsidRPr="00F0710F">
      <w:rPr>
        <w:rStyle w:val="PageNumber"/>
        <w:sz w:val="24"/>
        <w:szCs w:val="24"/>
      </w:rPr>
      <w:fldChar w:fldCharType="separate"/>
    </w:r>
    <w:r w:rsidR="00D85ABE">
      <w:rPr>
        <w:rStyle w:val="PageNumber"/>
        <w:noProof/>
        <w:sz w:val="24"/>
        <w:szCs w:val="24"/>
      </w:rPr>
      <w:t>11</w:t>
    </w:r>
    <w:r w:rsidRPr="00F0710F">
      <w:rPr>
        <w:rStyle w:val="PageNumber"/>
        <w:sz w:val="24"/>
        <w:szCs w:val="24"/>
      </w:rPr>
      <w:fldChar w:fldCharType="end"/>
    </w:r>
  </w:p>
  <w:p w:rsidR="009154B4" w:rsidRPr="00C7102E" w:rsidRDefault="009154B4" w:rsidP="0038553A">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21" w:rsidRDefault="00DB5121">
      <w:r>
        <w:separator/>
      </w:r>
    </w:p>
  </w:footnote>
  <w:footnote w:type="continuationSeparator" w:id="0">
    <w:p w:rsidR="00DB5121" w:rsidRDefault="00DB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B4" w:rsidRDefault="009154B4" w:rsidP="003855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B4" w:rsidRDefault="00915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B4" w:rsidRDefault="00915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7"/>
    <w:multiLevelType w:val="multilevel"/>
    <w:tmpl w:val="00000000"/>
    <w:name w:val="AutoList2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8"/>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A"/>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B"/>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F"/>
    <w:multiLevelType w:val="multilevel"/>
    <w:tmpl w:val="00000000"/>
    <w:name w:val="AutoList13"/>
    <w:lvl w:ilvl="0">
      <w:start w:val="1"/>
      <w:numFmt w:val="lowerLetter"/>
      <w:lvlText w:val="(%1)"/>
      <w:lvlJc w:val="left"/>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ED002F3"/>
    <w:multiLevelType w:val="hybridMultilevel"/>
    <w:tmpl w:val="CC9AD5C0"/>
    <w:lvl w:ilvl="0" w:tplc="055E38F0">
      <w:start w:val="1"/>
      <w:numFmt w:val="bullet"/>
      <w:pStyle w:val="AppHeading1"/>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F3378"/>
    <w:multiLevelType w:val="hybridMultilevel"/>
    <w:tmpl w:val="5E48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06F99"/>
    <w:multiLevelType w:val="multilevel"/>
    <w:tmpl w:val="AACAA9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286EBD"/>
    <w:multiLevelType w:val="multilevel"/>
    <w:tmpl w:val="2940F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9262E7"/>
    <w:multiLevelType w:val="hybridMultilevel"/>
    <w:tmpl w:val="E7F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2495D27"/>
    <w:multiLevelType w:val="singleLevel"/>
    <w:tmpl w:val="6FE2D3D2"/>
    <w:lvl w:ilvl="0">
      <w:start w:val="1"/>
      <w:numFmt w:val="bullet"/>
      <w:pStyle w:val="SP-SglSpPara"/>
      <w:lvlText w:val="–"/>
      <w:lvlJc w:val="left"/>
      <w:pPr>
        <w:tabs>
          <w:tab w:val="num" w:pos="1728"/>
        </w:tabs>
        <w:ind w:left="1728" w:hanging="576"/>
      </w:pPr>
      <w:rPr>
        <w:rFonts w:ascii="Garamond" w:hAnsi="Garamond" w:hint="default"/>
        <w:sz w:val="28"/>
        <w:szCs w:val="36"/>
      </w:rPr>
    </w:lvl>
  </w:abstractNum>
  <w:abstractNum w:abstractNumId="13" w15:restartNumberingAfterBreak="0">
    <w:nsid w:val="46D054FF"/>
    <w:multiLevelType w:val="hybridMultilevel"/>
    <w:tmpl w:val="9214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01637"/>
    <w:multiLevelType w:val="hybridMultilevel"/>
    <w:tmpl w:val="C9E6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254E2"/>
    <w:multiLevelType w:val="hybridMultilevel"/>
    <w:tmpl w:val="ABFC5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8"/>
  </w:num>
  <w:num w:numId="4">
    <w:abstractNumId w:val="15"/>
  </w:num>
  <w:num w:numId="5">
    <w:abstractNumId w:val="14"/>
  </w:num>
  <w:num w:numId="6">
    <w:abstractNumId w:val="13"/>
  </w:num>
  <w:num w:numId="7">
    <w:abstractNumId w:val="10"/>
  </w:num>
  <w:num w:numId="8">
    <w:abstractNumId w:val="11"/>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38553A"/>
    <w:rsid w:val="00000A67"/>
    <w:rsid w:val="00002D3F"/>
    <w:rsid w:val="00006DBF"/>
    <w:rsid w:val="0000728B"/>
    <w:rsid w:val="00011C69"/>
    <w:rsid w:val="00015DCB"/>
    <w:rsid w:val="00016638"/>
    <w:rsid w:val="0002200D"/>
    <w:rsid w:val="0002343D"/>
    <w:rsid w:val="00023587"/>
    <w:rsid w:val="000250D3"/>
    <w:rsid w:val="0002744B"/>
    <w:rsid w:val="000274A0"/>
    <w:rsid w:val="000278C3"/>
    <w:rsid w:val="00031545"/>
    <w:rsid w:val="00040C3B"/>
    <w:rsid w:val="000411AF"/>
    <w:rsid w:val="0004147C"/>
    <w:rsid w:val="00041A17"/>
    <w:rsid w:val="0004277A"/>
    <w:rsid w:val="000435F9"/>
    <w:rsid w:val="0004538C"/>
    <w:rsid w:val="00050A2B"/>
    <w:rsid w:val="00054885"/>
    <w:rsid w:val="00057C91"/>
    <w:rsid w:val="000609FA"/>
    <w:rsid w:val="00064059"/>
    <w:rsid w:val="00065D19"/>
    <w:rsid w:val="000672D4"/>
    <w:rsid w:val="000727C1"/>
    <w:rsid w:val="000729F8"/>
    <w:rsid w:val="00077388"/>
    <w:rsid w:val="000814FA"/>
    <w:rsid w:val="0008517E"/>
    <w:rsid w:val="000862E6"/>
    <w:rsid w:val="000A17B3"/>
    <w:rsid w:val="000A6DC4"/>
    <w:rsid w:val="000B4DA9"/>
    <w:rsid w:val="000B6B56"/>
    <w:rsid w:val="000C2691"/>
    <w:rsid w:val="000C3E90"/>
    <w:rsid w:val="000C6194"/>
    <w:rsid w:val="000D0283"/>
    <w:rsid w:val="000D1EDC"/>
    <w:rsid w:val="000E4B86"/>
    <w:rsid w:val="000E7992"/>
    <w:rsid w:val="000F05D2"/>
    <w:rsid w:val="000F3669"/>
    <w:rsid w:val="000F3CF1"/>
    <w:rsid w:val="00100F38"/>
    <w:rsid w:val="001021AF"/>
    <w:rsid w:val="00102386"/>
    <w:rsid w:val="001030D8"/>
    <w:rsid w:val="00104D3F"/>
    <w:rsid w:val="00105E07"/>
    <w:rsid w:val="00107C1B"/>
    <w:rsid w:val="00110E34"/>
    <w:rsid w:val="001112E8"/>
    <w:rsid w:val="00116A75"/>
    <w:rsid w:val="001218E2"/>
    <w:rsid w:val="00122227"/>
    <w:rsid w:val="001228A5"/>
    <w:rsid w:val="00123F0B"/>
    <w:rsid w:val="00125462"/>
    <w:rsid w:val="00131CE9"/>
    <w:rsid w:val="00135678"/>
    <w:rsid w:val="00137A2C"/>
    <w:rsid w:val="00141C61"/>
    <w:rsid w:val="00144F90"/>
    <w:rsid w:val="00150DA5"/>
    <w:rsid w:val="001521E9"/>
    <w:rsid w:val="00152CCF"/>
    <w:rsid w:val="00154ADB"/>
    <w:rsid w:val="001623D8"/>
    <w:rsid w:val="00163356"/>
    <w:rsid w:val="00167398"/>
    <w:rsid w:val="001715A0"/>
    <w:rsid w:val="00171BC0"/>
    <w:rsid w:val="001734D5"/>
    <w:rsid w:val="00180E63"/>
    <w:rsid w:val="00186952"/>
    <w:rsid w:val="00186E4E"/>
    <w:rsid w:val="00191EAF"/>
    <w:rsid w:val="0019660B"/>
    <w:rsid w:val="00197764"/>
    <w:rsid w:val="001A2F13"/>
    <w:rsid w:val="001A5661"/>
    <w:rsid w:val="001A7C92"/>
    <w:rsid w:val="001B7DC9"/>
    <w:rsid w:val="001C5F19"/>
    <w:rsid w:val="001D2F0A"/>
    <w:rsid w:val="001D7619"/>
    <w:rsid w:val="001D792A"/>
    <w:rsid w:val="001E09BF"/>
    <w:rsid w:val="001E5412"/>
    <w:rsid w:val="001E774F"/>
    <w:rsid w:val="001F02A3"/>
    <w:rsid w:val="001F11DB"/>
    <w:rsid w:val="001F197B"/>
    <w:rsid w:val="001F4A52"/>
    <w:rsid w:val="002052A8"/>
    <w:rsid w:val="0020565C"/>
    <w:rsid w:val="00206F70"/>
    <w:rsid w:val="002072C2"/>
    <w:rsid w:val="00207491"/>
    <w:rsid w:val="00213918"/>
    <w:rsid w:val="00214159"/>
    <w:rsid w:val="00214E0F"/>
    <w:rsid w:val="002150E4"/>
    <w:rsid w:val="002201FB"/>
    <w:rsid w:val="00222123"/>
    <w:rsid w:val="00226509"/>
    <w:rsid w:val="00240E38"/>
    <w:rsid w:val="00242A30"/>
    <w:rsid w:val="0024519D"/>
    <w:rsid w:val="00247D2E"/>
    <w:rsid w:val="00250EC5"/>
    <w:rsid w:val="0025199E"/>
    <w:rsid w:val="00251CC7"/>
    <w:rsid w:val="002535D4"/>
    <w:rsid w:val="00255171"/>
    <w:rsid w:val="002567D7"/>
    <w:rsid w:val="00256F10"/>
    <w:rsid w:val="00262BBF"/>
    <w:rsid w:val="00264E82"/>
    <w:rsid w:val="002651B9"/>
    <w:rsid w:val="00266DAC"/>
    <w:rsid w:val="00270B64"/>
    <w:rsid w:val="002735F3"/>
    <w:rsid w:val="00285E0B"/>
    <w:rsid w:val="002863F2"/>
    <w:rsid w:val="002873C1"/>
    <w:rsid w:val="002873C6"/>
    <w:rsid w:val="00287BCC"/>
    <w:rsid w:val="002A02ED"/>
    <w:rsid w:val="002A032B"/>
    <w:rsid w:val="002A10F7"/>
    <w:rsid w:val="002B3D94"/>
    <w:rsid w:val="002B4177"/>
    <w:rsid w:val="002B4E5A"/>
    <w:rsid w:val="002B5001"/>
    <w:rsid w:val="002B72A0"/>
    <w:rsid w:val="002C06C1"/>
    <w:rsid w:val="002C40BD"/>
    <w:rsid w:val="002C5374"/>
    <w:rsid w:val="002C56B1"/>
    <w:rsid w:val="002D461F"/>
    <w:rsid w:val="002E4BFF"/>
    <w:rsid w:val="002F41B0"/>
    <w:rsid w:val="002F5857"/>
    <w:rsid w:val="002F76AE"/>
    <w:rsid w:val="002F76F8"/>
    <w:rsid w:val="00300049"/>
    <w:rsid w:val="003006C1"/>
    <w:rsid w:val="00302EC4"/>
    <w:rsid w:val="00304325"/>
    <w:rsid w:val="00305614"/>
    <w:rsid w:val="0030631F"/>
    <w:rsid w:val="00312312"/>
    <w:rsid w:val="0031264E"/>
    <w:rsid w:val="00313CC3"/>
    <w:rsid w:val="00321421"/>
    <w:rsid w:val="00324F16"/>
    <w:rsid w:val="003302C3"/>
    <w:rsid w:val="00330FB5"/>
    <w:rsid w:val="00332F13"/>
    <w:rsid w:val="0033392F"/>
    <w:rsid w:val="003405A7"/>
    <w:rsid w:val="00340A81"/>
    <w:rsid w:val="003423FA"/>
    <w:rsid w:val="00342923"/>
    <w:rsid w:val="003432BB"/>
    <w:rsid w:val="00343A22"/>
    <w:rsid w:val="003465EE"/>
    <w:rsid w:val="00361B17"/>
    <w:rsid w:val="003635E9"/>
    <w:rsid w:val="00365BFB"/>
    <w:rsid w:val="00373430"/>
    <w:rsid w:val="00373B52"/>
    <w:rsid w:val="003773AD"/>
    <w:rsid w:val="00382724"/>
    <w:rsid w:val="0038553A"/>
    <w:rsid w:val="00387AEC"/>
    <w:rsid w:val="00390F48"/>
    <w:rsid w:val="003938D6"/>
    <w:rsid w:val="00395B86"/>
    <w:rsid w:val="0039606F"/>
    <w:rsid w:val="00396577"/>
    <w:rsid w:val="00396751"/>
    <w:rsid w:val="003A0A26"/>
    <w:rsid w:val="003A0BB2"/>
    <w:rsid w:val="003B554E"/>
    <w:rsid w:val="003C0C00"/>
    <w:rsid w:val="003C28F4"/>
    <w:rsid w:val="003C2CD7"/>
    <w:rsid w:val="003C3866"/>
    <w:rsid w:val="003E569D"/>
    <w:rsid w:val="003F57FE"/>
    <w:rsid w:val="004053CC"/>
    <w:rsid w:val="004107D5"/>
    <w:rsid w:val="0041085F"/>
    <w:rsid w:val="00411D7A"/>
    <w:rsid w:val="0042216E"/>
    <w:rsid w:val="00426281"/>
    <w:rsid w:val="004338B5"/>
    <w:rsid w:val="00436B64"/>
    <w:rsid w:val="00440224"/>
    <w:rsid w:val="004408C6"/>
    <w:rsid w:val="00447816"/>
    <w:rsid w:val="00447F45"/>
    <w:rsid w:val="00452B47"/>
    <w:rsid w:val="00453F43"/>
    <w:rsid w:val="00454018"/>
    <w:rsid w:val="00454B8F"/>
    <w:rsid w:val="00457B99"/>
    <w:rsid w:val="004603FC"/>
    <w:rsid w:val="00460A18"/>
    <w:rsid w:val="00461B7D"/>
    <w:rsid w:val="00463DDA"/>
    <w:rsid w:val="0046513E"/>
    <w:rsid w:val="00473E46"/>
    <w:rsid w:val="00477792"/>
    <w:rsid w:val="004808F8"/>
    <w:rsid w:val="00480A15"/>
    <w:rsid w:val="00484B91"/>
    <w:rsid w:val="004872F6"/>
    <w:rsid w:val="004925FB"/>
    <w:rsid w:val="00493E60"/>
    <w:rsid w:val="00497E52"/>
    <w:rsid w:val="004A079E"/>
    <w:rsid w:val="004A1907"/>
    <w:rsid w:val="004A1DCC"/>
    <w:rsid w:val="004A30AE"/>
    <w:rsid w:val="004A524C"/>
    <w:rsid w:val="004A61ED"/>
    <w:rsid w:val="004B06D2"/>
    <w:rsid w:val="004B11CA"/>
    <w:rsid w:val="004B3E61"/>
    <w:rsid w:val="004B6905"/>
    <w:rsid w:val="004C1A76"/>
    <w:rsid w:val="004C383F"/>
    <w:rsid w:val="004C3CFC"/>
    <w:rsid w:val="004C6162"/>
    <w:rsid w:val="004D26DF"/>
    <w:rsid w:val="004E0F65"/>
    <w:rsid w:val="004E1725"/>
    <w:rsid w:val="004E57C1"/>
    <w:rsid w:val="004E73C2"/>
    <w:rsid w:val="004F044C"/>
    <w:rsid w:val="004F1454"/>
    <w:rsid w:val="004F2734"/>
    <w:rsid w:val="004F3181"/>
    <w:rsid w:val="004F575A"/>
    <w:rsid w:val="005009F8"/>
    <w:rsid w:val="0050321A"/>
    <w:rsid w:val="005035C4"/>
    <w:rsid w:val="00506425"/>
    <w:rsid w:val="005109B6"/>
    <w:rsid w:val="00514252"/>
    <w:rsid w:val="00514406"/>
    <w:rsid w:val="005161EA"/>
    <w:rsid w:val="00516A1B"/>
    <w:rsid w:val="00517669"/>
    <w:rsid w:val="005215AC"/>
    <w:rsid w:val="0052641B"/>
    <w:rsid w:val="00530AF0"/>
    <w:rsid w:val="0053489A"/>
    <w:rsid w:val="00535E57"/>
    <w:rsid w:val="00535EF4"/>
    <w:rsid w:val="00536555"/>
    <w:rsid w:val="00537447"/>
    <w:rsid w:val="00537B68"/>
    <w:rsid w:val="00545A0B"/>
    <w:rsid w:val="0055450C"/>
    <w:rsid w:val="00554C33"/>
    <w:rsid w:val="005559F6"/>
    <w:rsid w:val="00556912"/>
    <w:rsid w:val="0055704D"/>
    <w:rsid w:val="00562603"/>
    <w:rsid w:val="00562C18"/>
    <w:rsid w:val="00566480"/>
    <w:rsid w:val="00570F52"/>
    <w:rsid w:val="00570FE5"/>
    <w:rsid w:val="00572955"/>
    <w:rsid w:val="0057471F"/>
    <w:rsid w:val="00575242"/>
    <w:rsid w:val="00575F99"/>
    <w:rsid w:val="005772E4"/>
    <w:rsid w:val="005777FF"/>
    <w:rsid w:val="00577C0A"/>
    <w:rsid w:val="00582B09"/>
    <w:rsid w:val="005904CF"/>
    <w:rsid w:val="005918EE"/>
    <w:rsid w:val="00592FDC"/>
    <w:rsid w:val="00594A55"/>
    <w:rsid w:val="005952AA"/>
    <w:rsid w:val="0059532F"/>
    <w:rsid w:val="005A269F"/>
    <w:rsid w:val="005A7DB9"/>
    <w:rsid w:val="005B25C2"/>
    <w:rsid w:val="005B3A0E"/>
    <w:rsid w:val="005B3C6D"/>
    <w:rsid w:val="005C3257"/>
    <w:rsid w:val="005C42B7"/>
    <w:rsid w:val="005C51CF"/>
    <w:rsid w:val="005C6978"/>
    <w:rsid w:val="005C7ED7"/>
    <w:rsid w:val="005E34E1"/>
    <w:rsid w:val="005E394A"/>
    <w:rsid w:val="005E4C32"/>
    <w:rsid w:val="005E5E58"/>
    <w:rsid w:val="005E6B07"/>
    <w:rsid w:val="005E7827"/>
    <w:rsid w:val="005F2E84"/>
    <w:rsid w:val="005F3E34"/>
    <w:rsid w:val="006013E6"/>
    <w:rsid w:val="00602264"/>
    <w:rsid w:val="006036BD"/>
    <w:rsid w:val="00605FD7"/>
    <w:rsid w:val="00606163"/>
    <w:rsid w:val="006100EC"/>
    <w:rsid w:val="00611B10"/>
    <w:rsid w:val="00614F1C"/>
    <w:rsid w:val="0062133A"/>
    <w:rsid w:val="00622A0B"/>
    <w:rsid w:val="00625033"/>
    <w:rsid w:val="00631F04"/>
    <w:rsid w:val="006329C1"/>
    <w:rsid w:val="006329F1"/>
    <w:rsid w:val="00633274"/>
    <w:rsid w:val="00633686"/>
    <w:rsid w:val="006358C3"/>
    <w:rsid w:val="00641A4D"/>
    <w:rsid w:val="00646C94"/>
    <w:rsid w:val="006504DE"/>
    <w:rsid w:val="006532BC"/>
    <w:rsid w:val="00655DC3"/>
    <w:rsid w:val="0065644F"/>
    <w:rsid w:val="006575B7"/>
    <w:rsid w:val="00657775"/>
    <w:rsid w:val="0066311E"/>
    <w:rsid w:val="00663DF8"/>
    <w:rsid w:val="00664C05"/>
    <w:rsid w:val="0067347A"/>
    <w:rsid w:val="00675996"/>
    <w:rsid w:val="0068283A"/>
    <w:rsid w:val="00691A38"/>
    <w:rsid w:val="00692F20"/>
    <w:rsid w:val="006A0336"/>
    <w:rsid w:val="006A3C92"/>
    <w:rsid w:val="006A3D8D"/>
    <w:rsid w:val="006B162C"/>
    <w:rsid w:val="006B41E0"/>
    <w:rsid w:val="006C62DA"/>
    <w:rsid w:val="006D1634"/>
    <w:rsid w:val="006E0A6C"/>
    <w:rsid w:val="006E7EB7"/>
    <w:rsid w:val="006F1144"/>
    <w:rsid w:val="007018D8"/>
    <w:rsid w:val="00702D52"/>
    <w:rsid w:val="007069B6"/>
    <w:rsid w:val="00706BA7"/>
    <w:rsid w:val="00724FC5"/>
    <w:rsid w:val="00725031"/>
    <w:rsid w:val="007255FD"/>
    <w:rsid w:val="007260C2"/>
    <w:rsid w:val="00734CA2"/>
    <w:rsid w:val="007351E8"/>
    <w:rsid w:val="00735B03"/>
    <w:rsid w:val="00740165"/>
    <w:rsid w:val="0074094D"/>
    <w:rsid w:val="007444DB"/>
    <w:rsid w:val="007446E9"/>
    <w:rsid w:val="00757A13"/>
    <w:rsid w:val="0076073B"/>
    <w:rsid w:val="00765EDE"/>
    <w:rsid w:val="00770B32"/>
    <w:rsid w:val="00771489"/>
    <w:rsid w:val="00771D9D"/>
    <w:rsid w:val="00774EE2"/>
    <w:rsid w:val="007758CF"/>
    <w:rsid w:val="00776A7F"/>
    <w:rsid w:val="007803BE"/>
    <w:rsid w:val="007818E9"/>
    <w:rsid w:val="00781C06"/>
    <w:rsid w:val="00781F70"/>
    <w:rsid w:val="00793779"/>
    <w:rsid w:val="00793AE1"/>
    <w:rsid w:val="007946FA"/>
    <w:rsid w:val="00795237"/>
    <w:rsid w:val="007979EA"/>
    <w:rsid w:val="007A0C69"/>
    <w:rsid w:val="007A352E"/>
    <w:rsid w:val="007A482A"/>
    <w:rsid w:val="007A4ED8"/>
    <w:rsid w:val="007A60E8"/>
    <w:rsid w:val="007A66F8"/>
    <w:rsid w:val="007C1590"/>
    <w:rsid w:val="007C3414"/>
    <w:rsid w:val="007C6F6F"/>
    <w:rsid w:val="007C782B"/>
    <w:rsid w:val="007E1904"/>
    <w:rsid w:val="007E408F"/>
    <w:rsid w:val="007E4A8E"/>
    <w:rsid w:val="007E702C"/>
    <w:rsid w:val="007F0FA5"/>
    <w:rsid w:val="007F1CDE"/>
    <w:rsid w:val="007F1D28"/>
    <w:rsid w:val="007F6D49"/>
    <w:rsid w:val="00803DEF"/>
    <w:rsid w:val="008107D3"/>
    <w:rsid w:val="00810BEA"/>
    <w:rsid w:val="00810E4F"/>
    <w:rsid w:val="00811A71"/>
    <w:rsid w:val="0081549A"/>
    <w:rsid w:val="008203E3"/>
    <w:rsid w:val="00820D0F"/>
    <w:rsid w:val="00821537"/>
    <w:rsid w:val="008227A6"/>
    <w:rsid w:val="008250BB"/>
    <w:rsid w:val="00826C3F"/>
    <w:rsid w:val="008329A1"/>
    <w:rsid w:val="0083422C"/>
    <w:rsid w:val="00835DE4"/>
    <w:rsid w:val="0083638E"/>
    <w:rsid w:val="0083640B"/>
    <w:rsid w:val="008368EC"/>
    <w:rsid w:val="00837B57"/>
    <w:rsid w:val="00843CC3"/>
    <w:rsid w:val="0085149C"/>
    <w:rsid w:val="00851C87"/>
    <w:rsid w:val="00851CF6"/>
    <w:rsid w:val="008528F0"/>
    <w:rsid w:val="00856654"/>
    <w:rsid w:val="00856C2F"/>
    <w:rsid w:val="008579C8"/>
    <w:rsid w:val="00860B8D"/>
    <w:rsid w:val="0086183E"/>
    <w:rsid w:val="00865674"/>
    <w:rsid w:val="008762CD"/>
    <w:rsid w:val="008807A6"/>
    <w:rsid w:val="00882270"/>
    <w:rsid w:val="00882B32"/>
    <w:rsid w:val="00883D81"/>
    <w:rsid w:val="00885B9A"/>
    <w:rsid w:val="00887144"/>
    <w:rsid w:val="00891B5C"/>
    <w:rsid w:val="00896986"/>
    <w:rsid w:val="008A0D90"/>
    <w:rsid w:val="008A2EBC"/>
    <w:rsid w:val="008A700F"/>
    <w:rsid w:val="008B0B4D"/>
    <w:rsid w:val="008B1340"/>
    <w:rsid w:val="008B3437"/>
    <w:rsid w:val="008B7045"/>
    <w:rsid w:val="008B74D4"/>
    <w:rsid w:val="008C0287"/>
    <w:rsid w:val="008C1218"/>
    <w:rsid w:val="008C126E"/>
    <w:rsid w:val="008C6C2D"/>
    <w:rsid w:val="008D1EAD"/>
    <w:rsid w:val="008D2156"/>
    <w:rsid w:val="008D218A"/>
    <w:rsid w:val="008D248E"/>
    <w:rsid w:val="008D4CDF"/>
    <w:rsid w:val="008D4F52"/>
    <w:rsid w:val="008E0AAF"/>
    <w:rsid w:val="008E2BA5"/>
    <w:rsid w:val="008E529C"/>
    <w:rsid w:val="008E6063"/>
    <w:rsid w:val="008F21A6"/>
    <w:rsid w:val="008F5B73"/>
    <w:rsid w:val="00904FC9"/>
    <w:rsid w:val="00907337"/>
    <w:rsid w:val="00907679"/>
    <w:rsid w:val="009130EB"/>
    <w:rsid w:val="009154B4"/>
    <w:rsid w:val="009166B9"/>
    <w:rsid w:val="00920762"/>
    <w:rsid w:val="00926A02"/>
    <w:rsid w:val="00926ADA"/>
    <w:rsid w:val="009273DD"/>
    <w:rsid w:val="009303C0"/>
    <w:rsid w:val="009306A3"/>
    <w:rsid w:val="009457AB"/>
    <w:rsid w:val="00946903"/>
    <w:rsid w:val="009505F6"/>
    <w:rsid w:val="00950A99"/>
    <w:rsid w:val="00950E43"/>
    <w:rsid w:val="009519F7"/>
    <w:rsid w:val="00952769"/>
    <w:rsid w:val="00952FDF"/>
    <w:rsid w:val="00953103"/>
    <w:rsid w:val="00953D2D"/>
    <w:rsid w:val="00957D98"/>
    <w:rsid w:val="00957DB2"/>
    <w:rsid w:val="0096162E"/>
    <w:rsid w:val="00962E76"/>
    <w:rsid w:val="00966565"/>
    <w:rsid w:val="0097286C"/>
    <w:rsid w:val="00981EEA"/>
    <w:rsid w:val="00982084"/>
    <w:rsid w:val="00982AAE"/>
    <w:rsid w:val="00991325"/>
    <w:rsid w:val="00992B51"/>
    <w:rsid w:val="009950C0"/>
    <w:rsid w:val="00996234"/>
    <w:rsid w:val="009A153F"/>
    <w:rsid w:val="009A33F7"/>
    <w:rsid w:val="009A3CA4"/>
    <w:rsid w:val="009A50AD"/>
    <w:rsid w:val="009B0789"/>
    <w:rsid w:val="009B1122"/>
    <w:rsid w:val="009B3E61"/>
    <w:rsid w:val="009B7999"/>
    <w:rsid w:val="009C12F1"/>
    <w:rsid w:val="009C1B28"/>
    <w:rsid w:val="009C52BA"/>
    <w:rsid w:val="009D2203"/>
    <w:rsid w:val="009D27BA"/>
    <w:rsid w:val="009E26BD"/>
    <w:rsid w:val="009E3D9F"/>
    <w:rsid w:val="009E4A51"/>
    <w:rsid w:val="009E5843"/>
    <w:rsid w:val="009F129F"/>
    <w:rsid w:val="009F2BDC"/>
    <w:rsid w:val="009F4597"/>
    <w:rsid w:val="009F729B"/>
    <w:rsid w:val="00A00441"/>
    <w:rsid w:val="00A20A40"/>
    <w:rsid w:val="00A23976"/>
    <w:rsid w:val="00A24928"/>
    <w:rsid w:val="00A273E7"/>
    <w:rsid w:val="00A2780D"/>
    <w:rsid w:val="00A40583"/>
    <w:rsid w:val="00A40987"/>
    <w:rsid w:val="00A40E3D"/>
    <w:rsid w:val="00A45D9D"/>
    <w:rsid w:val="00A51B40"/>
    <w:rsid w:val="00A51C4E"/>
    <w:rsid w:val="00A54801"/>
    <w:rsid w:val="00A54905"/>
    <w:rsid w:val="00A56978"/>
    <w:rsid w:val="00A56B77"/>
    <w:rsid w:val="00A618CA"/>
    <w:rsid w:val="00A635AB"/>
    <w:rsid w:val="00A72BDC"/>
    <w:rsid w:val="00A759C3"/>
    <w:rsid w:val="00A8221D"/>
    <w:rsid w:val="00A8354E"/>
    <w:rsid w:val="00A84E49"/>
    <w:rsid w:val="00A90261"/>
    <w:rsid w:val="00A9179D"/>
    <w:rsid w:val="00A93C5E"/>
    <w:rsid w:val="00A96A72"/>
    <w:rsid w:val="00AA077C"/>
    <w:rsid w:val="00AA2B66"/>
    <w:rsid w:val="00AA37DC"/>
    <w:rsid w:val="00AA5A21"/>
    <w:rsid w:val="00AA6B56"/>
    <w:rsid w:val="00AA7E50"/>
    <w:rsid w:val="00AB1821"/>
    <w:rsid w:val="00AB1A46"/>
    <w:rsid w:val="00AB1ED9"/>
    <w:rsid w:val="00AB2516"/>
    <w:rsid w:val="00AB3804"/>
    <w:rsid w:val="00AB3C11"/>
    <w:rsid w:val="00AB40F5"/>
    <w:rsid w:val="00AC23F3"/>
    <w:rsid w:val="00AC34F0"/>
    <w:rsid w:val="00AC6641"/>
    <w:rsid w:val="00AC69A9"/>
    <w:rsid w:val="00AD16D2"/>
    <w:rsid w:val="00AD5E6F"/>
    <w:rsid w:val="00AE18D6"/>
    <w:rsid w:val="00AE42D7"/>
    <w:rsid w:val="00AE7206"/>
    <w:rsid w:val="00AF1E11"/>
    <w:rsid w:val="00AF2F72"/>
    <w:rsid w:val="00AF5CD6"/>
    <w:rsid w:val="00AF6B5C"/>
    <w:rsid w:val="00AF707B"/>
    <w:rsid w:val="00B000D7"/>
    <w:rsid w:val="00B03288"/>
    <w:rsid w:val="00B06DC6"/>
    <w:rsid w:val="00B07294"/>
    <w:rsid w:val="00B11D86"/>
    <w:rsid w:val="00B14525"/>
    <w:rsid w:val="00B3264F"/>
    <w:rsid w:val="00B3349E"/>
    <w:rsid w:val="00B33CBF"/>
    <w:rsid w:val="00B370C4"/>
    <w:rsid w:val="00B370E1"/>
    <w:rsid w:val="00B3734D"/>
    <w:rsid w:val="00B438EA"/>
    <w:rsid w:val="00B4774F"/>
    <w:rsid w:val="00B51D96"/>
    <w:rsid w:val="00B57022"/>
    <w:rsid w:val="00B571FD"/>
    <w:rsid w:val="00B577B5"/>
    <w:rsid w:val="00B6058D"/>
    <w:rsid w:val="00B60EC1"/>
    <w:rsid w:val="00B64719"/>
    <w:rsid w:val="00B66571"/>
    <w:rsid w:val="00B71F8F"/>
    <w:rsid w:val="00B720BD"/>
    <w:rsid w:val="00B73B27"/>
    <w:rsid w:val="00B76500"/>
    <w:rsid w:val="00B767C7"/>
    <w:rsid w:val="00B77D7A"/>
    <w:rsid w:val="00B9342B"/>
    <w:rsid w:val="00B946DC"/>
    <w:rsid w:val="00B94EC3"/>
    <w:rsid w:val="00B9590E"/>
    <w:rsid w:val="00B974ED"/>
    <w:rsid w:val="00BA407D"/>
    <w:rsid w:val="00BA4E3E"/>
    <w:rsid w:val="00BA5698"/>
    <w:rsid w:val="00BB1AA7"/>
    <w:rsid w:val="00BB4294"/>
    <w:rsid w:val="00BB4E3C"/>
    <w:rsid w:val="00BB65F3"/>
    <w:rsid w:val="00BC0764"/>
    <w:rsid w:val="00BC4ED6"/>
    <w:rsid w:val="00BC77A1"/>
    <w:rsid w:val="00BD04E3"/>
    <w:rsid w:val="00BD1450"/>
    <w:rsid w:val="00BD4823"/>
    <w:rsid w:val="00BD4C2F"/>
    <w:rsid w:val="00BD6EC8"/>
    <w:rsid w:val="00BD7433"/>
    <w:rsid w:val="00BE06B1"/>
    <w:rsid w:val="00BE0E22"/>
    <w:rsid w:val="00BE0FAA"/>
    <w:rsid w:val="00BE1DF3"/>
    <w:rsid w:val="00BE39A8"/>
    <w:rsid w:val="00BF2562"/>
    <w:rsid w:val="00BF668D"/>
    <w:rsid w:val="00C02420"/>
    <w:rsid w:val="00C035D5"/>
    <w:rsid w:val="00C03F0F"/>
    <w:rsid w:val="00C0550E"/>
    <w:rsid w:val="00C127DF"/>
    <w:rsid w:val="00C1581B"/>
    <w:rsid w:val="00C15963"/>
    <w:rsid w:val="00C1617D"/>
    <w:rsid w:val="00C207B8"/>
    <w:rsid w:val="00C26095"/>
    <w:rsid w:val="00C26AD3"/>
    <w:rsid w:val="00C26FBF"/>
    <w:rsid w:val="00C27EC7"/>
    <w:rsid w:val="00C30028"/>
    <w:rsid w:val="00C33CDE"/>
    <w:rsid w:val="00C35675"/>
    <w:rsid w:val="00C36947"/>
    <w:rsid w:val="00C438A6"/>
    <w:rsid w:val="00C44CE7"/>
    <w:rsid w:val="00C52D3B"/>
    <w:rsid w:val="00C60CB2"/>
    <w:rsid w:val="00C61B68"/>
    <w:rsid w:val="00C64DEF"/>
    <w:rsid w:val="00C65D02"/>
    <w:rsid w:val="00C717E6"/>
    <w:rsid w:val="00C762E7"/>
    <w:rsid w:val="00C80151"/>
    <w:rsid w:val="00C808EB"/>
    <w:rsid w:val="00C823A5"/>
    <w:rsid w:val="00C83AC4"/>
    <w:rsid w:val="00C97831"/>
    <w:rsid w:val="00CA5EDD"/>
    <w:rsid w:val="00CB1BCE"/>
    <w:rsid w:val="00CB52DB"/>
    <w:rsid w:val="00CC0B1C"/>
    <w:rsid w:val="00CC22D0"/>
    <w:rsid w:val="00CD0C88"/>
    <w:rsid w:val="00CD520B"/>
    <w:rsid w:val="00CD70CC"/>
    <w:rsid w:val="00CE07C2"/>
    <w:rsid w:val="00CE0B77"/>
    <w:rsid w:val="00CE6E89"/>
    <w:rsid w:val="00CF2129"/>
    <w:rsid w:val="00CF2380"/>
    <w:rsid w:val="00CF3A2A"/>
    <w:rsid w:val="00CF3FB2"/>
    <w:rsid w:val="00D00366"/>
    <w:rsid w:val="00D032DF"/>
    <w:rsid w:val="00D038CF"/>
    <w:rsid w:val="00D059B3"/>
    <w:rsid w:val="00D06026"/>
    <w:rsid w:val="00D117B8"/>
    <w:rsid w:val="00D14DD0"/>
    <w:rsid w:val="00D150ED"/>
    <w:rsid w:val="00D161FE"/>
    <w:rsid w:val="00D21BB1"/>
    <w:rsid w:val="00D22AB4"/>
    <w:rsid w:val="00D300F9"/>
    <w:rsid w:val="00D30F09"/>
    <w:rsid w:val="00D324DA"/>
    <w:rsid w:val="00D352E8"/>
    <w:rsid w:val="00D4587A"/>
    <w:rsid w:val="00D46D34"/>
    <w:rsid w:val="00D474D5"/>
    <w:rsid w:val="00D506FA"/>
    <w:rsid w:val="00D54605"/>
    <w:rsid w:val="00D551EE"/>
    <w:rsid w:val="00D56D10"/>
    <w:rsid w:val="00D6064D"/>
    <w:rsid w:val="00D61FF1"/>
    <w:rsid w:val="00D64572"/>
    <w:rsid w:val="00D71A0D"/>
    <w:rsid w:val="00D7267A"/>
    <w:rsid w:val="00D76897"/>
    <w:rsid w:val="00D77CCB"/>
    <w:rsid w:val="00D84824"/>
    <w:rsid w:val="00D85ABE"/>
    <w:rsid w:val="00D85B2F"/>
    <w:rsid w:val="00D907DD"/>
    <w:rsid w:val="00D90C9C"/>
    <w:rsid w:val="00D95AC2"/>
    <w:rsid w:val="00D977B1"/>
    <w:rsid w:val="00DA42D7"/>
    <w:rsid w:val="00DB5121"/>
    <w:rsid w:val="00DB6BD3"/>
    <w:rsid w:val="00DC1537"/>
    <w:rsid w:val="00DC18EC"/>
    <w:rsid w:val="00DC48CD"/>
    <w:rsid w:val="00DC50DF"/>
    <w:rsid w:val="00DD1D83"/>
    <w:rsid w:val="00DD3269"/>
    <w:rsid w:val="00DD49FA"/>
    <w:rsid w:val="00DE0268"/>
    <w:rsid w:val="00DE3D7A"/>
    <w:rsid w:val="00DE6E1A"/>
    <w:rsid w:val="00DE74E9"/>
    <w:rsid w:val="00DE7509"/>
    <w:rsid w:val="00DE7798"/>
    <w:rsid w:val="00DE7C54"/>
    <w:rsid w:val="00DF176A"/>
    <w:rsid w:val="00DF2745"/>
    <w:rsid w:val="00DF395C"/>
    <w:rsid w:val="00E014EF"/>
    <w:rsid w:val="00E01805"/>
    <w:rsid w:val="00E03D9F"/>
    <w:rsid w:val="00E07467"/>
    <w:rsid w:val="00E139B2"/>
    <w:rsid w:val="00E1565E"/>
    <w:rsid w:val="00E16B93"/>
    <w:rsid w:val="00E17647"/>
    <w:rsid w:val="00E20D95"/>
    <w:rsid w:val="00E2132B"/>
    <w:rsid w:val="00E23997"/>
    <w:rsid w:val="00E26B9D"/>
    <w:rsid w:val="00E2733C"/>
    <w:rsid w:val="00E33D93"/>
    <w:rsid w:val="00E34D3E"/>
    <w:rsid w:val="00E352F8"/>
    <w:rsid w:val="00E40C42"/>
    <w:rsid w:val="00E40DAB"/>
    <w:rsid w:val="00E419EE"/>
    <w:rsid w:val="00E440B8"/>
    <w:rsid w:val="00E47ACC"/>
    <w:rsid w:val="00E523B2"/>
    <w:rsid w:val="00E564BE"/>
    <w:rsid w:val="00E63D32"/>
    <w:rsid w:val="00E778F7"/>
    <w:rsid w:val="00E8554F"/>
    <w:rsid w:val="00E91708"/>
    <w:rsid w:val="00E97314"/>
    <w:rsid w:val="00EA6E88"/>
    <w:rsid w:val="00EB3A2B"/>
    <w:rsid w:val="00EC1189"/>
    <w:rsid w:val="00EC2B8B"/>
    <w:rsid w:val="00EC2E93"/>
    <w:rsid w:val="00EC77C4"/>
    <w:rsid w:val="00ED03DD"/>
    <w:rsid w:val="00ED0B8C"/>
    <w:rsid w:val="00ED6D06"/>
    <w:rsid w:val="00EE1CB1"/>
    <w:rsid w:val="00EE4839"/>
    <w:rsid w:val="00EE626D"/>
    <w:rsid w:val="00EF50AC"/>
    <w:rsid w:val="00EF5613"/>
    <w:rsid w:val="00EF57D2"/>
    <w:rsid w:val="00EF7919"/>
    <w:rsid w:val="00F017EA"/>
    <w:rsid w:val="00F0406C"/>
    <w:rsid w:val="00F0502F"/>
    <w:rsid w:val="00F133F2"/>
    <w:rsid w:val="00F157D5"/>
    <w:rsid w:val="00F17791"/>
    <w:rsid w:val="00F2045C"/>
    <w:rsid w:val="00F20483"/>
    <w:rsid w:val="00F22A4F"/>
    <w:rsid w:val="00F24EF2"/>
    <w:rsid w:val="00F25715"/>
    <w:rsid w:val="00F26784"/>
    <w:rsid w:val="00F300D3"/>
    <w:rsid w:val="00F3244A"/>
    <w:rsid w:val="00F3527D"/>
    <w:rsid w:val="00F37DDE"/>
    <w:rsid w:val="00F40D31"/>
    <w:rsid w:val="00F420C4"/>
    <w:rsid w:val="00F539F5"/>
    <w:rsid w:val="00F54AD0"/>
    <w:rsid w:val="00F63391"/>
    <w:rsid w:val="00F64B01"/>
    <w:rsid w:val="00F64ECE"/>
    <w:rsid w:val="00F66ED2"/>
    <w:rsid w:val="00F67CF1"/>
    <w:rsid w:val="00F7364A"/>
    <w:rsid w:val="00F7459F"/>
    <w:rsid w:val="00F777F0"/>
    <w:rsid w:val="00F80D4C"/>
    <w:rsid w:val="00F81BA5"/>
    <w:rsid w:val="00F8315A"/>
    <w:rsid w:val="00F8336F"/>
    <w:rsid w:val="00F913BF"/>
    <w:rsid w:val="00FA34E3"/>
    <w:rsid w:val="00FA4A87"/>
    <w:rsid w:val="00FA4E2B"/>
    <w:rsid w:val="00FA56DB"/>
    <w:rsid w:val="00FA66CF"/>
    <w:rsid w:val="00FA7614"/>
    <w:rsid w:val="00FB0A7D"/>
    <w:rsid w:val="00FB1376"/>
    <w:rsid w:val="00FB1FD5"/>
    <w:rsid w:val="00FB30AF"/>
    <w:rsid w:val="00FC3874"/>
    <w:rsid w:val="00FC4C0A"/>
    <w:rsid w:val="00FC5975"/>
    <w:rsid w:val="00FD162D"/>
    <w:rsid w:val="00FE0EF1"/>
    <w:rsid w:val="00FE5613"/>
    <w:rsid w:val="00FE6EB1"/>
    <w:rsid w:val="00FE7812"/>
    <w:rsid w:val="00FF167F"/>
    <w:rsid w:val="00FF33ED"/>
    <w:rsid w:val="00FF3514"/>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4A04D972-A00E-46BD-BDBC-8AB0D729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Sec.Head"/>
    <w:basedOn w:val="Normal"/>
    <w:next w:val="Normal"/>
    <w:link w:val="Heading1Char"/>
    <w:qFormat/>
    <w:rsid w:val="0038553A"/>
    <w:pPr>
      <w:keepNext/>
      <w:widowControl w:val="0"/>
      <w:autoSpaceDE w:val="0"/>
      <w:autoSpaceDN w:val="0"/>
      <w:adjustRightInd w:val="0"/>
      <w:spacing w:before="240" w:after="60"/>
      <w:outlineLvl w:val="0"/>
    </w:pPr>
    <w:rPr>
      <w:rFonts w:cs="Arial"/>
      <w:b/>
      <w:bCs/>
      <w:color w:val="000000"/>
      <w:kern w:val="32"/>
      <w:sz w:val="32"/>
      <w:szCs w:val="32"/>
      <w:lang w:eastAsia="ja-JP"/>
    </w:rPr>
  </w:style>
  <w:style w:type="paragraph" w:styleId="Heading2">
    <w:name w:val="heading 2"/>
    <w:aliases w:val="H2-Sec. Head"/>
    <w:basedOn w:val="Normal"/>
    <w:next w:val="Normal"/>
    <w:link w:val="Heading2Char"/>
    <w:qFormat/>
    <w:rsid w:val="0038553A"/>
    <w:pPr>
      <w:keepNext/>
      <w:widowControl w:val="0"/>
      <w:autoSpaceDE w:val="0"/>
      <w:autoSpaceDN w:val="0"/>
      <w:adjustRightInd w:val="0"/>
      <w:spacing w:before="240" w:after="60"/>
      <w:outlineLvl w:val="1"/>
    </w:pPr>
    <w:rPr>
      <w:rFonts w:cs="Arial"/>
      <w:b/>
      <w:color w:val="000000"/>
      <w:sz w:val="28"/>
      <w:szCs w:val="28"/>
      <w:lang w:eastAsia="ja-JP"/>
    </w:rPr>
  </w:style>
  <w:style w:type="paragraph" w:styleId="Heading3">
    <w:name w:val="heading 3"/>
    <w:aliases w:val="H3-Sec. Head + 13 pt,H3-Sec. Head"/>
    <w:basedOn w:val="Normal"/>
    <w:next w:val="Normal"/>
    <w:link w:val="Heading3Char"/>
    <w:qFormat/>
    <w:rsid w:val="0038553A"/>
    <w:pPr>
      <w:keepNext/>
      <w:spacing w:before="240" w:after="60"/>
      <w:outlineLvl w:val="2"/>
    </w:pPr>
    <w:rPr>
      <w:rFonts w:cs="Arial"/>
      <w:b/>
      <w:color w:val="000000"/>
      <w:sz w:val="26"/>
      <w:szCs w:val="26"/>
      <w:u w:val="single"/>
      <w:lang w:eastAsia="ja-JP"/>
    </w:rPr>
  </w:style>
  <w:style w:type="paragraph" w:styleId="Heading4">
    <w:name w:val="heading 4"/>
    <w:aliases w:val="H4 Sec.Heading"/>
    <w:basedOn w:val="Normal"/>
    <w:next w:val="Normal"/>
    <w:link w:val="Heading4Char"/>
    <w:qFormat/>
    <w:rsid w:val="0038553A"/>
    <w:pPr>
      <w:keepNext/>
      <w:widowControl w:val="0"/>
      <w:autoSpaceDE w:val="0"/>
      <w:autoSpaceDN w:val="0"/>
      <w:adjustRightInd w:val="0"/>
      <w:spacing w:before="240" w:after="60"/>
      <w:outlineLvl w:val="3"/>
    </w:pPr>
    <w:rPr>
      <w:i/>
      <w:color w:val="000000"/>
      <w:szCs w:val="28"/>
      <w:lang w:eastAsia="ja-JP"/>
    </w:rPr>
  </w:style>
  <w:style w:type="paragraph" w:styleId="Heading5">
    <w:name w:val="heading 5"/>
    <w:basedOn w:val="Normal"/>
    <w:next w:val="Normal"/>
    <w:link w:val="Heading5Char"/>
    <w:qFormat/>
    <w:rsid w:val="0038553A"/>
    <w:pPr>
      <w:widowControl w:val="0"/>
      <w:autoSpaceDE w:val="0"/>
      <w:autoSpaceDN w:val="0"/>
      <w:adjustRightInd w:val="0"/>
      <w:spacing w:before="240" w:after="60"/>
      <w:outlineLvl w:val="4"/>
    </w:pPr>
    <w:rPr>
      <w:color w:val="000000"/>
      <w:sz w:val="26"/>
      <w:szCs w:val="26"/>
      <w:lang w:eastAsia="ja-JP"/>
    </w:rPr>
  </w:style>
  <w:style w:type="paragraph" w:styleId="Heading6">
    <w:name w:val="heading 6"/>
    <w:basedOn w:val="Normal"/>
    <w:next w:val="Normal"/>
    <w:link w:val="Heading6Char"/>
    <w:qFormat/>
    <w:rsid w:val="0038553A"/>
    <w:pPr>
      <w:widowControl w:val="0"/>
      <w:autoSpaceDE w:val="0"/>
      <w:autoSpaceDN w:val="0"/>
      <w:adjustRightInd w:val="0"/>
      <w:spacing w:before="240" w:after="60"/>
      <w:outlineLvl w:val="5"/>
    </w:pPr>
    <w:rPr>
      <w:color w:val="000000"/>
      <w:sz w:val="22"/>
      <w:szCs w:val="22"/>
      <w:lang w:eastAsia="ja-JP"/>
    </w:rPr>
  </w:style>
  <w:style w:type="paragraph" w:styleId="Heading7">
    <w:name w:val="heading 7"/>
    <w:basedOn w:val="Normal"/>
    <w:next w:val="Normal"/>
    <w:link w:val="Heading7Char"/>
    <w:qFormat/>
    <w:rsid w:val="0038553A"/>
    <w:pPr>
      <w:widowControl w:val="0"/>
      <w:autoSpaceDE w:val="0"/>
      <w:autoSpaceDN w:val="0"/>
      <w:adjustRightInd w:val="0"/>
      <w:spacing w:before="240" w:after="60"/>
      <w:outlineLvl w:val="6"/>
    </w:pPr>
    <w:rPr>
      <w:color w:val="000000"/>
      <w:lang w:eastAsia="ja-JP"/>
    </w:rPr>
  </w:style>
  <w:style w:type="paragraph" w:styleId="Heading8">
    <w:name w:val="heading 8"/>
    <w:basedOn w:val="Normal"/>
    <w:next w:val="Normal"/>
    <w:qFormat/>
    <w:rsid w:val="0038553A"/>
    <w:pPr>
      <w:widowControl w:val="0"/>
      <w:autoSpaceDE w:val="0"/>
      <w:autoSpaceDN w:val="0"/>
      <w:adjustRightInd w:val="0"/>
      <w:spacing w:before="240" w:after="60"/>
      <w:outlineLvl w:val="7"/>
    </w:pPr>
    <w:rPr>
      <w:i/>
      <w:iCs/>
      <w:color w:val="000000"/>
      <w:lang w:eastAsia="ja-JP"/>
    </w:rPr>
  </w:style>
  <w:style w:type="paragraph" w:styleId="Heading9">
    <w:name w:val="heading 9"/>
    <w:basedOn w:val="Normal"/>
    <w:next w:val="Normal"/>
    <w:qFormat/>
    <w:rsid w:val="0038553A"/>
    <w:pPr>
      <w:widowControl w:val="0"/>
      <w:autoSpaceDE w:val="0"/>
      <w:autoSpaceDN w:val="0"/>
      <w:adjustRightInd w:val="0"/>
      <w:spacing w:before="240" w:after="60"/>
      <w:outlineLvl w:val="8"/>
    </w:pPr>
    <w:rPr>
      <w:rFonts w:ascii="Arial" w:hAnsi="Arial" w:cs="Arial"/>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38553A"/>
    <w:rPr>
      <w:rFonts w:cs="Arial"/>
      <w:b/>
      <w:bCs/>
      <w:color w:val="000000"/>
      <w:kern w:val="32"/>
      <w:sz w:val="32"/>
      <w:szCs w:val="32"/>
      <w:lang w:val="en-US" w:eastAsia="ja-JP" w:bidi="ar-SA"/>
    </w:rPr>
  </w:style>
  <w:style w:type="character" w:customStyle="1" w:styleId="Heading2Char">
    <w:name w:val="Heading 2 Char"/>
    <w:aliases w:val="H2-Sec. Head Char"/>
    <w:link w:val="Heading2"/>
    <w:rsid w:val="0038553A"/>
    <w:rPr>
      <w:rFonts w:cs="Arial"/>
      <w:b/>
      <w:color w:val="000000"/>
      <w:sz w:val="28"/>
      <w:szCs w:val="28"/>
      <w:lang w:val="en-US" w:eastAsia="ja-JP" w:bidi="ar-SA"/>
    </w:rPr>
  </w:style>
  <w:style w:type="character" w:customStyle="1" w:styleId="Heading3Char">
    <w:name w:val="Heading 3 Char"/>
    <w:aliases w:val="H3-Sec. Head + 13 pt Char,H3-Sec. Head Char"/>
    <w:link w:val="Heading3"/>
    <w:rsid w:val="0038553A"/>
    <w:rPr>
      <w:rFonts w:cs="Arial"/>
      <w:b/>
      <w:color w:val="000000"/>
      <w:sz w:val="26"/>
      <w:szCs w:val="26"/>
      <w:u w:val="single"/>
      <w:lang w:val="en-US" w:eastAsia="ja-JP" w:bidi="ar-SA"/>
    </w:rPr>
  </w:style>
  <w:style w:type="character" w:customStyle="1" w:styleId="Heading4Char">
    <w:name w:val="Heading 4 Char"/>
    <w:aliases w:val="H4 Sec.Heading Char"/>
    <w:link w:val="Heading4"/>
    <w:rsid w:val="0038553A"/>
    <w:rPr>
      <w:i/>
      <w:color w:val="000000"/>
      <w:sz w:val="24"/>
      <w:szCs w:val="28"/>
      <w:lang w:val="en-US" w:eastAsia="ja-JP" w:bidi="ar-SA"/>
    </w:rPr>
  </w:style>
  <w:style w:type="character" w:customStyle="1" w:styleId="Heading5Char">
    <w:name w:val="Heading 5 Char"/>
    <w:link w:val="Heading5"/>
    <w:rsid w:val="0038553A"/>
    <w:rPr>
      <w:color w:val="000000"/>
      <w:sz w:val="26"/>
      <w:szCs w:val="26"/>
      <w:lang w:val="en-US" w:eastAsia="ja-JP" w:bidi="ar-SA"/>
    </w:rPr>
  </w:style>
  <w:style w:type="character" w:customStyle="1" w:styleId="Heading6Char">
    <w:name w:val="Heading 6 Char"/>
    <w:link w:val="Heading6"/>
    <w:rsid w:val="0038553A"/>
    <w:rPr>
      <w:color w:val="000000"/>
      <w:sz w:val="22"/>
      <w:szCs w:val="22"/>
      <w:lang w:val="en-US" w:eastAsia="ja-JP" w:bidi="ar-SA"/>
    </w:rPr>
  </w:style>
  <w:style w:type="character" w:customStyle="1" w:styleId="Heading7Char">
    <w:name w:val="Heading 7 Char"/>
    <w:link w:val="Heading7"/>
    <w:rsid w:val="0038553A"/>
    <w:rPr>
      <w:color w:val="000000"/>
      <w:sz w:val="24"/>
      <w:szCs w:val="24"/>
      <w:lang w:val="en-US" w:eastAsia="ja-JP" w:bidi="ar-SA"/>
    </w:rPr>
  </w:style>
  <w:style w:type="character" w:styleId="FootnoteReference">
    <w:name w:val="footnote reference"/>
    <w:semiHidden/>
    <w:rsid w:val="0038553A"/>
  </w:style>
  <w:style w:type="paragraph" w:customStyle="1" w:styleId="Level1">
    <w:name w:val="Level 1"/>
    <w:basedOn w:val="Normal"/>
    <w:rsid w:val="0038553A"/>
    <w:pPr>
      <w:widowControl w:val="0"/>
      <w:autoSpaceDE w:val="0"/>
      <w:autoSpaceDN w:val="0"/>
      <w:adjustRightInd w:val="0"/>
      <w:ind w:left="360" w:hanging="360"/>
      <w:outlineLvl w:val="0"/>
    </w:pPr>
    <w:rPr>
      <w:color w:val="000000"/>
      <w:lang w:eastAsia="ja-JP"/>
    </w:rPr>
  </w:style>
  <w:style w:type="paragraph" w:customStyle="1" w:styleId="QuickA">
    <w:name w:val="Quick A."/>
    <w:basedOn w:val="Normal"/>
    <w:uiPriority w:val="99"/>
    <w:rsid w:val="0038553A"/>
    <w:pPr>
      <w:widowControl w:val="0"/>
      <w:autoSpaceDE w:val="0"/>
      <w:autoSpaceDN w:val="0"/>
      <w:adjustRightInd w:val="0"/>
      <w:ind w:left="1080" w:hanging="360"/>
      <w:outlineLvl w:val="0"/>
    </w:pPr>
    <w:rPr>
      <w:color w:val="000000"/>
      <w:lang w:eastAsia="ja-JP"/>
    </w:rPr>
  </w:style>
  <w:style w:type="paragraph" w:customStyle="1" w:styleId="Level2">
    <w:name w:val="Level 2"/>
    <w:basedOn w:val="Normal"/>
    <w:rsid w:val="0038553A"/>
    <w:pPr>
      <w:widowControl w:val="0"/>
      <w:autoSpaceDE w:val="0"/>
      <w:autoSpaceDN w:val="0"/>
      <w:adjustRightInd w:val="0"/>
      <w:ind w:left="720" w:hanging="360"/>
      <w:outlineLvl w:val="1"/>
    </w:pPr>
    <w:rPr>
      <w:color w:val="000000"/>
      <w:lang w:eastAsia="ja-JP"/>
    </w:rPr>
  </w:style>
  <w:style w:type="character" w:styleId="Strong">
    <w:name w:val="Strong"/>
    <w:qFormat/>
    <w:rsid w:val="0038553A"/>
    <w:rPr>
      <w:b/>
      <w:bCs/>
    </w:rPr>
  </w:style>
  <w:style w:type="paragraph" w:styleId="Footer">
    <w:name w:val="footer"/>
    <w:basedOn w:val="Normal"/>
    <w:rsid w:val="0038553A"/>
    <w:pPr>
      <w:tabs>
        <w:tab w:val="center" w:pos="4320"/>
        <w:tab w:val="right" w:pos="8640"/>
      </w:tabs>
      <w:outlineLvl w:val="0"/>
    </w:pPr>
    <w:rPr>
      <w:color w:val="000000"/>
      <w:sz w:val="20"/>
      <w:szCs w:val="20"/>
      <w:lang w:eastAsia="ja-JP"/>
    </w:rPr>
  </w:style>
  <w:style w:type="character" w:styleId="PageNumber">
    <w:name w:val="page number"/>
    <w:basedOn w:val="DefaultParagraphFont"/>
    <w:rsid w:val="0038553A"/>
  </w:style>
  <w:style w:type="paragraph" w:styleId="TOC1">
    <w:name w:val="toc 1"/>
    <w:basedOn w:val="Normal"/>
    <w:next w:val="Normal"/>
    <w:autoRedefine/>
    <w:uiPriority w:val="39"/>
    <w:rsid w:val="0038553A"/>
    <w:pPr>
      <w:widowControl w:val="0"/>
      <w:autoSpaceDE w:val="0"/>
      <w:autoSpaceDN w:val="0"/>
      <w:adjustRightInd w:val="0"/>
      <w:outlineLvl w:val="0"/>
    </w:pPr>
    <w:rPr>
      <w:color w:val="000000"/>
      <w:lang w:eastAsia="ja-JP"/>
    </w:rPr>
  </w:style>
  <w:style w:type="table" w:styleId="TableGrid">
    <w:name w:val="Table Grid"/>
    <w:basedOn w:val="TableNormal"/>
    <w:uiPriority w:val="59"/>
    <w:rsid w:val="0038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8553A"/>
    <w:rPr>
      <w:color w:val="983738"/>
      <w:u w:val="single"/>
    </w:rPr>
  </w:style>
  <w:style w:type="paragraph" w:styleId="BalloonText">
    <w:name w:val="Balloon Text"/>
    <w:basedOn w:val="Normal"/>
    <w:link w:val="BalloonTextChar"/>
    <w:semiHidden/>
    <w:rsid w:val="0038553A"/>
    <w:pPr>
      <w:widowControl w:val="0"/>
      <w:autoSpaceDE w:val="0"/>
      <w:autoSpaceDN w:val="0"/>
      <w:adjustRightInd w:val="0"/>
      <w:outlineLvl w:val="0"/>
    </w:pPr>
    <w:rPr>
      <w:rFonts w:ascii="Tahoma" w:hAnsi="Tahoma" w:cs="Tahoma"/>
      <w:color w:val="000000"/>
      <w:sz w:val="16"/>
      <w:szCs w:val="16"/>
      <w:lang w:eastAsia="ja-JP"/>
    </w:rPr>
  </w:style>
  <w:style w:type="character" w:customStyle="1" w:styleId="BalloonTextChar">
    <w:name w:val="Balloon Text Char"/>
    <w:link w:val="BalloonText"/>
    <w:rsid w:val="0038553A"/>
    <w:rPr>
      <w:rFonts w:ascii="Tahoma" w:hAnsi="Tahoma" w:cs="Tahoma"/>
      <w:color w:val="000000"/>
      <w:sz w:val="16"/>
      <w:szCs w:val="16"/>
      <w:lang w:val="en-US" w:eastAsia="ja-JP" w:bidi="ar-SA"/>
    </w:rPr>
  </w:style>
  <w:style w:type="character" w:styleId="CommentReference">
    <w:name w:val="annotation reference"/>
    <w:semiHidden/>
    <w:rsid w:val="0038553A"/>
    <w:rPr>
      <w:sz w:val="16"/>
      <w:szCs w:val="16"/>
    </w:rPr>
  </w:style>
  <w:style w:type="paragraph" w:styleId="CommentText">
    <w:name w:val="annotation text"/>
    <w:basedOn w:val="Normal"/>
    <w:link w:val="CommentTextChar1"/>
    <w:semiHidden/>
    <w:rsid w:val="0038553A"/>
    <w:pPr>
      <w:widowControl w:val="0"/>
      <w:autoSpaceDE w:val="0"/>
      <w:autoSpaceDN w:val="0"/>
      <w:adjustRightInd w:val="0"/>
      <w:outlineLvl w:val="0"/>
    </w:pPr>
    <w:rPr>
      <w:color w:val="000000"/>
      <w:sz w:val="20"/>
      <w:szCs w:val="20"/>
      <w:lang w:eastAsia="ja-JP"/>
    </w:rPr>
  </w:style>
  <w:style w:type="character" w:customStyle="1" w:styleId="CommentTextChar1">
    <w:name w:val="Comment Text Char1"/>
    <w:link w:val="CommentText"/>
    <w:rsid w:val="0038553A"/>
    <w:rPr>
      <w:color w:val="000000"/>
      <w:lang w:val="en-US" w:eastAsia="ja-JP" w:bidi="ar-SA"/>
    </w:rPr>
  </w:style>
  <w:style w:type="paragraph" w:styleId="FootnoteText">
    <w:name w:val="footnote text"/>
    <w:aliases w:val="F1"/>
    <w:basedOn w:val="Normal"/>
    <w:link w:val="FootnoteTextChar"/>
    <w:semiHidden/>
    <w:rsid w:val="0038553A"/>
    <w:pPr>
      <w:framePr w:hSpace="187" w:wrap="around" w:vAnchor="text" w:hAnchor="text" w:y="1"/>
      <w:spacing w:after="100" w:line="220" w:lineRule="exact"/>
      <w:ind w:left="86" w:hanging="86"/>
      <w:outlineLvl w:val="0"/>
    </w:pPr>
    <w:rPr>
      <w:color w:val="000000"/>
      <w:sz w:val="20"/>
      <w:szCs w:val="20"/>
      <w:lang w:eastAsia="ja-JP"/>
    </w:rPr>
  </w:style>
  <w:style w:type="character" w:customStyle="1" w:styleId="FootnoteTextChar">
    <w:name w:val="Footnote Text Char"/>
    <w:aliases w:val="F1 Char"/>
    <w:link w:val="FootnoteText"/>
    <w:semiHidden/>
    <w:rsid w:val="00F64ECE"/>
    <w:rPr>
      <w:color w:val="000000"/>
      <w:lang w:val="en-US" w:eastAsia="ja-JP" w:bidi="ar-SA"/>
    </w:rPr>
  </w:style>
  <w:style w:type="character" w:styleId="FollowedHyperlink">
    <w:name w:val="FollowedHyperlink"/>
    <w:rsid w:val="0038553A"/>
    <w:rPr>
      <w:color w:val="703637"/>
      <w:u w:val="single"/>
    </w:rPr>
  </w:style>
  <w:style w:type="paragraph" w:customStyle="1" w:styleId="AppHeading1">
    <w:name w:val="App Heading 1"/>
    <w:basedOn w:val="Heading1"/>
    <w:rsid w:val="0038553A"/>
    <w:pPr>
      <w:widowControl/>
      <w:numPr>
        <w:numId w:val="1"/>
      </w:numPr>
      <w:tabs>
        <w:tab w:val="clear" w:pos="1152"/>
      </w:tabs>
      <w:autoSpaceDE/>
      <w:autoSpaceDN/>
      <w:adjustRightInd/>
      <w:spacing w:after="240"/>
      <w:ind w:left="0" w:firstLine="0"/>
      <w:jc w:val="center"/>
    </w:pPr>
    <w:rPr>
      <w:rFonts w:ascii="Verdana" w:eastAsia="MS Mincho" w:hAnsi="Verdana" w:cs="Times New Roman"/>
      <w:color w:val="auto"/>
      <w:kern w:val="28"/>
      <w:sz w:val="26"/>
      <w:szCs w:val="28"/>
      <w:lang w:eastAsia="en-US"/>
    </w:rPr>
  </w:style>
  <w:style w:type="paragraph" w:customStyle="1" w:styleId="TableTitle">
    <w:name w:val="Table Title"/>
    <w:basedOn w:val="Normal"/>
    <w:rsid w:val="0038553A"/>
    <w:pPr>
      <w:keepNext/>
      <w:keepLines/>
      <w:spacing w:before="320" w:after="120"/>
      <w:ind w:left="1440" w:hanging="1440"/>
    </w:pPr>
    <w:rPr>
      <w:rFonts w:ascii="Verdana" w:eastAsia="MS Mincho" w:hAnsi="Verdana"/>
      <w:b/>
      <w:sz w:val="20"/>
      <w:szCs w:val="20"/>
    </w:rPr>
  </w:style>
  <w:style w:type="paragraph" w:styleId="HTMLPreformatted">
    <w:name w:val="HTML Preformatted"/>
    <w:basedOn w:val="Normal"/>
    <w:rsid w:val="0038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38553A"/>
    <w:pPr>
      <w:spacing w:before="100" w:beforeAutospacing="1" w:after="100" w:afterAutospacing="1"/>
    </w:pPr>
    <w:rPr>
      <w:rFonts w:ascii="Arial" w:hAnsi="Arial" w:cs="Arial"/>
    </w:rPr>
  </w:style>
  <w:style w:type="paragraph" w:styleId="CommentSubject">
    <w:name w:val="annotation subject"/>
    <w:basedOn w:val="CommentText"/>
    <w:next w:val="CommentText"/>
    <w:link w:val="CommentSubjectChar"/>
    <w:semiHidden/>
    <w:rsid w:val="0038553A"/>
    <w:pPr>
      <w:widowControl/>
      <w:autoSpaceDE/>
      <w:autoSpaceDN/>
      <w:adjustRightInd/>
      <w:outlineLvl w:val="9"/>
    </w:pPr>
    <w:rPr>
      <w:b/>
      <w:bCs/>
      <w:color w:val="auto"/>
      <w:lang w:eastAsia="en-US"/>
    </w:rPr>
  </w:style>
  <w:style w:type="character" w:customStyle="1" w:styleId="CommentSubjectChar">
    <w:name w:val="Comment Subject Char"/>
    <w:link w:val="CommentSubject"/>
    <w:rsid w:val="0038553A"/>
    <w:rPr>
      <w:b/>
      <w:bCs/>
      <w:color w:val="000000"/>
      <w:lang w:val="en-US" w:eastAsia="en-US" w:bidi="ar-SA"/>
    </w:rPr>
  </w:style>
  <w:style w:type="paragraph" w:styleId="BodyText">
    <w:name w:val="Body Text"/>
    <w:basedOn w:val="Normal"/>
    <w:rsid w:val="0038553A"/>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z w:val="23"/>
      <w:szCs w:val="20"/>
    </w:rPr>
  </w:style>
  <w:style w:type="paragraph" w:customStyle="1" w:styleId="L1-FlLSp12">
    <w:name w:val="L1-FlL Sp&amp;1/2"/>
    <w:basedOn w:val="Normal"/>
    <w:rsid w:val="0038553A"/>
    <w:pPr>
      <w:tabs>
        <w:tab w:val="left" w:pos="1152"/>
      </w:tabs>
      <w:spacing w:line="360" w:lineRule="atLeast"/>
    </w:pPr>
    <w:rPr>
      <w:rFonts w:ascii="Garamond" w:hAnsi="Garamond"/>
      <w:szCs w:val="20"/>
    </w:rPr>
  </w:style>
  <w:style w:type="paragraph" w:customStyle="1" w:styleId="N1-1stBullet">
    <w:name w:val="N1-1st Bullet"/>
    <w:basedOn w:val="Normal"/>
    <w:rsid w:val="0038553A"/>
    <w:pPr>
      <w:tabs>
        <w:tab w:val="num" w:pos="1152"/>
      </w:tabs>
      <w:spacing w:after="240" w:line="240" w:lineRule="atLeast"/>
      <w:ind w:left="1152" w:hanging="576"/>
    </w:pPr>
    <w:rPr>
      <w:rFonts w:ascii="Garamond" w:hAnsi="Garamond"/>
      <w:szCs w:val="20"/>
    </w:rPr>
  </w:style>
  <w:style w:type="paragraph" w:styleId="EndnoteText">
    <w:name w:val="endnote text"/>
    <w:basedOn w:val="Normal"/>
    <w:rsid w:val="0038553A"/>
    <w:rPr>
      <w:rFonts w:ascii="Arial" w:hAnsi="Arial"/>
      <w:sz w:val="20"/>
      <w:szCs w:val="20"/>
    </w:rPr>
  </w:style>
  <w:style w:type="character" w:styleId="EndnoteReference">
    <w:name w:val="endnote reference"/>
    <w:rsid w:val="0038553A"/>
    <w:rPr>
      <w:vertAlign w:val="superscript"/>
    </w:rPr>
  </w:style>
  <w:style w:type="paragraph" w:styleId="Header">
    <w:name w:val="header"/>
    <w:basedOn w:val="Normal"/>
    <w:rsid w:val="0038553A"/>
    <w:pPr>
      <w:tabs>
        <w:tab w:val="center" w:pos="4320"/>
        <w:tab w:val="right" w:pos="8640"/>
      </w:tabs>
      <w:autoSpaceDE w:val="0"/>
      <w:autoSpaceDN w:val="0"/>
      <w:adjustRightInd w:val="0"/>
    </w:pPr>
    <w:rPr>
      <w:rFonts w:ascii="Arial" w:hAnsi="Arial"/>
      <w:sz w:val="20"/>
      <w:szCs w:val="20"/>
    </w:rPr>
  </w:style>
  <w:style w:type="paragraph" w:styleId="Closing">
    <w:name w:val="Closing"/>
    <w:basedOn w:val="Normal"/>
    <w:link w:val="ClosingChar"/>
    <w:rsid w:val="0038553A"/>
  </w:style>
  <w:style w:type="character" w:customStyle="1" w:styleId="ClosingChar">
    <w:name w:val="Closing Char"/>
    <w:link w:val="Closing"/>
    <w:rsid w:val="0038553A"/>
    <w:rPr>
      <w:sz w:val="24"/>
      <w:szCs w:val="24"/>
      <w:lang w:val="en-US" w:eastAsia="en-US" w:bidi="ar-SA"/>
    </w:rPr>
  </w:style>
  <w:style w:type="paragraph" w:styleId="Signature">
    <w:name w:val="Signature"/>
    <w:basedOn w:val="Normal"/>
    <w:link w:val="SignatureChar"/>
    <w:rsid w:val="0038553A"/>
  </w:style>
  <w:style w:type="character" w:customStyle="1" w:styleId="SignatureChar">
    <w:name w:val="Signature Char"/>
    <w:link w:val="Signature"/>
    <w:rsid w:val="0038553A"/>
    <w:rPr>
      <w:sz w:val="24"/>
      <w:szCs w:val="24"/>
      <w:lang w:val="en-US" w:eastAsia="en-US" w:bidi="ar-SA"/>
    </w:rPr>
  </w:style>
  <w:style w:type="paragraph" w:customStyle="1" w:styleId="SL-FlLftSgl">
    <w:name w:val="SL-Fl Lft Sgl"/>
    <w:rsid w:val="0038553A"/>
    <w:pPr>
      <w:spacing w:line="240" w:lineRule="atLeast"/>
      <w:jc w:val="both"/>
    </w:pPr>
    <w:rPr>
      <w:sz w:val="22"/>
    </w:rPr>
  </w:style>
  <w:style w:type="paragraph" w:customStyle="1" w:styleId="SL-FlLftSglCharChar">
    <w:name w:val="SL-Fl Lft Sgl Char Char"/>
    <w:link w:val="SL-FlLftSglCharCharChar"/>
    <w:rsid w:val="0038553A"/>
    <w:pPr>
      <w:spacing w:line="240" w:lineRule="atLeast"/>
      <w:jc w:val="both"/>
    </w:pPr>
    <w:rPr>
      <w:rFonts w:ascii="Arial" w:hAnsi="Arial"/>
      <w:sz w:val="24"/>
      <w:szCs w:val="24"/>
    </w:rPr>
  </w:style>
  <w:style w:type="character" w:customStyle="1" w:styleId="SL-FlLftSglCharCharChar">
    <w:name w:val="SL-Fl Lft Sgl Char Char Char"/>
    <w:link w:val="SL-FlLftSglCharChar"/>
    <w:rsid w:val="0038553A"/>
    <w:rPr>
      <w:rFonts w:ascii="Arial" w:hAnsi="Arial"/>
      <w:sz w:val="24"/>
      <w:szCs w:val="24"/>
      <w:lang w:val="en-US" w:eastAsia="en-US" w:bidi="ar-SA"/>
    </w:rPr>
  </w:style>
  <w:style w:type="paragraph" w:customStyle="1" w:styleId="SL-FlLftSglCharCharCharCharChar">
    <w:name w:val="SL-Fl Lft Sgl Char Char Char Char Char"/>
    <w:link w:val="SL-FlLftSglCharCharCharCharCharChar"/>
    <w:rsid w:val="0038553A"/>
    <w:pPr>
      <w:spacing w:line="240" w:lineRule="atLeast"/>
      <w:jc w:val="both"/>
    </w:pPr>
    <w:rPr>
      <w:rFonts w:ascii="Arial" w:hAnsi="Arial"/>
      <w:sz w:val="24"/>
      <w:szCs w:val="24"/>
    </w:rPr>
  </w:style>
  <w:style w:type="character" w:customStyle="1" w:styleId="SL-FlLftSglCharCharCharCharCharChar">
    <w:name w:val="SL-Fl Lft Sgl Char Char Char Char Char Char"/>
    <w:link w:val="SL-FlLftSglCharCharCharCharChar"/>
    <w:rsid w:val="0038553A"/>
    <w:rPr>
      <w:rFonts w:ascii="Arial" w:hAnsi="Arial"/>
      <w:sz w:val="24"/>
      <w:szCs w:val="24"/>
      <w:lang w:val="en-US" w:eastAsia="en-US" w:bidi="ar-SA"/>
    </w:rPr>
  </w:style>
  <w:style w:type="paragraph" w:customStyle="1" w:styleId="R0-FLLftSglBoldItalic">
    <w:name w:val="R0-FL Lft Sgl Bold Italic"/>
    <w:basedOn w:val="Heading1"/>
    <w:rsid w:val="0038553A"/>
    <w:pPr>
      <w:widowControl/>
      <w:tabs>
        <w:tab w:val="left" w:pos="1152"/>
      </w:tabs>
      <w:autoSpaceDE/>
      <w:autoSpaceDN/>
      <w:adjustRightInd/>
      <w:spacing w:before="0" w:after="0" w:line="240" w:lineRule="atLeast"/>
    </w:pPr>
    <w:rPr>
      <w:rFonts w:ascii="Franklin Gothic Medium" w:hAnsi="Franklin Gothic Medium" w:cs="Times New Roman Bold"/>
      <w:b w:val="0"/>
      <w:bCs w:val="0"/>
      <w:i/>
      <w:color w:val="auto"/>
      <w:kern w:val="0"/>
      <w:sz w:val="24"/>
      <w:szCs w:val="24"/>
      <w:lang w:eastAsia="en-US"/>
    </w:rPr>
  </w:style>
  <w:style w:type="paragraph" w:customStyle="1" w:styleId="SP-SglSpPara">
    <w:name w:val="SP-Sgl Sp Para"/>
    <w:basedOn w:val="Normal"/>
    <w:rsid w:val="0038553A"/>
    <w:pPr>
      <w:numPr>
        <w:numId w:val="2"/>
      </w:numPr>
      <w:tabs>
        <w:tab w:val="clear" w:pos="1728"/>
        <w:tab w:val="left" w:pos="576"/>
      </w:tabs>
      <w:ind w:left="0" w:firstLine="576"/>
    </w:pPr>
  </w:style>
  <w:style w:type="paragraph" w:customStyle="1" w:styleId="sl-fllftsgl0">
    <w:name w:val="sl-fllftsgl"/>
    <w:basedOn w:val="Normal"/>
    <w:rsid w:val="0038553A"/>
    <w:pPr>
      <w:spacing w:before="100" w:beforeAutospacing="1" w:after="100" w:afterAutospacing="1"/>
    </w:pPr>
    <w:rPr>
      <w:rFonts w:eastAsia="Batang"/>
      <w:lang w:eastAsia="ko-KR"/>
    </w:rPr>
  </w:style>
  <w:style w:type="paragraph" w:customStyle="1" w:styleId="A1-1stLeader">
    <w:name w:val="A1-1st Leader"/>
    <w:rsid w:val="0038553A"/>
    <w:pPr>
      <w:tabs>
        <w:tab w:val="right" w:leader="dot" w:pos="7200"/>
        <w:tab w:val="right" w:pos="7488"/>
        <w:tab w:val="left" w:pos="7632"/>
      </w:tabs>
      <w:spacing w:line="240" w:lineRule="atLeast"/>
      <w:ind w:left="1710" w:hanging="270"/>
    </w:pPr>
    <w:rPr>
      <w:rFonts w:ascii="Arial" w:hAnsi="Arial"/>
    </w:rPr>
  </w:style>
  <w:style w:type="paragraph" w:styleId="ListParagraph">
    <w:name w:val="List Paragraph"/>
    <w:basedOn w:val="Normal"/>
    <w:uiPriority w:val="34"/>
    <w:qFormat/>
    <w:rsid w:val="0038553A"/>
    <w:pPr>
      <w:spacing w:line="240" w:lineRule="atLeast"/>
      <w:ind w:left="720"/>
      <w:contextualSpacing/>
      <w:jc w:val="both"/>
    </w:pPr>
    <w:rPr>
      <w:sz w:val="22"/>
      <w:szCs w:val="20"/>
    </w:rPr>
  </w:style>
  <w:style w:type="paragraph" w:styleId="TOC3">
    <w:name w:val="toc 3"/>
    <w:basedOn w:val="Normal"/>
    <w:next w:val="Normal"/>
    <w:autoRedefine/>
    <w:semiHidden/>
    <w:rsid w:val="0038553A"/>
    <w:pPr>
      <w:ind w:left="480"/>
    </w:pPr>
  </w:style>
  <w:style w:type="paragraph" w:styleId="TOC2">
    <w:name w:val="toc 2"/>
    <w:basedOn w:val="Normal"/>
    <w:next w:val="Normal"/>
    <w:autoRedefine/>
    <w:uiPriority w:val="39"/>
    <w:rsid w:val="0038553A"/>
    <w:pPr>
      <w:ind w:left="240"/>
    </w:pPr>
  </w:style>
  <w:style w:type="paragraph" w:customStyle="1" w:styleId="Enclosure">
    <w:name w:val="Enclosure"/>
    <w:basedOn w:val="Normal"/>
    <w:rsid w:val="00F64ECE"/>
  </w:style>
  <w:style w:type="paragraph" w:customStyle="1" w:styleId="CcList">
    <w:name w:val="Cc List"/>
    <w:basedOn w:val="Normal"/>
    <w:rsid w:val="00F64ECE"/>
  </w:style>
  <w:style w:type="paragraph" w:customStyle="1" w:styleId="N2-2ndBullet">
    <w:name w:val="N2-2nd Bullet"/>
    <w:basedOn w:val="Normal"/>
    <w:rsid w:val="00F64ECE"/>
    <w:pPr>
      <w:tabs>
        <w:tab w:val="left" w:pos="1728"/>
      </w:tabs>
      <w:spacing w:after="240" w:line="240" w:lineRule="atLeast"/>
      <w:ind w:left="1728" w:hanging="576"/>
    </w:pPr>
    <w:rPr>
      <w:rFonts w:ascii="Garamond" w:hAnsi="Garamond"/>
      <w:szCs w:val="20"/>
    </w:rPr>
  </w:style>
  <w:style w:type="paragraph" w:styleId="BodyTextIndent3">
    <w:name w:val="Body Text Indent 3"/>
    <w:basedOn w:val="Normal"/>
    <w:rsid w:val="00F64ECE"/>
    <w:pPr>
      <w:autoSpaceDE w:val="0"/>
      <w:autoSpaceDN w:val="0"/>
      <w:adjustRightInd w:val="0"/>
      <w:ind w:left="1800" w:firstLine="360"/>
    </w:pPr>
    <w:rPr>
      <w:b/>
      <w:bCs/>
      <w:color w:val="000000"/>
    </w:rPr>
  </w:style>
  <w:style w:type="paragraph" w:customStyle="1" w:styleId="BulletNumber">
    <w:name w:val="BulletNumber"/>
    <w:basedOn w:val="Normal"/>
    <w:rsid w:val="00F64ECE"/>
    <w:pPr>
      <w:tabs>
        <w:tab w:val="num" w:pos="720"/>
      </w:tabs>
      <w:ind w:left="720"/>
    </w:pPr>
    <w:rPr>
      <w:color w:val="000000"/>
    </w:rPr>
  </w:style>
  <w:style w:type="paragraph" w:customStyle="1" w:styleId="Default">
    <w:name w:val="Default"/>
    <w:rsid w:val="00F64ECE"/>
    <w:pPr>
      <w:widowControl w:val="0"/>
      <w:autoSpaceDE w:val="0"/>
      <w:autoSpaceDN w:val="0"/>
      <w:adjustRightInd w:val="0"/>
    </w:pPr>
    <w:rPr>
      <w:color w:val="000000"/>
      <w:sz w:val="24"/>
      <w:szCs w:val="24"/>
    </w:rPr>
  </w:style>
  <w:style w:type="paragraph" w:customStyle="1" w:styleId="CM25">
    <w:name w:val="CM25"/>
    <w:basedOn w:val="Default"/>
    <w:next w:val="Default"/>
    <w:rsid w:val="00F64ECE"/>
    <w:pPr>
      <w:spacing w:after="60"/>
    </w:pPr>
    <w:rPr>
      <w:color w:val="auto"/>
    </w:rPr>
  </w:style>
  <w:style w:type="paragraph" w:customStyle="1" w:styleId="CM26">
    <w:name w:val="CM26"/>
    <w:basedOn w:val="Default"/>
    <w:next w:val="Default"/>
    <w:rsid w:val="00F64ECE"/>
    <w:pPr>
      <w:spacing w:after="358"/>
    </w:pPr>
    <w:rPr>
      <w:color w:val="auto"/>
    </w:rPr>
  </w:style>
  <w:style w:type="paragraph" w:customStyle="1" w:styleId="CM27">
    <w:name w:val="CM27"/>
    <w:basedOn w:val="Default"/>
    <w:next w:val="Default"/>
    <w:rsid w:val="00F64ECE"/>
    <w:pPr>
      <w:spacing w:after="233"/>
    </w:pPr>
    <w:rPr>
      <w:color w:val="auto"/>
    </w:rPr>
  </w:style>
  <w:style w:type="paragraph" w:customStyle="1" w:styleId="CM28">
    <w:name w:val="CM28"/>
    <w:basedOn w:val="Default"/>
    <w:next w:val="Default"/>
    <w:rsid w:val="00F64ECE"/>
    <w:pPr>
      <w:spacing w:after="140"/>
    </w:pPr>
    <w:rPr>
      <w:color w:val="auto"/>
    </w:rPr>
  </w:style>
  <w:style w:type="paragraph" w:customStyle="1" w:styleId="CM5">
    <w:name w:val="CM5"/>
    <w:basedOn w:val="Default"/>
    <w:next w:val="Default"/>
    <w:rsid w:val="00F64ECE"/>
    <w:rPr>
      <w:color w:val="auto"/>
    </w:rPr>
  </w:style>
  <w:style w:type="paragraph" w:customStyle="1" w:styleId="CM29">
    <w:name w:val="CM29"/>
    <w:basedOn w:val="Default"/>
    <w:next w:val="Default"/>
    <w:rsid w:val="00F64ECE"/>
    <w:pPr>
      <w:spacing w:after="280"/>
    </w:pPr>
    <w:rPr>
      <w:color w:val="auto"/>
    </w:rPr>
  </w:style>
  <w:style w:type="paragraph" w:customStyle="1" w:styleId="C2-CtrSglSp">
    <w:name w:val="C2-Ctr Sgl Sp"/>
    <w:basedOn w:val="Normal"/>
    <w:rsid w:val="00F64ECE"/>
    <w:pPr>
      <w:keepLines/>
      <w:spacing w:line="240" w:lineRule="atLeast"/>
      <w:jc w:val="center"/>
    </w:pPr>
    <w:rPr>
      <w:rFonts w:ascii="Garamond" w:hAnsi="Garamond"/>
      <w:szCs w:val="20"/>
    </w:rPr>
  </w:style>
  <w:style w:type="paragraph" w:customStyle="1" w:styleId="C3-CtrSp12">
    <w:name w:val="C3-Ctr Sp&amp;1/2"/>
    <w:rsid w:val="00F64ECE"/>
    <w:pPr>
      <w:keepLines/>
      <w:spacing w:line="360" w:lineRule="atLeast"/>
      <w:jc w:val="center"/>
    </w:pPr>
    <w:rPr>
      <w:sz w:val="22"/>
    </w:rPr>
  </w:style>
  <w:style w:type="character" w:styleId="Emphasis">
    <w:name w:val="Emphasis"/>
    <w:qFormat/>
    <w:rsid w:val="00F64ECE"/>
    <w:rPr>
      <w:i/>
      <w:iCs/>
    </w:rPr>
  </w:style>
  <w:style w:type="paragraph" w:customStyle="1" w:styleId="C1-CtrBoldHd">
    <w:name w:val="C1-Ctr BoldHd"/>
    <w:rsid w:val="00F64ECE"/>
    <w:pPr>
      <w:keepNext/>
      <w:spacing w:line="240" w:lineRule="atLeast"/>
      <w:jc w:val="center"/>
    </w:pPr>
    <w:rPr>
      <w:rFonts w:ascii="Arial" w:hAnsi="Arial"/>
      <w:b/>
      <w:caps/>
    </w:rPr>
  </w:style>
  <w:style w:type="paragraph" w:customStyle="1" w:styleId="Q1-FirstLevelQuestion">
    <w:name w:val="Q1-First Level Question"/>
    <w:rsid w:val="00F64ECE"/>
    <w:pPr>
      <w:tabs>
        <w:tab w:val="left" w:pos="720"/>
      </w:tabs>
      <w:spacing w:line="240" w:lineRule="atLeast"/>
      <w:ind w:left="720" w:hanging="720"/>
      <w:jc w:val="both"/>
    </w:pPr>
    <w:rPr>
      <w:rFonts w:ascii="Arial" w:hAnsi="Arial"/>
    </w:rPr>
  </w:style>
  <w:style w:type="paragraph" w:customStyle="1" w:styleId="CT-ContractInformation">
    <w:name w:val="CT-Contract Information"/>
    <w:basedOn w:val="Normal"/>
    <w:rsid w:val="00F64ECE"/>
    <w:pPr>
      <w:tabs>
        <w:tab w:val="left" w:pos="2232"/>
      </w:tabs>
      <w:spacing w:line="240" w:lineRule="exact"/>
    </w:pPr>
    <w:rPr>
      <w:vanish/>
    </w:rPr>
  </w:style>
  <w:style w:type="paragraph" w:customStyle="1" w:styleId="E1-Equation">
    <w:name w:val="E1-Equation"/>
    <w:basedOn w:val="Normal"/>
    <w:rsid w:val="00F64ECE"/>
    <w:pPr>
      <w:tabs>
        <w:tab w:val="center" w:pos="4680"/>
        <w:tab w:val="right" w:pos="9360"/>
      </w:tabs>
    </w:pPr>
  </w:style>
  <w:style w:type="paragraph" w:customStyle="1" w:styleId="E2-Equation">
    <w:name w:val="E2-Equation"/>
    <w:basedOn w:val="Normal"/>
    <w:rsid w:val="00F64ECE"/>
    <w:pPr>
      <w:tabs>
        <w:tab w:val="right" w:pos="1152"/>
        <w:tab w:val="center" w:pos="1440"/>
        <w:tab w:val="left" w:pos="1728"/>
      </w:tabs>
      <w:ind w:left="1728" w:hanging="1728"/>
    </w:pPr>
  </w:style>
  <w:style w:type="paragraph" w:customStyle="1" w:styleId="Header-1">
    <w:name w:val="Header-1"/>
    <w:basedOn w:val="Heading1"/>
    <w:rsid w:val="00F64ECE"/>
    <w:pPr>
      <w:framePr w:hSpace="187" w:wrap="around" w:vAnchor="text" w:hAnchor="text" w:y="1"/>
      <w:tabs>
        <w:tab w:val="left" w:pos="1152"/>
      </w:tabs>
      <w:spacing w:before="0" w:after="0" w:line="240" w:lineRule="atLeast"/>
      <w:ind w:left="1152" w:hanging="1152"/>
      <w:suppressOverlap/>
      <w:jc w:val="right"/>
    </w:pPr>
    <w:rPr>
      <w:rFonts w:ascii="Franklin Gothic Medium" w:hAnsi="Franklin Gothic Medium" w:cs="Times New Roman"/>
      <w:bCs w:val="0"/>
      <w:color w:val="324162"/>
      <w:kern w:val="0"/>
      <w:sz w:val="20"/>
      <w:szCs w:val="24"/>
    </w:rPr>
  </w:style>
  <w:style w:type="paragraph" w:customStyle="1" w:styleId="Heading0">
    <w:name w:val="Heading 0"/>
    <w:aliases w:val="H0-Chap Head"/>
    <w:basedOn w:val="Heading1"/>
    <w:rsid w:val="00F64ECE"/>
    <w:pPr>
      <w:tabs>
        <w:tab w:val="left" w:pos="1152"/>
      </w:tabs>
      <w:spacing w:before="0" w:after="0" w:line="360" w:lineRule="atLeast"/>
      <w:ind w:left="1152" w:hanging="1152"/>
      <w:jc w:val="right"/>
    </w:pPr>
    <w:rPr>
      <w:rFonts w:ascii="Franklin Gothic Medium" w:hAnsi="Franklin Gothic Medium" w:cs="Times New Roman"/>
      <w:bCs w:val="0"/>
      <w:color w:val="324162"/>
      <w:kern w:val="0"/>
      <w:sz w:val="40"/>
      <w:szCs w:val="24"/>
    </w:rPr>
  </w:style>
  <w:style w:type="paragraph" w:customStyle="1" w:styleId="N0-FlLftBullet">
    <w:name w:val="N0-Fl Lft Bullet"/>
    <w:basedOn w:val="Normal"/>
    <w:rsid w:val="00F64ECE"/>
    <w:pPr>
      <w:tabs>
        <w:tab w:val="left" w:pos="576"/>
      </w:tabs>
      <w:spacing w:after="240"/>
      <w:ind w:left="576" w:hanging="576"/>
    </w:pPr>
  </w:style>
  <w:style w:type="paragraph" w:customStyle="1" w:styleId="N3-3rdBullet">
    <w:name w:val="N3-3rd Bullet"/>
    <w:basedOn w:val="Normal"/>
    <w:rsid w:val="00F64ECE"/>
    <w:pPr>
      <w:tabs>
        <w:tab w:val="num" w:pos="2304"/>
      </w:tabs>
      <w:spacing w:after="240"/>
      <w:ind w:left="2304" w:hanging="576"/>
    </w:pPr>
  </w:style>
  <w:style w:type="paragraph" w:customStyle="1" w:styleId="N4-4thBullet">
    <w:name w:val="N4-4th Bullet"/>
    <w:basedOn w:val="Normal"/>
    <w:rsid w:val="00F64ECE"/>
    <w:pPr>
      <w:tabs>
        <w:tab w:val="num" w:pos="2880"/>
      </w:tabs>
      <w:spacing w:after="240"/>
      <w:ind w:left="2880" w:hanging="576"/>
    </w:pPr>
  </w:style>
  <w:style w:type="paragraph" w:customStyle="1" w:styleId="N5-5thBullet">
    <w:name w:val="N5-5th Bullet"/>
    <w:basedOn w:val="Normal"/>
    <w:rsid w:val="00F64ECE"/>
    <w:pPr>
      <w:tabs>
        <w:tab w:val="left" w:pos="3456"/>
      </w:tabs>
      <w:spacing w:after="240"/>
      <w:ind w:left="3456" w:hanging="576"/>
    </w:pPr>
  </w:style>
  <w:style w:type="paragraph" w:customStyle="1" w:styleId="N6-DateInd">
    <w:name w:val="N6-Date Ind."/>
    <w:basedOn w:val="Normal"/>
    <w:rsid w:val="00F64ECE"/>
    <w:pPr>
      <w:tabs>
        <w:tab w:val="left" w:pos="4910"/>
      </w:tabs>
      <w:ind w:left="4910"/>
    </w:pPr>
  </w:style>
  <w:style w:type="paragraph" w:customStyle="1" w:styleId="N7-3Block">
    <w:name w:val="N7-3&quot; Block"/>
    <w:basedOn w:val="Normal"/>
    <w:rsid w:val="00F64ECE"/>
    <w:pPr>
      <w:tabs>
        <w:tab w:val="left" w:pos="1152"/>
      </w:tabs>
      <w:ind w:left="1152" w:right="1152"/>
    </w:pPr>
  </w:style>
  <w:style w:type="paragraph" w:customStyle="1" w:styleId="N8-QxQBlock">
    <w:name w:val="N8-QxQ Block"/>
    <w:basedOn w:val="Normal"/>
    <w:rsid w:val="00F64ECE"/>
    <w:pPr>
      <w:tabs>
        <w:tab w:val="left" w:pos="1152"/>
      </w:tabs>
      <w:spacing w:after="360" w:line="360" w:lineRule="atLeast"/>
      <w:ind w:left="1152" w:hanging="1152"/>
    </w:pPr>
  </w:style>
  <w:style w:type="paragraph" w:customStyle="1" w:styleId="P1-StandPara">
    <w:name w:val="P1-Stand Para"/>
    <w:basedOn w:val="Normal"/>
    <w:rsid w:val="00F64ECE"/>
    <w:pPr>
      <w:spacing w:line="360" w:lineRule="atLeast"/>
      <w:ind w:firstLine="1152"/>
    </w:pPr>
  </w:style>
  <w:style w:type="paragraph" w:customStyle="1" w:styleId="Q1-BestFinQ">
    <w:name w:val="Q1-Best/Fin Q"/>
    <w:basedOn w:val="Heading1"/>
    <w:rsid w:val="00F64ECE"/>
    <w:pPr>
      <w:tabs>
        <w:tab w:val="left" w:pos="1152"/>
      </w:tabs>
      <w:spacing w:before="0" w:after="360" w:line="240" w:lineRule="atLeast"/>
      <w:ind w:left="1152" w:hanging="1152"/>
    </w:pPr>
    <w:rPr>
      <w:rFonts w:ascii="Franklin Gothic Medium" w:hAnsi="Franklin Gothic Medium" w:cs="Times New Roman Bold"/>
      <w:bCs w:val="0"/>
      <w:kern w:val="0"/>
      <w:sz w:val="24"/>
      <w:szCs w:val="24"/>
    </w:rPr>
  </w:style>
  <w:style w:type="paragraph" w:customStyle="1" w:styleId="R1-ResPara">
    <w:name w:val="R1-Res. Para"/>
    <w:basedOn w:val="Normal"/>
    <w:rsid w:val="00F64ECE"/>
    <w:pPr>
      <w:ind w:left="288"/>
    </w:pPr>
  </w:style>
  <w:style w:type="paragraph" w:customStyle="1" w:styleId="R2-ResBullet">
    <w:name w:val="R2-Res Bullet"/>
    <w:basedOn w:val="Normal"/>
    <w:rsid w:val="00F64ECE"/>
    <w:pPr>
      <w:tabs>
        <w:tab w:val="left" w:pos="720"/>
      </w:tabs>
      <w:ind w:left="720" w:hanging="432"/>
    </w:pPr>
  </w:style>
  <w:style w:type="paragraph" w:customStyle="1" w:styleId="RF-Reference">
    <w:name w:val="RF-Reference"/>
    <w:basedOn w:val="Normal"/>
    <w:rsid w:val="00F64ECE"/>
    <w:pPr>
      <w:spacing w:line="240" w:lineRule="exact"/>
      <w:ind w:left="216" w:hanging="216"/>
    </w:pPr>
  </w:style>
  <w:style w:type="paragraph" w:customStyle="1" w:styleId="RH-SglSpHead">
    <w:name w:val="RH-Sgl Sp Head"/>
    <w:basedOn w:val="Heading1"/>
    <w:next w:val="Normal"/>
    <w:rsid w:val="00F64ECE"/>
    <w:pPr>
      <w:pBdr>
        <w:bottom w:val="single" w:sz="24" w:space="1" w:color="AFBED9"/>
      </w:pBdr>
      <w:tabs>
        <w:tab w:val="left" w:pos="1152"/>
      </w:tabs>
      <w:spacing w:before="0" w:after="480" w:line="360" w:lineRule="exact"/>
      <w:ind w:left="1152" w:hanging="1152"/>
    </w:pPr>
    <w:rPr>
      <w:rFonts w:ascii="Franklin Gothic Medium" w:hAnsi="Franklin Gothic Medium" w:cs="Times New Roman"/>
      <w:bCs w:val="0"/>
      <w:color w:val="324162"/>
      <w:kern w:val="0"/>
      <w:sz w:val="36"/>
      <w:szCs w:val="24"/>
      <w:u w:color="324162"/>
    </w:rPr>
  </w:style>
  <w:style w:type="paragraph" w:customStyle="1" w:styleId="RL-FlLftSgl">
    <w:name w:val="RL-Fl Lft Sgl"/>
    <w:basedOn w:val="Heading1"/>
    <w:rsid w:val="00F64ECE"/>
    <w:pPr>
      <w:tabs>
        <w:tab w:val="left" w:pos="1152"/>
      </w:tabs>
      <w:spacing w:before="0" w:after="0" w:line="240" w:lineRule="atLeast"/>
    </w:pPr>
    <w:rPr>
      <w:rFonts w:ascii="Franklin Gothic Medium" w:hAnsi="Franklin Gothic Medium" w:cs="Times New Roman"/>
      <w:bCs w:val="0"/>
      <w:color w:val="324162"/>
      <w:kern w:val="0"/>
      <w:sz w:val="24"/>
      <w:szCs w:val="24"/>
    </w:rPr>
  </w:style>
  <w:style w:type="paragraph" w:customStyle="1" w:styleId="SH-SglSpHead">
    <w:name w:val="SH-Sgl Sp Head"/>
    <w:basedOn w:val="Heading1"/>
    <w:rsid w:val="00F64ECE"/>
    <w:pPr>
      <w:tabs>
        <w:tab w:val="left" w:pos="576"/>
        <w:tab w:val="left" w:pos="1152"/>
      </w:tabs>
      <w:spacing w:before="0" w:after="360" w:line="240" w:lineRule="atLeast"/>
      <w:ind w:left="576" w:hanging="576"/>
    </w:pPr>
    <w:rPr>
      <w:rFonts w:ascii="Franklin Gothic Medium" w:hAnsi="Franklin Gothic Medium" w:cs="Times New Roman"/>
      <w:b w:val="0"/>
      <w:bCs w:val="0"/>
      <w:color w:val="324162"/>
      <w:kern w:val="0"/>
      <w:sz w:val="24"/>
      <w:szCs w:val="24"/>
    </w:rPr>
  </w:style>
  <w:style w:type="paragraph" w:customStyle="1" w:styleId="SU-FlLftUndln">
    <w:name w:val="SU-Fl Lft Undln"/>
    <w:basedOn w:val="Normal"/>
    <w:rsid w:val="00F64ECE"/>
    <w:pPr>
      <w:keepNext/>
      <w:spacing w:line="240" w:lineRule="exact"/>
    </w:pPr>
    <w:rPr>
      <w:u w:val="single"/>
    </w:rPr>
  </w:style>
  <w:style w:type="paragraph" w:customStyle="1" w:styleId="T0-ChapPgHd">
    <w:name w:val="T0-Chap/Pg Hd"/>
    <w:basedOn w:val="Normal"/>
    <w:rsid w:val="00F64ECE"/>
    <w:pPr>
      <w:tabs>
        <w:tab w:val="left" w:pos="8640"/>
      </w:tabs>
    </w:pPr>
    <w:rPr>
      <w:rFonts w:ascii="Franklin Gothic Medium" w:hAnsi="Franklin Gothic Medium"/>
      <w:u w:val="words"/>
    </w:rPr>
  </w:style>
  <w:style w:type="paragraph" w:customStyle="1" w:styleId="TC-TableofContentsHeading">
    <w:name w:val="TC-Table of Contents Heading"/>
    <w:basedOn w:val="Heading1"/>
    <w:next w:val="T0-ChapPgHd"/>
    <w:rsid w:val="00F64ECE"/>
    <w:pPr>
      <w:pBdr>
        <w:bottom w:val="single" w:sz="24" w:space="1" w:color="AFBED7"/>
      </w:pBdr>
      <w:spacing w:before="0" w:after="720" w:line="360" w:lineRule="atLeast"/>
      <w:ind w:left="6869"/>
      <w:jc w:val="center"/>
    </w:pPr>
    <w:rPr>
      <w:rFonts w:ascii="Franklin Gothic Medium" w:hAnsi="Franklin Gothic Medium" w:cs="Times New Roman"/>
      <w:bCs w:val="0"/>
      <w:color w:val="324162"/>
      <w:kern w:val="0"/>
      <w:szCs w:val="24"/>
    </w:rPr>
  </w:style>
  <w:style w:type="paragraph" w:customStyle="1" w:styleId="TF-TblFN">
    <w:name w:val="TF-Tbl FN"/>
    <w:basedOn w:val="FootnoteText"/>
    <w:rsid w:val="00F64ECE"/>
    <w:pPr>
      <w:framePr w:hSpace="0" w:wrap="auto" w:vAnchor="margin" w:yAlign="inline"/>
      <w:tabs>
        <w:tab w:val="left" w:pos="120"/>
      </w:tabs>
      <w:spacing w:before="120" w:after="0" w:line="200" w:lineRule="atLeast"/>
      <w:ind w:left="115" w:hanging="115"/>
      <w:outlineLvl w:val="9"/>
    </w:pPr>
    <w:rPr>
      <w:rFonts w:ascii="Franklin Gothic Medium" w:hAnsi="Franklin Gothic Medium"/>
      <w:color w:val="auto"/>
      <w:sz w:val="16"/>
      <w:lang w:eastAsia="en-US"/>
    </w:rPr>
  </w:style>
  <w:style w:type="paragraph" w:customStyle="1" w:styleId="TH-TableHeading">
    <w:name w:val="TH-Table Heading"/>
    <w:basedOn w:val="Heading1"/>
    <w:rsid w:val="00F64ECE"/>
    <w:pPr>
      <w:tabs>
        <w:tab w:val="left" w:pos="1152"/>
      </w:tabs>
      <w:spacing w:before="0" w:after="0" w:line="240" w:lineRule="atLeast"/>
      <w:jc w:val="center"/>
    </w:pPr>
    <w:rPr>
      <w:rFonts w:ascii="Franklin Gothic Medium" w:hAnsi="Franklin Gothic Medium" w:cs="Times New Roman"/>
      <w:bCs w:val="0"/>
      <w:kern w:val="0"/>
      <w:sz w:val="20"/>
      <w:szCs w:val="24"/>
    </w:rPr>
  </w:style>
  <w:style w:type="paragraph" w:customStyle="1" w:styleId="TT-TableTitle">
    <w:name w:val="TT-Table Title"/>
    <w:basedOn w:val="Heading1"/>
    <w:rsid w:val="00F64ECE"/>
    <w:pPr>
      <w:tabs>
        <w:tab w:val="left" w:pos="1440"/>
      </w:tabs>
      <w:spacing w:before="0" w:after="0" w:line="240" w:lineRule="atLeast"/>
      <w:ind w:left="1152" w:hanging="1152"/>
    </w:pPr>
    <w:rPr>
      <w:rFonts w:ascii="Franklin Gothic Medium" w:hAnsi="Franklin Gothic Medium" w:cs="Times New Roman"/>
      <w:b w:val="0"/>
      <w:bCs w:val="0"/>
      <w:kern w:val="0"/>
      <w:sz w:val="22"/>
      <w:szCs w:val="24"/>
    </w:rPr>
  </w:style>
  <w:style w:type="paragraph" w:customStyle="1" w:styleId="TX-TableText">
    <w:name w:val="TX-Table Text"/>
    <w:basedOn w:val="Normal"/>
    <w:rsid w:val="00F64ECE"/>
    <w:rPr>
      <w:rFonts w:ascii="Franklin Gothic Medium" w:hAnsi="Franklin Gothic Medium"/>
      <w:sz w:val="20"/>
    </w:rPr>
  </w:style>
  <w:style w:type="paragraph" w:styleId="PlainText">
    <w:name w:val="Plain Text"/>
    <w:basedOn w:val="Normal"/>
    <w:rsid w:val="00F64ECE"/>
    <w:rPr>
      <w:rFonts w:ascii="Courier New" w:hAnsi="Courier New" w:cs="Courier New"/>
      <w:sz w:val="20"/>
      <w:szCs w:val="20"/>
    </w:rPr>
  </w:style>
  <w:style w:type="paragraph" w:styleId="Caption">
    <w:name w:val="caption"/>
    <w:basedOn w:val="Normal"/>
    <w:next w:val="Normal"/>
    <w:qFormat/>
    <w:rsid w:val="00F64ECE"/>
    <w:rPr>
      <w:b/>
      <w:bCs/>
      <w:sz w:val="20"/>
      <w:szCs w:val="20"/>
    </w:rPr>
  </w:style>
  <w:style w:type="paragraph" w:customStyle="1" w:styleId="FormBodyTextHanging">
    <w:name w:val="Form Body Text Hanging"/>
    <w:basedOn w:val="Normal"/>
    <w:rsid w:val="00054885"/>
    <w:pPr>
      <w:tabs>
        <w:tab w:val="right" w:pos="9360"/>
      </w:tabs>
      <w:spacing w:before="60" w:after="60"/>
      <w:ind w:left="720" w:hanging="720"/>
    </w:pPr>
    <w:rPr>
      <w:sz w:val="20"/>
    </w:rPr>
  </w:style>
  <w:style w:type="paragraph" w:customStyle="1" w:styleId="StyleLeft01After3pt">
    <w:name w:val="Style Left:  0.1&quot; After:  3 pt"/>
    <w:basedOn w:val="Normal"/>
    <w:rsid w:val="00054885"/>
    <w:pPr>
      <w:ind w:left="144"/>
    </w:pPr>
    <w:rPr>
      <w:sz w:val="20"/>
      <w:szCs w:val="20"/>
    </w:rPr>
  </w:style>
  <w:style w:type="paragraph" w:customStyle="1" w:styleId="FormBodyText">
    <w:name w:val="Form Body Text"/>
    <w:basedOn w:val="FormBodyTextHanging"/>
    <w:rsid w:val="00054885"/>
    <w:pPr>
      <w:ind w:left="0" w:firstLine="0"/>
    </w:pPr>
    <w:rPr>
      <w:szCs w:val="20"/>
    </w:rPr>
  </w:style>
  <w:style w:type="paragraph" w:customStyle="1" w:styleId="FormBodyTextIndent">
    <w:name w:val="Form Body Text Indent"/>
    <w:basedOn w:val="FormBodyTextHanging"/>
    <w:rsid w:val="00054885"/>
    <w:pPr>
      <w:ind w:left="1440"/>
    </w:pPr>
    <w:rPr>
      <w:szCs w:val="20"/>
    </w:rPr>
  </w:style>
  <w:style w:type="character" w:customStyle="1" w:styleId="CharChar">
    <w:name w:val="Char Char"/>
    <w:rsid w:val="00054885"/>
    <w:rPr>
      <w:rFonts w:cs="Arial"/>
      <w:b/>
      <w:color w:val="000000"/>
      <w:sz w:val="26"/>
      <w:szCs w:val="26"/>
      <w:u w:val="single"/>
      <w:lang w:val="en-US" w:eastAsia="ja-JP" w:bidi="ar-SA"/>
    </w:rPr>
  </w:style>
  <w:style w:type="table" w:customStyle="1" w:styleId="TableWestatStandardFormat">
    <w:name w:val="Table Westat Standard Format"/>
    <w:basedOn w:val="TableNormal"/>
    <w:rsid w:val="00054885"/>
    <w:pPr>
      <w:numPr>
        <w:numId w:val="9"/>
      </w:numPr>
    </w:pPr>
    <w:rPr>
      <w:rFonts w:ascii="Franklin Gothic Medium" w:hAnsi="Franklin Gothic Medium"/>
    </w:rPr>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character" w:customStyle="1" w:styleId="CommentTextChar">
    <w:name w:val="Comment Text Char"/>
    <w:locked/>
    <w:rsid w:val="00506425"/>
    <w:rPr>
      <w:rFonts w:cs="Times New Roman"/>
      <w:lang w:val="en-US" w:eastAsia="en-US" w:bidi="ar-SA"/>
    </w:rPr>
  </w:style>
  <w:style w:type="character" w:customStyle="1" w:styleId="RefList">
    <w:name w:val="[RefList]"/>
    <w:rsid w:val="00FD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62306">
      <w:bodyDiv w:val="1"/>
      <w:marLeft w:val="0"/>
      <w:marRight w:val="0"/>
      <w:marTop w:val="0"/>
      <w:marBottom w:val="0"/>
      <w:divBdr>
        <w:top w:val="none" w:sz="0" w:space="0" w:color="auto"/>
        <w:left w:val="none" w:sz="0" w:space="0" w:color="auto"/>
        <w:bottom w:val="none" w:sz="0" w:space="0" w:color="auto"/>
        <w:right w:val="none" w:sz="0" w:space="0" w:color="auto"/>
      </w:divBdr>
    </w:div>
    <w:div w:id="817575237">
      <w:bodyDiv w:val="1"/>
      <w:marLeft w:val="0"/>
      <w:marRight w:val="0"/>
      <w:marTop w:val="0"/>
      <w:marBottom w:val="0"/>
      <w:divBdr>
        <w:top w:val="none" w:sz="0" w:space="0" w:color="auto"/>
        <w:left w:val="none" w:sz="0" w:space="0" w:color="auto"/>
        <w:bottom w:val="none" w:sz="0" w:space="0" w:color="auto"/>
        <w:right w:val="none" w:sz="0" w:space="0" w:color="auto"/>
      </w:divBdr>
    </w:div>
    <w:div w:id="1087658122">
      <w:bodyDiv w:val="1"/>
      <w:marLeft w:val="0"/>
      <w:marRight w:val="0"/>
      <w:marTop w:val="0"/>
      <w:marBottom w:val="0"/>
      <w:divBdr>
        <w:top w:val="none" w:sz="0" w:space="0" w:color="auto"/>
        <w:left w:val="none" w:sz="0" w:space="0" w:color="auto"/>
        <w:bottom w:val="none" w:sz="0" w:space="0" w:color="auto"/>
        <w:right w:val="none" w:sz="0" w:space="0" w:color="auto"/>
      </w:divBdr>
    </w:div>
    <w:div w:id="1482426143">
      <w:bodyDiv w:val="1"/>
      <w:marLeft w:val="0"/>
      <w:marRight w:val="0"/>
      <w:marTop w:val="0"/>
      <w:marBottom w:val="0"/>
      <w:divBdr>
        <w:top w:val="none" w:sz="0" w:space="0" w:color="auto"/>
        <w:left w:val="none" w:sz="0" w:space="0" w:color="auto"/>
        <w:bottom w:val="none" w:sz="0" w:space="0" w:color="auto"/>
        <w:right w:val="none" w:sz="0" w:space="0" w:color="auto"/>
      </w:divBdr>
    </w:div>
    <w:div w:id="20262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l.nist.gov/fipspub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C0F2-26DF-49AF-A6EA-EC3DAC4B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NATIONAL SURVEY OF U</vt:lpstr>
    </vt:vector>
  </TitlesOfParts>
  <Company>ITSO</Company>
  <LinksUpToDate>false</LinksUpToDate>
  <CharactersWithSpaces>18765</CharactersWithSpaces>
  <SharedDoc>false</SharedDoc>
  <HLinks>
    <vt:vector size="12" baseType="variant">
      <vt:variant>
        <vt:i4>6815800</vt:i4>
      </vt:variant>
      <vt:variant>
        <vt:i4>12</vt:i4>
      </vt:variant>
      <vt:variant>
        <vt:i4>0</vt:i4>
      </vt:variant>
      <vt:variant>
        <vt:i4>5</vt:i4>
      </vt:variant>
      <vt:variant>
        <vt:lpwstr>http://aops-mas-iis.od.cdc.gov/Policy/Doc/policy449.htm</vt:lpwstr>
      </vt:variant>
      <vt:variant>
        <vt:lpwstr/>
      </vt:variant>
      <vt:variant>
        <vt:i4>4259842</vt:i4>
      </vt:variant>
      <vt:variant>
        <vt:i4>9</vt:i4>
      </vt:variant>
      <vt:variant>
        <vt:i4>0</vt:i4>
      </vt:variant>
      <vt:variant>
        <vt:i4>5</vt:i4>
      </vt:variant>
      <vt:variant>
        <vt:lpwstr>http://www.itl.nist.gov/fipspubs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OF U</dc:title>
  <dc:creator>Jan Birdsey</dc:creator>
  <cp:lastModifiedBy>Lowe, Brian D. (CDC/NIOSH/DART)</cp:lastModifiedBy>
  <cp:revision>4</cp:revision>
  <cp:lastPrinted>2016-05-20T17:23:00Z</cp:lastPrinted>
  <dcterms:created xsi:type="dcterms:W3CDTF">2016-09-20T11:27:00Z</dcterms:created>
  <dcterms:modified xsi:type="dcterms:W3CDTF">2016-09-20T12:02:00Z</dcterms:modified>
</cp:coreProperties>
</file>