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92C3D" w14:textId="77777777" w:rsidR="00CD51FE" w:rsidRPr="00942E51" w:rsidRDefault="00CD51FE" w:rsidP="00CD51FE">
      <w:pPr>
        <w:spacing w:line="480" w:lineRule="auto"/>
        <w:rPr>
          <w:rFonts w:cs="Courier New"/>
        </w:rPr>
      </w:pPr>
      <w:r>
        <w:rPr>
          <w:rFonts w:cs="Courier New"/>
          <w:b/>
        </w:rPr>
        <w:t>BILLING CODE: 4163-18-P</w:t>
      </w:r>
      <w:r>
        <w:rPr>
          <w:rFonts w:cs="Courier New"/>
        </w:rPr>
        <w:t xml:space="preserve"> </w:t>
      </w:r>
    </w:p>
    <w:p w14:paraId="3DF92C3E" w14:textId="77777777" w:rsidR="00CD51FE" w:rsidRDefault="00CD51FE" w:rsidP="00CD51FE">
      <w:pPr>
        <w:spacing w:line="480" w:lineRule="auto"/>
        <w:rPr>
          <w:rFonts w:cs="Courier New"/>
          <w:b/>
        </w:rPr>
      </w:pPr>
    </w:p>
    <w:p w14:paraId="3DF92C3F" w14:textId="77777777" w:rsidR="00CD51FE" w:rsidRDefault="00CD51FE" w:rsidP="00CD51FE">
      <w:pPr>
        <w:spacing w:line="480" w:lineRule="auto"/>
        <w:rPr>
          <w:rFonts w:cs="Courier New"/>
          <w:b/>
        </w:rPr>
      </w:pPr>
      <w:r>
        <w:rPr>
          <w:rFonts w:cs="Courier New"/>
          <w:b/>
        </w:rPr>
        <w:t>DEPARTMENT OF HEALTH AND HUMAN SERVICES</w:t>
      </w:r>
    </w:p>
    <w:p w14:paraId="3DF92C40" w14:textId="77777777" w:rsidR="00CD51FE" w:rsidRDefault="00CD51FE" w:rsidP="00CD51FE">
      <w:pPr>
        <w:spacing w:line="480" w:lineRule="auto"/>
        <w:rPr>
          <w:rFonts w:cs="Courier New"/>
          <w:b/>
        </w:rPr>
      </w:pPr>
      <w:r>
        <w:rPr>
          <w:rFonts w:cs="Courier New"/>
          <w:b/>
        </w:rPr>
        <w:t>Centers for Disease Control and Prevention</w:t>
      </w:r>
    </w:p>
    <w:p w14:paraId="3DF92C41" w14:textId="22408BB0" w:rsidR="00CD51FE" w:rsidRPr="00351DE6" w:rsidRDefault="00CD51FE" w:rsidP="00CD51FE">
      <w:pPr>
        <w:spacing w:line="480" w:lineRule="auto"/>
        <w:rPr>
          <w:rFonts w:cs="Courier New"/>
          <w:b/>
        </w:rPr>
      </w:pPr>
      <w:r>
        <w:rPr>
          <w:rFonts w:cs="Courier New"/>
          <w:b/>
        </w:rPr>
        <w:t>[60Day-</w:t>
      </w:r>
      <w:r w:rsidR="00A7560E">
        <w:rPr>
          <w:rFonts w:cs="Courier New"/>
          <w:b/>
          <w:highlight w:val="yellow"/>
        </w:rPr>
        <w:t>16</w:t>
      </w:r>
      <w:r w:rsidRPr="00CD51FE">
        <w:rPr>
          <w:rFonts w:cs="Courier New"/>
          <w:b/>
          <w:highlight w:val="yellow"/>
        </w:rPr>
        <w:t>-xxxx</w:t>
      </w:r>
      <w:r>
        <w:rPr>
          <w:rFonts w:cs="Courier New"/>
          <w:b/>
        </w:rPr>
        <w:t>]</w:t>
      </w:r>
    </w:p>
    <w:p w14:paraId="3DF92C42" w14:textId="06A61016" w:rsidR="00CD51FE" w:rsidRDefault="00CD51FE" w:rsidP="00CD51FE">
      <w:pPr>
        <w:spacing w:line="480" w:lineRule="auto"/>
        <w:rPr>
          <w:rFonts w:cs="Courier New"/>
          <w:b/>
        </w:rPr>
      </w:pPr>
      <w:r>
        <w:rPr>
          <w:rFonts w:cs="Courier New"/>
          <w:b/>
        </w:rPr>
        <w:t>[Docket No. CDC-</w:t>
      </w:r>
      <w:r w:rsidRPr="00CD51FE">
        <w:rPr>
          <w:rFonts w:cs="Courier New"/>
          <w:b/>
          <w:highlight w:val="yellow"/>
        </w:rPr>
        <w:t>201</w:t>
      </w:r>
      <w:r w:rsidR="00A7560E">
        <w:rPr>
          <w:rFonts w:cs="Courier New"/>
          <w:b/>
          <w:highlight w:val="yellow"/>
        </w:rPr>
        <w:t>6</w:t>
      </w:r>
      <w:r w:rsidRPr="00CD51FE">
        <w:rPr>
          <w:rFonts w:cs="Courier New"/>
          <w:b/>
          <w:highlight w:val="yellow"/>
        </w:rPr>
        <w:t>-xxxx</w:t>
      </w:r>
      <w:r>
        <w:rPr>
          <w:rFonts w:cs="Courier New"/>
          <w:b/>
        </w:rPr>
        <w:t>]</w:t>
      </w:r>
    </w:p>
    <w:p w14:paraId="3DF92C43" w14:textId="77777777" w:rsidR="00CD51FE" w:rsidRDefault="00CD51FE" w:rsidP="00CD51FE">
      <w:pPr>
        <w:spacing w:line="480" w:lineRule="auto"/>
        <w:rPr>
          <w:rFonts w:cs="Courier New"/>
          <w:b/>
        </w:rPr>
      </w:pPr>
    </w:p>
    <w:p w14:paraId="3DF92C44" w14:textId="77777777" w:rsidR="00CD51FE" w:rsidRDefault="00CD51FE" w:rsidP="00CD51FE">
      <w:pPr>
        <w:spacing w:line="480" w:lineRule="auto"/>
        <w:rPr>
          <w:rFonts w:cs="Courier New"/>
          <w:b/>
        </w:rPr>
      </w:pPr>
      <w:r>
        <w:rPr>
          <w:rFonts w:cs="Courier New"/>
          <w:b/>
        </w:rPr>
        <w:t>Proposed Data Collection Submitted for Public Comment and Recommendations</w:t>
      </w:r>
    </w:p>
    <w:p w14:paraId="3DF92C45" w14:textId="77777777" w:rsidR="00CD51FE" w:rsidRDefault="00CD51FE" w:rsidP="00CD51FE">
      <w:pPr>
        <w:spacing w:line="480" w:lineRule="auto"/>
        <w:rPr>
          <w:rFonts w:cs="Courier New"/>
          <w:b/>
        </w:rPr>
      </w:pPr>
    </w:p>
    <w:p w14:paraId="3DF92C46" w14:textId="77777777" w:rsidR="00CD51FE" w:rsidRDefault="00CD51FE" w:rsidP="00CD51FE">
      <w:pPr>
        <w:spacing w:line="480" w:lineRule="auto"/>
        <w:rPr>
          <w:rFonts w:cs="Courier New"/>
        </w:rPr>
      </w:pPr>
      <w:r>
        <w:rPr>
          <w:rFonts w:cs="Courier New"/>
          <w:b/>
        </w:rPr>
        <w:t>AGENCY:</w:t>
      </w:r>
      <w:r>
        <w:rPr>
          <w:rFonts w:cs="Courier New"/>
        </w:rPr>
        <w:t xml:space="preserve"> Centers for Disease Control and Prevention (CDC), Department of Health and Human Services (HHS)</w:t>
      </w:r>
    </w:p>
    <w:p w14:paraId="3DF92C47" w14:textId="77777777" w:rsidR="00CD51FE" w:rsidRDefault="00CD51FE" w:rsidP="00CD51FE">
      <w:pPr>
        <w:spacing w:line="480" w:lineRule="auto"/>
        <w:rPr>
          <w:rFonts w:cs="Courier New"/>
        </w:rPr>
      </w:pPr>
    </w:p>
    <w:p w14:paraId="3DF92C48" w14:textId="77777777" w:rsidR="00CD51FE" w:rsidRDefault="00CD51FE" w:rsidP="00CD51FE">
      <w:pPr>
        <w:spacing w:line="480" w:lineRule="auto"/>
        <w:rPr>
          <w:rFonts w:cs="Courier New"/>
        </w:rPr>
      </w:pPr>
      <w:r>
        <w:rPr>
          <w:rFonts w:cs="Courier New"/>
          <w:b/>
        </w:rPr>
        <w:t>ACTION:</w:t>
      </w:r>
      <w:r>
        <w:rPr>
          <w:rFonts w:cs="Courier New"/>
        </w:rPr>
        <w:t xml:space="preserve"> Notice with comment period</w:t>
      </w:r>
    </w:p>
    <w:p w14:paraId="3DF92C49" w14:textId="77777777" w:rsidR="00CD51FE" w:rsidRDefault="00CD51FE" w:rsidP="00CD51FE">
      <w:pPr>
        <w:spacing w:line="480" w:lineRule="auto"/>
        <w:rPr>
          <w:rFonts w:cs="Courier New"/>
        </w:rPr>
      </w:pPr>
    </w:p>
    <w:p w14:paraId="3DF92C4A" w14:textId="3F920697" w:rsidR="00CD51FE" w:rsidRDefault="00CD51FE" w:rsidP="00CD51FE">
      <w:pPr>
        <w:spacing w:line="480" w:lineRule="auto"/>
        <w:rPr>
          <w:rFonts w:cs="Courier New"/>
        </w:rPr>
      </w:pPr>
      <w:r>
        <w:rPr>
          <w:rFonts w:cs="Courier New"/>
          <w:b/>
        </w:rPr>
        <w:t>SUMMARY:</w:t>
      </w:r>
      <w:r>
        <w:rPr>
          <w:rFonts w:cs="Courier New"/>
        </w:rPr>
        <w:t xml:space="preserve"> </w:t>
      </w:r>
      <w:r w:rsidRPr="008D1C7C">
        <w:rPr>
          <w:rFonts w:cs="Courier New"/>
        </w:rPr>
        <w:t xml:space="preserve">The Centers for Disease Control and Prevention (CDC), as </w:t>
      </w:r>
      <w:r w:rsidRPr="00D70001">
        <w:rPr>
          <w:rFonts w:cs="Courier New"/>
        </w:rPr>
        <w:t>part of its continuing efforts to reduce public burden and maximize the utility of government information,</w:t>
      </w:r>
      <w:r w:rsidRPr="008D1C7C">
        <w:rPr>
          <w:rFonts w:cs="Courier New"/>
        </w:rPr>
        <w:t xml:space="preserve"> invites the general public and other Federal agencies to take this opportu</w:t>
      </w:r>
      <w:r>
        <w:rPr>
          <w:rFonts w:cs="Courier New"/>
        </w:rPr>
        <w:t>nity to comment on proposed and/</w:t>
      </w:r>
      <w:r w:rsidRPr="008D1C7C">
        <w:rPr>
          <w:rFonts w:cs="Courier New"/>
        </w:rPr>
        <w:t>or continuing information collections, as required by the Paperwork Reduction Act of 1995.</w:t>
      </w:r>
      <w:r>
        <w:rPr>
          <w:rFonts w:cs="Courier New"/>
        </w:rPr>
        <w:t xml:space="preserve">  This notice invites comment on</w:t>
      </w:r>
      <w:r w:rsidR="00A7560E">
        <w:rPr>
          <w:rFonts w:cs="Courier New"/>
        </w:rPr>
        <w:t xml:space="preserve"> </w:t>
      </w:r>
      <w:r w:rsidR="00A7560E" w:rsidRPr="00A7560E">
        <w:rPr>
          <w:rFonts w:cs="Courier New"/>
        </w:rPr>
        <w:t>Assessment to Estimate the Effect of Community-Wide Vector Control Initiatives on Zika Virus Transmission in Puerto Rico, 2016</w:t>
      </w:r>
      <w:r w:rsidR="00A7560E">
        <w:rPr>
          <w:rFonts w:cs="Courier New"/>
        </w:rPr>
        <w:t>.</w:t>
      </w:r>
    </w:p>
    <w:p w14:paraId="3DF92C4B" w14:textId="77777777" w:rsidR="00CD51FE" w:rsidRDefault="00CD51FE" w:rsidP="00CD51FE">
      <w:pPr>
        <w:spacing w:line="480" w:lineRule="auto"/>
        <w:rPr>
          <w:rFonts w:cs="Courier New"/>
        </w:rPr>
      </w:pPr>
    </w:p>
    <w:p w14:paraId="3DF92C4C" w14:textId="77777777" w:rsidR="00CD51FE" w:rsidRDefault="00CD51FE" w:rsidP="00CD51FE">
      <w:pPr>
        <w:spacing w:line="480" w:lineRule="auto"/>
        <w:rPr>
          <w:rFonts w:cs="Courier New"/>
        </w:rPr>
      </w:pPr>
      <w:r>
        <w:rPr>
          <w:rFonts w:cs="Courier New"/>
          <w:b/>
        </w:rPr>
        <w:t>DATES:</w:t>
      </w:r>
      <w:r>
        <w:rPr>
          <w:rFonts w:cs="Courier New"/>
        </w:rPr>
        <w:t xml:space="preserve"> Written comments must be received on or before </w:t>
      </w:r>
      <w:r w:rsidRPr="00CD51FE">
        <w:rPr>
          <w:rFonts w:cs="Courier New"/>
          <w:highlight w:val="yellow"/>
        </w:rPr>
        <w:t>[INSERT DATE 60 DAYS AFTER PUBLICATION DATE IN THE FEDERAL REGISTER]</w:t>
      </w:r>
      <w:r>
        <w:rPr>
          <w:rFonts w:cs="Courier New"/>
        </w:rPr>
        <w:t xml:space="preserve">.  </w:t>
      </w:r>
    </w:p>
    <w:p w14:paraId="3DF92C4D" w14:textId="77777777" w:rsidR="00CD51FE" w:rsidRDefault="00CD51FE" w:rsidP="00CD51FE">
      <w:pPr>
        <w:spacing w:line="480" w:lineRule="auto"/>
        <w:rPr>
          <w:rFonts w:cs="Courier New"/>
        </w:rPr>
      </w:pPr>
    </w:p>
    <w:p w14:paraId="3DF92C4E" w14:textId="6F916B6F" w:rsidR="00CD51FE" w:rsidRDefault="00CD51FE" w:rsidP="00CD51FE">
      <w:pPr>
        <w:spacing w:line="480" w:lineRule="auto"/>
        <w:rPr>
          <w:rFonts w:cs="Courier New"/>
        </w:rPr>
      </w:pPr>
      <w:r>
        <w:rPr>
          <w:rFonts w:cs="Courier New"/>
          <w:b/>
        </w:rPr>
        <w:t>ADDRESSES:</w:t>
      </w:r>
      <w:r>
        <w:rPr>
          <w:rFonts w:cs="Courier New"/>
        </w:rPr>
        <w:t xml:space="preserve">  You may submit comments, identified by D</w:t>
      </w:r>
      <w:r w:rsidRPr="00CD47E8">
        <w:rPr>
          <w:rFonts w:cs="Courier New"/>
        </w:rPr>
        <w:t xml:space="preserve">ocket </w:t>
      </w:r>
      <w:r>
        <w:rPr>
          <w:rFonts w:cs="Courier New"/>
        </w:rPr>
        <w:t>No. CDC-</w:t>
      </w:r>
      <w:r w:rsidR="00A7560E">
        <w:rPr>
          <w:rFonts w:cs="Courier New"/>
          <w:highlight w:val="yellow"/>
        </w:rPr>
        <w:t>2016</w:t>
      </w:r>
      <w:r w:rsidRPr="00CD51FE">
        <w:rPr>
          <w:rFonts w:cs="Courier New"/>
          <w:highlight w:val="yellow"/>
        </w:rPr>
        <w:t>-xxxx</w:t>
      </w:r>
      <w:r>
        <w:rPr>
          <w:rFonts w:cs="Courier New"/>
        </w:rPr>
        <w:t xml:space="preserve"> by any of the following methods:</w:t>
      </w:r>
    </w:p>
    <w:p w14:paraId="3DF92C4F" w14:textId="77777777" w:rsidR="00CD51FE" w:rsidRDefault="00CD51FE" w:rsidP="00CD51FE">
      <w:pPr>
        <w:widowControl/>
        <w:numPr>
          <w:ilvl w:val="0"/>
          <w:numId w:val="1"/>
        </w:numPr>
        <w:autoSpaceDE/>
        <w:autoSpaceDN/>
        <w:adjustRightInd/>
        <w:spacing w:line="480" w:lineRule="auto"/>
        <w:rPr>
          <w:rFonts w:cs="Courier New"/>
        </w:rPr>
      </w:pPr>
      <w:r>
        <w:rPr>
          <w:rFonts w:cs="Courier New"/>
        </w:rPr>
        <w:t>Federal eRulemaking Portal:</w:t>
      </w:r>
      <w:r w:rsidRPr="000C469E">
        <w:t xml:space="preserve"> </w:t>
      </w:r>
      <w:hyperlink r:id="rId11" w:history="1">
        <w:r>
          <w:rPr>
            <w:rStyle w:val="Hyperlink"/>
            <w:rFonts w:cs="Courier New"/>
          </w:rPr>
          <w:t>Regulation.gov</w:t>
        </w:r>
      </w:hyperlink>
      <w:r>
        <w:rPr>
          <w:rFonts w:cs="Courier New"/>
        </w:rPr>
        <w:t>.  Follow the instructions for submitting comments.</w:t>
      </w:r>
    </w:p>
    <w:p w14:paraId="3DF92C50" w14:textId="77777777" w:rsidR="00CD51FE" w:rsidRDefault="00CD51FE" w:rsidP="00CD51FE">
      <w:pPr>
        <w:widowControl/>
        <w:numPr>
          <w:ilvl w:val="0"/>
          <w:numId w:val="1"/>
        </w:numPr>
        <w:autoSpaceDE/>
        <w:autoSpaceDN/>
        <w:adjustRightInd/>
        <w:spacing w:line="480" w:lineRule="auto"/>
        <w:rPr>
          <w:rFonts w:cs="Courier New"/>
        </w:rPr>
      </w:pPr>
      <w:r w:rsidRPr="002954C5">
        <w:rPr>
          <w:rFonts w:cs="Courier New"/>
        </w:rPr>
        <w:t xml:space="preserve">Mail: </w:t>
      </w:r>
      <w:r>
        <w:rPr>
          <w:rFonts w:cs="Courier New"/>
        </w:rPr>
        <w:t>Leroy A. Richardson, Information Collection Review Office, Centers for Disease Control and Prevention, 1600 Clifton Road, N.E., MS-D74, Atlanta, Georgia 30329.</w:t>
      </w:r>
    </w:p>
    <w:p w14:paraId="3DF92C51" w14:textId="77777777" w:rsidR="00CD51FE" w:rsidRDefault="00CD51FE" w:rsidP="00CD51FE">
      <w:pPr>
        <w:spacing w:line="480" w:lineRule="auto"/>
        <w:rPr>
          <w:rFonts w:cs="Courier New"/>
        </w:rPr>
      </w:pPr>
      <w:r>
        <w:rPr>
          <w:rFonts w:cs="Courier New"/>
          <w:i/>
        </w:rPr>
        <w:t xml:space="preserve">Instructions: </w:t>
      </w:r>
      <w:r>
        <w:rPr>
          <w:rFonts w:cs="Courier New"/>
        </w:rPr>
        <w:t xml:space="preserve">All submissions received must include the agency name and Docket Number.  All relevant comments received will be posted without change to </w:t>
      </w:r>
      <w:hyperlink r:id="rId12" w:history="1">
        <w:r>
          <w:rPr>
            <w:rStyle w:val="Hyperlink"/>
            <w:rFonts w:cs="Courier New"/>
          </w:rPr>
          <w:t>Regulations.gov</w:t>
        </w:r>
      </w:hyperlink>
      <w:r>
        <w:rPr>
          <w:rFonts w:cs="Courier New"/>
        </w:rPr>
        <w:t xml:space="preserve">, including any personal information provided.  For access to the docket to read background documents or comments received, go to </w:t>
      </w:r>
      <w:hyperlink r:id="rId13" w:history="1">
        <w:r>
          <w:rPr>
            <w:rStyle w:val="Hyperlink"/>
            <w:rFonts w:cs="Courier New"/>
          </w:rPr>
          <w:t>Regulations.gov</w:t>
        </w:r>
      </w:hyperlink>
      <w:r>
        <w:rPr>
          <w:rFonts w:cs="Courier New"/>
        </w:rPr>
        <w:t>.</w:t>
      </w:r>
    </w:p>
    <w:p w14:paraId="3DF92C52" w14:textId="77777777" w:rsidR="00CD51FE" w:rsidRDefault="00CD51FE" w:rsidP="00CD51FE">
      <w:pPr>
        <w:spacing w:line="480" w:lineRule="auto"/>
        <w:rPr>
          <w:rFonts w:cs="Courier New"/>
        </w:rPr>
      </w:pPr>
    </w:p>
    <w:p w14:paraId="3DF92C53" w14:textId="77777777" w:rsidR="00CD51FE" w:rsidRDefault="00CD51FE" w:rsidP="00CD51FE">
      <w:pPr>
        <w:spacing w:line="480" w:lineRule="auto"/>
        <w:rPr>
          <w:rFonts w:cs="Courier New"/>
        </w:rPr>
      </w:pPr>
      <w:r>
        <w:rPr>
          <w:rFonts w:cs="Courier New"/>
          <w:u w:val="single"/>
        </w:rPr>
        <w:t>Please note: All public comment should be submitted through the Federal eRulemaking portal (</w:t>
      </w:r>
      <w:hyperlink r:id="rId14" w:history="1">
        <w:r>
          <w:rPr>
            <w:rStyle w:val="Hyperlink"/>
            <w:rFonts w:cs="Courier New"/>
          </w:rPr>
          <w:t>Regulations.gov</w:t>
        </w:r>
      </w:hyperlink>
      <w:r>
        <w:rPr>
          <w:rFonts w:cs="Courier New"/>
          <w:u w:val="single"/>
        </w:rPr>
        <w:t>) or by U.S. mail to the address listed above.</w:t>
      </w:r>
    </w:p>
    <w:p w14:paraId="3DF92C54" w14:textId="77777777" w:rsidR="00CD51FE" w:rsidRPr="00870754" w:rsidRDefault="00CD51FE" w:rsidP="00CD51FE">
      <w:pPr>
        <w:spacing w:line="480" w:lineRule="auto"/>
        <w:rPr>
          <w:rFonts w:cs="Courier New"/>
        </w:rPr>
      </w:pPr>
    </w:p>
    <w:p w14:paraId="3DF92C55" w14:textId="77777777" w:rsidR="00CD51FE" w:rsidRPr="002954C5" w:rsidRDefault="00CD51FE" w:rsidP="00CD51FE">
      <w:pPr>
        <w:spacing w:line="480" w:lineRule="auto"/>
        <w:rPr>
          <w:rFonts w:cs="Courier New"/>
        </w:rPr>
      </w:pPr>
      <w:r w:rsidRPr="002954C5">
        <w:rPr>
          <w:rFonts w:cs="Courier New"/>
          <w:b/>
        </w:rPr>
        <w:t>FOR FURTHER INFORMATION CONTACT:</w:t>
      </w:r>
      <w:r>
        <w:rPr>
          <w:rFonts w:cs="Courier New"/>
          <w:b/>
        </w:rPr>
        <w:t xml:space="preserve"> </w:t>
      </w:r>
      <w:r w:rsidR="007213EB" w:rsidRPr="00326043">
        <w:rPr>
          <w:rFonts w:cs="Courier New"/>
        </w:rPr>
        <w:t xml:space="preserve">To request more information on the proposed project or to obtain a copy of the </w:t>
      </w:r>
      <w:r w:rsidR="007213EB">
        <w:rPr>
          <w:rFonts w:cs="Courier New"/>
        </w:rPr>
        <w:t>information</w:t>
      </w:r>
      <w:r w:rsidR="007213EB" w:rsidRPr="00326043">
        <w:rPr>
          <w:rFonts w:cs="Courier New"/>
        </w:rPr>
        <w:t xml:space="preserve"> </w:t>
      </w:r>
      <w:r w:rsidR="007213EB" w:rsidRPr="00326043">
        <w:rPr>
          <w:rFonts w:cs="Courier New"/>
        </w:rPr>
        <w:lastRenderedPageBreak/>
        <w:t>collection plan and instruments</w:t>
      </w:r>
      <w:r w:rsidR="007213EB">
        <w:rPr>
          <w:rFonts w:cs="Courier New"/>
        </w:rPr>
        <w:t xml:space="preserve">, contact the </w:t>
      </w:r>
      <w:r>
        <w:rPr>
          <w:rFonts w:cs="Courier New"/>
        </w:rPr>
        <w:t xml:space="preserve">Information Collection Review Office, Centers for Disease Control and Prevention, 1600 Clifton Road, N.E., MS-D74, Atlanta, Georgia 30329; phone: 404-639-7570; E-mail: </w:t>
      </w:r>
      <w:hyperlink r:id="rId15" w:history="1">
        <w:r w:rsidRPr="00714F07">
          <w:rPr>
            <w:rStyle w:val="Hyperlink"/>
            <w:rFonts w:cs="Courier New"/>
          </w:rPr>
          <w:t>omb@cdc.gov</w:t>
        </w:r>
      </w:hyperlink>
      <w:r w:rsidRPr="00CD51FE">
        <w:rPr>
          <w:rStyle w:val="Hyperlink"/>
          <w:rFonts w:cs="Courier New"/>
          <w:u w:val="none"/>
        </w:rPr>
        <w:t>.</w:t>
      </w:r>
    </w:p>
    <w:p w14:paraId="3DF92C56" w14:textId="77777777" w:rsidR="00CD51FE" w:rsidRDefault="00CD51FE" w:rsidP="00CD51FE">
      <w:pPr>
        <w:spacing w:line="480" w:lineRule="auto"/>
        <w:rPr>
          <w:rFonts w:cs="Courier New"/>
          <w:b/>
        </w:rPr>
      </w:pPr>
    </w:p>
    <w:p w14:paraId="3DF92C57" w14:textId="77777777" w:rsidR="00CD51FE" w:rsidRDefault="00CD51FE" w:rsidP="00CD51FE">
      <w:pPr>
        <w:spacing w:line="480" w:lineRule="auto"/>
        <w:rPr>
          <w:rFonts w:cs="Courier New"/>
          <w:b/>
        </w:rPr>
      </w:pPr>
      <w:r>
        <w:rPr>
          <w:rFonts w:cs="Courier New"/>
          <w:b/>
        </w:rPr>
        <w:t>SUPPLEMENTARY INFORMATION:</w:t>
      </w:r>
    </w:p>
    <w:p w14:paraId="3DF92C58" w14:textId="77777777" w:rsidR="00CD51FE" w:rsidRDefault="00CD51FE" w:rsidP="00CD51FE">
      <w:pPr>
        <w:spacing w:line="480" w:lineRule="auto"/>
        <w:rPr>
          <w:rFonts w:cs="Courier New"/>
        </w:rPr>
      </w:pPr>
      <w:r>
        <w:rPr>
          <w:rFonts w:cs="Courier New"/>
        </w:rPr>
        <w:t xml:space="preserve">     Under the Paperwork Reduction Act of 1995 (PRA) (44 U.S.C. 3501-3520), Federal agencies must obtain approval from the Office of Management and Budget (OMB) for each collection of information they conduct or sponsor. In addition, the PRA also requires Federal agencies to provide a 60-day notice in the </w:t>
      </w:r>
      <w:r>
        <w:rPr>
          <w:rFonts w:cs="Courier New"/>
          <w:u w:val="single"/>
        </w:rPr>
        <w:t>Federal Register</w:t>
      </w:r>
      <w:r>
        <w:rPr>
          <w:rFonts w:cs="Courier New"/>
        </w:rPr>
        <w:t xml:space="preserve"> concerning each proposed collection of information, including each new proposed collection, each proposed extension of existing collection of information, and each reinstatement of previously approved information collection before submitting the collection to OMB for approval.  To comply with this requirement, we are publishing this notice of a proposed data collection as described below.</w:t>
      </w:r>
    </w:p>
    <w:p w14:paraId="3DF92C59" w14:textId="77777777" w:rsidR="00CD51FE" w:rsidRPr="00F75F02" w:rsidRDefault="00CD51FE" w:rsidP="00CD51FE">
      <w:pPr>
        <w:spacing w:line="480" w:lineRule="auto"/>
        <w:ind w:firstLine="720"/>
        <w:rPr>
          <w:rFonts w:cs="Courier New"/>
        </w:rPr>
      </w:pPr>
      <w:r w:rsidRPr="008D1C7C">
        <w:rPr>
          <w:rFonts w:cs="Courier New"/>
        </w:rPr>
        <w:t xml:space="preserve">Comments are invited on: (a) Whether the proposed collection of information is necessary for the proper performance of the functions of the agency, including whether the information shall have practical utility; (b) the accuracy of the agency’s estimate of the burden of the proposed collection of information; (c) ways to enhance the quality, </w:t>
      </w:r>
      <w:r w:rsidRPr="008D1C7C">
        <w:rPr>
          <w:rFonts w:cs="Courier New"/>
        </w:rPr>
        <w:lastRenderedPageBreak/>
        <w:t xml:space="preserve">utility, and clarity of the information to be collected; (d) ways to minimize the burden of the collection of information on respondents, including through the use of automated collection techniques or other forms of information technology; and </w:t>
      </w:r>
      <w:r w:rsidRPr="008D1C7C">
        <w:rPr>
          <w:rFonts w:cs="Courier New"/>
          <w:color w:val="000000"/>
        </w:rPr>
        <w:t>(e) estimates of capital or start-up costs and costs of operation, maintenance, and purchase of services to provide information. Burden means the total time, effort, or financial resources expended by persons to generate, maintain, retain, disclose or provide information to or for a Federal agency. This includes the time needed to review instructions; to develop, acquire, install and utilize technology and systems for the purpose of collecting, validating and verifying information, processing and maintaining information, and disclosing and providing information; to train personnel and to be able to respond to a collection of information, to search data sources, to complete and review the collection of information; and to transmit or otherwise disclose the information.</w:t>
      </w:r>
      <w:r>
        <w:rPr>
          <w:rFonts w:cs="Courier New"/>
        </w:rPr>
        <w:t xml:space="preserve"> </w:t>
      </w:r>
    </w:p>
    <w:p w14:paraId="3DF92C5A" w14:textId="77777777" w:rsidR="00CD51FE" w:rsidRPr="00F75F02" w:rsidRDefault="00CD51FE" w:rsidP="00CD51FE">
      <w:pPr>
        <w:spacing w:line="480" w:lineRule="auto"/>
        <w:rPr>
          <w:rFonts w:cs="Courier New"/>
        </w:rPr>
      </w:pPr>
    </w:p>
    <w:p w14:paraId="3DF92C5B" w14:textId="77777777" w:rsidR="00CD51FE" w:rsidRDefault="00CD51FE" w:rsidP="00CD51FE">
      <w:pPr>
        <w:spacing w:line="480" w:lineRule="auto"/>
        <w:rPr>
          <w:rFonts w:cs="Courier New"/>
          <w:b/>
        </w:rPr>
      </w:pPr>
      <w:r>
        <w:rPr>
          <w:rFonts w:cs="Courier New"/>
          <w:b/>
        </w:rPr>
        <w:t>Proposed Project</w:t>
      </w:r>
    </w:p>
    <w:p w14:paraId="3DF92C5C" w14:textId="77777777" w:rsidR="00CD51FE" w:rsidRDefault="00CD51FE" w:rsidP="00CD51FE">
      <w:pPr>
        <w:spacing w:line="480" w:lineRule="auto"/>
        <w:rPr>
          <w:rFonts w:cs="Courier New"/>
          <w:b/>
        </w:rPr>
      </w:pPr>
    </w:p>
    <w:p w14:paraId="3DF92C5D" w14:textId="649A5B65" w:rsidR="00CD51FE" w:rsidRDefault="00A7560E" w:rsidP="00CD51FE">
      <w:pPr>
        <w:spacing w:line="480" w:lineRule="auto"/>
        <w:rPr>
          <w:rFonts w:cs="Courier New"/>
          <w:b/>
        </w:rPr>
      </w:pPr>
      <w:r w:rsidRPr="00A7560E">
        <w:rPr>
          <w:rFonts w:cs="Courier New"/>
          <w:b/>
        </w:rPr>
        <w:t>Assessment to Estimate the Effect of Community-Wide Vector Control Initiatives on Zika Virus Transmission in Puerto Rico, 2016</w:t>
      </w:r>
      <w:r>
        <w:rPr>
          <w:rFonts w:cs="Courier New"/>
          <w:b/>
        </w:rPr>
        <w:t xml:space="preserve"> </w:t>
      </w:r>
      <w:r w:rsidR="00CD51FE">
        <w:rPr>
          <w:rFonts w:cs="Courier New"/>
          <w:b/>
        </w:rPr>
        <w:t>–</w:t>
      </w:r>
      <w:r w:rsidR="00CD51FE" w:rsidRPr="00D77E80">
        <w:rPr>
          <w:rFonts w:cs="Courier New"/>
          <w:b/>
        </w:rPr>
        <w:t xml:space="preserve"> </w:t>
      </w:r>
      <w:r>
        <w:rPr>
          <w:rFonts w:cs="Courier New"/>
          <w:b/>
        </w:rPr>
        <w:t>New</w:t>
      </w:r>
      <w:r w:rsidR="00CD51FE" w:rsidRPr="00D77E80">
        <w:rPr>
          <w:rFonts w:cs="Courier New"/>
          <w:b/>
        </w:rPr>
        <w:t xml:space="preserve"> –</w:t>
      </w:r>
      <w:r w:rsidR="00CD51FE">
        <w:rPr>
          <w:rFonts w:cs="Courier New"/>
          <w:b/>
        </w:rPr>
        <w:t xml:space="preserve"> </w:t>
      </w:r>
      <w:r>
        <w:rPr>
          <w:rFonts w:cs="Courier New"/>
          <w:b/>
        </w:rPr>
        <w:t>National Center for Emerging and Zoonotic Infectious Diseases (NCEZID)</w:t>
      </w:r>
      <w:r w:rsidR="00CD51FE" w:rsidRPr="00D77E80">
        <w:rPr>
          <w:rFonts w:cs="Courier New"/>
          <w:b/>
        </w:rPr>
        <w:t xml:space="preserve">, Centers for Disease Control and </w:t>
      </w:r>
      <w:r w:rsidR="00CD51FE" w:rsidRPr="00D77E80">
        <w:rPr>
          <w:rFonts w:cs="Courier New"/>
          <w:b/>
        </w:rPr>
        <w:lastRenderedPageBreak/>
        <w:t>Prevention (CDC).</w:t>
      </w:r>
    </w:p>
    <w:p w14:paraId="3DF92C5E" w14:textId="77777777" w:rsidR="00CD51FE" w:rsidRDefault="00CD51FE" w:rsidP="00CD51FE">
      <w:pPr>
        <w:spacing w:line="480" w:lineRule="auto"/>
        <w:rPr>
          <w:rFonts w:cs="Courier New"/>
          <w:b/>
        </w:rPr>
      </w:pPr>
    </w:p>
    <w:p w14:paraId="3DF92C5F" w14:textId="77777777" w:rsidR="00CD51FE" w:rsidRDefault="00CD51FE" w:rsidP="00CD51FE">
      <w:pPr>
        <w:spacing w:line="480" w:lineRule="auto"/>
        <w:rPr>
          <w:rFonts w:cs="Courier New"/>
          <w:b/>
          <w:u w:val="single"/>
        </w:rPr>
      </w:pPr>
      <w:r w:rsidRPr="00995394">
        <w:rPr>
          <w:rFonts w:cs="Courier New"/>
          <w:b/>
          <w:u w:val="single"/>
        </w:rPr>
        <w:t>Background and Brief Description</w:t>
      </w:r>
    </w:p>
    <w:p w14:paraId="7ABDEC37" w14:textId="77B3A16F" w:rsidR="003E6720" w:rsidRPr="003E6720" w:rsidRDefault="003E6720" w:rsidP="003E6720">
      <w:pPr>
        <w:spacing w:line="480" w:lineRule="auto"/>
        <w:ind w:firstLine="720"/>
        <w:rPr>
          <w:rFonts w:cs="Courier New"/>
        </w:rPr>
      </w:pPr>
      <w:r w:rsidRPr="003E6720">
        <w:rPr>
          <w:rFonts w:cs="Courier New"/>
        </w:rPr>
        <w:t>Aedes aegypti mosquitos are endemic throughout</w:t>
      </w:r>
      <w:r>
        <w:rPr>
          <w:rFonts w:cs="Courier New"/>
        </w:rPr>
        <w:t xml:space="preserve"> the tropics and sub-tropics</w:t>
      </w:r>
      <w:r w:rsidRPr="003E6720">
        <w:rPr>
          <w:rFonts w:cs="Courier New"/>
        </w:rPr>
        <w:t>, and are responsible for the transmission of dengue (DENV), chikungunya (CHIKV), and Zika virus (ZIKV). Local transmission of ZIKV was first iden</w:t>
      </w:r>
      <w:r>
        <w:rPr>
          <w:rFonts w:cs="Courier New"/>
        </w:rPr>
        <w:t>tified in the Americas in 2015</w:t>
      </w:r>
      <w:r w:rsidRPr="003E6720">
        <w:rPr>
          <w:rFonts w:cs="Courier New"/>
        </w:rPr>
        <w:t>, and has since expanded across nearly all areas of the tropics and sub-tropics in the Americas and Caribbean. Many individuals infected with ZIKV will experience either no symptoms of disease (i.e., asymptomatic infection) or a mild illness characterized by rash, fever, myalgia, and/or arthralgia, which will self-resolve within a week or less. However, ZIKV infection in pregnant women has recently been shown to cause microcephaly and other congenital anomalies, and has been associated with development of Guillain-Barré syndrome</w:t>
      </w:r>
      <w:r>
        <w:rPr>
          <w:rFonts w:cs="Courier New"/>
        </w:rPr>
        <w:t xml:space="preserve"> </w:t>
      </w:r>
      <w:r w:rsidRPr="003E6720">
        <w:rPr>
          <w:rFonts w:cs="Courier New"/>
        </w:rPr>
        <w:t>and severe thrombocytopenia. Hence, though initially perceived to be a relatively innocuous infection, the emergence of ZIKV in the Americas has revealed multiple associations with high-morbidity conditions and sequelae.</w:t>
      </w:r>
    </w:p>
    <w:p w14:paraId="631BECFE" w14:textId="366DAFAB" w:rsidR="003E6720" w:rsidRPr="003E6720" w:rsidRDefault="003E6720" w:rsidP="003E6720">
      <w:pPr>
        <w:spacing w:line="480" w:lineRule="auto"/>
        <w:ind w:firstLine="720"/>
        <w:rPr>
          <w:rFonts w:cs="Courier New"/>
        </w:rPr>
      </w:pPr>
      <w:r w:rsidRPr="003E6720">
        <w:rPr>
          <w:rFonts w:cs="Courier New"/>
        </w:rPr>
        <w:t>Traditional approaches to community-wide control of Ae. aegypti populations (e.g., fumigation, indoor/outdoor residual spraying, community education campaigns) have a long history of minimal to no success. Novel approaches (e.g., genetically-</w:t>
      </w:r>
      <w:r w:rsidRPr="003E6720">
        <w:rPr>
          <w:rFonts w:cs="Courier New"/>
        </w:rPr>
        <w:lastRenderedPageBreak/>
        <w:t>modified mosquitos, Wolbachia-infected mosquitos, improved mosquito traps) show much promise, but have not yet been shown to be effective in reducing the incidence of disease caused by viruses that are transmitted by Ae. aegypti. Therefore, a combination of approaches may be necessary to effectively reduce the impact of disease outbreaks caused by viruses transmitted by Ae. aegypti.</w:t>
      </w:r>
    </w:p>
    <w:p w14:paraId="415FC595" w14:textId="52DD42CD" w:rsidR="003E6720" w:rsidRPr="003E6720" w:rsidRDefault="003E6720" w:rsidP="003E6720">
      <w:pPr>
        <w:spacing w:line="480" w:lineRule="auto"/>
        <w:ind w:firstLine="720"/>
        <w:rPr>
          <w:rFonts w:cs="Courier New"/>
        </w:rPr>
      </w:pPr>
      <w:r w:rsidRPr="003E6720">
        <w:rPr>
          <w:rFonts w:cs="Courier New"/>
        </w:rPr>
        <w:t xml:space="preserve">Passive surveillance for ZIKV disease commenced in the US territory of Puerto Rico in late 2015 by adapting the passive dengue and chikungunya surveillance systems to incorporate reporting of and diagnostic testing for suspected ZIKV disease. Local transmission of ZIKV was first detected in Puerto Rico in November, 2015. After expanding across much of the island, to date &gt;5,500 laboratory-positive ZIKV disease cases have been reported to the Puerto Rico Department of Health (PRDH) via the Passive Arboviral Diseases Surveillance System (PADSS). In order to employ all possible approaches that are safe to humans and the flora and fauna of Puerto Rico to reduce the incidence of ZIKV infections in Puerto Rico, in early June 2016 the Director of the CDC recommended to PRDH and the Governor of Puerto Rico that a combination of aerial spraying, deployment of autocidal gravid ovitraps (AGO traps), indoor/outdoor residual spraying, and/or intensive community education campaigns be utilized to attempt to reduce the burden of ZIKV infections in Puerto Rico. </w:t>
      </w:r>
      <w:r w:rsidRPr="003E6720">
        <w:rPr>
          <w:rFonts w:cs="Courier New"/>
        </w:rPr>
        <w:lastRenderedPageBreak/>
        <w:t xml:space="preserve">Such efforts are currently slated to begin in early July 2016. </w:t>
      </w:r>
    </w:p>
    <w:p w14:paraId="05ECB755" w14:textId="557DC6C0" w:rsidR="003E6720" w:rsidRPr="003E6720" w:rsidRDefault="003E6720" w:rsidP="003E6720">
      <w:pPr>
        <w:spacing w:line="480" w:lineRule="auto"/>
        <w:rPr>
          <w:rFonts w:cs="Courier New"/>
        </w:rPr>
      </w:pPr>
      <w:r w:rsidRPr="003E6720">
        <w:rPr>
          <w:rFonts w:cs="Courier New"/>
        </w:rPr>
        <w:t xml:space="preserve">Because Aedes species mosquitoes live in and around homes and other areas where humans congregate (e.g., schools) and do not typically fly more than a few hundred meters, the geographic distribution of both chikungunya and dengue virus infections tend to be highly focal. Because Aedes species mosquitos are most active during the daytime, particularly at dusk and dawn, hours when most household members are at home, dengue and chikungunya cases frequently cluster within households. Previous dengue cluster investigations demonstrated rates of DENV infection of 2.2–12.4% among household members and neighbors residing within 10–100 meters of confirmed dengue cases. These studies enabled identification of household-level risk factors for DENV infection, such as uncovered water storage containers being a risk factor for DENV infection, and piped household water and use of mosquito nets as being protective against DENV infection. Dengue and chikungunya cluster investigations have also enabled identification of asymptomatic and sub-clinical infections that would not otherwise have been detected through traditional passive surveillance, thereby providing additional information about the incidence and consequence health burden of infection. </w:t>
      </w:r>
    </w:p>
    <w:p w14:paraId="6541EE5A" w14:textId="77777777" w:rsidR="003E6720" w:rsidRPr="003E6720" w:rsidRDefault="003E6720" w:rsidP="003E6720">
      <w:pPr>
        <w:spacing w:line="480" w:lineRule="auto"/>
        <w:ind w:firstLine="720"/>
        <w:rPr>
          <w:rFonts w:cs="Courier New"/>
        </w:rPr>
      </w:pPr>
      <w:r w:rsidRPr="003E6720">
        <w:rPr>
          <w:rFonts w:cs="Courier New"/>
        </w:rPr>
        <w:t xml:space="preserve">Household-based cluster investigations have not yet been conducted during ZIKV outbreaks in Puerto Rico or elsewhere. </w:t>
      </w:r>
      <w:r w:rsidRPr="003E6720">
        <w:rPr>
          <w:rFonts w:cs="Courier New"/>
        </w:rPr>
        <w:lastRenderedPageBreak/>
        <w:t xml:space="preserve">Such investigations would enable enhanced case finding and subsequent extrapolation of current rates of under-reporting of ZIKV disease cases (due either to lack of presentation for care, clinical misdiagnosis, or failure for cases to be reported), description of the symptomatology of infected individuals, and elucidation of risk factors for infection among the individuals included in the investigation, which may or may not be the same as those amongst the larger population. </w:t>
      </w:r>
    </w:p>
    <w:p w14:paraId="2D61CE8F" w14:textId="77777777" w:rsidR="003E6720" w:rsidRPr="003E6720" w:rsidRDefault="003E6720" w:rsidP="003E6720">
      <w:pPr>
        <w:spacing w:line="480" w:lineRule="auto"/>
        <w:ind w:firstLine="720"/>
        <w:rPr>
          <w:rFonts w:cs="Courier New"/>
        </w:rPr>
      </w:pPr>
      <w:r w:rsidRPr="003E6720">
        <w:rPr>
          <w:rFonts w:cs="Courier New"/>
        </w:rPr>
        <w:t>Simultaneously performing dengue, chikungunya, and Zika diagnostic testing may enable identification of differences in clinical and epidemiologic aspects of the three illnesses. More importantly, however, conducting such investigations in areas with and without intensive vector control efforts would provide the opportunity to extrapolate cluster-specific rates of ZIKV infection to then assess the effectiveness of vector control interventions. This information may be utilized to improve surveillance for and characterization of ZIKV disease in Puerto Rico, and provide ongoing feedback to public health partners regarding if the various approaches to vector control are having an appreciable effect on reducing ZIKV infections.</w:t>
      </w:r>
    </w:p>
    <w:p w14:paraId="1C3E11F4" w14:textId="77777777" w:rsidR="003E6720" w:rsidRPr="003E6720" w:rsidRDefault="003E6720" w:rsidP="003E6720">
      <w:pPr>
        <w:spacing w:line="480" w:lineRule="auto"/>
        <w:ind w:firstLine="720"/>
        <w:rPr>
          <w:rFonts w:cs="Courier New"/>
        </w:rPr>
      </w:pPr>
      <w:r w:rsidRPr="003E6720">
        <w:rPr>
          <w:rFonts w:cs="Courier New"/>
        </w:rPr>
        <w:t xml:space="preserve">Utilization of both passive surveillance data and household-based cluster investigations are expected to be associated with limitations in interpretation of findings with regard to if and how well they represent the epidemiologic </w:t>
      </w:r>
      <w:r w:rsidRPr="003E6720">
        <w:rPr>
          <w:rFonts w:cs="Courier New"/>
        </w:rPr>
        <w:lastRenderedPageBreak/>
        <w:t>trends in ZIKV infection. Nonetheless, due to the urgent need for rapid assessment of the relationship between community-wide interventions and the concomitant incidence of ZIKV infections and/or ZIKV disease, such approaches are the only available methodology to rapidly gather such information. If findings from both passive surveillance data and household-based cluster investigations are considered together, they may provide a more informed interpretation of the community-wide patterns of ZIKV infections. Nonetheless, a community-wide serosurvey may be a more reliable approach to estimate the incidence of ZIKV infections in intervention and non-intervention community to thereby assess community-wide vector control interventions. Should such an assessment be conducted in the future, it will be submitted as a separate information collection request to OMB.</w:t>
      </w:r>
    </w:p>
    <w:p w14:paraId="1443747E" w14:textId="77777777" w:rsidR="003E6720" w:rsidRPr="003E6720" w:rsidRDefault="003E6720" w:rsidP="003E6720">
      <w:pPr>
        <w:spacing w:line="480" w:lineRule="auto"/>
        <w:rPr>
          <w:rFonts w:cs="Courier New"/>
        </w:rPr>
      </w:pPr>
      <w:r w:rsidRPr="003E6720">
        <w:rPr>
          <w:rFonts w:cs="Courier New"/>
        </w:rPr>
        <w:t>Findings will be used to develop or refine messaging to the public and medical communities to improve case-seeking behavior and case reporting, respectively.</w:t>
      </w:r>
    </w:p>
    <w:p w14:paraId="3DF92C60" w14:textId="382B3AAE" w:rsidR="00CD51FE" w:rsidRPr="003E6720" w:rsidRDefault="003E6720" w:rsidP="003E6720">
      <w:pPr>
        <w:spacing w:line="480" w:lineRule="auto"/>
        <w:ind w:firstLine="720"/>
        <w:rPr>
          <w:rFonts w:cs="Courier New"/>
        </w:rPr>
      </w:pPr>
      <w:r w:rsidRPr="003E6720">
        <w:rPr>
          <w:rFonts w:cs="Courier New"/>
        </w:rPr>
        <w:t>This information collection request is authorized by Section 301 of the Public Health Service Act (42 U.S.C. 241)</w:t>
      </w:r>
      <w:r>
        <w:rPr>
          <w:rFonts w:cs="Courier New"/>
        </w:rPr>
        <w:t>. There is no cost to respondents other than the time to participate.</w:t>
      </w:r>
      <w:r w:rsidR="00B6649C">
        <w:rPr>
          <w:rFonts w:cs="Courier New"/>
        </w:rPr>
        <w:t xml:space="preserve"> The total number of estimated annualized burden hours is 560.</w:t>
      </w:r>
    </w:p>
    <w:p w14:paraId="3DF92C61" w14:textId="77777777" w:rsidR="00CD51FE" w:rsidRPr="00995394" w:rsidRDefault="00CD51FE" w:rsidP="00CD51FE">
      <w:pPr>
        <w:spacing w:line="480" w:lineRule="auto"/>
        <w:rPr>
          <w:rFonts w:cs="Courier New"/>
          <w:b/>
          <w:u w:val="single"/>
        </w:rPr>
      </w:pPr>
    </w:p>
    <w:p w14:paraId="3DF92C62" w14:textId="77777777" w:rsidR="00CD51FE" w:rsidRDefault="00CD51FE" w:rsidP="00CD51FE">
      <w:pPr>
        <w:tabs>
          <w:tab w:val="left" w:pos="0"/>
        </w:tabs>
        <w:spacing w:line="480" w:lineRule="auto"/>
        <w:rPr>
          <w:rFonts w:cs="EEAGN D+ Melior"/>
          <w:color w:val="000000"/>
        </w:rPr>
      </w:pPr>
      <w:r w:rsidRPr="00A428E1">
        <w:rPr>
          <w:rFonts w:cs="EEAGN D+ Melior"/>
          <w:color w:val="000000"/>
          <w:u w:val="single"/>
        </w:rPr>
        <w:t>Estimated Annualized Burden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2040"/>
        <w:gridCol w:w="1760"/>
        <w:gridCol w:w="1619"/>
        <w:gridCol w:w="1339"/>
        <w:gridCol w:w="1058"/>
      </w:tblGrid>
      <w:tr w:rsidR="00CD51FE" w:rsidRPr="008E1BA4" w14:paraId="3DF92C69" w14:textId="77777777" w:rsidTr="0008461D">
        <w:tc>
          <w:tcPr>
            <w:tcW w:w="1801" w:type="dxa"/>
            <w:shd w:val="clear" w:color="auto" w:fill="auto"/>
          </w:tcPr>
          <w:p w14:paraId="3DF92C63" w14:textId="77777777" w:rsidR="00CD51FE" w:rsidRPr="008E1BA4" w:rsidRDefault="00CD51FE" w:rsidP="0008461D">
            <w:pPr>
              <w:tabs>
                <w:tab w:val="left" w:pos="0"/>
              </w:tabs>
              <w:rPr>
                <w:rFonts w:cs="EEAGN D+ Melior"/>
                <w:color w:val="000000"/>
              </w:rPr>
            </w:pPr>
            <w:r w:rsidRPr="008E1BA4">
              <w:rPr>
                <w:rFonts w:cs="EEAGN D+ Melior"/>
                <w:color w:val="000000"/>
              </w:rPr>
              <w:lastRenderedPageBreak/>
              <w:t>Type of Respondents</w:t>
            </w:r>
          </w:p>
        </w:tc>
        <w:tc>
          <w:tcPr>
            <w:tcW w:w="997" w:type="dxa"/>
            <w:shd w:val="clear" w:color="auto" w:fill="auto"/>
          </w:tcPr>
          <w:p w14:paraId="3DF92C64" w14:textId="77777777" w:rsidR="00CD51FE" w:rsidRPr="008E1BA4" w:rsidRDefault="00CD51FE" w:rsidP="0008461D">
            <w:pPr>
              <w:tabs>
                <w:tab w:val="left" w:pos="0"/>
              </w:tabs>
              <w:rPr>
                <w:rFonts w:cs="EEAGN D+ Melior"/>
                <w:color w:val="000000"/>
              </w:rPr>
            </w:pPr>
            <w:r w:rsidRPr="008E1BA4">
              <w:rPr>
                <w:rFonts w:cs="EEAGN D+ Melior"/>
                <w:color w:val="000000"/>
              </w:rPr>
              <w:t>Form Name</w:t>
            </w:r>
          </w:p>
        </w:tc>
        <w:tc>
          <w:tcPr>
            <w:tcW w:w="1801" w:type="dxa"/>
            <w:shd w:val="clear" w:color="auto" w:fill="auto"/>
          </w:tcPr>
          <w:p w14:paraId="3DF92C65" w14:textId="77777777" w:rsidR="00CD51FE" w:rsidRPr="008E1BA4" w:rsidRDefault="00CD51FE" w:rsidP="0008461D">
            <w:pPr>
              <w:tabs>
                <w:tab w:val="left" w:pos="0"/>
              </w:tabs>
              <w:rPr>
                <w:rFonts w:cs="EEAGN D+ Melior"/>
                <w:color w:val="000000"/>
              </w:rPr>
            </w:pPr>
            <w:r w:rsidRPr="008E1BA4">
              <w:rPr>
                <w:rFonts w:cs="EEAGN D+ Melior"/>
                <w:color w:val="000000"/>
              </w:rPr>
              <w:t>No. of Respondents</w:t>
            </w:r>
          </w:p>
        </w:tc>
        <w:tc>
          <w:tcPr>
            <w:tcW w:w="1657" w:type="dxa"/>
            <w:shd w:val="clear" w:color="auto" w:fill="auto"/>
          </w:tcPr>
          <w:p w14:paraId="3DF92C66" w14:textId="77777777" w:rsidR="00CD51FE" w:rsidRPr="008E1BA4" w:rsidRDefault="00CD51FE" w:rsidP="0008461D">
            <w:pPr>
              <w:tabs>
                <w:tab w:val="left" w:pos="0"/>
              </w:tabs>
              <w:rPr>
                <w:rFonts w:cs="EEAGN D+ Melior"/>
                <w:color w:val="000000"/>
              </w:rPr>
            </w:pPr>
            <w:r w:rsidRPr="008E1BA4">
              <w:rPr>
                <w:rFonts w:cs="EEAGN D+ Melior"/>
                <w:color w:val="000000"/>
              </w:rPr>
              <w:t>No. of Responses per Respondent</w:t>
            </w:r>
          </w:p>
        </w:tc>
        <w:tc>
          <w:tcPr>
            <w:tcW w:w="1401" w:type="dxa"/>
            <w:shd w:val="clear" w:color="auto" w:fill="auto"/>
          </w:tcPr>
          <w:p w14:paraId="3DF92C67" w14:textId="77777777" w:rsidR="00CD51FE" w:rsidRPr="008E1BA4" w:rsidRDefault="00CD51FE" w:rsidP="0008461D">
            <w:pPr>
              <w:tabs>
                <w:tab w:val="left" w:pos="0"/>
              </w:tabs>
              <w:rPr>
                <w:rFonts w:cs="EEAGN D+ Melior"/>
                <w:color w:val="000000"/>
              </w:rPr>
            </w:pPr>
            <w:r w:rsidRPr="008E1BA4">
              <w:rPr>
                <w:rFonts w:cs="EEAGN D+ Melior"/>
                <w:color w:val="000000"/>
              </w:rPr>
              <w:t>Avg. Burden per Response (in hrs.)</w:t>
            </w:r>
          </w:p>
        </w:tc>
        <w:tc>
          <w:tcPr>
            <w:tcW w:w="1199" w:type="dxa"/>
            <w:shd w:val="clear" w:color="auto" w:fill="auto"/>
          </w:tcPr>
          <w:p w14:paraId="3DF92C68" w14:textId="77777777" w:rsidR="00CD51FE" w:rsidRPr="008E1BA4" w:rsidRDefault="00CD51FE" w:rsidP="0008461D">
            <w:pPr>
              <w:tabs>
                <w:tab w:val="left" w:pos="0"/>
              </w:tabs>
              <w:rPr>
                <w:rFonts w:cs="EEAGN D+ Melior"/>
                <w:color w:val="000000"/>
              </w:rPr>
            </w:pPr>
            <w:r w:rsidRPr="008E1BA4">
              <w:rPr>
                <w:rFonts w:cs="EEAGN D+ Melior"/>
                <w:color w:val="000000"/>
              </w:rPr>
              <w:t>Total Burden (in hrs.)</w:t>
            </w:r>
          </w:p>
        </w:tc>
      </w:tr>
      <w:tr w:rsidR="00A811F4" w:rsidRPr="008E1BA4" w14:paraId="3DF92C70" w14:textId="77777777" w:rsidTr="0008461D">
        <w:tc>
          <w:tcPr>
            <w:tcW w:w="1801" w:type="dxa"/>
            <w:vMerge w:val="restart"/>
            <w:shd w:val="clear" w:color="auto" w:fill="auto"/>
          </w:tcPr>
          <w:p w14:paraId="3DF92C6A" w14:textId="6EB51DA4" w:rsidR="00A811F4" w:rsidRPr="008E1BA4" w:rsidRDefault="00A811F4" w:rsidP="0008461D">
            <w:pPr>
              <w:tabs>
                <w:tab w:val="left" w:pos="0"/>
              </w:tabs>
              <w:rPr>
                <w:rFonts w:cs="EEAGN D+ Melior"/>
                <w:color w:val="000000"/>
              </w:rPr>
            </w:pPr>
            <w:r>
              <w:rPr>
                <w:rFonts w:cs="EEAGN D+ Melior"/>
                <w:color w:val="000000"/>
              </w:rPr>
              <w:t>General public</w:t>
            </w:r>
          </w:p>
        </w:tc>
        <w:tc>
          <w:tcPr>
            <w:tcW w:w="997" w:type="dxa"/>
            <w:shd w:val="clear" w:color="auto" w:fill="auto"/>
          </w:tcPr>
          <w:p w14:paraId="3DF92C6B" w14:textId="353F1630" w:rsidR="00A811F4" w:rsidRPr="008E1BA4" w:rsidRDefault="00A811F4" w:rsidP="0008461D">
            <w:pPr>
              <w:tabs>
                <w:tab w:val="left" w:pos="0"/>
              </w:tabs>
              <w:rPr>
                <w:rFonts w:cs="EEAGN D+ Melior"/>
                <w:color w:val="000000"/>
              </w:rPr>
            </w:pPr>
            <w:r>
              <w:rPr>
                <w:rFonts w:cs="EEAGN D+ Melior"/>
                <w:color w:val="000000"/>
              </w:rPr>
              <w:t>Household questionnaire</w:t>
            </w:r>
          </w:p>
        </w:tc>
        <w:tc>
          <w:tcPr>
            <w:tcW w:w="1801" w:type="dxa"/>
            <w:shd w:val="clear" w:color="auto" w:fill="auto"/>
          </w:tcPr>
          <w:p w14:paraId="3DF92C6C" w14:textId="504301C8" w:rsidR="00A811F4" w:rsidRPr="008E1BA4" w:rsidRDefault="00A811F4" w:rsidP="0008461D">
            <w:pPr>
              <w:tabs>
                <w:tab w:val="left" w:pos="0"/>
              </w:tabs>
              <w:rPr>
                <w:rFonts w:cs="EEAGN D+ Melior"/>
                <w:color w:val="000000"/>
              </w:rPr>
            </w:pPr>
            <w:r>
              <w:rPr>
                <w:rFonts w:cs="EEAGN D+ Melior"/>
                <w:color w:val="000000"/>
              </w:rPr>
              <w:t>200</w:t>
            </w:r>
          </w:p>
        </w:tc>
        <w:tc>
          <w:tcPr>
            <w:tcW w:w="1657" w:type="dxa"/>
            <w:shd w:val="clear" w:color="auto" w:fill="auto"/>
          </w:tcPr>
          <w:p w14:paraId="3DF92C6D" w14:textId="35A84766" w:rsidR="00A811F4" w:rsidRPr="008E1BA4" w:rsidRDefault="00A811F4" w:rsidP="0008461D">
            <w:pPr>
              <w:tabs>
                <w:tab w:val="left" w:pos="0"/>
              </w:tabs>
              <w:rPr>
                <w:rFonts w:cs="EEAGN D+ Melior"/>
                <w:color w:val="000000"/>
              </w:rPr>
            </w:pPr>
            <w:r>
              <w:rPr>
                <w:rFonts w:cs="EEAGN D+ Melior"/>
                <w:color w:val="000000"/>
              </w:rPr>
              <w:t>1</w:t>
            </w:r>
          </w:p>
        </w:tc>
        <w:tc>
          <w:tcPr>
            <w:tcW w:w="1401" w:type="dxa"/>
            <w:shd w:val="clear" w:color="auto" w:fill="auto"/>
          </w:tcPr>
          <w:p w14:paraId="3DF92C6E" w14:textId="13C7E38E" w:rsidR="00A811F4" w:rsidRPr="008E1BA4" w:rsidRDefault="00A811F4" w:rsidP="0008461D">
            <w:pPr>
              <w:tabs>
                <w:tab w:val="left" w:pos="0"/>
              </w:tabs>
              <w:rPr>
                <w:rFonts w:cs="EEAGN D+ Melior"/>
                <w:color w:val="000000"/>
              </w:rPr>
            </w:pPr>
            <w:r>
              <w:rPr>
                <w:rFonts w:cs="EEAGN D+ Melior"/>
                <w:color w:val="000000"/>
              </w:rPr>
              <w:t>18/60</w:t>
            </w:r>
          </w:p>
        </w:tc>
        <w:tc>
          <w:tcPr>
            <w:tcW w:w="1199" w:type="dxa"/>
            <w:shd w:val="clear" w:color="auto" w:fill="auto"/>
          </w:tcPr>
          <w:p w14:paraId="3DF92C6F" w14:textId="76718DB5" w:rsidR="00A811F4" w:rsidRPr="008E1BA4" w:rsidRDefault="00A811F4" w:rsidP="0008461D">
            <w:pPr>
              <w:tabs>
                <w:tab w:val="left" w:pos="0"/>
              </w:tabs>
              <w:rPr>
                <w:rFonts w:cs="EEAGN D+ Melior"/>
                <w:color w:val="000000"/>
              </w:rPr>
            </w:pPr>
            <w:r>
              <w:rPr>
                <w:rFonts w:cs="EEAGN D+ Melior"/>
                <w:color w:val="000000"/>
              </w:rPr>
              <w:t>60</w:t>
            </w:r>
          </w:p>
        </w:tc>
      </w:tr>
      <w:tr w:rsidR="00A811F4" w:rsidRPr="008E1BA4" w14:paraId="1D89DCC1" w14:textId="77777777" w:rsidTr="0008461D">
        <w:tc>
          <w:tcPr>
            <w:tcW w:w="1801" w:type="dxa"/>
            <w:vMerge/>
            <w:shd w:val="clear" w:color="auto" w:fill="auto"/>
          </w:tcPr>
          <w:p w14:paraId="50F78857" w14:textId="77777777" w:rsidR="00A811F4" w:rsidRPr="008E1BA4" w:rsidRDefault="00A811F4" w:rsidP="0008461D">
            <w:pPr>
              <w:tabs>
                <w:tab w:val="left" w:pos="0"/>
              </w:tabs>
              <w:rPr>
                <w:rFonts w:cs="EEAGN D+ Melior"/>
                <w:color w:val="000000"/>
              </w:rPr>
            </w:pPr>
          </w:p>
        </w:tc>
        <w:tc>
          <w:tcPr>
            <w:tcW w:w="997" w:type="dxa"/>
            <w:shd w:val="clear" w:color="auto" w:fill="auto"/>
          </w:tcPr>
          <w:p w14:paraId="43364992" w14:textId="7D5651C2" w:rsidR="00A811F4" w:rsidRPr="008E1BA4" w:rsidRDefault="00A811F4" w:rsidP="0008461D">
            <w:pPr>
              <w:tabs>
                <w:tab w:val="left" w:pos="0"/>
              </w:tabs>
              <w:rPr>
                <w:rFonts w:cs="EEAGN D+ Melior"/>
                <w:color w:val="000000"/>
              </w:rPr>
            </w:pPr>
            <w:r>
              <w:rPr>
                <w:rFonts w:cs="EEAGN D+ Melior"/>
                <w:color w:val="000000"/>
              </w:rPr>
              <w:t>Individual questionnaire</w:t>
            </w:r>
          </w:p>
        </w:tc>
        <w:tc>
          <w:tcPr>
            <w:tcW w:w="1801" w:type="dxa"/>
            <w:shd w:val="clear" w:color="auto" w:fill="auto"/>
          </w:tcPr>
          <w:p w14:paraId="14B14952" w14:textId="738B8D2A" w:rsidR="00A811F4" w:rsidRPr="008E1BA4" w:rsidRDefault="00A811F4" w:rsidP="0008461D">
            <w:pPr>
              <w:tabs>
                <w:tab w:val="left" w:pos="0"/>
              </w:tabs>
              <w:rPr>
                <w:rFonts w:cs="EEAGN D+ Melior"/>
                <w:color w:val="000000"/>
              </w:rPr>
            </w:pPr>
            <w:r>
              <w:rPr>
                <w:rFonts w:cs="EEAGN D+ Melior"/>
                <w:color w:val="000000"/>
              </w:rPr>
              <w:t>500</w:t>
            </w:r>
          </w:p>
        </w:tc>
        <w:tc>
          <w:tcPr>
            <w:tcW w:w="1657" w:type="dxa"/>
            <w:shd w:val="clear" w:color="auto" w:fill="auto"/>
          </w:tcPr>
          <w:p w14:paraId="70569C1D" w14:textId="4BB370AE" w:rsidR="00A811F4" w:rsidRPr="008E1BA4" w:rsidRDefault="00A811F4" w:rsidP="0008461D">
            <w:pPr>
              <w:tabs>
                <w:tab w:val="left" w:pos="0"/>
              </w:tabs>
              <w:rPr>
                <w:rFonts w:cs="EEAGN D+ Melior"/>
                <w:color w:val="000000"/>
              </w:rPr>
            </w:pPr>
            <w:r>
              <w:rPr>
                <w:rFonts w:cs="EEAGN D+ Melior"/>
                <w:color w:val="000000"/>
              </w:rPr>
              <w:t>2</w:t>
            </w:r>
          </w:p>
        </w:tc>
        <w:tc>
          <w:tcPr>
            <w:tcW w:w="1401" w:type="dxa"/>
            <w:shd w:val="clear" w:color="auto" w:fill="auto"/>
          </w:tcPr>
          <w:p w14:paraId="45AFEFC2" w14:textId="3DF696C2" w:rsidR="00A811F4" w:rsidRPr="008E1BA4" w:rsidRDefault="00A811F4" w:rsidP="0008461D">
            <w:pPr>
              <w:tabs>
                <w:tab w:val="left" w:pos="0"/>
              </w:tabs>
              <w:rPr>
                <w:rFonts w:cs="EEAGN D+ Melior"/>
                <w:color w:val="000000"/>
              </w:rPr>
            </w:pPr>
            <w:r>
              <w:rPr>
                <w:rFonts w:cs="EEAGN D+ Melior"/>
                <w:color w:val="000000"/>
              </w:rPr>
              <w:t>30/60</w:t>
            </w:r>
          </w:p>
        </w:tc>
        <w:tc>
          <w:tcPr>
            <w:tcW w:w="1199" w:type="dxa"/>
            <w:shd w:val="clear" w:color="auto" w:fill="auto"/>
          </w:tcPr>
          <w:p w14:paraId="098DBC9F" w14:textId="38025842" w:rsidR="00A811F4" w:rsidRPr="008E1BA4" w:rsidRDefault="00A811F4" w:rsidP="0008461D">
            <w:pPr>
              <w:tabs>
                <w:tab w:val="left" w:pos="0"/>
              </w:tabs>
              <w:rPr>
                <w:rFonts w:cs="EEAGN D+ Melior"/>
                <w:color w:val="000000"/>
              </w:rPr>
            </w:pPr>
            <w:r>
              <w:rPr>
                <w:rFonts w:cs="EEAGN D+ Melior"/>
                <w:color w:val="000000"/>
              </w:rPr>
              <w:t>500</w:t>
            </w:r>
          </w:p>
        </w:tc>
      </w:tr>
      <w:tr w:rsidR="00CD51FE" w:rsidRPr="008E1BA4" w14:paraId="3DF92C74" w14:textId="77777777" w:rsidTr="0008461D">
        <w:tc>
          <w:tcPr>
            <w:tcW w:w="1801" w:type="dxa"/>
            <w:shd w:val="clear" w:color="auto" w:fill="auto"/>
          </w:tcPr>
          <w:p w14:paraId="3DF92C71" w14:textId="77777777" w:rsidR="00CD51FE" w:rsidRPr="008E1BA4" w:rsidRDefault="007213EB" w:rsidP="0008461D">
            <w:pPr>
              <w:tabs>
                <w:tab w:val="left" w:pos="0"/>
              </w:tabs>
              <w:rPr>
                <w:rFonts w:cs="EEAGN D+ Melior"/>
                <w:color w:val="000000"/>
              </w:rPr>
            </w:pPr>
            <w:r w:rsidRPr="008E1BA4">
              <w:rPr>
                <w:rFonts w:cs="EEAGN D+ Melior"/>
                <w:color w:val="000000"/>
              </w:rPr>
              <w:t>Total</w:t>
            </w:r>
          </w:p>
        </w:tc>
        <w:tc>
          <w:tcPr>
            <w:tcW w:w="5856" w:type="dxa"/>
            <w:gridSpan w:val="4"/>
            <w:shd w:val="clear" w:color="auto" w:fill="auto"/>
          </w:tcPr>
          <w:p w14:paraId="3DF92C72" w14:textId="77777777" w:rsidR="00CD51FE" w:rsidRPr="008E1BA4" w:rsidRDefault="00CD51FE" w:rsidP="0008461D">
            <w:pPr>
              <w:tabs>
                <w:tab w:val="left" w:pos="0"/>
              </w:tabs>
              <w:rPr>
                <w:rFonts w:cs="EEAGN D+ Melior"/>
                <w:color w:val="000000"/>
              </w:rPr>
            </w:pPr>
          </w:p>
        </w:tc>
        <w:tc>
          <w:tcPr>
            <w:tcW w:w="1199" w:type="dxa"/>
            <w:shd w:val="clear" w:color="auto" w:fill="auto"/>
          </w:tcPr>
          <w:p w14:paraId="3DF92C73" w14:textId="4D00B644" w:rsidR="00CD51FE" w:rsidRPr="008E1BA4" w:rsidRDefault="00A811F4" w:rsidP="0008461D">
            <w:pPr>
              <w:tabs>
                <w:tab w:val="left" w:pos="0"/>
              </w:tabs>
              <w:rPr>
                <w:rFonts w:cs="EEAGN D+ Melior"/>
                <w:color w:val="000000"/>
              </w:rPr>
            </w:pPr>
            <w:r>
              <w:rPr>
                <w:rFonts w:cs="EEAGN D+ Melior"/>
                <w:color w:val="000000"/>
              </w:rPr>
              <w:t>560</w:t>
            </w:r>
            <w:bookmarkStart w:id="0" w:name="_GoBack"/>
            <w:bookmarkEnd w:id="0"/>
          </w:p>
        </w:tc>
      </w:tr>
    </w:tbl>
    <w:p w14:paraId="3DF92C75" w14:textId="77777777" w:rsidR="00CD51FE" w:rsidRDefault="00CD51FE" w:rsidP="00CD51FE">
      <w:pPr>
        <w:tabs>
          <w:tab w:val="left" w:pos="0"/>
        </w:tabs>
        <w:spacing w:line="480" w:lineRule="auto"/>
        <w:rPr>
          <w:rFonts w:cs="EEAGN D+ Melior"/>
          <w:color w:val="000000"/>
        </w:rPr>
      </w:pPr>
    </w:p>
    <w:p w14:paraId="3DF92C76" w14:textId="77777777" w:rsidR="00CD51FE" w:rsidRDefault="00CD51FE" w:rsidP="00CD51FE">
      <w:pPr>
        <w:spacing w:line="480" w:lineRule="auto"/>
        <w:rPr>
          <w:rFonts w:cs="Courier New"/>
        </w:rPr>
      </w:pPr>
      <w:r>
        <w:rPr>
          <w:rFonts w:cs="Courier New"/>
        </w:rPr>
        <w:t>Dated:</w:t>
      </w:r>
    </w:p>
    <w:p w14:paraId="3DF92C77" w14:textId="77777777" w:rsidR="00CD51FE" w:rsidRDefault="00CD51FE" w:rsidP="00CD51FE">
      <w:pPr>
        <w:spacing w:line="480" w:lineRule="auto"/>
        <w:rPr>
          <w:rFonts w:cs="Courier New"/>
        </w:rPr>
      </w:pPr>
    </w:p>
    <w:p w14:paraId="3DF92C78" w14:textId="77777777" w:rsidR="00CD51FE" w:rsidRDefault="00CD51FE" w:rsidP="00CD51FE">
      <w:pPr>
        <w:ind w:left="2160" w:firstLine="720"/>
        <w:rPr>
          <w:rFonts w:cs="Courier New"/>
        </w:rPr>
      </w:pPr>
      <w:r>
        <w:rPr>
          <w:rFonts w:cs="Courier New"/>
        </w:rPr>
        <w:t>__________________________________</w:t>
      </w:r>
    </w:p>
    <w:p w14:paraId="3DF92C79" w14:textId="3DAE4371" w:rsidR="00CD51FE" w:rsidRPr="008D1C7C" w:rsidRDefault="00CD51FE" w:rsidP="00CD5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Courier New"/>
          <w:color w:val="000000"/>
        </w:rPr>
      </w:pPr>
      <w:r>
        <w:rPr>
          <w:rFonts w:cs="Courier New"/>
          <w:color w:val="000000"/>
        </w:rPr>
        <w:tab/>
      </w:r>
      <w:r>
        <w:rPr>
          <w:rFonts w:cs="Courier New"/>
          <w:color w:val="000000"/>
        </w:rPr>
        <w:tab/>
      </w:r>
      <w:r>
        <w:rPr>
          <w:rFonts w:cs="Courier New"/>
          <w:color w:val="000000"/>
        </w:rPr>
        <w:tab/>
      </w:r>
      <w:r>
        <w:rPr>
          <w:rFonts w:cs="Courier New"/>
          <w:color w:val="000000"/>
        </w:rPr>
        <w:tab/>
      </w:r>
      <w:r w:rsidR="00205279">
        <w:rPr>
          <w:rFonts w:cs="Courier New"/>
          <w:color w:val="000000"/>
        </w:rPr>
        <w:t>Jeffrey M. Zirger</w:t>
      </w:r>
    </w:p>
    <w:p w14:paraId="3DF92C7A" w14:textId="5AD6EDD4" w:rsidR="00CD51FE" w:rsidRPr="008D1C7C" w:rsidRDefault="00205279" w:rsidP="00205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left="2880" w:right="-720"/>
        <w:rPr>
          <w:rFonts w:cs="Courier New"/>
          <w:color w:val="000000"/>
        </w:rPr>
      </w:pPr>
      <w:r>
        <w:rPr>
          <w:rFonts w:cs="Courier New"/>
          <w:color w:val="000000"/>
        </w:rPr>
        <w:t xml:space="preserve">Acting </w:t>
      </w:r>
      <w:r w:rsidR="00CD51FE" w:rsidRPr="008D1C7C">
        <w:rPr>
          <w:rFonts w:cs="Courier New"/>
          <w:color w:val="000000"/>
        </w:rPr>
        <w:t xml:space="preserve">Chief, Information Collection Review Office </w:t>
      </w:r>
      <w:r w:rsidR="00CD51FE" w:rsidRPr="008D1C7C">
        <w:rPr>
          <w:rFonts w:cs="Courier New"/>
          <w:color w:val="000000"/>
        </w:rPr>
        <w:tab/>
      </w:r>
    </w:p>
    <w:p w14:paraId="3DF92C7B" w14:textId="77777777" w:rsidR="00CD51FE" w:rsidRPr="008D1C7C" w:rsidRDefault="00CD51FE" w:rsidP="00CD5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Courier New"/>
          <w:color w:val="000000"/>
        </w:rPr>
      </w:pPr>
      <w:r>
        <w:rPr>
          <w:rFonts w:cs="Courier New"/>
          <w:color w:val="000000"/>
        </w:rPr>
        <w:tab/>
      </w:r>
      <w:r>
        <w:rPr>
          <w:rFonts w:cs="Courier New"/>
          <w:color w:val="000000"/>
        </w:rPr>
        <w:tab/>
      </w:r>
      <w:r>
        <w:rPr>
          <w:rFonts w:cs="Courier New"/>
          <w:color w:val="000000"/>
        </w:rPr>
        <w:tab/>
      </w:r>
      <w:r>
        <w:rPr>
          <w:rFonts w:cs="Courier New"/>
          <w:color w:val="000000"/>
        </w:rPr>
        <w:tab/>
      </w:r>
      <w:r w:rsidRPr="008D1C7C">
        <w:rPr>
          <w:rFonts w:cs="Courier New"/>
          <w:color w:val="000000"/>
        </w:rPr>
        <w:t>Office of Scientific Integrity</w:t>
      </w:r>
    </w:p>
    <w:p w14:paraId="3DF92C7C" w14:textId="77777777" w:rsidR="00CD51FE" w:rsidRPr="008D1C7C" w:rsidRDefault="00CD51FE" w:rsidP="00CD5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Courier New"/>
          <w:color w:val="000000"/>
        </w:rPr>
      </w:pPr>
      <w:r>
        <w:rPr>
          <w:rFonts w:cs="Courier New"/>
          <w:color w:val="000000"/>
        </w:rPr>
        <w:tab/>
      </w:r>
      <w:r>
        <w:rPr>
          <w:rFonts w:cs="Courier New"/>
          <w:color w:val="000000"/>
        </w:rPr>
        <w:tab/>
      </w:r>
      <w:r>
        <w:rPr>
          <w:rFonts w:cs="Courier New"/>
          <w:color w:val="000000"/>
        </w:rPr>
        <w:tab/>
      </w:r>
      <w:r>
        <w:rPr>
          <w:rFonts w:cs="Courier New"/>
          <w:color w:val="000000"/>
        </w:rPr>
        <w:tab/>
      </w:r>
      <w:r w:rsidRPr="008D1C7C">
        <w:rPr>
          <w:rFonts w:cs="Courier New"/>
          <w:color w:val="000000"/>
        </w:rPr>
        <w:t>Office of the Associate Director for Science</w:t>
      </w:r>
    </w:p>
    <w:p w14:paraId="3DF92C7D" w14:textId="77777777" w:rsidR="00CD51FE" w:rsidRDefault="00CD51FE" w:rsidP="00CD5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Courier New"/>
          <w:color w:val="000000"/>
        </w:rPr>
      </w:pPr>
      <w:r>
        <w:rPr>
          <w:rFonts w:cs="Courier New"/>
          <w:color w:val="000000"/>
        </w:rPr>
        <w:tab/>
      </w:r>
      <w:r>
        <w:rPr>
          <w:rFonts w:cs="Courier New"/>
          <w:color w:val="000000"/>
        </w:rPr>
        <w:tab/>
      </w:r>
      <w:r>
        <w:rPr>
          <w:rFonts w:cs="Courier New"/>
          <w:color w:val="000000"/>
        </w:rPr>
        <w:tab/>
      </w:r>
      <w:r>
        <w:rPr>
          <w:rFonts w:cs="Courier New"/>
          <w:color w:val="000000"/>
        </w:rPr>
        <w:tab/>
      </w:r>
      <w:r w:rsidRPr="008D1C7C">
        <w:rPr>
          <w:rFonts w:cs="Courier New"/>
          <w:color w:val="000000"/>
        </w:rPr>
        <w:t>Office of the Director</w:t>
      </w:r>
    </w:p>
    <w:p w14:paraId="3DF92C7E" w14:textId="77777777" w:rsidR="00CD51FE" w:rsidRPr="00DD2C4D" w:rsidRDefault="00CD51FE" w:rsidP="00CD51FE">
      <w:pPr>
        <w:ind w:left="2160" w:firstLine="720"/>
        <w:jc w:val="both"/>
        <w:rPr>
          <w:rFonts w:cs="Courier New"/>
        </w:rPr>
      </w:pPr>
      <w:r w:rsidRPr="000F1198">
        <w:rPr>
          <w:rFonts w:cs="Courier New"/>
          <w:color w:val="000000"/>
        </w:rPr>
        <w:t>Centers for Disease Control and Prevention</w:t>
      </w:r>
    </w:p>
    <w:p w14:paraId="3DF92C7F" w14:textId="77777777" w:rsidR="00E31AA3" w:rsidRDefault="00E31AA3"/>
    <w:sectPr w:rsidR="00E31AA3" w:rsidSect="00CD51F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9F577" w14:textId="77777777" w:rsidR="00FD28AF" w:rsidRDefault="00FD28AF" w:rsidP="00CD51FE">
      <w:r>
        <w:separator/>
      </w:r>
    </w:p>
  </w:endnote>
  <w:endnote w:type="continuationSeparator" w:id="0">
    <w:p w14:paraId="09616FF7" w14:textId="77777777" w:rsidR="00FD28AF" w:rsidRDefault="00FD28AF" w:rsidP="00CD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EAGN D+ Melior">
    <w:altName w:val="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661809"/>
      <w:docPartObj>
        <w:docPartGallery w:val="Page Numbers (Bottom of Page)"/>
        <w:docPartUnique/>
      </w:docPartObj>
    </w:sdtPr>
    <w:sdtEndPr>
      <w:rPr>
        <w:noProof/>
      </w:rPr>
    </w:sdtEndPr>
    <w:sdtContent>
      <w:p w14:paraId="3DF92C86" w14:textId="77777777" w:rsidR="00CD51FE" w:rsidRDefault="00CD51FE">
        <w:pPr>
          <w:pStyle w:val="Footer"/>
          <w:jc w:val="center"/>
        </w:pPr>
        <w:r>
          <w:fldChar w:fldCharType="begin"/>
        </w:r>
        <w:r>
          <w:instrText xml:space="preserve"> PAGE   \* MERGEFORMAT </w:instrText>
        </w:r>
        <w:r>
          <w:fldChar w:fldCharType="separate"/>
        </w:r>
        <w:r w:rsidR="00A811F4">
          <w:rPr>
            <w:noProof/>
          </w:rPr>
          <w:t>6</w:t>
        </w:r>
        <w:r>
          <w:rPr>
            <w:noProof/>
          </w:rPr>
          <w:fldChar w:fldCharType="end"/>
        </w:r>
      </w:p>
    </w:sdtContent>
  </w:sdt>
  <w:p w14:paraId="3DF92C87" w14:textId="77777777" w:rsidR="00CD51FE" w:rsidRDefault="00CD51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8A418" w14:textId="77777777" w:rsidR="00FD28AF" w:rsidRDefault="00FD28AF" w:rsidP="00CD51FE">
      <w:r>
        <w:separator/>
      </w:r>
    </w:p>
  </w:footnote>
  <w:footnote w:type="continuationSeparator" w:id="0">
    <w:p w14:paraId="404CFE94" w14:textId="77777777" w:rsidR="00FD28AF" w:rsidRDefault="00FD28AF" w:rsidP="00CD5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39508E"/>
    <w:multiLevelType w:val="hybridMultilevel"/>
    <w:tmpl w:val="5DB6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FE"/>
    <w:rsid w:val="00205279"/>
    <w:rsid w:val="00273A1C"/>
    <w:rsid w:val="003B57CD"/>
    <w:rsid w:val="003E6720"/>
    <w:rsid w:val="00472BB5"/>
    <w:rsid w:val="007213EB"/>
    <w:rsid w:val="00A372DC"/>
    <w:rsid w:val="00A7560E"/>
    <w:rsid w:val="00A811F4"/>
    <w:rsid w:val="00B6649C"/>
    <w:rsid w:val="00CD51FE"/>
    <w:rsid w:val="00E01652"/>
    <w:rsid w:val="00E31AA3"/>
    <w:rsid w:val="00FD2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92C3A"/>
  <w15:docId w15:val="{FC2C1388-D912-4D67-9959-B79425DFB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1F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qFormat/>
    <w:rsid w:val="00CD51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D51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51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D51F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CD51FE"/>
    <w:rPr>
      <w:color w:val="0000FF"/>
      <w:u w:val="single"/>
    </w:rPr>
  </w:style>
  <w:style w:type="paragraph" w:styleId="Header">
    <w:name w:val="header"/>
    <w:basedOn w:val="Normal"/>
    <w:link w:val="HeaderChar"/>
    <w:uiPriority w:val="99"/>
    <w:rsid w:val="00CD51FE"/>
    <w:pPr>
      <w:tabs>
        <w:tab w:val="center" w:pos="4320"/>
        <w:tab w:val="right" w:pos="8640"/>
      </w:tabs>
    </w:pPr>
  </w:style>
  <w:style w:type="character" w:customStyle="1" w:styleId="HeaderChar">
    <w:name w:val="Header Char"/>
    <w:basedOn w:val="DefaultParagraphFont"/>
    <w:link w:val="Header"/>
    <w:uiPriority w:val="99"/>
    <w:rsid w:val="00CD51FE"/>
    <w:rPr>
      <w:rFonts w:ascii="Courier New" w:eastAsia="Times New Roman" w:hAnsi="Courier New" w:cs="Times New Roman"/>
      <w:sz w:val="24"/>
      <w:szCs w:val="24"/>
    </w:rPr>
  </w:style>
  <w:style w:type="paragraph" w:styleId="Footer">
    <w:name w:val="footer"/>
    <w:basedOn w:val="Normal"/>
    <w:link w:val="FooterChar"/>
    <w:uiPriority w:val="99"/>
    <w:unhideWhenUsed/>
    <w:rsid w:val="00CD51FE"/>
    <w:pPr>
      <w:tabs>
        <w:tab w:val="center" w:pos="4680"/>
        <w:tab w:val="right" w:pos="9360"/>
      </w:tabs>
    </w:pPr>
  </w:style>
  <w:style w:type="character" w:customStyle="1" w:styleId="FooterChar">
    <w:name w:val="Footer Char"/>
    <w:basedOn w:val="DefaultParagraphFont"/>
    <w:link w:val="Footer"/>
    <w:uiPriority w:val="99"/>
    <w:rsid w:val="00CD51FE"/>
    <w:rPr>
      <w:rFonts w:ascii="Courier New" w:eastAsia="Times New Roman" w:hAnsi="Courier Ne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816378">
      <w:bodyDiv w:val="1"/>
      <w:marLeft w:val="0"/>
      <w:marRight w:val="0"/>
      <w:marTop w:val="0"/>
      <w:marBottom w:val="0"/>
      <w:divBdr>
        <w:top w:val="none" w:sz="0" w:space="0" w:color="auto"/>
        <w:left w:val="none" w:sz="0" w:space="0" w:color="auto"/>
        <w:bottom w:val="none" w:sz="0" w:space="0" w:color="auto"/>
        <w:right w:val="none" w:sz="0" w:space="0" w:color="auto"/>
      </w:divBdr>
    </w:div>
    <w:div w:id="206683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ulations.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ulation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ulations.gov/" TargetMode="External"/><Relationship Id="rId5" Type="http://schemas.openxmlformats.org/officeDocument/2006/relationships/numbering" Target="numbering.xml"/><Relationship Id="rId15" Type="http://schemas.openxmlformats.org/officeDocument/2006/relationships/hyperlink" Target="mailto:omb@cdc.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PFY6PPX2AYTS-2589-1345</_dlc_DocId>
    <_dlc_DocIdUrl xmlns="81daf041-c113-401c-bf82-107f5d396711">
      <Url>https://esp.cdc.gov/sites/ncezid/OD/policy/PRA/_layouts/15/DocIdRedir.aspx?ID=PFY6PPX2AYTS-2589-1345</Url>
      <Description>PFY6PPX2AYTS-2589-1345</Description>
    </_dlc_DocIdUrl>
    <ydlv xmlns="d335559b-c20a-4874-978e-77d2be77e01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81B307-5EF4-4005-8545-13BAB7710C04}">
  <ds:schemaRefs>
    <ds:schemaRef ds:uri="http://schemas.microsoft.com/office/2006/metadata/properties"/>
    <ds:schemaRef ds:uri="http://schemas.microsoft.com/office/infopath/2007/PartnerControls"/>
    <ds:schemaRef ds:uri="81daf041-c113-401c-bf82-107f5d396711"/>
  </ds:schemaRefs>
</ds:datastoreItem>
</file>

<file path=customXml/itemProps2.xml><?xml version="1.0" encoding="utf-8"?>
<ds:datastoreItem xmlns:ds="http://schemas.openxmlformats.org/officeDocument/2006/customXml" ds:itemID="{78CB980C-E3C5-47EE-91EB-1AE014F59C83}"/>
</file>

<file path=customXml/itemProps3.xml><?xml version="1.0" encoding="utf-8"?>
<ds:datastoreItem xmlns:ds="http://schemas.openxmlformats.org/officeDocument/2006/customXml" ds:itemID="{C0D29A5C-9A5C-46CB-8410-7764FB5B9A1A}">
  <ds:schemaRefs>
    <ds:schemaRef ds:uri="http://schemas.microsoft.com/sharepoint/events"/>
  </ds:schemaRefs>
</ds:datastoreItem>
</file>

<file path=customXml/itemProps4.xml><?xml version="1.0" encoding="utf-8"?>
<ds:datastoreItem xmlns:ds="http://schemas.openxmlformats.org/officeDocument/2006/customXml" ds:itemID="{F4467290-4DCF-4572-ABBD-2F8144C565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1828</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Richardson</dc:creator>
  <cp:lastModifiedBy>Samuel, Lee (CDC/OID/NCEZID)</cp:lastModifiedBy>
  <cp:revision>8</cp:revision>
  <dcterms:created xsi:type="dcterms:W3CDTF">2015-03-06T16:45:00Z</dcterms:created>
  <dcterms:modified xsi:type="dcterms:W3CDTF">2016-08-02T17:25:00Z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9b11f870-76f5-44c9-b859-6b025a06ac54</vt:lpwstr>
  </property>
</Properties>
</file>