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22408BB0" w:rsidR="00CD51FE" w:rsidRPr="00351DE6" w:rsidRDefault="00CD51FE" w:rsidP="00CD51FE">
      <w:pPr>
        <w:spacing w:line="480" w:lineRule="auto"/>
        <w:rPr>
          <w:rFonts w:cs="Courier New"/>
          <w:b/>
        </w:rPr>
      </w:pPr>
      <w:r>
        <w:rPr>
          <w:rFonts w:cs="Courier New"/>
          <w:b/>
        </w:rPr>
        <w:t>[60Day-</w:t>
      </w:r>
      <w:r w:rsidR="00A7560E">
        <w:rPr>
          <w:rFonts w:cs="Courier New"/>
          <w:b/>
          <w:highlight w:val="yellow"/>
        </w:rPr>
        <w:t>16</w:t>
      </w:r>
      <w:r w:rsidRPr="00CD51FE">
        <w:rPr>
          <w:rFonts w:cs="Courier New"/>
          <w:b/>
          <w:highlight w:val="yellow"/>
        </w:rPr>
        <w:t>-xxxx</w:t>
      </w:r>
      <w:r>
        <w:rPr>
          <w:rFonts w:cs="Courier New"/>
          <w:b/>
        </w:rPr>
        <w:t>]</w:t>
      </w:r>
    </w:p>
    <w:p w14:paraId="3DF92C42" w14:textId="06A61016" w:rsidR="00CD51FE" w:rsidRDefault="00CD51FE" w:rsidP="00CD51FE">
      <w:pPr>
        <w:spacing w:line="480" w:lineRule="auto"/>
        <w:rPr>
          <w:rFonts w:cs="Courier New"/>
          <w:b/>
        </w:rPr>
      </w:pPr>
      <w:r>
        <w:rPr>
          <w:rFonts w:cs="Courier New"/>
          <w:b/>
        </w:rPr>
        <w:t>[Docket No. CDC-</w:t>
      </w:r>
      <w:r w:rsidRPr="00CD51FE">
        <w:rPr>
          <w:rFonts w:cs="Courier New"/>
          <w:b/>
          <w:highlight w:val="yellow"/>
        </w:rPr>
        <w:t>201</w:t>
      </w:r>
      <w:r w:rsidR="00A7560E">
        <w:rPr>
          <w:rFonts w:cs="Courier New"/>
          <w:b/>
          <w:highlight w:val="yellow"/>
        </w:rPr>
        <w:t>6</w:t>
      </w:r>
      <w:r w:rsidRPr="00CD51FE">
        <w:rPr>
          <w:rFonts w:cs="Courier New"/>
          <w:b/>
          <w:highlight w:val="yellow"/>
        </w:rPr>
        <w:t>-xxxx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3F920697"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w:t>
      </w:r>
      <w:r w:rsidR="00A7560E">
        <w:rPr>
          <w:rFonts w:cs="Courier New"/>
        </w:rPr>
        <w:t xml:space="preserve"> </w:t>
      </w:r>
      <w:r w:rsidR="00A7560E" w:rsidRPr="00A7560E">
        <w:rPr>
          <w:rFonts w:cs="Courier New"/>
        </w:rPr>
        <w:t>Assessment to Estimate the Effect of Community-Wide Vector Control Initiatives on Zika Virus Transmission in Puerto Rico, 2016</w:t>
      </w:r>
      <w:r w:rsidR="00A7560E">
        <w:rPr>
          <w:rFonts w:cs="Courier New"/>
        </w:rPr>
        <w:t>.</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6F916B6F"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00A7560E">
        <w:rPr>
          <w:rFonts w:cs="Courier New"/>
          <w:highlight w:val="yellow"/>
        </w:rPr>
        <w:t>2016</w:t>
      </w:r>
      <w:r w:rsidRPr="00CD51FE">
        <w:rPr>
          <w:rFonts w:cs="Courier New"/>
          <w:highlight w:val="yellow"/>
        </w:rPr>
        <w:t>-xxxx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w:t>
      </w:r>
      <w:r w:rsidR="007213EB" w:rsidRPr="00326043">
        <w:rPr>
          <w:rFonts w:cs="Courier New"/>
        </w:rPr>
        <w:lastRenderedPageBreak/>
        <w:t>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w:t>
      </w:r>
      <w:r w:rsidRPr="008D1C7C">
        <w:rPr>
          <w:rFonts w:cs="Courier New"/>
        </w:rPr>
        <w:lastRenderedPageBreak/>
        <w:t xml:space="preserve">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Default="00CD51FE" w:rsidP="00CD51FE">
      <w:pPr>
        <w:spacing w:line="480" w:lineRule="auto"/>
        <w:rPr>
          <w:rFonts w:cs="Courier New"/>
          <w:b/>
        </w:rPr>
      </w:pPr>
    </w:p>
    <w:p w14:paraId="3DF92C5D" w14:textId="649A5B65" w:rsidR="00CD51FE" w:rsidRDefault="00A7560E" w:rsidP="00CD51FE">
      <w:pPr>
        <w:spacing w:line="480" w:lineRule="auto"/>
        <w:rPr>
          <w:rFonts w:cs="Courier New"/>
          <w:b/>
        </w:rPr>
      </w:pPr>
      <w:r w:rsidRPr="00A7560E">
        <w:rPr>
          <w:rFonts w:cs="Courier New"/>
          <w:b/>
        </w:rPr>
        <w:t>Assessment to Estimate the Effect of Community-Wide Vector Control Initiatives on Zika Virus Transmission in Puerto Rico, 2016</w:t>
      </w:r>
      <w:r>
        <w:rPr>
          <w:rFonts w:cs="Courier New"/>
          <w:b/>
        </w:rPr>
        <w:t xml:space="preserve"> </w:t>
      </w:r>
      <w:r w:rsidR="00CD51FE">
        <w:rPr>
          <w:rFonts w:cs="Courier New"/>
          <w:b/>
        </w:rPr>
        <w:t>–</w:t>
      </w:r>
      <w:r w:rsidR="00CD51FE" w:rsidRPr="00D77E80">
        <w:rPr>
          <w:rFonts w:cs="Courier New"/>
          <w:b/>
        </w:rPr>
        <w:t xml:space="preserve"> </w:t>
      </w:r>
      <w:r>
        <w:rPr>
          <w:rFonts w:cs="Courier New"/>
          <w:b/>
        </w:rPr>
        <w:t>New</w:t>
      </w:r>
      <w:r w:rsidR="00CD51FE" w:rsidRPr="00D77E80">
        <w:rPr>
          <w:rFonts w:cs="Courier New"/>
          <w:b/>
        </w:rPr>
        <w:t xml:space="preserve"> –</w:t>
      </w:r>
      <w:r w:rsidR="00CD51FE">
        <w:rPr>
          <w:rFonts w:cs="Courier New"/>
          <w:b/>
        </w:rPr>
        <w:t xml:space="preserve"> </w:t>
      </w:r>
      <w:r>
        <w:rPr>
          <w:rFonts w:cs="Courier New"/>
          <w:b/>
        </w:rPr>
        <w:t>National Center for Emerging and Zoonotic Infectious Diseases (NCEZID)</w:t>
      </w:r>
      <w:r w:rsidR="00CD51FE" w:rsidRPr="00D77E80">
        <w:rPr>
          <w:rFonts w:cs="Courier New"/>
          <w:b/>
        </w:rPr>
        <w:t xml:space="preserve">, Centers for Disease Control and </w:t>
      </w:r>
      <w:r w:rsidR="00CD51FE" w:rsidRPr="00D77E80">
        <w:rPr>
          <w:rFonts w:cs="Courier New"/>
          <w:b/>
        </w:rPr>
        <w:lastRenderedPageBreak/>
        <w:t>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7ABDEC37" w14:textId="77B3A16F" w:rsidR="003E6720" w:rsidRPr="003E6720" w:rsidRDefault="003E6720" w:rsidP="003E6720">
      <w:pPr>
        <w:spacing w:line="480" w:lineRule="auto"/>
        <w:ind w:firstLine="720"/>
        <w:rPr>
          <w:rFonts w:cs="Courier New"/>
        </w:rPr>
      </w:pPr>
      <w:r w:rsidRPr="003E6720">
        <w:rPr>
          <w:rFonts w:cs="Courier New"/>
        </w:rPr>
        <w:t>Aedes aegypti mosquitos are endemic throughout</w:t>
      </w:r>
      <w:r>
        <w:rPr>
          <w:rFonts w:cs="Courier New"/>
        </w:rPr>
        <w:t xml:space="preserve"> the tropics and sub-tropics</w:t>
      </w:r>
      <w:r w:rsidRPr="003E6720">
        <w:rPr>
          <w:rFonts w:cs="Courier New"/>
        </w:rPr>
        <w:t>, and are responsible for the transmission of dengue (DENV), chikungunya (CHIKV), and Zika virus (ZIKV). Local transmission of ZIKV was first iden</w:t>
      </w:r>
      <w:r>
        <w:rPr>
          <w:rFonts w:cs="Courier New"/>
        </w:rPr>
        <w:t>tified in the Americas in 2015</w:t>
      </w:r>
      <w:r w:rsidRPr="003E6720">
        <w:rPr>
          <w:rFonts w:cs="Courier New"/>
        </w:rPr>
        <w:t>, and has since expanded across nearly all areas of the tropics and sub-tropics in the Americas and Caribbean. Many individuals infected with ZIKV will experience either no symptoms of disease (i.e., asymptomatic infection) or a mild illness characterized by rash, fever, myalgia, and/or arthralgia, which will self-resolve within a week or less. However, ZIKV infection in pregnant women has recently been shown to cause microcephaly and other congenital anomalies, and has been associated with development of Guillain-Barré syndrome</w:t>
      </w:r>
      <w:r>
        <w:rPr>
          <w:rFonts w:cs="Courier New"/>
        </w:rPr>
        <w:t xml:space="preserve"> </w:t>
      </w:r>
      <w:r w:rsidRPr="003E6720">
        <w:rPr>
          <w:rFonts w:cs="Courier New"/>
        </w:rPr>
        <w:t>and severe thrombocytopenia. Hence, though initially perceived to be a relatively innocuous infection, the emergence of ZIKV in the Americas has revealed multiple associations with high-morbidity conditions and sequelae.</w:t>
      </w:r>
    </w:p>
    <w:p w14:paraId="631BECFE" w14:textId="366DAFAB" w:rsidR="003E6720" w:rsidRPr="003E6720" w:rsidRDefault="003E6720" w:rsidP="003E6720">
      <w:pPr>
        <w:spacing w:line="480" w:lineRule="auto"/>
        <w:ind w:firstLine="720"/>
        <w:rPr>
          <w:rFonts w:cs="Courier New"/>
        </w:rPr>
      </w:pPr>
      <w:r w:rsidRPr="003E6720">
        <w:rPr>
          <w:rFonts w:cs="Courier New"/>
        </w:rPr>
        <w:t>Traditional approaches to community-wide control of Ae. aegypti populations (e.g., fumigation, indoor/outdoor residual spraying, community education campaigns) have a long history of minimal to no success. Novel approaches (e.g., genetically-</w:t>
      </w:r>
      <w:r w:rsidRPr="003E6720">
        <w:rPr>
          <w:rFonts w:cs="Courier New"/>
        </w:rPr>
        <w:lastRenderedPageBreak/>
        <w:t>modified mosquitos, Wolbachia-infected mosquitos, improved mosquito traps) show much promise, but have not yet been shown to be effective in reducing the incidence of disease caused by viruses that are transmitted by Ae. aegypti. Therefore, a combination of approaches may be necessary to effectively reduce the impact of disease outbreaks caused by viruses transmitted by Ae. aegypti.</w:t>
      </w:r>
    </w:p>
    <w:p w14:paraId="415FC595" w14:textId="52DD42CD" w:rsidR="003E6720" w:rsidRPr="003E6720" w:rsidRDefault="003E6720" w:rsidP="003E6720">
      <w:pPr>
        <w:spacing w:line="480" w:lineRule="auto"/>
        <w:ind w:firstLine="720"/>
        <w:rPr>
          <w:rFonts w:cs="Courier New"/>
        </w:rPr>
      </w:pPr>
      <w:r w:rsidRPr="003E6720">
        <w:rPr>
          <w:rFonts w:cs="Courier New"/>
        </w:rPr>
        <w:t xml:space="preserve">Passive surveillance for ZIKV disease commenced in the US territory of Puerto Rico in late 2015 by adapting the passive dengue and chikungunya surveillance systems to incorporate reporting of and diagnostic testing for suspected ZIKV disease. Local transmission of ZIKV was first detected in Puerto Rico in November, 2015. After expanding across much of the island, to date &gt;5,500 laboratory-positive ZIKV disease cases have been reported to the Puerto Rico Department of Health (PRDH) via the Passive Arboviral Diseases Surveillance System (PADSS). In order to employ all possible approaches that are safe to humans and the flora and fauna of Puerto Rico to reduce the incidence of ZIKV infections in Puerto Rico, in early June 2016 the Director of the CDC recommended to PRDH and the Governor of Puerto Rico that a combination of aerial spraying, deployment of autocidal gravid ovitraps (AGO traps), indoor/outdoor residual spraying, and/or intensive community education campaigns be utilized to attempt to reduce the burden of ZIKV infections in Puerto Rico. </w:t>
      </w:r>
      <w:r w:rsidRPr="003E6720">
        <w:rPr>
          <w:rFonts w:cs="Courier New"/>
        </w:rPr>
        <w:lastRenderedPageBreak/>
        <w:t xml:space="preserve">Such efforts are currently slated to begin in early July 2016. </w:t>
      </w:r>
    </w:p>
    <w:p w14:paraId="05ECB755" w14:textId="557DC6C0" w:rsidR="003E6720" w:rsidRPr="003E6720" w:rsidRDefault="003E6720" w:rsidP="003E6720">
      <w:pPr>
        <w:spacing w:line="480" w:lineRule="auto"/>
        <w:rPr>
          <w:rFonts w:cs="Courier New"/>
        </w:rPr>
      </w:pPr>
      <w:r w:rsidRPr="003E6720">
        <w:rPr>
          <w:rFonts w:cs="Courier New"/>
        </w:rPr>
        <w:t xml:space="preserve">Because Aedes species mosquitoes live in and around homes and other areas where humans congregate (e.g., schools) and do not typically fly more than a few hundred meters, the geographic distribution of both chikungunya and dengue virus infections tend to be highly focal. Because Aedes species mosquitos are most active during the daytime, particularly at dusk and dawn, hours when most household members are at home, dengue and chikungunya cases frequently cluster within households. Previous dengue cluster investigations demonstrated rates of DENV infection of 2.2–12.4% among household members and neighbors residing within 10–100 meters of confirmed dengue cases. These studies enabled identification of household-level risk factors for DENV infection, such as uncovered water storage containers being a risk factor for DENV infection, and piped household water and use of mosquito nets as being protective against DENV infection. Dengue and chikungunya cluster investigations have also enabled identification of asymptomatic and sub-clinical infections that would not otherwise have been detected through traditional passive surveillance, thereby providing additional information about the incidence and consequence health burden of infection. </w:t>
      </w:r>
    </w:p>
    <w:p w14:paraId="6541EE5A" w14:textId="77777777" w:rsidR="003E6720" w:rsidRPr="003E6720" w:rsidRDefault="003E6720" w:rsidP="003E6720">
      <w:pPr>
        <w:spacing w:line="480" w:lineRule="auto"/>
        <w:ind w:firstLine="720"/>
        <w:rPr>
          <w:rFonts w:cs="Courier New"/>
        </w:rPr>
      </w:pPr>
      <w:r w:rsidRPr="003E6720">
        <w:rPr>
          <w:rFonts w:cs="Courier New"/>
        </w:rPr>
        <w:t xml:space="preserve">Household-based cluster investigations have not yet been conducted during ZIKV outbreaks in Puerto Rico or elsewhere. </w:t>
      </w:r>
      <w:r w:rsidRPr="003E6720">
        <w:rPr>
          <w:rFonts w:cs="Courier New"/>
        </w:rPr>
        <w:lastRenderedPageBreak/>
        <w:t xml:space="preserve">Such investigations would enable enhanced case finding and subsequent extrapolation of current rates of under-reporting of ZIKV disease cases (due either to lack of presentation for care, clinical misdiagnosis, or failure for cases to be reported), description of the symptomatology of infected individuals, and elucidation of risk factors for infection among the individuals included in the investigation, which may or may not be the same as those amongst the larger population. </w:t>
      </w:r>
    </w:p>
    <w:p w14:paraId="2D61CE8F" w14:textId="77777777" w:rsidR="003E6720" w:rsidRPr="003E6720" w:rsidRDefault="003E6720" w:rsidP="003E6720">
      <w:pPr>
        <w:spacing w:line="480" w:lineRule="auto"/>
        <w:ind w:firstLine="720"/>
        <w:rPr>
          <w:rFonts w:cs="Courier New"/>
        </w:rPr>
      </w:pPr>
      <w:r w:rsidRPr="003E6720">
        <w:rPr>
          <w:rFonts w:cs="Courier New"/>
        </w:rPr>
        <w:t>Simultaneously performing dengue, chikungunya, and Zika diagnostic testing may enable identification of differences in clinical and epidemiologic aspects of the three illnesses. More importantly, however, conducting such investigations in areas with and without intensive vector control efforts would provide the opportunity to extrapolate cluster-specific rates of ZIKV infection to then assess the effectiveness of vector control interventions. This information may be utilized to improve surveillance for and characterization of ZIKV disease in Puerto Rico, and provide ongoing feedback to public health partners regarding if the various approaches to vector control are having an appreciable effect on reducing ZIKV infections.</w:t>
      </w:r>
    </w:p>
    <w:p w14:paraId="1C3E11F4" w14:textId="77777777" w:rsidR="003E6720" w:rsidRPr="003E6720" w:rsidRDefault="003E6720" w:rsidP="003E6720">
      <w:pPr>
        <w:spacing w:line="480" w:lineRule="auto"/>
        <w:ind w:firstLine="720"/>
        <w:rPr>
          <w:rFonts w:cs="Courier New"/>
        </w:rPr>
      </w:pPr>
      <w:r w:rsidRPr="003E6720">
        <w:rPr>
          <w:rFonts w:cs="Courier New"/>
        </w:rPr>
        <w:t xml:space="preserve">Utilization of both passive surveillance data and household-based cluster investigations are expected to be associated with limitations in interpretation of findings with regard to if and how well they represent the epidemiologic </w:t>
      </w:r>
      <w:r w:rsidRPr="003E6720">
        <w:rPr>
          <w:rFonts w:cs="Courier New"/>
        </w:rPr>
        <w:lastRenderedPageBreak/>
        <w:t>trends in ZIKV infection. Nonetheless, due to the urgent need for rapid assessment of the relationship between community-wide interventions and the concomitant incidence of ZIKV infections and/or ZIKV disease, such approaches are the only available methodology to rapidly gather such information. If findings from both passive surveillance data and household-based cluster investigations are considered together, they may provide a more informed interpretation of the community-wide patterns of ZIKV infections. Nonetheless, a community-wide serosurvey may be a more reliable approach to estimate the incidence of ZIKV infections in intervention and non-intervention community to thereby assess community-wide vector control interventions. Should such an assessment be conducted in the future, it will be submitted as a separate information collection request to OMB.</w:t>
      </w:r>
    </w:p>
    <w:p w14:paraId="1443747E" w14:textId="77777777" w:rsidR="003E6720" w:rsidRPr="003E6720" w:rsidRDefault="003E6720" w:rsidP="003E6720">
      <w:pPr>
        <w:spacing w:line="480" w:lineRule="auto"/>
        <w:rPr>
          <w:rFonts w:cs="Courier New"/>
        </w:rPr>
      </w:pPr>
      <w:r w:rsidRPr="003E6720">
        <w:rPr>
          <w:rFonts w:cs="Courier New"/>
        </w:rPr>
        <w:t>Findings will be used to develop or refine messaging to the public and medical communities to improve case-seeking behavior and case reporting, respectively.</w:t>
      </w:r>
    </w:p>
    <w:p w14:paraId="3DF92C60" w14:textId="382B3AAE" w:rsidR="00CD51FE" w:rsidRPr="003E6720" w:rsidRDefault="003E6720" w:rsidP="003E6720">
      <w:pPr>
        <w:spacing w:line="480" w:lineRule="auto"/>
        <w:ind w:firstLine="720"/>
        <w:rPr>
          <w:rFonts w:cs="Courier New"/>
        </w:rPr>
      </w:pPr>
      <w:r w:rsidRPr="003E6720">
        <w:rPr>
          <w:rFonts w:cs="Courier New"/>
        </w:rPr>
        <w:t>This information collection request is authorized by Section 301 of the Public Health Service Act (42 U.S.C. 241)</w:t>
      </w:r>
      <w:r>
        <w:rPr>
          <w:rFonts w:cs="Courier New"/>
        </w:rPr>
        <w:t>. There is no cost to respondents other than the time to participate.</w:t>
      </w:r>
      <w:r w:rsidR="00B6649C">
        <w:rPr>
          <w:rFonts w:cs="Courier New"/>
        </w:rPr>
        <w:t xml:space="preserve"> The total number of estimated annualized burden hours is 560.</w:t>
      </w:r>
    </w:p>
    <w:p w14:paraId="3DF92C61" w14:textId="77777777" w:rsidR="00CD51FE" w:rsidRPr="00995394" w:rsidRDefault="00CD51FE" w:rsidP="00CD51FE">
      <w:pPr>
        <w:spacing w:line="480" w:lineRule="auto"/>
        <w:rPr>
          <w:rFonts w:cs="Courier New"/>
          <w:b/>
          <w:u w:val="single"/>
        </w:rPr>
      </w:pPr>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040"/>
        <w:gridCol w:w="1760"/>
        <w:gridCol w:w="1619"/>
        <w:gridCol w:w="1339"/>
        <w:gridCol w:w="1058"/>
      </w:tblGrid>
      <w:tr w:rsidR="00CD51FE" w:rsidRPr="008E1BA4" w14:paraId="3DF92C69" w14:textId="77777777" w:rsidTr="0008461D">
        <w:tc>
          <w:tcPr>
            <w:tcW w:w="1801" w:type="dxa"/>
            <w:shd w:val="clear" w:color="auto" w:fill="auto"/>
          </w:tcPr>
          <w:p w14:paraId="3DF92C63" w14:textId="77777777" w:rsidR="00CD51FE" w:rsidRPr="008E1BA4" w:rsidRDefault="00CD51FE" w:rsidP="0008461D">
            <w:pPr>
              <w:tabs>
                <w:tab w:val="left" w:pos="0"/>
              </w:tabs>
              <w:rPr>
                <w:rFonts w:cs="EEAGN D+ Melior"/>
                <w:color w:val="000000"/>
              </w:rPr>
            </w:pPr>
            <w:r w:rsidRPr="008E1BA4">
              <w:rPr>
                <w:rFonts w:cs="EEAGN D+ Melior"/>
                <w:color w:val="000000"/>
              </w:rPr>
              <w:lastRenderedPageBreak/>
              <w:t>Type of Respondents</w:t>
            </w:r>
          </w:p>
        </w:tc>
        <w:tc>
          <w:tcPr>
            <w:tcW w:w="997" w:type="dxa"/>
            <w:shd w:val="clear" w:color="auto" w:fill="auto"/>
          </w:tcPr>
          <w:p w14:paraId="3DF92C64"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801" w:type="dxa"/>
            <w:shd w:val="clear" w:color="auto" w:fill="auto"/>
          </w:tcPr>
          <w:p w14:paraId="3DF92C65"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657" w:type="dxa"/>
            <w:shd w:val="clear" w:color="auto" w:fill="auto"/>
          </w:tcPr>
          <w:p w14:paraId="3DF92C66"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401" w:type="dxa"/>
            <w:shd w:val="clear" w:color="auto" w:fill="auto"/>
          </w:tcPr>
          <w:p w14:paraId="3DF92C67" w14:textId="77777777" w:rsidR="00CD51FE" w:rsidRPr="008E1BA4" w:rsidRDefault="00CD51FE" w:rsidP="0008461D">
            <w:pPr>
              <w:tabs>
                <w:tab w:val="left" w:pos="0"/>
              </w:tabs>
              <w:rPr>
                <w:rFonts w:cs="EEAGN D+ Melior"/>
                <w:color w:val="000000"/>
              </w:rPr>
            </w:pPr>
            <w:r w:rsidRPr="008E1BA4">
              <w:rPr>
                <w:rFonts w:cs="EEAGN D+ Melior"/>
                <w:color w:val="000000"/>
              </w:rPr>
              <w:t>Avg. Burden per Response (in hrs.)</w:t>
            </w:r>
          </w:p>
        </w:tc>
        <w:tc>
          <w:tcPr>
            <w:tcW w:w="1199" w:type="dxa"/>
            <w:shd w:val="clear" w:color="auto" w:fill="auto"/>
          </w:tcPr>
          <w:p w14:paraId="3DF92C68"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A811F4" w:rsidRPr="008E1BA4" w14:paraId="3DF92C70" w14:textId="77777777" w:rsidTr="0008461D">
        <w:tc>
          <w:tcPr>
            <w:tcW w:w="1801" w:type="dxa"/>
            <w:vMerge w:val="restart"/>
            <w:shd w:val="clear" w:color="auto" w:fill="auto"/>
          </w:tcPr>
          <w:p w14:paraId="3DF92C6A" w14:textId="6EB51DA4" w:rsidR="00A811F4" w:rsidRPr="008E1BA4" w:rsidRDefault="00A811F4" w:rsidP="0008461D">
            <w:pPr>
              <w:tabs>
                <w:tab w:val="left" w:pos="0"/>
              </w:tabs>
              <w:rPr>
                <w:rFonts w:cs="EEAGN D+ Melior"/>
                <w:color w:val="000000"/>
              </w:rPr>
            </w:pPr>
            <w:r>
              <w:rPr>
                <w:rFonts w:cs="EEAGN D+ Melior"/>
                <w:color w:val="000000"/>
              </w:rPr>
              <w:t>General public</w:t>
            </w:r>
          </w:p>
        </w:tc>
        <w:tc>
          <w:tcPr>
            <w:tcW w:w="997" w:type="dxa"/>
            <w:shd w:val="clear" w:color="auto" w:fill="auto"/>
          </w:tcPr>
          <w:p w14:paraId="3DF92C6B" w14:textId="353F1630" w:rsidR="00A811F4" w:rsidRPr="008E1BA4" w:rsidRDefault="00A811F4" w:rsidP="0008461D">
            <w:pPr>
              <w:tabs>
                <w:tab w:val="left" w:pos="0"/>
              </w:tabs>
              <w:rPr>
                <w:rFonts w:cs="EEAGN D+ Melior"/>
                <w:color w:val="000000"/>
              </w:rPr>
            </w:pPr>
            <w:r>
              <w:rPr>
                <w:rFonts w:cs="EEAGN D+ Melior"/>
                <w:color w:val="000000"/>
              </w:rPr>
              <w:t>Household questionnaire</w:t>
            </w:r>
          </w:p>
        </w:tc>
        <w:tc>
          <w:tcPr>
            <w:tcW w:w="1801" w:type="dxa"/>
            <w:shd w:val="clear" w:color="auto" w:fill="auto"/>
          </w:tcPr>
          <w:p w14:paraId="3DF92C6C" w14:textId="504301C8" w:rsidR="00A811F4" w:rsidRPr="008E1BA4" w:rsidRDefault="00A811F4" w:rsidP="0008461D">
            <w:pPr>
              <w:tabs>
                <w:tab w:val="left" w:pos="0"/>
              </w:tabs>
              <w:rPr>
                <w:rFonts w:cs="EEAGN D+ Melior"/>
                <w:color w:val="000000"/>
              </w:rPr>
            </w:pPr>
            <w:r>
              <w:rPr>
                <w:rFonts w:cs="EEAGN D+ Melior"/>
                <w:color w:val="000000"/>
              </w:rPr>
              <w:t>200</w:t>
            </w:r>
          </w:p>
        </w:tc>
        <w:tc>
          <w:tcPr>
            <w:tcW w:w="1657" w:type="dxa"/>
            <w:shd w:val="clear" w:color="auto" w:fill="auto"/>
          </w:tcPr>
          <w:p w14:paraId="3DF92C6D" w14:textId="35A84766" w:rsidR="00A811F4" w:rsidRPr="008E1BA4" w:rsidRDefault="00A811F4" w:rsidP="0008461D">
            <w:pPr>
              <w:tabs>
                <w:tab w:val="left" w:pos="0"/>
              </w:tabs>
              <w:rPr>
                <w:rFonts w:cs="EEAGN D+ Melior"/>
                <w:color w:val="000000"/>
              </w:rPr>
            </w:pPr>
            <w:r>
              <w:rPr>
                <w:rFonts w:cs="EEAGN D+ Melior"/>
                <w:color w:val="000000"/>
              </w:rPr>
              <w:t>1</w:t>
            </w:r>
          </w:p>
        </w:tc>
        <w:tc>
          <w:tcPr>
            <w:tcW w:w="1401" w:type="dxa"/>
            <w:shd w:val="clear" w:color="auto" w:fill="auto"/>
          </w:tcPr>
          <w:p w14:paraId="3DF92C6E" w14:textId="13C7E38E" w:rsidR="00A811F4" w:rsidRPr="008E1BA4" w:rsidRDefault="00A811F4" w:rsidP="0008461D">
            <w:pPr>
              <w:tabs>
                <w:tab w:val="left" w:pos="0"/>
              </w:tabs>
              <w:rPr>
                <w:rFonts w:cs="EEAGN D+ Melior"/>
                <w:color w:val="000000"/>
              </w:rPr>
            </w:pPr>
            <w:r>
              <w:rPr>
                <w:rFonts w:cs="EEAGN D+ Melior"/>
                <w:color w:val="000000"/>
              </w:rPr>
              <w:t>18/60</w:t>
            </w:r>
          </w:p>
        </w:tc>
        <w:tc>
          <w:tcPr>
            <w:tcW w:w="1199" w:type="dxa"/>
            <w:shd w:val="clear" w:color="auto" w:fill="auto"/>
          </w:tcPr>
          <w:p w14:paraId="3DF92C6F" w14:textId="76718DB5" w:rsidR="00A811F4" w:rsidRPr="008E1BA4" w:rsidRDefault="00A811F4" w:rsidP="0008461D">
            <w:pPr>
              <w:tabs>
                <w:tab w:val="left" w:pos="0"/>
              </w:tabs>
              <w:rPr>
                <w:rFonts w:cs="EEAGN D+ Melior"/>
                <w:color w:val="000000"/>
              </w:rPr>
            </w:pPr>
            <w:r>
              <w:rPr>
                <w:rFonts w:cs="EEAGN D+ Melior"/>
                <w:color w:val="000000"/>
              </w:rPr>
              <w:t>60</w:t>
            </w:r>
          </w:p>
        </w:tc>
      </w:tr>
      <w:tr w:rsidR="00A811F4" w:rsidRPr="008E1BA4" w14:paraId="1D89DCC1" w14:textId="77777777" w:rsidTr="0008461D">
        <w:tc>
          <w:tcPr>
            <w:tcW w:w="1801" w:type="dxa"/>
            <w:vMerge/>
            <w:shd w:val="clear" w:color="auto" w:fill="auto"/>
          </w:tcPr>
          <w:p w14:paraId="50F78857" w14:textId="77777777" w:rsidR="00A811F4" w:rsidRPr="008E1BA4" w:rsidRDefault="00A811F4" w:rsidP="0008461D">
            <w:pPr>
              <w:tabs>
                <w:tab w:val="left" w:pos="0"/>
              </w:tabs>
              <w:rPr>
                <w:rFonts w:cs="EEAGN D+ Melior"/>
                <w:color w:val="000000"/>
              </w:rPr>
            </w:pPr>
          </w:p>
        </w:tc>
        <w:tc>
          <w:tcPr>
            <w:tcW w:w="997" w:type="dxa"/>
            <w:shd w:val="clear" w:color="auto" w:fill="auto"/>
          </w:tcPr>
          <w:p w14:paraId="43364992" w14:textId="7D5651C2" w:rsidR="00A811F4" w:rsidRPr="008E1BA4" w:rsidRDefault="00A811F4" w:rsidP="0008461D">
            <w:pPr>
              <w:tabs>
                <w:tab w:val="left" w:pos="0"/>
              </w:tabs>
              <w:rPr>
                <w:rFonts w:cs="EEAGN D+ Melior"/>
                <w:color w:val="000000"/>
              </w:rPr>
            </w:pPr>
            <w:r>
              <w:rPr>
                <w:rFonts w:cs="EEAGN D+ Melior"/>
                <w:color w:val="000000"/>
              </w:rPr>
              <w:t>Individual questionnaire</w:t>
            </w:r>
          </w:p>
        </w:tc>
        <w:tc>
          <w:tcPr>
            <w:tcW w:w="1801" w:type="dxa"/>
            <w:shd w:val="clear" w:color="auto" w:fill="auto"/>
          </w:tcPr>
          <w:p w14:paraId="14B14952" w14:textId="738B8D2A" w:rsidR="00A811F4" w:rsidRPr="008E1BA4" w:rsidRDefault="00A811F4" w:rsidP="0008461D">
            <w:pPr>
              <w:tabs>
                <w:tab w:val="left" w:pos="0"/>
              </w:tabs>
              <w:rPr>
                <w:rFonts w:cs="EEAGN D+ Melior"/>
                <w:color w:val="000000"/>
              </w:rPr>
            </w:pPr>
            <w:r>
              <w:rPr>
                <w:rFonts w:cs="EEAGN D+ Melior"/>
                <w:color w:val="000000"/>
              </w:rPr>
              <w:t>500</w:t>
            </w:r>
          </w:p>
        </w:tc>
        <w:tc>
          <w:tcPr>
            <w:tcW w:w="1657" w:type="dxa"/>
            <w:shd w:val="clear" w:color="auto" w:fill="auto"/>
          </w:tcPr>
          <w:p w14:paraId="70569C1D" w14:textId="4BB370AE" w:rsidR="00A811F4" w:rsidRPr="008E1BA4" w:rsidRDefault="00A811F4" w:rsidP="0008461D">
            <w:pPr>
              <w:tabs>
                <w:tab w:val="left" w:pos="0"/>
              </w:tabs>
              <w:rPr>
                <w:rFonts w:cs="EEAGN D+ Melior"/>
                <w:color w:val="000000"/>
              </w:rPr>
            </w:pPr>
            <w:r>
              <w:rPr>
                <w:rFonts w:cs="EEAGN D+ Melior"/>
                <w:color w:val="000000"/>
              </w:rPr>
              <w:t>2</w:t>
            </w:r>
          </w:p>
        </w:tc>
        <w:tc>
          <w:tcPr>
            <w:tcW w:w="1401" w:type="dxa"/>
            <w:shd w:val="clear" w:color="auto" w:fill="auto"/>
          </w:tcPr>
          <w:p w14:paraId="45AFEFC2" w14:textId="3DF696C2" w:rsidR="00A811F4" w:rsidRPr="008E1BA4" w:rsidRDefault="00A811F4" w:rsidP="0008461D">
            <w:pPr>
              <w:tabs>
                <w:tab w:val="left" w:pos="0"/>
              </w:tabs>
              <w:rPr>
                <w:rFonts w:cs="EEAGN D+ Melior"/>
                <w:color w:val="000000"/>
              </w:rPr>
            </w:pPr>
            <w:r>
              <w:rPr>
                <w:rFonts w:cs="EEAGN D+ Melior"/>
                <w:color w:val="000000"/>
              </w:rPr>
              <w:t>30/60</w:t>
            </w:r>
          </w:p>
        </w:tc>
        <w:tc>
          <w:tcPr>
            <w:tcW w:w="1199" w:type="dxa"/>
            <w:shd w:val="clear" w:color="auto" w:fill="auto"/>
          </w:tcPr>
          <w:p w14:paraId="098DBC9F" w14:textId="38025842" w:rsidR="00A811F4" w:rsidRPr="008E1BA4" w:rsidRDefault="00A811F4" w:rsidP="0008461D">
            <w:pPr>
              <w:tabs>
                <w:tab w:val="left" w:pos="0"/>
              </w:tabs>
              <w:rPr>
                <w:rFonts w:cs="EEAGN D+ Melior"/>
                <w:color w:val="000000"/>
              </w:rPr>
            </w:pPr>
            <w:r>
              <w:rPr>
                <w:rFonts w:cs="EEAGN D+ Melior"/>
                <w:color w:val="000000"/>
              </w:rPr>
              <w:t>500</w:t>
            </w:r>
          </w:p>
        </w:tc>
      </w:tr>
      <w:tr w:rsidR="00CD51FE" w:rsidRPr="008E1BA4" w14:paraId="3DF92C74" w14:textId="77777777" w:rsidTr="0008461D">
        <w:tc>
          <w:tcPr>
            <w:tcW w:w="1801" w:type="dxa"/>
            <w:shd w:val="clear" w:color="auto" w:fill="auto"/>
          </w:tcPr>
          <w:p w14:paraId="3DF92C71" w14:textId="77777777" w:rsidR="00CD51FE" w:rsidRPr="008E1BA4" w:rsidRDefault="007213EB" w:rsidP="0008461D">
            <w:pPr>
              <w:tabs>
                <w:tab w:val="left" w:pos="0"/>
              </w:tabs>
              <w:rPr>
                <w:rFonts w:cs="EEAGN D+ Melior"/>
                <w:color w:val="000000"/>
              </w:rPr>
            </w:pPr>
            <w:r w:rsidRPr="008E1BA4">
              <w:rPr>
                <w:rFonts w:cs="EEAGN D+ Melior"/>
                <w:color w:val="000000"/>
              </w:rPr>
              <w:t>Total</w:t>
            </w:r>
          </w:p>
        </w:tc>
        <w:tc>
          <w:tcPr>
            <w:tcW w:w="5856" w:type="dxa"/>
            <w:gridSpan w:val="4"/>
            <w:shd w:val="clear" w:color="auto" w:fill="auto"/>
          </w:tcPr>
          <w:p w14:paraId="3DF92C72" w14:textId="77777777" w:rsidR="00CD51FE" w:rsidRPr="008E1BA4" w:rsidRDefault="00CD51FE" w:rsidP="0008461D">
            <w:pPr>
              <w:tabs>
                <w:tab w:val="left" w:pos="0"/>
              </w:tabs>
              <w:rPr>
                <w:rFonts w:cs="EEAGN D+ Melior"/>
                <w:color w:val="000000"/>
              </w:rPr>
            </w:pPr>
          </w:p>
        </w:tc>
        <w:tc>
          <w:tcPr>
            <w:tcW w:w="1199" w:type="dxa"/>
            <w:shd w:val="clear" w:color="auto" w:fill="auto"/>
          </w:tcPr>
          <w:p w14:paraId="3DF92C73" w14:textId="4D00B644" w:rsidR="00CD51FE" w:rsidRPr="008E1BA4" w:rsidRDefault="00A811F4" w:rsidP="0008461D">
            <w:pPr>
              <w:tabs>
                <w:tab w:val="left" w:pos="0"/>
              </w:tabs>
              <w:rPr>
                <w:rFonts w:cs="EEAGN D+ Melior"/>
                <w:color w:val="000000"/>
              </w:rPr>
            </w:pPr>
            <w:r>
              <w:rPr>
                <w:rFonts w:cs="EEAGN D+ Melior"/>
                <w:color w:val="000000"/>
              </w:rPr>
              <w:t>560</w:t>
            </w:r>
            <w:bookmarkStart w:id="0" w:name="_GoBack"/>
            <w:bookmarkEnd w:id="0"/>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3DAE4371"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205279">
        <w:rPr>
          <w:rFonts w:cs="Courier New"/>
          <w:color w:val="000000"/>
        </w:rPr>
        <w:t>Jeffrey M. Zirger</w:t>
      </w:r>
    </w:p>
    <w:p w14:paraId="3DF92C7A" w14:textId="5AD6EDD4" w:rsidR="00CD51FE" w:rsidRPr="008D1C7C" w:rsidRDefault="00205279" w:rsidP="00205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cs="Courier New"/>
          <w:color w:val="000000"/>
        </w:rPr>
      </w:pPr>
      <w:r>
        <w:rPr>
          <w:rFonts w:cs="Courier New"/>
          <w:color w:val="000000"/>
        </w:rPr>
        <w:t xml:space="preserve">Acting </w:t>
      </w:r>
      <w:r w:rsidR="00CD51FE" w:rsidRPr="008D1C7C">
        <w:rPr>
          <w:rFonts w:cs="Courier New"/>
          <w:color w:val="000000"/>
        </w:rPr>
        <w:t xml:space="preserve">Chief, Information Collection Review Office </w:t>
      </w:r>
      <w:r w:rsidR="00CD51FE"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F577" w14:textId="77777777" w:rsidR="00FD28AF" w:rsidRDefault="00FD28AF" w:rsidP="00CD51FE">
      <w:r>
        <w:separator/>
      </w:r>
    </w:p>
  </w:endnote>
  <w:endnote w:type="continuationSeparator" w:id="0">
    <w:p w14:paraId="09616FF7" w14:textId="77777777" w:rsidR="00FD28AF" w:rsidRDefault="00FD28AF"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A811F4">
          <w:rPr>
            <w:noProof/>
          </w:rPr>
          <w:t>6</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8A418" w14:textId="77777777" w:rsidR="00FD28AF" w:rsidRDefault="00FD28AF" w:rsidP="00CD51FE">
      <w:r>
        <w:separator/>
      </w:r>
    </w:p>
  </w:footnote>
  <w:footnote w:type="continuationSeparator" w:id="0">
    <w:p w14:paraId="404CFE94" w14:textId="77777777" w:rsidR="00FD28AF" w:rsidRDefault="00FD28AF"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FE"/>
    <w:rsid w:val="00205279"/>
    <w:rsid w:val="00273A1C"/>
    <w:rsid w:val="003B57CD"/>
    <w:rsid w:val="003E6720"/>
    <w:rsid w:val="00472BB5"/>
    <w:rsid w:val="007213EB"/>
    <w:rsid w:val="00A372DC"/>
    <w:rsid w:val="00A7560E"/>
    <w:rsid w:val="00A811F4"/>
    <w:rsid w:val="00B6649C"/>
    <w:rsid w:val="00CD51FE"/>
    <w:rsid w:val="00E01652"/>
    <w:rsid w:val="00E31AA3"/>
    <w:rsid w:val="00FD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16378">
      <w:bodyDiv w:val="1"/>
      <w:marLeft w:val="0"/>
      <w:marRight w:val="0"/>
      <w:marTop w:val="0"/>
      <w:marBottom w:val="0"/>
      <w:divBdr>
        <w:top w:val="none" w:sz="0" w:space="0" w:color="auto"/>
        <w:left w:val="none" w:sz="0" w:space="0" w:color="auto"/>
        <w:bottom w:val="none" w:sz="0" w:space="0" w:color="auto"/>
        <w:right w:val="none" w:sz="0" w:space="0" w:color="auto"/>
      </w:divBdr>
    </w:div>
    <w:div w:id="20668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PFY6PPX2AYTS-2589-1345</_dlc_DocId>
    <_dlc_DocIdUrl xmlns="81daf041-c113-401c-bf82-107f5d396711">
      <Url>https://esp.cdc.gov/sites/ncezid/OD/policy/PRA/_layouts/15/DocIdRedir.aspx?ID=PFY6PPX2AYTS-2589-1345</Url>
      <Description>PFY6PPX2AYTS-2589-1345</Description>
    </_dlc_DocIdUrl>
    <ydlv xmlns="d335559b-c20a-4874-978e-77d2be77e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1B307-5EF4-4005-8545-13BAB7710C04}">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78CB980C-E3C5-47EE-91EB-1AE014F59C83}"/>
</file>

<file path=customXml/itemProps3.xml><?xml version="1.0" encoding="utf-8"?>
<ds:datastoreItem xmlns:ds="http://schemas.openxmlformats.org/officeDocument/2006/customXml" ds:itemID="{C0D29A5C-9A5C-46CB-8410-7764FB5B9A1A}">
  <ds:schemaRefs>
    <ds:schemaRef ds:uri="http://schemas.microsoft.com/sharepoint/events"/>
  </ds:schemaRefs>
</ds:datastoreItem>
</file>

<file path=customXml/itemProps4.xml><?xml version="1.0" encoding="utf-8"?>
<ds:datastoreItem xmlns:ds="http://schemas.openxmlformats.org/officeDocument/2006/customXml" ds:itemID="{F4467290-4DCF-4572-ABBD-2F8144C56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Samuel, Lee (CDC/OID/NCEZID)</cp:lastModifiedBy>
  <cp:revision>8</cp:revision>
  <dcterms:created xsi:type="dcterms:W3CDTF">2015-03-06T16:45:00Z</dcterms:created>
  <dcterms:modified xsi:type="dcterms:W3CDTF">2016-08-02T17:25:00Z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9b11f870-76f5-44c9-b859-6b025a06ac54</vt:lpwstr>
  </property>
</Properties>
</file>