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F6" w:rsidRPr="005B1417" w:rsidRDefault="000362F6" w:rsidP="000362F6">
      <w:pPr>
        <w:pStyle w:val="BodyText"/>
        <w:spacing w:before="39"/>
        <w:ind w:left="120"/>
        <w:rPr>
          <w:rFonts w:ascii="Arial" w:hAnsi="Arial" w:cs="Arial"/>
          <w:sz w:val="20"/>
          <w:szCs w:val="20"/>
        </w:rPr>
      </w:pPr>
      <w:r w:rsidRPr="005B1417">
        <w:rPr>
          <w:rFonts w:ascii="Arial" w:hAnsi="Arial" w:cs="Arial"/>
          <w:sz w:val="20"/>
          <w:szCs w:val="20"/>
        </w:rPr>
        <w:t>30-Day PRA Comments on CY2017 Part D Reporting Requirements - CMS-10185</w:t>
      </w:r>
    </w:p>
    <w:p w:rsidR="000362F6" w:rsidRPr="005B1417" w:rsidRDefault="000362F6" w:rsidP="000362F6">
      <w:pPr>
        <w:pStyle w:val="BodyText"/>
        <w:rPr>
          <w:rFonts w:ascii="Arial" w:hAnsi="Arial" w:cs="Arial"/>
          <w:sz w:val="20"/>
          <w:szCs w:val="20"/>
        </w:rPr>
      </w:pPr>
    </w:p>
    <w:p w:rsidR="000362F6" w:rsidRPr="005B1417" w:rsidRDefault="000362F6" w:rsidP="000362F6">
      <w:pPr>
        <w:pStyle w:val="BodyText"/>
        <w:ind w:left="90"/>
        <w:rPr>
          <w:rFonts w:ascii="Arial" w:hAnsi="Arial" w:cs="Arial"/>
          <w:b w:val="0"/>
          <w:sz w:val="20"/>
          <w:szCs w:val="20"/>
        </w:rPr>
      </w:pPr>
      <w:r w:rsidRPr="005B1417">
        <w:rPr>
          <w:rFonts w:ascii="Arial" w:hAnsi="Arial" w:cs="Arial"/>
          <w:b w:val="0"/>
          <w:sz w:val="20"/>
          <w:szCs w:val="20"/>
        </w:rPr>
        <w:t xml:space="preserve">We received comments from 4 Part D sponsors; none were substantive or required changes to our data collection.  </w:t>
      </w:r>
    </w:p>
    <w:p w:rsidR="000362F6" w:rsidRPr="005B1417" w:rsidRDefault="000362F6" w:rsidP="000362F6">
      <w:pPr>
        <w:pStyle w:val="BodyText"/>
        <w:ind w:left="90"/>
        <w:rPr>
          <w:rFonts w:ascii="Arial" w:hAnsi="Arial" w:cs="Arial"/>
          <w:b w:val="0"/>
          <w:sz w:val="20"/>
          <w:szCs w:val="20"/>
        </w:rPr>
      </w:pPr>
    </w:p>
    <w:p w:rsidR="000362F6" w:rsidRPr="005B1417" w:rsidRDefault="000362F6" w:rsidP="000362F6">
      <w:pPr>
        <w:pStyle w:val="BodyText"/>
        <w:ind w:left="90"/>
        <w:rPr>
          <w:rFonts w:ascii="Arial" w:hAnsi="Arial" w:cs="Arial"/>
          <w:b w:val="0"/>
          <w:sz w:val="20"/>
          <w:szCs w:val="20"/>
        </w:rPr>
      </w:pPr>
      <w:r w:rsidRPr="005B1417">
        <w:rPr>
          <w:rFonts w:ascii="Arial" w:hAnsi="Arial" w:cs="Arial"/>
          <w:b w:val="0"/>
          <w:sz w:val="20"/>
          <w:szCs w:val="20"/>
        </w:rPr>
        <w:t xml:space="preserve">Three sponsors submitted similar requests for CMS to delay two sections’ reporting deadlines, however as explained below, this is related to a change that was supported for 2016 Reporting Requirements to reduce the burden on sponsors’ systems.     </w:t>
      </w:r>
    </w:p>
    <w:p w:rsidR="000362F6" w:rsidRPr="005B1417" w:rsidRDefault="000362F6" w:rsidP="000362F6">
      <w:pPr>
        <w:pStyle w:val="BodyText"/>
        <w:rPr>
          <w:rFonts w:ascii="Arial" w:hAnsi="Arial" w:cs="Arial"/>
          <w:sz w:val="20"/>
          <w:szCs w:val="20"/>
        </w:rPr>
      </w:pPr>
    </w:p>
    <w:p w:rsidR="000362F6" w:rsidRPr="005B1417" w:rsidRDefault="000362F6" w:rsidP="000362F6">
      <w:pPr>
        <w:pStyle w:val="BodyText"/>
        <w:spacing w:before="4"/>
        <w:rPr>
          <w:rFonts w:ascii="Arial" w:hAnsi="Arial" w:cs="Arial"/>
          <w:sz w:val="20"/>
          <w:szCs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5"/>
        <w:gridCol w:w="3330"/>
        <w:gridCol w:w="2520"/>
        <w:gridCol w:w="5163"/>
      </w:tblGrid>
      <w:tr w:rsidR="000362F6" w:rsidRPr="005B1417" w:rsidTr="005F26CA">
        <w:trPr>
          <w:trHeight w:hRule="exact" w:val="538"/>
        </w:trPr>
        <w:tc>
          <w:tcPr>
            <w:tcW w:w="2415" w:type="dxa"/>
            <w:shd w:val="clear" w:color="auto" w:fill="FFFF99"/>
          </w:tcPr>
          <w:p w:rsidR="000362F6" w:rsidRPr="005B1417" w:rsidRDefault="000362F6" w:rsidP="005F26CA">
            <w:pPr>
              <w:pStyle w:val="TableParagraph"/>
              <w:ind w:right="102"/>
              <w:rPr>
                <w:b/>
                <w:sz w:val="20"/>
                <w:szCs w:val="20"/>
              </w:rPr>
            </w:pPr>
            <w:r w:rsidRPr="005B1417">
              <w:rPr>
                <w:b/>
                <w:w w:val="95"/>
                <w:sz w:val="20"/>
                <w:szCs w:val="20"/>
              </w:rPr>
              <w:t xml:space="preserve">Reporting </w:t>
            </w:r>
            <w:r w:rsidRPr="005B1417">
              <w:rPr>
                <w:b/>
                <w:sz w:val="20"/>
                <w:szCs w:val="20"/>
              </w:rPr>
              <w:t>Section</w:t>
            </w:r>
          </w:p>
        </w:tc>
        <w:tc>
          <w:tcPr>
            <w:tcW w:w="3330" w:type="dxa"/>
            <w:shd w:val="clear" w:color="auto" w:fill="FFFF99"/>
          </w:tcPr>
          <w:p w:rsidR="000362F6" w:rsidRPr="005B1417" w:rsidRDefault="000362F6" w:rsidP="005F26CA">
            <w:pPr>
              <w:pStyle w:val="TableParagraph"/>
              <w:spacing w:line="225" w:lineRule="exact"/>
              <w:ind w:left="475"/>
              <w:rPr>
                <w:b/>
                <w:sz w:val="20"/>
                <w:szCs w:val="20"/>
              </w:rPr>
            </w:pPr>
            <w:r w:rsidRPr="005B1417">
              <w:rPr>
                <w:b/>
                <w:sz w:val="20"/>
                <w:szCs w:val="20"/>
              </w:rPr>
              <w:t>Description of Issue or Question</w:t>
            </w:r>
          </w:p>
        </w:tc>
        <w:tc>
          <w:tcPr>
            <w:tcW w:w="2520" w:type="dxa"/>
            <w:shd w:val="clear" w:color="auto" w:fill="FFFF99"/>
          </w:tcPr>
          <w:p w:rsidR="000362F6" w:rsidRPr="005B1417" w:rsidRDefault="000362F6" w:rsidP="005F26CA">
            <w:pPr>
              <w:pStyle w:val="TableParagraph"/>
              <w:spacing w:line="225" w:lineRule="exact"/>
              <w:ind w:left="307"/>
              <w:rPr>
                <w:b/>
                <w:sz w:val="20"/>
                <w:szCs w:val="20"/>
              </w:rPr>
            </w:pPr>
            <w:r w:rsidRPr="005B1417">
              <w:rPr>
                <w:b/>
                <w:sz w:val="20"/>
                <w:szCs w:val="20"/>
              </w:rPr>
              <w:t>Commenter's Recommendations</w:t>
            </w:r>
          </w:p>
        </w:tc>
        <w:tc>
          <w:tcPr>
            <w:tcW w:w="5163" w:type="dxa"/>
            <w:shd w:val="clear" w:color="auto" w:fill="FFFF99"/>
          </w:tcPr>
          <w:p w:rsidR="000362F6" w:rsidRPr="005B1417" w:rsidRDefault="000362F6" w:rsidP="005F26CA">
            <w:pPr>
              <w:pStyle w:val="TableParagraph"/>
              <w:spacing w:line="225" w:lineRule="exact"/>
              <w:ind w:left="1200"/>
              <w:rPr>
                <w:b/>
                <w:sz w:val="20"/>
                <w:szCs w:val="20"/>
              </w:rPr>
            </w:pPr>
            <w:r w:rsidRPr="005B1417">
              <w:rPr>
                <w:b/>
                <w:sz w:val="20"/>
                <w:szCs w:val="20"/>
              </w:rPr>
              <w:t>CMS Response</w:t>
            </w:r>
          </w:p>
        </w:tc>
      </w:tr>
      <w:tr w:rsidR="000362F6" w:rsidRPr="005B1417" w:rsidTr="005F26CA">
        <w:trPr>
          <w:trHeight w:hRule="exact" w:val="6449"/>
        </w:trPr>
        <w:tc>
          <w:tcPr>
            <w:tcW w:w="2415" w:type="dxa"/>
          </w:tcPr>
          <w:p w:rsidR="000362F6" w:rsidRPr="005B1417" w:rsidRDefault="000362F6" w:rsidP="005F26CA">
            <w:pPr>
              <w:pStyle w:val="TableParagraph"/>
              <w:ind w:right="102"/>
              <w:rPr>
                <w:sz w:val="20"/>
                <w:szCs w:val="20"/>
              </w:rPr>
            </w:pPr>
            <w:r w:rsidRPr="005B1417">
              <w:rPr>
                <w:sz w:val="20"/>
                <w:szCs w:val="20"/>
              </w:rPr>
              <w:t>General</w:t>
            </w:r>
          </w:p>
        </w:tc>
        <w:tc>
          <w:tcPr>
            <w:tcW w:w="3330" w:type="dxa"/>
          </w:tcPr>
          <w:p w:rsidR="000362F6" w:rsidRPr="005B1417" w:rsidRDefault="000362F6" w:rsidP="005F26CA">
            <w:pPr>
              <w:pStyle w:val="TableParagraph"/>
              <w:ind w:right="197"/>
              <w:rPr>
                <w:sz w:val="20"/>
                <w:szCs w:val="20"/>
              </w:rPr>
            </w:pPr>
            <w:r w:rsidRPr="005B1417">
              <w:rPr>
                <w:sz w:val="20"/>
                <w:szCs w:val="20"/>
              </w:rPr>
              <w:t>Request reporting deadlines as reverted to those in the 2015 Reporting Requirements, for the following sections: Grievances, Medication Therapy Management (MTM) and Retail, Home Infusion, LTC Pharmacy Access.  If CMS does not, request CMS’ reasoning for changed deadlines.</w:t>
            </w:r>
          </w:p>
        </w:tc>
        <w:tc>
          <w:tcPr>
            <w:tcW w:w="2520" w:type="dxa"/>
          </w:tcPr>
          <w:p w:rsidR="000362F6" w:rsidRPr="005B1417" w:rsidRDefault="000362F6" w:rsidP="005F26CA">
            <w:pPr>
              <w:pStyle w:val="TableParagraph"/>
              <w:ind w:left="100" w:right="155"/>
              <w:rPr>
                <w:sz w:val="20"/>
                <w:szCs w:val="20"/>
              </w:rPr>
            </w:pPr>
            <w:r w:rsidRPr="005B1417">
              <w:rPr>
                <w:sz w:val="20"/>
                <w:szCs w:val="20"/>
              </w:rPr>
              <w:t>Revert to 2015’s deadlines for the Grievances, Retail, Home Infusion, and Long-Term Care Pharmacy Access sections to be, or provide rationale for changes.</w:t>
            </w:r>
          </w:p>
        </w:tc>
        <w:tc>
          <w:tcPr>
            <w:tcW w:w="5163" w:type="dxa"/>
          </w:tcPr>
          <w:p w:rsidR="000362F6" w:rsidRPr="005B1417" w:rsidRDefault="000362F6" w:rsidP="005F26CA">
            <w:pPr>
              <w:pStyle w:val="TableParagraph"/>
              <w:rPr>
                <w:sz w:val="20"/>
                <w:szCs w:val="20"/>
              </w:rPr>
            </w:pPr>
            <w:r w:rsidRPr="005B1417">
              <w:rPr>
                <w:sz w:val="20"/>
                <w:szCs w:val="20"/>
              </w:rPr>
              <w:t>CMS had changed reporting deadlines in the 2016 Reporting Requirements collection to avoid annual dates that may fall onto weekends, and also to offset the demands on both sponsors’ and CMS’ systems when all data were due on the same date.</w:t>
            </w:r>
          </w:p>
          <w:p w:rsidR="000362F6" w:rsidRPr="005B1417" w:rsidRDefault="000362F6" w:rsidP="005F26CA">
            <w:pPr>
              <w:pStyle w:val="TableParagraph"/>
              <w:rPr>
                <w:sz w:val="20"/>
                <w:szCs w:val="20"/>
              </w:rPr>
            </w:pPr>
          </w:p>
          <w:p w:rsidR="000362F6" w:rsidRPr="005B1417" w:rsidRDefault="000362F6" w:rsidP="005F26CA">
            <w:pPr>
              <w:pStyle w:val="TableParagraph"/>
              <w:rPr>
                <w:sz w:val="20"/>
                <w:szCs w:val="20"/>
              </w:rPr>
            </w:pPr>
            <w:r w:rsidRPr="005B1417">
              <w:rPr>
                <w:sz w:val="20"/>
                <w:szCs w:val="20"/>
              </w:rPr>
              <w:t>For 2017 reporting, MTM data will be collected using the same deadline as 2016 – that is, the last Monday of February.  This is therefore similar to the 2015 deadline of 5/31.</w:t>
            </w:r>
          </w:p>
          <w:p w:rsidR="000362F6" w:rsidRPr="005B1417" w:rsidRDefault="000362F6" w:rsidP="005F26CA">
            <w:pPr>
              <w:pStyle w:val="TableParagraph"/>
              <w:rPr>
                <w:sz w:val="20"/>
                <w:szCs w:val="20"/>
              </w:rPr>
            </w:pPr>
          </w:p>
          <w:p w:rsidR="000362F6" w:rsidRPr="005B1417" w:rsidRDefault="000362F6" w:rsidP="005F26CA">
            <w:pPr>
              <w:pStyle w:val="TableParagraph"/>
              <w:rPr>
                <w:sz w:val="20"/>
                <w:szCs w:val="20"/>
              </w:rPr>
            </w:pPr>
            <w:r w:rsidRPr="005B1417">
              <w:rPr>
                <w:sz w:val="20"/>
                <w:szCs w:val="20"/>
              </w:rPr>
              <w:t xml:space="preserve">We will keep the deadline for Grievances as the first Monday of February, and for Retail, Home Infusion, LTC Pharmacy Access as the first Monday of May for 2017 Reporting. These deadlines are already in effect for 2016 Reporting, and are intended to help sponsors’ workload to avoid multiple sections due at the same date.  For example, Grievance data are due ahead of the data for Enrollment/Disenrollment, MTM, and Coverage Determinations and Redeterminations.  These sections commonly require additional time for final decisions/updates to be accounted.  </w:t>
            </w:r>
          </w:p>
          <w:p w:rsidR="000362F6" w:rsidRPr="005B1417" w:rsidRDefault="000362F6" w:rsidP="005F26CA">
            <w:pPr>
              <w:pStyle w:val="TableParagraph"/>
              <w:rPr>
                <w:sz w:val="20"/>
                <w:szCs w:val="20"/>
              </w:rPr>
            </w:pPr>
          </w:p>
          <w:p w:rsidR="000362F6" w:rsidRPr="005B1417" w:rsidRDefault="000362F6" w:rsidP="005F26CA">
            <w:pPr>
              <w:pStyle w:val="TableParagraph"/>
              <w:rPr>
                <w:sz w:val="20"/>
                <w:szCs w:val="20"/>
              </w:rPr>
            </w:pPr>
          </w:p>
          <w:p w:rsidR="000362F6" w:rsidRPr="005B1417" w:rsidRDefault="000362F6" w:rsidP="005F26CA">
            <w:pPr>
              <w:pStyle w:val="TableParagraph"/>
              <w:rPr>
                <w:sz w:val="20"/>
                <w:szCs w:val="20"/>
              </w:rPr>
            </w:pPr>
          </w:p>
          <w:p w:rsidR="000362F6" w:rsidRPr="005B1417" w:rsidRDefault="000362F6" w:rsidP="005F26CA">
            <w:pPr>
              <w:pStyle w:val="TableParagraph"/>
              <w:rPr>
                <w:sz w:val="20"/>
                <w:szCs w:val="20"/>
              </w:rPr>
            </w:pPr>
          </w:p>
          <w:p w:rsidR="000362F6" w:rsidRPr="005B1417" w:rsidRDefault="000362F6" w:rsidP="005F26CA">
            <w:pPr>
              <w:pStyle w:val="TableParagraph"/>
              <w:ind w:left="0"/>
              <w:rPr>
                <w:sz w:val="20"/>
                <w:szCs w:val="20"/>
              </w:rPr>
            </w:pPr>
          </w:p>
        </w:tc>
      </w:tr>
      <w:tr w:rsidR="000362F6" w:rsidRPr="005B1417" w:rsidTr="005F26CA">
        <w:trPr>
          <w:trHeight w:hRule="exact" w:val="2525"/>
        </w:trPr>
        <w:tc>
          <w:tcPr>
            <w:tcW w:w="2415" w:type="dxa"/>
          </w:tcPr>
          <w:p w:rsidR="000362F6" w:rsidRPr="005B1417" w:rsidRDefault="000362F6" w:rsidP="005F26CA">
            <w:pPr>
              <w:pStyle w:val="TableParagraph"/>
              <w:ind w:right="102"/>
              <w:rPr>
                <w:sz w:val="20"/>
                <w:szCs w:val="20"/>
              </w:rPr>
            </w:pPr>
            <w:r w:rsidRPr="005B1417">
              <w:rPr>
                <w:sz w:val="20"/>
                <w:szCs w:val="20"/>
              </w:rPr>
              <w:lastRenderedPageBreak/>
              <w:t xml:space="preserve">Coverage Determinations and Redeterminations </w:t>
            </w:r>
          </w:p>
          <w:p w:rsidR="000362F6" w:rsidRPr="005B1417" w:rsidRDefault="000362F6" w:rsidP="005F26CA">
            <w:pPr>
              <w:pStyle w:val="TableParagraph"/>
              <w:ind w:right="102"/>
              <w:rPr>
                <w:sz w:val="20"/>
                <w:szCs w:val="20"/>
              </w:rPr>
            </w:pPr>
          </w:p>
        </w:tc>
        <w:tc>
          <w:tcPr>
            <w:tcW w:w="3330" w:type="dxa"/>
          </w:tcPr>
          <w:p w:rsidR="000362F6" w:rsidRPr="005B1417" w:rsidRDefault="000362F6" w:rsidP="005F26CA">
            <w:pPr>
              <w:pStyle w:val="TableParagraph"/>
              <w:ind w:right="197"/>
              <w:rPr>
                <w:sz w:val="20"/>
                <w:szCs w:val="20"/>
              </w:rPr>
            </w:pPr>
            <w:r w:rsidRPr="005B1417">
              <w:rPr>
                <w:sz w:val="20"/>
                <w:szCs w:val="20"/>
              </w:rPr>
              <w:t xml:space="preserve">For the section Reopenings, clarify the addition of “Other Error” and “Other” as distinct data responses, and the numeric value to be assigned to each.    </w:t>
            </w:r>
          </w:p>
        </w:tc>
        <w:tc>
          <w:tcPr>
            <w:tcW w:w="2520" w:type="dxa"/>
          </w:tcPr>
          <w:p w:rsidR="000362F6" w:rsidRPr="005B1417" w:rsidRDefault="000362F6" w:rsidP="005F26CA">
            <w:pPr>
              <w:pStyle w:val="TableParagraph"/>
              <w:ind w:left="100" w:right="155"/>
              <w:rPr>
                <w:sz w:val="20"/>
                <w:szCs w:val="20"/>
              </w:rPr>
            </w:pPr>
            <w:r w:rsidRPr="005B1417">
              <w:rPr>
                <w:sz w:val="20"/>
                <w:szCs w:val="20"/>
              </w:rPr>
              <w:t>None</w:t>
            </w:r>
          </w:p>
        </w:tc>
        <w:tc>
          <w:tcPr>
            <w:tcW w:w="5163" w:type="dxa"/>
          </w:tcPr>
          <w:p w:rsidR="000362F6" w:rsidRPr="005B1417" w:rsidRDefault="000362F6" w:rsidP="005F26CA">
            <w:pPr>
              <w:pStyle w:val="TableParagraph"/>
              <w:rPr>
                <w:sz w:val="20"/>
                <w:szCs w:val="20"/>
              </w:rPr>
            </w:pPr>
            <w:r w:rsidRPr="005B1417">
              <w:rPr>
                <w:sz w:val="20"/>
                <w:szCs w:val="20"/>
              </w:rPr>
              <w:t>For the data element, “Reopening Reason,” a sponsor may report 1 of the following values:</w:t>
            </w:r>
          </w:p>
          <w:p w:rsidR="000362F6" w:rsidRPr="005B1417" w:rsidRDefault="000362F6" w:rsidP="000362F6">
            <w:pPr>
              <w:pStyle w:val="TableParagraph"/>
              <w:numPr>
                <w:ilvl w:val="0"/>
                <w:numId w:val="1"/>
              </w:numPr>
              <w:rPr>
                <w:sz w:val="20"/>
                <w:szCs w:val="20"/>
              </w:rPr>
            </w:pPr>
            <w:r w:rsidRPr="005B1417">
              <w:rPr>
                <w:sz w:val="20"/>
                <w:szCs w:val="20"/>
              </w:rPr>
              <w:t xml:space="preserve">1 for Clerical Error, </w:t>
            </w:r>
          </w:p>
          <w:p w:rsidR="000362F6" w:rsidRPr="005B1417" w:rsidRDefault="000362F6" w:rsidP="000362F6">
            <w:pPr>
              <w:pStyle w:val="TableParagraph"/>
              <w:numPr>
                <w:ilvl w:val="0"/>
                <w:numId w:val="1"/>
              </w:numPr>
              <w:rPr>
                <w:sz w:val="20"/>
                <w:szCs w:val="20"/>
              </w:rPr>
            </w:pPr>
            <w:r w:rsidRPr="005B1417">
              <w:rPr>
                <w:sz w:val="20"/>
                <w:szCs w:val="20"/>
              </w:rPr>
              <w:t xml:space="preserve">2 for Other Error, </w:t>
            </w:r>
          </w:p>
          <w:p w:rsidR="000362F6" w:rsidRPr="005B1417" w:rsidRDefault="000362F6" w:rsidP="000362F6">
            <w:pPr>
              <w:pStyle w:val="TableParagraph"/>
              <w:numPr>
                <w:ilvl w:val="0"/>
                <w:numId w:val="1"/>
              </w:numPr>
              <w:rPr>
                <w:sz w:val="20"/>
                <w:szCs w:val="20"/>
              </w:rPr>
            </w:pPr>
            <w:r w:rsidRPr="005B1417">
              <w:rPr>
                <w:sz w:val="20"/>
                <w:szCs w:val="20"/>
              </w:rPr>
              <w:t xml:space="preserve">3 for New and Material Evidence, </w:t>
            </w:r>
          </w:p>
          <w:p w:rsidR="000362F6" w:rsidRPr="005B1417" w:rsidRDefault="000362F6" w:rsidP="000362F6">
            <w:pPr>
              <w:pStyle w:val="TableParagraph"/>
              <w:numPr>
                <w:ilvl w:val="0"/>
                <w:numId w:val="1"/>
              </w:numPr>
              <w:rPr>
                <w:sz w:val="20"/>
                <w:szCs w:val="20"/>
              </w:rPr>
            </w:pPr>
            <w:r w:rsidRPr="005B1417">
              <w:rPr>
                <w:sz w:val="20"/>
                <w:szCs w:val="20"/>
              </w:rPr>
              <w:t>4 for Fraud or Similar Fault.</w:t>
            </w:r>
          </w:p>
          <w:p w:rsidR="000362F6" w:rsidRPr="005B1417" w:rsidRDefault="000362F6" w:rsidP="005F26CA">
            <w:pPr>
              <w:pStyle w:val="TableParagraph"/>
              <w:rPr>
                <w:sz w:val="20"/>
                <w:szCs w:val="20"/>
              </w:rPr>
            </w:pPr>
          </w:p>
          <w:p w:rsidR="000362F6" w:rsidRPr="005B1417" w:rsidRDefault="000362F6" w:rsidP="005F26CA">
            <w:pPr>
              <w:pStyle w:val="TableParagraph"/>
              <w:rPr>
                <w:sz w:val="20"/>
                <w:szCs w:val="20"/>
              </w:rPr>
            </w:pPr>
            <w:r w:rsidRPr="005B1417">
              <w:rPr>
                <w:sz w:val="20"/>
                <w:szCs w:val="20"/>
              </w:rPr>
              <w:t xml:space="preserve"> “Other” is not listed as a possible value.</w:t>
            </w:r>
          </w:p>
        </w:tc>
      </w:tr>
      <w:tr w:rsidR="000362F6" w:rsidRPr="005B1417" w:rsidTr="005F26CA">
        <w:trPr>
          <w:trHeight w:hRule="exact" w:val="2075"/>
        </w:trPr>
        <w:tc>
          <w:tcPr>
            <w:tcW w:w="2415" w:type="dxa"/>
          </w:tcPr>
          <w:p w:rsidR="000362F6" w:rsidRPr="005B1417" w:rsidRDefault="000362F6" w:rsidP="005F26CA">
            <w:pPr>
              <w:pStyle w:val="TableParagraph"/>
              <w:ind w:right="197"/>
              <w:rPr>
                <w:sz w:val="20"/>
                <w:szCs w:val="20"/>
              </w:rPr>
            </w:pPr>
            <w:r w:rsidRPr="005B1417">
              <w:rPr>
                <w:sz w:val="20"/>
                <w:szCs w:val="20"/>
              </w:rPr>
              <w:t>Grievances</w:t>
            </w:r>
          </w:p>
        </w:tc>
        <w:tc>
          <w:tcPr>
            <w:tcW w:w="3330" w:type="dxa"/>
          </w:tcPr>
          <w:p w:rsidR="000362F6" w:rsidRPr="005B1417" w:rsidRDefault="000362F6" w:rsidP="005F26CA">
            <w:pPr>
              <w:widowControl/>
              <w:adjustRightInd w:val="0"/>
              <w:ind w:right="197"/>
              <w:rPr>
                <w:sz w:val="20"/>
                <w:szCs w:val="20"/>
              </w:rPr>
            </w:pPr>
            <w:r w:rsidRPr="005B1417">
              <w:rPr>
                <w:sz w:val="20"/>
                <w:szCs w:val="20"/>
              </w:rPr>
              <w:t xml:space="preserve">Request clarification about the new data element of dismissed grievances.  </w:t>
            </w:r>
          </w:p>
        </w:tc>
        <w:tc>
          <w:tcPr>
            <w:tcW w:w="2520" w:type="dxa"/>
          </w:tcPr>
          <w:p w:rsidR="000362F6" w:rsidRPr="005B1417" w:rsidRDefault="000362F6" w:rsidP="005F26CA">
            <w:pPr>
              <w:widowControl/>
              <w:adjustRightInd w:val="0"/>
              <w:ind w:right="197"/>
              <w:rPr>
                <w:sz w:val="20"/>
                <w:szCs w:val="20"/>
              </w:rPr>
            </w:pPr>
            <w:r w:rsidRPr="005B1417">
              <w:rPr>
                <w:sz w:val="20"/>
                <w:szCs w:val="20"/>
              </w:rPr>
              <w:t xml:space="preserve">Recommend CMS provide in the Part D Reporting Requirements Technical Specifications additional clarity to what information should be included, with examples.   </w:t>
            </w:r>
          </w:p>
          <w:p w:rsidR="000362F6" w:rsidRPr="005B1417" w:rsidRDefault="000362F6" w:rsidP="005F26CA">
            <w:pPr>
              <w:pStyle w:val="TableParagraph"/>
              <w:ind w:left="100" w:right="197"/>
              <w:rPr>
                <w:sz w:val="20"/>
                <w:szCs w:val="20"/>
              </w:rPr>
            </w:pPr>
          </w:p>
        </w:tc>
        <w:tc>
          <w:tcPr>
            <w:tcW w:w="5163" w:type="dxa"/>
          </w:tcPr>
          <w:p w:rsidR="000362F6" w:rsidRPr="005B1417" w:rsidRDefault="000362F6" w:rsidP="005F26CA">
            <w:pPr>
              <w:pStyle w:val="TableParagraph"/>
              <w:ind w:right="197"/>
              <w:rPr>
                <w:sz w:val="20"/>
                <w:szCs w:val="20"/>
              </w:rPr>
            </w:pPr>
            <w:r w:rsidRPr="005B1417">
              <w:rPr>
                <w:sz w:val="20"/>
                <w:szCs w:val="20"/>
              </w:rPr>
              <w:t>CMS agrees and will provide additional technical clarifications on reporting the number of dismissed grievances.</w:t>
            </w:r>
          </w:p>
        </w:tc>
      </w:tr>
    </w:tbl>
    <w:p w:rsidR="00431B04" w:rsidRDefault="00431B04">
      <w:bookmarkStart w:id="0" w:name="_GoBack"/>
      <w:bookmarkEnd w:id="0"/>
    </w:p>
    <w:sectPr w:rsidR="00431B04" w:rsidSect="000362F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2F6" w:rsidRDefault="000362F6" w:rsidP="000362F6">
      <w:r>
        <w:separator/>
      </w:r>
    </w:p>
  </w:endnote>
  <w:endnote w:type="continuationSeparator" w:id="0">
    <w:p w:rsidR="000362F6" w:rsidRDefault="000362F6" w:rsidP="0003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201225"/>
      <w:docPartObj>
        <w:docPartGallery w:val="Page Numbers (Bottom of Page)"/>
        <w:docPartUnique/>
      </w:docPartObj>
    </w:sdtPr>
    <w:sdtEndPr>
      <w:rPr>
        <w:noProof/>
      </w:rPr>
    </w:sdtEndPr>
    <w:sdtContent>
      <w:p w:rsidR="000362F6" w:rsidRDefault="000362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362F6" w:rsidRDefault="000362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2F6" w:rsidRDefault="000362F6" w:rsidP="000362F6">
      <w:r>
        <w:separator/>
      </w:r>
    </w:p>
  </w:footnote>
  <w:footnote w:type="continuationSeparator" w:id="0">
    <w:p w:rsidR="000362F6" w:rsidRDefault="000362F6" w:rsidP="00036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B7805"/>
    <w:multiLevelType w:val="hybridMultilevel"/>
    <w:tmpl w:val="44222CF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F6"/>
    <w:rsid w:val="000362F6"/>
    <w:rsid w:val="0043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89DA0-B6FF-4CC1-99DF-03EA3974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362F6"/>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62F6"/>
    <w:rPr>
      <w:rFonts w:ascii="Calibri" w:eastAsia="Calibri" w:hAnsi="Calibri" w:cs="Calibri"/>
      <w:b/>
      <w:bCs/>
    </w:rPr>
  </w:style>
  <w:style w:type="character" w:customStyle="1" w:styleId="BodyTextChar">
    <w:name w:val="Body Text Char"/>
    <w:basedOn w:val="DefaultParagraphFont"/>
    <w:link w:val="BodyText"/>
    <w:uiPriority w:val="1"/>
    <w:rsid w:val="000362F6"/>
    <w:rPr>
      <w:rFonts w:ascii="Calibri" w:eastAsia="Calibri" w:hAnsi="Calibri" w:cs="Calibri"/>
      <w:b/>
      <w:bCs/>
    </w:rPr>
  </w:style>
  <w:style w:type="paragraph" w:customStyle="1" w:styleId="TableParagraph">
    <w:name w:val="Table Paragraph"/>
    <w:basedOn w:val="Normal"/>
    <w:uiPriority w:val="1"/>
    <w:qFormat/>
    <w:rsid w:val="000362F6"/>
    <w:pPr>
      <w:ind w:left="103"/>
    </w:pPr>
  </w:style>
  <w:style w:type="paragraph" w:styleId="Header">
    <w:name w:val="header"/>
    <w:basedOn w:val="Normal"/>
    <w:link w:val="HeaderChar"/>
    <w:uiPriority w:val="99"/>
    <w:unhideWhenUsed/>
    <w:rsid w:val="000362F6"/>
    <w:pPr>
      <w:tabs>
        <w:tab w:val="center" w:pos="4680"/>
        <w:tab w:val="right" w:pos="9360"/>
      </w:tabs>
    </w:pPr>
  </w:style>
  <w:style w:type="character" w:customStyle="1" w:styleId="HeaderChar">
    <w:name w:val="Header Char"/>
    <w:basedOn w:val="DefaultParagraphFont"/>
    <w:link w:val="Header"/>
    <w:uiPriority w:val="99"/>
    <w:rsid w:val="000362F6"/>
    <w:rPr>
      <w:rFonts w:ascii="Arial" w:eastAsia="Arial" w:hAnsi="Arial" w:cs="Arial"/>
    </w:rPr>
  </w:style>
  <w:style w:type="paragraph" w:styleId="Footer">
    <w:name w:val="footer"/>
    <w:basedOn w:val="Normal"/>
    <w:link w:val="FooterChar"/>
    <w:uiPriority w:val="99"/>
    <w:unhideWhenUsed/>
    <w:rsid w:val="000362F6"/>
    <w:pPr>
      <w:tabs>
        <w:tab w:val="center" w:pos="4680"/>
        <w:tab w:val="right" w:pos="9360"/>
      </w:tabs>
    </w:pPr>
  </w:style>
  <w:style w:type="character" w:customStyle="1" w:styleId="FooterChar">
    <w:name w:val="Footer Char"/>
    <w:basedOn w:val="DefaultParagraphFont"/>
    <w:link w:val="Footer"/>
    <w:uiPriority w:val="99"/>
    <w:rsid w:val="000362F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LEE-MARTIN</dc:creator>
  <cp:keywords/>
  <dc:description/>
  <cp:lastModifiedBy>ALICE LEE-MARTIN</cp:lastModifiedBy>
  <cp:revision>1</cp:revision>
  <dcterms:created xsi:type="dcterms:W3CDTF">2017-01-19T14:19:00Z</dcterms:created>
  <dcterms:modified xsi:type="dcterms:W3CDTF">2017-01-19T14:20:00Z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1174282599</vt:i4>
  </property>
  <property fmtid="{D5CDD505-2E9C-101B-9397-08002B2CF9AE}" pid="3" name="_NewReviewCycle">
    <vt:lpwstr/>
  </property>
  <property fmtid="{D5CDD505-2E9C-101B-9397-08002B2CF9AE}" pid="4" name="_EmailSubject">
    <vt:lpwstr>Public Comments &gt; RE: OMB Action Needed (Passback 1) &gt; RE: Quick Follow Up &gt; RE: Action Needed &gt; RE: Part D Reporting Requirements 30-day PRA (CMS-10185; OMB 0938-0992): Crosswalk</vt:lpwstr>
  </property>
  <property fmtid="{D5CDD505-2E9C-101B-9397-08002B2CF9AE}" pid="5" name="_AuthorEmail">
    <vt:lpwstr>alice.leemartin@cms.hhs.gov</vt:lpwstr>
  </property>
  <property fmtid="{D5CDD505-2E9C-101B-9397-08002B2CF9AE}" pid="6" name="_AuthorEmailDisplayName">
    <vt:lpwstr>LEE-MARTIN, ALICE C. (CMS/CM)</vt:lpwstr>
  </property>
</Properties>
</file>