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B49" w:rsidRPr="00124217" w:rsidRDefault="00356B49" w:rsidP="00124217">
      <w:pPr>
        <w:pStyle w:val="Heading1"/>
      </w:pPr>
      <w:bookmarkStart w:id="0" w:name="_Toc461527605"/>
      <w:bookmarkStart w:id="1" w:name="_Toc176157047"/>
      <w:bookmarkStart w:id="2" w:name="_Toc394924402"/>
      <w:bookmarkStart w:id="3" w:name="_GoBack"/>
      <w:bookmarkEnd w:id="3"/>
      <w:r w:rsidRPr="00124217">
        <w:t>Testing Experience and Functional Tools Demonstration: Personal Health Record (PHR) User Survey</w:t>
      </w:r>
      <w:bookmarkEnd w:id="0"/>
    </w:p>
    <w:p w:rsidR="00356B49" w:rsidRPr="00124217" w:rsidRDefault="00356B49" w:rsidP="00124217">
      <w:pPr>
        <w:pStyle w:val="Heading1"/>
      </w:pPr>
      <w:bookmarkStart w:id="4" w:name="_Toc461527606"/>
      <w:r w:rsidRPr="00124217">
        <w:t>Paperwork Reduction Act Submission</w:t>
      </w:r>
      <w:bookmarkEnd w:id="4"/>
      <w:r w:rsidRPr="00124217">
        <w:t xml:space="preserve"> </w:t>
      </w:r>
    </w:p>
    <w:p w:rsidR="00356B49" w:rsidRPr="00124217" w:rsidRDefault="00356B49" w:rsidP="00124217">
      <w:pPr>
        <w:pStyle w:val="Heading1"/>
      </w:pPr>
      <w:bookmarkStart w:id="5" w:name="_Toc461527607"/>
      <w:r w:rsidRPr="00124217">
        <w:t>Supporting Statement B</w:t>
      </w:r>
      <w:bookmarkEnd w:id="5"/>
    </w:p>
    <w:p w:rsidR="001812BE" w:rsidRDefault="001812BE" w:rsidP="00D032F5">
      <w:pPr>
        <w:pStyle w:val="Heading1"/>
        <w:spacing w:after="0" w:line="240" w:lineRule="auto"/>
        <w:rPr>
          <w:rFonts w:eastAsiaTheme="minorEastAsia"/>
        </w:rPr>
      </w:pPr>
      <w:bookmarkStart w:id="6" w:name="_Toc461527610"/>
      <w:r>
        <w:rPr>
          <w:rFonts w:eastAsiaTheme="minorEastAsia"/>
        </w:rPr>
        <w:t>CMS-10623</w:t>
      </w:r>
    </w:p>
    <w:p w:rsidR="001812BE" w:rsidRDefault="001812BE" w:rsidP="001812BE">
      <w:pPr>
        <w:pStyle w:val="Heading1"/>
        <w:rPr>
          <w:rFonts w:eastAsiaTheme="minorEastAsia"/>
        </w:rPr>
      </w:pPr>
      <w:r>
        <w:rPr>
          <w:rFonts w:eastAsiaTheme="minorEastAsia"/>
        </w:rPr>
        <w:t>OMB</w:t>
      </w:r>
      <w:r w:rsidR="00D032F5">
        <w:rPr>
          <w:rFonts w:eastAsiaTheme="minorEastAsia"/>
        </w:rPr>
        <w:t xml:space="preserve"> Control Number: </w:t>
      </w:r>
      <w:r>
        <w:rPr>
          <w:rFonts w:eastAsiaTheme="minorEastAsia"/>
        </w:rPr>
        <w:t>0938-New</w:t>
      </w:r>
    </w:p>
    <w:p w:rsidR="00356B49" w:rsidRPr="00FD12FB" w:rsidRDefault="00DC472B" w:rsidP="00124217">
      <w:pPr>
        <w:pStyle w:val="Heading1"/>
      </w:pPr>
      <w:r>
        <w:t>September 6</w:t>
      </w:r>
      <w:r w:rsidR="00356B49" w:rsidRPr="00124217">
        <w:t>, 2016</w:t>
      </w:r>
      <w:bookmarkEnd w:id="6"/>
    </w:p>
    <w:p w:rsidR="00C4297D" w:rsidRPr="00C4297D" w:rsidRDefault="00356B49" w:rsidP="008B099C">
      <w:pPr>
        <w:pStyle w:val="Address2"/>
        <w:spacing w:after="120"/>
        <w:rPr>
          <w:rFonts w:ascii="Times New Roman" w:hAnsi="Times New Roman"/>
        </w:rPr>
      </w:pPr>
      <w:r w:rsidRPr="00C4297D">
        <w:rPr>
          <w:rFonts w:ascii="Times New Roman" w:hAnsi="Times New Roman"/>
        </w:rPr>
        <w:t>Prepared for</w:t>
      </w:r>
    </w:p>
    <w:p w:rsidR="00356B49" w:rsidRPr="002A2410" w:rsidRDefault="00356B49" w:rsidP="00356B49">
      <w:pPr>
        <w:pStyle w:val="Address2"/>
        <w:rPr>
          <w:rFonts w:ascii="Times New Roman" w:hAnsi="Times New Roman"/>
          <w:b/>
        </w:rPr>
      </w:pPr>
      <w:r w:rsidRPr="002A2410">
        <w:rPr>
          <w:rFonts w:ascii="Times New Roman" w:hAnsi="Times New Roman"/>
          <w:b/>
        </w:rPr>
        <w:t xml:space="preserve">Barbara </w:t>
      </w:r>
      <w:r>
        <w:rPr>
          <w:rFonts w:ascii="Times New Roman" w:hAnsi="Times New Roman"/>
          <w:b/>
        </w:rPr>
        <w:t xml:space="preserve">J. </w:t>
      </w:r>
      <w:r w:rsidRPr="002A2410">
        <w:rPr>
          <w:rFonts w:ascii="Times New Roman" w:hAnsi="Times New Roman"/>
          <w:b/>
        </w:rPr>
        <w:t>Holt</w:t>
      </w:r>
      <w:r>
        <w:rPr>
          <w:rFonts w:ascii="Times New Roman" w:hAnsi="Times New Roman"/>
          <w:b/>
        </w:rPr>
        <w:t>, PHD</w:t>
      </w:r>
    </w:p>
    <w:p w:rsidR="00356B49" w:rsidRPr="0035659C" w:rsidRDefault="00356B49" w:rsidP="00356B49">
      <w:pPr>
        <w:pStyle w:val="Address2"/>
        <w:rPr>
          <w:rFonts w:ascii="Times New Roman" w:hAnsi="Times New Roman"/>
        </w:rPr>
      </w:pPr>
      <w:r w:rsidRPr="0035659C">
        <w:rPr>
          <w:rFonts w:ascii="Times New Roman" w:hAnsi="Times New Roman"/>
        </w:rPr>
        <w:t>Health Insurance Specialist</w:t>
      </w:r>
    </w:p>
    <w:p w:rsidR="00356B49" w:rsidRPr="0035659C" w:rsidRDefault="00356B49" w:rsidP="00356B49">
      <w:pPr>
        <w:pStyle w:val="Address2"/>
        <w:rPr>
          <w:rFonts w:ascii="Times New Roman" w:hAnsi="Times New Roman"/>
        </w:rPr>
      </w:pPr>
      <w:r w:rsidRPr="0035659C">
        <w:rPr>
          <w:rFonts w:ascii="Times New Roman" w:hAnsi="Times New Roman"/>
        </w:rPr>
        <w:t xml:space="preserve">Division of Community Systems Transformation </w:t>
      </w:r>
    </w:p>
    <w:p w:rsidR="00356B49" w:rsidRPr="0035659C" w:rsidRDefault="00356B49" w:rsidP="00356B49">
      <w:pPr>
        <w:pStyle w:val="Address2"/>
        <w:rPr>
          <w:rFonts w:ascii="Times New Roman" w:hAnsi="Times New Roman"/>
        </w:rPr>
      </w:pPr>
      <w:r w:rsidRPr="0035659C">
        <w:rPr>
          <w:rFonts w:ascii="Times New Roman" w:hAnsi="Times New Roman"/>
        </w:rPr>
        <w:t xml:space="preserve">Disabled &amp; Elderly Health Programs Group </w:t>
      </w:r>
    </w:p>
    <w:p w:rsidR="00356B49" w:rsidRPr="0035659C" w:rsidRDefault="00356B49" w:rsidP="00356B49">
      <w:pPr>
        <w:pStyle w:val="Address2"/>
        <w:rPr>
          <w:rFonts w:ascii="Times New Roman" w:hAnsi="Times New Roman"/>
        </w:rPr>
      </w:pPr>
      <w:r w:rsidRPr="0035659C">
        <w:rPr>
          <w:rFonts w:ascii="Times New Roman" w:hAnsi="Times New Roman"/>
        </w:rPr>
        <w:t>Centers for Medicare &amp; Medicaid Services</w:t>
      </w:r>
    </w:p>
    <w:p w:rsidR="00356B49" w:rsidRDefault="00356B49" w:rsidP="008B099C">
      <w:pPr>
        <w:pStyle w:val="Address2"/>
        <w:spacing w:after="120"/>
        <w:rPr>
          <w:rFonts w:ascii="Times New Roman" w:hAnsi="Times New Roman"/>
        </w:rPr>
      </w:pPr>
      <w:r w:rsidRPr="0035659C">
        <w:rPr>
          <w:rFonts w:ascii="Times New Roman" w:hAnsi="Times New Roman"/>
        </w:rPr>
        <w:t>(410) 786-2079</w:t>
      </w:r>
    </w:p>
    <w:p w:rsidR="00356B49" w:rsidRDefault="00356B49" w:rsidP="008B099C">
      <w:pPr>
        <w:pStyle w:val="Address2"/>
        <w:spacing w:after="120"/>
        <w:rPr>
          <w:rFonts w:ascii="Times New Roman" w:hAnsi="Times New Roman"/>
        </w:rPr>
      </w:pPr>
      <w:r>
        <w:rPr>
          <w:rFonts w:ascii="Times New Roman" w:hAnsi="Times New Roman"/>
        </w:rPr>
        <w:t>Prepared by</w:t>
      </w:r>
    </w:p>
    <w:p w:rsidR="00356B49" w:rsidRDefault="00356B49" w:rsidP="00356B49">
      <w:pPr>
        <w:pStyle w:val="Address2"/>
        <w:rPr>
          <w:rFonts w:ascii="Times New Roman" w:hAnsi="Times New Roman"/>
        </w:rPr>
      </w:pPr>
      <w:r>
        <w:rPr>
          <w:rFonts w:ascii="Times New Roman" w:hAnsi="Times New Roman"/>
          <w:b/>
        </w:rPr>
        <w:t>The Lewin Group</w:t>
      </w:r>
    </w:p>
    <w:p w:rsidR="00356B49" w:rsidRDefault="00356B49">
      <w:pPr>
        <w:rPr>
          <w:rFonts w:asciiTheme="majorHAnsi" w:eastAsiaTheme="majorEastAsia" w:hAnsiTheme="majorHAnsi" w:cstheme="majorBidi"/>
          <w:b/>
          <w:bCs/>
          <w:color w:val="1F497D" w:themeColor="text2"/>
          <w:sz w:val="28"/>
          <w:szCs w:val="28"/>
          <w:lang w:eastAsia="ja-JP"/>
        </w:rPr>
      </w:pPr>
      <w:r>
        <w:br w:type="page"/>
      </w:r>
    </w:p>
    <w:p w:rsidR="00FD12FB" w:rsidRPr="00D333F7" w:rsidRDefault="00FD12FB" w:rsidP="00D333F7">
      <w:pPr>
        <w:pStyle w:val="TOCHeading"/>
      </w:pPr>
      <w:r w:rsidRPr="00FD12FB">
        <w:lastRenderedPageBreak/>
        <w:t>Table of Contents</w:t>
      </w:r>
    </w:p>
    <w:p w:rsidR="00451D19" w:rsidRDefault="00FD12FB">
      <w:pPr>
        <w:pStyle w:val="TOC1"/>
        <w:rPr>
          <w:rFonts w:asciiTheme="minorHAnsi" w:eastAsiaTheme="minorEastAsia" w:hAnsiTheme="minorHAnsi" w:cstheme="minorBidi"/>
          <w:b w:val="0"/>
          <w:bCs w:val="0"/>
          <w:iCs w:val="0"/>
          <w:kern w:val="0"/>
          <w:sz w:val="22"/>
          <w:szCs w:val="22"/>
        </w:rPr>
      </w:pPr>
      <w:r w:rsidRPr="00FD12FB">
        <w:rPr>
          <w:rFonts w:cs="Times New Roman"/>
        </w:rPr>
        <w:fldChar w:fldCharType="begin"/>
      </w:r>
      <w:r w:rsidRPr="00FD12FB">
        <w:rPr>
          <w:rFonts w:cs="Times New Roman"/>
        </w:rPr>
        <w:instrText xml:space="preserve"> TOC \o "1-2" \h \z \u </w:instrText>
      </w:r>
      <w:r w:rsidRPr="00FD12FB">
        <w:rPr>
          <w:rFonts w:cs="Times New Roman"/>
        </w:rPr>
        <w:fldChar w:fldCharType="separate"/>
      </w:r>
      <w:hyperlink w:anchor="_Toc461527607" w:history="1">
        <w:r w:rsidR="00451D19" w:rsidRPr="00570336">
          <w:rPr>
            <w:rStyle w:val="Hyperlink"/>
          </w:rPr>
          <w:t>Supporting Statement B</w:t>
        </w:r>
        <w:r w:rsidR="00451D19">
          <w:rPr>
            <w:webHidden/>
          </w:rPr>
          <w:tab/>
        </w:r>
        <w:r w:rsidR="00451D19">
          <w:rPr>
            <w:webHidden/>
          </w:rPr>
          <w:fldChar w:fldCharType="begin"/>
        </w:r>
        <w:r w:rsidR="00451D19">
          <w:rPr>
            <w:webHidden/>
          </w:rPr>
          <w:instrText xml:space="preserve"> PAGEREF _Toc461527607 \h </w:instrText>
        </w:r>
        <w:r w:rsidR="00451D19">
          <w:rPr>
            <w:webHidden/>
          </w:rPr>
        </w:r>
        <w:r w:rsidR="00451D19">
          <w:rPr>
            <w:webHidden/>
          </w:rPr>
          <w:fldChar w:fldCharType="separate"/>
        </w:r>
        <w:r w:rsidR="00451D19">
          <w:rPr>
            <w:webHidden/>
          </w:rPr>
          <w:t>1</w:t>
        </w:r>
        <w:r w:rsidR="00451D19">
          <w:rPr>
            <w:webHidden/>
          </w:rPr>
          <w:fldChar w:fldCharType="end"/>
        </w:r>
      </w:hyperlink>
    </w:p>
    <w:p w:rsidR="00451D19" w:rsidRDefault="00D032F5">
      <w:pPr>
        <w:pStyle w:val="TOC2"/>
        <w:tabs>
          <w:tab w:val="right" w:leader="dot" w:pos="9350"/>
        </w:tabs>
        <w:rPr>
          <w:rFonts w:eastAsiaTheme="minorEastAsia"/>
          <w:b w:val="0"/>
          <w:bCs w:val="0"/>
          <w:noProof/>
        </w:rPr>
      </w:pPr>
      <w:hyperlink w:anchor="_Toc461527611" w:history="1">
        <w:r w:rsidR="00451D19" w:rsidRPr="00570336">
          <w:rPr>
            <w:rStyle w:val="Hyperlink"/>
            <w:noProof/>
          </w:rPr>
          <w:t>Section B</w:t>
        </w:r>
        <w:r w:rsidR="00451D19">
          <w:rPr>
            <w:noProof/>
            <w:webHidden/>
          </w:rPr>
          <w:tab/>
        </w:r>
        <w:r w:rsidR="00451D19">
          <w:rPr>
            <w:noProof/>
            <w:webHidden/>
          </w:rPr>
          <w:fldChar w:fldCharType="begin"/>
        </w:r>
        <w:r w:rsidR="00451D19">
          <w:rPr>
            <w:noProof/>
            <w:webHidden/>
          </w:rPr>
          <w:instrText xml:space="preserve"> PAGEREF _Toc461527611 \h </w:instrText>
        </w:r>
        <w:r w:rsidR="00451D19">
          <w:rPr>
            <w:noProof/>
            <w:webHidden/>
          </w:rPr>
        </w:r>
        <w:r w:rsidR="00451D19">
          <w:rPr>
            <w:noProof/>
            <w:webHidden/>
          </w:rPr>
          <w:fldChar w:fldCharType="separate"/>
        </w:r>
        <w:r w:rsidR="00451D19">
          <w:rPr>
            <w:noProof/>
            <w:webHidden/>
          </w:rPr>
          <w:t>3</w:t>
        </w:r>
        <w:r w:rsidR="00451D19">
          <w:rPr>
            <w:noProof/>
            <w:webHidden/>
          </w:rPr>
          <w:fldChar w:fldCharType="end"/>
        </w:r>
      </w:hyperlink>
    </w:p>
    <w:p w:rsidR="00451D19" w:rsidRDefault="00D032F5">
      <w:pPr>
        <w:pStyle w:val="TOC2"/>
        <w:tabs>
          <w:tab w:val="right" w:leader="dot" w:pos="9350"/>
        </w:tabs>
        <w:rPr>
          <w:rFonts w:eastAsiaTheme="minorEastAsia"/>
          <w:b w:val="0"/>
          <w:bCs w:val="0"/>
          <w:noProof/>
        </w:rPr>
      </w:pPr>
      <w:hyperlink w:anchor="_Toc461527612" w:history="1">
        <w:r w:rsidR="00451D19" w:rsidRPr="00570336">
          <w:rPr>
            <w:rStyle w:val="Hyperlink"/>
            <w:noProof/>
          </w:rPr>
          <w:t>B2. Information Collection Procedures</w:t>
        </w:r>
        <w:r w:rsidR="00451D19">
          <w:rPr>
            <w:noProof/>
            <w:webHidden/>
          </w:rPr>
          <w:tab/>
        </w:r>
        <w:r w:rsidR="00451D19">
          <w:rPr>
            <w:noProof/>
            <w:webHidden/>
          </w:rPr>
          <w:fldChar w:fldCharType="begin"/>
        </w:r>
        <w:r w:rsidR="00451D19">
          <w:rPr>
            <w:noProof/>
            <w:webHidden/>
          </w:rPr>
          <w:instrText xml:space="preserve"> PAGEREF _Toc461527612 \h </w:instrText>
        </w:r>
        <w:r w:rsidR="00451D19">
          <w:rPr>
            <w:noProof/>
            <w:webHidden/>
          </w:rPr>
        </w:r>
        <w:r w:rsidR="00451D19">
          <w:rPr>
            <w:noProof/>
            <w:webHidden/>
          </w:rPr>
          <w:fldChar w:fldCharType="separate"/>
        </w:r>
        <w:r w:rsidR="00451D19">
          <w:rPr>
            <w:noProof/>
            <w:webHidden/>
          </w:rPr>
          <w:t>4</w:t>
        </w:r>
        <w:r w:rsidR="00451D19">
          <w:rPr>
            <w:noProof/>
            <w:webHidden/>
          </w:rPr>
          <w:fldChar w:fldCharType="end"/>
        </w:r>
      </w:hyperlink>
    </w:p>
    <w:p w:rsidR="00451D19" w:rsidRDefault="00D032F5">
      <w:pPr>
        <w:pStyle w:val="TOC2"/>
        <w:tabs>
          <w:tab w:val="right" w:leader="dot" w:pos="9350"/>
        </w:tabs>
        <w:rPr>
          <w:rFonts w:eastAsiaTheme="minorEastAsia"/>
          <w:b w:val="0"/>
          <w:bCs w:val="0"/>
          <w:noProof/>
        </w:rPr>
      </w:pPr>
      <w:hyperlink w:anchor="_Toc461527613" w:history="1">
        <w:r w:rsidR="00451D19" w:rsidRPr="00570336">
          <w:rPr>
            <w:rStyle w:val="Hyperlink"/>
            <w:noProof/>
          </w:rPr>
          <w:t>B3. Methods to Maximize Response Rates</w:t>
        </w:r>
        <w:r w:rsidR="00451D19">
          <w:rPr>
            <w:noProof/>
            <w:webHidden/>
          </w:rPr>
          <w:tab/>
        </w:r>
        <w:r w:rsidR="00451D19">
          <w:rPr>
            <w:noProof/>
            <w:webHidden/>
          </w:rPr>
          <w:fldChar w:fldCharType="begin"/>
        </w:r>
        <w:r w:rsidR="00451D19">
          <w:rPr>
            <w:noProof/>
            <w:webHidden/>
          </w:rPr>
          <w:instrText xml:space="preserve"> PAGEREF _Toc461527613 \h </w:instrText>
        </w:r>
        <w:r w:rsidR="00451D19">
          <w:rPr>
            <w:noProof/>
            <w:webHidden/>
          </w:rPr>
        </w:r>
        <w:r w:rsidR="00451D19">
          <w:rPr>
            <w:noProof/>
            <w:webHidden/>
          </w:rPr>
          <w:fldChar w:fldCharType="separate"/>
        </w:r>
        <w:r w:rsidR="00451D19">
          <w:rPr>
            <w:noProof/>
            <w:webHidden/>
          </w:rPr>
          <w:t>5</w:t>
        </w:r>
        <w:r w:rsidR="00451D19">
          <w:rPr>
            <w:noProof/>
            <w:webHidden/>
          </w:rPr>
          <w:fldChar w:fldCharType="end"/>
        </w:r>
      </w:hyperlink>
    </w:p>
    <w:p w:rsidR="00451D19" w:rsidRDefault="00D032F5">
      <w:pPr>
        <w:pStyle w:val="TOC2"/>
        <w:tabs>
          <w:tab w:val="right" w:leader="dot" w:pos="9350"/>
        </w:tabs>
        <w:rPr>
          <w:rFonts w:eastAsiaTheme="minorEastAsia"/>
          <w:b w:val="0"/>
          <w:bCs w:val="0"/>
          <w:noProof/>
        </w:rPr>
      </w:pPr>
      <w:hyperlink w:anchor="_Toc461527614" w:history="1">
        <w:r w:rsidR="00451D19" w:rsidRPr="00570336">
          <w:rPr>
            <w:rStyle w:val="Hyperlink"/>
            <w:noProof/>
          </w:rPr>
          <w:t>B4. Test of Procedures</w:t>
        </w:r>
        <w:r w:rsidR="00451D19">
          <w:rPr>
            <w:noProof/>
            <w:webHidden/>
          </w:rPr>
          <w:tab/>
        </w:r>
        <w:r w:rsidR="00451D19">
          <w:rPr>
            <w:noProof/>
            <w:webHidden/>
          </w:rPr>
          <w:fldChar w:fldCharType="begin"/>
        </w:r>
        <w:r w:rsidR="00451D19">
          <w:rPr>
            <w:noProof/>
            <w:webHidden/>
          </w:rPr>
          <w:instrText xml:space="preserve"> PAGEREF _Toc461527614 \h </w:instrText>
        </w:r>
        <w:r w:rsidR="00451D19">
          <w:rPr>
            <w:noProof/>
            <w:webHidden/>
          </w:rPr>
        </w:r>
        <w:r w:rsidR="00451D19">
          <w:rPr>
            <w:noProof/>
            <w:webHidden/>
          </w:rPr>
          <w:fldChar w:fldCharType="separate"/>
        </w:r>
        <w:r w:rsidR="00451D19">
          <w:rPr>
            <w:noProof/>
            <w:webHidden/>
          </w:rPr>
          <w:t>6</w:t>
        </w:r>
        <w:r w:rsidR="00451D19">
          <w:rPr>
            <w:noProof/>
            <w:webHidden/>
          </w:rPr>
          <w:fldChar w:fldCharType="end"/>
        </w:r>
      </w:hyperlink>
    </w:p>
    <w:p w:rsidR="00451D19" w:rsidRDefault="00D032F5">
      <w:pPr>
        <w:pStyle w:val="TOC2"/>
        <w:tabs>
          <w:tab w:val="right" w:leader="dot" w:pos="9350"/>
        </w:tabs>
        <w:rPr>
          <w:rFonts w:eastAsiaTheme="minorEastAsia"/>
          <w:b w:val="0"/>
          <w:bCs w:val="0"/>
          <w:noProof/>
        </w:rPr>
      </w:pPr>
      <w:hyperlink w:anchor="_Toc461527615" w:history="1">
        <w:r w:rsidR="00451D19" w:rsidRPr="00570336">
          <w:rPr>
            <w:rStyle w:val="Hyperlink"/>
            <w:noProof/>
          </w:rPr>
          <w:t>B5. Individuals Consulted on Statistical Aspects of Design</w:t>
        </w:r>
        <w:r w:rsidR="00451D19">
          <w:rPr>
            <w:noProof/>
            <w:webHidden/>
          </w:rPr>
          <w:tab/>
        </w:r>
        <w:r w:rsidR="00451D19">
          <w:rPr>
            <w:noProof/>
            <w:webHidden/>
          </w:rPr>
          <w:fldChar w:fldCharType="begin"/>
        </w:r>
        <w:r w:rsidR="00451D19">
          <w:rPr>
            <w:noProof/>
            <w:webHidden/>
          </w:rPr>
          <w:instrText xml:space="preserve"> PAGEREF _Toc461527615 \h </w:instrText>
        </w:r>
        <w:r w:rsidR="00451D19">
          <w:rPr>
            <w:noProof/>
            <w:webHidden/>
          </w:rPr>
        </w:r>
        <w:r w:rsidR="00451D19">
          <w:rPr>
            <w:noProof/>
            <w:webHidden/>
          </w:rPr>
          <w:fldChar w:fldCharType="separate"/>
        </w:r>
        <w:r w:rsidR="00451D19">
          <w:rPr>
            <w:noProof/>
            <w:webHidden/>
          </w:rPr>
          <w:t>7</w:t>
        </w:r>
        <w:r w:rsidR="00451D19">
          <w:rPr>
            <w:noProof/>
            <w:webHidden/>
          </w:rPr>
          <w:fldChar w:fldCharType="end"/>
        </w:r>
      </w:hyperlink>
    </w:p>
    <w:p w:rsidR="00FD12FB" w:rsidRDefault="00FD12FB" w:rsidP="00FD12FB">
      <w:r w:rsidRPr="00FD12FB">
        <w:rPr>
          <w:rFonts w:ascii="Book Antiqua" w:eastAsia="Times New Roman" w:hAnsi="Book Antiqua" w:cs="Times New Roman"/>
          <w:szCs w:val="20"/>
        </w:rPr>
        <w:fldChar w:fldCharType="end"/>
      </w:r>
    </w:p>
    <w:p w:rsidR="00FD12FB" w:rsidRDefault="00FD12FB">
      <w:pPr>
        <w:rPr>
          <w:rFonts w:ascii="Arial Bold" w:eastAsia="Times New Roman" w:hAnsi="Arial Bold" w:cs="Arial"/>
          <w:b/>
          <w:bCs/>
          <w:caps/>
          <w:kern w:val="32"/>
          <w:sz w:val="36"/>
          <w:szCs w:val="32"/>
        </w:rPr>
      </w:pPr>
      <w:r>
        <w:rPr>
          <w:rFonts w:ascii="Arial Bold" w:eastAsia="Times New Roman" w:hAnsi="Arial Bold" w:cs="Arial"/>
          <w:b/>
          <w:bCs/>
          <w:caps/>
          <w:kern w:val="32"/>
          <w:sz w:val="36"/>
          <w:szCs w:val="32"/>
        </w:rPr>
        <w:br w:type="page"/>
      </w:r>
    </w:p>
    <w:p w:rsidR="00FD12FB" w:rsidRPr="006A06CB" w:rsidRDefault="00FD12FB" w:rsidP="006A06CB">
      <w:pPr>
        <w:pStyle w:val="Heading2"/>
      </w:pPr>
      <w:bookmarkStart w:id="7" w:name="_Toc461527611"/>
      <w:r w:rsidRPr="006A06CB">
        <w:lastRenderedPageBreak/>
        <w:t>Section B</w:t>
      </w:r>
      <w:bookmarkEnd w:id="1"/>
      <w:bookmarkEnd w:id="2"/>
      <w:bookmarkEnd w:id="7"/>
    </w:p>
    <w:p w:rsidR="00FD12FB" w:rsidRPr="00FD12FB" w:rsidRDefault="00FD12FB" w:rsidP="00FD12FB">
      <w:pPr>
        <w:autoSpaceDE w:val="0"/>
        <w:autoSpaceDN w:val="0"/>
        <w:adjustRightInd w:val="0"/>
        <w:spacing w:line="240" w:lineRule="auto"/>
        <w:rPr>
          <w:rFonts w:ascii="Times New Roman" w:eastAsia="Times New Roman" w:hAnsi="Times New Roman" w:cs="Times New Roman"/>
          <w:szCs w:val="20"/>
        </w:rPr>
      </w:pPr>
      <w:bookmarkStart w:id="8" w:name="_Toc8118898"/>
      <w:bookmarkStart w:id="9" w:name="_Toc81803528"/>
      <w:bookmarkStart w:id="10" w:name="_Toc88301197"/>
      <w:bookmarkStart w:id="11" w:name="_Toc114645272"/>
      <w:bookmarkStart w:id="12" w:name="_Toc176157048"/>
      <w:r w:rsidRPr="00FD12FB">
        <w:rPr>
          <w:rFonts w:ascii="Times New Roman" w:eastAsia="Times New Roman" w:hAnsi="Times New Roman" w:cs="Times New Roman"/>
          <w:szCs w:val="20"/>
        </w:rPr>
        <w:t xml:space="preserve">This section provides information on the five points outlined in Part B of the supporting statement for the collection of information for the evaluation of the </w:t>
      </w:r>
      <w:r w:rsidR="00CF6E19" w:rsidRPr="00CF6E19">
        <w:rPr>
          <w:rFonts w:ascii="Times New Roman" w:eastAsia="Times New Roman" w:hAnsi="Times New Roman" w:cs="Times New Roman"/>
          <w:szCs w:val="20"/>
        </w:rPr>
        <w:t xml:space="preserve">Testing Experience and Functional Tools (TEFT) </w:t>
      </w:r>
      <w:r w:rsidRPr="00FD12FB">
        <w:rPr>
          <w:rFonts w:ascii="Times New Roman" w:eastAsia="Times New Roman" w:hAnsi="Times New Roman" w:cs="Times New Roman"/>
          <w:szCs w:val="20"/>
        </w:rPr>
        <w:t xml:space="preserve">Demonstration. </w:t>
      </w:r>
    </w:p>
    <w:p w:rsidR="00FD12FB" w:rsidRPr="006A06CB" w:rsidRDefault="006A06CB" w:rsidP="006A06CB">
      <w:pPr>
        <w:pStyle w:val="Heading3"/>
      </w:pPr>
      <w:bookmarkStart w:id="13" w:name="_Toc394924403"/>
      <w:r w:rsidRPr="006A06CB">
        <w:t xml:space="preserve">B1. </w:t>
      </w:r>
      <w:r w:rsidR="00FD12FB" w:rsidRPr="006A06CB">
        <w:t>Respondent Universe and Sampling Methods</w:t>
      </w:r>
      <w:bookmarkEnd w:id="8"/>
      <w:bookmarkEnd w:id="9"/>
      <w:bookmarkEnd w:id="10"/>
      <w:bookmarkEnd w:id="11"/>
      <w:bookmarkEnd w:id="12"/>
      <w:bookmarkEnd w:id="13"/>
    </w:p>
    <w:p w:rsidR="00FD12FB" w:rsidRPr="006A06CB" w:rsidRDefault="00FD12FB" w:rsidP="006A06CB">
      <w:pPr>
        <w:pStyle w:val="Heading4"/>
      </w:pPr>
      <w:r w:rsidRPr="006A06CB">
        <w:t xml:space="preserve">Sampling Plan.  </w:t>
      </w:r>
    </w:p>
    <w:p w:rsidR="00FD12FB" w:rsidRPr="00FD12FB" w:rsidRDefault="00454610" w:rsidP="00FD12FB">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The</w:t>
      </w:r>
      <w:r w:rsidR="00FD12FB" w:rsidRPr="00FD12FB">
        <w:rPr>
          <w:rFonts w:ascii="Times New Roman" w:eastAsia="Times New Roman" w:hAnsi="Times New Roman" w:cs="Times New Roman"/>
          <w:szCs w:val="20"/>
        </w:rPr>
        <w:t xml:space="preserve"> approach is to survey the universe of </w:t>
      </w:r>
      <w:r w:rsidR="00FA3DCE">
        <w:rPr>
          <w:rFonts w:ascii="Times New Roman" w:eastAsia="Times New Roman" w:hAnsi="Times New Roman" w:cs="Times New Roman"/>
          <w:szCs w:val="20"/>
        </w:rPr>
        <w:t>community-based long-term s</w:t>
      </w:r>
      <w:r w:rsidR="009C0A9D">
        <w:rPr>
          <w:rFonts w:ascii="Times New Roman" w:eastAsia="Times New Roman" w:hAnsi="Times New Roman" w:cs="Times New Roman"/>
          <w:szCs w:val="20"/>
        </w:rPr>
        <w:t xml:space="preserve">ervices and </w:t>
      </w:r>
      <w:r w:rsidR="00FA3DCE">
        <w:rPr>
          <w:rFonts w:ascii="Times New Roman" w:eastAsia="Times New Roman" w:hAnsi="Times New Roman" w:cs="Times New Roman"/>
          <w:szCs w:val="20"/>
        </w:rPr>
        <w:t>s</w:t>
      </w:r>
      <w:r w:rsidR="009C0A9D">
        <w:rPr>
          <w:rFonts w:ascii="Times New Roman" w:eastAsia="Times New Roman" w:hAnsi="Times New Roman" w:cs="Times New Roman"/>
          <w:szCs w:val="20"/>
        </w:rPr>
        <w:t>upports (</w:t>
      </w:r>
      <w:r w:rsidR="00FD12FB" w:rsidRPr="00FD12FB">
        <w:rPr>
          <w:rFonts w:ascii="Times New Roman" w:eastAsia="Times New Roman" w:hAnsi="Times New Roman" w:cs="Times New Roman"/>
          <w:szCs w:val="20"/>
        </w:rPr>
        <w:t>CB-LTSS</w:t>
      </w:r>
      <w:r w:rsidR="009C0A9D">
        <w:rPr>
          <w:rFonts w:ascii="Times New Roman" w:eastAsia="Times New Roman" w:hAnsi="Times New Roman" w:cs="Times New Roman"/>
          <w:szCs w:val="20"/>
        </w:rPr>
        <w:t>)</w:t>
      </w:r>
      <w:r w:rsidR="00FD12FB" w:rsidRPr="00FD12FB">
        <w:rPr>
          <w:rFonts w:ascii="Times New Roman" w:eastAsia="Times New Roman" w:hAnsi="Times New Roman" w:cs="Times New Roman"/>
          <w:szCs w:val="20"/>
        </w:rPr>
        <w:t xml:space="preserve"> </w:t>
      </w:r>
      <w:r w:rsidR="00C20B32">
        <w:rPr>
          <w:rFonts w:ascii="Times New Roman" w:eastAsia="Times New Roman" w:hAnsi="Times New Roman" w:cs="Times New Roman"/>
          <w:szCs w:val="20"/>
        </w:rPr>
        <w:t xml:space="preserve">Medicaid Waiver </w:t>
      </w:r>
      <w:r w:rsidR="00FD12FB" w:rsidRPr="00FD12FB">
        <w:rPr>
          <w:rFonts w:ascii="Times New Roman" w:eastAsia="Times New Roman" w:hAnsi="Times New Roman" w:cs="Times New Roman"/>
          <w:szCs w:val="20"/>
        </w:rPr>
        <w:t xml:space="preserve">beneficiaries in each state identified as </w:t>
      </w:r>
      <w:r w:rsidR="009C0A9D">
        <w:rPr>
          <w:rFonts w:ascii="Times New Roman" w:eastAsia="Times New Roman" w:hAnsi="Times New Roman" w:cs="Times New Roman"/>
          <w:szCs w:val="20"/>
        </w:rPr>
        <w:t>Personal Health Record (PHR)</w:t>
      </w:r>
      <w:r w:rsidR="009C0A9D" w:rsidRPr="00FD12FB">
        <w:rPr>
          <w:rFonts w:ascii="Times New Roman" w:eastAsia="Times New Roman" w:hAnsi="Times New Roman" w:cs="Times New Roman"/>
          <w:szCs w:val="20"/>
        </w:rPr>
        <w:t xml:space="preserve"> </w:t>
      </w:r>
      <w:r w:rsidR="00FD12FB" w:rsidRPr="00FD12FB">
        <w:rPr>
          <w:rFonts w:ascii="Times New Roman" w:eastAsia="Times New Roman" w:hAnsi="Times New Roman" w:cs="Times New Roman"/>
          <w:szCs w:val="20"/>
        </w:rPr>
        <w:t>users</w:t>
      </w:r>
      <w:r>
        <w:rPr>
          <w:rFonts w:ascii="Times New Roman" w:eastAsia="Times New Roman" w:hAnsi="Times New Roman" w:cs="Times New Roman"/>
          <w:szCs w:val="20"/>
        </w:rPr>
        <w:t xml:space="preserve"> </w:t>
      </w:r>
      <w:r w:rsidR="00C20B32">
        <w:rPr>
          <w:rFonts w:ascii="Times New Roman" w:eastAsia="Times New Roman" w:hAnsi="Times New Roman" w:cs="Times New Roman"/>
          <w:szCs w:val="20"/>
        </w:rPr>
        <w:t xml:space="preserve">for </w:t>
      </w:r>
      <w:r>
        <w:rPr>
          <w:rFonts w:ascii="Times New Roman" w:eastAsia="Times New Roman" w:hAnsi="Times New Roman" w:cs="Times New Roman"/>
          <w:szCs w:val="20"/>
        </w:rPr>
        <w:t>up to 250 users. For all states except Kentucky, the user population has been identified as 250 CB-LTSS beneficiaries or less</w:t>
      </w:r>
      <w:r w:rsidR="00D91631">
        <w:rPr>
          <w:rFonts w:ascii="Times New Roman" w:eastAsia="Times New Roman" w:hAnsi="Times New Roman" w:cs="Times New Roman"/>
          <w:szCs w:val="20"/>
        </w:rPr>
        <w:t xml:space="preserve">. Kentucky is planning a state-wide launch of </w:t>
      </w:r>
      <w:r w:rsidR="00907DA8">
        <w:rPr>
          <w:rFonts w:ascii="Times New Roman" w:eastAsia="Times New Roman" w:hAnsi="Times New Roman" w:cs="Times New Roman"/>
          <w:szCs w:val="20"/>
        </w:rPr>
        <w:t>its</w:t>
      </w:r>
      <w:r w:rsidR="00D91631">
        <w:rPr>
          <w:rFonts w:ascii="Times New Roman" w:eastAsia="Times New Roman" w:hAnsi="Times New Roman" w:cs="Times New Roman"/>
          <w:szCs w:val="20"/>
        </w:rPr>
        <w:t xml:space="preserve"> PHR solution</w:t>
      </w:r>
      <w:r w:rsidR="00C20B32">
        <w:rPr>
          <w:rFonts w:ascii="Times New Roman" w:eastAsia="Times New Roman" w:hAnsi="Times New Roman" w:cs="Times New Roman"/>
          <w:szCs w:val="20"/>
        </w:rPr>
        <w:t>; however, this may be delayed resulting in a pilot sample of less than 250 CB-LTSS Medicaid Waiver beneficiaries in that state</w:t>
      </w:r>
      <w:r w:rsidR="00FD12FB" w:rsidRPr="00FD12FB">
        <w:rPr>
          <w:rFonts w:ascii="Times New Roman" w:eastAsia="Times New Roman" w:hAnsi="Times New Roman" w:cs="Times New Roman"/>
          <w:szCs w:val="20"/>
        </w:rPr>
        <w:t>.</w:t>
      </w:r>
      <w:r w:rsidR="00E009D8">
        <w:rPr>
          <w:rStyle w:val="FootnoteReference"/>
          <w:rFonts w:ascii="Times New Roman" w:eastAsia="Times New Roman" w:hAnsi="Times New Roman" w:cs="Times New Roman"/>
          <w:szCs w:val="20"/>
        </w:rPr>
        <w:footnoteReference w:id="1"/>
      </w:r>
      <w:r w:rsidR="00FD12FB" w:rsidRPr="00FD12FB">
        <w:rPr>
          <w:rFonts w:ascii="Times New Roman" w:eastAsia="Times New Roman" w:hAnsi="Times New Roman" w:cs="Times New Roman"/>
          <w:szCs w:val="20"/>
        </w:rPr>
        <w:t xml:space="preserve"> </w:t>
      </w:r>
      <w:r w:rsidR="00DC1598">
        <w:rPr>
          <w:rFonts w:ascii="Times New Roman" w:eastAsia="Times New Roman" w:hAnsi="Times New Roman" w:cs="Times New Roman"/>
          <w:szCs w:val="20"/>
        </w:rPr>
        <w:t xml:space="preserve">A response rate of 80% is expected for this data collection. </w:t>
      </w:r>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bCs/>
          <w:szCs w:val="20"/>
        </w:rPr>
        <w:t xml:space="preserve">We will field this survey in a web-based format </w:t>
      </w:r>
      <w:r w:rsidR="00907DA8">
        <w:rPr>
          <w:rFonts w:ascii="Times New Roman" w:eastAsia="Times New Roman" w:hAnsi="Times New Roman" w:cs="Times New Roman"/>
          <w:bCs/>
          <w:szCs w:val="20"/>
        </w:rPr>
        <w:t>and provide beneficiaries with a web-link to the survey via</w:t>
      </w:r>
      <w:r w:rsidRPr="00FD12FB">
        <w:rPr>
          <w:rFonts w:ascii="Times New Roman" w:eastAsia="Times New Roman" w:hAnsi="Times New Roman" w:cs="Times New Roman"/>
          <w:bCs/>
          <w:szCs w:val="20"/>
        </w:rPr>
        <w:t xml:space="preserve"> the PHR interface</w:t>
      </w:r>
      <w:r w:rsidR="002D4062">
        <w:rPr>
          <w:rFonts w:ascii="Times New Roman" w:eastAsia="Times New Roman" w:hAnsi="Times New Roman" w:cs="Times New Roman"/>
          <w:bCs/>
          <w:szCs w:val="20"/>
        </w:rPr>
        <w:t xml:space="preserve"> (e.g., a link will be posted to the main page of the state-offered PHR). If a state prefers, the state can mail</w:t>
      </w:r>
      <w:r w:rsidRPr="00FD12FB">
        <w:rPr>
          <w:rFonts w:ascii="Times New Roman" w:eastAsia="Times New Roman" w:hAnsi="Times New Roman" w:cs="Times New Roman"/>
          <w:bCs/>
          <w:szCs w:val="20"/>
        </w:rPr>
        <w:t xml:space="preserve"> communications</w:t>
      </w:r>
      <w:r w:rsidR="00D91631">
        <w:rPr>
          <w:rFonts w:ascii="Times New Roman" w:eastAsia="Times New Roman" w:hAnsi="Times New Roman" w:cs="Times New Roman"/>
          <w:bCs/>
          <w:szCs w:val="20"/>
        </w:rPr>
        <w:t xml:space="preserve"> </w:t>
      </w:r>
      <w:r w:rsidR="002D4062">
        <w:rPr>
          <w:rFonts w:ascii="Times New Roman" w:eastAsia="Times New Roman" w:hAnsi="Times New Roman" w:cs="Times New Roman"/>
          <w:bCs/>
          <w:szCs w:val="20"/>
        </w:rPr>
        <w:t>to</w:t>
      </w:r>
      <w:r w:rsidRPr="00FD12FB">
        <w:rPr>
          <w:rFonts w:ascii="Times New Roman" w:eastAsia="Times New Roman" w:hAnsi="Times New Roman" w:cs="Times New Roman"/>
          <w:bCs/>
          <w:szCs w:val="20"/>
        </w:rPr>
        <w:t xml:space="preserve"> registered PHR users</w:t>
      </w:r>
      <w:r w:rsidR="00907DA8">
        <w:rPr>
          <w:rFonts w:ascii="Times New Roman" w:eastAsia="Times New Roman" w:hAnsi="Times New Roman" w:cs="Times New Roman"/>
          <w:bCs/>
          <w:szCs w:val="20"/>
        </w:rPr>
        <w:t>.</w:t>
      </w:r>
      <w:r w:rsidRPr="00FD12FB">
        <w:rPr>
          <w:rFonts w:ascii="Times New Roman" w:eastAsia="Times New Roman" w:hAnsi="Times New Roman" w:cs="Times New Roman"/>
          <w:bCs/>
          <w:szCs w:val="20"/>
        </w:rPr>
        <w:t xml:space="preserve"> </w:t>
      </w:r>
      <w:r w:rsidRPr="00FD12FB">
        <w:rPr>
          <w:rFonts w:ascii="Times New Roman" w:eastAsia="Times New Roman" w:hAnsi="Times New Roman" w:cs="Times New Roman"/>
          <w:szCs w:val="20"/>
        </w:rPr>
        <w:t>The PHR User Survey will only capture</w:t>
      </w:r>
      <w:r w:rsidR="00634366">
        <w:rPr>
          <w:rFonts w:ascii="Times New Roman" w:eastAsia="Times New Roman" w:hAnsi="Times New Roman" w:cs="Times New Roman"/>
          <w:szCs w:val="20"/>
        </w:rPr>
        <w:t xml:space="preserve"> state identified</w:t>
      </w:r>
      <w:r w:rsidRPr="00FD12FB">
        <w:rPr>
          <w:rFonts w:ascii="Times New Roman" w:eastAsia="Times New Roman" w:hAnsi="Times New Roman" w:cs="Times New Roman"/>
          <w:szCs w:val="20"/>
        </w:rPr>
        <w:t xml:space="preserve"> P</w:t>
      </w:r>
      <w:r w:rsidR="00CF6E19">
        <w:rPr>
          <w:rFonts w:ascii="Times New Roman" w:eastAsia="Times New Roman" w:hAnsi="Times New Roman" w:cs="Times New Roman"/>
          <w:szCs w:val="20"/>
        </w:rPr>
        <w:t xml:space="preserve">HR </w:t>
      </w:r>
      <w:r w:rsidRPr="00FD12FB">
        <w:rPr>
          <w:rFonts w:ascii="Times New Roman" w:eastAsia="Times New Roman" w:hAnsi="Times New Roman" w:cs="Times New Roman"/>
          <w:szCs w:val="20"/>
        </w:rPr>
        <w:t>users</w:t>
      </w:r>
      <w:r w:rsidR="007A1A15">
        <w:rPr>
          <w:rFonts w:ascii="Times New Roman" w:eastAsia="Times New Roman" w:hAnsi="Times New Roman" w:cs="Times New Roman"/>
          <w:szCs w:val="20"/>
        </w:rPr>
        <w:t xml:space="preserve">, </w:t>
      </w:r>
      <w:r w:rsidRPr="00FD12FB">
        <w:rPr>
          <w:rFonts w:ascii="Times New Roman" w:eastAsia="Times New Roman" w:hAnsi="Times New Roman" w:cs="Times New Roman"/>
          <w:szCs w:val="20"/>
        </w:rPr>
        <w:t xml:space="preserve">who </w:t>
      </w:r>
      <w:r w:rsidR="00FE5F0D">
        <w:rPr>
          <w:rFonts w:ascii="Times New Roman" w:eastAsia="Times New Roman" w:hAnsi="Times New Roman" w:cs="Times New Roman"/>
          <w:szCs w:val="20"/>
        </w:rPr>
        <w:t>are offered</w:t>
      </w:r>
      <w:r w:rsidRPr="00FD12FB">
        <w:rPr>
          <w:rFonts w:ascii="Times New Roman" w:eastAsia="Times New Roman" w:hAnsi="Times New Roman" w:cs="Times New Roman"/>
          <w:szCs w:val="20"/>
        </w:rPr>
        <w:t xml:space="preserve"> the PHR</w:t>
      </w:r>
      <w:r w:rsidR="003826AF">
        <w:rPr>
          <w:rFonts w:ascii="Times New Roman" w:eastAsia="Times New Roman" w:hAnsi="Times New Roman" w:cs="Times New Roman"/>
          <w:szCs w:val="20"/>
        </w:rPr>
        <w:t xml:space="preserve"> in the </w:t>
      </w:r>
      <w:r w:rsidR="00CF6E19">
        <w:rPr>
          <w:rFonts w:ascii="Times New Roman" w:eastAsia="Times New Roman" w:hAnsi="Times New Roman" w:cs="Times New Roman"/>
          <w:szCs w:val="20"/>
        </w:rPr>
        <w:t xml:space="preserve">three </w:t>
      </w:r>
      <w:r w:rsidR="003826AF">
        <w:rPr>
          <w:rFonts w:ascii="Times New Roman" w:eastAsia="Times New Roman" w:hAnsi="Times New Roman" w:cs="Times New Roman"/>
          <w:szCs w:val="20"/>
        </w:rPr>
        <w:t xml:space="preserve">months prior to </w:t>
      </w:r>
      <w:r w:rsidRPr="00FD12FB">
        <w:rPr>
          <w:rFonts w:ascii="Times New Roman" w:eastAsia="Times New Roman" w:hAnsi="Times New Roman" w:cs="Times New Roman"/>
          <w:szCs w:val="20"/>
        </w:rPr>
        <w:t>the survey period</w:t>
      </w:r>
      <w:r w:rsidR="007A1A15">
        <w:rPr>
          <w:rFonts w:ascii="Times New Roman" w:eastAsia="Times New Roman" w:hAnsi="Times New Roman" w:cs="Times New Roman"/>
          <w:szCs w:val="20"/>
        </w:rPr>
        <w:t>.</w:t>
      </w:r>
      <w:r w:rsidRPr="00FD12FB">
        <w:rPr>
          <w:rFonts w:ascii="Times New Roman" w:eastAsia="Times New Roman" w:hAnsi="Times New Roman" w:cs="Times New Roman"/>
          <w:szCs w:val="20"/>
        </w:rPr>
        <w:t xml:space="preserve"> </w:t>
      </w:r>
      <w:r w:rsidR="00C20B32">
        <w:rPr>
          <w:rFonts w:ascii="Times New Roman" w:eastAsia="Times New Roman" w:hAnsi="Times New Roman" w:cs="Times New Roman"/>
          <w:szCs w:val="20"/>
        </w:rPr>
        <w:t xml:space="preserve">Respondents can work with their care or case managers or family or other caregivers on completing the survey. </w:t>
      </w:r>
      <w:r w:rsidRPr="00FD12FB">
        <w:rPr>
          <w:rFonts w:ascii="Times New Roman" w:eastAsia="Times New Roman" w:hAnsi="Times New Roman" w:cs="Times New Roman"/>
          <w:szCs w:val="20"/>
        </w:rPr>
        <w:t>Our sampling strategy is designed to capture the early experiences and changes in beneficiary perceptions of care by sampling the universe of PHR users in each state. This convenience sample is based on the TEFT Demonstration’s model for a targeted testing of the PHR component. W</w:t>
      </w:r>
      <w:r w:rsidR="0022039C">
        <w:rPr>
          <w:rFonts w:ascii="Times New Roman" w:eastAsia="Times New Roman" w:hAnsi="Times New Roman" w:cs="Times New Roman"/>
          <w:szCs w:val="20"/>
        </w:rPr>
        <w:t xml:space="preserve">hile state </w:t>
      </w:r>
      <w:r w:rsidRPr="00FD12FB">
        <w:rPr>
          <w:rFonts w:ascii="Times New Roman" w:eastAsia="Times New Roman" w:hAnsi="Times New Roman" w:cs="Times New Roman"/>
          <w:szCs w:val="20"/>
        </w:rPr>
        <w:t xml:space="preserve">target </w:t>
      </w:r>
      <w:r w:rsidR="0022039C" w:rsidRPr="00FD12FB">
        <w:rPr>
          <w:rFonts w:ascii="Times New Roman" w:eastAsia="Times New Roman" w:hAnsi="Times New Roman" w:cs="Times New Roman"/>
          <w:szCs w:val="20"/>
        </w:rPr>
        <w:t>population</w:t>
      </w:r>
      <w:r w:rsidR="0022039C">
        <w:rPr>
          <w:rFonts w:ascii="Times New Roman" w:eastAsia="Times New Roman" w:hAnsi="Times New Roman" w:cs="Times New Roman"/>
          <w:szCs w:val="20"/>
        </w:rPr>
        <w:t>s vary in size</w:t>
      </w:r>
      <w:r w:rsidRPr="00FD12FB">
        <w:rPr>
          <w:rFonts w:ascii="Times New Roman" w:eastAsia="Times New Roman" w:hAnsi="Times New Roman" w:cs="Times New Roman"/>
          <w:szCs w:val="20"/>
        </w:rPr>
        <w:t xml:space="preserve">, the specification of targeting all PHR users and/or their surrogates per state will capture the aggregate of PHR experience in the demonstration. </w:t>
      </w:r>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 xml:space="preserve">The TEFT evaluation team will not collect any identifiers for the survey population outside of a selection of demographic </w:t>
      </w:r>
      <w:r w:rsidR="00D91631">
        <w:rPr>
          <w:rFonts w:ascii="Times New Roman" w:eastAsia="Times New Roman" w:hAnsi="Times New Roman" w:cs="Times New Roman"/>
          <w:szCs w:val="20"/>
        </w:rPr>
        <w:t xml:space="preserve">and disability type </w:t>
      </w:r>
      <w:r w:rsidRPr="00FD12FB">
        <w:rPr>
          <w:rFonts w:ascii="Times New Roman" w:eastAsia="Times New Roman" w:hAnsi="Times New Roman" w:cs="Times New Roman"/>
          <w:szCs w:val="20"/>
        </w:rPr>
        <w:t xml:space="preserve">questions in the survey. Participating states will be asked to disseminate </w:t>
      </w:r>
      <w:r w:rsidR="00947A82">
        <w:rPr>
          <w:rFonts w:ascii="Times New Roman" w:eastAsia="Times New Roman" w:hAnsi="Times New Roman" w:cs="Times New Roman"/>
          <w:szCs w:val="20"/>
        </w:rPr>
        <w:t xml:space="preserve">information </w:t>
      </w:r>
      <w:r w:rsidR="0022039C">
        <w:rPr>
          <w:rFonts w:ascii="Times New Roman" w:eastAsia="Times New Roman" w:hAnsi="Times New Roman" w:cs="Times New Roman"/>
          <w:szCs w:val="20"/>
        </w:rPr>
        <w:t xml:space="preserve">to registered PHR users </w:t>
      </w:r>
      <w:r w:rsidR="00947A82">
        <w:rPr>
          <w:rFonts w:ascii="Times New Roman" w:eastAsia="Times New Roman" w:hAnsi="Times New Roman" w:cs="Times New Roman"/>
          <w:szCs w:val="20"/>
        </w:rPr>
        <w:t xml:space="preserve">about </w:t>
      </w:r>
      <w:r w:rsidRPr="00FD12FB">
        <w:rPr>
          <w:rFonts w:ascii="Times New Roman" w:eastAsia="Times New Roman" w:hAnsi="Times New Roman" w:cs="Times New Roman"/>
          <w:szCs w:val="20"/>
        </w:rPr>
        <w:t xml:space="preserve">the survey via </w:t>
      </w:r>
      <w:r w:rsidR="0022039C">
        <w:rPr>
          <w:rFonts w:ascii="Times New Roman" w:eastAsia="Times New Roman" w:hAnsi="Times New Roman" w:cs="Times New Roman"/>
          <w:szCs w:val="20"/>
        </w:rPr>
        <w:t>mail and where supported via the state’s TEFT</w:t>
      </w:r>
      <w:r w:rsidRPr="00FD12FB">
        <w:rPr>
          <w:rFonts w:ascii="Times New Roman" w:eastAsia="Times New Roman" w:hAnsi="Times New Roman" w:cs="Times New Roman"/>
          <w:szCs w:val="20"/>
        </w:rPr>
        <w:t xml:space="preserve"> PHR interface. </w:t>
      </w:r>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 xml:space="preserve">The estimated universe of CB-LTSS participants and PHR users to be surveyed in each state is summarized in </w:t>
      </w:r>
      <w:r w:rsidR="00356B49">
        <w:rPr>
          <w:rFonts w:ascii="Times New Roman" w:eastAsia="Times New Roman" w:hAnsi="Times New Roman" w:cs="Times New Roman"/>
          <w:b/>
          <w:bCs/>
          <w:szCs w:val="20"/>
        </w:rPr>
        <w:t>Table 1</w:t>
      </w:r>
      <w:r w:rsidRPr="00FD12FB">
        <w:rPr>
          <w:rFonts w:ascii="Times New Roman" w:eastAsia="Times New Roman" w:hAnsi="Times New Roman" w:cs="Times New Roman"/>
          <w:szCs w:val="20"/>
        </w:rPr>
        <w:t xml:space="preserve">. It should be noted that each state will be offering the PHR platform to user groups of varying sizes, which will </w:t>
      </w:r>
      <w:r w:rsidR="00947A82">
        <w:rPr>
          <w:rFonts w:ascii="Times New Roman" w:eastAsia="Times New Roman" w:hAnsi="Times New Roman" w:cs="Times New Roman"/>
          <w:szCs w:val="20"/>
        </w:rPr>
        <w:t>create variation in</w:t>
      </w:r>
      <w:r w:rsidRPr="00FD12FB">
        <w:rPr>
          <w:rFonts w:ascii="Times New Roman" w:eastAsia="Times New Roman" w:hAnsi="Times New Roman" w:cs="Times New Roman"/>
          <w:szCs w:val="20"/>
        </w:rPr>
        <w:t xml:space="preserve"> the sampling size</w:t>
      </w:r>
      <w:r w:rsidR="00947A82">
        <w:rPr>
          <w:rFonts w:ascii="Times New Roman" w:eastAsia="Times New Roman" w:hAnsi="Times New Roman" w:cs="Times New Roman"/>
          <w:szCs w:val="20"/>
        </w:rPr>
        <w:t xml:space="preserve"> of the survey</w:t>
      </w:r>
      <w:r w:rsidRPr="00FD12FB">
        <w:rPr>
          <w:rFonts w:ascii="Times New Roman" w:eastAsia="Times New Roman" w:hAnsi="Times New Roman" w:cs="Times New Roman"/>
          <w:szCs w:val="20"/>
        </w:rPr>
        <w:t xml:space="preserve"> in each state. </w:t>
      </w:r>
      <w:r w:rsidR="007A1A15">
        <w:rPr>
          <w:rFonts w:ascii="Times New Roman" w:eastAsia="Times New Roman" w:hAnsi="Times New Roman" w:cs="Times New Roman"/>
          <w:szCs w:val="20"/>
        </w:rPr>
        <w:t>Where a state is implementing the TEFT PHR among a large population</w:t>
      </w:r>
      <w:r w:rsidR="00EC2A6D">
        <w:rPr>
          <w:rFonts w:ascii="Times New Roman" w:eastAsia="Times New Roman" w:hAnsi="Times New Roman" w:cs="Times New Roman"/>
          <w:szCs w:val="20"/>
        </w:rPr>
        <w:t xml:space="preserve"> (n &gt; 250)</w:t>
      </w:r>
      <w:r w:rsidR="007A1A15">
        <w:rPr>
          <w:rFonts w:ascii="Times New Roman" w:eastAsia="Times New Roman" w:hAnsi="Times New Roman" w:cs="Times New Roman"/>
          <w:szCs w:val="20"/>
        </w:rPr>
        <w:t>,</w:t>
      </w:r>
      <w:r w:rsidR="00F7746E">
        <w:rPr>
          <w:rFonts w:ascii="Times New Roman" w:eastAsia="Times New Roman" w:hAnsi="Times New Roman" w:cs="Times New Roman"/>
          <w:szCs w:val="20"/>
        </w:rPr>
        <w:t xml:space="preserve"> like</w:t>
      </w:r>
      <w:r w:rsidR="00C20B32">
        <w:rPr>
          <w:rFonts w:ascii="Times New Roman" w:eastAsia="Times New Roman" w:hAnsi="Times New Roman" w:cs="Times New Roman"/>
          <w:szCs w:val="20"/>
        </w:rPr>
        <w:t xml:space="preserve"> </w:t>
      </w:r>
      <w:r w:rsidR="00F7746E">
        <w:rPr>
          <w:rFonts w:ascii="Times New Roman" w:eastAsia="Times New Roman" w:hAnsi="Times New Roman" w:cs="Times New Roman"/>
          <w:szCs w:val="20"/>
        </w:rPr>
        <w:t>Kentucky</w:t>
      </w:r>
      <w:r w:rsidR="00C20B32">
        <w:rPr>
          <w:rFonts w:ascii="Times New Roman" w:eastAsia="Times New Roman" w:hAnsi="Times New Roman" w:cs="Times New Roman"/>
          <w:szCs w:val="20"/>
        </w:rPr>
        <w:t xml:space="preserve"> </w:t>
      </w:r>
      <w:r w:rsidR="00CE50BE">
        <w:rPr>
          <w:rFonts w:ascii="Times New Roman" w:eastAsia="Times New Roman" w:hAnsi="Times New Roman" w:cs="Times New Roman"/>
          <w:szCs w:val="20"/>
        </w:rPr>
        <w:t>may be</w:t>
      </w:r>
      <w:r w:rsidR="00C20B32">
        <w:rPr>
          <w:rFonts w:ascii="Times New Roman" w:eastAsia="Times New Roman" w:hAnsi="Times New Roman" w:cs="Times New Roman"/>
          <w:szCs w:val="20"/>
        </w:rPr>
        <w:t xml:space="preserve"> planning to</w:t>
      </w:r>
      <w:r w:rsidR="00F7746E">
        <w:rPr>
          <w:rFonts w:ascii="Times New Roman" w:eastAsia="Times New Roman" w:hAnsi="Times New Roman" w:cs="Times New Roman"/>
          <w:szCs w:val="20"/>
        </w:rPr>
        <w:t>,</w:t>
      </w:r>
      <w:r w:rsidR="007A1A15">
        <w:rPr>
          <w:rFonts w:ascii="Times New Roman" w:eastAsia="Times New Roman" w:hAnsi="Times New Roman" w:cs="Times New Roman"/>
          <w:szCs w:val="20"/>
        </w:rPr>
        <w:t xml:space="preserve"> </w:t>
      </w:r>
      <w:r w:rsidR="00D80C60">
        <w:rPr>
          <w:rFonts w:ascii="Times New Roman" w:eastAsia="Times New Roman" w:hAnsi="Times New Roman" w:cs="Times New Roman"/>
          <w:szCs w:val="20"/>
        </w:rPr>
        <w:t xml:space="preserve">a random sample of 250 individuals will be selected for surveying. </w:t>
      </w:r>
    </w:p>
    <w:p w:rsidR="00FD12FB" w:rsidRPr="00124217" w:rsidRDefault="00356B49" w:rsidP="006A06CB">
      <w:pPr>
        <w:pStyle w:val="Heading4"/>
      </w:pPr>
      <w:r w:rsidRPr="00124217">
        <w:t xml:space="preserve">Table </w:t>
      </w:r>
      <w:r w:rsidR="00F7746E" w:rsidRPr="00124217">
        <w:t>1</w:t>
      </w:r>
      <w:r w:rsidR="00FD12FB" w:rsidRPr="00124217">
        <w:t>. Data Collection Target Survey Participants by State</w:t>
      </w:r>
      <w:r w:rsidR="0022039C" w:rsidRPr="00124217">
        <w:t xml:space="preserve">, as of </w:t>
      </w:r>
      <w:r w:rsidR="00720E11">
        <w:t>September</w:t>
      </w:r>
      <w:r w:rsidR="0022039C" w:rsidRPr="00124217">
        <w:t xml:space="preserve"> 2016</w:t>
      </w:r>
    </w:p>
    <w:tbl>
      <w:tblPr>
        <w:tblStyle w:val="TableGrid"/>
        <w:tblW w:w="7740" w:type="dxa"/>
        <w:jc w:val="center"/>
        <w:tblLayout w:type="fixed"/>
        <w:tblLook w:val="0000" w:firstRow="0" w:lastRow="0" w:firstColumn="0" w:lastColumn="0" w:noHBand="0" w:noVBand="0"/>
        <w:tblCaption w:val="Table 1 Data Collection Target Survey Participants by State"/>
        <w:tblDescription w:val="This table summarizes the estimated universe of participants and PHR users to be surveyed in each state"/>
      </w:tblPr>
      <w:tblGrid>
        <w:gridCol w:w="2160"/>
        <w:gridCol w:w="2790"/>
        <w:gridCol w:w="2790"/>
      </w:tblGrid>
      <w:tr w:rsidR="00DC1598" w:rsidRPr="00FD12FB" w:rsidTr="00197C96">
        <w:trPr>
          <w:tblHeader/>
          <w:jc w:val="center"/>
        </w:trPr>
        <w:tc>
          <w:tcPr>
            <w:tcW w:w="2160" w:type="dxa"/>
          </w:tcPr>
          <w:p w:rsidR="00DC1598" w:rsidRPr="00FD12FB" w:rsidRDefault="00DC1598" w:rsidP="00F7746E">
            <w:pPr>
              <w:keepNext/>
              <w:keepLines/>
              <w:tabs>
                <w:tab w:val="left" w:pos="-720"/>
              </w:tabs>
              <w:suppressAutoHyphens/>
              <w:spacing w:before="120" w:after="120"/>
              <w:jc w:val="center"/>
              <w:rPr>
                <w:rFonts w:ascii="Arial" w:hAnsi="Arial" w:cs="Arial"/>
                <w:b/>
              </w:rPr>
            </w:pPr>
            <w:r w:rsidRPr="00FD12FB">
              <w:rPr>
                <w:rFonts w:ascii="Arial" w:hAnsi="Arial" w:cs="Arial"/>
                <w:b/>
              </w:rPr>
              <w:t>State</w:t>
            </w:r>
          </w:p>
        </w:tc>
        <w:tc>
          <w:tcPr>
            <w:tcW w:w="2790" w:type="dxa"/>
          </w:tcPr>
          <w:p w:rsidR="00DC1598" w:rsidRPr="00FD12FB" w:rsidRDefault="00DC1598" w:rsidP="00F7746E">
            <w:pPr>
              <w:keepNext/>
              <w:keepLines/>
              <w:tabs>
                <w:tab w:val="left" w:pos="-720"/>
              </w:tabs>
              <w:suppressAutoHyphens/>
              <w:spacing w:before="120" w:after="120"/>
              <w:jc w:val="center"/>
              <w:rPr>
                <w:rFonts w:ascii="Arial" w:hAnsi="Arial" w:cs="Arial"/>
                <w:b/>
              </w:rPr>
            </w:pPr>
            <w:r w:rsidRPr="00FD12FB">
              <w:rPr>
                <w:rFonts w:ascii="Arial" w:hAnsi="Arial" w:cs="Arial"/>
                <w:b/>
              </w:rPr>
              <w:t>Targeted PHR User Population Size</w:t>
            </w:r>
            <w:r w:rsidR="003826AF">
              <w:rPr>
                <w:rStyle w:val="FootnoteReference"/>
                <w:rFonts w:ascii="Arial" w:hAnsi="Arial" w:cs="Arial"/>
                <w:b/>
              </w:rPr>
              <w:footnoteReference w:id="2"/>
            </w:r>
          </w:p>
        </w:tc>
        <w:tc>
          <w:tcPr>
            <w:tcW w:w="2790" w:type="dxa"/>
          </w:tcPr>
          <w:p w:rsidR="00DC1598" w:rsidRPr="00FD12FB" w:rsidRDefault="00DC1598" w:rsidP="00BC19FC">
            <w:pPr>
              <w:keepNext/>
              <w:keepLines/>
              <w:tabs>
                <w:tab w:val="left" w:pos="-720"/>
              </w:tabs>
              <w:suppressAutoHyphens/>
              <w:spacing w:before="120" w:after="120"/>
              <w:jc w:val="center"/>
              <w:rPr>
                <w:rFonts w:ascii="Arial" w:hAnsi="Arial" w:cs="Arial"/>
                <w:b/>
              </w:rPr>
            </w:pPr>
            <w:r>
              <w:rPr>
                <w:rFonts w:ascii="Arial" w:hAnsi="Arial" w:cs="Arial"/>
                <w:b/>
              </w:rPr>
              <w:t xml:space="preserve">Estimated </w:t>
            </w:r>
            <w:r w:rsidR="00AF370D">
              <w:rPr>
                <w:rFonts w:ascii="Arial" w:hAnsi="Arial" w:cs="Arial"/>
                <w:b/>
              </w:rPr>
              <w:t xml:space="preserve">PHR User </w:t>
            </w:r>
            <w:r>
              <w:rPr>
                <w:rFonts w:ascii="Arial" w:hAnsi="Arial" w:cs="Arial"/>
                <w:b/>
              </w:rPr>
              <w:t>Respondents</w:t>
            </w:r>
            <w:r w:rsidR="00BC19FC">
              <w:rPr>
                <w:rFonts w:ascii="Arial" w:hAnsi="Arial" w:cs="Arial"/>
                <w:b/>
              </w:rPr>
              <w:t xml:space="preserve"> (assumes 80% response rate)</w:t>
            </w:r>
          </w:p>
        </w:tc>
      </w:tr>
      <w:tr w:rsidR="00DC1598" w:rsidRPr="00FD12FB" w:rsidTr="00DC1598">
        <w:trPr>
          <w:jc w:val="center"/>
        </w:trPr>
        <w:tc>
          <w:tcPr>
            <w:tcW w:w="2160" w:type="dxa"/>
          </w:tcPr>
          <w:p w:rsidR="00DC1598" w:rsidRPr="00FD12FB" w:rsidRDefault="00DC1598" w:rsidP="00F7746E">
            <w:pPr>
              <w:keepNext/>
              <w:keepLines/>
              <w:tabs>
                <w:tab w:val="left" w:pos="-720"/>
              </w:tabs>
              <w:suppressAutoHyphens/>
              <w:spacing w:before="120" w:after="120"/>
              <w:rPr>
                <w:rFonts w:ascii="Arial" w:hAnsi="Arial" w:cs="Arial"/>
                <w:b/>
              </w:rPr>
            </w:pPr>
            <w:r w:rsidRPr="00FD12FB">
              <w:rPr>
                <w:rFonts w:ascii="Arial" w:hAnsi="Arial" w:cs="Arial"/>
                <w:b/>
              </w:rPr>
              <w:t>Colorado</w:t>
            </w:r>
          </w:p>
        </w:tc>
        <w:tc>
          <w:tcPr>
            <w:tcW w:w="2790" w:type="dxa"/>
          </w:tcPr>
          <w:p w:rsidR="00DC1598" w:rsidRPr="00FD12FB" w:rsidRDefault="00DC1598" w:rsidP="00F7746E">
            <w:pPr>
              <w:keepNext/>
              <w:keepLines/>
              <w:tabs>
                <w:tab w:val="left" w:pos="-720"/>
              </w:tabs>
              <w:suppressAutoHyphens/>
              <w:spacing w:before="120" w:after="120"/>
              <w:jc w:val="center"/>
              <w:rPr>
                <w:rFonts w:ascii="Arial" w:hAnsi="Arial" w:cs="Arial"/>
              </w:rPr>
            </w:pPr>
            <w:r w:rsidRPr="00FD12FB">
              <w:rPr>
                <w:rFonts w:ascii="Arial" w:hAnsi="Arial" w:cs="Arial"/>
              </w:rPr>
              <w:t>200</w:t>
            </w:r>
          </w:p>
        </w:tc>
        <w:tc>
          <w:tcPr>
            <w:tcW w:w="2790" w:type="dxa"/>
          </w:tcPr>
          <w:p w:rsidR="00DC1598" w:rsidRPr="00FD12FB" w:rsidRDefault="00DC1598" w:rsidP="00F7746E">
            <w:pPr>
              <w:keepNext/>
              <w:keepLines/>
              <w:tabs>
                <w:tab w:val="left" w:pos="-720"/>
              </w:tabs>
              <w:suppressAutoHyphens/>
              <w:spacing w:before="120" w:after="120"/>
              <w:jc w:val="center"/>
              <w:rPr>
                <w:rFonts w:ascii="Arial" w:hAnsi="Arial" w:cs="Arial"/>
              </w:rPr>
            </w:pPr>
            <w:r>
              <w:rPr>
                <w:rFonts w:ascii="Arial" w:hAnsi="Arial" w:cs="Arial"/>
              </w:rPr>
              <w:t>160</w:t>
            </w:r>
          </w:p>
        </w:tc>
      </w:tr>
      <w:tr w:rsidR="00DC1598" w:rsidRPr="00FD12FB" w:rsidTr="00DC1598">
        <w:trPr>
          <w:jc w:val="center"/>
        </w:trPr>
        <w:tc>
          <w:tcPr>
            <w:tcW w:w="2160" w:type="dxa"/>
          </w:tcPr>
          <w:p w:rsidR="00DC1598" w:rsidRPr="00FD12FB" w:rsidRDefault="00DC1598" w:rsidP="00FD12FB">
            <w:pPr>
              <w:tabs>
                <w:tab w:val="left" w:pos="-720"/>
              </w:tabs>
              <w:suppressAutoHyphens/>
              <w:spacing w:before="120" w:after="120"/>
              <w:rPr>
                <w:rFonts w:ascii="Arial" w:hAnsi="Arial" w:cs="Arial"/>
                <w:b/>
              </w:rPr>
            </w:pPr>
            <w:r w:rsidRPr="00FD12FB">
              <w:rPr>
                <w:rFonts w:ascii="Arial" w:hAnsi="Arial" w:cs="Arial"/>
                <w:b/>
              </w:rPr>
              <w:t>Connecticut</w:t>
            </w:r>
          </w:p>
        </w:tc>
        <w:tc>
          <w:tcPr>
            <w:tcW w:w="2790" w:type="dxa"/>
          </w:tcPr>
          <w:p w:rsidR="00DC1598" w:rsidRPr="00FD12FB" w:rsidRDefault="00DC472B" w:rsidP="00FD12FB">
            <w:pPr>
              <w:tabs>
                <w:tab w:val="left" w:pos="-720"/>
              </w:tabs>
              <w:suppressAutoHyphens/>
              <w:spacing w:before="120" w:after="120"/>
              <w:jc w:val="center"/>
              <w:rPr>
                <w:rFonts w:ascii="Arial" w:hAnsi="Arial" w:cs="Arial"/>
              </w:rPr>
            </w:pPr>
            <w:r>
              <w:rPr>
                <w:rFonts w:ascii="Arial" w:hAnsi="Arial" w:cs="Arial"/>
              </w:rPr>
              <w:t>200</w:t>
            </w:r>
          </w:p>
        </w:tc>
        <w:tc>
          <w:tcPr>
            <w:tcW w:w="2790" w:type="dxa"/>
          </w:tcPr>
          <w:p w:rsidR="00DC1598" w:rsidRPr="00FD12FB" w:rsidRDefault="00DC472B" w:rsidP="00FD12FB">
            <w:pPr>
              <w:tabs>
                <w:tab w:val="left" w:pos="-720"/>
              </w:tabs>
              <w:suppressAutoHyphens/>
              <w:spacing w:before="120" w:after="120"/>
              <w:jc w:val="center"/>
              <w:rPr>
                <w:rFonts w:ascii="Arial" w:hAnsi="Arial" w:cs="Arial"/>
              </w:rPr>
            </w:pPr>
            <w:r>
              <w:rPr>
                <w:rFonts w:ascii="Arial" w:hAnsi="Arial" w:cs="Arial"/>
              </w:rPr>
              <w:t>160</w:t>
            </w:r>
          </w:p>
        </w:tc>
      </w:tr>
      <w:tr w:rsidR="004C41F1" w:rsidRPr="00FD12FB" w:rsidTr="00DC1598">
        <w:trPr>
          <w:jc w:val="center"/>
        </w:trPr>
        <w:tc>
          <w:tcPr>
            <w:tcW w:w="2160" w:type="dxa"/>
          </w:tcPr>
          <w:p w:rsidR="004C41F1" w:rsidRPr="00FD12FB" w:rsidRDefault="004C41F1" w:rsidP="00FD12FB">
            <w:pPr>
              <w:tabs>
                <w:tab w:val="left" w:pos="-720"/>
              </w:tabs>
              <w:suppressAutoHyphens/>
              <w:spacing w:before="120" w:after="120"/>
              <w:rPr>
                <w:rFonts w:ascii="Arial" w:hAnsi="Arial" w:cs="Arial"/>
                <w:b/>
              </w:rPr>
            </w:pPr>
            <w:r w:rsidRPr="00FD12FB">
              <w:rPr>
                <w:rFonts w:ascii="Arial" w:hAnsi="Arial" w:cs="Arial"/>
                <w:b/>
              </w:rPr>
              <w:t>Georgia</w:t>
            </w:r>
          </w:p>
        </w:tc>
        <w:tc>
          <w:tcPr>
            <w:tcW w:w="2790" w:type="dxa"/>
          </w:tcPr>
          <w:p w:rsidR="004C41F1" w:rsidRPr="00FD12FB" w:rsidRDefault="00DC472B" w:rsidP="00FD12FB">
            <w:pPr>
              <w:tabs>
                <w:tab w:val="left" w:pos="-720"/>
              </w:tabs>
              <w:suppressAutoHyphens/>
              <w:spacing w:before="120" w:after="120"/>
              <w:jc w:val="center"/>
              <w:rPr>
                <w:rFonts w:ascii="Arial" w:hAnsi="Arial" w:cs="Arial"/>
              </w:rPr>
            </w:pPr>
            <w:r>
              <w:rPr>
                <w:rFonts w:ascii="Arial" w:hAnsi="Arial" w:cs="Arial"/>
              </w:rPr>
              <w:t>30</w:t>
            </w:r>
          </w:p>
        </w:tc>
        <w:tc>
          <w:tcPr>
            <w:tcW w:w="2790" w:type="dxa"/>
          </w:tcPr>
          <w:p w:rsidR="004C41F1" w:rsidRPr="00FD12FB" w:rsidRDefault="00C01479" w:rsidP="00FD12FB">
            <w:pPr>
              <w:tabs>
                <w:tab w:val="left" w:pos="-720"/>
              </w:tabs>
              <w:suppressAutoHyphens/>
              <w:spacing w:before="120" w:after="120"/>
              <w:jc w:val="center"/>
              <w:rPr>
                <w:rFonts w:ascii="Arial" w:hAnsi="Arial" w:cs="Arial"/>
              </w:rPr>
            </w:pPr>
            <w:r>
              <w:rPr>
                <w:rFonts w:ascii="Arial" w:hAnsi="Arial" w:cs="Arial"/>
              </w:rPr>
              <w:t>24</w:t>
            </w:r>
          </w:p>
        </w:tc>
      </w:tr>
      <w:tr w:rsidR="004C41F1" w:rsidRPr="00FD12FB" w:rsidTr="00DC1598">
        <w:trPr>
          <w:jc w:val="center"/>
        </w:trPr>
        <w:tc>
          <w:tcPr>
            <w:tcW w:w="2160" w:type="dxa"/>
          </w:tcPr>
          <w:p w:rsidR="004C41F1" w:rsidRPr="00FD12FB" w:rsidRDefault="004C41F1" w:rsidP="00FD12FB">
            <w:pPr>
              <w:tabs>
                <w:tab w:val="left" w:pos="-720"/>
              </w:tabs>
              <w:suppressAutoHyphens/>
              <w:spacing w:before="120" w:after="120"/>
              <w:rPr>
                <w:rFonts w:ascii="Arial" w:hAnsi="Arial" w:cs="Arial"/>
                <w:b/>
              </w:rPr>
            </w:pPr>
            <w:r w:rsidRPr="00FD12FB">
              <w:rPr>
                <w:rFonts w:ascii="Arial" w:hAnsi="Arial" w:cs="Arial"/>
                <w:b/>
              </w:rPr>
              <w:t>Kentucky</w:t>
            </w:r>
          </w:p>
        </w:tc>
        <w:tc>
          <w:tcPr>
            <w:tcW w:w="2790" w:type="dxa"/>
          </w:tcPr>
          <w:p w:rsidR="004C41F1" w:rsidRPr="00FD12FB" w:rsidRDefault="00A64B3E" w:rsidP="002F115F">
            <w:pPr>
              <w:tabs>
                <w:tab w:val="left" w:pos="-720"/>
              </w:tabs>
              <w:suppressAutoHyphens/>
              <w:spacing w:before="120" w:after="120"/>
              <w:jc w:val="center"/>
              <w:rPr>
                <w:rFonts w:ascii="Arial" w:hAnsi="Arial" w:cs="Arial"/>
              </w:rPr>
            </w:pPr>
            <w:r>
              <w:rPr>
                <w:rFonts w:ascii="Arial" w:hAnsi="Arial" w:cs="Arial"/>
              </w:rPr>
              <w:t>250</w:t>
            </w:r>
          </w:p>
        </w:tc>
        <w:tc>
          <w:tcPr>
            <w:tcW w:w="2790" w:type="dxa"/>
          </w:tcPr>
          <w:p w:rsidR="004C41F1" w:rsidRPr="00FD12FB" w:rsidRDefault="00587E3A" w:rsidP="00FD12FB">
            <w:pPr>
              <w:tabs>
                <w:tab w:val="left" w:pos="-720"/>
              </w:tabs>
              <w:suppressAutoHyphens/>
              <w:spacing w:before="120" w:after="120"/>
              <w:jc w:val="center"/>
              <w:rPr>
                <w:rFonts w:ascii="Arial" w:hAnsi="Arial" w:cs="Arial"/>
              </w:rPr>
            </w:pPr>
            <w:r>
              <w:rPr>
                <w:rFonts w:ascii="Arial" w:hAnsi="Arial" w:cs="Arial"/>
              </w:rPr>
              <w:t>200</w:t>
            </w:r>
          </w:p>
        </w:tc>
      </w:tr>
      <w:tr w:rsidR="004C41F1" w:rsidRPr="00FD12FB" w:rsidTr="00DC1598">
        <w:trPr>
          <w:jc w:val="center"/>
        </w:trPr>
        <w:tc>
          <w:tcPr>
            <w:tcW w:w="2160" w:type="dxa"/>
          </w:tcPr>
          <w:p w:rsidR="004C41F1" w:rsidRPr="00FD12FB" w:rsidRDefault="004C41F1" w:rsidP="00FD12FB">
            <w:pPr>
              <w:tabs>
                <w:tab w:val="left" w:pos="-720"/>
              </w:tabs>
              <w:suppressAutoHyphens/>
              <w:spacing w:before="120" w:after="120"/>
              <w:rPr>
                <w:rFonts w:ascii="Arial" w:hAnsi="Arial" w:cs="Arial"/>
                <w:b/>
              </w:rPr>
            </w:pPr>
            <w:r w:rsidRPr="00FD12FB">
              <w:rPr>
                <w:rFonts w:ascii="Arial" w:hAnsi="Arial" w:cs="Arial"/>
                <w:b/>
              </w:rPr>
              <w:t>Maryland</w:t>
            </w:r>
          </w:p>
        </w:tc>
        <w:tc>
          <w:tcPr>
            <w:tcW w:w="2790" w:type="dxa"/>
          </w:tcPr>
          <w:p w:rsidR="004C41F1" w:rsidRPr="00FD12FB" w:rsidRDefault="0094139E" w:rsidP="00FD12FB">
            <w:pPr>
              <w:tabs>
                <w:tab w:val="left" w:pos="-720"/>
              </w:tabs>
              <w:suppressAutoHyphens/>
              <w:spacing w:before="120" w:after="120"/>
              <w:jc w:val="center"/>
              <w:rPr>
                <w:rFonts w:ascii="Arial" w:hAnsi="Arial" w:cs="Arial"/>
              </w:rPr>
            </w:pPr>
            <w:r>
              <w:rPr>
                <w:rFonts w:ascii="Arial" w:hAnsi="Arial" w:cs="Arial"/>
              </w:rPr>
              <w:t>2</w:t>
            </w:r>
            <w:r w:rsidR="001817BD">
              <w:rPr>
                <w:rFonts w:ascii="Arial" w:hAnsi="Arial" w:cs="Arial"/>
              </w:rPr>
              <w:t>0</w:t>
            </w:r>
            <w:r w:rsidR="001817BD">
              <w:rPr>
                <w:rStyle w:val="FootnoteReference"/>
                <w:rFonts w:ascii="Arial" w:hAnsi="Arial" w:cs="Arial"/>
              </w:rPr>
              <w:footnoteReference w:id="3"/>
            </w:r>
          </w:p>
        </w:tc>
        <w:tc>
          <w:tcPr>
            <w:tcW w:w="2790" w:type="dxa"/>
          </w:tcPr>
          <w:p w:rsidR="004C41F1" w:rsidRPr="00FD12FB" w:rsidRDefault="0094139E" w:rsidP="00FD12FB">
            <w:pPr>
              <w:tabs>
                <w:tab w:val="left" w:pos="-720"/>
              </w:tabs>
              <w:suppressAutoHyphens/>
              <w:spacing w:before="120" w:after="120"/>
              <w:jc w:val="center"/>
              <w:rPr>
                <w:rFonts w:ascii="Arial" w:hAnsi="Arial" w:cs="Arial"/>
              </w:rPr>
            </w:pPr>
            <w:r>
              <w:rPr>
                <w:rFonts w:ascii="Arial" w:hAnsi="Arial" w:cs="Arial"/>
              </w:rPr>
              <w:t>16</w:t>
            </w:r>
          </w:p>
        </w:tc>
      </w:tr>
      <w:tr w:rsidR="004C41F1" w:rsidRPr="00FD12FB" w:rsidTr="00DC1598">
        <w:trPr>
          <w:jc w:val="center"/>
        </w:trPr>
        <w:tc>
          <w:tcPr>
            <w:tcW w:w="2160" w:type="dxa"/>
          </w:tcPr>
          <w:p w:rsidR="004C41F1" w:rsidRPr="00FD12FB" w:rsidRDefault="004C41F1" w:rsidP="00FD12FB">
            <w:pPr>
              <w:tabs>
                <w:tab w:val="left" w:pos="-720"/>
              </w:tabs>
              <w:suppressAutoHyphens/>
              <w:spacing w:before="120" w:after="120"/>
              <w:rPr>
                <w:rFonts w:ascii="Arial" w:hAnsi="Arial" w:cs="Arial"/>
                <w:b/>
              </w:rPr>
            </w:pPr>
            <w:r w:rsidRPr="00FD12FB">
              <w:rPr>
                <w:rFonts w:ascii="Arial" w:hAnsi="Arial" w:cs="Arial"/>
                <w:b/>
              </w:rPr>
              <w:t>Minnesota</w:t>
            </w:r>
          </w:p>
        </w:tc>
        <w:tc>
          <w:tcPr>
            <w:tcW w:w="2790" w:type="dxa"/>
          </w:tcPr>
          <w:p w:rsidR="004C41F1" w:rsidRPr="00FD12FB" w:rsidRDefault="00DC472B" w:rsidP="00FD12FB">
            <w:pPr>
              <w:tabs>
                <w:tab w:val="left" w:pos="-720"/>
              </w:tabs>
              <w:suppressAutoHyphens/>
              <w:spacing w:before="120" w:after="120"/>
              <w:jc w:val="center"/>
              <w:rPr>
                <w:rFonts w:ascii="Arial" w:hAnsi="Arial" w:cs="Arial"/>
              </w:rPr>
            </w:pPr>
            <w:r>
              <w:rPr>
                <w:rFonts w:ascii="Arial" w:hAnsi="Arial" w:cs="Arial"/>
              </w:rPr>
              <w:t>2</w:t>
            </w:r>
            <w:r w:rsidR="001817BD">
              <w:rPr>
                <w:rFonts w:ascii="Arial" w:hAnsi="Arial" w:cs="Arial"/>
              </w:rPr>
              <w:t>0</w:t>
            </w:r>
            <w:r w:rsidR="001817BD">
              <w:rPr>
                <w:rStyle w:val="FootnoteReference"/>
                <w:rFonts w:ascii="Arial" w:hAnsi="Arial" w:cs="Arial"/>
              </w:rPr>
              <w:footnoteReference w:id="4"/>
            </w:r>
          </w:p>
        </w:tc>
        <w:tc>
          <w:tcPr>
            <w:tcW w:w="2790" w:type="dxa"/>
          </w:tcPr>
          <w:p w:rsidR="004C41F1" w:rsidRPr="00FD12FB" w:rsidRDefault="00C01479" w:rsidP="00FD12FB">
            <w:pPr>
              <w:tabs>
                <w:tab w:val="left" w:pos="-720"/>
              </w:tabs>
              <w:suppressAutoHyphens/>
              <w:spacing w:before="120" w:after="120"/>
              <w:jc w:val="center"/>
              <w:rPr>
                <w:rFonts w:ascii="Arial" w:hAnsi="Arial" w:cs="Arial"/>
              </w:rPr>
            </w:pPr>
            <w:r>
              <w:rPr>
                <w:rFonts w:ascii="Arial" w:hAnsi="Arial" w:cs="Arial"/>
              </w:rPr>
              <w:t>16</w:t>
            </w:r>
          </w:p>
        </w:tc>
      </w:tr>
      <w:tr w:rsidR="004C41F1" w:rsidRPr="00FD12FB" w:rsidTr="00DC1598">
        <w:trPr>
          <w:jc w:val="center"/>
        </w:trPr>
        <w:tc>
          <w:tcPr>
            <w:tcW w:w="2160" w:type="dxa"/>
          </w:tcPr>
          <w:p w:rsidR="004C41F1" w:rsidRPr="00FD12FB" w:rsidRDefault="004C41F1" w:rsidP="00FD12FB">
            <w:pPr>
              <w:tabs>
                <w:tab w:val="left" w:pos="-720"/>
              </w:tabs>
              <w:suppressAutoHyphens/>
              <w:spacing w:before="120" w:after="120"/>
              <w:rPr>
                <w:rFonts w:ascii="Arial" w:hAnsi="Arial" w:cs="Arial"/>
                <w:b/>
              </w:rPr>
            </w:pPr>
            <w:r w:rsidRPr="00FD12FB">
              <w:rPr>
                <w:rFonts w:ascii="Arial" w:hAnsi="Arial" w:cs="Arial"/>
                <w:b/>
              </w:rPr>
              <w:t>Total</w:t>
            </w:r>
          </w:p>
        </w:tc>
        <w:tc>
          <w:tcPr>
            <w:tcW w:w="2790" w:type="dxa"/>
          </w:tcPr>
          <w:p w:rsidR="004C41F1" w:rsidRPr="00FD12FB" w:rsidDel="00197C6B" w:rsidRDefault="0094139E" w:rsidP="00FD12FB">
            <w:pPr>
              <w:tabs>
                <w:tab w:val="left" w:pos="-720"/>
              </w:tabs>
              <w:suppressAutoHyphens/>
              <w:spacing w:before="120" w:after="120"/>
              <w:jc w:val="center"/>
              <w:rPr>
                <w:rFonts w:ascii="Arial" w:hAnsi="Arial" w:cs="Arial"/>
                <w:highlight w:val="yellow"/>
              </w:rPr>
            </w:pPr>
            <w:r>
              <w:rPr>
                <w:rFonts w:ascii="Arial" w:hAnsi="Arial" w:cs="Arial"/>
              </w:rPr>
              <w:t>72</w:t>
            </w:r>
            <w:r w:rsidR="00C01479">
              <w:rPr>
                <w:rFonts w:ascii="Arial" w:hAnsi="Arial" w:cs="Arial"/>
              </w:rPr>
              <w:t>0</w:t>
            </w:r>
          </w:p>
        </w:tc>
        <w:tc>
          <w:tcPr>
            <w:tcW w:w="2790" w:type="dxa"/>
          </w:tcPr>
          <w:p w:rsidR="004C41F1" w:rsidRPr="00FD12FB" w:rsidDel="00197C6B" w:rsidRDefault="00C01479" w:rsidP="00FD12FB">
            <w:pPr>
              <w:tabs>
                <w:tab w:val="left" w:pos="-720"/>
              </w:tabs>
              <w:suppressAutoHyphens/>
              <w:spacing w:before="120" w:after="120"/>
              <w:jc w:val="center"/>
              <w:rPr>
                <w:rFonts w:ascii="Arial" w:hAnsi="Arial" w:cs="Arial"/>
                <w:highlight w:val="yellow"/>
              </w:rPr>
            </w:pPr>
            <w:r>
              <w:rPr>
                <w:rFonts w:ascii="Arial" w:hAnsi="Arial" w:cs="Arial"/>
              </w:rPr>
              <w:t>5</w:t>
            </w:r>
            <w:r w:rsidR="0094139E">
              <w:rPr>
                <w:rFonts w:ascii="Arial" w:hAnsi="Arial" w:cs="Arial"/>
              </w:rPr>
              <w:t>76</w:t>
            </w:r>
          </w:p>
        </w:tc>
      </w:tr>
    </w:tbl>
    <w:p w:rsidR="00A64B3E" w:rsidRDefault="00A64B3E" w:rsidP="00FD12FB">
      <w:pPr>
        <w:spacing w:after="240" w:line="240" w:lineRule="auto"/>
        <w:rPr>
          <w:rFonts w:ascii="Times New Roman" w:eastAsia="Times New Roman" w:hAnsi="Times New Roman" w:cs="Times New Roman"/>
          <w:szCs w:val="20"/>
        </w:rPr>
      </w:pPr>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A month following initial survey launch,</w:t>
      </w:r>
      <w:r w:rsidR="00142BDF">
        <w:rPr>
          <w:rFonts w:ascii="Times New Roman" w:eastAsia="Times New Roman" w:hAnsi="Times New Roman" w:cs="Times New Roman"/>
          <w:szCs w:val="20"/>
        </w:rPr>
        <w:t xml:space="preserve"> states will distribute</w:t>
      </w:r>
      <w:r w:rsidRPr="00FD12FB">
        <w:rPr>
          <w:rFonts w:ascii="Times New Roman" w:eastAsia="Times New Roman" w:hAnsi="Times New Roman" w:cs="Times New Roman"/>
          <w:szCs w:val="20"/>
        </w:rPr>
        <w:t xml:space="preserve"> </w:t>
      </w:r>
      <w:r w:rsidR="00142BDF">
        <w:rPr>
          <w:rFonts w:ascii="Times New Roman" w:eastAsia="Times New Roman" w:hAnsi="Times New Roman" w:cs="Times New Roman"/>
          <w:szCs w:val="20"/>
        </w:rPr>
        <w:t>a second set of communications with support from the TEFT evaluation team</w:t>
      </w:r>
      <w:r w:rsidRPr="00FD12FB">
        <w:rPr>
          <w:rFonts w:ascii="Times New Roman" w:eastAsia="Times New Roman" w:hAnsi="Times New Roman" w:cs="Times New Roman"/>
          <w:szCs w:val="20"/>
        </w:rPr>
        <w:t xml:space="preserve"> to all PHR users, encouraging their response to the survey</w:t>
      </w:r>
      <w:r w:rsidR="00EB694D">
        <w:rPr>
          <w:rFonts w:ascii="Times New Roman" w:eastAsia="Times New Roman" w:hAnsi="Times New Roman" w:cs="Times New Roman"/>
          <w:szCs w:val="20"/>
        </w:rPr>
        <w:t xml:space="preserve"> or thanking them for prior completion.</w:t>
      </w:r>
      <w:r w:rsidRPr="00FD12FB">
        <w:rPr>
          <w:rFonts w:ascii="Times New Roman" w:eastAsia="Times New Roman" w:hAnsi="Times New Roman" w:cs="Times New Roman"/>
          <w:szCs w:val="20"/>
        </w:rPr>
        <w:t xml:space="preserve"> A </w:t>
      </w:r>
      <w:r w:rsidR="00142BDF">
        <w:rPr>
          <w:rFonts w:ascii="Times New Roman" w:eastAsia="Times New Roman" w:hAnsi="Times New Roman" w:cs="Times New Roman"/>
          <w:szCs w:val="20"/>
        </w:rPr>
        <w:t xml:space="preserve">TEFT evaluation team </w:t>
      </w:r>
      <w:r w:rsidR="009C0A9D">
        <w:rPr>
          <w:rFonts w:ascii="Times New Roman" w:eastAsia="Times New Roman" w:hAnsi="Times New Roman" w:cs="Times New Roman"/>
          <w:szCs w:val="20"/>
        </w:rPr>
        <w:t>phone</w:t>
      </w:r>
      <w:r w:rsidRPr="00FD12FB">
        <w:rPr>
          <w:rFonts w:ascii="Times New Roman" w:eastAsia="Times New Roman" w:hAnsi="Times New Roman" w:cs="Times New Roman"/>
          <w:szCs w:val="20"/>
        </w:rPr>
        <w:t xml:space="preserve"> number and email </w:t>
      </w:r>
      <w:r w:rsidR="009C0A9D">
        <w:rPr>
          <w:rFonts w:ascii="Times New Roman" w:eastAsia="Times New Roman" w:hAnsi="Times New Roman" w:cs="Times New Roman"/>
          <w:szCs w:val="20"/>
        </w:rPr>
        <w:t xml:space="preserve">address </w:t>
      </w:r>
      <w:r w:rsidRPr="00FD12FB">
        <w:rPr>
          <w:rFonts w:ascii="Times New Roman" w:eastAsia="Times New Roman" w:hAnsi="Times New Roman" w:cs="Times New Roman"/>
          <w:szCs w:val="20"/>
        </w:rPr>
        <w:t xml:space="preserve">will also be provided in the survey description to ensure beneficiaries </w:t>
      </w:r>
      <w:r w:rsidR="00EB694D">
        <w:rPr>
          <w:rFonts w:ascii="Times New Roman" w:eastAsia="Times New Roman" w:hAnsi="Times New Roman" w:cs="Times New Roman"/>
          <w:szCs w:val="20"/>
        </w:rPr>
        <w:t>that they can ask questions an</w:t>
      </w:r>
      <w:r w:rsidR="00F7746E">
        <w:rPr>
          <w:rFonts w:ascii="Times New Roman" w:eastAsia="Times New Roman" w:hAnsi="Times New Roman" w:cs="Times New Roman"/>
          <w:szCs w:val="20"/>
        </w:rPr>
        <w:t xml:space="preserve">onymously if they wish. </w:t>
      </w:r>
      <w:r w:rsidR="00142BDF">
        <w:rPr>
          <w:rFonts w:ascii="Times New Roman" w:eastAsia="Times New Roman" w:hAnsi="Times New Roman" w:cs="Times New Roman"/>
          <w:szCs w:val="20"/>
        </w:rPr>
        <w:t xml:space="preserve">When beneficiaries seek survey support, they will not be expected to provide any identifying information to TEFT evaluation team staff. </w:t>
      </w:r>
    </w:p>
    <w:p w:rsidR="00FD12FB" w:rsidRPr="00FD12FB" w:rsidRDefault="006A06CB" w:rsidP="006A06CB">
      <w:pPr>
        <w:pStyle w:val="Heading2"/>
      </w:pPr>
      <w:bookmarkStart w:id="14" w:name="_Toc8118899"/>
      <w:bookmarkStart w:id="15" w:name="_Toc81803529"/>
      <w:bookmarkStart w:id="16" w:name="_Toc88301198"/>
      <w:bookmarkStart w:id="17" w:name="_Toc114645273"/>
      <w:bookmarkStart w:id="18" w:name="_Toc176157049"/>
      <w:bookmarkStart w:id="19" w:name="_Toc394924404"/>
      <w:bookmarkStart w:id="20" w:name="_Toc461527612"/>
      <w:r>
        <w:t xml:space="preserve">B2. </w:t>
      </w:r>
      <w:r w:rsidR="00FD12FB" w:rsidRPr="00FD12FB">
        <w:t>Information Collection Procedures</w:t>
      </w:r>
      <w:bookmarkEnd w:id="14"/>
      <w:bookmarkEnd w:id="15"/>
      <w:bookmarkEnd w:id="16"/>
      <w:bookmarkEnd w:id="17"/>
      <w:bookmarkEnd w:id="18"/>
      <w:bookmarkEnd w:id="19"/>
      <w:bookmarkEnd w:id="20"/>
      <w:r w:rsidR="00FD12FB" w:rsidRPr="00FD12FB">
        <w:t xml:space="preserve"> </w:t>
      </w:r>
    </w:p>
    <w:p w:rsidR="00FD12FB" w:rsidRPr="00FD12FB" w:rsidRDefault="00FD12FB" w:rsidP="00D333F7">
      <w:pPr>
        <w:autoSpaceDE w:val="0"/>
        <w:autoSpaceDN w:val="0"/>
        <w:adjustRightInd w:val="0"/>
        <w:spacing w:after="120" w:line="240" w:lineRule="auto"/>
        <w:rPr>
          <w:rFonts w:ascii="Times New Roman" w:eastAsia="Times New Roman" w:hAnsi="Times New Roman" w:cs="Times New Roman"/>
        </w:rPr>
      </w:pPr>
      <w:r w:rsidRPr="00FD12FB">
        <w:rPr>
          <w:rFonts w:ascii="Times New Roman" w:eastAsia="Times New Roman" w:hAnsi="Times New Roman" w:cs="Times New Roman"/>
        </w:rPr>
        <w:t xml:space="preserve">The six states participating in the PHR component of the TEFT Demonstration are in different stages of PHR implementation. Consequently, while the same survey will be utilized across the grantees, separate survey data collection timelines will be </w:t>
      </w:r>
      <w:r w:rsidR="00EB694D">
        <w:rPr>
          <w:rFonts w:ascii="Times New Roman" w:eastAsia="Times New Roman" w:hAnsi="Times New Roman" w:cs="Times New Roman"/>
        </w:rPr>
        <w:t>used</w:t>
      </w:r>
      <w:r w:rsidRPr="00FD12FB">
        <w:rPr>
          <w:rFonts w:ascii="Times New Roman" w:eastAsia="Times New Roman" w:hAnsi="Times New Roman" w:cs="Times New Roman"/>
        </w:rPr>
        <w:t xml:space="preserve"> for each state. </w:t>
      </w:r>
    </w:p>
    <w:p w:rsidR="00FD12FB" w:rsidRPr="00FD12FB" w:rsidRDefault="00FD12FB" w:rsidP="00FD12FB">
      <w:pPr>
        <w:autoSpaceDE w:val="0"/>
        <w:autoSpaceDN w:val="0"/>
        <w:adjustRightInd w:val="0"/>
        <w:spacing w:after="0" w:line="240" w:lineRule="auto"/>
        <w:rPr>
          <w:rFonts w:ascii="Times New Roman" w:eastAsia="Times New Roman" w:hAnsi="Times New Roman" w:cs="Times New Roman"/>
        </w:rPr>
      </w:pPr>
      <w:r w:rsidRPr="00FD12FB">
        <w:rPr>
          <w:rFonts w:ascii="Times New Roman" w:eastAsia="Times New Roman" w:hAnsi="Times New Roman" w:cs="Times New Roman"/>
        </w:rPr>
        <w:t xml:space="preserve">To </w:t>
      </w:r>
      <w:r w:rsidR="002407CA">
        <w:rPr>
          <w:rFonts w:ascii="Times New Roman" w:eastAsia="Times New Roman" w:hAnsi="Times New Roman" w:cs="Times New Roman"/>
        </w:rPr>
        <w:t>increase the response rate for this data collection</w:t>
      </w:r>
      <w:r w:rsidRPr="00FD12FB">
        <w:rPr>
          <w:rFonts w:ascii="Times New Roman" w:eastAsia="Times New Roman" w:hAnsi="Times New Roman" w:cs="Times New Roman"/>
        </w:rPr>
        <w:t xml:space="preserve">, the TEFT evaluation team and CMS have developed a recruitment strategy. The TEFT evaluation team will work with grantees to establish recruitment efforts in advance of survey launch that engage provider agencies and other key stakeholders that can support recruitment of respondents. This may also include introductory communications from grantees to beneficiaries emphasizing the purpose of the survey. </w:t>
      </w:r>
    </w:p>
    <w:p w:rsidR="00FD12FB" w:rsidRPr="00FD12FB" w:rsidRDefault="00FD12FB" w:rsidP="00FD12FB">
      <w:pPr>
        <w:autoSpaceDE w:val="0"/>
        <w:autoSpaceDN w:val="0"/>
        <w:adjustRightInd w:val="0"/>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rPr>
        <w:t xml:space="preserve">The survey will use a purposeful approach to sample the universe of TEFT PHR users in each state. The TEFT evaluation team will provide </w:t>
      </w:r>
      <w:r w:rsidR="000D408C">
        <w:rPr>
          <w:rFonts w:ascii="Times New Roman" w:eastAsia="Times New Roman" w:hAnsi="Times New Roman" w:cs="Times New Roman"/>
        </w:rPr>
        <w:t xml:space="preserve">to states </w:t>
      </w:r>
      <w:r w:rsidRPr="00FD12FB">
        <w:rPr>
          <w:rFonts w:ascii="Times New Roman" w:eastAsia="Times New Roman" w:hAnsi="Times New Roman" w:cs="Times New Roman"/>
        </w:rPr>
        <w:t xml:space="preserve">all documents and protocols necessary for the recruitment process. </w:t>
      </w:r>
      <w:r w:rsidRPr="00FD12FB">
        <w:rPr>
          <w:rFonts w:ascii="Times New Roman" w:eastAsia="Times New Roman" w:hAnsi="Times New Roman" w:cs="Times New Roman"/>
          <w:szCs w:val="20"/>
        </w:rPr>
        <w:t xml:space="preserve">This will include the introductory </w:t>
      </w:r>
      <w:r w:rsidR="002407CA">
        <w:rPr>
          <w:rFonts w:ascii="Times New Roman" w:eastAsia="Times New Roman" w:hAnsi="Times New Roman" w:cs="Times New Roman"/>
          <w:szCs w:val="20"/>
        </w:rPr>
        <w:t>communications</w:t>
      </w:r>
      <w:r w:rsidRPr="00FD12FB">
        <w:rPr>
          <w:rFonts w:ascii="Times New Roman" w:eastAsia="Times New Roman" w:hAnsi="Times New Roman" w:cs="Times New Roman"/>
          <w:szCs w:val="20"/>
        </w:rPr>
        <w:t xml:space="preserve"> </w:t>
      </w:r>
      <w:r w:rsidR="000D408C">
        <w:rPr>
          <w:rFonts w:ascii="Times New Roman" w:eastAsia="Times New Roman" w:hAnsi="Times New Roman" w:cs="Times New Roman"/>
          <w:szCs w:val="20"/>
        </w:rPr>
        <w:t xml:space="preserve">for potential </w:t>
      </w:r>
      <w:r w:rsidRPr="00FD12FB">
        <w:rPr>
          <w:rFonts w:ascii="Times New Roman" w:eastAsia="Times New Roman" w:hAnsi="Times New Roman" w:cs="Times New Roman"/>
          <w:szCs w:val="20"/>
        </w:rPr>
        <w:t>respondents, links to the survey website, explanation of the survey’s purpose, uses of response data and other items</w:t>
      </w:r>
      <w:r w:rsidR="000D408C">
        <w:rPr>
          <w:rFonts w:ascii="Times New Roman" w:eastAsia="Times New Roman" w:hAnsi="Times New Roman" w:cs="Times New Roman"/>
          <w:szCs w:val="20"/>
        </w:rPr>
        <w:t>,</w:t>
      </w:r>
      <w:r w:rsidRPr="00FD12FB">
        <w:rPr>
          <w:rFonts w:ascii="Times New Roman" w:eastAsia="Times New Roman" w:hAnsi="Times New Roman" w:cs="Times New Roman"/>
          <w:szCs w:val="20"/>
        </w:rPr>
        <w:t xml:space="preserve"> as needed. </w:t>
      </w:r>
      <w:r w:rsidR="002407CA">
        <w:rPr>
          <w:rFonts w:ascii="Times New Roman" w:eastAsia="Times New Roman" w:hAnsi="Times New Roman" w:cs="Times New Roman"/>
          <w:szCs w:val="20"/>
        </w:rPr>
        <w:t>With support from the TEFT evaluation team, s</w:t>
      </w:r>
      <w:r w:rsidRPr="00FD12FB">
        <w:rPr>
          <w:rFonts w:ascii="Times New Roman" w:eastAsia="Times New Roman" w:hAnsi="Times New Roman" w:cs="Times New Roman"/>
          <w:szCs w:val="20"/>
        </w:rPr>
        <w:t xml:space="preserve">tates will </w:t>
      </w:r>
      <w:r w:rsidR="000D408C">
        <w:rPr>
          <w:rFonts w:ascii="Times New Roman" w:eastAsia="Times New Roman" w:hAnsi="Times New Roman" w:cs="Times New Roman"/>
          <w:szCs w:val="20"/>
        </w:rPr>
        <w:t>disseminate</w:t>
      </w:r>
      <w:r w:rsidRPr="00FD12FB">
        <w:rPr>
          <w:rFonts w:ascii="Times New Roman" w:eastAsia="Times New Roman" w:hAnsi="Times New Roman" w:cs="Times New Roman"/>
          <w:szCs w:val="20"/>
        </w:rPr>
        <w:t xml:space="preserve"> the survey</w:t>
      </w:r>
      <w:r w:rsidR="001225A3">
        <w:rPr>
          <w:rFonts w:ascii="Times New Roman" w:eastAsia="Times New Roman" w:hAnsi="Times New Roman" w:cs="Times New Roman"/>
          <w:szCs w:val="20"/>
        </w:rPr>
        <w:t xml:space="preserve"> link</w:t>
      </w:r>
      <w:r w:rsidRPr="00FD12FB">
        <w:rPr>
          <w:rFonts w:ascii="Times New Roman" w:eastAsia="Times New Roman" w:hAnsi="Times New Roman" w:cs="Times New Roman"/>
          <w:szCs w:val="20"/>
        </w:rPr>
        <w:t xml:space="preserve"> through the PHR platform </w:t>
      </w:r>
      <w:r w:rsidR="00EB694D">
        <w:rPr>
          <w:rFonts w:ascii="Times New Roman" w:eastAsia="Times New Roman" w:hAnsi="Times New Roman" w:cs="Times New Roman"/>
          <w:szCs w:val="20"/>
        </w:rPr>
        <w:t>and/</w:t>
      </w:r>
      <w:r w:rsidRPr="00FD12FB">
        <w:rPr>
          <w:rFonts w:ascii="Times New Roman" w:eastAsia="Times New Roman" w:hAnsi="Times New Roman" w:cs="Times New Roman"/>
          <w:szCs w:val="20"/>
        </w:rPr>
        <w:t xml:space="preserve">or </w:t>
      </w:r>
      <w:r w:rsidR="00EB694D">
        <w:rPr>
          <w:rFonts w:ascii="Times New Roman" w:eastAsia="Times New Roman" w:hAnsi="Times New Roman" w:cs="Times New Roman"/>
          <w:szCs w:val="20"/>
        </w:rPr>
        <w:t xml:space="preserve">mail upon request. </w:t>
      </w:r>
      <w:bookmarkStart w:id="21" w:name="_Toc8118900"/>
      <w:bookmarkStart w:id="22" w:name="_Toc81803530"/>
      <w:bookmarkStart w:id="23" w:name="_Toc88301199"/>
      <w:bookmarkStart w:id="24" w:name="_Toc114645274"/>
      <w:bookmarkStart w:id="25" w:name="_Toc176157050"/>
      <w:bookmarkStart w:id="26" w:name="_Toc394924405"/>
    </w:p>
    <w:p w:rsidR="00FD12FB" w:rsidRPr="00FD12FB" w:rsidRDefault="006A06CB" w:rsidP="006A06CB">
      <w:pPr>
        <w:pStyle w:val="Heading2"/>
      </w:pPr>
      <w:bookmarkStart w:id="27" w:name="_Toc461527613"/>
      <w:r>
        <w:t xml:space="preserve">B3. </w:t>
      </w:r>
      <w:r w:rsidR="00FD12FB" w:rsidRPr="00FD12FB">
        <w:t>Methods to Maximize Response Rates</w:t>
      </w:r>
      <w:bookmarkEnd w:id="21"/>
      <w:bookmarkEnd w:id="22"/>
      <w:bookmarkEnd w:id="23"/>
      <w:bookmarkEnd w:id="24"/>
      <w:bookmarkEnd w:id="25"/>
      <w:bookmarkEnd w:id="26"/>
      <w:bookmarkEnd w:id="27"/>
    </w:p>
    <w:p w:rsidR="00FD12FB" w:rsidRPr="00FD12FB" w:rsidRDefault="00FD12FB" w:rsidP="00D333F7">
      <w:pPr>
        <w:autoSpaceDE w:val="0"/>
        <w:autoSpaceDN w:val="0"/>
        <w:adjustRightInd w:val="0"/>
        <w:spacing w:line="240" w:lineRule="auto"/>
        <w:rPr>
          <w:rFonts w:ascii="Times New Roman" w:eastAsia="Times New Roman" w:hAnsi="Times New Roman" w:cs="Times New Roman"/>
          <w:color w:val="000000"/>
        </w:rPr>
      </w:pPr>
      <w:bookmarkStart w:id="28" w:name="_Toc114645275"/>
      <w:bookmarkStart w:id="29" w:name="_Toc176157051"/>
      <w:bookmarkStart w:id="30" w:name="_Toc394924406"/>
      <w:r w:rsidRPr="00FD12FB">
        <w:rPr>
          <w:rFonts w:ascii="Times New Roman" w:eastAsia="Times New Roman" w:hAnsi="Times New Roman" w:cs="Times New Roman"/>
          <w:color w:val="000000"/>
        </w:rPr>
        <w:t>The TEFT evaluation team and CMS will work with each state to maximize response rates for the PHR User Survey, including the following</w:t>
      </w:r>
      <w:r w:rsidR="000D408C">
        <w:rPr>
          <w:rFonts w:ascii="Times New Roman" w:eastAsia="Times New Roman" w:hAnsi="Times New Roman" w:cs="Times New Roman"/>
          <w:color w:val="000000"/>
        </w:rPr>
        <w:t xml:space="preserve"> methods</w:t>
      </w:r>
      <w:r w:rsidRPr="00FD12FB">
        <w:rPr>
          <w:rFonts w:ascii="Times New Roman" w:eastAsia="Times New Roman" w:hAnsi="Times New Roman" w:cs="Times New Roman"/>
          <w:color w:val="000000"/>
        </w:rPr>
        <w:t xml:space="preserve">: </w:t>
      </w:r>
    </w:p>
    <w:p w:rsidR="00FD12FB" w:rsidRPr="00FD12FB" w:rsidRDefault="00FD12FB" w:rsidP="00FD12FB">
      <w:pPr>
        <w:numPr>
          <w:ilvl w:val="0"/>
          <w:numId w:val="2"/>
        </w:numPr>
        <w:spacing w:after="120" w:line="240" w:lineRule="auto"/>
        <w:rPr>
          <w:rFonts w:ascii="Times New Roman" w:eastAsia="Times New Roman" w:hAnsi="Times New Roman" w:cs="Times New Roman"/>
          <w:spacing w:val="-2"/>
        </w:rPr>
      </w:pPr>
      <w:r w:rsidRPr="00FD12FB">
        <w:rPr>
          <w:rFonts w:ascii="Times New Roman" w:eastAsia="Times New Roman" w:hAnsi="Times New Roman" w:cs="Times New Roman"/>
          <w:spacing w:val="-2"/>
        </w:rPr>
        <w:t xml:space="preserve">Use of </w:t>
      </w:r>
      <w:r w:rsidR="000D408C">
        <w:rPr>
          <w:rFonts w:ascii="Times New Roman" w:eastAsia="Times New Roman" w:hAnsi="Times New Roman" w:cs="Times New Roman"/>
          <w:spacing w:val="-2"/>
        </w:rPr>
        <w:t>a</w:t>
      </w:r>
      <w:r w:rsidR="000D408C" w:rsidRPr="00FD12FB">
        <w:rPr>
          <w:rFonts w:ascii="Times New Roman" w:eastAsia="Times New Roman" w:hAnsi="Times New Roman" w:cs="Times New Roman"/>
          <w:spacing w:val="-2"/>
        </w:rPr>
        <w:t xml:space="preserve"> </w:t>
      </w:r>
      <w:r w:rsidRPr="00FD12FB">
        <w:rPr>
          <w:rFonts w:ascii="Times New Roman" w:eastAsia="Times New Roman" w:hAnsi="Times New Roman" w:cs="Times New Roman"/>
          <w:spacing w:val="-2"/>
        </w:rPr>
        <w:t>short and uncomplicated survey instrument with clear instructions for completion;</w:t>
      </w:r>
    </w:p>
    <w:p w:rsidR="00FD12FB" w:rsidRPr="00FD12FB" w:rsidRDefault="00FD12FB" w:rsidP="00FD12FB">
      <w:pPr>
        <w:numPr>
          <w:ilvl w:val="0"/>
          <w:numId w:val="2"/>
        </w:numPr>
        <w:spacing w:after="120" w:line="240" w:lineRule="auto"/>
        <w:rPr>
          <w:rFonts w:ascii="Times New Roman" w:eastAsia="Times New Roman" w:hAnsi="Times New Roman" w:cs="Times New Roman"/>
          <w:spacing w:val="-2"/>
        </w:rPr>
      </w:pPr>
      <w:r w:rsidRPr="00FD12FB">
        <w:rPr>
          <w:rFonts w:ascii="Times New Roman" w:eastAsia="Times New Roman" w:hAnsi="Times New Roman" w:cs="Times New Roman"/>
          <w:spacing w:val="-2"/>
        </w:rPr>
        <w:t>Limited number of open-ended questions in the survey instrument;</w:t>
      </w:r>
    </w:p>
    <w:p w:rsidR="00FD12FB" w:rsidRPr="00FD12FB" w:rsidRDefault="00FD12FB" w:rsidP="00FD12FB">
      <w:pPr>
        <w:numPr>
          <w:ilvl w:val="0"/>
          <w:numId w:val="2"/>
        </w:numPr>
        <w:spacing w:after="120" w:line="240" w:lineRule="auto"/>
        <w:rPr>
          <w:rFonts w:ascii="Times New Roman" w:eastAsia="Times New Roman" w:hAnsi="Times New Roman" w:cs="Times New Roman"/>
          <w:spacing w:val="-2"/>
        </w:rPr>
      </w:pPr>
      <w:r w:rsidRPr="00FD12FB">
        <w:rPr>
          <w:rFonts w:ascii="Times New Roman" w:eastAsia="Times New Roman" w:hAnsi="Times New Roman" w:cs="Times New Roman"/>
          <w:spacing w:val="-2"/>
        </w:rPr>
        <w:t>Flexibility about the time of response (eight weeks); and</w:t>
      </w:r>
    </w:p>
    <w:p w:rsidR="00FD12FB" w:rsidRPr="00D333F7" w:rsidRDefault="00FD12FB" w:rsidP="00D333F7">
      <w:pPr>
        <w:numPr>
          <w:ilvl w:val="0"/>
          <w:numId w:val="2"/>
        </w:numPr>
        <w:spacing w:line="240" w:lineRule="auto"/>
        <w:rPr>
          <w:rFonts w:ascii="Times New Roman" w:eastAsia="Times New Roman" w:hAnsi="Times New Roman" w:cs="Times New Roman"/>
          <w:spacing w:val="-2"/>
        </w:rPr>
      </w:pPr>
      <w:r w:rsidRPr="00FD12FB">
        <w:rPr>
          <w:rFonts w:ascii="Times New Roman" w:eastAsia="Times New Roman" w:hAnsi="Times New Roman" w:cs="Times New Roman"/>
          <w:spacing w:val="-2"/>
        </w:rPr>
        <w:t xml:space="preserve">Follow-up communications to all targeted PHR users to encourage their response to the survey. </w:t>
      </w:r>
    </w:p>
    <w:p w:rsidR="00FD12FB" w:rsidRPr="00FD12FB" w:rsidRDefault="000D408C" w:rsidP="00D333F7">
      <w:pPr>
        <w:autoSpaceDE w:val="0"/>
        <w:autoSpaceDN w:val="0"/>
        <w:adjustRightInd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Specifically, the TEFT evaluation team will:</w:t>
      </w:r>
    </w:p>
    <w:p w:rsidR="00FD12FB" w:rsidRPr="006A06CB" w:rsidRDefault="00FD12FB" w:rsidP="00F33291">
      <w:pPr>
        <w:pStyle w:val="Heading5"/>
      </w:pPr>
      <w:r w:rsidRPr="006A06CB">
        <w:t xml:space="preserve">In Advance of Surveying: </w:t>
      </w:r>
    </w:p>
    <w:p w:rsidR="00FD12FB" w:rsidRPr="00FD12FB" w:rsidRDefault="000D408C" w:rsidP="00FD12FB">
      <w:pPr>
        <w:numPr>
          <w:ilvl w:val="0"/>
          <w:numId w:val="3"/>
        </w:numPr>
        <w:autoSpaceDE w:val="0"/>
        <w:autoSpaceDN w:val="0"/>
        <w:adjustRightInd w:val="0"/>
        <w:spacing w:after="18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t>
      </w:r>
      <w:r w:rsidR="00FD12FB" w:rsidRPr="00FD12FB">
        <w:rPr>
          <w:rFonts w:ascii="Times New Roman" w:eastAsia="Times New Roman" w:hAnsi="Times New Roman" w:cs="Times New Roman"/>
          <w:color w:val="000000"/>
        </w:rPr>
        <w:t>ncourage states to communicate and collaborate with stakeholders</w:t>
      </w:r>
      <w:r>
        <w:rPr>
          <w:rFonts w:ascii="Times New Roman" w:eastAsia="Times New Roman" w:hAnsi="Times New Roman" w:cs="Times New Roman"/>
          <w:color w:val="000000"/>
        </w:rPr>
        <w:t>,</w:t>
      </w:r>
      <w:r w:rsidR="00FD12FB" w:rsidRPr="00FD12FB">
        <w:rPr>
          <w:rFonts w:ascii="Times New Roman" w:eastAsia="Times New Roman" w:hAnsi="Times New Roman" w:cs="Times New Roman"/>
          <w:color w:val="000000"/>
        </w:rPr>
        <w:t xml:space="preserve"> such as </w:t>
      </w:r>
      <w:r w:rsidR="00FD12FB" w:rsidRPr="00772F6C">
        <w:rPr>
          <w:rFonts w:ascii="Times New Roman" w:eastAsia="Times New Roman" w:hAnsi="Times New Roman" w:cs="Times New Roman"/>
          <w:color w:val="000000"/>
        </w:rPr>
        <w:t>state agencies, waiver agents, Area Agencies on Aging, provider associations, financial management services vendors, and consumer groups</w:t>
      </w:r>
      <w:r w:rsidR="00FD12FB" w:rsidRPr="00FD12F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to message</w:t>
      </w:r>
      <w:r w:rsidRPr="00FD12FB">
        <w:rPr>
          <w:rFonts w:ascii="Times New Roman" w:eastAsia="Times New Roman" w:hAnsi="Times New Roman" w:cs="Times New Roman"/>
          <w:color w:val="000000"/>
        </w:rPr>
        <w:t xml:space="preserve"> </w:t>
      </w:r>
      <w:r w:rsidR="00FD12FB" w:rsidRPr="00FD12FB">
        <w:rPr>
          <w:rFonts w:ascii="Times New Roman" w:eastAsia="Times New Roman" w:hAnsi="Times New Roman" w:cs="Times New Roman"/>
          <w:color w:val="000000"/>
        </w:rPr>
        <w:t xml:space="preserve">the purpose of the surveys. Stakeholders such as these can play an important role in encouraging survey recipients to respond. </w:t>
      </w:r>
    </w:p>
    <w:p w:rsidR="00FD12FB" w:rsidRDefault="00FD12FB" w:rsidP="00FD12FB">
      <w:pPr>
        <w:numPr>
          <w:ilvl w:val="0"/>
          <w:numId w:val="3"/>
        </w:numPr>
        <w:autoSpaceDE w:val="0"/>
        <w:autoSpaceDN w:val="0"/>
        <w:adjustRightInd w:val="0"/>
        <w:spacing w:after="181" w:line="240" w:lineRule="auto"/>
        <w:rPr>
          <w:rFonts w:ascii="Times New Roman" w:eastAsia="Times New Roman" w:hAnsi="Times New Roman" w:cs="Times New Roman"/>
          <w:color w:val="000000"/>
        </w:rPr>
      </w:pPr>
      <w:r w:rsidRPr="00FD12FB">
        <w:rPr>
          <w:rFonts w:ascii="Times New Roman" w:eastAsia="Times New Roman" w:hAnsi="Times New Roman" w:cs="Times New Roman"/>
          <w:color w:val="000000"/>
        </w:rPr>
        <w:t xml:space="preserve">The TEFT evaluation team will </w:t>
      </w:r>
      <w:r w:rsidR="00EB694D">
        <w:rPr>
          <w:rFonts w:ascii="Times New Roman" w:eastAsia="Times New Roman" w:hAnsi="Times New Roman" w:cs="Times New Roman"/>
          <w:color w:val="000000"/>
        </w:rPr>
        <w:t xml:space="preserve">provide language for and </w:t>
      </w:r>
      <w:r w:rsidR="00F7746E">
        <w:rPr>
          <w:rFonts w:ascii="Times New Roman" w:eastAsia="Times New Roman" w:hAnsi="Times New Roman" w:cs="Times New Roman"/>
          <w:color w:val="000000"/>
        </w:rPr>
        <w:t>request</w:t>
      </w:r>
      <w:r w:rsidRPr="00FD12FB">
        <w:rPr>
          <w:rFonts w:ascii="Times New Roman" w:eastAsia="Times New Roman" w:hAnsi="Times New Roman" w:cs="Times New Roman"/>
          <w:color w:val="000000"/>
        </w:rPr>
        <w:t xml:space="preserve"> communications</w:t>
      </w:r>
      <w:r w:rsidR="00EB694D">
        <w:rPr>
          <w:rFonts w:ascii="Times New Roman" w:eastAsia="Times New Roman" w:hAnsi="Times New Roman" w:cs="Times New Roman"/>
          <w:color w:val="000000"/>
        </w:rPr>
        <w:t xml:space="preserve"> from state TEFT teams</w:t>
      </w:r>
      <w:r w:rsidRPr="00FD12FB">
        <w:rPr>
          <w:rFonts w:ascii="Times New Roman" w:eastAsia="Times New Roman" w:hAnsi="Times New Roman" w:cs="Times New Roman"/>
          <w:color w:val="000000"/>
        </w:rPr>
        <w:t xml:space="preserve"> explaining the importance of the survey and assurance of conf</w:t>
      </w:r>
      <w:r w:rsidR="002407CA">
        <w:rPr>
          <w:rFonts w:ascii="Times New Roman" w:eastAsia="Times New Roman" w:hAnsi="Times New Roman" w:cs="Times New Roman"/>
          <w:color w:val="000000"/>
        </w:rPr>
        <w:t xml:space="preserve">identiality </w:t>
      </w:r>
      <w:r w:rsidRPr="00FD12FB">
        <w:rPr>
          <w:rFonts w:ascii="Times New Roman" w:eastAsia="Times New Roman" w:hAnsi="Times New Roman" w:cs="Times New Roman"/>
          <w:color w:val="000000"/>
        </w:rPr>
        <w:t xml:space="preserve">to encourage PHR User Survey recipients to respond.  </w:t>
      </w:r>
    </w:p>
    <w:p w:rsidR="00C20B32" w:rsidRPr="00FD12FB" w:rsidRDefault="00C20B32" w:rsidP="00FD12FB">
      <w:pPr>
        <w:numPr>
          <w:ilvl w:val="0"/>
          <w:numId w:val="3"/>
        </w:numPr>
        <w:autoSpaceDE w:val="0"/>
        <w:autoSpaceDN w:val="0"/>
        <w:adjustRightInd w:val="0"/>
        <w:spacing w:after="18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TEFT evaluation team will offer training to state case managers about the survey so that they are well-positioned to answer any questions respondents may have about the survey, as well as encourage survey completion. </w:t>
      </w:r>
    </w:p>
    <w:p w:rsidR="00FD12FB" w:rsidRPr="00FD12FB" w:rsidRDefault="00FD12FB" w:rsidP="006A06CB">
      <w:pPr>
        <w:pStyle w:val="Heading5"/>
      </w:pPr>
      <w:r w:rsidRPr="00FD12FB">
        <w:t xml:space="preserve">Surveying: </w:t>
      </w:r>
    </w:p>
    <w:p w:rsidR="002407CA" w:rsidRDefault="00FD12FB" w:rsidP="002407CA">
      <w:pPr>
        <w:numPr>
          <w:ilvl w:val="0"/>
          <w:numId w:val="4"/>
        </w:numPr>
        <w:autoSpaceDE w:val="0"/>
        <w:autoSpaceDN w:val="0"/>
        <w:adjustRightInd w:val="0"/>
        <w:spacing w:line="240" w:lineRule="auto"/>
        <w:rPr>
          <w:rFonts w:ascii="Times New Roman" w:eastAsia="Times New Roman" w:hAnsi="Times New Roman" w:cs="Times New Roman"/>
          <w:color w:val="000000"/>
        </w:rPr>
      </w:pPr>
      <w:r w:rsidRPr="002407CA">
        <w:rPr>
          <w:rFonts w:ascii="Times New Roman" w:eastAsia="Times New Roman" w:hAnsi="Times New Roman" w:cs="Times New Roman"/>
          <w:color w:val="000000"/>
        </w:rPr>
        <w:t>The state TEFT teams will be responsible for disseminating the survey to the target population</w:t>
      </w:r>
      <w:r w:rsidR="00F628B7">
        <w:rPr>
          <w:rFonts w:ascii="Times New Roman" w:eastAsia="Times New Roman" w:hAnsi="Times New Roman" w:cs="Times New Roman"/>
          <w:color w:val="000000"/>
        </w:rPr>
        <w:t>s</w:t>
      </w:r>
      <w:r w:rsidRPr="002407CA">
        <w:rPr>
          <w:rFonts w:ascii="Times New Roman" w:eastAsia="Times New Roman" w:hAnsi="Times New Roman" w:cs="Times New Roman"/>
          <w:color w:val="000000"/>
        </w:rPr>
        <w:t xml:space="preserve">. Although the PHR User Survey recipients will be asked to respond within </w:t>
      </w:r>
      <w:r w:rsidR="002F115F">
        <w:rPr>
          <w:rFonts w:ascii="Times New Roman" w:eastAsia="Times New Roman" w:hAnsi="Times New Roman" w:cs="Times New Roman"/>
          <w:color w:val="000000"/>
        </w:rPr>
        <w:t>four</w:t>
      </w:r>
      <w:r w:rsidR="002F115F" w:rsidRPr="002407CA">
        <w:rPr>
          <w:rFonts w:ascii="Times New Roman" w:eastAsia="Times New Roman" w:hAnsi="Times New Roman" w:cs="Times New Roman"/>
          <w:color w:val="000000"/>
        </w:rPr>
        <w:t xml:space="preserve"> </w:t>
      </w:r>
      <w:r w:rsidRPr="002407CA">
        <w:rPr>
          <w:rFonts w:ascii="Times New Roman" w:eastAsia="Times New Roman" w:hAnsi="Times New Roman" w:cs="Times New Roman"/>
          <w:color w:val="000000"/>
        </w:rPr>
        <w:t>weeks</w:t>
      </w:r>
      <w:r w:rsidR="002F115F">
        <w:rPr>
          <w:rFonts w:ascii="Times New Roman" w:eastAsia="Times New Roman" w:hAnsi="Times New Roman" w:cs="Times New Roman"/>
          <w:color w:val="000000"/>
        </w:rPr>
        <w:t xml:space="preserve"> of receiving the survey</w:t>
      </w:r>
      <w:r w:rsidRPr="002407CA">
        <w:rPr>
          <w:rFonts w:ascii="Times New Roman" w:eastAsia="Times New Roman" w:hAnsi="Times New Roman" w:cs="Times New Roman"/>
          <w:color w:val="000000"/>
        </w:rPr>
        <w:t xml:space="preserve">, the survey will be in the field for </w:t>
      </w:r>
      <w:r w:rsidR="002F115F">
        <w:rPr>
          <w:rFonts w:ascii="Times New Roman" w:eastAsia="Times New Roman" w:hAnsi="Times New Roman" w:cs="Times New Roman"/>
          <w:color w:val="000000"/>
        </w:rPr>
        <w:t>eight</w:t>
      </w:r>
      <w:r w:rsidR="002F115F" w:rsidRPr="002407CA">
        <w:rPr>
          <w:rFonts w:ascii="Times New Roman" w:eastAsia="Times New Roman" w:hAnsi="Times New Roman" w:cs="Times New Roman"/>
          <w:color w:val="000000"/>
        </w:rPr>
        <w:t xml:space="preserve"> </w:t>
      </w:r>
      <w:r w:rsidRPr="002407CA">
        <w:rPr>
          <w:rFonts w:ascii="Times New Roman" w:eastAsia="Times New Roman" w:hAnsi="Times New Roman" w:cs="Times New Roman"/>
          <w:color w:val="000000"/>
        </w:rPr>
        <w:t>weeks to allow for completion a</w:t>
      </w:r>
      <w:r w:rsidR="002407CA">
        <w:rPr>
          <w:rFonts w:ascii="Times New Roman" w:eastAsia="Times New Roman" w:hAnsi="Times New Roman" w:cs="Times New Roman"/>
          <w:color w:val="000000"/>
        </w:rPr>
        <w:t>nd follow-up to non-responders.</w:t>
      </w:r>
    </w:p>
    <w:p w:rsidR="000D408C" w:rsidRPr="002407CA" w:rsidRDefault="000D408C" w:rsidP="002407CA">
      <w:pPr>
        <w:numPr>
          <w:ilvl w:val="0"/>
          <w:numId w:val="4"/>
        </w:numPr>
        <w:autoSpaceDE w:val="0"/>
        <w:autoSpaceDN w:val="0"/>
        <w:adjustRightInd w:val="0"/>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To minimize the burden of completing the survey, the survey instrument </w:t>
      </w:r>
      <w:r w:rsidR="00FE5F0D">
        <w:rPr>
          <w:rFonts w:ascii="Times New Roman" w:eastAsia="Times New Roman" w:hAnsi="Times New Roman" w:cs="Times New Roman"/>
          <w:color w:val="000000"/>
        </w:rPr>
        <w:t>was</w:t>
      </w:r>
      <w:r>
        <w:rPr>
          <w:rFonts w:ascii="Times New Roman" w:eastAsia="Times New Roman" w:hAnsi="Times New Roman" w:cs="Times New Roman"/>
          <w:color w:val="000000"/>
        </w:rPr>
        <w:t xml:space="preserve"> edited to include only key questions and written at a 6</w:t>
      </w:r>
      <w:r w:rsidRPr="002860D6">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grade reading level. Most questions have multiple-choice response options. </w:t>
      </w:r>
    </w:p>
    <w:p w:rsidR="00FD12FB" w:rsidRPr="002407CA" w:rsidRDefault="00FD12FB" w:rsidP="006A06CB">
      <w:pPr>
        <w:pStyle w:val="Heading5"/>
      </w:pPr>
      <w:r w:rsidRPr="002407CA">
        <w:t xml:space="preserve">Following Surveying: </w:t>
      </w:r>
    </w:p>
    <w:p w:rsidR="00FD12FB" w:rsidRPr="00D333F7" w:rsidRDefault="00FD12FB" w:rsidP="00D333F7">
      <w:pPr>
        <w:numPr>
          <w:ilvl w:val="0"/>
          <w:numId w:val="4"/>
        </w:numPr>
        <w:autoSpaceDE w:val="0"/>
        <w:autoSpaceDN w:val="0"/>
        <w:adjustRightInd w:val="0"/>
        <w:spacing w:line="240" w:lineRule="auto"/>
        <w:rPr>
          <w:rFonts w:ascii="Times New Roman" w:eastAsia="Times New Roman" w:hAnsi="Times New Roman" w:cs="Times New Roman"/>
          <w:color w:val="000000"/>
        </w:rPr>
      </w:pPr>
      <w:r w:rsidRPr="00FD12FB">
        <w:rPr>
          <w:rFonts w:ascii="Times New Roman" w:eastAsia="Times New Roman" w:hAnsi="Times New Roman" w:cs="Times New Roman"/>
          <w:color w:val="000000"/>
        </w:rPr>
        <w:t xml:space="preserve">States will </w:t>
      </w:r>
      <w:r w:rsidR="00454610">
        <w:rPr>
          <w:rFonts w:ascii="Times New Roman" w:eastAsia="Times New Roman" w:hAnsi="Times New Roman" w:cs="Times New Roman"/>
          <w:color w:val="000000"/>
        </w:rPr>
        <w:t>send</w:t>
      </w:r>
      <w:r w:rsidRPr="00FD12FB">
        <w:rPr>
          <w:rFonts w:ascii="Times New Roman" w:eastAsia="Times New Roman" w:hAnsi="Times New Roman" w:cs="Times New Roman"/>
          <w:color w:val="000000"/>
        </w:rPr>
        <w:t xml:space="preserve"> all </w:t>
      </w:r>
      <w:r w:rsidR="00FE5F0D">
        <w:rPr>
          <w:rFonts w:ascii="Times New Roman" w:eastAsia="Times New Roman" w:hAnsi="Times New Roman" w:cs="Times New Roman"/>
          <w:color w:val="000000"/>
        </w:rPr>
        <w:t>sampled</w:t>
      </w:r>
      <w:r w:rsidRPr="00FD12FB">
        <w:rPr>
          <w:rFonts w:ascii="Times New Roman" w:eastAsia="Times New Roman" w:hAnsi="Times New Roman" w:cs="Times New Roman"/>
          <w:color w:val="000000"/>
        </w:rPr>
        <w:t xml:space="preserve"> PHR users a follow-up reminder of the survey </w:t>
      </w:r>
      <w:r w:rsidR="002F115F">
        <w:rPr>
          <w:rFonts w:ascii="Times New Roman" w:eastAsia="Times New Roman" w:hAnsi="Times New Roman" w:cs="Times New Roman"/>
          <w:color w:val="000000"/>
        </w:rPr>
        <w:t>four</w:t>
      </w:r>
      <w:r w:rsidRPr="00FD12FB">
        <w:rPr>
          <w:rFonts w:ascii="Times New Roman" w:eastAsia="Times New Roman" w:hAnsi="Times New Roman" w:cs="Times New Roman"/>
          <w:color w:val="000000"/>
        </w:rPr>
        <w:t xml:space="preserve"> weeks after the initial </w:t>
      </w:r>
      <w:r w:rsidR="000D408C">
        <w:rPr>
          <w:rFonts w:ascii="Times New Roman" w:eastAsia="Times New Roman" w:hAnsi="Times New Roman" w:cs="Times New Roman"/>
          <w:color w:val="000000"/>
        </w:rPr>
        <w:t>survey distribution</w:t>
      </w:r>
      <w:r w:rsidRPr="00FD12FB">
        <w:rPr>
          <w:rFonts w:ascii="Times New Roman" w:eastAsia="Times New Roman" w:hAnsi="Times New Roman" w:cs="Times New Roman"/>
          <w:color w:val="000000"/>
        </w:rPr>
        <w:t xml:space="preserve">. This communication will encourage recipients to complete and </w:t>
      </w:r>
      <w:r w:rsidR="00FE5F0D">
        <w:rPr>
          <w:rFonts w:ascii="Times New Roman" w:eastAsia="Times New Roman" w:hAnsi="Times New Roman" w:cs="Times New Roman"/>
          <w:color w:val="000000"/>
        </w:rPr>
        <w:t>submit</w:t>
      </w:r>
      <w:r w:rsidRPr="00FD12FB">
        <w:rPr>
          <w:rFonts w:ascii="Times New Roman" w:eastAsia="Times New Roman" w:hAnsi="Times New Roman" w:cs="Times New Roman"/>
          <w:color w:val="000000"/>
        </w:rPr>
        <w:t xml:space="preserve"> the survey by the due date (</w:t>
      </w:r>
      <w:r w:rsidR="002F115F">
        <w:rPr>
          <w:rFonts w:ascii="Times New Roman" w:eastAsia="Times New Roman" w:hAnsi="Times New Roman" w:cs="Times New Roman"/>
          <w:color w:val="000000"/>
        </w:rPr>
        <w:t>eight</w:t>
      </w:r>
      <w:r w:rsidR="003E1CBF">
        <w:rPr>
          <w:rFonts w:ascii="Times New Roman" w:eastAsia="Times New Roman" w:hAnsi="Times New Roman" w:cs="Times New Roman"/>
          <w:color w:val="000000"/>
        </w:rPr>
        <w:t xml:space="preserve"> weeks</w:t>
      </w:r>
      <w:r w:rsidRPr="00FD12FB">
        <w:rPr>
          <w:rFonts w:ascii="Times New Roman" w:eastAsia="Times New Roman" w:hAnsi="Times New Roman" w:cs="Times New Roman"/>
          <w:color w:val="000000"/>
        </w:rPr>
        <w:t xml:space="preserve"> following survey launch). </w:t>
      </w:r>
    </w:p>
    <w:p w:rsidR="00FD12FB" w:rsidRPr="00FD12FB" w:rsidRDefault="009C0A9D" w:rsidP="00FD12FB">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N</w:t>
      </w:r>
      <w:r w:rsidR="00FD12FB" w:rsidRPr="00FD12FB">
        <w:rPr>
          <w:rFonts w:ascii="Times New Roman" w:eastAsia="Times New Roman" w:hAnsi="Times New Roman" w:cs="Times New Roman"/>
          <w:szCs w:val="20"/>
        </w:rPr>
        <w:t xml:space="preserve">on-response bias will not be evaluated as </w:t>
      </w:r>
      <w:r>
        <w:rPr>
          <w:rFonts w:ascii="Times New Roman" w:eastAsia="Times New Roman" w:hAnsi="Times New Roman" w:cs="Times New Roman"/>
          <w:szCs w:val="20"/>
        </w:rPr>
        <w:t>this is a purp</w:t>
      </w:r>
      <w:r w:rsidR="00FE5F0D">
        <w:rPr>
          <w:rFonts w:ascii="Times New Roman" w:eastAsia="Times New Roman" w:hAnsi="Times New Roman" w:cs="Times New Roman"/>
          <w:szCs w:val="20"/>
        </w:rPr>
        <w:t xml:space="preserve">oseful sample of an already </w:t>
      </w:r>
      <w:r>
        <w:rPr>
          <w:rFonts w:ascii="Times New Roman" w:eastAsia="Times New Roman" w:hAnsi="Times New Roman" w:cs="Times New Roman"/>
          <w:szCs w:val="20"/>
        </w:rPr>
        <w:t xml:space="preserve">random selection of beneficiaries. </w:t>
      </w:r>
      <w:r w:rsidR="003E1CBF">
        <w:rPr>
          <w:rFonts w:ascii="Times New Roman" w:eastAsia="Times New Roman" w:hAnsi="Times New Roman" w:cs="Times New Roman"/>
          <w:szCs w:val="20"/>
        </w:rPr>
        <w:t>Since states are selecting different PHR platforms, t</w:t>
      </w:r>
      <w:r>
        <w:rPr>
          <w:rFonts w:ascii="Times New Roman" w:eastAsia="Times New Roman" w:hAnsi="Times New Roman" w:cs="Times New Roman"/>
          <w:szCs w:val="20"/>
        </w:rPr>
        <w:t>he</w:t>
      </w:r>
      <w:r w:rsidR="0022039C">
        <w:rPr>
          <w:rFonts w:ascii="Times New Roman" w:eastAsia="Times New Roman" w:hAnsi="Times New Roman" w:cs="Times New Roman"/>
          <w:szCs w:val="20"/>
        </w:rPr>
        <w:t xml:space="preserve"> TEFT</w:t>
      </w:r>
      <w:r>
        <w:rPr>
          <w:rFonts w:ascii="Times New Roman" w:eastAsia="Times New Roman" w:hAnsi="Times New Roman" w:cs="Times New Roman"/>
          <w:szCs w:val="20"/>
        </w:rPr>
        <w:t xml:space="preserve"> evaluation team will not be comparing states to each other as part of the data analysis. </w:t>
      </w:r>
      <w:r w:rsidR="00FD12FB" w:rsidRPr="00FD12FB">
        <w:rPr>
          <w:rFonts w:ascii="Times New Roman" w:eastAsia="Times New Roman" w:hAnsi="Times New Roman" w:cs="Times New Roman"/>
          <w:szCs w:val="20"/>
        </w:rPr>
        <w:t xml:space="preserve"> </w:t>
      </w:r>
    </w:p>
    <w:p w:rsidR="00FD12FB" w:rsidRPr="00FD12FB" w:rsidRDefault="00644110" w:rsidP="00FD12FB">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In the event that we receive paper survey responses, t</w:t>
      </w:r>
      <w:r w:rsidR="00FD12FB" w:rsidRPr="00FD12FB">
        <w:rPr>
          <w:rFonts w:ascii="Times New Roman" w:eastAsia="Times New Roman" w:hAnsi="Times New Roman" w:cs="Times New Roman"/>
          <w:szCs w:val="20"/>
        </w:rPr>
        <w:t>he data entry system will provide special administrative features for each question for data enterers to designate non-responses and confusing/contradictory responses. Missing data will be assigned a “missing” code, and the number of respondents will be noted for each statistic reported.</w:t>
      </w:r>
    </w:p>
    <w:p w:rsidR="00FD12FB" w:rsidRPr="00FD12FB" w:rsidRDefault="006A06CB" w:rsidP="006A06CB">
      <w:pPr>
        <w:pStyle w:val="Heading2"/>
      </w:pPr>
      <w:bookmarkStart w:id="31" w:name="_Toc461527614"/>
      <w:r>
        <w:t xml:space="preserve">B4. </w:t>
      </w:r>
      <w:r w:rsidR="00FD12FB" w:rsidRPr="00FD12FB">
        <w:t>Test of Procedures</w:t>
      </w:r>
      <w:bookmarkEnd w:id="28"/>
      <w:bookmarkEnd w:id="29"/>
      <w:bookmarkEnd w:id="30"/>
      <w:bookmarkEnd w:id="31"/>
    </w:p>
    <w:p w:rsidR="00FD12FB" w:rsidRPr="00FD12FB" w:rsidRDefault="00FD12FB" w:rsidP="006A06CB">
      <w:pPr>
        <w:pStyle w:val="Heading3"/>
      </w:pPr>
      <w:bookmarkStart w:id="32" w:name="_Toc295224120"/>
      <w:r w:rsidRPr="00FD12FB">
        <w:t>Feedback from States</w:t>
      </w:r>
      <w:bookmarkEnd w:id="32"/>
      <w:r w:rsidR="00CB107B">
        <w:t xml:space="preserve"> &amp; TEFT Partners</w:t>
      </w:r>
    </w:p>
    <w:p w:rsid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 xml:space="preserve">In December 2015 and January 2016, the state-based agencies participating in </w:t>
      </w:r>
      <w:r w:rsidR="00257B91">
        <w:rPr>
          <w:rFonts w:ascii="Times New Roman" w:eastAsia="Times New Roman" w:hAnsi="Times New Roman" w:cs="Times New Roman"/>
          <w:szCs w:val="20"/>
        </w:rPr>
        <w:t xml:space="preserve">the </w:t>
      </w:r>
      <w:r w:rsidRPr="00FD12FB">
        <w:rPr>
          <w:rFonts w:ascii="Times New Roman" w:eastAsia="Times New Roman" w:hAnsi="Times New Roman" w:cs="Times New Roman"/>
          <w:szCs w:val="20"/>
        </w:rPr>
        <w:t>TEFT</w:t>
      </w:r>
      <w:r w:rsidR="00257B91">
        <w:rPr>
          <w:rFonts w:ascii="Times New Roman" w:eastAsia="Times New Roman" w:hAnsi="Times New Roman" w:cs="Times New Roman"/>
          <w:szCs w:val="20"/>
        </w:rPr>
        <w:t xml:space="preserve"> Demonstration </w:t>
      </w:r>
      <w:r w:rsidRPr="00FD12FB">
        <w:rPr>
          <w:rFonts w:ascii="Times New Roman" w:eastAsia="Times New Roman" w:hAnsi="Times New Roman" w:cs="Times New Roman"/>
          <w:szCs w:val="20"/>
        </w:rPr>
        <w:t xml:space="preserve">were asked to review drafts of the survey and provide feedback. The TEFT evaluation team received feedback from grantees about the survey in written </w:t>
      </w:r>
      <w:r w:rsidRPr="00257B91">
        <w:rPr>
          <w:rFonts w:ascii="Times New Roman" w:eastAsia="Times New Roman" w:hAnsi="Times New Roman" w:cs="Times New Roman"/>
          <w:szCs w:val="20"/>
        </w:rPr>
        <w:t xml:space="preserve">form. </w:t>
      </w:r>
      <w:r w:rsidR="00257B91" w:rsidRPr="00257B91">
        <w:rPr>
          <w:rFonts w:ascii="Times New Roman" w:eastAsia="Times New Roman" w:hAnsi="Times New Roman" w:cs="Times New Roman"/>
          <w:szCs w:val="20"/>
        </w:rPr>
        <w:t xml:space="preserve">Feedback from states was used to identify priority questions in the survey refinement process. The states also provided ideas for individual question improvement and clarity. </w:t>
      </w:r>
    </w:p>
    <w:p w:rsidR="00CB107B" w:rsidRDefault="00531F0E" w:rsidP="00FD12FB">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Helpful feedback was received from CMS regarding an initial list of potential questions. This feedback highlighted the importance of:</w:t>
      </w:r>
    </w:p>
    <w:p w:rsidR="00531F0E" w:rsidRDefault="00531F0E" w:rsidP="00D43966">
      <w:pPr>
        <w:pStyle w:val="ListParagraph"/>
        <w:numPr>
          <w:ilvl w:val="0"/>
          <w:numId w:val="10"/>
        </w:num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Clear explanation of the survey purpose and how respondent feedback will be used</w:t>
      </w:r>
      <w:r w:rsidR="00CF6E19">
        <w:rPr>
          <w:rFonts w:ascii="Times New Roman" w:eastAsia="Times New Roman" w:hAnsi="Times New Roman" w:cs="Times New Roman"/>
          <w:szCs w:val="20"/>
        </w:rPr>
        <w:t>;</w:t>
      </w:r>
    </w:p>
    <w:p w:rsidR="00531F0E" w:rsidRDefault="00531F0E" w:rsidP="00D43966">
      <w:pPr>
        <w:pStyle w:val="ListParagraph"/>
        <w:numPr>
          <w:ilvl w:val="0"/>
          <w:numId w:val="10"/>
        </w:num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Person-centered concepts of care and assessment of beneficiary experience through PHR use across survey structure</w:t>
      </w:r>
      <w:r w:rsidR="00CF6E19">
        <w:rPr>
          <w:rFonts w:ascii="Times New Roman" w:eastAsia="Times New Roman" w:hAnsi="Times New Roman" w:cs="Times New Roman"/>
          <w:szCs w:val="20"/>
        </w:rPr>
        <w:t>; and</w:t>
      </w:r>
    </w:p>
    <w:p w:rsidR="00531F0E" w:rsidRDefault="00D43966" w:rsidP="00D43966">
      <w:pPr>
        <w:pStyle w:val="ListParagraph"/>
        <w:numPr>
          <w:ilvl w:val="0"/>
          <w:numId w:val="10"/>
        </w:num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Use of positive, clear language and skip patterns to support respondents</w:t>
      </w:r>
      <w:r w:rsidR="00CF6E19">
        <w:rPr>
          <w:rFonts w:ascii="Times New Roman" w:eastAsia="Times New Roman" w:hAnsi="Times New Roman" w:cs="Times New Roman"/>
          <w:szCs w:val="20"/>
        </w:rPr>
        <w:t>.</w:t>
      </w:r>
    </w:p>
    <w:p w:rsidR="00531F0E" w:rsidRPr="00D43966" w:rsidRDefault="00531F0E" w:rsidP="00531F0E">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State feedback on an initial list of potential questions helped </w:t>
      </w:r>
      <w:r w:rsidR="00E42AAA">
        <w:rPr>
          <w:rFonts w:ascii="Times New Roman" w:eastAsia="Times New Roman" w:hAnsi="Times New Roman" w:cs="Times New Roman"/>
          <w:szCs w:val="20"/>
        </w:rPr>
        <w:t xml:space="preserve">to prioritize questions for inclusion in the survey and refine </w:t>
      </w:r>
      <w:r w:rsidR="00D43966">
        <w:rPr>
          <w:rFonts w:ascii="Times New Roman" w:eastAsia="Times New Roman" w:hAnsi="Times New Roman" w:cs="Times New Roman"/>
          <w:szCs w:val="20"/>
        </w:rPr>
        <w:t>language of complex questions to support respondent understanding.</w:t>
      </w:r>
      <w:r w:rsidR="00DB69F4">
        <w:rPr>
          <w:rFonts w:ascii="Times New Roman" w:eastAsia="Times New Roman" w:hAnsi="Times New Roman" w:cs="Times New Roman"/>
          <w:szCs w:val="20"/>
        </w:rPr>
        <w:t xml:space="preserve"> This feedback is outlined in Supporting Statement A. </w:t>
      </w:r>
    </w:p>
    <w:p w:rsidR="00FD12FB" w:rsidRPr="00FD12FB" w:rsidRDefault="00FD12FB" w:rsidP="006A06CB">
      <w:pPr>
        <w:pStyle w:val="Heading3"/>
      </w:pPr>
      <w:bookmarkStart w:id="33" w:name="_Toc295224121"/>
      <w:r w:rsidRPr="00FD12FB">
        <w:t xml:space="preserve">Reading level </w:t>
      </w:r>
      <w:bookmarkEnd w:id="33"/>
      <w:r w:rsidR="00257B91">
        <w:t xml:space="preserve">testing </w:t>
      </w:r>
    </w:p>
    <w:p w:rsid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We used Microsoft Word’s reading level tool to test the reading level of the survey questions. The tool uses the Flesch-Kincaid Grade Level Test, a validated and published test that rates text on a U.S. school grade level. We modified the question and instruction wording until they were at a 6</w:t>
      </w:r>
      <w:r w:rsidRPr="00FD12FB">
        <w:rPr>
          <w:rFonts w:ascii="Times New Roman" w:eastAsia="Times New Roman" w:hAnsi="Times New Roman" w:cs="Times New Roman"/>
          <w:szCs w:val="20"/>
          <w:vertAlign w:val="superscript"/>
        </w:rPr>
        <w:t>th</w:t>
      </w:r>
      <w:r w:rsidRPr="00FD12FB">
        <w:rPr>
          <w:rFonts w:ascii="Times New Roman" w:eastAsia="Times New Roman" w:hAnsi="Times New Roman" w:cs="Times New Roman"/>
          <w:szCs w:val="20"/>
        </w:rPr>
        <w:t xml:space="preserve"> grade reading level</w:t>
      </w:r>
      <w:r w:rsidR="00257B91">
        <w:rPr>
          <w:rFonts w:ascii="Times New Roman" w:eastAsia="Times New Roman" w:hAnsi="Times New Roman" w:cs="Times New Roman"/>
          <w:szCs w:val="20"/>
        </w:rPr>
        <w:t xml:space="preserve"> or lower</w:t>
      </w:r>
      <w:r w:rsidRPr="00FD12FB">
        <w:rPr>
          <w:rFonts w:ascii="Times New Roman" w:eastAsia="Times New Roman" w:hAnsi="Times New Roman" w:cs="Times New Roman"/>
          <w:szCs w:val="20"/>
        </w:rPr>
        <w:t>, based on previous research indicating that this is the reading level needed to ensure that the sur</w:t>
      </w:r>
      <w:r w:rsidR="00257B91">
        <w:rPr>
          <w:rFonts w:ascii="Times New Roman" w:eastAsia="Times New Roman" w:hAnsi="Times New Roman" w:cs="Times New Roman"/>
          <w:szCs w:val="20"/>
        </w:rPr>
        <w:t>veys are understandable by the target population</w:t>
      </w:r>
      <w:r w:rsidRPr="00FD12FB">
        <w:rPr>
          <w:rFonts w:ascii="Times New Roman" w:eastAsia="Times New Roman" w:hAnsi="Times New Roman" w:cs="Times New Roman"/>
          <w:szCs w:val="20"/>
        </w:rPr>
        <w:t xml:space="preserve">. </w:t>
      </w:r>
    </w:p>
    <w:p w:rsidR="00257B91" w:rsidRPr="00FD12FB" w:rsidRDefault="00257B91" w:rsidP="00FD12FB">
      <w:pPr>
        <w:spacing w:after="24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The </w:t>
      </w:r>
      <w:r w:rsidRPr="00FD12FB">
        <w:rPr>
          <w:rFonts w:ascii="Times New Roman" w:eastAsia="Times New Roman" w:hAnsi="Times New Roman" w:cs="Times New Roman"/>
          <w:szCs w:val="20"/>
        </w:rPr>
        <w:t>Flesch-Kincaid Grade Level</w:t>
      </w:r>
      <w:r>
        <w:rPr>
          <w:rFonts w:ascii="Times New Roman" w:eastAsia="Times New Roman" w:hAnsi="Times New Roman" w:cs="Times New Roman"/>
          <w:szCs w:val="20"/>
        </w:rPr>
        <w:t xml:space="preserve"> for the final survey submitted for OMB review </w:t>
      </w:r>
      <w:r w:rsidRPr="00683393">
        <w:rPr>
          <w:rFonts w:ascii="Times New Roman" w:eastAsia="Times New Roman" w:hAnsi="Times New Roman" w:cs="Times New Roman"/>
          <w:szCs w:val="20"/>
        </w:rPr>
        <w:t xml:space="preserve">is </w:t>
      </w:r>
      <w:r w:rsidR="00683393" w:rsidRPr="00683393">
        <w:rPr>
          <w:rFonts w:ascii="Times New Roman" w:eastAsia="Times New Roman" w:hAnsi="Times New Roman" w:cs="Times New Roman"/>
          <w:szCs w:val="20"/>
        </w:rPr>
        <w:t>6th</w:t>
      </w:r>
      <w:r w:rsidRPr="00683393">
        <w:rPr>
          <w:rFonts w:ascii="Times New Roman" w:eastAsia="Times New Roman" w:hAnsi="Times New Roman" w:cs="Times New Roman"/>
          <w:szCs w:val="20"/>
        </w:rPr>
        <w:t xml:space="preserve"> grade</w:t>
      </w:r>
      <w:r>
        <w:rPr>
          <w:rFonts w:ascii="Times New Roman" w:eastAsia="Times New Roman" w:hAnsi="Times New Roman" w:cs="Times New Roman"/>
          <w:szCs w:val="20"/>
        </w:rPr>
        <w:t xml:space="preserve">. </w:t>
      </w:r>
    </w:p>
    <w:p w:rsidR="00FD12FB" w:rsidRPr="00FD12FB" w:rsidRDefault="00FD12FB" w:rsidP="006A06CB">
      <w:pPr>
        <w:pStyle w:val="Heading3"/>
      </w:pPr>
      <w:bookmarkStart w:id="34" w:name="_Toc295224122"/>
      <w:r w:rsidRPr="00FD12FB">
        <w:t>Pre-testing</w:t>
      </w:r>
      <w:bookmarkEnd w:id="34"/>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Pre</w:t>
      </w:r>
      <w:r w:rsidR="00D7770F">
        <w:rPr>
          <w:rFonts w:ascii="Times New Roman" w:eastAsia="Times New Roman" w:hAnsi="Times New Roman" w:cs="Times New Roman"/>
          <w:szCs w:val="20"/>
        </w:rPr>
        <w:t>-</w:t>
      </w:r>
      <w:r w:rsidRPr="00FD12FB">
        <w:rPr>
          <w:rFonts w:ascii="Times New Roman" w:eastAsia="Times New Roman" w:hAnsi="Times New Roman" w:cs="Times New Roman"/>
          <w:szCs w:val="20"/>
        </w:rPr>
        <w:t>testing has been completed</w:t>
      </w:r>
      <w:r w:rsidR="00D72545">
        <w:rPr>
          <w:rFonts w:ascii="Times New Roman" w:eastAsia="Times New Roman" w:hAnsi="Times New Roman" w:cs="Times New Roman"/>
          <w:szCs w:val="20"/>
        </w:rPr>
        <w:t xml:space="preserve"> </w:t>
      </w:r>
      <w:r w:rsidR="00683393">
        <w:rPr>
          <w:rFonts w:ascii="Times New Roman" w:eastAsia="Times New Roman" w:hAnsi="Times New Roman" w:cs="Times New Roman"/>
          <w:szCs w:val="20"/>
        </w:rPr>
        <w:t xml:space="preserve">with </w:t>
      </w:r>
      <w:r w:rsidR="00727D46">
        <w:rPr>
          <w:rFonts w:ascii="Times New Roman" w:eastAsia="Times New Roman" w:hAnsi="Times New Roman" w:cs="Times New Roman"/>
          <w:szCs w:val="20"/>
        </w:rPr>
        <w:t>four</w:t>
      </w:r>
      <w:r w:rsidR="002F115F">
        <w:rPr>
          <w:rFonts w:ascii="Times New Roman" w:eastAsia="Times New Roman" w:hAnsi="Times New Roman" w:cs="Times New Roman"/>
          <w:szCs w:val="20"/>
        </w:rPr>
        <w:t xml:space="preserve"> beneficiaries of CB-LTSS and one caregiver</w:t>
      </w:r>
      <w:r w:rsidR="000F4F2E">
        <w:rPr>
          <w:rFonts w:ascii="Times New Roman" w:eastAsia="Times New Roman" w:hAnsi="Times New Roman" w:cs="Times New Roman"/>
          <w:szCs w:val="20"/>
        </w:rPr>
        <w:t>. We did not receive edits to the survey based on pre-testing.</w:t>
      </w:r>
      <w:r w:rsidRPr="00FD12FB">
        <w:rPr>
          <w:rFonts w:ascii="Times New Roman" w:eastAsia="Times New Roman" w:hAnsi="Times New Roman" w:cs="Times New Roman"/>
          <w:szCs w:val="20"/>
        </w:rPr>
        <w:t xml:space="preserve"> </w:t>
      </w:r>
    </w:p>
    <w:p w:rsidR="00FD12FB" w:rsidRPr="00FD12FB" w:rsidRDefault="006A06CB" w:rsidP="006A06CB">
      <w:pPr>
        <w:pStyle w:val="Heading2"/>
      </w:pPr>
      <w:bookmarkStart w:id="35" w:name="_Toc8118902"/>
      <w:bookmarkStart w:id="36" w:name="_Toc81803532"/>
      <w:bookmarkStart w:id="37" w:name="_Toc88301201"/>
      <w:bookmarkStart w:id="38" w:name="_Toc114645276"/>
      <w:bookmarkStart w:id="39" w:name="_Toc176157052"/>
      <w:bookmarkStart w:id="40" w:name="_Toc394924407"/>
      <w:bookmarkStart w:id="41" w:name="_Toc461527615"/>
      <w:r>
        <w:t xml:space="preserve">B5. </w:t>
      </w:r>
      <w:r w:rsidR="00FD12FB" w:rsidRPr="00FD12FB">
        <w:t>Individuals Consulted on Statistical Aspects of Design</w:t>
      </w:r>
      <w:bookmarkEnd w:id="35"/>
      <w:bookmarkEnd w:id="36"/>
      <w:bookmarkEnd w:id="37"/>
      <w:bookmarkEnd w:id="38"/>
      <w:bookmarkEnd w:id="39"/>
      <w:bookmarkEnd w:id="40"/>
      <w:bookmarkEnd w:id="41"/>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 xml:space="preserve">The TEFT evaluation team will administer the PHR User Survey and complete data collection and analysis. CMS has contracted with the Lewin Group to conduct the TEFT evaluation. </w:t>
      </w:r>
      <w:r w:rsidR="00C20B32">
        <w:rPr>
          <w:rFonts w:ascii="Times New Roman" w:eastAsia="Times New Roman" w:hAnsi="Times New Roman" w:cs="Times New Roman"/>
          <w:szCs w:val="20"/>
        </w:rPr>
        <w:t xml:space="preserve">The </w:t>
      </w:r>
      <w:r w:rsidRPr="00FD12FB">
        <w:rPr>
          <w:rFonts w:ascii="Times New Roman" w:eastAsia="Times New Roman" w:hAnsi="Times New Roman" w:cs="Times New Roman"/>
          <w:szCs w:val="20"/>
        </w:rPr>
        <w:t>Lewin</w:t>
      </w:r>
      <w:r w:rsidR="00C20B32">
        <w:rPr>
          <w:rFonts w:ascii="Times New Roman" w:eastAsia="Times New Roman" w:hAnsi="Times New Roman" w:cs="Times New Roman"/>
          <w:szCs w:val="20"/>
        </w:rPr>
        <w:t xml:space="preserve"> Group</w:t>
      </w:r>
      <w:r w:rsidRPr="00FD12FB">
        <w:rPr>
          <w:rFonts w:ascii="Times New Roman" w:eastAsia="Times New Roman" w:hAnsi="Times New Roman" w:cs="Times New Roman"/>
          <w:szCs w:val="20"/>
        </w:rPr>
        <w:t xml:space="preserve"> led the development of the survey and methodology, in partnership with CMS and the TEFT grantees. </w:t>
      </w:r>
      <w:r w:rsidR="00C20B32">
        <w:rPr>
          <w:rFonts w:ascii="Times New Roman" w:eastAsia="Times New Roman" w:hAnsi="Times New Roman" w:cs="Times New Roman"/>
          <w:szCs w:val="20"/>
        </w:rPr>
        <w:t xml:space="preserve">The </w:t>
      </w:r>
      <w:r w:rsidRPr="00FD12FB">
        <w:rPr>
          <w:rFonts w:ascii="Times New Roman" w:eastAsia="Times New Roman" w:hAnsi="Times New Roman" w:cs="Times New Roman"/>
          <w:szCs w:val="20"/>
        </w:rPr>
        <w:t xml:space="preserve">Lewin </w:t>
      </w:r>
      <w:r w:rsidR="00C20B32">
        <w:rPr>
          <w:rFonts w:ascii="Times New Roman" w:eastAsia="Times New Roman" w:hAnsi="Times New Roman" w:cs="Times New Roman"/>
          <w:szCs w:val="20"/>
        </w:rPr>
        <w:t xml:space="preserve">Group </w:t>
      </w:r>
      <w:r w:rsidRPr="00FD12FB">
        <w:rPr>
          <w:rFonts w:ascii="Times New Roman" w:eastAsia="Times New Roman" w:hAnsi="Times New Roman" w:cs="Times New Roman"/>
          <w:szCs w:val="20"/>
        </w:rPr>
        <w:t>will be responsible for survey</w:t>
      </w:r>
      <w:r w:rsidR="000D408C">
        <w:rPr>
          <w:rFonts w:ascii="Times New Roman" w:eastAsia="Times New Roman" w:hAnsi="Times New Roman" w:cs="Times New Roman"/>
          <w:szCs w:val="20"/>
        </w:rPr>
        <w:t xml:space="preserve"> oversight,</w:t>
      </w:r>
      <w:r w:rsidRPr="00FD12FB">
        <w:rPr>
          <w:rFonts w:ascii="Times New Roman" w:eastAsia="Times New Roman" w:hAnsi="Times New Roman" w:cs="Times New Roman"/>
          <w:szCs w:val="20"/>
        </w:rPr>
        <w:t xml:space="preserve"> data collection and analysis. </w:t>
      </w:r>
    </w:p>
    <w:p w:rsidR="00FD12FB" w:rsidRPr="00FD12FB" w:rsidRDefault="00FD12FB" w:rsidP="00FD12FB">
      <w:pPr>
        <w:spacing w:after="240" w:line="240" w:lineRule="auto"/>
        <w:rPr>
          <w:rFonts w:ascii="Times New Roman" w:eastAsia="Times New Roman" w:hAnsi="Times New Roman" w:cs="Times New Roman"/>
          <w:szCs w:val="20"/>
        </w:rPr>
      </w:pPr>
      <w:r w:rsidRPr="00FD12FB">
        <w:rPr>
          <w:rFonts w:ascii="Times New Roman" w:eastAsia="Times New Roman" w:hAnsi="Times New Roman" w:cs="Times New Roman"/>
          <w:szCs w:val="20"/>
        </w:rPr>
        <w:t>The investigators chosen by CMS to conduct this study include the following individuals:</w:t>
      </w:r>
    </w:p>
    <w:p w:rsidR="00FD12FB" w:rsidRPr="00FD12FB" w:rsidRDefault="00FD12FB" w:rsidP="00FD12FB">
      <w:pPr>
        <w:numPr>
          <w:ilvl w:val="0"/>
          <w:numId w:val="5"/>
        </w:numPr>
        <w:spacing w:after="120" w:line="240" w:lineRule="auto"/>
        <w:rPr>
          <w:rFonts w:ascii="Times New Roman" w:eastAsia="Times New Roman" w:hAnsi="Times New Roman" w:cs="Times New Roman"/>
          <w:spacing w:val="-2"/>
          <w:sz w:val="24"/>
        </w:rPr>
      </w:pPr>
      <w:r w:rsidRPr="00FD12FB">
        <w:rPr>
          <w:rFonts w:ascii="Times New Roman" w:eastAsia="Times New Roman" w:hAnsi="Times New Roman" w:cs="Times New Roman"/>
          <w:spacing w:val="-2"/>
          <w:sz w:val="24"/>
        </w:rPr>
        <w:t>Cindy Gruman, Vice President, The Lewin Group, 703-269-5506, Project Director</w:t>
      </w:r>
    </w:p>
    <w:p w:rsidR="00177FDA" w:rsidRPr="00FD12FB" w:rsidRDefault="00177FDA" w:rsidP="00177FDA">
      <w:pPr>
        <w:numPr>
          <w:ilvl w:val="0"/>
          <w:numId w:val="5"/>
        </w:numPr>
        <w:spacing w:after="120" w:line="240" w:lineRule="auto"/>
        <w:rPr>
          <w:rFonts w:ascii="Times New Roman" w:eastAsia="Times New Roman" w:hAnsi="Times New Roman" w:cs="Times New Roman"/>
          <w:spacing w:val="-2"/>
          <w:sz w:val="24"/>
        </w:rPr>
      </w:pPr>
      <w:r w:rsidRPr="00FD12FB">
        <w:rPr>
          <w:rFonts w:ascii="Times New Roman" w:eastAsia="Times New Roman" w:hAnsi="Times New Roman" w:cs="Times New Roman"/>
          <w:spacing w:val="-2"/>
          <w:sz w:val="24"/>
        </w:rPr>
        <w:t>Cara Campbell, Senior Consultant, The Lewin Group, 703-269-5753</w:t>
      </w:r>
    </w:p>
    <w:p w:rsidR="00FD12FB" w:rsidRPr="00FD12FB" w:rsidRDefault="00FD12FB" w:rsidP="00FD12FB">
      <w:pPr>
        <w:numPr>
          <w:ilvl w:val="0"/>
          <w:numId w:val="5"/>
        </w:numPr>
        <w:spacing w:after="120" w:line="240" w:lineRule="auto"/>
        <w:rPr>
          <w:rFonts w:ascii="Times New Roman" w:eastAsia="Times New Roman" w:hAnsi="Times New Roman" w:cs="Times New Roman"/>
          <w:spacing w:val="-2"/>
          <w:sz w:val="24"/>
        </w:rPr>
      </w:pPr>
      <w:r w:rsidRPr="00FD12FB">
        <w:rPr>
          <w:rFonts w:ascii="Times New Roman" w:eastAsia="Times New Roman" w:hAnsi="Times New Roman" w:cs="Times New Roman"/>
          <w:spacing w:val="-2"/>
          <w:sz w:val="24"/>
        </w:rPr>
        <w:t xml:space="preserve">Ashley Tomisek, </w:t>
      </w:r>
      <w:r w:rsidR="002860D6">
        <w:rPr>
          <w:rFonts w:ascii="Times New Roman" w:eastAsia="Times New Roman" w:hAnsi="Times New Roman" w:cs="Times New Roman"/>
          <w:spacing w:val="-2"/>
          <w:sz w:val="24"/>
        </w:rPr>
        <w:t xml:space="preserve">Senior </w:t>
      </w:r>
      <w:r w:rsidRPr="00FD12FB">
        <w:rPr>
          <w:rFonts w:ascii="Times New Roman" w:eastAsia="Times New Roman" w:hAnsi="Times New Roman" w:cs="Times New Roman"/>
          <w:spacing w:val="-2"/>
          <w:sz w:val="24"/>
        </w:rPr>
        <w:t>Consultant, The Lewin Group, 703-269-5632</w:t>
      </w:r>
    </w:p>
    <w:p w:rsidR="00FD12FB" w:rsidRDefault="00FD12FB" w:rsidP="00CE50BE">
      <w:pPr>
        <w:numPr>
          <w:ilvl w:val="0"/>
          <w:numId w:val="5"/>
        </w:numPr>
        <w:spacing w:after="120" w:line="240" w:lineRule="auto"/>
        <w:rPr>
          <w:rFonts w:ascii="Times New Roman" w:eastAsia="Times New Roman" w:hAnsi="Times New Roman" w:cs="Times New Roman"/>
          <w:spacing w:val="-2"/>
          <w:sz w:val="24"/>
        </w:rPr>
      </w:pPr>
      <w:r w:rsidRPr="00FD12FB">
        <w:rPr>
          <w:rFonts w:ascii="Times New Roman" w:eastAsia="Times New Roman" w:hAnsi="Times New Roman" w:cs="Times New Roman"/>
          <w:spacing w:val="-2"/>
          <w:sz w:val="24"/>
        </w:rPr>
        <w:t>Kathleen Tucker, Consultant, The Lewin Group, 703-269-5752</w:t>
      </w:r>
    </w:p>
    <w:p w:rsidR="00C20B32" w:rsidRDefault="00C20B32" w:rsidP="00CE50BE">
      <w:pPr>
        <w:numPr>
          <w:ilvl w:val="0"/>
          <w:numId w:val="5"/>
        </w:numPr>
        <w:spacing w:after="12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Chandler Gray, Senior Research Analyst, The Lewin Group, 703-269-5954</w:t>
      </w:r>
    </w:p>
    <w:p w:rsidR="00C20B32" w:rsidRPr="00D333F7" w:rsidRDefault="00C20B32" w:rsidP="00CE50BE">
      <w:pPr>
        <w:numPr>
          <w:ilvl w:val="0"/>
          <w:numId w:val="5"/>
        </w:numPr>
        <w:spacing w:after="120" w:line="240" w:lineRule="auto"/>
        <w:rPr>
          <w:rFonts w:ascii="Times New Roman" w:eastAsia="Times New Roman" w:hAnsi="Times New Roman" w:cs="Times New Roman"/>
          <w:spacing w:val="-2"/>
          <w:sz w:val="24"/>
        </w:rPr>
      </w:pPr>
      <w:r>
        <w:rPr>
          <w:rFonts w:ascii="Times New Roman" w:eastAsia="Times New Roman" w:hAnsi="Times New Roman" w:cs="Times New Roman"/>
          <w:spacing w:val="-2"/>
          <w:sz w:val="24"/>
        </w:rPr>
        <w:t>Reegan Whipple, Senior Research Analyst, The Lewin Group, 703-269-6052</w:t>
      </w:r>
    </w:p>
    <w:p w:rsidR="00FD12FB" w:rsidRPr="00FD12FB" w:rsidRDefault="00FD12FB" w:rsidP="00D333F7">
      <w:pPr>
        <w:widowControl w:val="0"/>
        <w:autoSpaceDE w:val="0"/>
        <w:autoSpaceDN w:val="0"/>
        <w:adjustRightInd w:val="0"/>
        <w:rPr>
          <w:rFonts w:ascii="Times New Roman" w:eastAsia="Calibri" w:hAnsi="Times New Roman" w:cs="Times New Roman"/>
        </w:rPr>
      </w:pPr>
      <w:r w:rsidRPr="00FD12FB">
        <w:rPr>
          <w:rFonts w:ascii="Times New Roman" w:eastAsia="Calibri" w:hAnsi="Times New Roman" w:cs="Times New Roman"/>
        </w:rPr>
        <w:t>The CMS task order officers for this study are:</w:t>
      </w:r>
    </w:p>
    <w:p w:rsidR="00FD12FB" w:rsidRPr="00FD12FB" w:rsidRDefault="00FD12FB" w:rsidP="00FD12FB">
      <w:pPr>
        <w:numPr>
          <w:ilvl w:val="0"/>
          <w:numId w:val="6"/>
        </w:numPr>
        <w:spacing w:after="120" w:line="240" w:lineRule="auto"/>
        <w:rPr>
          <w:rFonts w:ascii="Times New Roman" w:eastAsia="Calibri" w:hAnsi="Times New Roman" w:cs="Times New Roman"/>
          <w:spacing w:val="-2"/>
        </w:rPr>
      </w:pPr>
      <w:r w:rsidRPr="00FD12FB">
        <w:rPr>
          <w:rFonts w:ascii="Times New Roman" w:eastAsia="Calibri" w:hAnsi="Times New Roman" w:cs="Times New Roman"/>
          <w:spacing w:val="-2"/>
        </w:rPr>
        <w:t xml:space="preserve">Kerry Lida, PhD, Health Insurance Specialist &amp; Excellence in Government Senior Fellow, Disabled and Elderly Health Programs Group, Division of Community Systems Transformation, Centers for Medicare </w:t>
      </w:r>
      <w:r w:rsidR="00BF12E0">
        <w:rPr>
          <w:rFonts w:ascii="Times New Roman" w:eastAsia="Calibri" w:hAnsi="Times New Roman" w:cs="Times New Roman"/>
          <w:spacing w:val="-2"/>
        </w:rPr>
        <w:t>&amp;</w:t>
      </w:r>
      <w:r w:rsidR="00BF12E0" w:rsidRPr="00FD12FB">
        <w:rPr>
          <w:rFonts w:ascii="Times New Roman" w:eastAsia="Calibri" w:hAnsi="Times New Roman" w:cs="Times New Roman"/>
          <w:spacing w:val="-2"/>
        </w:rPr>
        <w:t xml:space="preserve"> </w:t>
      </w:r>
      <w:r w:rsidRPr="00FD12FB">
        <w:rPr>
          <w:rFonts w:ascii="Times New Roman" w:eastAsia="Calibri" w:hAnsi="Times New Roman" w:cs="Times New Roman"/>
          <w:spacing w:val="-2"/>
        </w:rPr>
        <w:t xml:space="preserve">Medicaid Services, Phone: 410-786-4826; 202-904-0950, Email:  </w:t>
      </w:r>
      <w:hyperlink r:id="rId8" w:history="1">
        <w:r w:rsidRPr="00124217">
          <w:rPr>
            <w:rStyle w:val="Hyperlink"/>
            <w:rFonts w:ascii="Times New Roman" w:hAnsi="Times New Roman" w:cs="Times New Roman"/>
          </w:rPr>
          <w:t>Kerry.Lida@cms.hhs.gov</w:t>
        </w:r>
      </w:hyperlink>
    </w:p>
    <w:p w:rsidR="00FD12FB" w:rsidRPr="00FD12FB" w:rsidRDefault="00FD12FB" w:rsidP="00FD12FB">
      <w:pPr>
        <w:numPr>
          <w:ilvl w:val="0"/>
          <w:numId w:val="6"/>
        </w:numPr>
        <w:spacing w:after="120" w:line="240" w:lineRule="auto"/>
        <w:rPr>
          <w:rFonts w:ascii="Times New Roman" w:eastAsia="Calibri" w:hAnsi="Times New Roman" w:cs="Times New Roman"/>
          <w:spacing w:val="-2"/>
        </w:rPr>
      </w:pPr>
      <w:r w:rsidRPr="00FD12FB">
        <w:rPr>
          <w:rFonts w:ascii="Times New Roman" w:eastAsia="Calibri" w:hAnsi="Times New Roman" w:cs="Times New Roman"/>
          <w:spacing w:val="-2"/>
        </w:rPr>
        <w:t>Barbara Holt, PhD, Health Insurance Specialist, Division of Community Systems Transformation, Disabled &amp; Elderly Health Programs Group, Centers for Medicare &amp; Medicaid Services, Phone: 410</w:t>
      </w:r>
      <w:r w:rsidR="00BF12E0">
        <w:rPr>
          <w:rFonts w:ascii="Times New Roman" w:eastAsia="Calibri" w:hAnsi="Times New Roman" w:cs="Times New Roman"/>
          <w:spacing w:val="-2"/>
        </w:rPr>
        <w:t>-</w:t>
      </w:r>
      <w:r w:rsidRPr="00FD12FB">
        <w:rPr>
          <w:rFonts w:ascii="Times New Roman" w:eastAsia="Calibri" w:hAnsi="Times New Roman" w:cs="Times New Roman"/>
          <w:spacing w:val="-2"/>
        </w:rPr>
        <w:t>786-2079, Email:</w:t>
      </w:r>
      <w:hyperlink r:id="rId9" w:history="1">
        <w:r w:rsidRPr="00124217">
          <w:rPr>
            <w:rStyle w:val="Hyperlink"/>
            <w:rFonts w:ascii="Times New Roman" w:hAnsi="Times New Roman" w:cs="Times New Roman"/>
          </w:rPr>
          <w:t>Barbara.Holt@cms.hhs.gov</w:t>
        </w:r>
      </w:hyperlink>
    </w:p>
    <w:p w:rsidR="00AB7D05" w:rsidRPr="007B7C6A" w:rsidRDefault="00FD12FB" w:rsidP="007B7C6A">
      <w:pPr>
        <w:numPr>
          <w:ilvl w:val="0"/>
          <w:numId w:val="6"/>
        </w:numPr>
        <w:spacing w:after="120" w:line="240" w:lineRule="auto"/>
        <w:rPr>
          <w:rFonts w:ascii="Times New Roman" w:eastAsia="Calibri" w:hAnsi="Times New Roman" w:cs="Times New Roman"/>
          <w:spacing w:val="-2"/>
        </w:rPr>
      </w:pPr>
      <w:r w:rsidRPr="00FD12FB">
        <w:rPr>
          <w:rFonts w:ascii="Times New Roman" w:eastAsia="Calibri" w:hAnsi="Times New Roman" w:cs="Times New Roman"/>
          <w:spacing w:val="-2"/>
        </w:rPr>
        <w:t xml:space="preserve">Allison Lynn Weaver, MPH FAC-COR III LADC, Division of Community Systems Transformation, Center for Medicaid &amp; CHIP Services (CMCS), Centers for Medicare &amp; Medicaid Services, Phone: 410-786-4924, Email: </w:t>
      </w:r>
      <w:hyperlink r:id="rId10" w:history="1">
        <w:r w:rsidR="00BF12E0" w:rsidRPr="00124217">
          <w:rPr>
            <w:rStyle w:val="Hyperlink"/>
            <w:rFonts w:ascii="Times New Roman" w:hAnsi="Times New Roman" w:cs="Times New Roman"/>
          </w:rPr>
          <w:t>Allison.Weaver@cms.hhs.gov</w:t>
        </w:r>
      </w:hyperlink>
      <w:r w:rsidR="00BF12E0">
        <w:rPr>
          <w:rFonts w:ascii="Times New Roman" w:eastAsia="Calibri" w:hAnsi="Times New Roman" w:cs="Times New Roman"/>
          <w:spacing w:val="-2"/>
        </w:rPr>
        <w:t xml:space="preserve"> </w:t>
      </w:r>
    </w:p>
    <w:sectPr w:rsidR="00AB7D05" w:rsidRPr="007B7C6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FE9" w:rsidRDefault="00C57FE9" w:rsidP="00FD12FB">
      <w:pPr>
        <w:spacing w:after="0" w:line="240" w:lineRule="auto"/>
      </w:pPr>
      <w:r>
        <w:separator/>
      </w:r>
    </w:p>
  </w:endnote>
  <w:endnote w:type="continuationSeparator" w:id="0">
    <w:p w:rsidR="00C57FE9" w:rsidRDefault="00C57FE9" w:rsidP="00FD1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2FB" w:rsidRPr="00997008" w:rsidRDefault="00FD12FB" w:rsidP="00124217">
    <w:pPr>
      <w:pStyle w:val="TOCHeading"/>
    </w:pPr>
    <w:r w:rsidRPr="00997008">
      <w:ptab w:relativeTo="margin" w:alignment="right" w:leader="none"/>
    </w:r>
    <w:r w:rsidRPr="00997008">
      <w:t xml:space="preserve">Page </w:t>
    </w:r>
    <w:r w:rsidRPr="00997008">
      <w:rPr>
        <w:rFonts w:asciiTheme="minorHAnsi" w:eastAsiaTheme="minorEastAsia" w:hAnsiTheme="minorHAnsi" w:cstheme="minorBidi"/>
      </w:rPr>
      <w:fldChar w:fldCharType="begin"/>
    </w:r>
    <w:r w:rsidRPr="00997008">
      <w:instrText xml:space="preserve"> PAGE   \* MERGEFORMAT </w:instrText>
    </w:r>
    <w:r w:rsidRPr="00997008">
      <w:rPr>
        <w:rFonts w:asciiTheme="minorHAnsi" w:eastAsiaTheme="minorEastAsia" w:hAnsiTheme="minorHAnsi" w:cstheme="minorBidi"/>
      </w:rPr>
      <w:fldChar w:fldCharType="separate"/>
    </w:r>
    <w:r w:rsidR="00D032F5">
      <w:rPr>
        <w:noProof/>
      </w:rPr>
      <w:t>1</w:t>
    </w:r>
    <w:r w:rsidRPr="00997008">
      <w:rPr>
        <w:noProof/>
      </w:rPr>
      <w:fldChar w:fldCharType="end"/>
    </w:r>
  </w:p>
  <w:p w:rsidR="00FD12FB" w:rsidRPr="00FD12FB" w:rsidRDefault="00FD12FB" w:rsidP="00FD12FB">
    <w:pPr>
      <w:pStyle w:val="Footer"/>
      <w:rPr>
        <w:rFonts w:ascii="Book Antiqua" w:hAnsi="Book Antiqua"/>
        <w:i/>
      </w:rPr>
    </w:pPr>
    <w:r w:rsidRPr="00FD12FB">
      <w:rPr>
        <w:rFonts w:ascii="Book Antiqua" w:hAnsi="Book Antiqua"/>
        <w:i/>
      </w:rPr>
      <w:t xml:space="preserve">Updated </w:t>
    </w:r>
    <w:r w:rsidR="00DC472B">
      <w:rPr>
        <w:rFonts w:ascii="Book Antiqua" w:hAnsi="Book Antiqua"/>
        <w:i/>
      </w:rPr>
      <w:t>9/6</w:t>
    </w:r>
    <w:r w:rsidRPr="00FD12FB">
      <w:rPr>
        <w:rFonts w:ascii="Book Antiqua" w:hAnsi="Book Antiqua"/>
        <w:i/>
      </w:rPr>
      <w:t>/2016</w:t>
    </w:r>
  </w:p>
  <w:p w:rsidR="00FD12FB" w:rsidRDefault="00FD1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FE9" w:rsidRDefault="00C57FE9" w:rsidP="00FD12FB">
      <w:pPr>
        <w:spacing w:after="0" w:line="240" w:lineRule="auto"/>
      </w:pPr>
      <w:r>
        <w:separator/>
      </w:r>
    </w:p>
  </w:footnote>
  <w:footnote w:type="continuationSeparator" w:id="0">
    <w:p w:rsidR="00C57FE9" w:rsidRDefault="00C57FE9" w:rsidP="00FD12FB">
      <w:pPr>
        <w:spacing w:after="0" w:line="240" w:lineRule="auto"/>
      </w:pPr>
      <w:r>
        <w:continuationSeparator/>
      </w:r>
    </w:p>
  </w:footnote>
  <w:footnote w:id="1">
    <w:p w:rsidR="00E009D8" w:rsidRPr="00E009D8" w:rsidRDefault="00E009D8">
      <w:pPr>
        <w:pStyle w:val="FootnoteText"/>
        <w:rPr>
          <w:rFonts w:ascii="Times New Roman" w:hAnsi="Times New Roman" w:cs="Times New Roman"/>
        </w:rPr>
      </w:pPr>
      <w:r>
        <w:rPr>
          <w:rStyle w:val="FootnoteReference"/>
        </w:rPr>
        <w:footnoteRef/>
      </w:r>
      <w:r>
        <w:t xml:space="preserve"> </w:t>
      </w:r>
      <w:r w:rsidRPr="00FD12FB">
        <w:rPr>
          <w:rFonts w:ascii="Times New Roman" w:eastAsia="Times New Roman" w:hAnsi="Times New Roman" w:cs="Times New Roman"/>
        </w:rPr>
        <w:t xml:space="preserve">As Kentucky </w:t>
      </w:r>
      <w:r w:rsidR="00CE50BE">
        <w:rPr>
          <w:rFonts w:ascii="Times New Roman" w:eastAsia="Times New Roman" w:hAnsi="Times New Roman" w:cs="Times New Roman"/>
        </w:rPr>
        <w:t>is planning to offer</w:t>
      </w:r>
      <w:r w:rsidRPr="00FD12FB">
        <w:rPr>
          <w:rFonts w:ascii="Times New Roman" w:eastAsia="Times New Roman" w:hAnsi="Times New Roman" w:cs="Times New Roman"/>
        </w:rPr>
        <w:t xml:space="preserve"> the PHR option to </w:t>
      </w:r>
      <w:r w:rsidR="00D91631">
        <w:rPr>
          <w:rFonts w:ascii="Times New Roman" w:eastAsia="Times New Roman" w:hAnsi="Times New Roman" w:cs="Times New Roman"/>
        </w:rPr>
        <w:t>the universe of</w:t>
      </w:r>
      <w:r w:rsidRPr="00FD12FB">
        <w:rPr>
          <w:rFonts w:ascii="Times New Roman" w:eastAsia="Times New Roman" w:hAnsi="Times New Roman" w:cs="Times New Roman"/>
        </w:rPr>
        <w:t xml:space="preserve"> Medicaid beneficiaries, CMS will</w:t>
      </w:r>
      <w:r w:rsidR="00D91631">
        <w:rPr>
          <w:rFonts w:ascii="Times New Roman" w:eastAsia="Times New Roman" w:hAnsi="Times New Roman" w:cs="Times New Roman"/>
        </w:rPr>
        <w:t xml:space="preserve"> work with the state </w:t>
      </w:r>
      <w:r w:rsidR="003128DF">
        <w:rPr>
          <w:rFonts w:ascii="Times New Roman" w:eastAsia="Times New Roman" w:hAnsi="Times New Roman" w:cs="Times New Roman"/>
        </w:rPr>
        <w:t xml:space="preserve">to identify </w:t>
      </w:r>
      <w:r w:rsidRPr="00E009D8">
        <w:rPr>
          <w:rFonts w:ascii="Times New Roman" w:eastAsia="Times New Roman" w:hAnsi="Times New Roman" w:cs="Times New Roman"/>
        </w:rPr>
        <w:t xml:space="preserve">a </w:t>
      </w:r>
      <w:r w:rsidR="00D91631">
        <w:rPr>
          <w:rFonts w:ascii="Times New Roman" w:eastAsia="Times New Roman" w:hAnsi="Times New Roman" w:cs="Times New Roman"/>
        </w:rPr>
        <w:t xml:space="preserve">random </w:t>
      </w:r>
      <w:r w:rsidR="003128DF">
        <w:rPr>
          <w:rFonts w:ascii="Times New Roman" w:eastAsia="Times New Roman" w:hAnsi="Times New Roman" w:cs="Times New Roman"/>
        </w:rPr>
        <w:t>sample of 25</w:t>
      </w:r>
      <w:r w:rsidRPr="00E009D8">
        <w:rPr>
          <w:rFonts w:ascii="Times New Roman" w:eastAsia="Times New Roman" w:hAnsi="Times New Roman" w:cs="Times New Roman"/>
        </w:rPr>
        <w:t xml:space="preserve">0 PHR users </w:t>
      </w:r>
      <w:r w:rsidR="003128DF">
        <w:rPr>
          <w:rFonts w:ascii="Times New Roman" w:eastAsia="Times New Roman" w:hAnsi="Times New Roman" w:cs="Times New Roman"/>
        </w:rPr>
        <w:t>who are</w:t>
      </w:r>
      <w:r w:rsidRPr="00E009D8">
        <w:rPr>
          <w:rFonts w:ascii="Times New Roman" w:eastAsia="Times New Roman" w:hAnsi="Times New Roman" w:cs="Times New Roman"/>
        </w:rPr>
        <w:t xml:space="preserve"> CB-LTSS beneficiaries for the survey.</w:t>
      </w:r>
    </w:p>
  </w:footnote>
  <w:footnote w:id="2">
    <w:p w:rsidR="003826AF" w:rsidRPr="003128DF" w:rsidRDefault="003826AF">
      <w:pPr>
        <w:pStyle w:val="FootnoteText"/>
        <w:rPr>
          <w:rFonts w:ascii="Times New Roman" w:hAnsi="Times New Roman" w:cs="Times New Roman"/>
        </w:rPr>
      </w:pPr>
      <w:r w:rsidRPr="003128DF">
        <w:rPr>
          <w:rStyle w:val="FootnoteReference"/>
          <w:rFonts w:ascii="Times New Roman" w:hAnsi="Times New Roman" w:cs="Times New Roman"/>
        </w:rPr>
        <w:footnoteRef/>
      </w:r>
      <w:r w:rsidRPr="003128DF">
        <w:rPr>
          <w:rFonts w:ascii="Times New Roman" w:hAnsi="Times New Roman" w:cs="Times New Roman"/>
        </w:rPr>
        <w:t xml:space="preserve"> </w:t>
      </w:r>
      <w:r>
        <w:rPr>
          <w:rFonts w:ascii="Times New Roman" w:hAnsi="Times New Roman" w:cs="Times New Roman"/>
        </w:rPr>
        <w:t xml:space="preserve">CMS plans to survey the universe of PHR users in states up to 250 individuals. Where a state is implementing the TEFT PHR among a population of larger than 250 individuals, </w:t>
      </w:r>
      <w:r w:rsidR="00D80C60">
        <w:rPr>
          <w:rFonts w:ascii="Times New Roman" w:hAnsi="Times New Roman" w:cs="Times New Roman"/>
        </w:rPr>
        <w:t xml:space="preserve">states will take a random sample of 250 PHR users to survey. </w:t>
      </w:r>
    </w:p>
  </w:footnote>
  <w:footnote w:id="3">
    <w:p w:rsidR="001817BD" w:rsidRPr="001817BD" w:rsidRDefault="001817BD" w:rsidP="001817BD">
      <w:pPr>
        <w:spacing w:after="0" w:line="240" w:lineRule="auto"/>
        <w:rPr>
          <w:sz w:val="20"/>
          <w:szCs w:val="20"/>
        </w:rPr>
      </w:pPr>
      <w:r>
        <w:rPr>
          <w:rStyle w:val="FootnoteReference"/>
        </w:rPr>
        <w:footnoteRef/>
      </w:r>
      <w:r>
        <w:t xml:space="preserve"> </w:t>
      </w:r>
      <w:r>
        <w:rPr>
          <w:rFonts w:ascii="Times New Roman" w:hAnsi="Times New Roman" w:cs="Times New Roman"/>
          <w:sz w:val="20"/>
          <w:szCs w:val="20"/>
        </w:rPr>
        <w:t>M</w:t>
      </w:r>
      <w:r w:rsidR="00AC4143">
        <w:rPr>
          <w:rFonts w:ascii="Times New Roman" w:hAnsi="Times New Roman" w:cs="Times New Roman"/>
          <w:sz w:val="20"/>
          <w:szCs w:val="20"/>
        </w:rPr>
        <w:t>aryland</w:t>
      </w:r>
      <w:r>
        <w:rPr>
          <w:rFonts w:ascii="Times New Roman" w:hAnsi="Times New Roman" w:cs="Times New Roman"/>
          <w:sz w:val="20"/>
          <w:szCs w:val="20"/>
        </w:rPr>
        <w:t>’s</w:t>
      </w:r>
      <w:r w:rsidRPr="001817BD">
        <w:rPr>
          <w:rFonts w:ascii="Times New Roman" w:hAnsi="Times New Roman" w:cs="Times New Roman"/>
          <w:sz w:val="20"/>
          <w:szCs w:val="20"/>
        </w:rPr>
        <w:t xml:space="preserve"> overall target for the PHR is the total of 10</w:t>
      </w:r>
      <w:r w:rsidR="00AC4143">
        <w:rPr>
          <w:rFonts w:ascii="Times New Roman" w:hAnsi="Times New Roman" w:cs="Times New Roman"/>
          <w:sz w:val="20"/>
          <w:szCs w:val="20"/>
        </w:rPr>
        <w:t xml:space="preserve">,000 people in the population. </w:t>
      </w:r>
      <w:r w:rsidRPr="001817BD">
        <w:rPr>
          <w:rFonts w:ascii="Times New Roman" w:hAnsi="Times New Roman" w:cs="Times New Roman"/>
          <w:sz w:val="20"/>
          <w:szCs w:val="20"/>
        </w:rPr>
        <w:t xml:space="preserve">However, the target for the Pilot to test the tool is </w:t>
      </w:r>
      <w:r>
        <w:rPr>
          <w:rFonts w:ascii="Times New Roman" w:hAnsi="Times New Roman" w:cs="Times New Roman"/>
          <w:sz w:val="20"/>
          <w:szCs w:val="20"/>
        </w:rPr>
        <w:t>approximately</w:t>
      </w:r>
      <w:r w:rsidRPr="001817BD">
        <w:rPr>
          <w:rFonts w:ascii="Times New Roman" w:hAnsi="Times New Roman" w:cs="Times New Roman"/>
          <w:sz w:val="20"/>
          <w:szCs w:val="20"/>
        </w:rPr>
        <w:t xml:space="preserve"> </w:t>
      </w:r>
      <w:r w:rsidR="0094139E">
        <w:rPr>
          <w:rFonts w:ascii="Times New Roman" w:hAnsi="Times New Roman" w:cs="Times New Roman"/>
          <w:sz w:val="20"/>
          <w:szCs w:val="20"/>
        </w:rPr>
        <w:t>20</w:t>
      </w:r>
      <w:r w:rsidRPr="001817BD">
        <w:rPr>
          <w:rFonts w:ascii="Times New Roman" w:hAnsi="Times New Roman" w:cs="Times New Roman"/>
          <w:sz w:val="20"/>
          <w:szCs w:val="20"/>
        </w:rPr>
        <w:t xml:space="preserve"> people</w:t>
      </w:r>
      <w:r>
        <w:rPr>
          <w:rFonts w:ascii="Times New Roman" w:hAnsi="Times New Roman" w:cs="Times New Roman"/>
          <w:sz w:val="20"/>
          <w:szCs w:val="20"/>
        </w:rPr>
        <w:t>.</w:t>
      </w:r>
      <w:r w:rsidR="00674350">
        <w:rPr>
          <w:rFonts w:ascii="Times New Roman" w:hAnsi="Times New Roman" w:cs="Times New Roman"/>
          <w:sz w:val="20"/>
          <w:szCs w:val="20"/>
        </w:rPr>
        <w:t xml:space="preserve"> CMS is assuming the highest amount in this range. </w:t>
      </w:r>
    </w:p>
  </w:footnote>
  <w:footnote w:id="4">
    <w:p w:rsidR="001817BD" w:rsidRDefault="001817BD">
      <w:pPr>
        <w:pStyle w:val="FootnoteText"/>
      </w:pPr>
      <w:r>
        <w:rPr>
          <w:rStyle w:val="FootnoteReference"/>
        </w:rPr>
        <w:footnoteRef/>
      </w:r>
      <w:r>
        <w:t xml:space="preserve"> </w:t>
      </w:r>
      <w:r w:rsidRPr="001817BD">
        <w:rPr>
          <w:rFonts w:ascii="Times New Roman" w:hAnsi="Times New Roman" w:cs="Times New Roman"/>
        </w:rPr>
        <w:t>M</w:t>
      </w:r>
      <w:r w:rsidR="00AC4143">
        <w:rPr>
          <w:rFonts w:ascii="Times New Roman" w:hAnsi="Times New Roman" w:cs="Times New Roman"/>
        </w:rPr>
        <w:t>innesota</w:t>
      </w:r>
      <w:r w:rsidRPr="001817BD">
        <w:rPr>
          <w:rFonts w:ascii="Times New Roman" w:hAnsi="Times New Roman" w:cs="Times New Roman"/>
        </w:rPr>
        <w:t xml:space="preserve"> plans on up to </w:t>
      </w:r>
      <w:r w:rsidR="00DC472B">
        <w:rPr>
          <w:rFonts w:ascii="Times New Roman" w:hAnsi="Times New Roman" w:cs="Times New Roman"/>
        </w:rPr>
        <w:t>2</w:t>
      </w:r>
      <w:r w:rsidRPr="001817BD">
        <w:rPr>
          <w:rFonts w:ascii="Times New Roman" w:hAnsi="Times New Roman" w:cs="Times New Roman"/>
        </w:rPr>
        <w:t>0 users to pilot test their PHR during the TEFT Demonstration. CMS is assuming the hig</w:t>
      </w:r>
      <w:r w:rsidR="00674350">
        <w:rPr>
          <w:rFonts w:ascii="Times New Roman" w:hAnsi="Times New Roman" w:cs="Times New Roman"/>
        </w:rPr>
        <w:t>hest amount in this</w:t>
      </w:r>
      <w:r w:rsidRPr="001817BD">
        <w:rPr>
          <w:rFonts w:ascii="Times New Roman" w:hAnsi="Times New Roman" w:cs="Times New Roman"/>
        </w:rPr>
        <w:t xml:space="preserve"> range.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2FB" w:rsidRPr="00454A94" w:rsidRDefault="00FD12FB" w:rsidP="00FD12FB">
    <w:pPr>
      <w:pStyle w:val="Header"/>
      <w:rPr>
        <w:rFonts w:ascii="Book Antiqua" w:hAnsi="Book Antiqua"/>
        <w:i/>
        <w:sz w:val="20"/>
        <w:szCs w:val="20"/>
      </w:rPr>
    </w:pPr>
    <w:r w:rsidRPr="00454A94">
      <w:rPr>
        <w:rFonts w:ascii="Book Antiqua" w:hAnsi="Book Antiqua"/>
        <w:i/>
        <w:sz w:val="20"/>
        <w:szCs w:val="20"/>
      </w:rPr>
      <w:t>OMB Package Supporting Statement</w:t>
    </w:r>
    <w:r>
      <w:rPr>
        <w:rFonts w:ascii="Book Antiqua" w:hAnsi="Book Antiqua"/>
        <w:i/>
        <w:sz w:val="20"/>
        <w:szCs w:val="20"/>
      </w:rPr>
      <w:t xml:space="preserve"> B</w:t>
    </w:r>
    <w:r w:rsidRPr="00454A94">
      <w:rPr>
        <w:rFonts w:ascii="Book Antiqua" w:hAnsi="Book Antiqua"/>
        <w:i/>
        <w:sz w:val="20"/>
        <w:szCs w:val="20"/>
      </w:rPr>
      <w:tab/>
    </w:r>
    <w:r>
      <w:rPr>
        <w:rFonts w:ascii="Book Antiqua" w:hAnsi="Book Antiqua"/>
        <w:i/>
        <w:sz w:val="20"/>
      </w:rPr>
      <w:tab/>
    </w:r>
  </w:p>
  <w:p w:rsidR="00FD12FB" w:rsidRPr="00FD12FB" w:rsidRDefault="00FD12FB" w:rsidP="00FD12FB">
    <w:pPr>
      <w:pStyle w:val="Header"/>
      <w:spacing w:after="360"/>
      <w:rPr>
        <w:rFonts w:ascii="Book Antiqua" w:hAnsi="Book Antiqua"/>
        <w:i/>
        <w:sz w:val="20"/>
        <w:szCs w:val="20"/>
      </w:rPr>
    </w:pPr>
    <w:r w:rsidRPr="00454A94">
      <w:rPr>
        <w:rFonts w:ascii="Book Antiqua" w:hAnsi="Book Antiqua"/>
        <w:i/>
        <w:sz w:val="20"/>
        <w:szCs w:val="20"/>
      </w:rPr>
      <w:t>Testing Experience and Functional Tools Demonstration</w:t>
    </w:r>
    <w:r>
      <w:rPr>
        <w:rFonts w:ascii="Book Antiqua" w:hAnsi="Book Antiqua"/>
        <w:i/>
        <w:sz w:val="20"/>
      </w:rPr>
      <w:t xml:space="preserve">: </w:t>
    </w:r>
    <w:r w:rsidRPr="00454A94">
      <w:rPr>
        <w:rFonts w:ascii="Book Antiqua" w:hAnsi="Book Antiqua"/>
        <w:i/>
        <w:sz w:val="20"/>
        <w:szCs w:val="20"/>
      </w:rPr>
      <w:t>Personal Health Record User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108D"/>
    <w:multiLevelType w:val="hybridMultilevel"/>
    <w:tmpl w:val="F6082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4398C"/>
    <w:multiLevelType w:val="hybridMultilevel"/>
    <w:tmpl w:val="C0EE10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B7ADB"/>
    <w:multiLevelType w:val="hybridMultilevel"/>
    <w:tmpl w:val="4E1E4C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D167B"/>
    <w:multiLevelType w:val="hybridMultilevel"/>
    <w:tmpl w:val="235A9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C0AA2"/>
    <w:multiLevelType w:val="multilevel"/>
    <w:tmpl w:val="177AF544"/>
    <w:lvl w:ilvl="0">
      <w:start w:val="1"/>
      <w:numFmt w:val="bullet"/>
      <w:lvlText w:val="o"/>
      <w:lvlJc w:val="left"/>
      <w:pPr>
        <w:tabs>
          <w:tab w:val="num" w:pos="720"/>
        </w:tabs>
        <w:ind w:left="720" w:hanging="360"/>
      </w:pPr>
      <w:rPr>
        <w:rFonts w:ascii="Courier New" w:hAnsi="Courier New" w:cs="Courier New"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080"/>
        </w:tabs>
        <w:ind w:left="1080" w:firstLine="0"/>
      </w:pPr>
      <w:rPr>
        <w:rFonts w:ascii="Symbol" w:hAnsi="Symbol" w:hint="default"/>
        <w:color w:val="1F821F"/>
        <w:spacing w:val="-2"/>
        <w:sz w:val="24"/>
      </w:rPr>
    </w:lvl>
    <w:lvl w:ilvl="2">
      <w:start w:val="1"/>
      <w:numFmt w:val="bullet"/>
      <w:lvlRestart w:val="0"/>
      <w:lvlText w:val=""/>
      <w:lvlJc w:val="left"/>
      <w:pPr>
        <w:tabs>
          <w:tab w:val="num" w:pos="1440"/>
        </w:tabs>
        <w:ind w:left="1440" w:firstLine="0"/>
      </w:pPr>
      <w:rPr>
        <w:rFonts w:ascii="Wingdings" w:hAnsi="Wingdings" w:hint="default"/>
        <w:color w:val="A1BDEA"/>
      </w:rPr>
    </w:lvl>
    <w:lvl w:ilvl="3">
      <w:start w:val="1"/>
      <w:numFmt w:val="bullet"/>
      <w:lvlRestart w:val="0"/>
      <w:lvlText w:val="►"/>
      <w:lvlJc w:val="left"/>
      <w:pPr>
        <w:tabs>
          <w:tab w:val="num" w:pos="1800"/>
        </w:tabs>
        <w:ind w:left="1800" w:firstLine="0"/>
      </w:pPr>
      <w:rPr>
        <w:rFonts w:ascii="Book Antiqua" w:hAnsi="Book Antiqua" w:hint="default"/>
        <w:color w:val="1F821F"/>
        <w:sz w:val="18"/>
      </w:rPr>
    </w:lvl>
    <w:lvl w:ilvl="4">
      <w:start w:val="1"/>
      <w:numFmt w:val="bullet"/>
      <w:lvlText w:val=""/>
      <w:lvlJc w:val="left"/>
      <w:pPr>
        <w:tabs>
          <w:tab w:val="num" w:pos="2160"/>
        </w:tabs>
        <w:ind w:left="2160" w:firstLine="0"/>
      </w:pPr>
      <w:rPr>
        <w:rFonts w:ascii="Wingdings 2" w:hAnsi="Wingdings 2" w:hint="default"/>
        <w:color w:val="00267F"/>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5895F6E"/>
    <w:multiLevelType w:val="multilevel"/>
    <w:tmpl w:val="AA6A48EA"/>
    <w:lvl w:ilvl="0">
      <w:start w:val="1"/>
      <w:numFmt w:val="bullet"/>
      <w:lvlText w:val="o"/>
      <w:lvlJc w:val="left"/>
      <w:pPr>
        <w:tabs>
          <w:tab w:val="num" w:pos="720"/>
        </w:tabs>
        <w:ind w:left="720" w:hanging="360"/>
      </w:pPr>
      <w:rPr>
        <w:rFonts w:ascii="Courier New" w:hAnsi="Courier New" w:cs="Courier New" w:hint="default"/>
        <w:caps w:val="0"/>
        <w:strike w:val="0"/>
        <w:dstrike w:val="0"/>
        <w:vanish w:val="0"/>
        <w:color w:val="00267F"/>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lvlText w:val=""/>
      <w:lvlJc w:val="left"/>
      <w:pPr>
        <w:tabs>
          <w:tab w:val="num" w:pos="1080"/>
        </w:tabs>
        <w:ind w:left="1080" w:firstLine="0"/>
      </w:pPr>
      <w:rPr>
        <w:rFonts w:ascii="Symbol" w:hAnsi="Symbol" w:hint="default"/>
        <w:color w:val="1F821F"/>
        <w:spacing w:val="-2"/>
        <w:sz w:val="24"/>
      </w:rPr>
    </w:lvl>
    <w:lvl w:ilvl="2">
      <w:start w:val="1"/>
      <w:numFmt w:val="bullet"/>
      <w:lvlRestart w:val="0"/>
      <w:lvlText w:val=""/>
      <w:lvlJc w:val="left"/>
      <w:pPr>
        <w:tabs>
          <w:tab w:val="num" w:pos="1440"/>
        </w:tabs>
        <w:ind w:left="1440" w:firstLine="0"/>
      </w:pPr>
      <w:rPr>
        <w:rFonts w:ascii="Wingdings" w:hAnsi="Wingdings" w:hint="default"/>
        <w:color w:val="A1BDEA"/>
      </w:rPr>
    </w:lvl>
    <w:lvl w:ilvl="3">
      <w:start w:val="1"/>
      <w:numFmt w:val="bullet"/>
      <w:lvlRestart w:val="0"/>
      <w:lvlText w:val="►"/>
      <w:lvlJc w:val="left"/>
      <w:pPr>
        <w:tabs>
          <w:tab w:val="num" w:pos="1800"/>
        </w:tabs>
        <w:ind w:left="1800" w:firstLine="0"/>
      </w:pPr>
      <w:rPr>
        <w:rFonts w:ascii="Book Antiqua" w:hAnsi="Book Antiqua" w:hint="default"/>
        <w:color w:val="1F821F"/>
        <w:sz w:val="18"/>
      </w:rPr>
    </w:lvl>
    <w:lvl w:ilvl="4">
      <w:start w:val="1"/>
      <w:numFmt w:val="bullet"/>
      <w:lvlText w:val=""/>
      <w:lvlJc w:val="left"/>
      <w:pPr>
        <w:tabs>
          <w:tab w:val="num" w:pos="2160"/>
        </w:tabs>
        <w:ind w:left="2160" w:firstLine="0"/>
      </w:pPr>
      <w:rPr>
        <w:rFonts w:ascii="Wingdings 2" w:hAnsi="Wingdings 2" w:hint="default"/>
        <w:color w:val="00267F"/>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4FB111E8"/>
    <w:multiLevelType w:val="hybridMultilevel"/>
    <w:tmpl w:val="C2C20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B229D"/>
    <w:multiLevelType w:val="hybridMultilevel"/>
    <w:tmpl w:val="2DA8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A3AFC"/>
    <w:multiLevelType w:val="hybridMultilevel"/>
    <w:tmpl w:val="E1CABB3C"/>
    <w:lvl w:ilvl="0" w:tplc="04090011">
      <w:start w:val="1"/>
      <w:numFmt w:val="decimal"/>
      <w:lvlText w:val="%1)"/>
      <w:lvlJc w:val="left"/>
      <w:pPr>
        <w:ind w:left="720" w:hanging="360"/>
      </w:pPr>
      <w:rPr>
        <w:rFonts w:hint="default"/>
      </w:rPr>
    </w:lvl>
    <w:lvl w:ilvl="1" w:tplc="807EF4C0">
      <w:numFmt w:val="bullet"/>
      <w:lvlText w:val=""/>
      <w:lvlJc w:val="left"/>
      <w:pPr>
        <w:ind w:left="1440" w:hanging="360"/>
      </w:pPr>
      <w:rPr>
        <w:rFonts w:ascii="Symbol" w:eastAsia="Times New Roman" w:hAnsi="Symbol" w:cs="Arial" w:hint="default"/>
      </w:rPr>
    </w:lvl>
    <w:lvl w:ilvl="2" w:tplc="04090001">
      <w:start w:val="1"/>
      <w:numFmt w:val="bullet"/>
      <w:lvlText w:val=""/>
      <w:lvlJc w:val="left"/>
      <w:pPr>
        <w:ind w:left="2160" w:hanging="360"/>
      </w:pPr>
      <w:rPr>
        <w:rFonts w:ascii="Symbol" w:hAnsi="Symbol" w:hint="default"/>
      </w:rPr>
    </w:lvl>
    <w:lvl w:ilvl="3" w:tplc="840656E8">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1E2BB0"/>
    <w:multiLevelType w:val="hybridMultilevel"/>
    <w:tmpl w:val="85824F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6"/>
  </w:num>
  <w:num w:numId="5">
    <w:abstractNumId w:val="0"/>
  </w:num>
  <w:num w:numId="6">
    <w:abstractNumId w:val="5"/>
  </w:num>
  <w:num w:numId="7">
    <w:abstractNumId w:val="9"/>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FB"/>
    <w:rsid w:val="00005221"/>
    <w:rsid w:val="00024925"/>
    <w:rsid w:val="00047EC2"/>
    <w:rsid w:val="000D408C"/>
    <w:rsid w:val="000F4F2E"/>
    <w:rsid w:val="001225A3"/>
    <w:rsid w:val="00124217"/>
    <w:rsid w:val="00127E24"/>
    <w:rsid w:val="00142BDF"/>
    <w:rsid w:val="00177FDA"/>
    <w:rsid w:val="001812BE"/>
    <w:rsid w:val="001817BD"/>
    <w:rsid w:val="00197C96"/>
    <w:rsid w:val="00211CC5"/>
    <w:rsid w:val="0022039C"/>
    <w:rsid w:val="002407CA"/>
    <w:rsid w:val="002417A2"/>
    <w:rsid w:val="00242687"/>
    <w:rsid w:val="00257B91"/>
    <w:rsid w:val="002860D6"/>
    <w:rsid w:val="002D4062"/>
    <w:rsid w:val="002D534F"/>
    <w:rsid w:val="002F115F"/>
    <w:rsid w:val="003128DF"/>
    <w:rsid w:val="00354D3F"/>
    <w:rsid w:val="00356B49"/>
    <w:rsid w:val="00357682"/>
    <w:rsid w:val="003826AF"/>
    <w:rsid w:val="003A2E3E"/>
    <w:rsid w:val="003A4800"/>
    <w:rsid w:val="003E1CBF"/>
    <w:rsid w:val="00451D19"/>
    <w:rsid w:val="00454610"/>
    <w:rsid w:val="00480B11"/>
    <w:rsid w:val="004C41F1"/>
    <w:rsid w:val="0052090F"/>
    <w:rsid w:val="00527221"/>
    <w:rsid w:val="00531F0E"/>
    <w:rsid w:val="005333A5"/>
    <w:rsid w:val="00587E3A"/>
    <w:rsid w:val="005E5BBF"/>
    <w:rsid w:val="00634366"/>
    <w:rsid w:val="00644110"/>
    <w:rsid w:val="00666F15"/>
    <w:rsid w:val="00674350"/>
    <w:rsid w:val="00683393"/>
    <w:rsid w:val="006A06CB"/>
    <w:rsid w:val="006B3CA1"/>
    <w:rsid w:val="006C1684"/>
    <w:rsid w:val="00720E11"/>
    <w:rsid w:val="00727D46"/>
    <w:rsid w:val="00772F6C"/>
    <w:rsid w:val="007A1A15"/>
    <w:rsid w:val="007B7C6A"/>
    <w:rsid w:val="00840C92"/>
    <w:rsid w:val="008B099C"/>
    <w:rsid w:val="008D7194"/>
    <w:rsid w:val="008F57BB"/>
    <w:rsid w:val="00907DA8"/>
    <w:rsid w:val="0094139E"/>
    <w:rsid w:val="00947A82"/>
    <w:rsid w:val="009C0A9D"/>
    <w:rsid w:val="00A64B3E"/>
    <w:rsid w:val="00A86B75"/>
    <w:rsid w:val="00A95D2E"/>
    <w:rsid w:val="00AB7D05"/>
    <w:rsid w:val="00AC4143"/>
    <w:rsid w:val="00AF370D"/>
    <w:rsid w:val="00B23153"/>
    <w:rsid w:val="00B5308C"/>
    <w:rsid w:val="00BB2B1E"/>
    <w:rsid w:val="00BC19FC"/>
    <w:rsid w:val="00BF12E0"/>
    <w:rsid w:val="00C01479"/>
    <w:rsid w:val="00C20B32"/>
    <w:rsid w:val="00C23D4C"/>
    <w:rsid w:val="00C4297D"/>
    <w:rsid w:val="00C57FE9"/>
    <w:rsid w:val="00C6690F"/>
    <w:rsid w:val="00C95FD0"/>
    <w:rsid w:val="00CA7881"/>
    <w:rsid w:val="00CB107B"/>
    <w:rsid w:val="00CD71BC"/>
    <w:rsid w:val="00CE50BE"/>
    <w:rsid w:val="00CF6E19"/>
    <w:rsid w:val="00D032F5"/>
    <w:rsid w:val="00D333F7"/>
    <w:rsid w:val="00D43966"/>
    <w:rsid w:val="00D72545"/>
    <w:rsid w:val="00D7770F"/>
    <w:rsid w:val="00D80C60"/>
    <w:rsid w:val="00D90316"/>
    <w:rsid w:val="00D91631"/>
    <w:rsid w:val="00D92794"/>
    <w:rsid w:val="00D92E2E"/>
    <w:rsid w:val="00DB09E7"/>
    <w:rsid w:val="00DB69F4"/>
    <w:rsid w:val="00DC1598"/>
    <w:rsid w:val="00DC472B"/>
    <w:rsid w:val="00DC6CC6"/>
    <w:rsid w:val="00DF0B0A"/>
    <w:rsid w:val="00E009D8"/>
    <w:rsid w:val="00E42AAA"/>
    <w:rsid w:val="00E630FE"/>
    <w:rsid w:val="00EB694D"/>
    <w:rsid w:val="00EC2A6D"/>
    <w:rsid w:val="00F31E60"/>
    <w:rsid w:val="00F33291"/>
    <w:rsid w:val="00F628B7"/>
    <w:rsid w:val="00F7746E"/>
    <w:rsid w:val="00FA3DCE"/>
    <w:rsid w:val="00FD12FB"/>
    <w:rsid w:val="00FE2EBD"/>
    <w:rsid w:val="00FE5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FC0D449E-E33B-4847-9A24-A528A206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4217"/>
    <w:pPr>
      <w:keepNext/>
      <w:tabs>
        <w:tab w:val="left" w:pos="1800"/>
      </w:tabs>
      <w:spacing w:after="360" w:line="264" w:lineRule="auto"/>
      <w:jc w:val="right"/>
      <w:outlineLvl w:val="0"/>
    </w:pPr>
    <w:rPr>
      <w:rFonts w:ascii="Arial Bold" w:hAnsi="Arial Bold" w:cs="Arial"/>
      <w:b/>
      <w:bCs/>
      <w:kern w:val="32"/>
      <w:sz w:val="36"/>
      <w:szCs w:val="32"/>
    </w:rPr>
  </w:style>
  <w:style w:type="paragraph" w:styleId="Heading2">
    <w:name w:val="heading 2"/>
    <w:basedOn w:val="Heading1"/>
    <w:next w:val="Normal"/>
    <w:link w:val="Heading2Char"/>
    <w:uiPriority w:val="9"/>
    <w:unhideWhenUsed/>
    <w:qFormat/>
    <w:rsid w:val="006A06CB"/>
    <w:pPr>
      <w:jc w:val="left"/>
      <w:outlineLvl w:val="1"/>
    </w:pPr>
  </w:style>
  <w:style w:type="paragraph" w:styleId="Heading3">
    <w:name w:val="heading 3"/>
    <w:basedOn w:val="Heading2"/>
    <w:next w:val="Normal"/>
    <w:link w:val="Heading3Char"/>
    <w:uiPriority w:val="9"/>
    <w:unhideWhenUsed/>
    <w:qFormat/>
    <w:rsid w:val="006A06CB"/>
    <w:pPr>
      <w:outlineLvl w:val="2"/>
    </w:pPr>
    <w:rPr>
      <w:sz w:val="28"/>
    </w:rPr>
  </w:style>
  <w:style w:type="paragraph" w:styleId="Heading4">
    <w:name w:val="heading 4"/>
    <w:basedOn w:val="Heading3"/>
    <w:next w:val="Normal"/>
    <w:link w:val="Heading4Char"/>
    <w:uiPriority w:val="9"/>
    <w:unhideWhenUsed/>
    <w:qFormat/>
    <w:rsid w:val="006A06CB"/>
    <w:pPr>
      <w:outlineLvl w:val="3"/>
    </w:pPr>
    <w:rPr>
      <w:rFonts w:ascii="Times New Roman" w:hAnsi="Times New Roman" w:cs="Times New Roman"/>
      <w:sz w:val="22"/>
      <w:szCs w:val="22"/>
    </w:rPr>
  </w:style>
  <w:style w:type="paragraph" w:styleId="Heading5">
    <w:name w:val="heading 5"/>
    <w:basedOn w:val="Subtitle"/>
    <w:next w:val="Normal"/>
    <w:link w:val="Heading5Char"/>
    <w:uiPriority w:val="9"/>
    <w:unhideWhenUsed/>
    <w:qFormat/>
    <w:rsid w:val="006A06C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win">
    <w:name w:val="Lewin"/>
    <w:basedOn w:val="TableNormal"/>
    <w:rsid w:val="00DC6CC6"/>
    <w:pPr>
      <w:spacing w:after="0" w:line="240" w:lineRule="auto"/>
    </w:pPr>
    <w:rPr>
      <w:rFonts w:ascii="Calibri" w:eastAsia="Times New Roman" w:hAnsi="Calibri" w:cs="Times New Roman"/>
      <w:sz w:val="20"/>
      <w:szCs w:val="20"/>
    </w:rPr>
    <w:tblPr>
      <w:tblStyleRowBandSize w:val="1"/>
      <w:jc w:val="center"/>
      <w:tblBorders>
        <w:top w:val="single" w:sz="4" w:space="0" w:color="00267F"/>
        <w:left w:val="single" w:sz="4" w:space="0" w:color="00267F"/>
        <w:bottom w:val="single" w:sz="12" w:space="0" w:color="00267F"/>
        <w:right w:val="single" w:sz="4" w:space="0" w:color="00267F"/>
        <w:insideH w:val="single" w:sz="4" w:space="0" w:color="00267F"/>
        <w:insideV w:val="single" w:sz="4" w:space="0" w:color="00267F"/>
      </w:tblBorders>
      <w:tblCellMar>
        <w:left w:w="72" w:type="dxa"/>
        <w:right w:w="72" w:type="dxa"/>
      </w:tblCellMar>
    </w:tblPr>
    <w:trPr>
      <w:jc w:val="center"/>
    </w:trPr>
    <w:tblStylePr w:type="firstRow">
      <w:rPr>
        <w:rFonts w:ascii="Calibri" w:hAnsi="Calibri"/>
        <w:b/>
        <w:color w:val="FFFFFF"/>
        <w:sz w:val="22"/>
      </w:rPr>
      <w:tblPr/>
      <w:tcPr>
        <w:tcBorders>
          <w:insideV w:val="single" w:sz="4" w:space="0" w:color="FFFFFF"/>
        </w:tcBorders>
        <w:shd w:val="clear" w:color="auto" w:fill="00267F"/>
      </w:tcPr>
    </w:tblStylePr>
    <w:tblStylePr w:type="band2Horz">
      <w:tblPr/>
      <w:tcPr>
        <w:shd w:val="clear" w:color="auto" w:fill="C6D9F1"/>
      </w:tcPr>
    </w:tblStylePr>
  </w:style>
  <w:style w:type="paragraph" w:styleId="Header">
    <w:name w:val="header"/>
    <w:basedOn w:val="Normal"/>
    <w:link w:val="HeaderChar"/>
    <w:unhideWhenUsed/>
    <w:rsid w:val="00FD12FB"/>
    <w:pPr>
      <w:tabs>
        <w:tab w:val="center" w:pos="4680"/>
        <w:tab w:val="right" w:pos="9360"/>
      </w:tabs>
      <w:spacing w:after="0" w:line="240" w:lineRule="auto"/>
    </w:pPr>
  </w:style>
  <w:style w:type="character" w:customStyle="1" w:styleId="HeaderChar">
    <w:name w:val="Header Char"/>
    <w:basedOn w:val="DefaultParagraphFont"/>
    <w:link w:val="Header"/>
    <w:rsid w:val="00FD12FB"/>
  </w:style>
  <w:style w:type="paragraph" w:styleId="Footer">
    <w:name w:val="footer"/>
    <w:basedOn w:val="Normal"/>
    <w:link w:val="FooterChar"/>
    <w:uiPriority w:val="99"/>
    <w:unhideWhenUsed/>
    <w:rsid w:val="00FD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FB"/>
  </w:style>
  <w:style w:type="character" w:customStyle="1" w:styleId="Heading1Char">
    <w:name w:val="Heading 1 Char"/>
    <w:basedOn w:val="DefaultParagraphFont"/>
    <w:link w:val="Heading1"/>
    <w:uiPriority w:val="9"/>
    <w:rsid w:val="00124217"/>
    <w:rPr>
      <w:rFonts w:ascii="Arial Bold" w:hAnsi="Arial Bold" w:cs="Arial"/>
      <w:b/>
      <w:bCs/>
      <w:kern w:val="32"/>
      <w:sz w:val="36"/>
      <w:szCs w:val="32"/>
    </w:rPr>
  </w:style>
  <w:style w:type="paragraph" w:styleId="TOCHeading">
    <w:name w:val="TOC Heading"/>
    <w:basedOn w:val="Heading1"/>
    <w:next w:val="Normal"/>
    <w:uiPriority w:val="39"/>
    <w:unhideWhenUsed/>
    <w:qFormat/>
    <w:rsid w:val="00FD12FB"/>
    <w:pPr>
      <w:pBdr>
        <w:top w:val="thinThickSmallGap" w:sz="24" w:space="0" w:color="00267F"/>
      </w:pBdr>
      <w:outlineLvl w:val="9"/>
    </w:pPr>
    <w:rPr>
      <w:color w:val="1F497D" w:themeColor="text2"/>
      <w:lang w:eastAsia="ja-JP"/>
    </w:rPr>
  </w:style>
  <w:style w:type="character" w:customStyle="1" w:styleId="Heading2Char">
    <w:name w:val="Heading 2 Char"/>
    <w:basedOn w:val="DefaultParagraphFont"/>
    <w:link w:val="Heading2"/>
    <w:uiPriority w:val="9"/>
    <w:rsid w:val="006A06CB"/>
    <w:rPr>
      <w:rFonts w:ascii="Arial Bold" w:hAnsi="Arial Bold" w:cs="Arial"/>
      <w:b/>
      <w:bCs/>
      <w:kern w:val="32"/>
      <w:sz w:val="36"/>
      <w:szCs w:val="32"/>
    </w:rPr>
  </w:style>
  <w:style w:type="character" w:customStyle="1" w:styleId="Heading3Char">
    <w:name w:val="Heading 3 Char"/>
    <w:basedOn w:val="DefaultParagraphFont"/>
    <w:link w:val="Heading3"/>
    <w:uiPriority w:val="9"/>
    <w:rsid w:val="006A06CB"/>
    <w:rPr>
      <w:rFonts w:ascii="Arial Bold" w:hAnsi="Arial Bold" w:cs="Arial"/>
      <w:b/>
      <w:bCs/>
      <w:kern w:val="32"/>
      <w:sz w:val="28"/>
      <w:szCs w:val="32"/>
    </w:rPr>
  </w:style>
  <w:style w:type="character" w:styleId="CommentReference">
    <w:name w:val="annotation reference"/>
    <w:uiPriority w:val="99"/>
    <w:semiHidden/>
    <w:rsid w:val="00FD12FB"/>
    <w:rPr>
      <w:sz w:val="16"/>
      <w:szCs w:val="16"/>
    </w:rPr>
  </w:style>
  <w:style w:type="paragraph" w:styleId="CommentText">
    <w:name w:val="annotation text"/>
    <w:basedOn w:val="Normal"/>
    <w:link w:val="CommentTextChar"/>
    <w:rsid w:val="00FD12FB"/>
    <w:pPr>
      <w:spacing w:after="24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D12FB"/>
    <w:rPr>
      <w:rFonts w:ascii="Times New Roman" w:eastAsia="Times New Roman" w:hAnsi="Times New Roman" w:cs="Times New Roman"/>
      <w:sz w:val="20"/>
      <w:szCs w:val="20"/>
    </w:rPr>
  </w:style>
  <w:style w:type="table" w:styleId="TableGrid">
    <w:name w:val="Table Grid"/>
    <w:basedOn w:val="TableNormal"/>
    <w:rsid w:val="00FD12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2FB"/>
    <w:rPr>
      <w:rFonts w:ascii="Tahoma" w:hAnsi="Tahoma" w:cs="Tahoma"/>
      <w:sz w:val="16"/>
      <w:szCs w:val="16"/>
    </w:rPr>
  </w:style>
  <w:style w:type="paragraph" w:styleId="TOC1">
    <w:name w:val="toc 1"/>
    <w:basedOn w:val="Normal"/>
    <w:next w:val="Normal"/>
    <w:autoRedefine/>
    <w:uiPriority w:val="39"/>
    <w:unhideWhenUsed/>
    <w:rsid w:val="00FD12FB"/>
    <w:pPr>
      <w:tabs>
        <w:tab w:val="right" w:leader="dot" w:pos="9350"/>
      </w:tabs>
      <w:spacing w:before="120" w:after="0"/>
    </w:pPr>
    <w:rPr>
      <w:rFonts w:ascii="Book Antiqua" w:eastAsia="Times New Roman" w:hAnsi="Book Antiqua" w:cs="Arial"/>
      <w:b/>
      <w:bCs/>
      <w:iCs/>
      <w:noProof/>
      <w:kern w:val="32"/>
      <w:sz w:val="20"/>
      <w:szCs w:val="20"/>
    </w:rPr>
  </w:style>
  <w:style w:type="paragraph" w:styleId="TOC2">
    <w:name w:val="toc 2"/>
    <w:basedOn w:val="Normal"/>
    <w:next w:val="Normal"/>
    <w:autoRedefine/>
    <w:uiPriority w:val="39"/>
    <w:unhideWhenUsed/>
    <w:rsid w:val="00FD12FB"/>
    <w:pPr>
      <w:spacing w:before="120" w:after="0"/>
      <w:ind w:left="220"/>
    </w:pPr>
    <w:rPr>
      <w:b/>
      <w:bCs/>
    </w:rPr>
  </w:style>
  <w:style w:type="paragraph" w:styleId="TOC3">
    <w:name w:val="toc 3"/>
    <w:basedOn w:val="Normal"/>
    <w:next w:val="Normal"/>
    <w:autoRedefine/>
    <w:uiPriority w:val="39"/>
    <w:unhideWhenUsed/>
    <w:rsid w:val="00FD12FB"/>
    <w:pPr>
      <w:spacing w:after="0"/>
      <w:ind w:left="440"/>
    </w:pPr>
    <w:rPr>
      <w:sz w:val="20"/>
      <w:szCs w:val="20"/>
    </w:rPr>
  </w:style>
  <w:style w:type="paragraph" w:styleId="TOC4">
    <w:name w:val="toc 4"/>
    <w:basedOn w:val="Normal"/>
    <w:next w:val="Normal"/>
    <w:autoRedefine/>
    <w:uiPriority w:val="39"/>
    <w:unhideWhenUsed/>
    <w:rsid w:val="00FD12FB"/>
    <w:pPr>
      <w:spacing w:after="0"/>
      <w:ind w:left="660"/>
    </w:pPr>
    <w:rPr>
      <w:sz w:val="20"/>
      <w:szCs w:val="20"/>
    </w:rPr>
  </w:style>
  <w:style w:type="paragraph" w:styleId="TOC5">
    <w:name w:val="toc 5"/>
    <w:basedOn w:val="Normal"/>
    <w:next w:val="Normal"/>
    <w:autoRedefine/>
    <w:uiPriority w:val="39"/>
    <w:unhideWhenUsed/>
    <w:rsid w:val="00FD12FB"/>
    <w:pPr>
      <w:spacing w:after="0"/>
      <w:ind w:left="880"/>
    </w:pPr>
    <w:rPr>
      <w:sz w:val="20"/>
      <w:szCs w:val="20"/>
    </w:rPr>
  </w:style>
  <w:style w:type="paragraph" w:styleId="TOC6">
    <w:name w:val="toc 6"/>
    <w:basedOn w:val="Normal"/>
    <w:next w:val="Normal"/>
    <w:autoRedefine/>
    <w:uiPriority w:val="39"/>
    <w:unhideWhenUsed/>
    <w:rsid w:val="00FD12FB"/>
    <w:pPr>
      <w:spacing w:after="0"/>
      <w:ind w:left="1100"/>
    </w:pPr>
    <w:rPr>
      <w:sz w:val="20"/>
      <w:szCs w:val="20"/>
    </w:rPr>
  </w:style>
  <w:style w:type="paragraph" w:styleId="TOC7">
    <w:name w:val="toc 7"/>
    <w:basedOn w:val="Normal"/>
    <w:next w:val="Normal"/>
    <w:autoRedefine/>
    <w:uiPriority w:val="39"/>
    <w:unhideWhenUsed/>
    <w:rsid w:val="00FD12FB"/>
    <w:pPr>
      <w:spacing w:after="0"/>
      <w:ind w:left="1320"/>
    </w:pPr>
    <w:rPr>
      <w:sz w:val="20"/>
      <w:szCs w:val="20"/>
    </w:rPr>
  </w:style>
  <w:style w:type="paragraph" w:styleId="TOC8">
    <w:name w:val="toc 8"/>
    <w:basedOn w:val="Normal"/>
    <w:next w:val="Normal"/>
    <w:autoRedefine/>
    <w:uiPriority w:val="39"/>
    <w:unhideWhenUsed/>
    <w:rsid w:val="00FD12FB"/>
    <w:pPr>
      <w:spacing w:after="0"/>
      <w:ind w:left="1540"/>
    </w:pPr>
    <w:rPr>
      <w:sz w:val="20"/>
      <w:szCs w:val="20"/>
    </w:rPr>
  </w:style>
  <w:style w:type="paragraph" w:styleId="TOC9">
    <w:name w:val="toc 9"/>
    <w:basedOn w:val="Normal"/>
    <w:next w:val="Normal"/>
    <w:autoRedefine/>
    <w:uiPriority w:val="39"/>
    <w:unhideWhenUsed/>
    <w:rsid w:val="00FD12FB"/>
    <w:pPr>
      <w:spacing w:after="0"/>
      <w:ind w:left="1760"/>
    </w:pPr>
    <w:rPr>
      <w:sz w:val="20"/>
      <w:szCs w:val="20"/>
    </w:rPr>
  </w:style>
  <w:style w:type="character" w:styleId="Hyperlink">
    <w:name w:val="Hyperlink"/>
    <w:basedOn w:val="DefaultParagraphFont"/>
    <w:uiPriority w:val="99"/>
    <w:unhideWhenUsed/>
    <w:rsid w:val="00FD12F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D719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D719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F57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7BB"/>
    <w:rPr>
      <w:sz w:val="20"/>
      <w:szCs w:val="20"/>
    </w:rPr>
  </w:style>
  <w:style w:type="character" w:styleId="FootnoteReference">
    <w:name w:val="footnote reference"/>
    <w:basedOn w:val="DefaultParagraphFont"/>
    <w:uiPriority w:val="99"/>
    <w:semiHidden/>
    <w:unhideWhenUsed/>
    <w:rsid w:val="008F57BB"/>
    <w:rPr>
      <w:vertAlign w:val="superscript"/>
    </w:rPr>
  </w:style>
  <w:style w:type="paragraph" w:styleId="ListParagraph">
    <w:name w:val="List Paragraph"/>
    <w:basedOn w:val="Normal"/>
    <w:uiPriority w:val="34"/>
    <w:qFormat/>
    <w:rsid w:val="002F115F"/>
    <w:pPr>
      <w:ind w:left="720"/>
      <w:contextualSpacing/>
    </w:pPr>
  </w:style>
  <w:style w:type="paragraph" w:customStyle="1" w:styleId="Address2">
    <w:name w:val="Address2"/>
    <w:basedOn w:val="Normal"/>
    <w:qFormat/>
    <w:rsid w:val="00356B49"/>
    <w:pPr>
      <w:spacing w:after="0" w:line="240" w:lineRule="auto"/>
      <w:jc w:val="right"/>
    </w:pPr>
    <w:rPr>
      <w:rFonts w:ascii="Arial" w:eastAsia="Times New Roman" w:hAnsi="Arial" w:cs="Times New Roman"/>
      <w:sz w:val="24"/>
      <w:szCs w:val="20"/>
    </w:rPr>
  </w:style>
  <w:style w:type="character" w:customStyle="1" w:styleId="Heading4Char">
    <w:name w:val="Heading 4 Char"/>
    <w:basedOn w:val="DefaultParagraphFont"/>
    <w:link w:val="Heading4"/>
    <w:uiPriority w:val="9"/>
    <w:rsid w:val="006A06CB"/>
    <w:rPr>
      <w:rFonts w:ascii="Times New Roman" w:hAnsi="Times New Roman" w:cs="Times New Roman"/>
      <w:b/>
      <w:bCs/>
      <w:kern w:val="32"/>
    </w:rPr>
  </w:style>
  <w:style w:type="paragraph" w:styleId="Subtitle">
    <w:name w:val="Subtitle"/>
    <w:basedOn w:val="Normal"/>
    <w:next w:val="Normal"/>
    <w:link w:val="SubtitleChar"/>
    <w:uiPriority w:val="11"/>
    <w:qFormat/>
    <w:rsid w:val="00124217"/>
    <w:pPr>
      <w:autoSpaceDE w:val="0"/>
      <w:autoSpaceDN w:val="0"/>
      <w:adjustRightInd w:val="0"/>
      <w:spacing w:after="0" w:line="240" w:lineRule="auto"/>
    </w:pPr>
    <w:rPr>
      <w:rFonts w:ascii="Times New Roman" w:eastAsia="Times New Roman" w:hAnsi="Times New Roman" w:cs="Times New Roman"/>
      <w:b/>
      <w:bCs/>
      <w:color w:val="000000"/>
    </w:rPr>
  </w:style>
  <w:style w:type="character" w:customStyle="1" w:styleId="SubtitleChar">
    <w:name w:val="Subtitle Char"/>
    <w:basedOn w:val="DefaultParagraphFont"/>
    <w:link w:val="Subtitle"/>
    <w:uiPriority w:val="11"/>
    <w:rsid w:val="00124217"/>
    <w:rPr>
      <w:rFonts w:ascii="Times New Roman" w:eastAsia="Times New Roman" w:hAnsi="Times New Roman" w:cs="Times New Roman"/>
      <w:b/>
      <w:bCs/>
      <w:color w:val="000000"/>
    </w:rPr>
  </w:style>
  <w:style w:type="character" w:customStyle="1" w:styleId="Heading5Char">
    <w:name w:val="Heading 5 Char"/>
    <w:basedOn w:val="DefaultParagraphFont"/>
    <w:link w:val="Heading5"/>
    <w:uiPriority w:val="9"/>
    <w:rsid w:val="006A06CB"/>
    <w:rPr>
      <w:rFonts w:ascii="Times New Roman" w:eastAsia="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4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ry.Lida@cms.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lison.Weaver@cms.hhs.gov" TargetMode="External"/><Relationship Id="rId4" Type="http://schemas.openxmlformats.org/officeDocument/2006/relationships/settings" Target="settings.xml"/><Relationship Id="rId9" Type="http://schemas.openxmlformats.org/officeDocument/2006/relationships/hyperlink" Target="mailto:Barbara.Holt@cms.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613CF-DA2B-444D-BB46-D13C896C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Testing Experience and Functional Tools Demonstration: Personal Health Record (PHR) User Survey</vt:lpstr>
    </vt:vector>
  </TitlesOfParts>
  <Company>The Lewin Group</Company>
  <LinksUpToDate>false</LinksUpToDate>
  <CharactersWithSpaces>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Experience and Functional Tools Demonstration: Personal Health Record (PHR) User Survey</dc:title>
  <dc:subject>TEFT PHR User Survey Supporting Statement B</dc:subject>
  <dc:creator>CMS;The Lewin Group</dc:creator>
  <cp:keywords>personal health record, Medicaid, survey</cp:keywords>
  <dc:description>This is the Paperwork Reduction Act (PRA) submission of supporting statement B for the TEFT PHR User Survey.</dc:description>
  <cp:lastModifiedBy>Mitch Bryman</cp:lastModifiedBy>
  <cp:revision>2</cp:revision>
  <cp:lastPrinted>2016-03-23T20:09:00Z</cp:lastPrinted>
  <dcterms:created xsi:type="dcterms:W3CDTF">2016-10-03T11:41:00Z</dcterms:created>
  <dcterms:modified xsi:type="dcterms:W3CDTF">2016-10-03T11:41:00Z</dcterms:modified>
  <cp:category>Supporting Statement B</cp:category>
  <cp:contentStatus>Draft for OMB</cp:contentStatus>
</cp:coreProperties>
</file>