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AB" w:rsidRDefault="00712372">
      <w:pPr>
        <w:pStyle w:val="BodyText"/>
        <w:spacing w:before="87"/>
        <w:ind w:left="532" w:right="827"/>
        <w:jc w:val="center"/>
      </w:pPr>
      <w:bookmarkStart w:id="0" w:name="_GoBack"/>
      <w:bookmarkEnd w:id="0"/>
      <w:r>
        <w:t>Supporting Statement Part B</w:t>
      </w:r>
    </w:p>
    <w:p w:rsidR="00D569AB" w:rsidRDefault="00D569AB">
      <w:pPr>
        <w:pStyle w:val="BodyText"/>
        <w:spacing w:before="3"/>
        <w:rPr>
          <w:sz w:val="21"/>
        </w:rPr>
      </w:pPr>
    </w:p>
    <w:p w:rsidR="00D569AB" w:rsidRDefault="00712372">
      <w:pPr>
        <w:pStyle w:val="BodyText"/>
        <w:spacing w:before="1" w:line="276" w:lineRule="auto"/>
        <w:ind w:left="532" w:right="829"/>
        <w:jc w:val="center"/>
      </w:pPr>
      <w:r>
        <w:t>Eligibility Error Rate measurement in Medicaid and the Children’s Health Insurance Program</w:t>
      </w:r>
    </w:p>
    <w:p w:rsidR="00D569AB" w:rsidRDefault="00D569AB">
      <w:pPr>
        <w:pStyle w:val="BodyText"/>
        <w:rPr>
          <w:sz w:val="26"/>
        </w:rPr>
      </w:pPr>
    </w:p>
    <w:p w:rsidR="00D569AB" w:rsidRDefault="00712372">
      <w:pPr>
        <w:pStyle w:val="ListParagraph"/>
        <w:numPr>
          <w:ilvl w:val="0"/>
          <w:numId w:val="1"/>
        </w:numPr>
        <w:tabs>
          <w:tab w:val="left" w:pos="676"/>
          <w:tab w:val="left" w:pos="677"/>
        </w:tabs>
        <w:spacing w:before="218"/>
        <w:ind w:firstLine="0"/>
        <w:rPr>
          <w:sz w:val="24"/>
        </w:rPr>
      </w:pPr>
      <w:r>
        <w:rPr>
          <w:sz w:val="24"/>
          <w:u w:val="single"/>
        </w:rPr>
        <w:t>Describe potential respondent</w:t>
      </w:r>
      <w:r>
        <w:rPr>
          <w:spacing w:val="-33"/>
          <w:sz w:val="24"/>
          <w:u w:val="single"/>
        </w:rPr>
        <w:t xml:space="preserve"> </w:t>
      </w:r>
      <w:r>
        <w:rPr>
          <w:sz w:val="24"/>
          <w:u w:val="single"/>
        </w:rPr>
        <w:t>universe.</w:t>
      </w:r>
    </w:p>
    <w:p w:rsidR="00D569AB" w:rsidRDefault="00D569AB">
      <w:pPr>
        <w:pStyle w:val="BodyText"/>
        <w:spacing w:before="2"/>
        <w:rPr>
          <w:sz w:val="22"/>
        </w:rPr>
      </w:pPr>
    </w:p>
    <w:p w:rsidR="00D569AB" w:rsidRDefault="00712372">
      <w:pPr>
        <w:pStyle w:val="BodyText"/>
        <w:spacing w:before="100" w:line="278" w:lineRule="auto"/>
        <w:ind w:left="100" w:right="1098"/>
      </w:pPr>
      <w:r>
        <w:t>The universe for this project is the 50 States’ and the District of Columbia’s Medicaid and CHIP programs.</w:t>
      </w:r>
    </w:p>
    <w:p w:rsidR="00D569AB" w:rsidRDefault="00D569AB">
      <w:pPr>
        <w:pStyle w:val="BodyText"/>
        <w:spacing w:before="3"/>
        <w:rPr>
          <w:sz w:val="27"/>
        </w:rPr>
      </w:pPr>
    </w:p>
    <w:p w:rsidR="00D569AB" w:rsidRDefault="00712372">
      <w:pPr>
        <w:pStyle w:val="BodyText"/>
        <w:tabs>
          <w:tab w:val="left" w:pos="1108"/>
          <w:tab w:val="left" w:pos="5140"/>
          <w:tab w:val="left" w:pos="7013"/>
        </w:tabs>
        <w:spacing w:line="276" w:lineRule="auto"/>
        <w:ind w:left="100" w:right="108"/>
      </w:pPr>
      <w:r>
        <w:t>The potential respondent universe is 34 unique programs (17 Medicaid and 17 CHIP</w:t>
      </w:r>
      <w:proofErr w:type="gramStart"/>
      <w:r>
        <w:t>)from</w:t>
      </w:r>
      <w:proofErr w:type="gramEnd"/>
      <w:r>
        <w:t xml:space="preserve"> 17</w:t>
      </w:r>
      <w:r>
        <w:rPr>
          <w:spacing w:val="-25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States.</w:t>
      </w:r>
      <w:r>
        <w:tab/>
        <w:t>We</w:t>
      </w:r>
      <w:r>
        <w:rPr>
          <w:spacing w:val="-10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that approximately 504 active</w:t>
      </w:r>
      <w:r>
        <w:t xml:space="preserve"> cases will be randomly selected for review by each of the 17 States in each program to achieve a State specific, program specific eligibility payment error rate.</w:t>
      </w:r>
      <w:r>
        <w:tab/>
        <w:t>These results will be used to calculate</w:t>
      </w:r>
      <w:r>
        <w:rPr>
          <w:spacing w:val="-3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eligibility component</w:t>
      </w:r>
      <w:r>
        <w:rPr>
          <w:spacing w:val="-14"/>
        </w:rPr>
        <w:t xml:space="preserve"> </w:t>
      </w:r>
      <w:r>
        <w:t>error</w:t>
      </w:r>
      <w:r>
        <w:rPr>
          <w:spacing w:val="-7"/>
        </w:rPr>
        <w:t xml:space="preserve"> </w:t>
      </w:r>
      <w:r>
        <w:t>rate.</w:t>
      </w:r>
      <w:r>
        <w:tab/>
        <w:t>We estim</w:t>
      </w:r>
      <w:r>
        <w:t>ate</w:t>
      </w:r>
      <w:r>
        <w:rPr>
          <w:spacing w:val="-13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randomly select 204 denied and terminated cases for the negative case</w:t>
      </w:r>
      <w:r>
        <w:rPr>
          <w:spacing w:val="-17"/>
        </w:rPr>
        <w:t xml:space="preserve"> </w:t>
      </w:r>
      <w:r>
        <w:t>reviews.</w:t>
      </w:r>
    </w:p>
    <w:p w:rsidR="00D569AB" w:rsidRDefault="00D569AB">
      <w:pPr>
        <w:pStyle w:val="BodyText"/>
        <w:spacing w:before="8"/>
        <w:rPr>
          <w:sz w:val="27"/>
        </w:rPr>
      </w:pPr>
    </w:p>
    <w:p w:rsidR="00D569AB" w:rsidRDefault="00712372">
      <w:pPr>
        <w:pStyle w:val="BodyText"/>
        <w:spacing w:line="276" w:lineRule="auto"/>
        <w:ind w:left="100" w:right="378"/>
      </w:pPr>
      <w:r>
        <w:t>The anticipated response rate is 100 percent due to the statutory requirements at section 1902(a</w:t>
      </w:r>
      <w:proofErr w:type="gramStart"/>
      <w:r>
        <w:t>)(</w:t>
      </w:r>
      <w:proofErr w:type="gramEnd"/>
      <w:r>
        <w:t>6) of the Act and Section 2107(b)(1) of the Act that require S</w:t>
      </w:r>
      <w:r>
        <w:t>tates to provide information necessary for the Secretary to monitor program performance.</w:t>
      </w:r>
    </w:p>
    <w:p w:rsidR="00D569AB" w:rsidRDefault="00D569AB">
      <w:pPr>
        <w:pStyle w:val="BodyText"/>
        <w:spacing w:before="7"/>
        <w:rPr>
          <w:sz w:val="27"/>
        </w:rPr>
      </w:pPr>
    </w:p>
    <w:p w:rsidR="00D569AB" w:rsidRDefault="00712372">
      <w:pPr>
        <w:pStyle w:val="ListParagraph"/>
        <w:numPr>
          <w:ilvl w:val="0"/>
          <w:numId w:val="1"/>
        </w:numPr>
        <w:tabs>
          <w:tab w:val="left" w:pos="676"/>
          <w:tab w:val="left" w:pos="677"/>
        </w:tabs>
        <w:ind w:left="676"/>
        <w:rPr>
          <w:sz w:val="24"/>
        </w:rPr>
      </w:pPr>
      <w:r>
        <w:rPr>
          <w:sz w:val="24"/>
          <w:u w:val="single"/>
        </w:rPr>
        <w:t>Describe procedures for collecting</w:t>
      </w:r>
      <w:r>
        <w:rPr>
          <w:spacing w:val="-37"/>
          <w:sz w:val="24"/>
          <w:u w:val="single"/>
        </w:rPr>
        <w:t xml:space="preserve"> </w:t>
      </w:r>
      <w:r>
        <w:rPr>
          <w:sz w:val="24"/>
          <w:u w:val="single"/>
        </w:rPr>
        <w:t>information.</w:t>
      </w:r>
    </w:p>
    <w:p w:rsidR="00D569AB" w:rsidRDefault="00D569AB">
      <w:pPr>
        <w:pStyle w:val="BodyText"/>
        <w:spacing w:before="2"/>
        <w:rPr>
          <w:sz w:val="22"/>
        </w:rPr>
      </w:pPr>
    </w:p>
    <w:p w:rsidR="00D569AB" w:rsidRDefault="00712372">
      <w:pPr>
        <w:pStyle w:val="BodyText"/>
        <w:spacing w:before="100" w:line="276" w:lineRule="auto"/>
        <w:ind w:left="100" w:right="234"/>
      </w:pPr>
      <w:r>
        <w:t>In the first year of each State’s eligibility measurement, we determined a case sample size of 504 active and 204 negative cases (per State using an assumed error rate of 5 percent).</w:t>
      </w:r>
    </w:p>
    <w:p w:rsidR="00D569AB" w:rsidRDefault="00712372">
      <w:pPr>
        <w:pStyle w:val="BodyText"/>
        <w:spacing w:line="276" w:lineRule="auto"/>
        <w:ind w:left="100" w:right="234"/>
      </w:pPr>
      <w:r>
        <w:t>In subsequent years, the actual sample size for each State will be estima</w:t>
      </w:r>
      <w:r>
        <w:t>ted to achieve a 95 percent confidence level (using the mid-point of the confidence interval) within three percent precision.</w:t>
      </w:r>
    </w:p>
    <w:p w:rsidR="00D569AB" w:rsidRDefault="00D569AB">
      <w:pPr>
        <w:pStyle w:val="BodyText"/>
        <w:spacing w:before="6"/>
        <w:rPr>
          <w:sz w:val="27"/>
        </w:rPr>
      </w:pPr>
    </w:p>
    <w:p w:rsidR="00D569AB" w:rsidRDefault="00712372">
      <w:pPr>
        <w:pStyle w:val="BodyText"/>
        <w:spacing w:line="278" w:lineRule="auto"/>
        <w:ind w:left="100" w:right="90"/>
      </w:pPr>
      <w:r>
        <w:t>In order to meet the requirements of IPIA, all selected States must participate.</w:t>
      </w:r>
    </w:p>
    <w:p w:rsidR="00D569AB" w:rsidRDefault="00D569AB">
      <w:pPr>
        <w:pStyle w:val="BodyText"/>
        <w:spacing w:before="2"/>
        <w:rPr>
          <w:sz w:val="27"/>
        </w:rPr>
      </w:pPr>
    </w:p>
    <w:p w:rsidR="00D569AB" w:rsidRDefault="00712372">
      <w:pPr>
        <w:pStyle w:val="ListParagraph"/>
        <w:numPr>
          <w:ilvl w:val="0"/>
          <w:numId w:val="1"/>
        </w:numPr>
        <w:tabs>
          <w:tab w:val="left" w:pos="676"/>
          <w:tab w:val="left" w:pos="677"/>
        </w:tabs>
        <w:ind w:left="676"/>
        <w:rPr>
          <w:sz w:val="24"/>
        </w:rPr>
      </w:pPr>
      <w:r>
        <w:rPr>
          <w:sz w:val="24"/>
          <w:u w:val="single"/>
        </w:rPr>
        <w:t>Describe methods to maximize response</w:t>
      </w:r>
      <w:r>
        <w:rPr>
          <w:spacing w:val="-35"/>
          <w:sz w:val="24"/>
          <w:u w:val="single"/>
        </w:rPr>
        <w:t xml:space="preserve"> </w:t>
      </w:r>
      <w:r>
        <w:rPr>
          <w:sz w:val="24"/>
          <w:u w:val="single"/>
        </w:rPr>
        <w:t>rates.</w:t>
      </w:r>
    </w:p>
    <w:p w:rsidR="00D569AB" w:rsidRDefault="00D569AB">
      <w:pPr>
        <w:rPr>
          <w:sz w:val="24"/>
        </w:rPr>
        <w:sectPr w:rsidR="00D569AB">
          <w:type w:val="continuous"/>
          <w:pgSz w:w="12240" w:h="15840"/>
          <w:pgMar w:top="1360" w:right="1400" w:bottom="280" w:left="1700" w:header="720" w:footer="720" w:gutter="0"/>
          <w:cols w:space="720"/>
        </w:sectPr>
      </w:pPr>
    </w:p>
    <w:p w:rsidR="00D569AB" w:rsidRDefault="00712372">
      <w:pPr>
        <w:pStyle w:val="BodyText"/>
        <w:tabs>
          <w:tab w:val="left" w:pos="7588"/>
        </w:tabs>
        <w:spacing w:before="87" w:line="276" w:lineRule="auto"/>
        <w:ind w:left="100" w:right="109"/>
      </w:pPr>
      <w:r>
        <w:lastRenderedPageBreak/>
        <w:t>We will depend on States to provide</w:t>
      </w:r>
      <w:r>
        <w:rPr>
          <w:spacing w:val="-29"/>
        </w:rPr>
        <w:t xml:space="preserve"> </w:t>
      </w:r>
      <w:r>
        <w:t>reliable</w:t>
      </w:r>
      <w:r>
        <w:rPr>
          <w:spacing w:val="-4"/>
        </w:rPr>
        <w:t xml:space="preserve"> </w:t>
      </w:r>
      <w:r>
        <w:t>data.</w:t>
      </w:r>
      <w:r>
        <w:tab/>
        <w:t>The</w:t>
      </w:r>
      <w:r>
        <w:rPr>
          <w:spacing w:val="-8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are reporting findings monthly and on an annual basis for the year selected for review (once every three</w:t>
      </w:r>
      <w:r>
        <w:rPr>
          <w:spacing w:val="-36"/>
        </w:rPr>
        <w:t xml:space="preserve"> </w:t>
      </w:r>
      <w:r>
        <w:t>years).</w:t>
      </w:r>
    </w:p>
    <w:p w:rsidR="00D569AB" w:rsidRDefault="00D569AB">
      <w:pPr>
        <w:pStyle w:val="BodyText"/>
        <w:spacing w:before="5"/>
        <w:rPr>
          <w:sz w:val="27"/>
        </w:rPr>
      </w:pPr>
    </w:p>
    <w:p w:rsidR="00D569AB" w:rsidRDefault="00712372">
      <w:pPr>
        <w:pStyle w:val="ListParagraph"/>
        <w:numPr>
          <w:ilvl w:val="0"/>
          <w:numId w:val="1"/>
        </w:numPr>
        <w:tabs>
          <w:tab w:val="left" w:pos="676"/>
          <w:tab w:val="left" w:pos="677"/>
        </w:tabs>
        <w:ind w:left="676"/>
        <w:rPr>
          <w:sz w:val="24"/>
        </w:rPr>
      </w:pPr>
      <w:r>
        <w:rPr>
          <w:sz w:val="24"/>
          <w:u w:val="single"/>
        </w:rPr>
        <w:t>Describe any tests of procedures or</w:t>
      </w:r>
      <w:r>
        <w:rPr>
          <w:spacing w:val="-34"/>
          <w:sz w:val="24"/>
          <w:u w:val="single"/>
        </w:rPr>
        <w:t xml:space="preserve"> </w:t>
      </w:r>
      <w:r>
        <w:rPr>
          <w:sz w:val="24"/>
          <w:u w:val="single"/>
        </w:rPr>
        <w:t>methods.</w:t>
      </w:r>
    </w:p>
    <w:p w:rsidR="00D569AB" w:rsidRDefault="00D569AB">
      <w:pPr>
        <w:pStyle w:val="BodyText"/>
        <w:spacing w:before="4"/>
        <w:rPr>
          <w:sz w:val="22"/>
        </w:rPr>
      </w:pPr>
    </w:p>
    <w:p w:rsidR="00D569AB" w:rsidRDefault="00712372">
      <w:pPr>
        <w:pStyle w:val="BodyText"/>
        <w:spacing w:before="101"/>
        <w:ind w:left="100"/>
      </w:pPr>
      <w:r>
        <w:t>Not applicable.</w:t>
      </w:r>
    </w:p>
    <w:p w:rsidR="00D569AB" w:rsidRDefault="00D569AB">
      <w:pPr>
        <w:pStyle w:val="BodyText"/>
        <w:rPr>
          <w:sz w:val="26"/>
        </w:rPr>
      </w:pPr>
    </w:p>
    <w:p w:rsidR="00D569AB" w:rsidRDefault="00D569AB">
      <w:pPr>
        <w:pStyle w:val="BodyText"/>
        <w:spacing w:before="10"/>
        <w:rPr>
          <w:sz w:val="22"/>
        </w:rPr>
      </w:pPr>
    </w:p>
    <w:p w:rsidR="00D569AB" w:rsidRDefault="00712372">
      <w:pPr>
        <w:pStyle w:val="ListParagraph"/>
        <w:numPr>
          <w:ilvl w:val="0"/>
          <w:numId w:val="1"/>
        </w:numPr>
        <w:tabs>
          <w:tab w:val="left" w:pos="676"/>
          <w:tab w:val="left" w:pos="677"/>
        </w:tabs>
        <w:spacing w:line="276" w:lineRule="auto"/>
        <w:ind w:right="685" w:firstLine="0"/>
        <w:rPr>
          <w:sz w:val="24"/>
        </w:rPr>
      </w:pPr>
      <w:r>
        <w:rPr>
          <w:sz w:val="24"/>
          <w:u w:val="single"/>
        </w:rPr>
        <w:t>Provide the names and telephone numbers of</w:t>
      </w:r>
      <w:r>
        <w:rPr>
          <w:spacing w:val="-40"/>
          <w:sz w:val="24"/>
          <w:u w:val="single"/>
        </w:rPr>
        <w:t xml:space="preserve"> </w:t>
      </w:r>
      <w:r>
        <w:rPr>
          <w:sz w:val="24"/>
          <w:u w:val="single"/>
        </w:rPr>
        <w:t>individuals consulted on the statistical</w:t>
      </w:r>
      <w:r>
        <w:rPr>
          <w:spacing w:val="-30"/>
          <w:sz w:val="24"/>
          <w:u w:val="single"/>
        </w:rPr>
        <w:t xml:space="preserve"> </w:t>
      </w:r>
      <w:r>
        <w:rPr>
          <w:sz w:val="24"/>
          <w:u w:val="single"/>
        </w:rPr>
        <w:t>aspects.</w:t>
      </w:r>
    </w:p>
    <w:p w:rsidR="00D569AB" w:rsidRDefault="00712372">
      <w:pPr>
        <w:pStyle w:val="BodyText"/>
        <w:spacing w:before="198" w:line="276" w:lineRule="auto"/>
        <w:ind w:left="100" w:right="234"/>
      </w:pPr>
      <w:proofErr w:type="spellStart"/>
      <w:r>
        <w:t>Livanta</w:t>
      </w:r>
      <w:proofErr w:type="spellEnd"/>
      <w:r>
        <w:t xml:space="preserve"> LLC, The </w:t>
      </w:r>
      <w:proofErr w:type="spellStart"/>
      <w:r>
        <w:t>Lewin</w:t>
      </w:r>
      <w:proofErr w:type="spellEnd"/>
      <w:r>
        <w:t xml:space="preserve"> Group, and the CMS Region 2 statistician consulted on the statistical methodology of this project and the applicable data substitution provi</w:t>
      </w:r>
      <w:r>
        <w:t>sions.</w:t>
      </w:r>
    </w:p>
    <w:sectPr w:rsidR="00D569AB">
      <w:pgSz w:w="12240" w:h="15840"/>
      <w:pgMar w:top="1360" w:right="14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29F9"/>
    <w:multiLevelType w:val="hybridMultilevel"/>
    <w:tmpl w:val="CD3ABDA2"/>
    <w:lvl w:ilvl="0" w:tplc="9752CC78">
      <w:start w:val="1"/>
      <w:numFmt w:val="decimal"/>
      <w:lvlText w:val="%1."/>
      <w:lvlJc w:val="left"/>
      <w:pPr>
        <w:ind w:left="100" w:hanging="576"/>
        <w:jc w:val="left"/>
      </w:pPr>
      <w:rPr>
        <w:rFonts w:hint="default"/>
        <w:spacing w:val="-1"/>
        <w:u w:val="single" w:color="000000"/>
      </w:rPr>
    </w:lvl>
    <w:lvl w:ilvl="1" w:tplc="AEB857F6">
      <w:numFmt w:val="bullet"/>
      <w:lvlText w:val="•"/>
      <w:lvlJc w:val="left"/>
      <w:pPr>
        <w:ind w:left="1004" w:hanging="576"/>
      </w:pPr>
      <w:rPr>
        <w:rFonts w:hint="default"/>
      </w:rPr>
    </w:lvl>
    <w:lvl w:ilvl="2" w:tplc="C948536E">
      <w:numFmt w:val="bullet"/>
      <w:lvlText w:val="•"/>
      <w:lvlJc w:val="left"/>
      <w:pPr>
        <w:ind w:left="1908" w:hanging="576"/>
      </w:pPr>
      <w:rPr>
        <w:rFonts w:hint="default"/>
      </w:rPr>
    </w:lvl>
    <w:lvl w:ilvl="3" w:tplc="1B4C93F4">
      <w:numFmt w:val="bullet"/>
      <w:lvlText w:val="•"/>
      <w:lvlJc w:val="left"/>
      <w:pPr>
        <w:ind w:left="2812" w:hanging="576"/>
      </w:pPr>
      <w:rPr>
        <w:rFonts w:hint="default"/>
      </w:rPr>
    </w:lvl>
    <w:lvl w:ilvl="4" w:tplc="7C8206BC">
      <w:numFmt w:val="bullet"/>
      <w:lvlText w:val="•"/>
      <w:lvlJc w:val="left"/>
      <w:pPr>
        <w:ind w:left="3716" w:hanging="576"/>
      </w:pPr>
      <w:rPr>
        <w:rFonts w:hint="default"/>
      </w:rPr>
    </w:lvl>
    <w:lvl w:ilvl="5" w:tplc="BE8EECFA">
      <w:numFmt w:val="bullet"/>
      <w:lvlText w:val="•"/>
      <w:lvlJc w:val="left"/>
      <w:pPr>
        <w:ind w:left="4620" w:hanging="576"/>
      </w:pPr>
      <w:rPr>
        <w:rFonts w:hint="default"/>
      </w:rPr>
    </w:lvl>
    <w:lvl w:ilvl="6" w:tplc="B0F4F08C">
      <w:numFmt w:val="bullet"/>
      <w:lvlText w:val="•"/>
      <w:lvlJc w:val="left"/>
      <w:pPr>
        <w:ind w:left="5524" w:hanging="576"/>
      </w:pPr>
      <w:rPr>
        <w:rFonts w:hint="default"/>
      </w:rPr>
    </w:lvl>
    <w:lvl w:ilvl="7" w:tplc="C1B6FCB6">
      <w:numFmt w:val="bullet"/>
      <w:lvlText w:val="•"/>
      <w:lvlJc w:val="left"/>
      <w:pPr>
        <w:ind w:left="6428" w:hanging="576"/>
      </w:pPr>
      <w:rPr>
        <w:rFonts w:hint="default"/>
      </w:rPr>
    </w:lvl>
    <w:lvl w:ilvl="8" w:tplc="90546960">
      <w:numFmt w:val="bullet"/>
      <w:lvlText w:val="•"/>
      <w:lvlJc w:val="left"/>
      <w:pPr>
        <w:ind w:left="7332" w:hanging="5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AB"/>
    <w:rsid w:val="00712372"/>
    <w:rsid w:val="00D5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3F0A14-3E21-43B7-944C-7F5D2604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76" w:hanging="57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WILLIAM PARHAM</cp:lastModifiedBy>
  <cp:revision>2</cp:revision>
  <dcterms:created xsi:type="dcterms:W3CDTF">2017-03-22T17:06:00Z</dcterms:created>
  <dcterms:modified xsi:type="dcterms:W3CDTF">2017-03-22T17:06:00Z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2017-03-22T00:00:00Z</vt:filetime>
  </property>
</Properties>
</file>