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A7" w:rsidRPr="00D21A9B" w:rsidRDefault="00D57AA7">
      <w:pPr>
        <w:jc w:val="center"/>
      </w:pPr>
      <w:r w:rsidRPr="00D21A9B">
        <w:t>Department of Justice</w:t>
      </w:r>
    </w:p>
    <w:p w:rsidR="00D57AA7" w:rsidRPr="00D21A9B" w:rsidRDefault="00D57AA7">
      <w:pPr>
        <w:jc w:val="center"/>
      </w:pPr>
      <w:r w:rsidRPr="00D21A9B">
        <w:t>Bureau of Alcohol, Tobacco, Firearms and Explosives</w:t>
      </w:r>
    </w:p>
    <w:p w:rsidR="00D57AA7" w:rsidRPr="00D21A9B" w:rsidRDefault="00D57AA7">
      <w:pPr>
        <w:jc w:val="center"/>
      </w:pPr>
      <w:r w:rsidRPr="00D21A9B">
        <w:t>Information Collection Request</w:t>
      </w:r>
    </w:p>
    <w:p w:rsidR="00D57AA7" w:rsidRPr="00D21A9B" w:rsidRDefault="00D57AA7">
      <w:pPr>
        <w:jc w:val="center"/>
      </w:pPr>
    </w:p>
    <w:p w:rsidR="00D57AA7" w:rsidRPr="00D21A9B" w:rsidRDefault="00D57AA7">
      <w:pPr>
        <w:jc w:val="center"/>
      </w:pPr>
      <w:r w:rsidRPr="00D21A9B">
        <w:t>Notification of Change of Mailing or Premise Address</w:t>
      </w:r>
    </w:p>
    <w:p w:rsidR="00D57AA7" w:rsidRPr="00D21A9B" w:rsidRDefault="00D57AA7">
      <w:pPr>
        <w:jc w:val="center"/>
      </w:pPr>
      <w:r w:rsidRPr="00D21A9B">
        <w:t>O</w:t>
      </w:r>
      <w:r w:rsidR="00D21A9B" w:rsidRPr="00D21A9B">
        <w:t>M</w:t>
      </w:r>
      <w:r w:rsidRPr="00D21A9B">
        <w:t>B Number 1140-0080</w:t>
      </w:r>
    </w:p>
    <w:p w:rsidR="00D57AA7" w:rsidRPr="00D21A9B" w:rsidRDefault="00D57AA7">
      <w:pPr>
        <w:jc w:val="center"/>
      </w:pPr>
    </w:p>
    <w:p w:rsidR="00D57AA7" w:rsidRPr="00D21A9B" w:rsidRDefault="00D57AA7">
      <w:pPr>
        <w:rPr>
          <w:b/>
          <w:bCs/>
        </w:rPr>
      </w:pPr>
      <w:r w:rsidRPr="00D21A9B">
        <w:rPr>
          <w:b/>
          <w:bCs/>
        </w:rPr>
        <w:t>A.</w:t>
      </w:r>
      <w:r w:rsidRPr="00D21A9B">
        <w:rPr>
          <w:b/>
          <w:bCs/>
        </w:rPr>
        <w:tab/>
        <w:t>Justification</w:t>
      </w:r>
    </w:p>
    <w:p w:rsidR="00D57AA7" w:rsidRPr="00D21A9B" w:rsidRDefault="00D57AA7">
      <w:pPr>
        <w:rPr>
          <w:b/>
          <w:bCs/>
        </w:rPr>
      </w:pPr>
    </w:p>
    <w:p w:rsidR="00EE2A99" w:rsidRPr="00D21A9B" w:rsidRDefault="00EE2A99">
      <w:pPr>
        <w:numPr>
          <w:ilvl w:val="0"/>
          <w:numId w:val="1"/>
        </w:numPr>
        <w:rPr>
          <w:u w:val="single"/>
        </w:rPr>
      </w:pPr>
      <w:r w:rsidRPr="00D21A9B">
        <w:rPr>
          <w:u w:val="single"/>
        </w:rPr>
        <w:t>Necessity of Information Collection</w:t>
      </w:r>
    </w:p>
    <w:p w:rsidR="00EE2A99" w:rsidRPr="00D21A9B" w:rsidRDefault="00EE2A99" w:rsidP="00EE2A99">
      <w:pPr>
        <w:ind w:left="360"/>
      </w:pPr>
    </w:p>
    <w:p w:rsidR="006D2E9B" w:rsidRPr="00D21A9B" w:rsidRDefault="00D57AA7" w:rsidP="00EE2A99">
      <w:pPr>
        <w:ind w:left="1080"/>
      </w:pPr>
      <w:r w:rsidRPr="00D21A9B">
        <w:t xml:space="preserve">ATF is charged with the responsibility for enforcing Title XI of the Organized Crime Control Act (Act) of 1970 and the implementing regulations contained at 27 CFR, Part 555.  Subtitle C of Public Law No. 107-296, the Safe Explosive Act, enacted November 25, 2003, amended various aspects of the Act.  18 U.S.C., Section 842 (f) requires licensees and permittees who manufacture, import, purchase, distribute, or receive explosive materials to keep certain records as required by regulation.  18 U.S.C. Section 842 (j) requires persons to provide adequate storage facilities for the types and quantities of explosives being stored.  Section 843 (f), states that federal explosives licensees and permittees shall make their records available </w:t>
      </w:r>
      <w:r w:rsidR="00AF5847" w:rsidRPr="00D21A9B">
        <w:t xml:space="preserve">for inspection by the Attorney General.  </w:t>
      </w:r>
    </w:p>
    <w:p w:rsidR="006D2E9B" w:rsidRPr="00D21A9B" w:rsidRDefault="006D2E9B" w:rsidP="00EE2A99">
      <w:pPr>
        <w:ind w:left="1080"/>
      </w:pPr>
    </w:p>
    <w:p w:rsidR="00D57AA7" w:rsidRPr="00D21A9B" w:rsidRDefault="006D2E9B" w:rsidP="00EE2A99">
      <w:pPr>
        <w:ind w:left="1080"/>
      </w:pPr>
      <w:r w:rsidRPr="00D21A9B">
        <w:t xml:space="preserve">During the term of a license or permit, a licensee or permittee may move his </w:t>
      </w:r>
      <w:proofErr w:type="gramStart"/>
      <w:r w:rsidRPr="00D21A9B">
        <w:t>business</w:t>
      </w:r>
      <w:proofErr w:type="gramEnd"/>
      <w:r w:rsidRPr="00D21A9B">
        <w:t xml:space="preserve"> or operations to a new address at which he intends to regularly carry on his business or operations, without procuring a new license or permit.  However, in every case, the licensee or permittee shall notify the Chief, F</w:t>
      </w:r>
      <w:r w:rsidR="00947A20">
        <w:t xml:space="preserve">ederal </w:t>
      </w:r>
      <w:r w:rsidRPr="00D21A9B">
        <w:t xml:space="preserve">Explosives Licensing Center of the change.  </w:t>
      </w:r>
      <w:r w:rsidR="00AF5847" w:rsidRPr="00D21A9B">
        <w:t>This collection of information is contained in 27 CFR 555.54 which states that licensees and permittees whose mailing address will change must</w:t>
      </w:r>
      <w:r w:rsidR="002F12FD" w:rsidRPr="00D21A9B">
        <w:t xml:space="preserve"> notify the Chief, Federal </w:t>
      </w:r>
      <w:r w:rsidR="00AF5847" w:rsidRPr="00D21A9B">
        <w:t>Explosives Licensing Center, at least 10 days before the change.</w:t>
      </w:r>
    </w:p>
    <w:p w:rsidR="00D57AA7" w:rsidRPr="00D21A9B" w:rsidRDefault="00D57AA7">
      <w:pPr>
        <w:ind w:left="360"/>
      </w:pPr>
    </w:p>
    <w:p w:rsidR="00EE2A99" w:rsidRPr="00D21A9B" w:rsidRDefault="00EE2A99">
      <w:pPr>
        <w:numPr>
          <w:ilvl w:val="0"/>
          <w:numId w:val="1"/>
        </w:numPr>
        <w:rPr>
          <w:u w:val="single"/>
        </w:rPr>
      </w:pPr>
      <w:r w:rsidRPr="00D21A9B">
        <w:rPr>
          <w:u w:val="single"/>
        </w:rPr>
        <w:t>Needs and Uses</w:t>
      </w:r>
    </w:p>
    <w:p w:rsidR="00EE2A99" w:rsidRPr="00D21A9B" w:rsidRDefault="00EE2A99" w:rsidP="00EE2A99">
      <w:pPr>
        <w:ind w:left="360"/>
      </w:pPr>
    </w:p>
    <w:p w:rsidR="00D57AA7" w:rsidRPr="00D21A9B" w:rsidRDefault="00D57AA7" w:rsidP="00EE2A99">
      <w:pPr>
        <w:ind w:left="1080"/>
      </w:pPr>
      <w:r w:rsidRPr="00D21A9B">
        <w:t>This information will be used by ATF to identify correct locations of explosives licensees/permittees and location of storage of explosive materials for purposes of inspection, as well as to notify permittee/licensees of any changes in regulation or law that may affect their business activities.</w:t>
      </w:r>
    </w:p>
    <w:p w:rsidR="00EE2A99" w:rsidRPr="00D21A9B" w:rsidRDefault="00EE2A99" w:rsidP="00EE2A99">
      <w:pPr>
        <w:ind w:left="1080"/>
      </w:pPr>
    </w:p>
    <w:p w:rsidR="00EE2A99" w:rsidRPr="00D21A9B" w:rsidRDefault="00EE2A99">
      <w:pPr>
        <w:numPr>
          <w:ilvl w:val="0"/>
          <w:numId w:val="1"/>
        </w:numPr>
        <w:rPr>
          <w:u w:val="single"/>
        </w:rPr>
      </w:pPr>
      <w:r w:rsidRPr="00D21A9B">
        <w:rPr>
          <w:u w:val="single"/>
        </w:rPr>
        <w:t>Use of Information Technology</w:t>
      </w:r>
    </w:p>
    <w:p w:rsidR="00EE2A99" w:rsidRPr="00D21A9B" w:rsidRDefault="00EE2A99" w:rsidP="00EE2A99">
      <w:pPr>
        <w:ind w:left="360"/>
      </w:pPr>
    </w:p>
    <w:p w:rsidR="0037401C" w:rsidRPr="00D21A9B" w:rsidRDefault="00D57AA7" w:rsidP="00EE2A99">
      <w:pPr>
        <w:ind w:left="1080"/>
      </w:pPr>
      <w:r w:rsidRPr="00D21A9B">
        <w:t>Notices of changes of addresses will be</w:t>
      </w:r>
      <w:r w:rsidR="002F12FD" w:rsidRPr="00D21A9B">
        <w:t xml:space="preserve"> made via letter</w:t>
      </w:r>
      <w:r w:rsidR="00F85CCE">
        <w:t>, fax</w:t>
      </w:r>
      <w:r w:rsidR="007D2036">
        <w:t xml:space="preserve"> (304-616-4401)</w:t>
      </w:r>
      <w:r w:rsidR="00F85CCE">
        <w:t xml:space="preserve"> or email</w:t>
      </w:r>
      <w:r w:rsidR="007D2036">
        <w:t xml:space="preserve"> (FELC@atf.gov)</w:t>
      </w:r>
      <w:r w:rsidR="002F12FD" w:rsidRPr="00D21A9B">
        <w:t xml:space="preserve"> to the Federal Explosives </w:t>
      </w:r>
      <w:r w:rsidRPr="00D21A9B">
        <w:t>Licensing Cen</w:t>
      </w:r>
      <w:r w:rsidR="00570936">
        <w:t xml:space="preserve">ter. </w:t>
      </w:r>
      <w:r w:rsidR="0037401C" w:rsidRPr="00D21A9B">
        <w:t xml:space="preserve"> The Federal Explosive</w:t>
      </w:r>
      <w:r w:rsidR="00947A20">
        <w:t>s</w:t>
      </w:r>
      <w:r w:rsidR="0037401C" w:rsidRPr="00D21A9B">
        <w:t xml:space="preserve"> Licensing Center requires that the </w:t>
      </w:r>
      <w:r w:rsidR="00947A20">
        <w:t xml:space="preserve">federal </w:t>
      </w:r>
      <w:r w:rsidR="0037401C" w:rsidRPr="00D21A9B">
        <w:t>explosives license</w:t>
      </w:r>
      <w:r w:rsidR="00F85CCE">
        <w:t>e/permittee (FEL) supply  notification within 10 days</w:t>
      </w:r>
      <w:r w:rsidR="0037401C" w:rsidRPr="00D21A9B">
        <w:t xml:space="preserve"> showing </w:t>
      </w:r>
      <w:r w:rsidR="00F85CCE">
        <w:t xml:space="preserve">the </w:t>
      </w:r>
      <w:r w:rsidR="00F85CCE">
        <w:lastRenderedPageBreak/>
        <w:t>change, and must be submitted</w:t>
      </w:r>
      <w:r w:rsidR="0037401C" w:rsidRPr="00D21A9B">
        <w:t xml:space="preserve"> by a Responsible Person listed on the license/permit who has the authority </w:t>
      </w:r>
      <w:r w:rsidR="00F85CCE">
        <w:t xml:space="preserve">to make such a change. </w:t>
      </w:r>
      <w:r w:rsidR="0037401C" w:rsidRPr="00D21A9B">
        <w:t xml:space="preserve"> </w:t>
      </w:r>
    </w:p>
    <w:p w:rsidR="0037401C" w:rsidRPr="00D21A9B" w:rsidRDefault="0037401C" w:rsidP="00EE2A99">
      <w:pPr>
        <w:ind w:left="1080"/>
      </w:pPr>
    </w:p>
    <w:p w:rsidR="00D57AA7" w:rsidRPr="00D21A9B" w:rsidRDefault="00F85CCE" w:rsidP="00EE2A99">
      <w:pPr>
        <w:ind w:left="1080"/>
      </w:pPr>
      <w:r>
        <w:t>If</w:t>
      </w:r>
      <w:r w:rsidR="0037401C" w:rsidRPr="00D21A9B">
        <w:t xml:space="preserve"> an FEL were to provide this notification online, there is no means to provide an</w:t>
      </w:r>
      <w:r>
        <w:t xml:space="preserve"> electronic signature. </w:t>
      </w:r>
      <w:r w:rsidR="0037401C" w:rsidRPr="00D21A9B">
        <w:t xml:space="preserve"> Currently, ATF does not have the capability of </w:t>
      </w:r>
      <w:r>
        <w:t xml:space="preserve">accepting notifications online, nor the acceptance of an </w:t>
      </w:r>
      <w:r w:rsidR="0037401C" w:rsidRPr="00D21A9B">
        <w:t>electronic signature</w:t>
      </w:r>
      <w:r w:rsidR="00D57AA7" w:rsidRPr="00D21A9B">
        <w:t>.</w:t>
      </w:r>
    </w:p>
    <w:p w:rsidR="00D57AA7" w:rsidRPr="00D21A9B" w:rsidRDefault="00D57AA7"/>
    <w:p w:rsidR="00EE2A99" w:rsidRPr="00D21A9B" w:rsidRDefault="00EE2A99">
      <w:pPr>
        <w:numPr>
          <w:ilvl w:val="0"/>
          <w:numId w:val="1"/>
        </w:numPr>
        <w:rPr>
          <w:u w:val="single"/>
        </w:rPr>
      </w:pPr>
      <w:r w:rsidRPr="00D21A9B">
        <w:rPr>
          <w:u w:val="single"/>
        </w:rPr>
        <w:t>Efforts to Identify Duplication</w:t>
      </w:r>
    </w:p>
    <w:p w:rsidR="00EE2A99" w:rsidRPr="00D21A9B" w:rsidRDefault="00EE2A99" w:rsidP="00EE2A99">
      <w:pPr>
        <w:ind w:left="360"/>
      </w:pPr>
    </w:p>
    <w:p w:rsidR="00D57AA7" w:rsidRPr="00D21A9B" w:rsidRDefault="00F85CCE" w:rsidP="00EE2A99">
      <w:pPr>
        <w:ind w:left="1080"/>
      </w:pPr>
      <w:r>
        <w:t>ATF uses a</w:t>
      </w:r>
      <w:r w:rsidR="00F85393" w:rsidRPr="00D21A9B">
        <w:t xml:space="preserve"> uniform subject classification system to identify duplication and to ensure that any similar information already available cannot be used or modified for use for the purpose of this information collection.  There is no duplication associated with this collection</w:t>
      </w:r>
      <w:r w:rsidR="00D57AA7" w:rsidRPr="00D21A9B">
        <w:t>.</w:t>
      </w:r>
    </w:p>
    <w:p w:rsidR="00D57AA7" w:rsidRPr="00D21A9B" w:rsidRDefault="00D57AA7"/>
    <w:p w:rsidR="00EE2A99" w:rsidRPr="00D21A9B" w:rsidRDefault="00EE2A99">
      <w:pPr>
        <w:numPr>
          <w:ilvl w:val="0"/>
          <w:numId w:val="1"/>
        </w:numPr>
        <w:rPr>
          <w:u w:val="single"/>
        </w:rPr>
      </w:pPr>
      <w:r w:rsidRPr="00D21A9B">
        <w:rPr>
          <w:u w:val="single"/>
        </w:rPr>
        <w:t>Minimizing Burden on Small Businesses</w:t>
      </w:r>
    </w:p>
    <w:p w:rsidR="00EE2A99" w:rsidRPr="00D21A9B" w:rsidRDefault="00EE2A99" w:rsidP="00EE2A99">
      <w:pPr>
        <w:ind w:left="360"/>
      </w:pPr>
    </w:p>
    <w:p w:rsidR="00D57AA7" w:rsidRPr="00D21A9B" w:rsidRDefault="00D57AA7" w:rsidP="00EE2A99">
      <w:pPr>
        <w:ind w:left="1080"/>
      </w:pPr>
      <w:r w:rsidRPr="00D21A9B">
        <w:t>This co</w:t>
      </w:r>
      <w:r w:rsidR="00F85393" w:rsidRPr="00D21A9B">
        <w:t xml:space="preserve">llection will not </w:t>
      </w:r>
      <w:r w:rsidRPr="00D21A9B">
        <w:t>affect small businesses.</w:t>
      </w:r>
    </w:p>
    <w:p w:rsidR="00D57AA7" w:rsidRPr="00D21A9B" w:rsidRDefault="00D57AA7"/>
    <w:p w:rsidR="00EE2A99" w:rsidRPr="00D21A9B" w:rsidRDefault="00EE2A99">
      <w:pPr>
        <w:numPr>
          <w:ilvl w:val="0"/>
          <w:numId w:val="1"/>
        </w:numPr>
        <w:rPr>
          <w:u w:val="single"/>
        </w:rPr>
      </w:pPr>
      <w:r w:rsidRPr="00D21A9B">
        <w:rPr>
          <w:u w:val="single"/>
        </w:rPr>
        <w:t>Consequences of not conducting or less frequent Collection</w:t>
      </w:r>
    </w:p>
    <w:p w:rsidR="00EE2A99" w:rsidRPr="00D21A9B" w:rsidRDefault="00EE2A99" w:rsidP="00EE2A99">
      <w:pPr>
        <w:ind w:left="360"/>
      </w:pPr>
    </w:p>
    <w:p w:rsidR="00D57AA7" w:rsidRPr="00D21A9B" w:rsidRDefault="002F12FD" w:rsidP="00EE2A99">
      <w:pPr>
        <w:ind w:left="1080"/>
      </w:pPr>
      <w:r w:rsidRPr="00D21A9B">
        <w:t>The consequences of not conducting this information collection would result in ATF not being able to locate licensees and permittees and storage of their explosive materials.</w:t>
      </w:r>
    </w:p>
    <w:p w:rsidR="00D57AA7" w:rsidRPr="00D21A9B" w:rsidRDefault="00D57AA7"/>
    <w:p w:rsidR="00EE2A99" w:rsidRPr="00D21A9B" w:rsidRDefault="00EE2A99">
      <w:pPr>
        <w:numPr>
          <w:ilvl w:val="0"/>
          <w:numId w:val="1"/>
        </w:numPr>
        <w:rPr>
          <w:u w:val="single"/>
        </w:rPr>
      </w:pPr>
      <w:r w:rsidRPr="00D21A9B">
        <w:rPr>
          <w:u w:val="single"/>
        </w:rPr>
        <w:t>Special Circumstances</w:t>
      </w:r>
    </w:p>
    <w:p w:rsidR="00EE2A99" w:rsidRPr="00D21A9B" w:rsidRDefault="00EE2A99" w:rsidP="00EE2A99">
      <w:pPr>
        <w:ind w:left="360"/>
      </w:pPr>
    </w:p>
    <w:p w:rsidR="00D57AA7" w:rsidRPr="00D21A9B" w:rsidRDefault="002F12FD" w:rsidP="00EE2A99">
      <w:pPr>
        <w:ind w:left="1080"/>
      </w:pPr>
      <w:r w:rsidRPr="00D21A9B">
        <w:t>There are no special circumstances associated with this information collection</w:t>
      </w:r>
      <w:r w:rsidR="00D57AA7" w:rsidRPr="00D21A9B">
        <w:t>.</w:t>
      </w:r>
    </w:p>
    <w:p w:rsidR="00D57AA7" w:rsidRPr="00D21A9B" w:rsidRDefault="00D57AA7"/>
    <w:p w:rsidR="00EE2A99" w:rsidRPr="00D21A9B" w:rsidRDefault="00EE2A99">
      <w:pPr>
        <w:numPr>
          <w:ilvl w:val="0"/>
          <w:numId w:val="1"/>
        </w:numPr>
        <w:rPr>
          <w:u w:val="single"/>
        </w:rPr>
      </w:pPr>
      <w:r w:rsidRPr="00D21A9B">
        <w:rPr>
          <w:u w:val="single"/>
        </w:rPr>
        <w:t>Public Comments and Consultations</w:t>
      </w:r>
    </w:p>
    <w:p w:rsidR="00EE2A99" w:rsidRPr="00D21A9B" w:rsidRDefault="00EE2A99" w:rsidP="00EE2A99">
      <w:pPr>
        <w:ind w:left="360"/>
      </w:pPr>
    </w:p>
    <w:p w:rsidR="00D57AA7" w:rsidRPr="00D21A9B" w:rsidRDefault="002F12FD" w:rsidP="00EE2A99">
      <w:pPr>
        <w:ind w:left="1080"/>
      </w:pPr>
      <w:r w:rsidRPr="00D21A9B">
        <w:t xml:space="preserve">ATF consulted with the explosives industry.  A 60-day and 30-day </w:t>
      </w:r>
      <w:r w:rsidR="00F85393" w:rsidRPr="00D21A9B">
        <w:t xml:space="preserve">Federal Register notice was </w:t>
      </w:r>
      <w:r w:rsidRPr="00D21A9B">
        <w:t>published in order to solicit comments from the general public</w:t>
      </w:r>
      <w:r w:rsidR="00726C2A">
        <w:t>. No comments were received.</w:t>
      </w:r>
      <w:bookmarkStart w:id="0" w:name="_GoBack"/>
      <w:bookmarkEnd w:id="0"/>
    </w:p>
    <w:p w:rsidR="00D57AA7" w:rsidRPr="00D21A9B" w:rsidRDefault="00D57AA7"/>
    <w:p w:rsidR="00EE2A99" w:rsidRPr="00D21A9B" w:rsidRDefault="00EE2A99">
      <w:pPr>
        <w:numPr>
          <w:ilvl w:val="0"/>
          <w:numId w:val="1"/>
        </w:numPr>
        <w:rPr>
          <w:u w:val="single"/>
        </w:rPr>
      </w:pPr>
      <w:r w:rsidRPr="00D21A9B">
        <w:rPr>
          <w:u w:val="single"/>
        </w:rPr>
        <w:t>Provision of Payments or Gifts to Respondents</w:t>
      </w:r>
    </w:p>
    <w:p w:rsidR="00EE2A99" w:rsidRPr="00D21A9B" w:rsidRDefault="00EE2A99" w:rsidP="00EE2A99">
      <w:pPr>
        <w:ind w:left="360"/>
      </w:pPr>
    </w:p>
    <w:p w:rsidR="00D57AA7" w:rsidRPr="00D21A9B" w:rsidRDefault="00F85393" w:rsidP="00EE2A99">
      <w:pPr>
        <w:ind w:left="1080"/>
      </w:pPr>
      <w:r w:rsidRPr="00D21A9B">
        <w:t xml:space="preserve">No </w:t>
      </w:r>
      <w:r w:rsidR="00D57AA7" w:rsidRPr="00D21A9B">
        <w:t>payment or gift is associated with this collection.</w:t>
      </w:r>
    </w:p>
    <w:p w:rsidR="00D57AA7" w:rsidRPr="00D21A9B" w:rsidRDefault="00D57AA7"/>
    <w:p w:rsidR="00EE2A99" w:rsidRPr="00D21A9B" w:rsidRDefault="00EE2A99">
      <w:pPr>
        <w:numPr>
          <w:ilvl w:val="0"/>
          <w:numId w:val="1"/>
        </w:numPr>
        <w:rPr>
          <w:u w:val="single"/>
        </w:rPr>
      </w:pPr>
      <w:r w:rsidRPr="00D21A9B">
        <w:rPr>
          <w:u w:val="single"/>
        </w:rPr>
        <w:t>Assurance of Confidentiality</w:t>
      </w:r>
    </w:p>
    <w:p w:rsidR="00EE2A99" w:rsidRPr="00D21A9B" w:rsidRDefault="00EE2A99" w:rsidP="00EE2A99">
      <w:pPr>
        <w:ind w:left="360"/>
      </w:pPr>
    </w:p>
    <w:p w:rsidR="00D57AA7" w:rsidRPr="00D21A9B" w:rsidRDefault="002F12FD" w:rsidP="00EE2A99">
      <w:pPr>
        <w:ind w:left="1080"/>
      </w:pPr>
      <w:r w:rsidRPr="00D21A9B">
        <w:t>Documents regarding this information collection are kept in a secured location</w:t>
      </w:r>
      <w:r w:rsidR="00F85393" w:rsidRPr="00D21A9B">
        <w:t>.  Confidentiality is not assured</w:t>
      </w:r>
      <w:r w:rsidRPr="00D21A9B">
        <w:t>.</w:t>
      </w:r>
    </w:p>
    <w:p w:rsidR="00EE2A99" w:rsidRPr="00D21A9B" w:rsidRDefault="00EE2A99" w:rsidP="00EE2A99">
      <w:pPr>
        <w:ind w:left="1080"/>
      </w:pPr>
    </w:p>
    <w:p w:rsidR="00D57AA7" w:rsidRPr="00D21A9B" w:rsidRDefault="00D57AA7"/>
    <w:p w:rsidR="00EE2A99" w:rsidRPr="00D21A9B" w:rsidRDefault="00EE2A99">
      <w:pPr>
        <w:numPr>
          <w:ilvl w:val="0"/>
          <w:numId w:val="1"/>
        </w:numPr>
        <w:rPr>
          <w:u w:val="single"/>
        </w:rPr>
      </w:pPr>
      <w:r w:rsidRPr="00D21A9B">
        <w:rPr>
          <w:u w:val="single"/>
        </w:rPr>
        <w:t>Justification for Sensitive Questions</w:t>
      </w:r>
    </w:p>
    <w:p w:rsidR="00EE2A99" w:rsidRPr="00D21A9B" w:rsidRDefault="00EE2A99" w:rsidP="00EE2A99">
      <w:pPr>
        <w:ind w:left="360"/>
      </w:pPr>
    </w:p>
    <w:p w:rsidR="00D57AA7" w:rsidRPr="00D21A9B" w:rsidRDefault="00D57AA7" w:rsidP="00EE2A99">
      <w:pPr>
        <w:ind w:left="720" w:firstLine="360"/>
      </w:pPr>
      <w:r w:rsidRPr="00D21A9B">
        <w:lastRenderedPageBreak/>
        <w:t>No questions of a sensitive nature are asked.</w:t>
      </w:r>
    </w:p>
    <w:p w:rsidR="00D57AA7" w:rsidRPr="00D21A9B" w:rsidRDefault="00D57AA7"/>
    <w:p w:rsidR="00EE2A99" w:rsidRPr="00D21A9B" w:rsidRDefault="00EE2A99">
      <w:pPr>
        <w:numPr>
          <w:ilvl w:val="0"/>
          <w:numId w:val="1"/>
        </w:numPr>
        <w:rPr>
          <w:u w:val="single"/>
        </w:rPr>
      </w:pPr>
      <w:r w:rsidRPr="00D21A9B">
        <w:rPr>
          <w:u w:val="single"/>
        </w:rPr>
        <w:t>Estimate of Respondent’s Burden</w:t>
      </w:r>
    </w:p>
    <w:p w:rsidR="00EE2A99" w:rsidRPr="00D21A9B" w:rsidRDefault="00EE2A99" w:rsidP="00EE2A99">
      <w:pPr>
        <w:ind w:left="360"/>
      </w:pPr>
    </w:p>
    <w:p w:rsidR="00D57AA7" w:rsidRPr="00D21A9B" w:rsidRDefault="00D57AA7" w:rsidP="00EE2A99">
      <w:pPr>
        <w:ind w:left="1080"/>
      </w:pPr>
      <w:r w:rsidRPr="00D21A9B">
        <w:t>We estimate that there are a total of 1</w:t>
      </w:r>
      <w:r w:rsidR="00E3347A" w:rsidRPr="00D21A9B">
        <w:t>,</w:t>
      </w:r>
      <w:r w:rsidRPr="00D21A9B">
        <w:t xml:space="preserve">000 respondents that are associated with this collection of information.  </w:t>
      </w:r>
      <w:r w:rsidR="00E3347A" w:rsidRPr="00D21A9B">
        <w:t xml:space="preserve">Each respondent will respond one time.  The total number of responses is 1,000.  </w:t>
      </w:r>
      <w:r w:rsidRPr="00D21A9B">
        <w:t>We estimate that each respondent will spend approx</w:t>
      </w:r>
      <w:r w:rsidR="002F12FD" w:rsidRPr="00D21A9B">
        <w:t>imately 10 minutes</w:t>
      </w:r>
      <w:r w:rsidR="00E3347A" w:rsidRPr="00D21A9B">
        <w:t xml:space="preserve"> documenting and sending the information</w:t>
      </w:r>
      <w:r w:rsidRPr="00D21A9B">
        <w:t>.  The total annual burden hours associated with this request is 170.  There are no changes from the previous submission.</w:t>
      </w:r>
    </w:p>
    <w:p w:rsidR="00D57AA7" w:rsidRPr="00D21A9B" w:rsidRDefault="00D57AA7"/>
    <w:p w:rsidR="00EE2A99" w:rsidRPr="00D21A9B" w:rsidRDefault="00EE2A99">
      <w:pPr>
        <w:numPr>
          <w:ilvl w:val="0"/>
          <w:numId w:val="1"/>
        </w:numPr>
        <w:rPr>
          <w:u w:val="single"/>
        </w:rPr>
      </w:pPr>
      <w:r w:rsidRPr="00D21A9B">
        <w:rPr>
          <w:u w:val="single"/>
        </w:rPr>
        <w:t>Estimate of Cost Burden</w:t>
      </w:r>
    </w:p>
    <w:p w:rsidR="00EE2A99" w:rsidRPr="00D21A9B" w:rsidRDefault="00EE2A99" w:rsidP="00EE2A99">
      <w:pPr>
        <w:ind w:left="360"/>
      </w:pPr>
    </w:p>
    <w:p w:rsidR="00D57AA7" w:rsidRPr="00D21A9B" w:rsidRDefault="00F85393" w:rsidP="00EE2A99">
      <w:pPr>
        <w:ind w:left="720" w:firstLine="360"/>
      </w:pPr>
      <w:r w:rsidRPr="00D21A9B">
        <w:t xml:space="preserve">There is no </w:t>
      </w:r>
      <w:r w:rsidR="00D57AA7" w:rsidRPr="00D21A9B">
        <w:t>cost burden to the respondent.</w:t>
      </w:r>
    </w:p>
    <w:p w:rsidR="00D57AA7" w:rsidRPr="00D21A9B" w:rsidRDefault="00D57AA7"/>
    <w:p w:rsidR="00EE2A99" w:rsidRPr="00D21A9B" w:rsidRDefault="00EE2A99">
      <w:pPr>
        <w:numPr>
          <w:ilvl w:val="0"/>
          <w:numId w:val="1"/>
        </w:numPr>
        <w:rPr>
          <w:u w:val="single"/>
        </w:rPr>
      </w:pPr>
      <w:r w:rsidRPr="00D21A9B">
        <w:rPr>
          <w:u w:val="single"/>
        </w:rPr>
        <w:t>Cost to Federal Government</w:t>
      </w:r>
    </w:p>
    <w:p w:rsidR="00EE2A99" w:rsidRPr="00D21A9B" w:rsidRDefault="00EE2A99" w:rsidP="00EE2A99">
      <w:pPr>
        <w:ind w:left="360"/>
      </w:pPr>
    </w:p>
    <w:p w:rsidR="00D57AA7" w:rsidRPr="00D21A9B" w:rsidRDefault="00D57AA7" w:rsidP="00EE2A99">
      <w:pPr>
        <w:ind w:left="720" w:firstLine="360"/>
      </w:pPr>
      <w:r w:rsidRPr="00D21A9B">
        <w:t>There is no cost to the Federal government.</w:t>
      </w:r>
    </w:p>
    <w:p w:rsidR="00D57AA7" w:rsidRPr="00D21A9B" w:rsidRDefault="00D57AA7"/>
    <w:p w:rsidR="00CF7DCD" w:rsidRPr="00D21A9B" w:rsidRDefault="00CF7DCD">
      <w:pPr>
        <w:numPr>
          <w:ilvl w:val="0"/>
          <w:numId w:val="1"/>
        </w:numPr>
        <w:rPr>
          <w:u w:val="single"/>
        </w:rPr>
      </w:pPr>
      <w:r w:rsidRPr="00D21A9B">
        <w:rPr>
          <w:u w:val="single"/>
        </w:rPr>
        <w:t>Reason for Change in Burden</w:t>
      </w:r>
    </w:p>
    <w:p w:rsidR="00CF7DCD" w:rsidRPr="00D21A9B" w:rsidRDefault="00CF7DCD" w:rsidP="00CF7DCD">
      <w:pPr>
        <w:ind w:left="360"/>
      </w:pPr>
    </w:p>
    <w:p w:rsidR="00D57AA7" w:rsidRPr="00D21A9B" w:rsidRDefault="00D57AA7" w:rsidP="00CF7DCD">
      <w:pPr>
        <w:ind w:left="1080"/>
      </w:pPr>
      <w:r w:rsidRPr="00D21A9B">
        <w:t>There are no program changes or adjustments associated with this collection.</w:t>
      </w:r>
    </w:p>
    <w:p w:rsidR="00D57AA7" w:rsidRPr="00D21A9B" w:rsidRDefault="00D57AA7"/>
    <w:p w:rsidR="00CF7DCD" w:rsidRPr="00D21A9B" w:rsidRDefault="00CF7DCD">
      <w:pPr>
        <w:numPr>
          <w:ilvl w:val="0"/>
          <w:numId w:val="1"/>
        </w:numPr>
        <w:rPr>
          <w:u w:val="single"/>
        </w:rPr>
      </w:pPr>
      <w:r w:rsidRPr="00D21A9B">
        <w:rPr>
          <w:u w:val="single"/>
        </w:rPr>
        <w:t>Anticipated Publication Plan and Schedule</w:t>
      </w:r>
    </w:p>
    <w:p w:rsidR="00CF7DCD" w:rsidRPr="00D21A9B" w:rsidRDefault="00CF7DCD" w:rsidP="00CF7DCD">
      <w:pPr>
        <w:ind w:left="360"/>
      </w:pPr>
    </w:p>
    <w:p w:rsidR="00D57AA7" w:rsidRPr="00D21A9B" w:rsidRDefault="00D57AA7" w:rsidP="00CF7DCD">
      <w:pPr>
        <w:ind w:left="720" w:firstLine="360"/>
      </w:pPr>
      <w:r w:rsidRPr="00D21A9B">
        <w:t>The results of this collection will not be published.</w:t>
      </w:r>
    </w:p>
    <w:p w:rsidR="00D57AA7" w:rsidRPr="00D21A9B" w:rsidRDefault="00D57AA7"/>
    <w:p w:rsidR="00CF7DCD" w:rsidRPr="00D21A9B" w:rsidRDefault="00CF7DCD">
      <w:pPr>
        <w:numPr>
          <w:ilvl w:val="0"/>
          <w:numId w:val="1"/>
        </w:numPr>
        <w:rPr>
          <w:u w:val="single"/>
        </w:rPr>
      </w:pPr>
      <w:r w:rsidRPr="00D21A9B">
        <w:rPr>
          <w:u w:val="single"/>
        </w:rPr>
        <w:t>Display of Expiration Date</w:t>
      </w:r>
    </w:p>
    <w:p w:rsidR="00CF7DCD" w:rsidRPr="00D21A9B" w:rsidRDefault="00CF7DCD" w:rsidP="00CF7DCD">
      <w:pPr>
        <w:ind w:left="360"/>
      </w:pPr>
    </w:p>
    <w:p w:rsidR="00D57AA7" w:rsidRPr="00D21A9B" w:rsidRDefault="00D57AA7" w:rsidP="00CF7DCD">
      <w:pPr>
        <w:ind w:left="1080"/>
      </w:pPr>
      <w:r w:rsidRPr="00D21A9B">
        <w:t>ATF does not request approval to not display the expiration date of O</w:t>
      </w:r>
      <w:r w:rsidR="00BF0AEC">
        <w:t>M</w:t>
      </w:r>
      <w:r w:rsidRPr="00D21A9B">
        <w:t>B approval for this collection.</w:t>
      </w:r>
    </w:p>
    <w:p w:rsidR="00D57AA7" w:rsidRPr="00D21A9B" w:rsidRDefault="00D57AA7"/>
    <w:p w:rsidR="00CF7DCD" w:rsidRPr="00D21A9B" w:rsidRDefault="00CF7DCD">
      <w:pPr>
        <w:numPr>
          <w:ilvl w:val="0"/>
          <w:numId w:val="1"/>
        </w:numPr>
        <w:rPr>
          <w:u w:val="single"/>
        </w:rPr>
      </w:pPr>
      <w:r w:rsidRPr="00D21A9B">
        <w:rPr>
          <w:u w:val="single"/>
        </w:rPr>
        <w:t>Exception to the Certification Statement</w:t>
      </w:r>
    </w:p>
    <w:p w:rsidR="00CF7DCD" w:rsidRPr="00D21A9B" w:rsidRDefault="00CF7DCD" w:rsidP="00CF7DCD">
      <w:pPr>
        <w:ind w:left="360"/>
      </w:pPr>
    </w:p>
    <w:p w:rsidR="00D57AA7" w:rsidRPr="00D21A9B" w:rsidRDefault="00D57AA7" w:rsidP="00CF7DCD">
      <w:pPr>
        <w:ind w:left="1080"/>
      </w:pPr>
      <w:r w:rsidRPr="00D21A9B">
        <w:t xml:space="preserve">There are no </w:t>
      </w:r>
      <w:r w:rsidR="00CF7DCD" w:rsidRPr="00D21A9B">
        <w:t>exceptions</w:t>
      </w:r>
      <w:r w:rsidRPr="00D21A9B">
        <w:t xml:space="preserve"> to the certification statement.</w:t>
      </w:r>
    </w:p>
    <w:p w:rsidR="00D57AA7" w:rsidRPr="00D21A9B" w:rsidRDefault="00D57AA7"/>
    <w:p w:rsidR="00D57AA7" w:rsidRPr="00D21A9B" w:rsidRDefault="00D57AA7"/>
    <w:p w:rsidR="00D57AA7" w:rsidRPr="00D21A9B" w:rsidRDefault="00D57AA7">
      <w:pPr>
        <w:pStyle w:val="BodyText"/>
        <w:rPr>
          <w:rFonts w:ascii="Times New Roman" w:hAnsi="Times New Roman" w:cs="Times New Roman"/>
        </w:rPr>
      </w:pPr>
      <w:r w:rsidRPr="00D21A9B">
        <w:rPr>
          <w:rFonts w:ascii="Times New Roman" w:hAnsi="Times New Roman" w:cs="Times New Roman"/>
        </w:rPr>
        <w:t>B.    Collections of Information Employing Statistical Methods.</w:t>
      </w:r>
    </w:p>
    <w:p w:rsidR="00D57AA7" w:rsidRPr="00D21A9B" w:rsidRDefault="00D57AA7">
      <w:pPr>
        <w:rPr>
          <w:b/>
          <w:bCs/>
        </w:rPr>
      </w:pPr>
    </w:p>
    <w:p w:rsidR="00D57AA7" w:rsidRDefault="00D57AA7">
      <w:r w:rsidRPr="00D21A9B">
        <w:rPr>
          <w:b/>
          <w:bCs/>
        </w:rPr>
        <w:t xml:space="preserve">     </w:t>
      </w:r>
      <w:r w:rsidRPr="00D21A9B">
        <w:t>This collection of information employs no statistical methods.</w:t>
      </w:r>
    </w:p>
    <w:p w:rsidR="00F74E59" w:rsidRPr="00D21A9B" w:rsidRDefault="00F74E59"/>
    <w:sectPr w:rsidR="00F74E59" w:rsidRPr="00D21A9B" w:rsidSect="00E41D56">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5D5C"/>
    <w:multiLevelType w:val="hybridMultilevel"/>
    <w:tmpl w:val="D89EB91A"/>
    <w:lvl w:ilvl="0" w:tplc="EC088178">
      <w:start w:val="1"/>
      <w:numFmt w:val="decimal"/>
      <w:lvlText w:val="%1."/>
      <w:lvlJc w:val="left"/>
      <w:pPr>
        <w:tabs>
          <w:tab w:val="num" w:pos="1080"/>
        </w:tabs>
        <w:ind w:left="1080" w:hanging="720"/>
      </w:pPr>
      <w:rPr>
        <w:rFonts w:hint="default"/>
      </w:rPr>
    </w:lvl>
    <w:lvl w:ilvl="1" w:tplc="C4D6FFF0">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99"/>
    <w:rsid w:val="002F12FD"/>
    <w:rsid w:val="00356335"/>
    <w:rsid w:val="0037401C"/>
    <w:rsid w:val="00492252"/>
    <w:rsid w:val="00570936"/>
    <w:rsid w:val="005E5908"/>
    <w:rsid w:val="006752AD"/>
    <w:rsid w:val="006D2E9B"/>
    <w:rsid w:val="00726C2A"/>
    <w:rsid w:val="007D2036"/>
    <w:rsid w:val="00817CA5"/>
    <w:rsid w:val="00947A20"/>
    <w:rsid w:val="00AD2660"/>
    <w:rsid w:val="00AF5847"/>
    <w:rsid w:val="00BF0AEC"/>
    <w:rsid w:val="00CF7DCD"/>
    <w:rsid w:val="00D21A9B"/>
    <w:rsid w:val="00D57AA7"/>
    <w:rsid w:val="00DD0446"/>
    <w:rsid w:val="00E12E49"/>
    <w:rsid w:val="00E3347A"/>
    <w:rsid w:val="00E41D56"/>
    <w:rsid w:val="00EE2A99"/>
    <w:rsid w:val="00EF2872"/>
    <w:rsid w:val="00F74E59"/>
    <w:rsid w:val="00F85393"/>
    <w:rsid w:val="00F8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2D7077-68E6-4241-80A9-5F72E03D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D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1D56"/>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Bolton, Tamelia A.</cp:lastModifiedBy>
  <cp:revision>3</cp:revision>
  <cp:lastPrinted>2011-01-25T14:02:00Z</cp:lastPrinted>
  <dcterms:created xsi:type="dcterms:W3CDTF">2016-09-12T16:33:00Z</dcterms:created>
  <dcterms:modified xsi:type="dcterms:W3CDTF">2016-09-12T18:04:00Z</dcterms:modified>
</cp:coreProperties>
</file>