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7AE" w:rsidRPr="005857AE" w:rsidRDefault="005857AE" w:rsidP="005857AE">
      <w:r>
        <w:t>September</w:t>
      </w:r>
      <w:r w:rsidR="001F2A5A">
        <w:t xml:space="preserve"> 1</w:t>
      </w:r>
      <w:r w:rsidR="00AE7D3C">
        <w:t>9</w:t>
      </w:r>
      <w:r>
        <w:t>, 2016</w:t>
      </w:r>
      <w:r w:rsidRPr="005857AE">
        <w:t xml:space="preserve"> </w:t>
      </w:r>
    </w:p>
    <w:p w:rsidR="005857AE" w:rsidRPr="005857AE" w:rsidRDefault="005857AE" w:rsidP="005857AE"/>
    <w:p w:rsidR="005857AE" w:rsidRPr="005857AE" w:rsidRDefault="005857AE" w:rsidP="005857AE">
      <w:pPr>
        <w:tabs>
          <w:tab w:val="left" w:pos="2700"/>
        </w:tabs>
        <w:ind w:left="2700" w:hanging="2700"/>
      </w:pPr>
      <w:r w:rsidRPr="005857AE">
        <w:t xml:space="preserve">MEMORANDUM FOR: </w:t>
      </w:r>
      <w:r w:rsidRPr="005857AE">
        <w:tab/>
      </w:r>
      <w:r w:rsidRPr="005857AE">
        <w:tab/>
        <w:t xml:space="preserve">REVIEWER of </w:t>
      </w:r>
      <w:r w:rsidR="00014F53">
        <w:t>1</w:t>
      </w:r>
      <w:r w:rsidR="004A2182">
        <w:t>2</w:t>
      </w:r>
      <w:r w:rsidR="00014F53" w:rsidRPr="00B229F5">
        <w:t>20-0189</w:t>
      </w:r>
    </w:p>
    <w:p w:rsidR="005857AE" w:rsidRPr="005857AE" w:rsidRDefault="005857AE" w:rsidP="005857AE">
      <w:pPr>
        <w:tabs>
          <w:tab w:val="left" w:pos="2700"/>
        </w:tabs>
        <w:ind w:left="2700" w:hanging="2700"/>
      </w:pPr>
      <w:r w:rsidRPr="005857AE">
        <w:tab/>
        <w:t xml:space="preserve"> </w:t>
      </w:r>
    </w:p>
    <w:p w:rsidR="005857AE" w:rsidRPr="005857AE" w:rsidRDefault="005857AE" w:rsidP="005857AE"/>
    <w:p w:rsidR="003C1B1B" w:rsidRPr="001F7113" w:rsidRDefault="005857AE" w:rsidP="003C1B1B">
      <w:r w:rsidRPr="005857AE">
        <w:t>FROM:</w:t>
      </w:r>
      <w:r w:rsidRPr="005857AE">
        <w:tab/>
      </w:r>
      <w:r w:rsidRPr="005857AE">
        <w:tab/>
      </w:r>
      <w:r w:rsidRPr="005857AE">
        <w:tab/>
      </w:r>
      <w:r w:rsidR="0019280C">
        <w:t>Jennifer Coleman</w:t>
      </w:r>
      <w:hyperlink r:id="rId8" w:tooltip="Hilery Simpson" w:history="1"/>
    </w:p>
    <w:p w:rsidR="003C1B1B" w:rsidRPr="001F7113" w:rsidRDefault="003C1B1B" w:rsidP="003C1B1B">
      <w:pPr>
        <w:ind w:left="2880"/>
      </w:pPr>
      <w:r>
        <w:t>Division Chief, National Compensation Survey</w:t>
      </w:r>
      <w:r w:rsidRPr="001F7113">
        <w:t xml:space="preserve"> </w:t>
      </w:r>
    </w:p>
    <w:p w:rsidR="003C1B1B" w:rsidRPr="001F7113" w:rsidRDefault="003C1B1B" w:rsidP="003C1B1B">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r>
      <w:r>
        <w:rPr>
          <w:rFonts w:ascii="Times New Roman" w:hAnsi="Times New Roman"/>
          <w:szCs w:val="24"/>
        </w:rPr>
        <w:t>Office of Compensation and Working Conditions</w:t>
      </w:r>
    </w:p>
    <w:p w:rsidR="003C1B1B" w:rsidRPr="001F7113" w:rsidRDefault="003C1B1B" w:rsidP="003C1B1B">
      <w:pPr>
        <w:pStyle w:val="memorandumheading"/>
        <w:tabs>
          <w:tab w:val="left" w:pos="2700"/>
        </w:tabs>
        <w:spacing w:after="0" w:line="240" w:lineRule="auto"/>
        <w:ind w:left="2700" w:hanging="2700"/>
        <w:rPr>
          <w:rFonts w:ascii="Times New Roman" w:hAnsi="Times New Roman"/>
          <w:szCs w:val="24"/>
        </w:rPr>
      </w:pPr>
      <w:r w:rsidRPr="001F7113">
        <w:rPr>
          <w:rFonts w:ascii="Times New Roman" w:hAnsi="Times New Roman"/>
          <w:szCs w:val="24"/>
        </w:rPr>
        <w:tab/>
      </w:r>
      <w:r w:rsidRPr="001F7113">
        <w:rPr>
          <w:rFonts w:ascii="Times New Roman" w:hAnsi="Times New Roman"/>
          <w:szCs w:val="24"/>
        </w:rPr>
        <w:tab/>
      </w:r>
      <w:r w:rsidRPr="001F7113">
        <w:rPr>
          <w:rFonts w:ascii="Times New Roman" w:hAnsi="Times New Roman"/>
          <w:szCs w:val="24"/>
        </w:rPr>
        <w:tab/>
        <w:t xml:space="preserve">   Bureau of Labor Statistics</w:t>
      </w:r>
    </w:p>
    <w:p w:rsidR="005857AE" w:rsidRPr="005857AE" w:rsidRDefault="009F758C" w:rsidP="003C1B1B">
      <w:hyperlink r:id="rId9" w:tooltip="Hilery Simpson" w:history="1"/>
      <w:r w:rsidR="005857AE" w:rsidRPr="005857AE">
        <w:tab/>
      </w:r>
      <w:r w:rsidR="005857AE" w:rsidRPr="005857AE">
        <w:tab/>
      </w:r>
      <w:r w:rsidR="005857AE" w:rsidRPr="005857AE">
        <w:tab/>
        <w:t xml:space="preserve">   </w:t>
      </w:r>
    </w:p>
    <w:p w:rsidR="008D7373" w:rsidRDefault="005857AE" w:rsidP="0019280C">
      <w:pPr>
        <w:tabs>
          <w:tab w:val="left" w:pos="2016"/>
          <w:tab w:val="left" w:pos="2448"/>
          <w:tab w:val="left" w:pos="2700"/>
        </w:tabs>
        <w:ind w:left="2700" w:hanging="2700"/>
      </w:pPr>
      <w:r w:rsidRPr="005857AE">
        <w:t>SUBJECT:</w:t>
      </w:r>
      <w:r w:rsidR="008D7373">
        <w:tab/>
      </w:r>
      <w:r w:rsidR="008D7373">
        <w:tab/>
      </w:r>
      <w:r w:rsidR="008D7373">
        <w:tab/>
      </w:r>
      <w:r w:rsidR="008D7373">
        <w:tab/>
        <w:t xml:space="preserve">Non-substantive Change Request for the </w:t>
      </w:r>
    </w:p>
    <w:p w:rsidR="008D7373" w:rsidRDefault="008D7373" w:rsidP="0019280C">
      <w:pPr>
        <w:tabs>
          <w:tab w:val="left" w:pos="2016"/>
          <w:tab w:val="left" w:pos="2448"/>
          <w:tab w:val="left" w:pos="2700"/>
        </w:tabs>
        <w:ind w:left="2700" w:hanging="2700"/>
      </w:pPr>
      <w:r>
        <w:tab/>
      </w:r>
      <w:r>
        <w:tab/>
      </w:r>
      <w:r>
        <w:tab/>
      </w:r>
      <w:r>
        <w:tab/>
        <w:t>Occupational Requirements Survey (ORS) –</w:t>
      </w:r>
    </w:p>
    <w:p w:rsidR="008D7373" w:rsidRDefault="008D7373" w:rsidP="0019280C">
      <w:pPr>
        <w:tabs>
          <w:tab w:val="left" w:pos="2016"/>
          <w:tab w:val="left" w:pos="2448"/>
          <w:tab w:val="left" w:pos="2700"/>
        </w:tabs>
        <w:ind w:left="2700" w:hanging="2700"/>
      </w:pPr>
      <w:r>
        <w:tab/>
      </w:r>
      <w:r>
        <w:tab/>
      </w:r>
      <w:r>
        <w:tab/>
      </w:r>
      <w:r>
        <w:tab/>
        <w:t xml:space="preserve">Job Observation Test </w:t>
      </w:r>
    </w:p>
    <w:p w:rsidR="008D7373" w:rsidRDefault="008D7373" w:rsidP="0019280C">
      <w:pPr>
        <w:tabs>
          <w:tab w:val="left" w:pos="2016"/>
          <w:tab w:val="left" w:pos="2448"/>
          <w:tab w:val="left" w:pos="2700"/>
        </w:tabs>
        <w:ind w:left="2700" w:hanging="2700"/>
      </w:pPr>
    </w:p>
    <w:p w:rsidR="008D7373" w:rsidRDefault="008D7373" w:rsidP="005857AE"/>
    <w:p w:rsidR="005857AE" w:rsidRDefault="005857AE" w:rsidP="005857AE">
      <w:pPr>
        <w:rPr>
          <w:rFonts w:eastAsiaTheme="minorHAnsi"/>
        </w:rPr>
      </w:pPr>
      <w:r w:rsidRPr="001F7113">
        <w:t xml:space="preserve">Clearance is being sought </w:t>
      </w:r>
      <w:r w:rsidR="000D254C">
        <w:t>by</w:t>
      </w:r>
      <w:r w:rsidRPr="001F7113">
        <w:t xml:space="preserve"> </w:t>
      </w:r>
      <w:r>
        <w:t xml:space="preserve">the </w:t>
      </w:r>
      <w:r w:rsidRPr="001F7113">
        <w:t xml:space="preserve">Bureau of Labor Statistics’ (BLS) </w:t>
      </w:r>
      <w:r>
        <w:t>Occupational Requirements Survey (ORS)</w:t>
      </w:r>
      <w:r w:rsidRPr="001F7113">
        <w:t xml:space="preserve"> program </w:t>
      </w:r>
      <w:r>
        <w:t xml:space="preserve">for </w:t>
      </w:r>
      <w:r w:rsidR="00215972">
        <w:t xml:space="preserve">further </w:t>
      </w:r>
      <w:r>
        <w:t>testing</w:t>
      </w:r>
      <w:r w:rsidR="006B5ADC">
        <w:t xml:space="preserve"> of</w:t>
      </w:r>
      <w:r>
        <w:t xml:space="preserve"> occupational requirements collection by job observations</w:t>
      </w:r>
      <w:r w:rsidR="00014F53">
        <w:t>.</w:t>
      </w:r>
      <w:r w:rsidR="00070D7E">
        <w:t xml:space="preserve"> </w:t>
      </w:r>
      <w:r w:rsidR="00014F53" w:rsidRPr="00014F53">
        <w:rPr>
          <w:rFonts w:eastAsiaTheme="minorHAnsi"/>
        </w:rPr>
        <w:t xml:space="preserve"> </w:t>
      </w:r>
      <w:r w:rsidR="00014F53" w:rsidRPr="00B229F5">
        <w:rPr>
          <w:rFonts w:eastAsiaTheme="minorHAnsi"/>
        </w:rPr>
        <w:t>The goal of this job observation test is to compare data obtained from observation of a selected occupation at an establishment with data obtained</w:t>
      </w:r>
      <w:r w:rsidR="004A2182">
        <w:rPr>
          <w:rFonts w:eastAsiaTheme="minorHAnsi"/>
        </w:rPr>
        <w:t xml:space="preserve"> previously</w:t>
      </w:r>
      <w:r w:rsidR="00014F53" w:rsidRPr="00B229F5">
        <w:rPr>
          <w:rFonts w:eastAsiaTheme="minorHAnsi"/>
        </w:rPr>
        <w:t xml:space="preserve"> for the same occupation by interviewing a representative of that establishment.</w:t>
      </w:r>
    </w:p>
    <w:p w:rsidR="00577C0D" w:rsidRDefault="00577C0D" w:rsidP="005857AE">
      <w:pPr>
        <w:rPr>
          <w:rFonts w:eastAsiaTheme="minorHAnsi"/>
        </w:rPr>
      </w:pPr>
    </w:p>
    <w:p w:rsidR="00577C0D" w:rsidRDefault="00577C0D" w:rsidP="00577C0D">
      <w:r w:rsidRPr="00B229F5">
        <w:t>An additional 1,771 respondent burden hours are being requested to do this job observation test</w:t>
      </w:r>
      <w:r>
        <w:t xml:space="preserve"> of 1</w:t>
      </w:r>
      <w:r w:rsidR="004A2182">
        <w:t>,</w:t>
      </w:r>
      <w:r>
        <w:t>250 occupations</w:t>
      </w:r>
      <w:r w:rsidRPr="00B229F5">
        <w:t>.</w:t>
      </w:r>
      <w:r>
        <w:t xml:space="preserve">  For private industry 1</w:t>
      </w:r>
      <w:r w:rsidR="004A2182">
        <w:t>,</w:t>
      </w:r>
      <w:r>
        <w:t>063 occupations are to be observed and 187 occupations in State and local governments.</w:t>
      </w:r>
      <w:r w:rsidRPr="00B229F5">
        <w:t> </w:t>
      </w:r>
    </w:p>
    <w:p w:rsidR="00577C0D" w:rsidRDefault="00577C0D" w:rsidP="00577C0D"/>
    <w:p w:rsidR="00577C0D" w:rsidRPr="00B229F5" w:rsidRDefault="00577C0D" w:rsidP="00577C0D">
      <w:r w:rsidRPr="00B229F5">
        <w:t>These respondent burden testing hours are beyond those currently approved for ORS testing.  Current</w:t>
      </w:r>
      <w:r w:rsidR="00322024">
        <w:t>ly</w:t>
      </w:r>
      <w:r w:rsidRPr="00B229F5">
        <w:t xml:space="preserve"> approved ORS testing hours for FY 2017 and FY 2018 are 300 private industry test hours and 50 State and local government test hours annually in the ORS OMB Clearance (1</w:t>
      </w:r>
      <w:r w:rsidR="004A2182">
        <w:t>2</w:t>
      </w:r>
      <w:r w:rsidRPr="00B229F5">
        <w:t xml:space="preserve">20-0189) approved on </w:t>
      </w:r>
      <w:r w:rsidR="0019280C">
        <w:t>8</w:t>
      </w:r>
      <w:r w:rsidRPr="00B229F5">
        <w:t>/26/201</w:t>
      </w:r>
      <w:r w:rsidR="0019280C">
        <w:t>5</w:t>
      </w:r>
      <w:r w:rsidRPr="00B229F5">
        <w:t>.</w:t>
      </w:r>
    </w:p>
    <w:p w:rsidR="00577C0D" w:rsidRDefault="00577C0D" w:rsidP="00577C0D"/>
    <w:p w:rsidR="00070D7E" w:rsidRPr="00281113" w:rsidRDefault="00070D7E" w:rsidP="00577C0D">
      <w:r w:rsidRPr="00281113">
        <w:t xml:space="preserve">Survey </w:t>
      </w:r>
      <w:r w:rsidR="00BE3943" w:rsidRPr="00281113">
        <w:t xml:space="preserve">collection will </w:t>
      </w:r>
      <w:r w:rsidR="00FC1FEE">
        <w:t xml:space="preserve">span a 12 month period which will </w:t>
      </w:r>
      <w:r w:rsidR="00BE3943" w:rsidRPr="00281113">
        <w:t>start no earlier than</w:t>
      </w:r>
      <w:bookmarkStart w:id="0" w:name="_GoBack"/>
      <w:bookmarkEnd w:id="0"/>
      <w:r w:rsidRPr="00281113">
        <w:t xml:space="preserve"> January 1, 2017</w:t>
      </w:r>
      <w:r w:rsidR="00BE3943" w:rsidRPr="00281113">
        <w:t xml:space="preserve">  </w:t>
      </w:r>
      <w:r w:rsidR="00FC1FEE">
        <w:t xml:space="preserve">and </w:t>
      </w:r>
      <w:r w:rsidR="00BE3943" w:rsidRPr="00281113">
        <w:t xml:space="preserve">end no later than: </w:t>
      </w:r>
      <w:r w:rsidR="00145844">
        <w:t>March 31</w:t>
      </w:r>
      <w:r w:rsidR="00BE3943" w:rsidRPr="00281113">
        <w:t>, 2018.</w:t>
      </w:r>
    </w:p>
    <w:p w:rsidR="00070D7E" w:rsidRPr="00281113" w:rsidRDefault="00070D7E" w:rsidP="00577C0D"/>
    <w:p w:rsidR="00577C0D" w:rsidRPr="00281113" w:rsidRDefault="00577C0D" w:rsidP="00577C0D">
      <w:r w:rsidRPr="00281113">
        <w:t>The 1,771 additional respondent burden hours requested for this test break out into 1,</w:t>
      </w:r>
      <w:r w:rsidR="00070D7E" w:rsidRPr="00281113">
        <w:t>328</w:t>
      </w:r>
      <w:r w:rsidRPr="00281113">
        <w:t xml:space="preserve"> hours in FY 2017 and </w:t>
      </w:r>
      <w:r w:rsidR="00070D7E" w:rsidRPr="00281113">
        <w:t>443</w:t>
      </w:r>
      <w:r w:rsidRPr="00281113">
        <w:t xml:space="preserve"> hours in FY 2018.  </w:t>
      </w:r>
    </w:p>
    <w:p w:rsidR="00577C0D" w:rsidRPr="00281113" w:rsidRDefault="00577C0D" w:rsidP="00577C0D">
      <w:pPr>
        <w:pStyle w:val="ListParagraph"/>
        <w:numPr>
          <w:ilvl w:val="0"/>
          <w:numId w:val="45"/>
        </w:numPr>
        <w:contextualSpacing w:val="0"/>
      </w:pPr>
      <w:r w:rsidRPr="00281113">
        <w:t xml:space="preserve">FY 2017 additional testing hours requested for private industry are </w:t>
      </w:r>
      <w:r w:rsidR="00070D7E" w:rsidRPr="00281113">
        <w:t>1</w:t>
      </w:r>
      <w:r w:rsidR="004A2182">
        <w:t>,</w:t>
      </w:r>
      <w:r w:rsidR="00070D7E" w:rsidRPr="00281113">
        <w:t>129</w:t>
      </w:r>
      <w:r w:rsidRPr="00281113">
        <w:t>.</w:t>
      </w:r>
    </w:p>
    <w:p w:rsidR="00577C0D" w:rsidRPr="00281113" w:rsidRDefault="00577C0D" w:rsidP="00577C0D">
      <w:pPr>
        <w:pStyle w:val="ListParagraph"/>
        <w:numPr>
          <w:ilvl w:val="0"/>
          <w:numId w:val="45"/>
        </w:numPr>
        <w:contextualSpacing w:val="0"/>
      </w:pPr>
      <w:r w:rsidRPr="00281113">
        <w:t xml:space="preserve">FY 2017 additional testing hours requested for State and local government are </w:t>
      </w:r>
      <w:r w:rsidR="00070D7E" w:rsidRPr="00281113">
        <w:t>199</w:t>
      </w:r>
      <w:r w:rsidRPr="00281113">
        <w:t>.</w:t>
      </w:r>
    </w:p>
    <w:p w:rsidR="00577C0D" w:rsidRPr="00281113" w:rsidRDefault="00577C0D" w:rsidP="00577C0D">
      <w:pPr>
        <w:pStyle w:val="ListParagraph"/>
        <w:numPr>
          <w:ilvl w:val="0"/>
          <w:numId w:val="45"/>
        </w:numPr>
        <w:contextualSpacing w:val="0"/>
      </w:pPr>
      <w:r w:rsidRPr="00281113">
        <w:t xml:space="preserve">FY 2018 additional testing hours requested for private industry are </w:t>
      </w:r>
      <w:r w:rsidR="00070D7E" w:rsidRPr="00281113">
        <w:t>377</w:t>
      </w:r>
      <w:r w:rsidRPr="00281113">
        <w:t>.</w:t>
      </w:r>
    </w:p>
    <w:p w:rsidR="00577C0D" w:rsidRPr="00281113" w:rsidRDefault="00577C0D" w:rsidP="00577C0D">
      <w:pPr>
        <w:pStyle w:val="ListParagraph"/>
        <w:numPr>
          <w:ilvl w:val="0"/>
          <w:numId w:val="45"/>
        </w:numPr>
        <w:contextualSpacing w:val="0"/>
      </w:pPr>
      <w:r w:rsidRPr="00281113">
        <w:t xml:space="preserve">FY 2018 additional testing hours requested for State and local government are </w:t>
      </w:r>
      <w:r w:rsidR="00070D7E" w:rsidRPr="00281113">
        <w:t>66</w:t>
      </w:r>
      <w:r w:rsidRPr="00281113">
        <w:t>.</w:t>
      </w:r>
    </w:p>
    <w:p w:rsidR="00014F53" w:rsidRPr="00281113" w:rsidRDefault="00014F53" w:rsidP="005857AE"/>
    <w:p w:rsidR="006B5ADC" w:rsidRDefault="00014F53" w:rsidP="00014F53">
      <w:r w:rsidRPr="00281113">
        <w:t xml:space="preserve">The ORS job observation </w:t>
      </w:r>
      <w:r>
        <w:t>test respondent burden is expected to average 85 minutes per establishment</w:t>
      </w:r>
      <w:r w:rsidR="00AE7D3C">
        <w:t xml:space="preserve">, </w:t>
      </w:r>
      <w:r w:rsidR="00A50886">
        <w:t>the major time break outs are 2</w:t>
      </w:r>
      <w:r w:rsidR="008A1D44">
        <w:t>5</w:t>
      </w:r>
      <w:r w:rsidR="00AE7D3C">
        <w:t xml:space="preserve"> minutes to explain and prepare for the observation and 60 minutes of observation time.</w:t>
      </w:r>
      <w:r w:rsidRPr="00817926">
        <w:t xml:space="preserve"> </w:t>
      </w:r>
      <w:r>
        <w:t xml:space="preserve"> One field economist will go to each establishment</w:t>
      </w:r>
      <w:r w:rsidR="000A22E4">
        <w:t>,</w:t>
      </w:r>
      <w:r>
        <w:t xml:space="preserve"> observe the same occupation</w:t>
      </w:r>
      <w:r w:rsidR="004A2182">
        <w:t xml:space="preserve"> previously collected by interview,</w:t>
      </w:r>
      <w:r>
        <w:t xml:space="preserve"> and independently write up their observations.</w:t>
      </w:r>
    </w:p>
    <w:p w:rsidR="00A50886" w:rsidRDefault="00014F53" w:rsidP="00014F53">
      <w:r>
        <w:t xml:space="preserve"> </w:t>
      </w:r>
    </w:p>
    <w:p w:rsidR="006B5ADC" w:rsidRPr="00652925" w:rsidRDefault="00652925" w:rsidP="00BE3943">
      <w:pPr>
        <w:spacing w:after="160" w:line="259" w:lineRule="auto"/>
        <w:rPr>
          <w:b/>
        </w:rPr>
      </w:pPr>
      <w:r>
        <w:rPr>
          <w:b/>
        </w:rPr>
        <w:lastRenderedPageBreak/>
        <w:t>Table 1.   Respondent burden hours by fiscal years, type of respondents and totals</w:t>
      </w:r>
    </w:p>
    <w:tbl>
      <w:tblPr>
        <w:tblStyle w:val="TableGrid"/>
        <w:tblW w:w="0" w:type="auto"/>
        <w:tblLook w:val="04A0" w:firstRow="1" w:lastRow="0" w:firstColumn="1" w:lastColumn="0" w:noHBand="0" w:noVBand="1"/>
      </w:tblPr>
      <w:tblGrid>
        <w:gridCol w:w="2155"/>
        <w:gridCol w:w="1585"/>
        <w:gridCol w:w="1870"/>
        <w:gridCol w:w="2305"/>
        <w:gridCol w:w="1435"/>
      </w:tblGrid>
      <w:tr w:rsidR="006F5CCA" w:rsidTr="00631B90">
        <w:tc>
          <w:tcPr>
            <w:tcW w:w="2155" w:type="dxa"/>
          </w:tcPr>
          <w:p w:rsidR="006F5CCA" w:rsidRPr="00631B90" w:rsidRDefault="006F5CCA" w:rsidP="00014F53">
            <w:pPr>
              <w:rPr>
                <w:b/>
              </w:rPr>
            </w:pPr>
            <w:r w:rsidRPr="00631B90">
              <w:rPr>
                <w:b/>
              </w:rPr>
              <w:t>Group</w:t>
            </w:r>
          </w:p>
        </w:tc>
        <w:tc>
          <w:tcPr>
            <w:tcW w:w="1585" w:type="dxa"/>
          </w:tcPr>
          <w:p w:rsidR="006F5CCA" w:rsidRPr="00631B90" w:rsidRDefault="006F5CCA" w:rsidP="00014F53">
            <w:pPr>
              <w:rPr>
                <w:b/>
              </w:rPr>
            </w:pPr>
            <w:r w:rsidRPr="00631B90">
              <w:rPr>
                <w:b/>
              </w:rPr>
              <w:t>Respondents</w:t>
            </w:r>
          </w:p>
        </w:tc>
        <w:tc>
          <w:tcPr>
            <w:tcW w:w="1870" w:type="dxa"/>
          </w:tcPr>
          <w:p w:rsidR="006F5CCA" w:rsidRPr="00631B90" w:rsidRDefault="00046693" w:rsidP="00014F53">
            <w:pPr>
              <w:rPr>
                <w:b/>
              </w:rPr>
            </w:pPr>
            <w:r w:rsidRPr="00631B90">
              <w:rPr>
                <w:b/>
              </w:rPr>
              <w:t xml:space="preserve">Total # of </w:t>
            </w:r>
            <w:r w:rsidR="006F5CCA" w:rsidRPr="00631B90">
              <w:rPr>
                <w:b/>
              </w:rPr>
              <w:t>Responses</w:t>
            </w:r>
          </w:p>
        </w:tc>
        <w:tc>
          <w:tcPr>
            <w:tcW w:w="2305" w:type="dxa"/>
          </w:tcPr>
          <w:p w:rsidR="006F5CCA" w:rsidRPr="00631B90" w:rsidRDefault="00046693" w:rsidP="00014F53">
            <w:pPr>
              <w:rPr>
                <w:b/>
              </w:rPr>
            </w:pPr>
            <w:r w:rsidRPr="00631B90">
              <w:rPr>
                <w:b/>
              </w:rPr>
              <w:t>Average Minutes per Response</w:t>
            </w:r>
          </w:p>
        </w:tc>
        <w:tc>
          <w:tcPr>
            <w:tcW w:w="1435" w:type="dxa"/>
          </w:tcPr>
          <w:p w:rsidR="006F5CCA" w:rsidRPr="00631B90" w:rsidRDefault="006F5CCA" w:rsidP="00014F53">
            <w:pPr>
              <w:rPr>
                <w:b/>
              </w:rPr>
            </w:pPr>
            <w:r w:rsidRPr="00631B90">
              <w:rPr>
                <w:b/>
              </w:rPr>
              <w:t>Burden</w:t>
            </w:r>
            <w:r w:rsidR="00046693" w:rsidRPr="00631B90">
              <w:rPr>
                <w:b/>
              </w:rPr>
              <w:t xml:space="preserve"> hours</w:t>
            </w:r>
          </w:p>
        </w:tc>
      </w:tr>
      <w:tr w:rsidR="006F5CCA" w:rsidTr="00631B90">
        <w:tc>
          <w:tcPr>
            <w:tcW w:w="2155" w:type="dxa"/>
          </w:tcPr>
          <w:p w:rsidR="006F5CCA" w:rsidRDefault="006F5CCA" w:rsidP="00014F53">
            <w:r>
              <w:t>Private</w:t>
            </w:r>
          </w:p>
          <w:p w:rsidR="006F5CCA" w:rsidRDefault="006F5CCA" w:rsidP="00014F53">
            <w:r>
              <w:t>2017</w:t>
            </w:r>
          </w:p>
          <w:p w:rsidR="006F5CCA" w:rsidRDefault="006F5CCA" w:rsidP="00014F53">
            <w:r>
              <w:t>2018</w:t>
            </w:r>
          </w:p>
        </w:tc>
        <w:tc>
          <w:tcPr>
            <w:tcW w:w="1585" w:type="dxa"/>
          </w:tcPr>
          <w:p w:rsidR="00046693" w:rsidRDefault="00046693" w:rsidP="004A2182">
            <w:pPr>
              <w:jc w:val="right"/>
            </w:pPr>
          </w:p>
          <w:p w:rsidR="006F5CCA" w:rsidRDefault="00046693" w:rsidP="004A2182">
            <w:pPr>
              <w:jc w:val="right"/>
            </w:pPr>
            <w:r>
              <w:t>619</w:t>
            </w:r>
          </w:p>
          <w:p w:rsidR="00046693" w:rsidRDefault="00046693" w:rsidP="004A2182">
            <w:pPr>
              <w:jc w:val="right"/>
            </w:pPr>
            <w:r>
              <w:t>444</w:t>
            </w:r>
          </w:p>
        </w:tc>
        <w:tc>
          <w:tcPr>
            <w:tcW w:w="1870" w:type="dxa"/>
          </w:tcPr>
          <w:p w:rsidR="006F5CCA" w:rsidRDefault="006F5CCA" w:rsidP="004A2182">
            <w:pPr>
              <w:jc w:val="right"/>
            </w:pPr>
          </w:p>
          <w:p w:rsidR="00046693" w:rsidRDefault="00046693" w:rsidP="004A2182">
            <w:pPr>
              <w:jc w:val="right"/>
            </w:pPr>
            <w:r>
              <w:t>619</w:t>
            </w:r>
          </w:p>
          <w:p w:rsidR="00046693" w:rsidRDefault="00046693" w:rsidP="004A2182">
            <w:pPr>
              <w:jc w:val="right"/>
            </w:pPr>
            <w:r>
              <w:t>444</w:t>
            </w:r>
          </w:p>
        </w:tc>
        <w:tc>
          <w:tcPr>
            <w:tcW w:w="2305" w:type="dxa"/>
          </w:tcPr>
          <w:p w:rsidR="006F5CCA" w:rsidRDefault="006F5CCA" w:rsidP="004A2182">
            <w:pPr>
              <w:jc w:val="right"/>
            </w:pPr>
          </w:p>
          <w:p w:rsidR="006F5CCA" w:rsidRDefault="006F5CCA" w:rsidP="004A2182">
            <w:pPr>
              <w:jc w:val="right"/>
            </w:pPr>
            <w:r>
              <w:t>85</w:t>
            </w:r>
          </w:p>
          <w:p w:rsidR="006F5CCA" w:rsidRDefault="006F5CCA" w:rsidP="004A2182">
            <w:pPr>
              <w:jc w:val="right"/>
            </w:pPr>
            <w:r>
              <w:t>85</w:t>
            </w:r>
          </w:p>
        </w:tc>
        <w:tc>
          <w:tcPr>
            <w:tcW w:w="1435" w:type="dxa"/>
          </w:tcPr>
          <w:p w:rsidR="006F5CCA" w:rsidRDefault="006F5CCA" w:rsidP="004A2182">
            <w:pPr>
              <w:jc w:val="right"/>
            </w:pPr>
          </w:p>
          <w:p w:rsidR="006F5CCA" w:rsidRDefault="00046693" w:rsidP="004A2182">
            <w:pPr>
              <w:jc w:val="right"/>
            </w:pPr>
            <w:r>
              <w:t>877</w:t>
            </w:r>
          </w:p>
          <w:p w:rsidR="006F5CCA" w:rsidRDefault="00046693" w:rsidP="004A2182">
            <w:pPr>
              <w:jc w:val="right"/>
            </w:pPr>
            <w:r>
              <w:t>629</w:t>
            </w:r>
          </w:p>
        </w:tc>
      </w:tr>
      <w:tr w:rsidR="004A2182" w:rsidTr="00631B90">
        <w:tc>
          <w:tcPr>
            <w:tcW w:w="2155" w:type="dxa"/>
          </w:tcPr>
          <w:p w:rsidR="004A2182" w:rsidRPr="004A2182" w:rsidRDefault="004A2182" w:rsidP="004A2182">
            <w:pPr>
              <w:rPr>
                <w:b/>
              </w:rPr>
            </w:pPr>
            <w:r w:rsidRPr="004A2182">
              <w:rPr>
                <w:b/>
              </w:rPr>
              <w:t>Total Private</w:t>
            </w:r>
          </w:p>
        </w:tc>
        <w:tc>
          <w:tcPr>
            <w:tcW w:w="1585" w:type="dxa"/>
          </w:tcPr>
          <w:p w:rsidR="004A2182" w:rsidRPr="004A2182" w:rsidRDefault="004A2182" w:rsidP="004A2182">
            <w:pPr>
              <w:jc w:val="right"/>
              <w:rPr>
                <w:b/>
              </w:rPr>
            </w:pPr>
            <w:r w:rsidRPr="004A2182">
              <w:rPr>
                <w:b/>
              </w:rPr>
              <w:t>1063</w:t>
            </w:r>
          </w:p>
        </w:tc>
        <w:tc>
          <w:tcPr>
            <w:tcW w:w="1870" w:type="dxa"/>
          </w:tcPr>
          <w:p w:rsidR="004A2182" w:rsidRPr="004A2182" w:rsidRDefault="004A2182" w:rsidP="004A2182">
            <w:pPr>
              <w:jc w:val="right"/>
              <w:rPr>
                <w:b/>
              </w:rPr>
            </w:pPr>
            <w:r w:rsidRPr="004A2182">
              <w:rPr>
                <w:b/>
              </w:rPr>
              <w:t>1063</w:t>
            </w:r>
          </w:p>
        </w:tc>
        <w:tc>
          <w:tcPr>
            <w:tcW w:w="2305" w:type="dxa"/>
          </w:tcPr>
          <w:p w:rsidR="004A2182" w:rsidRPr="004A2182" w:rsidRDefault="004A2182" w:rsidP="004A2182">
            <w:pPr>
              <w:jc w:val="right"/>
              <w:rPr>
                <w:b/>
              </w:rPr>
            </w:pPr>
            <w:r w:rsidRPr="004A2182">
              <w:rPr>
                <w:b/>
              </w:rPr>
              <w:t>85</w:t>
            </w:r>
          </w:p>
        </w:tc>
        <w:tc>
          <w:tcPr>
            <w:tcW w:w="1435" w:type="dxa"/>
          </w:tcPr>
          <w:p w:rsidR="004A2182" w:rsidRPr="004A2182" w:rsidRDefault="004A2182" w:rsidP="004A2182">
            <w:pPr>
              <w:jc w:val="right"/>
              <w:rPr>
                <w:b/>
              </w:rPr>
            </w:pPr>
            <w:r w:rsidRPr="004A2182">
              <w:rPr>
                <w:b/>
              </w:rPr>
              <w:t>1506</w:t>
            </w:r>
          </w:p>
        </w:tc>
      </w:tr>
      <w:tr w:rsidR="006F5CCA" w:rsidTr="00631B90">
        <w:tc>
          <w:tcPr>
            <w:tcW w:w="2155" w:type="dxa"/>
          </w:tcPr>
          <w:p w:rsidR="006F5CCA" w:rsidRDefault="006F5CCA" w:rsidP="00014F53">
            <w:r>
              <w:t>State and Local Governments</w:t>
            </w:r>
          </w:p>
          <w:p w:rsidR="006F5CCA" w:rsidRDefault="006F5CCA" w:rsidP="00014F53">
            <w:r>
              <w:t>2017</w:t>
            </w:r>
          </w:p>
          <w:p w:rsidR="006F5CCA" w:rsidRDefault="006F5CCA" w:rsidP="00014F53">
            <w:r>
              <w:t>2018</w:t>
            </w:r>
          </w:p>
        </w:tc>
        <w:tc>
          <w:tcPr>
            <w:tcW w:w="1585" w:type="dxa"/>
          </w:tcPr>
          <w:p w:rsidR="00046693" w:rsidRDefault="00046693" w:rsidP="004A2182">
            <w:pPr>
              <w:jc w:val="right"/>
            </w:pPr>
          </w:p>
          <w:p w:rsidR="00046693" w:rsidRDefault="00046693" w:rsidP="004A2182">
            <w:pPr>
              <w:jc w:val="right"/>
            </w:pPr>
          </w:p>
          <w:p w:rsidR="006F5CCA" w:rsidRDefault="00046693" w:rsidP="004A2182">
            <w:pPr>
              <w:jc w:val="right"/>
            </w:pPr>
            <w:r>
              <w:t>109</w:t>
            </w:r>
          </w:p>
          <w:p w:rsidR="00046693" w:rsidRDefault="00046693" w:rsidP="004A2182">
            <w:pPr>
              <w:jc w:val="right"/>
            </w:pPr>
            <w:r>
              <w:t>78</w:t>
            </w:r>
          </w:p>
        </w:tc>
        <w:tc>
          <w:tcPr>
            <w:tcW w:w="1870" w:type="dxa"/>
          </w:tcPr>
          <w:p w:rsidR="006F5CCA" w:rsidRDefault="006F5CCA" w:rsidP="004A2182">
            <w:pPr>
              <w:jc w:val="right"/>
            </w:pPr>
          </w:p>
          <w:p w:rsidR="00046693" w:rsidRDefault="00046693" w:rsidP="004A2182">
            <w:pPr>
              <w:jc w:val="right"/>
            </w:pPr>
          </w:p>
          <w:p w:rsidR="00046693" w:rsidRDefault="00046693" w:rsidP="004A2182">
            <w:pPr>
              <w:jc w:val="right"/>
            </w:pPr>
            <w:r>
              <w:t>10</w:t>
            </w:r>
            <w:r w:rsidR="004A2182">
              <w:t>9</w:t>
            </w:r>
          </w:p>
          <w:p w:rsidR="00046693" w:rsidRDefault="00046693" w:rsidP="004A2182">
            <w:pPr>
              <w:jc w:val="right"/>
            </w:pPr>
            <w:r>
              <w:t>78</w:t>
            </w:r>
          </w:p>
        </w:tc>
        <w:tc>
          <w:tcPr>
            <w:tcW w:w="2305" w:type="dxa"/>
          </w:tcPr>
          <w:p w:rsidR="006F5CCA" w:rsidRDefault="006F5CCA" w:rsidP="004A2182">
            <w:pPr>
              <w:jc w:val="right"/>
            </w:pPr>
          </w:p>
          <w:p w:rsidR="006F5CCA" w:rsidRDefault="006F5CCA" w:rsidP="004A2182">
            <w:pPr>
              <w:jc w:val="right"/>
            </w:pPr>
          </w:p>
          <w:p w:rsidR="006F5CCA" w:rsidRDefault="006F5CCA" w:rsidP="004A2182">
            <w:pPr>
              <w:jc w:val="right"/>
            </w:pPr>
            <w:r>
              <w:t>85</w:t>
            </w:r>
          </w:p>
          <w:p w:rsidR="006F5CCA" w:rsidRDefault="006F5CCA" w:rsidP="004A2182">
            <w:pPr>
              <w:jc w:val="right"/>
            </w:pPr>
            <w:r>
              <w:t>85</w:t>
            </w:r>
          </w:p>
        </w:tc>
        <w:tc>
          <w:tcPr>
            <w:tcW w:w="1435" w:type="dxa"/>
          </w:tcPr>
          <w:p w:rsidR="006F5CCA" w:rsidRDefault="006F5CCA" w:rsidP="004A2182">
            <w:pPr>
              <w:jc w:val="right"/>
            </w:pPr>
          </w:p>
          <w:p w:rsidR="006F5CCA" w:rsidRDefault="006F5CCA" w:rsidP="004A2182">
            <w:pPr>
              <w:jc w:val="right"/>
            </w:pPr>
          </w:p>
          <w:p w:rsidR="006F5CCA" w:rsidRDefault="00046693" w:rsidP="004A2182">
            <w:pPr>
              <w:jc w:val="right"/>
            </w:pPr>
            <w:r>
              <w:t>154</w:t>
            </w:r>
          </w:p>
          <w:p w:rsidR="006F5CCA" w:rsidRDefault="00046693" w:rsidP="004A2182">
            <w:pPr>
              <w:jc w:val="right"/>
            </w:pPr>
            <w:r>
              <w:t>111</w:t>
            </w:r>
          </w:p>
        </w:tc>
      </w:tr>
      <w:tr w:rsidR="00631B90" w:rsidTr="00631B90">
        <w:tc>
          <w:tcPr>
            <w:tcW w:w="2155" w:type="dxa"/>
          </w:tcPr>
          <w:p w:rsidR="00631B90" w:rsidRPr="004A2182" w:rsidRDefault="00631B90" w:rsidP="00014F53">
            <w:pPr>
              <w:rPr>
                <w:b/>
              </w:rPr>
            </w:pPr>
            <w:r w:rsidRPr="004A2182">
              <w:rPr>
                <w:b/>
              </w:rPr>
              <w:t>Total State and Local Government</w:t>
            </w:r>
          </w:p>
        </w:tc>
        <w:tc>
          <w:tcPr>
            <w:tcW w:w="1585" w:type="dxa"/>
          </w:tcPr>
          <w:p w:rsidR="00631B90" w:rsidRPr="004A2182" w:rsidRDefault="00631B90" w:rsidP="004A2182">
            <w:pPr>
              <w:jc w:val="right"/>
              <w:rPr>
                <w:b/>
              </w:rPr>
            </w:pPr>
          </w:p>
          <w:p w:rsidR="00631B90" w:rsidRPr="004A2182" w:rsidRDefault="00631B90" w:rsidP="004A2182">
            <w:pPr>
              <w:jc w:val="right"/>
              <w:rPr>
                <w:b/>
              </w:rPr>
            </w:pPr>
            <w:r w:rsidRPr="004A2182">
              <w:rPr>
                <w:b/>
              </w:rPr>
              <w:t>187</w:t>
            </w:r>
          </w:p>
        </w:tc>
        <w:tc>
          <w:tcPr>
            <w:tcW w:w="1870" w:type="dxa"/>
          </w:tcPr>
          <w:p w:rsidR="00631B90" w:rsidRPr="004A2182" w:rsidRDefault="00631B90" w:rsidP="004A2182">
            <w:pPr>
              <w:jc w:val="right"/>
              <w:rPr>
                <w:b/>
              </w:rPr>
            </w:pPr>
          </w:p>
          <w:p w:rsidR="00631B90" w:rsidRPr="004A2182" w:rsidRDefault="00631B90" w:rsidP="004A2182">
            <w:pPr>
              <w:jc w:val="right"/>
              <w:rPr>
                <w:b/>
              </w:rPr>
            </w:pPr>
            <w:r w:rsidRPr="004A2182">
              <w:rPr>
                <w:b/>
              </w:rPr>
              <w:t>187</w:t>
            </w:r>
          </w:p>
        </w:tc>
        <w:tc>
          <w:tcPr>
            <w:tcW w:w="2305" w:type="dxa"/>
          </w:tcPr>
          <w:p w:rsidR="00631B90" w:rsidRPr="004A2182" w:rsidRDefault="00631B90" w:rsidP="004A2182">
            <w:pPr>
              <w:jc w:val="right"/>
              <w:rPr>
                <w:b/>
              </w:rPr>
            </w:pPr>
          </w:p>
          <w:p w:rsidR="00631B90" w:rsidRPr="004A2182" w:rsidRDefault="00631B90" w:rsidP="004A2182">
            <w:pPr>
              <w:jc w:val="right"/>
              <w:rPr>
                <w:b/>
              </w:rPr>
            </w:pPr>
            <w:r w:rsidRPr="004A2182">
              <w:rPr>
                <w:b/>
              </w:rPr>
              <w:t>85</w:t>
            </w:r>
          </w:p>
        </w:tc>
        <w:tc>
          <w:tcPr>
            <w:tcW w:w="1435" w:type="dxa"/>
          </w:tcPr>
          <w:p w:rsidR="00631B90" w:rsidRPr="004A2182" w:rsidRDefault="00631B90" w:rsidP="004A2182">
            <w:pPr>
              <w:jc w:val="right"/>
              <w:rPr>
                <w:b/>
              </w:rPr>
            </w:pPr>
          </w:p>
          <w:p w:rsidR="00631B90" w:rsidRPr="004A2182" w:rsidRDefault="00631B90" w:rsidP="004A2182">
            <w:pPr>
              <w:jc w:val="right"/>
              <w:rPr>
                <w:b/>
              </w:rPr>
            </w:pPr>
            <w:r w:rsidRPr="004A2182">
              <w:rPr>
                <w:b/>
              </w:rPr>
              <w:t>265</w:t>
            </w:r>
          </w:p>
        </w:tc>
      </w:tr>
      <w:tr w:rsidR="006F5CCA" w:rsidTr="00631B90">
        <w:tc>
          <w:tcPr>
            <w:tcW w:w="2155" w:type="dxa"/>
          </w:tcPr>
          <w:p w:rsidR="006F5CCA" w:rsidRPr="00631B90" w:rsidRDefault="00631B90" w:rsidP="00014F53">
            <w:pPr>
              <w:rPr>
                <w:b/>
              </w:rPr>
            </w:pPr>
            <w:r w:rsidRPr="00631B90">
              <w:rPr>
                <w:b/>
              </w:rPr>
              <w:t>Test Survey totals</w:t>
            </w:r>
          </w:p>
        </w:tc>
        <w:tc>
          <w:tcPr>
            <w:tcW w:w="1585" w:type="dxa"/>
          </w:tcPr>
          <w:p w:rsidR="006F5CCA" w:rsidRPr="00631B90" w:rsidRDefault="00631B90" w:rsidP="004A2182">
            <w:pPr>
              <w:jc w:val="right"/>
              <w:rPr>
                <w:b/>
              </w:rPr>
            </w:pPr>
            <w:r w:rsidRPr="00631B90">
              <w:rPr>
                <w:b/>
              </w:rPr>
              <w:t>1250</w:t>
            </w:r>
          </w:p>
        </w:tc>
        <w:tc>
          <w:tcPr>
            <w:tcW w:w="1870" w:type="dxa"/>
          </w:tcPr>
          <w:p w:rsidR="006F5CCA" w:rsidRPr="00631B90" w:rsidRDefault="00631B90" w:rsidP="004A2182">
            <w:pPr>
              <w:jc w:val="right"/>
              <w:rPr>
                <w:b/>
              </w:rPr>
            </w:pPr>
            <w:r w:rsidRPr="00631B90">
              <w:rPr>
                <w:b/>
              </w:rPr>
              <w:t>1250</w:t>
            </w:r>
          </w:p>
        </w:tc>
        <w:tc>
          <w:tcPr>
            <w:tcW w:w="2305" w:type="dxa"/>
          </w:tcPr>
          <w:p w:rsidR="006F5CCA" w:rsidRPr="00631B90" w:rsidRDefault="00046693" w:rsidP="004A2182">
            <w:pPr>
              <w:jc w:val="right"/>
              <w:rPr>
                <w:b/>
              </w:rPr>
            </w:pPr>
            <w:r w:rsidRPr="00631B90">
              <w:rPr>
                <w:b/>
              </w:rPr>
              <w:t>85</w:t>
            </w:r>
          </w:p>
        </w:tc>
        <w:tc>
          <w:tcPr>
            <w:tcW w:w="1435" w:type="dxa"/>
          </w:tcPr>
          <w:p w:rsidR="006F5CCA" w:rsidRPr="00631B90" w:rsidRDefault="00046693" w:rsidP="004A2182">
            <w:pPr>
              <w:jc w:val="right"/>
              <w:rPr>
                <w:b/>
              </w:rPr>
            </w:pPr>
            <w:r w:rsidRPr="00631B90">
              <w:rPr>
                <w:b/>
              </w:rPr>
              <w:t>1771</w:t>
            </w:r>
          </w:p>
        </w:tc>
      </w:tr>
    </w:tbl>
    <w:p w:rsidR="006F5CCA" w:rsidRDefault="006F5CCA" w:rsidP="00014F53"/>
    <w:p w:rsidR="006B5ADC" w:rsidRDefault="006B5ADC" w:rsidP="00014F53">
      <w:r w:rsidRPr="00B229F5">
        <w:rPr>
          <w:rFonts w:eastAsiaTheme="minorHAnsi"/>
        </w:rPr>
        <w:t xml:space="preserve">This test builds off the strengths of the limited ORS job observation test conducted mid-2015.  Data collected will support BLS efforts to </w:t>
      </w:r>
      <w:r w:rsidR="00577C0D">
        <w:rPr>
          <w:rFonts w:eastAsiaTheme="minorHAnsi"/>
        </w:rPr>
        <w:t xml:space="preserve">further </w:t>
      </w:r>
      <w:r w:rsidRPr="00B229F5">
        <w:rPr>
          <w:rFonts w:eastAsiaTheme="minorHAnsi"/>
        </w:rPr>
        <w:t>measure the validity of current ORS collection methods and assess the relative practicality of different data collection methods for ORS data.</w:t>
      </w:r>
    </w:p>
    <w:p w:rsidR="006B5ADC" w:rsidRDefault="006B5ADC" w:rsidP="006B5ADC">
      <w:pPr>
        <w:rPr>
          <w:rFonts w:eastAsiaTheme="minorHAnsi"/>
        </w:rPr>
      </w:pPr>
      <w:r>
        <w:rPr>
          <w:color w:val="000000" w:themeColor="text1"/>
        </w:rPr>
        <w:t xml:space="preserve">This ORS Job Observation Test of cognitive, physical and environmental elements is to measure the coding agreement/differences between an observed job and an unobserved job for the tested elements.  This test </w:t>
      </w:r>
      <w:r w:rsidRPr="00B229F5">
        <w:rPr>
          <w:rFonts w:eastAsiaTheme="minorHAnsi"/>
        </w:rPr>
        <w:t xml:space="preserve">will produce information on the rates of agreement between data collection methods, and will give insight into the availability of data via observation that was not able to be collected via interview.  This research can help </w:t>
      </w:r>
      <w:r>
        <w:rPr>
          <w:rFonts w:eastAsiaTheme="minorHAnsi"/>
        </w:rPr>
        <w:t>ORS</w:t>
      </w:r>
      <w:r w:rsidRPr="00B229F5">
        <w:rPr>
          <w:rFonts w:eastAsiaTheme="minorHAnsi"/>
        </w:rPr>
        <w:t xml:space="preserve"> evaluate concerns expressed by stakeholders about the potential measurement error associated with the</w:t>
      </w:r>
      <w:r>
        <w:rPr>
          <w:rFonts w:eastAsiaTheme="minorHAnsi"/>
        </w:rPr>
        <w:t xml:space="preserve"> collection</w:t>
      </w:r>
      <w:r w:rsidRPr="00B229F5">
        <w:rPr>
          <w:rFonts w:eastAsiaTheme="minorHAnsi"/>
        </w:rPr>
        <w:t xml:space="preserve"> mode of establishment respondent interviews and assess the value of observational data for imputation.</w:t>
      </w:r>
    </w:p>
    <w:p w:rsidR="006B5ADC" w:rsidRPr="00B229F5" w:rsidRDefault="006B5ADC" w:rsidP="006B5ADC">
      <w:pPr>
        <w:pStyle w:val="ListParagraph"/>
        <w:keepNext/>
        <w:spacing w:before="240" w:after="120"/>
        <w:ind w:left="0"/>
        <w:rPr>
          <w:rFonts w:eastAsiaTheme="minorHAnsi"/>
        </w:rPr>
      </w:pPr>
      <w:r>
        <w:rPr>
          <w:rFonts w:eastAsiaTheme="minorHAnsi"/>
        </w:rPr>
        <w:t>From our earlier limited ORS job observation test we did find some limitations to job observations.</w:t>
      </w:r>
      <w:r w:rsidR="00070D7E">
        <w:rPr>
          <w:rFonts w:eastAsiaTheme="minorHAnsi"/>
        </w:rPr>
        <w:t xml:space="preserve">  </w:t>
      </w:r>
      <w:r w:rsidRPr="00B229F5">
        <w:rPr>
          <w:rFonts w:eastAsiaTheme="minorHAnsi"/>
        </w:rPr>
        <w:t xml:space="preserve">The pace of data collection via observation is slow compared to an interview and imposes a burden on the establishment to accommodate the collector, which may cause a conflict with operational activities.  Cooperation can be hard to obtain for observation in a number of industries.  Patient privacy concerns in hospital and other medical establishments limit observations.  Schools and day care centers also express privacy issues with observations.  Safety and insurance concerns limit observation on many occupations.   </w:t>
      </w:r>
    </w:p>
    <w:p w:rsidR="006B5ADC" w:rsidRPr="00B229F5" w:rsidRDefault="006B5ADC" w:rsidP="006B5ADC">
      <w:pPr>
        <w:pStyle w:val="ListParagraph"/>
        <w:keepNext/>
        <w:spacing w:before="240" w:after="120"/>
        <w:ind w:left="0"/>
        <w:rPr>
          <w:rFonts w:eastAsiaTheme="minorHAnsi"/>
        </w:rPr>
      </w:pPr>
    </w:p>
    <w:p w:rsidR="006B5ADC" w:rsidRDefault="006B5ADC" w:rsidP="006B5ADC">
      <w:pPr>
        <w:pStyle w:val="ListParagraph"/>
        <w:keepNext/>
        <w:spacing w:before="240" w:after="120"/>
        <w:ind w:left="0"/>
      </w:pPr>
      <w:r w:rsidRPr="00B229F5">
        <w:rPr>
          <w:rFonts w:eastAsiaTheme="minorHAnsi"/>
        </w:rPr>
        <w:t xml:space="preserve">Another limitation to job observation can be that the observer may not see the occupation doing “typically performed” functions during the observation.  The presence of the observer may impact how the workers perform their jobs and not all tasks may be required during the observation.  </w:t>
      </w:r>
      <w:r w:rsidRPr="00B229F5">
        <w:t>The test will allow BLS to assess the impact of these limitations on the direct observation methodology and to explore means of overcoming them.</w:t>
      </w:r>
    </w:p>
    <w:p w:rsidR="008C015D" w:rsidRDefault="008C015D" w:rsidP="006B5ADC">
      <w:pPr>
        <w:pStyle w:val="ListParagraph"/>
        <w:keepNext/>
        <w:spacing w:before="240" w:after="120"/>
        <w:ind w:left="0"/>
      </w:pPr>
    </w:p>
    <w:p w:rsidR="00454906" w:rsidRDefault="008C015D" w:rsidP="006B5ADC">
      <w:pPr>
        <w:pStyle w:val="ListParagraph"/>
        <w:keepNext/>
        <w:spacing w:before="240" w:after="120"/>
        <w:ind w:left="0"/>
      </w:pPr>
      <w:r w:rsidRPr="008C015D">
        <w:t xml:space="preserve">For sampling, the frame of occupational observations </w:t>
      </w:r>
      <w:r>
        <w:t>is</w:t>
      </w:r>
      <w:r w:rsidRPr="008C015D">
        <w:t xml:space="preserve"> stratified by SOC code.  The job observation test sample will be taken from 22 groups consisting of 25 8-digit SOC codes (see </w:t>
      </w:r>
      <w:r w:rsidR="000A0EB5">
        <w:t>Attachment D</w:t>
      </w:r>
      <w:r w:rsidRPr="008C015D">
        <w:t xml:space="preserve"> below for list of specific SOC codes).  In each of these 22 SOC-defined strata, no more than 60 observations will be completed from each, with a total test size not to exceed 1,250 occupational observations.  The occupational observations will be from at most 1,250 </w:t>
      </w:r>
      <w:r w:rsidRPr="008C015D">
        <w:lastRenderedPageBreak/>
        <w:t>establishments, but it is possible that some establishments will have more than one selected occupational observation.</w:t>
      </w:r>
    </w:p>
    <w:p w:rsidR="005857AE" w:rsidRDefault="003333A6" w:rsidP="005857AE">
      <w:r>
        <w:t xml:space="preserve">Two collection forms and two collection introduction scripts were developed for this test.  </w:t>
      </w:r>
      <w:r w:rsidR="00AE7D3C">
        <w:t>C</w:t>
      </w:r>
      <w:r>
        <w:t>opies of the collection forms</w:t>
      </w:r>
      <w:r w:rsidR="00BE3943">
        <w:t>,</w:t>
      </w:r>
      <w:r>
        <w:t xml:space="preserve"> introduction scripts</w:t>
      </w:r>
      <w:r w:rsidR="00BE3943">
        <w:t xml:space="preserve">, </w:t>
      </w:r>
      <w:r w:rsidR="00547C5F">
        <w:t>and list</w:t>
      </w:r>
      <w:r w:rsidR="00BE3943">
        <w:t xml:space="preserve"> of SOC’s use</w:t>
      </w:r>
      <w:r w:rsidR="00453A69">
        <w:t>d</w:t>
      </w:r>
      <w:r w:rsidR="00BE3943">
        <w:t xml:space="preserve"> for this test</w:t>
      </w:r>
      <w:r w:rsidR="00AE7D3C">
        <w:t xml:space="preserve"> are included in the attachments</w:t>
      </w:r>
      <w:r w:rsidR="00BE3943">
        <w:t>.</w:t>
      </w:r>
      <w:r>
        <w:t xml:space="preserve"> </w:t>
      </w:r>
    </w:p>
    <w:p w:rsidR="003333A6" w:rsidRPr="00B229F5" w:rsidRDefault="003333A6" w:rsidP="003333A6"/>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970"/>
        <w:gridCol w:w="2520"/>
        <w:gridCol w:w="1440"/>
      </w:tblGrid>
      <w:tr w:rsidR="003333A6" w:rsidRPr="00B229F5" w:rsidTr="000A14F0">
        <w:trPr>
          <w:trHeight w:val="312"/>
        </w:trPr>
        <w:tc>
          <w:tcPr>
            <w:tcW w:w="2965" w:type="dxa"/>
            <w:shd w:val="clear" w:color="auto" w:fill="BFBFBF" w:themeFill="background1" w:themeFillShade="BF"/>
            <w:vAlign w:val="center"/>
            <w:hideMark/>
          </w:tcPr>
          <w:p w:rsidR="003333A6" w:rsidRPr="00B229F5" w:rsidRDefault="003333A6" w:rsidP="000A14F0">
            <w:pPr>
              <w:rPr>
                <w:b/>
                <w:color w:val="000000"/>
              </w:rPr>
            </w:pPr>
            <w:r w:rsidRPr="00B229F5">
              <w:rPr>
                <w:b/>
                <w:color w:val="000000"/>
              </w:rPr>
              <w:t>Form</w:t>
            </w:r>
          </w:p>
        </w:tc>
        <w:tc>
          <w:tcPr>
            <w:tcW w:w="2970" w:type="dxa"/>
            <w:shd w:val="clear" w:color="auto" w:fill="BFBFBF" w:themeFill="background1" w:themeFillShade="BF"/>
            <w:vAlign w:val="center"/>
            <w:hideMark/>
          </w:tcPr>
          <w:p w:rsidR="003333A6" w:rsidRPr="00B229F5" w:rsidRDefault="003333A6" w:rsidP="000A14F0">
            <w:pPr>
              <w:rPr>
                <w:b/>
                <w:color w:val="000000"/>
              </w:rPr>
            </w:pPr>
            <w:r w:rsidRPr="00B229F5">
              <w:rPr>
                <w:b/>
                <w:color w:val="000000"/>
              </w:rPr>
              <w:t>Function</w:t>
            </w:r>
          </w:p>
        </w:tc>
        <w:tc>
          <w:tcPr>
            <w:tcW w:w="2520" w:type="dxa"/>
            <w:shd w:val="clear" w:color="auto" w:fill="BFBFBF" w:themeFill="background1" w:themeFillShade="BF"/>
            <w:vAlign w:val="center"/>
            <w:hideMark/>
          </w:tcPr>
          <w:p w:rsidR="003333A6" w:rsidRPr="00B229F5" w:rsidRDefault="003333A6" w:rsidP="000A14F0">
            <w:pPr>
              <w:rPr>
                <w:b/>
                <w:color w:val="000000"/>
              </w:rPr>
            </w:pPr>
            <w:r w:rsidRPr="00B229F5">
              <w:rPr>
                <w:b/>
                <w:color w:val="000000"/>
              </w:rPr>
              <w:t>Activities</w:t>
            </w:r>
          </w:p>
        </w:tc>
        <w:tc>
          <w:tcPr>
            <w:tcW w:w="1440" w:type="dxa"/>
            <w:shd w:val="clear" w:color="auto" w:fill="BFBFBF" w:themeFill="background1" w:themeFillShade="BF"/>
            <w:vAlign w:val="center"/>
            <w:hideMark/>
          </w:tcPr>
          <w:p w:rsidR="003333A6" w:rsidRPr="00B229F5" w:rsidRDefault="003333A6" w:rsidP="000A14F0">
            <w:pPr>
              <w:rPr>
                <w:b/>
                <w:color w:val="000000"/>
              </w:rPr>
            </w:pPr>
            <w:r w:rsidRPr="00B229F5">
              <w:rPr>
                <w:b/>
                <w:color w:val="000000"/>
              </w:rPr>
              <w:t>Time</w:t>
            </w:r>
          </w:p>
        </w:tc>
      </w:tr>
      <w:tr w:rsidR="003333A6" w:rsidRPr="00B229F5" w:rsidTr="000A14F0">
        <w:trPr>
          <w:trHeight w:val="1402"/>
        </w:trPr>
        <w:tc>
          <w:tcPr>
            <w:tcW w:w="2965" w:type="dxa"/>
            <w:shd w:val="clear" w:color="auto" w:fill="auto"/>
            <w:vAlign w:val="center"/>
          </w:tcPr>
          <w:p w:rsidR="003333A6" w:rsidRPr="00B229F5" w:rsidRDefault="003333A6" w:rsidP="000A14F0">
            <w:pPr>
              <w:rPr>
                <w:color w:val="000000"/>
              </w:rPr>
            </w:pPr>
            <w:r w:rsidRPr="00B229F5">
              <w:rPr>
                <w:color w:val="000000"/>
              </w:rPr>
              <w:t xml:space="preserve">ORS 2017 Job Observation Test Government Recording form  </w:t>
            </w:r>
          </w:p>
          <w:p w:rsidR="003333A6" w:rsidRPr="00B229F5" w:rsidRDefault="003333A6" w:rsidP="000A14F0">
            <w:pPr>
              <w:rPr>
                <w:color w:val="000000"/>
              </w:rPr>
            </w:pPr>
            <w:r w:rsidRPr="00B229F5">
              <w:rPr>
                <w:color w:val="000000"/>
              </w:rPr>
              <w:t>(ORS Form 4 OJT-1G )</w:t>
            </w:r>
          </w:p>
        </w:tc>
        <w:tc>
          <w:tcPr>
            <w:tcW w:w="2970" w:type="dxa"/>
            <w:shd w:val="clear" w:color="auto" w:fill="auto"/>
            <w:vAlign w:val="center"/>
          </w:tcPr>
          <w:p w:rsidR="003333A6" w:rsidRPr="00B229F5" w:rsidRDefault="003333A6" w:rsidP="000A14F0">
            <w:pPr>
              <w:rPr>
                <w:color w:val="000000"/>
              </w:rPr>
            </w:pPr>
            <w:r w:rsidRPr="00B229F5">
              <w:rPr>
                <w:color w:val="000000"/>
              </w:rPr>
              <w:t>Government general occupation information and ORS elements observed; records check of these data</w:t>
            </w:r>
          </w:p>
        </w:tc>
        <w:tc>
          <w:tcPr>
            <w:tcW w:w="2520" w:type="dxa"/>
            <w:shd w:val="clear" w:color="auto" w:fill="auto"/>
            <w:vAlign w:val="center"/>
          </w:tcPr>
          <w:p w:rsidR="003333A6" w:rsidRPr="00B229F5" w:rsidRDefault="003333A6" w:rsidP="000A14F0">
            <w:pPr>
              <w:rPr>
                <w:color w:val="000000"/>
              </w:rPr>
            </w:pPr>
            <w:r w:rsidRPr="00B229F5">
              <w:rPr>
                <w:color w:val="000000"/>
              </w:rPr>
              <w:t>Observation of selected occupation</w:t>
            </w:r>
          </w:p>
        </w:tc>
        <w:tc>
          <w:tcPr>
            <w:tcW w:w="1440" w:type="dxa"/>
            <w:shd w:val="clear" w:color="auto" w:fill="auto"/>
            <w:vAlign w:val="center"/>
          </w:tcPr>
          <w:p w:rsidR="003333A6" w:rsidRPr="00B229F5" w:rsidRDefault="003333A6" w:rsidP="000A14F0">
            <w:pPr>
              <w:rPr>
                <w:color w:val="000000"/>
              </w:rPr>
            </w:pPr>
            <w:r w:rsidRPr="00B229F5">
              <w:rPr>
                <w:rStyle w:val="CommentReference"/>
                <w:sz w:val="24"/>
                <w:szCs w:val="24"/>
              </w:rPr>
              <w:t>85 minutes</w:t>
            </w:r>
          </w:p>
        </w:tc>
      </w:tr>
      <w:tr w:rsidR="003333A6" w:rsidRPr="00B229F5" w:rsidTr="000A14F0">
        <w:trPr>
          <w:trHeight w:val="1402"/>
        </w:trPr>
        <w:tc>
          <w:tcPr>
            <w:tcW w:w="2965" w:type="dxa"/>
            <w:shd w:val="clear" w:color="auto" w:fill="auto"/>
            <w:vAlign w:val="center"/>
          </w:tcPr>
          <w:p w:rsidR="003333A6" w:rsidRPr="00B229F5" w:rsidRDefault="003333A6" w:rsidP="000A14F0">
            <w:pPr>
              <w:rPr>
                <w:color w:val="000000"/>
              </w:rPr>
            </w:pPr>
            <w:r w:rsidRPr="00B229F5">
              <w:rPr>
                <w:color w:val="000000"/>
              </w:rPr>
              <w:t xml:space="preserve">ORS 2017 Job Observation Test Private Industry Recording form  </w:t>
            </w:r>
          </w:p>
          <w:p w:rsidR="003333A6" w:rsidRPr="00B229F5" w:rsidRDefault="003333A6" w:rsidP="000A14F0">
            <w:pPr>
              <w:rPr>
                <w:color w:val="000000"/>
              </w:rPr>
            </w:pPr>
            <w:r w:rsidRPr="00B229F5">
              <w:rPr>
                <w:color w:val="000000"/>
              </w:rPr>
              <w:t>(ORS Form 4 OJT-1P )</w:t>
            </w:r>
          </w:p>
        </w:tc>
        <w:tc>
          <w:tcPr>
            <w:tcW w:w="2970" w:type="dxa"/>
            <w:shd w:val="clear" w:color="auto" w:fill="auto"/>
            <w:vAlign w:val="center"/>
          </w:tcPr>
          <w:p w:rsidR="003333A6" w:rsidRPr="00B229F5" w:rsidRDefault="003333A6" w:rsidP="000A14F0">
            <w:pPr>
              <w:rPr>
                <w:color w:val="000000"/>
              </w:rPr>
            </w:pPr>
            <w:r w:rsidRPr="00B229F5">
              <w:rPr>
                <w:color w:val="000000"/>
              </w:rPr>
              <w:t>Private industry general occupation information and ORS elements observed; records check of these data</w:t>
            </w:r>
          </w:p>
        </w:tc>
        <w:tc>
          <w:tcPr>
            <w:tcW w:w="2520" w:type="dxa"/>
            <w:shd w:val="clear" w:color="auto" w:fill="auto"/>
            <w:vAlign w:val="center"/>
          </w:tcPr>
          <w:p w:rsidR="003333A6" w:rsidRPr="00B229F5" w:rsidRDefault="003333A6" w:rsidP="000A14F0">
            <w:pPr>
              <w:rPr>
                <w:color w:val="000000"/>
              </w:rPr>
            </w:pPr>
            <w:r w:rsidRPr="00B229F5">
              <w:rPr>
                <w:color w:val="000000"/>
              </w:rPr>
              <w:t>Observation of selected occupation</w:t>
            </w:r>
          </w:p>
        </w:tc>
        <w:tc>
          <w:tcPr>
            <w:tcW w:w="1440" w:type="dxa"/>
            <w:shd w:val="clear" w:color="auto" w:fill="auto"/>
            <w:vAlign w:val="center"/>
          </w:tcPr>
          <w:p w:rsidR="003333A6" w:rsidRPr="00B229F5" w:rsidRDefault="003333A6" w:rsidP="000A14F0">
            <w:pPr>
              <w:rPr>
                <w:color w:val="000000"/>
              </w:rPr>
            </w:pPr>
            <w:r w:rsidRPr="00B229F5">
              <w:rPr>
                <w:rStyle w:val="CommentReference"/>
                <w:sz w:val="24"/>
                <w:szCs w:val="24"/>
              </w:rPr>
              <w:t>85 minutes</w:t>
            </w:r>
          </w:p>
        </w:tc>
      </w:tr>
    </w:tbl>
    <w:p w:rsidR="003333A6" w:rsidRPr="005857AE" w:rsidRDefault="003333A6" w:rsidP="005857AE"/>
    <w:p w:rsidR="005857AE" w:rsidRPr="005857AE" w:rsidRDefault="00AF0CB6" w:rsidP="005857AE">
      <w:pPr>
        <w:rPr>
          <w:color w:val="000000"/>
        </w:rPr>
      </w:pPr>
      <w:r>
        <w:t xml:space="preserve">     </w:t>
      </w:r>
      <w:r w:rsidRPr="00AF0CB6">
        <w:t xml:space="preserve"> </w:t>
      </w:r>
      <w:r>
        <w:t xml:space="preserve">     </w:t>
      </w:r>
    </w:p>
    <w:p w:rsidR="005857AE" w:rsidRPr="005857AE" w:rsidRDefault="005857AE" w:rsidP="005857AE">
      <w:pPr>
        <w:autoSpaceDE w:val="0"/>
        <w:autoSpaceDN w:val="0"/>
        <w:adjustRightInd w:val="0"/>
        <w:rPr>
          <w:b/>
          <w:bCs/>
        </w:rPr>
      </w:pPr>
      <w:r w:rsidRPr="005857AE">
        <w:t xml:space="preserve">If you have any questions about this non-substantive change request, please contact Paul Carney at 202-691-5180 or e-mail at </w:t>
      </w:r>
      <w:hyperlink r:id="rId10" w:history="1">
        <w:r w:rsidRPr="005857AE">
          <w:rPr>
            <w:color w:val="0000FF"/>
            <w:u w:val="single"/>
          </w:rPr>
          <w:t>Carney_P@bls.gov</w:t>
        </w:r>
      </w:hyperlink>
      <w:r w:rsidRPr="005857AE">
        <w:t xml:space="preserve"> or </w:t>
      </w:r>
      <w:r w:rsidR="004A2182">
        <w:t>Jennifer Coleman at 202-691-</w:t>
      </w:r>
      <w:r w:rsidR="00453A69">
        <w:t xml:space="preserve">7128 </w:t>
      </w:r>
      <w:r w:rsidRPr="005857AE">
        <w:t>or e-mail at</w:t>
      </w:r>
      <w:r w:rsidR="00453A69">
        <w:t xml:space="preserve"> </w:t>
      </w:r>
      <w:hyperlink r:id="rId11" w:history="1">
        <w:r w:rsidR="00453A69" w:rsidRPr="0088596E">
          <w:rPr>
            <w:rStyle w:val="Hyperlink"/>
          </w:rPr>
          <w:t>Coleman.Jennifer@bls.gov</w:t>
        </w:r>
      </w:hyperlink>
      <w:r w:rsidRPr="005857AE">
        <w:t>.</w:t>
      </w:r>
    </w:p>
    <w:p w:rsidR="006F5CCA" w:rsidRDefault="006F5CCA" w:rsidP="00912679">
      <w:pPr>
        <w:pStyle w:val="ListParagraph"/>
        <w:ind w:left="360"/>
        <w:rPr>
          <w:b/>
          <w:u w:val="single"/>
        </w:rPr>
      </w:pPr>
    </w:p>
    <w:p w:rsidR="000B74D1" w:rsidRDefault="006F5CCA" w:rsidP="00A54E61">
      <w:r>
        <w:t>Attachment A – Recruitment Script</w:t>
      </w:r>
    </w:p>
    <w:p w:rsidR="006F5CCA" w:rsidRDefault="006F5CCA" w:rsidP="00A54E61">
      <w:r>
        <w:t>Attachment B – ORS Observation Test Form – Private Industry</w:t>
      </w:r>
    </w:p>
    <w:p w:rsidR="006F5CCA" w:rsidRDefault="006F5CCA" w:rsidP="00A54E61">
      <w:r>
        <w:t>Attachment C – ORS Observation Test F</w:t>
      </w:r>
      <w:r w:rsidR="00315394">
        <w:t>or</w:t>
      </w:r>
      <w:r>
        <w:t>m – State and Local Government</w:t>
      </w:r>
    </w:p>
    <w:p w:rsidR="00D1568B" w:rsidRDefault="00D1568B" w:rsidP="00A54E61">
      <w:r>
        <w:t>Attachment D – S</w:t>
      </w:r>
      <w:r w:rsidRPr="008C015D">
        <w:t>pecific SOC codes</w:t>
      </w:r>
      <w:r>
        <w:t xml:space="preserve"> tested listing.</w:t>
      </w:r>
    </w:p>
    <w:p w:rsidR="00842D91" w:rsidRDefault="00842D91" w:rsidP="00A54E61"/>
    <w:p w:rsidR="00842D91" w:rsidRDefault="00842D91" w:rsidP="00A54E61"/>
    <w:p w:rsidR="00842D91" w:rsidRDefault="00842D91" w:rsidP="00A54E61"/>
    <w:p w:rsidR="00842D91" w:rsidRDefault="00842D91" w:rsidP="00A54E61"/>
    <w:p w:rsidR="00842D91" w:rsidRDefault="00842D91" w:rsidP="00A54E61"/>
    <w:bookmarkStart w:id="1" w:name="_MON_1534761864"/>
    <w:bookmarkEnd w:id="1"/>
    <w:p w:rsidR="00842D91" w:rsidRDefault="00842D91" w:rsidP="00A54E61">
      <w:r>
        <w:object w:dxaOrig="1501"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2" o:title=""/>
          </v:shape>
          <o:OLEObject Type="Embed" ProgID="Word.Document.12" ShapeID="_x0000_i1025" DrawAspect="Icon" ObjectID="_1536381929" r:id="rId13">
            <o:FieldCodes>\s</o:FieldCodes>
          </o:OLEObject>
        </w:object>
      </w:r>
      <w:r>
        <w:object w:dxaOrig="1501" w:dyaOrig="980">
          <v:shape id="_x0000_i1026" type="#_x0000_t75" style="width:75pt;height:49.2pt" o:ole="">
            <v:imagedata r:id="rId14" o:title=""/>
          </v:shape>
          <o:OLEObject Type="Embed" ProgID="Word.Document.12" ShapeID="_x0000_i1026" DrawAspect="Icon" ObjectID="_1536381930" r:id="rId15">
            <o:FieldCodes>\s</o:FieldCodes>
          </o:OLEObject>
        </w:object>
      </w:r>
    </w:p>
    <w:sectPr w:rsidR="00842D91" w:rsidSect="000B74D1">
      <w:footerReference w:type="even" r:id="rId16"/>
      <w:footerReference w:type="default" r:id="rId17"/>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D2" w:rsidRDefault="000A31D2">
      <w:r>
        <w:separator/>
      </w:r>
    </w:p>
  </w:endnote>
  <w:endnote w:type="continuationSeparator" w:id="0">
    <w:p w:rsidR="000A31D2" w:rsidRDefault="000A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0F" w:rsidRDefault="005D670F" w:rsidP="000B74D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5D670F" w:rsidRDefault="005D670F" w:rsidP="000B7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0F" w:rsidRDefault="005D670F" w:rsidP="000B74D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9F758C">
      <w:rPr>
        <w:rStyle w:val="PageNumber"/>
        <w:noProof/>
      </w:rPr>
      <w:t>3</w:t>
    </w:r>
    <w:r>
      <w:rPr>
        <w:rStyle w:val="PageNumber"/>
      </w:rPr>
      <w:fldChar w:fldCharType="end"/>
    </w:r>
  </w:p>
  <w:p w:rsidR="005D670F" w:rsidRDefault="005D670F" w:rsidP="000B7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D2" w:rsidRDefault="000A31D2">
      <w:r>
        <w:separator/>
      </w:r>
    </w:p>
  </w:footnote>
  <w:footnote w:type="continuationSeparator" w:id="0">
    <w:p w:rsidR="000A31D2" w:rsidRDefault="000A3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2015"/>
    <w:multiLevelType w:val="hybridMultilevel"/>
    <w:tmpl w:val="EF6450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47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024EF"/>
    <w:multiLevelType w:val="singleLevel"/>
    <w:tmpl w:val="3008E7CA"/>
    <w:lvl w:ilvl="0">
      <w:start w:val="1"/>
      <w:numFmt w:val="upperLetter"/>
      <w:lvlText w:val="%1."/>
      <w:lvlJc w:val="left"/>
      <w:pPr>
        <w:tabs>
          <w:tab w:val="num" w:pos="1080"/>
        </w:tabs>
        <w:ind w:left="1080" w:hanging="360"/>
      </w:pPr>
      <w:rPr>
        <w:rFonts w:hint="default"/>
      </w:rPr>
    </w:lvl>
  </w:abstractNum>
  <w:abstractNum w:abstractNumId="3" w15:restartNumberingAfterBreak="0">
    <w:nsid w:val="06307CD9"/>
    <w:multiLevelType w:val="singleLevel"/>
    <w:tmpl w:val="BCB4C598"/>
    <w:lvl w:ilvl="0">
      <w:start w:val="13"/>
      <w:numFmt w:val="decimal"/>
      <w:lvlText w:val="%1."/>
      <w:lvlJc w:val="left"/>
      <w:pPr>
        <w:tabs>
          <w:tab w:val="num" w:pos="1140"/>
        </w:tabs>
        <w:ind w:left="1140" w:hanging="420"/>
      </w:pPr>
      <w:rPr>
        <w:rFonts w:hint="default"/>
      </w:rPr>
    </w:lvl>
  </w:abstractNum>
  <w:abstractNum w:abstractNumId="4" w15:restartNumberingAfterBreak="0">
    <w:nsid w:val="06B505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EA06D0"/>
    <w:multiLevelType w:val="hybridMultilevel"/>
    <w:tmpl w:val="FD6A5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CE059D"/>
    <w:multiLevelType w:val="singleLevel"/>
    <w:tmpl w:val="FE7A261A"/>
    <w:lvl w:ilvl="0">
      <w:start w:val="8"/>
      <w:numFmt w:val="decimal"/>
      <w:lvlText w:val="%1."/>
      <w:lvlJc w:val="left"/>
      <w:pPr>
        <w:tabs>
          <w:tab w:val="num" w:pos="1080"/>
        </w:tabs>
        <w:ind w:left="1080" w:hanging="360"/>
      </w:pPr>
      <w:rPr>
        <w:rFonts w:hint="default"/>
      </w:rPr>
    </w:lvl>
  </w:abstractNum>
  <w:abstractNum w:abstractNumId="7" w15:restartNumberingAfterBreak="0">
    <w:nsid w:val="0BCF41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C66652F"/>
    <w:multiLevelType w:val="hybridMultilevel"/>
    <w:tmpl w:val="32E4AAA8"/>
    <w:lvl w:ilvl="0" w:tplc="5318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9B06D7"/>
    <w:multiLevelType w:val="hybridMultilevel"/>
    <w:tmpl w:val="C4440DAE"/>
    <w:lvl w:ilvl="0" w:tplc="CAEC6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B3D7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6B24F1B"/>
    <w:multiLevelType w:val="hybridMultilevel"/>
    <w:tmpl w:val="BCFA7A2E"/>
    <w:lvl w:ilvl="0" w:tplc="D554A1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B357D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31452C"/>
    <w:multiLevelType w:val="hybridMultilevel"/>
    <w:tmpl w:val="B2CE0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3D0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CE52355"/>
    <w:multiLevelType w:val="hybridMultilevel"/>
    <w:tmpl w:val="6C882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E6138"/>
    <w:multiLevelType w:val="multilevel"/>
    <w:tmpl w:val="EF0AF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2A0072F"/>
    <w:multiLevelType w:val="hybridMultilevel"/>
    <w:tmpl w:val="9086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C6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0E285C"/>
    <w:multiLevelType w:val="hybridMultilevel"/>
    <w:tmpl w:val="F1CE1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D426E6"/>
    <w:multiLevelType w:val="hybridMultilevel"/>
    <w:tmpl w:val="BA062240"/>
    <w:lvl w:ilvl="0" w:tplc="D410EDE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D6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DB6FA8"/>
    <w:multiLevelType w:val="hybridMultilevel"/>
    <w:tmpl w:val="ADDC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A322F"/>
    <w:multiLevelType w:val="hybridMultilevel"/>
    <w:tmpl w:val="580659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9709A0"/>
    <w:multiLevelType w:val="hybridMultilevel"/>
    <w:tmpl w:val="ECCC127A"/>
    <w:lvl w:ilvl="0" w:tplc="F7621002">
      <w:start w:val="19"/>
      <w:numFmt w:val="decimal"/>
      <w:lvlText w:val="%1."/>
      <w:lvlJc w:val="left"/>
      <w:pPr>
        <w:tabs>
          <w:tab w:val="num" w:pos="420"/>
        </w:tabs>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80357C"/>
    <w:multiLevelType w:val="hybridMultilevel"/>
    <w:tmpl w:val="1BA4ED9E"/>
    <w:lvl w:ilvl="0" w:tplc="4E1868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B06F8"/>
    <w:multiLevelType w:val="hybridMultilevel"/>
    <w:tmpl w:val="04F8E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60AA2"/>
    <w:multiLevelType w:val="hybridMultilevel"/>
    <w:tmpl w:val="3F9471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FC3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5325FB"/>
    <w:multiLevelType w:val="hybridMultilevel"/>
    <w:tmpl w:val="2FF2C2FA"/>
    <w:lvl w:ilvl="0" w:tplc="16401364">
      <w:start w:val="1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C6D364B"/>
    <w:multiLevelType w:val="hybridMultilevel"/>
    <w:tmpl w:val="37A8A9E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F66D2E"/>
    <w:multiLevelType w:val="hybridMultilevel"/>
    <w:tmpl w:val="0B622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005273"/>
    <w:multiLevelType w:val="hybridMultilevel"/>
    <w:tmpl w:val="AD8C56F4"/>
    <w:lvl w:ilvl="0" w:tplc="7C289334">
      <w:start w:val="1"/>
      <w:numFmt w:val="decimal"/>
      <w:lvlText w:val="%1."/>
      <w:lvlJc w:val="left"/>
      <w:pPr>
        <w:ind w:left="762" w:hanging="132"/>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57262133"/>
    <w:multiLevelType w:val="hybridMultilevel"/>
    <w:tmpl w:val="012C6204"/>
    <w:lvl w:ilvl="0" w:tplc="B91AA3DC">
      <w:start w:val="1"/>
      <w:numFmt w:val="decimal"/>
      <w:lvlText w:val="%1."/>
      <w:lvlJc w:val="left"/>
      <w:pPr>
        <w:tabs>
          <w:tab w:val="num" w:pos="720"/>
        </w:tabs>
        <w:ind w:left="720" w:hanging="360"/>
      </w:pPr>
      <w:rPr>
        <w:rFonts w:hint="default"/>
      </w:rPr>
    </w:lvl>
    <w:lvl w:ilvl="1" w:tplc="0122D348">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B876C4"/>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2B10B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15:restartNumberingAfterBreak="0">
    <w:nsid w:val="5CCE0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D821A25"/>
    <w:multiLevelType w:val="singleLevel"/>
    <w:tmpl w:val="8C3A27BC"/>
    <w:lvl w:ilvl="0">
      <w:start w:val="4"/>
      <w:numFmt w:val="decimal"/>
      <w:lvlText w:val="%1."/>
      <w:lvlJc w:val="left"/>
      <w:pPr>
        <w:tabs>
          <w:tab w:val="num" w:pos="1080"/>
        </w:tabs>
        <w:ind w:left="1080" w:hanging="360"/>
      </w:pPr>
      <w:rPr>
        <w:rFonts w:hint="default"/>
      </w:rPr>
    </w:lvl>
  </w:abstractNum>
  <w:abstractNum w:abstractNumId="39" w15:restartNumberingAfterBreak="0">
    <w:nsid w:val="61A67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E25D65"/>
    <w:multiLevelType w:val="singleLevel"/>
    <w:tmpl w:val="7B2CB096"/>
    <w:lvl w:ilvl="0">
      <w:start w:val="1"/>
      <w:numFmt w:val="decimal"/>
      <w:lvlText w:val="%1."/>
      <w:lvlJc w:val="left"/>
      <w:pPr>
        <w:tabs>
          <w:tab w:val="num" w:pos="1080"/>
        </w:tabs>
        <w:ind w:left="1080" w:hanging="360"/>
      </w:pPr>
      <w:rPr>
        <w:rFonts w:hint="default"/>
      </w:rPr>
    </w:lvl>
  </w:abstractNum>
  <w:abstractNum w:abstractNumId="41" w15:restartNumberingAfterBreak="0">
    <w:nsid w:val="63AB56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973F38"/>
    <w:multiLevelType w:val="hybridMultilevel"/>
    <w:tmpl w:val="106C4A5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6DC15D4A"/>
    <w:multiLevelType w:val="hybridMultilevel"/>
    <w:tmpl w:val="6F1E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3383A"/>
    <w:multiLevelType w:val="hybridMultilevel"/>
    <w:tmpl w:val="3312B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480F2E"/>
    <w:multiLevelType w:val="hybridMultilevel"/>
    <w:tmpl w:val="ABB278D6"/>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E0F02"/>
    <w:multiLevelType w:val="singleLevel"/>
    <w:tmpl w:val="E2CC48EC"/>
    <w:lvl w:ilvl="0">
      <w:start w:val="17"/>
      <w:numFmt w:val="decimal"/>
      <w:lvlText w:val="%1."/>
      <w:lvlJc w:val="left"/>
      <w:pPr>
        <w:tabs>
          <w:tab w:val="num" w:pos="1140"/>
        </w:tabs>
        <w:ind w:left="1140" w:hanging="420"/>
      </w:pPr>
      <w:rPr>
        <w:rFonts w:hint="default"/>
      </w:rPr>
    </w:lvl>
  </w:abstractNum>
  <w:abstractNum w:abstractNumId="47" w15:restartNumberingAfterBreak="0">
    <w:nsid w:val="7C8D77E5"/>
    <w:multiLevelType w:val="hybridMultilevel"/>
    <w:tmpl w:val="CEF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042B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9"/>
  </w:num>
  <w:num w:numId="3">
    <w:abstractNumId w:val="10"/>
  </w:num>
  <w:num w:numId="4">
    <w:abstractNumId w:val="12"/>
  </w:num>
  <w:num w:numId="5">
    <w:abstractNumId w:val="7"/>
  </w:num>
  <w:num w:numId="6">
    <w:abstractNumId w:val="21"/>
  </w:num>
  <w:num w:numId="7">
    <w:abstractNumId w:val="18"/>
  </w:num>
  <w:num w:numId="8">
    <w:abstractNumId w:val="48"/>
  </w:num>
  <w:num w:numId="9">
    <w:abstractNumId w:val="14"/>
  </w:num>
  <w:num w:numId="10">
    <w:abstractNumId w:val="41"/>
  </w:num>
  <w:num w:numId="11">
    <w:abstractNumId w:val="40"/>
  </w:num>
  <w:num w:numId="12">
    <w:abstractNumId w:val="1"/>
  </w:num>
  <w:num w:numId="13">
    <w:abstractNumId w:val="39"/>
  </w:num>
  <w:num w:numId="14">
    <w:abstractNumId w:val="38"/>
  </w:num>
  <w:num w:numId="15">
    <w:abstractNumId w:val="37"/>
  </w:num>
  <w:num w:numId="16">
    <w:abstractNumId w:val="36"/>
  </w:num>
  <w:num w:numId="17">
    <w:abstractNumId w:val="6"/>
  </w:num>
  <w:num w:numId="18">
    <w:abstractNumId w:val="3"/>
  </w:num>
  <w:num w:numId="19">
    <w:abstractNumId w:val="46"/>
  </w:num>
  <w:num w:numId="20">
    <w:abstractNumId w:val="4"/>
  </w:num>
  <w:num w:numId="21">
    <w:abstractNumId w:val="34"/>
  </w:num>
  <w:num w:numId="22">
    <w:abstractNumId w:val="11"/>
  </w:num>
  <w:num w:numId="23">
    <w:abstractNumId w:val="24"/>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3"/>
  </w:num>
  <w:num w:numId="27">
    <w:abstractNumId w:val="15"/>
  </w:num>
  <w:num w:numId="28">
    <w:abstractNumId w:val="32"/>
  </w:num>
  <w:num w:numId="29">
    <w:abstractNumId w:val="23"/>
  </w:num>
  <w:num w:numId="30">
    <w:abstractNumId w:val="9"/>
  </w:num>
  <w:num w:numId="31">
    <w:abstractNumId w:val="44"/>
  </w:num>
  <w:num w:numId="32">
    <w:abstractNumId w:val="35"/>
  </w:num>
  <w:num w:numId="33">
    <w:abstractNumId w:val="13"/>
  </w:num>
  <w:num w:numId="34">
    <w:abstractNumId w:val="27"/>
  </w:num>
  <w:num w:numId="35">
    <w:abstractNumId w:val="45"/>
  </w:num>
  <w:num w:numId="36">
    <w:abstractNumId w:val="30"/>
  </w:num>
  <w:num w:numId="37">
    <w:abstractNumId w:val="31"/>
  </w:num>
  <w:num w:numId="38">
    <w:abstractNumId w:val="22"/>
  </w:num>
  <w:num w:numId="39">
    <w:abstractNumId w:val="8"/>
  </w:num>
  <w:num w:numId="40">
    <w:abstractNumId w:val="19"/>
  </w:num>
  <w:num w:numId="41">
    <w:abstractNumId w:val="20"/>
  </w:num>
  <w:num w:numId="42">
    <w:abstractNumId w:val="47"/>
  </w:num>
  <w:num w:numId="43">
    <w:abstractNumId w:val="42"/>
  </w:num>
  <w:num w:numId="44">
    <w:abstractNumId w:val="33"/>
  </w:num>
  <w:num w:numId="45">
    <w:abstractNumId w:val="17"/>
  </w:num>
  <w:num w:numId="46">
    <w:abstractNumId w:val="5"/>
  </w:num>
  <w:num w:numId="47">
    <w:abstractNumId w:val="28"/>
  </w:num>
  <w:num w:numId="48">
    <w:abstractNumId w:val="0"/>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131078" w:nlCheck="1" w:checkStyle="1"/>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D1"/>
    <w:rsid w:val="00014F53"/>
    <w:rsid w:val="00041976"/>
    <w:rsid w:val="00041ED0"/>
    <w:rsid w:val="00046693"/>
    <w:rsid w:val="000575BC"/>
    <w:rsid w:val="00070D7E"/>
    <w:rsid w:val="000751C4"/>
    <w:rsid w:val="00076661"/>
    <w:rsid w:val="000779ED"/>
    <w:rsid w:val="000826B8"/>
    <w:rsid w:val="0008299C"/>
    <w:rsid w:val="0008753A"/>
    <w:rsid w:val="000964C4"/>
    <w:rsid w:val="000A0EB5"/>
    <w:rsid w:val="000A22E4"/>
    <w:rsid w:val="000A31D2"/>
    <w:rsid w:val="000A47A2"/>
    <w:rsid w:val="000A4C4F"/>
    <w:rsid w:val="000B084B"/>
    <w:rsid w:val="000B1CF7"/>
    <w:rsid w:val="000B3C48"/>
    <w:rsid w:val="000B74D1"/>
    <w:rsid w:val="000C04BB"/>
    <w:rsid w:val="000D254C"/>
    <w:rsid w:val="000F174A"/>
    <w:rsid w:val="0011392C"/>
    <w:rsid w:val="0012650E"/>
    <w:rsid w:val="0013245B"/>
    <w:rsid w:val="00132796"/>
    <w:rsid w:val="0013370C"/>
    <w:rsid w:val="00137364"/>
    <w:rsid w:val="00145844"/>
    <w:rsid w:val="00145AA1"/>
    <w:rsid w:val="001550C6"/>
    <w:rsid w:val="00157A98"/>
    <w:rsid w:val="001653BB"/>
    <w:rsid w:val="00167542"/>
    <w:rsid w:val="00180C66"/>
    <w:rsid w:val="0019280C"/>
    <w:rsid w:val="001A0963"/>
    <w:rsid w:val="001B1EDF"/>
    <w:rsid w:val="001B3D4C"/>
    <w:rsid w:val="001C597E"/>
    <w:rsid w:val="001F06F1"/>
    <w:rsid w:val="001F2A5A"/>
    <w:rsid w:val="00211009"/>
    <w:rsid w:val="00215972"/>
    <w:rsid w:val="00223D04"/>
    <w:rsid w:val="00234CBC"/>
    <w:rsid w:val="00250FAF"/>
    <w:rsid w:val="002740B5"/>
    <w:rsid w:val="002774E6"/>
    <w:rsid w:val="00281113"/>
    <w:rsid w:val="002854EA"/>
    <w:rsid w:val="002A27D2"/>
    <w:rsid w:val="002A366D"/>
    <w:rsid w:val="002A42A7"/>
    <w:rsid w:val="002B3E12"/>
    <w:rsid w:val="002B4086"/>
    <w:rsid w:val="002B5182"/>
    <w:rsid w:val="002C00E1"/>
    <w:rsid w:val="00315394"/>
    <w:rsid w:val="00322024"/>
    <w:rsid w:val="003333A6"/>
    <w:rsid w:val="00342FA4"/>
    <w:rsid w:val="00345582"/>
    <w:rsid w:val="0035270A"/>
    <w:rsid w:val="00361130"/>
    <w:rsid w:val="003809B6"/>
    <w:rsid w:val="00391B49"/>
    <w:rsid w:val="003C1B1B"/>
    <w:rsid w:val="003C1B4F"/>
    <w:rsid w:val="003E68BD"/>
    <w:rsid w:val="004014C4"/>
    <w:rsid w:val="0043378F"/>
    <w:rsid w:val="00453A69"/>
    <w:rsid w:val="00454906"/>
    <w:rsid w:val="00455ED1"/>
    <w:rsid w:val="00463C90"/>
    <w:rsid w:val="00477C6C"/>
    <w:rsid w:val="004848E0"/>
    <w:rsid w:val="004932B8"/>
    <w:rsid w:val="004A2182"/>
    <w:rsid w:val="004B7FE8"/>
    <w:rsid w:val="004D3A08"/>
    <w:rsid w:val="004D46EC"/>
    <w:rsid w:val="004E37EB"/>
    <w:rsid w:val="005162A4"/>
    <w:rsid w:val="00533C1F"/>
    <w:rsid w:val="0053422F"/>
    <w:rsid w:val="00541A54"/>
    <w:rsid w:val="00547C5F"/>
    <w:rsid w:val="005510C7"/>
    <w:rsid w:val="00553CE8"/>
    <w:rsid w:val="00556A0B"/>
    <w:rsid w:val="0056699E"/>
    <w:rsid w:val="005704D0"/>
    <w:rsid w:val="00576F73"/>
    <w:rsid w:val="00577C0D"/>
    <w:rsid w:val="005857AE"/>
    <w:rsid w:val="005933BE"/>
    <w:rsid w:val="005C0CAE"/>
    <w:rsid w:val="005C24FB"/>
    <w:rsid w:val="005D670F"/>
    <w:rsid w:val="005F5C9A"/>
    <w:rsid w:val="005F702B"/>
    <w:rsid w:val="00600136"/>
    <w:rsid w:val="0060727D"/>
    <w:rsid w:val="00631B90"/>
    <w:rsid w:val="00635024"/>
    <w:rsid w:val="006446DA"/>
    <w:rsid w:val="006515D4"/>
    <w:rsid w:val="00652925"/>
    <w:rsid w:val="00672213"/>
    <w:rsid w:val="0068132F"/>
    <w:rsid w:val="006864C4"/>
    <w:rsid w:val="006B2F4A"/>
    <w:rsid w:val="006B5ADC"/>
    <w:rsid w:val="006D1904"/>
    <w:rsid w:val="006F5CCA"/>
    <w:rsid w:val="00703312"/>
    <w:rsid w:val="007327DF"/>
    <w:rsid w:val="0074520A"/>
    <w:rsid w:val="00746CD4"/>
    <w:rsid w:val="00755D2B"/>
    <w:rsid w:val="007619EB"/>
    <w:rsid w:val="00766DF3"/>
    <w:rsid w:val="0078660F"/>
    <w:rsid w:val="00792386"/>
    <w:rsid w:val="00793E32"/>
    <w:rsid w:val="00797378"/>
    <w:rsid w:val="007C47A9"/>
    <w:rsid w:val="007C51F5"/>
    <w:rsid w:val="007C6925"/>
    <w:rsid w:val="00800383"/>
    <w:rsid w:val="00815928"/>
    <w:rsid w:val="00817E3B"/>
    <w:rsid w:val="0082064F"/>
    <w:rsid w:val="00820801"/>
    <w:rsid w:val="00842D91"/>
    <w:rsid w:val="00847AEC"/>
    <w:rsid w:val="008567AB"/>
    <w:rsid w:val="008607C7"/>
    <w:rsid w:val="00861343"/>
    <w:rsid w:val="008630AF"/>
    <w:rsid w:val="0087024F"/>
    <w:rsid w:val="00873A5C"/>
    <w:rsid w:val="008818CE"/>
    <w:rsid w:val="00887AA3"/>
    <w:rsid w:val="008A1D44"/>
    <w:rsid w:val="008C015D"/>
    <w:rsid w:val="008C3807"/>
    <w:rsid w:val="008C7A5A"/>
    <w:rsid w:val="008D1D67"/>
    <w:rsid w:val="008D63F6"/>
    <w:rsid w:val="008D7373"/>
    <w:rsid w:val="00912679"/>
    <w:rsid w:val="0092354E"/>
    <w:rsid w:val="0093100D"/>
    <w:rsid w:val="00933AFE"/>
    <w:rsid w:val="009530B7"/>
    <w:rsid w:val="00955426"/>
    <w:rsid w:val="00961588"/>
    <w:rsid w:val="00962A58"/>
    <w:rsid w:val="00964412"/>
    <w:rsid w:val="00990D2D"/>
    <w:rsid w:val="009A1689"/>
    <w:rsid w:val="009E149A"/>
    <w:rsid w:val="009E6F1F"/>
    <w:rsid w:val="009F5D3C"/>
    <w:rsid w:val="009F758C"/>
    <w:rsid w:val="009F7D1D"/>
    <w:rsid w:val="00A03C39"/>
    <w:rsid w:val="00A05B7B"/>
    <w:rsid w:val="00A50886"/>
    <w:rsid w:val="00A549C4"/>
    <w:rsid w:val="00A54E61"/>
    <w:rsid w:val="00A76CCD"/>
    <w:rsid w:val="00A77690"/>
    <w:rsid w:val="00A9694A"/>
    <w:rsid w:val="00A96AA4"/>
    <w:rsid w:val="00AA2C60"/>
    <w:rsid w:val="00AC401E"/>
    <w:rsid w:val="00AD2C66"/>
    <w:rsid w:val="00AD306C"/>
    <w:rsid w:val="00AE3137"/>
    <w:rsid w:val="00AE6CB1"/>
    <w:rsid w:val="00AE7D3C"/>
    <w:rsid w:val="00AF0CB6"/>
    <w:rsid w:val="00B033C4"/>
    <w:rsid w:val="00B06721"/>
    <w:rsid w:val="00B1552D"/>
    <w:rsid w:val="00B229F5"/>
    <w:rsid w:val="00B33814"/>
    <w:rsid w:val="00B44A94"/>
    <w:rsid w:val="00B56578"/>
    <w:rsid w:val="00B96CD1"/>
    <w:rsid w:val="00BA154E"/>
    <w:rsid w:val="00BE3943"/>
    <w:rsid w:val="00C0133A"/>
    <w:rsid w:val="00C05497"/>
    <w:rsid w:val="00C15A59"/>
    <w:rsid w:val="00C23544"/>
    <w:rsid w:val="00C24F2E"/>
    <w:rsid w:val="00C307DB"/>
    <w:rsid w:val="00C43E01"/>
    <w:rsid w:val="00C46707"/>
    <w:rsid w:val="00C643DF"/>
    <w:rsid w:val="00C7075F"/>
    <w:rsid w:val="00C966F3"/>
    <w:rsid w:val="00CC5D7F"/>
    <w:rsid w:val="00CE375F"/>
    <w:rsid w:val="00CE6BDF"/>
    <w:rsid w:val="00CE6E7E"/>
    <w:rsid w:val="00CF2032"/>
    <w:rsid w:val="00D12C5F"/>
    <w:rsid w:val="00D1568B"/>
    <w:rsid w:val="00D40C16"/>
    <w:rsid w:val="00D62CD7"/>
    <w:rsid w:val="00D65FB3"/>
    <w:rsid w:val="00D81E60"/>
    <w:rsid w:val="00D86433"/>
    <w:rsid w:val="00D867F0"/>
    <w:rsid w:val="00DA67E9"/>
    <w:rsid w:val="00DC1FC6"/>
    <w:rsid w:val="00DD340D"/>
    <w:rsid w:val="00E02D71"/>
    <w:rsid w:val="00E13C6A"/>
    <w:rsid w:val="00E21638"/>
    <w:rsid w:val="00E45DC1"/>
    <w:rsid w:val="00E53585"/>
    <w:rsid w:val="00E540BA"/>
    <w:rsid w:val="00E85640"/>
    <w:rsid w:val="00EB49DB"/>
    <w:rsid w:val="00EB5D98"/>
    <w:rsid w:val="00F20EE9"/>
    <w:rsid w:val="00F33827"/>
    <w:rsid w:val="00F365C6"/>
    <w:rsid w:val="00F406EC"/>
    <w:rsid w:val="00F552D9"/>
    <w:rsid w:val="00F855D0"/>
    <w:rsid w:val="00F912A5"/>
    <w:rsid w:val="00F95887"/>
    <w:rsid w:val="00FA162F"/>
    <w:rsid w:val="00FA5830"/>
    <w:rsid w:val="00FC1FEE"/>
    <w:rsid w:val="00FD7AC1"/>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F5D2B4B-9E05-4772-89ED-FFA724C6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4D1"/>
    <w:pPr>
      <w:keepNext/>
      <w:spacing w:after="240"/>
      <w:outlineLvl w:val="0"/>
    </w:pPr>
    <w:rPr>
      <w:b/>
    </w:rPr>
  </w:style>
  <w:style w:type="paragraph" w:styleId="Heading2">
    <w:name w:val="heading 2"/>
    <w:basedOn w:val="Normal"/>
    <w:next w:val="Normal"/>
    <w:link w:val="Heading2Char"/>
    <w:qFormat/>
    <w:rsid w:val="000B74D1"/>
    <w:pPr>
      <w:keepNext/>
      <w:spacing w:before="240"/>
      <w:contextualSpacing/>
      <w:outlineLvl w:val="1"/>
    </w:pPr>
    <w:rPr>
      <w:b/>
    </w:rPr>
  </w:style>
  <w:style w:type="paragraph" w:styleId="Heading3">
    <w:name w:val="heading 3"/>
    <w:basedOn w:val="Normal"/>
    <w:next w:val="Normal"/>
    <w:link w:val="Heading3Char"/>
    <w:qFormat/>
    <w:rsid w:val="000B74D1"/>
    <w:pPr>
      <w:keepNext/>
      <w:outlineLvl w:val="2"/>
    </w:pPr>
    <w:rPr>
      <w:b/>
    </w:rPr>
  </w:style>
  <w:style w:type="paragraph" w:styleId="Heading4">
    <w:name w:val="heading 4"/>
    <w:basedOn w:val="Normal"/>
    <w:next w:val="Normal"/>
    <w:link w:val="Heading4Char"/>
    <w:qFormat/>
    <w:rsid w:val="000B74D1"/>
    <w:pPr>
      <w:keepNext/>
      <w:tabs>
        <w:tab w:val="left" w:pos="-720"/>
      </w:tabs>
      <w:suppressAutoHyphens/>
      <w:spacing w:before="90" w:after="54"/>
      <w:outlineLvl w:val="3"/>
    </w:pPr>
  </w:style>
  <w:style w:type="paragraph" w:styleId="Heading5">
    <w:name w:val="heading 5"/>
    <w:basedOn w:val="Normal"/>
    <w:next w:val="Normal"/>
    <w:link w:val="Heading5Char"/>
    <w:qFormat/>
    <w:rsid w:val="000B74D1"/>
    <w:pPr>
      <w:keepNext/>
      <w:ind w:left="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4D1"/>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0B74D1"/>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0B74D1"/>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0B74D1"/>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0B74D1"/>
    <w:rPr>
      <w:rFonts w:ascii="Times New Roman" w:eastAsia="Times New Roman" w:hAnsi="Times New Roman" w:cs="Times New Roman"/>
      <w:sz w:val="24"/>
      <w:szCs w:val="24"/>
      <w:u w:val="single"/>
    </w:rPr>
  </w:style>
  <w:style w:type="paragraph" w:styleId="Footer">
    <w:name w:val="footer"/>
    <w:basedOn w:val="Normal"/>
    <w:link w:val="FooterChar"/>
    <w:rsid w:val="000B74D1"/>
    <w:pPr>
      <w:tabs>
        <w:tab w:val="center" w:pos="4320"/>
        <w:tab w:val="right" w:pos="8640"/>
      </w:tabs>
    </w:pPr>
  </w:style>
  <w:style w:type="character" w:customStyle="1" w:styleId="FooterChar">
    <w:name w:val="Footer Char"/>
    <w:basedOn w:val="DefaultParagraphFont"/>
    <w:link w:val="Footer"/>
    <w:rsid w:val="000B74D1"/>
    <w:rPr>
      <w:rFonts w:ascii="Times New Roman" w:eastAsia="Times New Roman" w:hAnsi="Times New Roman" w:cs="Times New Roman"/>
      <w:sz w:val="24"/>
      <w:szCs w:val="24"/>
    </w:rPr>
  </w:style>
  <w:style w:type="character" w:styleId="PageNumber">
    <w:name w:val="page number"/>
    <w:basedOn w:val="DefaultParagraphFont"/>
    <w:rsid w:val="000B74D1"/>
  </w:style>
  <w:style w:type="paragraph" w:styleId="FootnoteText">
    <w:name w:val="footnote text"/>
    <w:basedOn w:val="Normal"/>
    <w:link w:val="FootnoteTextChar"/>
    <w:semiHidden/>
    <w:rsid w:val="000B74D1"/>
  </w:style>
  <w:style w:type="character" w:customStyle="1" w:styleId="FootnoteTextChar">
    <w:name w:val="Footnote Text Char"/>
    <w:basedOn w:val="DefaultParagraphFont"/>
    <w:link w:val="FootnoteText"/>
    <w:semiHidden/>
    <w:rsid w:val="000B74D1"/>
    <w:rPr>
      <w:rFonts w:ascii="Times New Roman" w:eastAsia="Times New Roman" w:hAnsi="Times New Roman" w:cs="Times New Roman"/>
      <w:sz w:val="24"/>
      <w:szCs w:val="24"/>
    </w:rPr>
  </w:style>
  <w:style w:type="character" w:styleId="FootnoteReference">
    <w:name w:val="footnote reference"/>
    <w:basedOn w:val="DefaultParagraphFont"/>
    <w:semiHidden/>
    <w:rsid w:val="000B74D1"/>
    <w:rPr>
      <w:vertAlign w:val="superscript"/>
    </w:rPr>
  </w:style>
  <w:style w:type="paragraph" w:styleId="ListBullet2">
    <w:name w:val="List Bullet 2"/>
    <w:basedOn w:val="Normal"/>
    <w:autoRedefine/>
    <w:rsid w:val="000B74D1"/>
    <w:pPr>
      <w:ind w:left="720" w:hanging="360"/>
    </w:pPr>
  </w:style>
  <w:style w:type="paragraph" w:styleId="BodyTextIndent">
    <w:name w:val="Body Text Indent"/>
    <w:basedOn w:val="Normal"/>
    <w:link w:val="BodyTextIndentChar"/>
    <w:rsid w:val="000B74D1"/>
  </w:style>
  <w:style w:type="character" w:customStyle="1" w:styleId="BodyTextIndentChar">
    <w:name w:val="Body Text Indent Char"/>
    <w:basedOn w:val="DefaultParagraphFont"/>
    <w:link w:val="BodyTextIndent"/>
    <w:rsid w:val="000B74D1"/>
    <w:rPr>
      <w:rFonts w:ascii="Times New Roman" w:eastAsia="Times New Roman" w:hAnsi="Times New Roman" w:cs="Times New Roman"/>
      <w:sz w:val="24"/>
      <w:szCs w:val="24"/>
    </w:rPr>
  </w:style>
  <w:style w:type="paragraph" w:styleId="Header">
    <w:name w:val="header"/>
    <w:basedOn w:val="Normal"/>
    <w:link w:val="HeaderChar"/>
    <w:rsid w:val="000B74D1"/>
    <w:pPr>
      <w:tabs>
        <w:tab w:val="center" w:pos="4320"/>
        <w:tab w:val="right" w:pos="8640"/>
      </w:tabs>
    </w:pPr>
  </w:style>
  <w:style w:type="character" w:customStyle="1" w:styleId="HeaderChar">
    <w:name w:val="Header Char"/>
    <w:basedOn w:val="DefaultParagraphFont"/>
    <w:link w:val="Header"/>
    <w:rsid w:val="000B74D1"/>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0B74D1"/>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0B74D1"/>
    <w:pPr>
      <w:shd w:val="clear" w:color="auto" w:fill="000080"/>
    </w:pPr>
    <w:rPr>
      <w:rFonts w:ascii="Tahoma" w:hAnsi="Tahoma"/>
    </w:rPr>
  </w:style>
  <w:style w:type="paragraph" w:styleId="BodyTextIndent2">
    <w:name w:val="Body Text Indent 2"/>
    <w:basedOn w:val="Normal"/>
    <w:link w:val="BodyTextIndent2Char"/>
    <w:uiPriority w:val="99"/>
    <w:rsid w:val="000B74D1"/>
    <w:pPr>
      <w:ind w:firstLine="720"/>
    </w:pPr>
    <w:rPr>
      <w:b/>
    </w:rPr>
  </w:style>
  <w:style w:type="character" w:customStyle="1" w:styleId="BodyTextIndent2Char">
    <w:name w:val="Body Text Indent 2 Char"/>
    <w:basedOn w:val="DefaultParagraphFont"/>
    <w:link w:val="BodyTextIndent2"/>
    <w:uiPriority w:val="99"/>
    <w:rsid w:val="000B74D1"/>
    <w:rPr>
      <w:rFonts w:ascii="Times New Roman" w:eastAsia="Times New Roman" w:hAnsi="Times New Roman" w:cs="Times New Roman"/>
      <w:b/>
      <w:sz w:val="24"/>
      <w:szCs w:val="24"/>
    </w:rPr>
  </w:style>
  <w:style w:type="paragraph" w:styleId="BodyTextIndent3">
    <w:name w:val="Body Text Indent 3"/>
    <w:basedOn w:val="Normal"/>
    <w:link w:val="BodyTextIndent3Char"/>
    <w:rsid w:val="000B74D1"/>
    <w:pPr>
      <w:ind w:left="720"/>
    </w:pPr>
  </w:style>
  <w:style w:type="character" w:customStyle="1" w:styleId="BodyTextIndent3Char">
    <w:name w:val="Body Text Indent 3 Char"/>
    <w:basedOn w:val="DefaultParagraphFont"/>
    <w:link w:val="BodyTextIndent3"/>
    <w:rsid w:val="000B74D1"/>
    <w:rPr>
      <w:rFonts w:ascii="Times New Roman" w:eastAsia="Times New Roman" w:hAnsi="Times New Roman" w:cs="Times New Roman"/>
      <w:sz w:val="24"/>
      <w:szCs w:val="24"/>
    </w:rPr>
  </w:style>
  <w:style w:type="paragraph" w:styleId="BodyText">
    <w:name w:val="Body Text"/>
    <w:basedOn w:val="Normal"/>
    <w:link w:val="BodyTextChar"/>
    <w:rsid w:val="000B74D1"/>
    <w:rPr>
      <w:b/>
    </w:rPr>
  </w:style>
  <w:style w:type="character" w:customStyle="1" w:styleId="BodyTextChar">
    <w:name w:val="Body Text Char"/>
    <w:basedOn w:val="DefaultParagraphFont"/>
    <w:link w:val="BodyText"/>
    <w:rsid w:val="000B74D1"/>
    <w:rPr>
      <w:rFonts w:ascii="Times New Roman" w:eastAsia="Times New Roman" w:hAnsi="Times New Roman" w:cs="Times New Roman"/>
      <w:b/>
      <w:sz w:val="24"/>
      <w:szCs w:val="24"/>
    </w:rPr>
  </w:style>
  <w:style w:type="paragraph" w:styleId="BodyText2">
    <w:name w:val="Body Text 2"/>
    <w:basedOn w:val="Normal"/>
    <w:link w:val="BodyText2Char"/>
    <w:rsid w:val="000B74D1"/>
  </w:style>
  <w:style w:type="character" w:customStyle="1" w:styleId="BodyText2Char">
    <w:name w:val="Body Text 2 Char"/>
    <w:basedOn w:val="DefaultParagraphFont"/>
    <w:link w:val="BodyText2"/>
    <w:rsid w:val="000B74D1"/>
    <w:rPr>
      <w:rFonts w:ascii="Times New Roman" w:eastAsia="Times New Roman" w:hAnsi="Times New Roman" w:cs="Times New Roman"/>
      <w:sz w:val="24"/>
      <w:szCs w:val="24"/>
    </w:rPr>
  </w:style>
  <w:style w:type="character" w:styleId="Hyperlink">
    <w:name w:val="Hyperlink"/>
    <w:basedOn w:val="DefaultParagraphFont"/>
    <w:rsid w:val="000B74D1"/>
    <w:rPr>
      <w:color w:val="0000FF"/>
      <w:u w:val="single"/>
    </w:rPr>
  </w:style>
  <w:style w:type="paragraph" w:styleId="BalloonText">
    <w:name w:val="Balloon Text"/>
    <w:basedOn w:val="Normal"/>
    <w:link w:val="BalloonTextChar"/>
    <w:semiHidden/>
    <w:rsid w:val="000B74D1"/>
    <w:rPr>
      <w:rFonts w:ascii="Tahoma" w:hAnsi="Tahoma" w:cs="Tahoma"/>
      <w:sz w:val="16"/>
      <w:szCs w:val="16"/>
    </w:rPr>
  </w:style>
  <w:style w:type="character" w:customStyle="1" w:styleId="BalloonTextChar">
    <w:name w:val="Balloon Text Char"/>
    <w:basedOn w:val="DefaultParagraphFont"/>
    <w:link w:val="BalloonText"/>
    <w:semiHidden/>
    <w:rsid w:val="000B74D1"/>
    <w:rPr>
      <w:rFonts w:ascii="Tahoma" w:eastAsia="Times New Roman" w:hAnsi="Tahoma" w:cs="Tahoma"/>
      <w:sz w:val="16"/>
      <w:szCs w:val="16"/>
    </w:rPr>
  </w:style>
  <w:style w:type="character" w:styleId="FollowedHyperlink">
    <w:name w:val="FollowedHyperlink"/>
    <w:basedOn w:val="DefaultParagraphFont"/>
    <w:rsid w:val="000B74D1"/>
    <w:rPr>
      <w:color w:val="606420"/>
      <w:u w:val="single"/>
    </w:rPr>
  </w:style>
  <w:style w:type="paragraph" w:styleId="HTMLPreformatted">
    <w:name w:val="HTML Preformatted"/>
    <w:basedOn w:val="Normal"/>
    <w:link w:val="HTMLPreformattedChar"/>
    <w:rsid w:val="000B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0B74D1"/>
    <w:rPr>
      <w:rFonts w:ascii="Courier New" w:eastAsia="Times New Roman" w:hAnsi="Courier New" w:cs="Courier New"/>
      <w:sz w:val="24"/>
      <w:szCs w:val="24"/>
    </w:rPr>
  </w:style>
  <w:style w:type="paragraph" w:styleId="Index1">
    <w:name w:val="index 1"/>
    <w:basedOn w:val="Normal"/>
    <w:next w:val="Normal"/>
    <w:autoRedefine/>
    <w:rsid w:val="000B74D1"/>
    <w:pPr>
      <w:spacing w:line="240" w:lineRule="exact"/>
    </w:pPr>
    <w:rPr>
      <w:b/>
    </w:rPr>
  </w:style>
  <w:style w:type="character" w:styleId="CommentReference">
    <w:name w:val="annotation reference"/>
    <w:basedOn w:val="DefaultParagraphFont"/>
    <w:rsid w:val="000B74D1"/>
    <w:rPr>
      <w:sz w:val="16"/>
      <w:szCs w:val="16"/>
    </w:rPr>
  </w:style>
  <w:style w:type="paragraph" w:styleId="CommentText">
    <w:name w:val="annotation text"/>
    <w:basedOn w:val="Normal"/>
    <w:link w:val="CommentTextChar"/>
    <w:uiPriority w:val="99"/>
    <w:rsid w:val="000B74D1"/>
  </w:style>
  <w:style w:type="character" w:customStyle="1" w:styleId="CommentTextChar">
    <w:name w:val="Comment Text Char"/>
    <w:basedOn w:val="DefaultParagraphFont"/>
    <w:link w:val="CommentText"/>
    <w:uiPriority w:val="99"/>
    <w:rsid w:val="000B74D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0B74D1"/>
    <w:rPr>
      <w:b/>
      <w:bCs/>
    </w:rPr>
  </w:style>
  <w:style w:type="character" w:customStyle="1" w:styleId="CommentSubjectChar">
    <w:name w:val="Comment Subject Char"/>
    <w:basedOn w:val="CommentTextChar"/>
    <w:link w:val="CommentSubject"/>
    <w:rsid w:val="000B74D1"/>
    <w:rPr>
      <w:rFonts w:ascii="Times New Roman" w:eastAsia="Times New Roman" w:hAnsi="Times New Roman" w:cs="Times New Roman"/>
      <w:b/>
      <w:bCs/>
      <w:sz w:val="24"/>
      <w:szCs w:val="24"/>
    </w:rPr>
  </w:style>
  <w:style w:type="paragraph" w:styleId="Title">
    <w:name w:val="Title"/>
    <w:basedOn w:val="Normal"/>
    <w:link w:val="TitleChar"/>
    <w:qFormat/>
    <w:rsid w:val="000B74D1"/>
    <w:pPr>
      <w:jc w:val="center"/>
    </w:pPr>
    <w:rPr>
      <w:u w:val="single"/>
    </w:rPr>
  </w:style>
  <w:style w:type="character" w:customStyle="1" w:styleId="TitleChar">
    <w:name w:val="Title Char"/>
    <w:basedOn w:val="DefaultParagraphFont"/>
    <w:link w:val="Title"/>
    <w:rsid w:val="000B74D1"/>
    <w:rPr>
      <w:rFonts w:ascii="Times New Roman" w:eastAsia="Times New Roman" w:hAnsi="Times New Roman" w:cs="Times New Roman"/>
      <w:sz w:val="24"/>
      <w:szCs w:val="24"/>
      <w:u w:val="single"/>
    </w:rPr>
  </w:style>
  <w:style w:type="paragraph" w:customStyle="1" w:styleId="xl24">
    <w:name w:val="xl24"/>
    <w:basedOn w:val="Normal"/>
    <w:rsid w:val="000B74D1"/>
    <w:pPr>
      <w:spacing w:before="100" w:beforeAutospacing="1" w:after="100" w:afterAutospacing="1"/>
      <w:jc w:val="center"/>
    </w:pPr>
  </w:style>
  <w:style w:type="paragraph" w:customStyle="1" w:styleId="xl25">
    <w:name w:val="xl25"/>
    <w:basedOn w:val="Normal"/>
    <w:rsid w:val="000B74D1"/>
    <w:pPr>
      <w:spacing w:before="100" w:beforeAutospacing="1" w:after="100" w:afterAutospacing="1"/>
      <w:jc w:val="center"/>
    </w:pPr>
    <w:rPr>
      <w:rFonts w:cs="Arial"/>
      <w:b/>
      <w:bCs/>
    </w:rPr>
  </w:style>
  <w:style w:type="paragraph" w:customStyle="1" w:styleId="xl26">
    <w:name w:val="xl26"/>
    <w:basedOn w:val="Normal"/>
    <w:rsid w:val="000B74D1"/>
    <w:pPr>
      <w:spacing w:before="100" w:beforeAutospacing="1" w:after="100" w:afterAutospacing="1"/>
      <w:jc w:val="center"/>
    </w:pPr>
    <w:rPr>
      <w:rFonts w:cs="Arial"/>
    </w:rPr>
  </w:style>
  <w:style w:type="paragraph" w:customStyle="1" w:styleId="xl27">
    <w:name w:val="xl27"/>
    <w:basedOn w:val="Normal"/>
    <w:rsid w:val="000B74D1"/>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0B74D1"/>
    <w:pPr>
      <w:spacing w:before="100" w:beforeAutospacing="1" w:after="100" w:afterAutospacing="1"/>
      <w:jc w:val="center"/>
    </w:pPr>
  </w:style>
  <w:style w:type="paragraph" w:customStyle="1" w:styleId="xl29">
    <w:name w:val="xl29"/>
    <w:basedOn w:val="Normal"/>
    <w:rsid w:val="000B74D1"/>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0B74D1"/>
    <w:pPr>
      <w:spacing w:before="100" w:beforeAutospacing="1" w:after="100" w:afterAutospacing="1"/>
      <w:jc w:val="center"/>
    </w:pPr>
    <w:rPr>
      <w:rFonts w:cs="Arial"/>
      <w:b/>
      <w:bCs/>
    </w:rPr>
  </w:style>
  <w:style w:type="paragraph" w:customStyle="1" w:styleId="xl31">
    <w:name w:val="xl31"/>
    <w:basedOn w:val="Normal"/>
    <w:rsid w:val="000B74D1"/>
    <w:pPr>
      <w:spacing w:before="100" w:beforeAutospacing="1" w:after="100" w:afterAutospacing="1"/>
    </w:pPr>
    <w:rPr>
      <w:rFonts w:cs="Arial"/>
      <w:b/>
      <w:bCs/>
    </w:rPr>
  </w:style>
  <w:style w:type="paragraph" w:customStyle="1" w:styleId="xl32">
    <w:name w:val="xl32"/>
    <w:basedOn w:val="Normal"/>
    <w:rsid w:val="000B74D1"/>
    <w:pPr>
      <w:spacing w:before="100" w:beforeAutospacing="1" w:after="100" w:afterAutospacing="1"/>
    </w:pPr>
    <w:rPr>
      <w:rFonts w:cs="Arial"/>
      <w:b/>
      <w:bCs/>
    </w:rPr>
  </w:style>
  <w:style w:type="paragraph" w:styleId="EndnoteText">
    <w:name w:val="endnote text"/>
    <w:basedOn w:val="Normal"/>
    <w:link w:val="EndnoteTextChar"/>
    <w:rsid w:val="000B74D1"/>
  </w:style>
  <w:style w:type="character" w:customStyle="1" w:styleId="EndnoteTextChar">
    <w:name w:val="Endnote Text Char"/>
    <w:basedOn w:val="DefaultParagraphFont"/>
    <w:link w:val="EndnoteText"/>
    <w:rsid w:val="000B74D1"/>
    <w:rPr>
      <w:rFonts w:ascii="Times New Roman" w:eastAsia="Times New Roman" w:hAnsi="Times New Roman" w:cs="Times New Roman"/>
      <w:sz w:val="24"/>
      <w:szCs w:val="24"/>
    </w:rPr>
  </w:style>
  <w:style w:type="character" w:styleId="EndnoteReference">
    <w:name w:val="endnote reference"/>
    <w:basedOn w:val="DefaultParagraphFont"/>
    <w:rsid w:val="000B74D1"/>
    <w:rPr>
      <w:vertAlign w:val="superscript"/>
    </w:rPr>
  </w:style>
  <w:style w:type="paragraph" w:customStyle="1" w:styleId="Default">
    <w:name w:val="Default"/>
    <w:rsid w:val="000B74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B74D1"/>
    <w:pPr>
      <w:ind w:left="720"/>
      <w:contextualSpacing/>
    </w:pPr>
  </w:style>
  <w:style w:type="paragraph" w:customStyle="1" w:styleId="contenttext">
    <w:name w:val="contenttext"/>
    <w:basedOn w:val="Normal"/>
    <w:rsid w:val="000B74D1"/>
    <w:pPr>
      <w:spacing w:before="100" w:beforeAutospacing="1" w:after="100" w:afterAutospacing="1"/>
      <w:ind w:right="150"/>
    </w:pPr>
    <w:rPr>
      <w:sz w:val="18"/>
      <w:szCs w:val="18"/>
    </w:rPr>
  </w:style>
  <w:style w:type="character" w:customStyle="1" w:styleId="contenttext1">
    <w:name w:val="contenttext1"/>
    <w:basedOn w:val="DefaultParagraphFont"/>
    <w:rsid w:val="000B74D1"/>
    <w:rPr>
      <w:sz w:val="18"/>
      <w:szCs w:val="18"/>
    </w:rPr>
  </w:style>
  <w:style w:type="paragraph" w:styleId="NormalWeb">
    <w:name w:val="Normal (Web)"/>
    <w:basedOn w:val="Normal"/>
    <w:uiPriority w:val="99"/>
    <w:unhideWhenUsed/>
    <w:rsid w:val="000B74D1"/>
    <w:pPr>
      <w:spacing w:before="100" w:beforeAutospacing="1" w:after="100" w:afterAutospacing="1"/>
    </w:pPr>
  </w:style>
  <w:style w:type="table" w:styleId="TableGrid">
    <w:name w:val="Table Grid"/>
    <w:basedOn w:val="TableNormal"/>
    <w:rsid w:val="005857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andumheading">
    <w:name w:val="memorandum heading"/>
    <w:rsid w:val="003C1B1B"/>
    <w:pPr>
      <w:tabs>
        <w:tab w:val="left" w:pos="2016"/>
        <w:tab w:val="left" w:pos="2448"/>
      </w:tabs>
      <w:spacing w:after="240" w:line="240" w:lineRule="exact"/>
      <w:ind w:left="2448" w:hanging="2448"/>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9283">
      <w:bodyDiv w:val="1"/>
      <w:marLeft w:val="0"/>
      <w:marRight w:val="0"/>
      <w:marTop w:val="0"/>
      <w:marBottom w:val="0"/>
      <w:divBdr>
        <w:top w:val="none" w:sz="0" w:space="0" w:color="auto"/>
        <w:left w:val="none" w:sz="0" w:space="0" w:color="auto"/>
        <w:bottom w:val="none" w:sz="0" w:space="0" w:color="auto"/>
        <w:right w:val="none" w:sz="0" w:space="0" w:color="auto"/>
      </w:divBdr>
    </w:div>
    <w:div w:id="265888097">
      <w:bodyDiv w:val="1"/>
      <w:marLeft w:val="0"/>
      <w:marRight w:val="0"/>
      <w:marTop w:val="0"/>
      <w:marBottom w:val="0"/>
      <w:divBdr>
        <w:top w:val="none" w:sz="0" w:space="0" w:color="auto"/>
        <w:left w:val="none" w:sz="0" w:space="0" w:color="auto"/>
        <w:bottom w:val="none" w:sz="0" w:space="0" w:color="auto"/>
        <w:right w:val="none" w:sz="0" w:space="0" w:color="auto"/>
      </w:divBdr>
    </w:div>
    <w:div w:id="426924140">
      <w:bodyDiv w:val="1"/>
      <w:marLeft w:val="0"/>
      <w:marRight w:val="0"/>
      <w:marTop w:val="0"/>
      <w:marBottom w:val="0"/>
      <w:divBdr>
        <w:top w:val="none" w:sz="0" w:space="0" w:color="auto"/>
        <w:left w:val="none" w:sz="0" w:space="0" w:color="auto"/>
        <w:bottom w:val="none" w:sz="0" w:space="0" w:color="auto"/>
        <w:right w:val="none" w:sz="0" w:space="0" w:color="auto"/>
      </w:divBdr>
    </w:div>
    <w:div w:id="775560304">
      <w:bodyDiv w:val="1"/>
      <w:marLeft w:val="0"/>
      <w:marRight w:val="0"/>
      <w:marTop w:val="0"/>
      <w:marBottom w:val="0"/>
      <w:divBdr>
        <w:top w:val="none" w:sz="0" w:space="0" w:color="auto"/>
        <w:left w:val="none" w:sz="0" w:space="0" w:color="auto"/>
        <w:bottom w:val="none" w:sz="0" w:space="0" w:color="auto"/>
        <w:right w:val="none" w:sz="0" w:space="0" w:color="auto"/>
      </w:divBdr>
    </w:div>
    <w:div w:id="1119565424">
      <w:bodyDiv w:val="1"/>
      <w:marLeft w:val="0"/>
      <w:marRight w:val="0"/>
      <w:marTop w:val="0"/>
      <w:marBottom w:val="0"/>
      <w:divBdr>
        <w:top w:val="none" w:sz="0" w:space="0" w:color="auto"/>
        <w:left w:val="none" w:sz="0" w:space="0" w:color="auto"/>
        <w:bottom w:val="none" w:sz="0" w:space="0" w:color="auto"/>
        <w:right w:val="none" w:sz="0" w:space="0" w:color="auto"/>
      </w:divBdr>
    </w:div>
    <w:div w:id="1998414753">
      <w:bodyDiv w:val="1"/>
      <w:marLeft w:val="0"/>
      <w:marRight w:val="0"/>
      <w:marTop w:val="0"/>
      <w:marBottom w:val="0"/>
      <w:divBdr>
        <w:top w:val="none" w:sz="0" w:space="0" w:color="auto"/>
        <w:left w:val="none" w:sz="0" w:space="0" w:color="auto"/>
        <w:bottom w:val="none" w:sz="0" w:space="0" w:color="auto"/>
        <w:right w:val="none" w:sz="0" w:space="0" w:color="auto"/>
      </w:divBdr>
    </w:div>
    <w:div w:id="20149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pson.Hilery@bls.gov" TargetMode="External"/><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eman.Jennifer@bls.gov" TargetMode="External"/><Relationship Id="rId5" Type="http://schemas.openxmlformats.org/officeDocument/2006/relationships/webSettings" Target="webSettings.xml"/><Relationship Id="rId15" Type="http://schemas.openxmlformats.org/officeDocument/2006/relationships/package" Target="embeddings/Microsoft_Word_Document2.docx"/><Relationship Id="rId10" Type="http://schemas.openxmlformats.org/officeDocument/2006/relationships/hyperlink" Target="mailto:Carney_P@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mpson.Hilery@bls.go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5652-5B1E-4635-9262-A4D16558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Carney.Paul@bls.gov</dc:creator>
  <cp:keywords/>
  <dc:description/>
  <cp:lastModifiedBy>Kincaid, Nora - BLS</cp:lastModifiedBy>
  <cp:revision>3</cp:revision>
  <cp:lastPrinted>2016-09-14T20:23:00Z</cp:lastPrinted>
  <dcterms:created xsi:type="dcterms:W3CDTF">2016-09-26T11:59:00Z</dcterms:created>
  <dcterms:modified xsi:type="dcterms:W3CDTF">2016-09-26T11:59:00Z</dcterms:modified>
</cp:coreProperties>
</file>