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73" w:rsidRDefault="00F61173" w:rsidP="00F61173">
      <w:pPr>
        <w:suppressAutoHyphens/>
        <w:rPr>
          <w:rFonts w:ascii="AvantGarde" w:hAnsi="AvantGarde"/>
          <w:spacing w:val="-4"/>
          <w:sz w:val="16"/>
        </w:rPr>
      </w:pPr>
    </w:p>
    <w:p w:rsidR="00F61173" w:rsidRDefault="00F61173" w:rsidP="00F61173">
      <w:pPr>
        <w:suppressAutoHyphens/>
        <w:rPr>
          <w:rFonts w:ascii="AvantGarde" w:hAnsi="AvantGarde"/>
          <w:spacing w:val="-4"/>
          <w:sz w:val="16"/>
        </w:rPr>
      </w:pPr>
    </w:p>
    <w:p w:rsidR="00F61173" w:rsidRDefault="00F61173" w:rsidP="00F61173">
      <w:pPr>
        <w:suppressAutoHyphens/>
        <w:rPr>
          <w:rFonts w:ascii="AvantGarde" w:hAnsi="AvantGarde"/>
          <w:spacing w:val="-4"/>
          <w:sz w:val="16"/>
        </w:rPr>
      </w:pPr>
    </w:p>
    <w:p w:rsidR="00F61173" w:rsidRDefault="00F61173" w:rsidP="00F61173">
      <w:pPr>
        <w:suppressAutoHyphens/>
        <w:rPr>
          <w:rFonts w:ascii="AvantGarde" w:hAnsi="AvantGarde"/>
          <w:spacing w:val="-4"/>
          <w:sz w:val="16"/>
        </w:rPr>
      </w:pPr>
    </w:p>
    <w:p w:rsidR="00F61173" w:rsidRDefault="00F61173" w:rsidP="00F61173">
      <w:pPr>
        <w:suppressAutoHyphens/>
        <w:rPr>
          <w:rFonts w:ascii="AvantGarde" w:hAnsi="AvantGarde"/>
          <w:spacing w:val="-4"/>
          <w:sz w:val="16"/>
        </w:rPr>
      </w:pPr>
      <w:r>
        <w:rPr>
          <w:rFonts w:ascii="AvantGarde" w:hAnsi="AvantGarde"/>
          <w:noProof/>
          <w:spacing w:val="-4"/>
          <w:sz w:val="16"/>
        </w:rPr>
        <w:drawing>
          <wp:inline distT="0" distB="0" distL="0" distR="0" wp14:anchorId="07269284" wp14:editId="6DCF91B7">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rsidR="00F61173" w:rsidRDefault="00F61173" w:rsidP="00F61173">
      <w:pPr>
        <w:tabs>
          <w:tab w:val="center" w:pos="4680"/>
        </w:tabs>
        <w:suppressAutoHyphens/>
        <w:rPr>
          <w:rFonts w:ascii="AvantGarde" w:hAnsi="AvantGarde"/>
          <w:spacing w:val="-4"/>
          <w:sz w:val="16"/>
        </w:rPr>
      </w:pPr>
    </w:p>
    <w:p w:rsidR="00F61173" w:rsidRDefault="00F61173" w:rsidP="00F61173">
      <w:pPr>
        <w:tabs>
          <w:tab w:val="center" w:pos="4680"/>
        </w:tabs>
        <w:suppressAutoHyphens/>
        <w:rPr>
          <w:rFonts w:ascii="AvantGarde" w:hAnsi="AvantGarde"/>
          <w:spacing w:val="-4"/>
          <w:sz w:val="16"/>
        </w:rPr>
      </w:pPr>
    </w:p>
    <w:p w:rsidR="00F61173" w:rsidRDefault="00F61173" w:rsidP="00F61173">
      <w:pPr>
        <w:tabs>
          <w:tab w:val="center" w:pos="4680"/>
        </w:tabs>
        <w:suppressAutoHyphens/>
        <w:rPr>
          <w:rFonts w:ascii="AvantGarde" w:hAnsi="AvantGarde"/>
          <w:spacing w:val="-4"/>
          <w:sz w:val="16"/>
        </w:rPr>
      </w:pPr>
    </w:p>
    <w:p w:rsidR="00F61173" w:rsidRDefault="00F61173" w:rsidP="00F61173">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4F16096C" wp14:editId="1B745C50">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rsidR="00F61173" w:rsidRDefault="00F61173" w:rsidP="00F61173">
      <w:pPr>
        <w:tabs>
          <w:tab w:val="center" w:pos="4680"/>
        </w:tabs>
        <w:suppressAutoHyphens/>
        <w:rPr>
          <w:rFonts w:ascii="AvantGarde" w:hAnsi="AvantGarde"/>
          <w:spacing w:val="-4"/>
          <w:sz w:val="16"/>
        </w:rPr>
      </w:pPr>
    </w:p>
    <w:p w:rsidR="00F61173" w:rsidRDefault="00F61173" w:rsidP="00F61173">
      <w:pPr>
        <w:tabs>
          <w:tab w:val="center" w:pos="4680"/>
        </w:tabs>
        <w:suppressAutoHyphens/>
        <w:rPr>
          <w:rFonts w:ascii="AvantGarde" w:hAnsi="AvantGarde"/>
          <w:spacing w:val="-4"/>
          <w:sz w:val="16"/>
        </w:rPr>
      </w:pPr>
    </w:p>
    <w:p w:rsidR="00F61173" w:rsidRDefault="00F61173" w:rsidP="00F61173">
      <w:pPr>
        <w:tabs>
          <w:tab w:val="center" w:pos="4680"/>
        </w:tabs>
        <w:suppressAutoHyphens/>
        <w:rPr>
          <w:rFonts w:ascii="AvantGarde" w:hAnsi="AvantGarde"/>
          <w:spacing w:val="-4"/>
          <w:sz w:val="16"/>
        </w:rPr>
      </w:pPr>
    </w:p>
    <w:p w:rsidR="00F61173" w:rsidRDefault="00F61173" w:rsidP="00F61173">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rsidR="00F61173" w:rsidRDefault="00F61173" w:rsidP="00F61173">
      <w:pPr>
        <w:tabs>
          <w:tab w:val="center" w:pos="4680"/>
        </w:tabs>
        <w:suppressAutoHyphens/>
        <w:rPr>
          <w:rFonts w:ascii="AvantGarde" w:hAnsi="AvantGarde"/>
          <w:spacing w:val="-4"/>
          <w:sz w:val="16"/>
        </w:rPr>
      </w:pPr>
      <w:r>
        <w:rPr>
          <w:rFonts w:ascii="AvantGarde" w:hAnsi="AvantGarde"/>
          <w:spacing w:val="-4"/>
          <w:sz w:val="16"/>
        </w:rPr>
        <w:t>Institute of Education Sciences</w:t>
      </w:r>
    </w:p>
    <w:p w:rsidR="00F61173" w:rsidRDefault="00F61173" w:rsidP="00F61173">
      <w:pPr>
        <w:rPr>
          <w:spacing w:val="-4"/>
          <w:sz w:val="16"/>
        </w:rPr>
      </w:pPr>
      <w:r>
        <w:rPr>
          <w:spacing w:val="-4"/>
          <w:sz w:val="16"/>
        </w:rPr>
        <w:br w:type="column"/>
      </w:r>
    </w:p>
    <w:p w:rsidR="00F61173" w:rsidRDefault="00F61173" w:rsidP="00F61173">
      <w:pPr>
        <w:rPr>
          <w:rFonts w:ascii="AvantGarde" w:hAnsi="AvantGarde"/>
          <w:b/>
          <w:bCs/>
          <w:sz w:val="40"/>
          <w:szCs w:val="40"/>
        </w:rPr>
      </w:pPr>
    </w:p>
    <w:p w:rsidR="00F61173" w:rsidRDefault="00F61173" w:rsidP="00F61173">
      <w:pPr>
        <w:rPr>
          <w:rFonts w:ascii="AvantGarde" w:hAnsi="AvantGarde"/>
          <w:b/>
          <w:bCs/>
          <w:sz w:val="50"/>
        </w:rPr>
      </w:pPr>
      <w:r w:rsidRPr="00702EC5">
        <w:rPr>
          <w:rFonts w:ascii="AvantGarde" w:hAnsi="AvantGarde"/>
          <w:b/>
          <w:bCs/>
          <w:sz w:val="40"/>
          <w:szCs w:val="40"/>
        </w:rPr>
        <w:t xml:space="preserve">Common Core of Data (CCD) </w:t>
      </w:r>
      <w:r>
        <w:rPr>
          <w:rFonts w:ascii="AvantGarde" w:hAnsi="AvantGarde"/>
          <w:b/>
          <w:bCs/>
          <w:sz w:val="40"/>
          <w:szCs w:val="40"/>
        </w:rPr>
        <w:t xml:space="preserve">School-Level Finance </w:t>
      </w:r>
      <w:r w:rsidRPr="00B9189D">
        <w:rPr>
          <w:rFonts w:ascii="AvantGarde" w:hAnsi="AvantGarde"/>
          <w:b/>
          <w:bCs/>
          <w:sz w:val="40"/>
          <w:szCs w:val="40"/>
        </w:rPr>
        <w:t>Survey</w:t>
      </w:r>
      <w:r>
        <w:rPr>
          <w:rFonts w:ascii="AvantGarde" w:hAnsi="AvantGarde"/>
          <w:b/>
          <w:bCs/>
          <w:sz w:val="40"/>
          <w:szCs w:val="40"/>
        </w:rPr>
        <w:t xml:space="preserve"> (SLFS) </w:t>
      </w:r>
      <w:r w:rsidRPr="00B9189D">
        <w:rPr>
          <w:rFonts w:ascii="AvantGarde" w:hAnsi="AvantGarde"/>
          <w:b/>
          <w:bCs/>
          <w:sz w:val="40"/>
          <w:szCs w:val="40"/>
        </w:rPr>
        <w:t>201</w:t>
      </w:r>
      <w:r>
        <w:rPr>
          <w:rFonts w:ascii="AvantGarde" w:hAnsi="AvantGarde"/>
          <w:b/>
          <w:bCs/>
          <w:sz w:val="40"/>
          <w:szCs w:val="40"/>
        </w:rPr>
        <w:t>6</w:t>
      </w:r>
      <w:r w:rsidRPr="00B9189D">
        <w:rPr>
          <w:rFonts w:ascii="AvantGarde" w:hAnsi="AvantGarde"/>
          <w:b/>
          <w:bCs/>
          <w:sz w:val="40"/>
          <w:szCs w:val="40"/>
        </w:rPr>
        <w:t>-201</w:t>
      </w:r>
      <w:r>
        <w:rPr>
          <w:rFonts w:ascii="AvantGarde" w:hAnsi="AvantGarde"/>
          <w:b/>
          <w:bCs/>
          <w:sz w:val="40"/>
          <w:szCs w:val="40"/>
        </w:rPr>
        <w:t>8</w:t>
      </w:r>
    </w:p>
    <w:p w:rsidR="00F61173" w:rsidRDefault="00F61173" w:rsidP="00F61173">
      <w:pPr>
        <w:pStyle w:val="H4"/>
        <w:keepNext w:val="0"/>
        <w:spacing w:before="0" w:after="0"/>
        <w:outlineLvl w:val="9"/>
        <w:rPr>
          <w:rFonts w:ascii="AvantGarde" w:hAnsi="AvantGarde"/>
          <w:bCs/>
          <w:szCs w:val="24"/>
        </w:rPr>
      </w:pPr>
    </w:p>
    <w:p w:rsidR="00F61173" w:rsidRDefault="00F61173" w:rsidP="00F61173"/>
    <w:p w:rsidR="00F61173" w:rsidRDefault="00F61173" w:rsidP="00F61173"/>
    <w:p w:rsidR="00F61173" w:rsidRPr="00B9189D" w:rsidRDefault="00F61173" w:rsidP="00F61173">
      <w:pPr>
        <w:rPr>
          <w:sz w:val="40"/>
          <w:szCs w:val="40"/>
        </w:rPr>
      </w:pPr>
      <w:r w:rsidRPr="00B9189D">
        <w:rPr>
          <w:rFonts w:ascii="AvantGarde" w:hAnsi="AvantGarde"/>
          <w:b/>
          <w:bCs/>
          <w:sz w:val="40"/>
          <w:szCs w:val="40"/>
        </w:rPr>
        <w:t xml:space="preserve">Supporting Statement Part </w:t>
      </w:r>
      <w:r>
        <w:rPr>
          <w:rFonts w:ascii="AvantGarde" w:hAnsi="AvantGarde"/>
          <w:b/>
          <w:bCs/>
          <w:sz w:val="40"/>
          <w:szCs w:val="40"/>
        </w:rPr>
        <w:t>B and C</w:t>
      </w:r>
    </w:p>
    <w:p w:rsidR="00F61173" w:rsidRDefault="00F61173" w:rsidP="00F61173"/>
    <w:p w:rsidR="00F61173" w:rsidRDefault="00F61173" w:rsidP="00F61173"/>
    <w:p w:rsidR="00F61173" w:rsidRDefault="00F61173" w:rsidP="00F61173"/>
    <w:p w:rsidR="00F61173" w:rsidRPr="00B9189D" w:rsidRDefault="00F61173" w:rsidP="00F61173">
      <w:pPr>
        <w:rPr>
          <w:rFonts w:ascii="AvantGarde" w:hAnsi="AvantGarde"/>
          <w:b/>
          <w:bCs/>
          <w:sz w:val="36"/>
          <w:szCs w:val="36"/>
        </w:rPr>
      </w:pPr>
      <w:r w:rsidRPr="00B9189D">
        <w:rPr>
          <w:rFonts w:ascii="AvantGarde" w:hAnsi="AvantGarde"/>
          <w:b/>
          <w:bCs/>
          <w:sz w:val="36"/>
          <w:szCs w:val="36"/>
        </w:rPr>
        <w:t xml:space="preserve">OMB# </w:t>
      </w:r>
      <w:r>
        <w:rPr>
          <w:rFonts w:ascii="AvantGarde" w:hAnsi="AvantGarde"/>
          <w:b/>
          <w:bCs/>
          <w:sz w:val="36"/>
          <w:szCs w:val="36"/>
        </w:rPr>
        <w:t>1850-New v.1</w:t>
      </w:r>
    </w:p>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 w:rsidR="00F61173" w:rsidRDefault="00F61173" w:rsidP="00F61173">
      <w:pPr>
        <w:suppressAutoHyphens/>
        <w:rPr>
          <w:rFonts w:ascii="AvantGarde" w:hAnsi="AvantGarde"/>
          <w:b/>
          <w:spacing w:val="-3"/>
        </w:rPr>
      </w:pPr>
      <w:r>
        <w:rPr>
          <w:rFonts w:ascii="AvantGarde" w:hAnsi="AvantGarde"/>
          <w:b/>
          <w:spacing w:val="-3"/>
        </w:rPr>
        <w:t>September 2016</w:t>
      </w:r>
    </w:p>
    <w:p w:rsidR="00F61173" w:rsidRDefault="00F61173" w:rsidP="00F61173">
      <w:pPr>
        <w:suppressAutoHyphens/>
        <w:rPr>
          <w:rFonts w:ascii="AvantGarde" w:hAnsi="AvantGarde"/>
          <w:b/>
          <w:spacing w:val="-3"/>
          <w:sz w:val="16"/>
        </w:rPr>
      </w:pPr>
    </w:p>
    <w:p w:rsidR="00F61173" w:rsidRDefault="00F61173" w:rsidP="00F61173">
      <w:pPr>
        <w:suppressAutoHyphens/>
        <w:rPr>
          <w:rFonts w:ascii="AvantGarde" w:hAnsi="AvantGarde"/>
          <w:b/>
          <w:spacing w:val="-3"/>
          <w:sz w:val="16"/>
        </w:rPr>
      </w:pPr>
    </w:p>
    <w:p w:rsidR="00F61173" w:rsidRDefault="00F61173" w:rsidP="00F61173">
      <w:pPr>
        <w:suppressAutoHyphens/>
        <w:rPr>
          <w:rFonts w:ascii="AvantGarde" w:hAnsi="AvantGarde"/>
          <w:b/>
          <w:spacing w:val="-3"/>
          <w:sz w:val="16"/>
        </w:rPr>
      </w:pPr>
    </w:p>
    <w:p w:rsidR="00F61173" w:rsidRDefault="00F61173" w:rsidP="00F61173">
      <w:pPr>
        <w:suppressAutoHyphens/>
        <w:rPr>
          <w:rFonts w:ascii="AvantGarde" w:hAnsi="AvantGarde"/>
          <w:b/>
          <w:spacing w:val="-3"/>
          <w:sz w:val="16"/>
        </w:rPr>
      </w:pPr>
    </w:p>
    <w:p w:rsidR="00F61173" w:rsidRPr="00982B28" w:rsidRDefault="00F61173" w:rsidP="00F61173">
      <w:pPr>
        <w:suppressAutoHyphens/>
        <w:rPr>
          <w:rFonts w:ascii="AvantGarde" w:hAnsi="AvantGarde"/>
          <w:b/>
          <w:spacing w:val="-3"/>
        </w:rPr>
        <w:sectPr w:rsidR="00F61173" w:rsidRPr="00982B28" w:rsidSect="00E97442">
          <w:pgSz w:w="12240" w:h="15840" w:code="1"/>
          <w:pgMar w:top="1872" w:right="1008" w:bottom="1008" w:left="1008" w:header="1440" w:footer="720" w:gutter="0"/>
          <w:paperSrc w:first="15" w:other="15"/>
          <w:cols w:num="2" w:space="720" w:equalWidth="0">
            <w:col w:w="4752" w:space="2"/>
            <w:col w:w="5470"/>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rsidR="001573FE" w:rsidRPr="00FF7AC4" w:rsidRDefault="001573FE" w:rsidP="00F61173">
      <w:pPr>
        <w:pStyle w:val="Heading"/>
        <w:spacing w:before="0" w:line="276" w:lineRule="auto"/>
        <w:rPr>
          <w:rFonts w:ascii="Times New Roman" w:hAnsi="Times New Roman"/>
        </w:rPr>
      </w:pPr>
      <w:r w:rsidRPr="00FF7AC4">
        <w:rPr>
          <w:rFonts w:ascii="Times New Roman" w:hAnsi="Times New Roman"/>
        </w:rPr>
        <w:lastRenderedPageBreak/>
        <w:t>Part B. Collections of Information Employing Statistical Methods</w:t>
      </w:r>
    </w:p>
    <w:p w:rsidR="00037B45" w:rsidRPr="00FF7AC4" w:rsidRDefault="00037B45" w:rsidP="00F61173">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B.1. </w:t>
      </w:r>
      <w:r w:rsidR="005E2058">
        <w:rPr>
          <w:rFonts w:ascii="Times New Roman" w:hAnsi="Times New Roman"/>
          <w:sz w:val="24"/>
          <w:szCs w:val="24"/>
        </w:rPr>
        <w:t>R</w:t>
      </w:r>
      <w:r>
        <w:rPr>
          <w:rFonts w:ascii="Times New Roman" w:hAnsi="Times New Roman"/>
          <w:sz w:val="24"/>
          <w:szCs w:val="24"/>
        </w:rPr>
        <w:t>espondent universe</w:t>
      </w:r>
    </w:p>
    <w:p w:rsidR="007A6847" w:rsidRPr="004E2FE5" w:rsidRDefault="0039015B" w:rsidP="00F61173">
      <w:pPr>
        <w:pStyle w:val="Text"/>
        <w:spacing w:after="120" w:line="276" w:lineRule="auto"/>
        <w:rPr>
          <w:sz w:val="24"/>
        </w:rPr>
      </w:pPr>
      <w:r>
        <w:rPr>
          <w:sz w:val="24"/>
        </w:rPr>
        <w:t xml:space="preserve">The </w:t>
      </w:r>
      <w:r w:rsidR="00E97442" w:rsidRPr="00E97442">
        <w:rPr>
          <w:sz w:val="24"/>
        </w:rPr>
        <w:t xml:space="preserve">School-Level Finance Survey (SLFS) </w:t>
      </w:r>
      <w:r w:rsidR="008D007F" w:rsidRPr="00037B45">
        <w:rPr>
          <w:sz w:val="24"/>
        </w:rPr>
        <w:t>data file is organized by state or jurisdiction</w:t>
      </w:r>
      <w:r>
        <w:rPr>
          <w:sz w:val="24"/>
        </w:rPr>
        <w:t>, district, and school</w:t>
      </w:r>
      <w:r w:rsidR="00E671AA">
        <w:rPr>
          <w:sz w:val="24"/>
        </w:rPr>
        <w:t xml:space="preserve">, and </w:t>
      </w:r>
      <w:r>
        <w:rPr>
          <w:sz w:val="24"/>
        </w:rPr>
        <w:t xml:space="preserve">contains </w:t>
      </w:r>
      <w:r w:rsidR="008D007F" w:rsidRPr="00037B45">
        <w:rPr>
          <w:sz w:val="24"/>
        </w:rPr>
        <w:t>expenditure data by function</w:t>
      </w:r>
      <w:r w:rsidR="00E97442" w:rsidRPr="00E97442">
        <w:rPr>
          <w:sz w:val="24"/>
        </w:rPr>
        <w:t xml:space="preserve"> </w:t>
      </w:r>
      <w:r w:rsidR="00E97442">
        <w:rPr>
          <w:sz w:val="24"/>
        </w:rPr>
        <w:t>and object</w:t>
      </w:r>
      <w:r>
        <w:rPr>
          <w:sz w:val="24"/>
        </w:rPr>
        <w:t>.</w:t>
      </w:r>
      <w:r w:rsidR="008D007F" w:rsidRPr="009B3C79">
        <w:rPr>
          <w:rStyle w:val="FootnoteReference"/>
          <w:vertAlign w:val="superscript"/>
        </w:rPr>
        <w:footnoteReference w:id="1"/>
      </w:r>
      <w:r w:rsidR="00E671AA">
        <w:rPr>
          <w:sz w:val="24"/>
        </w:rPr>
        <w:t xml:space="preserve"> </w:t>
      </w:r>
      <w:r w:rsidR="00037B45" w:rsidRPr="000914D8">
        <w:rPr>
          <w:sz w:val="24"/>
        </w:rPr>
        <w:t xml:space="preserve">The </w:t>
      </w:r>
      <w:r w:rsidR="005E2058">
        <w:rPr>
          <w:sz w:val="24"/>
        </w:rPr>
        <w:t>respondent</w:t>
      </w:r>
      <w:r>
        <w:rPr>
          <w:sz w:val="24"/>
        </w:rPr>
        <w:t xml:space="preserve"> </w:t>
      </w:r>
      <w:r w:rsidR="00684336" w:rsidRPr="000914D8">
        <w:rPr>
          <w:sz w:val="24"/>
        </w:rPr>
        <w:t xml:space="preserve">universe consists of </w:t>
      </w:r>
      <w:r>
        <w:rPr>
          <w:sz w:val="24"/>
        </w:rPr>
        <w:t xml:space="preserve">approximately 98,373 schools in </w:t>
      </w:r>
      <w:r w:rsidR="00037B45" w:rsidRPr="004E2FE5">
        <w:rPr>
          <w:sz w:val="24"/>
        </w:rPr>
        <w:t>50 states</w:t>
      </w:r>
      <w:r>
        <w:rPr>
          <w:sz w:val="24"/>
        </w:rPr>
        <w:t xml:space="preserve"> </w:t>
      </w:r>
      <w:r w:rsidR="00E671AA">
        <w:rPr>
          <w:sz w:val="24"/>
        </w:rPr>
        <w:t>plus</w:t>
      </w:r>
      <w:r>
        <w:rPr>
          <w:sz w:val="24"/>
        </w:rPr>
        <w:t xml:space="preserve"> </w:t>
      </w:r>
      <w:r w:rsidR="00BE11E2" w:rsidRPr="004E2FE5">
        <w:rPr>
          <w:sz w:val="24"/>
        </w:rPr>
        <w:t xml:space="preserve">the </w:t>
      </w:r>
      <w:r w:rsidR="00037B45" w:rsidRPr="004E2FE5">
        <w:rPr>
          <w:sz w:val="24"/>
        </w:rPr>
        <w:t>District of Columbia</w:t>
      </w:r>
      <w:r>
        <w:rPr>
          <w:sz w:val="24"/>
        </w:rPr>
        <w:t>.</w:t>
      </w:r>
      <w:r w:rsidR="00684336" w:rsidRPr="000914D8">
        <w:rPr>
          <w:sz w:val="24"/>
        </w:rPr>
        <w:t xml:space="preserve"> </w:t>
      </w:r>
      <w:r w:rsidRPr="002E5474">
        <w:rPr>
          <w:sz w:val="24"/>
        </w:rPr>
        <w:t xml:space="preserve">The SLFS </w:t>
      </w:r>
      <w:r>
        <w:rPr>
          <w:sz w:val="24"/>
        </w:rPr>
        <w:t>p</w:t>
      </w:r>
      <w:r w:rsidRPr="002E5474">
        <w:rPr>
          <w:sz w:val="24"/>
        </w:rPr>
        <w:t>ilot study collect</w:t>
      </w:r>
      <w:r w:rsidR="00E671AA">
        <w:rPr>
          <w:sz w:val="24"/>
        </w:rPr>
        <w:t>ed</w:t>
      </w:r>
      <w:r w:rsidRPr="002E5474">
        <w:rPr>
          <w:sz w:val="24"/>
        </w:rPr>
        <w:t xml:space="preserve"> school-level finance data from 12 state education agencies (SEAs) in its first year</w:t>
      </w:r>
      <w:r w:rsidR="005E2058">
        <w:rPr>
          <w:sz w:val="24"/>
        </w:rPr>
        <w:t xml:space="preserve"> (for </w:t>
      </w:r>
      <w:r w:rsidR="005E2058" w:rsidRPr="002E5474">
        <w:rPr>
          <w:sz w:val="24"/>
        </w:rPr>
        <w:t xml:space="preserve">fiscal year </w:t>
      </w:r>
      <w:r w:rsidR="005E2058">
        <w:rPr>
          <w:sz w:val="24"/>
        </w:rPr>
        <w:t xml:space="preserve">(FY) </w:t>
      </w:r>
      <w:r w:rsidR="005E2058" w:rsidRPr="002E5474">
        <w:rPr>
          <w:sz w:val="24"/>
        </w:rPr>
        <w:t>2014</w:t>
      </w:r>
      <w:r w:rsidR="005E2058">
        <w:rPr>
          <w:sz w:val="24"/>
        </w:rPr>
        <w:t>), beginning in May 2015,</w:t>
      </w:r>
      <w:r w:rsidRPr="002E5474">
        <w:rPr>
          <w:sz w:val="24"/>
        </w:rPr>
        <w:t xml:space="preserve"> and </w:t>
      </w:r>
      <w:r w:rsidR="005E2058">
        <w:rPr>
          <w:sz w:val="24"/>
        </w:rPr>
        <w:t xml:space="preserve">from </w:t>
      </w:r>
      <w:r w:rsidR="00E671AA">
        <w:rPr>
          <w:sz w:val="24"/>
        </w:rPr>
        <w:t xml:space="preserve">19 </w:t>
      </w:r>
      <w:r w:rsidR="005E2058">
        <w:rPr>
          <w:sz w:val="24"/>
        </w:rPr>
        <w:t xml:space="preserve">SEAs </w:t>
      </w:r>
      <w:r w:rsidRPr="002E5474">
        <w:rPr>
          <w:sz w:val="24"/>
        </w:rPr>
        <w:t>in the second year</w:t>
      </w:r>
      <w:r w:rsidR="005E2058">
        <w:rPr>
          <w:sz w:val="24"/>
        </w:rPr>
        <w:t xml:space="preserve"> (for FY 2015), beginning in April 2016</w:t>
      </w:r>
      <w:r w:rsidR="00E671AA">
        <w:rPr>
          <w:sz w:val="24"/>
        </w:rPr>
        <w:t xml:space="preserve"> (OMB# </w:t>
      </w:r>
      <w:r w:rsidRPr="0061127B">
        <w:rPr>
          <w:sz w:val="24"/>
        </w:rPr>
        <w:t>1850-0803</w:t>
      </w:r>
      <w:r>
        <w:rPr>
          <w:sz w:val="24"/>
        </w:rPr>
        <w:t xml:space="preserve"> v.13</w:t>
      </w:r>
      <w:r w:rsidR="00E671AA">
        <w:rPr>
          <w:sz w:val="24"/>
        </w:rPr>
        <w:t>3)</w:t>
      </w:r>
      <w:r>
        <w:rPr>
          <w:sz w:val="24"/>
        </w:rPr>
        <w:t>.</w:t>
      </w:r>
    </w:p>
    <w:p w:rsidR="001573FE" w:rsidRPr="00FF7AC4" w:rsidRDefault="001573FE" w:rsidP="00F61173">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B.2. </w:t>
      </w:r>
      <w:r w:rsidR="00642179">
        <w:rPr>
          <w:rFonts w:ascii="Times New Roman" w:hAnsi="Times New Roman"/>
          <w:sz w:val="24"/>
          <w:szCs w:val="24"/>
        </w:rPr>
        <w:t>P</w:t>
      </w:r>
      <w:r w:rsidRPr="00FF7AC4">
        <w:rPr>
          <w:rFonts w:ascii="Times New Roman" w:hAnsi="Times New Roman"/>
          <w:sz w:val="24"/>
          <w:szCs w:val="24"/>
        </w:rPr>
        <w:t>rocedures for</w:t>
      </w:r>
      <w:r w:rsidR="00642179">
        <w:rPr>
          <w:rFonts w:ascii="Times New Roman" w:hAnsi="Times New Roman"/>
          <w:sz w:val="24"/>
          <w:szCs w:val="24"/>
        </w:rPr>
        <w:t xml:space="preserve"> the collection of information</w:t>
      </w:r>
    </w:p>
    <w:p w:rsidR="00F61173" w:rsidRDefault="0099586B" w:rsidP="00F61173">
      <w:pPr>
        <w:spacing w:after="120" w:line="276" w:lineRule="auto"/>
      </w:pPr>
      <w:r w:rsidRPr="00AA1670">
        <w:rPr>
          <w:color w:val="000000"/>
        </w:rPr>
        <w:t xml:space="preserve">Each state’s Chief State School Officer appoints </w:t>
      </w:r>
      <w:r>
        <w:rPr>
          <w:color w:val="000000"/>
        </w:rPr>
        <w:t xml:space="preserve">the </w:t>
      </w:r>
      <w:r>
        <w:t xml:space="preserve">state CCD fiscal coordinator to work with </w:t>
      </w:r>
      <w:r w:rsidR="00B21116">
        <w:t xml:space="preserve">the </w:t>
      </w:r>
      <w:r w:rsidR="00B21116" w:rsidRPr="00C747F1">
        <w:rPr>
          <w:color w:val="000000"/>
        </w:rPr>
        <w:t>National Center for Education Statistics (NCES)</w:t>
      </w:r>
      <w:r w:rsidR="00B21116">
        <w:rPr>
          <w:color w:val="000000"/>
        </w:rPr>
        <w:t xml:space="preserve"> </w:t>
      </w:r>
      <w:r>
        <w:t xml:space="preserve">and </w:t>
      </w:r>
      <w:r w:rsidR="00B21116">
        <w:t>the U.S. Census Bureau (Census)</w:t>
      </w:r>
      <w:r>
        <w:t xml:space="preserve"> to provide accurate and comparable (across states and jurisdictions) data.</w:t>
      </w:r>
      <w:r w:rsidR="00F61173">
        <w:t xml:space="preserve"> </w:t>
      </w:r>
      <w:r>
        <w:t xml:space="preserve">NCES and Census provide annual training </w:t>
      </w:r>
      <w:r w:rsidRPr="00676637">
        <w:t xml:space="preserve">workshops for state fiscal coordinators that are designed to improve the efficiency and efficacy of reporting </w:t>
      </w:r>
      <w:r w:rsidR="0039015B">
        <w:t xml:space="preserve">SLFS </w:t>
      </w:r>
      <w:r w:rsidRPr="00676637">
        <w:t>data.</w:t>
      </w:r>
      <w:r w:rsidR="00F61173">
        <w:t xml:space="preserve"> </w:t>
      </w:r>
      <w:r w:rsidRPr="00676637">
        <w:t xml:space="preserve">The annual workshops include an overview of the </w:t>
      </w:r>
      <w:r w:rsidR="0039015B">
        <w:t xml:space="preserve">SLFS </w:t>
      </w:r>
      <w:r w:rsidRPr="00676637">
        <w:t xml:space="preserve">survey reporting and editing processes; detailed information about the data items that comprise the survey; and discussion of how to coordinate </w:t>
      </w:r>
      <w:r w:rsidR="00735966">
        <w:t>SLFS</w:t>
      </w:r>
      <w:r w:rsidR="008055B4">
        <w:t xml:space="preserve"> </w:t>
      </w:r>
      <w:r w:rsidRPr="00676637">
        <w:t>with state data systems.</w:t>
      </w:r>
      <w:r w:rsidR="00F61173">
        <w:t xml:space="preserve"> </w:t>
      </w:r>
      <w:r w:rsidR="002721D3">
        <w:t>The a</w:t>
      </w:r>
      <w:r w:rsidR="005D2D52">
        <w:t xml:space="preserve">nnual </w:t>
      </w:r>
      <w:r w:rsidR="002721D3">
        <w:t xml:space="preserve">fiscal </w:t>
      </w:r>
      <w:r w:rsidR="005D2D52" w:rsidRPr="00676637">
        <w:t xml:space="preserve">workshops for state fiscal coordinators </w:t>
      </w:r>
      <w:r w:rsidR="00870CD5">
        <w:t xml:space="preserve">are </w:t>
      </w:r>
      <w:r w:rsidR="00972D95">
        <w:t xml:space="preserve">in-depth training </w:t>
      </w:r>
      <w:r w:rsidR="00870CD5">
        <w:t>sessions held each summer at the NCES Summer Data Conference. In addition, new fiscal coordinator training sessions are held each Spring for new State fiscal coordinators</w:t>
      </w:r>
      <w:r w:rsidR="002233D7">
        <w:t>,</w:t>
      </w:r>
      <w:r w:rsidR="00134CE1">
        <w:t xml:space="preserve"> includ</w:t>
      </w:r>
      <w:r w:rsidR="002233D7">
        <w:t>ing</w:t>
      </w:r>
      <w:r w:rsidR="00134CE1">
        <w:t xml:space="preserve"> an overview of the </w:t>
      </w:r>
      <w:r w:rsidR="00476B57">
        <w:t xml:space="preserve">SLFS, </w:t>
      </w:r>
      <w:r w:rsidR="001020F7">
        <w:t>F-33</w:t>
      </w:r>
      <w:r w:rsidR="00476B57">
        <w:t>, and NPEFS</w:t>
      </w:r>
      <w:r w:rsidR="001020F7">
        <w:t xml:space="preserve"> </w:t>
      </w:r>
      <w:r w:rsidR="00134CE1">
        <w:t>surveys</w:t>
      </w:r>
      <w:r w:rsidR="007A5BEE">
        <w:t>;</w:t>
      </w:r>
      <w:r w:rsidR="00134CE1">
        <w:t xml:space="preserve"> clarification of data item definitions</w:t>
      </w:r>
      <w:r w:rsidR="007A5BEE">
        <w:t>;</w:t>
      </w:r>
      <w:r w:rsidR="00134CE1">
        <w:t xml:space="preserve"> </w:t>
      </w:r>
      <w:r w:rsidR="001020F7">
        <w:t xml:space="preserve">advice </w:t>
      </w:r>
      <w:r w:rsidR="00134CE1">
        <w:t>for submitting data</w:t>
      </w:r>
      <w:r w:rsidR="007A5BEE">
        <w:t>;</w:t>
      </w:r>
      <w:r w:rsidR="001020F7">
        <w:t xml:space="preserve"> and a summary of the editing and review process at </w:t>
      </w:r>
      <w:r w:rsidR="00B21116">
        <w:t xml:space="preserve">NCES </w:t>
      </w:r>
      <w:r w:rsidR="00B21116">
        <w:rPr>
          <w:color w:val="000000"/>
        </w:rPr>
        <w:t xml:space="preserve">and </w:t>
      </w:r>
      <w:r w:rsidR="00B21116">
        <w:t>Census</w:t>
      </w:r>
      <w:r w:rsidR="001020F7">
        <w:t>.</w:t>
      </w:r>
    </w:p>
    <w:p w:rsidR="00F61173" w:rsidRDefault="00CE78A1" w:rsidP="00F61173">
      <w:pPr>
        <w:spacing w:after="120" w:line="276" w:lineRule="auto"/>
        <w:rPr>
          <w:rFonts w:cs="Calibri"/>
        </w:rPr>
      </w:pPr>
      <w:r w:rsidRPr="00FC593B">
        <w:rPr>
          <w:rFonts w:cs="Calibri"/>
        </w:rPr>
        <w:t>Prior to the new fiscal year survey</w:t>
      </w:r>
      <w:r w:rsidR="005662F9">
        <w:rPr>
          <w:rFonts w:cs="Calibri"/>
        </w:rPr>
        <w:t>,</w:t>
      </w:r>
      <w:r w:rsidRPr="00FC593B">
        <w:rPr>
          <w:rFonts w:cs="Calibri"/>
        </w:rPr>
        <w:t xml:space="preserve"> Census</w:t>
      </w:r>
      <w:r>
        <w:rPr>
          <w:rFonts w:cs="Calibri"/>
        </w:rPr>
        <w:t xml:space="preserve"> analysts</w:t>
      </w:r>
      <w:r w:rsidRPr="00FC593B">
        <w:rPr>
          <w:rFonts w:cs="Calibri"/>
        </w:rPr>
        <w:t xml:space="preserve"> produce the </w:t>
      </w:r>
      <w:r w:rsidR="008055B4">
        <w:rPr>
          <w:rFonts w:cs="Calibri"/>
        </w:rPr>
        <w:t xml:space="preserve">SLFS </w:t>
      </w:r>
      <w:r w:rsidRPr="00FC593B">
        <w:rPr>
          <w:rFonts w:cs="Calibri"/>
        </w:rPr>
        <w:t xml:space="preserve">Data Plan, which documents </w:t>
      </w:r>
      <w:r w:rsidR="00A67317">
        <w:rPr>
          <w:rFonts w:cs="Calibri"/>
        </w:rPr>
        <w:t>state-specific information about how</w:t>
      </w:r>
      <w:r w:rsidRPr="00FC593B">
        <w:rPr>
          <w:rFonts w:cs="Calibri"/>
        </w:rPr>
        <w:t xml:space="preserve"> certain revenues and expenditures are reported </w:t>
      </w:r>
      <w:r w:rsidR="00A67317">
        <w:rPr>
          <w:rFonts w:cs="Calibri"/>
        </w:rPr>
        <w:t>and any changes to reporting from prior years</w:t>
      </w:r>
      <w:r w:rsidRPr="00FC593B">
        <w:rPr>
          <w:rFonts w:cs="Calibri"/>
        </w:rPr>
        <w:t>.</w:t>
      </w:r>
      <w:r w:rsidR="00F61173">
        <w:rPr>
          <w:rFonts w:cs="Calibri"/>
        </w:rPr>
        <w:t xml:space="preserve"> </w:t>
      </w:r>
      <w:r w:rsidRPr="00FC593B">
        <w:rPr>
          <w:rFonts w:cs="Calibri"/>
        </w:rPr>
        <w:t xml:space="preserve">All responses are compiled into a spreadsheet </w:t>
      </w:r>
      <w:r>
        <w:rPr>
          <w:rFonts w:cs="Calibri"/>
        </w:rPr>
        <w:t>and are use</w:t>
      </w:r>
      <w:r w:rsidR="00C05F48">
        <w:rPr>
          <w:rFonts w:cs="Calibri"/>
        </w:rPr>
        <w:t>d</w:t>
      </w:r>
      <w:r>
        <w:rPr>
          <w:rFonts w:cs="Calibri"/>
        </w:rPr>
        <w:t xml:space="preserve"> during </w:t>
      </w:r>
      <w:r w:rsidRPr="00FC593B">
        <w:rPr>
          <w:rFonts w:cs="Calibri"/>
        </w:rPr>
        <w:t>data analysis.</w:t>
      </w:r>
    </w:p>
    <w:p w:rsidR="00B21116" w:rsidRDefault="002721D3" w:rsidP="00B21116">
      <w:pPr>
        <w:widowControl w:val="0"/>
        <w:spacing w:after="120" w:line="276" w:lineRule="auto"/>
      </w:pPr>
      <w:r w:rsidRPr="00173EC6">
        <w:t xml:space="preserve">SEAs submit </w:t>
      </w:r>
      <w:r w:rsidR="007A5BEE" w:rsidRPr="00D55570">
        <w:rPr>
          <w:color w:val="000000"/>
        </w:rPr>
        <w:t xml:space="preserve">SLFS </w:t>
      </w:r>
      <w:r w:rsidRPr="00173EC6">
        <w:t>data via</w:t>
      </w:r>
      <w:r w:rsidR="008055B4">
        <w:t xml:space="preserve"> </w:t>
      </w:r>
      <w:r w:rsidR="008055B4" w:rsidRPr="00D55570">
        <w:rPr>
          <w:color w:val="000000"/>
        </w:rPr>
        <w:t>Census</w:t>
      </w:r>
      <w:r w:rsidR="007A5BEE">
        <w:rPr>
          <w:color w:val="000000"/>
        </w:rPr>
        <w:t xml:space="preserve">’s </w:t>
      </w:r>
      <w:r w:rsidR="008055B4">
        <w:t>File Transfer Protocol</w:t>
      </w:r>
      <w:r w:rsidR="007A5BEE">
        <w:t xml:space="preserve"> (</w:t>
      </w:r>
      <w:r w:rsidR="008055B4" w:rsidRPr="00D55570">
        <w:rPr>
          <w:color w:val="000000"/>
        </w:rPr>
        <w:t>FTP</w:t>
      </w:r>
      <w:r w:rsidR="007A5BEE">
        <w:rPr>
          <w:color w:val="000000"/>
        </w:rPr>
        <w:t>)</w:t>
      </w:r>
      <w:r w:rsidR="008055B4" w:rsidRPr="00D55570">
        <w:rPr>
          <w:color w:val="000000"/>
        </w:rPr>
        <w:t xml:space="preserve"> </w:t>
      </w:r>
      <w:r w:rsidR="008055B4">
        <w:rPr>
          <w:color w:val="000000"/>
        </w:rPr>
        <w:t>web</w:t>
      </w:r>
      <w:r w:rsidR="008055B4" w:rsidRPr="00D55570">
        <w:rPr>
          <w:color w:val="000000"/>
        </w:rPr>
        <w:t>site</w:t>
      </w:r>
      <w:r w:rsidR="007A5BEE">
        <w:rPr>
          <w:color w:val="000000"/>
        </w:rPr>
        <w:t xml:space="preserve"> along with their</w:t>
      </w:r>
      <w:r w:rsidR="008055B4" w:rsidRPr="00D55570">
        <w:rPr>
          <w:color w:val="000000"/>
        </w:rPr>
        <w:t xml:space="preserve"> data plan</w:t>
      </w:r>
      <w:r w:rsidR="007A5BEE">
        <w:rPr>
          <w:color w:val="000000"/>
        </w:rPr>
        <w:t xml:space="preserve">, which alternatively can be </w:t>
      </w:r>
      <w:r w:rsidR="008055B4" w:rsidRPr="00D55570">
        <w:rPr>
          <w:color w:val="000000"/>
        </w:rPr>
        <w:t xml:space="preserve">emailed </w:t>
      </w:r>
      <w:r w:rsidR="007A5BEE" w:rsidRPr="00D55570">
        <w:rPr>
          <w:color w:val="000000"/>
        </w:rPr>
        <w:t xml:space="preserve">to </w:t>
      </w:r>
      <w:r w:rsidR="007A5BEE">
        <w:rPr>
          <w:color w:val="000000"/>
        </w:rPr>
        <w:t>Census</w:t>
      </w:r>
      <w:r w:rsidR="007A5BEE" w:rsidRPr="00D55570">
        <w:rPr>
          <w:color w:val="000000"/>
        </w:rPr>
        <w:t xml:space="preserve"> </w:t>
      </w:r>
      <w:r w:rsidR="008055B4" w:rsidRPr="00D55570">
        <w:rPr>
          <w:color w:val="000000"/>
        </w:rPr>
        <w:t>separately</w:t>
      </w:r>
      <w:r w:rsidR="008055B4">
        <w:rPr>
          <w:color w:val="000000"/>
        </w:rPr>
        <w:t>.</w:t>
      </w:r>
      <w:r w:rsidR="00B21116">
        <w:rPr>
          <w:color w:val="000000"/>
        </w:rPr>
        <w:t xml:space="preserve"> </w:t>
      </w:r>
      <w:r w:rsidR="00B21116" w:rsidRPr="005F3C57">
        <w:t>Census accept</w:t>
      </w:r>
      <w:r w:rsidR="00B21116">
        <w:t>s</w:t>
      </w:r>
      <w:r w:rsidR="00B21116" w:rsidRPr="005F3C57">
        <w:t xml:space="preserve"> </w:t>
      </w:r>
      <w:r w:rsidR="00B21116">
        <w:t xml:space="preserve">data from states in </w:t>
      </w:r>
      <w:r w:rsidR="00B21116" w:rsidRPr="005F3C57">
        <w:t xml:space="preserve">one of two formats. Currently, 21 states provide finance data </w:t>
      </w:r>
      <w:r w:rsidR="00B21116">
        <w:t>formatted to reflect state-specific codes on the F-33 survey</w:t>
      </w:r>
      <w:r w:rsidR="00B21116" w:rsidRPr="005F3C57">
        <w:t>.</w:t>
      </w:r>
      <w:r w:rsidR="00B21116">
        <w:t xml:space="preserve"> It is anticipated that 21 states will also provide school-level </w:t>
      </w:r>
      <w:r w:rsidR="00B21116" w:rsidRPr="005F3C57">
        <w:t xml:space="preserve">finance data </w:t>
      </w:r>
      <w:r w:rsidR="00B21116">
        <w:t>formatted to reflect state-specific codes</w:t>
      </w:r>
      <w:r w:rsidR="00B21116" w:rsidRPr="005F3C57">
        <w:t xml:space="preserve"> </w:t>
      </w:r>
      <w:r w:rsidR="00B21116">
        <w:t xml:space="preserve">for </w:t>
      </w:r>
      <w:r w:rsidR="00735966">
        <w:t>SLFS</w:t>
      </w:r>
      <w:r w:rsidR="00B21116">
        <w:t>.</w:t>
      </w:r>
      <w:r w:rsidR="00B21116" w:rsidRPr="005F3C57">
        <w:t xml:space="preserve"> Census maintains programs for converting these data from the state agency format to the Census </w:t>
      </w:r>
      <w:r w:rsidR="00B21116">
        <w:t xml:space="preserve">SLFS </w:t>
      </w:r>
      <w:r w:rsidR="00B21116" w:rsidRPr="005F3C57">
        <w:t>format.</w:t>
      </w:r>
      <w:r w:rsidR="00B21116">
        <w:t xml:space="preserve"> It is anticipated that 30 SEAs will </w:t>
      </w:r>
      <w:r w:rsidR="00B21116" w:rsidRPr="005F3C57">
        <w:t xml:space="preserve">format state-specific data files into the Census format prior to submitting the </w:t>
      </w:r>
      <w:r w:rsidR="00B21116">
        <w:t xml:space="preserve">SLFS </w:t>
      </w:r>
      <w:r w:rsidR="00B21116" w:rsidRPr="005F3C57">
        <w:t>data</w:t>
      </w:r>
      <w:r w:rsidR="00B21116">
        <w:t>.</w:t>
      </w:r>
    </w:p>
    <w:p w:rsidR="00B21116" w:rsidRDefault="00B21116" w:rsidP="00B21116">
      <w:pPr>
        <w:spacing w:after="120" w:line="276" w:lineRule="auto"/>
      </w:pPr>
      <w:r>
        <w:t xml:space="preserve">All schools are canvassed in the survey. As such, there is no sampling error for the school district estimates. However, data are subject to nonsampling error such as respondent error, coverage error, nonresponse error, and processing error. To mitigate the impact of the nonsampling errors, editing, </w:t>
      </w:r>
      <w:r w:rsidRPr="00BF4965">
        <w:t xml:space="preserve">and estimating for missing data items is implemented (e.g., prorating </w:t>
      </w:r>
      <w:r>
        <w:t>school-</w:t>
      </w:r>
      <w:r w:rsidRPr="00BF4965">
        <w:t>level amounts to school</w:t>
      </w:r>
      <w:r>
        <w:t>s</w:t>
      </w:r>
      <w:r w:rsidRPr="00BF4965">
        <w:t>)</w:t>
      </w:r>
      <w:r>
        <w:t xml:space="preserve"> are used.</w:t>
      </w:r>
    </w:p>
    <w:p w:rsidR="00B21116" w:rsidRDefault="0099586B" w:rsidP="00B21116">
      <w:pPr>
        <w:widowControl w:val="0"/>
        <w:spacing w:after="120" w:line="276" w:lineRule="auto"/>
        <w:rPr>
          <w:rFonts w:cs="Calibri"/>
        </w:rPr>
      </w:pPr>
      <w:r w:rsidRPr="00676637">
        <w:t xml:space="preserve">After an SEA submits the </w:t>
      </w:r>
      <w:r w:rsidR="00A97FEF">
        <w:t xml:space="preserve">SLFS </w:t>
      </w:r>
      <w:r w:rsidRPr="00676637">
        <w:t xml:space="preserve">data, the </w:t>
      </w:r>
      <w:r w:rsidR="00A70E84">
        <w:t xml:space="preserve">survey </w:t>
      </w:r>
      <w:r w:rsidRPr="00676637">
        <w:t xml:space="preserve">staff conducts a comprehensive review of the data and edit </w:t>
      </w:r>
      <w:r w:rsidRPr="00676637">
        <w:lastRenderedPageBreak/>
        <w:t>checks</w:t>
      </w:r>
      <w:r w:rsidR="007F4895">
        <w:t xml:space="preserve">, </w:t>
      </w:r>
      <w:r w:rsidR="007F4895" w:rsidRPr="007F4895">
        <w:t>rely</w:t>
      </w:r>
      <w:r w:rsidR="00B21116">
        <w:t>ing</w:t>
      </w:r>
      <w:r w:rsidR="007F4895" w:rsidRPr="007F4895">
        <w:t xml:space="preserve"> on internal logic checks, consistency within specified tolerances over time, and consistency within a given state and type of unit</w:t>
      </w:r>
      <w:r w:rsidRPr="00676637">
        <w:t>.</w:t>
      </w:r>
      <w:r w:rsidR="00F61173">
        <w:t xml:space="preserve"> </w:t>
      </w:r>
      <w:r w:rsidR="00CE78A1" w:rsidRPr="00FC593B">
        <w:rPr>
          <w:rFonts w:cs="Calibri"/>
        </w:rPr>
        <w:t xml:space="preserve">These </w:t>
      </w:r>
      <w:r w:rsidR="00CE78A1">
        <w:rPr>
          <w:rFonts w:cs="Calibri"/>
        </w:rPr>
        <w:t xml:space="preserve">checks </w:t>
      </w:r>
      <w:r w:rsidR="00CE78A1" w:rsidRPr="00FC593B">
        <w:rPr>
          <w:rFonts w:cs="Calibri"/>
        </w:rPr>
        <w:t>include but are not limited to trend analysis for multiple years, large value and percentage fluctuations, zero dollar values</w:t>
      </w:r>
      <w:r w:rsidR="00CE78A1">
        <w:rPr>
          <w:rFonts w:cs="Calibri"/>
        </w:rPr>
        <w:t>,</w:t>
      </w:r>
      <w:r w:rsidR="00CE78A1" w:rsidRPr="00FC593B">
        <w:rPr>
          <w:rFonts w:cs="Calibri"/>
        </w:rPr>
        <w:t xml:space="preserve"> appropriate usage</w:t>
      </w:r>
      <w:r w:rsidR="00CE78A1">
        <w:rPr>
          <w:rFonts w:cs="Calibri"/>
        </w:rPr>
        <w:t xml:space="preserve"> of data flags</w:t>
      </w:r>
      <w:r w:rsidR="00CE78A1" w:rsidRPr="00FC593B">
        <w:rPr>
          <w:rFonts w:cs="Calibri"/>
        </w:rPr>
        <w:t>, and adequate comments from respondents explaining their data.</w:t>
      </w:r>
      <w:r w:rsidR="00F61173">
        <w:rPr>
          <w:rFonts w:cs="Calibri"/>
        </w:rPr>
        <w:t xml:space="preserve"> </w:t>
      </w:r>
      <w:r w:rsidR="00B21116" w:rsidRPr="00A97FEF">
        <w:t xml:space="preserve">Among other tests, the data and edits checks include sum checks, comparison of records layouts against the previous FY data file, comparisons of membership between the </w:t>
      </w:r>
      <w:r w:rsidR="00B21116">
        <w:t xml:space="preserve">school universe </w:t>
      </w:r>
      <w:r w:rsidR="00B21116" w:rsidRPr="00A97FEF">
        <w:t xml:space="preserve">file and the </w:t>
      </w:r>
      <w:r w:rsidR="00B21116">
        <w:t>SLFS</w:t>
      </w:r>
      <w:r w:rsidR="00B21116" w:rsidRPr="00A97FEF">
        <w:t xml:space="preserve"> file, comparison of min/max/mean of all numeric data items to ensure the percentage changes of the means between the previous and current year’s data are in a reasonable range, and checks for whether the percentage increase (or decrease) of every item is within a reasonable range.</w:t>
      </w:r>
      <w:r w:rsidR="00B21116">
        <w:t xml:space="preserve"> </w:t>
      </w:r>
      <w:r w:rsidR="00B21116" w:rsidRPr="00A97FEF">
        <w:t>Pursuant to NCES Statistical Standard 4-1, t</w:t>
      </w:r>
      <w:r w:rsidR="00B21116" w:rsidRPr="00A97FEF">
        <w:rPr>
          <w:color w:val="0D0D0D"/>
        </w:rPr>
        <w:t>he data are “checked for credibility based on range tolerances to determine if responses fall within a pre-specified reasonable range and are properly documented.”</w:t>
      </w:r>
      <w:r w:rsidR="00B21116">
        <w:rPr>
          <w:color w:val="0D0D0D"/>
        </w:rPr>
        <w:t xml:space="preserve"> </w:t>
      </w:r>
      <w:r w:rsidR="00B21116" w:rsidRPr="00A97FEF">
        <w:rPr>
          <w:color w:val="0D0D0D"/>
        </w:rPr>
        <w:t>The data are also checked “for consistency based on checks across variables within individual records for non-contradictory responses.”</w:t>
      </w:r>
      <w:r w:rsidR="00B21116">
        <w:rPr>
          <w:rFonts w:ascii="Arial" w:hAnsi="Arial" w:cs="Arial"/>
          <w:color w:val="0D0D0D"/>
        </w:rPr>
        <w:t xml:space="preserve"> </w:t>
      </w:r>
      <w:r w:rsidR="00B21116">
        <w:rPr>
          <w:color w:val="0D0D0D"/>
        </w:rPr>
        <w:t>Census and NCES s</w:t>
      </w:r>
      <w:r w:rsidR="00B21116" w:rsidRPr="00A97FEF">
        <w:t>taff prepare an edit report that includes the results from these tests.</w:t>
      </w:r>
      <w:r w:rsidR="00B21116">
        <w:t xml:space="preserve"> </w:t>
      </w:r>
      <w:r w:rsidR="00B21116" w:rsidRPr="00A97FEF">
        <w:t>Notification of any arithmetic errors and comments containing NCES’ understanding of specific missing data items are also included with the edit report.</w:t>
      </w:r>
    </w:p>
    <w:p w:rsidR="007A5BEE" w:rsidRDefault="007A5BEE" w:rsidP="007A5BEE">
      <w:pPr>
        <w:pStyle w:val="Heading1"/>
        <w:spacing w:before="0" w:line="276" w:lineRule="auto"/>
        <w:rPr>
          <w:rFonts w:ascii="Times New Roman" w:eastAsia="Times New Roman" w:hAnsi="Times New Roman"/>
          <w:b w:val="0"/>
          <w:sz w:val="24"/>
          <w:szCs w:val="24"/>
        </w:rPr>
      </w:pPr>
      <w:r w:rsidRPr="00C208C7">
        <w:rPr>
          <w:rFonts w:ascii="Times New Roman" w:eastAsia="Times New Roman" w:hAnsi="Times New Roman"/>
          <w:b w:val="0"/>
          <w:sz w:val="24"/>
          <w:szCs w:val="24"/>
        </w:rPr>
        <w:t xml:space="preserve">States are asked </w:t>
      </w:r>
      <w:r w:rsidR="00B21116" w:rsidRPr="00B21116">
        <w:rPr>
          <w:rFonts w:ascii="Times New Roman" w:eastAsia="Times New Roman" w:hAnsi="Times New Roman"/>
          <w:b w:val="0"/>
          <w:sz w:val="24"/>
          <w:szCs w:val="24"/>
        </w:rPr>
        <w:t xml:space="preserve">via email </w:t>
      </w:r>
      <w:r w:rsidRPr="00C208C7">
        <w:rPr>
          <w:rFonts w:ascii="Times New Roman" w:eastAsia="Times New Roman" w:hAnsi="Times New Roman"/>
          <w:b w:val="0"/>
          <w:sz w:val="24"/>
          <w:szCs w:val="24"/>
        </w:rPr>
        <w:t>to correct addition errors, verify or correct information on missing items, and explain any extraordinary changes from the previous year’s data.</w:t>
      </w:r>
      <w:r>
        <w:rPr>
          <w:rFonts w:ascii="Times New Roman" w:eastAsia="Times New Roman" w:hAnsi="Times New Roman"/>
          <w:b w:val="0"/>
          <w:sz w:val="24"/>
          <w:szCs w:val="24"/>
        </w:rPr>
        <w:t xml:space="preserve"> </w:t>
      </w:r>
      <w:r w:rsidRPr="00C208C7">
        <w:rPr>
          <w:rFonts w:ascii="Times New Roman" w:eastAsia="Times New Roman" w:hAnsi="Times New Roman"/>
          <w:b w:val="0"/>
          <w:sz w:val="24"/>
          <w:szCs w:val="24"/>
        </w:rPr>
        <w:t>The CCD survey staff may make requests for clarification, reconciliation, or other inquiries concerning the data to the SEAs.</w:t>
      </w:r>
      <w:r>
        <w:rPr>
          <w:rFonts w:ascii="Times New Roman" w:eastAsia="Times New Roman" w:hAnsi="Times New Roman"/>
          <w:b w:val="0"/>
          <w:sz w:val="24"/>
          <w:szCs w:val="24"/>
        </w:rPr>
        <w:t xml:space="preserve"> </w:t>
      </w:r>
      <w:r w:rsidRPr="00C208C7">
        <w:rPr>
          <w:rFonts w:ascii="Times New Roman" w:eastAsia="Times New Roman" w:hAnsi="Times New Roman"/>
          <w:b w:val="0"/>
          <w:sz w:val="24"/>
          <w:szCs w:val="24"/>
        </w:rPr>
        <w:t>SEAs can respond directly to these requests for clarification and/or reconciliation or may on their own initiative resubmit data to resolve data issues.</w:t>
      </w:r>
      <w:r>
        <w:rPr>
          <w:rFonts w:ascii="Times New Roman" w:eastAsia="Times New Roman" w:hAnsi="Times New Roman"/>
          <w:b w:val="0"/>
          <w:sz w:val="24"/>
          <w:szCs w:val="24"/>
        </w:rPr>
        <w:t xml:space="preserve"> </w:t>
      </w:r>
      <w:r w:rsidRPr="00C208C7">
        <w:rPr>
          <w:rFonts w:ascii="Times New Roman" w:eastAsia="Times New Roman" w:hAnsi="Times New Roman"/>
          <w:b w:val="0"/>
          <w:sz w:val="24"/>
          <w:szCs w:val="24"/>
        </w:rPr>
        <w:t>Data that remain missing or uncorrected are imputed based on values derived from other “fully reporting” states or other related data elements from within the state.</w:t>
      </w:r>
    </w:p>
    <w:p w:rsidR="001573FE" w:rsidRPr="00FF7AC4" w:rsidRDefault="001573FE" w:rsidP="00F61173">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B.3. </w:t>
      </w:r>
      <w:r w:rsidR="00642179">
        <w:rPr>
          <w:rFonts w:ascii="Times New Roman" w:hAnsi="Times New Roman"/>
          <w:sz w:val="24"/>
          <w:szCs w:val="24"/>
        </w:rPr>
        <w:t>M</w:t>
      </w:r>
      <w:r w:rsidRPr="00FF7AC4">
        <w:rPr>
          <w:rFonts w:ascii="Times New Roman" w:hAnsi="Times New Roman"/>
          <w:sz w:val="24"/>
          <w:szCs w:val="24"/>
        </w:rPr>
        <w:t xml:space="preserve">ethods to maximize response and </w:t>
      </w:r>
      <w:r w:rsidR="00642179">
        <w:rPr>
          <w:rFonts w:ascii="Times New Roman" w:hAnsi="Times New Roman"/>
          <w:sz w:val="24"/>
          <w:szCs w:val="24"/>
        </w:rPr>
        <w:t>address nonresponse</w:t>
      </w:r>
    </w:p>
    <w:p w:rsidR="00B60ED7" w:rsidRDefault="00A237C8" w:rsidP="00F61173">
      <w:pPr>
        <w:spacing w:after="120" w:line="276" w:lineRule="auto"/>
      </w:pPr>
      <w:r>
        <w:t xml:space="preserve">Based on the SLFS Pilot, we do not </w:t>
      </w:r>
      <w:r w:rsidR="00B60ED7">
        <w:t xml:space="preserve">anticipate response </w:t>
      </w:r>
      <w:r>
        <w:t>rates to be</w:t>
      </w:r>
      <w:r w:rsidR="00B60ED7">
        <w:t xml:space="preserve"> a major </w:t>
      </w:r>
      <w:r>
        <w:t>issue</w:t>
      </w:r>
      <w:r w:rsidR="00B60ED7">
        <w:t xml:space="preserve"> </w:t>
      </w:r>
      <w:r>
        <w:t>in</w:t>
      </w:r>
      <w:r w:rsidR="00B60ED7">
        <w:t xml:space="preserve"> this survey.</w:t>
      </w:r>
      <w:r w:rsidR="00F61173">
        <w:t xml:space="preserve"> </w:t>
      </w:r>
      <w:r>
        <w:t>SEAs</w:t>
      </w:r>
      <w:r w:rsidR="00B60ED7">
        <w:t xml:space="preserve"> </w:t>
      </w:r>
      <w:r>
        <w:t xml:space="preserve">generally require school districts to submit complete financial data to them, and </w:t>
      </w:r>
      <w:r w:rsidR="00B60ED7">
        <w:t xml:space="preserve">provide most of the </w:t>
      </w:r>
      <w:r w:rsidR="008B66C7">
        <w:t xml:space="preserve">school-level </w:t>
      </w:r>
      <w:r w:rsidR="00B60ED7">
        <w:t>finance data centrally for their school systems</w:t>
      </w:r>
      <w:r>
        <w:t>.</w:t>
      </w:r>
      <w:r w:rsidRPr="00A237C8">
        <w:t xml:space="preserve"> </w:t>
      </w:r>
      <w:r>
        <w:t>School-level fiscal data reported to SEAs are used in determining how much state money each school system receives, which provides an incentive that encourages response. SLFS</w:t>
      </w:r>
      <w:r w:rsidR="00B60ED7">
        <w:t xml:space="preserve"> benefits from the multiple methods that states use to increase response</w:t>
      </w:r>
      <w:r>
        <w:t xml:space="preserve"> rates</w:t>
      </w:r>
      <w:r w:rsidR="00B60ED7">
        <w:t>.</w:t>
      </w:r>
    </w:p>
    <w:p w:rsidR="00AC2E60" w:rsidRDefault="00735966" w:rsidP="00F61173">
      <w:pPr>
        <w:spacing w:after="120" w:line="276" w:lineRule="auto"/>
      </w:pPr>
      <w:r>
        <w:t>SLFS</w:t>
      </w:r>
      <w:r w:rsidR="00AC2E60">
        <w:t xml:space="preserve"> </w:t>
      </w:r>
      <w:r w:rsidR="00AC2E60" w:rsidRPr="00C96F45">
        <w:t>has unit and item response rate goals of 85 percent, which meet the response rate thresholds specified in OMB,</w:t>
      </w:r>
      <w:r w:rsidR="00AC2E60">
        <w:t xml:space="preserve"> NCES, and </w:t>
      </w:r>
      <w:r w:rsidR="00AC2E60" w:rsidRPr="00C96F45">
        <w:t xml:space="preserve">Census </w:t>
      </w:r>
      <w:r w:rsidR="00AC2E60">
        <w:t>Quality Standards.</w:t>
      </w:r>
      <w:r w:rsidR="004666EE">
        <w:t xml:space="preserve"> </w:t>
      </w:r>
      <w:r w:rsidR="00AC2E60">
        <w:t>The SLFS Pilot project</w:t>
      </w:r>
      <w:r w:rsidR="00A237C8">
        <w:t>, which</w:t>
      </w:r>
      <w:r w:rsidR="00AC2E60">
        <w:t xml:space="preserve"> collect</w:t>
      </w:r>
      <w:r w:rsidR="00A237C8">
        <w:t>ed</w:t>
      </w:r>
      <w:r w:rsidR="00AC2E60">
        <w:t xml:space="preserve"> FY </w:t>
      </w:r>
      <w:r w:rsidR="00A237C8">
        <w:t>20</w:t>
      </w:r>
      <w:r w:rsidR="00AC2E60">
        <w:t xml:space="preserve">14 and FY </w:t>
      </w:r>
      <w:r w:rsidR="00A237C8">
        <w:t>20</w:t>
      </w:r>
      <w:r w:rsidR="00AC2E60">
        <w:t>15 data</w:t>
      </w:r>
      <w:r w:rsidR="00A237C8">
        <w:t>,</w:t>
      </w:r>
      <w:r w:rsidR="00AC2E60">
        <w:t xml:space="preserve"> exceeded these response rate goals. The survey has received a file from every state respondent every year, </w:t>
      </w:r>
      <w:r w:rsidR="00A237C8">
        <w:t>resulting in</w:t>
      </w:r>
      <w:r w:rsidR="00AC2E60">
        <w:t xml:space="preserve"> a high response rate.</w:t>
      </w:r>
    </w:p>
    <w:p w:rsidR="001573FE" w:rsidRPr="00FF7AC4" w:rsidRDefault="001573FE" w:rsidP="00F61173">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B.4. </w:t>
      </w:r>
      <w:r w:rsidR="00642179">
        <w:rPr>
          <w:rFonts w:ascii="Times New Roman" w:hAnsi="Times New Roman"/>
          <w:sz w:val="24"/>
          <w:szCs w:val="24"/>
        </w:rPr>
        <w:t>T</w:t>
      </w:r>
      <w:r w:rsidRPr="00FF7AC4">
        <w:rPr>
          <w:rFonts w:ascii="Times New Roman" w:hAnsi="Times New Roman"/>
          <w:sz w:val="24"/>
          <w:szCs w:val="24"/>
        </w:rPr>
        <w:t>ests</w:t>
      </w:r>
      <w:r w:rsidR="00642179">
        <w:rPr>
          <w:rFonts w:ascii="Times New Roman" w:hAnsi="Times New Roman"/>
          <w:sz w:val="24"/>
          <w:szCs w:val="24"/>
        </w:rPr>
        <w:t xml:space="preserve"> of procedures to be undertaken</w:t>
      </w:r>
    </w:p>
    <w:p w:rsidR="006F6EDD" w:rsidRPr="00A237C8" w:rsidRDefault="00A237C8" w:rsidP="00A237C8">
      <w:pPr>
        <w:pStyle w:val="Text"/>
        <w:spacing w:after="120" w:line="276" w:lineRule="auto"/>
        <w:rPr>
          <w:sz w:val="24"/>
        </w:rPr>
      </w:pPr>
      <w:r>
        <w:rPr>
          <w:sz w:val="24"/>
        </w:rPr>
        <w:t xml:space="preserve">NCES will publish a </w:t>
      </w:r>
      <w:r w:rsidRPr="00A237C8">
        <w:rPr>
          <w:sz w:val="24"/>
        </w:rPr>
        <w:t>Research and Development (R&amp;D)</w:t>
      </w:r>
      <w:r>
        <w:rPr>
          <w:sz w:val="24"/>
        </w:rPr>
        <w:t xml:space="preserve"> report based on the SLFS Pilot collections, focusing on </w:t>
      </w:r>
      <w:r w:rsidR="006F6EDD" w:rsidRPr="00A237C8">
        <w:rPr>
          <w:sz w:val="24"/>
        </w:rPr>
        <w:t xml:space="preserve">whether </w:t>
      </w:r>
      <w:r w:rsidR="00735966">
        <w:rPr>
          <w:sz w:val="24"/>
        </w:rPr>
        <w:t>SLFS</w:t>
      </w:r>
      <w:r w:rsidR="006F6EDD" w:rsidRPr="00A237C8">
        <w:rPr>
          <w:sz w:val="24"/>
        </w:rPr>
        <w:t xml:space="preserve"> is a viable, efficient, and cost-effective method to collect school finance data.</w:t>
      </w:r>
      <w:r w:rsidR="00F61173" w:rsidRPr="00A237C8">
        <w:rPr>
          <w:sz w:val="24"/>
        </w:rPr>
        <w:t xml:space="preserve"> </w:t>
      </w:r>
      <w:r w:rsidR="006F6EDD" w:rsidRPr="00A237C8">
        <w:rPr>
          <w:sz w:val="24"/>
        </w:rPr>
        <w:t>The R&amp;D report will compare state administrative records containing school-level finance data with other sources of data; assess data availability, data quality, data irregularities, and the application of edit rules; discuss the ability of SEAs to utilize the SLFS survey form, the ability to conform data submissions from SEAs using their own format to the variables on the survey form; and the resources required to conduct the SLFS survey.</w:t>
      </w:r>
      <w:r w:rsidR="005F3C57" w:rsidRPr="00A237C8">
        <w:rPr>
          <w:sz w:val="24"/>
        </w:rPr>
        <w:t xml:space="preserve"> The R&amp;D report on </w:t>
      </w:r>
      <w:r w:rsidR="00735966">
        <w:rPr>
          <w:sz w:val="24"/>
        </w:rPr>
        <w:t>SLFS</w:t>
      </w:r>
      <w:r w:rsidR="005F3C57" w:rsidRPr="00A237C8">
        <w:rPr>
          <w:sz w:val="24"/>
        </w:rPr>
        <w:t xml:space="preserve"> is expected to be released by February, 2017.</w:t>
      </w:r>
    </w:p>
    <w:p w:rsidR="001573FE" w:rsidRPr="00FF7AC4" w:rsidRDefault="00E05191" w:rsidP="00F61173">
      <w:pPr>
        <w:pStyle w:val="Text"/>
        <w:spacing w:after="120" w:line="276" w:lineRule="auto"/>
        <w:rPr>
          <w:sz w:val="24"/>
        </w:rPr>
      </w:pPr>
      <w:r w:rsidRPr="00735966">
        <w:rPr>
          <w:sz w:val="24"/>
        </w:rPr>
        <w:t xml:space="preserve">If the R&amp;D report shows that certain data items are not available, particularly </w:t>
      </w:r>
      <w:r w:rsidR="00735966">
        <w:rPr>
          <w:sz w:val="24"/>
        </w:rPr>
        <w:t xml:space="preserve">among </w:t>
      </w:r>
      <w:r w:rsidRPr="00735966">
        <w:rPr>
          <w:sz w:val="24"/>
        </w:rPr>
        <w:t>the non-personnel variables</w:t>
      </w:r>
      <w:r w:rsidR="00735966">
        <w:rPr>
          <w:sz w:val="24"/>
        </w:rPr>
        <w:t>, some of these items may</w:t>
      </w:r>
      <w:r w:rsidRPr="00735966">
        <w:rPr>
          <w:sz w:val="24"/>
        </w:rPr>
        <w:t xml:space="preserve"> be removed from </w:t>
      </w:r>
      <w:r w:rsidR="00735966">
        <w:rPr>
          <w:sz w:val="24"/>
        </w:rPr>
        <w:t>SLFS</w:t>
      </w:r>
      <w:r w:rsidRPr="00735966">
        <w:rPr>
          <w:sz w:val="24"/>
        </w:rPr>
        <w:t xml:space="preserve"> going forward.</w:t>
      </w:r>
      <w:r w:rsidR="004666EE" w:rsidRPr="00735966">
        <w:rPr>
          <w:sz w:val="24"/>
        </w:rPr>
        <w:t xml:space="preserve"> </w:t>
      </w:r>
      <w:r w:rsidR="001573FE" w:rsidRPr="00735966">
        <w:rPr>
          <w:sz w:val="24"/>
        </w:rPr>
        <w:t xml:space="preserve">Items are not added to the </w:t>
      </w:r>
      <w:r w:rsidR="006F6EDD" w:rsidRPr="00735966">
        <w:rPr>
          <w:sz w:val="24"/>
        </w:rPr>
        <w:t xml:space="preserve">SLFS </w:t>
      </w:r>
      <w:r w:rsidR="00C60693" w:rsidRPr="00735966">
        <w:rPr>
          <w:sz w:val="24"/>
        </w:rPr>
        <w:t xml:space="preserve">survey </w:t>
      </w:r>
      <w:r w:rsidR="001573FE" w:rsidRPr="00735966">
        <w:rPr>
          <w:sz w:val="24"/>
        </w:rPr>
        <w:t>unless a substantial majority (usually two</w:t>
      </w:r>
      <w:r w:rsidR="001573FE" w:rsidRPr="00FF7AC4">
        <w:rPr>
          <w:sz w:val="24"/>
        </w:rPr>
        <w:t xml:space="preserve">-thirds or more) of respondents say that they can provide </w:t>
      </w:r>
      <w:r w:rsidR="001573FE" w:rsidRPr="00FF7AC4">
        <w:rPr>
          <w:sz w:val="24"/>
        </w:rPr>
        <w:lastRenderedPageBreak/>
        <w:t xml:space="preserve">the item within 1 year of its introduction. This information is gathered during </w:t>
      </w:r>
      <w:r w:rsidR="00C60693">
        <w:rPr>
          <w:sz w:val="24"/>
        </w:rPr>
        <w:t xml:space="preserve">the annual Fiscal </w:t>
      </w:r>
      <w:r w:rsidR="001573FE" w:rsidRPr="00FF7AC4">
        <w:rPr>
          <w:sz w:val="24"/>
        </w:rPr>
        <w:t xml:space="preserve">Coordinator training </w:t>
      </w:r>
      <w:r w:rsidR="006F6EDD">
        <w:rPr>
          <w:sz w:val="24"/>
        </w:rPr>
        <w:t xml:space="preserve">at the NCES Summer Data Conferences </w:t>
      </w:r>
      <w:r w:rsidR="001573FE" w:rsidRPr="00FF7AC4">
        <w:rPr>
          <w:sz w:val="24"/>
        </w:rPr>
        <w:t xml:space="preserve">and at </w:t>
      </w:r>
      <w:r w:rsidR="005F3C57">
        <w:rPr>
          <w:sz w:val="24"/>
        </w:rPr>
        <w:t xml:space="preserve">annual </w:t>
      </w:r>
      <w:r w:rsidR="006F6EDD">
        <w:rPr>
          <w:sz w:val="24"/>
        </w:rPr>
        <w:t xml:space="preserve">webinars on </w:t>
      </w:r>
      <w:r w:rsidR="00735966">
        <w:rPr>
          <w:sz w:val="24"/>
        </w:rPr>
        <w:t>SLFS</w:t>
      </w:r>
      <w:r w:rsidR="006F6EDD">
        <w:rPr>
          <w:sz w:val="24"/>
        </w:rPr>
        <w:t xml:space="preserve">. </w:t>
      </w:r>
      <w:r w:rsidR="001573FE" w:rsidRPr="00FF7AC4">
        <w:rPr>
          <w:sz w:val="24"/>
        </w:rPr>
        <w:t xml:space="preserve">State </w:t>
      </w:r>
      <w:r w:rsidR="00C60693">
        <w:rPr>
          <w:sz w:val="24"/>
        </w:rPr>
        <w:t xml:space="preserve">Fiscal </w:t>
      </w:r>
      <w:r w:rsidR="001573FE" w:rsidRPr="00FF7AC4">
        <w:rPr>
          <w:sz w:val="24"/>
        </w:rPr>
        <w:t>Coordinators also have the opportunity to respond on-line to proposals for new items.</w:t>
      </w:r>
    </w:p>
    <w:p w:rsidR="001573FE" w:rsidRPr="00FF7AC4" w:rsidRDefault="001573FE" w:rsidP="00F61173">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B.5. </w:t>
      </w:r>
      <w:r w:rsidR="00642179">
        <w:rPr>
          <w:rFonts w:ascii="Times New Roman" w:hAnsi="Times New Roman"/>
          <w:sz w:val="24"/>
          <w:szCs w:val="24"/>
        </w:rPr>
        <w:t>I</w:t>
      </w:r>
      <w:r w:rsidRPr="00FF7AC4">
        <w:rPr>
          <w:rFonts w:ascii="Times New Roman" w:hAnsi="Times New Roman"/>
          <w:sz w:val="24"/>
          <w:szCs w:val="24"/>
        </w:rPr>
        <w:t>ndividuals consulted on st</w:t>
      </w:r>
      <w:r w:rsidR="00642179">
        <w:rPr>
          <w:rFonts w:ascii="Times New Roman" w:hAnsi="Times New Roman"/>
          <w:sz w:val="24"/>
          <w:szCs w:val="24"/>
        </w:rPr>
        <w:t>atistical aspects of the design</w:t>
      </w:r>
    </w:p>
    <w:p w:rsidR="00C208C7" w:rsidRPr="00F259B1" w:rsidRDefault="0016656E" w:rsidP="00F61173">
      <w:pPr>
        <w:pStyle w:val="Text"/>
        <w:spacing w:after="120" w:line="276" w:lineRule="auto"/>
        <w:rPr>
          <w:b/>
          <w:sz w:val="24"/>
        </w:rPr>
      </w:pPr>
      <w:r w:rsidRPr="00F259B1">
        <w:rPr>
          <w:sz w:val="24"/>
        </w:rPr>
        <w:t xml:space="preserve">The individuals consulted on the </w:t>
      </w:r>
      <w:r w:rsidR="001573FE" w:rsidRPr="00F259B1">
        <w:rPr>
          <w:sz w:val="24"/>
        </w:rPr>
        <w:t xml:space="preserve">statistical aspects </w:t>
      </w:r>
      <w:r w:rsidRPr="00F259B1">
        <w:rPr>
          <w:sz w:val="24"/>
        </w:rPr>
        <w:t xml:space="preserve">of the </w:t>
      </w:r>
      <w:r w:rsidR="00437007" w:rsidRPr="00F259B1">
        <w:rPr>
          <w:sz w:val="24"/>
        </w:rPr>
        <w:t>SLFS s</w:t>
      </w:r>
      <w:r w:rsidRPr="00F259B1">
        <w:rPr>
          <w:sz w:val="24"/>
        </w:rPr>
        <w:t xml:space="preserve">urvey include </w:t>
      </w:r>
      <w:r w:rsidR="00437007" w:rsidRPr="00F259B1">
        <w:rPr>
          <w:sz w:val="24"/>
        </w:rPr>
        <w:t xml:space="preserve">Stephanie Stullich, </w:t>
      </w:r>
      <w:r w:rsidR="00770715" w:rsidRPr="00F259B1">
        <w:rPr>
          <w:rStyle w:val="Strong"/>
          <w:b w:val="0"/>
          <w:sz w:val="24"/>
        </w:rPr>
        <w:t xml:space="preserve">U.S. Department of </w:t>
      </w:r>
      <w:r w:rsidR="00437007" w:rsidRPr="00F259B1">
        <w:rPr>
          <w:rStyle w:val="Strong"/>
          <w:b w:val="0"/>
          <w:sz w:val="24"/>
        </w:rPr>
        <w:t>Education</w:t>
      </w:r>
      <w:r w:rsidR="00770715" w:rsidRPr="00F259B1">
        <w:rPr>
          <w:rStyle w:val="Strong"/>
          <w:b w:val="0"/>
          <w:sz w:val="24"/>
        </w:rPr>
        <w:t xml:space="preserve">, </w:t>
      </w:r>
      <w:hyperlink r:id="rId11" w:history="1">
        <w:r w:rsidR="00437007" w:rsidRPr="00F259B1">
          <w:rPr>
            <w:rStyle w:val="Hyperlink"/>
            <w:sz w:val="24"/>
          </w:rPr>
          <w:t>stephanie.stullich@ed.gov</w:t>
        </w:r>
      </w:hyperlink>
      <w:r w:rsidR="00F259B1" w:rsidRPr="00F259B1">
        <w:rPr>
          <w:rStyle w:val="Hyperlink"/>
          <w:color w:val="auto"/>
          <w:sz w:val="24"/>
          <w:u w:val="none"/>
        </w:rPr>
        <w:t>;</w:t>
      </w:r>
      <w:r w:rsidR="00C439A0" w:rsidRPr="00F259B1">
        <w:rPr>
          <w:rStyle w:val="Hyperlink"/>
          <w:color w:val="auto"/>
          <w:sz w:val="24"/>
          <w:u w:val="none"/>
        </w:rPr>
        <w:t xml:space="preserve"> </w:t>
      </w:r>
      <w:r w:rsidR="00AA0879" w:rsidRPr="00F259B1">
        <w:rPr>
          <w:sz w:val="24"/>
        </w:rPr>
        <w:t>William Son</w:t>
      </w:r>
      <w:r w:rsidR="00844A87" w:rsidRPr="00F259B1">
        <w:rPr>
          <w:sz w:val="24"/>
        </w:rPr>
        <w:t>n</w:t>
      </w:r>
      <w:r w:rsidR="00AA0879" w:rsidRPr="00F259B1">
        <w:rPr>
          <w:sz w:val="24"/>
        </w:rPr>
        <w:t xml:space="preserve">enberg, </w:t>
      </w:r>
      <w:r w:rsidR="00902260" w:rsidRPr="00F259B1">
        <w:rPr>
          <w:sz w:val="24"/>
        </w:rPr>
        <w:t>Statistician, NCES</w:t>
      </w:r>
      <w:r w:rsidR="00844A87" w:rsidRPr="00F259B1">
        <w:rPr>
          <w:sz w:val="24"/>
        </w:rPr>
        <w:t xml:space="preserve">, </w:t>
      </w:r>
      <w:hyperlink r:id="rId12" w:history="1">
        <w:r w:rsidR="00437007" w:rsidRPr="00F259B1">
          <w:rPr>
            <w:rStyle w:val="Hyperlink"/>
            <w:sz w:val="24"/>
          </w:rPr>
          <w:t>william.sonnenberg@ed.gov</w:t>
        </w:r>
      </w:hyperlink>
      <w:r w:rsidR="00F259B1" w:rsidRPr="00F259B1">
        <w:rPr>
          <w:rStyle w:val="Hyperlink"/>
          <w:color w:val="auto"/>
          <w:sz w:val="24"/>
          <w:u w:val="none"/>
        </w:rPr>
        <w:t>;</w:t>
      </w:r>
      <w:r w:rsidR="00C439A0" w:rsidRPr="00F259B1">
        <w:rPr>
          <w:rStyle w:val="Hyperlink"/>
          <w:color w:val="auto"/>
          <w:sz w:val="24"/>
          <w:u w:val="none"/>
        </w:rPr>
        <w:t xml:space="preserve"> and </w:t>
      </w:r>
      <w:r w:rsidR="00C439A0" w:rsidRPr="00F259B1">
        <w:rPr>
          <w:color w:val="000000"/>
          <w:sz w:val="24"/>
        </w:rPr>
        <w:t>Franklin Winters</w:t>
      </w:r>
      <w:r w:rsidR="00300098" w:rsidRPr="00F259B1">
        <w:rPr>
          <w:color w:val="000000"/>
          <w:sz w:val="24"/>
        </w:rPr>
        <w:t xml:space="preserve">, </w:t>
      </w:r>
      <w:r w:rsidR="00300098" w:rsidRPr="00F259B1">
        <w:rPr>
          <w:sz w:val="24"/>
        </w:rPr>
        <w:t>Assistant Division Chief, Statistical Research and Methodology, Economic Statistical Methods Division, U</w:t>
      </w:r>
      <w:r w:rsidR="00F259B1">
        <w:rPr>
          <w:sz w:val="24"/>
        </w:rPr>
        <w:t>.</w:t>
      </w:r>
      <w:r w:rsidR="00300098" w:rsidRPr="00F259B1">
        <w:rPr>
          <w:sz w:val="24"/>
        </w:rPr>
        <w:t>S</w:t>
      </w:r>
      <w:r w:rsidR="00F259B1">
        <w:rPr>
          <w:sz w:val="24"/>
        </w:rPr>
        <w:t>.</w:t>
      </w:r>
      <w:r w:rsidR="00300098" w:rsidRPr="00F259B1">
        <w:rPr>
          <w:sz w:val="24"/>
        </w:rPr>
        <w:t xml:space="preserve"> Census Bureau</w:t>
      </w:r>
      <w:r w:rsidR="00ED1673" w:rsidRPr="00F259B1">
        <w:rPr>
          <w:sz w:val="24"/>
        </w:rPr>
        <w:t xml:space="preserve">, </w:t>
      </w:r>
      <w:hyperlink r:id="rId13" w:history="1">
        <w:r w:rsidR="00ED1673" w:rsidRPr="00F259B1">
          <w:rPr>
            <w:rStyle w:val="Hyperlink"/>
            <w:sz w:val="24"/>
          </w:rPr>
          <w:t>franklin.winters@census.gov</w:t>
        </w:r>
      </w:hyperlink>
      <w:r w:rsidR="00C439A0" w:rsidRPr="00F259B1">
        <w:rPr>
          <w:color w:val="000000"/>
          <w:sz w:val="24"/>
        </w:rPr>
        <w:t>.</w:t>
      </w:r>
      <w:r w:rsidR="00C439A0" w:rsidRPr="00F259B1">
        <w:rPr>
          <w:rFonts w:ascii="Calibri" w:hAnsi="Calibri"/>
          <w:color w:val="000000"/>
          <w:sz w:val="24"/>
        </w:rPr>
        <w:t xml:space="preserve"> </w:t>
      </w:r>
      <w:r w:rsidR="00735966" w:rsidRPr="00F259B1">
        <w:rPr>
          <w:sz w:val="24"/>
        </w:rPr>
        <w:t>The SLFS d</w:t>
      </w:r>
      <w:r w:rsidR="00902260" w:rsidRPr="00F259B1">
        <w:rPr>
          <w:sz w:val="24"/>
        </w:rPr>
        <w:t xml:space="preserve">ata collection </w:t>
      </w:r>
      <w:r w:rsidR="002C7F1B" w:rsidRPr="00F259B1">
        <w:rPr>
          <w:sz w:val="24"/>
        </w:rPr>
        <w:t>is overseen by</w:t>
      </w:r>
      <w:r w:rsidR="00902260" w:rsidRPr="00F259B1">
        <w:rPr>
          <w:sz w:val="24"/>
        </w:rPr>
        <w:t xml:space="preserve"> Stephen </w:t>
      </w:r>
      <w:r w:rsidR="006F6EDD" w:rsidRPr="00F259B1">
        <w:rPr>
          <w:sz w:val="24"/>
        </w:rPr>
        <w:t xml:space="preserve">Q. </w:t>
      </w:r>
      <w:r w:rsidR="00902260" w:rsidRPr="00F259B1">
        <w:rPr>
          <w:sz w:val="24"/>
        </w:rPr>
        <w:t>Cornman, Statistician, Common Core of Data, NCES</w:t>
      </w:r>
      <w:r w:rsidR="00A42E4C" w:rsidRPr="00F259B1">
        <w:rPr>
          <w:sz w:val="24"/>
        </w:rPr>
        <w:t xml:space="preserve">, </w:t>
      </w:r>
      <w:hyperlink r:id="rId14" w:history="1">
        <w:r w:rsidR="00A42E4C" w:rsidRPr="00F259B1">
          <w:rPr>
            <w:rStyle w:val="Hyperlink"/>
            <w:sz w:val="24"/>
          </w:rPr>
          <w:t>stephen.cornman@ed.gov</w:t>
        </w:r>
      </w:hyperlink>
      <w:r w:rsidR="00A42E4C" w:rsidRPr="00F259B1">
        <w:rPr>
          <w:sz w:val="24"/>
        </w:rPr>
        <w:t>.</w:t>
      </w:r>
      <w:r w:rsidR="00F61173" w:rsidRPr="00F259B1">
        <w:rPr>
          <w:sz w:val="24"/>
        </w:rPr>
        <w:t xml:space="preserve"> </w:t>
      </w:r>
      <w:r w:rsidR="00C208C7" w:rsidRPr="00F259B1">
        <w:rPr>
          <w:b/>
          <w:sz w:val="24"/>
        </w:rPr>
        <w:br w:type="page"/>
      </w:r>
    </w:p>
    <w:p w:rsidR="00540804" w:rsidRPr="000914D8" w:rsidRDefault="00540804" w:rsidP="00EE6C1E">
      <w:pPr>
        <w:spacing w:after="120" w:line="276" w:lineRule="auto"/>
        <w:ind w:right="-216"/>
        <w:rPr>
          <w:b/>
          <w:sz w:val="32"/>
          <w:szCs w:val="32"/>
        </w:rPr>
      </w:pPr>
      <w:r w:rsidRPr="000914D8">
        <w:rPr>
          <w:b/>
          <w:sz w:val="32"/>
          <w:szCs w:val="32"/>
        </w:rPr>
        <w:lastRenderedPageBreak/>
        <w:t>Part C.</w:t>
      </w:r>
      <w:r w:rsidR="00F61173">
        <w:rPr>
          <w:b/>
          <w:sz w:val="32"/>
          <w:szCs w:val="32"/>
        </w:rPr>
        <w:t xml:space="preserve"> </w:t>
      </w:r>
      <w:r w:rsidR="00706784">
        <w:rPr>
          <w:b/>
          <w:sz w:val="32"/>
          <w:szCs w:val="32"/>
        </w:rPr>
        <w:t>School-Level Finance Survey (SLFS)</w:t>
      </w:r>
    </w:p>
    <w:p w:rsidR="00540804" w:rsidRPr="00174B0A" w:rsidRDefault="00540804" w:rsidP="00EE6C1E">
      <w:pPr>
        <w:pStyle w:val="Heading1"/>
        <w:spacing w:before="0" w:line="276" w:lineRule="auto"/>
        <w:ind w:right="18"/>
        <w:rPr>
          <w:rFonts w:ascii="Times New Roman" w:hAnsi="Times New Roman"/>
          <w:sz w:val="24"/>
          <w:szCs w:val="24"/>
        </w:rPr>
      </w:pPr>
      <w:r>
        <w:rPr>
          <w:rFonts w:ascii="Times New Roman" w:hAnsi="Times New Roman"/>
          <w:sz w:val="24"/>
          <w:szCs w:val="24"/>
        </w:rPr>
        <w:t>C</w:t>
      </w:r>
      <w:r w:rsidRPr="00174B0A">
        <w:rPr>
          <w:rFonts w:ascii="Times New Roman" w:hAnsi="Times New Roman"/>
          <w:sz w:val="24"/>
          <w:szCs w:val="24"/>
        </w:rPr>
        <w:t xml:space="preserve">.1. Discussion of </w:t>
      </w:r>
      <w:r>
        <w:rPr>
          <w:rFonts w:ascii="Times New Roman" w:hAnsi="Times New Roman"/>
          <w:sz w:val="24"/>
          <w:szCs w:val="24"/>
        </w:rPr>
        <w:t xml:space="preserve">Survey </w:t>
      </w:r>
      <w:r w:rsidRPr="00174B0A">
        <w:rPr>
          <w:rFonts w:ascii="Times New Roman" w:hAnsi="Times New Roman"/>
          <w:sz w:val="24"/>
          <w:szCs w:val="24"/>
        </w:rPr>
        <w:t>Items</w:t>
      </w:r>
    </w:p>
    <w:p w:rsidR="00540804" w:rsidRPr="00174B0A" w:rsidRDefault="00735966" w:rsidP="00EE6C1E">
      <w:pPr>
        <w:pStyle w:val="Text"/>
        <w:spacing w:after="120" w:line="276" w:lineRule="auto"/>
        <w:ind w:right="18"/>
        <w:rPr>
          <w:sz w:val="24"/>
        </w:rPr>
      </w:pPr>
      <w:r>
        <w:rPr>
          <w:sz w:val="24"/>
        </w:rPr>
        <w:t>SLFS</w:t>
      </w:r>
      <w:r w:rsidR="00706784">
        <w:rPr>
          <w:sz w:val="24"/>
        </w:rPr>
        <w:t xml:space="preserve"> </w:t>
      </w:r>
      <w:r w:rsidR="00540804" w:rsidRPr="00174B0A">
        <w:rPr>
          <w:sz w:val="24"/>
        </w:rPr>
        <w:t>respondents</w:t>
      </w:r>
      <w:r>
        <w:rPr>
          <w:sz w:val="24"/>
        </w:rPr>
        <w:t xml:space="preserve">, </w:t>
      </w:r>
      <w:r w:rsidR="00540804" w:rsidRPr="00174B0A">
        <w:rPr>
          <w:sz w:val="24"/>
        </w:rPr>
        <w:t>SEA Fiscal Coordinators</w:t>
      </w:r>
      <w:r>
        <w:rPr>
          <w:sz w:val="24"/>
        </w:rPr>
        <w:t xml:space="preserve">, </w:t>
      </w:r>
      <w:r w:rsidR="00540804" w:rsidRPr="00174B0A">
        <w:rPr>
          <w:sz w:val="24"/>
        </w:rPr>
        <w:t xml:space="preserve">complete </w:t>
      </w:r>
      <w:r>
        <w:rPr>
          <w:sz w:val="24"/>
        </w:rPr>
        <w:t xml:space="preserve">SLFS data collection </w:t>
      </w:r>
      <w:r w:rsidR="00540804" w:rsidRPr="00174B0A">
        <w:rPr>
          <w:sz w:val="24"/>
        </w:rPr>
        <w:t xml:space="preserve">following the account classifications in NCES’s handbook, </w:t>
      </w:r>
      <w:r w:rsidR="00540804" w:rsidRPr="00174B0A">
        <w:rPr>
          <w:i/>
          <w:sz w:val="24"/>
        </w:rPr>
        <w:t>Financial Accounting for Local and State School Systems: 201</w:t>
      </w:r>
      <w:r w:rsidR="00C60693">
        <w:rPr>
          <w:i/>
          <w:sz w:val="24"/>
        </w:rPr>
        <w:t>4</w:t>
      </w:r>
      <w:r w:rsidR="00540804" w:rsidRPr="00174B0A">
        <w:rPr>
          <w:i/>
          <w:sz w:val="24"/>
        </w:rPr>
        <w:t xml:space="preserve"> Edition</w:t>
      </w:r>
      <w:r w:rsidR="00540804" w:rsidRPr="00174B0A">
        <w:rPr>
          <w:sz w:val="24"/>
        </w:rPr>
        <w:t>.</w:t>
      </w:r>
      <w:r w:rsidR="00F61173">
        <w:rPr>
          <w:sz w:val="24"/>
        </w:rPr>
        <w:t xml:space="preserve"> </w:t>
      </w:r>
      <w:r w:rsidR="00540804" w:rsidRPr="00174B0A">
        <w:rPr>
          <w:sz w:val="24"/>
        </w:rPr>
        <w:t>Crosswalk software is provided to any state whose chart of accounts differs from these standards. Respondents are also asked to reply to questions in a Data Plan</w:t>
      </w:r>
      <w:r>
        <w:rPr>
          <w:sz w:val="24"/>
        </w:rPr>
        <w:t xml:space="preserve"> survey (Appendix C)</w:t>
      </w:r>
      <w:r w:rsidR="00540804" w:rsidRPr="00174B0A">
        <w:rPr>
          <w:sz w:val="24"/>
        </w:rPr>
        <w:t xml:space="preserve">. These responses help us to understand and process the data, and are published in the </w:t>
      </w:r>
      <w:r>
        <w:rPr>
          <w:sz w:val="24"/>
        </w:rPr>
        <w:t xml:space="preserve">online SLFS </w:t>
      </w:r>
      <w:r w:rsidR="00540804" w:rsidRPr="00174B0A">
        <w:rPr>
          <w:sz w:val="24"/>
        </w:rPr>
        <w:t>file documentation.</w:t>
      </w:r>
    </w:p>
    <w:p w:rsidR="00540804" w:rsidRPr="00174B0A" w:rsidRDefault="00706784" w:rsidP="00EE6C1E">
      <w:pPr>
        <w:pStyle w:val="Text"/>
        <w:spacing w:after="120" w:line="276" w:lineRule="auto"/>
        <w:ind w:right="18"/>
        <w:rPr>
          <w:sz w:val="24"/>
        </w:rPr>
      </w:pPr>
      <w:r>
        <w:rPr>
          <w:sz w:val="24"/>
          <w:u w:val="single"/>
        </w:rPr>
        <w:t xml:space="preserve">SLFS </w:t>
      </w:r>
      <w:r w:rsidR="00540804" w:rsidRPr="00174B0A">
        <w:rPr>
          <w:sz w:val="24"/>
          <w:u w:val="single"/>
        </w:rPr>
        <w:t>Contents</w:t>
      </w:r>
      <w:r w:rsidR="00540804">
        <w:rPr>
          <w:sz w:val="24"/>
          <w:u w:val="single"/>
        </w:rPr>
        <w:t>:</w:t>
      </w:r>
      <w:r w:rsidR="00540804" w:rsidRPr="00174B0A">
        <w:rPr>
          <w:sz w:val="24"/>
        </w:rPr>
        <w:t xml:space="preserve"> </w:t>
      </w:r>
      <w:r w:rsidR="00735966">
        <w:rPr>
          <w:sz w:val="24"/>
        </w:rPr>
        <w:t>SLFS</w:t>
      </w:r>
      <w:r w:rsidRPr="00E830EA">
        <w:rPr>
          <w:sz w:val="24"/>
        </w:rPr>
        <w:t xml:space="preserve"> </w:t>
      </w:r>
      <w:r>
        <w:rPr>
          <w:sz w:val="24"/>
        </w:rPr>
        <w:t xml:space="preserve">is </w:t>
      </w:r>
      <w:r w:rsidRPr="00E830EA">
        <w:rPr>
          <w:sz w:val="24"/>
        </w:rPr>
        <w:t>an extension of two existing collections being conducted by NCES: the School District Finance Survey (F-33) and the state-level National Public Education Financial Survey (NPEFS).</w:t>
      </w:r>
      <w:r>
        <w:rPr>
          <w:sz w:val="24"/>
        </w:rPr>
        <w:t xml:space="preserve"> </w:t>
      </w:r>
      <w:r w:rsidR="00735966">
        <w:rPr>
          <w:bCs/>
          <w:noProof/>
          <w:sz w:val="24"/>
        </w:rPr>
        <w:t>SLFS</w:t>
      </w:r>
      <w:r w:rsidRPr="005B192A">
        <w:rPr>
          <w:bCs/>
          <w:noProof/>
          <w:sz w:val="24"/>
        </w:rPr>
        <w:t xml:space="preserve"> is essentially an expansion of the F-33 to include some variables at the school level.</w:t>
      </w:r>
    </w:p>
    <w:p w:rsidR="00540804" w:rsidRDefault="00540804" w:rsidP="00EE6C1E">
      <w:pPr>
        <w:pStyle w:val="Text"/>
        <w:spacing w:after="120" w:line="276" w:lineRule="auto"/>
        <w:ind w:right="18"/>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w:t>
      </w:r>
      <w:r w:rsidR="00EE6C1E" w:rsidRPr="00EE6C1E">
        <w:rPr>
          <w:sz w:val="24"/>
        </w:rPr>
        <w:t>number, physical address, and email address</w:t>
      </w:r>
      <w:bookmarkStart w:id="0" w:name="_GoBack"/>
      <w:bookmarkEnd w:id="0"/>
      <w:r w:rsidRPr="00174B0A">
        <w:rPr>
          <w:sz w:val="24"/>
        </w:rPr>
        <w:t>.</w:t>
      </w:r>
    </w:p>
    <w:p w:rsidR="00F61173" w:rsidRDefault="00CC4821" w:rsidP="00EE6C1E">
      <w:pPr>
        <w:pStyle w:val="Text"/>
        <w:spacing w:after="120" w:line="276" w:lineRule="auto"/>
        <w:ind w:right="18"/>
        <w:rPr>
          <w:sz w:val="24"/>
        </w:rPr>
      </w:pPr>
      <w:r w:rsidRPr="00CC4821">
        <w:rPr>
          <w:sz w:val="24"/>
        </w:rPr>
        <w:t xml:space="preserve">Two types of expenditures </w:t>
      </w:r>
      <w:r w:rsidR="00CA1F95">
        <w:rPr>
          <w:sz w:val="24"/>
        </w:rPr>
        <w:t xml:space="preserve">are </w:t>
      </w:r>
      <w:r w:rsidRPr="00CC4821">
        <w:rPr>
          <w:sz w:val="24"/>
        </w:rPr>
        <w:t xml:space="preserve">collected </w:t>
      </w:r>
      <w:r w:rsidR="00CA1F95">
        <w:rPr>
          <w:sz w:val="24"/>
        </w:rPr>
        <w:t>in</w:t>
      </w:r>
      <w:r w:rsidRPr="00CC4821">
        <w:rPr>
          <w:sz w:val="24"/>
        </w:rPr>
        <w:t xml:space="preserve"> </w:t>
      </w:r>
      <w:r w:rsidR="00735966">
        <w:rPr>
          <w:sz w:val="24"/>
        </w:rPr>
        <w:t>SLFS</w:t>
      </w:r>
      <w:r w:rsidR="00CA1F95">
        <w:rPr>
          <w:sz w:val="24"/>
        </w:rPr>
        <w:t xml:space="preserve">: 12 </w:t>
      </w:r>
      <w:r w:rsidRPr="00CC4821">
        <w:rPr>
          <w:sz w:val="24"/>
        </w:rPr>
        <w:t xml:space="preserve">“personnel” and </w:t>
      </w:r>
      <w:r w:rsidR="00CA1F95">
        <w:rPr>
          <w:sz w:val="24"/>
        </w:rPr>
        <w:t xml:space="preserve">18 </w:t>
      </w:r>
      <w:r w:rsidRPr="00CC4821">
        <w:rPr>
          <w:sz w:val="24"/>
        </w:rPr>
        <w:t>“nonpersonnel” expenditures</w:t>
      </w:r>
      <w:r w:rsidR="00CA1F95">
        <w:rPr>
          <w:sz w:val="24"/>
        </w:rPr>
        <w:t xml:space="preserve"> items (of these 30, </w:t>
      </w:r>
      <w:r w:rsidR="00CA1F95">
        <w:rPr>
          <w:iCs/>
          <w:sz w:val="24"/>
        </w:rPr>
        <w:t>12</w:t>
      </w:r>
      <w:r w:rsidR="00CA1F95" w:rsidRPr="00CA1F95">
        <w:rPr>
          <w:iCs/>
          <w:sz w:val="24"/>
        </w:rPr>
        <w:t xml:space="preserve"> are exhibit items of amounts already included within other SLFS expenditures</w:t>
      </w:r>
      <w:r w:rsidR="00CA1F95">
        <w:rPr>
          <w:sz w:val="24"/>
        </w:rPr>
        <w:t>)</w:t>
      </w:r>
      <w:r w:rsidRPr="00CC4821">
        <w:rPr>
          <w:sz w:val="24"/>
        </w:rPr>
        <w:t xml:space="preserve">. </w:t>
      </w:r>
      <w:r w:rsidR="00CA1F95">
        <w:rPr>
          <w:sz w:val="24"/>
        </w:rPr>
        <w:t xml:space="preserve">In </w:t>
      </w:r>
      <w:r w:rsidRPr="00CC4821">
        <w:rPr>
          <w:sz w:val="24"/>
        </w:rPr>
        <w:t>SLFS, personnel expenditures consist of gross salary and wage expenditures (including overtime, incentive pay, and bonuses) for school-level staff. Personnel expenditures exclude employee benefits (e.g., employer health insurance and retirement contributions) and exclude expenditures for staff that would typically be considered school district-level staff (e.g., student transportation and operations and maintenance staff).</w:t>
      </w:r>
    </w:p>
    <w:p w:rsidR="00CC4821" w:rsidRPr="00CA1F95" w:rsidRDefault="00CC4821" w:rsidP="00EE6C1E">
      <w:pPr>
        <w:pStyle w:val="Text"/>
        <w:spacing w:after="60" w:line="276" w:lineRule="auto"/>
        <w:ind w:right="18"/>
        <w:rPr>
          <w:iCs/>
          <w:sz w:val="24"/>
        </w:rPr>
      </w:pPr>
      <w:r w:rsidRPr="00CA1F95">
        <w:rPr>
          <w:iCs/>
          <w:sz w:val="24"/>
        </w:rPr>
        <w:t>Personnel expenditures appear in Part I of the SLFS form and are collected across four primary data items:</w:t>
      </w:r>
    </w:p>
    <w:p w:rsidR="00CC4821" w:rsidRPr="00CA1F95" w:rsidRDefault="00CC4821" w:rsidP="00F61173">
      <w:pPr>
        <w:pStyle w:val="Text"/>
        <w:numPr>
          <w:ilvl w:val="0"/>
          <w:numId w:val="19"/>
        </w:numPr>
        <w:spacing w:after="60" w:line="276" w:lineRule="auto"/>
        <w:ind w:right="-216"/>
        <w:rPr>
          <w:iCs/>
          <w:sz w:val="24"/>
        </w:rPr>
      </w:pPr>
      <w:r w:rsidRPr="00CA1F95">
        <w:rPr>
          <w:iCs/>
          <w:sz w:val="24"/>
        </w:rPr>
        <w:t>Instructional staff salaries (items Z33S and Z33SE);</w:t>
      </w:r>
    </w:p>
    <w:p w:rsidR="00CC4821" w:rsidRPr="00CA1F95" w:rsidRDefault="00CC4821" w:rsidP="00F61173">
      <w:pPr>
        <w:pStyle w:val="Text"/>
        <w:numPr>
          <w:ilvl w:val="0"/>
          <w:numId w:val="19"/>
        </w:numPr>
        <w:spacing w:after="60" w:line="276" w:lineRule="auto"/>
        <w:ind w:right="-216"/>
        <w:rPr>
          <w:iCs/>
          <w:sz w:val="24"/>
        </w:rPr>
      </w:pPr>
      <w:r w:rsidRPr="00CA1F95">
        <w:rPr>
          <w:iCs/>
          <w:sz w:val="24"/>
        </w:rPr>
        <w:t>Student support services salaries (items V11S and V11SE);</w:t>
      </w:r>
    </w:p>
    <w:p w:rsidR="00CC4821" w:rsidRPr="00CA1F95" w:rsidRDefault="00CC4821" w:rsidP="00F61173">
      <w:pPr>
        <w:pStyle w:val="Text"/>
        <w:numPr>
          <w:ilvl w:val="0"/>
          <w:numId w:val="19"/>
        </w:numPr>
        <w:spacing w:after="60" w:line="276" w:lineRule="auto"/>
        <w:ind w:right="-216"/>
        <w:rPr>
          <w:iCs/>
          <w:sz w:val="24"/>
        </w:rPr>
      </w:pPr>
      <w:r w:rsidRPr="00CA1F95">
        <w:rPr>
          <w:iCs/>
          <w:sz w:val="24"/>
        </w:rPr>
        <w:t>Instructional staff support services salaries (items V13S and V13SE); and</w:t>
      </w:r>
    </w:p>
    <w:p w:rsidR="00CC4821" w:rsidRPr="00CA1F95" w:rsidRDefault="00CC4821" w:rsidP="00F61173">
      <w:pPr>
        <w:pStyle w:val="Text"/>
        <w:numPr>
          <w:ilvl w:val="0"/>
          <w:numId w:val="19"/>
        </w:numPr>
        <w:spacing w:after="120" w:line="276" w:lineRule="auto"/>
        <w:ind w:right="-216"/>
        <w:rPr>
          <w:iCs/>
          <w:sz w:val="24"/>
        </w:rPr>
      </w:pPr>
      <w:r w:rsidRPr="00CA1F95">
        <w:rPr>
          <w:iCs/>
          <w:sz w:val="24"/>
        </w:rPr>
        <w:t>School administration salaries (items V17S and V17SE)</w:t>
      </w:r>
      <w:r w:rsidR="00CA1F95">
        <w:rPr>
          <w:iCs/>
          <w:sz w:val="24"/>
        </w:rPr>
        <w:t>.</w:t>
      </w:r>
    </w:p>
    <w:p w:rsidR="00CC4821" w:rsidRPr="00CA1F95" w:rsidRDefault="00CC4821" w:rsidP="00EE6C1E">
      <w:pPr>
        <w:pStyle w:val="Text"/>
        <w:spacing w:after="120" w:line="276" w:lineRule="auto"/>
        <w:ind w:right="18"/>
        <w:rPr>
          <w:iCs/>
          <w:sz w:val="24"/>
        </w:rPr>
      </w:pPr>
      <w:r w:rsidRPr="00CA1F95">
        <w:rPr>
          <w:iCs/>
          <w:sz w:val="24"/>
        </w:rPr>
        <w:t xml:space="preserve">In addition, </w:t>
      </w:r>
      <w:r w:rsidR="00CA1F95">
        <w:rPr>
          <w:iCs/>
          <w:sz w:val="24"/>
        </w:rPr>
        <w:t xml:space="preserve">the </w:t>
      </w:r>
      <w:r w:rsidR="00CA1F95" w:rsidRPr="00CA1F95">
        <w:rPr>
          <w:iCs/>
          <w:sz w:val="24"/>
        </w:rPr>
        <w:t xml:space="preserve">SLFS form </w:t>
      </w:r>
      <w:r w:rsidR="00CA1F95">
        <w:rPr>
          <w:iCs/>
          <w:sz w:val="24"/>
        </w:rPr>
        <w:t xml:space="preserve">contains </w:t>
      </w:r>
      <w:r w:rsidRPr="00CA1F95">
        <w:rPr>
          <w:iCs/>
          <w:sz w:val="24"/>
        </w:rPr>
        <w:t>two personnel exhibit items</w:t>
      </w:r>
      <w:r w:rsidR="00CA1F95" w:rsidRPr="00CA1F95">
        <w:rPr>
          <w:iCs/>
          <w:sz w:val="24"/>
        </w:rPr>
        <w:t xml:space="preserve"> of the Instructional staff salaries category</w:t>
      </w:r>
      <w:r w:rsidR="00CA1F95">
        <w:rPr>
          <w:iCs/>
          <w:sz w:val="24"/>
        </w:rPr>
        <w:t xml:space="preserve">: </w:t>
      </w:r>
      <w:r w:rsidRPr="00CA1F95">
        <w:rPr>
          <w:iCs/>
          <w:sz w:val="24"/>
        </w:rPr>
        <w:t>Teacher salaries (items Z39S and Z39SE) and Instructional aide salaries (items Z40S and Z40SE).</w:t>
      </w:r>
    </w:p>
    <w:p w:rsidR="00CC4821" w:rsidRPr="00CA1F95" w:rsidRDefault="00CC4821" w:rsidP="00EE6C1E">
      <w:pPr>
        <w:pStyle w:val="Text"/>
        <w:spacing w:after="120" w:line="276" w:lineRule="auto"/>
        <w:ind w:right="18"/>
        <w:rPr>
          <w:iCs/>
          <w:sz w:val="24"/>
        </w:rPr>
      </w:pPr>
      <w:r w:rsidRPr="00CA1F95">
        <w:rPr>
          <w:iCs/>
          <w:sz w:val="24"/>
        </w:rPr>
        <w:t xml:space="preserve">Nonpersonnel expenditures are all non-salary expenditures directly associated with the instruction and educational and administrative support of students at the school level. </w:t>
      </w:r>
      <w:r w:rsidR="00CA1F95">
        <w:rPr>
          <w:iCs/>
          <w:sz w:val="24"/>
        </w:rPr>
        <w:t>They</w:t>
      </w:r>
      <w:r w:rsidRPr="00CA1F95">
        <w:rPr>
          <w:iCs/>
          <w:sz w:val="24"/>
        </w:rPr>
        <w:t xml:space="preserve"> include supplies, purchased services (e.g., contracted teacher services and administrative support), instructional equipment, and textbooks.</w:t>
      </w:r>
      <w:r w:rsidR="00F61173" w:rsidRPr="00CA1F95">
        <w:rPr>
          <w:iCs/>
          <w:sz w:val="24"/>
        </w:rPr>
        <w:t xml:space="preserve"> </w:t>
      </w:r>
      <w:r w:rsidRPr="00CA1F95">
        <w:rPr>
          <w:iCs/>
          <w:sz w:val="24"/>
        </w:rPr>
        <w:t xml:space="preserve">These expenditures generally exclude school district-level expenditures such as tuition payments to other school systems and most capital outlay expenses (e.g., construction, land, and building expenditures). </w:t>
      </w:r>
      <w:r w:rsidR="00CA1F95">
        <w:rPr>
          <w:iCs/>
          <w:sz w:val="24"/>
        </w:rPr>
        <w:t>As with</w:t>
      </w:r>
      <w:r w:rsidRPr="00CA1F95">
        <w:rPr>
          <w:iCs/>
          <w:sz w:val="24"/>
        </w:rPr>
        <w:t xml:space="preserve"> personnel expenditures, employee benefits are also excluded from the nonpersonnel expenditure items.</w:t>
      </w:r>
    </w:p>
    <w:p w:rsidR="00CC4821" w:rsidRPr="00CA1F95" w:rsidRDefault="00CC4821" w:rsidP="00EE6C1E">
      <w:pPr>
        <w:pStyle w:val="Text"/>
        <w:spacing w:after="60" w:line="276" w:lineRule="auto"/>
        <w:ind w:right="18"/>
        <w:rPr>
          <w:iCs/>
          <w:sz w:val="24"/>
        </w:rPr>
      </w:pPr>
      <w:r w:rsidRPr="00CA1F95">
        <w:rPr>
          <w:iCs/>
          <w:sz w:val="24"/>
        </w:rPr>
        <w:t>Nonpersonnel expenditures appear in Part II of the SLFS form and are collected across five primary data items:</w:t>
      </w:r>
    </w:p>
    <w:p w:rsidR="00CC4821" w:rsidRPr="00CA1F95" w:rsidRDefault="00CC4821" w:rsidP="00F61173">
      <w:pPr>
        <w:pStyle w:val="Text"/>
        <w:numPr>
          <w:ilvl w:val="0"/>
          <w:numId w:val="19"/>
        </w:numPr>
        <w:spacing w:after="60" w:line="276" w:lineRule="auto"/>
        <w:ind w:right="-216"/>
        <w:rPr>
          <w:iCs/>
          <w:sz w:val="24"/>
        </w:rPr>
      </w:pPr>
      <w:r w:rsidRPr="00CA1F95">
        <w:rPr>
          <w:iCs/>
          <w:sz w:val="24"/>
        </w:rPr>
        <w:t>Instructional staff support (items E07S and E07SE);</w:t>
      </w:r>
    </w:p>
    <w:p w:rsidR="00CC4821" w:rsidRPr="00CA1F95" w:rsidRDefault="00CC4821" w:rsidP="00F61173">
      <w:pPr>
        <w:pStyle w:val="Text"/>
        <w:numPr>
          <w:ilvl w:val="0"/>
          <w:numId w:val="19"/>
        </w:numPr>
        <w:spacing w:after="60" w:line="276" w:lineRule="auto"/>
        <w:ind w:right="-216"/>
        <w:rPr>
          <w:iCs/>
          <w:sz w:val="24"/>
        </w:rPr>
      </w:pPr>
      <w:r w:rsidRPr="00CA1F95">
        <w:rPr>
          <w:iCs/>
          <w:sz w:val="24"/>
        </w:rPr>
        <w:t>Nontechnology-related supplies and purchased services (items V01S, and V01SE);</w:t>
      </w:r>
    </w:p>
    <w:p w:rsidR="00F61173" w:rsidRPr="00CA1F95" w:rsidRDefault="00CC4821" w:rsidP="00F61173">
      <w:pPr>
        <w:pStyle w:val="Text"/>
        <w:numPr>
          <w:ilvl w:val="0"/>
          <w:numId w:val="19"/>
        </w:numPr>
        <w:spacing w:after="60" w:line="276" w:lineRule="auto"/>
        <w:ind w:right="-216"/>
        <w:rPr>
          <w:iCs/>
          <w:sz w:val="24"/>
        </w:rPr>
      </w:pPr>
      <w:r w:rsidRPr="00CA1F95">
        <w:rPr>
          <w:iCs/>
          <w:sz w:val="24"/>
        </w:rPr>
        <w:t>Technology-related supplies and purchased services (items V02S and V13SE);</w:t>
      </w:r>
    </w:p>
    <w:p w:rsidR="00CC4821" w:rsidRPr="00CA1F95" w:rsidRDefault="00CC4821" w:rsidP="00F61173">
      <w:pPr>
        <w:pStyle w:val="Text"/>
        <w:numPr>
          <w:ilvl w:val="0"/>
          <w:numId w:val="19"/>
        </w:numPr>
        <w:spacing w:after="60" w:line="276" w:lineRule="auto"/>
        <w:ind w:right="-216"/>
        <w:rPr>
          <w:iCs/>
          <w:sz w:val="24"/>
        </w:rPr>
      </w:pPr>
      <w:r w:rsidRPr="00CA1F95">
        <w:rPr>
          <w:iCs/>
          <w:sz w:val="24"/>
        </w:rPr>
        <w:t>Nontechnology-related equipment (items K13S and K13SE); and</w:t>
      </w:r>
    </w:p>
    <w:p w:rsidR="00CC4821" w:rsidRPr="00CA1F95" w:rsidRDefault="00CC4821" w:rsidP="00F61173">
      <w:pPr>
        <w:pStyle w:val="Text"/>
        <w:numPr>
          <w:ilvl w:val="0"/>
          <w:numId w:val="19"/>
        </w:numPr>
        <w:spacing w:after="120" w:line="276" w:lineRule="auto"/>
        <w:ind w:right="-216"/>
        <w:rPr>
          <w:iCs/>
          <w:sz w:val="24"/>
        </w:rPr>
      </w:pPr>
      <w:r w:rsidRPr="00CA1F95">
        <w:rPr>
          <w:iCs/>
          <w:sz w:val="24"/>
        </w:rPr>
        <w:lastRenderedPageBreak/>
        <w:t>Technology-related equipment (items K14S and K14SE)</w:t>
      </w:r>
      <w:r w:rsidR="001F1838">
        <w:rPr>
          <w:iCs/>
          <w:sz w:val="24"/>
        </w:rPr>
        <w:t>.</w:t>
      </w:r>
    </w:p>
    <w:p w:rsidR="00CC4821" w:rsidRPr="00CA1F95" w:rsidRDefault="00CC4821" w:rsidP="00EE6C1E">
      <w:pPr>
        <w:pStyle w:val="Text"/>
        <w:spacing w:after="60" w:line="276" w:lineRule="auto"/>
        <w:ind w:right="18"/>
        <w:rPr>
          <w:iCs/>
          <w:sz w:val="24"/>
        </w:rPr>
      </w:pPr>
      <w:r w:rsidRPr="00CA1F95">
        <w:rPr>
          <w:iCs/>
          <w:sz w:val="24"/>
        </w:rPr>
        <w:t>Additionally, there are four nonpersonnel exhibit items on the SLFS form which are a subset of at least one of the five nonpersonnel expenditure items listed above:</w:t>
      </w:r>
    </w:p>
    <w:p w:rsidR="00CC4821" w:rsidRPr="00CA1F95" w:rsidRDefault="00CC4821" w:rsidP="00F61173">
      <w:pPr>
        <w:pStyle w:val="Text"/>
        <w:numPr>
          <w:ilvl w:val="0"/>
          <w:numId w:val="19"/>
        </w:numPr>
        <w:spacing w:after="60" w:line="276" w:lineRule="auto"/>
        <w:ind w:right="-216"/>
        <w:rPr>
          <w:iCs/>
          <w:sz w:val="24"/>
        </w:rPr>
      </w:pPr>
      <w:r w:rsidRPr="00CA1F95">
        <w:rPr>
          <w:iCs/>
          <w:sz w:val="24"/>
        </w:rPr>
        <w:t>Improvement of instruction (items V03S, and V03SE);</w:t>
      </w:r>
    </w:p>
    <w:p w:rsidR="00F61173" w:rsidRPr="00CA1F95" w:rsidRDefault="00CC4821" w:rsidP="00F61173">
      <w:pPr>
        <w:pStyle w:val="Text"/>
        <w:numPr>
          <w:ilvl w:val="0"/>
          <w:numId w:val="19"/>
        </w:numPr>
        <w:spacing w:after="60" w:line="276" w:lineRule="auto"/>
        <w:ind w:right="-216"/>
        <w:rPr>
          <w:iCs/>
          <w:sz w:val="24"/>
        </w:rPr>
      </w:pPr>
      <w:r w:rsidRPr="00CA1F95">
        <w:rPr>
          <w:iCs/>
          <w:sz w:val="24"/>
        </w:rPr>
        <w:t>Library and media services (items V04S and V04SE);</w:t>
      </w:r>
    </w:p>
    <w:p w:rsidR="00CC4821" w:rsidRPr="00CA1F95" w:rsidRDefault="00CC4821" w:rsidP="00F61173">
      <w:pPr>
        <w:pStyle w:val="Text"/>
        <w:numPr>
          <w:ilvl w:val="0"/>
          <w:numId w:val="19"/>
        </w:numPr>
        <w:spacing w:after="60" w:line="276" w:lineRule="auto"/>
        <w:ind w:right="-216"/>
        <w:rPr>
          <w:iCs/>
          <w:sz w:val="24"/>
        </w:rPr>
      </w:pPr>
      <w:r w:rsidRPr="00CA1F95">
        <w:rPr>
          <w:iCs/>
          <w:sz w:val="24"/>
        </w:rPr>
        <w:t>Books and periodicals (items V93S and V93SE); and</w:t>
      </w:r>
    </w:p>
    <w:p w:rsidR="00CC4821" w:rsidRPr="00CA1F95" w:rsidRDefault="00CC4821" w:rsidP="00F61173">
      <w:pPr>
        <w:pStyle w:val="Text"/>
        <w:numPr>
          <w:ilvl w:val="0"/>
          <w:numId w:val="19"/>
        </w:numPr>
        <w:spacing w:after="120" w:line="276" w:lineRule="auto"/>
        <w:ind w:right="-216"/>
        <w:rPr>
          <w:iCs/>
          <w:sz w:val="24"/>
        </w:rPr>
      </w:pPr>
      <w:r w:rsidRPr="00CA1F95">
        <w:rPr>
          <w:iCs/>
          <w:sz w:val="24"/>
        </w:rPr>
        <w:t>Technology software (items K15S and K15SE)</w:t>
      </w:r>
      <w:r w:rsidR="001F1838">
        <w:rPr>
          <w:iCs/>
          <w:sz w:val="24"/>
        </w:rPr>
        <w:t>.</w:t>
      </w:r>
    </w:p>
    <w:p w:rsidR="00CC4821" w:rsidRPr="00CA1F95" w:rsidRDefault="00CC4821" w:rsidP="00EE6C1E">
      <w:pPr>
        <w:pStyle w:val="Text"/>
        <w:spacing w:after="120" w:line="276" w:lineRule="auto"/>
        <w:ind w:right="18"/>
        <w:rPr>
          <w:i/>
          <w:iCs/>
          <w:sz w:val="24"/>
          <w:u w:val="single"/>
        </w:rPr>
      </w:pPr>
      <w:r w:rsidRPr="00CA1F95">
        <w:rPr>
          <w:iCs/>
          <w:sz w:val="24"/>
          <w:u w:val="single"/>
        </w:rPr>
        <w:t>Data Exclusions</w:t>
      </w:r>
    </w:p>
    <w:p w:rsidR="00CC4821" w:rsidRPr="00CA1F95" w:rsidRDefault="00CC4821" w:rsidP="00EE6C1E">
      <w:pPr>
        <w:pStyle w:val="Text"/>
        <w:spacing w:after="120" w:line="276" w:lineRule="auto"/>
        <w:ind w:right="18"/>
        <w:rPr>
          <w:iCs/>
          <w:sz w:val="24"/>
        </w:rPr>
      </w:pPr>
      <w:r w:rsidRPr="00CA1F95">
        <w:rPr>
          <w:iCs/>
          <w:sz w:val="24"/>
        </w:rPr>
        <w:t xml:space="preserve">NCES has requested that respondents exclude </w:t>
      </w:r>
      <w:r w:rsidR="001F1838">
        <w:rPr>
          <w:iCs/>
          <w:sz w:val="24"/>
        </w:rPr>
        <w:t xml:space="preserve">certain </w:t>
      </w:r>
      <w:r w:rsidR="001F1838" w:rsidRPr="00CA1F95">
        <w:rPr>
          <w:iCs/>
          <w:sz w:val="24"/>
        </w:rPr>
        <w:t xml:space="preserve">expenditures </w:t>
      </w:r>
      <w:r w:rsidRPr="00CA1F95">
        <w:rPr>
          <w:iCs/>
          <w:sz w:val="24"/>
        </w:rPr>
        <w:t xml:space="preserve">from SLFS data item categories for comparability and analysis purposes. Data items on the SLFS form are </w:t>
      </w:r>
      <w:r w:rsidR="001F1838">
        <w:rPr>
          <w:iCs/>
          <w:sz w:val="24"/>
        </w:rPr>
        <w:t>labeled as either</w:t>
      </w:r>
      <w:r w:rsidRPr="00CA1F95">
        <w:rPr>
          <w:iCs/>
          <w:sz w:val="24"/>
        </w:rPr>
        <w:t xml:space="preserve"> “with” </w:t>
      </w:r>
      <w:r w:rsidR="001F1838">
        <w:rPr>
          <w:iCs/>
          <w:sz w:val="24"/>
        </w:rPr>
        <w:t>or</w:t>
      </w:r>
      <w:r w:rsidRPr="00CA1F95">
        <w:rPr>
          <w:iCs/>
          <w:sz w:val="24"/>
        </w:rPr>
        <w:t xml:space="preserve"> “without” these data exclusions.</w:t>
      </w:r>
    </w:p>
    <w:p w:rsidR="00F61173" w:rsidRPr="00CA1F95" w:rsidRDefault="00CC4821" w:rsidP="00EE6C1E">
      <w:pPr>
        <w:pStyle w:val="Text"/>
        <w:spacing w:after="120" w:line="276" w:lineRule="auto"/>
        <w:ind w:right="18"/>
        <w:rPr>
          <w:iCs/>
          <w:sz w:val="24"/>
        </w:rPr>
      </w:pPr>
      <w:r w:rsidRPr="00CA1F95">
        <w:rPr>
          <w:iCs/>
          <w:sz w:val="24"/>
        </w:rPr>
        <w:t xml:space="preserve">Respondents report data item amounts without exclusions in column (1) of the SLFS form. Amounts reported in this column include school expenditures from </w:t>
      </w:r>
      <w:r w:rsidRPr="00CA1F95">
        <w:rPr>
          <w:i/>
          <w:iCs/>
          <w:sz w:val="24"/>
        </w:rPr>
        <w:t>all</w:t>
      </w:r>
      <w:r w:rsidRPr="00CA1F95">
        <w:rPr>
          <w:iCs/>
          <w:sz w:val="24"/>
        </w:rPr>
        <w:t xml:space="preserve"> elementary-secondary (PK-12) funds and programs and</w:t>
      </w:r>
      <w:r w:rsidR="001F1838">
        <w:rPr>
          <w:iCs/>
          <w:sz w:val="24"/>
        </w:rPr>
        <w:t xml:space="preserve"> are</w:t>
      </w:r>
      <w:r w:rsidRPr="00CA1F95">
        <w:rPr>
          <w:iCs/>
          <w:sz w:val="24"/>
        </w:rPr>
        <w:t xml:space="preserve"> – when aggregated to the school district and state levels –directly comparable with finance amounts reported in similar data items</w:t>
      </w:r>
      <w:r w:rsidR="00F61173" w:rsidRPr="00CA1F95">
        <w:rPr>
          <w:iCs/>
          <w:sz w:val="24"/>
        </w:rPr>
        <w:t xml:space="preserve"> </w:t>
      </w:r>
      <w:r w:rsidRPr="00CA1F95">
        <w:rPr>
          <w:iCs/>
          <w:sz w:val="24"/>
        </w:rPr>
        <w:t>on the F-33 and NPEFS collections conducted by NCES.</w:t>
      </w:r>
    </w:p>
    <w:p w:rsidR="00F61173" w:rsidRPr="00CA1F95" w:rsidRDefault="00CC4821" w:rsidP="00EE6C1E">
      <w:pPr>
        <w:pStyle w:val="Text"/>
        <w:spacing w:after="60" w:line="276" w:lineRule="auto"/>
        <w:ind w:right="18"/>
        <w:rPr>
          <w:iCs/>
          <w:sz w:val="24"/>
        </w:rPr>
      </w:pPr>
      <w:r w:rsidRPr="00CA1F95">
        <w:rPr>
          <w:iCs/>
          <w:sz w:val="24"/>
        </w:rPr>
        <w:t xml:space="preserve">Column (2) of the SLFS form requests the same amounts from column (1) </w:t>
      </w:r>
      <w:r w:rsidRPr="00CA1F95">
        <w:rPr>
          <w:i/>
          <w:iCs/>
          <w:sz w:val="24"/>
        </w:rPr>
        <w:t>less the following exclusions</w:t>
      </w:r>
      <w:r w:rsidRPr="00CA1F95">
        <w:rPr>
          <w:iCs/>
          <w:sz w:val="24"/>
        </w:rPr>
        <w:t>:</w:t>
      </w:r>
    </w:p>
    <w:p w:rsidR="00F61173" w:rsidRPr="00CA1F95" w:rsidRDefault="00CC4821" w:rsidP="00F61173">
      <w:pPr>
        <w:pStyle w:val="Text"/>
        <w:numPr>
          <w:ilvl w:val="0"/>
          <w:numId w:val="19"/>
        </w:numPr>
        <w:spacing w:after="60" w:line="276" w:lineRule="auto"/>
        <w:ind w:right="-216"/>
        <w:rPr>
          <w:iCs/>
          <w:sz w:val="24"/>
        </w:rPr>
      </w:pPr>
      <w:r w:rsidRPr="00CA1F95">
        <w:rPr>
          <w:iCs/>
          <w:sz w:val="24"/>
        </w:rPr>
        <w:t>Expenditures paid from federal funds other than Impact Aid programs;</w:t>
      </w:r>
    </w:p>
    <w:p w:rsidR="00CC4821" w:rsidRPr="00CA1F95" w:rsidRDefault="00CC4821" w:rsidP="00F61173">
      <w:pPr>
        <w:pStyle w:val="Text"/>
        <w:numPr>
          <w:ilvl w:val="0"/>
          <w:numId w:val="19"/>
        </w:numPr>
        <w:spacing w:after="60" w:line="276" w:lineRule="auto"/>
        <w:ind w:right="-216"/>
        <w:rPr>
          <w:iCs/>
          <w:sz w:val="24"/>
        </w:rPr>
      </w:pPr>
      <w:r w:rsidRPr="00CA1F95">
        <w:rPr>
          <w:iCs/>
          <w:sz w:val="24"/>
        </w:rPr>
        <w:t>Expenditures for prekindergarten programs; and</w:t>
      </w:r>
    </w:p>
    <w:p w:rsidR="00CC4821" w:rsidRPr="00CA1F95" w:rsidRDefault="00CC4821" w:rsidP="00F61173">
      <w:pPr>
        <w:pStyle w:val="Text"/>
        <w:numPr>
          <w:ilvl w:val="0"/>
          <w:numId w:val="19"/>
        </w:numPr>
        <w:spacing w:after="120" w:line="276" w:lineRule="auto"/>
        <w:ind w:right="-216"/>
        <w:rPr>
          <w:iCs/>
          <w:sz w:val="24"/>
        </w:rPr>
      </w:pPr>
      <w:r w:rsidRPr="00CA1F95">
        <w:rPr>
          <w:iCs/>
          <w:sz w:val="24"/>
        </w:rPr>
        <w:t>Expenditures for special education programs</w:t>
      </w:r>
      <w:r w:rsidR="001F1838">
        <w:rPr>
          <w:iCs/>
          <w:sz w:val="24"/>
        </w:rPr>
        <w:t>.</w:t>
      </w:r>
    </w:p>
    <w:p w:rsidR="00CC4821" w:rsidRPr="00CA1F95" w:rsidRDefault="00CC4821" w:rsidP="00EE6C1E">
      <w:pPr>
        <w:pStyle w:val="Text"/>
        <w:spacing w:after="120" w:line="276" w:lineRule="auto"/>
        <w:ind w:right="18"/>
        <w:rPr>
          <w:iCs/>
          <w:sz w:val="24"/>
        </w:rPr>
      </w:pPr>
      <w:r w:rsidRPr="00CA1F95">
        <w:rPr>
          <w:iCs/>
          <w:sz w:val="24"/>
        </w:rPr>
        <w:t>NCES has requested that SLFS respondents exclude the above expenditures from the amounts reported in column (2) of the SLFS form to maximize comparability of school-level finance data between reporting states and schools.</w:t>
      </w:r>
    </w:p>
    <w:p w:rsidR="00540804" w:rsidRPr="00CA1F95" w:rsidRDefault="00540804" w:rsidP="00EE6C1E">
      <w:pPr>
        <w:pStyle w:val="Heading1"/>
        <w:spacing w:before="0" w:line="276" w:lineRule="auto"/>
        <w:ind w:right="18"/>
        <w:rPr>
          <w:rFonts w:ascii="Times New Roman" w:hAnsi="Times New Roman"/>
          <w:sz w:val="24"/>
          <w:szCs w:val="24"/>
        </w:rPr>
      </w:pPr>
      <w:r w:rsidRPr="00CA1F95">
        <w:rPr>
          <w:rFonts w:ascii="Times New Roman" w:hAnsi="Times New Roman"/>
          <w:sz w:val="24"/>
          <w:szCs w:val="24"/>
        </w:rPr>
        <w:t>C.2. Sample Tables</w:t>
      </w:r>
    </w:p>
    <w:p w:rsidR="00540804" w:rsidRPr="00CA1F95" w:rsidRDefault="00540804" w:rsidP="00EE6C1E">
      <w:pPr>
        <w:pStyle w:val="Text"/>
        <w:spacing w:after="120" w:line="276" w:lineRule="auto"/>
        <w:ind w:right="18"/>
        <w:rPr>
          <w:sz w:val="24"/>
        </w:rPr>
      </w:pPr>
      <w:r w:rsidRPr="00CA1F95">
        <w:rPr>
          <w:sz w:val="24"/>
        </w:rPr>
        <w:t xml:space="preserve">The sample tables </w:t>
      </w:r>
      <w:r w:rsidR="002342F3" w:rsidRPr="00CA1F95">
        <w:rPr>
          <w:sz w:val="24"/>
        </w:rPr>
        <w:t xml:space="preserve">from the pending Research and Development (R&amp;D) report </w:t>
      </w:r>
      <w:r w:rsidRPr="00CA1F95">
        <w:rPr>
          <w:sz w:val="24"/>
        </w:rPr>
        <w:t xml:space="preserve">below give an idea of the statistical uses of </w:t>
      </w:r>
      <w:r w:rsidR="001F1838">
        <w:rPr>
          <w:sz w:val="24"/>
        </w:rPr>
        <w:t>SLFS</w:t>
      </w:r>
      <w:r w:rsidRPr="00CA1F95">
        <w:rPr>
          <w:sz w:val="24"/>
        </w:rPr>
        <w:t xml:space="preserve">. The data </w:t>
      </w:r>
      <w:r w:rsidR="002342F3" w:rsidRPr="00CA1F95">
        <w:rPr>
          <w:sz w:val="24"/>
        </w:rPr>
        <w:t xml:space="preserve">may be reported </w:t>
      </w:r>
      <w:r w:rsidRPr="00CA1F95">
        <w:rPr>
          <w:sz w:val="24"/>
        </w:rPr>
        <w:t xml:space="preserve">annually in CCD publications and publications such as the </w:t>
      </w:r>
      <w:r w:rsidRPr="00CA1F95">
        <w:rPr>
          <w:i/>
          <w:sz w:val="24"/>
        </w:rPr>
        <w:t>Digest of Education Statistics</w:t>
      </w:r>
      <w:r w:rsidRPr="00CA1F95">
        <w:rPr>
          <w:sz w:val="24"/>
        </w:rPr>
        <w:t>. The analysis consists of straightforward tabulations of totals and subtotals, percentages, and ratios.</w:t>
      </w:r>
    </w:p>
    <w:p w:rsidR="001F1838" w:rsidRDefault="001F1838" w:rsidP="00684336"/>
    <w:p w:rsidR="001F1838" w:rsidRPr="001F1838" w:rsidRDefault="001F1838" w:rsidP="00684336">
      <w:pPr>
        <w:sectPr w:rsidR="001F1838" w:rsidRPr="001F1838" w:rsidSect="007A5BEE">
          <w:footerReference w:type="default" r:id="rId15"/>
          <w:pgSz w:w="12240" w:h="15840" w:code="1"/>
          <w:pgMar w:top="936" w:right="936" w:bottom="936" w:left="936" w:header="432" w:footer="432" w:gutter="0"/>
          <w:pgNumType w:start="1"/>
          <w:cols w:space="720"/>
          <w:docGrid w:linePitch="360"/>
        </w:sectPr>
      </w:pPr>
    </w:p>
    <w:p w:rsidR="00540804" w:rsidRDefault="00540804" w:rsidP="00684336">
      <w:pPr>
        <w:rPr>
          <w:sz w:val="6"/>
          <w:szCs w:val="6"/>
        </w:rPr>
      </w:pPr>
    </w:p>
    <w:tbl>
      <w:tblPr>
        <w:tblW w:w="13561" w:type="dxa"/>
        <w:tblInd w:w="93" w:type="dxa"/>
        <w:tblLook w:val="04A0" w:firstRow="1" w:lastRow="0" w:firstColumn="1" w:lastColumn="0" w:noHBand="0" w:noVBand="1"/>
      </w:tblPr>
      <w:tblGrid>
        <w:gridCol w:w="2094"/>
        <w:gridCol w:w="267"/>
        <w:gridCol w:w="1127"/>
        <w:gridCol w:w="267"/>
        <w:gridCol w:w="1694"/>
        <w:gridCol w:w="1527"/>
        <w:gridCol w:w="1734"/>
        <w:gridCol w:w="1834"/>
        <w:gridCol w:w="1527"/>
        <w:gridCol w:w="1734"/>
        <w:gridCol w:w="222"/>
      </w:tblGrid>
      <w:tr w:rsidR="00537360" w:rsidRPr="001F1838" w:rsidTr="00537360">
        <w:trPr>
          <w:trHeight w:val="259"/>
        </w:trPr>
        <w:tc>
          <w:tcPr>
            <w:tcW w:w="13561" w:type="dxa"/>
            <w:gridSpan w:val="11"/>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r w:rsidRPr="001F1838">
              <w:rPr>
                <w:rFonts w:ascii="Arial" w:hAnsi="Arial" w:cs="Arial"/>
                <w:b/>
                <w:color w:val="000000"/>
                <w:sz w:val="18"/>
                <w:szCs w:val="18"/>
              </w:rPr>
              <w:t>Table 1A.</w:t>
            </w:r>
            <w:r w:rsidR="00F61173" w:rsidRPr="001F1838">
              <w:rPr>
                <w:rFonts w:ascii="Arial" w:hAnsi="Arial" w:cs="Arial"/>
                <w:b/>
                <w:color w:val="000000"/>
                <w:sz w:val="18"/>
                <w:szCs w:val="18"/>
              </w:rPr>
              <w:t xml:space="preserve"> </w:t>
            </w:r>
            <w:r w:rsidRPr="001F1838">
              <w:rPr>
                <w:rFonts w:ascii="Arial" w:hAnsi="Arial" w:cs="Arial"/>
                <w:b/>
                <w:color w:val="000000"/>
                <w:sz w:val="18"/>
                <w:szCs w:val="18"/>
              </w:rPr>
              <w:t xml:space="preserve">Number of operating public elementary and secondary schools and response rates for personnel expenditures without exclusions, by data item and </w:t>
            </w:r>
          </w:p>
        </w:tc>
      </w:tr>
      <w:tr w:rsidR="00537360" w:rsidRPr="001F1838" w:rsidTr="00537360">
        <w:trPr>
          <w:trHeight w:val="259"/>
        </w:trPr>
        <w:tc>
          <w:tcPr>
            <w:tcW w:w="5157" w:type="dxa"/>
            <w:gridSpan w:val="5"/>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r w:rsidRPr="001F1838">
              <w:rPr>
                <w:rFonts w:ascii="Arial" w:hAnsi="Arial" w:cs="Arial"/>
                <w:b/>
                <w:color w:val="FFFFFF"/>
                <w:sz w:val="18"/>
                <w:szCs w:val="18"/>
              </w:rPr>
              <w:t>Table 1A.</w:t>
            </w:r>
            <w:r w:rsidR="00F61173" w:rsidRPr="001F1838">
              <w:rPr>
                <w:rFonts w:ascii="Arial" w:hAnsi="Arial" w:cs="Arial"/>
                <w:b/>
                <w:color w:val="000000"/>
                <w:sz w:val="18"/>
                <w:szCs w:val="18"/>
              </w:rPr>
              <w:t xml:space="preserve"> </w:t>
            </w:r>
            <w:r w:rsidRPr="001F1838">
              <w:rPr>
                <w:rFonts w:ascii="Arial" w:hAnsi="Arial" w:cs="Arial"/>
                <w:b/>
                <w:color w:val="000000"/>
                <w:sz w:val="18"/>
                <w:szCs w:val="18"/>
              </w:rPr>
              <w:t>participating state: Fiscal year 2014</w:t>
            </w:r>
          </w:p>
        </w:tc>
        <w:tc>
          <w:tcPr>
            <w:tcW w:w="1527" w:type="dxa"/>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p>
        </w:tc>
        <w:tc>
          <w:tcPr>
            <w:tcW w:w="1734" w:type="dxa"/>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p>
        </w:tc>
        <w:tc>
          <w:tcPr>
            <w:tcW w:w="1834" w:type="dxa"/>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p>
        </w:tc>
        <w:tc>
          <w:tcPr>
            <w:tcW w:w="1527" w:type="dxa"/>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p>
        </w:tc>
        <w:tc>
          <w:tcPr>
            <w:tcW w:w="1734" w:type="dxa"/>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p>
        </w:tc>
        <w:tc>
          <w:tcPr>
            <w:tcW w:w="48" w:type="dxa"/>
            <w:tcBorders>
              <w:top w:val="nil"/>
              <w:left w:val="nil"/>
              <w:bottom w:val="nil"/>
              <w:right w:val="nil"/>
            </w:tcBorders>
            <w:shd w:val="clear" w:color="auto" w:fill="auto"/>
            <w:noWrap/>
            <w:vAlign w:val="bottom"/>
            <w:hideMark/>
          </w:tcPr>
          <w:p w:rsidR="00537360" w:rsidRPr="001F1838" w:rsidRDefault="00537360">
            <w:pPr>
              <w:rPr>
                <w:rFonts w:ascii="Arial" w:hAnsi="Arial" w:cs="Arial"/>
                <w:b/>
                <w:color w:val="000000"/>
                <w:sz w:val="18"/>
                <w:szCs w:val="18"/>
              </w:rPr>
            </w:pPr>
          </w:p>
        </w:tc>
      </w:tr>
      <w:tr w:rsidR="00537360" w:rsidTr="00537360">
        <w:trPr>
          <w:trHeight w:val="259"/>
        </w:trPr>
        <w:tc>
          <w:tcPr>
            <w:tcW w:w="2094" w:type="dxa"/>
            <w:tcBorders>
              <w:top w:val="single" w:sz="4" w:space="0" w:color="auto"/>
              <w:left w:val="nil"/>
              <w:bottom w:val="nil"/>
              <w:right w:val="nil"/>
            </w:tcBorders>
            <w:shd w:val="clear" w:color="000000" w:fill="FFFFFF"/>
            <w:noWrap/>
            <w:vAlign w:val="bottom"/>
            <w:hideMark/>
          </w:tcPr>
          <w:p w:rsidR="00537360" w:rsidRDefault="00537360">
            <w:pPr>
              <w:rPr>
                <w:rFonts w:ascii="Arial" w:hAnsi="Arial" w:cs="Arial"/>
                <w:color w:val="000000"/>
                <w:sz w:val="18"/>
                <w:szCs w:val="18"/>
              </w:rPr>
            </w:pPr>
            <w:r>
              <w:rPr>
                <w:rFonts w:ascii="Arial" w:hAnsi="Arial" w:cs="Arial"/>
                <w:color w:val="000000"/>
                <w:sz w:val="18"/>
                <w:szCs w:val="18"/>
              </w:rPr>
              <w:t> </w:t>
            </w:r>
          </w:p>
        </w:tc>
        <w:tc>
          <w:tcPr>
            <w:tcW w:w="108" w:type="dxa"/>
            <w:tcBorders>
              <w:top w:val="single" w:sz="4" w:space="0" w:color="auto"/>
              <w:left w:val="nil"/>
              <w:bottom w:val="nil"/>
              <w:right w:val="nil"/>
            </w:tcBorders>
            <w:shd w:val="clear" w:color="000000" w:fill="FFFFFF"/>
            <w:noWrap/>
            <w:vAlign w:val="bottom"/>
            <w:hideMark/>
          </w:tcPr>
          <w:p w:rsidR="00537360" w:rsidRDefault="00537360">
            <w:pPr>
              <w:rPr>
                <w:rFonts w:ascii="Arial" w:hAnsi="Arial" w:cs="Arial"/>
                <w:color w:val="000000"/>
                <w:sz w:val="18"/>
                <w:szCs w:val="18"/>
              </w:rPr>
            </w:pPr>
            <w:r>
              <w:rPr>
                <w:rFonts w:ascii="Arial" w:hAnsi="Arial" w:cs="Arial"/>
                <w:color w:val="000000"/>
                <w:sz w:val="18"/>
                <w:szCs w:val="18"/>
              </w:rPr>
              <w:t> </w:t>
            </w:r>
          </w:p>
        </w:tc>
        <w:tc>
          <w:tcPr>
            <w:tcW w:w="1127" w:type="dxa"/>
            <w:vMerge w:val="restart"/>
            <w:tcBorders>
              <w:top w:val="single" w:sz="4" w:space="0" w:color="auto"/>
              <w:left w:val="nil"/>
              <w:bottom w:val="single" w:sz="4" w:space="0" w:color="000000"/>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Number of schools</w:t>
            </w:r>
          </w:p>
        </w:tc>
        <w:tc>
          <w:tcPr>
            <w:tcW w:w="134" w:type="dxa"/>
            <w:tcBorders>
              <w:top w:val="single" w:sz="4" w:space="0" w:color="auto"/>
              <w:left w:val="nil"/>
              <w:bottom w:val="nil"/>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 </w:t>
            </w:r>
          </w:p>
        </w:tc>
        <w:tc>
          <w:tcPr>
            <w:tcW w:w="10050" w:type="dxa"/>
            <w:gridSpan w:val="6"/>
            <w:tcBorders>
              <w:top w:val="single" w:sz="4" w:space="0" w:color="auto"/>
              <w:left w:val="nil"/>
              <w:bottom w:val="single" w:sz="4" w:space="0" w:color="auto"/>
              <w:right w:val="nil"/>
            </w:tcBorders>
            <w:shd w:val="clear" w:color="000000" w:fill="FFFFFF"/>
            <w:noWrap/>
            <w:vAlign w:val="center"/>
            <w:hideMark/>
          </w:tcPr>
          <w:p w:rsidR="00537360" w:rsidRDefault="00537360">
            <w:pPr>
              <w:jc w:val="center"/>
              <w:rPr>
                <w:rFonts w:ascii="Arial" w:hAnsi="Arial" w:cs="Arial"/>
                <w:color w:val="000000"/>
                <w:sz w:val="18"/>
                <w:szCs w:val="18"/>
              </w:rPr>
            </w:pPr>
            <w:r>
              <w:rPr>
                <w:rFonts w:ascii="Arial" w:hAnsi="Arial" w:cs="Arial"/>
                <w:color w:val="000000"/>
                <w:sz w:val="18"/>
                <w:szCs w:val="18"/>
              </w:rPr>
              <w:t>Response rate for personnel expenditures without exclusions</w:t>
            </w:r>
            <w:r>
              <w:rPr>
                <w:rFonts w:ascii="Arial" w:hAnsi="Arial" w:cs="Arial"/>
                <w:color w:val="000000"/>
                <w:sz w:val="18"/>
                <w:szCs w:val="18"/>
                <w:vertAlign w:val="superscript"/>
              </w:rPr>
              <w:t>1</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795"/>
        </w:trPr>
        <w:tc>
          <w:tcPr>
            <w:tcW w:w="2202" w:type="dxa"/>
            <w:gridSpan w:val="2"/>
            <w:tcBorders>
              <w:top w:val="nil"/>
              <w:left w:val="nil"/>
              <w:bottom w:val="single" w:sz="4" w:space="0" w:color="auto"/>
              <w:right w:val="nil"/>
            </w:tcBorders>
            <w:shd w:val="clear" w:color="000000" w:fill="FFFFFF"/>
            <w:noWrap/>
            <w:vAlign w:val="bottom"/>
            <w:hideMark/>
          </w:tcPr>
          <w:p w:rsidR="00537360" w:rsidRDefault="00537360">
            <w:pPr>
              <w:rPr>
                <w:rFonts w:ascii="Arial" w:hAnsi="Arial" w:cs="Arial"/>
                <w:color w:val="000000"/>
                <w:sz w:val="18"/>
                <w:szCs w:val="18"/>
              </w:rPr>
            </w:pPr>
            <w:r>
              <w:rPr>
                <w:rFonts w:ascii="Arial" w:hAnsi="Arial" w:cs="Arial"/>
                <w:color w:val="000000"/>
                <w:sz w:val="18"/>
                <w:szCs w:val="18"/>
              </w:rPr>
              <w:t>Participating state</w:t>
            </w:r>
          </w:p>
        </w:tc>
        <w:tc>
          <w:tcPr>
            <w:tcW w:w="1127" w:type="dxa"/>
            <w:vMerge/>
            <w:tcBorders>
              <w:top w:val="single" w:sz="4" w:space="0" w:color="auto"/>
              <w:left w:val="nil"/>
              <w:bottom w:val="single" w:sz="4" w:space="0" w:color="000000"/>
              <w:right w:val="nil"/>
            </w:tcBorders>
            <w:vAlign w:val="center"/>
            <w:hideMark/>
          </w:tcPr>
          <w:p w:rsidR="00537360" w:rsidRDefault="00537360">
            <w:pPr>
              <w:rPr>
                <w:rFonts w:ascii="Arial" w:hAnsi="Arial" w:cs="Arial"/>
                <w:color w:val="000000"/>
                <w:sz w:val="18"/>
                <w:szCs w:val="18"/>
              </w:rPr>
            </w:pPr>
          </w:p>
        </w:tc>
        <w:tc>
          <w:tcPr>
            <w:tcW w:w="134" w:type="dxa"/>
            <w:tcBorders>
              <w:top w:val="nil"/>
              <w:left w:val="nil"/>
              <w:bottom w:val="single" w:sz="4" w:space="0" w:color="auto"/>
              <w:right w:val="nil"/>
            </w:tcBorders>
            <w:shd w:val="clear" w:color="auto" w:fill="auto"/>
            <w:vAlign w:val="bottom"/>
            <w:hideMark/>
          </w:tcPr>
          <w:p w:rsidR="00537360" w:rsidRDefault="00537360">
            <w:pPr>
              <w:jc w:val="right"/>
              <w:rPr>
                <w:rFonts w:ascii="Calibri" w:hAnsi="Calibri"/>
                <w:color w:val="000000"/>
                <w:sz w:val="22"/>
                <w:szCs w:val="22"/>
              </w:rPr>
            </w:pPr>
            <w:r>
              <w:rPr>
                <w:rFonts w:ascii="Calibri" w:hAnsi="Calibri"/>
                <w:color w:val="000000"/>
                <w:sz w:val="22"/>
                <w:szCs w:val="22"/>
              </w:rPr>
              <w:t> </w:t>
            </w:r>
          </w:p>
        </w:tc>
        <w:tc>
          <w:tcPr>
            <w:tcW w:w="1694" w:type="dxa"/>
            <w:tcBorders>
              <w:top w:val="nil"/>
              <w:left w:val="nil"/>
              <w:bottom w:val="single" w:sz="4" w:space="0" w:color="auto"/>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 xml:space="preserve">Instructional </w:t>
            </w:r>
            <w:r>
              <w:rPr>
                <w:rFonts w:ascii="Arial" w:hAnsi="Arial" w:cs="Arial"/>
                <w:color w:val="000000"/>
                <w:sz w:val="18"/>
                <w:szCs w:val="18"/>
              </w:rPr>
              <w:br/>
              <w:t>staff salaries</w:t>
            </w:r>
          </w:p>
        </w:tc>
        <w:tc>
          <w:tcPr>
            <w:tcW w:w="1527" w:type="dxa"/>
            <w:tcBorders>
              <w:top w:val="nil"/>
              <w:left w:val="nil"/>
              <w:bottom w:val="single" w:sz="4" w:space="0" w:color="auto"/>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Student support services salaries</w:t>
            </w:r>
          </w:p>
        </w:tc>
        <w:tc>
          <w:tcPr>
            <w:tcW w:w="1734" w:type="dxa"/>
            <w:tcBorders>
              <w:top w:val="nil"/>
              <w:left w:val="nil"/>
              <w:bottom w:val="single" w:sz="4" w:space="0" w:color="auto"/>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Instructional staff support services salaries</w:t>
            </w:r>
          </w:p>
        </w:tc>
        <w:tc>
          <w:tcPr>
            <w:tcW w:w="1834" w:type="dxa"/>
            <w:tcBorders>
              <w:top w:val="nil"/>
              <w:left w:val="nil"/>
              <w:bottom w:val="single" w:sz="4" w:space="0" w:color="auto"/>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School administration salaries</w:t>
            </w:r>
          </w:p>
        </w:tc>
        <w:tc>
          <w:tcPr>
            <w:tcW w:w="1527" w:type="dxa"/>
            <w:tcBorders>
              <w:top w:val="nil"/>
              <w:left w:val="nil"/>
              <w:bottom w:val="single" w:sz="4" w:space="0" w:color="auto"/>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 xml:space="preserve">Teacher </w:t>
            </w:r>
            <w:r>
              <w:rPr>
                <w:rFonts w:ascii="Arial" w:hAnsi="Arial" w:cs="Arial"/>
                <w:color w:val="000000"/>
                <w:sz w:val="18"/>
                <w:szCs w:val="18"/>
              </w:rPr>
              <w:br/>
              <w:t>salaries</w:t>
            </w:r>
          </w:p>
        </w:tc>
        <w:tc>
          <w:tcPr>
            <w:tcW w:w="1734" w:type="dxa"/>
            <w:tcBorders>
              <w:top w:val="nil"/>
              <w:left w:val="nil"/>
              <w:bottom w:val="single" w:sz="4" w:space="0" w:color="auto"/>
              <w:right w:val="nil"/>
            </w:tcBorders>
            <w:shd w:val="clear" w:color="000000" w:fill="FFFFFF"/>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 xml:space="preserve">Instructional </w:t>
            </w:r>
            <w:r>
              <w:rPr>
                <w:rFonts w:ascii="Arial" w:hAnsi="Arial" w:cs="Arial"/>
                <w:color w:val="000000"/>
                <w:sz w:val="18"/>
                <w:szCs w:val="18"/>
              </w:rPr>
              <w:br/>
              <w:t>aide salaries</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59"/>
        </w:trPr>
        <w:tc>
          <w:tcPr>
            <w:tcW w:w="2094" w:type="dxa"/>
            <w:tcBorders>
              <w:top w:val="nil"/>
              <w:left w:val="nil"/>
              <w:bottom w:val="nil"/>
              <w:right w:val="nil"/>
            </w:tcBorders>
            <w:shd w:val="clear" w:color="000000" w:fill="FFFFFF"/>
            <w:noWrap/>
            <w:vAlign w:val="center"/>
            <w:hideMark/>
          </w:tcPr>
          <w:p w:rsidR="00537360" w:rsidRDefault="00537360">
            <w:pPr>
              <w:ind w:firstLineChars="100" w:firstLine="181"/>
              <w:rPr>
                <w:rFonts w:ascii="Arial" w:hAnsi="Arial" w:cs="Arial"/>
                <w:b/>
                <w:bCs/>
                <w:sz w:val="18"/>
                <w:szCs w:val="18"/>
              </w:rPr>
            </w:pPr>
            <w:r>
              <w:rPr>
                <w:rFonts w:ascii="Arial" w:hAnsi="Arial" w:cs="Arial"/>
                <w:b/>
                <w:bCs/>
                <w:sz w:val="18"/>
                <w:szCs w:val="18"/>
              </w:rPr>
              <w:t>Reporting states</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14,491</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92.4</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72.0</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72.0</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92.4</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92.4</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b/>
                <w:bCs/>
                <w:color w:val="000000"/>
                <w:sz w:val="18"/>
                <w:szCs w:val="18"/>
              </w:rPr>
            </w:pPr>
            <w:r>
              <w:rPr>
                <w:rFonts w:ascii="Arial" w:hAnsi="Arial" w:cs="Arial"/>
                <w:b/>
                <w:bCs/>
                <w:color w:val="000000"/>
                <w:sz w:val="18"/>
                <w:szCs w:val="18"/>
              </w:rPr>
              <w:t>92.4</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102"/>
        </w:trPr>
        <w:tc>
          <w:tcPr>
            <w:tcW w:w="2094" w:type="dxa"/>
            <w:tcBorders>
              <w:top w:val="nil"/>
              <w:left w:val="nil"/>
              <w:bottom w:val="nil"/>
              <w:right w:val="nil"/>
            </w:tcBorders>
            <w:shd w:val="clear" w:color="000000" w:fill="FFFFFF"/>
            <w:noWrap/>
            <w:vAlign w:val="center"/>
            <w:hideMark/>
          </w:tcPr>
          <w:p w:rsidR="00537360" w:rsidRDefault="00F61173">
            <w:pPr>
              <w:rPr>
                <w:rFonts w:ascii="Arial" w:hAnsi="Arial" w:cs="Arial"/>
                <w:sz w:val="18"/>
                <w:szCs w:val="18"/>
              </w:rPr>
            </w:pPr>
            <w:r>
              <w:rPr>
                <w:rFonts w:ascii="Arial" w:hAnsi="Arial" w:cs="Arial"/>
                <w:sz w:val="18"/>
                <w:szCs w:val="18"/>
              </w:rPr>
              <w:t xml:space="preserve">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527" w:type="dxa"/>
            <w:tcBorders>
              <w:top w:val="nil"/>
              <w:left w:val="nil"/>
              <w:bottom w:val="nil"/>
              <w:right w:val="nil"/>
            </w:tcBorders>
            <w:shd w:val="clear" w:color="auto" w:fill="auto"/>
            <w:noWrap/>
            <w:vAlign w:val="center"/>
            <w:hideMark/>
          </w:tcPr>
          <w:p w:rsidR="00537360" w:rsidRDefault="00537360">
            <w:pPr>
              <w:rPr>
                <w:rFonts w:ascii="Arial" w:hAnsi="Arial" w:cs="Arial"/>
                <w:sz w:val="18"/>
                <w:szCs w:val="18"/>
              </w:rPr>
            </w:pPr>
          </w:p>
        </w:tc>
        <w:tc>
          <w:tcPr>
            <w:tcW w:w="17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8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527"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7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Arkansas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1,112</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96.1</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96.1</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96.1</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96.1</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96.1</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96.1</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Colorado</w:t>
            </w:r>
            <w:r>
              <w:rPr>
                <w:rFonts w:ascii="Arial" w:hAnsi="Arial" w:cs="Arial"/>
                <w:sz w:val="18"/>
                <w:szCs w:val="18"/>
                <w:vertAlign w:val="superscript"/>
              </w:rPr>
              <w:t>2</w:t>
            </w:r>
            <w:r>
              <w:rPr>
                <w:rFonts w:ascii="Arial" w:hAnsi="Arial" w:cs="Arial"/>
                <w:sz w:val="18"/>
                <w:szCs w:val="18"/>
              </w:rPr>
              <w:t xml:space="preserve">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119</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93.3</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93.3</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93.3</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93.3</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93.3</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93.3</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Louisiana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1,429</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96.7</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96.7</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96.7</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96.7</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96.7</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96.7</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Maine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1,002</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80.5</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80.5</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80.5</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80.5</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80.5</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80.5</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Michigan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3,651</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81.0</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0.0</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0.0</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81.0</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81.0</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81.0</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102"/>
        </w:trPr>
        <w:tc>
          <w:tcPr>
            <w:tcW w:w="2094" w:type="dxa"/>
            <w:tcBorders>
              <w:top w:val="nil"/>
              <w:left w:val="nil"/>
              <w:bottom w:val="nil"/>
              <w:right w:val="nil"/>
            </w:tcBorders>
            <w:shd w:val="clear" w:color="000000" w:fill="FFFFFF"/>
            <w:noWrap/>
            <w:vAlign w:val="center"/>
            <w:hideMark/>
          </w:tcPr>
          <w:p w:rsidR="00537360" w:rsidRDefault="00F61173">
            <w:pPr>
              <w:rPr>
                <w:rFonts w:ascii="Arial" w:hAnsi="Arial" w:cs="Arial"/>
                <w:sz w:val="18"/>
                <w:szCs w:val="18"/>
              </w:rPr>
            </w:pPr>
            <w:r>
              <w:rPr>
                <w:rFonts w:ascii="Arial" w:hAnsi="Arial" w:cs="Arial"/>
                <w:sz w:val="18"/>
                <w:szCs w:val="18"/>
              </w:rPr>
              <w:t xml:space="preserve">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527" w:type="dxa"/>
            <w:tcBorders>
              <w:top w:val="nil"/>
              <w:left w:val="nil"/>
              <w:bottom w:val="nil"/>
              <w:right w:val="nil"/>
            </w:tcBorders>
            <w:shd w:val="clear" w:color="auto" w:fill="auto"/>
            <w:noWrap/>
            <w:vAlign w:val="bottom"/>
            <w:hideMark/>
          </w:tcPr>
          <w:p w:rsidR="00537360" w:rsidRDefault="00537360">
            <w:pPr>
              <w:rPr>
                <w:rFonts w:ascii="Arial" w:hAnsi="Arial" w:cs="Arial"/>
                <w:sz w:val="18"/>
                <w:szCs w:val="18"/>
              </w:rPr>
            </w:pPr>
          </w:p>
        </w:tc>
        <w:tc>
          <w:tcPr>
            <w:tcW w:w="17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8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527"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7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New Jersey</w:t>
            </w:r>
            <w:r>
              <w:rPr>
                <w:rFonts w:ascii="Arial" w:hAnsi="Arial" w:cs="Arial"/>
                <w:sz w:val="18"/>
                <w:szCs w:val="18"/>
                <w:vertAlign w:val="superscript"/>
              </w:rPr>
              <w:t>2</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471</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93.6</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93.6</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93.6</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93.6</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93.6</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93.6</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North Carolina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2,588</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99.0</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99.0</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99.0</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99.0</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99.0</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99.0</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nil"/>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Ohio </w:t>
            </w:r>
          </w:p>
        </w:tc>
        <w:tc>
          <w:tcPr>
            <w:tcW w:w="10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3,656</w:t>
            </w:r>
          </w:p>
        </w:tc>
        <w:tc>
          <w:tcPr>
            <w:tcW w:w="134"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c>
          <w:tcPr>
            <w:tcW w:w="169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98.6</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98.6</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98.6</w:t>
            </w:r>
          </w:p>
        </w:tc>
        <w:tc>
          <w:tcPr>
            <w:tcW w:w="18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98.6</w:t>
            </w:r>
          </w:p>
        </w:tc>
        <w:tc>
          <w:tcPr>
            <w:tcW w:w="1527"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98.6</w:t>
            </w:r>
          </w:p>
        </w:tc>
        <w:tc>
          <w:tcPr>
            <w:tcW w:w="1734" w:type="dxa"/>
            <w:tcBorders>
              <w:top w:val="nil"/>
              <w:left w:val="nil"/>
              <w:bottom w:val="nil"/>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98.6</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2094" w:type="dxa"/>
            <w:tcBorders>
              <w:top w:val="nil"/>
              <w:left w:val="nil"/>
              <w:bottom w:val="single" w:sz="4" w:space="0" w:color="auto"/>
              <w:right w:val="nil"/>
            </w:tcBorders>
            <w:shd w:val="clear" w:color="000000" w:fill="FFFFFF"/>
            <w:noWrap/>
            <w:vAlign w:val="center"/>
            <w:hideMark/>
          </w:tcPr>
          <w:p w:rsidR="00537360" w:rsidRDefault="00537360">
            <w:pPr>
              <w:rPr>
                <w:rFonts w:ascii="Arial" w:hAnsi="Arial" w:cs="Arial"/>
                <w:sz w:val="18"/>
                <w:szCs w:val="18"/>
              </w:rPr>
            </w:pPr>
            <w:r>
              <w:rPr>
                <w:rFonts w:ascii="Arial" w:hAnsi="Arial" w:cs="Arial"/>
                <w:sz w:val="18"/>
                <w:szCs w:val="18"/>
              </w:rPr>
              <w:t xml:space="preserve">Rhode Island </w:t>
            </w:r>
          </w:p>
        </w:tc>
        <w:tc>
          <w:tcPr>
            <w:tcW w:w="108" w:type="dxa"/>
            <w:tcBorders>
              <w:top w:val="nil"/>
              <w:left w:val="nil"/>
              <w:bottom w:val="single" w:sz="4" w:space="0" w:color="auto"/>
              <w:right w:val="nil"/>
            </w:tcBorders>
            <w:shd w:val="clear" w:color="auto" w:fill="auto"/>
            <w:noWrap/>
            <w:vAlign w:val="bottom"/>
            <w:hideMark/>
          </w:tcPr>
          <w:p w:rsidR="00537360" w:rsidRDefault="00537360">
            <w:pPr>
              <w:rPr>
                <w:rFonts w:ascii="Arial" w:hAnsi="Arial" w:cs="Arial"/>
                <w:color w:val="000000"/>
                <w:sz w:val="18"/>
                <w:szCs w:val="18"/>
              </w:rPr>
            </w:pPr>
            <w:r>
              <w:rPr>
                <w:rFonts w:ascii="Arial" w:hAnsi="Arial" w:cs="Arial"/>
                <w:color w:val="000000"/>
                <w:sz w:val="18"/>
                <w:szCs w:val="18"/>
              </w:rPr>
              <w:t> </w:t>
            </w:r>
          </w:p>
        </w:tc>
        <w:tc>
          <w:tcPr>
            <w:tcW w:w="1127"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463</w:t>
            </w:r>
          </w:p>
        </w:tc>
        <w:tc>
          <w:tcPr>
            <w:tcW w:w="134" w:type="dxa"/>
            <w:tcBorders>
              <w:top w:val="nil"/>
              <w:left w:val="nil"/>
              <w:bottom w:val="single" w:sz="4" w:space="0" w:color="auto"/>
              <w:right w:val="nil"/>
            </w:tcBorders>
            <w:shd w:val="clear" w:color="auto" w:fill="auto"/>
            <w:noWrap/>
            <w:vAlign w:val="bottom"/>
            <w:hideMark/>
          </w:tcPr>
          <w:p w:rsidR="00537360" w:rsidRDefault="00537360">
            <w:pPr>
              <w:rPr>
                <w:rFonts w:ascii="Arial" w:hAnsi="Arial" w:cs="Arial"/>
                <w:color w:val="000000"/>
                <w:sz w:val="18"/>
                <w:szCs w:val="18"/>
              </w:rPr>
            </w:pPr>
            <w:r>
              <w:rPr>
                <w:rFonts w:ascii="Arial" w:hAnsi="Arial" w:cs="Arial"/>
                <w:color w:val="000000"/>
                <w:sz w:val="18"/>
                <w:szCs w:val="18"/>
              </w:rPr>
              <w:t> </w:t>
            </w:r>
          </w:p>
        </w:tc>
        <w:tc>
          <w:tcPr>
            <w:tcW w:w="1694"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99.1</w:t>
            </w:r>
          </w:p>
        </w:tc>
        <w:tc>
          <w:tcPr>
            <w:tcW w:w="1527"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sz w:val="18"/>
                <w:szCs w:val="18"/>
              </w:rPr>
            </w:pPr>
            <w:r>
              <w:rPr>
                <w:rFonts w:ascii="Arial" w:hAnsi="Arial" w:cs="Arial"/>
                <w:sz w:val="18"/>
                <w:szCs w:val="18"/>
              </w:rPr>
              <w:t>99.1</w:t>
            </w:r>
          </w:p>
        </w:tc>
        <w:tc>
          <w:tcPr>
            <w:tcW w:w="1734"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99.1</w:t>
            </w:r>
          </w:p>
        </w:tc>
        <w:tc>
          <w:tcPr>
            <w:tcW w:w="1834"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99.1</w:t>
            </w:r>
          </w:p>
        </w:tc>
        <w:tc>
          <w:tcPr>
            <w:tcW w:w="1527"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99.1</w:t>
            </w:r>
          </w:p>
        </w:tc>
        <w:tc>
          <w:tcPr>
            <w:tcW w:w="1734" w:type="dxa"/>
            <w:tcBorders>
              <w:top w:val="nil"/>
              <w:left w:val="nil"/>
              <w:bottom w:val="single" w:sz="4" w:space="0" w:color="auto"/>
              <w:right w:val="nil"/>
            </w:tcBorders>
            <w:shd w:val="clear" w:color="auto" w:fill="auto"/>
            <w:noWrap/>
            <w:vAlign w:val="bottom"/>
            <w:hideMark/>
          </w:tcPr>
          <w:p w:rsidR="00537360" w:rsidRDefault="00537360">
            <w:pPr>
              <w:jc w:val="right"/>
              <w:rPr>
                <w:rFonts w:ascii="Arial" w:hAnsi="Arial" w:cs="Arial"/>
                <w:color w:val="000000"/>
                <w:sz w:val="18"/>
                <w:szCs w:val="18"/>
              </w:rPr>
            </w:pPr>
            <w:r>
              <w:rPr>
                <w:rFonts w:ascii="Arial" w:hAnsi="Arial" w:cs="Arial"/>
                <w:color w:val="000000"/>
                <w:sz w:val="18"/>
                <w:szCs w:val="18"/>
              </w:rPr>
              <w:t>99.1</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522"/>
        </w:trPr>
        <w:tc>
          <w:tcPr>
            <w:tcW w:w="13513" w:type="dxa"/>
            <w:gridSpan w:val="10"/>
            <w:tcBorders>
              <w:top w:val="nil"/>
              <w:left w:val="nil"/>
              <w:bottom w:val="nil"/>
              <w:right w:val="nil"/>
            </w:tcBorders>
            <w:shd w:val="clear" w:color="000000" w:fill="FFFFFF"/>
            <w:vAlign w:val="center"/>
            <w:hideMark/>
          </w:tcPr>
          <w:p w:rsidR="00537360" w:rsidRDefault="00537360">
            <w:pPr>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Expenditures without exclusions do not exclude the following types of expenditures: expenditures paid from federal funds other than Impact Aid programs, expenditures for prekindergarten programs, and expenditures for special education programs.</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750"/>
        </w:trPr>
        <w:tc>
          <w:tcPr>
            <w:tcW w:w="13513" w:type="dxa"/>
            <w:gridSpan w:val="10"/>
            <w:tcBorders>
              <w:top w:val="nil"/>
              <w:left w:val="nil"/>
              <w:bottom w:val="nil"/>
              <w:right w:val="nil"/>
            </w:tcBorders>
            <w:shd w:val="clear" w:color="auto" w:fill="auto"/>
            <w:vAlign w:val="bottom"/>
            <w:hideMark/>
          </w:tcPr>
          <w:p w:rsidR="00537360" w:rsidRDefault="00537360">
            <w:pPr>
              <w:rPr>
                <w:rFonts w:ascii="Arial" w:hAnsi="Arial" w:cs="Arial"/>
                <w:color w:val="000000"/>
                <w:sz w:val="18"/>
                <w:szCs w:val="18"/>
              </w:rPr>
            </w:pPr>
            <w:r>
              <w:rPr>
                <w:rFonts w:ascii="Arial" w:hAnsi="Arial" w:cs="Arial"/>
                <w:color w:val="000000"/>
                <w:sz w:val="18"/>
                <w:szCs w:val="18"/>
                <w:vertAlign w:val="superscript"/>
              </w:rPr>
              <w:t>2</w:t>
            </w:r>
            <w:r>
              <w:rPr>
                <w:rFonts w:ascii="Arial" w:hAnsi="Arial" w:cs="Arial"/>
                <w:color w:val="000000"/>
                <w:sz w:val="18"/>
                <w:szCs w:val="18"/>
              </w:rPr>
              <w:t xml:space="preserve"> Interpret Colorado and New Jersey data with caution. Colorado and New Jersey were only able to submit data for a subset of their local education agencies (LEAs). This analysis includes only 7 out of 185 Colorado LEAs (representing 120 out of 1,860 Colorado schools) and 31 out of 681 New Jersey LEAs (representing 474 out of 2,615 New Jersey schools).</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270"/>
        </w:trPr>
        <w:tc>
          <w:tcPr>
            <w:tcW w:w="13513" w:type="dxa"/>
            <w:gridSpan w:val="10"/>
            <w:tcBorders>
              <w:top w:val="nil"/>
              <w:left w:val="nil"/>
              <w:bottom w:val="nil"/>
              <w:right w:val="nil"/>
            </w:tcBorders>
            <w:shd w:val="clear" w:color="000000" w:fill="FFFFFF"/>
            <w:vAlign w:val="center"/>
            <w:hideMark/>
          </w:tcPr>
          <w:p w:rsidR="00537360" w:rsidRDefault="00537360">
            <w:pPr>
              <w:rPr>
                <w:rFonts w:ascii="Arial" w:hAnsi="Arial" w:cs="Arial"/>
                <w:sz w:val="18"/>
                <w:szCs w:val="18"/>
              </w:rPr>
            </w:pPr>
            <w:r>
              <w:rPr>
                <w:rFonts w:ascii="Arial" w:hAnsi="Arial" w:cs="Arial"/>
                <w:sz w:val="18"/>
                <w:szCs w:val="18"/>
              </w:rPr>
              <w:t>NOTE: This table includes operating schools only (i.e., excludes closed, inactive, or future schools).</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r w:rsidR="00537360" w:rsidTr="00537360">
        <w:trPr>
          <w:trHeight w:val="465"/>
        </w:trPr>
        <w:tc>
          <w:tcPr>
            <w:tcW w:w="13513" w:type="dxa"/>
            <w:gridSpan w:val="10"/>
            <w:tcBorders>
              <w:top w:val="nil"/>
              <w:left w:val="nil"/>
              <w:bottom w:val="nil"/>
              <w:right w:val="nil"/>
            </w:tcBorders>
            <w:shd w:val="clear" w:color="auto" w:fill="auto"/>
            <w:vAlign w:val="bottom"/>
            <w:hideMark/>
          </w:tcPr>
          <w:p w:rsidR="00537360" w:rsidRDefault="00537360">
            <w:pPr>
              <w:rPr>
                <w:rFonts w:ascii="Arial" w:hAnsi="Arial" w:cs="Arial"/>
                <w:color w:val="000000"/>
                <w:sz w:val="18"/>
                <w:szCs w:val="18"/>
              </w:rPr>
            </w:pPr>
            <w:r>
              <w:rPr>
                <w:rFonts w:ascii="Arial" w:hAnsi="Arial" w:cs="Arial"/>
                <w:color w:val="000000"/>
                <w:sz w:val="18"/>
                <w:szCs w:val="18"/>
              </w:rPr>
              <w:t>SOURCE: U.S. Department of Education, National Center for Education Statistics, Common Core of Data (CCD), "School Level Finance Survey (SLFS)," fiscal year 2014, Preliminary Version 0d.</w:t>
            </w:r>
          </w:p>
        </w:tc>
        <w:tc>
          <w:tcPr>
            <w:tcW w:w="48" w:type="dxa"/>
            <w:tcBorders>
              <w:top w:val="nil"/>
              <w:left w:val="nil"/>
              <w:bottom w:val="nil"/>
              <w:right w:val="nil"/>
            </w:tcBorders>
            <w:shd w:val="clear" w:color="auto" w:fill="auto"/>
            <w:noWrap/>
            <w:vAlign w:val="bottom"/>
            <w:hideMark/>
          </w:tcPr>
          <w:p w:rsidR="00537360" w:rsidRDefault="00537360">
            <w:pPr>
              <w:rPr>
                <w:rFonts w:ascii="Arial" w:hAnsi="Arial" w:cs="Arial"/>
                <w:color w:val="000000"/>
                <w:sz w:val="18"/>
                <w:szCs w:val="18"/>
              </w:rPr>
            </w:pPr>
          </w:p>
        </w:tc>
      </w:tr>
    </w:tbl>
    <w:p w:rsidR="00537360" w:rsidRDefault="00537360" w:rsidP="00684336">
      <w:pPr>
        <w:rPr>
          <w:sz w:val="6"/>
          <w:szCs w:val="6"/>
        </w:rPr>
      </w:pPr>
    </w:p>
    <w:p w:rsidR="00537360" w:rsidRDefault="00537360" w:rsidP="000E5B35">
      <w:pPr>
        <w:spacing w:after="120"/>
        <w:ind w:left="1080" w:hanging="1080"/>
        <w:rPr>
          <w:rFonts w:ascii="Arial" w:hAnsi="Arial" w:cs="Arial"/>
          <w:color w:val="000000" w:themeColor="text1"/>
          <w:spacing w:val="-1"/>
          <w:sz w:val="14"/>
          <w:szCs w:val="14"/>
        </w:rPr>
      </w:pPr>
    </w:p>
    <w:p w:rsidR="000E5B35" w:rsidRPr="003538C3" w:rsidRDefault="000E5B35" w:rsidP="000E5B35">
      <w:pPr>
        <w:rPr>
          <w:sz w:val="20"/>
          <w:szCs w:val="20"/>
        </w:rPr>
        <w:sectPr w:rsidR="000E5B35" w:rsidRPr="003538C3" w:rsidSect="00F259B1">
          <w:headerReference w:type="default" r:id="rId16"/>
          <w:footerReference w:type="default" r:id="rId17"/>
          <w:pgSz w:w="15840" w:h="12240" w:orient="landscape" w:code="1"/>
          <w:pgMar w:top="720" w:right="720" w:bottom="720" w:left="720" w:header="432" w:footer="432" w:gutter="0"/>
          <w:cols w:space="720"/>
          <w:docGrid w:linePitch="299"/>
        </w:sectPr>
      </w:pPr>
    </w:p>
    <w:tbl>
      <w:tblPr>
        <w:tblW w:w="13943" w:type="dxa"/>
        <w:tblInd w:w="93" w:type="dxa"/>
        <w:tblLook w:val="04A0" w:firstRow="1" w:lastRow="0" w:firstColumn="1" w:lastColumn="0" w:noHBand="0" w:noVBand="1"/>
      </w:tblPr>
      <w:tblGrid>
        <w:gridCol w:w="1179"/>
        <w:gridCol w:w="254"/>
        <w:gridCol w:w="708"/>
        <w:gridCol w:w="594"/>
        <w:gridCol w:w="823"/>
        <w:gridCol w:w="954"/>
        <w:gridCol w:w="255"/>
        <w:gridCol w:w="709"/>
        <w:gridCol w:w="595"/>
        <w:gridCol w:w="824"/>
        <w:gridCol w:w="954"/>
        <w:gridCol w:w="255"/>
        <w:gridCol w:w="709"/>
        <w:gridCol w:w="595"/>
        <w:gridCol w:w="824"/>
        <w:gridCol w:w="954"/>
        <w:gridCol w:w="255"/>
        <w:gridCol w:w="709"/>
        <w:gridCol w:w="595"/>
        <w:gridCol w:w="824"/>
        <w:gridCol w:w="954"/>
      </w:tblGrid>
      <w:tr w:rsidR="006C670A" w:rsidRPr="001F1838" w:rsidTr="006C670A">
        <w:trPr>
          <w:trHeight w:val="259"/>
        </w:trPr>
        <w:tc>
          <w:tcPr>
            <w:tcW w:w="12963" w:type="dxa"/>
            <w:gridSpan w:val="20"/>
            <w:tcBorders>
              <w:top w:val="nil"/>
              <w:left w:val="nil"/>
              <w:bottom w:val="nil"/>
              <w:right w:val="nil"/>
            </w:tcBorders>
            <w:shd w:val="clear" w:color="auto" w:fill="auto"/>
            <w:noWrap/>
            <w:vAlign w:val="bottom"/>
            <w:hideMark/>
          </w:tcPr>
          <w:p w:rsidR="006C670A" w:rsidRPr="001F1838" w:rsidRDefault="006C670A">
            <w:pPr>
              <w:rPr>
                <w:rFonts w:ascii="Arial" w:hAnsi="Arial" w:cs="Arial"/>
                <w:b/>
                <w:color w:val="000000"/>
                <w:sz w:val="16"/>
                <w:szCs w:val="16"/>
              </w:rPr>
            </w:pPr>
            <w:r w:rsidRPr="001F1838">
              <w:rPr>
                <w:rFonts w:ascii="Arial" w:hAnsi="Arial" w:cs="Arial"/>
                <w:b/>
                <w:color w:val="000000"/>
                <w:sz w:val="16"/>
                <w:szCs w:val="16"/>
              </w:rPr>
              <w:lastRenderedPageBreak/>
              <w:t>Table 3A.</w:t>
            </w:r>
            <w:r w:rsidR="00F61173" w:rsidRPr="001F1838">
              <w:rPr>
                <w:rFonts w:ascii="Arial" w:hAnsi="Arial" w:cs="Arial"/>
                <w:b/>
                <w:color w:val="000000"/>
                <w:sz w:val="16"/>
                <w:szCs w:val="16"/>
              </w:rPr>
              <w:t xml:space="preserve"> </w:t>
            </w:r>
            <w:r w:rsidRPr="001F1838">
              <w:rPr>
                <w:rFonts w:ascii="Arial" w:hAnsi="Arial" w:cs="Arial"/>
                <w:b/>
                <w:color w:val="000000"/>
                <w:sz w:val="16"/>
                <w:szCs w:val="16"/>
              </w:rPr>
              <w:t>Number of schools and response rates for expenditures without exclusions, by school type, category of data items, and participating state: Fiscal year 2014</w:t>
            </w:r>
          </w:p>
        </w:tc>
        <w:tc>
          <w:tcPr>
            <w:tcW w:w="980" w:type="dxa"/>
            <w:tcBorders>
              <w:top w:val="nil"/>
              <w:left w:val="nil"/>
              <w:bottom w:val="nil"/>
              <w:right w:val="nil"/>
            </w:tcBorders>
            <w:shd w:val="clear" w:color="auto" w:fill="auto"/>
            <w:noWrap/>
            <w:vAlign w:val="bottom"/>
            <w:hideMark/>
          </w:tcPr>
          <w:p w:rsidR="006C670A" w:rsidRPr="001F1838" w:rsidRDefault="006C670A">
            <w:pPr>
              <w:rPr>
                <w:rFonts w:ascii="Arial" w:hAnsi="Arial" w:cs="Arial"/>
                <w:b/>
                <w:color w:val="000000"/>
                <w:sz w:val="16"/>
                <w:szCs w:val="16"/>
              </w:rPr>
            </w:pPr>
          </w:p>
        </w:tc>
      </w:tr>
      <w:tr w:rsidR="006C670A" w:rsidTr="006C670A">
        <w:trPr>
          <w:trHeight w:val="225"/>
        </w:trPr>
        <w:tc>
          <w:tcPr>
            <w:tcW w:w="1331" w:type="dxa"/>
            <w:tcBorders>
              <w:top w:val="single" w:sz="4" w:space="0" w:color="auto"/>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 </w:t>
            </w:r>
          </w:p>
        </w:tc>
        <w:tc>
          <w:tcPr>
            <w:tcW w:w="82" w:type="dxa"/>
            <w:tcBorders>
              <w:top w:val="single" w:sz="4" w:space="0" w:color="auto"/>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 </w:t>
            </w:r>
          </w:p>
        </w:tc>
        <w:tc>
          <w:tcPr>
            <w:tcW w:w="3086" w:type="dxa"/>
            <w:gridSpan w:val="4"/>
            <w:tcBorders>
              <w:top w:val="single" w:sz="4" w:space="0" w:color="auto"/>
              <w:left w:val="nil"/>
              <w:bottom w:val="single" w:sz="4" w:space="0" w:color="auto"/>
              <w:right w:val="nil"/>
            </w:tcBorders>
            <w:shd w:val="clear" w:color="auto" w:fill="auto"/>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Regular school</w:t>
            </w:r>
          </w:p>
        </w:tc>
        <w:tc>
          <w:tcPr>
            <w:tcW w:w="80" w:type="dxa"/>
            <w:tcBorders>
              <w:top w:val="single" w:sz="4" w:space="0" w:color="auto"/>
              <w:left w:val="nil"/>
              <w:bottom w:val="nil"/>
              <w:right w:val="nil"/>
            </w:tcBorders>
            <w:shd w:val="clear" w:color="auto" w:fill="auto"/>
            <w:noWrap/>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 </w:t>
            </w:r>
          </w:p>
        </w:tc>
        <w:tc>
          <w:tcPr>
            <w:tcW w:w="3095" w:type="dxa"/>
            <w:gridSpan w:val="4"/>
            <w:tcBorders>
              <w:top w:val="single" w:sz="4" w:space="0" w:color="auto"/>
              <w:left w:val="nil"/>
              <w:bottom w:val="single" w:sz="4" w:space="0" w:color="auto"/>
              <w:right w:val="nil"/>
            </w:tcBorders>
            <w:shd w:val="clear" w:color="auto" w:fill="auto"/>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Special education school</w:t>
            </w:r>
          </w:p>
        </w:tc>
        <w:tc>
          <w:tcPr>
            <w:tcW w:w="80" w:type="dxa"/>
            <w:tcBorders>
              <w:top w:val="single" w:sz="4" w:space="0" w:color="auto"/>
              <w:left w:val="nil"/>
              <w:bottom w:val="nil"/>
              <w:right w:val="nil"/>
            </w:tcBorders>
            <w:shd w:val="clear" w:color="auto" w:fill="auto"/>
            <w:noWrap/>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 </w:t>
            </w:r>
          </w:p>
        </w:tc>
        <w:tc>
          <w:tcPr>
            <w:tcW w:w="3053" w:type="dxa"/>
            <w:gridSpan w:val="4"/>
            <w:tcBorders>
              <w:top w:val="single" w:sz="4" w:space="0" w:color="auto"/>
              <w:left w:val="nil"/>
              <w:bottom w:val="single" w:sz="4" w:space="0" w:color="auto"/>
              <w:right w:val="nil"/>
            </w:tcBorders>
            <w:shd w:val="clear" w:color="auto" w:fill="auto"/>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Vocational school</w:t>
            </w:r>
          </w:p>
        </w:tc>
        <w:tc>
          <w:tcPr>
            <w:tcW w:w="80" w:type="dxa"/>
            <w:tcBorders>
              <w:top w:val="single" w:sz="4" w:space="0" w:color="auto"/>
              <w:left w:val="nil"/>
              <w:bottom w:val="nil"/>
              <w:right w:val="nil"/>
            </w:tcBorders>
            <w:shd w:val="clear" w:color="auto" w:fill="auto"/>
            <w:noWrap/>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 </w:t>
            </w:r>
          </w:p>
        </w:tc>
        <w:tc>
          <w:tcPr>
            <w:tcW w:w="3056" w:type="dxa"/>
            <w:gridSpan w:val="4"/>
            <w:tcBorders>
              <w:top w:val="single" w:sz="4" w:space="0" w:color="auto"/>
              <w:left w:val="nil"/>
              <w:bottom w:val="single" w:sz="4" w:space="0" w:color="auto"/>
              <w:right w:val="nil"/>
            </w:tcBorders>
            <w:shd w:val="clear" w:color="auto" w:fill="auto"/>
            <w:vAlign w:val="center"/>
            <w:hideMark/>
          </w:tcPr>
          <w:p w:rsidR="006C670A" w:rsidRDefault="006C670A">
            <w:pPr>
              <w:jc w:val="center"/>
              <w:rPr>
                <w:rFonts w:ascii="Arial" w:hAnsi="Arial" w:cs="Arial"/>
                <w:color w:val="000000"/>
                <w:sz w:val="16"/>
                <w:szCs w:val="16"/>
              </w:rPr>
            </w:pPr>
            <w:r>
              <w:rPr>
                <w:rFonts w:ascii="Arial" w:hAnsi="Arial" w:cs="Arial"/>
                <w:color w:val="000000"/>
                <w:sz w:val="16"/>
                <w:szCs w:val="16"/>
              </w:rPr>
              <w:t>Other/alternative school</w:t>
            </w:r>
          </w:p>
        </w:tc>
      </w:tr>
      <w:tr w:rsidR="006C670A" w:rsidTr="006C670A">
        <w:trPr>
          <w:trHeight w:val="450"/>
        </w:trPr>
        <w:tc>
          <w:tcPr>
            <w:tcW w:w="1331"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vMerge w:val="restart"/>
            <w:tcBorders>
              <w:top w:val="nil"/>
              <w:left w:val="nil"/>
              <w:bottom w:val="single" w:sz="4" w:space="0" w:color="000000"/>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Number of schools</w:t>
            </w:r>
          </w:p>
        </w:tc>
        <w:tc>
          <w:tcPr>
            <w:tcW w:w="2368" w:type="dxa"/>
            <w:gridSpan w:val="3"/>
            <w:tcBorders>
              <w:top w:val="single" w:sz="4" w:space="0" w:color="auto"/>
              <w:left w:val="nil"/>
              <w:bottom w:val="single" w:sz="4" w:space="0" w:color="auto"/>
              <w:right w:val="nil"/>
            </w:tcBorders>
            <w:shd w:val="clear" w:color="auto" w:fill="auto"/>
            <w:vAlign w:val="bottom"/>
            <w:hideMark/>
          </w:tcPr>
          <w:p w:rsidR="006C670A" w:rsidRDefault="006C670A">
            <w:pPr>
              <w:jc w:val="center"/>
              <w:rPr>
                <w:rFonts w:ascii="Arial" w:hAnsi="Arial" w:cs="Arial"/>
                <w:color w:val="000000"/>
                <w:sz w:val="16"/>
                <w:szCs w:val="16"/>
              </w:rPr>
            </w:pPr>
            <w:r>
              <w:rPr>
                <w:rFonts w:ascii="Arial" w:hAnsi="Arial" w:cs="Arial"/>
                <w:color w:val="000000"/>
                <w:sz w:val="16"/>
                <w:szCs w:val="16"/>
              </w:rPr>
              <w:t>Response rate for expenditures without exclusions</w:t>
            </w:r>
            <w:r>
              <w:rPr>
                <w:rFonts w:ascii="Arial" w:hAnsi="Arial" w:cs="Arial"/>
                <w:color w:val="000000"/>
                <w:sz w:val="16"/>
                <w:szCs w:val="16"/>
                <w:vertAlign w:val="superscript"/>
              </w:rPr>
              <w:t>1</w:t>
            </w:r>
          </w:p>
        </w:tc>
        <w:tc>
          <w:tcPr>
            <w:tcW w:w="80" w:type="dxa"/>
            <w:tcBorders>
              <w:top w:val="nil"/>
              <w:left w:val="nil"/>
              <w:bottom w:val="nil"/>
              <w:right w:val="nil"/>
            </w:tcBorders>
            <w:shd w:val="clear" w:color="auto" w:fill="auto"/>
            <w:noWrap/>
            <w:vAlign w:val="center"/>
            <w:hideMark/>
          </w:tcPr>
          <w:p w:rsidR="006C670A" w:rsidRDefault="006C670A">
            <w:pPr>
              <w:jc w:val="center"/>
              <w:rPr>
                <w:rFonts w:ascii="Arial" w:hAnsi="Arial" w:cs="Arial"/>
                <w:color w:val="000000"/>
                <w:sz w:val="16"/>
                <w:szCs w:val="16"/>
              </w:rPr>
            </w:pPr>
          </w:p>
        </w:tc>
        <w:tc>
          <w:tcPr>
            <w:tcW w:w="706" w:type="dxa"/>
            <w:vMerge w:val="restart"/>
            <w:tcBorders>
              <w:top w:val="nil"/>
              <w:left w:val="nil"/>
              <w:bottom w:val="single" w:sz="4" w:space="0" w:color="000000"/>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Number of schools</w:t>
            </w:r>
          </w:p>
        </w:tc>
        <w:tc>
          <w:tcPr>
            <w:tcW w:w="2389" w:type="dxa"/>
            <w:gridSpan w:val="3"/>
            <w:tcBorders>
              <w:top w:val="single" w:sz="4" w:space="0" w:color="auto"/>
              <w:left w:val="nil"/>
              <w:bottom w:val="single" w:sz="4" w:space="0" w:color="auto"/>
              <w:right w:val="nil"/>
            </w:tcBorders>
            <w:shd w:val="clear" w:color="auto" w:fill="auto"/>
            <w:vAlign w:val="bottom"/>
            <w:hideMark/>
          </w:tcPr>
          <w:p w:rsidR="006C670A" w:rsidRDefault="006C670A">
            <w:pPr>
              <w:jc w:val="center"/>
              <w:rPr>
                <w:rFonts w:ascii="Arial" w:hAnsi="Arial" w:cs="Arial"/>
                <w:color w:val="000000"/>
                <w:sz w:val="16"/>
                <w:szCs w:val="16"/>
              </w:rPr>
            </w:pPr>
            <w:r>
              <w:rPr>
                <w:rFonts w:ascii="Arial" w:hAnsi="Arial" w:cs="Arial"/>
                <w:color w:val="000000"/>
                <w:sz w:val="16"/>
                <w:szCs w:val="16"/>
              </w:rPr>
              <w:t>Response rate for expenditures without exclusions</w:t>
            </w:r>
            <w:r>
              <w:rPr>
                <w:rFonts w:ascii="Arial" w:hAnsi="Arial" w:cs="Arial"/>
                <w:color w:val="000000"/>
                <w:sz w:val="16"/>
                <w:szCs w:val="16"/>
                <w:vertAlign w:val="superscript"/>
              </w:rPr>
              <w:t>1</w:t>
            </w:r>
          </w:p>
        </w:tc>
        <w:tc>
          <w:tcPr>
            <w:tcW w:w="80" w:type="dxa"/>
            <w:tcBorders>
              <w:top w:val="nil"/>
              <w:left w:val="nil"/>
              <w:bottom w:val="nil"/>
              <w:right w:val="nil"/>
            </w:tcBorders>
            <w:shd w:val="clear" w:color="auto" w:fill="auto"/>
            <w:noWrap/>
            <w:vAlign w:val="center"/>
            <w:hideMark/>
          </w:tcPr>
          <w:p w:rsidR="006C670A" w:rsidRDefault="006C670A">
            <w:pPr>
              <w:jc w:val="center"/>
              <w:rPr>
                <w:rFonts w:ascii="Arial" w:hAnsi="Arial" w:cs="Arial"/>
                <w:color w:val="000000"/>
                <w:sz w:val="16"/>
                <w:szCs w:val="16"/>
              </w:rPr>
            </w:pPr>
          </w:p>
        </w:tc>
        <w:tc>
          <w:tcPr>
            <w:tcW w:w="685" w:type="dxa"/>
            <w:vMerge w:val="restart"/>
            <w:tcBorders>
              <w:top w:val="nil"/>
              <w:left w:val="nil"/>
              <w:bottom w:val="single" w:sz="4" w:space="0" w:color="000000"/>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Number of schools</w:t>
            </w:r>
          </w:p>
        </w:tc>
        <w:tc>
          <w:tcPr>
            <w:tcW w:w="2368" w:type="dxa"/>
            <w:gridSpan w:val="3"/>
            <w:tcBorders>
              <w:top w:val="single" w:sz="4" w:space="0" w:color="auto"/>
              <w:left w:val="nil"/>
              <w:bottom w:val="single" w:sz="4" w:space="0" w:color="auto"/>
              <w:right w:val="nil"/>
            </w:tcBorders>
            <w:shd w:val="clear" w:color="auto" w:fill="auto"/>
            <w:vAlign w:val="bottom"/>
            <w:hideMark/>
          </w:tcPr>
          <w:p w:rsidR="006C670A" w:rsidRDefault="006C670A">
            <w:pPr>
              <w:jc w:val="center"/>
              <w:rPr>
                <w:rFonts w:ascii="Arial" w:hAnsi="Arial" w:cs="Arial"/>
                <w:color w:val="000000"/>
                <w:sz w:val="16"/>
                <w:szCs w:val="16"/>
              </w:rPr>
            </w:pPr>
            <w:r>
              <w:rPr>
                <w:rFonts w:ascii="Arial" w:hAnsi="Arial" w:cs="Arial"/>
                <w:color w:val="000000"/>
                <w:sz w:val="16"/>
                <w:szCs w:val="16"/>
              </w:rPr>
              <w:t>Response rate for expenditures without exclusions</w:t>
            </w:r>
            <w:r>
              <w:rPr>
                <w:rFonts w:ascii="Arial" w:hAnsi="Arial" w:cs="Arial"/>
                <w:color w:val="000000"/>
                <w:sz w:val="16"/>
                <w:szCs w:val="16"/>
                <w:vertAlign w:val="superscript"/>
              </w:rPr>
              <w:t>1</w:t>
            </w:r>
          </w:p>
        </w:tc>
        <w:tc>
          <w:tcPr>
            <w:tcW w:w="80" w:type="dxa"/>
            <w:tcBorders>
              <w:top w:val="nil"/>
              <w:left w:val="nil"/>
              <w:bottom w:val="nil"/>
              <w:right w:val="nil"/>
            </w:tcBorders>
            <w:shd w:val="clear" w:color="auto" w:fill="auto"/>
            <w:noWrap/>
            <w:vAlign w:val="center"/>
            <w:hideMark/>
          </w:tcPr>
          <w:p w:rsidR="006C670A" w:rsidRDefault="006C670A">
            <w:pPr>
              <w:jc w:val="center"/>
              <w:rPr>
                <w:rFonts w:ascii="Arial" w:hAnsi="Arial" w:cs="Arial"/>
                <w:color w:val="000000"/>
                <w:sz w:val="16"/>
                <w:szCs w:val="16"/>
              </w:rPr>
            </w:pPr>
          </w:p>
        </w:tc>
        <w:tc>
          <w:tcPr>
            <w:tcW w:w="706" w:type="dxa"/>
            <w:vMerge w:val="restart"/>
            <w:tcBorders>
              <w:top w:val="nil"/>
              <w:left w:val="nil"/>
              <w:bottom w:val="single" w:sz="4" w:space="0" w:color="000000"/>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Number of schools</w:t>
            </w:r>
          </w:p>
        </w:tc>
        <w:tc>
          <w:tcPr>
            <w:tcW w:w="2350" w:type="dxa"/>
            <w:gridSpan w:val="3"/>
            <w:tcBorders>
              <w:top w:val="single" w:sz="4" w:space="0" w:color="auto"/>
              <w:left w:val="nil"/>
              <w:bottom w:val="single" w:sz="4" w:space="0" w:color="auto"/>
              <w:right w:val="nil"/>
            </w:tcBorders>
            <w:shd w:val="clear" w:color="auto" w:fill="auto"/>
            <w:vAlign w:val="bottom"/>
            <w:hideMark/>
          </w:tcPr>
          <w:p w:rsidR="006C670A" w:rsidRDefault="006C670A">
            <w:pPr>
              <w:jc w:val="center"/>
              <w:rPr>
                <w:rFonts w:ascii="Arial" w:hAnsi="Arial" w:cs="Arial"/>
                <w:color w:val="000000"/>
                <w:sz w:val="16"/>
                <w:szCs w:val="16"/>
              </w:rPr>
            </w:pPr>
            <w:r>
              <w:rPr>
                <w:rFonts w:ascii="Arial" w:hAnsi="Arial" w:cs="Arial"/>
                <w:color w:val="000000"/>
                <w:sz w:val="16"/>
                <w:szCs w:val="16"/>
              </w:rPr>
              <w:t>Response rate for expenditures without exclusions</w:t>
            </w:r>
            <w:r>
              <w:rPr>
                <w:rFonts w:ascii="Arial" w:hAnsi="Arial" w:cs="Arial"/>
                <w:color w:val="000000"/>
                <w:sz w:val="16"/>
                <w:szCs w:val="16"/>
                <w:vertAlign w:val="superscript"/>
              </w:rPr>
              <w:t>1</w:t>
            </w:r>
          </w:p>
        </w:tc>
      </w:tr>
      <w:tr w:rsidR="006C670A" w:rsidTr="006C670A">
        <w:trPr>
          <w:trHeight w:val="900"/>
        </w:trPr>
        <w:tc>
          <w:tcPr>
            <w:tcW w:w="1413" w:type="dxa"/>
            <w:gridSpan w:val="2"/>
            <w:tcBorders>
              <w:top w:val="nil"/>
              <w:left w:val="nil"/>
              <w:bottom w:val="single" w:sz="4" w:space="0" w:color="auto"/>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Participating state</w:t>
            </w:r>
          </w:p>
        </w:tc>
        <w:tc>
          <w:tcPr>
            <w:tcW w:w="718" w:type="dxa"/>
            <w:vMerge/>
            <w:tcBorders>
              <w:top w:val="nil"/>
              <w:left w:val="nil"/>
              <w:bottom w:val="single" w:sz="4" w:space="0" w:color="000000"/>
              <w:right w:val="nil"/>
            </w:tcBorders>
            <w:vAlign w:val="center"/>
            <w:hideMark/>
          </w:tcPr>
          <w:p w:rsidR="006C670A" w:rsidRDefault="006C670A">
            <w:pPr>
              <w:rPr>
                <w:rFonts w:ascii="Arial" w:hAnsi="Arial" w:cs="Arial"/>
                <w:color w:val="000000"/>
                <w:sz w:val="16"/>
                <w:szCs w:val="16"/>
              </w:rPr>
            </w:pPr>
          </w:p>
        </w:tc>
        <w:tc>
          <w:tcPr>
            <w:tcW w:w="539"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fifteen items</w:t>
            </w:r>
            <w:r>
              <w:rPr>
                <w:rFonts w:ascii="Arial" w:hAnsi="Arial" w:cs="Arial"/>
                <w:color w:val="000000"/>
                <w:sz w:val="16"/>
                <w:szCs w:val="16"/>
                <w:vertAlign w:val="superscript"/>
              </w:rPr>
              <w:t>2</w:t>
            </w:r>
          </w:p>
        </w:tc>
        <w:tc>
          <w:tcPr>
            <w:tcW w:w="831"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four personnel expendi-ture items</w:t>
            </w:r>
            <w:r>
              <w:rPr>
                <w:rFonts w:ascii="Arial" w:hAnsi="Arial" w:cs="Arial"/>
                <w:color w:val="000000"/>
                <w:sz w:val="16"/>
                <w:szCs w:val="16"/>
                <w:vertAlign w:val="superscript"/>
              </w:rPr>
              <w:t>3</w:t>
            </w:r>
          </w:p>
        </w:tc>
        <w:tc>
          <w:tcPr>
            <w:tcW w:w="998"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Both instructional staff salary exhibit items</w:t>
            </w:r>
            <w:r>
              <w:rPr>
                <w:rFonts w:ascii="Arial" w:hAnsi="Arial" w:cs="Arial"/>
                <w:color w:val="000000"/>
                <w:sz w:val="16"/>
                <w:szCs w:val="16"/>
                <w:vertAlign w:val="superscript"/>
              </w:rPr>
              <w:t>4</w:t>
            </w:r>
          </w:p>
        </w:tc>
        <w:tc>
          <w:tcPr>
            <w:tcW w:w="80"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 </w:t>
            </w:r>
          </w:p>
        </w:tc>
        <w:tc>
          <w:tcPr>
            <w:tcW w:w="706" w:type="dxa"/>
            <w:vMerge/>
            <w:tcBorders>
              <w:top w:val="nil"/>
              <w:left w:val="nil"/>
              <w:bottom w:val="single" w:sz="4" w:space="0" w:color="000000"/>
              <w:right w:val="nil"/>
            </w:tcBorders>
            <w:vAlign w:val="center"/>
            <w:hideMark/>
          </w:tcPr>
          <w:p w:rsidR="006C670A" w:rsidRDefault="006C670A">
            <w:pPr>
              <w:rPr>
                <w:rFonts w:ascii="Arial" w:hAnsi="Arial" w:cs="Arial"/>
                <w:color w:val="000000"/>
                <w:sz w:val="16"/>
                <w:szCs w:val="16"/>
              </w:rPr>
            </w:pPr>
          </w:p>
        </w:tc>
        <w:tc>
          <w:tcPr>
            <w:tcW w:w="539"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fifteen items</w:t>
            </w:r>
            <w:r>
              <w:rPr>
                <w:rFonts w:ascii="Arial" w:hAnsi="Arial" w:cs="Arial"/>
                <w:color w:val="000000"/>
                <w:sz w:val="16"/>
                <w:szCs w:val="16"/>
                <w:vertAlign w:val="superscript"/>
              </w:rPr>
              <w:t>2</w:t>
            </w:r>
          </w:p>
        </w:tc>
        <w:tc>
          <w:tcPr>
            <w:tcW w:w="831"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four personnel expendi-ture items</w:t>
            </w:r>
            <w:r>
              <w:rPr>
                <w:rFonts w:ascii="Arial" w:hAnsi="Arial" w:cs="Arial"/>
                <w:color w:val="000000"/>
                <w:sz w:val="16"/>
                <w:szCs w:val="16"/>
                <w:vertAlign w:val="superscript"/>
              </w:rPr>
              <w:t>3</w:t>
            </w:r>
          </w:p>
        </w:tc>
        <w:tc>
          <w:tcPr>
            <w:tcW w:w="1019"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Both instructional staff salary exhibit items</w:t>
            </w:r>
            <w:r>
              <w:rPr>
                <w:rFonts w:ascii="Arial" w:hAnsi="Arial" w:cs="Arial"/>
                <w:color w:val="000000"/>
                <w:sz w:val="16"/>
                <w:szCs w:val="16"/>
                <w:vertAlign w:val="superscript"/>
              </w:rPr>
              <w:t>4</w:t>
            </w:r>
          </w:p>
        </w:tc>
        <w:tc>
          <w:tcPr>
            <w:tcW w:w="80"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 </w:t>
            </w:r>
          </w:p>
        </w:tc>
        <w:tc>
          <w:tcPr>
            <w:tcW w:w="685" w:type="dxa"/>
            <w:vMerge/>
            <w:tcBorders>
              <w:top w:val="nil"/>
              <w:left w:val="nil"/>
              <w:bottom w:val="single" w:sz="4" w:space="0" w:color="000000"/>
              <w:right w:val="nil"/>
            </w:tcBorders>
            <w:vAlign w:val="center"/>
            <w:hideMark/>
          </w:tcPr>
          <w:p w:rsidR="006C670A" w:rsidRDefault="006C670A">
            <w:pPr>
              <w:rPr>
                <w:rFonts w:ascii="Arial" w:hAnsi="Arial" w:cs="Arial"/>
                <w:color w:val="000000"/>
                <w:sz w:val="16"/>
                <w:szCs w:val="16"/>
              </w:rPr>
            </w:pPr>
          </w:p>
        </w:tc>
        <w:tc>
          <w:tcPr>
            <w:tcW w:w="539"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fifteen items</w:t>
            </w:r>
            <w:r>
              <w:rPr>
                <w:rFonts w:ascii="Arial" w:hAnsi="Arial" w:cs="Arial"/>
                <w:color w:val="000000"/>
                <w:sz w:val="16"/>
                <w:szCs w:val="16"/>
                <w:vertAlign w:val="superscript"/>
              </w:rPr>
              <w:t>2</w:t>
            </w:r>
          </w:p>
        </w:tc>
        <w:tc>
          <w:tcPr>
            <w:tcW w:w="831"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four personnel expendi-ture items</w:t>
            </w:r>
            <w:r>
              <w:rPr>
                <w:rFonts w:ascii="Arial" w:hAnsi="Arial" w:cs="Arial"/>
                <w:color w:val="000000"/>
                <w:sz w:val="16"/>
                <w:szCs w:val="16"/>
                <w:vertAlign w:val="superscript"/>
              </w:rPr>
              <w:t>3</w:t>
            </w:r>
          </w:p>
        </w:tc>
        <w:tc>
          <w:tcPr>
            <w:tcW w:w="998"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Both instructional staff salary exhibit items</w:t>
            </w:r>
            <w:r>
              <w:rPr>
                <w:rFonts w:ascii="Arial" w:hAnsi="Arial" w:cs="Arial"/>
                <w:color w:val="000000"/>
                <w:sz w:val="16"/>
                <w:szCs w:val="16"/>
                <w:vertAlign w:val="superscript"/>
              </w:rPr>
              <w:t>4</w:t>
            </w:r>
          </w:p>
        </w:tc>
        <w:tc>
          <w:tcPr>
            <w:tcW w:w="80"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 </w:t>
            </w:r>
          </w:p>
        </w:tc>
        <w:tc>
          <w:tcPr>
            <w:tcW w:w="706" w:type="dxa"/>
            <w:vMerge/>
            <w:tcBorders>
              <w:top w:val="nil"/>
              <w:left w:val="nil"/>
              <w:bottom w:val="single" w:sz="4" w:space="0" w:color="000000"/>
              <w:right w:val="nil"/>
            </w:tcBorders>
            <w:vAlign w:val="center"/>
            <w:hideMark/>
          </w:tcPr>
          <w:p w:rsidR="006C670A" w:rsidRDefault="006C670A">
            <w:pPr>
              <w:rPr>
                <w:rFonts w:ascii="Arial" w:hAnsi="Arial" w:cs="Arial"/>
                <w:color w:val="000000"/>
                <w:sz w:val="16"/>
                <w:szCs w:val="16"/>
              </w:rPr>
            </w:pPr>
          </w:p>
        </w:tc>
        <w:tc>
          <w:tcPr>
            <w:tcW w:w="539"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fifteen items</w:t>
            </w:r>
            <w:r>
              <w:rPr>
                <w:rFonts w:ascii="Arial" w:hAnsi="Arial" w:cs="Arial"/>
                <w:color w:val="000000"/>
                <w:sz w:val="16"/>
                <w:szCs w:val="16"/>
                <w:vertAlign w:val="superscript"/>
              </w:rPr>
              <w:t>2</w:t>
            </w:r>
          </w:p>
        </w:tc>
        <w:tc>
          <w:tcPr>
            <w:tcW w:w="831"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All four personnel expendi-ture items</w:t>
            </w:r>
            <w:r>
              <w:rPr>
                <w:rFonts w:ascii="Arial" w:hAnsi="Arial" w:cs="Arial"/>
                <w:color w:val="000000"/>
                <w:sz w:val="16"/>
                <w:szCs w:val="16"/>
                <w:vertAlign w:val="superscript"/>
              </w:rPr>
              <w:t>3</w:t>
            </w:r>
          </w:p>
        </w:tc>
        <w:tc>
          <w:tcPr>
            <w:tcW w:w="980" w:type="dxa"/>
            <w:tcBorders>
              <w:top w:val="nil"/>
              <w:left w:val="nil"/>
              <w:bottom w:val="single" w:sz="4" w:space="0" w:color="auto"/>
              <w:right w:val="nil"/>
            </w:tcBorders>
            <w:shd w:val="clear" w:color="auto" w:fill="auto"/>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Both instructional staff salary exhibit items</w:t>
            </w:r>
            <w:r>
              <w:rPr>
                <w:rFonts w:ascii="Arial" w:hAnsi="Arial" w:cs="Arial"/>
                <w:color w:val="000000"/>
                <w:sz w:val="16"/>
                <w:szCs w:val="16"/>
                <w:vertAlign w:val="superscript"/>
              </w:rPr>
              <w:t>4</w:t>
            </w:r>
          </w:p>
        </w:tc>
      </w:tr>
      <w:tr w:rsidR="006C670A" w:rsidTr="006C670A">
        <w:trPr>
          <w:trHeight w:val="259"/>
        </w:trPr>
        <w:tc>
          <w:tcPr>
            <w:tcW w:w="1413" w:type="dxa"/>
            <w:gridSpan w:val="2"/>
            <w:tcBorders>
              <w:top w:val="nil"/>
              <w:left w:val="nil"/>
              <w:bottom w:val="nil"/>
              <w:right w:val="nil"/>
            </w:tcBorders>
            <w:shd w:val="clear" w:color="auto" w:fill="auto"/>
            <w:noWrap/>
            <w:vAlign w:val="center"/>
            <w:hideMark/>
          </w:tcPr>
          <w:p w:rsidR="006C670A" w:rsidRDefault="006C670A">
            <w:pPr>
              <w:ind w:firstLineChars="100" w:firstLine="161"/>
              <w:rPr>
                <w:rFonts w:ascii="Arial" w:hAnsi="Arial" w:cs="Arial"/>
                <w:b/>
                <w:bCs/>
                <w:sz w:val="16"/>
                <w:szCs w:val="16"/>
              </w:rPr>
            </w:pPr>
            <w:r>
              <w:rPr>
                <w:rFonts w:ascii="Arial" w:hAnsi="Arial" w:cs="Arial"/>
                <w:b/>
                <w:bCs/>
                <w:sz w:val="16"/>
                <w:szCs w:val="16"/>
              </w:rPr>
              <w:t>Reporting states</w:t>
            </w: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12,842</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52.8</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75.5</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95.6</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b/>
                <w:bCs/>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302</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17.5</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25.8</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46.7</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b/>
                <w:bCs/>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156</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61.5</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66.7</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66.7</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b/>
                <w:bCs/>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520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21.2</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36.9</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b/>
                <w:bCs/>
                <w:color w:val="000000"/>
                <w:sz w:val="16"/>
                <w:szCs w:val="16"/>
              </w:rPr>
            </w:pPr>
            <w:r>
              <w:rPr>
                <w:rFonts w:ascii="Arial" w:hAnsi="Arial" w:cs="Arial"/>
                <w:b/>
                <w:bCs/>
                <w:color w:val="000000"/>
                <w:sz w:val="16"/>
                <w:szCs w:val="16"/>
              </w:rPr>
              <w:t>76.2</w:t>
            </w:r>
          </w:p>
        </w:tc>
      </w:tr>
      <w:tr w:rsidR="006C670A" w:rsidTr="006C670A">
        <w:trPr>
          <w:trHeight w:val="102"/>
        </w:trPr>
        <w:tc>
          <w:tcPr>
            <w:tcW w:w="1331" w:type="dxa"/>
            <w:tcBorders>
              <w:top w:val="nil"/>
              <w:left w:val="nil"/>
              <w:bottom w:val="nil"/>
              <w:right w:val="nil"/>
            </w:tcBorders>
            <w:shd w:val="clear" w:color="auto" w:fill="auto"/>
            <w:noWrap/>
            <w:vAlign w:val="center"/>
            <w:hideMark/>
          </w:tcPr>
          <w:p w:rsidR="006C670A" w:rsidRDefault="00F61173">
            <w:pPr>
              <w:rPr>
                <w:rFonts w:ascii="Arial" w:hAnsi="Arial" w:cs="Arial"/>
                <w:sz w:val="16"/>
                <w:szCs w:val="16"/>
              </w:rPr>
            </w:pPr>
            <w:r>
              <w:rPr>
                <w:rFonts w:ascii="Arial" w:hAnsi="Arial" w:cs="Arial"/>
                <w:sz w:val="16"/>
                <w:szCs w:val="16"/>
              </w:rPr>
              <w:t xml:space="preserve">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center"/>
            <w:hideMark/>
          </w:tcPr>
          <w:p w:rsidR="006C670A" w:rsidRDefault="006C670A">
            <w:pPr>
              <w:jc w:val="righ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center"/>
            <w:hideMark/>
          </w:tcPr>
          <w:p w:rsidR="006C670A" w:rsidRDefault="006C670A">
            <w:pPr>
              <w:jc w:val="right"/>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center"/>
            <w:hideMark/>
          </w:tcPr>
          <w:p w:rsidR="006C670A" w:rsidRDefault="006C670A">
            <w:pPr>
              <w:jc w:val="righ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center"/>
            <w:hideMark/>
          </w:tcPr>
          <w:p w:rsidR="006C670A" w:rsidRDefault="006C670A">
            <w:pPr>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Arkansas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1,073</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98.9</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98.9</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98.9</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4</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0.0</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26</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88.9</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88.9</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88.9</w:t>
            </w: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Colorado</w:t>
            </w:r>
            <w:r>
              <w:rPr>
                <w:rFonts w:ascii="Arial" w:hAnsi="Arial" w:cs="Arial"/>
                <w:sz w:val="16"/>
                <w:szCs w:val="16"/>
                <w:vertAlign w:val="superscript"/>
              </w:rPr>
              <w:t>5</w:t>
            </w:r>
            <w:r>
              <w:rPr>
                <w:rFonts w:ascii="Arial" w:hAnsi="Arial" w:cs="Arial"/>
                <w:sz w:val="16"/>
                <w:szCs w:val="16"/>
              </w:rPr>
              <w:t xml:space="preserve">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113</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93.8</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93.8</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93.8</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6</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83.3</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83.3</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83.3</w:t>
            </w: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Louisiana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1,277</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98.9</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98.9</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98.9</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30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16.7</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16.7</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16.7</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97</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91.8</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91.8</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91.8</w:t>
            </w: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Maine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589</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95.2</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99.2</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99.2</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3</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66.7</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27</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w:t>
            </w: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Michigan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3,040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84.8</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183</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0.0</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34.4</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6</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310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0.0</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65.8</w:t>
            </w:r>
          </w:p>
        </w:tc>
      </w:tr>
      <w:tr w:rsidR="006C670A" w:rsidTr="006C670A">
        <w:trPr>
          <w:trHeight w:val="102"/>
        </w:trPr>
        <w:tc>
          <w:tcPr>
            <w:tcW w:w="1331" w:type="dxa"/>
            <w:tcBorders>
              <w:top w:val="nil"/>
              <w:left w:val="nil"/>
              <w:bottom w:val="nil"/>
              <w:right w:val="nil"/>
            </w:tcBorders>
            <w:shd w:val="clear" w:color="000000" w:fill="FFFFFF"/>
            <w:noWrap/>
            <w:vAlign w:val="center"/>
            <w:hideMark/>
          </w:tcPr>
          <w:p w:rsidR="006C670A" w:rsidRDefault="00F61173">
            <w:pPr>
              <w:rPr>
                <w:rFonts w:ascii="Arial" w:hAnsi="Arial" w:cs="Arial"/>
                <w:sz w:val="16"/>
                <w:szCs w:val="16"/>
              </w:rPr>
            </w:pPr>
            <w:r>
              <w:rPr>
                <w:rFonts w:ascii="Arial" w:hAnsi="Arial" w:cs="Arial"/>
                <w:sz w:val="16"/>
                <w:szCs w:val="16"/>
              </w:rPr>
              <w:t xml:space="preserve">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New Jersey</w:t>
            </w:r>
            <w:r>
              <w:rPr>
                <w:rFonts w:ascii="Arial" w:hAnsi="Arial" w:cs="Arial"/>
                <w:sz w:val="16"/>
                <w:szCs w:val="16"/>
                <w:vertAlign w:val="superscript"/>
              </w:rPr>
              <w:t>5</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458</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94.3</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94.3</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5</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40.0</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40.0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7</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85.7</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85.7</w:t>
            </w: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North Carolina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2,473</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99.4</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99.4</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26</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84.6</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84.6</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7</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82</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92.7</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92.7</w:t>
            </w:r>
          </w:p>
        </w:tc>
      </w:tr>
      <w:tr w:rsidR="006C670A" w:rsidTr="006C670A">
        <w:trPr>
          <w:trHeight w:val="270"/>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Ohio </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3,533</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99.2</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99.2</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99.2</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50</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90.0</w:t>
            </w: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90.0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69</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71.0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71.0</w:t>
            </w: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71.0</w:t>
            </w: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4</w:t>
            </w: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r>
      <w:tr w:rsidR="006C670A" w:rsidTr="006C670A">
        <w:trPr>
          <w:trHeight w:val="270"/>
        </w:trPr>
        <w:tc>
          <w:tcPr>
            <w:tcW w:w="1331" w:type="dxa"/>
            <w:tcBorders>
              <w:top w:val="nil"/>
              <w:left w:val="nil"/>
              <w:bottom w:val="single" w:sz="4" w:space="0" w:color="auto"/>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xml:space="preserve">Rhode Island </w:t>
            </w:r>
          </w:p>
        </w:tc>
        <w:tc>
          <w:tcPr>
            <w:tcW w:w="82" w:type="dxa"/>
            <w:tcBorders>
              <w:top w:val="nil"/>
              <w:left w:val="nil"/>
              <w:bottom w:val="single" w:sz="4" w:space="0" w:color="auto"/>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 </w:t>
            </w:r>
          </w:p>
        </w:tc>
        <w:tc>
          <w:tcPr>
            <w:tcW w:w="718"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286</w:t>
            </w:r>
          </w:p>
        </w:tc>
        <w:tc>
          <w:tcPr>
            <w:tcW w:w="539"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99.0</w:t>
            </w:r>
          </w:p>
        </w:tc>
        <w:tc>
          <w:tcPr>
            <w:tcW w:w="831"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99.0</w:t>
            </w:r>
          </w:p>
        </w:tc>
        <w:tc>
          <w:tcPr>
            <w:tcW w:w="998"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99.0</w:t>
            </w:r>
          </w:p>
        </w:tc>
        <w:tc>
          <w:tcPr>
            <w:tcW w:w="80" w:type="dxa"/>
            <w:tcBorders>
              <w:top w:val="nil"/>
              <w:left w:val="nil"/>
              <w:bottom w:val="single" w:sz="4" w:space="0" w:color="auto"/>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 </w:t>
            </w:r>
          </w:p>
        </w:tc>
        <w:tc>
          <w:tcPr>
            <w:tcW w:w="706"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w:t>
            </w:r>
          </w:p>
        </w:tc>
        <w:tc>
          <w:tcPr>
            <w:tcW w:w="539"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31"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1019"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single" w:sz="4" w:space="0" w:color="auto"/>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 </w:t>
            </w:r>
          </w:p>
        </w:tc>
        <w:tc>
          <w:tcPr>
            <w:tcW w:w="685"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12</w:t>
            </w:r>
          </w:p>
        </w:tc>
        <w:tc>
          <w:tcPr>
            <w:tcW w:w="539"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31"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100.0</w:t>
            </w:r>
          </w:p>
        </w:tc>
        <w:tc>
          <w:tcPr>
            <w:tcW w:w="998"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100.0</w:t>
            </w:r>
          </w:p>
        </w:tc>
        <w:tc>
          <w:tcPr>
            <w:tcW w:w="80" w:type="dxa"/>
            <w:tcBorders>
              <w:top w:val="nil"/>
              <w:left w:val="nil"/>
              <w:bottom w:val="single" w:sz="4" w:space="0" w:color="auto"/>
              <w:right w:val="nil"/>
            </w:tcBorders>
            <w:shd w:val="clear" w:color="auto" w:fill="auto"/>
            <w:noWrap/>
            <w:vAlign w:val="bottom"/>
            <w:hideMark/>
          </w:tcPr>
          <w:p w:rsidR="006C670A" w:rsidRDefault="006C670A">
            <w:pPr>
              <w:rPr>
                <w:rFonts w:ascii="Arial" w:hAnsi="Arial" w:cs="Arial"/>
                <w:color w:val="000000"/>
                <w:sz w:val="16"/>
                <w:szCs w:val="16"/>
              </w:rPr>
            </w:pPr>
            <w:r>
              <w:rPr>
                <w:rFonts w:ascii="Arial" w:hAnsi="Arial" w:cs="Arial"/>
                <w:color w:val="000000"/>
                <w:sz w:val="16"/>
                <w:szCs w:val="16"/>
              </w:rPr>
              <w:t> </w:t>
            </w:r>
          </w:p>
        </w:tc>
        <w:tc>
          <w:tcPr>
            <w:tcW w:w="706"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5</w:t>
            </w:r>
          </w:p>
        </w:tc>
        <w:tc>
          <w:tcPr>
            <w:tcW w:w="539"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80.0</w:t>
            </w:r>
          </w:p>
        </w:tc>
        <w:tc>
          <w:tcPr>
            <w:tcW w:w="831"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sz w:val="16"/>
                <w:szCs w:val="16"/>
              </w:rPr>
            </w:pPr>
            <w:r>
              <w:rPr>
                <w:rFonts w:ascii="Arial" w:hAnsi="Arial" w:cs="Arial"/>
                <w:sz w:val="16"/>
                <w:szCs w:val="16"/>
              </w:rPr>
              <w:t>80.0</w:t>
            </w:r>
          </w:p>
        </w:tc>
        <w:tc>
          <w:tcPr>
            <w:tcW w:w="980" w:type="dxa"/>
            <w:tcBorders>
              <w:top w:val="nil"/>
              <w:left w:val="nil"/>
              <w:bottom w:val="single" w:sz="4" w:space="0" w:color="auto"/>
              <w:right w:val="nil"/>
            </w:tcBorders>
            <w:shd w:val="clear" w:color="auto" w:fill="auto"/>
            <w:noWrap/>
            <w:vAlign w:val="bottom"/>
            <w:hideMark/>
          </w:tcPr>
          <w:p w:rsidR="006C670A" w:rsidRDefault="006C670A">
            <w:pPr>
              <w:jc w:val="right"/>
              <w:rPr>
                <w:rFonts w:ascii="Arial" w:hAnsi="Arial" w:cs="Arial"/>
                <w:color w:val="000000"/>
                <w:sz w:val="16"/>
                <w:szCs w:val="16"/>
              </w:rPr>
            </w:pPr>
            <w:r>
              <w:rPr>
                <w:rFonts w:ascii="Arial" w:hAnsi="Arial" w:cs="Arial"/>
                <w:color w:val="000000"/>
                <w:sz w:val="16"/>
                <w:szCs w:val="16"/>
              </w:rPr>
              <w:t>80.0</w:t>
            </w:r>
          </w:p>
        </w:tc>
      </w:tr>
      <w:tr w:rsidR="006C670A" w:rsidTr="006C670A">
        <w:trPr>
          <w:trHeight w:val="259"/>
        </w:trPr>
        <w:tc>
          <w:tcPr>
            <w:tcW w:w="1331" w:type="dxa"/>
            <w:tcBorders>
              <w:top w:val="nil"/>
              <w:left w:val="nil"/>
              <w:bottom w:val="nil"/>
              <w:right w:val="nil"/>
            </w:tcBorders>
            <w:shd w:val="clear" w:color="000000" w:fill="FFFFFF"/>
            <w:noWrap/>
            <w:vAlign w:val="center"/>
            <w:hideMark/>
          </w:tcPr>
          <w:p w:rsidR="006C670A" w:rsidRDefault="006C670A">
            <w:pPr>
              <w:rPr>
                <w:rFonts w:ascii="Arial" w:hAnsi="Arial" w:cs="Arial"/>
                <w:sz w:val="16"/>
                <w:szCs w:val="16"/>
              </w:rPr>
            </w:pPr>
            <w:r>
              <w:rPr>
                <w:rFonts w:ascii="Arial" w:hAnsi="Arial" w:cs="Arial"/>
                <w:sz w:val="16"/>
                <w:szCs w:val="16"/>
              </w:rPr>
              <w:t>† Not applicable.</w:t>
            </w:r>
          </w:p>
        </w:tc>
        <w:tc>
          <w:tcPr>
            <w:tcW w:w="82"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1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0" w:type="dxa"/>
            <w:tcBorders>
              <w:top w:val="nil"/>
              <w:left w:val="nil"/>
              <w:bottom w:val="nil"/>
              <w:right w:val="nil"/>
            </w:tcBorders>
            <w:shd w:val="clear" w:color="auto" w:fill="auto"/>
            <w:noWrap/>
            <w:vAlign w:val="bottom"/>
            <w:hideMark/>
          </w:tcPr>
          <w:p w:rsidR="006C670A" w:rsidRDefault="006C670A">
            <w:pPr>
              <w:rPr>
                <w:rFonts w:ascii="Arial" w:hAnsi="Arial" w:cs="Arial"/>
                <w:color w:val="000000"/>
                <w:sz w:val="16"/>
                <w:szCs w:val="16"/>
              </w:rPr>
            </w:pPr>
          </w:p>
        </w:tc>
        <w:tc>
          <w:tcPr>
            <w:tcW w:w="706"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539"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c>
          <w:tcPr>
            <w:tcW w:w="831" w:type="dxa"/>
            <w:tcBorders>
              <w:top w:val="nil"/>
              <w:left w:val="nil"/>
              <w:bottom w:val="nil"/>
              <w:right w:val="nil"/>
            </w:tcBorders>
            <w:shd w:val="clear" w:color="auto" w:fill="auto"/>
            <w:noWrap/>
            <w:vAlign w:val="bottom"/>
            <w:hideMark/>
          </w:tcPr>
          <w:p w:rsidR="006C670A" w:rsidRDefault="006C670A">
            <w:pPr>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6C670A" w:rsidRDefault="006C670A">
            <w:pPr>
              <w:jc w:val="right"/>
              <w:rPr>
                <w:rFonts w:ascii="Arial" w:hAnsi="Arial" w:cs="Arial"/>
                <w:color w:val="000000"/>
                <w:sz w:val="16"/>
                <w:szCs w:val="16"/>
              </w:rPr>
            </w:pPr>
          </w:p>
        </w:tc>
      </w:tr>
      <w:tr w:rsidR="006C670A" w:rsidTr="006C670A">
        <w:trPr>
          <w:trHeight w:val="480"/>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Expenditures without exclusions do not exclude the following types of expenditures: expenditures paid from federal funds other than Impact Aid programs, expenditures for prekindergarten programs, and expenditures for special education programs.</w:t>
            </w:r>
          </w:p>
        </w:tc>
      </w:tr>
      <w:tr w:rsidR="006C670A" w:rsidTr="006C670A">
        <w:trPr>
          <w:trHeight w:val="720"/>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 All fifteen items include instructional staff salaries, student support services salaries, instructional staff support services salaries, school administration salaries, teacher salaries, instructional aide salaries, instructional staff support, nontechnology-related supplies and purchased services, technology-related supplies and purchased services, nontechnology-related equipment, technology-related equipment, improvement of instruction, library and media services, books and periodicals, and technology software. </w:t>
            </w:r>
          </w:p>
        </w:tc>
      </w:tr>
      <w:tr w:rsidR="006C670A" w:rsidTr="006C670A">
        <w:trPr>
          <w:trHeight w:val="259"/>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vertAlign w:val="superscript"/>
              </w:rPr>
              <w:t>3</w:t>
            </w:r>
            <w:r>
              <w:rPr>
                <w:rFonts w:ascii="Arial" w:hAnsi="Arial" w:cs="Arial"/>
                <w:sz w:val="16"/>
                <w:szCs w:val="16"/>
              </w:rPr>
              <w:t xml:space="preserve"> All four personnel expenditure items include instructional staff salaries, student support services salaries, instructional staff support services salaries, and school administration salaries. </w:t>
            </w:r>
          </w:p>
        </w:tc>
      </w:tr>
      <w:tr w:rsidR="006C670A" w:rsidTr="006C670A">
        <w:trPr>
          <w:trHeight w:val="270"/>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vertAlign w:val="superscript"/>
              </w:rPr>
              <w:t>4</w:t>
            </w:r>
            <w:r>
              <w:rPr>
                <w:rFonts w:ascii="Arial" w:hAnsi="Arial" w:cs="Arial"/>
                <w:sz w:val="16"/>
                <w:szCs w:val="16"/>
              </w:rPr>
              <w:t xml:space="preserve"> Both instructional staff salary exhibit items include teacher salaries and instructional aide salaries.</w:t>
            </w:r>
          </w:p>
        </w:tc>
      </w:tr>
      <w:tr w:rsidR="006C670A" w:rsidTr="006C670A">
        <w:trPr>
          <w:trHeight w:val="480"/>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vertAlign w:val="superscript"/>
              </w:rPr>
              <w:t>5</w:t>
            </w:r>
            <w:r>
              <w:rPr>
                <w:rFonts w:ascii="Arial" w:hAnsi="Arial" w:cs="Arial"/>
                <w:sz w:val="16"/>
                <w:szCs w:val="16"/>
              </w:rPr>
              <w:t xml:space="preserve"> Interpret Colorado and New Jersey data with caution. Colorado and New Jersey were only able to submit data for a subset of their local education agencies (LEAs). This analysis includes only 7 out of 185 Colorado LEAs (representing 120 out of 1,860 Colorado schools) and 31 out of 681 New Jersey LEAs (representing 474 out of 2,615 New Jersey schools).</w:t>
            </w:r>
          </w:p>
        </w:tc>
      </w:tr>
      <w:tr w:rsidR="006C670A" w:rsidTr="006C670A">
        <w:trPr>
          <w:trHeight w:val="270"/>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rPr>
              <w:t xml:space="preserve">NOTE: This table includes operating schools (i.e., excludes closed, inactive, or future schools) where the school type information is available. </w:t>
            </w:r>
          </w:p>
        </w:tc>
      </w:tr>
      <w:tr w:rsidR="006C670A" w:rsidTr="006C670A">
        <w:trPr>
          <w:trHeight w:val="270"/>
        </w:trPr>
        <w:tc>
          <w:tcPr>
            <w:tcW w:w="13943" w:type="dxa"/>
            <w:gridSpan w:val="21"/>
            <w:tcBorders>
              <w:top w:val="nil"/>
              <w:left w:val="nil"/>
              <w:bottom w:val="nil"/>
              <w:right w:val="nil"/>
            </w:tcBorders>
            <w:shd w:val="clear" w:color="000000" w:fill="FFFFFF"/>
            <w:vAlign w:val="center"/>
            <w:hideMark/>
          </w:tcPr>
          <w:p w:rsidR="006C670A" w:rsidRDefault="006C670A">
            <w:pPr>
              <w:rPr>
                <w:rFonts w:ascii="Arial" w:hAnsi="Arial" w:cs="Arial"/>
                <w:sz w:val="16"/>
                <w:szCs w:val="16"/>
              </w:rPr>
            </w:pPr>
            <w:r>
              <w:rPr>
                <w:rFonts w:ascii="Arial" w:hAnsi="Arial" w:cs="Arial"/>
                <w:sz w:val="16"/>
                <w:szCs w:val="16"/>
              </w:rPr>
              <w:t>SOURCE: U.S. Department of Education, National Center for Education Statistics, Common Core of Data (CCD), "School Level Finance Survey (SLFS)," fiscal year 2014, Preliminary Version 0d.</w:t>
            </w:r>
          </w:p>
        </w:tc>
      </w:tr>
    </w:tbl>
    <w:p w:rsidR="000E5B35" w:rsidRDefault="000E5B35" w:rsidP="000E5B35">
      <w:pPr>
        <w:spacing w:after="120"/>
        <w:ind w:left="1080" w:hanging="1080"/>
        <w:rPr>
          <w:rFonts w:ascii="Arial" w:hAnsi="Arial" w:cs="Arial"/>
          <w:color w:val="000000" w:themeColor="text1"/>
          <w:spacing w:val="-1"/>
          <w:sz w:val="14"/>
          <w:szCs w:val="14"/>
        </w:rPr>
      </w:pPr>
    </w:p>
    <w:p w:rsidR="000E5B35" w:rsidRDefault="000E5B35" w:rsidP="000E5B35">
      <w:pPr>
        <w:spacing w:after="120"/>
        <w:ind w:left="1080" w:hanging="1080"/>
        <w:rPr>
          <w:rFonts w:ascii="Arial" w:hAnsi="Arial" w:cs="Arial"/>
          <w:color w:val="000000" w:themeColor="text1"/>
          <w:spacing w:val="-1"/>
          <w:sz w:val="14"/>
          <w:szCs w:val="14"/>
        </w:rPr>
      </w:pPr>
    </w:p>
    <w:p w:rsidR="000E5B35" w:rsidRDefault="000E5B35" w:rsidP="000E5B35">
      <w:pPr>
        <w:spacing w:after="120"/>
        <w:ind w:left="1080" w:hanging="1080"/>
        <w:rPr>
          <w:rFonts w:ascii="Arial" w:hAnsi="Arial" w:cs="Arial"/>
          <w:color w:val="000000" w:themeColor="text1"/>
          <w:spacing w:val="-1"/>
          <w:sz w:val="14"/>
          <w:szCs w:val="14"/>
        </w:rPr>
      </w:pPr>
    </w:p>
    <w:p w:rsidR="000E5B35" w:rsidRDefault="000E5B35" w:rsidP="000E5B35">
      <w:pPr>
        <w:spacing w:after="120"/>
        <w:ind w:left="1080" w:hanging="1080"/>
        <w:rPr>
          <w:rFonts w:ascii="Arial" w:hAnsi="Arial" w:cs="Arial"/>
          <w:color w:val="000000" w:themeColor="text1"/>
          <w:spacing w:val="-1"/>
          <w:sz w:val="14"/>
          <w:szCs w:val="14"/>
        </w:rPr>
      </w:pPr>
    </w:p>
    <w:p w:rsidR="000E5B35" w:rsidRDefault="000E5B35" w:rsidP="000E5B35">
      <w:pPr>
        <w:spacing w:after="120"/>
        <w:ind w:left="1080" w:hanging="1080"/>
        <w:rPr>
          <w:rFonts w:ascii="Arial" w:hAnsi="Arial" w:cs="Arial"/>
          <w:color w:val="000000" w:themeColor="text1"/>
          <w:spacing w:val="-1"/>
          <w:sz w:val="14"/>
          <w:szCs w:val="14"/>
        </w:rPr>
      </w:pPr>
    </w:p>
    <w:p w:rsidR="000E5B35" w:rsidRDefault="000E5B35" w:rsidP="000E5B35">
      <w:pPr>
        <w:spacing w:after="120"/>
        <w:ind w:left="1080" w:hanging="1080"/>
        <w:rPr>
          <w:rFonts w:ascii="Arial" w:hAnsi="Arial" w:cs="Arial"/>
          <w:color w:val="000000" w:themeColor="text1"/>
          <w:spacing w:val="-1"/>
          <w:sz w:val="14"/>
          <w:szCs w:val="14"/>
        </w:rPr>
      </w:pPr>
    </w:p>
    <w:tbl>
      <w:tblPr>
        <w:tblW w:w="14120" w:type="dxa"/>
        <w:tblInd w:w="93" w:type="dxa"/>
        <w:tblLook w:val="04A0" w:firstRow="1" w:lastRow="0" w:firstColumn="1" w:lastColumn="0" w:noHBand="0" w:noVBand="1"/>
      </w:tblPr>
      <w:tblGrid>
        <w:gridCol w:w="1674"/>
        <w:gridCol w:w="256"/>
        <w:gridCol w:w="929"/>
        <w:gridCol w:w="1008"/>
        <w:gridCol w:w="945"/>
        <w:gridCol w:w="256"/>
        <w:gridCol w:w="860"/>
        <w:gridCol w:w="929"/>
        <w:gridCol w:w="945"/>
        <w:gridCol w:w="256"/>
        <w:gridCol w:w="860"/>
        <w:gridCol w:w="929"/>
        <w:gridCol w:w="945"/>
        <w:gridCol w:w="256"/>
        <w:gridCol w:w="860"/>
        <w:gridCol w:w="929"/>
        <w:gridCol w:w="945"/>
        <w:gridCol w:w="741"/>
      </w:tblGrid>
      <w:tr w:rsidR="00A61695" w:rsidRPr="001F1838" w:rsidTr="00A61695">
        <w:trPr>
          <w:trHeight w:val="252"/>
        </w:trPr>
        <w:tc>
          <w:tcPr>
            <w:tcW w:w="14120" w:type="dxa"/>
            <w:gridSpan w:val="18"/>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r w:rsidRPr="001F1838">
              <w:rPr>
                <w:rFonts w:ascii="Arial" w:hAnsi="Arial" w:cs="Arial"/>
                <w:b/>
                <w:color w:val="000000"/>
                <w:sz w:val="16"/>
                <w:szCs w:val="16"/>
              </w:rPr>
              <w:lastRenderedPageBreak/>
              <w:t>Table 10.</w:t>
            </w:r>
            <w:r w:rsidR="00F61173" w:rsidRPr="001F1838">
              <w:rPr>
                <w:rFonts w:ascii="Arial" w:hAnsi="Arial" w:cs="Arial"/>
                <w:b/>
                <w:color w:val="000000"/>
                <w:sz w:val="16"/>
                <w:szCs w:val="16"/>
              </w:rPr>
              <w:t xml:space="preserve"> </w:t>
            </w:r>
            <w:r w:rsidRPr="001F1838">
              <w:rPr>
                <w:rFonts w:ascii="Arial" w:hAnsi="Arial" w:cs="Arial"/>
                <w:b/>
                <w:color w:val="000000"/>
                <w:sz w:val="16"/>
                <w:szCs w:val="16"/>
              </w:rPr>
              <w:t xml:space="preserve">Select expenditures reported in School Level Finance Survey (SLFS) and National Public Education Financial Survey (NPEFS) and percentage difference between the surveys, by </w:t>
            </w:r>
          </w:p>
        </w:tc>
      </w:tr>
      <w:tr w:rsidR="00A61695" w:rsidRPr="001F1838" w:rsidTr="00A61695">
        <w:trPr>
          <w:trHeight w:val="252"/>
        </w:trPr>
        <w:tc>
          <w:tcPr>
            <w:tcW w:w="5824" w:type="dxa"/>
            <w:gridSpan w:val="7"/>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r w:rsidRPr="001F1838">
              <w:rPr>
                <w:rFonts w:ascii="Arial" w:hAnsi="Arial" w:cs="Arial"/>
                <w:b/>
                <w:color w:val="FFFFFF"/>
                <w:sz w:val="16"/>
                <w:szCs w:val="16"/>
              </w:rPr>
              <w:t>Table 10.</w:t>
            </w:r>
            <w:r w:rsidR="00F61173" w:rsidRPr="001F1838">
              <w:rPr>
                <w:rFonts w:ascii="Arial" w:hAnsi="Arial" w:cs="Arial"/>
                <w:b/>
                <w:color w:val="000000"/>
                <w:sz w:val="16"/>
                <w:szCs w:val="16"/>
              </w:rPr>
              <w:t xml:space="preserve"> </w:t>
            </w:r>
            <w:r w:rsidRPr="001F1838">
              <w:rPr>
                <w:rFonts w:ascii="Arial" w:hAnsi="Arial" w:cs="Arial"/>
                <w:b/>
                <w:color w:val="000000"/>
                <w:sz w:val="16"/>
                <w:szCs w:val="16"/>
              </w:rPr>
              <w:t>data item and participating state: Fiscal year 2014</w:t>
            </w: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8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75"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8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75"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8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06"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r>
      <w:tr w:rsidR="00A61695" w:rsidTr="00A61695">
        <w:trPr>
          <w:trHeight w:val="435"/>
        </w:trPr>
        <w:tc>
          <w:tcPr>
            <w:tcW w:w="1854" w:type="dxa"/>
            <w:tcBorders>
              <w:top w:val="single" w:sz="4" w:space="0" w:color="auto"/>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w:t>
            </w:r>
          </w:p>
        </w:tc>
        <w:tc>
          <w:tcPr>
            <w:tcW w:w="75" w:type="dxa"/>
            <w:tcBorders>
              <w:top w:val="single" w:sz="4" w:space="0" w:color="auto"/>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w:t>
            </w:r>
          </w:p>
        </w:tc>
        <w:tc>
          <w:tcPr>
            <w:tcW w:w="288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Instructional staff salaries</w:t>
            </w:r>
          </w:p>
        </w:tc>
        <w:tc>
          <w:tcPr>
            <w:tcW w:w="75" w:type="dxa"/>
            <w:tcBorders>
              <w:top w:val="single" w:sz="4" w:space="0" w:color="auto"/>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r>
              <w:rPr>
                <w:rFonts w:ascii="Arial" w:hAnsi="Arial" w:cs="Arial"/>
                <w:color w:val="000000"/>
                <w:sz w:val="16"/>
                <w:szCs w:val="16"/>
              </w:rPr>
              <w:t> </w:t>
            </w:r>
          </w:p>
        </w:tc>
        <w:tc>
          <w:tcPr>
            <w:tcW w:w="276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Student support services salaries</w:t>
            </w:r>
          </w:p>
        </w:tc>
        <w:tc>
          <w:tcPr>
            <w:tcW w:w="75" w:type="dxa"/>
            <w:tcBorders>
              <w:top w:val="single" w:sz="4" w:space="0" w:color="auto"/>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r>
              <w:rPr>
                <w:rFonts w:ascii="Arial" w:hAnsi="Arial" w:cs="Arial"/>
                <w:color w:val="000000"/>
                <w:sz w:val="16"/>
                <w:szCs w:val="16"/>
              </w:rPr>
              <w:t> </w:t>
            </w:r>
          </w:p>
        </w:tc>
        <w:tc>
          <w:tcPr>
            <w:tcW w:w="276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Instructional staff support services salaries</w:t>
            </w:r>
          </w:p>
        </w:tc>
        <w:tc>
          <w:tcPr>
            <w:tcW w:w="75" w:type="dxa"/>
            <w:tcBorders>
              <w:top w:val="single" w:sz="4" w:space="0" w:color="auto"/>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r>
              <w:rPr>
                <w:rFonts w:ascii="Arial" w:hAnsi="Arial" w:cs="Arial"/>
                <w:color w:val="000000"/>
                <w:sz w:val="16"/>
                <w:szCs w:val="16"/>
              </w:rPr>
              <w:t> </w:t>
            </w:r>
          </w:p>
        </w:tc>
        <w:tc>
          <w:tcPr>
            <w:tcW w:w="276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School administration salaries</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5"/>
        </w:trPr>
        <w:tc>
          <w:tcPr>
            <w:tcW w:w="1854"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200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75" w:type="dxa"/>
            <w:tcBorders>
              <w:top w:val="nil"/>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p>
        </w:tc>
        <w:tc>
          <w:tcPr>
            <w:tcW w:w="188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75" w:type="dxa"/>
            <w:tcBorders>
              <w:top w:val="nil"/>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p>
        </w:tc>
        <w:tc>
          <w:tcPr>
            <w:tcW w:w="188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75" w:type="dxa"/>
            <w:tcBorders>
              <w:top w:val="nil"/>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p>
        </w:tc>
        <w:tc>
          <w:tcPr>
            <w:tcW w:w="188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40"/>
        </w:trPr>
        <w:tc>
          <w:tcPr>
            <w:tcW w:w="1929" w:type="dxa"/>
            <w:gridSpan w:val="2"/>
            <w:tcBorders>
              <w:top w:val="nil"/>
              <w:left w:val="nil"/>
              <w:bottom w:val="single" w:sz="4" w:space="0" w:color="auto"/>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Participating state</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106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75"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75"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75"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929" w:type="dxa"/>
            <w:gridSpan w:val="2"/>
            <w:tcBorders>
              <w:top w:val="nil"/>
              <w:left w:val="nil"/>
              <w:bottom w:val="nil"/>
              <w:right w:val="nil"/>
            </w:tcBorders>
            <w:shd w:val="clear" w:color="auto" w:fill="auto"/>
            <w:noWrap/>
            <w:vAlign w:val="center"/>
            <w:hideMark/>
          </w:tcPr>
          <w:p w:rsidR="00A61695" w:rsidRDefault="00A61695">
            <w:pPr>
              <w:ind w:firstLineChars="100" w:firstLine="161"/>
              <w:rPr>
                <w:rFonts w:ascii="Arial" w:hAnsi="Arial" w:cs="Arial"/>
                <w:b/>
                <w:bCs/>
                <w:sz w:val="16"/>
                <w:szCs w:val="16"/>
              </w:rPr>
            </w:pPr>
            <w:r>
              <w:rPr>
                <w:rFonts w:ascii="Arial" w:hAnsi="Arial" w:cs="Arial"/>
                <w:b/>
                <w:bCs/>
                <w:sz w:val="16"/>
                <w:szCs w:val="16"/>
              </w:rPr>
              <w:t>Reporting states</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$36,891,001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$4,508,040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$2,414,849</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$3,635,815</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102"/>
        </w:trPr>
        <w:tc>
          <w:tcPr>
            <w:tcW w:w="1854" w:type="dxa"/>
            <w:tcBorders>
              <w:top w:val="nil"/>
              <w:left w:val="nil"/>
              <w:bottom w:val="nil"/>
              <w:right w:val="nil"/>
            </w:tcBorders>
            <w:shd w:val="clear" w:color="auto" w:fill="auto"/>
            <w:noWrap/>
            <w:vAlign w:val="center"/>
            <w:hideMark/>
          </w:tcPr>
          <w:p w:rsidR="00A61695" w:rsidRDefault="00A61695">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auto" w:fill="auto"/>
            <w:noWrap/>
            <w:vAlign w:val="center"/>
            <w:hideMark/>
          </w:tcPr>
          <w:p w:rsidR="00A61695" w:rsidRDefault="00A61695">
            <w:pPr>
              <w:rPr>
                <w:rFonts w:ascii="Arial" w:hAnsi="Arial" w:cs="Arial"/>
                <w:sz w:val="16"/>
                <w:szCs w:val="16"/>
              </w:rPr>
            </w:pPr>
            <w:r>
              <w:rPr>
                <w:rFonts w:ascii="Arial" w:hAnsi="Arial" w:cs="Arial"/>
                <w:sz w:val="16"/>
                <w:szCs w:val="16"/>
              </w:rPr>
              <w:t xml:space="preserve">Arkansas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$1,703,454</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1,818,164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-6.3</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$135,038</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163,918</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-17.6</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$106,183</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214,604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-50.5</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$175,654</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184,266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-4.7</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auto" w:fill="auto"/>
            <w:noWrap/>
            <w:vAlign w:val="center"/>
            <w:hideMark/>
          </w:tcPr>
          <w:p w:rsidR="00A61695" w:rsidRDefault="00A61695">
            <w:pPr>
              <w:rPr>
                <w:rFonts w:ascii="Arial" w:hAnsi="Arial" w:cs="Arial"/>
                <w:sz w:val="16"/>
                <w:szCs w:val="16"/>
              </w:rPr>
            </w:pPr>
            <w:r>
              <w:rPr>
                <w:rFonts w:ascii="Arial" w:hAnsi="Arial" w:cs="Arial"/>
                <w:sz w:val="16"/>
                <w:szCs w:val="16"/>
              </w:rPr>
              <w:t xml:space="preserve">Colorado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3,155,520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272,503</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281,887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410,868</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Louisiana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2,656,366</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2,711,577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-2.0</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175,778</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305,606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-42.5</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136,784</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238,907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-42.7</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294,622</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301,480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-2.3</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Maine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927,008</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919,464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0.8</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102,732</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101,447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1.3</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60,608</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59,888</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1.2</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92,964</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88,148</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5.5</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Michigan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4,759,111</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5,331,186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-10.7</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728,182</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360,402</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470,901</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511,024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-7.9</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102"/>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New Jersey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9,430,180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1,622,332</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485,549</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823,676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North Carolina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3,429,652</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5,345,590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-35.8</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407,412</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413,787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-1.5</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146,281</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294,601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-50.3</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538,326</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597,847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-10.0</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Ohio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5,181,700</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7,337,894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-29.4</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545,297</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756,425</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-27.9</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295,348</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426,310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-30.7</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611,342</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649,334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-5.9</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single" w:sz="4" w:space="0" w:color="auto"/>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Rhode Island </w:t>
            </w:r>
          </w:p>
        </w:tc>
        <w:tc>
          <w:tcPr>
            <w:tcW w:w="75" w:type="dxa"/>
            <w:tcBorders>
              <w:top w:val="nil"/>
              <w:left w:val="nil"/>
              <w:bottom w:val="single" w:sz="4" w:space="0" w:color="auto"/>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828,494</w:t>
            </w:r>
          </w:p>
        </w:tc>
        <w:tc>
          <w:tcPr>
            <w:tcW w:w="106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841,424</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-1.5</w:t>
            </w:r>
          </w:p>
        </w:tc>
        <w:tc>
          <w:tcPr>
            <w:tcW w:w="75"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127,594</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143,840</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-11.3</w:t>
            </w:r>
          </w:p>
        </w:tc>
        <w:tc>
          <w:tcPr>
            <w:tcW w:w="75"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44,754</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52,701</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-15.1</w:t>
            </w:r>
          </w:p>
        </w:tc>
        <w:tc>
          <w:tcPr>
            <w:tcW w:w="75"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67,784</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69,173</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-2.0</w:t>
            </w: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See notes at end of table.</w:t>
            </w: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p w:rsidR="00A61695" w:rsidRDefault="00A61695">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r>
      <w:tr w:rsidR="00A61695" w:rsidTr="00A61695">
        <w:trPr>
          <w:trHeight w:val="90"/>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r>
      <w:tr w:rsidR="00A61695" w:rsidRPr="001F1838" w:rsidTr="00A61695">
        <w:trPr>
          <w:trHeight w:val="252"/>
        </w:trPr>
        <w:tc>
          <w:tcPr>
            <w:tcW w:w="11494" w:type="dxa"/>
            <w:gridSpan w:val="15"/>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r w:rsidRPr="001F1838">
              <w:rPr>
                <w:rFonts w:ascii="Arial" w:hAnsi="Arial" w:cs="Arial"/>
                <w:b/>
                <w:color w:val="000000"/>
                <w:sz w:val="16"/>
                <w:szCs w:val="16"/>
              </w:rPr>
              <w:lastRenderedPageBreak/>
              <w:t>Table 10.</w:t>
            </w:r>
            <w:r w:rsidR="00F61173" w:rsidRPr="001F1838">
              <w:rPr>
                <w:rFonts w:ascii="Arial" w:hAnsi="Arial" w:cs="Arial"/>
                <w:b/>
                <w:color w:val="000000"/>
                <w:sz w:val="16"/>
                <w:szCs w:val="16"/>
              </w:rPr>
              <w:t xml:space="preserve"> </w:t>
            </w:r>
            <w:r w:rsidRPr="001F1838">
              <w:rPr>
                <w:rFonts w:ascii="Arial" w:hAnsi="Arial" w:cs="Arial"/>
                <w:b/>
                <w:color w:val="000000"/>
                <w:sz w:val="16"/>
                <w:szCs w:val="16"/>
              </w:rPr>
              <w:t xml:space="preserve">Select expenditures reported in School Level Finance Survey (SLFS) and National Public Education Financial Survey (NPEFS) and </w:t>
            </w: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8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06"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r>
      <w:tr w:rsidR="00A61695" w:rsidRPr="001F1838" w:rsidTr="00A61695">
        <w:trPr>
          <w:trHeight w:val="252"/>
        </w:trPr>
        <w:tc>
          <w:tcPr>
            <w:tcW w:w="9599" w:type="dxa"/>
            <w:gridSpan w:val="12"/>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r w:rsidRPr="001F1838">
              <w:rPr>
                <w:rFonts w:ascii="Arial" w:hAnsi="Arial" w:cs="Arial"/>
                <w:b/>
                <w:color w:val="FFFFFF"/>
                <w:sz w:val="16"/>
                <w:szCs w:val="16"/>
              </w:rPr>
              <w:t>Table 10.</w:t>
            </w:r>
            <w:r w:rsidR="00F61173" w:rsidRPr="001F1838">
              <w:rPr>
                <w:rFonts w:ascii="Arial" w:hAnsi="Arial" w:cs="Arial"/>
                <w:b/>
                <w:color w:val="000000"/>
                <w:sz w:val="16"/>
                <w:szCs w:val="16"/>
              </w:rPr>
              <w:t xml:space="preserve"> </w:t>
            </w:r>
            <w:r w:rsidRPr="001F1838">
              <w:rPr>
                <w:rFonts w:ascii="Arial" w:hAnsi="Arial" w:cs="Arial"/>
                <w:b/>
                <w:color w:val="000000"/>
                <w:sz w:val="16"/>
                <w:szCs w:val="16"/>
              </w:rPr>
              <w:t>percentage difference between the surveys, by data item and participating state: Fiscal year 2014—Continued</w:t>
            </w:r>
          </w:p>
        </w:tc>
        <w:tc>
          <w:tcPr>
            <w:tcW w:w="88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75"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94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80"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c>
          <w:tcPr>
            <w:tcW w:w="806" w:type="dxa"/>
            <w:tcBorders>
              <w:top w:val="nil"/>
              <w:left w:val="nil"/>
              <w:bottom w:val="nil"/>
              <w:right w:val="nil"/>
            </w:tcBorders>
            <w:shd w:val="clear" w:color="auto" w:fill="auto"/>
            <w:noWrap/>
            <w:vAlign w:val="bottom"/>
            <w:hideMark/>
          </w:tcPr>
          <w:p w:rsidR="00A61695" w:rsidRPr="001F1838" w:rsidRDefault="00A61695">
            <w:pPr>
              <w:rPr>
                <w:rFonts w:ascii="Arial" w:hAnsi="Arial" w:cs="Arial"/>
                <w:b/>
                <w:color w:val="000000"/>
                <w:sz w:val="16"/>
                <w:szCs w:val="16"/>
              </w:rPr>
            </w:pPr>
          </w:p>
        </w:tc>
      </w:tr>
      <w:tr w:rsidR="00A61695" w:rsidTr="00A61695">
        <w:trPr>
          <w:trHeight w:val="225"/>
        </w:trPr>
        <w:tc>
          <w:tcPr>
            <w:tcW w:w="1854" w:type="dxa"/>
            <w:tcBorders>
              <w:top w:val="single" w:sz="4" w:space="0" w:color="auto"/>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w:t>
            </w:r>
          </w:p>
        </w:tc>
        <w:tc>
          <w:tcPr>
            <w:tcW w:w="75" w:type="dxa"/>
            <w:tcBorders>
              <w:top w:val="single" w:sz="4" w:space="0" w:color="auto"/>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w:t>
            </w:r>
          </w:p>
        </w:tc>
        <w:tc>
          <w:tcPr>
            <w:tcW w:w="288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Teacher salaries</w:t>
            </w:r>
          </w:p>
        </w:tc>
        <w:tc>
          <w:tcPr>
            <w:tcW w:w="75" w:type="dxa"/>
            <w:tcBorders>
              <w:top w:val="single" w:sz="4" w:space="0" w:color="auto"/>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r>
              <w:rPr>
                <w:rFonts w:ascii="Arial" w:hAnsi="Arial" w:cs="Arial"/>
                <w:color w:val="000000"/>
                <w:sz w:val="16"/>
                <w:szCs w:val="16"/>
              </w:rPr>
              <w:t> </w:t>
            </w:r>
          </w:p>
        </w:tc>
        <w:tc>
          <w:tcPr>
            <w:tcW w:w="276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Instructional aide salaries</w:t>
            </w:r>
          </w:p>
        </w:tc>
        <w:tc>
          <w:tcPr>
            <w:tcW w:w="75" w:type="dxa"/>
            <w:tcBorders>
              <w:top w:val="single" w:sz="4" w:space="0" w:color="auto"/>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r>
              <w:rPr>
                <w:rFonts w:ascii="Arial" w:hAnsi="Arial" w:cs="Arial"/>
                <w:color w:val="000000"/>
                <w:sz w:val="16"/>
                <w:szCs w:val="16"/>
              </w:rPr>
              <w:t> </w:t>
            </w:r>
          </w:p>
        </w:tc>
        <w:tc>
          <w:tcPr>
            <w:tcW w:w="2760" w:type="dxa"/>
            <w:gridSpan w:val="3"/>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Instructional staff support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5"/>
        </w:trPr>
        <w:tc>
          <w:tcPr>
            <w:tcW w:w="1854"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200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75" w:type="dxa"/>
            <w:tcBorders>
              <w:top w:val="nil"/>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p>
        </w:tc>
        <w:tc>
          <w:tcPr>
            <w:tcW w:w="188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75" w:type="dxa"/>
            <w:tcBorders>
              <w:top w:val="nil"/>
              <w:left w:val="nil"/>
              <w:bottom w:val="nil"/>
              <w:right w:val="nil"/>
            </w:tcBorders>
            <w:shd w:val="clear" w:color="auto" w:fill="auto"/>
            <w:noWrap/>
            <w:vAlign w:val="center"/>
            <w:hideMark/>
          </w:tcPr>
          <w:p w:rsidR="00A61695" w:rsidRDefault="00A61695">
            <w:pPr>
              <w:jc w:val="center"/>
              <w:rPr>
                <w:rFonts w:ascii="Arial" w:hAnsi="Arial" w:cs="Arial"/>
                <w:color w:val="000000"/>
                <w:sz w:val="16"/>
                <w:szCs w:val="16"/>
              </w:rPr>
            </w:pPr>
          </w:p>
        </w:tc>
        <w:tc>
          <w:tcPr>
            <w:tcW w:w="1880" w:type="dxa"/>
            <w:gridSpan w:val="2"/>
            <w:tcBorders>
              <w:top w:val="single" w:sz="4" w:space="0" w:color="auto"/>
              <w:left w:val="nil"/>
              <w:bottom w:val="single" w:sz="4" w:space="0" w:color="auto"/>
              <w:right w:val="nil"/>
            </w:tcBorders>
            <w:shd w:val="clear" w:color="auto" w:fill="auto"/>
            <w:vAlign w:val="bottom"/>
            <w:hideMark/>
          </w:tcPr>
          <w:p w:rsidR="00A61695" w:rsidRDefault="00A61695">
            <w:pPr>
              <w:jc w:val="center"/>
              <w:rPr>
                <w:rFonts w:ascii="Arial" w:hAnsi="Arial" w:cs="Arial"/>
                <w:color w:val="000000"/>
                <w:sz w:val="16"/>
                <w:szCs w:val="16"/>
              </w:rPr>
            </w:pPr>
            <w:r>
              <w:rPr>
                <w:rFonts w:ascii="Arial" w:hAnsi="Arial" w:cs="Arial"/>
                <w:color w:val="000000"/>
                <w:sz w:val="16"/>
                <w:szCs w:val="16"/>
              </w:rPr>
              <w:t>[in thousands of dollars]</w:t>
            </w:r>
          </w:p>
        </w:tc>
        <w:tc>
          <w:tcPr>
            <w:tcW w:w="880" w:type="dxa"/>
            <w:vMerge w:val="restart"/>
            <w:tcBorders>
              <w:top w:val="nil"/>
              <w:left w:val="nil"/>
              <w:bottom w:val="single" w:sz="4" w:space="0" w:color="000000"/>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Percentage difference</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40"/>
        </w:trPr>
        <w:tc>
          <w:tcPr>
            <w:tcW w:w="1929" w:type="dxa"/>
            <w:gridSpan w:val="2"/>
            <w:tcBorders>
              <w:top w:val="nil"/>
              <w:left w:val="nil"/>
              <w:bottom w:val="single" w:sz="4" w:space="0" w:color="auto"/>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Participating state</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106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75"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75"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SLFS</w:t>
            </w:r>
          </w:p>
        </w:tc>
        <w:tc>
          <w:tcPr>
            <w:tcW w:w="940" w:type="dxa"/>
            <w:tcBorders>
              <w:top w:val="nil"/>
              <w:left w:val="nil"/>
              <w:bottom w:val="single" w:sz="4" w:space="0" w:color="auto"/>
              <w:right w:val="nil"/>
            </w:tcBorders>
            <w:shd w:val="clear" w:color="auto" w:fill="auto"/>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NPEFS</w:t>
            </w:r>
          </w:p>
        </w:tc>
        <w:tc>
          <w:tcPr>
            <w:tcW w:w="880" w:type="dxa"/>
            <w:vMerge/>
            <w:tcBorders>
              <w:top w:val="nil"/>
              <w:left w:val="nil"/>
              <w:bottom w:val="single" w:sz="4" w:space="0" w:color="000000"/>
              <w:right w:val="nil"/>
            </w:tcBorders>
            <w:vAlign w:val="center"/>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929" w:type="dxa"/>
            <w:gridSpan w:val="2"/>
            <w:tcBorders>
              <w:top w:val="nil"/>
              <w:left w:val="nil"/>
              <w:bottom w:val="nil"/>
              <w:right w:val="nil"/>
            </w:tcBorders>
            <w:shd w:val="clear" w:color="auto" w:fill="auto"/>
            <w:noWrap/>
            <w:vAlign w:val="center"/>
            <w:hideMark/>
          </w:tcPr>
          <w:p w:rsidR="00A61695" w:rsidRDefault="00A61695">
            <w:pPr>
              <w:ind w:firstLineChars="100" w:firstLine="161"/>
              <w:rPr>
                <w:rFonts w:ascii="Arial" w:hAnsi="Arial" w:cs="Arial"/>
                <w:b/>
                <w:bCs/>
                <w:sz w:val="16"/>
                <w:szCs w:val="16"/>
              </w:rPr>
            </w:pPr>
            <w:r>
              <w:rPr>
                <w:rFonts w:ascii="Arial" w:hAnsi="Arial" w:cs="Arial"/>
                <w:b/>
                <w:bCs/>
                <w:sz w:val="16"/>
                <w:szCs w:val="16"/>
              </w:rPr>
              <w:t>Reporting states</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$26,044,336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$3,508,770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$987,021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b/>
                <w:bCs/>
                <w:color w:val="000000"/>
                <w:sz w:val="16"/>
                <w:szCs w:val="16"/>
              </w:rPr>
            </w:pPr>
            <w:r>
              <w:rPr>
                <w:rFonts w:ascii="Arial" w:hAnsi="Arial" w:cs="Arial"/>
                <w:b/>
                <w:bCs/>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102"/>
        </w:trPr>
        <w:tc>
          <w:tcPr>
            <w:tcW w:w="1854" w:type="dxa"/>
            <w:tcBorders>
              <w:top w:val="nil"/>
              <w:left w:val="nil"/>
              <w:bottom w:val="nil"/>
              <w:right w:val="nil"/>
            </w:tcBorders>
            <w:shd w:val="clear" w:color="auto" w:fill="auto"/>
            <w:noWrap/>
            <w:vAlign w:val="center"/>
            <w:hideMark/>
          </w:tcPr>
          <w:p w:rsidR="00A61695" w:rsidRDefault="00A61695">
            <w:pPr>
              <w:rPr>
                <w:rFonts w:ascii="Arial" w:hAnsi="Arial" w:cs="Arial"/>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auto" w:fill="auto"/>
            <w:noWrap/>
            <w:vAlign w:val="center"/>
            <w:hideMark/>
          </w:tcPr>
          <w:p w:rsidR="00A61695" w:rsidRDefault="00A61695">
            <w:pPr>
              <w:rPr>
                <w:rFonts w:ascii="Arial" w:hAnsi="Arial" w:cs="Arial"/>
                <w:sz w:val="16"/>
                <w:szCs w:val="16"/>
              </w:rPr>
            </w:pPr>
            <w:r>
              <w:rPr>
                <w:rFonts w:ascii="Arial" w:hAnsi="Arial" w:cs="Arial"/>
                <w:sz w:val="16"/>
                <w:szCs w:val="16"/>
              </w:rPr>
              <w:t xml:space="preserve">Arkansas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$1,563,992</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1,599,936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-2.2</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$139,465</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218,228</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-36.1</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$54,639</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125,949</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-56.6</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auto" w:fill="auto"/>
            <w:noWrap/>
            <w:vAlign w:val="center"/>
            <w:hideMark/>
          </w:tcPr>
          <w:p w:rsidR="00A61695" w:rsidRDefault="00A61695">
            <w:pPr>
              <w:rPr>
                <w:rFonts w:ascii="Arial" w:hAnsi="Arial" w:cs="Arial"/>
                <w:sz w:val="16"/>
                <w:szCs w:val="16"/>
              </w:rPr>
            </w:pPr>
            <w:r>
              <w:rPr>
                <w:rFonts w:ascii="Arial" w:hAnsi="Arial" w:cs="Arial"/>
                <w:sz w:val="16"/>
                <w:szCs w:val="16"/>
              </w:rPr>
              <w:t xml:space="preserve">Colorado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2,871,565</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283,955</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104,911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Louisiana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2,384,912</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2,417,956</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-1.4</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218,541</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293,621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-25.6</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44,557</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55,927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-20.3</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Maine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802,879</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770,124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4.3</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112,025</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149,340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-25.0</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33,838</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40,748</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-17.0</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Michigan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4,480,581</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4,787,733</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-6.4</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277,441</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543,453</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-48.9</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256,274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102"/>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New Jersey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8,894,890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535,291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103,440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North Carolina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3,172,874</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3,920,597</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-19.1</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4,996</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1,424,994</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-99.6</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10,497</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59,520</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-82.4</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nil"/>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Ohio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5,149,995</w:t>
            </w:r>
          </w:p>
        </w:tc>
        <w:tc>
          <w:tcPr>
            <w:tcW w:w="106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31,672</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w:t>
            </w:r>
          </w:p>
        </w:tc>
        <w:tc>
          <w:tcPr>
            <w:tcW w:w="75"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166,985</w:t>
            </w:r>
          </w:p>
        </w:tc>
        <w:tc>
          <w:tcPr>
            <w:tcW w:w="94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223,641</w:t>
            </w:r>
          </w:p>
        </w:tc>
        <w:tc>
          <w:tcPr>
            <w:tcW w:w="880" w:type="dxa"/>
            <w:tcBorders>
              <w:top w:val="nil"/>
              <w:left w:val="nil"/>
              <w:bottom w:val="nil"/>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-25.3</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59"/>
        </w:trPr>
        <w:tc>
          <w:tcPr>
            <w:tcW w:w="1854" w:type="dxa"/>
            <w:tcBorders>
              <w:top w:val="nil"/>
              <w:left w:val="nil"/>
              <w:bottom w:val="single" w:sz="4" w:space="0" w:color="auto"/>
              <w:right w:val="nil"/>
            </w:tcBorders>
            <w:shd w:val="clear" w:color="000000" w:fill="FFFFFF"/>
            <w:noWrap/>
            <w:vAlign w:val="center"/>
            <w:hideMark/>
          </w:tcPr>
          <w:p w:rsidR="00A61695" w:rsidRDefault="00A61695">
            <w:pPr>
              <w:rPr>
                <w:rFonts w:ascii="Arial" w:hAnsi="Arial" w:cs="Arial"/>
                <w:sz w:val="16"/>
                <w:szCs w:val="16"/>
              </w:rPr>
            </w:pPr>
            <w:r>
              <w:rPr>
                <w:rFonts w:ascii="Arial" w:hAnsi="Arial" w:cs="Arial"/>
                <w:sz w:val="16"/>
                <w:szCs w:val="16"/>
              </w:rPr>
              <w:t xml:space="preserve">Rhode Island </w:t>
            </w:r>
          </w:p>
        </w:tc>
        <w:tc>
          <w:tcPr>
            <w:tcW w:w="75" w:type="dxa"/>
            <w:tcBorders>
              <w:top w:val="nil"/>
              <w:left w:val="nil"/>
              <w:bottom w:val="single" w:sz="4" w:space="0" w:color="auto"/>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773,665</w:t>
            </w:r>
          </w:p>
        </w:tc>
        <w:tc>
          <w:tcPr>
            <w:tcW w:w="106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781,537</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-1.0</w:t>
            </w:r>
          </w:p>
        </w:tc>
        <w:tc>
          <w:tcPr>
            <w:tcW w:w="75"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46,196</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59,888</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-22.9</w:t>
            </w:r>
          </w:p>
        </w:tc>
        <w:tc>
          <w:tcPr>
            <w:tcW w:w="75"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7,381</w:t>
            </w:r>
          </w:p>
        </w:tc>
        <w:tc>
          <w:tcPr>
            <w:tcW w:w="94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16,610</w:t>
            </w:r>
          </w:p>
        </w:tc>
        <w:tc>
          <w:tcPr>
            <w:tcW w:w="880" w:type="dxa"/>
            <w:tcBorders>
              <w:top w:val="nil"/>
              <w:left w:val="nil"/>
              <w:bottom w:val="single" w:sz="4" w:space="0" w:color="auto"/>
              <w:right w:val="nil"/>
            </w:tcBorders>
            <w:shd w:val="clear" w:color="auto" w:fill="auto"/>
            <w:noWrap/>
            <w:vAlign w:val="bottom"/>
            <w:hideMark/>
          </w:tcPr>
          <w:p w:rsidR="00A61695" w:rsidRDefault="00A61695">
            <w:pPr>
              <w:jc w:val="right"/>
              <w:rPr>
                <w:rFonts w:ascii="Arial" w:hAnsi="Arial" w:cs="Arial"/>
                <w:color w:val="000000"/>
                <w:sz w:val="16"/>
                <w:szCs w:val="16"/>
              </w:rPr>
            </w:pPr>
            <w:r>
              <w:rPr>
                <w:rFonts w:ascii="Arial" w:hAnsi="Arial" w:cs="Arial"/>
                <w:color w:val="000000"/>
                <w:sz w:val="16"/>
                <w:szCs w:val="16"/>
              </w:rPr>
              <w:t>-55.6</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240"/>
        </w:trPr>
        <w:tc>
          <w:tcPr>
            <w:tcW w:w="1929" w:type="dxa"/>
            <w:gridSpan w:val="2"/>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r>
              <w:rPr>
                <w:rFonts w:ascii="Arial" w:hAnsi="Arial" w:cs="Arial"/>
                <w:color w:val="000000"/>
                <w:sz w:val="16"/>
                <w:szCs w:val="16"/>
              </w:rPr>
              <w:t xml:space="preserve">— Not available. </w:t>
            </w: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color w:val="000000"/>
                <w:sz w:val="16"/>
                <w:szCs w:val="16"/>
              </w:rPr>
            </w:pPr>
          </w:p>
        </w:tc>
      </w:tr>
      <w:tr w:rsidR="00A61695" w:rsidTr="00A61695">
        <w:trPr>
          <w:trHeight w:val="435"/>
        </w:trPr>
        <w:tc>
          <w:tcPr>
            <w:tcW w:w="10479" w:type="dxa"/>
            <w:gridSpan w:val="13"/>
            <w:tcBorders>
              <w:top w:val="nil"/>
              <w:left w:val="nil"/>
              <w:bottom w:val="nil"/>
              <w:right w:val="nil"/>
            </w:tcBorders>
            <w:shd w:val="clear" w:color="000000" w:fill="FFFFFF"/>
            <w:vAlign w:val="center"/>
            <w:hideMark/>
          </w:tcPr>
          <w:p w:rsidR="00A61695" w:rsidRDefault="00A61695">
            <w:pPr>
              <w:rPr>
                <w:rFonts w:ascii="Arial" w:hAnsi="Arial" w:cs="Arial"/>
                <w:sz w:val="16"/>
                <w:szCs w:val="16"/>
              </w:rPr>
            </w:pPr>
            <w:r>
              <w:rPr>
                <w:rFonts w:ascii="Arial" w:hAnsi="Arial" w:cs="Arial"/>
                <w:sz w:val="16"/>
                <w:szCs w:val="16"/>
              </w:rPr>
              <w:t>‡ Reporting standards not met. Data are missing for more than 15 percent of schools at the reporting states level, or data are missing for more than 20 percent of schools at the state level.</w:t>
            </w:r>
          </w:p>
        </w:tc>
        <w:tc>
          <w:tcPr>
            <w:tcW w:w="75"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940"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940"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880"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806"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r>
      <w:tr w:rsidR="00A61695" w:rsidTr="00A61695">
        <w:trPr>
          <w:trHeight w:val="480"/>
        </w:trPr>
        <w:tc>
          <w:tcPr>
            <w:tcW w:w="10479" w:type="dxa"/>
            <w:gridSpan w:val="13"/>
            <w:tcBorders>
              <w:top w:val="nil"/>
              <w:left w:val="nil"/>
              <w:bottom w:val="nil"/>
              <w:right w:val="nil"/>
            </w:tcBorders>
            <w:shd w:val="clear" w:color="000000" w:fill="FFFFFF"/>
            <w:vAlign w:val="center"/>
            <w:hideMark/>
          </w:tcPr>
          <w:p w:rsidR="00A61695" w:rsidRDefault="00A61695">
            <w:pPr>
              <w:rPr>
                <w:rFonts w:ascii="Arial" w:hAnsi="Arial" w:cs="Arial"/>
                <w:sz w:val="16"/>
                <w:szCs w:val="16"/>
              </w:rPr>
            </w:pPr>
            <w:r>
              <w:rPr>
                <w:rFonts w:ascii="Arial" w:hAnsi="Arial" w:cs="Arial"/>
                <w:sz w:val="16"/>
                <w:szCs w:val="16"/>
              </w:rPr>
              <w:t>NOTE: The select expenditures in this table do not exclude the following types of expenditures: expenditures paid from federal funds other than Impact Aid programs, expenditures for prekindergarten programs, and expenditures for special education programs.</w:t>
            </w:r>
          </w:p>
        </w:tc>
        <w:tc>
          <w:tcPr>
            <w:tcW w:w="75"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940"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940"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880"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c>
          <w:tcPr>
            <w:tcW w:w="806" w:type="dxa"/>
            <w:tcBorders>
              <w:top w:val="nil"/>
              <w:left w:val="nil"/>
              <w:bottom w:val="nil"/>
              <w:right w:val="nil"/>
            </w:tcBorders>
            <w:shd w:val="clear" w:color="auto" w:fill="auto"/>
            <w:vAlign w:val="bottom"/>
            <w:hideMark/>
          </w:tcPr>
          <w:p w:rsidR="00A61695" w:rsidRDefault="00A61695">
            <w:pPr>
              <w:rPr>
                <w:rFonts w:ascii="Calibri" w:hAnsi="Calibri"/>
                <w:color w:val="000000"/>
                <w:sz w:val="22"/>
                <w:szCs w:val="22"/>
              </w:rPr>
            </w:pPr>
          </w:p>
        </w:tc>
      </w:tr>
      <w:tr w:rsidR="00A61695" w:rsidTr="00A61695">
        <w:trPr>
          <w:trHeight w:val="645"/>
        </w:trPr>
        <w:tc>
          <w:tcPr>
            <w:tcW w:w="10479" w:type="dxa"/>
            <w:gridSpan w:val="13"/>
            <w:tcBorders>
              <w:top w:val="nil"/>
              <w:left w:val="nil"/>
              <w:bottom w:val="nil"/>
              <w:right w:val="nil"/>
            </w:tcBorders>
            <w:shd w:val="clear" w:color="auto" w:fill="auto"/>
            <w:vAlign w:val="bottom"/>
            <w:hideMark/>
          </w:tcPr>
          <w:p w:rsidR="00A61695" w:rsidRDefault="00A61695">
            <w:pPr>
              <w:rPr>
                <w:rFonts w:ascii="Arial" w:hAnsi="Arial" w:cs="Arial"/>
                <w:color w:val="000000"/>
                <w:sz w:val="16"/>
                <w:szCs w:val="16"/>
              </w:rPr>
            </w:pPr>
            <w:r>
              <w:rPr>
                <w:rFonts w:ascii="Arial" w:hAnsi="Arial" w:cs="Arial"/>
                <w:color w:val="000000"/>
                <w:sz w:val="16"/>
                <w:szCs w:val="16"/>
              </w:rPr>
              <w:t xml:space="preserve">SOURCE: U.S. Department of Education, National Center for Education Statistics, Common Core of Data (CCD), "School Level Finance Survey (SLFS)," fiscal year 2014, Preliminary Version 0d; and U.S. Department of Education, National Center for Education Statistics, Common Core of Data (CCD), "National Public Education Financial Survey (NPEFS),” fiscal year 2014, Provisional Version 1a. </w:t>
            </w:r>
          </w:p>
        </w:tc>
        <w:tc>
          <w:tcPr>
            <w:tcW w:w="75" w:type="dxa"/>
            <w:tcBorders>
              <w:top w:val="nil"/>
              <w:left w:val="nil"/>
              <w:bottom w:val="nil"/>
              <w:right w:val="nil"/>
            </w:tcBorders>
            <w:shd w:val="clear" w:color="auto" w:fill="auto"/>
            <w:noWrap/>
            <w:vAlign w:val="bottom"/>
            <w:hideMark/>
          </w:tcPr>
          <w:p w:rsidR="00A61695" w:rsidRDefault="00A61695">
            <w:pPr>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A61695" w:rsidRDefault="00A61695">
            <w:pPr>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A61695" w:rsidRDefault="00A61695">
            <w:pPr>
              <w:rPr>
                <w:rFonts w:ascii="Arial" w:hAnsi="Arial" w:cs="Arial"/>
                <w:sz w:val="16"/>
                <w:szCs w:val="16"/>
              </w:rPr>
            </w:pPr>
          </w:p>
        </w:tc>
        <w:tc>
          <w:tcPr>
            <w:tcW w:w="806" w:type="dxa"/>
            <w:tcBorders>
              <w:top w:val="nil"/>
              <w:left w:val="nil"/>
              <w:bottom w:val="nil"/>
              <w:right w:val="nil"/>
            </w:tcBorders>
            <w:shd w:val="clear" w:color="auto" w:fill="auto"/>
            <w:noWrap/>
            <w:vAlign w:val="bottom"/>
            <w:hideMark/>
          </w:tcPr>
          <w:p w:rsidR="00A61695" w:rsidRDefault="00A61695">
            <w:pPr>
              <w:rPr>
                <w:rFonts w:ascii="Arial" w:hAnsi="Arial" w:cs="Arial"/>
                <w:sz w:val="16"/>
                <w:szCs w:val="16"/>
              </w:rPr>
            </w:pPr>
          </w:p>
        </w:tc>
      </w:tr>
    </w:tbl>
    <w:p w:rsidR="000E5B35" w:rsidRDefault="000E5B35" w:rsidP="000E5B35">
      <w:pPr>
        <w:spacing w:after="120"/>
        <w:ind w:left="1080" w:hanging="1080"/>
        <w:rPr>
          <w:rFonts w:ascii="Arial" w:hAnsi="Arial" w:cs="Arial"/>
          <w:color w:val="000000" w:themeColor="text1"/>
          <w:spacing w:val="-1"/>
          <w:sz w:val="14"/>
          <w:szCs w:val="14"/>
        </w:rPr>
      </w:pPr>
    </w:p>
    <w:p w:rsidR="000E5B35" w:rsidRDefault="000E5B35" w:rsidP="000E5B35">
      <w:pPr>
        <w:spacing w:after="120"/>
        <w:ind w:left="1080" w:hanging="1080"/>
        <w:rPr>
          <w:rFonts w:ascii="Arial" w:hAnsi="Arial" w:cs="Arial"/>
          <w:color w:val="000000" w:themeColor="text1"/>
          <w:spacing w:val="-1"/>
          <w:sz w:val="14"/>
          <w:szCs w:val="14"/>
        </w:rPr>
      </w:pPr>
    </w:p>
    <w:p w:rsidR="00690EC3" w:rsidRPr="0011717D" w:rsidRDefault="00690EC3" w:rsidP="001F1838">
      <w:pPr>
        <w:spacing w:after="120"/>
        <w:jc w:val="center"/>
        <w:rPr>
          <w:b/>
          <w:sz w:val="28"/>
          <w:szCs w:val="28"/>
        </w:rPr>
      </w:pPr>
      <w:r w:rsidRPr="0011717D">
        <w:rPr>
          <w:b/>
          <w:sz w:val="28"/>
          <w:szCs w:val="28"/>
        </w:rPr>
        <w:t>References</w:t>
      </w:r>
    </w:p>
    <w:p w:rsidR="000E5B35" w:rsidRPr="001F1838" w:rsidRDefault="00690EC3" w:rsidP="001F1838">
      <w:pPr>
        <w:pStyle w:val="NCESAuthor"/>
        <w:spacing w:before="0" w:after="120" w:line="240" w:lineRule="auto"/>
        <w:rPr>
          <w:rFonts w:ascii="Times New Roman" w:hAnsi="Times New Roman"/>
          <w:sz w:val="24"/>
          <w:szCs w:val="24"/>
        </w:rPr>
      </w:pPr>
      <w:r w:rsidRPr="001F1838">
        <w:rPr>
          <w:rFonts w:ascii="Times New Roman" w:hAnsi="Times New Roman"/>
          <w:sz w:val="24"/>
          <w:szCs w:val="24"/>
        </w:rPr>
        <w:t>Allison, G.S. (201</w:t>
      </w:r>
      <w:r w:rsidR="00083665" w:rsidRPr="001F1838">
        <w:rPr>
          <w:rFonts w:ascii="Times New Roman" w:hAnsi="Times New Roman"/>
          <w:sz w:val="24"/>
          <w:szCs w:val="24"/>
        </w:rPr>
        <w:t>5</w:t>
      </w:r>
      <w:r w:rsidRPr="001F1838">
        <w:rPr>
          <w:rFonts w:ascii="Times New Roman" w:hAnsi="Times New Roman"/>
          <w:sz w:val="24"/>
          <w:szCs w:val="24"/>
        </w:rPr>
        <w:t xml:space="preserve">). </w:t>
      </w:r>
      <w:r w:rsidRPr="001F1838">
        <w:rPr>
          <w:rFonts w:ascii="Times New Roman" w:hAnsi="Times New Roman"/>
          <w:i/>
          <w:sz w:val="24"/>
          <w:szCs w:val="24"/>
        </w:rPr>
        <w:t>Financial Accounting for Local and State School Systems: 2014 Edition</w:t>
      </w:r>
      <w:r w:rsidRPr="001F1838">
        <w:rPr>
          <w:rFonts w:ascii="Times New Roman" w:hAnsi="Times New Roman"/>
          <w:sz w:val="24"/>
          <w:szCs w:val="24"/>
        </w:rPr>
        <w:t xml:space="preserve"> (NCES 2015–347). National Center for Education Statistics,</w:t>
      </w:r>
      <w:r w:rsidR="00F61173" w:rsidRPr="001F1838">
        <w:rPr>
          <w:rFonts w:ascii="Times New Roman" w:hAnsi="Times New Roman"/>
          <w:sz w:val="24"/>
          <w:szCs w:val="24"/>
        </w:rPr>
        <w:t xml:space="preserve"> </w:t>
      </w:r>
      <w:r w:rsidRPr="001F1838">
        <w:rPr>
          <w:rFonts w:ascii="Times New Roman" w:hAnsi="Times New Roman"/>
          <w:sz w:val="24"/>
          <w:szCs w:val="24"/>
        </w:rPr>
        <w:t xml:space="preserve">Institute of Education Sciences, U.S. Department of Education. Washington, DC. Retrieved March 31, 2015, from </w:t>
      </w:r>
      <w:hyperlink r:id="rId18" w:history="1">
        <w:r w:rsidRPr="001F1838">
          <w:rPr>
            <w:rStyle w:val="Hyperlink"/>
            <w:rFonts w:ascii="Times New Roman" w:hAnsi="Times New Roman"/>
            <w:sz w:val="24"/>
            <w:szCs w:val="24"/>
          </w:rPr>
          <w:t>http://nces.ed.gov/pubsearch/pubsinfo.asp?pubid=2015347</w:t>
        </w:r>
      </w:hyperlink>
      <w:r w:rsidRPr="001F1838">
        <w:rPr>
          <w:rFonts w:ascii="Times New Roman" w:hAnsi="Times New Roman"/>
          <w:sz w:val="24"/>
          <w:szCs w:val="24"/>
        </w:rPr>
        <w:t>.</w:t>
      </w:r>
    </w:p>
    <w:p w:rsidR="001F1838" w:rsidRPr="001F1838" w:rsidRDefault="001F1838" w:rsidP="001F1838">
      <w:pPr>
        <w:pStyle w:val="NCESAuthor"/>
        <w:spacing w:before="0" w:line="240" w:lineRule="auto"/>
        <w:rPr>
          <w:rFonts w:ascii="Times New Roman" w:hAnsi="Times New Roman"/>
          <w:sz w:val="24"/>
          <w:szCs w:val="24"/>
        </w:rPr>
      </w:pPr>
      <w:r w:rsidRPr="001F1838">
        <w:rPr>
          <w:rFonts w:ascii="Times New Roman" w:hAnsi="Times New Roman"/>
          <w:bCs/>
          <w:sz w:val="24"/>
          <w:szCs w:val="24"/>
        </w:rPr>
        <w:t xml:space="preserve">U.S. Department of Education, National Center for Education Statistics. (2014). NCES Statistical Standards (NCES 2014-097). Washington, DC: U.S. Government Printing Office. Retrieved May 22, 2014, from </w:t>
      </w:r>
      <w:hyperlink r:id="rId19" w:history="1">
        <w:r w:rsidRPr="001F1838">
          <w:rPr>
            <w:rStyle w:val="Hyperlink"/>
            <w:rFonts w:ascii="Times New Roman" w:hAnsi="Times New Roman"/>
            <w:bCs/>
            <w:sz w:val="24"/>
            <w:szCs w:val="24"/>
          </w:rPr>
          <w:t>http://nces.ed.gov/statprog/2012/</w:t>
        </w:r>
      </w:hyperlink>
      <w:r w:rsidRPr="001F1838">
        <w:rPr>
          <w:rFonts w:ascii="Times New Roman" w:hAnsi="Times New Roman"/>
          <w:bCs/>
          <w:sz w:val="24"/>
          <w:szCs w:val="24"/>
        </w:rPr>
        <w:t>.</w:t>
      </w:r>
    </w:p>
    <w:sectPr w:rsidR="001F1838" w:rsidRPr="001F1838" w:rsidSect="00F259B1">
      <w:pgSz w:w="15840" w:h="12240" w:orient="landscape"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24" w:rsidRDefault="00D91F24" w:rsidP="0090468F">
      <w:r>
        <w:separator/>
      </w:r>
    </w:p>
  </w:endnote>
  <w:endnote w:type="continuationSeparator" w:id="0">
    <w:p w:rsidR="00D91F24" w:rsidRDefault="00D91F24" w:rsidP="009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Std Bk">
    <w:panose1 w:val="00000000000000000000"/>
    <w:charset w:val="00"/>
    <w:family w:val="swiss"/>
    <w:notTrueType/>
    <w:pitch w:val="variable"/>
    <w:sig w:usb0="800000AF" w:usb1="4000204A"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B1" w:rsidRDefault="00F259B1">
    <w:pPr>
      <w:pStyle w:val="Footer"/>
      <w:jc w:val="center"/>
    </w:pPr>
    <w:r>
      <w:fldChar w:fldCharType="begin"/>
    </w:r>
    <w:r>
      <w:instrText xml:space="preserve"> PAGE   \* MERGEFORMAT </w:instrText>
    </w:r>
    <w:r>
      <w:fldChar w:fldCharType="separate"/>
    </w:r>
    <w:r w:rsidR="00EE6C1E">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B1" w:rsidRPr="003538C3" w:rsidRDefault="00F259B1" w:rsidP="000E5B35">
    <w:pPr>
      <w:pStyle w:val="Footer"/>
      <w:jc w:val="center"/>
    </w:pPr>
    <w:r w:rsidRPr="003538C3">
      <w:fldChar w:fldCharType="begin"/>
    </w:r>
    <w:r w:rsidRPr="003538C3">
      <w:instrText xml:space="preserve"> PAGE   \* MERGEFORMAT </w:instrText>
    </w:r>
    <w:r w:rsidRPr="003538C3">
      <w:fldChar w:fldCharType="separate"/>
    </w:r>
    <w:r w:rsidR="00EE6C1E">
      <w:rPr>
        <w:noProof/>
      </w:rPr>
      <w:t>1</w:t>
    </w:r>
    <w:r w:rsidRPr="003538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24" w:rsidRDefault="00D91F24" w:rsidP="0090468F">
      <w:r>
        <w:separator/>
      </w:r>
    </w:p>
  </w:footnote>
  <w:footnote w:type="continuationSeparator" w:id="0">
    <w:p w:rsidR="00D91F24" w:rsidRDefault="00D91F24" w:rsidP="0090468F">
      <w:r>
        <w:continuationSeparator/>
      </w:r>
    </w:p>
  </w:footnote>
  <w:footnote w:id="1">
    <w:p w:rsidR="00F259B1" w:rsidRDefault="00F259B1" w:rsidP="00F61173">
      <w:pPr>
        <w:pStyle w:val="BodyText"/>
        <w:ind w:right="214"/>
      </w:pPr>
      <w:r>
        <w:rPr>
          <w:rStyle w:val="FootnoteReference"/>
          <w:vertAlign w:val="superscript"/>
        </w:rPr>
        <w:footnoteRef/>
      </w:r>
      <w:r>
        <w:t xml:space="preserve"> </w:t>
      </w:r>
      <w:r>
        <w:rPr>
          <w:i/>
        </w:rPr>
        <w:t>Function</w:t>
      </w:r>
      <w:r>
        <w:t xml:space="preserve"> is a category of expenditure that defines the activity supported by the service or commodity bought. </w:t>
      </w:r>
      <w:r>
        <w:rPr>
          <w:i/>
        </w:rPr>
        <w:t>Object</w:t>
      </w:r>
      <w:r>
        <w:t xml:space="preserve"> is a category of expenditure that defines the service or commodity bought. </w:t>
      </w:r>
      <w:r>
        <w:rPr>
          <w:spacing w:val="-1"/>
        </w:rPr>
        <w:t>The</w:t>
      </w:r>
      <w:r>
        <w:rPr>
          <w:spacing w:val="-7"/>
        </w:rPr>
        <w:t xml:space="preserve"> </w:t>
      </w:r>
      <w:r>
        <w:rPr>
          <w:spacing w:val="-1"/>
        </w:rPr>
        <w:t>expenditure</w:t>
      </w:r>
      <w:r>
        <w:rPr>
          <w:spacing w:val="-6"/>
        </w:rPr>
        <w:t xml:space="preserve"> </w:t>
      </w:r>
      <w:r>
        <w:t>functions</w:t>
      </w:r>
      <w:r>
        <w:rPr>
          <w:spacing w:val="-5"/>
        </w:rPr>
        <w:t xml:space="preserve"> </w:t>
      </w:r>
      <w:r>
        <w:rPr>
          <w:spacing w:val="-1"/>
        </w:rPr>
        <w:t>include</w:t>
      </w:r>
      <w:r>
        <w:rPr>
          <w:spacing w:val="-6"/>
        </w:rPr>
        <w:t xml:space="preserve"> </w:t>
      </w:r>
      <w:r>
        <w:rPr>
          <w:spacing w:val="-1"/>
        </w:rPr>
        <w:t>instruction,</w:t>
      </w:r>
      <w:r>
        <w:rPr>
          <w:spacing w:val="-5"/>
        </w:rPr>
        <w:t xml:space="preserve"> </w:t>
      </w:r>
      <w:r>
        <w:rPr>
          <w:spacing w:val="-1"/>
        </w:rPr>
        <w:t>instructional</w:t>
      </w:r>
      <w:r>
        <w:rPr>
          <w:spacing w:val="-5"/>
        </w:rPr>
        <w:t xml:space="preserve"> </w:t>
      </w:r>
      <w:r>
        <w:rPr>
          <w:spacing w:val="-1"/>
        </w:rPr>
        <w:t>staff</w:t>
      </w:r>
      <w:r>
        <w:rPr>
          <w:spacing w:val="-6"/>
        </w:rPr>
        <w:t xml:space="preserve"> </w:t>
      </w:r>
      <w:r>
        <w:rPr>
          <w:spacing w:val="-1"/>
        </w:rPr>
        <w:t>support</w:t>
      </w:r>
      <w:r>
        <w:rPr>
          <w:spacing w:val="-5"/>
        </w:rPr>
        <w:t xml:space="preserve"> </w:t>
      </w:r>
      <w:r>
        <w:rPr>
          <w:spacing w:val="-1"/>
        </w:rPr>
        <w:t>services,</w:t>
      </w:r>
      <w:r>
        <w:rPr>
          <w:spacing w:val="-5"/>
        </w:rPr>
        <w:t xml:space="preserve"> </w:t>
      </w:r>
      <w:r>
        <w:t>pupil</w:t>
      </w:r>
      <w:r>
        <w:rPr>
          <w:spacing w:val="-5"/>
        </w:rPr>
        <w:t xml:space="preserve"> </w:t>
      </w:r>
      <w:r>
        <w:rPr>
          <w:spacing w:val="-1"/>
        </w:rPr>
        <w:t>support services,</w:t>
      </w:r>
      <w:r>
        <w:rPr>
          <w:spacing w:val="-6"/>
        </w:rPr>
        <w:t xml:space="preserve"> </w:t>
      </w:r>
      <w:r>
        <w:rPr>
          <w:spacing w:val="-1"/>
        </w:rPr>
        <w:t>general</w:t>
      </w:r>
      <w:r>
        <w:rPr>
          <w:spacing w:val="-7"/>
        </w:rPr>
        <w:t xml:space="preserve"> </w:t>
      </w:r>
      <w:r>
        <w:rPr>
          <w:spacing w:val="-1"/>
        </w:rPr>
        <w:t>administration,</w:t>
      </w:r>
      <w:r>
        <w:rPr>
          <w:spacing w:val="-7"/>
        </w:rPr>
        <w:t xml:space="preserve"> </w:t>
      </w:r>
      <w:r>
        <w:rPr>
          <w:spacing w:val="-1"/>
        </w:rPr>
        <w:t>school</w:t>
      </w:r>
      <w:r>
        <w:rPr>
          <w:spacing w:val="-7"/>
        </w:rPr>
        <w:t xml:space="preserve"> </w:t>
      </w:r>
      <w:r>
        <w:rPr>
          <w:spacing w:val="-1"/>
        </w:rPr>
        <w:t>administration,</w:t>
      </w:r>
      <w:r>
        <w:rPr>
          <w:spacing w:val="-8"/>
        </w:rPr>
        <w:t xml:space="preserve"> </w:t>
      </w:r>
      <w:r>
        <w:rPr>
          <w:spacing w:val="-1"/>
        </w:rPr>
        <w:t>operations</w:t>
      </w:r>
      <w:r>
        <w:rPr>
          <w:spacing w:val="-7"/>
        </w:rPr>
        <w:t xml:space="preserve"> </w:t>
      </w:r>
      <w:r>
        <w:rPr>
          <w:spacing w:val="-1"/>
        </w:rPr>
        <w:t>and</w:t>
      </w:r>
      <w:r>
        <w:rPr>
          <w:spacing w:val="-7"/>
        </w:rPr>
        <w:t xml:space="preserve"> </w:t>
      </w:r>
      <w:r>
        <w:rPr>
          <w:spacing w:val="-1"/>
        </w:rPr>
        <w:t>maintenance,</w:t>
      </w:r>
      <w:r>
        <w:rPr>
          <w:spacing w:val="-7"/>
        </w:rPr>
        <w:t xml:space="preserve"> </w:t>
      </w:r>
      <w:r>
        <w:rPr>
          <w:spacing w:val="-1"/>
        </w:rPr>
        <w:t>student transportation,</w:t>
      </w:r>
      <w:r>
        <w:rPr>
          <w:spacing w:val="-4"/>
        </w:rPr>
        <w:t xml:space="preserve"> </w:t>
      </w:r>
      <w:r>
        <w:rPr>
          <w:spacing w:val="-1"/>
        </w:rPr>
        <w:t>other</w:t>
      </w:r>
      <w:r>
        <w:rPr>
          <w:spacing w:val="-5"/>
        </w:rPr>
        <w:t xml:space="preserve"> </w:t>
      </w:r>
      <w:r>
        <w:t>support</w:t>
      </w:r>
      <w:r>
        <w:rPr>
          <w:spacing w:val="-4"/>
        </w:rPr>
        <w:t xml:space="preserve"> </w:t>
      </w:r>
      <w:r>
        <w:rPr>
          <w:spacing w:val="-1"/>
        </w:rPr>
        <w:t>services</w:t>
      </w:r>
      <w:r>
        <w:rPr>
          <w:spacing w:val="-3"/>
        </w:rPr>
        <w:t xml:space="preserve"> </w:t>
      </w:r>
      <w:r>
        <w:t>(such</w:t>
      </w:r>
      <w:r>
        <w:rPr>
          <w:spacing w:val="-4"/>
        </w:rPr>
        <w:t xml:space="preserve"> </w:t>
      </w:r>
      <w:r>
        <w:rPr>
          <w:spacing w:val="-1"/>
        </w:rPr>
        <w:t>as</w:t>
      </w:r>
      <w:r>
        <w:rPr>
          <w:spacing w:val="-4"/>
        </w:rPr>
        <w:t xml:space="preserve"> </w:t>
      </w:r>
      <w:r>
        <w:t>business</w:t>
      </w:r>
      <w:r>
        <w:rPr>
          <w:spacing w:val="-4"/>
        </w:rPr>
        <w:t xml:space="preserve"> </w:t>
      </w:r>
      <w:r>
        <w:rPr>
          <w:spacing w:val="-1"/>
        </w:rPr>
        <w:t>services), food</w:t>
      </w:r>
      <w:r>
        <w:rPr>
          <w:spacing w:val="-4"/>
        </w:rPr>
        <w:t xml:space="preserve"> </w:t>
      </w:r>
      <w:r>
        <w:rPr>
          <w:spacing w:val="-1"/>
        </w:rPr>
        <w:t>services,</w:t>
      </w:r>
      <w:r>
        <w:rPr>
          <w:spacing w:val="-4"/>
        </w:rPr>
        <w:t xml:space="preserve"> </w:t>
      </w:r>
      <w:r>
        <w:rPr>
          <w:spacing w:val="-1"/>
        </w:rPr>
        <w:t>enterprise operations,</w:t>
      </w:r>
      <w:r>
        <w:rPr>
          <w:spacing w:val="-5"/>
        </w:rPr>
        <w:t xml:space="preserve"> </w:t>
      </w:r>
      <w:r>
        <w:rPr>
          <w:spacing w:val="-1"/>
        </w:rPr>
        <w:t>and</w:t>
      </w:r>
      <w:r>
        <w:rPr>
          <w:spacing w:val="-4"/>
        </w:rPr>
        <w:t xml:space="preserve"> </w:t>
      </w:r>
      <w:r>
        <w:rPr>
          <w:spacing w:val="-1"/>
        </w:rPr>
        <w:t>total</w:t>
      </w:r>
      <w:r>
        <w:rPr>
          <w:spacing w:val="-5"/>
        </w:rPr>
        <w:t xml:space="preserve"> </w:t>
      </w:r>
      <w:r>
        <w:t>current</w:t>
      </w:r>
      <w:r>
        <w:rPr>
          <w:spacing w:val="-4"/>
        </w:rPr>
        <w:t xml:space="preserve"> </w:t>
      </w:r>
      <w:r>
        <w:rPr>
          <w:spacing w:val="-1"/>
        </w:rPr>
        <w:t>expenditures.</w:t>
      </w:r>
      <w:r>
        <w:rPr>
          <w:spacing w:val="-5"/>
        </w:rPr>
        <w:t xml:space="preserve"> </w:t>
      </w:r>
      <w:r>
        <w:rPr>
          <w:spacing w:val="-1"/>
        </w:rPr>
        <w:t>Objects</w:t>
      </w:r>
      <w:r>
        <w:rPr>
          <w:spacing w:val="-2"/>
        </w:rPr>
        <w:t xml:space="preserve"> </w:t>
      </w:r>
      <w:r>
        <w:rPr>
          <w:spacing w:val="-1"/>
        </w:rPr>
        <w:t>reported</w:t>
      </w:r>
      <w:r>
        <w:rPr>
          <w:spacing w:val="-5"/>
        </w:rPr>
        <w:t xml:space="preserve"> </w:t>
      </w:r>
      <w:r>
        <w:rPr>
          <w:spacing w:val="-1"/>
        </w:rPr>
        <w:t>within</w:t>
      </w:r>
      <w:r>
        <w:rPr>
          <w:spacing w:val="-4"/>
        </w:rPr>
        <w:t xml:space="preserve"> </w:t>
      </w:r>
      <w:r>
        <w:t>a</w:t>
      </w:r>
      <w:r>
        <w:rPr>
          <w:spacing w:val="-6"/>
        </w:rPr>
        <w:t xml:space="preserve"> </w:t>
      </w:r>
      <w:r>
        <w:t>function</w:t>
      </w:r>
      <w:r>
        <w:rPr>
          <w:spacing w:val="-4"/>
        </w:rPr>
        <w:t xml:space="preserve"> </w:t>
      </w:r>
      <w:r>
        <w:rPr>
          <w:spacing w:val="-1"/>
        </w:rPr>
        <w:t>include</w:t>
      </w:r>
      <w:r>
        <w:rPr>
          <w:spacing w:val="-6"/>
        </w:rPr>
        <w:t xml:space="preserve"> </w:t>
      </w:r>
      <w:r>
        <w:rPr>
          <w:spacing w:val="-1"/>
        </w:rPr>
        <w:t>salaries, employee</w:t>
      </w:r>
      <w:r>
        <w:rPr>
          <w:spacing w:val="-8"/>
        </w:rPr>
        <w:t xml:space="preserve"> </w:t>
      </w:r>
      <w:r>
        <w:rPr>
          <w:spacing w:val="-1"/>
        </w:rPr>
        <w:t>benefits,</w:t>
      </w:r>
      <w:r>
        <w:rPr>
          <w:spacing w:val="-6"/>
        </w:rPr>
        <w:t xml:space="preserve"> </w:t>
      </w:r>
      <w:r>
        <w:rPr>
          <w:spacing w:val="-1"/>
        </w:rPr>
        <w:t>purchased</w:t>
      </w:r>
      <w:r>
        <w:rPr>
          <w:spacing w:val="-6"/>
        </w:rPr>
        <w:t xml:space="preserve"> </w:t>
      </w:r>
      <w:r>
        <w:rPr>
          <w:spacing w:val="-1"/>
        </w:rPr>
        <w:t>services,</w:t>
      </w:r>
      <w:r>
        <w:rPr>
          <w:spacing w:val="-6"/>
        </w:rPr>
        <w:t xml:space="preserve"> </w:t>
      </w:r>
      <w:r>
        <w:rPr>
          <w:spacing w:val="-1"/>
        </w:rPr>
        <w:t>supplies,</w:t>
      </w:r>
      <w:r>
        <w:rPr>
          <w:spacing w:val="-6"/>
        </w:rPr>
        <w:t xml:space="preserve"> </w:t>
      </w:r>
      <w:r>
        <w:t>and</w:t>
      </w:r>
      <w:r>
        <w:rPr>
          <w:spacing w:val="-7"/>
        </w:rPr>
        <w:t xml:space="preserve"> </w:t>
      </w:r>
      <w:r>
        <w:rPr>
          <w:spacing w:val="-1"/>
        </w:rPr>
        <w:t>equipment.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B1" w:rsidRDefault="00F25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02E"/>
    <w:multiLevelType w:val="hybridMultilevel"/>
    <w:tmpl w:val="7A72081E"/>
    <w:lvl w:ilvl="0" w:tplc="A60A600C">
      <w:start w:val="5"/>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24289"/>
    <w:multiLevelType w:val="hybridMultilevel"/>
    <w:tmpl w:val="92D817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5807DA9"/>
    <w:multiLevelType w:val="hybridMultilevel"/>
    <w:tmpl w:val="1A906282"/>
    <w:lvl w:ilvl="0" w:tplc="9ED85CD6">
      <w:start w:val="1"/>
      <w:numFmt w:val="bullet"/>
      <w:lvlText w:val=""/>
      <w:lvlJc w:val="left"/>
      <w:pPr>
        <w:ind w:left="480" w:hanging="361"/>
      </w:pPr>
      <w:rPr>
        <w:rFonts w:ascii="Symbol" w:eastAsia="Symbol" w:hAnsi="Symbol" w:hint="default"/>
        <w:sz w:val="24"/>
        <w:szCs w:val="24"/>
      </w:rPr>
    </w:lvl>
    <w:lvl w:ilvl="1" w:tplc="E4BC91FC">
      <w:start w:val="1"/>
      <w:numFmt w:val="bullet"/>
      <w:lvlText w:val="•"/>
      <w:lvlJc w:val="left"/>
      <w:pPr>
        <w:ind w:left="1422" w:hanging="361"/>
      </w:pPr>
      <w:rPr>
        <w:rFonts w:hint="default"/>
      </w:rPr>
    </w:lvl>
    <w:lvl w:ilvl="2" w:tplc="FEC6B12A">
      <w:start w:val="1"/>
      <w:numFmt w:val="bullet"/>
      <w:lvlText w:val="•"/>
      <w:lvlJc w:val="left"/>
      <w:pPr>
        <w:ind w:left="2364" w:hanging="361"/>
      </w:pPr>
      <w:rPr>
        <w:rFonts w:hint="default"/>
      </w:rPr>
    </w:lvl>
    <w:lvl w:ilvl="3" w:tplc="0BCAC42E">
      <w:start w:val="1"/>
      <w:numFmt w:val="bullet"/>
      <w:lvlText w:val="•"/>
      <w:lvlJc w:val="left"/>
      <w:pPr>
        <w:ind w:left="3306" w:hanging="361"/>
      </w:pPr>
      <w:rPr>
        <w:rFonts w:hint="default"/>
      </w:rPr>
    </w:lvl>
    <w:lvl w:ilvl="4" w:tplc="BE568BE8">
      <w:start w:val="1"/>
      <w:numFmt w:val="bullet"/>
      <w:lvlText w:val="•"/>
      <w:lvlJc w:val="left"/>
      <w:pPr>
        <w:ind w:left="4248" w:hanging="361"/>
      </w:pPr>
      <w:rPr>
        <w:rFonts w:hint="default"/>
      </w:rPr>
    </w:lvl>
    <w:lvl w:ilvl="5" w:tplc="DFFC5C74">
      <w:start w:val="1"/>
      <w:numFmt w:val="bullet"/>
      <w:lvlText w:val="•"/>
      <w:lvlJc w:val="left"/>
      <w:pPr>
        <w:ind w:left="5190" w:hanging="361"/>
      </w:pPr>
      <w:rPr>
        <w:rFonts w:hint="default"/>
      </w:rPr>
    </w:lvl>
    <w:lvl w:ilvl="6" w:tplc="279E5FFA">
      <w:start w:val="1"/>
      <w:numFmt w:val="bullet"/>
      <w:lvlText w:val="•"/>
      <w:lvlJc w:val="left"/>
      <w:pPr>
        <w:ind w:left="6132" w:hanging="361"/>
      </w:pPr>
      <w:rPr>
        <w:rFonts w:hint="default"/>
      </w:rPr>
    </w:lvl>
    <w:lvl w:ilvl="7" w:tplc="54386C66">
      <w:start w:val="1"/>
      <w:numFmt w:val="bullet"/>
      <w:lvlText w:val="•"/>
      <w:lvlJc w:val="left"/>
      <w:pPr>
        <w:ind w:left="7074" w:hanging="361"/>
      </w:pPr>
      <w:rPr>
        <w:rFonts w:hint="default"/>
      </w:rPr>
    </w:lvl>
    <w:lvl w:ilvl="8" w:tplc="EBDC1F9E">
      <w:start w:val="1"/>
      <w:numFmt w:val="bullet"/>
      <w:lvlText w:val="•"/>
      <w:lvlJc w:val="left"/>
      <w:pPr>
        <w:ind w:left="8016" w:hanging="361"/>
      </w:pPr>
      <w:rPr>
        <w:rFonts w:hint="default"/>
      </w:rPr>
    </w:lvl>
  </w:abstractNum>
  <w:abstractNum w:abstractNumId="3">
    <w:nsid w:val="18F5138E"/>
    <w:multiLevelType w:val="hybridMultilevel"/>
    <w:tmpl w:val="A618952C"/>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1AB71D3E"/>
    <w:multiLevelType w:val="hybridMultilevel"/>
    <w:tmpl w:val="3B2EA29E"/>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E6C5C72"/>
    <w:multiLevelType w:val="hybridMultilevel"/>
    <w:tmpl w:val="87C8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0D5C53"/>
    <w:multiLevelType w:val="hybridMultilevel"/>
    <w:tmpl w:val="76587C5C"/>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1B72035"/>
    <w:multiLevelType w:val="hybridMultilevel"/>
    <w:tmpl w:val="A488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E1153"/>
    <w:multiLevelType w:val="hybridMultilevel"/>
    <w:tmpl w:val="B42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E4451"/>
    <w:multiLevelType w:val="hybridMultilevel"/>
    <w:tmpl w:val="1B9C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180FCD"/>
    <w:multiLevelType w:val="hybridMultilevel"/>
    <w:tmpl w:val="BAE2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65269"/>
    <w:multiLevelType w:val="hybridMultilevel"/>
    <w:tmpl w:val="BD90BEC2"/>
    <w:lvl w:ilvl="0" w:tplc="CB4A8D22">
      <w:start w:val="1"/>
      <w:numFmt w:val="decimal"/>
      <w:lvlText w:val="%1."/>
      <w:lvlJc w:val="left"/>
      <w:pPr>
        <w:ind w:left="189" w:hanging="361"/>
      </w:pPr>
      <w:rPr>
        <w:rFonts w:ascii="Times New Roman" w:eastAsia="Times New Roman" w:hAnsi="Times New Roman" w:hint="default"/>
        <w:sz w:val="24"/>
        <w:szCs w:val="24"/>
      </w:rPr>
    </w:lvl>
    <w:lvl w:ilvl="1" w:tplc="DF3C9D46">
      <w:start w:val="1"/>
      <w:numFmt w:val="bullet"/>
      <w:lvlText w:val=""/>
      <w:lvlJc w:val="left"/>
      <w:pPr>
        <w:ind w:left="674" w:hanging="360"/>
      </w:pPr>
      <w:rPr>
        <w:rFonts w:ascii="Symbol" w:eastAsia="Symbol" w:hAnsi="Symbol" w:hint="default"/>
        <w:color w:val="0D0D0D"/>
        <w:sz w:val="24"/>
        <w:szCs w:val="24"/>
      </w:rPr>
    </w:lvl>
    <w:lvl w:ilvl="2" w:tplc="1E74BEDC">
      <w:start w:val="1"/>
      <w:numFmt w:val="bullet"/>
      <w:lvlText w:val="•"/>
      <w:lvlJc w:val="left"/>
      <w:pPr>
        <w:ind w:left="1623" w:hanging="360"/>
      </w:pPr>
      <w:rPr>
        <w:rFonts w:hint="default"/>
      </w:rPr>
    </w:lvl>
    <w:lvl w:ilvl="3" w:tplc="A9B28B8A">
      <w:start w:val="1"/>
      <w:numFmt w:val="bullet"/>
      <w:lvlText w:val="•"/>
      <w:lvlJc w:val="left"/>
      <w:pPr>
        <w:ind w:left="2572" w:hanging="360"/>
      </w:pPr>
      <w:rPr>
        <w:rFonts w:hint="default"/>
      </w:rPr>
    </w:lvl>
    <w:lvl w:ilvl="4" w:tplc="A806920E">
      <w:start w:val="1"/>
      <w:numFmt w:val="bullet"/>
      <w:lvlText w:val="•"/>
      <w:lvlJc w:val="left"/>
      <w:pPr>
        <w:ind w:left="3521" w:hanging="360"/>
      </w:pPr>
      <w:rPr>
        <w:rFonts w:hint="default"/>
      </w:rPr>
    </w:lvl>
    <w:lvl w:ilvl="5" w:tplc="B96E62C6">
      <w:start w:val="1"/>
      <w:numFmt w:val="bullet"/>
      <w:lvlText w:val="•"/>
      <w:lvlJc w:val="left"/>
      <w:pPr>
        <w:ind w:left="4469" w:hanging="360"/>
      </w:pPr>
      <w:rPr>
        <w:rFonts w:hint="default"/>
      </w:rPr>
    </w:lvl>
    <w:lvl w:ilvl="6" w:tplc="A5BA7326">
      <w:start w:val="1"/>
      <w:numFmt w:val="bullet"/>
      <w:lvlText w:val="•"/>
      <w:lvlJc w:val="left"/>
      <w:pPr>
        <w:ind w:left="5418" w:hanging="360"/>
      </w:pPr>
      <w:rPr>
        <w:rFonts w:hint="default"/>
      </w:rPr>
    </w:lvl>
    <w:lvl w:ilvl="7" w:tplc="D7FEA402">
      <w:start w:val="1"/>
      <w:numFmt w:val="bullet"/>
      <w:lvlText w:val="•"/>
      <w:lvlJc w:val="left"/>
      <w:pPr>
        <w:ind w:left="6367" w:hanging="360"/>
      </w:pPr>
      <w:rPr>
        <w:rFonts w:hint="default"/>
      </w:rPr>
    </w:lvl>
    <w:lvl w:ilvl="8" w:tplc="586203FE">
      <w:start w:val="1"/>
      <w:numFmt w:val="bullet"/>
      <w:lvlText w:val="•"/>
      <w:lvlJc w:val="left"/>
      <w:pPr>
        <w:ind w:left="7316" w:hanging="360"/>
      </w:pPr>
      <w:rPr>
        <w:rFonts w:hint="default"/>
      </w:rPr>
    </w:lvl>
  </w:abstractNum>
  <w:abstractNum w:abstractNumId="12">
    <w:nsid w:val="3DCF714D"/>
    <w:multiLevelType w:val="hybridMultilevel"/>
    <w:tmpl w:val="AFA8587A"/>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524B5B78"/>
    <w:multiLevelType w:val="hybridMultilevel"/>
    <w:tmpl w:val="BC3245BA"/>
    <w:lvl w:ilvl="0" w:tplc="C5782E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657AA"/>
    <w:multiLevelType w:val="hybridMultilevel"/>
    <w:tmpl w:val="C7B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53D92"/>
    <w:multiLevelType w:val="hybridMultilevel"/>
    <w:tmpl w:val="02A4CC24"/>
    <w:lvl w:ilvl="0" w:tplc="CF72D550">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696D502A"/>
    <w:multiLevelType w:val="hybridMultilevel"/>
    <w:tmpl w:val="5728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7D246C"/>
    <w:multiLevelType w:val="hybridMultilevel"/>
    <w:tmpl w:val="E490E4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nsid w:val="7D4523BA"/>
    <w:multiLevelType w:val="hybridMultilevel"/>
    <w:tmpl w:val="ACD60966"/>
    <w:lvl w:ilvl="0" w:tplc="E48C62C6">
      <w:start w:val="5"/>
      <w:numFmt w:val="decimal"/>
      <w:lvlText w:val="%1"/>
      <w:lvlJc w:val="left"/>
      <w:pPr>
        <w:ind w:left="302" w:hanging="191"/>
      </w:pPr>
      <w:rPr>
        <w:rFonts w:ascii="Palatino Linotype" w:eastAsia="Palatino Linotype" w:hAnsi="Palatino Linotype" w:hint="default"/>
        <w:w w:val="96"/>
        <w:sz w:val="10"/>
        <w:szCs w:val="10"/>
      </w:rPr>
    </w:lvl>
    <w:lvl w:ilvl="1" w:tplc="A45E5966">
      <w:start w:val="1"/>
      <w:numFmt w:val="bullet"/>
      <w:lvlText w:val="•"/>
      <w:lvlJc w:val="left"/>
      <w:pPr>
        <w:ind w:left="1644" w:hanging="191"/>
      </w:pPr>
      <w:rPr>
        <w:rFonts w:hint="default"/>
      </w:rPr>
    </w:lvl>
    <w:lvl w:ilvl="2" w:tplc="26865BF2">
      <w:start w:val="1"/>
      <w:numFmt w:val="bullet"/>
      <w:lvlText w:val="•"/>
      <w:lvlJc w:val="left"/>
      <w:pPr>
        <w:ind w:left="2985" w:hanging="191"/>
      </w:pPr>
      <w:rPr>
        <w:rFonts w:hint="default"/>
      </w:rPr>
    </w:lvl>
    <w:lvl w:ilvl="3" w:tplc="E3CA441E">
      <w:start w:val="1"/>
      <w:numFmt w:val="bullet"/>
      <w:lvlText w:val="•"/>
      <w:lvlJc w:val="left"/>
      <w:pPr>
        <w:ind w:left="4327" w:hanging="191"/>
      </w:pPr>
      <w:rPr>
        <w:rFonts w:hint="default"/>
      </w:rPr>
    </w:lvl>
    <w:lvl w:ilvl="4" w:tplc="8A844AF8">
      <w:start w:val="1"/>
      <w:numFmt w:val="bullet"/>
      <w:lvlText w:val="•"/>
      <w:lvlJc w:val="left"/>
      <w:pPr>
        <w:ind w:left="5669" w:hanging="191"/>
      </w:pPr>
      <w:rPr>
        <w:rFonts w:hint="default"/>
      </w:rPr>
    </w:lvl>
    <w:lvl w:ilvl="5" w:tplc="7256BDD8">
      <w:start w:val="1"/>
      <w:numFmt w:val="bullet"/>
      <w:lvlText w:val="•"/>
      <w:lvlJc w:val="left"/>
      <w:pPr>
        <w:ind w:left="7011" w:hanging="191"/>
      </w:pPr>
      <w:rPr>
        <w:rFonts w:hint="default"/>
      </w:rPr>
    </w:lvl>
    <w:lvl w:ilvl="6" w:tplc="87809B76">
      <w:start w:val="1"/>
      <w:numFmt w:val="bullet"/>
      <w:lvlText w:val="•"/>
      <w:lvlJc w:val="left"/>
      <w:pPr>
        <w:ind w:left="8353" w:hanging="191"/>
      </w:pPr>
      <w:rPr>
        <w:rFonts w:hint="default"/>
      </w:rPr>
    </w:lvl>
    <w:lvl w:ilvl="7" w:tplc="A9883E22">
      <w:start w:val="1"/>
      <w:numFmt w:val="bullet"/>
      <w:lvlText w:val="•"/>
      <w:lvlJc w:val="left"/>
      <w:pPr>
        <w:ind w:left="9694" w:hanging="191"/>
      </w:pPr>
      <w:rPr>
        <w:rFonts w:hint="default"/>
      </w:rPr>
    </w:lvl>
    <w:lvl w:ilvl="8" w:tplc="2988B33A">
      <w:start w:val="1"/>
      <w:numFmt w:val="bullet"/>
      <w:lvlText w:val="•"/>
      <w:lvlJc w:val="left"/>
      <w:pPr>
        <w:ind w:left="11036" w:hanging="191"/>
      </w:pPr>
      <w:rPr>
        <w:rFonts w:hint="default"/>
      </w:rPr>
    </w:lvl>
  </w:abstractNum>
  <w:num w:numId="1">
    <w:abstractNumId w:val="6"/>
  </w:num>
  <w:num w:numId="2">
    <w:abstractNumId w:val="0"/>
  </w:num>
  <w:num w:numId="3">
    <w:abstractNumId w:val="16"/>
  </w:num>
  <w:num w:numId="4">
    <w:abstractNumId w:val="5"/>
  </w:num>
  <w:num w:numId="5">
    <w:abstractNumId w:val="18"/>
  </w:num>
  <w:num w:numId="6">
    <w:abstractNumId w:val="2"/>
  </w:num>
  <w:num w:numId="7">
    <w:abstractNumId w:val="11"/>
  </w:num>
  <w:num w:numId="8">
    <w:abstractNumId w:val="1"/>
  </w:num>
  <w:num w:numId="9">
    <w:abstractNumId w:val="3"/>
  </w:num>
  <w:num w:numId="10">
    <w:abstractNumId w:val="4"/>
  </w:num>
  <w:num w:numId="11">
    <w:abstractNumId w:val="12"/>
  </w:num>
  <w:num w:numId="12">
    <w:abstractNumId w:val="9"/>
  </w:num>
  <w:num w:numId="13">
    <w:abstractNumId w:val="17"/>
  </w:num>
  <w:num w:numId="14">
    <w:abstractNumId w:val="7"/>
  </w:num>
  <w:num w:numId="15">
    <w:abstractNumId w:val="8"/>
  </w:num>
  <w:num w:numId="16">
    <w:abstractNumId w:val="14"/>
  </w:num>
  <w:num w:numId="17">
    <w:abstractNumId w:val="1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F9"/>
    <w:rsid w:val="00001C7D"/>
    <w:rsid w:val="00022670"/>
    <w:rsid w:val="00037B45"/>
    <w:rsid w:val="0004694D"/>
    <w:rsid w:val="0007793F"/>
    <w:rsid w:val="00083665"/>
    <w:rsid w:val="000914D8"/>
    <w:rsid w:val="0009544C"/>
    <w:rsid w:val="00095689"/>
    <w:rsid w:val="000A61A4"/>
    <w:rsid w:val="000C01CF"/>
    <w:rsid w:val="000D0D14"/>
    <w:rsid w:val="000D3234"/>
    <w:rsid w:val="000D3BBD"/>
    <w:rsid w:val="000E2A89"/>
    <w:rsid w:val="000E3C0E"/>
    <w:rsid w:val="000E5B35"/>
    <w:rsid w:val="000F2469"/>
    <w:rsid w:val="000F6EC8"/>
    <w:rsid w:val="001020F7"/>
    <w:rsid w:val="00103DAA"/>
    <w:rsid w:val="00120CBE"/>
    <w:rsid w:val="00133296"/>
    <w:rsid w:val="00134672"/>
    <w:rsid w:val="00134CE1"/>
    <w:rsid w:val="001573FE"/>
    <w:rsid w:val="00157643"/>
    <w:rsid w:val="0016656E"/>
    <w:rsid w:val="001A2922"/>
    <w:rsid w:val="001E441F"/>
    <w:rsid w:val="001E67E4"/>
    <w:rsid w:val="001F1838"/>
    <w:rsid w:val="001F3C0D"/>
    <w:rsid w:val="001F427C"/>
    <w:rsid w:val="00200674"/>
    <w:rsid w:val="002075FA"/>
    <w:rsid w:val="0021493F"/>
    <w:rsid w:val="002233D7"/>
    <w:rsid w:val="00232920"/>
    <w:rsid w:val="002342F3"/>
    <w:rsid w:val="00262105"/>
    <w:rsid w:val="002721D3"/>
    <w:rsid w:val="00274BCA"/>
    <w:rsid w:val="0028137B"/>
    <w:rsid w:val="002840F0"/>
    <w:rsid w:val="0028796D"/>
    <w:rsid w:val="002C1828"/>
    <w:rsid w:val="002C24AE"/>
    <w:rsid w:val="002C63D2"/>
    <w:rsid w:val="002C7F1B"/>
    <w:rsid w:val="002D0547"/>
    <w:rsid w:val="002D4B5D"/>
    <w:rsid w:val="002D6A03"/>
    <w:rsid w:val="00300098"/>
    <w:rsid w:val="00333990"/>
    <w:rsid w:val="0035107D"/>
    <w:rsid w:val="00367CC1"/>
    <w:rsid w:val="00381151"/>
    <w:rsid w:val="0039015B"/>
    <w:rsid w:val="00396A2C"/>
    <w:rsid w:val="003A65EF"/>
    <w:rsid w:val="00437007"/>
    <w:rsid w:val="004666EE"/>
    <w:rsid w:val="00476B57"/>
    <w:rsid w:val="004B79F8"/>
    <w:rsid w:val="004C0B04"/>
    <w:rsid w:val="004C2E4F"/>
    <w:rsid w:val="004E2FE5"/>
    <w:rsid w:val="004E4856"/>
    <w:rsid w:val="00537360"/>
    <w:rsid w:val="00540804"/>
    <w:rsid w:val="00555B03"/>
    <w:rsid w:val="005662F9"/>
    <w:rsid w:val="0057367D"/>
    <w:rsid w:val="0058016B"/>
    <w:rsid w:val="00586B84"/>
    <w:rsid w:val="0058700C"/>
    <w:rsid w:val="00593B41"/>
    <w:rsid w:val="005B2571"/>
    <w:rsid w:val="005C2BDE"/>
    <w:rsid w:val="005C4986"/>
    <w:rsid w:val="005C4CBA"/>
    <w:rsid w:val="005D0CC3"/>
    <w:rsid w:val="005D2D52"/>
    <w:rsid w:val="005D4FD9"/>
    <w:rsid w:val="005D56CB"/>
    <w:rsid w:val="005E1FFD"/>
    <w:rsid w:val="005E2058"/>
    <w:rsid w:val="005F3C57"/>
    <w:rsid w:val="00623020"/>
    <w:rsid w:val="00635BDF"/>
    <w:rsid w:val="00642179"/>
    <w:rsid w:val="00662564"/>
    <w:rsid w:val="006703DB"/>
    <w:rsid w:val="00681F79"/>
    <w:rsid w:val="00684336"/>
    <w:rsid w:val="00690EC3"/>
    <w:rsid w:val="006C0DED"/>
    <w:rsid w:val="006C670A"/>
    <w:rsid w:val="006D3CE8"/>
    <w:rsid w:val="006F6EDD"/>
    <w:rsid w:val="00706784"/>
    <w:rsid w:val="00714E8F"/>
    <w:rsid w:val="007249E6"/>
    <w:rsid w:val="00735966"/>
    <w:rsid w:val="007571BD"/>
    <w:rsid w:val="00761482"/>
    <w:rsid w:val="00770715"/>
    <w:rsid w:val="00770DDD"/>
    <w:rsid w:val="00785E98"/>
    <w:rsid w:val="007A5BEE"/>
    <w:rsid w:val="007A6847"/>
    <w:rsid w:val="007D4D8D"/>
    <w:rsid w:val="007D639E"/>
    <w:rsid w:val="007F4895"/>
    <w:rsid w:val="008055B4"/>
    <w:rsid w:val="00805E16"/>
    <w:rsid w:val="00835BE2"/>
    <w:rsid w:val="00835D93"/>
    <w:rsid w:val="00844A87"/>
    <w:rsid w:val="00861A50"/>
    <w:rsid w:val="00870CD5"/>
    <w:rsid w:val="0089226F"/>
    <w:rsid w:val="008B66C7"/>
    <w:rsid w:val="008C2E63"/>
    <w:rsid w:val="008D007F"/>
    <w:rsid w:val="008E3786"/>
    <w:rsid w:val="008E37D7"/>
    <w:rsid w:val="008E6CAB"/>
    <w:rsid w:val="00900181"/>
    <w:rsid w:val="00902260"/>
    <w:rsid w:val="0090468F"/>
    <w:rsid w:val="0092407E"/>
    <w:rsid w:val="0096183A"/>
    <w:rsid w:val="00972D95"/>
    <w:rsid w:val="009778CA"/>
    <w:rsid w:val="0099586B"/>
    <w:rsid w:val="00997478"/>
    <w:rsid w:val="009B4601"/>
    <w:rsid w:val="009C1FFC"/>
    <w:rsid w:val="009D4E09"/>
    <w:rsid w:val="00A237C8"/>
    <w:rsid w:val="00A42E4C"/>
    <w:rsid w:val="00A534AF"/>
    <w:rsid w:val="00A61695"/>
    <w:rsid w:val="00A61D73"/>
    <w:rsid w:val="00A67317"/>
    <w:rsid w:val="00A70E84"/>
    <w:rsid w:val="00A811F9"/>
    <w:rsid w:val="00A82885"/>
    <w:rsid w:val="00A97FEF"/>
    <w:rsid w:val="00AA0879"/>
    <w:rsid w:val="00AA1BA7"/>
    <w:rsid w:val="00AB1041"/>
    <w:rsid w:val="00AB3D30"/>
    <w:rsid w:val="00AB49BC"/>
    <w:rsid w:val="00AC2E60"/>
    <w:rsid w:val="00AD50B4"/>
    <w:rsid w:val="00AD5542"/>
    <w:rsid w:val="00AF2AB5"/>
    <w:rsid w:val="00AF4B75"/>
    <w:rsid w:val="00B21116"/>
    <w:rsid w:val="00B2484E"/>
    <w:rsid w:val="00B26F6A"/>
    <w:rsid w:val="00B35B75"/>
    <w:rsid w:val="00B60ED7"/>
    <w:rsid w:val="00BA33A6"/>
    <w:rsid w:val="00BE00A9"/>
    <w:rsid w:val="00BE11E2"/>
    <w:rsid w:val="00BE25CC"/>
    <w:rsid w:val="00C05F48"/>
    <w:rsid w:val="00C15687"/>
    <w:rsid w:val="00C208C7"/>
    <w:rsid w:val="00C439A0"/>
    <w:rsid w:val="00C60693"/>
    <w:rsid w:val="00C8134E"/>
    <w:rsid w:val="00CA1F95"/>
    <w:rsid w:val="00CC4821"/>
    <w:rsid w:val="00CE1736"/>
    <w:rsid w:val="00CE5799"/>
    <w:rsid w:val="00CE78A1"/>
    <w:rsid w:val="00CF3A79"/>
    <w:rsid w:val="00D117F6"/>
    <w:rsid w:val="00D22C64"/>
    <w:rsid w:val="00D75EDA"/>
    <w:rsid w:val="00D91F24"/>
    <w:rsid w:val="00DA6EB2"/>
    <w:rsid w:val="00DB77EA"/>
    <w:rsid w:val="00DD7EF5"/>
    <w:rsid w:val="00DE415D"/>
    <w:rsid w:val="00DE7E2F"/>
    <w:rsid w:val="00E05191"/>
    <w:rsid w:val="00E06CD9"/>
    <w:rsid w:val="00E25F62"/>
    <w:rsid w:val="00E36A38"/>
    <w:rsid w:val="00E4430F"/>
    <w:rsid w:val="00E671AA"/>
    <w:rsid w:val="00E67E75"/>
    <w:rsid w:val="00E811D8"/>
    <w:rsid w:val="00E81933"/>
    <w:rsid w:val="00E875E3"/>
    <w:rsid w:val="00E90A9C"/>
    <w:rsid w:val="00E97442"/>
    <w:rsid w:val="00E9782E"/>
    <w:rsid w:val="00ED1673"/>
    <w:rsid w:val="00EE15D5"/>
    <w:rsid w:val="00EE6C1E"/>
    <w:rsid w:val="00EF0CC2"/>
    <w:rsid w:val="00EF29B6"/>
    <w:rsid w:val="00F11BE6"/>
    <w:rsid w:val="00F259B1"/>
    <w:rsid w:val="00F25C6B"/>
    <w:rsid w:val="00F61173"/>
    <w:rsid w:val="00F81E1F"/>
    <w:rsid w:val="00FA319F"/>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semiHidden/>
    <w:rsid w:val="0090468F"/>
  </w:style>
  <w:style w:type="paragraph" w:styleId="FootnoteText">
    <w:name w:val="footnote text"/>
    <w:basedOn w:val="Normal"/>
    <w:link w:val="FootnoteTextChar"/>
    <w:uiPriority w:val="99"/>
    <w:semiHidden/>
    <w:rsid w:val="0090468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AB1041"/>
    <w:pPr>
      <w:widowControl w:val="0"/>
      <w:autoSpaceDE w:val="0"/>
      <w:autoSpaceDN w:val="0"/>
      <w:adjustRightInd w:val="0"/>
      <w:ind w:left="720"/>
    </w:p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1"/>
    <w:qFormat/>
    <w:rsid w:val="000E5B35"/>
    <w:pPr>
      <w:widowControl w:val="0"/>
      <w:spacing w:before="120"/>
      <w:ind w:left="120"/>
    </w:pPr>
    <w:rPr>
      <w:rFonts w:cstheme="minorBidi"/>
    </w:rPr>
  </w:style>
  <w:style w:type="paragraph" w:styleId="ListParagraph">
    <w:name w:val="List Paragraph"/>
    <w:basedOn w:val="Normal"/>
    <w:uiPriority w:val="1"/>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semiHidden/>
    <w:rsid w:val="0090468F"/>
  </w:style>
  <w:style w:type="paragraph" w:styleId="FootnoteText">
    <w:name w:val="footnote text"/>
    <w:basedOn w:val="Normal"/>
    <w:link w:val="FootnoteTextChar"/>
    <w:uiPriority w:val="99"/>
    <w:semiHidden/>
    <w:rsid w:val="0090468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AB1041"/>
    <w:pPr>
      <w:widowControl w:val="0"/>
      <w:autoSpaceDE w:val="0"/>
      <w:autoSpaceDN w:val="0"/>
      <w:adjustRightInd w:val="0"/>
      <w:ind w:left="720"/>
    </w:p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1"/>
    <w:qFormat/>
    <w:rsid w:val="000E5B35"/>
    <w:pPr>
      <w:widowControl w:val="0"/>
      <w:spacing w:before="120"/>
      <w:ind w:left="120"/>
    </w:pPr>
    <w:rPr>
      <w:rFonts w:cstheme="minorBidi"/>
    </w:rPr>
  </w:style>
  <w:style w:type="paragraph" w:styleId="ListParagraph">
    <w:name w:val="List Paragraph"/>
    <w:basedOn w:val="Normal"/>
    <w:uiPriority w:val="1"/>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240">
      <w:bodyDiv w:val="1"/>
      <w:marLeft w:val="0"/>
      <w:marRight w:val="0"/>
      <w:marTop w:val="0"/>
      <w:marBottom w:val="0"/>
      <w:divBdr>
        <w:top w:val="none" w:sz="0" w:space="0" w:color="auto"/>
        <w:left w:val="none" w:sz="0" w:space="0" w:color="auto"/>
        <w:bottom w:val="none" w:sz="0" w:space="0" w:color="auto"/>
        <w:right w:val="none" w:sz="0" w:space="0" w:color="auto"/>
      </w:divBdr>
    </w:div>
    <w:div w:id="192380545">
      <w:bodyDiv w:val="1"/>
      <w:marLeft w:val="0"/>
      <w:marRight w:val="0"/>
      <w:marTop w:val="0"/>
      <w:marBottom w:val="0"/>
      <w:divBdr>
        <w:top w:val="none" w:sz="0" w:space="0" w:color="auto"/>
        <w:left w:val="none" w:sz="0" w:space="0" w:color="auto"/>
        <w:bottom w:val="none" w:sz="0" w:space="0" w:color="auto"/>
        <w:right w:val="none" w:sz="0" w:space="0" w:color="auto"/>
      </w:divBdr>
    </w:div>
    <w:div w:id="597180528">
      <w:bodyDiv w:val="1"/>
      <w:marLeft w:val="0"/>
      <w:marRight w:val="0"/>
      <w:marTop w:val="0"/>
      <w:marBottom w:val="0"/>
      <w:divBdr>
        <w:top w:val="none" w:sz="0" w:space="0" w:color="auto"/>
        <w:left w:val="none" w:sz="0" w:space="0" w:color="auto"/>
        <w:bottom w:val="none" w:sz="0" w:space="0" w:color="auto"/>
        <w:right w:val="none" w:sz="0" w:space="0" w:color="auto"/>
      </w:divBdr>
    </w:div>
    <w:div w:id="814642414">
      <w:bodyDiv w:val="1"/>
      <w:marLeft w:val="0"/>
      <w:marRight w:val="0"/>
      <w:marTop w:val="0"/>
      <w:marBottom w:val="0"/>
      <w:divBdr>
        <w:top w:val="none" w:sz="0" w:space="0" w:color="auto"/>
        <w:left w:val="none" w:sz="0" w:space="0" w:color="auto"/>
        <w:bottom w:val="none" w:sz="0" w:space="0" w:color="auto"/>
        <w:right w:val="none" w:sz="0" w:space="0" w:color="auto"/>
      </w:divBdr>
    </w:div>
    <w:div w:id="836117703">
      <w:bodyDiv w:val="1"/>
      <w:marLeft w:val="0"/>
      <w:marRight w:val="0"/>
      <w:marTop w:val="0"/>
      <w:marBottom w:val="0"/>
      <w:divBdr>
        <w:top w:val="none" w:sz="0" w:space="0" w:color="auto"/>
        <w:left w:val="none" w:sz="0" w:space="0" w:color="auto"/>
        <w:bottom w:val="none" w:sz="0" w:space="0" w:color="auto"/>
        <w:right w:val="none" w:sz="0" w:space="0" w:color="auto"/>
      </w:divBdr>
    </w:div>
    <w:div w:id="952981468">
      <w:bodyDiv w:val="1"/>
      <w:marLeft w:val="0"/>
      <w:marRight w:val="0"/>
      <w:marTop w:val="0"/>
      <w:marBottom w:val="0"/>
      <w:divBdr>
        <w:top w:val="none" w:sz="0" w:space="0" w:color="auto"/>
        <w:left w:val="none" w:sz="0" w:space="0" w:color="auto"/>
        <w:bottom w:val="none" w:sz="0" w:space="0" w:color="auto"/>
        <w:right w:val="none" w:sz="0" w:space="0" w:color="auto"/>
      </w:divBdr>
    </w:div>
    <w:div w:id="1096370056">
      <w:bodyDiv w:val="1"/>
      <w:marLeft w:val="0"/>
      <w:marRight w:val="0"/>
      <w:marTop w:val="0"/>
      <w:marBottom w:val="0"/>
      <w:divBdr>
        <w:top w:val="none" w:sz="0" w:space="0" w:color="auto"/>
        <w:left w:val="none" w:sz="0" w:space="0" w:color="auto"/>
        <w:bottom w:val="none" w:sz="0" w:space="0" w:color="auto"/>
        <w:right w:val="none" w:sz="0" w:space="0" w:color="auto"/>
      </w:divBdr>
    </w:div>
    <w:div w:id="1269241929">
      <w:bodyDiv w:val="1"/>
      <w:marLeft w:val="0"/>
      <w:marRight w:val="0"/>
      <w:marTop w:val="0"/>
      <w:marBottom w:val="0"/>
      <w:divBdr>
        <w:top w:val="none" w:sz="0" w:space="0" w:color="auto"/>
        <w:left w:val="none" w:sz="0" w:space="0" w:color="auto"/>
        <w:bottom w:val="none" w:sz="0" w:space="0" w:color="auto"/>
        <w:right w:val="none" w:sz="0" w:space="0" w:color="auto"/>
      </w:divBdr>
    </w:div>
    <w:div w:id="2083719290">
      <w:bodyDiv w:val="1"/>
      <w:marLeft w:val="0"/>
      <w:marRight w:val="0"/>
      <w:marTop w:val="0"/>
      <w:marBottom w:val="0"/>
      <w:divBdr>
        <w:top w:val="none" w:sz="0" w:space="0" w:color="auto"/>
        <w:left w:val="none" w:sz="0" w:space="0" w:color="auto"/>
        <w:bottom w:val="none" w:sz="0" w:space="0" w:color="auto"/>
        <w:right w:val="none" w:sz="0" w:space="0" w:color="auto"/>
      </w:divBdr>
    </w:div>
    <w:div w:id="21408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klin.winters@census.gov" TargetMode="External"/><Relationship Id="rId18" Type="http://schemas.openxmlformats.org/officeDocument/2006/relationships/hyperlink" Target="http://nces.ed.gov/pubsearch/pubsinfo.asp?pubid=201534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illiam.sonnenberg@ed.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anie.stullich@ed.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nces.ed.gov/statprog/2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ephen.cornman@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737C-449E-4BD9-A30E-9FCAE18B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U.S. Department of Education</cp:lastModifiedBy>
  <cp:revision>11</cp:revision>
  <cp:lastPrinted>2012-12-10T19:28:00Z</cp:lastPrinted>
  <dcterms:created xsi:type="dcterms:W3CDTF">2016-09-14T15:50:00Z</dcterms:created>
  <dcterms:modified xsi:type="dcterms:W3CDTF">2016-09-21T23:26:00Z</dcterms:modified>
</cp:coreProperties>
</file>