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pPr>
        <w:rPr>
          <w:spacing w:val="-4"/>
          <w:sz w:val="16"/>
        </w:rPr>
      </w:pPr>
      <w:r>
        <w:rPr>
          <w:spacing w:val="-4"/>
          <w:sz w:val="16"/>
        </w:rPr>
        <w:br w:type="column"/>
      </w:r>
    </w:p>
    <w:p w:rsidR="00B9189D" w:rsidRDefault="00B9189D">
      <w:pPr>
        <w:rPr>
          <w:rFonts w:ascii="AvantGarde" w:hAnsi="AvantGarde"/>
          <w:b/>
          <w:bCs/>
          <w:sz w:val="40"/>
          <w:szCs w:val="40"/>
        </w:rPr>
      </w:pPr>
    </w:p>
    <w:p w:rsidR="00B30C42" w:rsidRDefault="00702EC5">
      <w:pPr>
        <w:rPr>
          <w:rFonts w:ascii="AvantGarde" w:hAnsi="AvantGarde"/>
          <w:b/>
          <w:bCs/>
          <w:sz w:val="50"/>
        </w:rPr>
      </w:pPr>
      <w:r w:rsidRPr="00702EC5">
        <w:rPr>
          <w:rFonts w:ascii="AvantGarde" w:hAnsi="AvantGarde"/>
          <w:b/>
          <w:bCs/>
          <w:sz w:val="40"/>
          <w:szCs w:val="40"/>
        </w:rPr>
        <w:t xml:space="preserve">Common Core of Data (CCD) </w:t>
      </w:r>
      <w:r w:rsidR="000B74CA">
        <w:rPr>
          <w:rFonts w:ascii="AvantGarde" w:hAnsi="AvantGarde"/>
          <w:b/>
          <w:bCs/>
          <w:sz w:val="40"/>
          <w:szCs w:val="40"/>
        </w:rPr>
        <w:t xml:space="preserve">School-Level Finance </w:t>
      </w:r>
      <w:r w:rsidR="003739EE" w:rsidRPr="00B9189D">
        <w:rPr>
          <w:rFonts w:ascii="AvantGarde" w:hAnsi="AvantGarde"/>
          <w:b/>
          <w:bCs/>
          <w:sz w:val="40"/>
          <w:szCs w:val="40"/>
        </w:rPr>
        <w:t>Survey</w:t>
      </w:r>
      <w:r w:rsidR="000B74CA">
        <w:rPr>
          <w:rFonts w:ascii="AvantGarde" w:hAnsi="AvantGarde"/>
          <w:b/>
          <w:bCs/>
          <w:sz w:val="40"/>
          <w:szCs w:val="40"/>
        </w:rPr>
        <w:t xml:space="preserve"> (SLFS)</w:t>
      </w:r>
      <w:r w:rsidR="008C1D39">
        <w:rPr>
          <w:rFonts w:ascii="AvantGarde" w:hAnsi="AvantGarde"/>
          <w:b/>
          <w:bCs/>
          <w:sz w:val="40"/>
          <w:szCs w:val="40"/>
        </w:rPr>
        <w:t xml:space="preserve"> </w:t>
      </w:r>
      <w:r w:rsidR="008C1D39" w:rsidRPr="00B9189D">
        <w:rPr>
          <w:rFonts w:ascii="AvantGarde" w:hAnsi="AvantGarde"/>
          <w:b/>
          <w:bCs/>
          <w:sz w:val="40"/>
          <w:szCs w:val="40"/>
        </w:rPr>
        <w:t>201</w:t>
      </w:r>
      <w:r w:rsidR="008C1D39">
        <w:rPr>
          <w:rFonts w:ascii="AvantGarde" w:hAnsi="AvantGarde"/>
          <w:b/>
          <w:bCs/>
          <w:sz w:val="40"/>
          <w:szCs w:val="40"/>
        </w:rPr>
        <w:t>6</w:t>
      </w:r>
      <w:r w:rsidR="008C1D39" w:rsidRPr="00B9189D">
        <w:rPr>
          <w:rFonts w:ascii="AvantGarde" w:hAnsi="AvantGarde"/>
          <w:b/>
          <w:bCs/>
          <w:sz w:val="40"/>
          <w:szCs w:val="40"/>
        </w:rPr>
        <w:t>-201</w:t>
      </w:r>
      <w:r w:rsidR="008C1D39">
        <w:rPr>
          <w:rFonts w:ascii="AvantGarde" w:hAnsi="AvantGarde"/>
          <w:b/>
          <w:bCs/>
          <w:sz w:val="40"/>
          <w:szCs w:val="40"/>
        </w:rPr>
        <w:t>8</w:t>
      </w:r>
    </w:p>
    <w:p w:rsidR="00B30C42" w:rsidRDefault="00B30C42">
      <w:pPr>
        <w:pStyle w:val="H4"/>
        <w:keepNext w:val="0"/>
        <w:spacing w:before="0" w:after="0"/>
        <w:outlineLvl w:val="9"/>
        <w:rPr>
          <w:rFonts w:ascii="AvantGarde" w:hAnsi="AvantGarde"/>
          <w:bCs/>
          <w:szCs w:val="24"/>
        </w:rPr>
      </w:pPr>
    </w:p>
    <w:p w:rsidR="00B30C42" w:rsidRDefault="00B30C42"/>
    <w:p w:rsidR="00B30C42" w:rsidRDefault="00B30C42"/>
    <w:p w:rsidR="00EC35E7" w:rsidRPr="00B9189D" w:rsidRDefault="006C42B5">
      <w:pPr>
        <w:rPr>
          <w:sz w:val="40"/>
          <w:szCs w:val="40"/>
        </w:rPr>
      </w:pPr>
      <w:r w:rsidRPr="00B9189D">
        <w:rPr>
          <w:rFonts w:ascii="AvantGarde" w:hAnsi="AvantGarde"/>
          <w:b/>
          <w:bCs/>
          <w:sz w:val="40"/>
          <w:szCs w:val="40"/>
        </w:rPr>
        <w:t>Supporting Statement Part A</w:t>
      </w:r>
    </w:p>
    <w:p w:rsidR="00EC35E7" w:rsidRDefault="00EC35E7"/>
    <w:p w:rsidR="00EC35E7" w:rsidRDefault="00EC35E7"/>
    <w:p w:rsidR="00EC35E7" w:rsidRDefault="00EC35E7"/>
    <w:p w:rsidR="00EC35E7" w:rsidRPr="00B9189D" w:rsidRDefault="00B9189D">
      <w:pPr>
        <w:rPr>
          <w:rFonts w:ascii="AvantGarde" w:hAnsi="AvantGarde"/>
          <w:b/>
          <w:bCs/>
          <w:sz w:val="36"/>
          <w:szCs w:val="36"/>
        </w:rPr>
      </w:pPr>
      <w:r w:rsidRPr="00B9189D">
        <w:rPr>
          <w:rFonts w:ascii="AvantGarde" w:hAnsi="AvantGarde"/>
          <w:b/>
          <w:bCs/>
          <w:sz w:val="36"/>
          <w:szCs w:val="36"/>
        </w:rPr>
        <w:t xml:space="preserve">OMB# </w:t>
      </w:r>
      <w:r w:rsidR="00B57859">
        <w:rPr>
          <w:rFonts w:ascii="AvantGarde" w:hAnsi="AvantGarde"/>
          <w:b/>
          <w:bCs/>
          <w:sz w:val="36"/>
          <w:szCs w:val="36"/>
        </w:rPr>
        <w:t>1850-New v.1</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0B74CA">
      <w:pPr>
        <w:suppressAutoHyphens/>
        <w:rPr>
          <w:rFonts w:ascii="AvantGarde" w:hAnsi="AvantGarde"/>
          <w:b/>
          <w:spacing w:val="-3"/>
        </w:rPr>
      </w:pPr>
      <w:r>
        <w:rPr>
          <w:rFonts w:ascii="AvantGarde" w:hAnsi="AvantGarde"/>
          <w:b/>
          <w:spacing w:val="-3"/>
        </w:rPr>
        <w:t xml:space="preserve">September </w:t>
      </w:r>
      <w:r w:rsidR="00AA1670">
        <w:rPr>
          <w:rFonts w:ascii="AvantGarde" w:hAnsi="AvantGarde"/>
          <w:b/>
          <w:spacing w:val="-3"/>
        </w:rPr>
        <w:t>201</w:t>
      </w:r>
      <w:r>
        <w:rPr>
          <w:rFonts w:ascii="AvantGarde" w:hAnsi="AvantGarde"/>
          <w:b/>
          <w:spacing w:val="-3"/>
        </w:rPr>
        <w:t>6</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B57859">
          <w:pgSz w:w="12240" w:h="15840" w:code="1"/>
          <w:pgMar w:top="1872" w:right="1008" w:bottom="1008" w:left="1008" w:header="1440" w:footer="720" w:gutter="0"/>
          <w:paperSrc w:first="15" w:other="15"/>
          <w:cols w:num="2" w:space="720" w:equalWidth="0">
            <w:col w:w="4752" w:space="2"/>
            <w:col w:w="5470"/>
          </w:cols>
          <w:titlePg/>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57859" w:rsidRDefault="00B57859">
      <w:pPr>
        <w:pStyle w:val="Heading"/>
      </w:pPr>
    </w:p>
    <w:p w:rsidR="00B57859" w:rsidRDefault="00B57859">
      <w:pPr>
        <w:pStyle w:val="Heading"/>
      </w:pPr>
    </w:p>
    <w:p w:rsidR="00B57859" w:rsidRDefault="00B57859">
      <w:pPr>
        <w:pStyle w:val="Heading"/>
      </w:pPr>
    </w:p>
    <w:p w:rsidR="00B30C42" w:rsidRPr="003C364A" w:rsidRDefault="00B03422" w:rsidP="003C364A">
      <w:pPr>
        <w:pStyle w:val="Heading"/>
        <w:spacing w:before="0"/>
        <w:rPr>
          <w:rFonts w:ascii="Times New Roman" w:hAnsi="Times New Roman"/>
          <w:sz w:val="28"/>
          <w:szCs w:val="28"/>
        </w:rPr>
      </w:pPr>
      <w:r>
        <w:rPr>
          <w:rFonts w:ascii="Times New Roman" w:hAnsi="Times New Roman"/>
          <w:sz w:val="28"/>
          <w:szCs w:val="28"/>
        </w:rPr>
        <w:t xml:space="preserve">Submission </w:t>
      </w:r>
      <w:r w:rsidR="00B30C42" w:rsidRPr="003C364A">
        <w:rPr>
          <w:rFonts w:ascii="Times New Roman" w:hAnsi="Times New Roman"/>
          <w:sz w:val="28"/>
          <w:szCs w:val="28"/>
        </w:rPr>
        <w:t>Contents</w:t>
      </w:r>
    </w:p>
    <w:p w:rsidR="00764F8E" w:rsidRPr="003C364A" w:rsidRDefault="00764F8E" w:rsidP="003C364A">
      <w:pPr>
        <w:pStyle w:val="TOC"/>
        <w:tabs>
          <w:tab w:val="clear" w:pos="9360"/>
          <w:tab w:val="right" w:leader="dot" w:pos="10170"/>
        </w:tabs>
        <w:spacing w:before="0"/>
        <w:rPr>
          <w:sz w:val="24"/>
        </w:rPr>
      </w:pPr>
    </w:p>
    <w:p w:rsidR="00B30C42" w:rsidRPr="00E74186" w:rsidRDefault="00B30C42" w:rsidP="003C364A">
      <w:pPr>
        <w:pStyle w:val="TOC"/>
        <w:tabs>
          <w:tab w:val="clear" w:pos="360"/>
          <w:tab w:val="clear" w:pos="9360"/>
          <w:tab w:val="right" w:leader="dot" w:pos="10170"/>
        </w:tabs>
        <w:spacing w:before="0"/>
        <w:rPr>
          <w:sz w:val="24"/>
        </w:rPr>
      </w:pPr>
      <w:r w:rsidRPr="00E74186">
        <w:rPr>
          <w:sz w:val="24"/>
        </w:rPr>
        <w:t>Part A. Justification</w:t>
      </w:r>
    </w:p>
    <w:p w:rsidR="008674E1" w:rsidRDefault="008674E1" w:rsidP="003C364A">
      <w:pPr>
        <w:pStyle w:val="TOC"/>
        <w:tabs>
          <w:tab w:val="clear" w:pos="360"/>
          <w:tab w:val="clear" w:pos="9360"/>
          <w:tab w:val="right" w:leader="dot" w:pos="10170"/>
        </w:tabs>
        <w:spacing w:before="0" w:after="0"/>
        <w:rPr>
          <w:sz w:val="24"/>
        </w:rPr>
      </w:pPr>
    </w:p>
    <w:p w:rsidR="00B30C42" w:rsidRPr="00E74186" w:rsidRDefault="00B30C42" w:rsidP="003C364A">
      <w:pPr>
        <w:pStyle w:val="TOC"/>
        <w:tabs>
          <w:tab w:val="clear" w:pos="360"/>
          <w:tab w:val="clear" w:pos="9360"/>
          <w:tab w:val="right" w:leader="dot" w:pos="10170"/>
        </w:tabs>
        <w:spacing w:before="0"/>
        <w:rPr>
          <w:sz w:val="24"/>
        </w:rPr>
      </w:pPr>
      <w:r w:rsidRPr="00E74186">
        <w:rPr>
          <w:sz w:val="24"/>
        </w:rPr>
        <w:t>Part B. Collections of Information Employing Statistical Methods</w:t>
      </w:r>
    </w:p>
    <w:p w:rsidR="00B30C42" w:rsidRPr="00E74186" w:rsidRDefault="00B30C42" w:rsidP="003C364A">
      <w:pPr>
        <w:pStyle w:val="TOC"/>
        <w:tabs>
          <w:tab w:val="clear" w:pos="360"/>
          <w:tab w:val="clear" w:pos="9360"/>
          <w:tab w:val="right" w:leader="dot" w:pos="10170"/>
        </w:tabs>
        <w:spacing w:before="0" w:after="0"/>
        <w:rPr>
          <w:sz w:val="24"/>
        </w:rPr>
      </w:pPr>
    </w:p>
    <w:p w:rsidR="00B30C42" w:rsidRPr="00E74186" w:rsidRDefault="00B30C42" w:rsidP="003C364A">
      <w:pPr>
        <w:pStyle w:val="TOC"/>
        <w:tabs>
          <w:tab w:val="clear" w:pos="360"/>
          <w:tab w:val="clear" w:pos="9360"/>
          <w:tab w:val="right" w:leader="dot" w:pos="10170"/>
        </w:tabs>
        <w:spacing w:before="0"/>
        <w:rPr>
          <w:sz w:val="24"/>
        </w:rPr>
      </w:pPr>
      <w:r w:rsidRPr="00E74186">
        <w:rPr>
          <w:sz w:val="24"/>
        </w:rPr>
        <w:t xml:space="preserve">Part C. </w:t>
      </w:r>
      <w:r w:rsidR="000B74CA">
        <w:rPr>
          <w:sz w:val="24"/>
        </w:rPr>
        <w:t>School-Level Finance Survey (SLFS)</w:t>
      </w:r>
    </w:p>
    <w:p w:rsidR="00B30C42" w:rsidRPr="00E74186" w:rsidRDefault="007E689B" w:rsidP="00D9323F">
      <w:pPr>
        <w:pStyle w:val="TOC1"/>
        <w:spacing w:after="120" w:line="240" w:lineRule="auto"/>
      </w:pPr>
      <w:r>
        <w:t>C</w:t>
      </w:r>
      <w:r w:rsidR="00B30C42" w:rsidRPr="00E74186">
        <w:t>.1. Discussion of Items</w:t>
      </w:r>
    </w:p>
    <w:p w:rsidR="00B30C42" w:rsidRPr="00E74186" w:rsidRDefault="007E689B" w:rsidP="00D9323F">
      <w:pPr>
        <w:pStyle w:val="TOC1"/>
        <w:spacing w:after="120" w:line="240" w:lineRule="auto"/>
      </w:pPr>
      <w:r>
        <w:t>C</w:t>
      </w:r>
      <w:r w:rsidR="00B30C42" w:rsidRPr="00E74186">
        <w:t>.2. Sample Tables</w:t>
      </w:r>
    </w:p>
    <w:p w:rsidR="007E689B" w:rsidRDefault="007E689B" w:rsidP="003C364A">
      <w:pPr>
        <w:pStyle w:val="TOC"/>
        <w:tabs>
          <w:tab w:val="clear" w:pos="360"/>
          <w:tab w:val="clear" w:pos="9360"/>
          <w:tab w:val="right" w:leader="dot" w:pos="10170"/>
        </w:tabs>
        <w:spacing w:before="0" w:after="0"/>
        <w:rPr>
          <w:sz w:val="24"/>
        </w:rPr>
      </w:pPr>
    </w:p>
    <w:p w:rsidR="002F7842" w:rsidRDefault="007E689B" w:rsidP="003C364A">
      <w:pPr>
        <w:pStyle w:val="TOC"/>
        <w:tabs>
          <w:tab w:val="clear" w:pos="360"/>
          <w:tab w:val="clear" w:pos="9360"/>
          <w:tab w:val="right" w:leader="dot" w:pos="10170"/>
        </w:tabs>
        <w:spacing w:before="0"/>
        <w:rPr>
          <w:sz w:val="24"/>
        </w:rPr>
      </w:pPr>
      <w:r w:rsidRPr="00E74186">
        <w:rPr>
          <w:sz w:val="24"/>
        </w:rPr>
        <w:t>Appendix A. Communication</w:t>
      </w:r>
      <w:r w:rsidR="00D03F0F">
        <w:rPr>
          <w:sz w:val="24"/>
        </w:rPr>
        <w:t xml:space="preserve"> Material</w:t>
      </w:r>
      <w:r w:rsidRPr="00E74186">
        <w:rPr>
          <w:sz w:val="24"/>
        </w:rPr>
        <w:t>s</w:t>
      </w:r>
    </w:p>
    <w:p w:rsidR="003D3693" w:rsidRDefault="00E074D2" w:rsidP="00E074D2">
      <w:pPr>
        <w:pStyle w:val="TOC1"/>
        <w:spacing w:after="120" w:line="240" w:lineRule="auto"/>
      </w:pPr>
      <w:r>
        <w:t>A.</w:t>
      </w:r>
      <w:r w:rsidR="003D3693">
        <w:t>1.</w:t>
      </w:r>
      <w:r w:rsidR="008D2FC3">
        <w:t xml:space="preserve"> </w:t>
      </w:r>
      <w:r w:rsidR="009940D5">
        <w:t>SLFS 2016 Announcement</w:t>
      </w:r>
      <w:r w:rsidR="00FE0ABA">
        <w:t xml:space="preserve"> </w:t>
      </w:r>
      <w:r w:rsidR="003D3693">
        <w:t>l</w:t>
      </w:r>
      <w:r w:rsidR="007C7909">
        <w:t>etter to Respondents</w:t>
      </w:r>
    </w:p>
    <w:p w:rsidR="00673E11" w:rsidRDefault="006172B2" w:rsidP="00D9323F">
      <w:pPr>
        <w:pStyle w:val="TOC1"/>
        <w:spacing w:after="120" w:line="240" w:lineRule="auto"/>
      </w:pPr>
      <w:r>
        <w:t>A.</w:t>
      </w:r>
      <w:r w:rsidR="008A42C4">
        <w:t>2</w:t>
      </w:r>
      <w:r>
        <w:t xml:space="preserve">. </w:t>
      </w:r>
      <w:r w:rsidR="00081992">
        <w:t xml:space="preserve">SLFS </w:t>
      </w:r>
      <w:r w:rsidR="00B5117F">
        <w:t>201</w:t>
      </w:r>
      <w:r w:rsidR="009E2C72">
        <w:t>6</w:t>
      </w:r>
      <w:r>
        <w:t xml:space="preserve"> Instruction</w:t>
      </w:r>
      <w:r w:rsidR="008D2FC3">
        <w:t>s</w:t>
      </w:r>
    </w:p>
    <w:p w:rsidR="00781A8A" w:rsidRDefault="00781A8A" w:rsidP="003C364A">
      <w:pPr>
        <w:pStyle w:val="TOC"/>
        <w:tabs>
          <w:tab w:val="clear" w:pos="360"/>
          <w:tab w:val="clear" w:pos="9360"/>
          <w:tab w:val="right" w:leader="dot" w:pos="10170"/>
        </w:tabs>
        <w:spacing w:before="0" w:after="0"/>
        <w:rPr>
          <w:sz w:val="24"/>
        </w:rPr>
      </w:pPr>
    </w:p>
    <w:p w:rsidR="007E689B" w:rsidRDefault="007E689B" w:rsidP="003C364A">
      <w:pPr>
        <w:pStyle w:val="TOC"/>
        <w:tabs>
          <w:tab w:val="clear" w:pos="360"/>
          <w:tab w:val="clear" w:pos="9360"/>
          <w:tab w:val="right" w:leader="dot" w:pos="10170"/>
        </w:tabs>
        <w:spacing w:before="0"/>
        <w:rPr>
          <w:sz w:val="24"/>
        </w:rPr>
      </w:pPr>
      <w:r w:rsidRPr="00E74186">
        <w:rPr>
          <w:sz w:val="24"/>
        </w:rPr>
        <w:t xml:space="preserve">Appendix </w:t>
      </w:r>
      <w:r>
        <w:rPr>
          <w:sz w:val="24"/>
        </w:rPr>
        <w:t>B</w:t>
      </w:r>
      <w:r w:rsidRPr="00E74186">
        <w:rPr>
          <w:sz w:val="24"/>
        </w:rPr>
        <w:t xml:space="preserve">. </w:t>
      </w:r>
      <w:r>
        <w:rPr>
          <w:sz w:val="24"/>
        </w:rPr>
        <w:t xml:space="preserve">Survey </w:t>
      </w:r>
      <w:r w:rsidR="00157C3E" w:rsidRPr="00E74186">
        <w:t>Form</w:t>
      </w:r>
      <w:r w:rsidR="00157C3E">
        <w:rPr>
          <w:sz w:val="24"/>
        </w:rPr>
        <w:t xml:space="preserve"> with </w:t>
      </w:r>
      <w:r>
        <w:rPr>
          <w:sz w:val="24"/>
        </w:rPr>
        <w:t>Items</w:t>
      </w:r>
    </w:p>
    <w:p w:rsidR="00157C3E" w:rsidRDefault="00157C3E" w:rsidP="00157C3E">
      <w:pPr>
        <w:pStyle w:val="TOC"/>
        <w:tabs>
          <w:tab w:val="clear" w:pos="360"/>
          <w:tab w:val="clear" w:pos="9360"/>
          <w:tab w:val="right" w:leader="dot" w:pos="10170"/>
        </w:tabs>
        <w:spacing w:before="0" w:after="0"/>
        <w:rPr>
          <w:sz w:val="24"/>
        </w:rPr>
      </w:pPr>
    </w:p>
    <w:p w:rsidR="00157C3E" w:rsidRDefault="00157C3E" w:rsidP="00157C3E">
      <w:pPr>
        <w:pStyle w:val="TOC"/>
        <w:tabs>
          <w:tab w:val="clear" w:pos="360"/>
          <w:tab w:val="clear" w:pos="9360"/>
          <w:tab w:val="right" w:leader="dot" w:pos="10170"/>
        </w:tabs>
        <w:spacing w:before="0"/>
        <w:rPr>
          <w:sz w:val="24"/>
        </w:rPr>
      </w:pPr>
      <w:r w:rsidRPr="00E74186">
        <w:rPr>
          <w:sz w:val="24"/>
        </w:rPr>
        <w:t xml:space="preserve">Appendix </w:t>
      </w:r>
      <w:r>
        <w:rPr>
          <w:sz w:val="24"/>
        </w:rPr>
        <w:t>C</w:t>
      </w:r>
      <w:r w:rsidRPr="00E74186">
        <w:rPr>
          <w:sz w:val="24"/>
        </w:rPr>
        <w:t xml:space="preserve">. </w:t>
      </w:r>
      <w:r w:rsidRPr="00E74186">
        <w:t>Data Plan</w:t>
      </w:r>
      <w:r>
        <w:rPr>
          <w:sz w:val="24"/>
        </w:rPr>
        <w:t xml:space="preserve"> Survey</w:t>
      </w:r>
    </w:p>
    <w:p w:rsidR="009E709B" w:rsidRDefault="009E709B" w:rsidP="003C364A">
      <w:pPr>
        <w:pStyle w:val="TOC"/>
        <w:tabs>
          <w:tab w:val="clear" w:pos="360"/>
          <w:tab w:val="clear" w:pos="9360"/>
          <w:tab w:val="right" w:leader="dot" w:pos="10170"/>
        </w:tabs>
        <w:spacing w:before="0" w:after="0"/>
        <w:rPr>
          <w:sz w:val="24"/>
        </w:rPr>
      </w:pPr>
    </w:p>
    <w:p w:rsidR="00B30C42" w:rsidRPr="00BD41C6" w:rsidRDefault="00B30C42" w:rsidP="00B57859">
      <w:pPr>
        <w:autoSpaceDE w:val="0"/>
        <w:autoSpaceDN w:val="0"/>
        <w:adjustRightInd w:val="0"/>
        <w:spacing w:after="120" w:line="276" w:lineRule="auto"/>
        <w:jc w:val="center"/>
        <w:rPr>
          <w:b/>
        </w:rPr>
      </w:pPr>
      <w:r>
        <w:rPr>
          <w:bCs/>
        </w:rPr>
        <w:br w:type="page"/>
      </w:r>
      <w:r w:rsidR="00DE40FC" w:rsidRPr="00BD41C6">
        <w:rPr>
          <w:b/>
        </w:rPr>
        <w:lastRenderedPageBreak/>
        <w:t>PART A. JUSTIFICATION</w:t>
      </w:r>
    </w:p>
    <w:p w:rsidR="00B30C42" w:rsidRPr="00C747F1" w:rsidRDefault="00BD41C6" w:rsidP="00B57859">
      <w:pPr>
        <w:pStyle w:val="Heading1"/>
        <w:spacing w:before="0" w:line="276" w:lineRule="auto"/>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rsidR="00BD41C6" w:rsidRPr="00C747F1" w:rsidRDefault="00BD41C6" w:rsidP="00B57859">
      <w:pPr>
        <w:pStyle w:val="Heading"/>
        <w:spacing w:before="0" w:line="276" w:lineRule="auto"/>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56084F" w:rsidRDefault="00B91E19" w:rsidP="00B57859">
      <w:pPr>
        <w:pStyle w:val="Heading5"/>
        <w:spacing w:after="120" w:line="276" w:lineRule="auto"/>
        <w:rPr>
          <w:rFonts w:ascii="Times New Roman" w:hAnsi="Times New Roman" w:cs="Times New Roman"/>
          <w:b w:val="0"/>
          <w:sz w:val="24"/>
          <w:szCs w:val="24"/>
        </w:rPr>
      </w:pPr>
      <w:r w:rsidRPr="00C747F1">
        <w:rPr>
          <w:rFonts w:ascii="Times New Roman" w:hAnsi="Times New Roman" w:cs="Times New Roman"/>
          <w:b w:val="0"/>
          <w:color w:val="000000"/>
          <w:sz w:val="24"/>
          <w:szCs w:val="24"/>
        </w:rPr>
        <w:t>The National Center for Education Statistics</w:t>
      </w:r>
      <w:r w:rsidR="0023084B" w:rsidRPr="00C747F1">
        <w:rPr>
          <w:rFonts w:ascii="Times New Roman" w:hAnsi="Times New Roman" w:cs="Times New Roman"/>
          <w:b w:val="0"/>
          <w:color w:val="000000"/>
          <w:sz w:val="24"/>
          <w:szCs w:val="24"/>
        </w:rPr>
        <w:t xml:space="preserve"> (NCES)</w:t>
      </w:r>
      <w:r w:rsidR="00551B11">
        <w:rPr>
          <w:rFonts w:ascii="Times New Roman" w:hAnsi="Times New Roman" w:cs="Times New Roman"/>
          <w:b w:val="0"/>
          <w:color w:val="000000"/>
          <w:sz w:val="24"/>
          <w:szCs w:val="24"/>
        </w:rPr>
        <w:t>, within the U.S. Department of Education</w:t>
      </w:r>
      <w:r w:rsidR="00A24B7B">
        <w:rPr>
          <w:rFonts w:ascii="Times New Roman" w:hAnsi="Times New Roman" w:cs="Times New Roman"/>
          <w:b w:val="0"/>
          <w:color w:val="000000"/>
          <w:sz w:val="24"/>
          <w:szCs w:val="24"/>
        </w:rPr>
        <w:t xml:space="preserve"> (ED)</w:t>
      </w:r>
      <w:r w:rsidR="00551B11">
        <w:rPr>
          <w:rFonts w:ascii="Times New Roman" w:hAnsi="Times New Roman" w:cs="Times New Roman"/>
          <w:b w:val="0"/>
          <w:color w:val="000000"/>
          <w:sz w:val="24"/>
          <w:szCs w:val="24"/>
        </w:rPr>
        <w:t>,</w:t>
      </w:r>
      <w:r w:rsidRPr="00C747F1">
        <w:rPr>
          <w:rFonts w:ascii="Times New Roman" w:hAnsi="Times New Roman" w:cs="Times New Roman"/>
          <w:b w:val="0"/>
          <w:color w:val="000000"/>
          <w:sz w:val="24"/>
          <w:szCs w:val="24"/>
        </w:rPr>
        <w:t xml:space="preserve"> requests</w:t>
      </w:r>
      <w:r w:rsidR="00BD41C6" w:rsidRPr="00C747F1">
        <w:rPr>
          <w:rFonts w:ascii="Times New Roman" w:hAnsi="Times New Roman" w:cs="Times New Roman"/>
          <w:b w:val="0"/>
          <w:color w:val="000000"/>
          <w:sz w:val="24"/>
          <w:szCs w:val="24"/>
        </w:rPr>
        <w:t xml:space="preserve"> approval of the</w:t>
      </w:r>
      <w:r w:rsidR="00551B11">
        <w:rPr>
          <w:rFonts w:ascii="Times New Roman" w:hAnsi="Times New Roman" w:cs="Times New Roman"/>
          <w:b w:val="0"/>
          <w:color w:val="000000"/>
          <w:sz w:val="24"/>
          <w:szCs w:val="24"/>
        </w:rPr>
        <w:t xml:space="preserve"> annual</w:t>
      </w:r>
      <w:r w:rsidR="00BD41C6" w:rsidRPr="00C747F1">
        <w:rPr>
          <w:rFonts w:ascii="Times New Roman" w:hAnsi="Times New Roman" w:cs="Times New Roman"/>
          <w:b w:val="0"/>
          <w:color w:val="000000"/>
          <w:sz w:val="24"/>
          <w:szCs w:val="24"/>
        </w:rPr>
        <w:t xml:space="preserve"> </w:t>
      </w:r>
      <w:r w:rsidR="0056084F">
        <w:rPr>
          <w:rFonts w:ascii="Times New Roman" w:hAnsi="Times New Roman" w:cs="Times New Roman"/>
          <w:b w:val="0"/>
          <w:color w:val="000000"/>
          <w:sz w:val="24"/>
          <w:szCs w:val="24"/>
        </w:rPr>
        <w:t>School-Level Finance Survey (SLFS)</w:t>
      </w:r>
      <w:r w:rsidR="00BD41C6" w:rsidRPr="00C747F1">
        <w:rPr>
          <w:rFonts w:ascii="Times New Roman" w:hAnsi="Times New Roman" w:cs="Times New Roman"/>
          <w:b w:val="0"/>
          <w:color w:val="000000"/>
          <w:sz w:val="24"/>
          <w:szCs w:val="24"/>
        </w:rPr>
        <w:t xml:space="preserve"> data </w:t>
      </w:r>
      <w:r w:rsidR="00551B11" w:rsidRPr="00C747F1">
        <w:rPr>
          <w:rFonts w:ascii="Times New Roman" w:hAnsi="Times New Roman" w:cs="Times New Roman"/>
          <w:b w:val="0"/>
          <w:color w:val="000000"/>
          <w:sz w:val="24"/>
          <w:szCs w:val="24"/>
        </w:rPr>
        <w:t xml:space="preserve">collection </w:t>
      </w:r>
      <w:r w:rsidR="00BD41C6" w:rsidRPr="00C747F1">
        <w:rPr>
          <w:rFonts w:ascii="Times New Roman" w:hAnsi="Times New Roman" w:cs="Times New Roman"/>
          <w:b w:val="0"/>
          <w:color w:val="000000"/>
          <w:sz w:val="24"/>
          <w:szCs w:val="24"/>
        </w:rPr>
        <w:t xml:space="preserve">covering </w:t>
      </w:r>
      <w:r w:rsidR="00EA70C0" w:rsidRPr="00C747F1">
        <w:rPr>
          <w:rFonts w:ascii="Times New Roman" w:hAnsi="Times New Roman" w:cs="Times New Roman"/>
          <w:b w:val="0"/>
          <w:color w:val="000000"/>
          <w:sz w:val="24"/>
          <w:szCs w:val="24"/>
        </w:rPr>
        <w:t>fiscal years 201</w:t>
      </w:r>
      <w:r w:rsidR="0056084F">
        <w:rPr>
          <w:rFonts w:ascii="Times New Roman" w:hAnsi="Times New Roman" w:cs="Times New Roman"/>
          <w:b w:val="0"/>
          <w:color w:val="000000"/>
          <w:sz w:val="24"/>
          <w:szCs w:val="24"/>
        </w:rPr>
        <w:t>6</w:t>
      </w:r>
      <w:r w:rsidR="00EA70C0" w:rsidRPr="00C747F1">
        <w:rPr>
          <w:rFonts w:ascii="Times New Roman" w:hAnsi="Times New Roman" w:cs="Times New Roman"/>
          <w:b w:val="0"/>
          <w:color w:val="000000"/>
          <w:sz w:val="24"/>
          <w:szCs w:val="24"/>
        </w:rPr>
        <w:t xml:space="preserve"> through 201</w:t>
      </w:r>
      <w:r w:rsidR="0056084F">
        <w:rPr>
          <w:rFonts w:ascii="Times New Roman" w:hAnsi="Times New Roman" w:cs="Times New Roman"/>
          <w:b w:val="0"/>
          <w:color w:val="000000"/>
          <w:sz w:val="24"/>
          <w:szCs w:val="24"/>
        </w:rPr>
        <w:t>8</w:t>
      </w:r>
      <w:r w:rsidR="00EA70C0" w:rsidRPr="00C747F1">
        <w:rPr>
          <w:rFonts w:ascii="Times New Roman" w:hAnsi="Times New Roman" w:cs="Times New Roman"/>
          <w:b w:val="0"/>
          <w:color w:val="000000"/>
          <w:sz w:val="24"/>
          <w:szCs w:val="24"/>
        </w:rPr>
        <w:t xml:space="preserve"> (corresponding to </w:t>
      </w:r>
      <w:r w:rsidR="00BD41C6" w:rsidRPr="00C747F1">
        <w:rPr>
          <w:rFonts w:ascii="Times New Roman" w:hAnsi="Times New Roman" w:cs="Times New Roman"/>
          <w:b w:val="0"/>
          <w:color w:val="000000"/>
          <w:sz w:val="24"/>
          <w:szCs w:val="24"/>
        </w:rPr>
        <w:t>school years 201</w:t>
      </w:r>
      <w:r w:rsidR="0056084F">
        <w:rPr>
          <w:rFonts w:ascii="Times New Roman" w:hAnsi="Times New Roman" w:cs="Times New Roman"/>
          <w:b w:val="0"/>
          <w:color w:val="000000"/>
          <w:sz w:val="24"/>
          <w:szCs w:val="24"/>
        </w:rPr>
        <w:t>5</w:t>
      </w:r>
      <w:r w:rsidR="00BD41C6" w:rsidRPr="00C747F1">
        <w:rPr>
          <w:rFonts w:ascii="Times New Roman" w:hAnsi="Times New Roman" w:cs="Times New Roman"/>
          <w:b w:val="0"/>
          <w:color w:val="000000"/>
          <w:sz w:val="24"/>
          <w:szCs w:val="24"/>
        </w:rPr>
        <w:t>/1</w:t>
      </w:r>
      <w:r w:rsidR="0056084F">
        <w:rPr>
          <w:rFonts w:ascii="Times New Roman" w:hAnsi="Times New Roman" w:cs="Times New Roman"/>
          <w:b w:val="0"/>
          <w:color w:val="000000"/>
          <w:sz w:val="24"/>
          <w:szCs w:val="24"/>
        </w:rPr>
        <w:t>6</w:t>
      </w:r>
      <w:r w:rsidR="00BD41C6" w:rsidRPr="00C747F1">
        <w:rPr>
          <w:rFonts w:ascii="Times New Roman" w:hAnsi="Times New Roman" w:cs="Times New Roman"/>
          <w:b w:val="0"/>
          <w:color w:val="000000"/>
          <w:sz w:val="24"/>
          <w:szCs w:val="24"/>
        </w:rPr>
        <w:t xml:space="preserve"> through 201</w:t>
      </w:r>
      <w:r w:rsidR="0056084F">
        <w:rPr>
          <w:rFonts w:ascii="Times New Roman" w:hAnsi="Times New Roman" w:cs="Times New Roman"/>
          <w:b w:val="0"/>
          <w:color w:val="000000"/>
          <w:sz w:val="24"/>
          <w:szCs w:val="24"/>
        </w:rPr>
        <w:t>7</w:t>
      </w:r>
      <w:r w:rsidR="00BD41C6" w:rsidRPr="00C747F1">
        <w:rPr>
          <w:rFonts w:ascii="Times New Roman" w:hAnsi="Times New Roman" w:cs="Times New Roman"/>
          <w:b w:val="0"/>
          <w:color w:val="000000"/>
          <w:sz w:val="24"/>
          <w:szCs w:val="24"/>
        </w:rPr>
        <w:t>/1</w:t>
      </w:r>
      <w:r w:rsidR="0056084F">
        <w:rPr>
          <w:rFonts w:ascii="Times New Roman" w:hAnsi="Times New Roman" w:cs="Times New Roman"/>
          <w:b w:val="0"/>
          <w:color w:val="000000"/>
          <w:sz w:val="24"/>
          <w:szCs w:val="24"/>
        </w:rPr>
        <w:t>8</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 xml:space="preserve">, </w:t>
      </w:r>
      <w:r w:rsidR="009E3D4B">
        <w:rPr>
          <w:rFonts w:ascii="Times New Roman" w:hAnsi="Times New Roman" w:cs="Times New Roman"/>
          <w:b w:val="0"/>
          <w:color w:val="000000"/>
          <w:sz w:val="24"/>
          <w:szCs w:val="24"/>
        </w:rPr>
        <w:t xml:space="preserve">and </w:t>
      </w:r>
      <w:r w:rsidR="00551B11">
        <w:rPr>
          <w:rFonts w:ascii="Times New Roman" w:hAnsi="Times New Roman" w:cs="Times New Roman"/>
          <w:b w:val="0"/>
          <w:color w:val="000000"/>
          <w:sz w:val="24"/>
          <w:szCs w:val="24"/>
        </w:rPr>
        <w:t>to</w:t>
      </w:r>
      <w:r w:rsidR="0006010D" w:rsidRPr="00C747F1">
        <w:rPr>
          <w:rFonts w:ascii="Times New Roman" w:hAnsi="Times New Roman" w:cs="Times New Roman"/>
          <w:b w:val="0"/>
          <w:color w:val="000000"/>
          <w:sz w:val="24"/>
          <w:szCs w:val="24"/>
        </w:rPr>
        <w:t xml:space="preserve"> be carried out in 201</w:t>
      </w:r>
      <w:r w:rsidR="00FE4A3A">
        <w:rPr>
          <w:rFonts w:ascii="Times New Roman" w:hAnsi="Times New Roman" w:cs="Times New Roman"/>
          <w:b w:val="0"/>
          <w:color w:val="000000"/>
          <w:sz w:val="24"/>
          <w:szCs w:val="24"/>
        </w:rPr>
        <w:t>7</w:t>
      </w:r>
      <w:r w:rsidR="0006010D" w:rsidRPr="00C747F1">
        <w:rPr>
          <w:rFonts w:ascii="Times New Roman" w:hAnsi="Times New Roman" w:cs="Times New Roman"/>
          <w:b w:val="0"/>
          <w:color w:val="000000"/>
          <w:sz w:val="24"/>
          <w:szCs w:val="24"/>
        </w:rPr>
        <w:t xml:space="preserve"> through 201</w:t>
      </w:r>
      <w:r w:rsidR="00FE4A3A">
        <w:rPr>
          <w:rFonts w:ascii="Times New Roman" w:hAnsi="Times New Roman" w:cs="Times New Roman"/>
          <w:b w:val="0"/>
          <w:color w:val="000000"/>
          <w:sz w:val="24"/>
          <w:szCs w:val="24"/>
        </w:rPr>
        <w:t>9</w:t>
      </w:r>
      <w:r w:rsidR="00BD41C6" w:rsidRPr="00C747F1">
        <w:rPr>
          <w:rFonts w:ascii="Times New Roman" w:hAnsi="Times New Roman" w:cs="Times New Roman"/>
          <w:b w:val="0"/>
          <w:color w:val="000000"/>
          <w:sz w:val="24"/>
          <w:szCs w:val="24"/>
        </w:rPr>
        <w:t>.</w:t>
      </w:r>
      <w:r w:rsidR="0056084F">
        <w:rPr>
          <w:rFonts w:ascii="Times New Roman" w:hAnsi="Times New Roman" w:cs="Times New Roman"/>
          <w:b w:val="0"/>
          <w:color w:val="000000"/>
          <w:sz w:val="24"/>
          <w:szCs w:val="24"/>
        </w:rPr>
        <w:t xml:space="preserve"> </w:t>
      </w:r>
      <w:r w:rsidR="00E72C3B" w:rsidRPr="00E72C3B">
        <w:rPr>
          <w:rFonts w:ascii="Times New Roman" w:hAnsi="Times New Roman" w:cs="Times New Roman"/>
          <w:b w:val="0"/>
          <w:sz w:val="24"/>
          <w:szCs w:val="24"/>
        </w:rPr>
        <w:t xml:space="preserve">SLFS </w:t>
      </w:r>
      <w:r w:rsidR="00551B11">
        <w:rPr>
          <w:rFonts w:ascii="Times New Roman" w:hAnsi="Times New Roman" w:cs="Times New Roman"/>
          <w:b w:val="0"/>
          <w:sz w:val="24"/>
          <w:szCs w:val="24"/>
        </w:rPr>
        <w:t>complements</w:t>
      </w:r>
      <w:r w:rsidR="00E72C3B" w:rsidRPr="00E72C3B">
        <w:rPr>
          <w:rFonts w:ascii="Times New Roman" w:hAnsi="Times New Roman" w:cs="Times New Roman"/>
          <w:b w:val="0"/>
          <w:sz w:val="24"/>
          <w:szCs w:val="24"/>
        </w:rPr>
        <w:t xml:space="preserve"> two existing </w:t>
      </w:r>
      <w:r w:rsidR="00551B11">
        <w:rPr>
          <w:rFonts w:ascii="Times New Roman" w:hAnsi="Times New Roman" w:cs="Times New Roman"/>
          <w:b w:val="0"/>
          <w:sz w:val="24"/>
          <w:szCs w:val="24"/>
        </w:rPr>
        <w:t xml:space="preserve">data </w:t>
      </w:r>
      <w:r w:rsidR="00E72C3B" w:rsidRPr="00E72C3B">
        <w:rPr>
          <w:rFonts w:ascii="Times New Roman" w:hAnsi="Times New Roman" w:cs="Times New Roman"/>
          <w:b w:val="0"/>
          <w:sz w:val="24"/>
          <w:szCs w:val="24"/>
        </w:rPr>
        <w:t xml:space="preserve">collections conducted by NCES in collaboration with the </w:t>
      </w:r>
      <w:r w:rsidR="00551B11">
        <w:rPr>
          <w:rFonts w:ascii="Times New Roman" w:hAnsi="Times New Roman" w:cs="Times New Roman"/>
          <w:b w:val="0"/>
          <w:sz w:val="24"/>
          <w:szCs w:val="24"/>
        </w:rPr>
        <w:t xml:space="preserve">U.S. </w:t>
      </w:r>
      <w:r w:rsidR="00E72C3B" w:rsidRPr="00E72C3B">
        <w:rPr>
          <w:rFonts w:ascii="Times New Roman" w:hAnsi="Times New Roman" w:cs="Times New Roman"/>
          <w:b w:val="0"/>
          <w:sz w:val="24"/>
          <w:szCs w:val="24"/>
        </w:rPr>
        <w:t>Census Bureau</w:t>
      </w:r>
      <w:r w:rsidR="00551B11">
        <w:rPr>
          <w:rFonts w:ascii="Times New Roman" w:hAnsi="Times New Roman" w:cs="Times New Roman"/>
          <w:b w:val="0"/>
          <w:sz w:val="24"/>
          <w:szCs w:val="24"/>
        </w:rPr>
        <w:t xml:space="preserve"> (Census)</w:t>
      </w:r>
      <w:r w:rsidR="00E72C3B" w:rsidRPr="00E72C3B">
        <w:rPr>
          <w:rFonts w:ascii="Times New Roman" w:hAnsi="Times New Roman" w:cs="Times New Roman"/>
          <w:b w:val="0"/>
          <w:sz w:val="24"/>
          <w:szCs w:val="24"/>
        </w:rPr>
        <w:t xml:space="preserve">: the School District Finance Survey (F-33) and the state-level National Public Education Financial Survey (NPEFS). </w:t>
      </w:r>
      <w:r w:rsidR="0056084F" w:rsidRPr="0056084F">
        <w:rPr>
          <w:rFonts w:ascii="Times New Roman" w:hAnsi="Times New Roman" w:cs="Times New Roman"/>
          <w:b w:val="0"/>
          <w:sz w:val="24"/>
          <w:szCs w:val="24"/>
        </w:rPr>
        <w:t>SLFS expan</w:t>
      </w:r>
      <w:r w:rsidR="00551B11">
        <w:rPr>
          <w:rFonts w:ascii="Times New Roman" w:hAnsi="Times New Roman" w:cs="Times New Roman"/>
          <w:b w:val="0"/>
          <w:sz w:val="24"/>
          <w:szCs w:val="24"/>
        </w:rPr>
        <w:t>d</w:t>
      </w:r>
      <w:r w:rsidR="0056084F" w:rsidRPr="0056084F">
        <w:rPr>
          <w:rFonts w:ascii="Times New Roman" w:hAnsi="Times New Roman" w:cs="Times New Roman"/>
          <w:b w:val="0"/>
          <w:sz w:val="24"/>
          <w:szCs w:val="24"/>
        </w:rPr>
        <w:t xml:space="preserve">s F-33 to include </w:t>
      </w:r>
      <w:r w:rsidR="00551B11">
        <w:rPr>
          <w:rFonts w:ascii="Times New Roman" w:hAnsi="Times New Roman" w:cs="Times New Roman"/>
          <w:b w:val="0"/>
          <w:sz w:val="24"/>
          <w:szCs w:val="24"/>
        </w:rPr>
        <w:t xml:space="preserve">finance </w:t>
      </w:r>
      <w:r w:rsidR="0056084F" w:rsidRPr="0056084F">
        <w:rPr>
          <w:rFonts w:ascii="Times New Roman" w:hAnsi="Times New Roman" w:cs="Times New Roman"/>
          <w:b w:val="0"/>
          <w:sz w:val="24"/>
          <w:szCs w:val="24"/>
        </w:rPr>
        <w:t>variables at the school level.</w:t>
      </w:r>
    </w:p>
    <w:p w:rsidR="002F7842" w:rsidRDefault="00BD41C6" w:rsidP="00B57859">
      <w:pPr>
        <w:pStyle w:val="Heading5"/>
        <w:spacing w:after="120" w:line="276" w:lineRule="auto"/>
        <w:rPr>
          <w:rFonts w:ascii="Times New Roman" w:hAnsi="Times New Roman" w:cs="Times New Roman"/>
          <w:b w:val="0"/>
          <w:sz w:val="24"/>
          <w:szCs w:val="24"/>
        </w:rPr>
      </w:pPr>
      <w:r w:rsidRPr="00C747F1">
        <w:rPr>
          <w:rFonts w:ascii="Times New Roman" w:hAnsi="Times New Roman" w:cs="Times New Roman"/>
          <w:b w:val="0"/>
          <w:sz w:val="24"/>
          <w:szCs w:val="24"/>
        </w:rPr>
        <w:t>Census</w:t>
      </w:r>
      <w:r w:rsidR="00551B11">
        <w:rPr>
          <w:rFonts w:ascii="Times New Roman" w:hAnsi="Times New Roman" w:cs="Times New Roman"/>
          <w:b w:val="0"/>
          <w:sz w:val="24"/>
          <w:szCs w:val="24"/>
        </w:rPr>
        <w:t>’s</w:t>
      </w:r>
      <w:r w:rsidRPr="00C747F1">
        <w:rPr>
          <w:rFonts w:ascii="Times New Roman" w:hAnsi="Times New Roman" w:cs="Times New Roman"/>
          <w:b w:val="0"/>
          <w:sz w:val="24"/>
          <w:szCs w:val="24"/>
        </w:rPr>
        <w:t xml:space="preserve"> Governments Division collect</w:t>
      </w:r>
      <w:r w:rsidR="009E3D4B">
        <w:rPr>
          <w:rFonts w:ascii="Times New Roman" w:hAnsi="Times New Roman" w:cs="Times New Roman"/>
          <w:b w:val="0"/>
          <w:sz w:val="24"/>
          <w:szCs w:val="24"/>
        </w:rPr>
        <w:t xml:space="preserve">s F-33, NPEFS, and SLFS data </w:t>
      </w:r>
      <w:r w:rsidRPr="00C747F1">
        <w:rPr>
          <w:rFonts w:ascii="Times New Roman" w:hAnsi="Times New Roman" w:cs="Times New Roman"/>
          <w:b w:val="0"/>
          <w:sz w:val="24"/>
          <w:szCs w:val="24"/>
        </w:rPr>
        <w:t xml:space="preserve">for NCES under </w:t>
      </w:r>
      <w:r w:rsidR="009E3D4B">
        <w:rPr>
          <w:rFonts w:ascii="Times New Roman" w:hAnsi="Times New Roman" w:cs="Times New Roman"/>
          <w:b w:val="0"/>
          <w:sz w:val="24"/>
          <w:szCs w:val="24"/>
        </w:rPr>
        <w:t xml:space="preserve">an </w:t>
      </w:r>
      <w:r w:rsidRPr="00C747F1">
        <w:rPr>
          <w:rFonts w:ascii="Times New Roman" w:hAnsi="Times New Roman" w:cs="Times New Roman"/>
          <w:b w:val="0"/>
          <w:sz w:val="24"/>
          <w:szCs w:val="24"/>
        </w:rPr>
        <w:t>interagency agreement.</w:t>
      </w:r>
      <w:r w:rsidR="002F7842">
        <w:rPr>
          <w:rFonts w:ascii="Times New Roman" w:hAnsi="Times New Roman" w:cs="Times New Roman"/>
          <w:b w:val="0"/>
          <w:sz w:val="24"/>
          <w:szCs w:val="24"/>
        </w:rPr>
        <w:t xml:space="preserve"> </w:t>
      </w:r>
      <w:r w:rsidR="009E3D4B">
        <w:rPr>
          <w:rFonts w:ascii="Times New Roman" w:hAnsi="Times New Roman" w:cs="Times New Roman"/>
          <w:b w:val="0"/>
          <w:sz w:val="24"/>
          <w:szCs w:val="24"/>
        </w:rPr>
        <w:t xml:space="preserve">The new </w:t>
      </w:r>
      <w:r w:rsidR="00167A98">
        <w:rPr>
          <w:rFonts w:ascii="Times New Roman" w:hAnsi="Times New Roman" w:cs="Times New Roman"/>
          <w:b w:val="0"/>
          <w:sz w:val="24"/>
          <w:szCs w:val="24"/>
        </w:rPr>
        <w:t>SLFS</w:t>
      </w:r>
      <w:r w:rsidR="0056084F" w:rsidRPr="0056084F">
        <w:rPr>
          <w:rFonts w:ascii="Times New Roman" w:hAnsi="Times New Roman" w:cs="Times New Roman"/>
          <w:b w:val="0"/>
          <w:sz w:val="24"/>
          <w:szCs w:val="24"/>
        </w:rPr>
        <w:t xml:space="preserve"> </w:t>
      </w:r>
      <w:r w:rsidR="009E3D4B">
        <w:rPr>
          <w:rFonts w:ascii="Times New Roman" w:hAnsi="Times New Roman" w:cs="Times New Roman"/>
          <w:b w:val="0"/>
          <w:sz w:val="24"/>
          <w:szCs w:val="24"/>
        </w:rPr>
        <w:t xml:space="preserve">collection </w:t>
      </w:r>
      <w:r w:rsidR="0056084F" w:rsidRPr="0056084F">
        <w:rPr>
          <w:rFonts w:ascii="Times New Roman" w:hAnsi="Times New Roman" w:cs="Times New Roman"/>
          <w:b w:val="0"/>
          <w:sz w:val="24"/>
          <w:szCs w:val="24"/>
        </w:rPr>
        <w:t>leverages the existing expertise and infrastructure developed by NCES and Census analysts by virtue of their administration of the NPEFS and F-33 surveys</w:t>
      </w:r>
      <w:r w:rsidR="00551B11">
        <w:rPr>
          <w:rFonts w:ascii="Times New Roman" w:hAnsi="Times New Roman" w:cs="Times New Roman"/>
          <w:b w:val="0"/>
          <w:sz w:val="24"/>
          <w:szCs w:val="24"/>
        </w:rPr>
        <w:t xml:space="preserve">, </w:t>
      </w:r>
      <w:r w:rsidR="0056084F" w:rsidRPr="0056084F">
        <w:rPr>
          <w:rFonts w:ascii="Times New Roman" w:hAnsi="Times New Roman" w:cs="Times New Roman"/>
          <w:b w:val="0"/>
          <w:sz w:val="24"/>
          <w:szCs w:val="24"/>
        </w:rPr>
        <w:t xml:space="preserve">conducted </w:t>
      </w:r>
      <w:r w:rsidR="00551B11" w:rsidRPr="0056084F">
        <w:rPr>
          <w:rFonts w:ascii="Times New Roman" w:hAnsi="Times New Roman" w:cs="Times New Roman"/>
          <w:b w:val="0"/>
          <w:sz w:val="24"/>
          <w:szCs w:val="24"/>
        </w:rPr>
        <w:t xml:space="preserve">jointly </w:t>
      </w:r>
      <w:r w:rsidR="0056084F" w:rsidRPr="0056084F">
        <w:rPr>
          <w:rFonts w:ascii="Times New Roman" w:hAnsi="Times New Roman" w:cs="Times New Roman"/>
          <w:b w:val="0"/>
          <w:sz w:val="24"/>
          <w:szCs w:val="24"/>
        </w:rPr>
        <w:t xml:space="preserve">for over 20 years. Collaboration </w:t>
      </w:r>
      <w:r w:rsidR="00BB50A9">
        <w:rPr>
          <w:rFonts w:ascii="Times New Roman" w:hAnsi="Times New Roman" w:cs="Times New Roman"/>
          <w:b w:val="0"/>
          <w:sz w:val="24"/>
          <w:szCs w:val="24"/>
        </w:rPr>
        <w:t xml:space="preserve">between the two agencies </w:t>
      </w:r>
      <w:r w:rsidR="0056084F" w:rsidRPr="0056084F">
        <w:rPr>
          <w:rFonts w:ascii="Times New Roman" w:hAnsi="Times New Roman" w:cs="Times New Roman"/>
          <w:b w:val="0"/>
          <w:sz w:val="24"/>
          <w:szCs w:val="24"/>
        </w:rPr>
        <w:t xml:space="preserve">on SLFS enhances </w:t>
      </w:r>
      <w:r w:rsidR="00BB50A9" w:rsidRPr="0056084F">
        <w:rPr>
          <w:rFonts w:ascii="Times New Roman" w:hAnsi="Times New Roman" w:cs="Times New Roman"/>
          <w:b w:val="0"/>
          <w:sz w:val="24"/>
          <w:szCs w:val="24"/>
        </w:rPr>
        <w:t xml:space="preserve">data collection and editing </w:t>
      </w:r>
      <w:r w:rsidR="0056084F" w:rsidRPr="0056084F">
        <w:rPr>
          <w:rFonts w:ascii="Times New Roman" w:hAnsi="Times New Roman" w:cs="Times New Roman"/>
          <w:b w:val="0"/>
          <w:sz w:val="24"/>
          <w:szCs w:val="24"/>
        </w:rPr>
        <w:t>efficiency, and promotes consistency across all three finance surveys.</w:t>
      </w:r>
    </w:p>
    <w:p w:rsidR="00673E11" w:rsidRDefault="00AF7C13" w:rsidP="00B57859">
      <w:pPr>
        <w:spacing w:after="120" w:line="276" w:lineRule="auto"/>
        <w:rPr>
          <w:color w:val="000000"/>
        </w:rPr>
      </w:pPr>
      <w:r>
        <w:rPr>
          <w:color w:val="000000"/>
        </w:rPr>
        <w:t>President Obama signed the Every Student Succeeds Act (ESSA) into law on December 10, 2015.</w:t>
      </w:r>
      <w:r w:rsidR="00673E11">
        <w:rPr>
          <w:color w:val="000000"/>
        </w:rPr>
        <w:t xml:space="preserve"> </w:t>
      </w:r>
      <w:r>
        <w:rPr>
          <w:color w:val="000000"/>
        </w:rPr>
        <w:t>ESSA requires state education agencies (SEAs) to produce report cards for the 2017-18 school year that include “</w:t>
      </w:r>
      <w:r w:rsidRPr="008F3EC1">
        <w:rPr>
          <w:color w:val="000000"/>
        </w:rPr>
        <w:t>per-pupil expenditures of Federal, State, and local funds, including actual personnel expenditures and actual nonpersonnel expenditures of Federal, State, and local funds, disaggregated by source of funds, for each local educational agency and each</w:t>
      </w:r>
      <w:r>
        <w:rPr>
          <w:color w:val="000000"/>
        </w:rPr>
        <w:t xml:space="preserve"> </w:t>
      </w:r>
      <w:r w:rsidRPr="008F3EC1">
        <w:rPr>
          <w:color w:val="000000"/>
        </w:rPr>
        <w:t>school in the State for the preceding fiscal year.</w:t>
      </w:r>
      <w:r>
        <w:rPr>
          <w:color w:val="000000"/>
        </w:rPr>
        <w:t xml:space="preserve">” </w:t>
      </w:r>
      <w:r w:rsidR="00BB50A9">
        <w:rPr>
          <w:color w:val="000000"/>
        </w:rPr>
        <w:t>[</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F3EC1">
        <w:rPr>
          <w:color w:val="000000"/>
        </w:rPr>
        <w:t>§1111 (h)(1)(C)(x)</w:t>
      </w:r>
      <w:r w:rsidR="00BB50A9">
        <w:rPr>
          <w:color w:val="000000"/>
        </w:rPr>
        <w:t>]</w:t>
      </w:r>
      <w:r>
        <w:rPr>
          <w:color w:val="000000"/>
        </w:rPr>
        <w:t>.</w:t>
      </w:r>
    </w:p>
    <w:p w:rsidR="00673E11" w:rsidRDefault="00AF7C13" w:rsidP="00B57859">
      <w:pPr>
        <w:spacing w:after="120" w:line="276" w:lineRule="auto"/>
        <w:rPr>
          <w:color w:val="000000"/>
        </w:rPr>
      </w:pPr>
      <w:r>
        <w:rPr>
          <w:color w:val="000000"/>
        </w:rPr>
        <w:t xml:space="preserve">Specifically, the regulations currently being promulgated by </w:t>
      </w:r>
      <w:r w:rsidR="00A24B7B">
        <w:rPr>
          <w:color w:val="000000"/>
        </w:rPr>
        <w:t>ED</w:t>
      </w:r>
      <w:r>
        <w:rPr>
          <w:color w:val="000000"/>
        </w:rPr>
        <w:t xml:space="preserve"> pursuant to ESSA provide that:</w:t>
      </w:r>
    </w:p>
    <w:p w:rsidR="00AF7C13" w:rsidRPr="00513A8C" w:rsidRDefault="00AF7C13" w:rsidP="00B57859">
      <w:pPr>
        <w:spacing w:after="120"/>
        <w:ind w:left="360" w:right="58"/>
      </w:pPr>
      <w:r>
        <w:t>“</w:t>
      </w:r>
      <w:r w:rsidRPr="00513A8C">
        <w:t>Each State report card must include the following:</w:t>
      </w:r>
    </w:p>
    <w:p w:rsidR="00AF7C13" w:rsidRPr="00FF3ABB" w:rsidRDefault="00AF7C13" w:rsidP="00BB50A9">
      <w:pPr>
        <w:ind w:left="360" w:right="58"/>
      </w:pPr>
      <w:r w:rsidRPr="00FF3ABB">
        <w:t>(i</w:t>
      </w:r>
      <w:r>
        <w:t xml:space="preserve">) </w:t>
      </w:r>
      <w:r w:rsidRPr="00FF3ABB">
        <w:t xml:space="preserve">Current expenditures per pupil from Federal, State, and local funds, for the preceding fiscal year, consistent with the timeline in § 200.30(e), for each LEA in the State, and </w:t>
      </w:r>
      <w:r w:rsidRPr="00FF3ABB">
        <w:rPr>
          <w:u w:val="single"/>
        </w:rPr>
        <w:t>for each school served by each LEA</w:t>
      </w:r>
      <w:r w:rsidRPr="00FF3ABB">
        <w:t>—</w:t>
      </w:r>
    </w:p>
    <w:p w:rsidR="00AF7C13" w:rsidRPr="00513A8C" w:rsidRDefault="00AF7C13" w:rsidP="00BB50A9">
      <w:pPr>
        <w:ind w:left="720" w:right="58"/>
      </w:pPr>
      <w:r w:rsidRPr="00513A8C">
        <w:t>(A) In total (Federal, State, and local funds); and</w:t>
      </w:r>
    </w:p>
    <w:p w:rsidR="00AF7C13" w:rsidRPr="00513A8C" w:rsidRDefault="00AF7C13" w:rsidP="00BB50A9">
      <w:pPr>
        <w:ind w:left="720" w:right="58"/>
      </w:pPr>
      <w:r w:rsidRPr="00513A8C">
        <w:t>(B) Disaggregated by source of funds, including—</w:t>
      </w:r>
    </w:p>
    <w:p w:rsidR="00AF7C13" w:rsidRPr="00513A8C" w:rsidRDefault="00AF7C13" w:rsidP="00BB50A9">
      <w:pPr>
        <w:ind w:left="1080" w:right="58"/>
      </w:pPr>
      <w:r w:rsidRPr="00513A8C">
        <w:t>(</w:t>
      </w:r>
      <w:r w:rsidRPr="00513A8C">
        <w:rPr>
          <w:i/>
          <w:iCs/>
        </w:rPr>
        <w:t>1</w:t>
      </w:r>
      <w:r w:rsidRPr="00513A8C">
        <w:t>) Federal funds; and</w:t>
      </w:r>
    </w:p>
    <w:p w:rsidR="00AF7C13" w:rsidRDefault="00AF7C13" w:rsidP="00BB50A9">
      <w:pPr>
        <w:spacing w:after="120"/>
        <w:ind w:left="1080" w:right="58"/>
      </w:pPr>
      <w:r w:rsidRPr="00513A8C">
        <w:t>(</w:t>
      </w:r>
      <w:r w:rsidRPr="00513A8C">
        <w:rPr>
          <w:i/>
          <w:iCs/>
        </w:rPr>
        <w:t>2</w:t>
      </w:r>
      <w:r w:rsidRPr="00513A8C">
        <w:t>) State and local funds combined (including Impact Aid funds), which must not include funds received from private sources.</w:t>
      </w:r>
      <w:r>
        <w:t>” (emphasis added). §200.35</w:t>
      </w:r>
    </w:p>
    <w:p w:rsidR="00AF7C13" w:rsidRDefault="00AF7C13" w:rsidP="00B57859">
      <w:pPr>
        <w:spacing w:after="120" w:line="276" w:lineRule="auto"/>
        <w:rPr>
          <w:bCs/>
          <w:noProof/>
        </w:rPr>
      </w:pPr>
      <w:r>
        <w:rPr>
          <w:color w:val="000000"/>
        </w:rPr>
        <w:t>ESSA also requires local education agencies (LEAs) to produce report cards for the 2017-18 school year.</w:t>
      </w:r>
      <w:r w:rsidR="00673E11">
        <w:rPr>
          <w:color w:val="000000"/>
        </w:rPr>
        <w:t xml:space="preserve"> </w:t>
      </w:r>
      <w:r w:rsidRPr="00EA16FF">
        <w:rPr>
          <w:bCs/>
          <w:noProof/>
        </w:rPr>
        <w:t>The regulations also provide that “Each LEA report card must include…Current expenditures per pupil from Federal, State, and local funds, for the preceding fiscal year, consistent with the timeline in § 200.31(e), for the LEA and each school served by the LEA…”</w:t>
      </w:r>
    </w:p>
    <w:p w:rsidR="00C85DF7" w:rsidRPr="00C85DF7" w:rsidRDefault="00C85DF7" w:rsidP="00B57859">
      <w:pPr>
        <w:spacing w:after="120" w:line="276" w:lineRule="auto"/>
        <w:rPr>
          <w:rFonts w:eastAsia="Calibri"/>
          <w:u w:val="single"/>
        </w:rPr>
      </w:pPr>
      <w:r w:rsidRPr="00C85DF7">
        <w:rPr>
          <w:rFonts w:eastAsia="Calibri"/>
          <w:u w:val="single"/>
        </w:rPr>
        <w:t xml:space="preserve">Recent </w:t>
      </w:r>
      <w:r w:rsidR="00A24B7B">
        <w:rPr>
          <w:rFonts w:eastAsia="Calibri"/>
          <w:u w:val="single"/>
        </w:rPr>
        <w:t>ED</w:t>
      </w:r>
      <w:r w:rsidRPr="00C85DF7">
        <w:rPr>
          <w:rFonts w:eastAsia="Calibri"/>
          <w:u w:val="single"/>
        </w:rPr>
        <w:t xml:space="preserve"> school-level finance data collections</w:t>
      </w:r>
    </w:p>
    <w:p w:rsidR="00C85DF7" w:rsidRPr="005B192A" w:rsidRDefault="00C85DF7" w:rsidP="00BB50A9">
      <w:pPr>
        <w:widowControl w:val="0"/>
        <w:spacing w:after="120" w:line="276" w:lineRule="auto"/>
        <w:rPr>
          <w:rFonts w:eastAsia="Calibri"/>
        </w:rPr>
      </w:pPr>
      <w:r>
        <w:rPr>
          <w:color w:val="000000"/>
        </w:rPr>
        <w:t>T</w:t>
      </w:r>
      <w:r w:rsidRPr="005B192A">
        <w:rPr>
          <w:color w:val="000000"/>
        </w:rPr>
        <w:t xml:space="preserve">he </w:t>
      </w:r>
      <w:r w:rsidRPr="005B192A">
        <w:rPr>
          <w:rFonts w:eastAsia="Calibri"/>
        </w:rPr>
        <w:t>American Recovery and Reinvestment Act of 2009 (ARRA</w:t>
      </w:r>
      <w:r>
        <w:rPr>
          <w:rFonts w:eastAsia="Calibri"/>
        </w:rPr>
        <w:t>)</w:t>
      </w:r>
      <w:r w:rsidRPr="005B192A">
        <w:rPr>
          <w:rFonts w:eastAsia="Calibri"/>
        </w:rPr>
        <w:t xml:space="preserve"> required states to report a school-by-school listing of per-pupil education expenditures for the 2008–09 school year for each school district that received Title I, Part A </w:t>
      </w:r>
      <w:r w:rsidRPr="005B192A">
        <w:rPr>
          <w:rFonts w:eastAsia="Calibri"/>
          <w:iCs/>
        </w:rPr>
        <w:t>ARRA</w:t>
      </w:r>
      <w:r w:rsidRPr="005B192A">
        <w:rPr>
          <w:rFonts w:eastAsia="Calibri"/>
        </w:rPr>
        <w:t xml:space="preserve"> funds. </w:t>
      </w:r>
      <w:r w:rsidR="00E66F1A">
        <w:rPr>
          <w:rFonts w:eastAsia="Calibri"/>
        </w:rPr>
        <w:t>The school-level d</w:t>
      </w:r>
      <w:r w:rsidRPr="005B192A">
        <w:rPr>
          <w:rFonts w:eastAsia="Calibri"/>
        </w:rPr>
        <w:t xml:space="preserve">ata collection </w:t>
      </w:r>
      <w:r w:rsidR="00823F55">
        <w:rPr>
          <w:rFonts w:eastAsia="Calibri"/>
        </w:rPr>
        <w:t xml:space="preserve">pursuant to ARRA </w:t>
      </w:r>
      <w:r w:rsidRPr="005B192A">
        <w:rPr>
          <w:rFonts w:eastAsia="Calibri"/>
        </w:rPr>
        <w:t>was completed in 2010, and a final report and dataset were released in November 2011</w:t>
      </w:r>
      <w:r w:rsidR="005C47B1">
        <w:rPr>
          <w:rFonts w:eastAsia="Calibri"/>
        </w:rPr>
        <w:t xml:space="preserve"> (Heuer and Stullich 2011)</w:t>
      </w:r>
      <w:r w:rsidR="00856B8C">
        <w:rPr>
          <w:rFonts w:eastAsia="Calibri"/>
        </w:rPr>
        <w:t xml:space="preserve">. </w:t>
      </w:r>
      <w:r w:rsidRPr="005B192A">
        <w:rPr>
          <w:rFonts w:eastAsia="Calibri"/>
        </w:rPr>
        <w:t>Approximately 96</w:t>
      </w:r>
      <w:r>
        <w:rPr>
          <w:rFonts w:eastAsia="Calibri"/>
        </w:rPr>
        <w:t xml:space="preserve"> percent</w:t>
      </w:r>
      <w:r w:rsidRPr="005B192A">
        <w:rPr>
          <w:rFonts w:eastAsia="Calibri"/>
        </w:rPr>
        <w:t xml:space="preserve"> of regular schools receiving Title I funds reported data. The four finance data </w:t>
      </w:r>
      <w:r w:rsidRPr="005B192A">
        <w:rPr>
          <w:rFonts w:eastAsia="Calibri"/>
        </w:rPr>
        <w:lastRenderedPageBreak/>
        <w:t>items collected by</w:t>
      </w:r>
      <w:r>
        <w:rPr>
          <w:rFonts w:eastAsia="Calibri"/>
        </w:rPr>
        <w:t xml:space="preserve"> </w:t>
      </w:r>
      <w:r w:rsidR="00A24B7B">
        <w:rPr>
          <w:rFonts w:eastAsia="Calibri"/>
        </w:rPr>
        <w:t>ED</w:t>
      </w:r>
      <w:r>
        <w:rPr>
          <w:color w:val="000000"/>
        </w:rPr>
        <w:t>’s</w:t>
      </w:r>
      <w:r w:rsidRPr="005B192A">
        <w:rPr>
          <w:color w:val="000000"/>
        </w:rPr>
        <w:t xml:space="preserve"> Office of Planning, Evaluation, and Policy Development</w:t>
      </w:r>
      <w:r w:rsidRPr="005B192A">
        <w:rPr>
          <w:rFonts w:eastAsia="Calibri"/>
        </w:rPr>
        <w:t xml:space="preserve"> </w:t>
      </w:r>
      <w:r>
        <w:rPr>
          <w:rFonts w:eastAsia="Calibri"/>
        </w:rPr>
        <w:t>(</w:t>
      </w:r>
      <w:r w:rsidRPr="005B192A">
        <w:rPr>
          <w:rFonts w:eastAsia="Calibri"/>
        </w:rPr>
        <w:t>OPEPD</w:t>
      </w:r>
      <w:r>
        <w:rPr>
          <w:rFonts w:eastAsia="Calibri"/>
        </w:rPr>
        <w:t>)</w:t>
      </w:r>
      <w:r w:rsidRPr="005B192A">
        <w:rPr>
          <w:rFonts w:eastAsia="Calibri"/>
        </w:rPr>
        <w:t xml:space="preserve"> are listed below:</w:t>
      </w:r>
    </w:p>
    <w:p w:rsidR="00C85DF7" w:rsidRPr="005B192A" w:rsidRDefault="00C85DF7" w:rsidP="00B57859">
      <w:pPr>
        <w:numPr>
          <w:ilvl w:val="0"/>
          <w:numId w:val="20"/>
        </w:numPr>
        <w:spacing w:after="60"/>
        <w:rPr>
          <w:rFonts w:eastAsia="Calibri"/>
        </w:rPr>
      </w:pPr>
      <w:r w:rsidRPr="005B192A">
        <w:rPr>
          <w:rFonts w:eastAsia="Calibri"/>
        </w:rPr>
        <w:t xml:space="preserve">Personnel salaries at the school level for all school-level instructional and support staff, based on </w:t>
      </w:r>
      <w:r w:rsidR="002F48A4">
        <w:rPr>
          <w:rFonts w:eastAsia="Calibri"/>
        </w:rPr>
        <w:t>Census</w:t>
      </w:r>
      <w:r w:rsidRPr="005B192A">
        <w:rPr>
          <w:rFonts w:eastAsia="Calibri"/>
        </w:rPr>
        <w:t>’s classification used in F-33.</w:t>
      </w:r>
    </w:p>
    <w:p w:rsidR="00C85DF7" w:rsidRPr="005B192A" w:rsidRDefault="00C85DF7" w:rsidP="00B57859">
      <w:pPr>
        <w:numPr>
          <w:ilvl w:val="0"/>
          <w:numId w:val="20"/>
        </w:numPr>
        <w:spacing w:after="60"/>
        <w:rPr>
          <w:rFonts w:eastAsia="Calibri"/>
        </w:rPr>
      </w:pPr>
      <w:r w:rsidRPr="005B192A">
        <w:rPr>
          <w:rFonts w:eastAsia="Calibri"/>
        </w:rPr>
        <w:t>Personnel salaries at the school level for instructional staff only.</w:t>
      </w:r>
    </w:p>
    <w:p w:rsidR="00C85DF7" w:rsidRPr="005B192A" w:rsidRDefault="00C85DF7" w:rsidP="00B57859">
      <w:pPr>
        <w:numPr>
          <w:ilvl w:val="0"/>
          <w:numId w:val="20"/>
        </w:numPr>
        <w:spacing w:after="60"/>
        <w:rPr>
          <w:rFonts w:eastAsia="Calibri"/>
        </w:rPr>
      </w:pPr>
      <w:r w:rsidRPr="005B192A">
        <w:rPr>
          <w:rFonts w:eastAsia="Calibri"/>
        </w:rPr>
        <w:t>Personnel salaries at the school level for teachers only.</w:t>
      </w:r>
    </w:p>
    <w:p w:rsidR="00C85DF7" w:rsidRPr="005B192A" w:rsidRDefault="00C85DF7" w:rsidP="00B57859">
      <w:pPr>
        <w:numPr>
          <w:ilvl w:val="0"/>
          <w:numId w:val="20"/>
        </w:numPr>
        <w:spacing w:after="120"/>
        <w:rPr>
          <w:b/>
        </w:rPr>
      </w:pPr>
      <w:r w:rsidRPr="005B192A">
        <w:t>Nonpersonnel expenditures at the school level.</w:t>
      </w:r>
    </w:p>
    <w:p w:rsidR="00C85DF7" w:rsidRDefault="00A24B7B" w:rsidP="00B57859">
      <w:pPr>
        <w:spacing w:after="120" w:line="276" w:lineRule="auto"/>
        <w:rPr>
          <w:rFonts w:eastAsia="Calibri"/>
        </w:rPr>
      </w:pPr>
      <w:r>
        <w:rPr>
          <w:rFonts w:eastAsia="Calibri"/>
        </w:rPr>
        <w:t>ED’s</w:t>
      </w:r>
      <w:r w:rsidR="00C85DF7">
        <w:rPr>
          <w:rFonts w:eastAsia="Calibri"/>
        </w:rPr>
        <w:t xml:space="preserve"> </w:t>
      </w:r>
      <w:r w:rsidR="00C85DF7" w:rsidRPr="005B192A">
        <w:rPr>
          <w:rFonts w:eastAsia="Calibri"/>
        </w:rPr>
        <w:t xml:space="preserve">Office for Civil Rights added similar school-level finance data items to </w:t>
      </w:r>
      <w:r w:rsidR="00C85DF7">
        <w:rPr>
          <w:rFonts w:eastAsia="Calibri"/>
        </w:rPr>
        <w:t>the</w:t>
      </w:r>
      <w:r w:rsidR="00C85DF7" w:rsidRPr="005B192A">
        <w:rPr>
          <w:rFonts w:eastAsia="Calibri"/>
        </w:rPr>
        <w:t xml:space="preserve"> </w:t>
      </w:r>
      <w:r w:rsidR="00C85DF7">
        <w:rPr>
          <w:rFonts w:eastAsia="Calibri"/>
        </w:rPr>
        <w:t>C</w:t>
      </w:r>
      <w:r w:rsidR="00C85DF7" w:rsidRPr="005B192A">
        <w:rPr>
          <w:rFonts w:eastAsia="Calibri"/>
        </w:rPr>
        <w:t xml:space="preserve">ivil Rights Data Collection </w:t>
      </w:r>
      <w:r w:rsidR="00C85DF7">
        <w:rPr>
          <w:rFonts w:eastAsia="Calibri"/>
        </w:rPr>
        <w:t>(</w:t>
      </w:r>
      <w:r w:rsidR="00C85DF7" w:rsidRPr="005B192A">
        <w:rPr>
          <w:rFonts w:eastAsia="Calibri"/>
        </w:rPr>
        <w:t>CRDC</w:t>
      </w:r>
      <w:r w:rsidR="00C85DF7">
        <w:rPr>
          <w:rFonts w:eastAsia="Calibri"/>
        </w:rPr>
        <w:t>)</w:t>
      </w:r>
      <w:r w:rsidR="00C85DF7" w:rsidRPr="005B192A">
        <w:rPr>
          <w:rFonts w:eastAsia="Calibri"/>
        </w:rPr>
        <w:t xml:space="preserve"> beginning in </w:t>
      </w:r>
      <w:r w:rsidR="00C85DF7">
        <w:rPr>
          <w:rFonts w:eastAsia="Calibri"/>
        </w:rPr>
        <w:t>school year (</w:t>
      </w:r>
      <w:r w:rsidR="00C85DF7" w:rsidRPr="005B192A">
        <w:rPr>
          <w:rFonts w:eastAsia="Calibri"/>
        </w:rPr>
        <w:t>SY</w:t>
      </w:r>
      <w:r w:rsidR="00C85DF7">
        <w:rPr>
          <w:rFonts w:eastAsia="Calibri"/>
        </w:rPr>
        <w:t>)</w:t>
      </w:r>
      <w:r w:rsidR="00C85DF7" w:rsidRPr="005B192A">
        <w:rPr>
          <w:rFonts w:eastAsia="Calibri"/>
        </w:rPr>
        <w:t xml:space="preserve"> 2009–10. CRDC is a biennial </w:t>
      </w:r>
      <w:r w:rsidR="00C85DF7">
        <w:rPr>
          <w:rFonts w:eastAsia="Calibri"/>
        </w:rPr>
        <w:t xml:space="preserve">data </w:t>
      </w:r>
      <w:r w:rsidR="00C85DF7" w:rsidRPr="005B192A">
        <w:rPr>
          <w:rFonts w:eastAsia="Calibri"/>
        </w:rPr>
        <w:t>collection</w:t>
      </w:r>
      <w:r w:rsidR="00C85DF7">
        <w:rPr>
          <w:rFonts w:eastAsia="Calibri"/>
        </w:rPr>
        <w:t xml:space="preserve"> that </w:t>
      </w:r>
      <w:r w:rsidR="00EE4281">
        <w:rPr>
          <w:rFonts w:eastAsia="Calibri"/>
        </w:rPr>
        <w:t xml:space="preserve">so far </w:t>
      </w:r>
      <w:r w:rsidR="00C85DF7">
        <w:rPr>
          <w:rFonts w:eastAsia="Calibri"/>
        </w:rPr>
        <w:t xml:space="preserve">has been </w:t>
      </w:r>
      <w:r w:rsidR="000A528E">
        <w:rPr>
          <w:rFonts w:eastAsia="Calibri"/>
        </w:rPr>
        <w:t>conducted</w:t>
      </w:r>
      <w:r w:rsidR="00C85DF7">
        <w:rPr>
          <w:rFonts w:eastAsia="Calibri"/>
        </w:rPr>
        <w:t xml:space="preserve"> for the </w:t>
      </w:r>
      <w:r w:rsidR="00C85DF7" w:rsidRPr="005B192A">
        <w:rPr>
          <w:rFonts w:eastAsia="Calibri"/>
        </w:rPr>
        <w:t>2009–10, 2011–12, 2013–14</w:t>
      </w:r>
      <w:r w:rsidR="000A528E">
        <w:rPr>
          <w:rFonts w:eastAsia="Calibri"/>
        </w:rPr>
        <w:t>, and 2015-16</w:t>
      </w:r>
      <w:r w:rsidR="00C85DF7">
        <w:rPr>
          <w:rFonts w:eastAsia="Calibri"/>
        </w:rPr>
        <w:t xml:space="preserve"> school years</w:t>
      </w:r>
      <w:r w:rsidR="00C85DF7" w:rsidRPr="005B192A">
        <w:rPr>
          <w:rFonts w:eastAsia="Calibri"/>
        </w:rPr>
        <w:t>.</w:t>
      </w:r>
    </w:p>
    <w:p w:rsidR="00C85DF7" w:rsidRPr="00B543FA" w:rsidRDefault="00C85DF7" w:rsidP="00B57859">
      <w:pPr>
        <w:spacing w:after="120" w:line="276" w:lineRule="auto"/>
        <w:jc w:val="both"/>
      </w:pPr>
      <w:r w:rsidRPr="00B543FA">
        <w:t xml:space="preserve">OPEPD also recently collected </w:t>
      </w:r>
      <w:r>
        <w:t>fiscal year (</w:t>
      </w:r>
      <w:r w:rsidRPr="00B543FA">
        <w:t>FY</w:t>
      </w:r>
      <w:r>
        <w:t>)</w:t>
      </w:r>
      <w:r w:rsidRPr="00B543FA">
        <w:t xml:space="preserve"> </w:t>
      </w:r>
      <w:r w:rsidR="00EE4281">
        <w:t>20</w:t>
      </w:r>
      <w:r w:rsidRPr="00B543FA">
        <w:t xml:space="preserve">12 data from five </w:t>
      </w:r>
      <w:r>
        <w:t>s</w:t>
      </w:r>
      <w:r w:rsidRPr="00B543FA">
        <w:t xml:space="preserve">tates </w:t>
      </w:r>
      <w:r>
        <w:t>(</w:t>
      </w:r>
      <w:r w:rsidRPr="00B543FA">
        <w:t xml:space="preserve">Florida, Hawaii, Ohio, Rhode Island, </w:t>
      </w:r>
      <w:r>
        <w:t xml:space="preserve">and </w:t>
      </w:r>
      <w:r w:rsidRPr="00B543FA">
        <w:t>Texas</w:t>
      </w:r>
      <w:r>
        <w:t>)</w:t>
      </w:r>
      <w:r w:rsidRPr="00B543FA">
        <w:t>, and four districts</w:t>
      </w:r>
      <w:r>
        <w:t xml:space="preserve"> (</w:t>
      </w:r>
      <w:r w:rsidRPr="00B543FA">
        <w:t>Baltimore City Schools (MD), Hillsborough County Public Schools (FL), Houston</w:t>
      </w:r>
      <w:r>
        <w:t xml:space="preserve"> Independent School District</w:t>
      </w:r>
      <w:r w:rsidR="000A528E">
        <w:t xml:space="preserve"> (</w:t>
      </w:r>
      <w:r w:rsidRPr="00B543FA">
        <w:t>TX), and Los Angeles Unified (CA)</w:t>
      </w:r>
      <w:r>
        <w:t>)</w:t>
      </w:r>
      <w:r w:rsidRPr="00B543FA">
        <w:t>.</w:t>
      </w:r>
    </w:p>
    <w:p w:rsidR="00BD41C6" w:rsidRPr="00C747F1" w:rsidRDefault="00EA70C0" w:rsidP="00B57859">
      <w:pPr>
        <w:pStyle w:val="Heading5"/>
        <w:spacing w:after="120" w:line="276" w:lineRule="auto"/>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00BD41C6" w:rsidRPr="00864F60" w:rsidRDefault="00702EC5" w:rsidP="00B57859">
      <w:pPr>
        <w:autoSpaceDE w:val="0"/>
        <w:autoSpaceDN w:val="0"/>
        <w:adjustRightInd w:val="0"/>
        <w:spacing w:after="120" w:line="276" w:lineRule="auto"/>
        <w:jc w:val="both"/>
        <w:rPr>
          <w:color w:val="000000"/>
        </w:rPr>
      </w:pPr>
      <w:r>
        <w:t>The Common Core of Data (</w:t>
      </w:r>
      <w:r w:rsidR="00567497">
        <w:t>CCD</w:t>
      </w:r>
      <w:r>
        <w:t>)</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2F7842">
        <w:t xml:space="preserve"> </w:t>
      </w:r>
      <w:r w:rsidR="00BD41C6">
        <w:t xml:space="preserve">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rsidR="00567497">
        <w:t xml:space="preserve"> and the supporting financial data on revenues and expenditures.</w:t>
      </w:r>
    </w:p>
    <w:p w:rsidR="002F7842" w:rsidRDefault="00BD41C6" w:rsidP="00B57859">
      <w:pPr>
        <w:autoSpaceDE w:val="0"/>
        <w:autoSpaceDN w:val="0"/>
        <w:adjustRightInd w:val="0"/>
        <w:spacing w:after="120" w:line="276" w:lineRule="auto"/>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w:t>
      </w:r>
      <w:r w:rsidR="000A528E">
        <w:rPr>
          <w:rFonts w:eastAsia="Calibri"/>
        </w:rPr>
        <w:t>collections</w:t>
      </w:r>
      <w:r w:rsidRPr="00BD41C6">
        <w:rPr>
          <w:rFonts w:eastAsia="Calibri"/>
        </w:rPr>
        <w:t xml:space="preserve"> </w:t>
      </w:r>
      <w:r w:rsidR="008C0359">
        <w:rPr>
          <w:rFonts w:eastAsia="Calibri"/>
        </w:rPr>
        <w:t>from</w:t>
      </w:r>
      <w:r w:rsidRPr="00BD41C6">
        <w:rPr>
          <w:rFonts w:eastAsia="Calibri"/>
        </w:rPr>
        <w:t xml:space="preserve"> SEAs</w:t>
      </w:r>
      <w:r w:rsidR="00567497">
        <w:rPr>
          <w:rFonts w:eastAsia="Calibri"/>
        </w:rPr>
        <w:t>.</w:t>
      </w:r>
      <w:r w:rsidR="002F7842">
        <w:rPr>
          <w:rFonts w:eastAsia="Calibri"/>
        </w:rPr>
        <w:t xml:space="preserve"> </w:t>
      </w:r>
      <w:r w:rsidR="00A24B7B">
        <w:rPr>
          <w:rFonts w:eastAsia="Calibri"/>
        </w:rPr>
        <w:t xml:space="preserve">Of these, </w:t>
      </w:r>
      <w:r w:rsidR="002416AC">
        <w:rPr>
          <w:rFonts w:eastAsia="Calibri"/>
        </w:rPr>
        <w:t xml:space="preserve">three </w:t>
      </w:r>
      <w:r w:rsidR="00A24B7B">
        <w:rPr>
          <w:rFonts w:eastAsia="Calibri"/>
        </w:rPr>
        <w:t xml:space="preserve">are </w:t>
      </w:r>
      <w:r w:rsidR="002416AC">
        <w:rPr>
          <w:rFonts w:eastAsia="Calibri"/>
        </w:rPr>
        <w:t>nonfiscal components</w:t>
      </w:r>
      <w:r w:rsidR="00567497">
        <w:rPr>
          <w:rFonts w:eastAsia="Calibri"/>
        </w:rPr>
        <w:t xml:space="preserve"> collected as part of </w:t>
      </w:r>
      <w:r w:rsidR="00A24B7B">
        <w:rPr>
          <w:rFonts w:eastAsia="Calibri"/>
        </w:rPr>
        <w:t>ED</w:t>
      </w:r>
      <w:r w:rsidR="00567497">
        <w:rPr>
          <w:rFonts w:eastAsia="Calibri"/>
        </w:rPr>
        <w:t>’s E</w:t>
      </w:r>
      <w:r w:rsidR="00A24B7B">
        <w:rPr>
          <w:rFonts w:eastAsia="Calibri"/>
        </w:rPr>
        <w:t>D</w:t>
      </w:r>
      <w:r w:rsidR="00567497" w:rsidRPr="00A24B7B">
        <w:rPr>
          <w:rFonts w:eastAsia="Calibri"/>
          <w:i/>
        </w:rPr>
        <w:t>Facts</w:t>
      </w:r>
      <w:r w:rsidR="00567497">
        <w:rPr>
          <w:rFonts w:eastAsia="Calibri"/>
        </w:rPr>
        <w:t xml:space="preserve"> system:</w:t>
      </w:r>
    </w:p>
    <w:p w:rsidR="00BD41C6" w:rsidRPr="00BB33FC" w:rsidRDefault="00BD41C6" w:rsidP="00B57859">
      <w:pPr>
        <w:pStyle w:val="ListParagraph"/>
        <w:numPr>
          <w:ilvl w:val="0"/>
          <w:numId w:val="14"/>
        </w:numPr>
        <w:autoSpaceDE w:val="0"/>
        <w:autoSpaceDN w:val="0"/>
        <w:adjustRightInd w:val="0"/>
        <w:spacing w:after="120" w:line="276" w:lineRule="auto"/>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rsidR="002F7842" w:rsidRDefault="00BD41C6" w:rsidP="00B57859">
      <w:pPr>
        <w:pStyle w:val="ListParagraph"/>
        <w:numPr>
          <w:ilvl w:val="0"/>
          <w:numId w:val="14"/>
        </w:numPr>
        <w:autoSpaceDE w:val="0"/>
        <w:autoSpaceDN w:val="0"/>
        <w:adjustRightInd w:val="0"/>
        <w:spacing w:after="120" w:line="276" w:lineRule="auto"/>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RDefault="00BD41C6" w:rsidP="00B57859">
      <w:pPr>
        <w:pStyle w:val="ListParagraph"/>
        <w:widowControl w:val="0"/>
        <w:numPr>
          <w:ilvl w:val="0"/>
          <w:numId w:val="14"/>
        </w:numPr>
        <w:autoSpaceDE w:val="0"/>
        <w:autoSpaceDN w:val="0"/>
        <w:adjustRightInd w:val="0"/>
        <w:spacing w:after="120" w:line="276" w:lineRule="auto"/>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RDefault="00F91D04" w:rsidP="00B57859">
      <w:pPr>
        <w:autoSpaceDE w:val="0"/>
        <w:autoSpaceDN w:val="0"/>
        <w:adjustRightInd w:val="0"/>
        <w:spacing w:after="120" w:line="276" w:lineRule="auto"/>
        <w:rPr>
          <w:rFonts w:eastAsia="Calibri"/>
        </w:rPr>
      </w:pPr>
      <w:r>
        <w:rPr>
          <w:rFonts w:eastAsia="Calibri"/>
        </w:rPr>
        <w:t>And</w:t>
      </w:r>
      <w:r w:rsidR="002416AC">
        <w:rPr>
          <w:rFonts w:eastAsia="Calibri"/>
        </w:rPr>
        <w:t xml:space="preserve"> </w:t>
      </w:r>
      <w:r>
        <w:rPr>
          <w:rFonts w:eastAsia="Calibri"/>
        </w:rPr>
        <w:t>three</w:t>
      </w:r>
      <w:r w:rsidR="002416AC">
        <w:rPr>
          <w:rFonts w:eastAsia="Calibri"/>
        </w:rPr>
        <w:t xml:space="preserve"> </w:t>
      </w:r>
      <w:r>
        <w:rPr>
          <w:rFonts w:eastAsia="Calibri"/>
        </w:rPr>
        <w:t xml:space="preserve">are </w:t>
      </w:r>
      <w:r w:rsidR="002416AC">
        <w:rPr>
          <w:rFonts w:eastAsia="Calibri"/>
        </w:rPr>
        <w:t>fiscal survey components</w:t>
      </w:r>
      <w:r w:rsidR="001D7903">
        <w:rPr>
          <w:rFonts w:eastAsia="Calibri"/>
        </w:rPr>
        <w:t xml:space="preserve"> collected separately</w:t>
      </w:r>
      <w:r>
        <w:rPr>
          <w:rFonts w:eastAsia="Calibri"/>
        </w:rPr>
        <w:t>,</w:t>
      </w:r>
      <w:r w:rsidR="001D7903">
        <w:rPr>
          <w:rFonts w:eastAsia="Calibri"/>
        </w:rPr>
        <w:t xml:space="preserve"> in cooperation with Census</w:t>
      </w:r>
      <w:r w:rsidR="002416AC">
        <w:rPr>
          <w:rFonts w:eastAsia="Calibri"/>
        </w:rPr>
        <w:t>:</w:t>
      </w:r>
    </w:p>
    <w:p w:rsidR="00BD41C6" w:rsidRPr="00A25B62" w:rsidRDefault="00BD41C6" w:rsidP="00A24B7B">
      <w:pPr>
        <w:pStyle w:val="ListParagraph"/>
        <w:widowControl w:val="0"/>
        <w:numPr>
          <w:ilvl w:val="0"/>
          <w:numId w:val="15"/>
        </w:numPr>
        <w:autoSpaceDE w:val="0"/>
        <w:autoSpaceDN w:val="0"/>
        <w:adjustRightInd w:val="0"/>
        <w:spacing w:after="120" w:line="276" w:lineRule="auto"/>
        <w:rPr>
          <w:rFonts w:eastAsia="Calibri"/>
        </w:rPr>
      </w:pPr>
      <w:r w:rsidRPr="00A25B62">
        <w:rPr>
          <w:rFonts w:eastAsia="Calibri"/>
          <w:bCs/>
          <w:i/>
          <w:iCs/>
          <w:u w:val="single"/>
        </w:rPr>
        <w:lastRenderedPageBreak/>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F91D04" w:rsidRDefault="00BD41C6" w:rsidP="00F91D04">
      <w:pPr>
        <w:pStyle w:val="ListParagraph"/>
        <w:numPr>
          <w:ilvl w:val="0"/>
          <w:numId w:val="15"/>
        </w:numPr>
        <w:autoSpaceDE w:val="0"/>
        <w:autoSpaceDN w:val="0"/>
        <w:adjustRightInd w:val="0"/>
        <w:spacing w:after="120" w:line="276" w:lineRule="auto"/>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00F244D3" w:rsidRPr="00A25B62">
        <w:rPr>
          <w:rFonts w:eastAsia="Calibri"/>
        </w:rPr>
        <w:t>source</w:t>
      </w:r>
      <w:r w:rsidRPr="00A25B62">
        <w:rPr>
          <w:rFonts w:eastAsia="Calibri"/>
        </w:rPr>
        <w:t xml:space="preserve"> </w:t>
      </w:r>
      <w:r w:rsidR="001D7903" w:rsidRPr="00A25B62">
        <w:rPr>
          <w:rFonts w:eastAsia="Calibri"/>
        </w:rPr>
        <w:t xml:space="preserve">and </w:t>
      </w:r>
      <w:r w:rsidRPr="00A25B62">
        <w:rPr>
          <w:rFonts w:eastAsia="Calibri"/>
        </w:rPr>
        <w:t>expenditures by function and subfunction.</w:t>
      </w:r>
      <w:r w:rsidR="002F7842">
        <w:rPr>
          <w:rFonts w:eastAsia="Calibri"/>
        </w:rPr>
        <w:t xml:space="preserve"> </w:t>
      </w:r>
      <w:r w:rsidR="001D7903" w:rsidRPr="00A25B62">
        <w:rPr>
          <w:rFonts w:eastAsia="Calibri"/>
        </w:rPr>
        <w:t xml:space="preserve">This survey is co-sponsored </w:t>
      </w:r>
      <w:r w:rsidR="00F91D04" w:rsidRPr="00A25B62">
        <w:rPr>
          <w:rFonts w:eastAsia="Calibri"/>
        </w:rPr>
        <w:t xml:space="preserve">and published </w:t>
      </w:r>
      <w:r w:rsidR="001D7903" w:rsidRPr="00A25B62">
        <w:rPr>
          <w:rFonts w:eastAsia="Calibri"/>
        </w:rPr>
        <w:t>by Census as the Survey of Local Governments: School Systems (OMB# 0607-0700).</w:t>
      </w:r>
    </w:p>
    <w:p w:rsidR="00673E11" w:rsidRPr="00F91D04" w:rsidRDefault="004225C6" w:rsidP="00F91D04">
      <w:pPr>
        <w:pStyle w:val="ListParagraph"/>
        <w:numPr>
          <w:ilvl w:val="0"/>
          <w:numId w:val="15"/>
        </w:numPr>
        <w:autoSpaceDE w:val="0"/>
        <w:autoSpaceDN w:val="0"/>
        <w:adjustRightInd w:val="0"/>
        <w:spacing w:after="120" w:line="276" w:lineRule="auto"/>
        <w:rPr>
          <w:rFonts w:eastAsia="Calibri"/>
        </w:rPr>
      </w:pPr>
      <w:r w:rsidRPr="00F91D04">
        <w:rPr>
          <w:rFonts w:eastAsia="Calibri"/>
          <w:i/>
          <w:u w:val="single"/>
        </w:rPr>
        <w:t>School Level Finance</w:t>
      </w:r>
      <w:r w:rsidR="00F244D3" w:rsidRPr="00F91D04">
        <w:rPr>
          <w:rFonts w:eastAsia="Calibri"/>
          <w:i/>
          <w:u w:val="single"/>
        </w:rPr>
        <w:t xml:space="preserve"> Survey (</w:t>
      </w:r>
      <w:r w:rsidRPr="00F91D04">
        <w:rPr>
          <w:rFonts w:eastAsia="Calibri"/>
          <w:i/>
          <w:u w:val="single"/>
        </w:rPr>
        <w:t>SLFS</w:t>
      </w:r>
      <w:r w:rsidR="00F244D3" w:rsidRPr="00F91D04">
        <w:rPr>
          <w:rFonts w:eastAsia="Calibri"/>
          <w:i/>
          <w:u w:val="single"/>
        </w:rPr>
        <w:t>)</w:t>
      </w:r>
      <w:r w:rsidR="00F244D3" w:rsidRPr="00F91D04">
        <w:rPr>
          <w:rFonts w:eastAsia="Calibri"/>
        </w:rPr>
        <w:t xml:space="preserve"> —</w:t>
      </w:r>
      <w:r w:rsidR="00F91D04">
        <w:rPr>
          <w:rFonts w:eastAsia="Calibri"/>
        </w:rPr>
        <w:t xml:space="preserve">approved </w:t>
      </w:r>
      <w:r w:rsidR="008C0359">
        <w:rPr>
          <w:rFonts w:eastAsia="Calibri"/>
        </w:rPr>
        <w:t xml:space="preserve">in May </w:t>
      </w:r>
      <w:r w:rsidR="008C0359" w:rsidRPr="00F91D04">
        <w:rPr>
          <w:rFonts w:eastAsia="Calibri"/>
        </w:rPr>
        <w:t>201</w:t>
      </w:r>
      <w:r w:rsidR="008C0359">
        <w:rPr>
          <w:rFonts w:eastAsia="Calibri"/>
        </w:rPr>
        <w:t>5</w:t>
      </w:r>
      <w:r w:rsidR="00037E7B">
        <w:t>(OMB#1850-0803 v.133)</w:t>
      </w:r>
      <w:r w:rsidR="00FE0ABA">
        <w:t xml:space="preserve"> </w:t>
      </w:r>
      <w:r w:rsidR="00F91D04">
        <w:rPr>
          <w:rFonts w:eastAsia="Calibri"/>
        </w:rPr>
        <w:t xml:space="preserve">to be conducted as a pilot study </w:t>
      </w:r>
      <w:r w:rsidR="00B41557" w:rsidRPr="00F91D04">
        <w:rPr>
          <w:rFonts w:eastAsia="Calibri"/>
        </w:rPr>
        <w:t>for fiscal years 2014 and 2015 (</w:t>
      </w:r>
      <w:r w:rsidR="00B5117F">
        <w:rPr>
          <w:rFonts w:eastAsia="Calibri"/>
        </w:rPr>
        <w:t>FY 201</w:t>
      </w:r>
      <w:r w:rsidR="00B41557" w:rsidRPr="00F91D04">
        <w:rPr>
          <w:rFonts w:eastAsia="Calibri"/>
        </w:rPr>
        <w:t xml:space="preserve">4 and </w:t>
      </w:r>
      <w:r w:rsidR="00B5117F">
        <w:rPr>
          <w:rFonts w:eastAsia="Calibri"/>
        </w:rPr>
        <w:t>FY 201</w:t>
      </w:r>
      <w:r w:rsidR="00B41557" w:rsidRPr="00F91D04">
        <w:rPr>
          <w:rFonts w:eastAsia="Calibri"/>
        </w:rPr>
        <w:t>5)</w:t>
      </w:r>
      <w:r w:rsidR="00F91D04">
        <w:rPr>
          <w:rFonts w:eastAsia="Calibri"/>
        </w:rPr>
        <w:t>, to</w:t>
      </w:r>
      <w:r w:rsidR="00B41557" w:rsidRPr="009F2624">
        <w:t xml:space="preserve"> collect school-level finance data from </w:t>
      </w:r>
      <w:r w:rsidR="00F91D04">
        <w:t xml:space="preserve">up to </w:t>
      </w:r>
      <w:r w:rsidR="00B41557" w:rsidRPr="009F2624">
        <w:t>1</w:t>
      </w:r>
      <w:r w:rsidR="00F91D04">
        <w:t>5</w:t>
      </w:r>
      <w:r w:rsidR="00B41557" w:rsidRPr="009F2624">
        <w:t xml:space="preserve"> SEAs in its first year and</w:t>
      </w:r>
      <w:r w:rsidR="00B41557">
        <w:t xml:space="preserve"> </w:t>
      </w:r>
      <w:r w:rsidR="00B41557" w:rsidRPr="009F2624">
        <w:t>up to 20 SEAs</w:t>
      </w:r>
      <w:r w:rsidR="00B41557">
        <w:t xml:space="preserve"> in its second year</w:t>
      </w:r>
      <w:r w:rsidR="00B41557" w:rsidRPr="009F2624">
        <w:t>.</w:t>
      </w:r>
    </w:p>
    <w:p w:rsidR="008F46DF" w:rsidRPr="008A5916" w:rsidRDefault="008F46DF" w:rsidP="00B57859">
      <w:pPr>
        <w:spacing w:after="120" w:line="276" w:lineRule="auto"/>
        <w:jc w:val="both"/>
      </w:pPr>
      <w:r w:rsidRPr="008A5916">
        <w:t xml:space="preserve">The first year of the </w:t>
      </w:r>
      <w:r>
        <w:t xml:space="preserve">pilot </w:t>
      </w:r>
      <w:r w:rsidRPr="008A5916">
        <w:t>SLFS</w:t>
      </w:r>
      <w:r>
        <w:t xml:space="preserve"> </w:t>
      </w:r>
      <w:r w:rsidRPr="008A5916">
        <w:t xml:space="preserve">data collection commenced on May 7, 2015 and the second year of data collection commenced on April 4, 2016. In 2015, data </w:t>
      </w:r>
      <w:r w:rsidR="008C0359">
        <w:t>were</w:t>
      </w:r>
      <w:r w:rsidRPr="008A5916">
        <w:t xml:space="preserve"> collected for t</w:t>
      </w:r>
      <w:r>
        <w:t>he</w:t>
      </w:r>
      <w:r w:rsidRPr="008A5916">
        <w:t xml:space="preserve"> 2013-14 school year (</w:t>
      </w:r>
      <w:r w:rsidR="00B5117F">
        <w:t>FY 201</w:t>
      </w:r>
      <w:r w:rsidRPr="008A5916">
        <w:t>4) and in 2016 for the 2014-15 school year (</w:t>
      </w:r>
      <w:r w:rsidR="00B5117F">
        <w:t>FY 201</w:t>
      </w:r>
      <w:r w:rsidRPr="008A5916">
        <w:t>5). In the first year, 12</w:t>
      </w:r>
      <w:r>
        <w:t xml:space="preserve"> states</w:t>
      </w:r>
      <w:r w:rsidRPr="008A5916">
        <w:t xml:space="preserve"> committed to submitting </w:t>
      </w:r>
      <w:r w:rsidR="00B5117F">
        <w:t>FY 201</w:t>
      </w:r>
      <w:r w:rsidRPr="008A5916">
        <w:t xml:space="preserve">4 </w:t>
      </w:r>
      <w:r w:rsidR="008C0359">
        <w:t xml:space="preserve">and </w:t>
      </w:r>
      <w:r w:rsidR="00B5117F">
        <w:t>FY 201</w:t>
      </w:r>
      <w:r w:rsidR="008C0359">
        <w:t xml:space="preserve">5 </w:t>
      </w:r>
      <w:r w:rsidRPr="008A5916">
        <w:t>data</w:t>
      </w:r>
      <w:r>
        <w:t xml:space="preserve">: </w:t>
      </w:r>
      <w:r w:rsidRPr="008A5916">
        <w:t xml:space="preserve">Arkansas, Colorado, Kentucky, Louisiana, Maine, Maryland, Michigan, New Jersey, North Carolina, Ohio, Rhode Island, and South Carolina. In the second year, an additional 7 </w:t>
      </w:r>
      <w:r>
        <w:t>states – Alabama, Florida, Georgia, Hawaii, Montana, Oklahoma, and Wyoming</w:t>
      </w:r>
      <w:r w:rsidR="008C0359">
        <w:t xml:space="preserve"> – </w:t>
      </w:r>
      <w:r w:rsidRPr="008A5916">
        <w:t xml:space="preserve">committed to providing </w:t>
      </w:r>
      <w:r w:rsidR="00B5117F">
        <w:t>FY 201</w:t>
      </w:r>
      <w:r w:rsidRPr="008A5916">
        <w:t xml:space="preserve">5 data, bringing the total number to 19 </w:t>
      </w:r>
      <w:r>
        <w:t>states</w:t>
      </w:r>
      <w:r w:rsidRPr="008A5916">
        <w:t xml:space="preserve"> currently participating in </w:t>
      </w:r>
      <w:r w:rsidR="00167A98">
        <w:t>SLFS</w:t>
      </w:r>
      <w:r>
        <w:t>.</w:t>
      </w:r>
    </w:p>
    <w:p w:rsidR="00673E11" w:rsidRDefault="004225C6" w:rsidP="00B57859">
      <w:pPr>
        <w:spacing w:after="120" w:line="276" w:lineRule="auto"/>
        <w:rPr>
          <w:color w:val="000000"/>
        </w:rPr>
      </w:pPr>
      <w:r w:rsidRPr="00B41557">
        <w:rPr>
          <w:bCs/>
          <w:noProof/>
        </w:rPr>
        <w:t xml:space="preserve">The primary </w:t>
      </w:r>
      <w:r w:rsidR="007A0DE0" w:rsidRPr="00B41557">
        <w:rPr>
          <w:bCs/>
          <w:noProof/>
        </w:rPr>
        <w:t>goal</w:t>
      </w:r>
      <w:r w:rsidRPr="00B41557">
        <w:rPr>
          <w:bCs/>
          <w:noProof/>
        </w:rPr>
        <w:t xml:space="preserve"> of the pilot SLFS </w:t>
      </w:r>
      <w:r w:rsidR="008C0359">
        <w:rPr>
          <w:bCs/>
          <w:noProof/>
        </w:rPr>
        <w:t>wa</w:t>
      </w:r>
      <w:r w:rsidR="00B41557" w:rsidRPr="00B41557">
        <w:rPr>
          <w:bCs/>
          <w:noProof/>
        </w:rPr>
        <w:t xml:space="preserve">s </w:t>
      </w:r>
      <w:r w:rsidRPr="00B41557">
        <w:rPr>
          <w:bCs/>
          <w:noProof/>
        </w:rPr>
        <w:t xml:space="preserve">to test the feasibility of collecting school level finance data in conjunction with the existing LEA- and SEA-level finance surveys. </w:t>
      </w:r>
      <w:r w:rsidR="00B41557" w:rsidRPr="005B192A">
        <w:rPr>
          <w:color w:val="000000"/>
        </w:rPr>
        <w:t>Th</w:t>
      </w:r>
      <w:r w:rsidR="00B41557">
        <w:rPr>
          <w:color w:val="000000"/>
        </w:rPr>
        <w:t xml:space="preserve">e </w:t>
      </w:r>
      <w:r w:rsidR="00B41557" w:rsidRPr="005B192A">
        <w:rPr>
          <w:color w:val="000000"/>
        </w:rPr>
        <w:t xml:space="preserve">SLFS </w:t>
      </w:r>
      <w:r w:rsidR="00B41557">
        <w:rPr>
          <w:color w:val="000000"/>
        </w:rPr>
        <w:t xml:space="preserve">pilot </w:t>
      </w:r>
      <w:r w:rsidR="00702EC5">
        <w:rPr>
          <w:color w:val="000000"/>
        </w:rPr>
        <w:t xml:space="preserve">will be published as </w:t>
      </w:r>
      <w:r w:rsidR="00B41557" w:rsidRPr="005B192A">
        <w:rPr>
          <w:color w:val="000000"/>
        </w:rPr>
        <w:t xml:space="preserve">part of </w:t>
      </w:r>
      <w:r w:rsidR="00B41557">
        <w:rPr>
          <w:color w:val="000000"/>
        </w:rPr>
        <w:t>NCES’s Research and Development (</w:t>
      </w:r>
      <w:r w:rsidR="00B41557" w:rsidRPr="005B192A">
        <w:rPr>
          <w:color w:val="000000"/>
        </w:rPr>
        <w:t>R&amp;D</w:t>
      </w:r>
      <w:r w:rsidR="00B41557">
        <w:rPr>
          <w:color w:val="000000"/>
        </w:rPr>
        <w:t>)</w:t>
      </w:r>
      <w:r w:rsidR="00B41557" w:rsidRPr="005B192A">
        <w:rPr>
          <w:color w:val="000000"/>
        </w:rPr>
        <w:t xml:space="preserve"> series of reports</w:t>
      </w:r>
      <w:r w:rsidR="00B41557" w:rsidRPr="00B41557">
        <w:rPr>
          <w:rStyle w:val="FootnoteReference"/>
          <w:color w:val="000000"/>
          <w:vertAlign w:val="superscript"/>
        </w:rPr>
        <w:footnoteReference w:id="1"/>
      </w:r>
      <w:r w:rsidR="00B41557" w:rsidRPr="005B192A">
        <w:rPr>
          <w:color w:val="000000"/>
        </w:rPr>
        <w:t xml:space="preserve"> </w:t>
      </w:r>
      <w:r w:rsidR="00B41557">
        <w:rPr>
          <w:color w:val="000000"/>
        </w:rPr>
        <w:t>and</w:t>
      </w:r>
      <w:r w:rsidR="00B41557" w:rsidRPr="005B192A">
        <w:rPr>
          <w:color w:val="000000"/>
        </w:rPr>
        <w:t xml:space="preserve"> </w:t>
      </w:r>
      <w:r w:rsidR="00702EC5">
        <w:rPr>
          <w:color w:val="000000"/>
        </w:rPr>
        <w:t xml:space="preserve">will </w:t>
      </w:r>
      <w:r w:rsidR="00B41557" w:rsidRPr="005B192A">
        <w:rPr>
          <w:color w:val="000000"/>
        </w:rPr>
        <w:t xml:space="preserve">focus on whether </w:t>
      </w:r>
      <w:r w:rsidR="00167A98">
        <w:rPr>
          <w:color w:val="000000"/>
        </w:rPr>
        <w:t>SLFS</w:t>
      </w:r>
      <w:r w:rsidR="00B41557">
        <w:rPr>
          <w:color w:val="000000"/>
        </w:rPr>
        <w:t xml:space="preserve"> is</w:t>
      </w:r>
      <w:r w:rsidR="00B41557" w:rsidRPr="005B192A">
        <w:rPr>
          <w:color w:val="000000"/>
        </w:rPr>
        <w:t xml:space="preserve"> a viable, efficient, and cost</w:t>
      </w:r>
      <w:r w:rsidR="00B41557">
        <w:rPr>
          <w:color w:val="000000"/>
        </w:rPr>
        <w:t>-</w:t>
      </w:r>
      <w:r w:rsidR="00B41557" w:rsidRPr="005B192A">
        <w:rPr>
          <w:color w:val="000000"/>
        </w:rPr>
        <w:t xml:space="preserve">effective method to collect school finance </w:t>
      </w:r>
      <w:r w:rsidR="00B41557" w:rsidRPr="00B41557">
        <w:rPr>
          <w:color w:val="000000"/>
        </w:rPr>
        <w:t xml:space="preserve">data </w:t>
      </w:r>
      <w:r w:rsidR="00B41557" w:rsidRPr="00B41557">
        <w:rPr>
          <w:bCs/>
          <w:noProof/>
        </w:rPr>
        <w:t xml:space="preserve">and whether this method provides higher quality data than the previously used methods of collecting </w:t>
      </w:r>
      <w:r w:rsidR="00702EC5">
        <w:rPr>
          <w:bCs/>
          <w:noProof/>
        </w:rPr>
        <w:t>such</w:t>
      </w:r>
      <w:r w:rsidR="00B41557" w:rsidRPr="00B41557">
        <w:rPr>
          <w:bCs/>
          <w:noProof/>
        </w:rPr>
        <w:t xml:space="preserve"> data.</w:t>
      </w:r>
    </w:p>
    <w:p w:rsidR="002F7842" w:rsidRDefault="00BD41C6" w:rsidP="00B57859">
      <w:pPr>
        <w:autoSpaceDE w:val="0"/>
        <w:autoSpaceDN w:val="0"/>
        <w:adjustRightInd w:val="0"/>
        <w:spacing w:after="120" w:line="276" w:lineRule="auto"/>
        <w:rPr>
          <w:color w:val="000000"/>
          <w:sz w:val="22"/>
          <w:szCs w:val="22"/>
        </w:rPr>
      </w:pPr>
      <w:r w:rsidRPr="00AA1670">
        <w:rPr>
          <w:color w:val="000000"/>
        </w:rPr>
        <w:t>Part</w:t>
      </w:r>
      <w:r w:rsidR="00702EC5">
        <w:rPr>
          <w:color w:val="000000"/>
        </w:rPr>
        <w:t>s</w:t>
      </w:r>
      <w:r w:rsidRPr="00AA1670">
        <w:rPr>
          <w:color w:val="000000"/>
        </w:rPr>
        <w:t xml:space="preserve"> A </w:t>
      </w:r>
      <w:r w:rsidR="00702EC5">
        <w:rPr>
          <w:color w:val="000000"/>
        </w:rPr>
        <w:t xml:space="preserve">and B </w:t>
      </w:r>
      <w:r w:rsidRPr="00AA1670">
        <w:rPr>
          <w:color w:val="000000"/>
        </w:rPr>
        <w:t>of this supporting statement present the justification for the information collection and an</w:t>
      </w:r>
      <w:r>
        <w:rPr>
          <w:color w:val="000000"/>
        </w:rPr>
        <w:t xml:space="preserve"> </w:t>
      </w:r>
      <w:r w:rsidRPr="00AA1670">
        <w:rPr>
          <w:color w:val="000000"/>
        </w:rPr>
        <w:t xml:space="preserve">explanation of any statistical methods employed. Part C describes the </w:t>
      </w:r>
      <w:r w:rsidR="007C4587">
        <w:rPr>
          <w:color w:val="000000"/>
        </w:rPr>
        <w:t xml:space="preserve">SLFS </w:t>
      </w:r>
      <w:r w:rsidR="00167A98">
        <w:rPr>
          <w:color w:val="000000"/>
        </w:rPr>
        <w:t>instrument</w:t>
      </w:r>
      <w:r w:rsidR="00702EC5">
        <w:rPr>
          <w:color w:val="000000"/>
        </w:rPr>
        <w:t xml:space="preserve">, and </w:t>
      </w:r>
      <w:r w:rsidRPr="00AA1670">
        <w:rPr>
          <w:color w:val="000000"/>
        </w:rPr>
        <w:t xml:space="preserve">Appendix A </w:t>
      </w:r>
      <w:r w:rsidR="00702EC5">
        <w:rPr>
          <w:color w:val="000000"/>
        </w:rPr>
        <w:t>provides the</w:t>
      </w:r>
      <w:r w:rsidRPr="00AA1670">
        <w:rPr>
          <w:color w:val="000000"/>
        </w:rPr>
        <w:t xml:space="preserve"> </w:t>
      </w:r>
      <w:r w:rsidR="00702EC5">
        <w:rPr>
          <w:color w:val="000000"/>
        </w:rPr>
        <w:t xml:space="preserve">SEA </w:t>
      </w:r>
      <w:r w:rsidRPr="00AA1670">
        <w:rPr>
          <w:color w:val="000000"/>
        </w:rPr>
        <w:t xml:space="preserve">communication materials </w:t>
      </w:r>
      <w:r w:rsidR="00702EC5">
        <w:rPr>
          <w:color w:val="000000"/>
        </w:rPr>
        <w:t>that will be used to conduct the SLFS data collection</w:t>
      </w:r>
      <w:r w:rsidRPr="00AA1670">
        <w:rPr>
          <w:color w:val="000000"/>
        </w:rPr>
        <w:t>.</w:t>
      </w:r>
    </w:p>
    <w:p w:rsidR="00BD41C6" w:rsidRPr="00BD41C6" w:rsidRDefault="00BD41C6" w:rsidP="00B57859">
      <w:pPr>
        <w:pStyle w:val="Heading"/>
        <w:spacing w:before="0" w:line="276" w:lineRule="auto"/>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2F7842" w:rsidRDefault="00AF7C13" w:rsidP="00B57859">
      <w:pPr>
        <w:spacing w:after="120" w:line="276" w:lineRule="auto"/>
        <w:ind w:right="-86"/>
      </w:pPr>
      <w:r>
        <w:t xml:space="preserve">SLFS </w:t>
      </w:r>
      <w:r w:rsidR="00B30C42" w:rsidRPr="00AA1670">
        <w:t>is the Nation’s only source of annual statistical information about total revenues and expenditures for public elementary and secondary education</w:t>
      </w:r>
      <w:r w:rsidR="00926529">
        <w:t xml:space="preserve"> at the </w:t>
      </w:r>
      <w:r>
        <w:t>school-level.</w:t>
      </w:r>
      <w:r w:rsidR="002F7842">
        <w:t xml:space="preserve"> </w:t>
      </w:r>
      <w:r w:rsidR="00702EC5">
        <w:t>NCES is authorized by t</w:t>
      </w:r>
      <w:r w:rsidR="00DA007D" w:rsidRPr="00A40D7A">
        <w:t>he Education Sciences Reform Act of 2002</w:t>
      </w:r>
      <w:r w:rsidR="009C6FAA">
        <w:t xml:space="preserve"> (</w:t>
      </w:r>
      <w:r w:rsidR="00DA007D" w:rsidRPr="00A40D7A">
        <w:t>20 U.S.C.</w:t>
      </w:r>
      <w:r w:rsidR="009C6FAA">
        <w:t xml:space="preserve"> </w:t>
      </w:r>
      <w:r w:rsidR="00702EC5" w:rsidRPr="00702EC5">
        <w:t>§</w:t>
      </w:r>
      <w:r w:rsidR="00702EC5">
        <w:t xml:space="preserve"> </w:t>
      </w:r>
      <w:r w:rsidR="00DA007D" w:rsidRPr="00A40D7A">
        <w:t>9543</w:t>
      </w:r>
      <w:r w:rsidR="000E2688">
        <w:t>)</w:t>
      </w:r>
      <w:r w:rsidR="001A4979">
        <w:t xml:space="preserve"> to collect this information</w:t>
      </w:r>
      <w:r w:rsidR="009C6FAA">
        <w:t>.</w:t>
      </w:r>
    </w:p>
    <w:p w:rsidR="00E0452D" w:rsidRPr="00BD41C6" w:rsidRDefault="00E0452D" w:rsidP="00B57859">
      <w:pPr>
        <w:pStyle w:val="Heading"/>
        <w:spacing w:before="0" w:line="276" w:lineRule="auto"/>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Pr="00FF3382" w:rsidRDefault="00B30C42" w:rsidP="00AC39FC">
      <w:pPr>
        <w:widowControl w:val="0"/>
        <w:spacing w:after="120" w:line="276" w:lineRule="auto"/>
        <w:rPr>
          <w:rFonts w:ascii="Courier New" w:hAnsi="Courier New" w:cs="Courier New"/>
        </w:rPr>
      </w:pPr>
      <w:r w:rsidRPr="00AA1670">
        <w:t>Participation in the CCD</w:t>
      </w:r>
      <w:r w:rsidR="00702EC5">
        <w:t xml:space="preserve"> and therefore SLFS</w:t>
      </w:r>
      <w:r w:rsidRPr="00AA1670">
        <w:t xml:space="preserve"> is voluntary, but several </w:t>
      </w:r>
      <w:r w:rsidR="00A24B7B">
        <w:t>ED</w:t>
      </w:r>
      <w:r w:rsidRPr="00AA1670">
        <w:t xml:space="preserve"> Programs require the use of its </w:t>
      </w:r>
      <w:r w:rsidRPr="00AA1670">
        <w:lastRenderedPageBreak/>
        <w:t>data. The use may be stipulated by guidance or reporting instr</w:t>
      </w:r>
      <w:r w:rsidR="00FF3382">
        <w:t>uctions rather than regulation.</w:t>
      </w:r>
    </w:p>
    <w:p w:rsidR="00B30C42" w:rsidRPr="00AA1670" w:rsidRDefault="0079018C" w:rsidP="00B57859">
      <w:pPr>
        <w:pStyle w:val="Heading"/>
        <w:spacing w:before="0" w:line="276" w:lineRule="auto"/>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58692D" w:rsidRPr="00FA1662" w:rsidRDefault="0058692D" w:rsidP="00B57859">
      <w:pPr>
        <w:spacing w:after="120" w:line="276" w:lineRule="auto"/>
      </w:pPr>
      <w:r>
        <w:t xml:space="preserve">The survey content was </w:t>
      </w:r>
      <w:r w:rsidRPr="00FA1662">
        <w:t xml:space="preserve">developed with assistance and feedback from various </w:t>
      </w:r>
      <w:r w:rsidR="001446E1">
        <w:t>SEA and LEA</w:t>
      </w:r>
      <w:r w:rsidRPr="00FA1662">
        <w:t xml:space="preserve"> staff and school finance experts – often through interviews, exploratory webinars, and formal sessions at national education conferences. NCES also consulted with other federal government offices and education finance interest groups to assess data needs. Through discussions with these groups it was decided to keep SLFS </w:t>
      </w:r>
      <w:r>
        <w:t xml:space="preserve">data items and </w:t>
      </w:r>
      <w:r w:rsidRPr="00FA1662">
        <w:t xml:space="preserve">definitions generally consistent with the </w:t>
      </w:r>
      <w:r>
        <w:t xml:space="preserve">items </w:t>
      </w:r>
      <w:r w:rsidRPr="00FA1662">
        <w:t>and definitions present on the NPEFS and F-33 surveys already collected by NCES.</w:t>
      </w:r>
    </w:p>
    <w:p w:rsidR="0058692D" w:rsidRDefault="0058692D" w:rsidP="00B57859">
      <w:pPr>
        <w:spacing w:after="120" w:line="276" w:lineRule="auto"/>
      </w:pPr>
      <w:r>
        <w:t xml:space="preserve">The </w:t>
      </w:r>
      <w:r w:rsidRPr="00FA1662">
        <w:t xml:space="preserve">SLFS form instructs </w:t>
      </w:r>
      <w:r>
        <w:t xml:space="preserve">respondents to </w:t>
      </w:r>
      <w:r w:rsidRPr="00FA1662">
        <w:t>report</w:t>
      </w:r>
      <w:r>
        <w:t xml:space="preserve"> data </w:t>
      </w:r>
      <w:r w:rsidRPr="00FA1662">
        <w:t>in accordance with the uniform standards provided in the NCES accounting handbook</w:t>
      </w:r>
      <w:r w:rsidR="00B10B34">
        <w:t xml:space="preserve"> (Allison 2015).</w:t>
      </w:r>
      <w:r w:rsidRPr="00FA1662">
        <w:t xml:space="preserve"> Use of the accounting handbook by survey respondents facilitates the comparability of school finance data across states and schools.</w:t>
      </w:r>
    </w:p>
    <w:p w:rsidR="00637FB7" w:rsidRDefault="002A2FE9" w:rsidP="00B57859">
      <w:pPr>
        <w:spacing w:after="120" w:line="276" w:lineRule="auto"/>
      </w:pPr>
      <w:r w:rsidRPr="002A2FE9">
        <w:t>Two types of expenditures are collected in SLFS: 12 “personnel” and 18 “nonpersonnel” expenditures items (of these 30, 12 are exhibit items of amounts already included within other SLFS expenditures). In SLFS, personnel expenditures consist of gross salary and wage expenditures (including overtime, incentive pay, and b</w:t>
      </w:r>
      <w:r w:rsidR="00637FB7">
        <w:t>onuses) for school-level staff.</w:t>
      </w:r>
      <w:r w:rsidR="00FD0974">
        <w:t xml:space="preserve"> The SLFS data collection instrument for FY 2016 is entirely consistent with the SLFS pilot data collection for FY 2014 and 15</w:t>
      </w:r>
      <w:r w:rsidR="00856B8C">
        <w:t xml:space="preserve"> (</w:t>
      </w:r>
      <w:r w:rsidR="00FD0974">
        <w:t>Appendix B.1</w:t>
      </w:r>
      <w:r w:rsidR="00856B8C">
        <w:t>)</w:t>
      </w:r>
      <w:r w:rsidR="00FD0974">
        <w:t>.</w:t>
      </w:r>
    </w:p>
    <w:p w:rsidR="00637FB7" w:rsidRDefault="002A2FE9" w:rsidP="00B57859">
      <w:pPr>
        <w:spacing w:after="120" w:line="276" w:lineRule="auto"/>
      </w:pPr>
      <w:r w:rsidRPr="002A2FE9">
        <w:t>Personnel expenditures exclude employee benefits (e.g., employer health insurance and retirement contributions) and exclude expenditures for staff that would typically be considered school district-level staff (e.g., student transportation and operations and maintenance staff).</w:t>
      </w:r>
    </w:p>
    <w:p w:rsidR="0058692D" w:rsidRPr="00FA1662" w:rsidRDefault="002A2FE9" w:rsidP="00B57859">
      <w:pPr>
        <w:spacing w:after="120" w:line="276" w:lineRule="auto"/>
      </w:pPr>
      <w:r w:rsidRPr="00CA1F95">
        <w:rPr>
          <w:iCs/>
        </w:rPr>
        <w:t xml:space="preserve">Nonpersonnel expenditures are all non-salary expenditures directly associated with the instruction and educational and administrative support of students at the school level. </w:t>
      </w:r>
      <w:r>
        <w:rPr>
          <w:iCs/>
        </w:rPr>
        <w:t>They</w:t>
      </w:r>
      <w:r w:rsidRPr="00CA1F95">
        <w:rPr>
          <w:iCs/>
        </w:rPr>
        <w:t xml:space="preserve"> include supplies, purchased services (e.g., contracted teacher services and administrative support), instructional equipment, and textbooks. These expenditures generally exclude school district-level expenditures such as tuition payments to other school systems and most capital outlay expenses (e.g., construction, land, and building expenditures). </w:t>
      </w:r>
      <w:r>
        <w:rPr>
          <w:iCs/>
        </w:rPr>
        <w:t>As with</w:t>
      </w:r>
      <w:r w:rsidRPr="00CA1F95">
        <w:rPr>
          <w:iCs/>
        </w:rPr>
        <w:t xml:space="preserve"> personnel expenditures, employee benefits are also excluded from the nonpersonnel expenditure items</w:t>
      </w:r>
      <w:r>
        <w:rPr>
          <w:iCs/>
        </w:rPr>
        <w:t>.</w:t>
      </w:r>
    </w:p>
    <w:p w:rsidR="00305BDF" w:rsidRPr="00C747F1" w:rsidRDefault="00305BDF" w:rsidP="00B57859">
      <w:pPr>
        <w:spacing w:after="120" w:line="276" w:lineRule="auto"/>
        <w:rPr>
          <w:i/>
          <w:u w:val="single"/>
        </w:rPr>
      </w:pPr>
      <w:r w:rsidRPr="00C747F1">
        <w:rPr>
          <w:i/>
          <w:u w:val="single"/>
        </w:rPr>
        <w:t>Statistical Uses</w:t>
      </w:r>
    </w:p>
    <w:p w:rsidR="00765E91" w:rsidRDefault="00B30C42" w:rsidP="00B57859">
      <w:pPr>
        <w:spacing w:after="120" w:line="276" w:lineRule="auto"/>
        <w:rPr>
          <w:bCs/>
          <w:noProof/>
        </w:rPr>
      </w:pPr>
      <w:r w:rsidRPr="00AA1670">
        <w:t>As a general statistical collection</w:t>
      </w:r>
      <w:r w:rsidR="007301B9">
        <w:t xml:space="preserve"> </w:t>
      </w:r>
      <w:r w:rsidR="00167A98">
        <w:t>SLFS</w:t>
      </w:r>
      <w:r w:rsidR="00B41557">
        <w:t xml:space="preserve"> </w:t>
      </w:r>
      <w:r w:rsidRPr="00AA1670">
        <w:t>is used for a range of purposes.</w:t>
      </w:r>
      <w:r w:rsidR="00D67485">
        <w:t xml:space="preserve"> </w:t>
      </w:r>
      <w:r w:rsidR="00D67485" w:rsidRPr="005B192A">
        <w:t>There is a significant demand for finance data at the school level. Policymakers, researchers, and the public have voiced c</w:t>
      </w:r>
      <w:r w:rsidR="00D67485" w:rsidRPr="005B192A">
        <w:rPr>
          <w:color w:val="000000"/>
        </w:rPr>
        <w:t>oncerns about the equitable distribution of school funding within and across school districts.</w:t>
      </w:r>
      <w:r w:rsidR="00B41557">
        <w:rPr>
          <w:color w:val="000000"/>
        </w:rPr>
        <w:t xml:space="preserve"> </w:t>
      </w:r>
      <w:r w:rsidR="00B41557" w:rsidRPr="00C84B76">
        <w:rPr>
          <w:bCs/>
          <w:noProof/>
        </w:rPr>
        <w:t>NCES</w:t>
      </w:r>
      <w:r w:rsidR="00B54904">
        <w:rPr>
          <w:bCs/>
          <w:noProof/>
        </w:rPr>
        <w:t>’s role,</w:t>
      </w:r>
      <w:r w:rsidR="00B41557" w:rsidRPr="00C84B76">
        <w:rPr>
          <w:bCs/>
          <w:noProof/>
        </w:rPr>
        <w:t xml:space="preserve"> as </w:t>
      </w:r>
      <w:r w:rsidR="00B54904">
        <w:rPr>
          <w:bCs/>
          <w:noProof/>
        </w:rPr>
        <w:t>the</w:t>
      </w:r>
      <w:r w:rsidR="00B41557" w:rsidRPr="00C84B76">
        <w:rPr>
          <w:bCs/>
          <w:noProof/>
        </w:rPr>
        <w:t xml:space="preserve"> statistical </w:t>
      </w:r>
      <w:r w:rsidR="00B54904">
        <w:rPr>
          <w:bCs/>
          <w:noProof/>
        </w:rPr>
        <w:t>agency for education,</w:t>
      </w:r>
      <w:r w:rsidR="00B41557" w:rsidRPr="00C84B76">
        <w:rPr>
          <w:bCs/>
          <w:noProof/>
        </w:rPr>
        <w:t xml:space="preserve"> is to inform the conversation about equity by providing objective and comparable data that can be used to measure differences among schools and districts based on the</w:t>
      </w:r>
      <w:r w:rsidR="00B54904">
        <w:rPr>
          <w:bCs/>
          <w:noProof/>
        </w:rPr>
        <w:t>ir</w:t>
      </w:r>
      <w:r w:rsidR="00B41557" w:rsidRPr="00C84B76">
        <w:rPr>
          <w:bCs/>
          <w:noProof/>
        </w:rPr>
        <w:t xml:space="preserve"> demographic characteristics. School-level finance data have been identified as </w:t>
      </w:r>
      <w:r w:rsidR="00B54904">
        <w:rPr>
          <w:bCs/>
          <w:noProof/>
        </w:rPr>
        <w:t>curcial</w:t>
      </w:r>
      <w:r w:rsidR="00B41557" w:rsidRPr="00C84B76">
        <w:rPr>
          <w:bCs/>
          <w:noProof/>
        </w:rPr>
        <w:t xml:space="preserve"> </w:t>
      </w:r>
      <w:r w:rsidR="00B54904">
        <w:rPr>
          <w:bCs/>
          <w:noProof/>
        </w:rPr>
        <w:t>to</w:t>
      </w:r>
      <w:r w:rsidR="00B41557" w:rsidRPr="00C84B76">
        <w:rPr>
          <w:bCs/>
          <w:noProof/>
        </w:rPr>
        <w:t xml:space="preserve"> measur</w:t>
      </w:r>
      <w:r w:rsidR="00B54904">
        <w:rPr>
          <w:bCs/>
          <w:noProof/>
        </w:rPr>
        <w:t>ing</w:t>
      </w:r>
      <w:r w:rsidR="00B41557" w:rsidRPr="00C84B76">
        <w:rPr>
          <w:bCs/>
          <w:noProof/>
        </w:rPr>
        <w:t xml:space="preserve"> how school-level education resources are distributed across and within school districts and examining the funding distributions across population characteristics (e.g. race/ethnicity make-up, poverty level, urban/rural, etc.) of those </w:t>
      </w:r>
      <w:r w:rsidR="00B54904" w:rsidRPr="00C84B76">
        <w:rPr>
          <w:bCs/>
          <w:noProof/>
        </w:rPr>
        <w:t xml:space="preserve">schools </w:t>
      </w:r>
      <w:r w:rsidR="00B54904">
        <w:rPr>
          <w:bCs/>
          <w:noProof/>
        </w:rPr>
        <w:t xml:space="preserve">and </w:t>
      </w:r>
      <w:r w:rsidR="00B41557" w:rsidRPr="00C84B76">
        <w:rPr>
          <w:bCs/>
          <w:noProof/>
        </w:rPr>
        <w:t>districts.</w:t>
      </w:r>
    </w:p>
    <w:p w:rsidR="00A40D7A" w:rsidRDefault="00A40D7A" w:rsidP="00637FB7">
      <w:pPr>
        <w:widowControl w:val="0"/>
        <w:spacing w:after="120" w:line="276" w:lineRule="auto"/>
      </w:pPr>
      <w:r>
        <w:t xml:space="preserve">Education finance data provide powerful information for </w:t>
      </w:r>
      <w:r w:rsidR="00FC53B1">
        <w:t xml:space="preserve">reporting, research, management and budgeting </w:t>
      </w:r>
      <w:r>
        <w:t>decision</w:t>
      </w:r>
      <w:r w:rsidR="00C83139">
        <w:t xml:space="preserve"> </w:t>
      </w:r>
      <w:r>
        <w:t>making, policymaking</w:t>
      </w:r>
      <w:r w:rsidR="00FC53B1">
        <w:t>,</w:t>
      </w:r>
      <w:r>
        <w:t xml:space="preserve"> and evaluation within and across education systems.</w:t>
      </w:r>
      <w:r w:rsidR="002F7842">
        <w:t xml:space="preserve"> </w:t>
      </w:r>
      <w:r>
        <w:t>Uses can be far-ranging from state and national comparisons to individual school le</w:t>
      </w:r>
      <w:r w:rsidR="00FC53B1">
        <w:t>vel management of resources</w:t>
      </w:r>
      <w:r>
        <w:t>.</w:t>
      </w:r>
      <w:r w:rsidR="002F7842">
        <w:t xml:space="preserve"> </w:t>
      </w:r>
      <w:r w:rsidR="00C83139">
        <w:t xml:space="preserve">The consumers of education finance data typically include five major groups: (1) oversight bodies such as </w:t>
      </w:r>
      <w:r w:rsidR="00C83139">
        <w:lastRenderedPageBreak/>
        <w:t>school boards</w:t>
      </w:r>
      <w:r w:rsidR="00031727">
        <w:t xml:space="preserve">, </w:t>
      </w:r>
      <w:r w:rsidR="00F91D04">
        <w:t>SEAs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673E11" w:rsidRDefault="006F1A63" w:rsidP="00B54904">
      <w:pPr>
        <w:widowControl w:val="0"/>
        <w:autoSpaceDE w:val="0"/>
        <w:autoSpaceDN w:val="0"/>
        <w:adjustRightInd w:val="0"/>
        <w:spacing w:after="120" w:line="276" w:lineRule="auto"/>
      </w:pPr>
      <w:r>
        <w:t xml:space="preserve">SLFS </w:t>
      </w:r>
      <w:r w:rsidR="00177C3C" w:rsidRPr="00AA1670">
        <w:t xml:space="preserve">data </w:t>
      </w:r>
      <w:r>
        <w:t xml:space="preserve">may </w:t>
      </w:r>
      <w:r w:rsidR="00177C3C">
        <w:t xml:space="preserve">also </w:t>
      </w:r>
      <w:r>
        <w:t xml:space="preserve">be </w:t>
      </w:r>
      <w:r w:rsidR="00177C3C" w:rsidRPr="00AA1670">
        <w:t xml:space="preserve">used </w:t>
      </w:r>
      <w:r w:rsidR="00177C3C">
        <w:t>for</w:t>
      </w:r>
      <w:r w:rsidR="00177C3C" w:rsidRPr="00AA1670">
        <w:t xml:space="preserve"> the </w:t>
      </w:r>
      <w:r w:rsidR="00177C3C" w:rsidRPr="00AA1670">
        <w:rPr>
          <w:i/>
          <w:iCs/>
        </w:rPr>
        <w:t>Condition of Education</w:t>
      </w:r>
      <w:r w:rsidR="00177C3C">
        <w:rPr>
          <w:i/>
          <w:iCs/>
        </w:rPr>
        <w:t xml:space="preserve"> </w:t>
      </w:r>
      <w:r w:rsidR="00177C3C">
        <w:t>–</w:t>
      </w:r>
      <w:r w:rsidR="00177C3C" w:rsidRPr="00AA1670">
        <w:t xml:space="preserve"> </w:t>
      </w:r>
      <w:r w:rsidR="00177C3C" w:rsidRPr="00DD4F75">
        <w:t>a congressionally</w:t>
      </w:r>
      <w:r w:rsidR="00177C3C">
        <w:t xml:space="preserve"> </w:t>
      </w:r>
      <w:r w:rsidR="00177C3C" w:rsidRPr="00DD4F75">
        <w:t xml:space="preserve">mandated annual report </w:t>
      </w:r>
      <w:r w:rsidR="00177C3C">
        <w:t xml:space="preserve">from </w:t>
      </w:r>
      <w:r w:rsidR="00177C3C" w:rsidRPr="00AA1670">
        <w:t>NCES</w:t>
      </w:r>
      <w:r w:rsidR="00E3481B">
        <w:t>,</w:t>
      </w:r>
      <w:r w:rsidR="00385E0C">
        <w:t xml:space="preserve"> for</w:t>
      </w:r>
      <w:r w:rsidR="00177C3C">
        <w:t xml:space="preserve"> </w:t>
      </w:r>
      <w:r w:rsidR="00177C3C" w:rsidRPr="00AA1670">
        <w:rPr>
          <w:color w:val="000000"/>
        </w:rPr>
        <w:t xml:space="preserve">the </w:t>
      </w:r>
      <w:r w:rsidR="00177C3C" w:rsidRPr="00AA1670">
        <w:rPr>
          <w:i/>
          <w:iCs/>
          <w:color w:val="000000"/>
        </w:rPr>
        <w:t xml:space="preserve">Digest </w:t>
      </w:r>
      <w:r w:rsidR="00E3481B">
        <w:rPr>
          <w:i/>
          <w:iCs/>
          <w:color w:val="000000"/>
        </w:rPr>
        <w:t>of Education Statistics</w:t>
      </w:r>
      <w:r w:rsidR="00E3481B">
        <w:rPr>
          <w:color w:val="000000"/>
        </w:rPr>
        <w:t>, a</w:t>
      </w:r>
      <w:r w:rsidR="00177C3C" w:rsidRPr="00AA1670">
        <w:rPr>
          <w:color w:val="000000"/>
        </w:rPr>
        <w:t xml:space="preserve">nd </w:t>
      </w:r>
      <w:r w:rsidR="003D2ED7">
        <w:rPr>
          <w:color w:val="000000"/>
        </w:rPr>
        <w:t xml:space="preserve">in </w:t>
      </w:r>
      <w:r>
        <w:rPr>
          <w:color w:val="000000"/>
        </w:rPr>
        <w:t>research and development reports.</w:t>
      </w:r>
      <w:r w:rsidR="00673E11">
        <w:rPr>
          <w:color w:val="000000"/>
        </w:rPr>
        <w:t xml:space="preserve"> </w:t>
      </w:r>
      <w:r w:rsidR="00177C3C" w:rsidRPr="00AA1670">
        <w:rPr>
          <w:color w:val="000000"/>
        </w:rPr>
        <w:t xml:space="preserve">The NCES website makes the </w:t>
      </w:r>
      <w:r w:rsidR="00177C3C">
        <w:rPr>
          <w:color w:val="000000"/>
        </w:rPr>
        <w:t xml:space="preserve">CCD school finance data </w:t>
      </w:r>
      <w:r w:rsidR="00177C3C" w:rsidRPr="00AA1670">
        <w:rPr>
          <w:color w:val="000000"/>
        </w:rPr>
        <w:t>available to the general publi</w:t>
      </w:r>
      <w:r w:rsidR="00177C3C">
        <w:rPr>
          <w:color w:val="000000"/>
        </w:rPr>
        <w:t>c through public use data files</w:t>
      </w:r>
      <w:r w:rsidR="00177C3C" w:rsidRPr="00AA1670">
        <w:rPr>
          <w:color w:val="000000"/>
        </w:rPr>
        <w:t xml:space="preserve"> and through easy to use applications</w:t>
      </w:r>
      <w:r w:rsidR="00E3481B">
        <w:rPr>
          <w:color w:val="000000"/>
        </w:rPr>
        <w:t>,</w:t>
      </w:r>
      <w:r w:rsidR="00177C3C" w:rsidRPr="00AA1670">
        <w:rPr>
          <w:color w:val="000000"/>
        </w:rPr>
        <w:t xml:space="preserve"> such as </w:t>
      </w:r>
      <w:r w:rsidR="00177C3C" w:rsidRPr="00FB3F2B">
        <w:rPr>
          <w:color w:val="000000"/>
        </w:rPr>
        <w:t xml:space="preserve">the </w:t>
      </w:r>
      <w:r w:rsidR="004D0609">
        <w:rPr>
          <w:color w:val="000000"/>
        </w:rPr>
        <w:t>S</w:t>
      </w:r>
      <w:r w:rsidR="00177C3C" w:rsidRPr="00FB3F2B">
        <w:t xml:space="preserve">earch for </w:t>
      </w:r>
      <w:r w:rsidR="004D0609">
        <w:t>P</w:t>
      </w:r>
      <w:r w:rsidR="00177C3C" w:rsidRPr="00FB3F2B">
        <w:t xml:space="preserve">ublic </w:t>
      </w:r>
      <w:r w:rsidR="004D0609">
        <w:t>S</w:t>
      </w:r>
      <w:r w:rsidR="00177C3C" w:rsidRPr="00FB3F2B">
        <w:t>chools</w:t>
      </w:r>
      <w:r w:rsidR="00177C3C">
        <w:t xml:space="preserve"> and </w:t>
      </w:r>
      <w:r w:rsidR="004D0609">
        <w:t>D</w:t>
      </w:r>
      <w:r w:rsidR="00177C3C" w:rsidRPr="00FB3F2B">
        <w:t>istricts locator</w:t>
      </w:r>
      <w:r w:rsidR="004D0609">
        <w:t xml:space="preserve"> tool</w:t>
      </w:r>
      <w:r w:rsidR="00177C3C" w:rsidRPr="00FB3F2B">
        <w:t xml:space="preserve"> </w:t>
      </w:r>
      <w:r w:rsidR="003D2ED7">
        <w:t xml:space="preserve">and the </w:t>
      </w:r>
      <w:r w:rsidR="00177C3C" w:rsidRPr="00FB3F2B">
        <w:t>Elementary-Secondary Information System</w:t>
      </w:r>
      <w:r w:rsidR="00D70594">
        <w:t xml:space="preserve"> (E</w:t>
      </w:r>
      <w:r w:rsidR="00146304">
        <w:t>l</w:t>
      </w:r>
      <w:r w:rsidR="00D70594">
        <w:t>S</w:t>
      </w:r>
      <w:r w:rsidR="00146304">
        <w:t>i</w:t>
      </w:r>
      <w:r w:rsidR="00D70594">
        <w:t>)</w:t>
      </w:r>
      <w:r w:rsidR="00735D3D" w:rsidRPr="00735D3D">
        <w:t xml:space="preserve"> </w:t>
      </w:r>
      <w:r w:rsidR="00735D3D">
        <w:t>t</w:t>
      </w:r>
      <w:r w:rsidR="00735D3D" w:rsidRPr="00FB3F2B">
        <w:t>ool</w:t>
      </w:r>
      <w:r w:rsidR="003D2ED7">
        <w:t>.</w:t>
      </w:r>
    </w:p>
    <w:p w:rsidR="00B30C42" w:rsidRPr="001A61A2" w:rsidRDefault="001A61A2" w:rsidP="00B57859">
      <w:pPr>
        <w:autoSpaceDE w:val="0"/>
        <w:autoSpaceDN w:val="0"/>
        <w:adjustRightInd w:val="0"/>
        <w:spacing w:after="120" w:line="276" w:lineRule="auto"/>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D55570" w:rsidRDefault="00E3481B" w:rsidP="00B57859">
      <w:pPr>
        <w:spacing w:after="120" w:line="276" w:lineRule="auto"/>
        <w:rPr>
          <w:color w:val="000000"/>
        </w:rPr>
      </w:pPr>
      <w:r>
        <w:rPr>
          <w:color w:val="000000"/>
        </w:rPr>
        <w:t>SEA r</w:t>
      </w:r>
      <w:r w:rsidR="00D55570" w:rsidRPr="00D55570">
        <w:rPr>
          <w:color w:val="000000"/>
        </w:rPr>
        <w:t xml:space="preserve">espondents </w:t>
      </w:r>
      <w:r>
        <w:rPr>
          <w:color w:val="000000"/>
        </w:rPr>
        <w:t>submit</w:t>
      </w:r>
      <w:r w:rsidR="00D55570" w:rsidRPr="00D55570">
        <w:rPr>
          <w:color w:val="000000"/>
        </w:rPr>
        <w:t xml:space="preserve"> data files </w:t>
      </w:r>
      <w:r>
        <w:rPr>
          <w:color w:val="000000"/>
        </w:rPr>
        <w:t>via</w:t>
      </w:r>
      <w:r w:rsidR="00D55570" w:rsidRPr="00D55570">
        <w:rPr>
          <w:color w:val="000000"/>
        </w:rPr>
        <w:t xml:space="preserve"> </w:t>
      </w:r>
      <w:r w:rsidR="00D55570">
        <w:rPr>
          <w:color w:val="000000"/>
        </w:rPr>
        <w:t>Census</w:t>
      </w:r>
      <w:r>
        <w:rPr>
          <w:color w:val="000000"/>
        </w:rPr>
        <w:t xml:space="preserve">’s </w:t>
      </w:r>
      <w:r>
        <w:t>File Transfer Protocol</w:t>
      </w:r>
      <w:r w:rsidR="00D55570" w:rsidRPr="00D55570">
        <w:rPr>
          <w:color w:val="000000"/>
        </w:rPr>
        <w:t xml:space="preserve"> </w:t>
      </w:r>
      <w:r>
        <w:rPr>
          <w:color w:val="000000"/>
        </w:rPr>
        <w:t>(</w:t>
      </w:r>
      <w:r w:rsidR="00D55570" w:rsidRPr="00D55570">
        <w:rPr>
          <w:color w:val="000000"/>
        </w:rPr>
        <w:t>FTP</w:t>
      </w:r>
      <w:r>
        <w:rPr>
          <w:color w:val="000000"/>
        </w:rPr>
        <w:t>)</w:t>
      </w:r>
      <w:r w:rsidR="00D55570" w:rsidRPr="00D55570">
        <w:rPr>
          <w:color w:val="000000"/>
        </w:rPr>
        <w:t xml:space="preserve"> </w:t>
      </w:r>
      <w:r w:rsidR="00F42A80">
        <w:rPr>
          <w:color w:val="000000"/>
        </w:rPr>
        <w:t>web</w:t>
      </w:r>
      <w:r w:rsidR="00D55570" w:rsidRPr="00D55570">
        <w:rPr>
          <w:color w:val="000000"/>
        </w:rPr>
        <w:t>site</w:t>
      </w:r>
      <w:r>
        <w:rPr>
          <w:color w:val="000000"/>
        </w:rPr>
        <w:t xml:space="preserve">, including their </w:t>
      </w:r>
      <w:r w:rsidRPr="00D55570">
        <w:rPr>
          <w:color w:val="000000"/>
        </w:rPr>
        <w:t>data plan</w:t>
      </w:r>
      <w:r>
        <w:rPr>
          <w:color w:val="000000"/>
        </w:rPr>
        <w:t xml:space="preserve"> or later </w:t>
      </w:r>
      <w:r w:rsidRPr="00D55570">
        <w:rPr>
          <w:color w:val="000000"/>
        </w:rPr>
        <w:t>email</w:t>
      </w:r>
      <w:r>
        <w:rPr>
          <w:color w:val="000000"/>
        </w:rPr>
        <w:t>ing it</w:t>
      </w:r>
      <w:r w:rsidRPr="00D55570">
        <w:rPr>
          <w:color w:val="000000"/>
        </w:rPr>
        <w:t xml:space="preserve"> separately to </w:t>
      </w:r>
      <w:r>
        <w:rPr>
          <w:color w:val="000000"/>
        </w:rPr>
        <w:t>Census.</w:t>
      </w:r>
      <w:r w:rsidR="006C1401">
        <w:rPr>
          <w:color w:val="000000"/>
        </w:rPr>
        <w:t xml:space="preserve"> </w:t>
      </w:r>
      <w:r>
        <w:rPr>
          <w:color w:val="000000"/>
        </w:rPr>
        <w:t xml:space="preserve">Census retrieves the data files </w:t>
      </w:r>
      <w:r w:rsidR="00D55570" w:rsidRPr="00D55570">
        <w:rPr>
          <w:color w:val="000000"/>
        </w:rPr>
        <w:t>from the FTP server</w:t>
      </w:r>
      <w:r w:rsidR="00D55570">
        <w:rPr>
          <w:color w:val="000000"/>
        </w:rPr>
        <w:t>.</w:t>
      </w:r>
    </w:p>
    <w:p w:rsidR="00B30C42" w:rsidRPr="00AA1670" w:rsidRDefault="008678A4" w:rsidP="00B57859">
      <w:pPr>
        <w:autoSpaceDE w:val="0"/>
        <w:autoSpaceDN w:val="0"/>
        <w:adjustRightInd w:val="0"/>
        <w:spacing w:after="120" w:line="276" w:lineRule="auto"/>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1009B7" w:rsidRPr="00B43008" w:rsidRDefault="001009B7" w:rsidP="00B57859">
      <w:pPr>
        <w:shd w:val="clear" w:color="auto" w:fill="FFFFFF"/>
        <w:spacing w:after="120" w:line="276" w:lineRule="auto"/>
        <w:textAlignment w:val="center"/>
        <w:rPr>
          <w:color w:val="000000"/>
        </w:rPr>
      </w:pPr>
      <w:r w:rsidRPr="00B43008">
        <w:rPr>
          <w:color w:val="000000"/>
        </w:rPr>
        <w:t xml:space="preserve">SLFS is </w:t>
      </w:r>
      <w:r w:rsidR="007261A3">
        <w:rPr>
          <w:color w:val="000000"/>
        </w:rPr>
        <w:t xml:space="preserve">the only national </w:t>
      </w:r>
      <w:r w:rsidRPr="00B43008">
        <w:rPr>
          <w:color w:val="000000"/>
        </w:rPr>
        <w:t>annual collection of school-level finance data. The survey most closely resembling SLFS is the Survey of Local Governments: School Systems (OMB# 0607-0700), commonly called F-33</w:t>
      </w:r>
      <w:r w:rsidR="00567B28">
        <w:rPr>
          <w:color w:val="000000"/>
        </w:rPr>
        <w:t xml:space="preserve"> and </w:t>
      </w:r>
      <w:r w:rsidRPr="00B43008">
        <w:rPr>
          <w:color w:val="000000"/>
        </w:rPr>
        <w:t>the School District Finance Survey.</w:t>
      </w:r>
      <w:r w:rsidR="00673E11">
        <w:rPr>
          <w:color w:val="000000"/>
        </w:rPr>
        <w:t xml:space="preserve"> </w:t>
      </w:r>
      <w:r w:rsidR="00167A98">
        <w:rPr>
          <w:color w:val="000000"/>
        </w:rPr>
        <w:t>F-33</w:t>
      </w:r>
      <w:r w:rsidRPr="00B43008">
        <w:rPr>
          <w:color w:val="000000"/>
        </w:rPr>
        <w:t xml:space="preserve"> is </w:t>
      </w:r>
      <w:r w:rsidR="00856B8C">
        <w:rPr>
          <w:color w:val="000000"/>
        </w:rPr>
        <w:t>an</w:t>
      </w:r>
      <w:r w:rsidRPr="00B43008">
        <w:rPr>
          <w:color w:val="000000"/>
        </w:rPr>
        <w:t xml:space="preserve"> annual collection of school, district</w:t>
      </w:r>
      <w:r>
        <w:rPr>
          <w:color w:val="000000"/>
        </w:rPr>
        <w:t>-level finance data</w:t>
      </w:r>
      <w:r w:rsidRPr="00B43008">
        <w:rPr>
          <w:color w:val="000000"/>
        </w:rPr>
        <w:t xml:space="preserve">, including data on local revenues by source and state, federal revenues by program, expenditures by function </w:t>
      </w:r>
      <w:r>
        <w:rPr>
          <w:color w:val="000000"/>
        </w:rPr>
        <w:t>and object, debt, and school district cash and investments (assets).</w:t>
      </w:r>
      <w:r w:rsidR="00567B28">
        <w:rPr>
          <w:color w:val="000000"/>
        </w:rPr>
        <w:t xml:space="preserve"> </w:t>
      </w:r>
      <w:r w:rsidRPr="00B43008">
        <w:rPr>
          <w:color w:val="000000"/>
        </w:rPr>
        <w:t>NPEFS (OMB#1850-0</w:t>
      </w:r>
      <w:r w:rsidR="004F4BD7">
        <w:rPr>
          <w:color w:val="000000"/>
        </w:rPr>
        <w:t>0</w:t>
      </w:r>
      <w:bookmarkStart w:id="0" w:name="_GoBack"/>
      <w:bookmarkEnd w:id="0"/>
      <w:r w:rsidRPr="00B43008">
        <w:rPr>
          <w:color w:val="000000"/>
        </w:rPr>
        <w:t>67)</w:t>
      </w:r>
      <w:r w:rsidR="00567B28">
        <w:rPr>
          <w:color w:val="000000"/>
        </w:rPr>
        <w:t xml:space="preserve"> </w:t>
      </w:r>
      <w:r w:rsidRPr="00B43008">
        <w:rPr>
          <w:color w:val="000000"/>
        </w:rPr>
        <w:t xml:space="preserve">is another comprehensive </w:t>
      </w:r>
      <w:r w:rsidR="00567B28">
        <w:rPr>
          <w:color w:val="000000"/>
        </w:rPr>
        <w:t xml:space="preserve">NCES </w:t>
      </w:r>
      <w:r w:rsidRPr="00B43008">
        <w:rPr>
          <w:color w:val="000000"/>
        </w:rPr>
        <w:t xml:space="preserve">collection of education finance data used to </w:t>
      </w:r>
      <w:r>
        <w:rPr>
          <w:color w:val="000000"/>
        </w:rPr>
        <w:t>report</w:t>
      </w:r>
      <w:r w:rsidRPr="00B43008">
        <w:rPr>
          <w:color w:val="000000"/>
        </w:rPr>
        <w:t xml:space="preserve"> actual revenues and expenditures made by public school systems for elementary-secondary education.</w:t>
      </w:r>
      <w:r w:rsidR="00567B28">
        <w:rPr>
          <w:color w:val="000000"/>
        </w:rPr>
        <w:t xml:space="preserve"> The key distinction is that </w:t>
      </w:r>
      <w:r w:rsidRPr="00B43008">
        <w:rPr>
          <w:color w:val="000000"/>
        </w:rPr>
        <w:t xml:space="preserve">NPEFS </w:t>
      </w:r>
      <w:r>
        <w:rPr>
          <w:color w:val="000000"/>
        </w:rPr>
        <w:t>collects school finance data at the state level</w:t>
      </w:r>
      <w:r w:rsidR="00567B28">
        <w:rPr>
          <w:color w:val="000000"/>
        </w:rPr>
        <w:t>,</w:t>
      </w:r>
      <w:r w:rsidRPr="00B43008">
        <w:rPr>
          <w:color w:val="000000"/>
        </w:rPr>
        <w:t xml:space="preserve"> F-33 </w:t>
      </w:r>
      <w:r w:rsidR="00567B28">
        <w:rPr>
          <w:color w:val="000000"/>
        </w:rPr>
        <w:t>at a</w:t>
      </w:r>
      <w:r>
        <w:rPr>
          <w:color w:val="000000"/>
        </w:rPr>
        <w:t xml:space="preserve"> </w:t>
      </w:r>
      <w:r w:rsidR="007261A3">
        <w:rPr>
          <w:color w:val="000000"/>
        </w:rPr>
        <w:t xml:space="preserve">school </w:t>
      </w:r>
      <w:r>
        <w:rPr>
          <w:color w:val="000000"/>
        </w:rPr>
        <w:t>district level</w:t>
      </w:r>
      <w:r w:rsidRPr="00B43008">
        <w:rPr>
          <w:color w:val="000000"/>
        </w:rPr>
        <w:t xml:space="preserve">, </w:t>
      </w:r>
      <w:r w:rsidR="00567B28">
        <w:rPr>
          <w:color w:val="000000"/>
        </w:rPr>
        <w:t>and</w:t>
      </w:r>
      <w:r w:rsidRPr="00B43008">
        <w:rPr>
          <w:color w:val="000000"/>
        </w:rPr>
        <w:t xml:space="preserve"> </w:t>
      </w:r>
      <w:r w:rsidR="00167A98">
        <w:rPr>
          <w:color w:val="000000"/>
        </w:rPr>
        <w:t>SLFS</w:t>
      </w:r>
      <w:r w:rsidRPr="00B43008">
        <w:rPr>
          <w:color w:val="000000"/>
        </w:rPr>
        <w:t xml:space="preserve"> </w:t>
      </w:r>
      <w:r w:rsidR="00567B28">
        <w:rPr>
          <w:color w:val="000000"/>
        </w:rPr>
        <w:t>at</w:t>
      </w:r>
      <w:r w:rsidR="007261A3">
        <w:rPr>
          <w:color w:val="000000"/>
        </w:rPr>
        <w:t xml:space="preserve"> a school </w:t>
      </w:r>
      <w:r>
        <w:rPr>
          <w:color w:val="000000"/>
        </w:rPr>
        <w:t>level</w:t>
      </w:r>
      <w:r w:rsidRPr="00B43008">
        <w:rPr>
          <w:color w:val="000000"/>
        </w:rPr>
        <w:t>.</w:t>
      </w:r>
      <w:r w:rsidR="00567B28">
        <w:rPr>
          <w:color w:val="000000"/>
        </w:rPr>
        <w:t xml:space="preserve"> </w:t>
      </w:r>
      <w:r w:rsidR="007261A3">
        <w:rPr>
          <w:color w:val="000000"/>
        </w:rPr>
        <w:t>O</w:t>
      </w:r>
      <w:r w:rsidRPr="00B43008">
        <w:rPr>
          <w:color w:val="000000"/>
        </w:rPr>
        <w:t xml:space="preserve">ther </w:t>
      </w:r>
      <w:r w:rsidR="00567B28">
        <w:rPr>
          <w:color w:val="000000"/>
        </w:rPr>
        <w:t>significant</w:t>
      </w:r>
      <w:r w:rsidRPr="00B43008">
        <w:rPr>
          <w:color w:val="000000"/>
        </w:rPr>
        <w:t xml:space="preserve"> differences between SLFS, F-33, and NPEFS</w:t>
      </w:r>
      <w:r w:rsidR="007261A3">
        <w:rPr>
          <w:color w:val="000000"/>
        </w:rPr>
        <w:t xml:space="preserve"> include</w:t>
      </w:r>
      <w:r w:rsidRPr="00B43008">
        <w:rPr>
          <w:color w:val="000000"/>
        </w:rPr>
        <w:t>:</w:t>
      </w:r>
    </w:p>
    <w:p w:rsidR="001009B7" w:rsidRPr="00567B28" w:rsidRDefault="001009B7" w:rsidP="00567B28">
      <w:pPr>
        <w:pStyle w:val="ListParagraph"/>
        <w:numPr>
          <w:ilvl w:val="0"/>
          <w:numId w:val="22"/>
        </w:numPr>
        <w:shd w:val="clear" w:color="auto" w:fill="FFFFFF"/>
        <w:spacing w:after="120" w:line="276" w:lineRule="auto"/>
        <w:ind w:left="540" w:hanging="270"/>
        <w:textAlignment w:val="center"/>
        <w:rPr>
          <w:color w:val="000000"/>
        </w:rPr>
      </w:pPr>
      <w:r w:rsidRPr="00567B28">
        <w:rPr>
          <w:color w:val="000000"/>
        </w:rPr>
        <w:t xml:space="preserve">The reporting deadlines </w:t>
      </w:r>
      <w:r w:rsidR="00567B28" w:rsidRPr="00567B28">
        <w:rPr>
          <w:color w:val="000000"/>
        </w:rPr>
        <w:t xml:space="preserve">for each collection </w:t>
      </w:r>
      <w:r w:rsidRPr="00567B28">
        <w:rPr>
          <w:color w:val="000000"/>
        </w:rPr>
        <w:t>are substantially different;</w:t>
      </w:r>
    </w:p>
    <w:p w:rsidR="001009B7" w:rsidRPr="00567B28" w:rsidRDefault="001009B7" w:rsidP="00567B28">
      <w:pPr>
        <w:pStyle w:val="ListParagraph"/>
        <w:numPr>
          <w:ilvl w:val="0"/>
          <w:numId w:val="22"/>
        </w:numPr>
        <w:shd w:val="clear" w:color="auto" w:fill="FFFFFF"/>
        <w:spacing w:after="120" w:line="276" w:lineRule="auto"/>
        <w:ind w:left="540" w:hanging="270"/>
        <w:textAlignment w:val="center"/>
        <w:rPr>
          <w:color w:val="000000"/>
        </w:rPr>
      </w:pPr>
      <w:r w:rsidRPr="00567B28">
        <w:rPr>
          <w:color w:val="000000"/>
        </w:rPr>
        <w:t>Not all of the data items collected at the LEA level can currently be collected at the school level; and</w:t>
      </w:r>
    </w:p>
    <w:p w:rsidR="001009B7" w:rsidRPr="00567B28" w:rsidRDefault="001009B7" w:rsidP="00567B28">
      <w:pPr>
        <w:pStyle w:val="ListParagraph"/>
        <w:numPr>
          <w:ilvl w:val="0"/>
          <w:numId w:val="22"/>
        </w:numPr>
        <w:shd w:val="clear" w:color="auto" w:fill="FFFFFF"/>
        <w:spacing w:after="120" w:line="276" w:lineRule="auto"/>
        <w:ind w:left="540" w:hanging="270"/>
        <w:textAlignment w:val="center"/>
        <w:rPr>
          <w:color w:val="000000"/>
        </w:rPr>
      </w:pPr>
      <w:r w:rsidRPr="00567B28">
        <w:rPr>
          <w:color w:val="000000"/>
        </w:rPr>
        <w:t>The timing of the editing processes and procedures by SEAs vary greatly between the three surveys given the different levels of collections and varied items collected on each survey.</w:t>
      </w:r>
    </w:p>
    <w:p w:rsidR="00765E91" w:rsidRDefault="001009B7" w:rsidP="00B57859">
      <w:pPr>
        <w:shd w:val="clear" w:color="auto" w:fill="FFFFFF"/>
        <w:spacing w:after="120" w:line="276" w:lineRule="auto"/>
        <w:textAlignment w:val="center"/>
        <w:rPr>
          <w:color w:val="000000"/>
        </w:rPr>
      </w:pPr>
      <w:r w:rsidRPr="00B43008">
        <w:rPr>
          <w:i/>
          <w:iCs/>
          <w:color w:val="000000"/>
          <w:u w:val="single"/>
        </w:rPr>
        <w:t xml:space="preserve">The reporting deadlines </w:t>
      </w:r>
      <w:r w:rsidR="002D7D5F">
        <w:rPr>
          <w:i/>
          <w:iCs/>
          <w:color w:val="000000"/>
          <w:u w:val="single"/>
        </w:rPr>
        <w:t xml:space="preserve">for each collection </w:t>
      </w:r>
      <w:r w:rsidRPr="00B43008">
        <w:rPr>
          <w:i/>
          <w:iCs/>
          <w:color w:val="000000"/>
          <w:u w:val="single"/>
        </w:rPr>
        <w:t>are substantially different</w:t>
      </w:r>
    </w:p>
    <w:p w:rsidR="001009B7" w:rsidRPr="00B43008" w:rsidRDefault="001009B7" w:rsidP="00B57859">
      <w:pPr>
        <w:shd w:val="clear" w:color="auto" w:fill="FFFFFF"/>
        <w:spacing w:after="120" w:line="276" w:lineRule="auto"/>
        <w:textAlignment w:val="center"/>
        <w:rPr>
          <w:color w:val="000000"/>
        </w:rPr>
      </w:pPr>
      <w:r w:rsidRPr="00B43008">
        <w:rPr>
          <w:color w:val="000000"/>
        </w:rPr>
        <w:t xml:space="preserve">The most significant barrier to consolidation of the SLFS, F-33, and NPEFS surveys is the difference in the timing of reporting deadlines for each survey. In order to comply with federal statutory obligations and to provide the data needed by the Secretary of Education to calculate allocations for and allow for timely distribution of federal funds, States must submit current year and revised prior year state-level </w:t>
      </w:r>
      <w:r>
        <w:rPr>
          <w:color w:val="000000"/>
        </w:rPr>
        <w:t xml:space="preserve">NPEFS </w:t>
      </w:r>
      <w:r w:rsidRPr="00B43008">
        <w:rPr>
          <w:color w:val="000000"/>
        </w:rPr>
        <w:t xml:space="preserve">data by August 15 of each year. However, many states do not currently report the </w:t>
      </w:r>
      <w:r>
        <w:rPr>
          <w:color w:val="000000"/>
        </w:rPr>
        <w:t xml:space="preserve">school-level </w:t>
      </w:r>
      <w:r w:rsidRPr="00B43008">
        <w:rPr>
          <w:color w:val="000000"/>
        </w:rPr>
        <w:t xml:space="preserve">SLFS and </w:t>
      </w:r>
      <w:r>
        <w:rPr>
          <w:color w:val="000000"/>
        </w:rPr>
        <w:t>school district-level F-33 survey</w:t>
      </w:r>
      <w:r w:rsidRPr="00B43008">
        <w:rPr>
          <w:color w:val="000000"/>
        </w:rPr>
        <w:t xml:space="preserve"> data until December of each year.</w:t>
      </w:r>
    </w:p>
    <w:p w:rsidR="001009B7" w:rsidRPr="00B43008" w:rsidRDefault="001009B7" w:rsidP="00B57859">
      <w:pPr>
        <w:shd w:val="clear" w:color="auto" w:fill="FFFFFF"/>
        <w:spacing w:after="120" w:line="276" w:lineRule="auto"/>
        <w:textAlignment w:val="center"/>
        <w:rPr>
          <w:color w:val="000000"/>
        </w:rPr>
      </w:pPr>
      <w:r w:rsidRPr="00B43008">
        <w:rPr>
          <w:i/>
          <w:iCs/>
          <w:color w:val="000000"/>
          <w:u w:val="single"/>
        </w:rPr>
        <w:t>Not all of the data items collected at the LEA level can currently be collected at the school level</w:t>
      </w:r>
    </w:p>
    <w:p w:rsidR="00673E11" w:rsidRDefault="001009B7" w:rsidP="00B57859">
      <w:pPr>
        <w:shd w:val="clear" w:color="auto" w:fill="FFFFFF"/>
        <w:spacing w:after="120" w:line="276" w:lineRule="auto"/>
        <w:textAlignment w:val="center"/>
        <w:rPr>
          <w:color w:val="000000"/>
        </w:rPr>
      </w:pPr>
      <w:r w:rsidRPr="00B43008">
        <w:rPr>
          <w:color w:val="000000"/>
        </w:rPr>
        <w:t xml:space="preserve">SLFS </w:t>
      </w:r>
      <w:r w:rsidR="002F48A4">
        <w:rPr>
          <w:color w:val="000000"/>
        </w:rPr>
        <w:t>collects</w:t>
      </w:r>
      <w:r w:rsidRPr="00B43008">
        <w:rPr>
          <w:color w:val="000000"/>
        </w:rPr>
        <w:t xml:space="preserve"> 12 “personnel” </w:t>
      </w:r>
      <w:r w:rsidR="002F48A4">
        <w:rPr>
          <w:color w:val="000000"/>
        </w:rPr>
        <w:t xml:space="preserve">and </w:t>
      </w:r>
      <w:r w:rsidRPr="00B43008">
        <w:rPr>
          <w:color w:val="000000"/>
        </w:rPr>
        <w:t>18 “n</w:t>
      </w:r>
      <w:r w:rsidR="002F48A4">
        <w:rPr>
          <w:color w:val="000000"/>
        </w:rPr>
        <w:t>onpersonnel” expenditure items</w:t>
      </w:r>
      <w:r w:rsidRPr="00B43008">
        <w:rPr>
          <w:color w:val="000000"/>
        </w:rPr>
        <w:t>. While the majority of personnel expenditures can be reported both at the district and school level</w:t>
      </w:r>
      <w:r w:rsidR="002F48A4">
        <w:rPr>
          <w:color w:val="000000"/>
        </w:rPr>
        <w:t>s</w:t>
      </w:r>
      <w:r w:rsidRPr="00B43008">
        <w:rPr>
          <w:color w:val="000000"/>
        </w:rPr>
        <w:t xml:space="preserve">, </w:t>
      </w:r>
      <w:r w:rsidR="002F48A4">
        <w:rPr>
          <w:color w:val="000000"/>
        </w:rPr>
        <w:t xml:space="preserve">some </w:t>
      </w:r>
      <w:r w:rsidR="002F48A4" w:rsidRPr="00B43008">
        <w:rPr>
          <w:color w:val="000000"/>
        </w:rPr>
        <w:t>cannot be reported at the school level</w:t>
      </w:r>
      <w:r w:rsidR="002F48A4">
        <w:rPr>
          <w:color w:val="000000"/>
        </w:rPr>
        <w:t>, such as</w:t>
      </w:r>
      <w:r w:rsidRPr="00B43008">
        <w:rPr>
          <w:color w:val="000000"/>
        </w:rPr>
        <w:t xml:space="preserve"> salaries</w:t>
      </w:r>
      <w:r>
        <w:rPr>
          <w:color w:val="000000"/>
        </w:rPr>
        <w:t xml:space="preserve"> for general administration</w:t>
      </w:r>
      <w:r w:rsidRPr="00B43008">
        <w:rPr>
          <w:color w:val="000000"/>
        </w:rPr>
        <w:t>, operation</w:t>
      </w:r>
      <w:r w:rsidR="002F48A4">
        <w:rPr>
          <w:color w:val="000000"/>
        </w:rPr>
        <w:t>,</w:t>
      </w:r>
      <w:r w:rsidRPr="00B43008">
        <w:rPr>
          <w:color w:val="000000"/>
        </w:rPr>
        <w:t xml:space="preserve"> and maintenance of plant</w:t>
      </w:r>
      <w:r w:rsidR="002F48A4">
        <w:rPr>
          <w:color w:val="000000"/>
        </w:rPr>
        <w:t>;</w:t>
      </w:r>
      <w:r w:rsidRPr="00B43008">
        <w:rPr>
          <w:color w:val="000000"/>
        </w:rPr>
        <w:t xml:space="preserve"> student transportation</w:t>
      </w:r>
      <w:r w:rsidR="002F48A4">
        <w:rPr>
          <w:color w:val="000000"/>
        </w:rPr>
        <w:t>;</w:t>
      </w:r>
      <w:r w:rsidRPr="00B43008">
        <w:rPr>
          <w:color w:val="000000"/>
        </w:rPr>
        <w:t xml:space="preserve"> </w:t>
      </w:r>
      <w:r>
        <w:rPr>
          <w:color w:val="000000"/>
        </w:rPr>
        <w:t xml:space="preserve">and </w:t>
      </w:r>
      <w:r w:rsidRPr="00B43008">
        <w:rPr>
          <w:color w:val="000000"/>
        </w:rPr>
        <w:t xml:space="preserve">food services. </w:t>
      </w:r>
      <w:r w:rsidR="002F48A4">
        <w:rPr>
          <w:color w:val="000000"/>
        </w:rPr>
        <w:t>Similarly, some of the</w:t>
      </w:r>
      <w:r w:rsidRPr="00B43008">
        <w:rPr>
          <w:color w:val="000000"/>
        </w:rPr>
        <w:t xml:space="preserve"> nonpersonnel expenditures </w:t>
      </w:r>
      <w:r w:rsidR="002F48A4" w:rsidRPr="00B43008">
        <w:rPr>
          <w:color w:val="000000"/>
        </w:rPr>
        <w:t>cannot be reported at the school level</w:t>
      </w:r>
      <w:r w:rsidR="002F48A4">
        <w:rPr>
          <w:color w:val="000000"/>
        </w:rPr>
        <w:t>,</w:t>
      </w:r>
      <w:r w:rsidR="002F48A4" w:rsidRPr="00B43008">
        <w:rPr>
          <w:color w:val="000000"/>
        </w:rPr>
        <w:t xml:space="preserve"> </w:t>
      </w:r>
      <w:r w:rsidRPr="00B43008">
        <w:rPr>
          <w:color w:val="000000"/>
        </w:rPr>
        <w:t xml:space="preserve">such as </w:t>
      </w:r>
      <w:r>
        <w:rPr>
          <w:color w:val="000000"/>
        </w:rPr>
        <w:t>expenditures on capital outlay and debt</w:t>
      </w:r>
      <w:r w:rsidRPr="00B43008">
        <w:rPr>
          <w:color w:val="000000"/>
        </w:rPr>
        <w:t xml:space="preserve"> </w:t>
      </w:r>
      <w:r>
        <w:rPr>
          <w:color w:val="000000"/>
        </w:rPr>
        <w:t xml:space="preserve">(e.g., </w:t>
      </w:r>
      <w:r w:rsidRPr="00B43008">
        <w:rPr>
          <w:color w:val="000000"/>
        </w:rPr>
        <w:t>construction, land and existing structures, and interest on school system debt</w:t>
      </w:r>
      <w:r>
        <w:rPr>
          <w:color w:val="000000"/>
        </w:rPr>
        <w:t>)</w:t>
      </w:r>
      <w:r w:rsidRPr="00B43008">
        <w:rPr>
          <w:color w:val="000000"/>
        </w:rPr>
        <w:t>.</w:t>
      </w:r>
    </w:p>
    <w:p w:rsidR="00765E91" w:rsidRDefault="001009B7" w:rsidP="00B57859">
      <w:pPr>
        <w:shd w:val="clear" w:color="auto" w:fill="FFFFFF"/>
        <w:spacing w:after="120" w:line="276" w:lineRule="auto"/>
        <w:textAlignment w:val="center"/>
        <w:rPr>
          <w:color w:val="000000"/>
        </w:rPr>
      </w:pPr>
      <w:r w:rsidRPr="00B43008">
        <w:rPr>
          <w:i/>
          <w:iCs/>
          <w:color w:val="000000"/>
          <w:u w:val="single"/>
        </w:rPr>
        <w:lastRenderedPageBreak/>
        <w:t>The timing of editing processes and procedures by SEAs vary greatly between state</w:t>
      </w:r>
      <w:r>
        <w:rPr>
          <w:i/>
          <w:iCs/>
          <w:color w:val="000000"/>
          <w:u w:val="single"/>
        </w:rPr>
        <w:t>-</w:t>
      </w:r>
      <w:r w:rsidRPr="00B43008">
        <w:rPr>
          <w:i/>
          <w:iCs/>
          <w:color w:val="000000"/>
          <w:u w:val="single"/>
        </w:rPr>
        <w:t>level</w:t>
      </w:r>
      <w:r>
        <w:rPr>
          <w:i/>
          <w:iCs/>
          <w:color w:val="000000"/>
          <w:u w:val="single"/>
        </w:rPr>
        <w:t>, school district-level,</w:t>
      </w:r>
      <w:r w:rsidRPr="00B43008">
        <w:rPr>
          <w:i/>
          <w:iCs/>
          <w:color w:val="000000"/>
          <w:u w:val="single"/>
        </w:rPr>
        <w:t xml:space="preserve"> </w:t>
      </w:r>
      <w:r>
        <w:rPr>
          <w:i/>
          <w:iCs/>
          <w:color w:val="000000"/>
          <w:u w:val="single"/>
        </w:rPr>
        <w:t>and s</w:t>
      </w:r>
      <w:r w:rsidRPr="00B43008">
        <w:rPr>
          <w:i/>
          <w:iCs/>
          <w:color w:val="000000"/>
          <w:u w:val="single"/>
        </w:rPr>
        <w:t xml:space="preserve">chool-level </w:t>
      </w:r>
      <w:r>
        <w:rPr>
          <w:i/>
          <w:iCs/>
          <w:color w:val="000000"/>
          <w:u w:val="single"/>
        </w:rPr>
        <w:t>finance</w:t>
      </w:r>
      <w:r w:rsidRPr="00B43008">
        <w:rPr>
          <w:i/>
          <w:iCs/>
          <w:color w:val="000000"/>
          <w:u w:val="single"/>
        </w:rPr>
        <w:t xml:space="preserve"> data</w:t>
      </w:r>
    </w:p>
    <w:p w:rsidR="00856B8C" w:rsidRDefault="001009B7" w:rsidP="00B57859">
      <w:pPr>
        <w:shd w:val="clear" w:color="auto" w:fill="FFFFFF"/>
        <w:spacing w:after="120" w:line="276" w:lineRule="auto"/>
        <w:textAlignment w:val="center"/>
        <w:rPr>
          <w:color w:val="000000"/>
        </w:rPr>
      </w:pPr>
      <w:r w:rsidRPr="00B43008">
        <w:rPr>
          <w:color w:val="000000"/>
        </w:rPr>
        <w:t>The timing of editing processes and procedures by SEAs vary greatly between the state</w:t>
      </w:r>
      <w:r>
        <w:rPr>
          <w:color w:val="000000"/>
        </w:rPr>
        <w:t>-</w:t>
      </w:r>
      <w:r w:rsidRPr="00B43008">
        <w:rPr>
          <w:color w:val="000000"/>
        </w:rPr>
        <w:t xml:space="preserve">level NPEFS </w:t>
      </w:r>
      <w:r>
        <w:rPr>
          <w:color w:val="000000"/>
        </w:rPr>
        <w:t>data, school district-level</w:t>
      </w:r>
      <w:r w:rsidRPr="00B43008">
        <w:rPr>
          <w:color w:val="000000"/>
        </w:rPr>
        <w:t xml:space="preserve"> </w:t>
      </w:r>
      <w:r>
        <w:rPr>
          <w:color w:val="000000"/>
        </w:rPr>
        <w:t xml:space="preserve">F-33 </w:t>
      </w:r>
      <w:r w:rsidRPr="00B43008">
        <w:rPr>
          <w:color w:val="000000"/>
        </w:rPr>
        <w:t>data</w:t>
      </w:r>
      <w:r>
        <w:rPr>
          <w:color w:val="000000"/>
        </w:rPr>
        <w:t>, and the school-level SLFS data</w:t>
      </w:r>
      <w:r w:rsidRPr="00B43008">
        <w:rPr>
          <w:color w:val="000000"/>
        </w:rPr>
        <w:t>. While SEAs are able to submit state</w:t>
      </w:r>
      <w:r>
        <w:rPr>
          <w:color w:val="000000"/>
        </w:rPr>
        <w:t>-</w:t>
      </w:r>
      <w:r w:rsidRPr="00B43008">
        <w:rPr>
          <w:color w:val="000000"/>
        </w:rPr>
        <w:t xml:space="preserve">level </w:t>
      </w:r>
      <w:r>
        <w:rPr>
          <w:color w:val="000000"/>
        </w:rPr>
        <w:t xml:space="preserve">NPEFS </w:t>
      </w:r>
      <w:r w:rsidRPr="00B43008">
        <w:rPr>
          <w:color w:val="000000"/>
        </w:rPr>
        <w:t xml:space="preserve">data by August 15, they are not able to submit, review, clarify, correct, and certify the school and </w:t>
      </w:r>
      <w:r>
        <w:rPr>
          <w:color w:val="000000"/>
        </w:rPr>
        <w:t>school district-</w:t>
      </w:r>
      <w:r w:rsidRPr="00B43008">
        <w:rPr>
          <w:color w:val="000000"/>
        </w:rPr>
        <w:t xml:space="preserve">level </w:t>
      </w:r>
      <w:r>
        <w:rPr>
          <w:color w:val="000000"/>
        </w:rPr>
        <w:t>finance</w:t>
      </w:r>
      <w:r w:rsidRPr="00B43008">
        <w:rPr>
          <w:color w:val="000000"/>
        </w:rPr>
        <w:t xml:space="preserve"> data on the same schedule.</w:t>
      </w:r>
      <w:r w:rsidR="00764138">
        <w:rPr>
          <w:color w:val="000000"/>
        </w:rPr>
        <w:t xml:space="preserve"> If the three data collections </w:t>
      </w:r>
      <w:r w:rsidR="00856B8C">
        <w:rPr>
          <w:color w:val="000000"/>
        </w:rPr>
        <w:t>were to be</w:t>
      </w:r>
      <w:r w:rsidR="00764138">
        <w:rPr>
          <w:color w:val="000000"/>
        </w:rPr>
        <w:t xml:space="preserve"> merged, the SEAs </w:t>
      </w:r>
      <w:r w:rsidR="00856B8C">
        <w:rPr>
          <w:color w:val="000000"/>
        </w:rPr>
        <w:t>would</w:t>
      </w:r>
      <w:r w:rsidR="00764138">
        <w:rPr>
          <w:color w:val="000000"/>
        </w:rPr>
        <w:t xml:space="preserve"> have less time to review and certify school district and school-level finance data. SEAs and school districts generally require </w:t>
      </w:r>
      <w:r w:rsidR="00764138" w:rsidRPr="00856B8C">
        <w:rPr>
          <w:color w:val="000000"/>
        </w:rPr>
        <w:t>more time to compile, edit, and verify school district and school-level detail</w:t>
      </w:r>
      <w:r w:rsidR="00856B8C">
        <w:rPr>
          <w:color w:val="000000"/>
        </w:rPr>
        <w:t>, because r</w:t>
      </w:r>
      <w:r w:rsidR="00764138">
        <w:rPr>
          <w:color w:val="000000"/>
        </w:rPr>
        <w:t xml:space="preserve">esolving </w:t>
      </w:r>
      <w:r w:rsidR="00764138" w:rsidRPr="00856B8C">
        <w:rPr>
          <w:color w:val="000000"/>
        </w:rPr>
        <w:t xml:space="preserve">data issues and anomalies of school finance data </w:t>
      </w:r>
      <w:r w:rsidR="00856B8C">
        <w:rPr>
          <w:color w:val="000000"/>
        </w:rPr>
        <w:t>(</w:t>
      </w:r>
      <w:r w:rsidR="00764138" w:rsidRPr="00856B8C">
        <w:rPr>
          <w:color w:val="000000"/>
        </w:rPr>
        <w:t>at the micro</w:t>
      </w:r>
      <w:r w:rsidR="00856B8C">
        <w:rPr>
          <w:color w:val="000000"/>
        </w:rPr>
        <w:t xml:space="preserve"> </w:t>
      </w:r>
      <w:r w:rsidR="00764138" w:rsidRPr="00856B8C">
        <w:rPr>
          <w:color w:val="000000"/>
        </w:rPr>
        <w:t>level</w:t>
      </w:r>
      <w:r w:rsidR="00856B8C">
        <w:rPr>
          <w:color w:val="000000"/>
        </w:rPr>
        <w:t>),</w:t>
      </w:r>
      <w:r w:rsidR="00764138" w:rsidRPr="00856B8C">
        <w:rPr>
          <w:color w:val="000000"/>
        </w:rPr>
        <w:t xml:space="preserve"> and preparing </w:t>
      </w:r>
      <w:r w:rsidR="00856B8C">
        <w:rPr>
          <w:color w:val="000000"/>
        </w:rPr>
        <w:t>them</w:t>
      </w:r>
      <w:r w:rsidR="00764138" w:rsidRPr="00856B8C">
        <w:rPr>
          <w:color w:val="000000"/>
        </w:rPr>
        <w:t xml:space="preserve"> for submission</w:t>
      </w:r>
      <w:r w:rsidR="00856B8C">
        <w:rPr>
          <w:color w:val="000000"/>
        </w:rPr>
        <w:t>,</w:t>
      </w:r>
      <w:r w:rsidR="00764138" w:rsidRPr="00856B8C">
        <w:rPr>
          <w:color w:val="000000"/>
        </w:rPr>
        <w:t xml:space="preserve"> </w:t>
      </w:r>
      <w:r w:rsidR="00856B8C">
        <w:rPr>
          <w:color w:val="000000"/>
        </w:rPr>
        <w:t>usually</w:t>
      </w:r>
      <w:r w:rsidR="00764138" w:rsidRPr="00856B8C">
        <w:rPr>
          <w:color w:val="000000"/>
        </w:rPr>
        <w:t xml:space="preserve"> takes </w:t>
      </w:r>
      <w:r w:rsidR="00856B8C">
        <w:rPr>
          <w:color w:val="000000"/>
        </w:rPr>
        <w:t xml:space="preserve">significantly </w:t>
      </w:r>
      <w:r w:rsidR="00764138" w:rsidRPr="00856B8C">
        <w:rPr>
          <w:color w:val="000000"/>
        </w:rPr>
        <w:t xml:space="preserve">longer than </w:t>
      </w:r>
      <w:r w:rsidR="00856B8C">
        <w:rPr>
          <w:color w:val="000000"/>
        </w:rPr>
        <w:t>doing the same with state-level data (a</w:t>
      </w:r>
      <w:r w:rsidR="00764138" w:rsidRPr="00856B8C">
        <w:rPr>
          <w:color w:val="000000"/>
        </w:rPr>
        <w:t>t the macro level</w:t>
      </w:r>
      <w:r w:rsidR="00856B8C">
        <w:rPr>
          <w:color w:val="000000"/>
        </w:rPr>
        <w:t>)</w:t>
      </w:r>
      <w:r w:rsidR="00764138" w:rsidRPr="00856B8C">
        <w:rPr>
          <w:color w:val="000000"/>
        </w:rPr>
        <w:t xml:space="preserve">. </w:t>
      </w:r>
      <w:r w:rsidR="00856B8C">
        <w:rPr>
          <w:color w:val="000000"/>
        </w:rPr>
        <w:t>Additionally, i</w:t>
      </w:r>
      <w:r w:rsidR="00764138">
        <w:rPr>
          <w:color w:val="000000"/>
        </w:rPr>
        <w:t>n many states, finance data at the LEA and school levels are not audited until the end of the calendar year (e.g., school finance data for S</w:t>
      </w:r>
      <w:r w:rsidR="00856B8C">
        <w:rPr>
          <w:color w:val="000000"/>
        </w:rPr>
        <w:t xml:space="preserve">Y 2017-18 would not be audited </w:t>
      </w:r>
      <w:r w:rsidR="00764138">
        <w:rPr>
          <w:color w:val="000000"/>
        </w:rPr>
        <w:t>until the end of 2018 calendar year)</w:t>
      </w:r>
      <w:r w:rsidR="00856B8C">
        <w:rPr>
          <w:color w:val="000000"/>
        </w:rPr>
        <w:t>, and</w:t>
      </w:r>
      <w:r w:rsidR="00764138">
        <w:rPr>
          <w:color w:val="000000"/>
        </w:rPr>
        <w:t xml:space="preserve"> review and editing of school district</w:t>
      </w:r>
      <w:r w:rsidR="00856B8C">
        <w:rPr>
          <w:color w:val="000000"/>
        </w:rPr>
        <w:t>-</w:t>
      </w:r>
      <w:r w:rsidR="00764138">
        <w:rPr>
          <w:color w:val="000000"/>
        </w:rPr>
        <w:t xml:space="preserve"> and school-level finance data by Census and NCES staff takes more time than </w:t>
      </w:r>
      <w:r w:rsidR="00856B8C">
        <w:rPr>
          <w:color w:val="000000"/>
        </w:rPr>
        <w:t xml:space="preserve">to review and edit </w:t>
      </w:r>
      <w:r w:rsidR="008442FD">
        <w:rPr>
          <w:color w:val="000000"/>
        </w:rPr>
        <w:t xml:space="preserve">fiscal </w:t>
      </w:r>
      <w:r w:rsidR="00764138">
        <w:rPr>
          <w:color w:val="000000"/>
        </w:rPr>
        <w:t>data at the state level.</w:t>
      </w:r>
    </w:p>
    <w:p w:rsidR="00765E91" w:rsidRDefault="001009B7" w:rsidP="00B57859">
      <w:pPr>
        <w:shd w:val="clear" w:color="auto" w:fill="FFFFFF"/>
        <w:spacing w:after="120" w:line="276" w:lineRule="auto"/>
        <w:textAlignment w:val="center"/>
        <w:rPr>
          <w:color w:val="000000"/>
        </w:rPr>
      </w:pPr>
      <w:r w:rsidRPr="00B43008">
        <w:rPr>
          <w:color w:val="000000"/>
        </w:rPr>
        <w:t>In summary, the potential efficiency gained by consolidating the three surveys is far outweighed by the capacity issues at the state and federal levels, the practical problems with changing the reporting deadlines for LEA</w:t>
      </w:r>
      <w:r>
        <w:rPr>
          <w:color w:val="000000"/>
        </w:rPr>
        <w:t>-level</w:t>
      </w:r>
      <w:r w:rsidRPr="00B43008">
        <w:rPr>
          <w:color w:val="000000"/>
        </w:rPr>
        <w:t xml:space="preserve"> finance data, and the purposeful differences between the </w:t>
      </w:r>
      <w:r>
        <w:rPr>
          <w:color w:val="000000"/>
        </w:rPr>
        <w:t>three</w:t>
      </w:r>
      <w:r w:rsidRPr="00B43008">
        <w:rPr>
          <w:color w:val="000000"/>
        </w:rPr>
        <w:t xml:space="preserve"> collections.</w:t>
      </w:r>
    </w:p>
    <w:p w:rsidR="00765E91" w:rsidRDefault="001009B7" w:rsidP="00B57859">
      <w:pPr>
        <w:shd w:val="clear" w:color="auto" w:fill="FFFFFF"/>
        <w:spacing w:after="120" w:line="276" w:lineRule="auto"/>
        <w:textAlignment w:val="center"/>
        <w:rPr>
          <w:color w:val="000000"/>
        </w:rPr>
      </w:pPr>
      <w:r w:rsidRPr="00B43008">
        <w:rPr>
          <w:color w:val="000000"/>
        </w:rPr>
        <w:t>To minimize duplication</w:t>
      </w:r>
      <w:r w:rsidR="007261A3">
        <w:rPr>
          <w:color w:val="000000"/>
        </w:rPr>
        <w:t xml:space="preserve"> of effort</w:t>
      </w:r>
      <w:r w:rsidRPr="00B43008">
        <w:rPr>
          <w:color w:val="000000"/>
        </w:rPr>
        <w:t xml:space="preserve">, </w:t>
      </w:r>
      <w:r w:rsidR="002F48A4">
        <w:rPr>
          <w:color w:val="000000"/>
        </w:rPr>
        <w:t xml:space="preserve">NCES and </w:t>
      </w:r>
      <w:r w:rsidRPr="00B43008">
        <w:rPr>
          <w:color w:val="000000"/>
        </w:rPr>
        <w:t>Census coordinate the</w:t>
      </w:r>
      <w:r w:rsidR="002F48A4">
        <w:rPr>
          <w:color w:val="000000"/>
        </w:rPr>
        <w:t>se</w:t>
      </w:r>
      <w:r w:rsidRPr="00B43008">
        <w:rPr>
          <w:color w:val="000000"/>
        </w:rPr>
        <w:t xml:space="preserve"> collection</w:t>
      </w:r>
      <w:r w:rsidR="007261A3">
        <w:rPr>
          <w:color w:val="000000"/>
        </w:rPr>
        <w:t>s</w:t>
      </w:r>
      <w:r w:rsidRPr="00B43008">
        <w:rPr>
          <w:color w:val="000000"/>
        </w:rPr>
        <w:t xml:space="preserve"> as closely as possible. </w:t>
      </w:r>
      <w:r w:rsidR="007261A3">
        <w:rPr>
          <w:color w:val="000000"/>
        </w:rPr>
        <w:t>Because t</w:t>
      </w:r>
      <w:r w:rsidRPr="00B43008">
        <w:rPr>
          <w:color w:val="000000"/>
        </w:rPr>
        <w:t>he SLFS, F-33</w:t>
      </w:r>
      <w:r>
        <w:rPr>
          <w:color w:val="000000"/>
        </w:rPr>
        <w:t>,</w:t>
      </w:r>
      <w:r w:rsidRPr="00B43008">
        <w:rPr>
          <w:color w:val="000000"/>
        </w:rPr>
        <w:t xml:space="preserve"> and</w:t>
      </w:r>
      <w:r w:rsidR="00673E11">
        <w:rPr>
          <w:color w:val="000000"/>
        </w:rPr>
        <w:t xml:space="preserve"> </w:t>
      </w:r>
      <w:r w:rsidRPr="00B43008">
        <w:rPr>
          <w:color w:val="000000"/>
        </w:rPr>
        <w:t>NPEFS collections are inter-related and complementary</w:t>
      </w:r>
      <w:r w:rsidR="007261A3">
        <w:rPr>
          <w:color w:val="000000"/>
        </w:rPr>
        <w:t xml:space="preserve">, </w:t>
      </w:r>
      <w:r w:rsidRPr="00B43008">
        <w:rPr>
          <w:color w:val="000000"/>
        </w:rPr>
        <w:t xml:space="preserve">NCES and </w:t>
      </w:r>
      <w:r w:rsidR="002F48A4">
        <w:rPr>
          <w:color w:val="000000"/>
        </w:rPr>
        <w:t>Census</w:t>
      </w:r>
      <w:r>
        <w:rPr>
          <w:color w:val="000000"/>
        </w:rPr>
        <w:t xml:space="preserve"> </w:t>
      </w:r>
      <w:r w:rsidRPr="00B43008">
        <w:rPr>
          <w:color w:val="000000"/>
        </w:rPr>
        <w:t xml:space="preserve">have found ways to create efficiency in use of resources between </w:t>
      </w:r>
      <w:r>
        <w:rPr>
          <w:color w:val="000000"/>
        </w:rPr>
        <w:t xml:space="preserve">the </w:t>
      </w:r>
      <w:r w:rsidRPr="00B43008">
        <w:rPr>
          <w:color w:val="000000"/>
        </w:rPr>
        <w:t>three surveys</w:t>
      </w:r>
      <w:r w:rsidR="007261A3">
        <w:rPr>
          <w:color w:val="000000"/>
        </w:rPr>
        <w:t xml:space="preserve">, </w:t>
      </w:r>
      <w:r w:rsidRPr="00B43008">
        <w:rPr>
          <w:color w:val="000000"/>
        </w:rPr>
        <w:t xml:space="preserve">including the use of </w:t>
      </w:r>
      <w:r w:rsidR="002F48A4">
        <w:rPr>
          <w:color w:val="000000"/>
        </w:rPr>
        <w:t>Census</w:t>
      </w:r>
      <w:r>
        <w:rPr>
          <w:color w:val="000000"/>
        </w:rPr>
        <w:t>’</w:t>
      </w:r>
      <w:r w:rsidRPr="00B43008">
        <w:rPr>
          <w:color w:val="000000"/>
        </w:rPr>
        <w:t xml:space="preserve">s Local Education Agency Finance System (LEAFS) processing application </w:t>
      </w:r>
      <w:r w:rsidR="007261A3">
        <w:rPr>
          <w:color w:val="000000"/>
        </w:rPr>
        <w:t>to</w:t>
      </w:r>
      <w:r w:rsidRPr="00B43008">
        <w:rPr>
          <w:color w:val="000000"/>
        </w:rPr>
        <w:t xml:space="preserve"> process school district-level </w:t>
      </w:r>
      <w:r>
        <w:rPr>
          <w:color w:val="000000"/>
        </w:rPr>
        <w:t xml:space="preserve">F-33 and school-level SLFS </w:t>
      </w:r>
      <w:r w:rsidRPr="00B43008">
        <w:rPr>
          <w:color w:val="000000"/>
        </w:rPr>
        <w:t>finance data.</w:t>
      </w:r>
      <w:r w:rsidR="007261A3">
        <w:rPr>
          <w:color w:val="000000"/>
        </w:rPr>
        <w:t xml:space="preserve"> </w:t>
      </w:r>
      <w:r w:rsidRPr="00B43008">
        <w:rPr>
          <w:color w:val="000000"/>
        </w:rPr>
        <w:t xml:space="preserve">Many current school district finance edits and processing procedures </w:t>
      </w:r>
      <w:r>
        <w:rPr>
          <w:color w:val="000000"/>
        </w:rPr>
        <w:t>are</w:t>
      </w:r>
      <w:r w:rsidRPr="00B43008">
        <w:rPr>
          <w:color w:val="000000"/>
        </w:rPr>
        <w:t xml:space="preserve"> applicable to school-level finance data. Modifications </w:t>
      </w:r>
      <w:r>
        <w:rPr>
          <w:color w:val="000000"/>
        </w:rPr>
        <w:t>have been made</w:t>
      </w:r>
      <w:r w:rsidRPr="00B43008">
        <w:rPr>
          <w:color w:val="000000"/>
        </w:rPr>
        <w:t xml:space="preserve"> to the current system to add capability to process finance data at the school level. LEAFS gives survey staff the ability to compare data across the state, district, and school levels</w:t>
      </w:r>
      <w:r w:rsidR="007261A3">
        <w:rPr>
          <w:color w:val="000000"/>
        </w:rPr>
        <w:t>,</w:t>
      </w:r>
      <w:r w:rsidRPr="00B43008">
        <w:rPr>
          <w:color w:val="000000"/>
        </w:rPr>
        <w:t xml:space="preserve"> detect data errors</w:t>
      </w:r>
      <w:r w:rsidR="007261A3">
        <w:rPr>
          <w:color w:val="000000"/>
        </w:rPr>
        <w:t>,</w:t>
      </w:r>
      <w:r w:rsidRPr="00B43008">
        <w:rPr>
          <w:color w:val="000000"/>
        </w:rPr>
        <w:t xml:space="preserve"> and ensure data consistency across the surveys. This often allows for identification and resolution of errors in the reported data for one or all three collections</w:t>
      </w:r>
      <w:r w:rsidR="007261A3">
        <w:rPr>
          <w:color w:val="000000"/>
        </w:rPr>
        <w:t xml:space="preserve"> simultaneously</w:t>
      </w:r>
      <w:r w:rsidRPr="00B43008">
        <w:rPr>
          <w:color w:val="000000"/>
        </w:rPr>
        <w:t>, resulting in improve</w:t>
      </w:r>
      <w:r w:rsidR="007261A3">
        <w:rPr>
          <w:color w:val="000000"/>
        </w:rPr>
        <w:t>d</w:t>
      </w:r>
      <w:r w:rsidRPr="00B43008">
        <w:rPr>
          <w:color w:val="000000"/>
        </w:rPr>
        <w:t xml:space="preserve"> data quality for all three programs. LEAFS’s capability to cross-check data at the district and state levels also facilitate</w:t>
      </w:r>
      <w:r w:rsidR="007261A3">
        <w:rPr>
          <w:color w:val="000000"/>
        </w:rPr>
        <w:t>s</w:t>
      </w:r>
      <w:r w:rsidRPr="00B43008">
        <w:rPr>
          <w:color w:val="000000"/>
        </w:rPr>
        <w:t xml:space="preserve"> understanding of how different models of LEA organization affect school-level finance collections.</w:t>
      </w:r>
    </w:p>
    <w:p w:rsidR="00765E91" w:rsidRDefault="001009B7" w:rsidP="007261A3">
      <w:pPr>
        <w:widowControl w:val="0"/>
        <w:shd w:val="clear" w:color="auto" w:fill="FFFFFF"/>
        <w:spacing w:after="120" w:line="276" w:lineRule="auto"/>
        <w:textAlignment w:val="center"/>
        <w:rPr>
          <w:color w:val="000000"/>
          <w:spacing w:val="-1"/>
        </w:rPr>
      </w:pPr>
      <w:r w:rsidRPr="00B43008">
        <w:rPr>
          <w:color w:val="000000"/>
        </w:rPr>
        <w:t xml:space="preserve">NCES and </w:t>
      </w:r>
      <w:r w:rsidR="002F48A4">
        <w:rPr>
          <w:color w:val="000000"/>
        </w:rPr>
        <w:t>Census</w:t>
      </w:r>
      <w:r w:rsidRPr="00B43008">
        <w:rPr>
          <w:color w:val="000000"/>
        </w:rPr>
        <w:t xml:space="preserve"> also have a longstanding and proven ability to work closely with the </w:t>
      </w:r>
      <w:r w:rsidR="008C0359">
        <w:rPr>
          <w:color w:val="000000"/>
        </w:rPr>
        <w:t>SEA</w:t>
      </w:r>
      <w:r w:rsidRPr="00B43008">
        <w:rPr>
          <w:color w:val="000000"/>
        </w:rPr>
        <w:t xml:space="preserve"> fiscal coordinators who are the primary respondents for </w:t>
      </w:r>
      <w:r w:rsidR="007261A3" w:rsidRPr="00B43008">
        <w:rPr>
          <w:color w:val="000000"/>
        </w:rPr>
        <w:t>SLFS, F-33</w:t>
      </w:r>
      <w:r w:rsidR="007261A3">
        <w:rPr>
          <w:color w:val="000000"/>
        </w:rPr>
        <w:t>,</w:t>
      </w:r>
      <w:r w:rsidR="007261A3" w:rsidRPr="00B43008">
        <w:rPr>
          <w:color w:val="000000"/>
        </w:rPr>
        <w:t xml:space="preserve"> and</w:t>
      </w:r>
      <w:r w:rsidR="007261A3">
        <w:rPr>
          <w:color w:val="000000"/>
        </w:rPr>
        <w:t xml:space="preserve"> </w:t>
      </w:r>
      <w:r w:rsidR="007261A3" w:rsidRPr="00B43008">
        <w:rPr>
          <w:color w:val="000000"/>
        </w:rPr>
        <w:t>NPEFS</w:t>
      </w:r>
      <w:r w:rsidRPr="00B43008">
        <w:rPr>
          <w:color w:val="000000"/>
        </w:rPr>
        <w:t xml:space="preserve">. Many states provide one fiscal coordinator for three surveys, and NCES and Census </w:t>
      </w:r>
      <w:r w:rsidR="007261A3">
        <w:rPr>
          <w:color w:val="000000"/>
        </w:rPr>
        <w:t>are</w:t>
      </w:r>
      <w:r>
        <w:rPr>
          <w:color w:val="000000"/>
        </w:rPr>
        <w:t xml:space="preserve"> able to </w:t>
      </w:r>
      <w:r w:rsidRPr="00B43008">
        <w:rPr>
          <w:color w:val="000000"/>
        </w:rPr>
        <w:t xml:space="preserve">provide consolidated training to fiscal coordinators for </w:t>
      </w:r>
      <w:r>
        <w:rPr>
          <w:color w:val="000000"/>
        </w:rPr>
        <w:t xml:space="preserve">all </w:t>
      </w:r>
      <w:r w:rsidR="007261A3">
        <w:rPr>
          <w:color w:val="000000"/>
        </w:rPr>
        <w:t>three surveys at once</w:t>
      </w:r>
      <w:r w:rsidRPr="00B43008">
        <w:rPr>
          <w:color w:val="000000"/>
          <w:spacing w:val="-1"/>
        </w:rPr>
        <w:t>.</w:t>
      </w:r>
    </w:p>
    <w:p w:rsidR="00B30C42" w:rsidRPr="008678A4" w:rsidRDefault="008678A4" w:rsidP="00B57859">
      <w:pPr>
        <w:autoSpaceDE w:val="0"/>
        <w:autoSpaceDN w:val="0"/>
        <w:adjustRightInd w:val="0"/>
        <w:spacing w:after="120" w:line="276" w:lineRule="auto"/>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423F8" w:rsidP="00B57859">
      <w:pPr>
        <w:autoSpaceDE w:val="0"/>
        <w:autoSpaceDN w:val="0"/>
        <w:adjustRightInd w:val="0"/>
        <w:spacing w:after="120" w:line="276" w:lineRule="auto"/>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w:t>
      </w:r>
      <w:r w:rsidR="00167A98">
        <w:rPr>
          <w:color w:val="000000"/>
        </w:rPr>
        <w:t>SLFS</w:t>
      </w:r>
      <w:r w:rsidRPr="00AA1670">
        <w:rPr>
          <w:color w:val="000000"/>
        </w:rPr>
        <w:t>.</w:t>
      </w:r>
      <w:r w:rsidR="002F7842">
        <w:rPr>
          <w:color w:val="000000"/>
        </w:rPr>
        <w:t xml:space="preserve"> </w:t>
      </w:r>
      <w:r w:rsidR="00E03CFF">
        <w:rPr>
          <w:color w:val="000000"/>
        </w:rPr>
        <w:t xml:space="preserve">SLFS </w:t>
      </w:r>
      <w:r>
        <w:rPr>
          <w:color w:val="000000"/>
        </w:rPr>
        <w:t xml:space="preserve">data come from state administrative records and </w:t>
      </w:r>
      <w:r w:rsidR="00B30C42" w:rsidRPr="00AA1670">
        <w:rPr>
          <w:color w:val="000000"/>
        </w:rPr>
        <w:t xml:space="preserve">NCES </w:t>
      </w:r>
      <w:r>
        <w:rPr>
          <w:color w:val="000000"/>
        </w:rPr>
        <w:t xml:space="preserve">works with </w:t>
      </w:r>
      <w:r w:rsidR="005C44EE">
        <w:rPr>
          <w:color w:val="000000"/>
        </w:rPr>
        <w:t xml:space="preserve">SEAs and </w:t>
      </w:r>
      <w:r>
        <w:rPr>
          <w:color w:val="000000"/>
        </w:rPr>
        <w:t xml:space="preserve">LEAs on an ongoing basis to assure that burden associated with </w:t>
      </w:r>
      <w:r w:rsidR="002D7D5F">
        <w:rPr>
          <w:color w:val="000000"/>
        </w:rPr>
        <w:t>SLFS</w:t>
      </w:r>
      <w:r w:rsidR="00FE0ABA">
        <w:rPr>
          <w:color w:val="000000"/>
        </w:rPr>
        <w:t xml:space="preserve"> </w:t>
      </w:r>
      <w:r>
        <w:rPr>
          <w:color w:val="000000"/>
        </w:rPr>
        <w:t>data submission is kept</w:t>
      </w:r>
      <w:r w:rsidR="00820E3E">
        <w:rPr>
          <w:color w:val="000000"/>
        </w:rPr>
        <w:t xml:space="preserve"> to a</w:t>
      </w:r>
      <w:r w:rsidR="002F7842">
        <w:rPr>
          <w:color w:val="000000"/>
        </w:rPr>
        <w:t xml:space="preserve"> </w:t>
      </w:r>
      <w:r>
        <w:rPr>
          <w:color w:val="000000"/>
        </w:rPr>
        <w:t>minimum.</w:t>
      </w:r>
    </w:p>
    <w:p w:rsidR="00B30C42" w:rsidRPr="008678A4" w:rsidRDefault="008678A4" w:rsidP="00B57859">
      <w:pPr>
        <w:autoSpaceDE w:val="0"/>
        <w:autoSpaceDN w:val="0"/>
        <w:adjustRightInd w:val="0"/>
        <w:spacing w:after="120" w:line="276" w:lineRule="auto"/>
        <w:rPr>
          <w:b/>
          <w:bCs/>
          <w:color w:val="000000"/>
        </w:rPr>
      </w:pPr>
      <w:r w:rsidRPr="008678A4">
        <w:rPr>
          <w:b/>
          <w:bCs/>
          <w:color w:val="000000"/>
        </w:rPr>
        <w:t>A6.</w:t>
      </w:r>
      <w:r w:rsidRPr="008678A4">
        <w:rPr>
          <w:b/>
          <w:bCs/>
          <w:color w:val="000000"/>
        </w:rPr>
        <w:tab/>
      </w:r>
      <w:r w:rsidRPr="008678A4">
        <w:rPr>
          <w:b/>
          <w:bCs/>
        </w:rPr>
        <w:t>Consequences of Less Frequent Collection</w:t>
      </w:r>
    </w:p>
    <w:p w:rsidR="00B30C42" w:rsidRPr="00AA1670" w:rsidRDefault="00B30C42" w:rsidP="00B57859">
      <w:pPr>
        <w:autoSpaceDE w:val="0"/>
        <w:autoSpaceDN w:val="0"/>
        <w:adjustRightInd w:val="0"/>
        <w:spacing w:after="120" w:line="276" w:lineRule="auto"/>
        <w:rPr>
          <w:color w:val="000000"/>
        </w:rPr>
      </w:pPr>
      <w:r w:rsidRPr="00AA1670">
        <w:rPr>
          <w:color w:val="000000"/>
          <w:u w:val="single"/>
        </w:rPr>
        <w:t>Consequences if not collected</w:t>
      </w:r>
      <w:r w:rsidR="009F3CCE">
        <w:rPr>
          <w:color w:val="000000"/>
        </w:rPr>
        <w:t>.</w:t>
      </w:r>
      <w:r w:rsidR="002F7842">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w:t>
      </w:r>
      <w:r w:rsidR="0063610A">
        <w:t xml:space="preserve">the ability </w:t>
      </w:r>
      <w:r w:rsidR="0067291B">
        <w:t xml:space="preserve">of NCES </w:t>
      </w:r>
      <w:r w:rsidR="0063610A">
        <w:t>to make publically available</w:t>
      </w:r>
      <w:r w:rsidR="00B25F5E">
        <w:t xml:space="preserve"> current and comparable finance data </w:t>
      </w:r>
      <w:r w:rsidR="0063610A">
        <w:t>for all states and territories</w:t>
      </w:r>
      <w:r w:rsidR="008A3342" w:rsidRPr="0031795A">
        <w:t>.</w:t>
      </w:r>
      <w:r w:rsidR="00673E11">
        <w:t xml:space="preserve"> </w:t>
      </w:r>
      <w:r w:rsidR="00193DE4">
        <w:rPr>
          <w:color w:val="000000"/>
        </w:rPr>
        <w:t>N</w:t>
      </w:r>
      <w:r w:rsidR="003E62F3">
        <w:rPr>
          <w:color w:val="000000"/>
        </w:rPr>
        <w:t xml:space="preserve">ot collecting SLFS data </w:t>
      </w:r>
      <w:r w:rsidRPr="00AA1670">
        <w:rPr>
          <w:color w:val="000000"/>
        </w:rPr>
        <w:t xml:space="preserve">would have negative consequences for </w:t>
      </w:r>
      <w:r w:rsidR="0031795A">
        <w:t>school boards</w:t>
      </w:r>
      <w:r w:rsidR="009F3CCE">
        <w:t>,</w:t>
      </w:r>
      <w:r w:rsidR="0031795A">
        <w:t xml:space="preserve"> </w:t>
      </w:r>
      <w:r w:rsidR="0031795A">
        <w:lastRenderedPageBreak/>
        <w:t>legislatures and policymakers</w:t>
      </w:r>
      <w:r w:rsidR="009F3CCE">
        <w:t>,</w:t>
      </w:r>
      <w:r w:rsidR="0031795A">
        <w:t xml:space="preserve"> </w:t>
      </w:r>
      <w:r w:rsidR="008C0359">
        <w:t>SEAs</w:t>
      </w:r>
      <w:r w:rsidR="009F3CCE">
        <w:t>,</w:t>
      </w:r>
      <w:r w:rsidR="0031795A">
        <w:t xml:space="preserve"> investors </w:t>
      </w:r>
      <w:r w:rsidR="00193DE4">
        <w:t>and</w:t>
      </w:r>
      <w:r w:rsidR="0031795A">
        <w:t xml:space="preserve">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765E91" w:rsidRDefault="00B30C42" w:rsidP="00B57859">
      <w:pPr>
        <w:spacing w:after="120" w:line="276" w:lineRule="auto"/>
      </w:pPr>
      <w:r w:rsidRPr="00AA1670">
        <w:rPr>
          <w:color w:val="000000"/>
          <w:u w:val="single"/>
        </w:rPr>
        <w:t>Consequences if collected less frequently.</w:t>
      </w:r>
      <w:r w:rsidRPr="00AA1670">
        <w:rPr>
          <w:color w:val="000000"/>
        </w:rPr>
        <w:t xml:space="preserve"> </w:t>
      </w:r>
      <w:r w:rsidR="00B270F2">
        <w:rPr>
          <w:color w:val="000000"/>
        </w:rPr>
        <w:t>S</w:t>
      </w:r>
      <w:r w:rsidRPr="00AA1670">
        <w:rPr>
          <w:color w:val="000000"/>
        </w:rPr>
        <w:t xml:space="preserve">tate administrative record systems </w:t>
      </w:r>
      <w:r w:rsidR="00B270F2">
        <w:rPr>
          <w:color w:val="000000"/>
        </w:rPr>
        <w:t xml:space="preserve">already collect school-level </w:t>
      </w:r>
      <w:r w:rsidR="00193DE4">
        <w:rPr>
          <w:color w:val="000000"/>
        </w:rPr>
        <w:t xml:space="preserve">data </w:t>
      </w:r>
      <w:r w:rsidRPr="00AA1670">
        <w:rPr>
          <w:color w:val="000000"/>
        </w:rPr>
        <w:t>for states’ own purposes.</w:t>
      </w:r>
      <w:r w:rsidR="00F250AE">
        <w:rPr>
          <w:color w:val="000000"/>
        </w:rPr>
        <w:t xml:space="preserve"> Participation in the annual SLFS benefits the SEAs in that NCES and </w:t>
      </w:r>
      <w:r w:rsidR="002F48A4">
        <w:rPr>
          <w:color w:val="000000"/>
        </w:rPr>
        <w:t>Census</w:t>
      </w:r>
      <w:r w:rsidR="00F250AE">
        <w:rPr>
          <w:color w:val="000000"/>
        </w:rPr>
        <w:t xml:space="preserve"> offer technical assistance in the production of data required for State and LEA reports under </w:t>
      </w:r>
      <w:r w:rsidR="00193DE4">
        <w:rPr>
          <w:color w:val="000000"/>
        </w:rPr>
        <w:t>ESSA</w:t>
      </w:r>
      <w:r w:rsidR="00F250AE">
        <w:rPr>
          <w:color w:val="000000"/>
        </w:rPr>
        <w:t xml:space="preserve">. </w:t>
      </w:r>
      <w:r w:rsidRPr="00AA1670">
        <w:rPr>
          <w:color w:val="000000"/>
        </w:rPr>
        <w:t xml:space="preserve">Changing </w:t>
      </w:r>
      <w:r w:rsidR="00167A98">
        <w:rPr>
          <w:color w:val="000000"/>
        </w:rPr>
        <w:t>SLFS</w:t>
      </w:r>
      <w:r w:rsidR="00B270F2">
        <w:rPr>
          <w:color w:val="000000"/>
        </w:rPr>
        <w:t xml:space="preserve"> </w:t>
      </w:r>
      <w:r w:rsidRPr="00AA1670">
        <w:rPr>
          <w:color w:val="000000"/>
        </w:rPr>
        <w:t xml:space="preserve">from an annual cycle to a less frequent schedule would </w:t>
      </w:r>
      <w:r w:rsidR="00B270F2">
        <w:rPr>
          <w:color w:val="000000"/>
        </w:rPr>
        <w:t>impact the analysis of trends in funding levels and equity</w:t>
      </w:r>
      <w:r w:rsidR="00193DE4">
        <w:rPr>
          <w:color w:val="000000"/>
        </w:rPr>
        <w:t xml:space="preserve">, and </w:t>
      </w:r>
      <w:r w:rsidR="00B270F2">
        <w:t>would dramatically decrease availability of th</w:t>
      </w:r>
      <w:r w:rsidR="00193DE4">
        <w:t>ese</w:t>
      </w:r>
      <w:r w:rsidR="00B270F2">
        <w:t xml:space="preserve"> </w:t>
      </w:r>
      <w:r w:rsidR="00193DE4">
        <w:t xml:space="preserve">needed </w:t>
      </w:r>
      <w:r w:rsidR="00B270F2">
        <w:t>data.</w:t>
      </w:r>
    </w:p>
    <w:p w:rsidR="00B30C42" w:rsidRPr="00167A98" w:rsidRDefault="008678A4" w:rsidP="00B57859">
      <w:pPr>
        <w:autoSpaceDE w:val="0"/>
        <w:autoSpaceDN w:val="0"/>
        <w:adjustRightInd w:val="0"/>
        <w:spacing w:after="120" w:line="276" w:lineRule="auto"/>
        <w:rPr>
          <w:b/>
        </w:rPr>
      </w:pPr>
      <w:r w:rsidRPr="00167A98">
        <w:rPr>
          <w:b/>
        </w:rPr>
        <w:t>A</w:t>
      </w:r>
      <w:r w:rsidR="00B30C42" w:rsidRPr="00167A98">
        <w:rPr>
          <w:b/>
        </w:rPr>
        <w:t>7.</w:t>
      </w:r>
      <w:r w:rsidRPr="00167A98">
        <w:rPr>
          <w:b/>
        </w:rPr>
        <w:tab/>
        <w:t>Special Circumstances</w:t>
      </w:r>
    </w:p>
    <w:p w:rsidR="00B30C42" w:rsidRPr="00AA1670" w:rsidRDefault="00360AF0" w:rsidP="00B57859">
      <w:pPr>
        <w:autoSpaceDE w:val="0"/>
        <w:autoSpaceDN w:val="0"/>
        <w:adjustRightInd w:val="0"/>
        <w:spacing w:after="120" w:line="276" w:lineRule="auto"/>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w:t>
      </w:r>
      <w:r w:rsidR="00B270F2">
        <w:rPr>
          <w:color w:val="000000"/>
        </w:rPr>
        <w:t xml:space="preserve">SLFS </w:t>
      </w:r>
      <w:r>
        <w:rPr>
          <w:color w:val="000000"/>
        </w:rPr>
        <w:t>are anticipated</w:t>
      </w:r>
      <w:r w:rsidR="00B30C42" w:rsidRPr="00AA1670">
        <w:rPr>
          <w:color w:val="000000"/>
        </w:rPr>
        <w:t>.</w:t>
      </w:r>
    </w:p>
    <w:p w:rsidR="00B30C42" w:rsidRPr="008678A4" w:rsidRDefault="00B30C42" w:rsidP="00B57859">
      <w:pPr>
        <w:pStyle w:val="BodyText3"/>
        <w:spacing w:after="120" w:line="276" w:lineRule="auto"/>
        <w:rPr>
          <w:sz w:val="24"/>
        </w:rPr>
      </w:pPr>
      <w:r w:rsidRPr="008678A4">
        <w:rPr>
          <w:sz w:val="24"/>
        </w:rPr>
        <w:t>A8.</w:t>
      </w:r>
      <w:r w:rsidR="008678A4" w:rsidRPr="008678A4">
        <w:rPr>
          <w:sz w:val="24"/>
        </w:rPr>
        <w:tab/>
        <w:t xml:space="preserve">Consultations </w:t>
      </w:r>
      <w:r w:rsidR="005C44EE">
        <w:rPr>
          <w:sz w:val="24"/>
        </w:rPr>
        <w:t>o</w:t>
      </w:r>
      <w:r w:rsidR="008678A4" w:rsidRPr="008678A4">
        <w:rPr>
          <w:sz w:val="24"/>
        </w:rPr>
        <w:t>utside the Agency</w:t>
      </w:r>
    </w:p>
    <w:p w:rsidR="00B270F2" w:rsidRDefault="00B270F2" w:rsidP="005C44EE">
      <w:pPr>
        <w:widowControl w:val="0"/>
        <w:spacing w:after="120" w:line="276" w:lineRule="auto"/>
      </w:pPr>
      <w:r w:rsidRPr="00C84B76">
        <w:t xml:space="preserve">In </w:t>
      </w:r>
      <w:r>
        <w:t>January</w:t>
      </w:r>
      <w:r w:rsidRPr="00C84B76">
        <w:t xml:space="preserve"> 2014, NCES participated in an expert panel convened by OPEPD </w:t>
      </w:r>
      <w:r>
        <w:t xml:space="preserve">for the </w:t>
      </w:r>
      <w:r>
        <w:rPr>
          <w:rFonts w:eastAsia="Calibri"/>
        </w:rPr>
        <w:t>Feasibility Study on Improving the Quality of School-Level Expenditure Data</w:t>
      </w:r>
      <w:r w:rsidRPr="00C84B76">
        <w:t>, which focused on the availability of data, data quality, data elements</w:t>
      </w:r>
      <w:r w:rsidRPr="005A526C">
        <w:rPr>
          <w:rFonts w:eastAsia="Calibri"/>
        </w:rPr>
        <w:t xml:space="preserve">, and proposed data item definitions. The proposed general design and content for the </w:t>
      </w:r>
      <w:r w:rsidR="00B5117F" w:rsidRPr="005A526C">
        <w:rPr>
          <w:rFonts w:eastAsia="Calibri"/>
        </w:rPr>
        <w:t>FY 201</w:t>
      </w:r>
      <w:r w:rsidRPr="005A526C">
        <w:rPr>
          <w:rFonts w:eastAsia="Calibri"/>
        </w:rPr>
        <w:t xml:space="preserve">4 </w:t>
      </w:r>
      <w:r w:rsidR="002D7D5F" w:rsidRPr="005A526C">
        <w:rPr>
          <w:rFonts w:eastAsia="Calibri"/>
        </w:rPr>
        <w:t xml:space="preserve">SLFS </w:t>
      </w:r>
      <w:r w:rsidR="005A526C">
        <w:rPr>
          <w:rFonts w:eastAsia="Calibri"/>
        </w:rPr>
        <w:t>P</w:t>
      </w:r>
      <w:r w:rsidR="005A526C" w:rsidRPr="005A526C">
        <w:rPr>
          <w:rFonts w:eastAsia="Calibri"/>
        </w:rPr>
        <w:t xml:space="preserve">ilot </w:t>
      </w:r>
      <w:r w:rsidR="005A526C">
        <w:rPr>
          <w:rFonts w:eastAsia="Calibri"/>
        </w:rPr>
        <w:t xml:space="preserve">Test </w:t>
      </w:r>
      <w:r w:rsidRPr="005A526C">
        <w:rPr>
          <w:rFonts w:eastAsia="Calibri"/>
        </w:rPr>
        <w:t>collection</w:t>
      </w:r>
      <w:r w:rsidRPr="00C84B76">
        <w:t xml:space="preserve"> </w:t>
      </w:r>
      <w:r>
        <w:t xml:space="preserve">was based on the F-33 collection, OMB’s request, </w:t>
      </w:r>
      <w:r w:rsidR="005A526C">
        <w:t xml:space="preserve">webinars with SEA coordinators, annual training sessions with SEA coordinators, </w:t>
      </w:r>
      <w:r>
        <w:t xml:space="preserve">and the work of OPEPD on this topic. It </w:t>
      </w:r>
      <w:r w:rsidRPr="00C84B76">
        <w:t xml:space="preserve">was presented to policymakers, researchers, state fiscal coordinators, and the public in March and July of 2014 at the American Education Finance and Policy Association </w:t>
      </w:r>
      <w:r w:rsidRPr="00C3750B">
        <w:t>conference and the NCES Summer Data Conference.</w:t>
      </w:r>
      <w:r w:rsidR="002D7D5F">
        <w:t xml:space="preserve"> </w:t>
      </w:r>
      <w:r w:rsidR="002D7D5F" w:rsidRPr="00C84B76">
        <w:t xml:space="preserve">The proposed general design and content </w:t>
      </w:r>
      <w:r w:rsidR="005A526C">
        <w:t>of</w:t>
      </w:r>
      <w:r w:rsidR="002D7D5F" w:rsidRPr="00C84B76">
        <w:t xml:space="preserve"> the</w:t>
      </w:r>
      <w:r w:rsidR="002D7D5F">
        <w:t xml:space="preserve"> 2016 SLFS </w:t>
      </w:r>
      <w:r w:rsidR="005A526C">
        <w:t xml:space="preserve">follows that used in the </w:t>
      </w:r>
      <w:r w:rsidR="005A526C" w:rsidRPr="005A526C">
        <w:rPr>
          <w:rFonts w:eastAsia="Calibri"/>
        </w:rPr>
        <w:t xml:space="preserve">FY 2014 SLFS </w:t>
      </w:r>
      <w:r w:rsidR="005A526C">
        <w:rPr>
          <w:rFonts w:eastAsia="Calibri"/>
        </w:rPr>
        <w:t>P</w:t>
      </w:r>
      <w:r w:rsidR="005A526C" w:rsidRPr="005A526C">
        <w:rPr>
          <w:rFonts w:eastAsia="Calibri"/>
        </w:rPr>
        <w:t xml:space="preserve">ilot </w:t>
      </w:r>
      <w:r w:rsidR="005A526C">
        <w:rPr>
          <w:rFonts w:eastAsia="Calibri"/>
        </w:rPr>
        <w:t>Test.</w:t>
      </w:r>
      <w:r w:rsidR="002D7D5F">
        <w:t xml:space="preserve"> </w:t>
      </w:r>
      <w:r w:rsidRPr="00C3750B">
        <w:t xml:space="preserve">NCES will continue to solicit feedback on </w:t>
      </w:r>
      <w:r>
        <w:t xml:space="preserve">the </w:t>
      </w:r>
      <w:r w:rsidRPr="00C3750B">
        <w:t>design and conte</w:t>
      </w:r>
      <w:r w:rsidRPr="00161248">
        <w:t xml:space="preserve">nt of SLFS during webinars </w:t>
      </w:r>
      <w:r>
        <w:t xml:space="preserve">that will be provided to participating </w:t>
      </w:r>
      <w:r w:rsidRPr="00C3750B">
        <w:t>states.</w:t>
      </w:r>
    </w:p>
    <w:p w:rsidR="00E61845" w:rsidRDefault="00E61845" w:rsidP="00B57859">
      <w:pPr>
        <w:autoSpaceDE w:val="0"/>
        <w:autoSpaceDN w:val="0"/>
        <w:adjustRightInd w:val="0"/>
        <w:spacing w:after="120" w:line="276" w:lineRule="auto"/>
        <w:rPr>
          <w:color w:val="000000"/>
        </w:rPr>
      </w:pPr>
      <w:r w:rsidRPr="00AA1670">
        <w:rPr>
          <w:color w:val="000000"/>
        </w:rPr>
        <w:t>Each state’s Chief State School Officer 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1" w:history="1">
        <w:r w:rsidRPr="009260ED">
          <w:rPr>
            <w:rStyle w:val="Hyperlink"/>
          </w:rPr>
          <w:t>http://nces.ed.gov/ccd/corner.asp</w:t>
        </w:r>
      </w:hyperlink>
      <w:r>
        <w:rPr>
          <w:color w:val="000000"/>
        </w:rPr>
        <w:t>)</w:t>
      </w:r>
      <w:r w:rsidRPr="00AA1670">
        <w:rPr>
          <w:color w:val="000000"/>
        </w:rPr>
        <w:t>.</w:t>
      </w:r>
    </w:p>
    <w:p w:rsidR="00B30C42" w:rsidRPr="008678A4" w:rsidRDefault="008678A4" w:rsidP="00B57859">
      <w:pPr>
        <w:pStyle w:val="BodyText3"/>
        <w:spacing w:after="120" w:line="276" w:lineRule="auto"/>
        <w:rPr>
          <w:sz w:val="24"/>
        </w:rPr>
      </w:pPr>
      <w:r w:rsidRPr="008678A4">
        <w:rPr>
          <w:sz w:val="24"/>
        </w:rPr>
        <w:t>A</w:t>
      </w:r>
      <w:r w:rsidR="00B30C42" w:rsidRPr="008678A4">
        <w:rPr>
          <w:sz w:val="24"/>
        </w:rPr>
        <w:t>9.</w:t>
      </w:r>
      <w:r w:rsidRPr="008678A4">
        <w:rPr>
          <w:sz w:val="24"/>
        </w:rPr>
        <w:tab/>
        <w:t>Provision of Payments or Gifts to Respondents</w:t>
      </w:r>
    </w:p>
    <w:p w:rsidR="00B30C42" w:rsidRDefault="00B30C42" w:rsidP="00B57859">
      <w:pPr>
        <w:autoSpaceDE w:val="0"/>
        <w:autoSpaceDN w:val="0"/>
        <w:adjustRightInd w:val="0"/>
        <w:spacing w:after="120" w:line="276" w:lineRule="auto"/>
        <w:rPr>
          <w:color w:val="000000"/>
        </w:rPr>
      </w:pPr>
      <w:r w:rsidRPr="00AA1670">
        <w:rPr>
          <w:color w:val="000000"/>
        </w:rPr>
        <w:t>No payments or gifts are offered</w:t>
      </w:r>
      <w:r w:rsidR="00E61845">
        <w:rPr>
          <w:color w:val="000000"/>
        </w:rPr>
        <w:t xml:space="preserve"> to respondents</w:t>
      </w:r>
      <w:r w:rsidRPr="00AA1670">
        <w:rPr>
          <w:color w:val="000000"/>
        </w:rPr>
        <w:t>.</w:t>
      </w:r>
    </w:p>
    <w:p w:rsidR="00B30C42" w:rsidRPr="008678A4" w:rsidRDefault="008678A4" w:rsidP="00B57859">
      <w:pPr>
        <w:pStyle w:val="BodyText3"/>
        <w:spacing w:after="120" w:line="276" w:lineRule="auto"/>
        <w:rPr>
          <w:sz w:val="24"/>
        </w:rPr>
      </w:pPr>
      <w:r w:rsidRPr="008678A4">
        <w:rPr>
          <w:sz w:val="24"/>
        </w:rPr>
        <w:t>A</w:t>
      </w:r>
      <w:r w:rsidR="00B30C42" w:rsidRPr="008678A4">
        <w:rPr>
          <w:sz w:val="24"/>
        </w:rPr>
        <w:t>10.</w:t>
      </w:r>
      <w:r w:rsidRPr="008678A4">
        <w:rPr>
          <w:sz w:val="24"/>
        </w:rPr>
        <w:tab/>
        <w:t>Assurance of Confidentiality</w:t>
      </w:r>
    </w:p>
    <w:p w:rsidR="00727F48" w:rsidRDefault="00727F48" w:rsidP="00B57859">
      <w:pPr>
        <w:autoSpaceDE w:val="0"/>
        <w:autoSpaceDN w:val="0"/>
        <w:adjustRightInd w:val="0"/>
        <w:spacing w:after="120" w:line="276" w:lineRule="auto"/>
      </w:pPr>
      <w:r w:rsidRPr="00C84B76">
        <w:t xml:space="preserve">The data collected in this survey are from public records and do not require </w:t>
      </w:r>
      <w:r>
        <w:t xml:space="preserve">a pledge of </w:t>
      </w:r>
      <w:r w:rsidRPr="00C84B76">
        <w:t>confidentiality. We cite this confidentiality statement and the voluntary nature of this data collection in the Announcement letter.</w:t>
      </w:r>
      <w:r>
        <w:t xml:space="preserve"> The following PRA statement is included on the F-33 SLFS Form and Instructions (Attachment B):</w:t>
      </w:r>
    </w:p>
    <w:p w:rsidR="00727F48" w:rsidRPr="006332EC" w:rsidRDefault="00727F48" w:rsidP="00B57859">
      <w:pPr>
        <w:autoSpaceDE w:val="0"/>
        <w:autoSpaceDN w:val="0"/>
        <w:adjustRightInd w:val="0"/>
        <w:spacing w:after="120" w:line="276" w:lineRule="auto"/>
        <w:ind w:left="180"/>
        <w:rPr>
          <w:sz w:val="18"/>
          <w:szCs w:val="18"/>
        </w:rPr>
      </w:pPr>
      <w:r w:rsidRPr="006332EC">
        <w:rPr>
          <w:sz w:val="18"/>
          <w:szCs w:val="18"/>
        </w:rPr>
        <w:t>The National Center for Education Statistics (NCES), within the U.S. Department of Education, is authorized to conduct this study by the Education Sciences Reform Act of 2002 (ESRA 2002; 20 U.S.C. § 9543). The U.S. Census Bureau is administering this survey on behalf of NCES. This study has been approved by the Office of Management and Budget (OMB). According to the Paperwork Reduction Act of 1995, no persons are required to respond to a collection of information unless it displays a valid OMB control number. The valid OMB control number for this voluntary survey is 1850–</w:t>
      </w:r>
      <w:r w:rsidR="0028633F">
        <w:rPr>
          <w:sz w:val="18"/>
          <w:szCs w:val="18"/>
        </w:rPr>
        <w:t>XXXX</w:t>
      </w:r>
      <w:r w:rsidRPr="006332EC">
        <w:rPr>
          <w:sz w:val="18"/>
          <w:szCs w:val="18"/>
        </w:rPr>
        <w:t xml:space="preserve">. The time required to complete this survey is estimated to average 45-130 hours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School-Level Finance Survey (SLFS), National Center for Education Statistics, </w:t>
      </w:r>
      <w:r w:rsidR="0028633F" w:rsidRPr="0028633F">
        <w:rPr>
          <w:sz w:val="18"/>
          <w:szCs w:val="18"/>
        </w:rPr>
        <w:t>PCP, 550 12th St., SW, 4th floor, Washington, DC</w:t>
      </w:r>
      <w:r w:rsidR="006C1401">
        <w:rPr>
          <w:sz w:val="18"/>
          <w:szCs w:val="18"/>
        </w:rPr>
        <w:t xml:space="preserve"> </w:t>
      </w:r>
      <w:r w:rsidR="0028633F" w:rsidRPr="0028633F">
        <w:rPr>
          <w:sz w:val="18"/>
          <w:szCs w:val="18"/>
        </w:rPr>
        <w:t>20202</w:t>
      </w:r>
      <w:r w:rsidRPr="006332EC">
        <w:rPr>
          <w:sz w:val="18"/>
          <w:szCs w:val="18"/>
        </w:rPr>
        <w:t>.</w:t>
      </w:r>
    </w:p>
    <w:p w:rsidR="00B30C42" w:rsidRPr="008678A4" w:rsidRDefault="008678A4" w:rsidP="00B57859">
      <w:pPr>
        <w:pStyle w:val="BodyText3"/>
        <w:spacing w:after="120" w:line="276" w:lineRule="auto"/>
        <w:rPr>
          <w:sz w:val="24"/>
        </w:rPr>
      </w:pPr>
      <w:r w:rsidRPr="008678A4">
        <w:rPr>
          <w:sz w:val="24"/>
        </w:rPr>
        <w:t>A11.</w:t>
      </w:r>
      <w:r w:rsidRPr="008678A4">
        <w:rPr>
          <w:sz w:val="24"/>
        </w:rPr>
        <w:tab/>
        <w:t>Need for the Use of Sensitive Questions</w:t>
      </w:r>
    </w:p>
    <w:p w:rsidR="00AC39FC" w:rsidRDefault="00167A98" w:rsidP="00AC39FC">
      <w:pPr>
        <w:autoSpaceDE w:val="0"/>
        <w:autoSpaceDN w:val="0"/>
        <w:adjustRightInd w:val="0"/>
        <w:spacing w:after="120" w:line="276" w:lineRule="auto"/>
        <w:rPr>
          <w:b/>
          <w:bCs/>
          <w:color w:val="000000"/>
        </w:rPr>
      </w:pPr>
      <w:r>
        <w:rPr>
          <w:color w:val="000000"/>
        </w:rPr>
        <w:t>SLFS</w:t>
      </w:r>
      <w:r w:rsidR="00727F48">
        <w:rPr>
          <w:color w:val="000000"/>
        </w:rPr>
        <w:t xml:space="preserve"> </w:t>
      </w:r>
      <w:r w:rsidR="00B30C42" w:rsidRPr="00AA1670">
        <w:rPr>
          <w:color w:val="000000"/>
        </w:rPr>
        <w:t>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00B30C42" w:rsidRPr="00AA1670">
        <w:rPr>
          <w:color w:val="000000"/>
        </w:rPr>
        <w:t>.</w:t>
      </w:r>
      <w:r w:rsidR="00AC39FC">
        <w:br w:type="page"/>
      </w:r>
    </w:p>
    <w:p w:rsidR="00B30C42" w:rsidRDefault="008678A4" w:rsidP="00B57859">
      <w:pPr>
        <w:pStyle w:val="BodyText3"/>
        <w:spacing w:after="120" w:line="276" w:lineRule="auto"/>
        <w:rPr>
          <w:sz w:val="24"/>
        </w:rPr>
      </w:pPr>
      <w:r w:rsidRPr="008678A4">
        <w:rPr>
          <w:sz w:val="24"/>
        </w:rPr>
        <w:lastRenderedPageBreak/>
        <w:t>A</w:t>
      </w:r>
      <w:r w:rsidR="00B30C42" w:rsidRPr="008678A4">
        <w:rPr>
          <w:sz w:val="24"/>
        </w:rPr>
        <w:t>12.</w:t>
      </w:r>
      <w:r w:rsidRPr="008678A4">
        <w:rPr>
          <w:sz w:val="24"/>
        </w:rPr>
        <w:tab/>
        <w:t>Estimates of Hour Burden</w:t>
      </w:r>
    </w:p>
    <w:p w:rsidR="00C85DF7" w:rsidRDefault="006C1401" w:rsidP="00AC39FC">
      <w:pPr>
        <w:widowControl w:val="0"/>
        <w:spacing w:after="120" w:line="276" w:lineRule="auto"/>
      </w:pPr>
      <w:r w:rsidRPr="0055276B">
        <w:t>As previously mentioned, SLFS leverages the work of state fiscal coordinators on F-33</w:t>
      </w:r>
      <w:r>
        <w:t xml:space="preserve"> (</w:t>
      </w:r>
      <w:r w:rsidRPr="0055276B">
        <w:t>OMB# 0607-0700)</w:t>
      </w:r>
      <w:r w:rsidRPr="0055276B">
        <w:rPr>
          <w:vertAlign w:val="superscript"/>
        </w:rPr>
        <w:footnoteReference w:id="2"/>
      </w:r>
      <w:r w:rsidRPr="0055276B">
        <w:t xml:space="preserve">. Respondents often use data from </w:t>
      </w:r>
      <w:r>
        <w:t>F-33</w:t>
      </w:r>
      <w:r w:rsidRPr="0055276B">
        <w:t xml:space="preserve"> to cross check and edit SLFS data. In order to enhance efficiency, NCES and Census provided account numbers in the NCES financial accounting handbook beside the revenue and expenditure items on the Form </w:t>
      </w:r>
      <w:r>
        <w:t>F</w:t>
      </w:r>
      <w:r w:rsidRPr="0055276B">
        <w:t>-33</w:t>
      </w:r>
      <w:r>
        <w:t>-SLFS</w:t>
      </w:r>
      <w:r w:rsidRPr="0055276B">
        <w:t>.</w:t>
      </w:r>
      <w:r>
        <w:t xml:space="preserve"> Additionally, </w:t>
      </w:r>
      <w:r w:rsidR="00BB7C9F" w:rsidRPr="00C84B76">
        <w:t xml:space="preserve">NCES and </w:t>
      </w:r>
      <w:r w:rsidR="002F48A4">
        <w:t>Census</w:t>
      </w:r>
      <w:r w:rsidR="00BB7C9F" w:rsidRPr="00C84B76">
        <w:t xml:space="preserve"> </w:t>
      </w:r>
      <w:r w:rsidR="00BB7C9F">
        <w:t>discussed with</w:t>
      </w:r>
      <w:r w:rsidR="00BB7C9F" w:rsidRPr="00C84B76">
        <w:t xml:space="preserve"> SEAs interested in participating in the </w:t>
      </w:r>
      <w:r w:rsidR="00F250AE">
        <w:t xml:space="preserve">SLFS </w:t>
      </w:r>
      <w:r w:rsidR="00BB7C9F" w:rsidRPr="00C84B76">
        <w:t xml:space="preserve">pilot project </w:t>
      </w:r>
      <w:r w:rsidR="00BB7C9F">
        <w:t xml:space="preserve">the likely </w:t>
      </w:r>
      <w:r w:rsidR="00BB7C9F" w:rsidRPr="00C84B76">
        <w:t xml:space="preserve">reporting burden </w:t>
      </w:r>
      <w:r w:rsidR="00BB7C9F">
        <w:t>of this collection</w:t>
      </w:r>
      <w:r w:rsidR="00BB7C9F" w:rsidRPr="00A87CB4">
        <w:t>. Based on the F-33 existing survey, Census estimate</w:t>
      </w:r>
      <w:r w:rsidR="00BB7C9F">
        <w:t>d</w:t>
      </w:r>
      <w:r w:rsidR="00BB7C9F" w:rsidRPr="00A87CB4">
        <w:t xml:space="preserve"> that </w:t>
      </w:r>
      <w:r w:rsidR="00BB7C9F">
        <w:t xml:space="preserve">it </w:t>
      </w:r>
      <w:r w:rsidR="00BB7C9F" w:rsidRPr="00A87CB4">
        <w:t>will take each SEA on average 125 hours</w:t>
      </w:r>
      <w:r w:rsidR="00BB7C9F">
        <w:t xml:space="preserve"> to </w:t>
      </w:r>
      <w:r w:rsidR="00BB7C9F" w:rsidRPr="00A87CB4">
        <w:t>provid</w:t>
      </w:r>
      <w:r w:rsidR="00BB7C9F">
        <w:t>e</w:t>
      </w:r>
      <w:r w:rsidR="00BB7C9F" w:rsidRPr="00A87CB4">
        <w:t xml:space="preserve"> data in the F-33 SLFS format, and based on conversations with </w:t>
      </w:r>
      <w:r w:rsidR="00BB7C9F">
        <w:t xml:space="preserve">the </w:t>
      </w:r>
      <w:r w:rsidR="00BB7C9F" w:rsidRPr="00A87CB4">
        <w:t>interested SEAs, Census estimate</w:t>
      </w:r>
      <w:r w:rsidR="00BB7C9F">
        <w:t>d</w:t>
      </w:r>
      <w:r w:rsidR="00BB7C9F" w:rsidRPr="00A87CB4">
        <w:t xml:space="preserve"> that it will take </w:t>
      </w:r>
      <w:r w:rsidR="00BB7C9F">
        <w:t xml:space="preserve">an SEA </w:t>
      </w:r>
      <w:r w:rsidR="00BB7C9F" w:rsidRPr="00A87CB4">
        <w:t xml:space="preserve">approximately 42 hours </w:t>
      </w:r>
      <w:r w:rsidR="00BB7C9F">
        <w:t>to</w:t>
      </w:r>
      <w:r w:rsidR="00BB7C9F" w:rsidRPr="00A87CB4">
        <w:t xml:space="preserve"> submit </w:t>
      </w:r>
      <w:r w:rsidR="00BB7C9F">
        <w:t xml:space="preserve">data in </w:t>
      </w:r>
      <w:r w:rsidR="00BB7C9F" w:rsidRPr="00A87CB4">
        <w:t xml:space="preserve">their own state-specific </w:t>
      </w:r>
      <w:r w:rsidR="00BB7C9F">
        <w:t>format</w:t>
      </w:r>
      <w:r w:rsidR="00BB7C9F" w:rsidRPr="00A87CB4">
        <w:t>. Th</w:t>
      </w:r>
      <w:r w:rsidR="00BB7C9F" w:rsidRPr="00C84B76">
        <w:t xml:space="preserve">e burden </w:t>
      </w:r>
      <w:r w:rsidR="00BB7C9F">
        <w:t>to complete the</w:t>
      </w:r>
      <w:r w:rsidR="00BB7C9F" w:rsidRPr="00C84B76">
        <w:t xml:space="preserve"> data plan </w:t>
      </w:r>
      <w:r w:rsidR="00BB7C9F">
        <w:t xml:space="preserve">survey </w:t>
      </w:r>
      <w:r w:rsidR="00BB7C9F" w:rsidRPr="00C84B76">
        <w:t xml:space="preserve">is </w:t>
      </w:r>
      <w:r w:rsidR="00BB7C9F">
        <w:t xml:space="preserve">estimated at </w:t>
      </w:r>
      <w:r w:rsidR="00BB7C9F" w:rsidRPr="00C84B76">
        <w:t xml:space="preserve">2.5 hours. </w:t>
      </w:r>
      <w:r w:rsidR="00BB7C9F">
        <w:t>Table 1</w:t>
      </w:r>
      <w:r w:rsidR="00BB7C9F" w:rsidRPr="00C84B76">
        <w:t xml:space="preserve"> shows the </w:t>
      </w:r>
      <w:r w:rsidR="00F26FCA">
        <w:t xml:space="preserve">total </w:t>
      </w:r>
      <w:r w:rsidR="00BB7C9F">
        <w:t>estimated</w:t>
      </w:r>
      <w:r w:rsidR="00BB7C9F" w:rsidRPr="00C84B76">
        <w:t xml:space="preserve"> burden </w:t>
      </w:r>
      <w:r w:rsidR="00BB7C9F">
        <w:t>to</w:t>
      </w:r>
      <w:r w:rsidR="00BB7C9F" w:rsidRPr="00C84B76">
        <w:t xml:space="preserve"> respondent</w:t>
      </w:r>
      <w:r w:rsidR="00BB7C9F">
        <w:t xml:space="preserve">s for participating in </w:t>
      </w:r>
      <w:r w:rsidR="00167A98">
        <w:t>SLFS</w:t>
      </w:r>
      <w:r w:rsidR="00BB7C9F">
        <w:t xml:space="preserve"> 201</w:t>
      </w:r>
      <w:r w:rsidR="00F250AE">
        <w:t>6</w:t>
      </w:r>
      <w:r w:rsidR="00F26FCA">
        <w:t xml:space="preserve"> (the same response burden is estimated for SLFS 2017 and 2018)</w:t>
      </w:r>
      <w:r w:rsidR="00F250AE">
        <w:t>.</w:t>
      </w:r>
    </w:p>
    <w:p w:rsidR="006446AC" w:rsidRPr="00993892" w:rsidRDefault="00993892" w:rsidP="006C1401">
      <w:pPr>
        <w:widowControl w:val="0"/>
        <w:spacing w:after="120" w:line="276" w:lineRule="auto"/>
        <w:rPr>
          <w:lang w:val="en-CA"/>
        </w:rPr>
      </w:pPr>
      <w:r>
        <w:rPr>
          <w:color w:val="000000"/>
        </w:rPr>
        <w:t>Estimating an</w:t>
      </w:r>
      <w:r w:rsidR="006446AC" w:rsidRPr="005839BA">
        <w:rPr>
          <w:color w:val="000000"/>
        </w:rPr>
        <w:t xml:space="preserve"> </w:t>
      </w:r>
      <w:r w:rsidR="00F26FCA">
        <w:rPr>
          <w:color w:val="000000"/>
        </w:rPr>
        <w:t xml:space="preserve">average </w:t>
      </w:r>
      <w:r w:rsidR="00F26FCA" w:rsidRPr="00F26FCA">
        <w:rPr>
          <w:color w:val="000000"/>
        </w:rPr>
        <w:t>hourly rate</w:t>
      </w:r>
      <w:r w:rsidR="006446AC" w:rsidRPr="005839BA">
        <w:rPr>
          <w:color w:val="000000"/>
        </w:rPr>
        <w:t xml:space="preserve"> for </w:t>
      </w:r>
      <w:r w:rsidR="00F26FCA">
        <w:rPr>
          <w:color w:val="000000"/>
        </w:rPr>
        <w:t xml:space="preserve">SEA </w:t>
      </w:r>
      <w:r w:rsidR="006446AC" w:rsidRPr="005839BA">
        <w:rPr>
          <w:color w:val="000000"/>
        </w:rPr>
        <w:t xml:space="preserve">technicians and managers to </w:t>
      </w:r>
      <w:r w:rsidR="00F26FCA">
        <w:rPr>
          <w:color w:val="000000"/>
        </w:rPr>
        <w:t>prepare</w:t>
      </w:r>
      <w:r w:rsidR="006446AC" w:rsidRPr="005839BA">
        <w:rPr>
          <w:color w:val="000000"/>
        </w:rPr>
        <w:t xml:space="preserve"> and submit </w:t>
      </w:r>
      <w:r w:rsidR="006446AC">
        <w:rPr>
          <w:color w:val="000000"/>
        </w:rPr>
        <w:t xml:space="preserve">SLFS </w:t>
      </w:r>
      <w:r w:rsidR="006446AC" w:rsidRPr="005839BA">
        <w:rPr>
          <w:color w:val="000000"/>
        </w:rPr>
        <w:t xml:space="preserve">data </w:t>
      </w:r>
      <w:r>
        <w:rPr>
          <w:color w:val="000000"/>
        </w:rPr>
        <w:t>to</w:t>
      </w:r>
      <w:r w:rsidR="006446AC" w:rsidRPr="005839BA">
        <w:rPr>
          <w:color w:val="000000"/>
        </w:rPr>
        <w:t xml:space="preserve"> be </w:t>
      </w:r>
      <w:r w:rsidR="006446AC" w:rsidRPr="005839BA">
        <w:rPr>
          <w:lang w:val="en-CA"/>
        </w:rPr>
        <w:t>$24.53</w:t>
      </w:r>
      <w:r w:rsidR="006446AC" w:rsidRPr="005839BA">
        <w:rPr>
          <w:rStyle w:val="FootnoteReference"/>
          <w:vertAlign w:val="superscript"/>
          <w:lang w:val="en-CA"/>
        </w:rPr>
        <w:footnoteReference w:id="3"/>
      </w:r>
      <w:r>
        <w:rPr>
          <w:lang w:val="en-CA"/>
        </w:rPr>
        <w:t xml:space="preserve">, and for </w:t>
      </w:r>
      <w:r w:rsidRPr="00726A25">
        <w:rPr>
          <w:color w:val="000000"/>
        </w:rPr>
        <w:t>managers</w:t>
      </w:r>
      <w:r>
        <w:rPr>
          <w:color w:val="000000"/>
        </w:rPr>
        <w:t xml:space="preserve">, estimated to contribute 20 percent of the SLFS data submission time, to be </w:t>
      </w:r>
      <w:r w:rsidRPr="00726A25">
        <w:rPr>
          <w:color w:val="000000"/>
        </w:rPr>
        <w:t>$47.51</w:t>
      </w:r>
      <w:r w:rsidR="00F97682">
        <w:rPr>
          <w:color w:val="000000"/>
          <w:vertAlign w:val="superscript"/>
        </w:rPr>
        <w:t>3</w:t>
      </w:r>
      <w:r w:rsidR="006C1401">
        <w:rPr>
          <w:lang w:val="en-CA"/>
        </w:rPr>
        <w:t>, t</w:t>
      </w:r>
      <w:r w:rsidR="006446AC" w:rsidRPr="00726A25">
        <w:t xml:space="preserve">he total estimated </w:t>
      </w:r>
      <w:r w:rsidR="006C1401">
        <w:t xml:space="preserve">burden time </w:t>
      </w:r>
      <w:r w:rsidR="006446AC" w:rsidRPr="00726A25">
        <w:t xml:space="preserve">cost </w:t>
      </w:r>
      <w:r w:rsidR="006C1401">
        <w:t xml:space="preserve">for the annual </w:t>
      </w:r>
      <w:r w:rsidR="006C1401">
        <w:rPr>
          <w:color w:val="000000"/>
        </w:rPr>
        <w:t xml:space="preserve">SLFS collection, </w:t>
      </w:r>
      <w:r w:rsidR="006446AC" w:rsidRPr="00726A25">
        <w:t>if a</w:t>
      </w:r>
      <w:r>
        <w:t xml:space="preserve">ll states </w:t>
      </w:r>
      <w:r w:rsidR="006446AC" w:rsidRPr="00726A25">
        <w:t>participate</w:t>
      </w:r>
      <w:r w:rsidR="006C1401">
        <w:t>,</w:t>
      </w:r>
      <w:r w:rsidR="006446AC" w:rsidRPr="00726A25">
        <w:t xml:space="preserve"> is </w:t>
      </w:r>
      <w:r w:rsidR="006446AC" w:rsidRPr="00673E11">
        <w:t>$142,418.</w:t>
      </w:r>
    </w:p>
    <w:p w:rsidR="00112012" w:rsidRPr="00673E11" w:rsidRDefault="00BB7C9F" w:rsidP="00B57859">
      <w:pPr>
        <w:spacing w:before="240" w:after="60"/>
        <w:rPr>
          <w:b/>
          <w:spacing w:val="-1"/>
        </w:rPr>
      </w:pPr>
      <w:r w:rsidRPr="00673E11">
        <w:rPr>
          <w:b/>
          <w:spacing w:val="-1"/>
        </w:rPr>
        <w:t xml:space="preserve">Table </w:t>
      </w:r>
      <w:r w:rsidRPr="00673E11">
        <w:rPr>
          <w:b/>
        </w:rPr>
        <w:t xml:space="preserve">1. </w:t>
      </w:r>
      <w:r w:rsidR="00081992" w:rsidRPr="00081992">
        <w:rPr>
          <w:b/>
        </w:rPr>
        <w:t xml:space="preserve">SLFS </w:t>
      </w:r>
      <w:r w:rsidRPr="00673E11">
        <w:rPr>
          <w:b/>
        </w:rPr>
        <w:t>201</w:t>
      </w:r>
      <w:r w:rsidR="003B26FB" w:rsidRPr="00673E11">
        <w:rPr>
          <w:b/>
        </w:rPr>
        <w:t>6</w:t>
      </w:r>
      <w:r w:rsidRPr="00673E11">
        <w:rPr>
          <w:b/>
        </w:rPr>
        <w:t xml:space="preserve"> </w:t>
      </w:r>
      <w:r w:rsidRPr="00673E11">
        <w:rPr>
          <w:b/>
          <w:spacing w:val="-1"/>
        </w:rPr>
        <w:t>Estimated</w:t>
      </w:r>
      <w:r w:rsidRPr="00673E11">
        <w:rPr>
          <w:b/>
        </w:rPr>
        <w:t xml:space="preserve"> </w:t>
      </w:r>
      <w:r w:rsidRPr="00673E11">
        <w:rPr>
          <w:b/>
          <w:spacing w:val="-1"/>
        </w:rPr>
        <w:t>Respondent</w:t>
      </w:r>
      <w:r w:rsidRPr="00673E11">
        <w:rPr>
          <w:b/>
        </w:rPr>
        <w:t xml:space="preserve"> </w:t>
      </w:r>
      <w:r w:rsidRPr="00673E11">
        <w:rPr>
          <w:b/>
          <w:spacing w:val="-1"/>
        </w:rPr>
        <w:t>Burden</w:t>
      </w:r>
      <w:r w:rsidR="006C1401">
        <w:rPr>
          <w:b/>
          <w:spacing w:val="-1"/>
        </w:rPr>
        <w:t xml:space="preserve"> </w:t>
      </w:r>
      <w:r w:rsidR="00081992">
        <w:rPr>
          <w:b/>
          <w:spacing w:val="-1"/>
        </w:rPr>
        <w:t>i</w:t>
      </w:r>
      <w:r w:rsidR="006C1401">
        <w:rPr>
          <w:b/>
          <w:spacing w:val="-1"/>
        </w:rPr>
        <w:t xml:space="preserve">f </w:t>
      </w:r>
      <w:r w:rsidR="00081992">
        <w:rPr>
          <w:b/>
          <w:spacing w:val="-1"/>
        </w:rPr>
        <w:t>51 SEAs</w:t>
      </w:r>
      <w:r w:rsidR="006C1401">
        <w:rPr>
          <w:b/>
          <w:spacing w:val="-1"/>
        </w:rPr>
        <w:t xml:space="preserve"> Participate</w:t>
      </w:r>
    </w:p>
    <w:tbl>
      <w:tblPr>
        <w:tblW w:w="0" w:type="auto"/>
        <w:tblCellMar>
          <w:left w:w="0" w:type="dxa"/>
          <w:right w:w="0" w:type="dxa"/>
        </w:tblCellMar>
        <w:tblLook w:val="01E0" w:firstRow="1" w:lastRow="1" w:firstColumn="1" w:lastColumn="1" w:noHBand="0" w:noVBand="0"/>
      </w:tblPr>
      <w:tblGrid>
        <w:gridCol w:w="3339"/>
        <w:gridCol w:w="1980"/>
        <w:gridCol w:w="1890"/>
        <w:gridCol w:w="1352"/>
        <w:gridCol w:w="1681"/>
      </w:tblGrid>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jc w:val="center"/>
              <w:rPr>
                <w:rFonts w:ascii="Arial" w:eastAsia="Times New Roman" w:hAnsi="Arial" w:cs="Arial"/>
                <w:b/>
                <w:sz w:val="20"/>
                <w:szCs w:val="20"/>
              </w:rPr>
            </w:pPr>
            <w:r w:rsidRPr="00C85DF7">
              <w:rPr>
                <w:rFonts w:ascii="Arial" w:hAnsi="Arial" w:cs="Arial"/>
                <w:b/>
                <w:sz w:val="20"/>
                <w:szCs w:val="20"/>
              </w:rPr>
              <w:t xml:space="preserve">Submission </w:t>
            </w:r>
            <w:r w:rsidRPr="00C85DF7">
              <w:rPr>
                <w:rFonts w:ascii="Arial" w:hAnsi="Arial" w:cs="Arial"/>
                <w:b/>
                <w:spacing w:val="-1"/>
                <w:sz w:val="20"/>
                <w:szCs w:val="20"/>
              </w:rPr>
              <w:t>Method</w:t>
            </w:r>
            <w:r w:rsidRPr="00C85DF7">
              <w:rPr>
                <w:rFonts w:ascii="Arial" w:hAnsi="Arial" w:cs="Arial"/>
                <w:b/>
                <w:spacing w:val="25"/>
                <w:sz w:val="20"/>
                <w:szCs w:val="20"/>
              </w:rPr>
              <w:t xml:space="preserve"> </w:t>
            </w:r>
            <w:r w:rsidRPr="00C85DF7">
              <w:rPr>
                <w:rFonts w:ascii="Arial" w:hAnsi="Arial" w:cs="Arial"/>
                <w:b/>
                <w:sz w:val="20"/>
                <w:szCs w:val="20"/>
              </w:rPr>
              <w:t>or</w:t>
            </w:r>
            <w:r w:rsidRPr="00C85DF7">
              <w:rPr>
                <w:rFonts w:ascii="Arial" w:hAnsi="Arial" w:cs="Arial"/>
                <w:b/>
                <w:spacing w:val="-1"/>
                <w:sz w:val="20"/>
                <w:szCs w:val="20"/>
              </w:rPr>
              <w:t xml:space="preserve"> Form</w:t>
            </w:r>
            <w:r w:rsidRPr="00C85DF7">
              <w:rPr>
                <w:rFonts w:ascii="Arial" w:hAnsi="Arial" w:cs="Arial"/>
                <w:b/>
                <w:sz w:val="20"/>
                <w:szCs w:val="20"/>
              </w:rPr>
              <w:t xml:space="preserve"> Type</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jc w:val="center"/>
              <w:rPr>
                <w:rFonts w:ascii="Arial" w:eastAsia="Times New Roman" w:hAnsi="Arial" w:cs="Arial"/>
                <w:b/>
                <w:sz w:val="20"/>
                <w:szCs w:val="20"/>
              </w:rPr>
            </w:pPr>
            <w:r w:rsidRPr="00C85DF7">
              <w:rPr>
                <w:rFonts w:ascii="Arial" w:hAnsi="Arial" w:cs="Arial"/>
                <w:b/>
                <w:spacing w:val="-1"/>
                <w:sz w:val="20"/>
                <w:szCs w:val="20"/>
              </w:rPr>
              <w:t xml:space="preserve">Maximum Number </w:t>
            </w:r>
            <w:r w:rsidRPr="00C85DF7">
              <w:rPr>
                <w:rFonts w:ascii="Arial" w:hAnsi="Arial" w:cs="Arial"/>
                <w:b/>
                <w:sz w:val="20"/>
                <w:szCs w:val="20"/>
              </w:rPr>
              <w:t>of</w:t>
            </w:r>
            <w:r w:rsidRPr="00C85DF7">
              <w:rPr>
                <w:rFonts w:ascii="Arial" w:hAnsi="Arial" w:cs="Arial"/>
                <w:b/>
                <w:spacing w:val="24"/>
                <w:sz w:val="20"/>
                <w:szCs w:val="20"/>
              </w:rPr>
              <w:t xml:space="preserve"> </w:t>
            </w:r>
            <w:r w:rsidRPr="00C85DF7">
              <w:rPr>
                <w:rFonts w:ascii="Arial" w:hAnsi="Arial" w:cs="Arial"/>
                <w:b/>
                <w:spacing w:val="-1"/>
                <w:sz w:val="20"/>
                <w:szCs w:val="20"/>
              </w:rPr>
              <w:t>Respondents</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4"/>
              <w:jc w:val="center"/>
              <w:rPr>
                <w:rFonts w:ascii="Arial" w:eastAsia="Times New Roman" w:hAnsi="Arial" w:cs="Arial"/>
                <w:b/>
                <w:sz w:val="20"/>
                <w:szCs w:val="20"/>
              </w:rPr>
            </w:pPr>
            <w:r w:rsidRPr="00C85DF7">
              <w:rPr>
                <w:rFonts w:ascii="Arial" w:hAnsi="Arial" w:cs="Arial"/>
                <w:b/>
                <w:spacing w:val="-1"/>
                <w:sz w:val="20"/>
                <w:szCs w:val="20"/>
              </w:rPr>
              <w:t xml:space="preserve">Maximum Number </w:t>
            </w:r>
            <w:r w:rsidRPr="00C85DF7">
              <w:rPr>
                <w:rFonts w:ascii="Arial" w:hAnsi="Arial" w:cs="Arial"/>
                <w:b/>
                <w:sz w:val="20"/>
                <w:szCs w:val="20"/>
              </w:rPr>
              <w:t>of</w:t>
            </w:r>
            <w:r w:rsidRPr="00C85DF7">
              <w:rPr>
                <w:rFonts w:ascii="Arial" w:hAnsi="Arial" w:cs="Arial"/>
                <w:b/>
                <w:spacing w:val="24"/>
                <w:sz w:val="20"/>
                <w:szCs w:val="20"/>
              </w:rPr>
              <w:t xml:space="preserve"> </w:t>
            </w:r>
            <w:r w:rsidRPr="00C85DF7">
              <w:rPr>
                <w:rFonts w:ascii="Arial" w:hAnsi="Arial" w:cs="Arial"/>
                <w:b/>
                <w:spacing w:val="-1"/>
                <w:sz w:val="20"/>
                <w:szCs w:val="20"/>
              </w:rPr>
              <w:t>Responses</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4"/>
              <w:jc w:val="center"/>
              <w:rPr>
                <w:rFonts w:ascii="Arial" w:eastAsia="Times New Roman" w:hAnsi="Arial" w:cs="Arial"/>
                <w:b/>
                <w:sz w:val="20"/>
                <w:szCs w:val="20"/>
              </w:rPr>
            </w:pPr>
            <w:r w:rsidRPr="00C85DF7">
              <w:rPr>
                <w:rFonts w:ascii="Arial" w:hAnsi="Arial" w:cs="Arial"/>
                <w:b/>
                <w:spacing w:val="-1"/>
                <w:sz w:val="20"/>
                <w:szCs w:val="20"/>
              </w:rPr>
              <w:t>Hours</w:t>
            </w:r>
            <w:r w:rsidRPr="00C85DF7">
              <w:rPr>
                <w:rFonts w:ascii="Arial" w:hAnsi="Arial" w:cs="Arial"/>
                <w:b/>
                <w:sz w:val="20"/>
                <w:szCs w:val="20"/>
              </w:rPr>
              <w:t xml:space="preserve"> </w:t>
            </w:r>
            <w:r w:rsidRPr="00C85DF7">
              <w:rPr>
                <w:rFonts w:ascii="Arial" w:hAnsi="Arial" w:cs="Arial"/>
                <w:b/>
                <w:spacing w:val="-1"/>
                <w:sz w:val="20"/>
                <w:szCs w:val="20"/>
              </w:rPr>
              <w:t>Per</w:t>
            </w:r>
            <w:r w:rsidRPr="00C85DF7">
              <w:rPr>
                <w:rFonts w:ascii="Arial" w:hAnsi="Arial" w:cs="Arial"/>
                <w:b/>
                <w:spacing w:val="23"/>
                <w:sz w:val="20"/>
                <w:szCs w:val="20"/>
              </w:rPr>
              <w:t xml:space="preserve"> </w:t>
            </w:r>
            <w:r w:rsidRPr="00C85DF7">
              <w:rPr>
                <w:rFonts w:ascii="Arial" w:hAnsi="Arial" w:cs="Arial"/>
                <w:b/>
                <w:spacing w:val="-1"/>
                <w:sz w:val="20"/>
                <w:szCs w:val="20"/>
              </w:rPr>
              <w:t>Respondent</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63"/>
              <w:jc w:val="center"/>
              <w:rPr>
                <w:rFonts w:ascii="Arial" w:eastAsia="Times New Roman" w:hAnsi="Arial" w:cs="Arial"/>
                <w:b/>
                <w:sz w:val="20"/>
                <w:szCs w:val="20"/>
              </w:rPr>
            </w:pPr>
            <w:r w:rsidRPr="00C85DF7">
              <w:rPr>
                <w:rFonts w:ascii="Arial" w:hAnsi="Arial" w:cs="Arial"/>
                <w:b/>
                <w:spacing w:val="-1"/>
                <w:sz w:val="20"/>
                <w:szCs w:val="20"/>
              </w:rPr>
              <w:t>Maximum Total</w:t>
            </w:r>
            <w:r w:rsidRPr="00C85DF7">
              <w:rPr>
                <w:rFonts w:ascii="Arial" w:hAnsi="Arial" w:cs="Arial"/>
                <w:b/>
                <w:spacing w:val="29"/>
                <w:sz w:val="20"/>
                <w:szCs w:val="20"/>
              </w:rPr>
              <w:t xml:space="preserve"> </w:t>
            </w:r>
            <w:r w:rsidRPr="00C85DF7">
              <w:rPr>
                <w:rFonts w:ascii="Arial" w:hAnsi="Arial" w:cs="Arial"/>
                <w:b/>
                <w:spacing w:val="-1"/>
                <w:sz w:val="20"/>
                <w:szCs w:val="20"/>
              </w:rPr>
              <w:t>Burden</w:t>
            </w:r>
            <w:r w:rsidRPr="00C85DF7">
              <w:rPr>
                <w:rFonts w:ascii="Arial" w:hAnsi="Arial" w:cs="Arial"/>
                <w:b/>
                <w:spacing w:val="25"/>
                <w:sz w:val="20"/>
                <w:szCs w:val="20"/>
              </w:rPr>
              <w:t xml:space="preserve"> </w:t>
            </w:r>
            <w:r w:rsidRPr="00C85DF7">
              <w:rPr>
                <w:rFonts w:ascii="Arial" w:hAnsi="Arial" w:cs="Arial"/>
                <w:b/>
                <w:spacing w:val="-1"/>
                <w:sz w:val="20"/>
                <w:szCs w:val="20"/>
              </w:rPr>
              <w:t>Hours</w:t>
            </w:r>
          </w:p>
        </w:tc>
      </w:tr>
      <w:tr w:rsidR="00BB7C9F" w:rsidRPr="008A5036" w:rsidTr="00BB7C9F">
        <w:trPr>
          <w:trHeight w:val="144"/>
        </w:trPr>
        <w:tc>
          <w:tcPr>
            <w:tcW w:w="10242" w:type="dxa"/>
            <w:gridSpan w:val="5"/>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081992">
            <w:pPr>
              <w:pStyle w:val="TableParagraph"/>
              <w:ind w:left="90" w:right="153"/>
              <w:jc w:val="center"/>
              <w:rPr>
                <w:rFonts w:ascii="Arial" w:eastAsia="Times New Roman" w:hAnsi="Arial" w:cs="Arial"/>
                <w:sz w:val="20"/>
                <w:szCs w:val="20"/>
              </w:rPr>
            </w:pPr>
            <w:r w:rsidRPr="00C85DF7">
              <w:rPr>
                <w:rFonts w:ascii="Arial" w:eastAsia="Times New Roman" w:hAnsi="Arial" w:cs="Arial"/>
                <w:sz w:val="20"/>
                <w:szCs w:val="20"/>
              </w:rPr>
              <w:t>SLFS 201</w:t>
            </w:r>
            <w:r w:rsidR="003B26FB" w:rsidRPr="00C85DF7">
              <w:rPr>
                <w:rFonts w:ascii="Arial" w:eastAsia="Times New Roman" w:hAnsi="Arial" w:cs="Arial"/>
                <w:sz w:val="20"/>
                <w:szCs w:val="20"/>
              </w:rPr>
              <w:t>6</w:t>
            </w:r>
            <w:r w:rsidRPr="00C85DF7">
              <w:rPr>
                <w:rFonts w:ascii="Arial" w:eastAsia="Times New Roman" w:hAnsi="Arial" w:cs="Arial"/>
                <w:sz w:val="20"/>
                <w:szCs w:val="20"/>
              </w:rPr>
              <w:t xml:space="preserve"> </w:t>
            </w:r>
            <w:r w:rsidR="003B26FB" w:rsidRPr="00C85DF7">
              <w:rPr>
                <w:rFonts w:ascii="Arial" w:eastAsia="Times New Roman" w:hAnsi="Arial" w:cs="Arial"/>
                <w:sz w:val="20"/>
                <w:szCs w:val="20"/>
              </w:rPr>
              <w:t xml:space="preserve">Data Collection </w:t>
            </w:r>
            <w:r w:rsidRPr="00C85DF7">
              <w:rPr>
                <w:rFonts w:ascii="Arial" w:eastAsia="Times New Roman" w:hAnsi="Arial" w:cs="Arial"/>
                <w:sz w:val="20"/>
                <w:szCs w:val="20"/>
              </w:rPr>
              <w:t>(in 201</w:t>
            </w:r>
            <w:r w:rsidR="003B26FB" w:rsidRPr="00C85DF7">
              <w:rPr>
                <w:rFonts w:ascii="Arial" w:eastAsia="Times New Roman" w:hAnsi="Arial" w:cs="Arial"/>
                <w:sz w:val="20"/>
                <w:szCs w:val="20"/>
              </w:rPr>
              <w:t>7</w:t>
            </w:r>
            <w:r w:rsidRPr="00C85DF7">
              <w:rPr>
                <w:rFonts w:ascii="Arial" w:eastAsia="Times New Roman" w:hAnsi="Arial" w:cs="Arial"/>
                <w:sz w:val="20"/>
                <w:szCs w:val="20"/>
              </w:rPr>
              <w:t>)</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rPr>
                <w:rFonts w:ascii="Arial" w:hAnsi="Arial" w:cs="Arial"/>
                <w:spacing w:val="-1"/>
                <w:sz w:val="20"/>
                <w:szCs w:val="20"/>
              </w:rPr>
            </w:pPr>
            <w:r w:rsidRPr="00C85DF7">
              <w:rPr>
                <w:rFonts w:ascii="Arial" w:hAnsi="Arial" w:cs="Arial"/>
                <w:spacing w:val="-1"/>
                <w:sz w:val="20"/>
                <w:szCs w:val="20"/>
              </w:rPr>
              <w:t>SEA Recruitment</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3B26FB" w:rsidP="003B26FB">
            <w:pPr>
              <w:pStyle w:val="TableParagraph"/>
              <w:ind w:right="88"/>
              <w:jc w:val="right"/>
              <w:rPr>
                <w:rFonts w:ascii="Arial" w:hAnsi="Arial" w:cs="Arial"/>
                <w:sz w:val="20"/>
                <w:szCs w:val="20"/>
              </w:rPr>
            </w:pPr>
            <w:r w:rsidRPr="00C85DF7">
              <w:rPr>
                <w:rFonts w:ascii="Arial" w:hAnsi="Arial" w:cs="Arial"/>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3B26FB" w:rsidP="003B26FB">
            <w:pPr>
              <w:pStyle w:val="TableParagraph"/>
              <w:ind w:right="88"/>
              <w:jc w:val="right"/>
              <w:rPr>
                <w:rFonts w:ascii="Arial" w:hAnsi="Arial" w:cs="Arial"/>
                <w:sz w:val="20"/>
                <w:szCs w:val="20"/>
              </w:rPr>
            </w:pPr>
            <w:r w:rsidRPr="00C85DF7">
              <w:rPr>
                <w:rFonts w:ascii="Arial" w:hAnsi="Arial" w:cs="Arial"/>
                <w:sz w:val="20"/>
                <w:szCs w:val="20"/>
              </w:rPr>
              <w:t>51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hAnsi="Arial" w:cs="Arial"/>
                <w:sz w:val="20"/>
                <w:szCs w:val="20"/>
              </w:rPr>
            </w:pPr>
            <w:r w:rsidRPr="00C85DF7">
              <w:rPr>
                <w:rFonts w:ascii="Arial" w:hAnsi="Arial" w:cs="Arial"/>
                <w:sz w:val="20"/>
                <w:szCs w:val="20"/>
              </w:rPr>
              <w:t>1</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3B26FB" w:rsidP="0053798C">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51</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rPr>
                <w:rFonts w:ascii="Arial" w:eastAsia="Times New Roman" w:hAnsi="Arial" w:cs="Arial"/>
                <w:sz w:val="20"/>
                <w:szCs w:val="20"/>
              </w:rPr>
            </w:pPr>
            <w:r w:rsidRPr="00C85DF7">
              <w:rPr>
                <w:rFonts w:ascii="Arial" w:hAnsi="Arial" w:cs="Arial"/>
                <w:sz w:val="20"/>
                <w:szCs w:val="20"/>
              </w:rPr>
              <w:t>Survey</w:t>
            </w:r>
            <w:r w:rsidRPr="00C85DF7">
              <w:rPr>
                <w:rFonts w:ascii="Arial" w:hAnsi="Arial" w:cs="Arial"/>
                <w:spacing w:val="23"/>
                <w:sz w:val="20"/>
                <w:szCs w:val="20"/>
              </w:rPr>
              <w:t xml:space="preserve"> </w:t>
            </w:r>
            <w:r w:rsidRPr="00C85DF7">
              <w:rPr>
                <w:rFonts w:ascii="Arial" w:hAnsi="Arial" w:cs="Arial"/>
                <w:spacing w:val="-1"/>
                <w:sz w:val="20"/>
                <w:szCs w:val="20"/>
              </w:rPr>
              <w:t>Announcement</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51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eastAsia="Times New Roman" w:hAnsi="Arial" w:cs="Arial"/>
                <w:sz w:val="20"/>
                <w:szCs w:val="20"/>
              </w:rPr>
            </w:pPr>
            <w:r w:rsidRPr="00C85DF7">
              <w:rPr>
                <w:rFonts w:ascii="Arial" w:hAnsi="Arial" w:cs="Arial"/>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BB7C9F">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12.75</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954CAB">
            <w:pPr>
              <w:pStyle w:val="TableParagraph"/>
              <w:ind w:left="9"/>
              <w:rPr>
                <w:rFonts w:ascii="Arial" w:hAnsi="Arial" w:cs="Arial"/>
                <w:spacing w:val="-1"/>
                <w:sz w:val="20"/>
                <w:szCs w:val="20"/>
              </w:rPr>
            </w:pPr>
            <w:r w:rsidRPr="00C85DF7">
              <w:rPr>
                <w:rFonts w:ascii="Arial" w:hAnsi="Arial" w:cs="Arial"/>
                <w:spacing w:val="-1"/>
                <w:sz w:val="20"/>
                <w:szCs w:val="20"/>
              </w:rPr>
              <w:t>SLFS 201</w:t>
            </w:r>
            <w:r w:rsidR="00954CAB" w:rsidRPr="00C85DF7">
              <w:rPr>
                <w:rFonts w:ascii="Arial" w:hAnsi="Arial" w:cs="Arial"/>
                <w:spacing w:val="-1"/>
                <w:sz w:val="20"/>
                <w:szCs w:val="20"/>
              </w:rPr>
              <w:t>6</w:t>
            </w:r>
            <w:r w:rsidRPr="00C85DF7">
              <w:rPr>
                <w:rFonts w:ascii="Arial" w:hAnsi="Arial" w:cs="Arial"/>
                <w:spacing w:val="-1"/>
                <w:sz w:val="20"/>
                <w:szCs w:val="20"/>
              </w:rPr>
              <w:t xml:space="preserve"> Webinar</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hAnsi="Arial" w:cs="Arial"/>
                <w:sz w:val="20"/>
                <w:szCs w:val="20"/>
              </w:rPr>
            </w:pPr>
            <w:r w:rsidRPr="00C85DF7">
              <w:rPr>
                <w:rFonts w:ascii="Arial" w:hAnsi="Arial" w:cs="Arial"/>
                <w:sz w:val="20"/>
                <w:szCs w:val="20"/>
              </w:rPr>
              <w:t>2</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BB7C9F">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102</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rPr>
                <w:rFonts w:ascii="Arial" w:eastAsia="Times New Roman" w:hAnsi="Arial" w:cs="Arial"/>
                <w:sz w:val="20"/>
                <w:szCs w:val="20"/>
              </w:rPr>
            </w:pPr>
            <w:r w:rsidRPr="00C85DF7">
              <w:rPr>
                <w:rFonts w:ascii="Arial" w:hAnsi="Arial" w:cs="Arial"/>
                <w:spacing w:val="-1"/>
                <w:sz w:val="20"/>
                <w:szCs w:val="20"/>
              </w:rPr>
              <w:t>Form</w:t>
            </w:r>
            <w:r w:rsidRPr="00C85DF7">
              <w:rPr>
                <w:rFonts w:ascii="Arial" w:hAnsi="Arial" w:cs="Arial"/>
                <w:sz w:val="20"/>
                <w:szCs w:val="20"/>
              </w:rPr>
              <w:t xml:space="preserve"> </w:t>
            </w:r>
            <w:r w:rsidRPr="00C85DF7">
              <w:rPr>
                <w:rFonts w:ascii="Arial" w:hAnsi="Arial" w:cs="Arial"/>
                <w:spacing w:val="-1"/>
                <w:sz w:val="20"/>
                <w:szCs w:val="20"/>
              </w:rPr>
              <w:t>F-33-SLFS Instructions</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eastAsia="Times New Roman" w:hAnsi="Arial" w:cs="Arial"/>
                <w:sz w:val="20"/>
                <w:szCs w:val="20"/>
              </w:rPr>
            </w:pPr>
            <w:r w:rsidRPr="00C85DF7">
              <w:rPr>
                <w:rFonts w:ascii="Arial" w:hAnsi="Arial" w:cs="Arial"/>
                <w:sz w:val="20"/>
                <w:szCs w:val="20"/>
              </w:rPr>
              <w:t>0.25</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12.75</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673E11">
            <w:pPr>
              <w:pStyle w:val="TableParagraph"/>
              <w:ind w:left="9"/>
              <w:rPr>
                <w:rFonts w:ascii="Arial" w:eastAsia="Times New Roman" w:hAnsi="Arial" w:cs="Arial"/>
                <w:sz w:val="20"/>
                <w:szCs w:val="20"/>
              </w:rPr>
            </w:pPr>
            <w:r w:rsidRPr="00C85DF7">
              <w:rPr>
                <w:rFonts w:ascii="Arial" w:hAnsi="Arial" w:cs="Arial"/>
                <w:spacing w:val="-1"/>
                <w:sz w:val="20"/>
                <w:szCs w:val="20"/>
              </w:rPr>
              <w:t xml:space="preserve">Data Submission using </w:t>
            </w:r>
            <w:r w:rsidR="00B72568" w:rsidRPr="00C85DF7">
              <w:rPr>
                <w:rFonts w:ascii="Arial" w:hAnsi="Arial" w:cs="Arial"/>
                <w:spacing w:val="-1"/>
                <w:sz w:val="20"/>
                <w:szCs w:val="20"/>
              </w:rPr>
              <w:t xml:space="preserve">SLFS </w:t>
            </w:r>
            <w:r w:rsidRPr="00C85DF7">
              <w:rPr>
                <w:rFonts w:ascii="Arial" w:hAnsi="Arial" w:cs="Arial"/>
                <w:spacing w:val="-1"/>
                <w:sz w:val="20"/>
                <w:szCs w:val="20"/>
              </w:rPr>
              <w:t>F-33 Format</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30</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30</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eastAsia="Times New Roman" w:hAnsi="Arial" w:cs="Arial"/>
                <w:sz w:val="20"/>
                <w:szCs w:val="20"/>
              </w:rPr>
            </w:pPr>
            <w:r w:rsidRPr="00C85DF7">
              <w:rPr>
                <w:rFonts w:ascii="Arial" w:hAnsi="Arial" w:cs="Arial"/>
                <w:sz w:val="20"/>
                <w:szCs w:val="20"/>
              </w:rPr>
              <w:t>125</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3750</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rPr>
                <w:rFonts w:ascii="Arial" w:eastAsia="Times New Roman" w:hAnsi="Arial" w:cs="Arial"/>
                <w:sz w:val="20"/>
                <w:szCs w:val="20"/>
              </w:rPr>
            </w:pPr>
            <w:r w:rsidRPr="00C85DF7">
              <w:rPr>
                <w:rFonts w:ascii="Arial" w:hAnsi="Arial" w:cs="Arial"/>
                <w:spacing w:val="-1"/>
                <w:sz w:val="20"/>
                <w:szCs w:val="20"/>
              </w:rPr>
              <w:t>Data Submission using SEA’s Format</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2</w:t>
            </w:r>
            <w:r w:rsidR="00BB7C9F" w:rsidRPr="00C85DF7">
              <w:rPr>
                <w:rFonts w:ascii="Arial" w:hAnsi="Arial" w:cs="Arial"/>
                <w:sz w:val="20"/>
                <w:szCs w:val="20"/>
              </w:rPr>
              <w:t>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hAnsi="Arial" w:cs="Arial"/>
                <w:sz w:val="20"/>
                <w:szCs w:val="20"/>
              </w:rPr>
              <w:t>21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eastAsia="Times New Roman" w:hAnsi="Arial" w:cs="Arial"/>
                <w:sz w:val="20"/>
                <w:szCs w:val="20"/>
              </w:rPr>
            </w:pPr>
            <w:r w:rsidRPr="00C85DF7">
              <w:rPr>
                <w:rFonts w:ascii="Arial" w:hAnsi="Arial" w:cs="Arial"/>
                <w:sz w:val="20"/>
                <w:szCs w:val="20"/>
              </w:rPr>
              <w:t>42</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882</w:t>
            </w:r>
          </w:p>
        </w:tc>
      </w:tr>
      <w:tr w:rsidR="00BB7C9F" w:rsidRPr="008A5036"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C14ABF">
            <w:pPr>
              <w:pStyle w:val="TableParagraph"/>
              <w:ind w:left="9"/>
              <w:rPr>
                <w:rFonts w:ascii="Arial" w:hAnsi="Arial" w:cs="Arial"/>
                <w:spacing w:val="-1"/>
                <w:sz w:val="20"/>
                <w:szCs w:val="20"/>
              </w:rPr>
            </w:pPr>
            <w:r w:rsidRPr="00C85DF7">
              <w:rPr>
                <w:rFonts w:ascii="Arial" w:hAnsi="Arial" w:cs="Arial"/>
                <w:spacing w:val="-1"/>
                <w:sz w:val="20"/>
                <w:szCs w:val="20"/>
              </w:rPr>
              <w:t>SLFS 201</w:t>
            </w:r>
            <w:r w:rsidR="00C14ABF" w:rsidRPr="00C85DF7">
              <w:rPr>
                <w:rFonts w:ascii="Arial" w:hAnsi="Arial" w:cs="Arial"/>
                <w:spacing w:val="-1"/>
                <w:sz w:val="20"/>
                <w:szCs w:val="20"/>
              </w:rPr>
              <w:t>6</w:t>
            </w:r>
            <w:r w:rsidRPr="00C85DF7">
              <w:rPr>
                <w:rFonts w:ascii="Arial" w:hAnsi="Arial" w:cs="Arial"/>
                <w:spacing w:val="-1"/>
                <w:sz w:val="20"/>
                <w:szCs w:val="20"/>
              </w:rPr>
              <w:t xml:space="preserve"> Data Plan Survey</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right="88"/>
              <w:jc w:val="right"/>
              <w:rPr>
                <w:rFonts w:ascii="Arial" w:eastAsia="Times New Roman" w:hAnsi="Arial" w:cs="Arial"/>
                <w:sz w:val="20"/>
                <w:szCs w:val="20"/>
              </w:rPr>
            </w:pPr>
            <w:r w:rsidRPr="00C85DF7">
              <w:rPr>
                <w:rFonts w:ascii="Arial" w:eastAsia="Times New Roman" w:hAnsi="Arial" w:cs="Arial"/>
                <w:sz w:val="20"/>
                <w:szCs w:val="20"/>
              </w:rPr>
              <w:t>51</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right="88"/>
              <w:jc w:val="right"/>
              <w:rPr>
                <w:rFonts w:ascii="Arial" w:hAnsi="Arial" w:cs="Arial"/>
                <w:sz w:val="20"/>
                <w:szCs w:val="20"/>
              </w:rPr>
            </w:pPr>
            <w:r w:rsidRPr="00C85DF7">
              <w:rPr>
                <w:rFonts w:ascii="Arial" w:hAnsi="Arial" w:cs="Arial"/>
                <w:sz w:val="20"/>
                <w:szCs w:val="20"/>
              </w:rPr>
              <w:t>2.5</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left="90" w:right="153"/>
              <w:jc w:val="right"/>
              <w:rPr>
                <w:rFonts w:ascii="Arial" w:eastAsia="Times New Roman" w:hAnsi="Arial" w:cs="Arial"/>
                <w:sz w:val="20"/>
                <w:szCs w:val="20"/>
              </w:rPr>
            </w:pPr>
            <w:r w:rsidRPr="00C85DF7">
              <w:rPr>
                <w:rFonts w:ascii="Arial" w:eastAsia="Times New Roman" w:hAnsi="Arial" w:cs="Arial"/>
                <w:sz w:val="20"/>
                <w:szCs w:val="20"/>
              </w:rPr>
              <w:t>127.5</w:t>
            </w:r>
          </w:p>
        </w:tc>
      </w:tr>
      <w:tr w:rsidR="00BB7C9F" w:rsidTr="00673E11">
        <w:trPr>
          <w:trHeight w:val="144"/>
        </w:trPr>
        <w:tc>
          <w:tcPr>
            <w:tcW w:w="3339"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pStyle w:val="TableParagraph"/>
              <w:ind w:left="9"/>
              <w:jc w:val="center"/>
              <w:rPr>
                <w:rFonts w:ascii="Arial" w:eastAsia="Times New Roman" w:hAnsi="Arial" w:cs="Arial"/>
                <w:b/>
                <w:sz w:val="20"/>
                <w:szCs w:val="20"/>
              </w:rPr>
            </w:pPr>
            <w:r w:rsidRPr="00C85DF7">
              <w:rPr>
                <w:rFonts w:ascii="Arial" w:hAnsi="Arial" w:cs="Arial"/>
                <w:b/>
                <w:spacing w:val="-1"/>
                <w:sz w:val="20"/>
                <w:szCs w:val="20"/>
              </w:rPr>
              <w:t>TOTAL</w:t>
            </w:r>
          </w:p>
        </w:tc>
        <w:tc>
          <w:tcPr>
            <w:tcW w:w="198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62720F" w:rsidP="0062720F">
            <w:pPr>
              <w:pStyle w:val="TableParagraph"/>
              <w:ind w:right="88"/>
              <w:jc w:val="right"/>
              <w:rPr>
                <w:rFonts w:ascii="Arial" w:eastAsia="Times New Roman" w:hAnsi="Arial" w:cs="Arial"/>
                <w:b/>
                <w:sz w:val="20"/>
                <w:szCs w:val="20"/>
              </w:rPr>
            </w:pPr>
            <w:r w:rsidRPr="00C85DF7">
              <w:rPr>
                <w:rFonts w:ascii="Arial" w:eastAsia="Times New Roman" w:hAnsi="Arial" w:cs="Arial"/>
                <w:b/>
                <w:sz w:val="20"/>
                <w:szCs w:val="20"/>
              </w:rPr>
              <w:t>51</w:t>
            </w:r>
          </w:p>
        </w:tc>
        <w:tc>
          <w:tcPr>
            <w:tcW w:w="1890"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6446AC" w:rsidP="00BB7C9F">
            <w:pPr>
              <w:pStyle w:val="TableParagraph"/>
              <w:ind w:right="88"/>
              <w:jc w:val="right"/>
              <w:rPr>
                <w:rFonts w:ascii="Arial" w:eastAsia="Times New Roman" w:hAnsi="Arial" w:cs="Arial"/>
                <w:b/>
                <w:sz w:val="20"/>
                <w:szCs w:val="20"/>
              </w:rPr>
            </w:pPr>
            <w:r>
              <w:rPr>
                <w:rFonts w:ascii="Arial" w:eastAsia="Times New Roman" w:hAnsi="Arial" w:cs="Arial"/>
                <w:b/>
                <w:sz w:val="20"/>
                <w:szCs w:val="20"/>
              </w:rPr>
              <w:t>306</w:t>
            </w:r>
          </w:p>
        </w:tc>
        <w:tc>
          <w:tcPr>
            <w:tcW w:w="1352"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BB7C9F" w:rsidP="00BB7C9F">
            <w:pPr>
              <w:jc w:val="right"/>
              <w:rPr>
                <w:rFonts w:ascii="Arial" w:hAnsi="Arial" w:cs="Arial"/>
                <w:b/>
                <w:sz w:val="20"/>
                <w:szCs w:val="20"/>
              </w:rPr>
            </w:pPr>
            <w:r w:rsidRPr="00C85DF7">
              <w:rPr>
                <w:rFonts w:ascii="Arial" w:hAnsi="Arial" w:cs="Arial"/>
                <w:b/>
                <w:sz w:val="20"/>
                <w:szCs w:val="20"/>
              </w:rPr>
              <w:t>--</w:t>
            </w:r>
          </w:p>
        </w:tc>
        <w:tc>
          <w:tcPr>
            <w:tcW w:w="1681" w:type="dxa"/>
            <w:tcBorders>
              <w:top w:val="single" w:sz="7" w:space="0" w:color="000000"/>
              <w:left w:val="single" w:sz="7" w:space="0" w:color="000000"/>
              <w:bottom w:val="single" w:sz="7" w:space="0" w:color="000000"/>
              <w:right w:val="single" w:sz="7" w:space="0" w:color="000000"/>
            </w:tcBorders>
            <w:vAlign w:val="center"/>
          </w:tcPr>
          <w:p w:rsidR="00BB7C9F" w:rsidRPr="00C85DF7" w:rsidRDefault="00954CAB" w:rsidP="00954CAB">
            <w:pPr>
              <w:pStyle w:val="TableParagraph"/>
              <w:ind w:left="90" w:right="153"/>
              <w:jc w:val="right"/>
              <w:rPr>
                <w:rFonts w:ascii="Arial" w:eastAsia="Times New Roman" w:hAnsi="Arial" w:cs="Arial"/>
                <w:b/>
                <w:sz w:val="20"/>
                <w:szCs w:val="20"/>
              </w:rPr>
            </w:pPr>
            <w:r w:rsidRPr="00C85DF7">
              <w:rPr>
                <w:rFonts w:ascii="Arial" w:eastAsia="Times New Roman" w:hAnsi="Arial" w:cs="Arial"/>
                <w:b/>
                <w:sz w:val="20"/>
                <w:szCs w:val="20"/>
              </w:rPr>
              <w:t>4</w:t>
            </w:r>
            <w:r w:rsidR="00BB7C9F" w:rsidRPr="00C85DF7">
              <w:rPr>
                <w:rFonts w:ascii="Arial" w:eastAsia="Times New Roman" w:hAnsi="Arial" w:cs="Arial"/>
                <w:b/>
                <w:sz w:val="20"/>
                <w:szCs w:val="20"/>
              </w:rPr>
              <w:t>,</w:t>
            </w:r>
            <w:r w:rsidRPr="00C85DF7">
              <w:rPr>
                <w:rFonts w:ascii="Arial" w:eastAsia="Times New Roman" w:hAnsi="Arial" w:cs="Arial"/>
                <w:b/>
                <w:sz w:val="20"/>
                <w:szCs w:val="20"/>
              </w:rPr>
              <w:t>938</w:t>
            </w:r>
          </w:p>
        </w:tc>
      </w:tr>
    </w:tbl>
    <w:p w:rsidR="00BB7C9F" w:rsidRDefault="00BB7C9F" w:rsidP="00B57859">
      <w:pPr>
        <w:pStyle w:val="BodyText"/>
        <w:widowControl/>
        <w:outlineLvl w:val="9"/>
        <w:rPr>
          <w:spacing w:val="-1"/>
        </w:rPr>
      </w:pPr>
    </w:p>
    <w:p w:rsidR="00B30C42" w:rsidRDefault="008678A4" w:rsidP="005151E2">
      <w:pPr>
        <w:pStyle w:val="Heading1"/>
        <w:spacing w:line="276" w:lineRule="auto"/>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00B30C42" w:rsidRPr="00AA1670" w:rsidRDefault="00B30C42" w:rsidP="00AC39FC">
      <w:pPr>
        <w:widowControl w:val="0"/>
        <w:spacing w:after="120" w:line="276" w:lineRule="auto"/>
      </w:pPr>
      <w:r w:rsidRPr="00AA1670">
        <w:t xml:space="preserve">There are no additional recordkeeping costs to the responding </w:t>
      </w:r>
      <w:r w:rsidR="008C0359">
        <w:t>SEAs</w:t>
      </w:r>
      <w:r w:rsidR="006C1401">
        <w:t xml:space="preserve"> beyond </w:t>
      </w:r>
      <w:r w:rsidR="006C1401" w:rsidRPr="00C84B76">
        <w:rPr>
          <w:lang w:val="en-CA"/>
        </w:rPr>
        <w:t>their time to respond</w:t>
      </w:r>
      <w:r w:rsidRPr="00AA1670">
        <w:t xml:space="preserve">. </w:t>
      </w:r>
      <w:r w:rsidR="00C53EB7" w:rsidRPr="00AA1670">
        <w:t xml:space="preserve">All </w:t>
      </w:r>
      <w:r w:rsidR="00C553BE">
        <w:t xml:space="preserve">SLFS </w:t>
      </w:r>
      <w:r w:rsidR="00C53EB7">
        <w:t>data are extracted</w:t>
      </w:r>
      <w:r w:rsidR="00C53EB7" w:rsidRPr="00AA1670">
        <w:t xml:space="preserve"> from administrative record systems already collected by the state for its own purposes and </w:t>
      </w:r>
      <w:r w:rsidR="00C53EB7">
        <w:t>are</w:t>
      </w:r>
      <w:r w:rsidR="00C53EB7" w:rsidRPr="00AA1670">
        <w:t xml:space="preserve"> </w:t>
      </w:r>
      <w:r w:rsidR="00C53EB7">
        <w:t>of the type and scope normally included in government records</w:t>
      </w:r>
      <w:r w:rsidR="00C53EB7" w:rsidRPr="00AA1670">
        <w:t>.</w:t>
      </w:r>
      <w:r w:rsidR="002F7842">
        <w:t xml:space="preserve"> </w:t>
      </w:r>
      <w:r w:rsidR="00081992" w:rsidRPr="00081992">
        <w:t>The added burden for SLFS is limited to the SEA’s effort taken in extracting data from files, transferring them to NCES, and responding to edit reports.</w:t>
      </w:r>
      <w:r w:rsidR="0008199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w:t>
      </w:r>
      <w:r w:rsidR="006606DF">
        <w:lastRenderedPageBreak/>
        <w:t>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RDefault="00B30C42" w:rsidP="00B57859">
      <w:pPr>
        <w:pStyle w:val="Heading1"/>
        <w:spacing w:before="0" w:line="276" w:lineRule="auto"/>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2F7842" w:rsidRDefault="00BB7C9F" w:rsidP="00081992">
      <w:pPr>
        <w:spacing w:after="120" w:line="276" w:lineRule="auto"/>
      </w:pPr>
      <w:r w:rsidRPr="00C84B76">
        <w:t xml:space="preserve">The estimated cost to the federal government for </w:t>
      </w:r>
      <w:r w:rsidR="00081992">
        <w:t>SLFS</w:t>
      </w:r>
      <w:r w:rsidRPr="00C84B76">
        <w:t xml:space="preserve"> </w:t>
      </w:r>
      <w:r>
        <w:t>20</w:t>
      </w:r>
      <w:r w:rsidRPr="00C84B76">
        <w:t>1</w:t>
      </w:r>
      <w:r w:rsidR="00210836">
        <w:t>6</w:t>
      </w:r>
      <w:r w:rsidRPr="00C84B76">
        <w:t xml:space="preserve"> is approximately $8</w:t>
      </w:r>
      <w:r w:rsidR="00081992">
        <w:t>0</w:t>
      </w:r>
      <w:r w:rsidRPr="00C84B76">
        <w:t xml:space="preserve">2,243. This amount includes $420,000 for </w:t>
      </w:r>
      <w:r w:rsidR="002F48A4">
        <w:t>Census</w:t>
      </w:r>
      <w:r w:rsidRPr="00C84B76">
        <w:t xml:space="preserve"> </w:t>
      </w:r>
      <w:r>
        <w:t>for</w:t>
      </w:r>
      <w:r w:rsidRPr="00C84B76">
        <w:t xml:space="preserve"> data collection </w:t>
      </w:r>
      <w:r>
        <w:t xml:space="preserve">activities; $97,243 for American Institutes for Research (AIR) </w:t>
      </w:r>
      <w:r w:rsidRPr="00C84B76">
        <w:t>to independently review the data; $250</w:t>
      </w:r>
      <w:r w:rsidRPr="00D64F9F">
        <w:t xml:space="preserve">,000 for </w:t>
      </w:r>
      <w:r w:rsidR="00A24B7B">
        <w:t>NCES</w:t>
      </w:r>
      <w:r w:rsidRPr="00D64F9F">
        <w:t xml:space="preserve"> statisticians to oversee the data collection and reporting</w:t>
      </w:r>
      <w:r w:rsidR="00081992">
        <w:t xml:space="preserve">, and </w:t>
      </w:r>
      <w:r w:rsidR="00081992" w:rsidRPr="00081992">
        <w:t>$35,000</w:t>
      </w:r>
      <w:r w:rsidR="00081992">
        <w:t xml:space="preserve"> for annual </w:t>
      </w:r>
      <w:r w:rsidR="00081992" w:rsidRPr="00081992">
        <w:t>SEA Staff Training</w:t>
      </w:r>
      <w:r w:rsidRPr="00D64F9F">
        <w:t xml:space="preserve">. </w:t>
      </w:r>
      <w:r w:rsidR="00C53EB7" w:rsidRPr="00210836">
        <w:t xml:space="preserve">Training costs reflect the cost of general training and professional development for </w:t>
      </w:r>
      <w:r w:rsidR="00210836" w:rsidRPr="00210836">
        <w:t>the reporting School-Level Finance Survey a</w:t>
      </w:r>
      <w:r w:rsidR="00C53EB7" w:rsidRPr="00210836">
        <w:t>nd the costs of conducting training at NCES of approximately 1</w:t>
      </w:r>
      <w:r w:rsidR="008B0B5A" w:rsidRPr="00210836">
        <w:t>2</w:t>
      </w:r>
      <w:r w:rsidR="00C53EB7" w:rsidRPr="00210836">
        <w:t xml:space="preserve"> new fiscal coordinators each year.</w:t>
      </w:r>
      <w:r w:rsidR="00081992">
        <w:t xml:space="preserve"> </w:t>
      </w:r>
      <w:r w:rsidR="00081992" w:rsidRPr="00D64F9F">
        <w:t>Th</w:t>
      </w:r>
      <w:r w:rsidR="00081992">
        <w:t>ese</w:t>
      </w:r>
      <w:r w:rsidR="00081992" w:rsidRPr="00D64F9F">
        <w:t xml:space="preserve"> costs </w:t>
      </w:r>
      <w:r w:rsidR="00081992">
        <w:t>are expected to be</w:t>
      </w:r>
      <w:r w:rsidR="00081992" w:rsidRPr="00D64F9F">
        <w:t xml:space="preserve"> similar for </w:t>
      </w:r>
      <w:r w:rsidR="00081992">
        <w:t>SLFS</w:t>
      </w:r>
      <w:r w:rsidR="00081992" w:rsidRPr="00C84B76">
        <w:t xml:space="preserve"> </w:t>
      </w:r>
      <w:r w:rsidR="00081992" w:rsidRPr="00D64F9F">
        <w:t>201</w:t>
      </w:r>
      <w:r w:rsidR="00081992">
        <w:t>7 and 2018</w:t>
      </w:r>
      <w:r w:rsidR="00081992" w:rsidRPr="00D64F9F">
        <w:t>.</w:t>
      </w:r>
    </w:p>
    <w:p w:rsidR="00B30C42" w:rsidRPr="008678A4" w:rsidRDefault="008678A4" w:rsidP="00B57859">
      <w:pPr>
        <w:pStyle w:val="Heading1"/>
        <w:spacing w:before="0" w:line="276" w:lineRule="auto"/>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081992" w:rsidP="00B57859">
      <w:pPr>
        <w:pStyle w:val="Text"/>
        <w:spacing w:after="120" w:line="276" w:lineRule="auto"/>
        <w:rPr>
          <w:sz w:val="24"/>
        </w:rPr>
      </w:pPr>
      <w:r>
        <w:rPr>
          <w:sz w:val="24"/>
        </w:rPr>
        <w:t>This is a new national data collection and, as such, reflects a burden increase.</w:t>
      </w:r>
    </w:p>
    <w:p w:rsidR="00B30C42" w:rsidRDefault="008678A4" w:rsidP="00B57859">
      <w:pPr>
        <w:pStyle w:val="Heading1"/>
        <w:spacing w:before="0" w:line="276" w:lineRule="auto"/>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091A5C" w:rsidRPr="008D6048" w:rsidRDefault="009E2C2A" w:rsidP="005A526C">
      <w:pPr>
        <w:spacing w:after="120" w:line="276" w:lineRule="auto"/>
        <w:rPr>
          <w:bCs/>
          <w:noProof/>
        </w:rPr>
      </w:pPr>
      <w:r>
        <w:t>The FY 16 SLFS will be the subject of a Statistical Analysis report, which is tentatively scheduled to be released by June, 2018.</w:t>
      </w:r>
      <w:r w:rsidR="00091A5C">
        <w:t xml:space="preserve"> The accompanying </w:t>
      </w:r>
      <w:r w:rsidR="00091A5C" w:rsidRPr="00C84B76">
        <w:rPr>
          <w:bCs/>
          <w:noProof/>
        </w:rPr>
        <w:t xml:space="preserve">documentation </w:t>
      </w:r>
      <w:r w:rsidR="00091A5C">
        <w:rPr>
          <w:bCs/>
          <w:noProof/>
        </w:rPr>
        <w:t>will also</w:t>
      </w:r>
      <w:r w:rsidR="00091A5C" w:rsidRPr="00C84B76">
        <w:rPr>
          <w:bCs/>
          <w:noProof/>
        </w:rPr>
        <w:t xml:space="preserve"> </w:t>
      </w:r>
      <w:r w:rsidR="00091A5C">
        <w:rPr>
          <w:bCs/>
          <w:noProof/>
        </w:rPr>
        <w:t xml:space="preserve">be </w:t>
      </w:r>
      <w:r w:rsidR="00091A5C" w:rsidRPr="00C84B76">
        <w:rPr>
          <w:bCs/>
          <w:noProof/>
        </w:rPr>
        <w:t>produced.</w:t>
      </w:r>
      <w:r>
        <w:t xml:space="preserve"> </w:t>
      </w:r>
      <w:r w:rsidR="005A526C">
        <w:rPr>
          <w:bCs/>
          <w:noProof/>
        </w:rPr>
        <w:t xml:space="preserve">Additionally, </w:t>
      </w:r>
      <w:r w:rsidR="00091A5C" w:rsidRPr="008D6048">
        <w:rPr>
          <w:bCs/>
          <w:noProof/>
        </w:rPr>
        <w:t xml:space="preserve">NCES will make a </w:t>
      </w:r>
      <w:r w:rsidR="00091A5C">
        <w:rPr>
          <w:bCs/>
          <w:noProof/>
        </w:rPr>
        <w:t>da</w:t>
      </w:r>
      <w:r w:rsidR="00091A5C" w:rsidRPr="008D6048">
        <w:rPr>
          <w:bCs/>
          <w:noProof/>
        </w:rPr>
        <w:t>ta file available for external data users</w:t>
      </w:r>
      <w:r w:rsidR="005A526C">
        <w:rPr>
          <w:bCs/>
          <w:noProof/>
        </w:rPr>
        <w:t xml:space="preserve">, who will be </w:t>
      </w:r>
      <w:r w:rsidR="00091A5C" w:rsidRPr="008D6048">
        <w:rPr>
          <w:bCs/>
          <w:noProof/>
        </w:rPr>
        <w:t>subject to an NCES data use agreement that specifically covers the SLFS data. In order to proceed to the SLFS data files, the data user(s) must signify their agreement to comply with the provisions in the data usage agreement set forth below. The NCES Data Usage Agreement for the SLFS Data states:</w:t>
      </w:r>
    </w:p>
    <w:p w:rsidR="00091A5C" w:rsidRPr="00D93D47" w:rsidRDefault="00091A5C" w:rsidP="00727578">
      <w:pPr>
        <w:spacing w:after="120"/>
        <w:ind w:left="360"/>
        <w:rPr>
          <w:sz w:val="21"/>
          <w:szCs w:val="21"/>
        </w:rPr>
      </w:pPr>
      <w:r w:rsidRPr="00D93D47">
        <w:rPr>
          <w:b/>
          <w:sz w:val="21"/>
          <w:szCs w:val="21"/>
        </w:rPr>
        <w:t>NCES Data Usage Agreement for School-Level Finance Survey (SLFS) Data</w:t>
      </w:r>
      <w:r w:rsidRPr="00D93D47">
        <w:rPr>
          <w:sz w:val="21"/>
          <w:szCs w:val="21"/>
        </w:rPr>
        <w:t>:</w:t>
      </w:r>
    </w:p>
    <w:p w:rsidR="00091A5C" w:rsidRPr="00D93D47" w:rsidRDefault="00091A5C" w:rsidP="00727578">
      <w:pPr>
        <w:spacing w:after="120"/>
        <w:ind w:left="360"/>
        <w:rPr>
          <w:sz w:val="21"/>
          <w:szCs w:val="21"/>
        </w:rPr>
      </w:pPr>
      <w:r w:rsidRPr="00D93D47">
        <w:rPr>
          <w:sz w:val="21"/>
          <w:szCs w:val="21"/>
        </w:rPr>
        <w:t>The SLFS data can only be used for the express purpose of research and development activities. Users shall:</w:t>
      </w:r>
    </w:p>
    <w:p w:rsidR="00091A5C" w:rsidRPr="00D93D47" w:rsidRDefault="00091A5C" w:rsidP="00727578">
      <w:pPr>
        <w:pStyle w:val="ListParagraph"/>
        <w:numPr>
          <w:ilvl w:val="0"/>
          <w:numId w:val="23"/>
        </w:numPr>
        <w:spacing w:after="120"/>
        <w:ind w:hanging="180"/>
        <w:contextualSpacing/>
        <w:rPr>
          <w:sz w:val="21"/>
          <w:szCs w:val="21"/>
        </w:rPr>
      </w:pPr>
      <w:r w:rsidRPr="00D93D47">
        <w:rPr>
          <w:sz w:val="21"/>
          <w:szCs w:val="21"/>
        </w:rPr>
        <w:t>Make no use of the identity of any person discovered inadvertently, and advise NCES of any such discovery.</w:t>
      </w:r>
    </w:p>
    <w:p w:rsidR="00091A5C" w:rsidRPr="00D93D47" w:rsidRDefault="00091A5C" w:rsidP="00727578">
      <w:pPr>
        <w:pStyle w:val="ListParagraph"/>
        <w:numPr>
          <w:ilvl w:val="0"/>
          <w:numId w:val="23"/>
        </w:numPr>
        <w:spacing w:after="120"/>
        <w:ind w:hanging="180"/>
        <w:contextualSpacing/>
        <w:rPr>
          <w:sz w:val="21"/>
          <w:szCs w:val="21"/>
        </w:rPr>
      </w:pPr>
      <w:r w:rsidRPr="00D93D47">
        <w:rPr>
          <w:sz w:val="21"/>
          <w:szCs w:val="21"/>
        </w:rPr>
        <w:t>Not link any dataset with individually identifiable data from other NCES or non-NCES datasets.</w:t>
      </w:r>
    </w:p>
    <w:p w:rsidR="00091A5C" w:rsidRPr="00D93D47" w:rsidRDefault="00091A5C" w:rsidP="00727578">
      <w:pPr>
        <w:spacing w:after="120"/>
        <w:ind w:left="360"/>
        <w:rPr>
          <w:sz w:val="21"/>
          <w:szCs w:val="21"/>
        </w:rPr>
      </w:pPr>
      <w:r w:rsidRPr="00D93D47">
        <w:rPr>
          <w:sz w:val="21"/>
          <w:szCs w:val="21"/>
        </w:rPr>
        <w:t>Any effort to determine the identity of any reported case by public-use data users is prohibited by law. Violations are subject to Class E felony charges of a fine up to $250,000 and/or a prison term up to 5 years.</w:t>
      </w:r>
    </w:p>
    <w:p w:rsidR="00091A5C" w:rsidRPr="00D93D47" w:rsidRDefault="00091A5C" w:rsidP="00727578">
      <w:pPr>
        <w:spacing w:after="120"/>
        <w:ind w:left="360"/>
        <w:rPr>
          <w:sz w:val="21"/>
          <w:szCs w:val="21"/>
        </w:rPr>
      </w:pPr>
      <w:r w:rsidRPr="00D93D47">
        <w:rPr>
          <w:sz w:val="21"/>
          <w:szCs w:val="21"/>
        </w:rPr>
        <w:t>NCES does all it can to assure that the identity of data subjects cannot be disclosed. All direct identifiers, as well as any characteristics that might lead to identification, are omitted or modified in the dataset to protect the true characteristics of individual cases. Any intentional identification or disclosure of a person violates the assurances of confidentiality given to the providers of the information.</w:t>
      </w:r>
    </w:p>
    <w:p w:rsidR="00091A5C" w:rsidRPr="00D93D47" w:rsidRDefault="00091A5C" w:rsidP="00727578">
      <w:pPr>
        <w:spacing w:after="120"/>
        <w:ind w:left="360"/>
        <w:rPr>
          <w:sz w:val="21"/>
          <w:szCs w:val="21"/>
        </w:rPr>
      </w:pPr>
      <w:r w:rsidRPr="00D93D47">
        <w:rPr>
          <w:sz w:val="21"/>
          <w:szCs w:val="21"/>
        </w:rPr>
        <w:t>To proceed</w:t>
      </w:r>
      <w:r w:rsidR="00FE0ABA">
        <w:rPr>
          <w:sz w:val="21"/>
          <w:szCs w:val="21"/>
        </w:rPr>
        <w:t>,</w:t>
      </w:r>
      <w:r w:rsidRPr="00D93D47">
        <w:rPr>
          <w:sz w:val="21"/>
          <w:szCs w:val="21"/>
        </w:rPr>
        <w:t xml:space="preserve"> you must signify your agreement to comply with the above-stated requirements by clicking the box below that states</w:t>
      </w:r>
      <w:r w:rsidR="00727578">
        <w:rPr>
          <w:sz w:val="21"/>
          <w:szCs w:val="21"/>
        </w:rPr>
        <w:t>:</w:t>
      </w:r>
      <w:r w:rsidRPr="00D93D47">
        <w:rPr>
          <w:sz w:val="21"/>
          <w:szCs w:val="21"/>
        </w:rPr>
        <w:t xml:space="preserve"> </w:t>
      </w:r>
      <w:r w:rsidR="00727578">
        <w:rPr>
          <w:sz w:val="21"/>
          <w:szCs w:val="21"/>
        </w:rPr>
        <w:t>“</w:t>
      </w:r>
      <w:r w:rsidRPr="00D93D47">
        <w:rPr>
          <w:sz w:val="21"/>
          <w:szCs w:val="21"/>
        </w:rPr>
        <w:t>I agree</w:t>
      </w:r>
      <w:r w:rsidR="00727578">
        <w:rPr>
          <w:sz w:val="21"/>
          <w:szCs w:val="21"/>
        </w:rPr>
        <w:t>”</w:t>
      </w:r>
      <w:r w:rsidRPr="00D93D47">
        <w:rPr>
          <w:sz w:val="21"/>
          <w:szCs w:val="21"/>
        </w:rPr>
        <w:t xml:space="preserve">. Doing so will close this window, and allow you to proceed to download the </w:t>
      </w:r>
      <w:r w:rsidR="00863F02">
        <w:rPr>
          <w:sz w:val="21"/>
          <w:szCs w:val="21"/>
        </w:rPr>
        <w:t xml:space="preserve">SLFS </w:t>
      </w:r>
      <w:r w:rsidRPr="00D93D47">
        <w:rPr>
          <w:sz w:val="21"/>
          <w:szCs w:val="21"/>
        </w:rPr>
        <w:t>data set.</w:t>
      </w:r>
    </w:p>
    <w:p w:rsidR="00FE0ABA" w:rsidRDefault="00BB7C9F" w:rsidP="00B57859">
      <w:pPr>
        <w:spacing w:after="120" w:line="276" w:lineRule="auto"/>
      </w:pPr>
      <w:r w:rsidRPr="00C84B76">
        <w:t xml:space="preserve">Table </w:t>
      </w:r>
      <w:r w:rsidR="00081992">
        <w:t>2</w:t>
      </w:r>
      <w:r w:rsidRPr="00C84B76">
        <w:t xml:space="preserve"> below shows the project schedule</w:t>
      </w:r>
      <w:r>
        <w:t xml:space="preserve"> for the </w:t>
      </w:r>
      <w:r w:rsidR="00081992">
        <w:t xml:space="preserve">SLFS </w:t>
      </w:r>
      <w:r w:rsidR="00655924">
        <w:t>2016.</w:t>
      </w:r>
    </w:p>
    <w:p w:rsidR="00BB7C9F" w:rsidRPr="00673E11" w:rsidRDefault="00BB7C9F" w:rsidP="00B57859">
      <w:pPr>
        <w:spacing w:before="240" w:after="60"/>
        <w:rPr>
          <w:b/>
          <w:spacing w:val="-1"/>
        </w:rPr>
      </w:pPr>
      <w:r w:rsidRPr="00673E11">
        <w:rPr>
          <w:b/>
          <w:spacing w:val="-1"/>
        </w:rPr>
        <w:t xml:space="preserve">Table </w:t>
      </w:r>
      <w:r w:rsidR="00081992">
        <w:rPr>
          <w:b/>
          <w:spacing w:val="-1"/>
        </w:rPr>
        <w:t>2</w:t>
      </w:r>
      <w:r w:rsidRPr="00673E11">
        <w:rPr>
          <w:b/>
          <w:spacing w:val="-1"/>
        </w:rPr>
        <w:t>.</w:t>
      </w:r>
      <w:r w:rsidR="00673E11">
        <w:rPr>
          <w:b/>
          <w:spacing w:val="-1"/>
        </w:rPr>
        <w:t xml:space="preserve"> </w:t>
      </w:r>
      <w:r w:rsidR="00081992" w:rsidRPr="00673E11">
        <w:rPr>
          <w:b/>
          <w:spacing w:val="-1"/>
        </w:rPr>
        <w:t xml:space="preserve">SLFS </w:t>
      </w:r>
      <w:r w:rsidR="00655924" w:rsidRPr="00673E11">
        <w:rPr>
          <w:b/>
          <w:spacing w:val="-1"/>
        </w:rPr>
        <w:t xml:space="preserve">2016 </w:t>
      </w:r>
      <w:r w:rsidRPr="00673E11">
        <w:rPr>
          <w:b/>
          <w:spacing w:val="-1"/>
        </w:rPr>
        <w:t>Timetable</w:t>
      </w:r>
    </w:p>
    <w:tbl>
      <w:tblPr>
        <w:tblStyle w:val="TableGrid"/>
        <w:tblW w:w="5000" w:type="pct"/>
        <w:tblLook w:val="04A0" w:firstRow="1" w:lastRow="0" w:firstColumn="1" w:lastColumn="0" w:noHBand="0" w:noVBand="1"/>
      </w:tblPr>
      <w:tblGrid>
        <w:gridCol w:w="7172"/>
        <w:gridCol w:w="3412"/>
      </w:tblGrid>
      <w:tr w:rsidR="00BB7C9F" w:rsidRPr="00AC39FC" w:rsidTr="00AC39FC">
        <w:trPr>
          <w:trHeight w:val="144"/>
          <w:tblHeader/>
        </w:trPr>
        <w:tc>
          <w:tcPr>
            <w:tcW w:w="3388" w:type="pct"/>
          </w:tcPr>
          <w:p w:rsidR="00BB7C9F" w:rsidRPr="00AC39FC" w:rsidRDefault="00BB7C9F" w:rsidP="00BB7C9F">
            <w:pPr>
              <w:rPr>
                <w:b/>
                <w:sz w:val="20"/>
                <w:szCs w:val="20"/>
              </w:rPr>
            </w:pPr>
            <w:r w:rsidRPr="00AC39FC">
              <w:rPr>
                <w:b/>
                <w:sz w:val="20"/>
                <w:szCs w:val="20"/>
              </w:rPr>
              <w:t>Data Collection</w:t>
            </w:r>
          </w:p>
        </w:tc>
        <w:tc>
          <w:tcPr>
            <w:tcW w:w="1612" w:type="pct"/>
          </w:tcPr>
          <w:p w:rsidR="00BB7C9F" w:rsidRPr="00AC39FC" w:rsidRDefault="00AC39FC" w:rsidP="00BB7C9F">
            <w:pPr>
              <w:rPr>
                <w:b/>
                <w:sz w:val="20"/>
                <w:szCs w:val="20"/>
              </w:rPr>
            </w:pPr>
            <w:r w:rsidRPr="00AC39FC">
              <w:rPr>
                <w:b/>
                <w:sz w:val="20"/>
                <w:szCs w:val="20"/>
              </w:rPr>
              <w:t>Timeframe</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Data item definitions</w:t>
            </w:r>
          </w:p>
          <w:p w:rsidR="00BB7C9F" w:rsidRPr="0021035C" w:rsidRDefault="00BB7C9F" w:rsidP="00BB7C9F">
            <w:pPr>
              <w:rPr>
                <w:sz w:val="20"/>
                <w:szCs w:val="20"/>
              </w:rPr>
            </w:pPr>
            <w:r>
              <w:rPr>
                <w:sz w:val="20"/>
                <w:szCs w:val="20"/>
              </w:rPr>
              <w:t>Data collection materials development</w:t>
            </w:r>
          </w:p>
          <w:p w:rsidR="00BB7C9F" w:rsidRPr="0021035C" w:rsidRDefault="00BB7C9F" w:rsidP="00BB7C9F">
            <w:pPr>
              <w:rPr>
                <w:sz w:val="20"/>
                <w:szCs w:val="20"/>
              </w:rPr>
            </w:pPr>
            <w:r w:rsidRPr="0021035C">
              <w:rPr>
                <w:sz w:val="20"/>
                <w:szCs w:val="20"/>
              </w:rPr>
              <w:t>Add school-level capacity to F-33 LEAFS processing system</w:t>
            </w:r>
          </w:p>
        </w:tc>
        <w:tc>
          <w:tcPr>
            <w:tcW w:w="1612" w:type="pct"/>
          </w:tcPr>
          <w:p w:rsidR="00BB7C9F" w:rsidRPr="0021035C" w:rsidRDefault="00BB7C9F" w:rsidP="00BB7C9F">
            <w:pPr>
              <w:rPr>
                <w:sz w:val="20"/>
                <w:szCs w:val="20"/>
              </w:rPr>
            </w:pPr>
            <w:r w:rsidRPr="0021035C">
              <w:rPr>
                <w:sz w:val="20"/>
                <w:szCs w:val="20"/>
              </w:rPr>
              <w:t>October 30, 201</w:t>
            </w:r>
            <w:r w:rsidR="00655924">
              <w:rPr>
                <w:sz w:val="20"/>
                <w:szCs w:val="20"/>
              </w:rPr>
              <w:t>6</w:t>
            </w:r>
          </w:p>
          <w:p w:rsidR="00BB7C9F" w:rsidRPr="0021035C" w:rsidRDefault="00BB7C9F" w:rsidP="00BB7C9F">
            <w:pPr>
              <w:rPr>
                <w:sz w:val="20"/>
                <w:szCs w:val="20"/>
              </w:rPr>
            </w:pPr>
            <w:r w:rsidRPr="0021035C">
              <w:rPr>
                <w:sz w:val="20"/>
                <w:szCs w:val="20"/>
              </w:rPr>
              <w:t>November 14, 201</w:t>
            </w:r>
            <w:r w:rsidR="00655924">
              <w:rPr>
                <w:sz w:val="20"/>
                <w:szCs w:val="20"/>
              </w:rPr>
              <w:t>6</w:t>
            </w:r>
          </w:p>
          <w:p w:rsidR="00BB7C9F" w:rsidRPr="0021035C" w:rsidRDefault="00BB7C9F" w:rsidP="00655924">
            <w:pPr>
              <w:rPr>
                <w:sz w:val="20"/>
                <w:szCs w:val="20"/>
              </w:rPr>
            </w:pPr>
            <w:r w:rsidRPr="00513E3C">
              <w:rPr>
                <w:sz w:val="20"/>
                <w:szCs w:val="20"/>
              </w:rPr>
              <w:t>December, 15, 201</w:t>
            </w:r>
            <w:r w:rsidR="00655924">
              <w:rPr>
                <w:sz w:val="20"/>
                <w:szCs w:val="20"/>
              </w:rPr>
              <w:t>6</w:t>
            </w:r>
          </w:p>
        </w:tc>
      </w:tr>
      <w:tr w:rsidR="00BB7C9F" w:rsidTr="00673E11">
        <w:trPr>
          <w:trHeight w:val="144"/>
        </w:trPr>
        <w:tc>
          <w:tcPr>
            <w:tcW w:w="3388" w:type="pct"/>
          </w:tcPr>
          <w:p w:rsidR="00BB7C9F" w:rsidRPr="0021035C" w:rsidRDefault="00BB7C9F" w:rsidP="009C2EE2">
            <w:pPr>
              <w:rPr>
                <w:sz w:val="20"/>
                <w:szCs w:val="20"/>
              </w:rPr>
            </w:pPr>
            <w:r>
              <w:rPr>
                <w:sz w:val="20"/>
                <w:szCs w:val="20"/>
              </w:rPr>
              <w:t>SLFS 201</w:t>
            </w:r>
            <w:r w:rsidR="009C2EE2">
              <w:rPr>
                <w:sz w:val="20"/>
                <w:szCs w:val="20"/>
              </w:rPr>
              <w:t>6</w:t>
            </w:r>
            <w:r>
              <w:rPr>
                <w:sz w:val="20"/>
                <w:szCs w:val="20"/>
              </w:rPr>
              <w:t xml:space="preserve"> d</w:t>
            </w:r>
            <w:r w:rsidRPr="0021035C">
              <w:rPr>
                <w:sz w:val="20"/>
                <w:szCs w:val="20"/>
              </w:rPr>
              <w:t>ata collection opens</w:t>
            </w:r>
          </w:p>
        </w:tc>
        <w:tc>
          <w:tcPr>
            <w:tcW w:w="1612" w:type="pct"/>
          </w:tcPr>
          <w:p w:rsidR="00BB7C9F" w:rsidRPr="008C7746" w:rsidRDefault="00B03422" w:rsidP="00B03422">
            <w:pPr>
              <w:rPr>
                <w:sz w:val="20"/>
                <w:szCs w:val="20"/>
              </w:rPr>
            </w:pPr>
            <w:r>
              <w:rPr>
                <w:sz w:val="20"/>
                <w:szCs w:val="20"/>
              </w:rPr>
              <w:t>March</w:t>
            </w:r>
            <w:r w:rsidR="00655924">
              <w:rPr>
                <w:sz w:val="20"/>
                <w:szCs w:val="20"/>
              </w:rPr>
              <w:t xml:space="preserve"> 2017</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Editing and processing of data</w:t>
            </w:r>
          </w:p>
        </w:tc>
        <w:tc>
          <w:tcPr>
            <w:tcW w:w="1612" w:type="pct"/>
          </w:tcPr>
          <w:p w:rsidR="00BB7C9F" w:rsidRPr="00E471D3" w:rsidRDefault="00BB7C9F" w:rsidP="00655924">
            <w:pPr>
              <w:rPr>
                <w:sz w:val="20"/>
                <w:szCs w:val="20"/>
              </w:rPr>
            </w:pPr>
            <w:r w:rsidRPr="00E471D3">
              <w:rPr>
                <w:sz w:val="20"/>
                <w:szCs w:val="20"/>
              </w:rPr>
              <w:t>May-December 201</w:t>
            </w:r>
            <w:r w:rsidR="00655924">
              <w:rPr>
                <w:sz w:val="20"/>
                <w:szCs w:val="20"/>
              </w:rPr>
              <w:t>7</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Independent review of data</w:t>
            </w:r>
          </w:p>
        </w:tc>
        <w:tc>
          <w:tcPr>
            <w:tcW w:w="1612" w:type="pct"/>
          </w:tcPr>
          <w:p w:rsidR="00BB7C9F" w:rsidRPr="00E471D3" w:rsidRDefault="00BB7C9F" w:rsidP="00655924">
            <w:pPr>
              <w:rPr>
                <w:sz w:val="20"/>
                <w:szCs w:val="20"/>
              </w:rPr>
            </w:pPr>
            <w:r w:rsidRPr="00E471D3">
              <w:rPr>
                <w:sz w:val="20"/>
                <w:szCs w:val="20"/>
              </w:rPr>
              <w:t>May-December 201</w:t>
            </w:r>
            <w:r w:rsidR="00655924">
              <w:rPr>
                <w:sz w:val="20"/>
                <w:szCs w:val="20"/>
              </w:rPr>
              <w:t>7</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SEAs respond to data issues uncovered in independent reviews</w:t>
            </w:r>
          </w:p>
        </w:tc>
        <w:tc>
          <w:tcPr>
            <w:tcW w:w="1612" w:type="pct"/>
          </w:tcPr>
          <w:p w:rsidR="00BB7C9F" w:rsidRPr="00E471D3" w:rsidRDefault="00BB7C9F" w:rsidP="00655924">
            <w:pPr>
              <w:rPr>
                <w:sz w:val="20"/>
                <w:szCs w:val="20"/>
              </w:rPr>
            </w:pPr>
            <w:r w:rsidRPr="00E471D3">
              <w:rPr>
                <w:sz w:val="20"/>
                <w:szCs w:val="20"/>
              </w:rPr>
              <w:t>June-December, 201</w:t>
            </w:r>
            <w:r w:rsidR="00655924">
              <w:rPr>
                <w:sz w:val="20"/>
                <w:szCs w:val="20"/>
              </w:rPr>
              <w:t>7</w:t>
            </w:r>
          </w:p>
        </w:tc>
      </w:tr>
      <w:tr w:rsidR="00BB7C9F" w:rsidTr="00673E11">
        <w:trPr>
          <w:trHeight w:val="144"/>
        </w:trPr>
        <w:tc>
          <w:tcPr>
            <w:tcW w:w="3388" w:type="pct"/>
          </w:tcPr>
          <w:p w:rsidR="00BB7C9F" w:rsidRPr="0021035C" w:rsidRDefault="00BB7C9F" w:rsidP="00655924">
            <w:pPr>
              <w:rPr>
                <w:sz w:val="20"/>
                <w:szCs w:val="20"/>
              </w:rPr>
            </w:pPr>
            <w:r w:rsidRPr="0021035C">
              <w:rPr>
                <w:sz w:val="20"/>
                <w:szCs w:val="20"/>
              </w:rPr>
              <w:t xml:space="preserve">Complete </w:t>
            </w:r>
            <w:r w:rsidR="00B5117F">
              <w:rPr>
                <w:sz w:val="20"/>
                <w:szCs w:val="20"/>
              </w:rPr>
              <w:t>FY 201</w:t>
            </w:r>
            <w:r w:rsidR="00655924">
              <w:rPr>
                <w:sz w:val="20"/>
                <w:szCs w:val="20"/>
              </w:rPr>
              <w:t>6</w:t>
            </w:r>
            <w:r w:rsidRPr="0021035C">
              <w:rPr>
                <w:sz w:val="20"/>
                <w:szCs w:val="20"/>
              </w:rPr>
              <w:t xml:space="preserve"> data collection</w:t>
            </w:r>
          </w:p>
        </w:tc>
        <w:tc>
          <w:tcPr>
            <w:tcW w:w="1612" w:type="pct"/>
          </w:tcPr>
          <w:p w:rsidR="00BB7C9F" w:rsidRPr="00E471D3" w:rsidRDefault="00BB7C9F" w:rsidP="00655924">
            <w:pPr>
              <w:rPr>
                <w:sz w:val="20"/>
                <w:szCs w:val="20"/>
              </w:rPr>
            </w:pPr>
            <w:r w:rsidRPr="00E471D3">
              <w:rPr>
                <w:sz w:val="20"/>
                <w:szCs w:val="20"/>
              </w:rPr>
              <w:t>December 31, 201</w:t>
            </w:r>
            <w:r w:rsidR="00655924">
              <w:rPr>
                <w:sz w:val="20"/>
                <w:szCs w:val="20"/>
              </w:rPr>
              <w:t>7</w:t>
            </w:r>
          </w:p>
        </w:tc>
      </w:tr>
      <w:tr w:rsidR="00BB7C9F" w:rsidTr="00673E11">
        <w:trPr>
          <w:trHeight w:val="144"/>
        </w:trPr>
        <w:tc>
          <w:tcPr>
            <w:tcW w:w="3388" w:type="pct"/>
          </w:tcPr>
          <w:p w:rsidR="00BB7C9F" w:rsidRPr="0021035C" w:rsidRDefault="00BB7C9F" w:rsidP="00BB7C9F">
            <w:pPr>
              <w:rPr>
                <w:b/>
                <w:sz w:val="20"/>
                <w:szCs w:val="20"/>
              </w:rPr>
            </w:pPr>
            <w:r w:rsidRPr="0021035C">
              <w:rPr>
                <w:b/>
                <w:sz w:val="20"/>
                <w:szCs w:val="20"/>
              </w:rPr>
              <w:lastRenderedPageBreak/>
              <w:t>Analysis Plan</w:t>
            </w:r>
          </w:p>
        </w:tc>
        <w:tc>
          <w:tcPr>
            <w:tcW w:w="1612" w:type="pct"/>
          </w:tcPr>
          <w:p w:rsidR="00BB7C9F" w:rsidRPr="008C7746" w:rsidRDefault="00BB7C9F" w:rsidP="00BB7C9F">
            <w:pPr>
              <w:rPr>
                <w:sz w:val="20"/>
                <w:szCs w:val="20"/>
                <w:highlight w:val="yellow"/>
              </w:rPr>
            </w:pP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Draft Analysis Plan</w:t>
            </w:r>
          </w:p>
        </w:tc>
        <w:tc>
          <w:tcPr>
            <w:tcW w:w="1612" w:type="pct"/>
          </w:tcPr>
          <w:p w:rsidR="00BB7C9F" w:rsidRPr="00DF4747" w:rsidRDefault="00BB7C9F" w:rsidP="009C2EE2">
            <w:pPr>
              <w:rPr>
                <w:sz w:val="20"/>
                <w:szCs w:val="20"/>
              </w:rPr>
            </w:pPr>
            <w:r w:rsidRPr="00DF4747">
              <w:rPr>
                <w:sz w:val="20"/>
                <w:szCs w:val="20"/>
              </w:rPr>
              <w:t>September 15, 201</w:t>
            </w:r>
            <w:r w:rsidR="009C2EE2">
              <w:rPr>
                <w:sz w:val="20"/>
                <w:szCs w:val="20"/>
              </w:rPr>
              <w:t>7</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Revised Analysis Plan</w:t>
            </w:r>
          </w:p>
        </w:tc>
        <w:tc>
          <w:tcPr>
            <w:tcW w:w="1612" w:type="pct"/>
          </w:tcPr>
          <w:p w:rsidR="00BB7C9F" w:rsidRPr="00DF4747" w:rsidRDefault="00BB7C9F" w:rsidP="009C2EE2">
            <w:pPr>
              <w:rPr>
                <w:sz w:val="20"/>
                <w:szCs w:val="20"/>
              </w:rPr>
            </w:pPr>
            <w:r w:rsidRPr="00DF4747">
              <w:rPr>
                <w:sz w:val="20"/>
                <w:szCs w:val="20"/>
              </w:rPr>
              <w:t>November 15, 201</w:t>
            </w:r>
            <w:r w:rsidR="009C2EE2">
              <w:rPr>
                <w:sz w:val="20"/>
                <w:szCs w:val="20"/>
              </w:rPr>
              <w:t>7</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Preliminary data tabulations</w:t>
            </w:r>
          </w:p>
        </w:tc>
        <w:tc>
          <w:tcPr>
            <w:tcW w:w="1612" w:type="pct"/>
          </w:tcPr>
          <w:p w:rsidR="00BB7C9F" w:rsidRPr="00DF4747" w:rsidRDefault="00BB7C9F" w:rsidP="00655924">
            <w:pPr>
              <w:rPr>
                <w:sz w:val="20"/>
                <w:szCs w:val="20"/>
              </w:rPr>
            </w:pPr>
            <w:r w:rsidRPr="00DF4747">
              <w:rPr>
                <w:sz w:val="20"/>
                <w:szCs w:val="20"/>
              </w:rPr>
              <w:t>March 31,201</w:t>
            </w:r>
            <w:r w:rsidR="00655924">
              <w:rPr>
                <w:sz w:val="20"/>
                <w:szCs w:val="20"/>
              </w:rPr>
              <w:t>8</w:t>
            </w: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Revised data tabulations</w:t>
            </w:r>
          </w:p>
        </w:tc>
        <w:tc>
          <w:tcPr>
            <w:tcW w:w="1612" w:type="pct"/>
          </w:tcPr>
          <w:p w:rsidR="00BB7C9F" w:rsidRPr="00DF4747" w:rsidRDefault="00BB7C9F" w:rsidP="00655924">
            <w:pPr>
              <w:rPr>
                <w:sz w:val="20"/>
                <w:szCs w:val="20"/>
              </w:rPr>
            </w:pPr>
            <w:r w:rsidRPr="00DF4747">
              <w:rPr>
                <w:sz w:val="20"/>
                <w:szCs w:val="20"/>
              </w:rPr>
              <w:t>April 30, 201</w:t>
            </w:r>
            <w:r w:rsidR="00655924">
              <w:rPr>
                <w:sz w:val="20"/>
                <w:szCs w:val="20"/>
              </w:rPr>
              <w:t>8</w:t>
            </w:r>
          </w:p>
        </w:tc>
      </w:tr>
      <w:tr w:rsidR="00BB7C9F" w:rsidTr="00673E11">
        <w:trPr>
          <w:trHeight w:val="144"/>
        </w:trPr>
        <w:tc>
          <w:tcPr>
            <w:tcW w:w="3388" w:type="pct"/>
          </w:tcPr>
          <w:p w:rsidR="00BB7C9F" w:rsidRPr="0021035C" w:rsidRDefault="00BB7C9F" w:rsidP="00655924">
            <w:pPr>
              <w:rPr>
                <w:sz w:val="20"/>
                <w:szCs w:val="20"/>
              </w:rPr>
            </w:pPr>
            <w:r w:rsidRPr="0021035C">
              <w:rPr>
                <w:sz w:val="20"/>
                <w:szCs w:val="20"/>
              </w:rPr>
              <w:t xml:space="preserve">Data tabulations for </w:t>
            </w:r>
            <w:r w:rsidR="00655924">
              <w:rPr>
                <w:sz w:val="20"/>
                <w:szCs w:val="20"/>
              </w:rPr>
              <w:t xml:space="preserve">Statistical Analysis </w:t>
            </w:r>
            <w:r w:rsidRPr="0021035C">
              <w:rPr>
                <w:sz w:val="20"/>
                <w:szCs w:val="20"/>
              </w:rPr>
              <w:t>report</w:t>
            </w:r>
          </w:p>
        </w:tc>
        <w:tc>
          <w:tcPr>
            <w:tcW w:w="1612" w:type="pct"/>
          </w:tcPr>
          <w:p w:rsidR="00BB7C9F" w:rsidRPr="00DF4747" w:rsidRDefault="00BB7C9F" w:rsidP="00655924">
            <w:pPr>
              <w:rPr>
                <w:sz w:val="20"/>
                <w:szCs w:val="20"/>
              </w:rPr>
            </w:pPr>
            <w:r w:rsidRPr="00DF4747">
              <w:rPr>
                <w:sz w:val="20"/>
                <w:szCs w:val="20"/>
              </w:rPr>
              <w:t>May 14, 201</w:t>
            </w:r>
            <w:r w:rsidR="00655924">
              <w:rPr>
                <w:sz w:val="20"/>
                <w:szCs w:val="20"/>
              </w:rPr>
              <w:t>8</w:t>
            </w:r>
          </w:p>
        </w:tc>
      </w:tr>
      <w:tr w:rsidR="00BB7C9F" w:rsidTr="00673E11">
        <w:trPr>
          <w:trHeight w:val="144"/>
        </w:trPr>
        <w:tc>
          <w:tcPr>
            <w:tcW w:w="3388" w:type="pct"/>
          </w:tcPr>
          <w:p w:rsidR="00BB7C9F" w:rsidRPr="0021035C" w:rsidRDefault="00BB7C9F" w:rsidP="00BB7C9F">
            <w:pPr>
              <w:rPr>
                <w:b/>
                <w:sz w:val="20"/>
                <w:szCs w:val="20"/>
              </w:rPr>
            </w:pPr>
            <w:r>
              <w:rPr>
                <w:b/>
                <w:sz w:val="20"/>
                <w:szCs w:val="20"/>
              </w:rPr>
              <w:t>Documentation</w:t>
            </w:r>
          </w:p>
        </w:tc>
        <w:tc>
          <w:tcPr>
            <w:tcW w:w="1612" w:type="pct"/>
          </w:tcPr>
          <w:p w:rsidR="00BB7C9F" w:rsidRPr="00DF4747" w:rsidRDefault="00BB7C9F" w:rsidP="00BB7C9F">
            <w:pPr>
              <w:rPr>
                <w:sz w:val="20"/>
                <w:szCs w:val="20"/>
              </w:rPr>
            </w:pPr>
          </w:p>
        </w:tc>
      </w:tr>
      <w:tr w:rsidR="00BB7C9F" w:rsidTr="00673E11">
        <w:trPr>
          <w:trHeight w:val="144"/>
        </w:trPr>
        <w:tc>
          <w:tcPr>
            <w:tcW w:w="3388" w:type="pct"/>
          </w:tcPr>
          <w:p w:rsidR="00BB7C9F" w:rsidRPr="0021035C" w:rsidRDefault="00BB7C9F" w:rsidP="00BB7C9F">
            <w:pPr>
              <w:rPr>
                <w:sz w:val="20"/>
                <w:szCs w:val="20"/>
              </w:rPr>
            </w:pPr>
            <w:r w:rsidRPr="0021035C">
              <w:rPr>
                <w:sz w:val="20"/>
                <w:szCs w:val="20"/>
              </w:rPr>
              <w:t>Draft documentation</w:t>
            </w:r>
          </w:p>
        </w:tc>
        <w:tc>
          <w:tcPr>
            <w:tcW w:w="1612" w:type="pct"/>
          </w:tcPr>
          <w:p w:rsidR="00BB7C9F" w:rsidRPr="00DF4747" w:rsidRDefault="00BB7C9F" w:rsidP="00655924">
            <w:pPr>
              <w:rPr>
                <w:sz w:val="20"/>
                <w:szCs w:val="20"/>
              </w:rPr>
            </w:pPr>
            <w:r w:rsidRPr="00DF4747">
              <w:rPr>
                <w:sz w:val="20"/>
                <w:szCs w:val="20"/>
              </w:rPr>
              <w:t>November 15, 201</w:t>
            </w:r>
            <w:r w:rsidR="00655924">
              <w:rPr>
                <w:sz w:val="20"/>
                <w:szCs w:val="20"/>
              </w:rPr>
              <w:t>7</w:t>
            </w:r>
          </w:p>
        </w:tc>
      </w:tr>
      <w:tr w:rsidR="00BB7C9F" w:rsidTr="00673E11">
        <w:trPr>
          <w:trHeight w:val="144"/>
        </w:trPr>
        <w:tc>
          <w:tcPr>
            <w:tcW w:w="3388" w:type="pct"/>
          </w:tcPr>
          <w:p w:rsidR="00BB7C9F" w:rsidRPr="0021035C" w:rsidRDefault="00655924" w:rsidP="00655924">
            <w:pPr>
              <w:rPr>
                <w:b/>
                <w:sz w:val="20"/>
                <w:szCs w:val="20"/>
              </w:rPr>
            </w:pPr>
            <w:r>
              <w:rPr>
                <w:b/>
                <w:sz w:val="20"/>
                <w:szCs w:val="20"/>
              </w:rPr>
              <w:t xml:space="preserve">Statistical Analysis </w:t>
            </w:r>
            <w:r w:rsidR="00BB7C9F" w:rsidRPr="0021035C">
              <w:rPr>
                <w:b/>
                <w:sz w:val="20"/>
                <w:szCs w:val="20"/>
              </w:rPr>
              <w:t>Report</w:t>
            </w:r>
          </w:p>
        </w:tc>
        <w:tc>
          <w:tcPr>
            <w:tcW w:w="1612" w:type="pct"/>
          </w:tcPr>
          <w:p w:rsidR="00BB7C9F" w:rsidRPr="00DF4747" w:rsidRDefault="00BB7C9F" w:rsidP="00BB7C9F">
            <w:pPr>
              <w:rPr>
                <w:sz w:val="20"/>
                <w:szCs w:val="20"/>
              </w:rPr>
            </w:pPr>
          </w:p>
        </w:tc>
      </w:tr>
      <w:tr w:rsidR="00BB7C9F" w:rsidTr="00673E11">
        <w:trPr>
          <w:trHeight w:val="144"/>
        </w:trPr>
        <w:tc>
          <w:tcPr>
            <w:tcW w:w="3388" w:type="pct"/>
          </w:tcPr>
          <w:p w:rsidR="00BB7C9F" w:rsidRPr="0021035C" w:rsidRDefault="00BB7C9F" w:rsidP="009C2EE2">
            <w:pPr>
              <w:rPr>
                <w:sz w:val="20"/>
                <w:szCs w:val="20"/>
              </w:rPr>
            </w:pPr>
            <w:r w:rsidRPr="0021035C">
              <w:rPr>
                <w:sz w:val="20"/>
                <w:szCs w:val="20"/>
              </w:rPr>
              <w:t xml:space="preserve">First draft of </w:t>
            </w:r>
            <w:r w:rsidR="009C2EE2">
              <w:rPr>
                <w:sz w:val="20"/>
                <w:szCs w:val="20"/>
              </w:rPr>
              <w:t xml:space="preserve">Statistical Analysis </w:t>
            </w:r>
            <w:r w:rsidRPr="0021035C">
              <w:rPr>
                <w:sz w:val="20"/>
                <w:szCs w:val="20"/>
              </w:rPr>
              <w:t>report</w:t>
            </w:r>
          </w:p>
        </w:tc>
        <w:tc>
          <w:tcPr>
            <w:tcW w:w="1612" w:type="pct"/>
          </w:tcPr>
          <w:p w:rsidR="00BB7C9F" w:rsidRPr="00DF4747" w:rsidRDefault="009C2EE2" w:rsidP="009C2EE2">
            <w:pPr>
              <w:rPr>
                <w:sz w:val="20"/>
                <w:szCs w:val="20"/>
              </w:rPr>
            </w:pPr>
            <w:r>
              <w:rPr>
                <w:sz w:val="20"/>
                <w:szCs w:val="20"/>
              </w:rPr>
              <w:t xml:space="preserve">March </w:t>
            </w:r>
            <w:r w:rsidR="00BB7C9F" w:rsidRPr="00DF4747">
              <w:rPr>
                <w:sz w:val="20"/>
                <w:szCs w:val="20"/>
              </w:rPr>
              <w:t>201</w:t>
            </w:r>
            <w:r w:rsidR="00655924">
              <w:rPr>
                <w:sz w:val="20"/>
                <w:szCs w:val="20"/>
              </w:rPr>
              <w:t>8</w:t>
            </w:r>
          </w:p>
        </w:tc>
      </w:tr>
      <w:tr w:rsidR="00BB7C9F" w:rsidTr="00673E11">
        <w:trPr>
          <w:trHeight w:val="144"/>
        </w:trPr>
        <w:tc>
          <w:tcPr>
            <w:tcW w:w="3388" w:type="pct"/>
          </w:tcPr>
          <w:p w:rsidR="00BB7C9F" w:rsidRPr="0021035C" w:rsidRDefault="00BB7C9F" w:rsidP="009C2EE2">
            <w:pPr>
              <w:rPr>
                <w:sz w:val="20"/>
                <w:szCs w:val="20"/>
              </w:rPr>
            </w:pPr>
            <w:r w:rsidRPr="0021035C">
              <w:rPr>
                <w:sz w:val="20"/>
                <w:szCs w:val="20"/>
              </w:rPr>
              <w:t xml:space="preserve">Publish </w:t>
            </w:r>
            <w:r w:rsidR="009C2EE2">
              <w:rPr>
                <w:sz w:val="20"/>
                <w:szCs w:val="20"/>
              </w:rPr>
              <w:t xml:space="preserve">Statistical </w:t>
            </w:r>
            <w:r w:rsidR="009E2C2A">
              <w:rPr>
                <w:sz w:val="20"/>
                <w:szCs w:val="20"/>
              </w:rPr>
              <w:t>Ana</w:t>
            </w:r>
            <w:r w:rsidR="00091A5C">
              <w:rPr>
                <w:sz w:val="20"/>
                <w:szCs w:val="20"/>
              </w:rPr>
              <w:t>l</w:t>
            </w:r>
            <w:r w:rsidR="009E2C2A">
              <w:rPr>
                <w:sz w:val="20"/>
                <w:szCs w:val="20"/>
              </w:rPr>
              <w:t xml:space="preserve">ysis </w:t>
            </w:r>
            <w:r w:rsidRPr="0021035C">
              <w:rPr>
                <w:sz w:val="20"/>
                <w:szCs w:val="20"/>
              </w:rPr>
              <w:t>report</w:t>
            </w:r>
          </w:p>
        </w:tc>
        <w:tc>
          <w:tcPr>
            <w:tcW w:w="1612" w:type="pct"/>
          </w:tcPr>
          <w:p w:rsidR="00BB7C9F" w:rsidRPr="00DF4747" w:rsidRDefault="009C2EE2" w:rsidP="009C2EE2">
            <w:pPr>
              <w:rPr>
                <w:sz w:val="20"/>
                <w:szCs w:val="20"/>
              </w:rPr>
            </w:pPr>
            <w:r>
              <w:rPr>
                <w:sz w:val="20"/>
                <w:szCs w:val="20"/>
              </w:rPr>
              <w:t xml:space="preserve">June </w:t>
            </w:r>
            <w:r w:rsidR="00BB7C9F" w:rsidRPr="00DF4747">
              <w:rPr>
                <w:sz w:val="20"/>
                <w:szCs w:val="20"/>
              </w:rPr>
              <w:t>201</w:t>
            </w:r>
            <w:r w:rsidR="00655924">
              <w:rPr>
                <w:sz w:val="20"/>
                <w:szCs w:val="20"/>
              </w:rPr>
              <w:t>8</w:t>
            </w:r>
          </w:p>
        </w:tc>
      </w:tr>
      <w:tr w:rsidR="006F0DC6" w:rsidTr="00673E11">
        <w:trPr>
          <w:trHeight w:val="144"/>
        </w:trPr>
        <w:tc>
          <w:tcPr>
            <w:tcW w:w="3388" w:type="pct"/>
          </w:tcPr>
          <w:p w:rsidR="006F0DC6" w:rsidRPr="00727578" w:rsidRDefault="006F0DC6" w:rsidP="009C2EE2">
            <w:pPr>
              <w:rPr>
                <w:b/>
                <w:sz w:val="20"/>
                <w:szCs w:val="20"/>
              </w:rPr>
            </w:pPr>
            <w:r w:rsidRPr="00727578">
              <w:rPr>
                <w:b/>
                <w:sz w:val="20"/>
                <w:szCs w:val="20"/>
              </w:rPr>
              <w:t>Data Files</w:t>
            </w:r>
          </w:p>
        </w:tc>
        <w:tc>
          <w:tcPr>
            <w:tcW w:w="1612" w:type="pct"/>
          </w:tcPr>
          <w:p w:rsidR="006F0DC6" w:rsidRDefault="006F0DC6" w:rsidP="009C2EE2">
            <w:pPr>
              <w:rPr>
                <w:sz w:val="20"/>
                <w:szCs w:val="20"/>
              </w:rPr>
            </w:pPr>
          </w:p>
        </w:tc>
      </w:tr>
      <w:tr w:rsidR="006F0DC6" w:rsidTr="00673E11">
        <w:trPr>
          <w:trHeight w:val="144"/>
        </w:trPr>
        <w:tc>
          <w:tcPr>
            <w:tcW w:w="3388" w:type="pct"/>
          </w:tcPr>
          <w:p w:rsidR="006F0DC6" w:rsidRPr="0021035C" w:rsidRDefault="006F0DC6" w:rsidP="009C2EE2">
            <w:pPr>
              <w:rPr>
                <w:sz w:val="20"/>
                <w:szCs w:val="20"/>
              </w:rPr>
            </w:pPr>
            <w:r>
              <w:rPr>
                <w:sz w:val="20"/>
                <w:szCs w:val="20"/>
              </w:rPr>
              <w:t>Release of FY 16 SLFS Data File</w:t>
            </w:r>
          </w:p>
        </w:tc>
        <w:tc>
          <w:tcPr>
            <w:tcW w:w="1612" w:type="pct"/>
          </w:tcPr>
          <w:p w:rsidR="006F0DC6" w:rsidRDefault="006F0DC6" w:rsidP="009C2EE2">
            <w:pPr>
              <w:rPr>
                <w:sz w:val="20"/>
                <w:szCs w:val="20"/>
              </w:rPr>
            </w:pPr>
            <w:r>
              <w:rPr>
                <w:sz w:val="20"/>
                <w:szCs w:val="20"/>
              </w:rPr>
              <w:t>July 2018</w:t>
            </w:r>
          </w:p>
        </w:tc>
      </w:tr>
    </w:tbl>
    <w:p w:rsidR="00BB7C9F" w:rsidRPr="00673E11" w:rsidRDefault="00BB7C9F" w:rsidP="00673E11">
      <w:pPr>
        <w:pStyle w:val="Heading"/>
        <w:spacing w:before="0" w:after="0"/>
        <w:jc w:val="left"/>
        <w:rPr>
          <w:b w:val="0"/>
        </w:rPr>
      </w:pPr>
    </w:p>
    <w:p w:rsidR="00B30C42" w:rsidRPr="00AA1670" w:rsidRDefault="008678A4" w:rsidP="00B57859">
      <w:pPr>
        <w:pStyle w:val="Heading1"/>
        <w:spacing w:before="0" w:line="276" w:lineRule="auto"/>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rsidP="00B57859">
      <w:pPr>
        <w:pStyle w:val="Text"/>
        <w:spacing w:after="120" w:line="276" w:lineRule="auto"/>
        <w:rPr>
          <w:sz w:val="24"/>
        </w:rPr>
      </w:pPr>
      <w:r w:rsidRPr="00AA1670">
        <w:rPr>
          <w:sz w:val="24"/>
        </w:rPr>
        <w:t>NCES displays the OMB expiration date on the instruction manual sent to the state Fiscal CCD Coordinators and on the data collection web site.</w:t>
      </w:r>
    </w:p>
    <w:p w:rsidR="00B30C42" w:rsidRPr="00AA1670" w:rsidRDefault="00B30C42" w:rsidP="00B57859">
      <w:pPr>
        <w:pStyle w:val="Heading1"/>
        <w:spacing w:before="0" w:line="276" w:lineRule="auto"/>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Default="00B30C42" w:rsidP="00B57859">
      <w:pPr>
        <w:pStyle w:val="Text"/>
        <w:spacing w:after="120" w:line="276" w:lineRule="auto"/>
        <w:rPr>
          <w:sz w:val="24"/>
        </w:rPr>
      </w:pPr>
      <w:r w:rsidRPr="00AA1670">
        <w:rPr>
          <w:sz w:val="24"/>
        </w:rPr>
        <w:t>There are no exceptions to the items in that certification.</w:t>
      </w:r>
    </w:p>
    <w:p w:rsidR="005C47B1" w:rsidRDefault="005C47B1" w:rsidP="00B57859">
      <w:pPr>
        <w:pStyle w:val="Text"/>
        <w:spacing w:after="120" w:line="276" w:lineRule="auto"/>
        <w:rPr>
          <w:sz w:val="24"/>
        </w:rPr>
      </w:pPr>
    </w:p>
    <w:p w:rsidR="005C47B1" w:rsidRPr="00727578" w:rsidRDefault="005C47B1" w:rsidP="00727578">
      <w:pPr>
        <w:pStyle w:val="Text"/>
        <w:spacing w:after="120" w:line="276" w:lineRule="auto"/>
        <w:jc w:val="center"/>
        <w:rPr>
          <w:b/>
          <w:sz w:val="24"/>
        </w:rPr>
      </w:pPr>
      <w:r w:rsidRPr="00727578">
        <w:rPr>
          <w:b/>
          <w:sz w:val="24"/>
        </w:rPr>
        <w:t>References</w:t>
      </w:r>
    </w:p>
    <w:p w:rsidR="005C47B1" w:rsidRPr="00727578" w:rsidRDefault="005C47B1" w:rsidP="00B57859">
      <w:pPr>
        <w:pStyle w:val="Text"/>
        <w:spacing w:after="120" w:line="276" w:lineRule="auto"/>
        <w:rPr>
          <w:szCs w:val="22"/>
        </w:rPr>
      </w:pPr>
      <w:r w:rsidRPr="00727578">
        <w:rPr>
          <w:szCs w:val="22"/>
        </w:rPr>
        <w:t xml:space="preserve">Allison, G.S. (2015). </w:t>
      </w:r>
      <w:r w:rsidRPr="00727578">
        <w:rPr>
          <w:i/>
          <w:szCs w:val="22"/>
        </w:rPr>
        <w:t>Financial Accounting for Local and State School Systems: 2014 Edition</w:t>
      </w:r>
      <w:r w:rsidRPr="00727578">
        <w:rPr>
          <w:szCs w:val="22"/>
        </w:rPr>
        <w:t xml:space="preserve"> (NCES 2015–347). National Center for Education Statistics, Institute of Education Sciences, U.S. Department of Education. Washington, DC. Retrieved March 31, 2015, from </w:t>
      </w:r>
      <w:hyperlink r:id="rId12" w:history="1">
        <w:r w:rsidRPr="00727578">
          <w:rPr>
            <w:rStyle w:val="Hyperlink"/>
            <w:szCs w:val="22"/>
          </w:rPr>
          <w:t>http://nces.ed.gov/pubsearch/pubsinfo.asp?pubid=2015347</w:t>
        </w:r>
      </w:hyperlink>
      <w:r w:rsidR="00727578" w:rsidRPr="00727578">
        <w:rPr>
          <w:rStyle w:val="Hyperlink"/>
          <w:color w:val="auto"/>
          <w:szCs w:val="22"/>
          <w:u w:val="none"/>
        </w:rPr>
        <w:t>.</w:t>
      </w:r>
    </w:p>
    <w:p w:rsidR="005C47B1" w:rsidRPr="00727578" w:rsidRDefault="005C47B1" w:rsidP="00B57859">
      <w:pPr>
        <w:pStyle w:val="Text"/>
        <w:spacing w:after="120" w:line="276" w:lineRule="auto"/>
        <w:rPr>
          <w:color w:val="007F00"/>
          <w:szCs w:val="22"/>
          <w:shd w:val="clear" w:color="auto" w:fill="FFFFFF"/>
        </w:rPr>
      </w:pPr>
      <w:r w:rsidRPr="00727578">
        <w:rPr>
          <w:szCs w:val="22"/>
        </w:rPr>
        <w:t xml:space="preserve">U.S. Department of Education, Office of Planning, Evaluation and Policy Development, Policy and Program Studies Service, </w:t>
      </w:r>
      <w:r w:rsidRPr="00727578">
        <w:rPr>
          <w:i/>
          <w:iCs/>
          <w:szCs w:val="22"/>
        </w:rPr>
        <w:t>Comparability of State and Local Expenditures Among Schools Within Districts: A Report From the Study of School-Level Expenditures</w:t>
      </w:r>
      <w:r w:rsidRPr="00727578">
        <w:rPr>
          <w:szCs w:val="22"/>
        </w:rPr>
        <w:t>, by Ruth Heuer and Stephanie Stullich, Washington, D.C.,2011</w:t>
      </w:r>
      <w:r w:rsidRPr="00727578">
        <w:rPr>
          <w:rFonts w:eastAsia="Calibri"/>
          <w:szCs w:val="22"/>
        </w:rPr>
        <w:t>.</w:t>
      </w:r>
      <w:r w:rsidR="00E40BD5" w:rsidRPr="00727578">
        <w:rPr>
          <w:rFonts w:eastAsia="Calibri"/>
          <w:szCs w:val="22"/>
        </w:rPr>
        <w:t xml:space="preserve"> Retrieved September 12, 2016</w:t>
      </w:r>
      <w:r w:rsidR="00727578">
        <w:rPr>
          <w:rFonts w:eastAsia="Calibri"/>
          <w:szCs w:val="22"/>
        </w:rPr>
        <w:t xml:space="preserve">, from </w:t>
      </w:r>
      <w:r w:rsidR="00727578" w:rsidRPr="00727578">
        <w:rPr>
          <w:rStyle w:val="Hyperlink"/>
        </w:rPr>
        <w:t>www2.ed.gov/rschstat/eval/title-i/school-level-expenditures/school-level-expenditures.pdf</w:t>
      </w:r>
      <w:r w:rsidR="00727578" w:rsidRPr="00727578">
        <w:rPr>
          <w:rStyle w:val="Hyperlink"/>
          <w:color w:val="auto"/>
          <w:szCs w:val="22"/>
          <w:u w:val="none"/>
        </w:rPr>
        <w:t>.</w:t>
      </w:r>
    </w:p>
    <w:sectPr w:rsidR="005C47B1" w:rsidRPr="00727578" w:rsidSect="00702EC5">
      <w:headerReference w:type="default" r:id="rId13"/>
      <w:footerReference w:type="default" r:id="rId14"/>
      <w:pgSz w:w="12240" w:h="15840" w:code="1"/>
      <w:pgMar w:top="936" w:right="936" w:bottom="936" w:left="93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F1" w:rsidRDefault="00B52CF1">
      <w:r>
        <w:separator/>
      </w:r>
    </w:p>
  </w:endnote>
  <w:endnote w:type="continuationSeparator" w:id="0">
    <w:p w:rsidR="00B52CF1" w:rsidRDefault="00B5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A4" w:rsidRDefault="002F48A4">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F4BD7">
      <w:rPr>
        <w:rStyle w:val="PageNumber"/>
        <w:rFonts w:ascii="Arial" w:hAnsi="Arial" w:cs="Arial"/>
        <w:noProof/>
        <w:sz w:val="18"/>
      </w:rPr>
      <w:t>7</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F1" w:rsidRDefault="00B52CF1">
      <w:r>
        <w:separator/>
      </w:r>
    </w:p>
  </w:footnote>
  <w:footnote w:type="continuationSeparator" w:id="0">
    <w:p w:rsidR="00B52CF1" w:rsidRDefault="00B52CF1">
      <w:r>
        <w:continuationSeparator/>
      </w:r>
    </w:p>
  </w:footnote>
  <w:footnote w:id="1">
    <w:p w:rsidR="002F48A4" w:rsidRPr="0002791F" w:rsidRDefault="002F48A4" w:rsidP="006C1401">
      <w:pPr>
        <w:pStyle w:val="FootnoteText"/>
        <w:rPr>
          <w:szCs w:val="18"/>
        </w:rPr>
      </w:pPr>
      <w:r>
        <w:rPr>
          <w:rStyle w:val="FootnoteReference"/>
        </w:rPr>
        <w:footnoteRef/>
      </w:r>
      <w:r>
        <w:t xml:space="preserve"> </w:t>
      </w:r>
      <w:r w:rsidRPr="0002791F">
        <w:rPr>
          <w:szCs w:val="18"/>
        </w:rPr>
        <w:t>The R&amp;D series of reports at NCES has been initiated to:</w:t>
      </w:r>
    </w:p>
    <w:p w:rsidR="002F48A4" w:rsidRPr="0002791F" w:rsidRDefault="002F48A4" w:rsidP="006C1401">
      <w:pPr>
        <w:pStyle w:val="FootnoteText"/>
        <w:widowControl/>
        <w:numPr>
          <w:ilvl w:val="0"/>
          <w:numId w:val="19"/>
        </w:numPr>
        <w:ind w:left="360" w:hanging="180"/>
        <w:rPr>
          <w:szCs w:val="18"/>
        </w:rPr>
      </w:pPr>
      <w:r w:rsidRPr="0002791F">
        <w:rPr>
          <w:szCs w:val="18"/>
        </w:rPr>
        <w:t>Share studies and research that are developmental in nature. The results of such studies may be revised as the work continues and additional data become available;</w:t>
      </w:r>
    </w:p>
    <w:p w:rsidR="002F48A4" w:rsidRPr="0002791F" w:rsidRDefault="002F48A4" w:rsidP="006C1401">
      <w:pPr>
        <w:pStyle w:val="FootnoteText"/>
        <w:widowControl/>
        <w:numPr>
          <w:ilvl w:val="0"/>
          <w:numId w:val="19"/>
        </w:numPr>
        <w:ind w:left="360" w:hanging="180"/>
        <w:rPr>
          <w:szCs w:val="18"/>
        </w:rPr>
      </w:pPr>
      <w:r w:rsidRPr="0002791F">
        <w:rPr>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2F48A4" w:rsidRPr="00B57859" w:rsidRDefault="002F48A4" w:rsidP="006C1401">
      <w:pPr>
        <w:pStyle w:val="FootnoteText"/>
        <w:widowControl/>
        <w:numPr>
          <w:ilvl w:val="0"/>
          <w:numId w:val="19"/>
        </w:numPr>
        <w:ind w:left="360" w:hanging="180"/>
        <w:rPr>
          <w:szCs w:val="18"/>
        </w:rPr>
      </w:pPr>
      <w:r w:rsidRPr="0002791F">
        <w:rPr>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 w:id="2">
    <w:p w:rsidR="006C1401" w:rsidRPr="00F97682" w:rsidRDefault="006C1401" w:rsidP="00F97682">
      <w:pPr>
        <w:tabs>
          <w:tab w:val="left" w:pos="720"/>
          <w:tab w:val="left" w:pos="1440"/>
        </w:tabs>
        <w:suppressAutoHyphens/>
        <w:spacing w:after="60"/>
        <w:rPr>
          <w:b/>
          <w:sz w:val="20"/>
          <w:szCs w:val="20"/>
        </w:rPr>
      </w:pPr>
      <w:r w:rsidRPr="00F97682">
        <w:rPr>
          <w:rStyle w:val="FootnoteReference"/>
          <w:sz w:val="20"/>
          <w:szCs w:val="20"/>
          <w:vertAlign w:val="superscript"/>
        </w:rPr>
        <w:footnoteRef/>
      </w:r>
      <w:r w:rsidRPr="00F97682">
        <w:rPr>
          <w:sz w:val="20"/>
          <w:szCs w:val="20"/>
        </w:rPr>
        <w:t xml:space="preserve"> The Annual Survey of School System Finances data are collected from the universe of school districts using uniform definitions and concepts of revenue, expenditure, debt, and assets</w:t>
      </w:r>
      <w:r w:rsidRPr="00F97682">
        <w:rPr>
          <w:b/>
          <w:sz w:val="20"/>
          <w:szCs w:val="20"/>
        </w:rPr>
        <w:t>.</w:t>
      </w:r>
    </w:p>
  </w:footnote>
  <w:footnote w:id="3">
    <w:p w:rsidR="006446AC" w:rsidRPr="00F97682" w:rsidRDefault="006446AC" w:rsidP="006446AC">
      <w:pPr>
        <w:pStyle w:val="FootnoteText"/>
        <w:rPr>
          <w:sz w:val="20"/>
        </w:rPr>
      </w:pPr>
      <w:r w:rsidRPr="00F97682">
        <w:rPr>
          <w:rStyle w:val="FootnoteReference"/>
          <w:sz w:val="20"/>
          <w:vertAlign w:val="superscript"/>
        </w:rPr>
        <w:footnoteRef/>
      </w:r>
      <w:r w:rsidR="00723A88" w:rsidRPr="00F97682">
        <w:rPr>
          <w:sz w:val="20"/>
          <w:lang w:val="en-CA"/>
        </w:rPr>
        <w:t xml:space="preserve">The mean salary for SEA technicians is </w:t>
      </w:r>
      <w:r w:rsidR="00F97682" w:rsidRPr="00F97682">
        <w:rPr>
          <w:sz w:val="20"/>
          <w:lang w:val="en-CA"/>
        </w:rPr>
        <w:t xml:space="preserve">estimated at </w:t>
      </w:r>
      <w:r w:rsidR="00723A88" w:rsidRPr="00F97682">
        <w:rPr>
          <w:sz w:val="20"/>
          <w:lang w:val="en-CA"/>
        </w:rPr>
        <w:t>$24.53</w:t>
      </w:r>
      <w:r w:rsidR="00F97682" w:rsidRPr="00F97682">
        <w:rPr>
          <w:sz w:val="20"/>
          <w:lang w:val="en-CA"/>
        </w:rPr>
        <w:t xml:space="preserve"> per hour, and for </w:t>
      </w:r>
      <w:r w:rsidR="00F97682" w:rsidRPr="00F97682">
        <w:rPr>
          <w:sz w:val="20"/>
        </w:rPr>
        <w:t>financial managers (SOC code 113031) working in State government</w:t>
      </w:r>
      <w:r w:rsidR="00F97682" w:rsidRPr="00F97682">
        <w:rPr>
          <w:sz w:val="20"/>
          <w:lang w:val="en-CA"/>
        </w:rPr>
        <w:t xml:space="preserve"> at </w:t>
      </w:r>
      <w:r w:rsidR="00F97682" w:rsidRPr="00F97682">
        <w:rPr>
          <w:sz w:val="20"/>
        </w:rPr>
        <w:t>$47.51 per hour</w:t>
      </w:r>
      <w:r w:rsidR="00F97682" w:rsidRPr="00F97682">
        <w:rPr>
          <w:sz w:val="20"/>
          <w:lang w:val="en-CA"/>
        </w:rPr>
        <w:t xml:space="preserve">, </w:t>
      </w:r>
      <w:r w:rsidR="00723A88" w:rsidRPr="00F97682">
        <w:rPr>
          <w:sz w:val="20"/>
          <w:lang w:val="en-CA"/>
        </w:rPr>
        <w:t xml:space="preserve">based on </w:t>
      </w:r>
      <w:r w:rsidR="00F97682" w:rsidRPr="00F97682">
        <w:rPr>
          <w:sz w:val="20"/>
          <w:lang w:val="en-CA"/>
        </w:rPr>
        <w:t xml:space="preserve">Occupation and Employment Statistics, U.S. Department of Labor, Bureau of Labor Statistics (BLS), from </w:t>
      </w:r>
      <w:r w:rsidR="00723A88" w:rsidRPr="00F97682">
        <w:rPr>
          <w:sz w:val="20"/>
          <w:lang w:val="en-CA"/>
        </w:rPr>
        <w:t>the 2013 Annual Survey of Public Employment and Payroll for the education-elementary and secondary total function</w:t>
      </w:r>
      <w:r w:rsidR="00F97682" w:rsidRPr="00F97682">
        <w:rPr>
          <w:sz w:val="20"/>
          <w:lang w:val="en-CA"/>
        </w:rPr>
        <w:t xml:space="preserve">; and </w:t>
      </w:r>
      <w:r w:rsidR="00723A88" w:rsidRPr="00F97682">
        <w:rPr>
          <w:sz w:val="20"/>
          <w:lang w:val="en-CA"/>
        </w:rPr>
        <w:t xml:space="preserve">calculated by dividing the total monthly payroll for full time state and local government employees by the number of full-time employees, and converting the result to an hourly rate assuming an average forty-hour week. US Census Bureau website accessed April 20, 2015: </w:t>
      </w:r>
      <w:hyperlink r:id="rId1" w:history="1">
        <w:r w:rsidR="00723A88" w:rsidRPr="00F97682">
          <w:rPr>
            <w:rStyle w:val="Hyperlink"/>
            <w:spacing w:val="-1"/>
            <w:szCs w:val="18"/>
          </w:rPr>
          <w:t>http://factfinder.census.gov/faces/tableservices/jsf/pages/productview.xhtml?src=bkmk</w:t>
        </w:r>
      </w:hyperlink>
      <w:r w:rsidR="00723A88" w:rsidRPr="00F97682">
        <w:rPr>
          <w:sz w:val="20"/>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A4" w:rsidRDefault="002F48A4" w:rsidP="00B57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EE496D"/>
    <w:multiLevelType w:val="hybridMultilevel"/>
    <w:tmpl w:val="93CA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57123"/>
    <w:multiLevelType w:val="hybridMultilevel"/>
    <w:tmpl w:val="F68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015AB"/>
    <w:multiLevelType w:val="hybridMultilevel"/>
    <w:tmpl w:val="0FDC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2E7C5D"/>
    <w:multiLevelType w:val="hybridMultilevel"/>
    <w:tmpl w:val="2FB2260C"/>
    <w:lvl w:ilvl="0" w:tplc="CF72D5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3"/>
  </w:num>
  <w:num w:numId="5">
    <w:abstractNumId w:val="8"/>
  </w:num>
  <w:num w:numId="6">
    <w:abstractNumId w:val="9"/>
  </w:num>
  <w:num w:numId="7">
    <w:abstractNumId w:val="18"/>
  </w:num>
  <w:num w:numId="8">
    <w:abstractNumId w:val="16"/>
  </w:num>
  <w:num w:numId="9">
    <w:abstractNumId w:val="11"/>
  </w:num>
  <w:num w:numId="10">
    <w:abstractNumId w:val="14"/>
  </w:num>
  <w:num w:numId="11">
    <w:abstractNumId w:val="6"/>
  </w:num>
  <w:num w:numId="12">
    <w:abstractNumId w:val="21"/>
  </w:num>
  <w:num w:numId="13">
    <w:abstractNumId w:val="0"/>
  </w:num>
  <w:num w:numId="14">
    <w:abstractNumId w:val="1"/>
  </w:num>
  <w:num w:numId="15">
    <w:abstractNumId w:val="2"/>
  </w:num>
  <w:num w:numId="16">
    <w:abstractNumId w:val="12"/>
  </w:num>
  <w:num w:numId="17">
    <w:abstractNumId w:val="7"/>
  </w:num>
  <w:num w:numId="18">
    <w:abstractNumId w:val="19"/>
  </w:num>
  <w:num w:numId="19">
    <w:abstractNumId w:val="17"/>
  </w:num>
  <w:num w:numId="20">
    <w:abstractNumId w:val="5"/>
  </w:num>
  <w:num w:numId="21">
    <w:abstractNumId w:val="20"/>
  </w:num>
  <w:num w:numId="22">
    <w:abstractNumId w:val="15"/>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125CB"/>
    <w:rsid w:val="0002144C"/>
    <w:rsid w:val="00022542"/>
    <w:rsid w:val="00025C4A"/>
    <w:rsid w:val="00031727"/>
    <w:rsid w:val="00031E64"/>
    <w:rsid w:val="00034496"/>
    <w:rsid w:val="00037E7B"/>
    <w:rsid w:val="00043C1B"/>
    <w:rsid w:val="00045078"/>
    <w:rsid w:val="000475DE"/>
    <w:rsid w:val="0005030C"/>
    <w:rsid w:val="000524AA"/>
    <w:rsid w:val="0006010D"/>
    <w:rsid w:val="0006245E"/>
    <w:rsid w:val="00075C96"/>
    <w:rsid w:val="0008195C"/>
    <w:rsid w:val="00081992"/>
    <w:rsid w:val="00083393"/>
    <w:rsid w:val="00085BDD"/>
    <w:rsid w:val="00091A5C"/>
    <w:rsid w:val="00092FDA"/>
    <w:rsid w:val="000941B4"/>
    <w:rsid w:val="00095F20"/>
    <w:rsid w:val="000A203C"/>
    <w:rsid w:val="000A3ADD"/>
    <w:rsid w:val="000A528E"/>
    <w:rsid w:val="000A6D16"/>
    <w:rsid w:val="000B74CA"/>
    <w:rsid w:val="000C51C7"/>
    <w:rsid w:val="000D5A62"/>
    <w:rsid w:val="000E2688"/>
    <w:rsid w:val="000E719E"/>
    <w:rsid w:val="000F3757"/>
    <w:rsid w:val="000F4E30"/>
    <w:rsid w:val="000F55B7"/>
    <w:rsid w:val="000F7556"/>
    <w:rsid w:val="001009B7"/>
    <w:rsid w:val="00100FBD"/>
    <w:rsid w:val="0010135C"/>
    <w:rsid w:val="001029F1"/>
    <w:rsid w:val="00111108"/>
    <w:rsid w:val="0011189D"/>
    <w:rsid w:val="00112012"/>
    <w:rsid w:val="00121F35"/>
    <w:rsid w:val="00141224"/>
    <w:rsid w:val="00142976"/>
    <w:rsid w:val="001446E1"/>
    <w:rsid w:val="00146304"/>
    <w:rsid w:val="00147C66"/>
    <w:rsid w:val="001547C4"/>
    <w:rsid w:val="00157213"/>
    <w:rsid w:val="00157C3E"/>
    <w:rsid w:val="00165D1A"/>
    <w:rsid w:val="00167A98"/>
    <w:rsid w:val="00177C3C"/>
    <w:rsid w:val="00184ABE"/>
    <w:rsid w:val="00187ED5"/>
    <w:rsid w:val="00193DE4"/>
    <w:rsid w:val="0019701A"/>
    <w:rsid w:val="00197941"/>
    <w:rsid w:val="001A0F98"/>
    <w:rsid w:val="001A130F"/>
    <w:rsid w:val="001A4979"/>
    <w:rsid w:val="001A61A2"/>
    <w:rsid w:val="001A6DE1"/>
    <w:rsid w:val="001B1A7F"/>
    <w:rsid w:val="001B22D2"/>
    <w:rsid w:val="001B3EB8"/>
    <w:rsid w:val="001C03E7"/>
    <w:rsid w:val="001C21A4"/>
    <w:rsid w:val="001C3F24"/>
    <w:rsid w:val="001C68E8"/>
    <w:rsid w:val="001D36AA"/>
    <w:rsid w:val="001D3762"/>
    <w:rsid w:val="001D7903"/>
    <w:rsid w:val="001E0684"/>
    <w:rsid w:val="001E1700"/>
    <w:rsid w:val="001E2810"/>
    <w:rsid w:val="001F63E4"/>
    <w:rsid w:val="001F738F"/>
    <w:rsid w:val="00201C98"/>
    <w:rsid w:val="002068AF"/>
    <w:rsid w:val="00206A4D"/>
    <w:rsid w:val="00210836"/>
    <w:rsid w:val="0021271B"/>
    <w:rsid w:val="00213A2F"/>
    <w:rsid w:val="00221293"/>
    <w:rsid w:val="00222D6E"/>
    <w:rsid w:val="00223C01"/>
    <w:rsid w:val="0023084B"/>
    <w:rsid w:val="002344D7"/>
    <w:rsid w:val="00237D3E"/>
    <w:rsid w:val="002416AC"/>
    <w:rsid w:val="00251820"/>
    <w:rsid w:val="0025388C"/>
    <w:rsid w:val="00254938"/>
    <w:rsid w:val="00260BF8"/>
    <w:rsid w:val="00262038"/>
    <w:rsid w:val="002621EE"/>
    <w:rsid w:val="00263A4F"/>
    <w:rsid w:val="00266047"/>
    <w:rsid w:val="00270397"/>
    <w:rsid w:val="0027334A"/>
    <w:rsid w:val="002735E0"/>
    <w:rsid w:val="00284F44"/>
    <w:rsid w:val="00285392"/>
    <w:rsid w:val="0028633F"/>
    <w:rsid w:val="00287983"/>
    <w:rsid w:val="00287E1F"/>
    <w:rsid w:val="00292492"/>
    <w:rsid w:val="00294548"/>
    <w:rsid w:val="00294985"/>
    <w:rsid w:val="002A02F3"/>
    <w:rsid w:val="002A19F8"/>
    <w:rsid w:val="002A1AC4"/>
    <w:rsid w:val="002A2FE9"/>
    <w:rsid w:val="002A76B3"/>
    <w:rsid w:val="002B3FE8"/>
    <w:rsid w:val="002B4B1D"/>
    <w:rsid w:val="002B779D"/>
    <w:rsid w:val="002C078C"/>
    <w:rsid w:val="002D3C23"/>
    <w:rsid w:val="002D3DA7"/>
    <w:rsid w:val="002D597D"/>
    <w:rsid w:val="002D7D5F"/>
    <w:rsid w:val="002E10BA"/>
    <w:rsid w:val="002E1D42"/>
    <w:rsid w:val="002F3489"/>
    <w:rsid w:val="002F3F12"/>
    <w:rsid w:val="002F48A4"/>
    <w:rsid w:val="002F5A4C"/>
    <w:rsid w:val="002F7842"/>
    <w:rsid w:val="00305BC4"/>
    <w:rsid w:val="00305BDF"/>
    <w:rsid w:val="003062AF"/>
    <w:rsid w:val="003068F5"/>
    <w:rsid w:val="0031795A"/>
    <w:rsid w:val="00322AE1"/>
    <w:rsid w:val="00332E78"/>
    <w:rsid w:val="00333B2B"/>
    <w:rsid w:val="0033464B"/>
    <w:rsid w:val="00340CDA"/>
    <w:rsid w:val="00341628"/>
    <w:rsid w:val="00341843"/>
    <w:rsid w:val="003427E8"/>
    <w:rsid w:val="003434E0"/>
    <w:rsid w:val="00344B45"/>
    <w:rsid w:val="003459D2"/>
    <w:rsid w:val="003505A6"/>
    <w:rsid w:val="00355651"/>
    <w:rsid w:val="00357E70"/>
    <w:rsid w:val="00360AF0"/>
    <w:rsid w:val="003641F1"/>
    <w:rsid w:val="0037254E"/>
    <w:rsid w:val="0037375C"/>
    <w:rsid w:val="003739EE"/>
    <w:rsid w:val="0037523A"/>
    <w:rsid w:val="00381D6B"/>
    <w:rsid w:val="00384B7E"/>
    <w:rsid w:val="00385C5C"/>
    <w:rsid w:val="00385E0C"/>
    <w:rsid w:val="00385FAD"/>
    <w:rsid w:val="00390ACF"/>
    <w:rsid w:val="0039203D"/>
    <w:rsid w:val="00395F75"/>
    <w:rsid w:val="003965D0"/>
    <w:rsid w:val="003A0972"/>
    <w:rsid w:val="003A0B71"/>
    <w:rsid w:val="003A51F6"/>
    <w:rsid w:val="003B0ACC"/>
    <w:rsid w:val="003B26FB"/>
    <w:rsid w:val="003C153D"/>
    <w:rsid w:val="003C1B31"/>
    <w:rsid w:val="003C364A"/>
    <w:rsid w:val="003D07A7"/>
    <w:rsid w:val="003D2ED7"/>
    <w:rsid w:val="003D3693"/>
    <w:rsid w:val="003D548A"/>
    <w:rsid w:val="003D60DA"/>
    <w:rsid w:val="003E62F3"/>
    <w:rsid w:val="003E7880"/>
    <w:rsid w:val="003F3F6F"/>
    <w:rsid w:val="003F476C"/>
    <w:rsid w:val="00402197"/>
    <w:rsid w:val="004113E0"/>
    <w:rsid w:val="00421711"/>
    <w:rsid w:val="004225C6"/>
    <w:rsid w:val="0042289A"/>
    <w:rsid w:val="004258BB"/>
    <w:rsid w:val="00433CF9"/>
    <w:rsid w:val="0044086F"/>
    <w:rsid w:val="004439C9"/>
    <w:rsid w:val="00445501"/>
    <w:rsid w:val="00456960"/>
    <w:rsid w:val="00466A47"/>
    <w:rsid w:val="004725BA"/>
    <w:rsid w:val="004725BB"/>
    <w:rsid w:val="0047757E"/>
    <w:rsid w:val="00486CF7"/>
    <w:rsid w:val="00494ACE"/>
    <w:rsid w:val="004A046E"/>
    <w:rsid w:val="004A32D1"/>
    <w:rsid w:val="004A4168"/>
    <w:rsid w:val="004A71DF"/>
    <w:rsid w:val="004A79B9"/>
    <w:rsid w:val="004B3FAF"/>
    <w:rsid w:val="004B640F"/>
    <w:rsid w:val="004C20AE"/>
    <w:rsid w:val="004C494F"/>
    <w:rsid w:val="004C5F89"/>
    <w:rsid w:val="004D0609"/>
    <w:rsid w:val="004D250D"/>
    <w:rsid w:val="004D5C43"/>
    <w:rsid w:val="004E1B44"/>
    <w:rsid w:val="004E1D71"/>
    <w:rsid w:val="004E2014"/>
    <w:rsid w:val="004E5AD1"/>
    <w:rsid w:val="004E5B53"/>
    <w:rsid w:val="004E7F8D"/>
    <w:rsid w:val="004F1CCB"/>
    <w:rsid w:val="004F4BD7"/>
    <w:rsid w:val="004F5534"/>
    <w:rsid w:val="00505507"/>
    <w:rsid w:val="0050663D"/>
    <w:rsid w:val="00510013"/>
    <w:rsid w:val="00510541"/>
    <w:rsid w:val="005132FD"/>
    <w:rsid w:val="005151E2"/>
    <w:rsid w:val="00522082"/>
    <w:rsid w:val="00523E48"/>
    <w:rsid w:val="00524CF6"/>
    <w:rsid w:val="005252F7"/>
    <w:rsid w:val="00525C15"/>
    <w:rsid w:val="00534201"/>
    <w:rsid w:val="0053798C"/>
    <w:rsid w:val="005428B1"/>
    <w:rsid w:val="00545497"/>
    <w:rsid w:val="00551B11"/>
    <w:rsid w:val="0055276B"/>
    <w:rsid w:val="00552975"/>
    <w:rsid w:val="00555C89"/>
    <w:rsid w:val="005574F1"/>
    <w:rsid w:val="0056084F"/>
    <w:rsid w:val="00564D08"/>
    <w:rsid w:val="00567497"/>
    <w:rsid w:val="00567B28"/>
    <w:rsid w:val="00570FD4"/>
    <w:rsid w:val="00575C2C"/>
    <w:rsid w:val="005802D2"/>
    <w:rsid w:val="005839BA"/>
    <w:rsid w:val="00583B58"/>
    <w:rsid w:val="0058500E"/>
    <w:rsid w:val="00585F7D"/>
    <w:rsid w:val="005867F2"/>
    <w:rsid w:val="0058692D"/>
    <w:rsid w:val="00586937"/>
    <w:rsid w:val="0058748F"/>
    <w:rsid w:val="0059450C"/>
    <w:rsid w:val="00597317"/>
    <w:rsid w:val="005A526C"/>
    <w:rsid w:val="005B0BDD"/>
    <w:rsid w:val="005B2055"/>
    <w:rsid w:val="005B3F43"/>
    <w:rsid w:val="005B42FE"/>
    <w:rsid w:val="005B655F"/>
    <w:rsid w:val="005C44EE"/>
    <w:rsid w:val="005C47B1"/>
    <w:rsid w:val="005C4A97"/>
    <w:rsid w:val="005D1930"/>
    <w:rsid w:val="005D3F34"/>
    <w:rsid w:val="005D7520"/>
    <w:rsid w:val="005E05AE"/>
    <w:rsid w:val="005E3109"/>
    <w:rsid w:val="005E4965"/>
    <w:rsid w:val="005E5E5C"/>
    <w:rsid w:val="005E67D3"/>
    <w:rsid w:val="005E76F2"/>
    <w:rsid w:val="005F4589"/>
    <w:rsid w:val="00601F1A"/>
    <w:rsid w:val="00615E26"/>
    <w:rsid w:val="006172B2"/>
    <w:rsid w:val="0062224B"/>
    <w:rsid w:val="00622659"/>
    <w:rsid w:val="0062465C"/>
    <w:rsid w:val="0062720F"/>
    <w:rsid w:val="00632DBD"/>
    <w:rsid w:val="0063610A"/>
    <w:rsid w:val="00637FB7"/>
    <w:rsid w:val="00641FB9"/>
    <w:rsid w:val="006446AC"/>
    <w:rsid w:val="00654D86"/>
    <w:rsid w:val="00655924"/>
    <w:rsid w:val="00655C06"/>
    <w:rsid w:val="006606DF"/>
    <w:rsid w:val="00664772"/>
    <w:rsid w:val="0066482C"/>
    <w:rsid w:val="00665FA8"/>
    <w:rsid w:val="00666A2B"/>
    <w:rsid w:val="00670B90"/>
    <w:rsid w:val="0067291B"/>
    <w:rsid w:val="00673E11"/>
    <w:rsid w:val="006757B2"/>
    <w:rsid w:val="006820FC"/>
    <w:rsid w:val="00686CCF"/>
    <w:rsid w:val="00691A23"/>
    <w:rsid w:val="00692858"/>
    <w:rsid w:val="0069335E"/>
    <w:rsid w:val="0069424A"/>
    <w:rsid w:val="006A772C"/>
    <w:rsid w:val="006B50A9"/>
    <w:rsid w:val="006C1401"/>
    <w:rsid w:val="006C42B5"/>
    <w:rsid w:val="006D2040"/>
    <w:rsid w:val="006D49A3"/>
    <w:rsid w:val="006E50F4"/>
    <w:rsid w:val="006F0DC6"/>
    <w:rsid w:val="006F1A63"/>
    <w:rsid w:val="00701D6F"/>
    <w:rsid w:val="007022BF"/>
    <w:rsid w:val="00702685"/>
    <w:rsid w:val="00702EC5"/>
    <w:rsid w:val="0070303C"/>
    <w:rsid w:val="00706E18"/>
    <w:rsid w:val="007159B6"/>
    <w:rsid w:val="00717628"/>
    <w:rsid w:val="007208D1"/>
    <w:rsid w:val="00723A88"/>
    <w:rsid w:val="00724F93"/>
    <w:rsid w:val="007261A3"/>
    <w:rsid w:val="00726663"/>
    <w:rsid w:val="00726A25"/>
    <w:rsid w:val="00727578"/>
    <w:rsid w:val="00727F48"/>
    <w:rsid w:val="007301B9"/>
    <w:rsid w:val="00735D3D"/>
    <w:rsid w:val="0074586F"/>
    <w:rsid w:val="00746793"/>
    <w:rsid w:val="0075447F"/>
    <w:rsid w:val="00761F9B"/>
    <w:rsid w:val="00764138"/>
    <w:rsid w:val="00764F8E"/>
    <w:rsid w:val="00765E91"/>
    <w:rsid w:val="00767676"/>
    <w:rsid w:val="00767965"/>
    <w:rsid w:val="00770F55"/>
    <w:rsid w:val="007726AB"/>
    <w:rsid w:val="00781A8A"/>
    <w:rsid w:val="00783888"/>
    <w:rsid w:val="00784AFB"/>
    <w:rsid w:val="00784D96"/>
    <w:rsid w:val="00785876"/>
    <w:rsid w:val="007878EE"/>
    <w:rsid w:val="0079018C"/>
    <w:rsid w:val="007979A4"/>
    <w:rsid w:val="00797D6D"/>
    <w:rsid w:val="007A0DE0"/>
    <w:rsid w:val="007A6ACA"/>
    <w:rsid w:val="007B45B9"/>
    <w:rsid w:val="007C04CE"/>
    <w:rsid w:val="007C4587"/>
    <w:rsid w:val="007C7909"/>
    <w:rsid w:val="007D4D63"/>
    <w:rsid w:val="007E4D40"/>
    <w:rsid w:val="007E689B"/>
    <w:rsid w:val="007F3ACA"/>
    <w:rsid w:val="00802946"/>
    <w:rsid w:val="0080311E"/>
    <w:rsid w:val="00810BF1"/>
    <w:rsid w:val="008129D1"/>
    <w:rsid w:val="008170A1"/>
    <w:rsid w:val="00820E3E"/>
    <w:rsid w:val="0082312F"/>
    <w:rsid w:val="00823F55"/>
    <w:rsid w:val="00826174"/>
    <w:rsid w:val="00827333"/>
    <w:rsid w:val="00831D85"/>
    <w:rsid w:val="008320A3"/>
    <w:rsid w:val="00834455"/>
    <w:rsid w:val="008376CE"/>
    <w:rsid w:val="008442FD"/>
    <w:rsid w:val="00846542"/>
    <w:rsid w:val="0085354F"/>
    <w:rsid w:val="00856B8C"/>
    <w:rsid w:val="008625CD"/>
    <w:rsid w:val="00863F02"/>
    <w:rsid w:val="008674E1"/>
    <w:rsid w:val="008678A4"/>
    <w:rsid w:val="00867D0C"/>
    <w:rsid w:val="008714B0"/>
    <w:rsid w:val="00873083"/>
    <w:rsid w:val="00880F36"/>
    <w:rsid w:val="0088175F"/>
    <w:rsid w:val="00883453"/>
    <w:rsid w:val="00890037"/>
    <w:rsid w:val="00891AF5"/>
    <w:rsid w:val="00891E1D"/>
    <w:rsid w:val="00892B41"/>
    <w:rsid w:val="00897498"/>
    <w:rsid w:val="00897C34"/>
    <w:rsid w:val="008A3342"/>
    <w:rsid w:val="008A42C4"/>
    <w:rsid w:val="008B0B5A"/>
    <w:rsid w:val="008B26E1"/>
    <w:rsid w:val="008B4844"/>
    <w:rsid w:val="008C0359"/>
    <w:rsid w:val="008C1D39"/>
    <w:rsid w:val="008C32E3"/>
    <w:rsid w:val="008D2BFB"/>
    <w:rsid w:val="008D2FC3"/>
    <w:rsid w:val="008D3B55"/>
    <w:rsid w:val="008E3C22"/>
    <w:rsid w:val="008F12B7"/>
    <w:rsid w:val="008F1494"/>
    <w:rsid w:val="008F46DF"/>
    <w:rsid w:val="009135AA"/>
    <w:rsid w:val="0091545D"/>
    <w:rsid w:val="00924683"/>
    <w:rsid w:val="0092557C"/>
    <w:rsid w:val="00926529"/>
    <w:rsid w:val="009509DE"/>
    <w:rsid w:val="00953B38"/>
    <w:rsid w:val="009549C4"/>
    <w:rsid w:val="00954CAB"/>
    <w:rsid w:val="009618D3"/>
    <w:rsid w:val="00965125"/>
    <w:rsid w:val="0097748E"/>
    <w:rsid w:val="00980B5B"/>
    <w:rsid w:val="00981CFD"/>
    <w:rsid w:val="009828A3"/>
    <w:rsid w:val="00982B28"/>
    <w:rsid w:val="00993892"/>
    <w:rsid w:val="009940D5"/>
    <w:rsid w:val="00994B90"/>
    <w:rsid w:val="00995C80"/>
    <w:rsid w:val="0099687E"/>
    <w:rsid w:val="009A0B89"/>
    <w:rsid w:val="009B4BD9"/>
    <w:rsid w:val="009B5CF5"/>
    <w:rsid w:val="009C0058"/>
    <w:rsid w:val="009C2015"/>
    <w:rsid w:val="009C2E60"/>
    <w:rsid w:val="009C2EE2"/>
    <w:rsid w:val="009C410B"/>
    <w:rsid w:val="009C6FAA"/>
    <w:rsid w:val="009C6FC2"/>
    <w:rsid w:val="009D0819"/>
    <w:rsid w:val="009D1A85"/>
    <w:rsid w:val="009E0107"/>
    <w:rsid w:val="009E2C2A"/>
    <w:rsid w:val="009E2C72"/>
    <w:rsid w:val="009E3D4B"/>
    <w:rsid w:val="009E709B"/>
    <w:rsid w:val="009F341C"/>
    <w:rsid w:val="009F3CCE"/>
    <w:rsid w:val="009F68A5"/>
    <w:rsid w:val="00A00638"/>
    <w:rsid w:val="00A00B5A"/>
    <w:rsid w:val="00A0308D"/>
    <w:rsid w:val="00A13150"/>
    <w:rsid w:val="00A15401"/>
    <w:rsid w:val="00A17096"/>
    <w:rsid w:val="00A211E3"/>
    <w:rsid w:val="00A2377C"/>
    <w:rsid w:val="00A24B7B"/>
    <w:rsid w:val="00A25B62"/>
    <w:rsid w:val="00A27848"/>
    <w:rsid w:val="00A31CAF"/>
    <w:rsid w:val="00A325E5"/>
    <w:rsid w:val="00A40D7A"/>
    <w:rsid w:val="00A44814"/>
    <w:rsid w:val="00A53BE1"/>
    <w:rsid w:val="00A71DF4"/>
    <w:rsid w:val="00A76939"/>
    <w:rsid w:val="00A769FF"/>
    <w:rsid w:val="00A8385D"/>
    <w:rsid w:val="00A85E3D"/>
    <w:rsid w:val="00A901E0"/>
    <w:rsid w:val="00A96835"/>
    <w:rsid w:val="00AA05CD"/>
    <w:rsid w:val="00AA1647"/>
    <w:rsid w:val="00AA1670"/>
    <w:rsid w:val="00AA2AEC"/>
    <w:rsid w:val="00AA3222"/>
    <w:rsid w:val="00AB034B"/>
    <w:rsid w:val="00AB167C"/>
    <w:rsid w:val="00AB2EB3"/>
    <w:rsid w:val="00AB701D"/>
    <w:rsid w:val="00AC39FC"/>
    <w:rsid w:val="00AD4123"/>
    <w:rsid w:val="00AD7F9D"/>
    <w:rsid w:val="00AE621A"/>
    <w:rsid w:val="00AE6522"/>
    <w:rsid w:val="00AF4B9F"/>
    <w:rsid w:val="00AF597A"/>
    <w:rsid w:val="00AF6313"/>
    <w:rsid w:val="00AF7C13"/>
    <w:rsid w:val="00B03422"/>
    <w:rsid w:val="00B07EC3"/>
    <w:rsid w:val="00B10B34"/>
    <w:rsid w:val="00B13FE7"/>
    <w:rsid w:val="00B24328"/>
    <w:rsid w:val="00B25F5E"/>
    <w:rsid w:val="00B270F2"/>
    <w:rsid w:val="00B30C42"/>
    <w:rsid w:val="00B31612"/>
    <w:rsid w:val="00B33014"/>
    <w:rsid w:val="00B33C96"/>
    <w:rsid w:val="00B346FB"/>
    <w:rsid w:val="00B40F59"/>
    <w:rsid w:val="00B41557"/>
    <w:rsid w:val="00B423F8"/>
    <w:rsid w:val="00B44461"/>
    <w:rsid w:val="00B478C5"/>
    <w:rsid w:val="00B5117F"/>
    <w:rsid w:val="00B511CD"/>
    <w:rsid w:val="00B51DE1"/>
    <w:rsid w:val="00B51DE2"/>
    <w:rsid w:val="00B52CF1"/>
    <w:rsid w:val="00B54904"/>
    <w:rsid w:val="00B55BCB"/>
    <w:rsid w:val="00B564D8"/>
    <w:rsid w:val="00B57859"/>
    <w:rsid w:val="00B6651B"/>
    <w:rsid w:val="00B714FF"/>
    <w:rsid w:val="00B71D31"/>
    <w:rsid w:val="00B72568"/>
    <w:rsid w:val="00B726B4"/>
    <w:rsid w:val="00B740A7"/>
    <w:rsid w:val="00B7735A"/>
    <w:rsid w:val="00B822AC"/>
    <w:rsid w:val="00B84146"/>
    <w:rsid w:val="00B866FA"/>
    <w:rsid w:val="00B9189D"/>
    <w:rsid w:val="00B91E19"/>
    <w:rsid w:val="00B94718"/>
    <w:rsid w:val="00B96923"/>
    <w:rsid w:val="00BA14F1"/>
    <w:rsid w:val="00BA3724"/>
    <w:rsid w:val="00BA58D3"/>
    <w:rsid w:val="00BA7D0B"/>
    <w:rsid w:val="00BB33FC"/>
    <w:rsid w:val="00BB50A9"/>
    <w:rsid w:val="00BB79DB"/>
    <w:rsid w:val="00BB7C9F"/>
    <w:rsid w:val="00BC1705"/>
    <w:rsid w:val="00BC199F"/>
    <w:rsid w:val="00BC3411"/>
    <w:rsid w:val="00BC52CB"/>
    <w:rsid w:val="00BD17DE"/>
    <w:rsid w:val="00BD41C6"/>
    <w:rsid w:val="00BE2B5A"/>
    <w:rsid w:val="00BE6CDE"/>
    <w:rsid w:val="00BF4AD2"/>
    <w:rsid w:val="00BF74A4"/>
    <w:rsid w:val="00C03754"/>
    <w:rsid w:val="00C11A28"/>
    <w:rsid w:val="00C14ABF"/>
    <w:rsid w:val="00C20F78"/>
    <w:rsid w:val="00C326D9"/>
    <w:rsid w:val="00C331C2"/>
    <w:rsid w:val="00C43AA4"/>
    <w:rsid w:val="00C477CA"/>
    <w:rsid w:val="00C51EA4"/>
    <w:rsid w:val="00C53EB7"/>
    <w:rsid w:val="00C553BE"/>
    <w:rsid w:val="00C70362"/>
    <w:rsid w:val="00C747F1"/>
    <w:rsid w:val="00C75864"/>
    <w:rsid w:val="00C801E5"/>
    <w:rsid w:val="00C83139"/>
    <w:rsid w:val="00C85DF7"/>
    <w:rsid w:val="00C8770E"/>
    <w:rsid w:val="00CA015C"/>
    <w:rsid w:val="00CA466E"/>
    <w:rsid w:val="00CB114A"/>
    <w:rsid w:val="00CB57AA"/>
    <w:rsid w:val="00CC14E4"/>
    <w:rsid w:val="00CC451C"/>
    <w:rsid w:val="00CD2ABC"/>
    <w:rsid w:val="00CD33E3"/>
    <w:rsid w:val="00CD35BC"/>
    <w:rsid w:val="00CD3633"/>
    <w:rsid w:val="00CD4340"/>
    <w:rsid w:val="00CD4D09"/>
    <w:rsid w:val="00CD52B6"/>
    <w:rsid w:val="00CD5E39"/>
    <w:rsid w:val="00CD7123"/>
    <w:rsid w:val="00CE0F9C"/>
    <w:rsid w:val="00CF194C"/>
    <w:rsid w:val="00CF648E"/>
    <w:rsid w:val="00D03F0F"/>
    <w:rsid w:val="00D05609"/>
    <w:rsid w:val="00D07536"/>
    <w:rsid w:val="00D07B3B"/>
    <w:rsid w:val="00D149A4"/>
    <w:rsid w:val="00D22BB3"/>
    <w:rsid w:val="00D23713"/>
    <w:rsid w:val="00D253D2"/>
    <w:rsid w:val="00D3132E"/>
    <w:rsid w:val="00D33AE7"/>
    <w:rsid w:val="00D34C48"/>
    <w:rsid w:val="00D41239"/>
    <w:rsid w:val="00D41858"/>
    <w:rsid w:val="00D41C1B"/>
    <w:rsid w:val="00D55570"/>
    <w:rsid w:val="00D67485"/>
    <w:rsid w:val="00D70594"/>
    <w:rsid w:val="00D70661"/>
    <w:rsid w:val="00D708AD"/>
    <w:rsid w:val="00D7138B"/>
    <w:rsid w:val="00D714C7"/>
    <w:rsid w:val="00D72CF4"/>
    <w:rsid w:val="00D72E0D"/>
    <w:rsid w:val="00D73C6C"/>
    <w:rsid w:val="00D774FD"/>
    <w:rsid w:val="00D80984"/>
    <w:rsid w:val="00D85C17"/>
    <w:rsid w:val="00D86AE3"/>
    <w:rsid w:val="00D92BA4"/>
    <w:rsid w:val="00D9323F"/>
    <w:rsid w:val="00D95FEE"/>
    <w:rsid w:val="00D96EAB"/>
    <w:rsid w:val="00DA007D"/>
    <w:rsid w:val="00DA1090"/>
    <w:rsid w:val="00DA3A3F"/>
    <w:rsid w:val="00DB0FFA"/>
    <w:rsid w:val="00DC7F7B"/>
    <w:rsid w:val="00DD0F77"/>
    <w:rsid w:val="00DD445B"/>
    <w:rsid w:val="00DD4F75"/>
    <w:rsid w:val="00DE40FC"/>
    <w:rsid w:val="00DE4995"/>
    <w:rsid w:val="00DE73BB"/>
    <w:rsid w:val="00DF0339"/>
    <w:rsid w:val="00DF058D"/>
    <w:rsid w:val="00DF0F64"/>
    <w:rsid w:val="00DF4C53"/>
    <w:rsid w:val="00DF591C"/>
    <w:rsid w:val="00DF5FA8"/>
    <w:rsid w:val="00DF5FDA"/>
    <w:rsid w:val="00E03C7F"/>
    <w:rsid w:val="00E03CFF"/>
    <w:rsid w:val="00E0452D"/>
    <w:rsid w:val="00E074D2"/>
    <w:rsid w:val="00E162F1"/>
    <w:rsid w:val="00E1686D"/>
    <w:rsid w:val="00E207E4"/>
    <w:rsid w:val="00E22476"/>
    <w:rsid w:val="00E33A6A"/>
    <w:rsid w:val="00E3481B"/>
    <w:rsid w:val="00E34C99"/>
    <w:rsid w:val="00E40BD5"/>
    <w:rsid w:val="00E41D5D"/>
    <w:rsid w:val="00E44C8D"/>
    <w:rsid w:val="00E53604"/>
    <w:rsid w:val="00E56F1B"/>
    <w:rsid w:val="00E61845"/>
    <w:rsid w:val="00E62197"/>
    <w:rsid w:val="00E64754"/>
    <w:rsid w:val="00E66F1A"/>
    <w:rsid w:val="00E719EE"/>
    <w:rsid w:val="00E72C3B"/>
    <w:rsid w:val="00E74186"/>
    <w:rsid w:val="00E84EEF"/>
    <w:rsid w:val="00E90358"/>
    <w:rsid w:val="00E96A51"/>
    <w:rsid w:val="00EA1595"/>
    <w:rsid w:val="00EA70C0"/>
    <w:rsid w:val="00EB50F4"/>
    <w:rsid w:val="00EC16E6"/>
    <w:rsid w:val="00EC35E7"/>
    <w:rsid w:val="00EC43CB"/>
    <w:rsid w:val="00EC4584"/>
    <w:rsid w:val="00ED0232"/>
    <w:rsid w:val="00ED109D"/>
    <w:rsid w:val="00ED5CFE"/>
    <w:rsid w:val="00EE00B4"/>
    <w:rsid w:val="00EE4281"/>
    <w:rsid w:val="00EF6EE6"/>
    <w:rsid w:val="00EF780C"/>
    <w:rsid w:val="00F008C2"/>
    <w:rsid w:val="00F04B56"/>
    <w:rsid w:val="00F05855"/>
    <w:rsid w:val="00F05F4F"/>
    <w:rsid w:val="00F060A6"/>
    <w:rsid w:val="00F1295C"/>
    <w:rsid w:val="00F147F5"/>
    <w:rsid w:val="00F15288"/>
    <w:rsid w:val="00F20EB4"/>
    <w:rsid w:val="00F23713"/>
    <w:rsid w:val="00F244D3"/>
    <w:rsid w:val="00F250AE"/>
    <w:rsid w:val="00F26FCA"/>
    <w:rsid w:val="00F33ED8"/>
    <w:rsid w:val="00F370F3"/>
    <w:rsid w:val="00F42A80"/>
    <w:rsid w:val="00F5136F"/>
    <w:rsid w:val="00F5138A"/>
    <w:rsid w:val="00F525D2"/>
    <w:rsid w:val="00F52949"/>
    <w:rsid w:val="00F57812"/>
    <w:rsid w:val="00F70E33"/>
    <w:rsid w:val="00F83A91"/>
    <w:rsid w:val="00F87270"/>
    <w:rsid w:val="00F91D04"/>
    <w:rsid w:val="00F92FC5"/>
    <w:rsid w:val="00F97682"/>
    <w:rsid w:val="00FA20DF"/>
    <w:rsid w:val="00FA2405"/>
    <w:rsid w:val="00FB3F2B"/>
    <w:rsid w:val="00FB6351"/>
    <w:rsid w:val="00FB78B7"/>
    <w:rsid w:val="00FC48DE"/>
    <w:rsid w:val="00FC53B1"/>
    <w:rsid w:val="00FC6F0B"/>
    <w:rsid w:val="00FD0974"/>
    <w:rsid w:val="00FD0A32"/>
    <w:rsid w:val="00FD7D4E"/>
    <w:rsid w:val="00FE0ABA"/>
    <w:rsid w:val="00FE4A3A"/>
    <w:rsid w:val="00FE7113"/>
    <w:rsid w:val="00FE7B35"/>
    <w:rsid w:val="00FF13EE"/>
    <w:rsid w:val="00FF30D5"/>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68431296">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3284792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0773562">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057390254">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53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ccd/corner.a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actfinder.census.gov/faces/tableservices/jsf/pages/productview.xhtml?src=bk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F7BA-8F6B-4007-99BA-36D5069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U.S. Department of Education</cp:lastModifiedBy>
  <cp:revision>30</cp:revision>
  <cp:lastPrinted>2015-06-17T16:25:00Z</cp:lastPrinted>
  <dcterms:created xsi:type="dcterms:W3CDTF">2016-09-14T13:29:00Z</dcterms:created>
  <dcterms:modified xsi:type="dcterms:W3CDTF">2016-10-03T23:37:00Z</dcterms:modified>
</cp:coreProperties>
</file>