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AAA87" w14:textId="290CD9DC" w:rsidR="0043494B" w:rsidRPr="00DB4B06" w:rsidRDefault="0062585F" w:rsidP="009659AD">
      <w:pPr>
        <w:spacing w:line="480" w:lineRule="auto"/>
        <w:rPr>
          <w:rFonts w:ascii="Times New Roman" w:eastAsia="Times New Roman" w:hAnsi="Times New Roman" w:cs="Times New Roman"/>
        </w:rPr>
      </w:pPr>
      <w:r>
        <w:rPr>
          <w:rFonts w:ascii="Times New Roman" w:eastAsia="Times New Roman" w:hAnsi="Times New Roman" w:cs="Times New Roman"/>
        </w:rPr>
        <w:t>Date:</w:t>
      </w:r>
      <w:r>
        <w:rPr>
          <w:rFonts w:ascii="Times New Roman" w:eastAsia="Times New Roman" w:hAnsi="Times New Roman" w:cs="Times New Roman"/>
        </w:rPr>
        <w:tab/>
      </w:r>
      <w:r>
        <w:rPr>
          <w:rFonts w:ascii="Times New Roman" w:eastAsia="Times New Roman" w:hAnsi="Times New Roman" w:cs="Times New Roman"/>
        </w:rPr>
        <w:tab/>
        <w:t>September 21</w:t>
      </w:r>
      <w:r w:rsidR="0043494B" w:rsidRPr="00DB4B06">
        <w:rPr>
          <w:rFonts w:ascii="Times New Roman" w:eastAsia="Times New Roman" w:hAnsi="Times New Roman" w:cs="Times New Roman"/>
        </w:rPr>
        <w:t>, 2016</w:t>
      </w:r>
    </w:p>
    <w:p w14:paraId="6596F6DB" w14:textId="231D3227" w:rsidR="0043494B" w:rsidRPr="00DB4B06" w:rsidRDefault="0062585F" w:rsidP="009659AD">
      <w:pPr>
        <w:spacing w:line="480" w:lineRule="auto"/>
        <w:rPr>
          <w:rFonts w:ascii="Times New Roman" w:eastAsia="Times New Roman" w:hAnsi="Times New Roman" w:cs="Times New Roman"/>
        </w:rPr>
      </w:pPr>
      <w:r>
        <w:rPr>
          <w:rFonts w:ascii="Times New Roman" w:eastAsia="Times New Roman" w:hAnsi="Times New Roman" w:cs="Times New Roman"/>
        </w:rPr>
        <w:t>To:</w:t>
      </w:r>
      <w:r w:rsidR="0043494B" w:rsidRPr="00DB4B06">
        <w:rPr>
          <w:rFonts w:ascii="Times New Roman" w:eastAsia="Times New Roman" w:hAnsi="Times New Roman" w:cs="Times New Roman"/>
        </w:rPr>
        <w:tab/>
      </w:r>
      <w:r w:rsidR="0043494B" w:rsidRPr="00DB4B06">
        <w:rPr>
          <w:rFonts w:ascii="Times New Roman" w:eastAsia="Times New Roman" w:hAnsi="Times New Roman" w:cs="Times New Roman"/>
        </w:rPr>
        <w:tab/>
        <w:t>Oil and Gas ICR Project File</w:t>
      </w:r>
    </w:p>
    <w:p w14:paraId="6E25DE88" w14:textId="03617655" w:rsidR="009659AD" w:rsidRPr="00DB4B06" w:rsidRDefault="0043494B" w:rsidP="008B20DC">
      <w:pPr>
        <w:spacing w:line="240" w:lineRule="auto"/>
        <w:rPr>
          <w:rFonts w:ascii="Times New Roman" w:eastAsia="Times New Roman" w:hAnsi="Times New Roman" w:cs="Times New Roman"/>
        </w:rPr>
      </w:pPr>
      <w:r w:rsidRPr="00DB4B06">
        <w:rPr>
          <w:rFonts w:ascii="Times New Roman" w:eastAsia="Times New Roman" w:hAnsi="Times New Roman" w:cs="Times New Roman"/>
        </w:rPr>
        <w:t>Subject:</w:t>
      </w:r>
      <w:r w:rsidRPr="00DB4B06">
        <w:rPr>
          <w:rFonts w:ascii="Times New Roman" w:eastAsia="Times New Roman" w:hAnsi="Times New Roman" w:cs="Times New Roman"/>
        </w:rPr>
        <w:tab/>
      </w:r>
      <w:r w:rsidR="000B4685" w:rsidRPr="00DB4B06">
        <w:rPr>
          <w:rFonts w:ascii="Times New Roman" w:eastAsia="Times New Roman" w:hAnsi="Times New Roman" w:cs="Times New Roman"/>
        </w:rPr>
        <w:t>Summary of Comments and Responses</w:t>
      </w:r>
    </w:p>
    <w:p w14:paraId="39EA7823" w14:textId="048AD2B1" w:rsidR="00DF4794" w:rsidRPr="00DB4B06" w:rsidRDefault="00DF4794" w:rsidP="008B20DC">
      <w:pPr>
        <w:spacing w:line="240" w:lineRule="auto"/>
        <w:rPr>
          <w:rFonts w:ascii="Times New Roman" w:eastAsia="Times New Roman" w:hAnsi="Times New Roman" w:cs="Times New Roman"/>
        </w:rPr>
      </w:pPr>
      <w:r w:rsidRPr="00DB4B06">
        <w:rPr>
          <w:rFonts w:ascii="Times New Roman" w:eastAsia="Times New Roman" w:hAnsi="Times New Roman" w:cs="Times New Roman"/>
        </w:rPr>
        <w:tab/>
      </w:r>
      <w:r w:rsidRPr="00DB4B06">
        <w:rPr>
          <w:rFonts w:ascii="Times New Roman" w:eastAsia="Times New Roman" w:hAnsi="Times New Roman" w:cs="Times New Roman"/>
        </w:rPr>
        <w:tab/>
        <w:t>Oil and Gas Information Collection Request</w:t>
      </w:r>
    </w:p>
    <w:p w14:paraId="41235BF0" w14:textId="44904328" w:rsidR="00DF4794" w:rsidRPr="00DB4B06" w:rsidRDefault="00DF4794" w:rsidP="008B20DC">
      <w:pPr>
        <w:spacing w:line="240" w:lineRule="auto"/>
        <w:rPr>
          <w:rFonts w:ascii="Times New Roman" w:eastAsia="Times New Roman" w:hAnsi="Times New Roman" w:cs="Times New Roman"/>
        </w:rPr>
      </w:pPr>
      <w:r w:rsidRPr="00DB4B06">
        <w:rPr>
          <w:rFonts w:ascii="Times New Roman" w:eastAsia="Times New Roman" w:hAnsi="Times New Roman" w:cs="Times New Roman"/>
        </w:rPr>
        <w:tab/>
      </w:r>
      <w:r w:rsidRPr="00DB4B06">
        <w:rPr>
          <w:rFonts w:ascii="Times New Roman" w:eastAsia="Times New Roman" w:hAnsi="Times New Roman" w:cs="Times New Roman"/>
        </w:rPr>
        <w:tab/>
        <w:t>Docket Id. No. EPA-HQ-OAR-0204</w:t>
      </w:r>
    </w:p>
    <w:p w14:paraId="6590E9AD" w14:textId="34832FDD" w:rsidR="0043494B" w:rsidRDefault="00DF4794" w:rsidP="009659AD">
      <w:pPr>
        <w:spacing w:line="480" w:lineRule="auto"/>
        <w:rPr>
          <w:rFonts w:ascii="Times New Roman" w:eastAsia="Times New Roman" w:hAnsi="Times New Roman" w:cs="Times New Roman"/>
          <w:b/>
        </w:rPr>
      </w:pPr>
      <w:r>
        <w:rPr>
          <w:rFonts w:ascii="Times New Roman" w:eastAsia="Times New Roman" w:hAnsi="Times New Roman" w:cs="Times New Roman"/>
          <w:b/>
        </w:rPr>
        <w:tab/>
      </w:r>
    </w:p>
    <w:p w14:paraId="10687FC9" w14:textId="251BD520" w:rsidR="0043494B" w:rsidRPr="009659AD" w:rsidRDefault="0043494B" w:rsidP="009659AD">
      <w:pPr>
        <w:spacing w:line="480" w:lineRule="auto"/>
        <w:rPr>
          <w:rFonts w:ascii="Times New Roman" w:hAnsi="Times New Roman" w:cs="Times New Roman"/>
          <w:b/>
        </w:rPr>
      </w:pPr>
      <w:r>
        <w:rPr>
          <w:rFonts w:ascii="Times New Roman" w:eastAsia="Times New Roman" w:hAnsi="Times New Roman" w:cs="Times New Roman"/>
          <w:b/>
        </w:rPr>
        <w:t>Background</w:t>
      </w:r>
    </w:p>
    <w:p w14:paraId="3DD6EC8F" w14:textId="6FA439A3" w:rsidR="000B4685" w:rsidRDefault="000B4685" w:rsidP="009659AD">
      <w:pPr>
        <w:spacing w:line="480" w:lineRule="auto"/>
        <w:ind w:firstLine="720"/>
        <w:rPr>
          <w:rFonts w:ascii="Times New Roman" w:hAnsi="Times New Roman" w:cs="Times New Roman"/>
        </w:rPr>
      </w:pPr>
      <w:r w:rsidRPr="7CFBF453">
        <w:rPr>
          <w:rFonts w:ascii="Times New Roman" w:eastAsia="Times New Roman" w:hAnsi="Times New Roman" w:cs="Times New Roman"/>
        </w:rPr>
        <w:t>On June 3, 2016 (</w:t>
      </w:r>
      <w:r w:rsidR="009659AD" w:rsidRPr="7CFBF453">
        <w:rPr>
          <w:rFonts w:ascii="Times New Roman" w:eastAsia="Times New Roman" w:hAnsi="Times New Roman" w:cs="Times New Roman"/>
        </w:rPr>
        <w:t>81</w:t>
      </w:r>
      <w:r w:rsidRPr="7CFBF453">
        <w:rPr>
          <w:rFonts w:ascii="Times New Roman" w:eastAsia="Times New Roman" w:hAnsi="Times New Roman" w:cs="Times New Roman"/>
        </w:rPr>
        <w:t xml:space="preserve"> FR </w:t>
      </w:r>
      <w:r w:rsidR="009659AD" w:rsidRPr="7CFBF453">
        <w:rPr>
          <w:rFonts w:ascii="Times New Roman" w:eastAsia="Times New Roman" w:hAnsi="Times New Roman" w:cs="Times New Roman"/>
        </w:rPr>
        <w:t>35763</w:t>
      </w:r>
      <w:r w:rsidRPr="7CFBF453">
        <w:rPr>
          <w:rFonts w:ascii="Times New Roman" w:eastAsia="Times New Roman" w:hAnsi="Times New Roman" w:cs="Times New Roman"/>
        </w:rPr>
        <w:t>), E</w:t>
      </w:r>
      <w:r w:rsidR="00481918" w:rsidRPr="7CFBF453">
        <w:rPr>
          <w:rFonts w:ascii="Times New Roman" w:eastAsia="Times New Roman" w:hAnsi="Times New Roman" w:cs="Times New Roman"/>
        </w:rPr>
        <w:t xml:space="preserve">PA solicited comment on the first draft Information Collection </w:t>
      </w:r>
      <w:r w:rsidR="00481918" w:rsidRPr="007C505B">
        <w:rPr>
          <w:rFonts w:ascii="Times New Roman" w:eastAsia="Times New Roman" w:hAnsi="Times New Roman" w:cs="Times New Roman"/>
        </w:rPr>
        <w:t>Request</w:t>
      </w:r>
      <w:r w:rsidR="00947EE9" w:rsidRPr="007C505B">
        <w:rPr>
          <w:rFonts w:ascii="Times New Roman" w:eastAsia="Times New Roman" w:hAnsi="Times New Roman" w:cs="Times New Roman"/>
        </w:rPr>
        <w:t xml:space="preserve"> (ICR)</w:t>
      </w:r>
      <w:r w:rsidR="006A4330">
        <w:rPr>
          <w:rFonts w:ascii="Times New Roman" w:eastAsia="Times New Roman" w:hAnsi="Times New Roman" w:cs="Times New Roman"/>
        </w:rPr>
        <w:t xml:space="preserve"> for the oil and natural gas industry</w:t>
      </w:r>
      <w:r w:rsidRPr="007C505B">
        <w:rPr>
          <w:rFonts w:ascii="Times New Roman" w:eastAsia="Times New Roman" w:hAnsi="Times New Roman" w:cs="Times New Roman"/>
        </w:rPr>
        <w:t>, and we</w:t>
      </w:r>
      <w:r w:rsidRPr="7CFBF453">
        <w:rPr>
          <w:rFonts w:ascii="Times New Roman" w:eastAsia="Times New Roman" w:hAnsi="Times New Roman" w:cs="Times New Roman"/>
        </w:rPr>
        <w:t xml:space="preserve"> received 6</w:t>
      </w:r>
      <w:r w:rsidR="000525E7" w:rsidRPr="7CFBF453">
        <w:rPr>
          <w:rFonts w:ascii="Times New Roman" w:eastAsia="Times New Roman" w:hAnsi="Times New Roman" w:cs="Times New Roman"/>
        </w:rPr>
        <w:t>6</w:t>
      </w:r>
      <w:r w:rsidRPr="7CFBF453">
        <w:rPr>
          <w:rFonts w:ascii="Times New Roman" w:eastAsia="Times New Roman" w:hAnsi="Times New Roman" w:cs="Times New Roman"/>
        </w:rPr>
        <w:t xml:space="preserve"> comment letters during the comment period. We reviewed and considered each of these comments and, as a result, revised the ICR as noted below. </w:t>
      </w:r>
      <w:r w:rsidR="0073696D">
        <w:rPr>
          <w:rFonts w:ascii="Times New Roman" w:eastAsia="Times New Roman" w:hAnsi="Times New Roman" w:cs="Times New Roman"/>
        </w:rPr>
        <w:t>This document</w:t>
      </w:r>
      <w:r w:rsidR="00C22B1C" w:rsidRPr="7CFBF453">
        <w:rPr>
          <w:rFonts w:ascii="Times New Roman" w:eastAsia="Times New Roman" w:hAnsi="Times New Roman" w:cs="Times New Roman"/>
        </w:rPr>
        <w:t xml:space="preserve"> address</w:t>
      </w:r>
      <w:r w:rsidR="0043655E">
        <w:rPr>
          <w:rFonts w:ascii="Times New Roman" w:eastAsia="Times New Roman" w:hAnsi="Times New Roman" w:cs="Times New Roman"/>
        </w:rPr>
        <w:t>es</w:t>
      </w:r>
      <w:r w:rsidR="00C22B1C" w:rsidRPr="7CFBF453">
        <w:rPr>
          <w:rFonts w:ascii="Times New Roman" w:eastAsia="Times New Roman" w:hAnsi="Times New Roman" w:cs="Times New Roman"/>
        </w:rPr>
        <w:t xml:space="preserve"> some of the general comments and concerns, regardless of whether the</w:t>
      </w:r>
      <w:r w:rsidR="0043655E">
        <w:rPr>
          <w:rFonts w:ascii="Times New Roman" w:eastAsia="Times New Roman" w:hAnsi="Times New Roman" w:cs="Times New Roman"/>
        </w:rPr>
        <w:t>y</w:t>
      </w:r>
      <w:r w:rsidR="00C22B1C" w:rsidRPr="7CFBF453">
        <w:rPr>
          <w:rFonts w:ascii="Times New Roman" w:eastAsia="Times New Roman" w:hAnsi="Times New Roman" w:cs="Times New Roman"/>
        </w:rPr>
        <w:t xml:space="preserve"> have been incorporated into the revised ICR. The comments not specifically addressed in this document </w:t>
      </w:r>
      <w:r w:rsidR="0043655E">
        <w:rPr>
          <w:rFonts w:ascii="Times New Roman" w:eastAsia="Times New Roman" w:hAnsi="Times New Roman" w:cs="Times New Roman"/>
        </w:rPr>
        <w:t xml:space="preserve">included </w:t>
      </w:r>
      <w:r w:rsidR="00947EE9" w:rsidRPr="007C505B">
        <w:rPr>
          <w:rFonts w:ascii="Times New Roman" w:eastAsia="Times New Roman" w:hAnsi="Times New Roman" w:cs="Times New Roman"/>
        </w:rPr>
        <w:t xml:space="preserve">more detailed </w:t>
      </w:r>
      <w:r w:rsidR="0043655E">
        <w:rPr>
          <w:rFonts w:ascii="Times New Roman" w:eastAsia="Times New Roman" w:hAnsi="Times New Roman" w:cs="Times New Roman"/>
        </w:rPr>
        <w:t xml:space="preserve">remarks </w:t>
      </w:r>
      <w:r w:rsidR="00C22B1C" w:rsidRPr="7CFBF453">
        <w:rPr>
          <w:rFonts w:ascii="Times New Roman" w:eastAsia="Times New Roman" w:hAnsi="Times New Roman" w:cs="Times New Roman"/>
        </w:rPr>
        <w:t>on particular sections of the ICR</w:t>
      </w:r>
      <w:r w:rsidR="0043655E">
        <w:rPr>
          <w:rFonts w:ascii="Times New Roman" w:eastAsia="Times New Roman" w:hAnsi="Times New Roman" w:cs="Times New Roman"/>
        </w:rPr>
        <w:t>. A</w:t>
      </w:r>
      <w:r w:rsidR="00C22B1C" w:rsidRPr="7CFBF453">
        <w:rPr>
          <w:rFonts w:ascii="Times New Roman" w:eastAsia="Times New Roman" w:hAnsi="Times New Roman" w:cs="Times New Roman"/>
        </w:rPr>
        <w:t xml:space="preserve"> table identifying these comments and how they were addressed</w:t>
      </w:r>
      <w:r w:rsidR="005B1A4E">
        <w:rPr>
          <w:rFonts w:ascii="Times New Roman" w:eastAsia="Times New Roman" w:hAnsi="Times New Roman" w:cs="Times New Roman"/>
        </w:rPr>
        <w:t xml:space="preserve"> is included as an Attachment to this memorandum. A</w:t>
      </w:r>
      <w:r w:rsidR="00C22B1C" w:rsidRPr="7CFBF453">
        <w:rPr>
          <w:rFonts w:ascii="Times New Roman" w:eastAsia="Times New Roman" w:hAnsi="Times New Roman" w:cs="Times New Roman"/>
        </w:rPr>
        <w:t xml:space="preserve"> redline version of the ICR </w:t>
      </w:r>
      <w:r w:rsidR="00407DC0" w:rsidRPr="7CFBF453">
        <w:rPr>
          <w:rFonts w:ascii="Times New Roman" w:eastAsia="Times New Roman" w:hAnsi="Times New Roman" w:cs="Times New Roman"/>
        </w:rPr>
        <w:t xml:space="preserve">supporting statement </w:t>
      </w:r>
      <w:r w:rsidR="00C22B1C" w:rsidRPr="7CFBF453">
        <w:rPr>
          <w:rFonts w:ascii="Times New Roman" w:eastAsia="Times New Roman" w:hAnsi="Times New Roman" w:cs="Times New Roman"/>
        </w:rPr>
        <w:t>showing changes made from the proposed ICR</w:t>
      </w:r>
      <w:r w:rsidR="005B1A4E">
        <w:rPr>
          <w:rFonts w:ascii="Times New Roman" w:eastAsia="Times New Roman" w:hAnsi="Times New Roman" w:cs="Times New Roman"/>
        </w:rPr>
        <w:t xml:space="preserve"> (including Attachments showing redline changes to specific questions)</w:t>
      </w:r>
      <w:r w:rsidR="00C22B1C" w:rsidRPr="7CFBF453">
        <w:rPr>
          <w:rFonts w:ascii="Times New Roman" w:eastAsia="Times New Roman" w:hAnsi="Times New Roman" w:cs="Times New Roman"/>
        </w:rPr>
        <w:t xml:space="preserve"> has been placed in the docket (see Docket ID No. EPA-HQ-OAR-2016-0204). Any changes made to the ICR as a result of these comments are also reflected in the revised version of the ICR</w:t>
      </w:r>
      <w:r w:rsidR="005B1A4E">
        <w:rPr>
          <w:rFonts w:ascii="Times New Roman" w:eastAsia="Times New Roman" w:hAnsi="Times New Roman" w:cs="Times New Roman"/>
        </w:rPr>
        <w:t xml:space="preserve"> spreadsheet questionnaires</w:t>
      </w:r>
      <w:r w:rsidR="00C22B1C" w:rsidRPr="7CFBF453">
        <w:rPr>
          <w:rFonts w:ascii="Times New Roman" w:eastAsia="Times New Roman" w:hAnsi="Times New Roman" w:cs="Times New Roman"/>
        </w:rPr>
        <w:t>.</w:t>
      </w:r>
    </w:p>
    <w:p w14:paraId="121D5FB4" w14:textId="2EF8EE51" w:rsidR="004B1B24" w:rsidRPr="00947EE9" w:rsidRDefault="004B1B24" w:rsidP="004B1B24">
      <w:pPr>
        <w:spacing w:line="480" w:lineRule="auto"/>
        <w:rPr>
          <w:rFonts w:ascii="Times New Roman" w:hAnsi="Times New Roman" w:cs="Times New Roman"/>
          <w:strike/>
        </w:rPr>
      </w:pPr>
      <w:r w:rsidRPr="7CFBF453">
        <w:rPr>
          <w:rFonts w:ascii="Times New Roman" w:eastAsia="Times New Roman" w:hAnsi="Times New Roman" w:cs="Times New Roman"/>
          <w:b/>
        </w:rPr>
        <w:t xml:space="preserve">Definition of Facility </w:t>
      </w:r>
    </w:p>
    <w:p w14:paraId="113624A1" w14:textId="64DA3F30" w:rsidR="00D30618" w:rsidRDefault="004B1B24" w:rsidP="006027C1">
      <w:pPr>
        <w:spacing w:line="480" w:lineRule="auto"/>
        <w:ind w:firstLine="720"/>
        <w:rPr>
          <w:rFonts w:ascii="Times New Roman" w:hAnsi="Times New Roman" w:cs="Times New Roman"/>
        </w:rPr>
      </w:pPr>
      <w:r w:rsidRPr="7CFBF453">
        <w:rPr>
          <w:rFonts w:ascii="Times New Roman" w:eastAsia="Times New Roman" w:hAnsi="Times New Roman" w:cs="Times New Roman"/>
        </w:rPr>
        <w:t xml:space="preserve">Some commenters mentioned that using the source determination rule as a way </w:t>
      </w:r>
      <w:r w:rsidRPr="007C505B">
        <w:rPr>
          <w:rFonts w:ascii="Times New Roman" w:eastAsia="Times New Roman" w:hAnsi="Times New Roman" w:cs="Times New Roman"/>
        </w:rPr>
        <w:t xml:space="preserve">to define </w:t>
      </w:r>
      <w:r w:rsidR="00947EE9" w:rsidRPr="007C505B">
        <w:rPr>
          <w:rFonts w:ascii="Times New Roman" w:eastAsia="Times New Roman" w:hAnsi="Times New Roman" w:cs="Times New Roman"/>
        </w:rPr>
        <w:t xml:space="preserve">a </w:t>
      </w:r>
      <w:r w:rsidRPr="007C505B">
        <w:rPr>
          <w:rFonts w:ascii="Times New Roman" w:eastAsia="Times New Roman" w:hAnsi="Times New Roman" w:cs="Times New Roman"/>
        </w:rPr>
        <w:t>facility does not make sense across the industry</w:t>
      </w:r>
      <w:r w:rsidR="006027C1" w:rsidRPr="007C505B">
        <w:rPr>
          <w:rFonts w:ascii="Times New Roman" w:eastAsia="Times New Roman" w:hAnsi="Times New Roman" w:cs="Times New Roman"/>
        </w:rPr>
        <w:t xml:space="preserve"> for </w:t>
      </w:r>
      <w:r w:rsidR="00947EE9" w:rsidRPr="007C505B">
        <w:rPr>
          <w:rFonts w:ascii="Times New Roman" w:eastAsia="Times New Roman" w:hAnsi="Times New Roman" w:cs="Times New Roman"/>
        </w:rPr>
        <w:t>existing sources, particularly the production segment</w:t>
      </w:r>
      <w:r w:rsidRPr="007C505B">
        <w:rPr>
          <w:rFonts w:ascii="Times New Roman" w:eastAsia="Times New Roman" w:hAnsi="Times New Roman" w:cs="Times New Roman"/>
        </w:rPr>
        <w:t xml:space="preserve">. </w:t>
      </w:r>
      <w:r w:rsidR="00704029" w:rsidRPr="007C505B">
        <w:rPr>
          <w:rFonts w:ascii="Times New Roman" w:eastAsia="Times New Roman" w:hAnsi="Times New Roman" w:cs="Times New Roman"/>
        </w:rPr>
        <w:t xml:space="preserve"> </w:t>
      </w:r>
      <w:r w:rsidR="00B051E9" w:rsidRPr="007C505B">
        <w:rPr>
          <w:rFonts w:ascii="Times New Roman" w:eastAsia="Times New Roman" w:hAnsi="Times New Roman" w:cs="Times New Roman"/>
        </w:rPr>
        <w:t xml:space="preserve">The </w:t>
      </w:r>
      <w:r w:rsidR="00B051E9" w:rsidRPr="7CFBF453">
        <w:rPr>
          <w:rFonts w:ascii="Times New Roman" w:eastAsia="Times New Roman" w:hAnsi="Times New Roman" w:cs="Times New Roman"/>
        </w:rPr>
        <w:t>draft ICR referenced the source determ</w:t>
      </w:r>
      <w:r w:rsidR="003E1FD5" w:rsidRPr="7CFBF453">
        <w:rPr>
          <w:rFonts w:ascii="Times New Roman" w:eastAsia="Times New Roman" w:hAnsi="Times New Roman" w:cs="Times New Roman"/>
        </w:rPr>
        <w:t>ination rule’s clarification of the term “adjacent” to determine the scope of a “facility.</w:t>
      </w:r>
      <w:r w:rsidR="0043655E">
        <w:rPr>
          <w:rFonts w:ascii="Times New Roman" w:eastAsia="Times New Roman" w:hAnsi="Times New Roman" w:cs="Times New Roman"/>
        </w:rPr>
        <w:t>”</w:t>
      </w:r>
      <w:r w:rsidR="003E1FD5" w:rsidRPr="7CFBF453">
        <w:rPr>
          <w:rFonts w:ascii="Times New Roman" w:eastAsia="Times New Roman" w:hAnsi="Times New Roman" w:cs="Times New Roman"/>
        </w:rPr>
        <w:t xml:space="preserve"> </w:t>
      </w:r>
      <w:r w:rsidR="00B051E9" w:rsidRPr="7CFBF453">
        <w:rPr>
          <w:rFonts w:ascii="Times New Roman" w:eastAsia="Times New Roman" w:hAnsi="Times New Roman" w:cs="Times New Roman"/>
        </w:rPr>
        <w:t xml:space="preserve"> </w:t>
      </w:r>
      <w:r w:rsidRPr="7CFBF453">
        <w:rPr>
          <w:rFonts w:ascii="Times New Roman" w:eastAsia="Times New Roman" w:hAnsi="Times New Roman" w:cs="Times New Roman"/>
        </w:rPr>
        <w:t xml:space="preserve">However, commenters stated that there are </w:t>
      </w:r>
      <w:r w:rsidR="003E1FD5" w:rsidRPr="7CFBF453">
        <w:rPr>
          <w:rFonts w:ascii="Times New Roman" w:eastAsia="Times New Roman" w:hAnsi="Times New Roman" w:cs="Times New Roman"/>
        </w:rPr>
        <w:t xml:space="preserve">non-contiguous </w:t>
      </w:r>
      <w:r w:rsidRPr="7CFBF453">
        <w:rPr>
          <w:rFonts w:ascii="Times New Roman" w:eastAsia="Times New Roman" w:hAnsi="Times New Roman" w:cs="Times New Roman"/>
        </w:rPr>
        <w:t xml:space="preserve">areas that are adjacent, and flow into the same centralized tank battery but do not all reside within a quarter of a mile of each </w:t>
      </w:r>
      <w:r w:rsidRPr="7CFBF453">
        <w:rPr>
          <w:rFonts w:ascii="Times New Roman" w:eastAsia="Times New Roman" w:hAnsi="Times New Roman" w:cs="Times New Roman"/>
        </w:rPr>
        <w:lastRenderedPageBreak/>
        <w:t xml:space="preserve">other. Commenters pointed out that the first draft of the ICR would not require the owners or operators </w:t>
      </w:r>
      <w:r w:rsidR="003E1FD5" w:rsidRPr="7CFBF453">
        <w:rPr>
          <w:rFonts w:ascii="Times New Roman" w:eastAsia="Times New Roman" w:hAnsi="Times New Roman" w:cs="Times New Roman"/>
        </w:rPr>
        <w:t xml:space="preserve">to </w:t>
      </w:r>
      <w:r w:rsidRPr="7CFBF453">
        <w:rPr>
          <w:rFonts w:ascii="Times New Roman" w:eastAsia="Times New Roman" w:hAnsi="Times New Roman" w:cs="Times New Roman"/>
        </w:rPr>
        <w:t xml:space="preserve">include information on </w:t>
      </w:r>
      <w:r w:rsidR="003E1FD5" w:rsidRPr="7CFBF453">
        <w:rPr>
          <w:rFonts w:ascii="Times New Roman" w:eastAsia="Times New Roman" w:hAnsi="Times New Roman" w:cs="Times New Roman"/>
        </w:rPr>
        <w:t>the centralized production area</w:t>
      </w:r>
      <w:r w:rsidRPr="7CFBF453">
        <w:rPr>
          <w:rFonts w:ascii="Times New Roman" w:eastAsia="Times New Roman" w:hAnsi="Times New Roman" w:cs="Times New Roman"/>
        </w:rPr>
        <w:t xml:space="preserve"> that wou</w:t>
      </w:r>
      <w:r w:rsidR="003E1FD5" w:rsidRPr="7CFBF453">
        <w:rPr>
          <w:rFonts w:ascii="Times New Roman" w:eastAsia="Times New Roman" w:hAnsi="Times New Roman" w:cs="Times New Roman"/>
        </w:rPr>
        <w:t>ld include centralized tank batteri</w:t>
      </w:r>
      <w:r w:rsidRPr="7CFBF453">
        <w:rPr>
          <w:rFonts w:ascii="Times New Roman" w:eastAsia="Times New Roman" w:hAnsi="Times New Roman" w:cs="Times New Roman"/>
        </w:rPr>
        <w:t>es and other processing equipment such as separators, acid gas removal units</w:t>
      </w:r>
      <w:r w:rsidR="006A4330">
        <w:rPr>
          <w:rFonts w:ascii="Times New Roman" w:eastAsia="Times New Roman" w:hAnsi="Times New Roman" w:cs="Times New Roman"/>
        </w:rPr>
        <w:t xml:space="preserve"> (AGRUs)</w:t>
      </w:r>
      <w:r w:rsidRPr="7CFBF453">
        <w:rPr>
          <w:rFonts w:ascii="Times New Roman" w:eastAsia="Times New Roman" w:hAnsi="Times New Roman" w:cs="Times New Roman"/>
        </w:rPr>
        <w:t>, and glycol dehydrators</w:t>
      </w:r>
      <w:r w:rsidR="003E1FD5" w:rsidRPr="7CFBF453">
        <w:rPr>
          <w:rFonts w:ascii="Times New Roman" w:eastAsia="Times New Roman" w:hAnsi="Times New Roman" w:cs="Times New Roman"/>
        </w:rPr>
        <w:t xml:space="preserve"> under the original approach, unless these operations were within a quarter mile of a well site</w:t>
      </w:r>
      <w:r w:rsidRPr="7CFBF453">
        <w:rPr>
          <w:rFonts w:ascii="Times New Roman" w:eastAsia="Times New Roman" w:hAnsi="Times New Roman" w:cs="Times New Roman"/>
        </w:rPr>
        <w:t xml:space="preserve">.  </w:t>
      </w:r>
      <w:r w:rsidR="006027C1" w:rsidRPr="7CFBF453">
        <w:rPr>
          <w:rFonts w:ascii="Times New Roman" w:eastAsia="Times New Roman" w:hAnsi="Times New Roman" w:cs="Times New Roman"/>
        </w:rPr>
        <w:t>Similarly f</w:t>
      </w:r>
      <w:r w:rsidR="00D30618" w:rsidRPr="7CFBF453">
        <w:rPr>
          <w:rFonts w:ascii="Times New Roman" w:eastAsia="Times New Roman" w:hAnsi="Times New Roman" w:cs="Times New Roman"/>
        </w:rPr>
        <w:t xml:space="preserve">or Part 2, </w:t>
      </w:r>
      <w:r w:rsidR="006027C1" w:rsidRPr="7CFBF453">
        <w:rPr>
          <w:rFonts w:ascii="Times New Roman" w:eastAsia="Times New Roman" w:hAnsi="Times New Roman" w:cs="Times New Roman"/>
        </w:rPr>
        <w:t xml:space="preserve">some </w:t>
      </w:r>
      <w:r w:rsidR="00D30618" w:rsidRPr="7CFBF453">
        <w:rPr>
          <w:rFonts w:ascii="Times New Roman" w:eastAsia="Times New Roman" w:hAnsi="Times New Roman" w:cs="Times New Roman"/>
        </w:rPr>
        <w:t>commenters indicated that owners or operators o</w:t>
      </w:r>
      <w:r w:rsidR="006027C1" w:rsidRPr="7CFBF453">
        <w:rPr>
          <w:rFonts w:ascii="Times New Roman" w:eastAsia="Times New Roman" w:hAnsi="Times New Roman" w:cs="Times New Roman"/>
        </w:rPr>
        <w:t>f facilities that have large num</w:t>
      </w:r>
      <w:r w:rsidR="00D30618" w:rsidRPr="7CFBF453">
        <w:rPr>
          <w:rFonts w:ascii="Times New Roman" w:eastAsia="Times New Roman" w:hAnsi="Times New Roman" w:cs="Times New Roman"/>
        </w:rPr>
        <w:t xml:space="preserve">bers of operations within </w:t>
      </w:r>
      <w:r w:rsidR="006027C1" w:rsidRPr="7CFBF453">
        <w:rPr>
          <w:rFonts w:ascii="Times New Roman" w:eastAsia="Times New Roman" w:hAnsi="Times New Roman" w:cs="Times New Roman"/>
        </w:rPr>
        <w:t>a qua</w:t>
      </w:r>
      <w:r w:rsidR="00D30618" w:rsidRPr="7CFBF453">
        <w:rPr>
          <w:rFonts w:ascii="Times New Roman" w:eastAsia="Times New Roman" w:hAnsi="Times New Roman" w:cs="Times New Roman"/>
        </w:rPr>
        <w:t xml:space="preserve">rter mile of each other </w:t>
      </w:r>
      <w:r w:rsidR="006027C1" w:rsidRPr="7CFBF453">
        <w:rPr>
          <w:rFonts w:ascii="Times New Roman" w:eastAsia="Times New Roman" w:hAnsi="Times New Roman" w:cs="Times New Roman"/>
        </w:rPr>
        <w:t xml:space="preserve">would likely incur a large burden of responding to Part 2 if they were required to include all these operations in the detailed survey. </w:t>
      </w:r>
    </w:p>
    <w:p w14:paraId="493D5454" w14:textId="167D92AC" w:rsidR="00407DC0" w:rsidRDefault="00B50563" w:rsidP="009659AD">
      <w:pPr>
        <w:spacing w:line="480" w:lineRule="auto"/>
        <w:ind w:firstLine="720"/>
        <w:rPr>
          <w:rFonts w:ascii="Times New Roman" w:hAnsi="Times New Roman" w:cs="Times New Roman"/>
        </w:rPr>
      </w:pPr>
      <w:r>
        <w:rPr>
          <w:rFonts w:ascii="Times New Roman" w:eastAsia="Times New Roman" w:hAnsi="Times New Roman" w:cs="Times New Roman"/>
        </w:rPr>
        <w:t xml:space="preserve">In order to address </w:t>
      </w:r>
      <w:r w:rsidR="006027C1" w:rsidRPr="7CFBF453">
        <w:rPr>
          <w:rFonts w:ascii="Times New Roman" w:eastAsia="Times New Roman" w:hAnsi="Times New Roman" w:cs="Times New Roman"/>
        </w:rPr>
        <w:t>these</w:t>
      </w:r>
      <w:r>
        <w:rPr>
          <w:rFonts w:ascii="Times New Roman" w:eastAsia="Times New Roman" w:hAnsi="Times New Roman" w:cs="Times New Roman"/>
        </w:rPr>
        <w:t xml:space="preserve"> concerns</w:t>
      </w:r>
      <w:r w:rsidR="004B1B24" w:rsidRPr="7CFBF453">
        <w:rPr>
          <w:rFonts w:ascii="Times New Roman" w:eastAsia="Times New Roman" w:hAnsi="Times New Roman" w:cs="Times New Roman"/>
        </w:rPr>
        <w:t xml:space="preserve">, we </w:t>
      </w:r>
      <w:r w:rsidR="006027C1" w:rsidRPr="7CFBF453">
        <w:rPr>
          <w:rFonts w:ascii="Times New Roman" w:eastAsia="Times New Roman" w:hAnsi="Times New Roman" w:cs="Times New Roman"/>
        </w:rPr>
        <w:t xml:space="preserve">revised Part 1 to request </w:t>
      </w:r>
      <w:r>
        <w:rPr>
          <w:rFonts w:ascii="Times New Roman" w:eastAsia="Times New Roman" w:hAnsi="Times New Roman" w:cs="Times New Roman"/>
        </w:rPr>
        <w:t xml:space="preserve">limited </w:t>
      </w:r>
      <w:r w:rsidR="006027C1" w:rsidRPr="7CFBF453">
        <w:rPr>
          <w:rFonts w:ascii="Times New Roman" w:eastAsia="Times New Roman" w:hAnsi="Times New Roman" w:cs="Times New Roman"/>
        </w:rPr>
        <w:t xml:space="preserve">information on </w:t>
      </w:r>
      <w:r>
        <w:rPr>
          <w:rFonts w:ascii="Times New Roman" w:eastAsia="Times New Roman" w:hAnsi="Times New Roman" w:cs="Times New Roman"/>
        </w:rPr>
        <w:t xml:space="preserve">all </w:t>
      </w:r>
      <w:r w:rsidR="00B622B0" w:rsidRPr="7CFBF453">
        <w:rPr>
          <w:rFonts w:ascii="Times New Roman" w:eastAsia="Times New Roman" w:hAnsi="Times New Roman" w:cs="Times New Roman"/>
        </w:rPr>
        <w:t xml:space="preserve">centralized production </w:t>
      </w:r>
      <w:r w:rsidR="005B1A4E">
        <w:rPr>
          <w:rFonts w:ascii="Times New Roman" w:eastAsia="Times New Roman" w:hAnsi="Times New Roman" w:cs="Times New Roman"/>
        </w:rPr>
        <w:t xml:space="preserve">surface </w:t>
      </w:r>
      <w:r w:rsidR="00B622B0" w:rsidRPr="7CFBF453">
        <w:rPr>
          <w:rFonts w:ascii="Times New Roman" w:eastAsia="Times New Roman" w:hAnsi="Times New Roman" w:cs="Times New Roman"/>
        </w:rPr>
        <w:t xml:space="preserve">sites as well as </w:t>
      </w:r>
      <w:r>
        <w:rPr>
          <w:rFonts w:ascii="Times New Roman" w:eastAsia="Times New Roman" w:hAnsi="Times New Roman" w:cs="Times New Roman"/>
        </w:rPr>
        <w:t xml:space="preserve">all </w:t>
      </w:r>
      <w:r w:rsidR="00B622B0" w:rsidRPr="7CFBF453">
        <w:rPr>
          <w:rFonts w:ascii="Times New Roman" w:eastAsia="Times New Roman" w:hAnsi="Times New Roman" w:cs="Times New Roman"/>
        </w:rPr>
        <w:t xml:space="preserve">well </w:t>
      </w:r>
      <w:r w:rsidR="005B1A4E">
        <w:rPr>
          <w:rFonts w:ascii="Times New Roman" w:eastAsia="Times New Roman" w:hAnsi="Times New Roman" w:cs="Times New Roman"/>
        </w:rPr>
        <w:t xml:space="preserve">surface </w:t>
      </w:r>
      <w:r w:rsidR="00B622B0" w:rsidRPr="7CFBF453">
        <w:rPr>
          <w:rFonts w:ascii="Times New Roman" w:eastAsia="Times New Roman" w:hAnsi="Times New Roman" w:cs="Times New Roman"/>
        </w:rPr>
        <w:t xml:space="preserve">sites.  </w:t>
      </w:r>
      <w:r>
        <w:rPr>
          <w:rFonts w:ascii="Times New Roman" w:eastAsia="Times New Roman" w:hAnsi="Times New Roman" w:cs="Times New Roman"/>
          <w:lang w:val="en-GB"/>
        </w:rPr>
        <w:t>F</w:t>
      </w:r>
      <w:r w:rsidR="00B622B0" w:rsidRPr="7CFBF453">
        <w:rPr>
          <w:rFonts w:ascii="Times New Roman" w:eastAsia="Times New Roman" w:hAnsi="Times New Roman" w:cs="Times New Roman"/>
          <w:lang w:val="en-GB"/>
        </w:rPr>
        <w:t>or Part 2, we request detailed information on</w:t>
      </w:r>
      <w:r w:rsidR="00C867B3" w:rsidRPr="7CFBF453">
        <w:rPr>
          <w:rFonts w:ascii="Times New Roman" w:eastAsia="Times New Roman" w:hAnsi="Times New Roman" w:cs="Times New Roman"/>
          <w:lang w:val="en-GB"/>
        </w:rPr>
        <w:t xml:space="preserve"> the</w:t>
      </w:r>
      <w:r w:rsidR="00B622B0" w:rsidRPr="7CFBF453">
        <w:rPr>
          <w:rFonts w:ascii="Times New Roman" w:eastAsia="Times New Roman" w:hAnsi="Times New Roman" w:cs="Times New Roman"/>
          <w:lang w:val="en-GB"/>
        </w:rPr>
        <w:t xml:space="preserve"> individual well sites that contain the randomly chosen wells, as well as detailed information on the c</w:t>
      </w:r>
      <w:r>
        <w:rPr>
          <w:rFonts w:ascii="Times New Roman" w:eastAsia="Times New Roman" w:hAnsi="Times New Roman" w:cs="Times New Roman"/>
          <w:lang w:val="en-GB"/>
        </w:rPr>
        <w:t>entralized production surface sites</w:t>
      </w:r>
      <w:r w:rsidR="00B622B0" w:rsidRPr="7CFBF453">
        <w:rPr>
          <w:rFonts w:ascii="Times New Roman" w:eastAsia="Times New Roman" w:hAnsi="Times New Roman" w:cs="Times New Roman"/>
          <w:lang w:val="en-GB"/>
        </w:rPr>
        <w:t xml:space="preserve"> that the </w:t>
      </w:r>
      <w:r>
        <w:rPr>
          <w:rFonts w:ascii="Times New Roman" w:eastAsia="Times New Roman" w:hAnsi="Times New Roman" w:cs="Times New Roman"/>
          <w:lang w:val="en-GB"/>
        </w:rPr>
        <w:t xml:space="preserve">selected </w:t>
      </w:r>
      <w:r w:rsidR="00B622B0" w:rsidRPr="7CFBF453">
        <w:rPr>
          <w:rFonts w:ascii="Times New Roman" w:eastAsia="Times New Roman" w:hAnsi="Times New Roman" w:cs="Times New Roman"/>
          <w:lang w:val="en-GB"/>
        </w:rPr>
        <w:t>well site feeds</w:t>
      </w:r>
      <w:r>
        <w:rPr>
          <w:rFonts w:ascii="Times New Roman" w:eastAsia="Times New Roman" w:hAnsi="Times New Roman" w:cs="Times New Roman"/>
          <w:lang w:val="en-GB"/>
        </w:rPr>
        <w:t xml:space="preserve">.  </w:t>
      </w:r>
    </w:p>
    <w:p w14:paraId="13AEDAB0" w14:textId="0C219030" w:rsidR="005B3512" w:rsidRDefault="005B3512" w:rsidP="009022CB">
      <w:pPr>
        <w:spacing w:line="480" w:lineRule="auto"/>
        <w:rPr>
          <w:rFonts w:ascii="Times New Roman" w:hAnsi="Times New Roman" w:cs="Times New Roman"/>
        </w:rPr>
      </w:pPr>
      <w:r w:rsidRPr="7CFBF453">
        <w:rPr>
          <w:rFonts w:ascii="Times New Roman" w:eastAsia="Times New Roman" w:hAnsi="Times New Roman" w:cs="Times New Roman"/>
          <w:b/>
        </w:rPr>
        <w:t>Statistical Sampling Approach</w:t>
      </w:r>
    </w:p>
    <w:p w14:paraId="44AE3312" w14:textId="48867569" w:rsidR="00164FAA" w:rsidRPr="00F67310" w:rsidRDefault="00164FAA" w:rsidP="00164FAA">
      <w:pPr>
        <w:spacing w:line="480" w:lineRule="auto"/>
        <w:ind w:firstLine="720"/>
        <w:rPr>
          <w:rFonts w:ascii="Times New Roman" w:hAnsi="Times New Roman" w:cs="Times New Roman"/>
        </w:rPr>
      </w:pPr>
      <w:r w:rsidRPr="7CFBF453">
        <w:rPr>
          <w:rFonts w:ascii="Times New Roman" w:eastAsia="Times New Roman" w:hAnsi="Times New Roman" w:cs="Times New Roman"/>
        </w:rPr>
        <w:t>We received</w:t>
      </w:r>
      <w:bookmarkStart w:id="0" w:name="_GoBack"/>
      <w:bookmarkEnd w:id="0"/>
      <w:r w:rsidRPr="7CFBF453">
        <w:rPr>
          <w:rFonts w:ascii="Times New Roman" w:eastAsia="Times New Roman" w:hAnsi="Times New Roman" w:cs="Times New Roman"/>
        </w:rPr>
        <w:t xml:space="preserve"> many comments suggesting changes to our statistical sampling approach for Part 2 respondents</w:t>
      </w:r>
      <w:r w:rsidR="00CC119D" w:rsidRPr="002418A9">
        <w:rPr>
          <w:rFonts w:ascii="Times New Roman" w:eastAsia="Times New Roman" w:hAnsi="Times New Roman" w:cs="Times New Roman"/>
        </w:rPr>
        <w:t xml:space="preserve"> and we </w:t>
      </w:r>
      <w:r w:rsidR="00266566" w:rsidRPr="002418A9">
        <w:rPr>
          <w:rFonts w:ascii="Times New Roman" w:hAnsi="Times New Roman" w:cs="Times New Roman"/>
        </w:rPr>
        <w:t>have modified</w:t>
      </w:r>
      <w:r w:rsidR="00CC119D" w:rsidRPr="002418A9">
        <w:rPr>
          <w:rFonts w:ascii="Times New Roman" w:eastAsia="Times New Roman" w:hAnsi="Times New Roman" w:cs="Times New Roman"/>
        </w:rPr>
        <w:t xml:space="preserve"> our </w:t>
      </w:r>
      <w:r w:rsidR="00C173B4">
        <w:rPr>
          <w:rFonts w:ascii="Times New Roman" w:eastAsia="Times New Roman" w:hAnsi="Times New Roman" w:cs="Times New Roman"/>
        </w:rPr>
        <w:t xml:space="preserve">strategy </w:t>
      </w:r>
      <w:r w:rsidR="00CC119D" w:rsidRPr="002418A9">
        <w:rPr>
          <w:rFonts w:ascii="Times New Roman" w:eastAsia="Times New Roman" w:hAnsi="Times New Roman" w:cs="Times New Roman"/>
        </w:rPr>
        <w:t>as a result</w:t>
      </w:r>
      <w:r w:rsidRPr="002418A9">
        <w:rPr>
          <w:rFonts w:ascii="Times New Roman" w:eastAsia="Times New Roman" w:hAnsi="Times New Roman" w:cs="Times New Roman"/>
        </w:rPr>
        <w:t xml:space="preserve">. </w:t>
      </w:r>
      <w:r w:rsidR="00CC119D" w:rsidRPr="002418A9">
        <w:rPr>
          <w:rFonts w:ascii="Times New Roman" w:eastAsia="Times New Roman" w:hAnsi="Times New Roman" w:cs="Times New Roman"/>
        </w:rPr>
        <w:t xml:space="preserve">In the first FR notice, we proposed two options for stratifying the production segment for Part 2 sampling: by geographical region and by </w:t>
      </w:r>
      <w:r w:rsidR="00CE351F" w:rsidRPr="002418A9">
        <w:rPr>
          <w:rFonts w:ascii="Times New Roman" w:eastAsia="Times New Roman" w:hAnsi="Times New Roman" w:cs="Times New Roman"/>
        </w:rPr>
        <w:t>gas-to-oil ratio</w:t>
      </w:r>
      <w:r w:rsidR="00CC4CF4" w:rsidRPr="002418A9">
        <w:rPr>
          <w:rFonts w:ascii="Times New Roman" w:eastAsia="Times New Roman" w:hAnsi="Times New Roman" w:cs="Times New Roman"/>
        </w:rPr>
        <w:t xml:space="preserve"> (</w:t>
      </w:r>
      <w:r w:rsidR="00CC119D" w:rsidRPr="002418A9">
        <w:rPr>
          <w:rFonts w:ascii="Times New Roman" w:eastAsia="Times New Roman" w:hAnsi="Times New Roman" w:cs="Times New Roman"/>
        </w:rPr>
        <w:t>GOR</w:t>
      </w:r>
      <w:r w:rsidR="00CC4CF4" w:rsidRPr="002418A9">
        <w:rPr>
          <w:rFonts w:ascii="Times New Roman" w:eastAsia="Times New Roman" w:hAnsi="Times New Roman" w:cs="Times New Roman"/>
        </w:rPr>
        <w:t>)</w:t>
      </w:r>
      <w:r w:rsidR="00CC119D" w:rsidRPr="002418A9">
        <w:rPr>
          <w:rFonts w:ascii="Times New Roman" w:eastAsia="Times New Roman" w:hAnsi="Times New Roman" w:cs="Times New Roman"/>
        </w:rPr>
        <w:t xml:space="preserve">. Many commenters suggested that the GOR approach for stratifying the production segment was the more preferable method. </w:t>
      </w:r>
      <w:r w:rsidRPr="7CFBF453">
        <w:rPr>
          <w:rFonts w:ascii="Times New Roman" w:eastAsia="Times New Roman" w:hAnsi="Times New Roman" w:cs="Times New Roman"/>
        </w:rPr>
        <w:t xml:space="preserve">Several commenters </w:t>
      </w:r>
      <w:r w:rsidR="00CC119D" w:rsidRPr="002418A9">
        <w:rPr>
          <w:rFonts w:ascii="Times New Roman" w:eastAsia="Times New Roman" w:hAnsi="Times New Roman" w:cs="Times New Roman"/>
        </w:rPr>
        <w:t xml:space="preserve">also </w:t>
      </w:r>
      <w:r w:rsidRPr="7CFBF453">
        <w:rPr>
          <w:rFonts w:ascii="Times New Roman" w:eastAsia="Times New Roman" w:hAnsi="Times New Roman" w:cs="Times New Roman"/>
        </w:rPr>
        <w:t>suggested adding a new category for</w:t>
      </w:r>
      <w:r w:rsidR="001E5407">
        <w:rPr>
          <w:rFonts w:ascii="Times New Roman" w:eastAsia="Times New Roman" w:hAnsi="Times New Roman" w:cs="Times New Roman"/>
        </w:rPr>
        <w:t xml:space="preserve"> </w:t>
      </w:r>
      <w:r w:rsidRPr="7CFBF453">
        <w:rPr>
          <w:rFonts w:ascii="Times New Roman" w:eastAsia="Times New Roman" w:hAnsi="Times New Roman" w:cs="Times New Roman"/>
        </w:rPr>
        <w:t>stripper wells with low production</w:t>
      </w:r>
      <w:r w:rsidR="003C691D">
        <w:rPr>
          <w:rFonts w:ascii="Times New Roman" w:eastAsia="Times New Roman" w:hAnsi="Times New Roman" w:cs="Times New Roman"/>
        </w:rPr>
        <w:t xml:space="preserve">, which are defined </w:t>
      </w:r>
      <w:proofErr w:type="gramStart"/>
      <w:r w:rsidR="003C691D">
        <w:rPr>
          <w:rFonts w:ascii="Times New Roman" w:eastAsia="Times New Roman" w:hAnsi="Times New Roman" w:cs="Times New Roman"/>
        </w:rPr>
        <w:t xml:space="preserve">as </w:t>
      </w:r>
      <w:r w:rsidR="00FE6E67">
        <w:rPr>
          <w:rFonts w:ascii="Times New Roman" w:eastAsia="Times New Roman" w:hAnsi="Times New Roman" w:cs="Times New Roman"/>
        </w:rPr>
        <w:t xml:space="preserve"> well</w:t>
      </w:r>
      <w:r w:rsidR="003C691D">
        <w:rPr>
          <w:rFonts w:ascii="Times New Roman" w:eastAsia="Times New Roman" w:hAnsi="Times New Roman" w:cs="Times New Roman"/>
        </w:rPr>
        <w:t>s</w:t>
      </w:r>
      <w:proofErr w:type="gramEnd"/>
      <w:r w:rsidR="003C691D">
        <w:rPr>
          <w:rFonts w:ascii="Times New Roman" w:eastAsia="Times New Roman" w:hAnsi="Times New Roman" w:cs="Times New Roman"/>
        </w:rPr>
        <w:t xml:space="preserve"> that</w:t>
      </w:r>
      <w:r w:rsidR="00FE6E67">
        <w:rPr>
          <w:rFonts w:ascii="Times New Roman" w:eastAsia="Times New Roman" w:hAnsi="Times New Roman" w:cs="Times New Roman"/>
        </w:rPr>
        <w:t xml:space="preserve"> produce 15 barrels of oil equivalent (BOE) or less per day on average over a 12-month period</w:t>
      </w:r>
      <w:r w:rsidRPr="7CFBF453">
        <w:rPr>
          <w:rFonts w:ascii="Times New Roman" w:eastAsia="Times New Roman" w:hAnsi="Times New Roman" w:cs="Times New Roman"/>
        </w:rPr>
        <w:t xml:space="preserve">. </w:t>
      </w:r>
      <w:r w:rsidR="00B50563">
        <w:rPr>
          <w:rFonts w:ascii="Times New Roman" w:eastAsia="Times New Roman" w:hAnsi="Times New Roman" w:cs="Times New Roman"/>
        </w:rPr>
        <w:t xml:space="preserve"> We</w:t>
      </w:r>
      <w:r w:rsidR="00266566" w:rsidRPr="009022CB">
        <w:rPr>
          <w:rFonts w:ascii="Times New Roman" w:hAnsi="Times New Roman" w:cs="Times New Roman"/>
        </w:rPr>
        <w:t xml:space="preserve"> decided to use</w:t>
      </w:r>
      <w:r w:rsidR="00266566" w:rsidRPr="009022CB">
        <w:rPr>
          <w:rFonts w:ascii="Times New Roman" w:eastAsia="Times New Roman" w:hAnsi="Times New Roman" w:cs="Times New Roman"/>
        </w:rPr>
        <w:t xml:space="preserve"> the</w:t>
      </w:r>
      <w:r w:rsidR="00CC4CF4" w:rsidRPr="009022CB">
        <w:rPr>
          <w:rFonts w:ascii="Times New Roman" w:eastAsia="Times New Roman" w:hAnsi="Times New Roman" w:cs="Times New Roman"/>
        </w:rPr>
        <w:t xml:space="preserve"> GOR approach for stratify</w:t>
      </w:r>
      <w:r w:rsidR="00266566" w:rsidRPr="009022CB">
        <w:rPr>
          <w:rFonts w:ascii="Times New Roman" w:eastAsia="Times New Roman" w:hAnsi="Times New Roman" w:cs="Times New Roman"/>
        </w:rPr>
        <w:t>ing the production segment</w:t>
      </w:r>
      <w:r w:rsidR="005B1A4E">
        <w:rPr>
          <w:rFonts w:ascii="Times New Roman" w:eastAsia="Times New Roman" w:hAnsi="Times New Roman" w:cs="Times New Roman"/>
        </w:rPr>
        <w:t>; however,</w:t>
      </w:r>
      <w:r w:rsidR="00266566" w:rsidRPr="009022CB">
        <w:rPr>
          <w:rFonts w:ascii="Times New Roman" w:eastAsia="Times New Roman" w:hAnsi="Times New Roman" w:cs="Times New Roman"/>
        </w:rPr>
        <w:t xml:space="preserve"> </w:t>
      </w:r>
      <w:r w:rsidR="005B1A4E">
        <w:rPr>
          <w:rFonts w:ascii="Times New Roman" w:hAnsi="Times New Roman" w:cs="Times New Roman"/>
        </w:rPr>
        <w:t xml:space="preserve">we have </w:t>
      </w:r>
      <w:r w:rsidR="0032792F">
        <w:rPr>
          <w:rFonts w:ascii="Times New Roman" w:hAnsi="Times New Roman" w:cs="Times New Roman"/>
        </w:rPr>
        <w:t xml:space="preserve">also </w:t>
      </w:r>
      <w:r w:rsidR="005B1A4E">
        <w:rPr>
          <w:rFonts w:ascii="Times New Roman" w:hAnsi="Times New Roman" w:cs="Times New Roman"/>
        </w:rPr>
        <w:t>included</w:t>
      </w:r>
      <w:r w:rsidR="005B1A4E" w:rsidRPr="009022CB">
        <w:rPr>
          <w:rFonts w:ascii="Times New Roman" w:eastAsia="Times New Roman" w:hAnsi="Times New Roman" w:cs="Times New Roman"/>
        </w:rPr>
        <w:t xml:space="preserve"> </w:t>
      </w:r>
      <w:r w:rsidR="00CC4CF4" w:rsidRPr="009022CB">
        <w:rPr>
          <w:rFonts w:ascii="Times New Roman" w:eastAsia="Times New Roman" w:hAnsi="Times New Roman" w:cs="Times New Roman"/>
        </w:rPr>
        <w:t xml:space="preserve">another </w:t>
      </w:r>
      <w:r w:rsidR="005B1A4E">
        <w:rPr>
          <w:rFonts w:ascii="Times New Roman" w:eastAsia="Times New Roman" w:hAnsi="Times New Roman" w:cs="Times New Roman"/>
        </w:rPr>
        <w:t xml:space="preserve">set of </w:t>
      </w:r>
      <w:r w:rsidR="00CC4CF4" w:rsidRPr="009022CB">
        <w:rPr>
          <w:rFonts w:ascii="Times New Roman" w:eastAsia="Times New Roman" w:hAnsi="Times New Roman" w:cs="Times New Roman"/>
        </w:rPr>
        <w:t>categor</w:t>
      </w:r>
      <w:r w:rsidR="005B1A4E">
        <w:rPr>
          <w:rFonts w:ascii="Times New Roman" w:eastAsia="Times New Roman" w:hAnsi="Times New Roman" w:cs="Times New Roman"/>
        </w:rPr>
        <w:t>ies</w:t>
      </w:r>
      <w:r w:rsidR="00CC4CF4" w:rsidRPr="009022CB">
        <w:rPr>
          <w:rFonts w:ascii="Times New Roman" w:eastAsia="Times New Roman" w:hAnsi="Times New Roman" w:cs="Times New Roman"/>
        </w:rPr>
        <w:t xml:space="preserve"> for stripper wells</w:t>
      </w:r>
      <w:r w:rsidR="00266566" w:rsidRPr="009022CB">
        <w:rPr>
          <w:rFonts w:ascii="Times New Roman" w:hAnsi="Times New Roman" w:cs="Times New Roman"/>
        </w:rPr>
        <w:t>, stratif</w:t>
      </w:r>
      <w:r w:rsidR="00C173B4">
        <w:rPr>
          <w:rFonts w:ascii="Times New Roman" w:hAnsi="Times New Roman" w:cs="Times New Roman"/>
        </w:rPr>
        <w:t>y</w:t>
      </w:r>
      <w:r w:rsidR="005B1A4E">
        <w:rPr>
          <w:rFonts w:ascii="Times New Roman" w:hAnsi="Times New Roman" w:cs="Times New Roman"/>
        </w:rPr>
        <w:t>ing</w:t>
      </w:r>
      <w:r w:rsidR="00266566" w:rsidRPr="009022CB">
        <w:rPr>
          <w:rFonts w:ascii="Times New Roman" w:hAnsi="Times New Roman" w:cs="Times New Roman"/>
        </w:rPr>
        <w:t xml:space="preserve"> </w:t>
      </w:r>
      <w:r w:rsidR="0032792F">
        <w:rPr>
          <w:rFonts w:ascii="Times New Roman" w:hAnsi="Times New Roman" w:cs="Times New Roman"/>
        </w:rPr>
        <w:t xml:space="preserve">both </w:t>
      </w:r>
      <w:proofErr w:type="gramStart"/>
      <w:r w:rsidR="0032792F">
        <w:rPr>
          <w:rFonts w:ascii="Times New Roman" w:hAnsi="Times New Roman" w:cs="Times New Roman"/>
        </w:rPr>
        <w:t>the  non</w:t>
      </w:r>
      <w:proofErr w:type="gramEnd"/>
      <w:r w:rsidR="0032792F">
        <w:rPr>
          <w:rFonts w:ascii="Times New Roman" w:hAnsi="Times New Roman" w:cs="Times New Roman"/>
        </w:rPr>
        <w:t xml:space="preserve">-stripper well and </w:t>
      </w:r>
      <w:r w:rsidR="00266566" w:rsidRPr="009022CB">
        <w:rPr>
          <w:rFonts w:ascii="Times New Roman" w:hAnsi="Times New Roman" w:cs="Times New Roman"/>
        </w:rPr>
        <w:t>the stripper well population</w:t>
      </w:r>
      <w:r w:rsidR="0032792F">
        <w:rPr>
          <w:rFonts w:ascii="Times New Roman" w:hAnsi="Times New Roman" w:cs="Times New Roman"/>
        </w:rPr>
        <w:t>s</w:t>
      </w:r>
      <w:r w:rsidR="00266566" w:rsidRPr="009022CB">
        <w:rPr>
          <w:rFonts w:ascii="Times New Roman" w:hAnsi="Times New Roman" w:cs="Times New Roman"/>
        </w:rPr>
        <w:t xml:space="preserve"> by GOR</w:t>
      </w:r>
      <w:r w:rsidR="0032792F">
        <w:rPr>
          <w:rFonts w:ascii="Times New Roman" w:hAnsi="Times New Roman" w:cs="Times New Roman"/>
        </w:rPr>
        <w:t xml:space="preserve"> using the proposed GOR groupings</w:t>
      </w:r>
      <w:r w:rsidR="00CC4CF4" w:rsidRPr="009022CB">
        <w:rPr>
          <w:rFonts w:ascii="Times New Roman" w:eastAsia="Times New Roman" w:hAnsi="Times New Roman" w:cs="Times New Roman"/>
        </w:rPr>
        <w:t xml:space="preserve">. </w:t>
      </w:r>
      <w:r w:rsidR="0032792F">
        <w:rPr>
          <w:rFonts w:ascii="Times New Roman" w:eastAsia="Times New Roman" w:hAnsi="Times New Roman" w:cs="Times New Roman"/>
        </w:rPr>
        <w:t xml:space="preserve">For the stripper well populations, we doubled the acceptable error so that the sampling size for the stripper populations is about 96 wells. Having </w:t>
      </w:r>
      <w:r w:rsidR="00323171">
        <w:rPr>
          <w:rFonts w:ascii="Times New Roman" w:eastAsia="Times New Roman" w:hAnsi="Times New Roman" w:cs="Times New Roman"/>
        </w:rPr>
        <w:t xml:space="preserve">separate categories for </w:t>
      </w:r>
      <w:r w:rsidR="0032792F">
        <w:rPr>
          <w:rFonts w:ascii="Times New Roman" w:eastAsia="Times New Roman" w:hAnsi="Times New Roman" w:cs="Times New Roman"/>
        </w:rPr>
        <w:t>non-</w:t>
      </w:r>
      <w:r w:rsidR="00323171">
        <w:rPr>
          <w:rFonts w:ascii="Times New Roman" w:eastAsia="Times New Roman" w:hAnsi="Times New Roman" w:cs="Times New Roman"/>
        </w:rPr>
        <w:t xml:space="preserve">stripper wells with the GOR groups will help us </w:t>
      </w:r>
      <w:r w:rsidR="0032792F">
        <w:rPr>
          <w:rFonts w:ascii="Times New Roman" w:eastAsia="Times New Roman" w:hAnsi="Times New Roman" w:cs="Times New Roman"/>
        </w:rPr>
        <w:t xml:space="preserve">collect better information </w:t>
      </w:r>
      <w:r w:rsidR="00323171">
        <w:rPr>
          <w:rFonts w:ascii="Times New Roman" w:eastAsia="Times New Roman" w:hAnsi="Times New Roman" w:cs="Times New Roman"/>
        </w:rPr>
        <w:t>on higher-producing wells and</w:t>
      </w:r>
      <w:r w:rsidR="00323171" w:rsidDel="00700655">
        <w:rPr>
          <w:rFonts w:ascii="Times New Roman" w:eastAsia="Times New Roman" w:hAnsi="Times New Roman" w:cs="Times New Roman"/>
        </w:rPr>
        <w:t xml:space="preserve"> </w:t>
      </w:r>
      <w:r w:rsidR="00323171">
        <w:rPr>
          <w:rFonts w:ascii="Times New Roman" w:eastAsia="Times New Roman" w:hAnsi="Times New Roman" w:cs="Times New Roman"/>
        </w:rPr>
        <w:t xml:space="preserve">cost-effective emissions control opportunities. </w:t>
      </w:r>
      <w:r w:rsidR="00A76E3D">
        <w:rPr>
          <w:rFonts w:ascii="Times New Roman" w:eastAsia="Times New Roman" w:hAnsi="Times New Roman" w:cs="Times New Roman"/>
        </w:rPr>
        <w:t>More information on this approach is detailed in the supporting statement.</w:t>
      </w:r>
    </w:p>
    <w:p w14:paraId="7EA52BFE" w14:textId="6D25ABE9" w:rsidR="005B3512" w:rsidRDefault="005B3512" w:rsidP="009022CB">
      <w:pPr>
        <w:spacing w:line="480" w:lineRule="auto"/>
        <w:rPr>
          <w:rFonts w:ascii="Times New Roman" w:hAnsi="Times New Roman" w:cs="Times New Roman"/>
        </w:rPr>
      </w:pPr>
      <w:r w:rsidRPr="7CFBF453">
        <w:rPr>
          <w:rFonts w:ascii="Times New Roman" w:eastAsia="Times New Roman" w:hAnsi="Times New Roman" w:cs="Times New Roman"/>
          <w:b/>
        </w:rPr>
        <w:lastRenderedPageBreak/>
        <w:t>Publish Facility Lists</w:t>
      </w:r>
    </w:p>
    <w:p w14:paraId="1D3E0483" w14:textId="6B870ECA" w:rsidR="00164FAA" w:rsidRDefault="0090737B" w:rsidP="00164FAA">
      <w:pPr>
        <w:spacing w:line="480" w:lineRule="auto"/>
        <w:ind w:firstLine="720"/>
        <w:rPr>
          <w:rFonts w:ascii="Times New Roman" w:hAnsi="Times New Roman" w:cs="Times New Roman"/>
        </w:rPr>
      </w:pPr>
      <w:r>
        <w:rPr>
          <w:rFonts w:ascii="Times New Roman" w:hAnsi="Times New Roman" w:cs="Times New Roman"/>
        </w:rPr>
        <w:t xml:space="preserve">In the first draft of the ICR, we assumed that response rates would </w:t>
      </w:r>
      <w:r w:rsidRPr="0090737B">
        <w:rPr>
          <w:rFonts w:ascii="Times New Roman" w:hAnsi="Times New Roman" w:cs="Times New Roman"/>
        </w:rPr>
        <w:t>be approximately 75 percent due to inaccurate contact information and facility closures</w:t>
      </w:r>
      <w:r>
        <w:rPr>
          <w:rFonts w:ascii="Times New Roman" w:hAnsi="Times New Roman" w:cs="Times New Roman"/>
        </w:rPr>
        <w:t xml:space="preserve">. One way to increase this response rate is to have better facility contact information.  </w:t>
      </w:r>
      <w:r w:rsidR="0032792F">
        <w:rPr>
          <w:rFonts w:ascii="Times New Roman" w:eastAsia="Times New Roman" w:hAnsi="Times New Roman" w:cs="Times New Roman"/>
        </w:rPr>
        <w:t>Several</w:t>
      </w:r>
      <w:r w:rsidR="0032792F" w:rsidRPr="7CFBF453">
        <w:rPr>
          <w:rFonts w:ascii="Times New Roman" w:eastAsia="Times New Roman" w:hAnsi="Times New Roman" w:cs="Times New Roman"/>
        </w:rPr>
        <w:t xml:space="preserve"> </w:t>
      </w:r>
      <w:r w:rsidR="00164FAA" w:rsidRPr="7CFBF453">
        <w:rPr>
          <w:rFonts w:ascii="Times New Roman" w:eastAsia="Times New Roman" w:hAnsi="Times New Roman" w:cs="Times New Roman"/>
        </w:rPr>
        <w:t>commenter</w:t>
      </w:r>
      <w:r w:rsidR="0032792F">
        <w:rPr>
          <w:rFonts w:ascii="Times New Roman" w:eastAsia="Times New Roman" w:hAnsi="Times New Roman" w:cs="Times New Roman"/>
        </w:rPr>
        <w:t>s</w:t>
      </w:r>
      <w:r w:rsidR="00164FAA" w:rsidRPr="7CFBF453">
        <w:rPr>
          <w:rFonts w:ascii="Times New Roman" w:eastAsia="Times New Roman" w:hAnsi="Times New Roman" w:cs="Times New Roman"/>
        </w:rPr>
        <w:t xml:space="preserve"> suggested that we publish our entire list of facilities and have individual companies adjust their addresses as appropriate. </w:t>
      </w:r>
      <w:r>
        <w:rPr>
          <w:rFonts w:ascii="Times New Roman" w:hAnsi="Times New Roman" w:cs="Times New Roman"/>
        </w:rPr>
        <w:t xml:space="preserve">We agree that this approach </w:t>
      </w:r>
      <w:r w:rsidR="003D2570">
        <w:rPr>
          <w:rFonts w:ascii="Times New Roman" w:hAnsi="Times New Roman" w:cs="Times New Roman"/>
        </w:rPr>
        <w:t xml:space="preserve">should provide us with better information </w:t>
      </w:r>
      <w:r w:rsidR="000065B1">
        <w:rPr>
          <w:rFonts w:ascii="Times New Roman" w:hAnsi="Times New Roman" w:cs="Times New Roman"/>
        </w:rPr>
        <w:t xml:space="preserve">and </w:t>
      </w:r>
      <w:r w:rsidR="003D2570">
        <w:rPr>
          <w:rFonts w:ascii="Times New Roman" w:hAnsi="Times New Roman" w:cs="Times New Roman"/>
        </w:rPr>
        <w:t>have therefore changed our response rate assumption to 90%.  F</w:t>
      </w:r>
      <w:r w:rsidR="00164FAA" w:rsidRPr="7CFBF453">
        <w:rPr>
          <w:rFonts w:ascii="Times New Roman" w:eastAsia="Times New Roman" w:hAnsi="Times New Roman" w:cs="Times New Roman"/>
        </w:rPr>
        <w:t xml:space="preserve">acility lists </w:t>
      </w:r>
      <w:r w:rsidR="003D2570">
        <w:rPr>
          <w:rFonts w:ascii="Times New Roman" w:eastAsia="Times New Roman" w:hAnsi="Times New Roman" w:cs="Times New Roman"/>
        </w:rPr>
        <w:t xml:space="preserve">are now available at: </w:t>
      </w:r>
      <w:r w:rsidR="0032792F" w:rsidRPr="0032792F">
        <w:rPr>
          <w:rFonts w:ascii="Times New Roman" w:eastAsia="Times New Roman" w:hAnsi="Times New Roman" w:cs="Times New Roman"/>
          <w:color w:val="FF0000"/>
        </w:rPr>
        <w:t xml:space="preserve">https://oilandgasicr.rti.org/ </w:t>
      </w:r>
      <w:r w:rsidR="00164FAA" w:rsidRPr="7CFBF453">
        <w:rPr>
          <w:rFonts w:ascii="Times New Roman" w:eastAsia="Times New Roman" w:hAnsi="Times New Roman" w:cs="Times New Roman"/>
        </w:rPr>
        <w:t xml:space="preserve">where </w:t>
      </w:r>
      <w:r w:rsidR="003D2570">
        <w:rPr>
          <w:rFonts w:ascii="Times New Roman" w:eastAsia="Times New Roman" w:hAnsi="Times New Roman" w:cs="Times New Roman"/>
        </w:rPr>
        <w:t>owners and operators</w:t>
      </w:r>
      <w:r w:rsidR="00164FAA" w:rsidRPr="7CFBF453">
        <w:rPr>
          <w:rFonts w:ascii="Times New Roman" w:eastAsia="Times New Roman" w:hAnsi="Times New Roman" w:cs="Times New Roman"/>
        </w:rPr>
        <w:t xml:space="preserve"> may adjust and correct their appropriate address information</w:t>
      </w:r>
      <w:r w:rsidR="000065B1">
        <w:rPr>
          <w:rFonts w:ascii="Times New Roman" w:hAnsi="Times New Roman" w:cs="Times New Roman"/>
        </w:rPr>
        <w:t xml:space="preserve"> prior to the mail</w:t>
      </w:r>
      <w:r w:rsidR="00C173B4">
        <w:rPr>
          <w:rFonts w:ascii="Times New Roman" w:hAnsi="Times New Roman" w:cs="Times New Roman"/>
        </w:rPr>
        <w:t xml:space="preserve"> </w:t>
      </w:r>
      <w:r w:rsidR="000065B1">
        <w:rPr>
          <w:rFonts w:ascii="Times New Roman" w:hAnsi="Times New Roman" w:cs="Times New Roman"/>
        </w:rPr>
        <w:t>out of the survey forms.</w:t>
      </w:r>
    </w:p>
    <w:p w14:paraId="5940F4B7" w14:textId="7A35058C" w:rsidR="005B3512" w:rsidRDefault="005B3512" w:rsidP="009022CB">
      <w:pPr>
        <w:spacing w:line="480" w:lineRule="auto"/>
        <w:rPr>
          <w:rFonts w:ascii="Times New Roman" w:hAnsi="Times New Roman" w:cs="Times New Roman"/>
        </w:rPr>
      </w:pPr>
      <w:r w:rsidRPr="7CFBF453">
        <w:rPr>
          <w:rFonts w:ascii="Times New Roman" w:eastAsia="Times New Roman" w:hAnsi="Times New Roman" w:cs="Times New Roman"/>
          <w:b/>
        </w:rPr>
        <w:t>Gathering and Boosting Facilities</w:t>
      </w:r>
    </w:p>
    <w:p w14:paraId="23D791D7" w14:textId="4BEACF50" w:rsidR="00C173B4" w:rsidRDefault="00D2230C" w:rsidP="007A027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In the first draft of the ICR, we recognized that facility information on gathering and boosting facilities was incomplete. C</w:t>
      </w:r>
      <w:r w:rsidR="00164FAA" w:rsidRPr="7CFBF453">
        <w:rPr>
          <w:rFonts w:ascii="Times New Roman" w:eastAsia="Times New Roman" w:hAnsi="Times New Roman" w:cs="Times New Roman"/>
        </w:rPr>
        <w:t xml:space="preserve">ommenters </w:t>
      </w:r>
      <w:r>
        <w:rPr>
          <w:rFonts w:ascii="Times New Roman" w:eastAsia="Times New Roman" w:hAnsi="Times New Roman" w:cs="Times New Roman"/>
        </w:rPr>
        <w:t xml:space="preserve">provided several suggestions for acquiring necessary gathering and boosting facility information. One approach was to wait until 2017, when EPA will </w:t>
      </w:r>
      <w:r w:rsidR="00164FAA" w:rsidRPr="7CFBF453">
        <w:rPr>
          <w:rFonts w:ascii="Times New Roman" w:eastAsia="Times New Roman" w:hAnsi="Times New Roman" w:cs="Times New Roman"/>
        </w:rPr>
        <w:t xml:space="preserve">receive a </w:t>
      </w:r>
      <w:r>
        <w:rPr>
          <w:rFonts w:ascii="Times New Roman" w:eastAsia="Times New Roman" w:hAnsi="Times New Roman" w:cs="Times New Roman"/>
        </w:rPr>
        <w:t xml:space="preserve">more complete </w:t>
      </w:r>
      <w:r w:rsidR="00164FAA" w:rsidRPr="7CFBF453">
        <w:rPr>
          <w:rFonts w:ascii="Times New Roman" w:eastAsia="Times New Roman" w:hAnsi="Times New Roman" w:cs="Times New Roman"/>
        </w:rPr>
        <w:t>list of gathering and boosting stations from the Greenhouse Gas Reporting Program (GHGRP)</w:t>
      </w:r>
      <w:r>
        <w:rPr>
          <w:rFonts w:ascii="Times New Roman" w:eastAsia="Times New Roman" w:hAnsi="Times New Roman" w:cs="Times New Roman"/>
        </w:rPr>
        <w:t>, since these facilities will be reporting for the first time for the 2016 calendar year</w:t>
      </w:r>
      <w:r w:rsidR="00164FAA" w:rsidRPr="7CFBF453">
        <w:rPr>
          <w:rFonts w:ascii="Times New Roman" w:eastAsia="Times New Roman" w:hAnsi="Times New Roman" w:cs="Times New Roman"/>
        </w:rPr>
        <w:t xml:space="preserve">. </w:t>
      </w:r>
      <w:r>
        <w:rPr>
          <w:rFonts w:ascii="Times New Roman" w:eastAsia="Times New Roman" w:hAnsi="Times New Roman" w:cs="Times New Roman"/>
        </w:rPr>
        <w:t xml:space="preserve">Another approach was for EPA to publish a </w:t>
      </w:r>
      <w:r w:rsidRPr="007A0271">
        <w:rPr>
          <w:rFonts w:ascii="Times New Roman" w:eastAsia="Times New Roman" w:hAnsi="Times New Roman" w:cs="Times New Roman"/>
          <w:u w:val="single"/>
        </w:rPr>
        <w:t>Federal Register</w:t>
      </w:r>
      <w:r w:rsidR="007A0271">
        <w:rPr>
          <w:rFonts w:ascii="Times New Roman" w:eastAsia="Times New Roman" w:hAnsi="Times New Roman" w:cs="Times New Roman"/>
        </w:rPr>
        <w:t xml:space="preserve"> n</w:t>
      </w:r>
      <w:r>
        <w:rPr>
          <w:rFonts w:ascii="Times New Roman" w:eastAsia="Times New Roman" w:hAnsi="Times New Roman" w:cs="Times New Roman"/>
        </w:rPr>
        <w:t xml:space="preserve">otice that all gathering </w:t>
      </w:r>
      <w:r w:rsidR="00913E98">
        <w:rPr>
          <w:rFonts w:ascii="Times New Roman" w:eastAsia="Times New Roman" w:hAnsi="Times New Roman" w:cs="Times New Roman"/>
        </w:rPr>
        <w:t xml:space="preserve">compressor stations </w:t>
      </w:r>
      <w:r>
        <w:rPr>
          <w:rFonts w:ascii="Times New Roman" w:eastAsia="Times New Roman" w:hAnsi="Times New Roman" w:cs="Times New Roman"/>
        </w:rPr>
        <w:t xml:space="preserve">must </w:t>
      </w:r>
      <w:r w:rsidR="00913E98">
        <w:rPr>
          <w:rFonts w:ascii="Times New Roman" w:eastAsia="Times New Roman" w:hAnsi="Times New Roman" w:cs="Times New Roman"/>
        </w:rPr>
        <w:t xml:space="preserve">complete Part 1 of the ICR. After EPA receives the list, commenters suggest that EPA would then randomly select facilities on the list to receive a Part 2 questionnaire. </w:t>
      </w:r>
      <w:r w:rsidR="007A0271">
        <w:rPr>
          <w:rFonts w:ascii="Times New Roman" w:eastAsia="Times New Roman" w:hAnsi="Times New Roman" w:cs="Times New Roman"/>
        </w:rPr>
        <w:t xml:space="preserve"> </w:t>
      </w:r>
    </w:p>
    <w:p w14:paraId="42A508E8" w14:textId="04AFF632" w:rsidR="007A0271" w:rsidRPr="007A0271" w:rsidRDefault="00913E98" w:rsidP="007A027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Another suggestion by commenters would be for EPA to require natural gas processing plants at the highest level parent company to select a certain percentage of its gathering compressor facilities using a random number generator imbedded in an EPA-provided spreadsheet. Parent companies of natural gas processing plants are likely to own most gathering facilities, so that </w:t>
      </w:r>
      <w:r w:rsidR="007A0271">
        <w:rPr>
          <w:rFonts w:ascii="Times New Roman" w:eastAsia="Times New Roman" w:hAnsi="Times New Roman" w:cs="Times New Roman"/>
        </w:rPr>
        <w:t>the majority of gathering and boosting facilities should be captured</w:t>
      </w:r>
      <w:r w:rsidR="00C173B4">
        <w:rPr>
          <w:rFonts w:ascii="Times New Roman" w:eastAsia="Times New Roman" w:hAnsi="Times New Roman" w:cs="Times New Roman"/>
        </w:rPr>
        <w:t>.</w:t>
      </w:r>
      <w:r w:rsidR="00C173B4" w:rsidDel="00B67AA6">
        <w:rPr>
          <w:rFonts w:ascii="Times New Roman" w:eastAsia="Times New Roman" w:hAnsi="Times New Roman" w:cs="Times New Roman"/>
        </w:rPr>
        <w:t xml:space="preserve"> </w:t>
      </w:r>
      <w:r w:rsidR="00C173B4">
        <w:rPr>
          <w:rFonts w:ascii="Times New Roman" w:eastAsia="Times New Roman" w:hAnsi="Times New Roman" w:cs="Times New Roman"/>
        </w:rPr>
        <w:t xml:space="preserve">In addition, </w:t>
      </w:r>
      <w:r w:rsidR="007A0271">
        <w:rPr>
          <w:rFonts w:ascii="Times New Roman" w:eastAsia="Times New Roman" w:hAnsi="Times New Roman" w:cs="Times New Roman"/>
        </w:rPr>
        <w:t xml:space="preserve">commenters suggested that EPA should require natural gas well production facilities </w:t>
      </w:r>
      <w:r w:rsidR="00B50563">
        <w:rPr>
          <w:rFonts w:ascii="Times New Roman" w:eastAsia="Times New Roman" w:hAnsi="Times New Roman" w:cs="Times New Roman"/>
        </w:rPr>
        <w:t xml:space="preserve">to </w:t>
      </w:r>
      <w:r w:rsidR="007A0271">
        <w:rPr>
          <w:rFonts w:ascii="Times New Roman" w:eastAsia="Times New Roman" w:hAnsi="Times New Roman" w:cs="Times New Roman"/>
        </w:rPr>
        <w:t>randomly select gathering facilities that they may also own.</w:t>
      </w:r>
      <w:r>
        <w:rPr>
          <w:rFonts w:ascii="Times New Roman" w:eastAsia="Times New Roman" w:hAnsi="Times New Roman" w:cs="Times New Roman"/>
        </w:rPr>
        <w:t xml:space="preserve"> </w:t>
      </w:r>
      <w:r w:rsidR="004E785C">
        <w:rPr>
          <w:rFonts w:ascii="Times New Roman" w:eastAsia="Times New Roman" w:hAnsi="Times New Roman" w:cs="Times New Roman"/>
        </w:rPr>
        <w:t xml:space="preserve">Because of our need to acquire information in a timely manner, we have decided to follow the third approach </w:t>
      </w:r>
      <w:r w:rsidR="004E785C">
        <w:rPr>
          <w:rFonts w:ascii="Times New Roman" w:eastAsia="Times New Roman" w:hAnsi="Times New Roman" w:cs="Times New Roman"/>
        </w:rPr>
        <w:lastRenderedPageBreak/>
        <w:t xml:space="preserve">suggested by commenters to require highest level parent companies </w:t>
      </w:r>
      <w:r w:rsidR="00B67AA6">
        <w:rPr>
          <w:rFonts w:ascii="Times New Roman" w:eastAsia="Times New Roman" w:hAnsi="Times New Roman" w:cs="Times New Roman"/>
        </w:rPr>
        <w:t xml:space="preserve">of production and natural gas processing facilities </w:t>
      </w:r>
      <w:r w:rsidR="004E785C">
        <w:rPr>
          <w:rFonts w:ascii="Times New Roman" w:eastAsia="Times New Roman" w:hAnsi="Times New Roman" w:cs="Times New Roman"/>
        </w:rPr>
        <w:t>to randomly select a percen</w:t>
      </w:r>
      <w:r w:rsidR="007B09C3">
        <w:rPr>
          <w:rFonts w:ascii="Times New Roman" w:eastAsia="Times New Roman" w:hAnsi="Times New Roman" w:cs="Times New Roman"/>
        </w:rPr>
        <w:t>t</w:t>
      </w:r>
      <w:r w:rsidR="004E785C">
        <w:rPr>
          <w:rFonts w:ascii="Times New Roman" w:eastAsia="Times New Roman" w:hAnsi="Times New Roman" w:cs="Times New Roman"/>
        </w:rPr>
        <w:t xml:space="preserve">age of gathering and boosting facilities to </w:t>
      </w:r>
      <w:r w:rsidR="00C9368B">
        <w:rPr>
          <w:rFonts w:ascii="Times New Roman" w:eastAsia="Times New Roman" w:hAnsi="Times New Roman" w:cs="Times New Roman"/>
        </w:rPr>
        <w:t xml:space="preserve">respond to </w:t>
      </w:r>
      <w:r w:rsidR="004E785C">
        <w:rPr>
          <w:rFonts w:ascii="Times New Roman" w:eastAsia="Times New Roman" w:hAnsi="Times New Roman" w:cs="Times New Roman"/>
        </w:rPr>
        <w:t>Part 2.</w:t>
      </w:r>
      <w:r w:rsidR="00C9368B">
        <w:rPr>
          <w:rFonts w:ascii="Times New Roman" w:eastAsia="Times New Roman" w:hAnsi="Times New Roman" w:cs="Times New Roman"/>
        </w:rPr>
        <w:t xml:space="preserve"> </w:t>
      </w:r>
    </w:p>
    <w:p w14:paraId="264E31FA" w14:textId="2DF6766D" w:rsidR="005B3512" w:rsidRDefault="005B3512" w:rsidP="009022CB">
      <w:pPr>
        <w:tabs>
          <w:tab w:val="center" w:pos="5040"/>
        </w:tabs>
        <w:spacing w:line="480" w:lineRule="auto"/>
        <w:rPr>
          <w:rFonts w:ascii="Times New Roman" w:hAnsi="Times New Roman" w:cs="Times New Roman"/>
        </w:rPr>
      </w:pPr>
      <w:r w:rsidRPr="7CFBF453">
        <w:rPr>
          <w:rFonts w:ascii="Times New Roman" w:eastAsia="Times New Roman" w:hAnsi="Times New Roman" w:cs="Times New Roman"/>
          <w:b/>
        </w:rPr>
        <w:t>Extend Deadline to Complete Part 1 and Part 2</w:t>
      </w:r>
    </w:p>
    <w:p w14:paraId="632A086A" w14:textId="70867141" w:rsidR="005B3512" w:rsidRPr="005B3512" w:rsidRDefault="00782C28" w:rsidP="00000F3F">
      <w:pPr>
        <w:tabs>
          <w:tab w:val="center" w:pos="5040"/>
        </w:tabs>
        <w:spacing w:line="480" w:lineRule="auto"/>
        <w:ind w:firstLine="720"/>
        <w:rPr>
          <w:rFonts w:ascii="Times New Roman" w:hAnsi="Times New Roman" w:cs="Times New Roman"/>
        </w:rPr>
      </w:pPr>
      <w:r w:rsidRPr="7CFBF453">
        <w:rPr>
          <w:rFonts w:ascii="Times New Roman" w:eastAsia="Times New Roman" w:hAnsi="Times New Roman" w:cs="Times New Roman"/>
        </w:rPr>
        <w:t>Many</w:t>
      </w:r>
      <w:r w:rsidR="00481918" w:rsidRPr="7CFBF453">
        <w:rPr>
          <w:rFonts w:ascii="Times New Roman" w:eastAsia="Times New Roman" w:hAnsi="Times New Roman" w:cs="Times New Roman"/>
        </w:rPr>
        <w:t xml:space="preserve"> commenters requested </w:t>
      </w:r>
      <w:r w:rsidRPr="7CFBF453">
        <w:rPr>
          <w:rFonts w:ascii="Times New Roman" w:eastAsia="Times New Roman" w:hAnsi="Times New Roman" w:cs="Times New Roman"/>
        </w:rPr>
        <w:t xml:space="preserve">more time to respond to both Part 1 and Part 2. The original time to complete Part 1 and Part 2 were </w:t>
      </w:r>
      <w:r w:rsidR="000525E7" w:rsidRPr="7CFBF453">
        <w:rPr>
          <w:rFonts w:ascii="Times New Roman" w:eastAsia="Times New Roman" w:hAnsi="Times New Roman" w:cs="Times New Roman"/>
        </w:rPr>
        <w:t xml:space="preserve">30 days and 120 days, respectively. </w:t>
      </w:r>
      <w:r w:rsidRPr="7CFBF453">
        <w:rPr>
          <w:rFonts w:ascii="Times New Roman" w:eastAsia="Times New Roman" w:hAnsi="Times New Roman" w:cs="Times New Roman"/>
        </w:rPr>
        <w:t>Several commenters requested 60 days fo</w:t>
      </w:r>
      <w:r w:rsidR="00481918" w:rsidRPr="7CFBF453">
        <w:rPr>
          <w:rFonts w:ascii="Times New Roman" w:eastAsia="Times New Roman" w:hAnsi="Times New Roman" w:cs="Times New Roman"/>
        </w:rPr>
        <w:t>r Part 1 and from 180 days to 240 days for Part 2</w:t>
      </w:r>
      <w:r w:rsidRPr="7CFBF453">
        <w:rPr>
          <w:rFonts w:ascii="Times New Roman" w:eastAsia="Times New Roman" w:hAnsi="Times New Roman" w:cs="Times New Roman"/>
        </w:rPr>
        <w:t xml:space="preserve">. Reasons to extend the </w:t>
      </w:r>
      <w:r w:rsidR="00000F3F" w:rsidRPr="009022CB">
        <w:rPr>
          <w:rFonts w:ascii="Times New Roman" w:eastAsia="Times New Roman" w:hAnsi="Times New Roman" w:cs="Times New Roman"/>
        </w:rPr>
        <w:t>Part 1 response</w:t>
      </w:r>
      <w:r w:rsidRPr="009022CB">
        <w:rPr>
          <w:rFonts w:ascii="Times New Roman" w:eastAsia="Times New Roman" w:hAnsi="Times New Roman" w:cs="Times New Roman"/>
        </w:rPr>
        <w:t xml:space="preserve"> period </w:t>
      </w:r>
      <w:r w:rsidRPr="7CFBF453">
        <w:rPr>
          <w:rFonts w:ascii="Times New Roman" w:eastAsia="Times New Roman" w:hAnsi="Times New Roman" w:cs="Times New Roman"/>
        </w:rPr>
        <w:t>included</w:t>
      </w:r>
      <w:r w:rsidR="003C691D">
        <w:rPr>
          <w:rFonts w:ascii="Times New Roman" w:eastAsia="Times New Roman" w:hAnsi="Times New Roman" w:cs="Times New Roman"/>
        </w:rPr>
        <w:t xml:space="preserve"> the need for</w:t>
      </w:r>
      <w:r w:rsidRPr="7CFBF453">
        <w:rPr>
          <w:rFonts w:ascii="Times New Roman" w:eastAsia="Times New Roman" w:hAnsi="Times New Roman" w:cs="Times New Roman"/>
        </w:rPr>
        <w:t xml:space="preserve"> </w:t>
      </w:r>
      <w:r w:rsidR="0040370A" w:rsidRPr="7CFBF453">
        <w:rPr>
          <w:rFonts w:ascii="Times New Roman" w:eastAsia="Times New Roman" w:hAnsi="Times New Roman" w:cs="Times New Roman"/>
        </w:rPr>
        <w:t xml:space="preserve">more </w:t>
      </w:r>
      <w:proofErr w:type="gramStart"/>
      <w:r w:rsidR="0040370A" w:rsidRPr="7CFBF453">
        <w:rPr>
          <w:rFonts w:ascii="Times New Roman" w:eastAsia="Times New Roman" w:hAnsi="Times New Roman" w:cs="Times New Roman"/>
        </w:rPr>
        <w:t>time</w:t>
      </w:r>
      <w:r w:rsidR="003C691D">
        <w:rPr>
          <w:rFonts w:ascii="Times New Roman" w:eastAsia="Times New Roman" w:hAnsi="Times New Roman" w:cs="Times New Roman"/>
        </w:rPr>
        <w:t xml:space="preserve"> </w:t>
      </w:r>
      <w:r w:rsidR="0040370A" w:rsidRPr="7CFBF453">
        <w:rPr>
          <w:rFonts w:ascii="Times New Roman" w:eastAsia="Times New Roman" w:hAnsi="Times New Roman" w:cs="Times New Roman"/>
        </w:rPr>
        <w:t xml:space="preserve"> to</w:t>
      </w:r>
      <w:proofErr w:type="gramEnd"/>
      <w:r w:rsidR="0040370A" w:rsidRPr="7CFBF453">
        <w:rPr>
          <w:rFonts w:ascii="Times New Roman" w:eastAsia="Times New Roman" w:hAnsi="Times New Roman" w:cs="Times New Roman"/>
        </w:rPr>
        <w:t xml:space="preserve"> access </w:t>
      </w:r>
      <w:r w:rsidRPr="7CFBF453">
        <w:rPr>
          <w:rFonts w:ascii="Times New Roman" w:eastAsia="Times New Roman" w:hAnsi="Times New Roman" w:cs="Times New Roman"/>
        </w:rPr>
        <w:t xml:space="preserve">data </w:t>
      </w:r>
      <w:r w:rsidR="00481918" w:rsidRPr="7CFBF453">
        <w:rPr>
          <w:rFonts w:ascii="Times New Roman" w:eastAsia="Times New Roman" w:hAnsi="Times New Roman" w:cs="Times New Roman"/>
        </w:rPr>
        <w:t xml:space="preserve">spanning </w:t>
      </w:r>
      <w:r w:rsidRPr="7CFBF453">
        <w:rPr>
          <w:rFonts w:ascii="Times New Roman" w:eastAsia="Times New Roman" w:hAnsi="Times New Roman" w:cs="Times New Roman"/>
        </w:rPr>
        <w:t>across several databases and hard copies</w:t>
      </w:r>
      <w:r w:rsidR="00481918" w:rsidRPr="7CFBF453">
        <w:rPr>
          <w:rFonts w:ascii="Times New Roman" w:eastAsia="Times New Roman" w:hAnsi="Times New Roman" w:cs="Times New Roman"/>
        </w:rPr>
        <w:t xml:space="preserve"> </w:t>
      </w:r>
      <w:r w:rsidR="0040370A" w:rsidRPr="7CFBF453">
        <w:rPr>
          <w:rFonts w:ascii="Times New Roman" w:eastAsia="Times New Roman" w:hAnsi="Times New Roman" w:cs="Times New Roman"/>
        </w:rPr>
        <w:t>for</w:t>
      </w:r>
      <w:r w:rsidR="00481918" w:rsidRPr="7CFBF453">
        <w:rPr>
          <w:rFonts w:ascii="Times New Roman" w:eastAsia="Times New Roman" w:hAnsi="Times New Roman" w:cs="Times New Roman"/>
        </w:rPr>
        <w:t xml:space="preserve"> respond</w:t>
      </w:r>
      <w:r w:rsidR="0040370A" w:rsidRPr="7CFBF453">
        <w:rPr>
          <w:rFonts w:ascii="Times New Roman" w:eastAsia="Times New Roman" w:hAnsi="Times New Roman" w:cs="Times New Roman"/>
        </w:rPr>
        <w:t>ers of</w:t>
      </w:r>
      <w:r w:rsidR="00481918" w:rsidRPr="7CFBF453">
        <w:rPr>
          <w:rFonts w:ascii="Times New Roman" w:eastAsia="Times New Roman" w:hAnsi="Times New Roman" w:cs="Times New Roman"/>
        </w:rPr>
        <w:t xml:space="preserve"> many facilities</w:t>
      </w:r>
      <w:r w:rsidR="003C691D">
        <w:rPr>
          <w:rFonts w:ascii="Times New Roman" w:eastAsia="Times New Roman" w:hAnsi="Times New Roman" w:cs="Times New Roman"/>
        </w:rPr>
        <w:t xml:space="preserve">. </w:t>
      </w:r>
      <w:r w:rsidR="00000F3F" w:rsidRPr="7CFBF453">
        <w:rPr>
          <w:rFonts w:ascii="Times New Roman" w:eastAsia="Times New Roman" w:hAnsi="Times New Roman" w:cs="Times New Roman"/>
        </w:rPr>
        <w:t xml:space="preserve"> </w:t>
      </w:r>
      <w:r w:rsidR="003C691D">
        <w:rPr>
          <w:rFonts w:ascii="Times New Roman" w:eastAsia="Times New Roman" w:hAnsi="Times New Roman" w:cs="Times New Roman"/>
        </w:rPr>
        <w:t>N</w:t>
      </w:r>
      <w:r w:rsidR="00000F3F" w:rsidRPr="7CFBF453">
        <w:rPr>
          <w:rFonts w:ascii="Times New Roman" w:eastAsia="Times New Roman" w:hAnsi="Times New Roman" w:cs="Times New Roman"/>
        </w:rPr>
        <w:t xml:space="preserve">umerous commenters </w:t>
      </w:r>
      <w:r w:rsidR="003C691D">
        <w:rPr>
          <w:rFonts w:ascii="Times New Roman" w:eastAsia="Times New Roman" w:hAnsi="Times New Roman" w:cs="Times New Roman"/>
        </w:rPr>
        <w:t xml:space="preserve">also </w:t>
      </w:r>
      <w:r w:rsidR="00000F3F" w:rsidRPr="7CFBF453">
        <w:rPr>
          <w:rFonts w:ascii="Times New Roman" w:eastAsia="Times New Roman" w:hAnsi="Times New Roman" w:cs="Times New Roman"/>
        </w:rPr>
        <w:t>indicated that some elements that may have appeared to not be burdensome on the surface such as providing distances from facilities to field offices and providing information on availability of electricity would require GPS mapping and detailed records searches, which would take a lot more time and effort than EPA accounted for</w:t>
      </w:r>
      <w:r w:rsidR="00A76E3D">
        <w:rPr>
          <w:rFonts w:ascii="Times New Roman" w:eastAsia="Times New Roman" w:hAnsi="Times New Roman" w:cs="Times New Roman"/>
        </w:rPr>
        <w:t>. Reasons to extend</w:t>
      </w:r>
      <w:r w:rsidR="00000F3F" w:rsidRPr="009022CB">
        <w:rPr>
          <w:rFonts w:ascii="Times New Roman" w:eastAsia="Times New Roman" w:hAnsi="Times New Roman" w:cs="Times New Roman"/>
        </w:rPr>
        <w:t xml:space="preserve"> the Part 2 response period included:</w:t>
      </w:r>
      <w:r w:rsidR="00481918" w:rsidRPr="009022CB">
        <w:rPr>
          <w:rFonts w:ascii="Times New Roman" w:eastAsia="Times New Roman" w:hAnsi="Times New Roman" w:cs="Times New Roman"/>
        </w:rPr>
        <w:t xml:space="preserve"> </w:t>
      </w:r>
      <w:r w:rsidR="0040370A" w:rsidRPr="009022CB">
        <w:rPr>
          <w:rFonts w:ascii="Times New Roman" w:eastAsia="Times New Roman" w:hAnsi="Times New Roman" w:cs="Times New Roman"/>
        </w:rPr>
        <w:t>ti</w:t>
      </w:r>
      <w:r w:rsidR="0040370A" w:rsidRPr="7CFBF453">
        <w:rPr>
          <w:rFonts w:ascii="Times New Roman" w:eastAsia="Times New Roman" w:hAnsi="Times New Roman" w:cs="Times New Roman"/>
        </w:rPr>
        <w:t xml:space="preserve">me needed to conduct field </w:t>
      </w:r>
      <w:r w:rsidR="00481918" w:rsidRPr="7CFBF453">
        <w:rPr>
          <w:rFonts w:ascii="Times New Roman" w:eastAsia="Times New Roman" w:hAnsi="Times New Roman" w:cs="Times New Roman"/>
        </w:rPr>
        <w:t xml:space="preserve">data collection and </w:t>
      </w:r>
      <w:r w:rsidRPr="7CFBF453">
        <w:rPr>
          <w:rFonts w:ascii="Times New Roman" w:eastAsia="Times New Roman" w:hAnsi="Times New Roman" w:cs="Times New Roman"/>
        </w:rPr>
        <w:t xml:space="preserve">sampling </w:t>
      </w:r>
      <w:r w:rsidR="0040370A" w:rsidRPr="7CFBF453">
        <w:rPr>
          <w:rFonts w:ascii="Times New Roman" w:eastAsia="Times New Roman" w:hAnsi="Times New Roman" w:cs="Times New Roman"/>
        </w:rPr>
        <w:t>and analysis, especially time to familiarize industry and laboratories with the CARB sampling and analysis methodologies</w:t>
      </w:r>
      <w:r w:rsidR="00481918" w:rsidRPr="7CFBF453">
        <w:rPr>
          <w:rFonts w:ascii="Times New Roman" w:eastAsia="Times New Roman" w:hAnsi="Times New Roman" w:cs="Times New Roman"/>
        </w:rPr>
        <w:t xml:space="preserve">; </w:t>
      </w:r>
      <w:r w:rsidR="0040370A" w:rsidRPr="7CFBF453">
        <w:rPr>
          <w:rFonts w:ascii="Times New Roman" w:eastAsia="Times New Roman" w:hAnsi="Times New Roman" w:cs="Times New Roman"/>
        </w:rPr>
        <w:t xml:space="preserve">the possibility of </w:t>
      </w:r>
      <w:r w:rsidRPr="7CFBF453">
        <w:rPr>
          <w:rFonts w:ascii="Times New Roman" w:eastAsia="Times New Roman" w:hAnsi="Times New Roman" w:cs="Times New Roman"/>
        </w:rPr>
        <w:t>inclement weather</w:t>
      </w:r>
      <w:r w:rsidR="0040370A" w:rsidRPr="7CFBF453">
        <w:rPr>
          <w:rFonts w:ascii="Times New Roman" w:eastAsia="Times New Roman" w:hAnsi="Times New Roman" w:cs="Times New Roman"/>
        </w:rPr>
        <w:t xml:space="preserve"> and delays in conducting</w:t>
      </w:r>
      <w:r w:rsidRPr="7CFBF453">
        <w:rPr>
          <w:rFonts w:ascii="Times New Roman" w:eastAsia="Times New Roman" w:hAnsi="Times New Roman" w:cs="Times New Roman"/>
        </w:rPr>
        <w:t xml:space="preserve"> field work</w:t>
      </w:r>
      <w:r w:rsidR="000525E7" w:rsidRPr="7CFBF453">
        <w:rPr>
          <w:rFonts w:ascii="Times New Roman" w:eastAsia="Times New Roman" w:hAnsi="Times New Roman" w:cs="Times New Roman"/>
        </w:rPr>
        <w:t>;</w:t>
      </w:r>
      <w:r w:rsidRPr="7CFBF453">
        <w:rPr>
          <w:rFonts w:ascii="Times New Roman" w:eastAsia="Times New Roman" w:hAnsi="Times New Roman" w:cs="Times New Roman"/>
        </w:rPr>
        <w:t xml:space="preserve"> avoid</w:t>
      </w:r>
      <w:r w:rsidR="00481918" w:rsidRPr="7CFBF453">
        <w:rPr>
          <w:rFonts w:ascii="Times New Roman" w:eastAsia="Times New Roman" w:hAnsi="Times New Roman" w:cs="Times New Roman"/>
        </w:rPr>
        <w:t>ing</w:t>
      </w:r>
      <w:r w:rsidRPr="7CFBF453">
        <w:rPr>
          <w:rFonts w:ascii="Times New Roman" w:eastAsia="Times New Roman" w:hAnsi="Times New Roman" w:cs="Times New Roman"/>
        </w:rPr>
        <w:t xml:space="preserve"> overlap with GHGRP and permit compliance reports</w:t>
      </w:r>
      <w:r w:rsidR="0040370A" w:rsidRPr="7CFBF453">
        <w:rPr>
          <w:rFonts w:ascii="Times New Roman" w:eastAsia="Times New Roman" w:hAnsi="Times New Roman" w:cs="Times New Roman"/>
        </w:rPr>
        <w:t>, which are heavily weighted in the first quart of 2017</w:t>
      </w:r>
      <w:r w:rsidR="000525E7" w:rsidRPr="7CFBF453">
        <w:rPr>
          <w:rFonts w:ascii="Times New Roman" w:eastAsia="Times New Roman" w:hAnsi="Times New Roman" w:cs="Times New Roman"/>
        </w:rPr>
        <w:t>;</w:t>
      </w:r>
      <w:r w:rsidRPr="7CFBF453">
        <w:rPr>
          <w:rFonts w:ascii="Times New Roman" w:eastAsia="Times New Roman" w:hAnsi="Times New Roman" w:cs="Times New Roman"/>
        </w:rPr>
        <w:t xml:space="preserve"> avoid</w:t>
      </w:r>
      <w:r w:rsidR="0040370A" w:rsidRPr="7CFBF453">
        <w:rPr>
          <w:rFonts w:ascii="Times New Roman" w:eastAsia="Times New Roman" w:hAnsi="Times New Roman" w:cs="Times New Roman"/>
        </w:rPr>
        <w:t>ing</w:t>
      </w:r>
      <w:r w:rsidRPr="7CFBF453">
        <w:rPr>
          <w:rFonts w:ascii="Times New Roman" w:eastAsia="Times New Roman" w:hAnsi="Times New Roman" w:cs="Times New Roman"/>
        </w:rPr>
        <w:t xml:space="preserve"> winter heating season where personnel are already stretched thin </w:t>
      </w:r>
      <w:r w:rsidR="0040370A" w:rsidRPr="7CFBF453">
        <w:rPr>
          <w:rFonts w:ascii="Times New Roman" w:eastAsia="Times New Roman" w:hAnsi="Times New Roman" w:cs="Times New Roman"/>
        </w:rPr>
        <w:t xml:space="preserve">with </w:t>
      </w:r>
      <w:r w:rsidR="000525E7" w:rsidRPr="7CFBF453">
        <w:rPr>
          <w:rFonts w:ascii="Times New Roman" w:eastAsia="Times New Roman" w:hAnsi="Times New Roman" w:cs="Times New Roman"/>
        </w:rPr>
        <w:t xml:space="preserve">holiday seasons and personal vacations; </w:t>
      </w:r>
      <w:r w:rsidR="0040370A" w:rsidRPr="7CFBF453">
        <w:rPr>
          <w:rFonts w:ascii="Times New Roman" w:eastAsia="Times New Roman" w:hAnsi="Times New Roman" w:cs="Times New Roman"/>
        </w:rPr>
        <w:t xml:space="preserve">and </w:t>
      </w:r>
      <w:r w:rsidR="00481918" w:rsidRPr="7CFBF453">
        <w:rPr>
          <w:rFonts w:ascii="Times New Roman" w:eastAsia="Times New Roman" w:hAnsi="Times New Roman" w:cs="Times New Roman"/>
        </w:rPr>
        <w:t xml:space="preserve">time </w:t>
      </w:r>
      <w:r w:rsidR="000525E7" w:rsidRPr="7CFBF453">
        <w:rPr>
          <w:rFonts w:ascii="Times New Roman" w:eastAsia="Times New Roman" w:hAnsi="Times New Roman" w:cs="Times New Roman"/>
        </w:rPr>
        <w:t>need</w:t>
      </w:r>
      <w:r w:rsidR="00481918" w:rsidRPr="7CFBF453">
        <w:rPr>
          <w:rFonts w:ascii="Times New Roman" w:eastAsia="Times New Roman" w:hAnsi="Times New Roman" w:cs="Times New Roman"/>
        </w:rPr>
        <w:t>ed</w:t>
      </w:r>
      <w:r w:rsidR="000525E7" w:rsidRPr="7CFBF453">
        <w:rPr>
          <w:rFonts w:ascii="Times New Roman" w:eastAsia="Times New Roman" w:hAnsi="Times New Roman" w:cs="Times New Roman"/>
        </w:rPr>
        <w:t xml:space="preserve"> to hire c</w:t>
      </w:r>
      <w:r w:rsidR="00481918" w:rsidRPr="7CFBF453">
        <w:rPr>
          <w:rFonts w:ascii="Times New Roman" w:eastAsia="Times New Roman" w:hAnsi="Times New Roman" w:cs="Times New Roman"/>
        </w:rPr>
        <w:t>ontra</w:t>
      </w:r>
      <w:r w:rsidR="0040370A" w:rsidRPr="7CFBF453">
        <w:rPr>
          <w:rFonts w:ascii="Times New Roman" w:eastAsia="Times New Roman" w:hAnsi="Times New Roman" w:cs="Times New Roman"/>
        </w:rPr>
        <w:t>ctors to complete the ICR</w:t>
      </w:r>
      <w:r w:rsidR="00D171D1" w:rsidRPr="7CFBF453">
        <w:rPr>
          <w:rFonts w:ascii="Times New Roman" w:eastAsia="Times New Roman" w:hAnsi="Times New Roman" w:cs="Times New Roman"/>
        </w:rPr>
        <w:t>.</w:t>
      </w:r>
      <w:r w:rsidR="000525E7" w:rsidRPr="7CFBF453">
        <w:rPr>
          <w:rFonts w:ascii="Times New Roman" w:eastAsia="Times New Roman" w:hAnsi="Times New Roman" w:cs="Times New Roman"/>
        </w:rPr>
        <w:t xml:space="preserve"> </w:t>
      </w:r>
    </w:p>
    <w:p w14:paraId="793E0C2D" w14:textId="2266256A" w:rsidR="00C22B1C" w:rsidRPr="00E8461A" w:rsidRDefault="00B56F94" w:rsidP="009659AD">
      <w:pPr>
        <w:tabs>
          <w:tab w:val="center" w:pos="5040"/>
        </w:tabs>
        <w:spacing w:line="480" w:lineRule="auto"/>
        <w:ind w:firstLine="720"/>
        <w:rPr>
          <w:rFonts w:ascii="Times New Roman" w:hAnsi="Times New Roman" w:cs="Times New Roman"/>
          <w:color w:val="FF0000"/>
        </w:rPr>
      </w:pPr>
      <w:r w:rsidRPr="009022CB">
        <w:rPr>
          <w:rFonts w:ascii="Times New Roman" w:eastAsia="Times New Roman" w:hAnsi="Times New Roman" w:cs="Times New Roman"/>
        </w:rPr>
        <w:t xml:space="preserve">For Part 2, while we acknowledge commenters’ concerns with completing the ICR within the required timeframe, we are still keeping the response deadline to 120 days </w:t>
      </w:r>
      <w:r w:rsidR="004D6803">
        <w:rPr>
          <w:rFonts w:ascii="Times New Roman" w:eastAsia="Times New Roman" w:hAnsi="Times New Roman" w:cs="Times New Roman"/>
        </w:rPr>
        <w:t xml:space="preserve">from receipt of the </w:t>
      </w:r>
      <w:r w:rsidRPr="009022CB">
        <w:rPr>
          <w:rFonts w:ascii="Times New Roman" w:eastAsia="Times New Roman" w:hAnsi="Times New Roman" w:cs="Times New Roman"/>
        </w:rPr>
        <w:t>ICR</w:t>
      </w:r>
      <w:r w:rsidR="003C691D">
        <w:rPr>
          <w:rFonts w:ascii="Times New Roman" w:eastAsia="Times New Roman" w:hAnsi="Times New Roman" w:cs="Times New Roman"/>
        </w:rPr>
        <w:t xml:space="preserve">. </w:t>
      </w:r>
      <w:r w:rsidRPr="009022CB">
        <w:rPr>
          <w:rFonts w:ascii="Times New Roman" w:eastAsia="Times New Roman" w:hAnsi="Times New Roman" w:cs="Times New Roman"/>
        </w:rPr>
        <w:t xml:space="preserve"> </w:t>
      </w:r>
      <w:r w:rsidR="00B94D95">
        <w:rPr>
          <w:rFonts w:ascii="Times New Roman" w:eastAsia="Times New Roman" w:hAnsi="Times New Roman" w:cs="Times New Roman"/>
        </w:rPr>
        <w:t xml:space="preserve">As discussed earlier, we expect that limiting the scope of Part </w:t>
      </w:r>
      <w:proofErr w:type="gramStart"/>
      <w:r w:rsidR="00B94D95">
        <w:rPr>
          <w:rFonts w:ascii="Times New Roman" w:eastAsia="Times New Roman" w:hAnsi="Times New Roman" w:cs="Times New Roman"/>
        </w:rPr>
        <w:t>2  by</w:t>
      </w:r>
      <w:proofErr w:type="gramEnd"/>
      <w:r w:rsidR="00B94D95">
        <w:rPr>
          <w:rFonts w:ascii="Times New Roman" w:eastAsia="Times New Roman" w:hAnsi="Times New Roman" w:cs="Times New Roman"/>
        </w:rPr>
        <w:t xml:space="preserve"> revising the definition of “facility” to a “well site facility” will reduce the burden for some operators. For </w:t>
      </w:r>
      <w:r w:rsidR="002A3CBF" w:rsidRPr="009022CB">
        <w:rPr>
          <w:rFonts w:ascii="Times New Roman" w:eastAsia="Times New Roman" w:hAnsi="Times New Roman" w:cs="Times New Roman"/>
        </w:rPr>
        <w:t>Part 1, we note that we have eliminated reporting of some elements, such as electricity, distances, and the occurrence of manned facilities that commenters indicated would require significantly greater burden than e</w:t>
      </w:r>
      <w:r w:rsidR="00F63622" w:rsidRPr="009022CB">
        <w:rPr>
          <w:rFonts w:ascii="Times New Roman" w:eastAsia="Times New Roman" w:hAnsi="Times New Roman" w:cs="Times New Roman"/>
        </w:rPr>
        <w:t>xpected.</w:t>
      </w:r>
      <w:r w:rsidR="002A3CBF" w:rsidRPr="009022CB">
        <w:rPr>
          <w:rFonts w:ascii="Times New Roman" w:eastAsia="Times New Roman" w:hAnsi="Times New Roman" w:cs="Times New Roman"/>
        </w:rPr>
        <w:t xml:space="preserve"> Because we are simplifying Part 1, we see no reason why commenters could not meet the original 30 day response </w:t>
      </w:r>
      <w:r w:rsidR="002A3CBF" w:rsidRPr="009022CB">
        <w:rPr>
          <w:rFonts w:ascii="Times New Roman" w:eastAsia="Times New Roman" w:hAnsi="Times New Roman" w:cs="Times New Roman"/>
        </w:rPr>
        <w:lastRenderedPageBreak/>
        <w:t xml:space="preserve">deadline. Therefore, we are </w:t>
      </w:r>
      <w:r w:rsidR="003C691D">
        <w:rPr>
          <w:rFonts w:ascii="Times New Roman" w:eastAsia="Times New Roman" w:hAnsi="Times New Roman" w:cs="Times New Roman"/>
        </w:rPr>
        <w:t xml:space="preserve">also </w:t>
      </w:r>
      <w:r w:rsidR="002A3CBF" w:rsidRPr="009022CB">
        <w:rPr>
          <w:rFonts w:ascii="Times New Roman" w:eastAsia="Times New Roman" w:hAnsi="Times New Roman" w:cs="Times New Roman"/>
        </w:rPr>
        <w:t xml:space="preserve">not extending the timeframe for responses to </w:t>
      </w:r>
      <w:r w:rsidR="00A76E3D">
        <w:rPr>
          <w:rFonts w:ascii="Times New Roman" w:eastAsia="Times New Roman" w:hAnsi="Times New Roman" w:cs="Times New Roman"/>
        </w:rPr>
        <w:t xml:space="preserve">either </w:t>
      </w:r>
      <w:r w:rsidR="002A3CBF" w:rsidRPr="009022CB">
        <w:rPr>
          <w:rFonts w:ascii="Times New Roman" w:eastAsia="Times New Roman" w:hAnsi="Times New Roman" w:cs="Times New Roman"/>
        </w:rPr>
        <w:t xml:space="preserve">Part 1 </w:t>
      </w:r>
      <w:r w:rsidR="00A76E3D">
        <w:rPr>
          <w:rFonts w:ascii="Times New Roman" w:eastAsia="Times New Roman" w:hAnsi="Times New Roman" w:cs="Times New Roman"/>
        </w:rPr>
        <w:t xml:space="preserve">or Part 2 </w:t>
      </w:r>
      <w:r w:rsidR="002A3CBF" w:rsidRPr="009022CB">
        <w:rPr>
          <w:rFonts w:ascii="Times New Roman" w:eastAsia="Times New Roman" w:hAnsi="Times New Roman" w:cs="Times New Roman"/>
        </w:rPr>
        <w:t>at this time.</w:t>
      </w:r>
    </w:p>
    <w:p w14:paraId="18A6FD1B" w14:textId="22D8B60B" w:rsidR="005B3512" w:rsidRDefault="005B3512" w:rsidP="009022CB">
      <w:pPr>
        <w:spacing w:line="480" w:lineRule="auto"/>
        <w:rPr>
          <w:rFonts w:ascii="Times New Roman" w:hAnsi="Times New Roman" w:cs="Times New Roman"/>
        </w:rPr>
      </w:pPr>
      <w:r w:rsidRPr="7CFBF453">
        <w:rPr>
          <w:rFonts w:ascii="Times New Roman" w:eastAsia="Times New Roman" w:hAnsi="Times New Roman" w:cs="Times New Roman"/>
          <w:b/>
        </w:rPr>
        <w:t>Moving Data Elements from Part 1 to Part 2</w:t>
      </w:r>
    </w:p>
    <w:p w14:paraId="06B6059D" w14:textId="0A85BB93" w:rsidR="000E4783" w:rsidRPr="0036087C" w:rsidRDefault="00757FD7" w:rsidP="00F67310">
      <w:pPr>
        <w:spacing w:line="480" w:lineRule="auto"/>
        <w:ind w:firstLine="720"/>
        <w:rPr>
          <w:rFonts w:ascii="Times New Roman" w:hAnsi="Times New Roman" w:cs="Times New Roman"/>
          <w:u w:val="single"/>
        </w:rPr>
      </w:pPr>
      <w:r w:rsidRPr="7CFBF453">
        <w:rPr>
          <w:rFonts w:ascii="Times New Roman" w:eastAsia="Times New Roman" w:hAnsi="Times New Roman" w:cs="Times New Roman"/>
        </w:rPr>
        <w:t>Multiple commenters mentioned there would be added burden in collecting information on manned facilities, electrification, and access to gas infrastructure. In order to decrease this burden</w:t>
      </w:r>
      <w:r w:rsidR="002056DF">
        <w:rPr>
          <w:rFonts w:ascii="Times New Roman" w:eastAsia="Times New Roman" w:hAnsi="Times New Roman" w:cs="Times New Roman"/>
        </w:rPr>
        <w:t>,</w:t>
      </w:r>
      <w:r w:rsidRPr="7CFBF453">
        <w:rPr>
          <w:rFonts w:ascii="Times New Roman" w:eastAsia="Times New Roman" w:hAnsi="Times New Roman" w:cs="Times New Roman"/>
        </w:rPr>
        <w:t xml:space="preserve"> we have determined that it would be best to move these data elements into Part 2. Part 2 will be collected completely by the e-GGRT system which is </w:t>
      </w:r>
      <w:r w:rsidR="008A7D58">
        <w:rPr>
          <w:rFonts w:ascii="Times New Roman" w:eastAsia="Times New Roman" w:hAnsi="Times New Roman" w:cs="Times New Roman"/>
        </w:rPr>
        <w:t xml:space="preserve">capable of storing and managing confidential business </w:t>
      </w:r>
      <w:r w:rsidR="00F95E5D">
        <w:rPr>
          <w:rFonts w:ascii="Times New Roman" w:eastAsia="Times New Roman" w:hAnsi="Times New Roman" w:cs="Times New Roman"/>
        </w:rPr>
        <w:t>informa</w:t>
      </w:r>
      <w:r w:rsidR="008A7D58">
        <w:rPr>
          <w:rFonts w:ascii="Times New Roman" w:eastAsia="Times New Roman" w:hAnsi="Times New Roman" w:cs="Times New Roman"/>
        </w:rPr>
        <w:t>t</w:t>
      </w:r>
      <w:r w:rsidR="00F95E5D">
        <w:rPr>
          <w:rFonts w:ascii="Times New Roman" w:eastAsia="Times New Roman" w:hAnsi="Times New Roman" w:cs="Times New Roman"/>
        </w:rPr>
        <w:t>i</w:t>
      </w:r>
      <w:r w:rsidR="008A7D58">
        <w:rPr>
          <w:rFonts w:ascii="Times New Roman" w:eastAsia="Times New Roman" w:hAnsi="Times New Roman" w:cs="Times New Roman"/>
        </w:rPr>
        <w:t>on</w:t>
      </w:r>
      <w:r w:rsidRPr="7CFBF453">
        <w:rPr>
          <w:rFonts w:ascii="Times New Roman" w:eastAsia="Times New Roman" w:hAnsi="Times New Roman" w:cs="Times New Roman"/>
        </w:rPr>
        <w:t>.</w:t>
      </w:r>
      <w:r w:rsidR="00F95E5D">
        <w:rPr>
          <w:rFonts w:ascii="Times New Roman" w:eastAsia="Times New Roman" w:hAnsi="Times New Roman" w:cs="Times New Roman"/>
        </w:rPr>
        <w:t xml:space="preserve"> Further, s</w:t>
      </w:r>
      <w:r w:rsidRPr="7CFBF453">
        <w:rPr>
          <w:rFonts w:ascii="Times New Roman" w:eastAsia="Times New Roman" w:hAnsi="Times New Roman" w:cs="Times New Roman"/>
        </w:rPr>
        <w:t xml:space="preserve">ome commenters requested that we ask more detailed questions </w:t>
      </w:r>
      <w:r w:rsidR="00F95E5D">
        <w:rPr>
          <w:rFonts w:ascii="Times New Roman" w:eastAsia="Times New Roman" w:hAnsi="Times New Roman" w:cs="Times New Roman"/>
        </w:rPr>
        <w:t>about</w:t>
      </w:r>
      <w:r w:rsidRPr="7CFBF453">
        <w:rPr>
          <w:rFonts w:ascii="Times New Roman" w:eastAsia="Times New Roman" w:hAnsi="Times New Roman" w:cs="Times New Roman"/>
        </w:rPr>
        <w:t xml:space="preserve"> manned facilities, electrification, and access to gas infrastructure</w:t>
      </w:r>
      <w:r w:rsidR="00F95E5D">
        <w:rPr>
          <w:rFonts w:ascii="Times New Roman" w:eastAsia="Times New Roman" w:hAnsi="Times New Roman" w:cs="Times New Roman"/>
        </w:rPr>
        <w:t xml:space="preserve">, indicating that more information is necessary to understand these issues. </w:t>
      </w:r>
      <w:r w:rsidRPr="7CFBF453">
        <w:rPr>
          <w:rFonts w:ascii="Times New Roman" w:eastAsia="Times New Roman" w:hAnsi="Times New Roman" w:cs="Times New Roman"/>
        </w:rPr>
        <w:t xml:space="preserve"> </w:t>
      </w:r>
      <w:r w:rsidR="008A7D58">
        <w:rPr>
          <w:rFonts w:ascii="Times New Roman" w:eastAsia="Times New Roman" w:hAnsi="Times New Roman" w:cs="Times New Roman"/>
        </w:rPr>
        <w:t>We</w:t>
      </w:r>
      <w:r w:rsidR="00377793">
        <w:rPr>
          <w:rFonts w:ascii="Times New Roman" w:eastAsia="Times New Roman" w:hAnsi="Times New Roman" w:cs="Times New Roman"/>
        </w:rPr>
        <w:t xml:space="preserve"> eliminated these questions from Part 1 and</w:t>
      </w:r>
      <w:r w:rsidR="008A7D58">
        <w:rPr>
          <w:rFonts w:ascii="Times New Roman" w:eastAsia="Times New Roman" w:hAnsi="Times New Roman" w:cs="Times New Roman"/>
        </w:rPr>
        <w:t xml:space="preserve"> </w:t>
      </w:r>
      <w:proofErr w:type="gramStart"/>
      <w:r w:rsidR="008A7D58">
        <w:rPr>
          <w:rFonts w:ascii="Times New Roman" w:eastAsia="Times New Roman" w:hAnsi="Times New Roman" w:cs="Times New Roman"/>
        </w:rPr>
        <w:t>added</w:t>
      </w:r>
      <w:r w:rsidR="00B94D95">
        <w:rPr>
          <w:rFonts w:ascii="Times New Roman" w:eastAsia="Times New Roman" w:hAnsi="Times New Roman" w:cs="Times New Roman"/>
        </w:rPr>
        <w:t xml:space="preserve"> </w:t>
      </w:r>
      <w:r w:rsidRPr="7CFBF453">
        <w:rPr>
          <w:rFonts w:ascii="Times New Roman" w:eastAsia="Times New Roman" w:hAnsi="Times New Roman" w:cs="Times New Roman"/>
        </w:rPr>
        <w:t xml:space="preserve"> more</w:t>
      </w:r>
      <w:proofErr w:type="gramEnd"/>
      <w:r w:rsidRPr="7CFBF453">
        <w:rPr>
          <w:rFonts w:ascii="Times New Roman" w:eastAsia="Times New Roman" w:hAnsi="Times New Roman" w:cs="Times New Roman"/>
        </w:rPr>
        <w:t xml:space="preserve"> detailed </w:t>
      </w:r>
      <w:r w:rsidR="00B94D95">
        <w:rPr>
          <w:rFonts w:ascii="Times New Roman" w:eastAsia="Times New Roman" w:hAnsi="Times New Roman" w:cs="Times New Roman"/>
        </w:rPr>
        <w:t xml:space="preserve">and </w:t>
      </w:r>
      <w:r w:rsidR="00377793">
        <w:rPr>
          <w:rFonts w:ascii="Times New Roman" w:eastAsia="Times New Roman" w:hAnsi="Times New Roman" w:cs="Times New Roman"/>
        </w:rPr>
        <w:t xml:space="preserve"> directed </w:t>
      </w:r>
      <w:r w:rsidRPr="7CFBF453">
        <w:rPr>
          <w:rFonts w:ascii="Times New Roman" w:eastAsia="Times New Roman" w:hAnsi="Times New Roman" w:cs="Times New Roman"/>
        </w:rPr>
        <w:t xml:space="preserve">questions for these elements in Part 2. </w:t>
      </w:r>
    </w:p>
    <w:p w14:paraId="6ECC9BA9" w14:textId="1B3B4AC6" w:rsidR="005B3512" w:rsidRDefault="005B3512" w:rsidP="009022CB">
      <w:pPr>
        <w:spacing w:line="480" w:lineRule="auto"/>
        <w:rPr>
          <w:rFonts w:ascii="Times New Roman" w:hAnsi="Times New Roman" w:cs="Times New Roman"/>
        </w:rPr>
      </w:pPr>
      <w:r w:rsidRPr="7CFBF453">
        <w:rPr>
          <w:rFonts w:ascii="Times New Roman" w:eastAsia="Times New Roman" w:hAnsi="Times New Roman" w:cs="Times New Roman"/>
          <w:b/>
        </w:rPr>
        <w:t>CARB Method</w:t>
      </w:r>
    </w:p>
    <w:p w14:paraId="7795E194" w14:textId="7B2BA336" w:rsidR="001940B1" w:rsidRDefault="00C02CE1" w:rsidP="009659AD">
      <w:pPr>
        <w:spacing w:line="480" w:lineRule="auto"/>
        <w:ind w:firstLine="720"/>
        <w:rPr>
          <w:rFonts w:ascii="Times New Roman" w:hAnsi="Times New Roman" w:cs="Times New Roman"/>
        </w:rPr>
      </w:pPr>
      <w:r w:rsidRPr="7CFBF453">
        <w:rPr>
          <w:rFonts w:ascii="Times New Roman" w:eastAsia="Times New Roman" w:hAnsi="Times New Roman" w:cs="Times New Roman"/>
        </w:rPr>
        <w:t xml:space="preserve">Many commenters requested </w:t>
      </w:r>
      <w:r w:rsidR="00B94D95">
        <w:rPr>
          <w:rFonts w:ascii="Times New Roman" w:eastAsia="Times New Roman" w:hAnsi="Times New Roman" w:cs="Times New Roman"/>
        </w:rPr>
        <w:t xml:space="preserve">that EPA provide </w:t>
      </w:r>
      <w:r w:rsidRPr="7CFBF453">
        <w:rPr>
          <w:rFonts w:ascii="Times New Roman" w:eastAsia="Times New Roman" w:hAnsi="Times New Roman" w:cs="Times New Roman"/>
        </w:rPr>
        <w:t xml:space="preserve">flexibility </w:t>
      </w:r>
      <w:r w:rsidR="00B94D95">
        <w:rPr>
          <w:rFonts w:ascii="Times New Roman" w:eastAsia="Times New Roman" w:hAnsi="Times New Roman" w:cs="Times New Roman"/>
        </w:rPr>
        <w:t xml:space="preserve">in sampling requirements </w:t>
      </w:r>
      <w:r w:rsidR="00A040F2" w:rsidRPr="009022CB">
        <w:rPr>
          <w:rFonts w:ascii="Times New Roman" w:eastAsia="Times New Roman" w:hAnsi="Times New Roman" w:cs="Times New Roman"/>
        </w:rPr>
        <w:t xml:space="preserve">for </w:t>
      </w:r>
      <w:r w:rsidR="00B94D95">
        <w:rPr>
          <w:rFonts w:ascii="Times New Roman" w:eastAsia="Times New Roman" w:hAnsi="Times New Roman" w:cs="Times New Roman"/>
        </w:rPr>
        <w:t xml:space="preserve">separators </w:t>
      </w:r>
      <w:r w:rsidRPr="7CFBF453">
        <w:rPr>
          <w:rFonts w:ascii="Times New Roman" w:eastAsia="Times New Roman" w:hAnsi="Times New Roman" w:cs="Times New Roman"/>
        </w:rPr>
        <w:t>to determi</w:t>
      </w:r>
      <w:r w:rsidR="00B94D95">
        <w:rPr>
          <w:rFonts w:ascii="Times New Roman" w:eastAsia="Times New Roman" w:hAnsi="Times New Roman" w:cs="Times New Roman"/>
        </w:rPr>
        <w:t>ne potential flash emissions from</w:t>
      </w:r>
      <w:r w:rsidRPr="7CFBF453">
        <w:rPr>
          <w:rFonts w:ascii="Times New Roman" w:eastAsia="Times New Roman" w:hAnsi="Times New Roman" w:cs="Times New Roman"/>
        </w:rPr>
        <w:t xml:space="preserve"> </w:t>
      </w:r>
      <w:r w:rsidR="00B94D95">
        <w:rPr>
          <w:rFonts w:ascii="Times New Roman" w:eastAsia="Times New Roman" w:hAnsi="Times New Roman" w:cs="Times New Roman"/>
        </w:rPr>
        <w:t>atmospheric tanks</w:t>
      </w:r>
      <w:r w:rsidRPr="009022CB">
        <w:rPr>
          <w:rFonts w:ascii="Times New Roman" w:eastAsia="Times New Roman" w:hAnsi="Times New Roman" w:cs="Times New Roman"/>
        </w:rPr>
        <w:t xml:space="preserve">. </w:t>
      </w:r>
      <w:r w:rsidR="00B94D95">
        <w:rPr>
          <w:rFonts w:ascii="Times New Roman" w:eastAsia="Times New Roman" w:hAnsi="Times New Roman" w:cs="Times New Roman"/>
        </w:rPr>
        <w:t>F</w:t>
      </w:r>
      <w:r w:rsidR="00A040F2" w:rsidRPr="009022CB">
        <w:rPr>
          <w:rFonts w:ascii="Times New Roman" w:eastAsia="Times New Roman" w:hAnsi="Times New Roman" w:cs="Times New Roman"/>
        </w:rPr>
        <w:t xml:space="preserve">lashing emissions </w:t>
      </w:r>
      <w:r w:rsidR="00B32319" w:rsidRPr="009022CB">
        <w:rPr>
          <w:rFonts w:ascii="Times New Roman" w:eastAsia="Times New Roman" w:hAnsi="Times New Roman" w:cs="Times New Roman"/>
        </w:rPr>
        <w:t>occur</w:t>
      </w:r>
      <w:r w:rsidR="00A040F2" w:rsidRPr="009022CB">
        <w:rPr>
          <w:rFonts w:ascii="Times New Roman" w:eastAsia="Times New Roman" w:hAnsi="Times New Roman" w:cs="Times New Roman"/>
        </w:rPr>
        <w:t xml:space="preserve"> when pressurized liquids (crude oil, condensate, and produced water) are </w:t>
      </w:r>
      <w:r w:rsidR="00B32319" w:rsidRPr="009022CB">
        <w:rPr>
          <w:rFonts w:ascii="Times New Roman" w:eastAsia="Times New Roman" w:hAnsi="Times New Roman" w:cs="Times New Roman"/>
        </w:rPr>
        <w:t>routed</w:t>
      </w:r>
      <w:r w:rsidR="00A040F2" w:rsidRPr="009022CB">
        <w:rPr>
          <w:rFonts w:ascii="Times New Roman" w:eastAsia="Times New Roman" w:hAnsi="Times New Roman" w:cs="Times New Roman"/>
        </w:rPr>
        <w:t xml:space="preserve"> into atmos</w:t>
      </w:r>
      <w:r w:rsidR="00A76E3D">
        <w:rPr>
          <w:rFonts w:ascii="Times New Roman" w:eastAsia="Times New Roman" w:hAnsi="Times New Roman" w:cs="Times New Roman"/>
        </w:rPr>
        <w:t>pheric storage tanks. To assess flashing emissions</w:t>
      </w:r>
      <w:r w:rsidR="00A040F2" w:rsidRPr="009022CB">
        <w:rPr>
          <w:rFonts w:ascii="Times New Roman" w:eastAsia="Times New Roman" w:hAnsi="Times New Roman" w:cs="Times New Roman"/>
        </w:rPr>
        <w:t xml:space="preserve">, we are requesting that selected facilities in Part 2 use the </w:t>
      </w:r>
      <w:r w:rsidR="00B94D95">
        <w:rPr>
          <w:rFonts w:ascii="Times New Roman" w:eastAsia="Times New Roman" w:hAnsi="Times New Roman" w:cs="Times New Roman"/>
        </w:rPr>
        <w:t>California Air Resources Board (</w:t>
      </w:r>
      <w:r w:rsidR="00A040F2" w:rsidRPr="009022CB">
        <w:rPr>
          <w:rFonts w:ascii="Times New Roman" w:eastAsia="Times New Roman" w:hAnsi="Times New Roman" w:cs="Times New Roman"/>
        </w:rPr>
        <w:t>CARB</w:t>
      </w:r>
      <w:r w:rsidR="00B94D95">
        <w:rPr>
          <w:rFonts w:ascii="Times New Roman" w:eastAsia="Times New Roman" w:hAnsi="Times New Roman" w:cs="Times New Roman"/>
        </w:rPr>
        <w:t>)</w:t>
      </w:r>
      <w:r w:rsidR="00A040F2" w:rsidRPr="009022CB">
        <w:rPr>
          <w:rFonts w:ascii="Times New Roman" w:eastAsia="Times New Roman" w:hAnsi="Times New Roman" w:cs="Times New Roman"/>
        </w:rPr>
        <w:t xml:space="preserve"> method for sampling and analyzing pressurized liquids from any separators prior to </w:t>
      </w:r>
      <w:r w:rsidR="00B32319" w:rsidRPr="009022CB">
        <w:rPr>
          <w:rFonts w:ascii="Times New Roman" w:eastAsia="Times New Roman" w:hAnsi="Times New Roman" w:cs="Times New Roman"/>
        </w:rPr>
        <w:t xml:space="preserve">atmospheric </w:t>
      </w:r>
      <w:r w:rsidR="00A040F2" w:rsidRPr="009022CB">
        <w:rPr>
          <w:rFonts w:ascii="Times New Roman" w:eastAsia="Times New Roman" w:hAnsi="Times New Roman" w:cs="Times New Roman"/>
        </w:rPr>
        <w:t xml:space="preserve">storage tanks. </w:t>
      </w:r>
      <w:r w:rsidR="003C691D">
        <w:rPr>
          <w:rFonts w:ascii="Times New Roman" w:eastAsia="Times New Roman" w:hAnsi="Times New Roman" w:cs="Times New Roman"/>
        </w:rPr>
        <w:t xml:space="preserve">Comments on </w:t>
      </w:r>
      <w:r w:rsidR="001940B1" w:rsidRPr="7CFBF453">
        <w:rPr>
          <w:rFonts w:ascii="Times New Roman" w:eastAsia="Times New Roman" w:hAnsi="Times New Roman" w:cs="Times New Roman"/>
        </w:rPr>
        <w:t>the CARB method include:</w:t>
      </w:r>
      <w:r w:rsidRPr="7CFBF453">
        <w:rPr>
          <w:rFonts w:ascii="Times New Roman" w:eastAsia="Times New Roman" w:hAnsi="Times New Roman" w:cs="Times New Roman"/>
        </w:rPr>
        <w:t xml:space="preserve"> the current amendment to the CARB method is still in the draft stage and has not had adequate peer review; it has been applied primarily for produced heavy oil sampled at low pressure separators; only four laboratories are familiar with the CARB method; some laboratories have mentioned that the method will not be appropriate for areas in the Uintah and the Denver-Julesburg Basin; and finally, the high cost of the CARB method. </w:t>
      </w:r>
    </w:p>
    <w:p w14:paraId="1D3AC465" w14:textId="66A7A2D0" w:rsidR="000E4783" w:rsidRPr="009022CB" w:rsidRDefault="00C02CE1" w:rsidP="008328BA">
      <w:pPr>
        <w:spacing w:line="480" w:lineRule="auto"/>
        <w:ind w:firstLine="720"/>
        <w:rPr>
          <w:rFonts w:ascii="Times New Roman" w:eastAsia="Times New Roman" w:hAnsi="Times New Roman" w:cs="Times New Roman"/>
        </w:rPr>
      </w:pPr>
      <w:r w:rsidRPr="7CFBF453">
        <w:rPr>
          <w:rFonts w:ascii="Times New Roman" w:eastAsia="Times New Roman" w:hAnsi="Times New Roman" w:cs="Times New Roman"/>
        </w:rPr>
        <w:t xml:space="preserve">While we understand the issues that have been raised, we </w:t>
      </w:r>
      <w:r w:rsidR="0047466B">
        <w:rPr>
          <w:rFonts w:ascii="Times New Roman" w:eastAsia="Times New Roman" w:hAnsi="Times New Roman" w:cs="Times New Roman"/>
        </w:rPr>
        <w:t xml:space="preserve">intend to require a consistent set of procedures for sampling and analysis. </w:t>
      </w:r>
      <w:r w:rsidR="001940B1" w:rsidRPr="009022CB">
        <w:rPr>
          <w:rFonts w:ascii="Times New Roman" w:eastAsia="Times New Roman" w:hAnsi="Times New Roman" w:cs="Times New Roman"/>
        </w:rPr>
        <w:t xml:space="preserve">The CARB method simply clarifies an existing industry sampling </w:t>
      </w:r>
      <w:r w:rsidR="001940B1" w:rsidRPr="009022CB">
        <w:rPr>
          <w:rFonts w:ascii="Times New Roman" w:eastAsia="Times New Roman" w:hAnsi="Times New Roman" w:cs="Times New Roman"/>
        </w:rPr>
        <w:lastRenderedPageBreak/>
        <w:t xml:space="preserve">protocol (GPA method 2174) for the purposes of sampling pressurized liquids from separators, and the CARB method utilizes existing industry methods for analysis. </w:t>
      </w:r>
      <w:r w:rsidR="00EA0753" w:rsidRPr="009022CB">
        <w:rPr>
          <w:rFonts w:ascii="Times New Roman" w:eastAsia="Times New Roman" w:hAnsi="Times New Roman" w:cs="Times New Roman"/>
        </w:rPr>
        <w:t xml:space="preserve">One </w:t>
      </w:r>
      <w:r w:rsidR="00EA0753" w:rsidRPr="7CFBF453">
        <w:rPr>
          <w:rFonts w:ascii="Times New Roman" w:eastAsia="Times New Roman" w:hAnsi="Times New Roman" w:cs="Times New Roman"/>
        </w:rPr>
        <w:t xml:space="preserve">commenter </w:t>
      </w:r>
      <w:r w:rsidR="00EA0753" w:rsidRPr="009022CB">
        <w:rPr>
          <w:rFonts w:ascii="Times New Roman" w:eastAsia="Times New Roman" w:hAnsi="Times New Roman" w:cs="Times New Roman"/>
        </w:rPr>
        <w:t xml:space="preserve">requested </w:t>
      </w:r>
      <w:r w:rsidR="001940B1" w:rsidRPr="009022CB">
        <w:rPr>
          <w:rFonts w:ascii="Times New Roman" w:eastAsia="Times New Roman" w:hAnsi="Times New Roman" w:cs="Times New Roman"/>
        </w:rPr>
        <w:t xml:space="preserve">simply </w:t>
      </w:r>
      <w:r w:rsidR="00EA0753" w:rsidRPr="009022CB">
        <w:rPr>
          <w:rFonts w:ascii="Times New Roman" w:eastAsia="Times New Roman" w:hAnsi="Times New Roman" w:cs="Times New Roman"/>
        </w:rPr>
        <w:t xml:space="preserve">using </w:t>
      </w:r>
      <w:r w:rsidR="00EA0753" w:rsidRPr="7CFBF453">
        <w:rPr>
          <w:rFonts w:ascii="Times New Roman" w:eastAsia="Times New Roman" w:hAnsi="Times New Roman" w:cs="Times New Roman"/>
        </w:rPr>
        <w:t xml:space="preserve">GPA method 2174, as opposed to the CARB method. GPA </w:t>
      </w:r>
      <w:r w:rsidR="00DE2849" w:rsidRPr="7CFBF453">
        <w:rPr>
          <w:rFonts w:ascii="Times New Roman" w:eastAsia="Times New Roman" w:hAnsi="Times New Roman" w:cs="Times New Roman"/>
        </w:rPr>
        <w:t xml:space="preserve">method </w:t>
      </w:r>
      <w:r w:rsidR="00A76E3D">
        <w:rPr>
          <w:rFonts w:ascii="Times New Roman" w:eastAsia="Times New Roman" w:hAnsi="Times New Roman" w:cs="Times New Roman"/>
        </w:rPr>
        <w:t>2174, however, does not specify</w:t>
      </w:r>
      <w:r w:rsidR="00EA0753" w:rsidRPr="7CFBF453">
        <w:rPr>
          <w:rFonts w:ascii="Times New Roman" w:eastAsia="Times New Roman" w:hAnsi="Times New Roman" w:cs="Times New Roman"/>
        </w:rPr>
        <w:t xml:space="preserve"> a volumetric flow rate requirement into the sampling containers. </w:t>
      </w:r>
      <w:r w:rsidR="0047466B">
        <w:rPr>
          <w:rFonts w:ascii="Times New Roman" w:eastAsia="Times New Roman" w:hAnsi="Times New Roman" w:cs="Times New Roman"/>
        </w:rPr>
        <w:t xml:space="preserve"> We believe it is important to limit the sampling rate because s</w:t>
      </w:r>
      <w:r w:rsidR="0047466B" w:rsidRPr="009022CB">
        <w:rPr>
          <w:rFonts w:ascii="Times New Roman" w:eastAsia="Times New Roman" w:hAnsi="Times New Roman" w:cs="Times New Roman"/>
        </w:rPr>
        <w:t xml:space="preserve">amples taken at a lower rate are likely to yield more reliable results than those taken at faster rates because of the minimized risk of flashing within the canister. </w:t>
      </w:r>
      <w:r w:rsidR="00D13DF7" w:rsidRPr="009022CB">
        <w:rPr>
          <w:rFonts w:ascii="Times New Roman" w:eastAsia="Times New Roman" w:hAnsi="Times New Roman" w:cs="Times New Roman"/>
        </w:rPr>
        <w:t xml:space="preserve">Consequently, we are requesting that selected facilities use </w:t>
      </w:r>
      <w:r w:rsidR="008328BA" w:rsidRPr="009022CB">
        <w:rPr>
          <w:rFonts w:ascii="Times New Roman" w:eastAsia="Times New Roman" w:hAnsi="Times New Roman" w:cs="Times New Roman"/>
        </w:rPr>
        <w:t xml:space="preserve">the </w:t>
      </w:r>
      <w:r w:rsidR="00920BF4">
        <w:rPr>
          <w:rFonts w:ascii="Times New Roman" w:eastAsia="Times New Roman" w:hAnsi="Times New Roman" w:cs="Times New Roman"/>
        </w:rPr>
        <w:t>latest</w:t>
      </w:r>
      <w:r w:rsidR="00D13DF7" w:rsidRPr="009022CB">
        <w:rPr>
          <w:rFonts w:ascii="Times New Roman" w:eastAsia="Times New Roman" w:hAnsi="Times New Roman" w:cs="Times New Roman"/>
        </w:rPr>
        <w:t xml:space="preserve"> version </w:t>
      </w:r>
      <w:r w:rsidR="00A63CA2" w:rsidRPr="009022CB">
        <w:rPr>
          <w:rFonts w:ascii="Times New Roman" w:eastAsia="Times New Roman" w:hAnsi="Times New Roman" w:cs="Times New Roman"/>
        </w:rPr>
        <w:t>of the CARB method</w:t>
      </w:r>
      <w:r w:rsidR="00920BF4">
        <w:rPr>
          <w:rFonts w:ascii="Times New Roman" w:eastAsia="Times New Roman" w:hAnsi="Times New Roman" w:cs="Times New Roman"/>
        </w:rPr>
        <w:t>, but use the volumetric flowrate from the December 2010 version</w:t>
      </w:r>
      <w:r w:rsidR="00A63CA2" w:rsidRPr="009022CB">
        <w:rPr>
          <w:rFonts w:ascii="Times New Roman" w:eastAsia="Times New Roman" w:hAnsi="Times New Roman" w:cs="Times New Roman"/>
        </w:rPr>
        <w:t xml:space="preserve"> that requires a</w:t>
      </w:r>
      <w:r w:rsidR="00D13DF7" w:rsidRPr="009022CB">
        <w:rPr>
          <w:rFonts w:ascii="Times New Roman" w:eastAsia="Times New Roman" w:hAnsi="Times New Roman" w:cs="Times New Roman"/>
        </w:rPr>
        <w:t xml:space="preserve"> 60 mL/min sampling rate as opposed to later versions that </w:t>
      </w:r>
      <w:r w:rsidR="00A63CA2" w:rsidRPr="009022CB">
        <w:rPr>
          <w:rFonts w:ascii="Times New Roman" w:eastAsia="Times New Roman" w:hAnsi="Times New Roman" w:cs="Times New Roman"/>
        </w:rPr>
        <w:t>require a</w:t>
      </w:r>
      <w:r w:rsidR="00D13DF7" w:rsidRPr="009022CB">
        <w:rPr>
          <w:rFonts w:ascii="Times New Roman" w:eastAsia="Times New Roman" w:hAnsi="Times New Roman" w:cs="Times New Roman"/>
        </w:rPr>
        <w:t xml:space="preserve"> 120 – 180 mL/min</w:t>
      </w:r>
      <w:r w:rsidR="00A63CA2" w:rsidRPr="009022CB">
        <w:rPr>
          <w:rFonts w:ascii="Times New Roman" w:eastAsia="Times New Roman" w:hAnsi="Times New Roman" w:cs="Times New Roman"/>
        </w:rPr>
        <w:t xml:space="preserve"> rate</w:t>
      </w:r>
      <w:r w:rsidR="00D13DF7" w:rsidRPr="009022CB">
        <w:rPr>
          <w:rFonts w:ascii="Times New Roman" w:eastAsia="Times New Roman" w:hAnsi="Times New Roman" w:cs="Times New Roman"/>
        </w:rPr>
        <w:t xml:space="preserve">. </w:t>
      </w:r>
      <w:r w:rsidR="00A63CA2" w:rsidRPr="009022CB">
        <w:rPr>
          <w:rFonts w:ascii="Times New Roman" w:eastAsia="Times New Roman" w:hAnsi="Times New Roman" w:cs="Times New Roman"/>
        </w:rPr>
        <w:t>In addition to concerns about the sampling rate, s</w:t>
      </w:r>
      <w:r w:rsidR="00D44C87" w:rsidRPr="009022CB">
        <w:rPr>
          <w:rFonts w:ascii="Times New Roman" w:eastAsia="Times New Roman" w:hAnsi="Times New Roman" w:cs="Times New Roman"/>
        </w:rPr>
        <w:t>ome commenters stated that the CARB method would not be a</w:t>
      </w:r>
      <w:r w:rsidR="00A63CA2" w:rsidRPr="009022CB">
        <w:rPr>
          <w:rFonts w:ascii="Times New Roman" w:eastAsia="Times New Roman" w:hAnsi="Times New Roman" w:cs="Times New Roman"/>
        </w:rPr>
        <w:t>ppropriate for the Denver-Julesburg</w:t>
      </w:r>
      <w:r w:rsidR="00D44C87" w:rsidRPr="009022CB">
        <w:rPr>
          <w:rFonts w:ascii="Times New Roman" w:eastAsia="Times New Roman" w:hAnsi="Times New Roman" w:cs="Times New Roman"/>
        </w:rPr>
        <w:t xml:space="preserve"> basin</w:t>
      </w:r>
      <w:r w:rsidR="00A63CA2" w:rsidRPr="009022CB">
        <w:rPr>
          <w:rFonts w:ascii="Times New Roman" w:eastAsia="Times New Roman" w:hAnsi="Times New Roman" w:cs="Times New Roman"/>
        </w:rPr>
        <w:t xml:space="preserve"> nor for non-heavy oil wells</w:t>
      </w:r>
      <w:proofErr w:type="gramStart"/>
      <w:r w:rsidR="00A76E3D">
        <w:rPr>
          <w:rFonts w:ascii="Times New Roman" w:eastAsia="Times New Roman" w:hAnsi="Times New Roman" w:cs="Times New Roman"/>
        </w:rPr>
        <w:t>.</w:t>
      </w:r>
      <w:r w:rsidR="00D44C87" w:rsidRPr="009022CB">
        <w:rPr>
          <w:rFonts w:ascii="Times New Roman" w:eastAsia="Times New Roman" w:hAnsi="Times New Roman" w:cs="Times New Roman"/>
        </w:rPr>
        <w:t>.</w:t>
      </w:r>
      <w:proofErr w:type="gramEnd"/>
      <w:r w:rsidR="00D44C87" w:rsidRPr="009022CB">
        <w:rPr>
          <w:rFonts w:ascii="Times New Roman" w:eastAsia="Times New Roman" w:hAnsi="Times New Roman" w:cs="Times New Roman"/>
        </w:rPr>
        <w:t xml:space="preserve"> However, </w:t>
      </w:r>
      <w:r w:rsidR="00201E39">
        <w:rPr>
          <w:rFonts w:ascii="Times New Roman" w:eastAsia="Times New Roman" w:hAnsi="Times New Roman" w:cs="Times New Roman"/>
        </w:rPr>
        <w:t xml:space="preserve">preliminary information suggests </w:t>
      </w:r>
      <w:proofErr w:type="gramStart"/>
      <w:r w:rsidR="00201E39">
        <w:rPr>
          <w:rFonts w:ascii="Times New Roman" w:eastAsia="Times New Roman" w:hAnsi="Times New Roman" w:cs="Times New Roman"/>
        </w:rPr>
        <w:t xml:space="preserve">that </w:t>
      </w:r>
      <w:r w:rsidR="009022CB">
        <w:rPr>
          <w:rFonts w:ascii="Times New Roman" w:eastAsia="Times New Roman" w:hAnsi="Times New Roman" w:cs="Times New Roman"/>
        </w:rPr>
        <w:t xml:space="preserve"> </w:t>
      </w:r>
      <w:r w:rsidR="00D44C87" w:rsidRPr="009022CB">
        <w:rPr>
          <w:rFonts w:ascii="Times New Roman" w:eastAsia="Times New Roman" w:hAnsi="Times New Roman" w:cs="Times New Roman"/>
        </w:rPr>
        <w:t>the</w:t>
      </w:r>
      <w:proofErr w:type="gramEnd"/>
      <w:r w:rsidR="00D44C87" w:rsidRPr="009022CB">
        <w:rPr>
          <w:rFonts w:ascii="Times New Roman" w:eastAsia="Times New Roman" w:hAnsi="Times New Roman" w:cs="Times New Roman"/>
        </w:rPr>
        <w:t xml:space="preserve"> CARB method </w:t>
      </w:r>
      <w:r w:rsidR="00456D37">
        <w:rPr>
          <w:rFonts w:ascii="Times New Roman" w:eastAsia="Times New Roman" w:hAnsi="Times New Roman" w:cs="Times New Roman"/>
        </w:rPr>
        <w:t>can and does produce reliable results</w:t>
      </w:r>
      <w:r w:rsidR="00201E39">
        <w:rPr>
          <w:rFonts w:ascii="Times New Roman" w:eastAsia="Times New Roman" w:hAnsi="Times New Roman" w:cs="Times New Roman"/>
        </w:rPr>
        <w:t xml:space="preserve"> for a range of GORs</w:t>
      </w:r>
      <w:r w:rsidR="00D44C87" w:rsidRPr="009022CB">
        <w:rPr>
          <w:rFonts w:ascii="Times New Roman" w:eastAsia="Times New Roman" w:hAnsi="Times New Roman" w:cs="Times New Roman"/>
        </w:rPr>
        <w:t xml:space="preserve">. </w:t>
      </w:r>
      <w:r w:rsidR="00456D37">
        <w:rPr>
          <w:rFonts w:ascii="Times New Roman" w:eastAsia="Times New Roman" w:hAnsi="Times New Roman" w:cs="Times New Roman"/>
        </w:rPr>
        <w:t>While a</w:t>
      </w:r>
      <w:r w:rsidR="00D44C87" w:rsidRPr="009022CB">
        <w:rPr>
          <w:rFonts w:ascii="Times New Roman" w:eastAsia="Times New Roman" w:hAnsi="Times New Roman" w:cs="Times New Roman"/>
        </w:rPr>
        <w:t xml:space="preserve"> higher GOR may make extracting the sample </w:t>
      </w:r>
      <w:r w:rsidR="00456D37">
        <w:rPr>
          <w:rFonts w:ascii="Times New Roman" w:eastAsia="Times New Roman" w:hAnsi="Times New Roman" w:cs="Times New Roman"/>
        </w:rPr>
        <w:t xml:space="preserve">more </w:t>
      </w:r>
      <w:r w:rsidR="00D44C87" w:rsidRPr="009022CB">
        <w:rPr>
          <w:rFonts w:ascii="Times New Roman" w:eastAsia="Times New Roman" w:hAnsi="Times New Roman" w:cs="Times New Roman"/>
        </w:rPr>
        <w:t>difficult</w:t>
      </w:r>
      <w:r w:rsidR="00456D37">
        <w:rPr>
          <w:rFonts w:ascii="Times New Roman" w:eastAsia="Times New Roman" w:hAnsi="Times New Roman" w:cs="Times New Roman"/>
        </w:rPr>
        <w:t>, this method, with volumetric sampling rate limitations</w:t>
      </w:r>
      <w:r w:rsidR="00A76E3D">
        <w:rPr>
          <w:rFonts w:ascii="Times New Roman" w:eastAsia="Times New Roman" w:hAnsi="Times New Roman" w:cs="Times New Roman"/>
        </w:rPr>
        <w:t xml:space="preserve"> and clear instructions, should provide </w:t>
      </w:r>
      <w:r w:rsidR="00201E39">
        <w:rPr>
          <w:rFonts w:ascii="Times New Roman" w:eastAsia="Times New Roman" w:hAnsi="Times New Roman" w:cs="Times New Roman"/>
        </w:rPr>
        <w:t xml:space="preserve">a consistent </w:t>
      </w:r>
      <w:r w:rsidR="00A76E3D">
        <w:rPr>
          <w:rFonts w:ascii="Times New Roman" w:eastAsia="Times New Roman" w:hAnsi="Times New Roman" w:cs="Times New Roman"/>
        </w:rPr>
        <w:t>sampling</w:t>
      </w:r>
      <w:r w:rsidR="00201E39">
        <w:rPr>
          <w:rFonts w:ascii="Times New Roman" w:eastAsia="Times New Roman" w:hAnsi="Times New Roman" w:cs="Times New Roman"/>
        </w:rPr>
        <w:t xml:space="preserve"> approach</w:t>
      </w:r>
      <w:r w:rsidR="00A76E3D">
        <w:rPr>
          <w:rFonts w:ascii="Times New Roman" w:eastAsia="Times New Roman" w:hAnsi="Times New Roman" w:cs="Times New Roman"/>
        </w:rPr>
        <w:t>.</w:t>
      </w:r>
      <w:r w:rsidR="00456D37">
        <w:rPr>
          <w:rFonts w:ascii="Times New Roman" w:eastAsia="Times New Roman" w:hAnsi="Times New Roman" w:cs="Times New Roman"/>
        </w:rPr>
        <w:t xml:space="preserve">  </w:t>
      </w:r>
    </w:p>
    <w:p w14:paraId="54990FCF" w14:textId="55EF4AA1" w:rsidR="00462DB6" w:rsidRDefault="001C75AA" w:rsidP="008328BA">
      <w:pPr>
        <w:spacing w:line="480" w:lineRule="auto"/>
        <w:ind w:firstLine="720"/>
        <w:rPr>
          <w:rFonts w:ascii="Times New Roman" w:eastAsia="Times New Roman" w:hAnsi="Times New Roman" w:cs="Times New Roman"/>
        </w:rPr>
      </w:pPr>
      <w:r w:rsidRPr="009022CB">
        <w:rPr>
          <w:rFonts w:ascii="Times New Roman" w:eastAsia="Times New Roman" w:hAnsi="Times New Roman" w:cs="Times New Roman"/>
        </w:rPr>
        <w:t xml:space="preserve">Several commenters also requested that the overall burden for pressurized liquid sampling be reduced, particularly for downstream segments. </w:t>
      </w:r>
      <w:r w:rsidR="00020C08">
        <w:rPr>
          <w:rFonts w:ascii="Times New Roman" w:eastAsia="Times New Roman" w:hAnsi="Times New Roman" w:cs="Times New Roman"/>
        </w:rPr>
        <w:t xml:space="preserve">The commenters suggested that the natural gas composition in transmission pipelines is uniform and that only one representative sample </w:t>
      </w:r>
      <w:r w:rsidR="00A76E3D">
        <w:rPr>
          <w:rFonts w:ascii="Times New Roman" w:eastAsia="Times New Roman" w:hAnsi="Times New Roman" w:cs="Times New Roman"/>
        </w:rPr>
        <w:t xml:space="preserve">should </w:t>
      </w:r>
      <w:r w:rsidR="00020C08">
        <w:rPr>
          <w:rFonts w:ascii="Times New Roman" w:eastAsia="Times New Roman" w:hAnsi="Times New Roman" w:cs="Times New Roman"/>
        </w:rPr>
        <w:t>be required for any company.</w:t>
      </w:r>
      <w:r w:rsidR="002B2B2B">
        <w:rPr>
          <w:rFonts w:ascii="Times New Roman" w:eastAsia="Times New Roman" w:hAnsi="Times New Roman" w:cs="Times New Roman"/>
        </w:rPr>
        <w:t xml:space="preserve"> They also noted that separators in this industry segment do not have significant liquids accumulation and do not typically have ports for liquids sampling.</w:t>
      </w:r>
      <w:r w:rsidR="00020C08">
        <w:rPr>
          <w:rFonts w:ascii="Times New Roman" w:eastAsia="Times New Roman" w:hAnsi="Times New Roman" w:cs="Times New Roman"/>
        </w:rPr>
        <w:t xml:space="preserve"> In response to these comments, w</w:t>
      </w:r>
      <w:r w:rsidRPr="009022CB">
        <w:rPr>
          <w:rFonts w:ascii="Times New Roman" w:eastAsia="Times New Roman" w:hAnsi="Times New Roman" w:cs="Times New Roman"/>
        </w:rPr>
        <w:t>e have added a provision that if the separator</w:t>
      </w:r>
      <w:r w:rsidR="00020C08">
        <w:rPr>
          <w:rFonts w:ascii="Times New Roman" w:eastAsia="Times New Roman" w:hAnsi="Times New Roman" w:cs="Times New Roman"/>
        </w:rPr>
        <w:t>’s liquid</w:t>
      </w:r>
      <w:r w:rsidRPr="009022CB">
        <w:rPr>
          <w:rFonts w:ascii="Times New Roman" w:eastAsia="Times New Roman" w:hAnsi="Times New Roman" w:cs="Times New Roman"/>
        </w:rPr>
        <w:t xml:space="preserve"> </w:t>
      </w:r>
      <w:r w:rsidR="00377793">
        <w:rPr>
          <w:rFonts w:ascii="Times New Roman" w:eastAsia="Times New Roman" w:hAnsi="Times New Roman" w:cs="Times New Roman"/>
        </w:rPr>
        <w:t>out</w:t>
      </w:r>
      <w:r w:rsidR="00377793" w:rsidRPr="009022CB">
        <w:rPr>
          <w:rFonts w:ascii="Times New Roman" w:eastAsia="Times New Roman" w:hAnsi="Times New Roman" w:cs="Times New Roman"/>
        </w:rPr>
        <w:t>put</w:t>
      </w:r>
      <w:r w:rsidR="00020C08">
        <w:rPr>
          <w:rFonts w:ascii="Times New Roman" w:eastAsia="Times New Roman" w:hAnsi="Times New Roman" w:cs="Times New Roman"/>
        </w:rPr>
        <w:t xml:space="preserve"> (oil</w:t>
      </w:r>
      <w:r w:rsidR="00A37DC2">
        <w:rPr>
          <w:rFonts w:ascii="Times New Roman" w:eastAsia="Times New Roman" w:hAnsi="Times New Roman" w:cs="Times New Roman"/>
        </w:rPr>
        <w:t xml:space="preserve">, </w:t>
      </w:r>
      <w:r w:rsidR="00020C08">
        <w:rPr>
          <w:rFonts w:ascii="Times New Roman" w:eastAsia="Times New Roman" w:hAnsi="Times New Roman" w:cs="Times New Roman"/>
        </w:rPr>
        <w:t>condensate</w:t>
      </w:r>
      <w:r w:rsidR="00A37DC2">
        <w:rPr>
          <w:rFonts w:ascii="Times New Roman" w:eastAsia="Times New Roman" w:hAnsi="Times New Roman" w:cs="Times New Roman"/>
        </w:rPr>
        <w:t xml:space="preserve">, and </w:t>
      </w:r>
      <w:r w:rsidR="00020C08">
        <w:rPr>
          <w:rFonts w:ascii="Times New Roman" w:eastAsia="Times New Roman" w:hAnsi="Times New Roman" w:cs="Times New Roman"/>
        </w:rPr>
        <w:t>water)</w:t>
      </w:r>
      <w:r w:rsidR="00377793" w:rsidRPr="009022CB">
        <w:rPr>
          <w:rFonts w:ascii="Times New Roman" w:eastAsia="Times New Roman" w:hAnsi="Times New Roman" w:cs="Times New Roman"/>
        </w:rPr>
        <w:t xml:space="preserve"> </w:t>
      </w:r>
      <w:r w:rsidRPr="009022CB">
        <w:rPr>
          <w:rFonts w:ascii="Times New Roman" w:eastAsia="Times New Roman" w:hAnsi="Times New Roman" w:cs="Times New Roman"/>
        </w:rPr>
        <w:t xml:space="preserve">is less than 10 bbl/day, then sampling is not required. </w:t>
      </w:r>
      <w:r w:rsidR="00020C08">
        <w:rPr>
          <w:rFonts w:ascii="Times New Roman" w:eastAsia="Times New Roman" w:hAnsi="Times New Roman" w:cs="Times New Roman"/>
        </w:rPr>
        <w:t xml:space="preserve">However, we are concerned that this may effectively exempt all separators in the transmission compression industry segment. Therefore, we are requiring parent companies of selected transmission compression facilities that do not have any separators with liquid output exceeding 10 bbl/day to select any separator at a selected facility to perform a single </w:t>
      </w:r>
      <w:r w:rsidR="002B2B2B">
        <w:rPr>
          <w:rFonts w:ascii="Times New Roman" w:eastAsia="Times New Roman" w:hAnsi="Times New Roman" w:cs="Times New Roman"/>
        </w:rPr>
        <w:t xml:space="preserve">flash gas </w:t>
      </w:r>
      <w:r w:rsidR="002B2B2B">
        <w:rPr>
          <w:rFonts w:ascii="Times New Roman" w:eastAsia="Times New Roman" w:hAnsi="Times New Roman" w:cs="Times New Roman"/>
        </w:rPr>
        <w:lastRenderedPageBreak/>
        <w:t xml:space="preserve">analysis using the CARB method. We expect </w:t>
      </w:r>
      <w:r w:rsidR="00201E39">
        <w:rPr>
          <w:rFonts w:ascii="Times New Roman" w:eastAsia="Times New Roman" w:hAnsi="Times New Roman" w:cs="Times New Roman"/>
        </w:rPr>
        <w:t xml:space="preserve">that </w:t>
      </w:r>
      <w:r w:rsidR="002B2B2B">
        <w:rPr>
          <w:rFonts w:ascii="Times New Roman" w:eastAsia="Times New Roman" w:hAnsi="Times New Roman" w:cs="Times New Roman"/>
        </w:rPr>
        <w:t xml:space="preserve">allowing </w:t>
      </w:r>
      <w:r w:rsidR="00201E39">
        <w:rPr>
          <w:rFonts w:ascii="Times New Roman" w:eastAsia="Times New Roman" w:hAnsi="Times New Roman" w:cs="Times New Roman"/>
        </w:rPr>
        <w:t xml:space="preserve">parent companies the opportunity </w:t>
      </w:r>
      <w:r w:rsidR="002B2B2B">
        <w:rPr>
          <w:rFonts w:ascii="Times New Roman" w:eastAsia="Times New Roman" w:hAnsi="Times New Roman" w:cs="Times New Roman"/>
        </w:rPr>
        <w:t>to select the separator to sample will eliminate the need to install sampling ports for separators that do not have them.</w:t>
      </w:r>
    </w:p>
    <w:p w14:paraId="62F076E4" w14:textId="3F6F88E9" w:rsidR="001C75AA" w:rsidRPr="009022CB" w:rsidRDefault="00462DB6" w:rsidP="008328BA">
      <w:pPr>
        <w:spacing w:line="480" w:lineRule="auto"/>
        <w:ind w:firstLine="720"/>
        <w:rPr>
          <w:rFonts w:ascii="Times New Roman" w:eastAsia="Times New Roman" w:hAnsi="Times New Roman" w:cs="Times New Roman"/>
          <w:strike/>
        </w:rPr>
      </w:pPr>
      <w:r w:rsidRPr="7CFBF453">
        <w:rPr>
          <w:rFonts w:ascii="Times New Roman" w:eastAsia="Times New Roman" w:hAnsi="Times New Roman" w:cs="Times New Roman"/>
        </w:rPr>
        <w:t xml:space="preserve">Some commenters asked if separators are in series, which separator should be sampled via the CARB method. Our intent is that, for separators in series, only the separator that feeds into an atmospheric storage tank should be sampled. </w:t>
      </w:r>
      <w:r w:rsidR="002B2B2B">
        <w:rPr>
          <w:rFonts w:ascii="Times New Roman" w:eastAsia="Times New Roman" w:hAnsi="Times New Roman" w:cs="Times New Roman"/>
        </w:rPr>
        <w:t xml:space="preserve">  </w:t>
      </w:r>
      <w:r w:rsidR="00201E39">
        <w:rPr>
          <w:rFonts w:ascii="Times New Roman" w:eastAsia="Times New Roman" w:hAnsi="Times New Roman" w:cs="Times New Roman"/>
        </w:rPr>
        <w:t>We have clarified this question in the instructions to the Part 2 survey.</w:t>
      </w:r>
    </w:p>
    <w:p w14:paraId="4CB04899" w14:textId="0E0DD61A" w:rsidR="005B3512" w:rsidRDefault="005B3512" w:rsidP="00DA73D7">
      <w:pPr>
        <w:spacing w:line="480" w:lineRule="auto"/>
        <w:rPr>
          <w:rFonts w:ascii="Times New Roman" w:hAnsi="Times New Roman" w:cs="Times New Roman"/>
        </w:rPr>
      </w:pPr>
      <w:r w:rsidRPr="7CFBF453">
        <w:rPr>
          <w:rFonts w:ascii="Times New Roman" w:eastAsia="Times New Roman" w:hAnsi="Times New Roman" w:cs="Times New Roman"/>
          <w:b/>
        </w:rPr>
        <w:t>GHGRP Duplication</w:t>
      </w:r>
    </w:p>
    <w:p w14:paraId="36275D6D" w14:textId="43E5009C" w:rsidR="000E4783" w:rsidRPr="00D2126F" w:rsidRDefault="00D2126F" w:rsidP="009659AD">
      <w:pPr>
        <w:spacing w:line="480" w:lineRule="auto"/>
        <w:ind w:firstLine="720"/>
        <w:rPr>
          <w:rFonts w:ascii="Times New Roman" w:hAnsi="Times New Roman" w:cs="Times New Roman"/>
        </w:rPr>
      </w:pPr>
      <w:r w:rsidRPr="7CFBF453">
        <w:rPr>
          <w:rFonts w:ascii="Times New Roman" w:eastAsia="Times New Roman" w:hAnsi="Times New Roman" w:cs="Times New Roman"/>
        </w:rPr>
        <w:t xml:space="preserve">Many commenters </w:t>
      </w:r>
      <w:r w:rsidR="00CE0764" w:rsidRPr="7CFBF453">
        <w:rPr>
          <w:rFonts w:ascii="Times New Roman" w:eastAsia="Times New Roman" w:hAnsi="Times New Roman" w:cs="Times New Roman"/>
        </w:rPr>
        <w:t>stated</w:t>
      </w:r>
      <w:r w:rsidRPr="7CFBF453">
        <w:rPr>
          <w:rFonts w:ascii="Times New Roman" w:eastAsia="Times New Roman" w:hAnsi="Times New Roman" w:cs="Times New Roman"/>
        </w:rPr>
        <w:t xml:space="preserve"> that there are many data fields within the ICR that will also be reported to the EPA during the Greenhouse Gas Reporting Program (GHGRP). We agree that reporting the same information on the ICR and the GHGRP would </w:t>
      </w:r>
      <w:r w:rsidR="00EB5BBD" w:rsidRPr="7CFBF453">
        <w:rPr>
          <w:rFonts w:ascii="Times New Roman" w:eastAsia="Times New Roman" w:hAnsi="Times New Roman" w:cs="Times New Roman"/>
        </w:rPr>
        <w:t>be duplicative</w:t>
      </w:r>
      <w:r w:rsidRPr="7CFBF453">
        <w:rPr>
          <w:rFonts w:ascii="Times New Roman" w:eastAsia="Times New Roman" w:hAnsi="Times New Roman" w:cs="Times New Roman"/>
        </w:rPr>
        <w:t xml:space="preserve">. On Part 2 of the ICR, we ask for the company’s GHGRP ID number. </w:t>
      </w:r>
      <w:r w:rsidR="00B32319">
        <w:rPr>
          <w:rFonts w:ascii="Times New Roman" w:eastAsia="Times New Roman" w:hAnsi="Times New Roman" w:cs="Times New Roman"/>
        </w:rPr>
        <w:t xml:space="preserve">If this information is provided, the spreadsheet blacks out the cells containing information that is </w:t>
      </w:r>
      <w:r w:rsidR="002B2B2B">
        <w:rPr>
          <w:rFonts w:ascii="Times New Roman" w:eastAsia="Times New Roman" w:hAnsi="Times New Roman" w:cs="Times New Roman"/>
        </w:rPr>
        <w:t xml:space="preserve">identical to the data elements </w:t>
      </w:r>
      <w:r w:rsidR="00B32319">
        <w:rPr>
          <w:rFonts w:ascii="Times New Roman" w:eastAsia="Times New Roman" w:hAnsi="Times New Roman" w:cs="Times New Roman"/>
        </w:rPr>
        <w:t>already reported in the GHGRP</w:t>
      </w:r>
      <w:r w:rsidR="002B2B2B">
        <w:rPr>
          <w:rFonts w:ascii="Times New Roman" w:eastAsia="Times New Roman" w:hAnsi="Times New Roman" w:cs="Times New Roman"/>
        </w:rPr>
        <w:t>.</w:t>
      </w:r>
      <w:r w:rsidR="00B32319">
        <w:rPr>
          <w:rFonts w:ascii="Times New Roman" w:eastAsia="Times New Roman" w:hAnsi="Times New Roman" w:cs="Times New Roman"/>
        </w:rPr>
        <w:t xml:space="preserve"> </w:t>
      </w:r>
    </w:p>
    <w:p w14:paraId="43DB5007" w14:textId="0A757B8F" w:rsidR="005B3512" w:rsidRDefault="005B3512" w:rsidP="00DA73D7">
      <w:pPr>
        <w:spacing w:line="480" w:lineRule="auto"/>
        <w:rPr>
          <w:rFonts w:ascii="Times New Roman" w:hAnsi="Times New Roman" w:cs="Times New Roman"/>
        </w:rPr>
      </w:pPr>
      <w:r w:rsidRPr="7CFBF453">
        <w:rPr>
          <w:rFonts w:ascii="Times New Roman" w:eastAsia="Times New Roman" w:hAnsi="Times New Roman" w:cs="Times New Roman"/>
          <w:b/>
        </w:rPr>
        <w:t>Additional HAP Data</w:t>
      </w:r>
    </w:p>
    <w:p w14:paraId="2B8ED6F4" w14:textId="615F0830" w:rsidR="008F6EFA" w:rsidRPr="0073696D" w:rsidRDefault="00D2126F" w:rsidP="00286CBC">
      <w:pPr>
        <w:spacing w:line="480" w:lineRule="auto"/>
        <w:ind w:firstLine="720"/>
        <w:rPr>
          <w:rFonts w:ascii="Times New Roman" w:eastAsia="Times New Roman" w:hAnsi="Times New Roman" w:cs="Times New Roman"/>
        </w:rPr>
      </w:pPr>
      <w:r w:rsidRPr="00DA73D7">
        <w:rPr>
          <w:rFonts w:ascii="Times New Roman" w:eastAsia="Times New Roman" w:hAnsi="Times New Roman" w:cs="Times New Roman"/>
        </w:rPr>
        <w:t xml:space="preserve">Some </w:t>
      </w:r>
      <w:r w:rsidRPr="7CFBF453">
        <w:rPr>
          <w:rFonts w:ascii="Times New Roman" w:eastAsia="Times New Roman" w:hAnsi="Times New Roman" w:cs="Times New Roman"/>
        </w:rPr>
        <w:t>commenters mentioned that the focus of the ICR was skewed towards only collecting data on methane emissions</w:t>
      </w:r>
      <w:r w:rsidR="00A21287">
        <w:rPr>
          <w:rFonts w:ascii="Times New Roman" w:eastAsia="Times New Roman" w:hAnsi="Times New Roman" w:cs="Times New Roman"/>
        </w:rPr>
        <w:t>, and t</w:t>
      </w:r>
      <w:r w:rsidRPr="008F6D7F">
        <w:rPr>
          <w:rFonts w:ascii="Times New Roman" w:eastAsia="Times New Roman" w:hAnsi="Times New Roman" w:cs="Times New Roman"/>
        </w:rPr>
        <w:t xml:space="preserve">hese commenters </w:t>
      </w:r>
      <w:r w:rsidR="00A21287">
        <w:rPr>
          <w:rFonts w:ascii="Times New Roman" w:eastAsia="Times New Roman" w:hAnsi="Times New Roman" w:cs="Times New Roman"/>
        </w:rPr>
        <w:t>requested that</w:t>
      </w:r>
      <w:r w:rsidRPr="008F6D7F">
        <w:rPr>
          <w:rFonts w:ascii="Times New Roman" w:eastAsia="Times New Roman" w:hAnsi="Times New Roman" w:cs="Times New Roman"/>
        </w:rPr>
        <w:t xml:space="preserve"> more information </w:t>
      </w:r>
      <w:r w:rsidR="00A21287">
        <w:rPr>
          <w:rFonts w:ascii="Times New Roman" w:eastAsia="Times New Roman" w:hAnsi="Times New Roman" w:cs="Times New Roman"/>
        </w:rPr>
        <w:t xml:space="preserve">be collected </w:t>
      </w:r>
      <w:r w:rsidRPr="008F6D7F">
        <w:rPr>
          <w:rFonts w:ascii="Times New Roman" w:eastAsia="Times New Roman" w:hAnsi="Times New Roman" w:cs="Times New Roman"/>
        </w:rPr>
        <w:t xml:space="preserve">on </w:t>
      </w:r>
      <w:r w:rsidR="00A21287">
        <w:rPr>
          <w:rFonts w:ascii="Times New Roman" w:eastAsia="Times New Roman" w:hAnsi="Times New Roman" w:cs="Times New Roman"/>
        </w:rPr>
        <w:t>HAPs.</w:t>
      </w:r>
      <w:r w:rsidRPr="008F6D7F">
        <w:rPr>
          <w:rFonts w:ascii="Times New Roman" w:eastAsia="Times New Roman" w:hAnsi="Times New Roman" w:cs="Times New Roman"/>
        </w:rPr>
        <w:t xml:space="preserve">  </w:t>
      </w:r>
      <w:r w:rsidR="008F6D7F" w:rsidRPr="00DA73D7">
        <w:rPr>
          <w:rFonts w:ascii="Times New Roman" w:eastAsia="Times New Roman" w:hAnsi="Times New Roman" w:cs="Times New Roman"/>
        </w:rPr>
        <w:t xml:space="preserve">While we acknowledge that the primary goal of this ICR </w:t>
      </w:r>
      <w:r w:rsidR="00A21287" w:rsidRPr="00DA73D7">
        <w:rPr>
          <w:rFonts w:ascii="Times New Roman" w:eastAsia="Times New Roman" w:hAnsi="Times New Roman" w:cs="Times New Roman"/>
        </w:rPr>
        <w:t xml:space="preserve">is </w:t>
      </w:r>
      <w:r w:rsidR="008F6D7F" w:rsidRPr="00DA73D7">
        <w:rPr>
          <w:rFonts w:ascii="Times New Roman" w:eastAsia="Times New Roman" w:hAnsi="Times New Roman" w:cs="Times New Roman"/>
        </w:rPr>
        <w:t>to collect data on emissions</w:t>
      </w:r>
      <w:r w:rsidR="004006FB">
        <w:rPr>
          <w:rFonts w:ascii="Times New Roman" w:eastAsia="Times New Roman" w:hAnsi="Times New Roman" w:cs="Times New Roman"/>
        </w:rPr>
        <w:t xml:space="preserve"> of greenhouse gases</w:t>
      </w:r>
      <w:r w:rsidR="008F6D7F" w:rsidRPr="00DA73D7">
        <w:rPr>
          <w:rFonts w:ascii="Times New Roman" w:eastAsia="Times New Roman" w:hAnsi="Times New Roman" w:cs="Times New Roman"/>
        </w:rPr>
        <w:t>,</w:t>
      </w:r>
      <w:r w:rsidR="00286CBC">
        <w:rPr>
          <w:rFonts w:ascii="Times New Roman" w:eastAsia="Times New Roman" w:hAnsi="Times New Roman" w:cs="Times New Roman"/>
        </w:rPr>
        <w:t xml:space="preserve"> </w:t>
      </w:r>
      <w:r w:rsidR="00286CBC" w:rsidRPr="00286CBC">
        <w:rPr>
          <w:rFonts w:ascii="Times New Roman" w:hAnsi="Times New Roman" w:cs="Times New Roman"/>
        </w:rPr>
        <w:t>information</w:t>
      </w:r>
      <w:r w:rsidR="001653BA">
        <w:rPr>
          <w:rFonts w:ascii="Times New Roman" w:hAnsi="Times New Roman" w:cs="Times New Roman"/>
        </w:rPr>
        <w:t xml:space="preserve"> that EPA plans to collect</w:t>
      </w:r>
      <w:r w:rsidR="00286CBC" w:rsidRPr="00286CBC">
        <w:rPr>
          <w:rFonts w:ascii="Times New Roman" w:hAnsi="Times New Roman" w:cs="Times New Roman"/>
        </w:rPr>
        <w:t xml:space="preserve"> will also support the Agency’s ongoing efforts to evaluate hazardous air pollutants (HAP) emitted from the oil and gas industry. EPA is currently in the process of evaluating issues raised in several petitions seeking administrative reconsideration of the 2012 revisions to the National Emission Standard for Hazardous Air Pollutants (NESHAP), 40 CFR Part 63, Subparts HH and HHH. The ICR includes the collection of information that would be relevant to this effort.</w:t>
      </w:r>
    </w:p>
    <w:p w14:paraId="5B2CF6A1" w14:textId="69758735" w:rsidR="008F6EFA" w:rsidRPr="00176E08" w:rsidRDefault="008F6EFA" w:rsidP="0073696D">
      <w:pPr>
        <w:spacing w:line="480" w:lineRule="auto"/>
        <w:rPr>
          <w:rFonts w:ascii="Times New Roman" w:hAnsi="Times New Roman" w:cs="Times New Roman"/>
          <w:b/>
        </w:rPr>
      </w:pPr>
      <w:r w:rsidRPr="00176E08">
        <w:rPr>
          <w:rFonts w:ascii="Times New Roman" w:hAnsi="Times New Roman" w:cs="Times New Roman"/>
          <w:b/>
        </w:rPr>
        <w:t>Storage wells and Injection Wells</w:t>
      </w:r>
    </w:p>
    <w:p w14:paraId="2C1778D4" w14:textId="18F2D21F" w:rsidR="008F6EFA" w:rsidRPr="00D85752" w:rsidRDefault="008F6EFA" w:rsidP="00920BF4">
      <w:pPr>
        <w:spacing w:line="480" w:lineRule="auto"/>
        <w:ind w:firstLine="720"/>
        <w:rPr>
          <w:rFonts w:ascii="Times New Roman" w:hAnsi="Times New Roman" w:cs="Times New Roman"/>
        </w:rPr>
      </w:pPr>
      <w:r w:rsidRPr="00D85752">
        <w:rPr>
          <w:rFonts w:ascii="Times New Roman" w:hAnsi="Times New Roman" w:cs="Times New Roman"/>
        </w:rPr>
        <w:lastRenderedPageBreak/>
        <w:t xml:space="preserve">One commenter indicated that EPA only asked for information on gas wells, and therefore it was unclear on how operators of storage wells would report information. We agree with this commenter and have added a tab for storage and injection wells. We </w:t>
      </w:r>
      <w:r w:rsidR="00116FAD">
        <w:rPr>
          <w:rFonts w:ascii="Times New Roman" w:hAnsi="Times New Roman" w:cs="Times New Roman"/>
        </w:rPr>
        <w:t>also request information on</w:t>
      </w:r>
      <w:r w:rsidRPr="00D85752">
        <w:rPr>
          <w:rFonts w:ascii="Times New Roman" w:hAnsi="Times New Roman" w:cs="Times New Roman"/>
        </w:rPr>
        <w:t xml:space="preserve"> injection wells.</w:t>
      </w:r>
      <w:r w:rsidR="001D0F1A">
        <w:rPr>
          <w:rFonts w:ascii="Times New Roman" w:hAnsi="Times New Roman" w:cs="Times New Roman"/>
        </w:rPr>
        <w:t xml:space="preserve"> For storage wells, we included questions regarding the storage formation type, the total and working gas capacity, and the deliverability and injection capacity. For injection wells, we included questions regarding the type of injection well</w:t>
      </w:r>
      <w:r w:rsidR="0095033F">
        <w:rPr>
          <w:rFonts w:ascii="Times New Roman" w:hAnsi="Times New Roman" w:cs="Times New Roman"/>
        </w:rPr>
        <w:t>, the formation type and capacity, and the maximum injection rate.</w:t>
      </w:r>
      <w:r w:rsidR="001D0F1A">
        <w:rPr>
          <w:rFonts w:ascii="Times New Roman" w:hAnsi="Times New Roman" w:cs="Times New Roman"/>
        </w:rPr>
        <w:t xml:space="preserve"> </w:t>
      </w:r>
    </w:p>
    <w:p w14:paraId="21FA7809" w14:textId="1CFED659" w:rsidR="005B3512" w:rsidRPr="005B3512" w:rsidRDefault="0048046E" w:rsidP="00721CFB">
      <w:pPr>
        <w:spacing w:line="480" w:lineRule="auto"/>
        <w:rPr>
          <w:rFonts w:ascii="Times New Roman" w:hAnsi="Times New Roman" w:cs="Times New Roman"/>
          <w:b/>
        </w:rPr>
      </w:pPr>
      <w:r>
        <w:rPr>
          <w:rFonts w:ascii="Times New Roman" w:eastAsia="Times New Roman" w:hAnsi="Times New Roman" w:cs="Times New Roman"/>
          <w:b/>
        </w:rPr>
        <w:t xml:space="preserve">Well </w:t>
      </w:r>
      <w:r w:rsidR="005B3512" w:rsidRPr="7CFBF453">
        <w:rPr>
          <w:rFonts w:ascii="Times New Roman" w:eastAsia="Times New Roman" w:hAnsi="Times New Roman" w:cs="Times New Roman"/>
          <w:b/>
        </w:rPr>
        <w:t>Economics</w:t>
      </w:r>
    </w:p>
    <w:p w14:paraId="288A597E" w14:textId="42838E4B" w:rsidR="001B7CB6" w:rsidRPr="001D70D7" w:rsidRDefault="001B7CB6" w:rsidP="0048046E">
      <w:pPr>
        <w:spacing w:line="480" w:lineRule="auto"/>
        <w:ind w:firstLine="720"/>
        <w:rPr>
          <w:rFonts w:ascii="Times New Roman" w:eastAsia="Times New Roman" w:hAnsi="Times New Roman" w:cs="Times New Roman"/>
        </w:rPr>
      </w:pPr>
      <w:r w:rsidRPr="7CFBF453">
        <w:rPr>
          <w:rFonts w:ascii="Times New Roman" w:eastAsia="Times New Roman" w:hAnsi="Times New Roman" w:cs="Times New Roman"/>
        </w:rPr>
        <w:t xml:space="preserve">One commenter suggested that we ask for operational costs associated with marginal wells </w:t>
      </w:r>
      <w:r w:rsidR="00DD5AA7">
        <w:rPr>
          <w:rFonts w:ascii="Times New Roman" w:eastAsia="Times New Roman" w:hAnsi="Times New Roman" w:cs="Times New Roman"/>
        </w:rPr>
        <w:t xml:space="preserve">so that we can understand </w:t>
      </w:r>
      <w:r w:rsidRPr="7CFBF453">
        <w:rPr>
          <w:rFonts w:ascii="Times New Roman" w:eastAsia="Times New Roman" w:hAnsi="Times New Roman" w:cs="Times New Roman"/>
        </w:rPr>
        <w:t>the</w:t>
      </w:r>
      <w:r w:rsidR="00DD5AA7">
        <w:rPr>
          <w:rFonts w:ascii="Times New Roman" w:eastAsia="Times New Roman" w:hAnsi="Times New Roman" w:cs="Times New Roman"/>
        </w:rPr>
        <w:t xml:space="preserve"> impact of potential control requirements</w:t>
      </w:r>
      <w:r w:rsidRPr="7CFBF453">
        <w:rPr>
          <w:rFonts w:ascii="Times New Roman" w:eastAsia="Times New Roman" w:hAnsi="Times New Roman" w:cs="Times New Roman"/>
        </w:rPr>
        <w:t xml:space="preserve">. </w:t>
      </w:r>
      <w:r w:rsidR="00C11520">
        <w:rPr>
          <w:rFonts w:ascii="Times New Roman" w:eastAsia="Times New Roman" w:hAnsi="Times New Roman" w:cs="Times New Roman"/>
        </w:rPr>
        <w:t xml:space="preserve">In response, </w:t>
      </w:r>
      <w:r w:rsidR="00C11520" w:rsidRPr="001D70D7">
        <w:rPr>
          <w:rFonts w:ascii="Times New Roman" w:eastAsia="Times New Roman" w:hAnsi="Times New Roman" w:cs="Times New Roman"/>
        </w:rPr>
        <w:t>w</w:t>
      </w:r>
      <w:r w:rsidRPr="001D70D7">
        <w:rPr>
          <w:rFonts w:ascii="Times New Roman" w:eastAsia="Times New Roman" w:hAnsi="Times New Roman" w:cs="Times New Roman"/>
        </w:rPr>
        <w:t xml:space="preserve">e </w:t>
      </w:r>
      <w:r w:rsidR="00746869">
        <w:rPr>
          <w:rFonts w:ascii="Times New Roman" w:eastAsia="Times New Roman" w:hAnsi="Times New Roman" w:cs="Times New Roman"/>
        </w:rPr>
        <w:t xml:space="preserve">have </w:t>
      </w:r>
      <w:r w:rsidRPr="001D70D7">
        <w:rPr>
          <w:rFonts w:ascii="Times New Roman" w:eastAsia="Times New Roman" w:hAnsi="Times New Roman" w:cs="Times New Roman"/>
        </w:rPr>
        <w:t>add</w:t>
      </w:r>
      <w:r w:rsidR="0048046E" w:rsidRPr="001D70D7">
        <w:rPr>
          <w:rFonts w:ascii="Times New Roman" w:eastAsia="Times New Roman" w:hAnsi="Times New Roman" w:cs="Times New Roman"/>
        </w:rPr>
        <w:t>ed</w:t>
      </w:r>
      <w:r w:rsidRPr="001D70D7" w:rsidDel="0048046E">
        <w:rPr>
          <w:rFonts w:ascii="Times New Roman" w:eastAsia="Times New Roman" w:hAnsi="Times New Roman" w:cs="Times New Roman"/>
        </w:rPr>
        <w:t xml:space="preserve"> </w:t>
      </w:r>
      <w:r w:rsidRPr="001D70D7">
        <w:rPr>
          <w:rFonts w:ascii="Times New Roman" w:eastAsia="Times New Roman" w:hAnsi="Times New Roman" w:cs="Times New Roman"/>
        </w:rPr>
        <w:t>questions to the ICR</w:t>
      </w:r>
      <w:r w:rsidR="0048046E" w:rsidRPr="001D70D7">
        <w:rPr>
          <w:rFonts w:ascii="Times New Roman" w:eastAsia="Times New Roman" w:hAnsi="Times New Roman" w:cs="Times New Roman"/>
        </w:rPr>
        <w:t xml:space="preserve"> that will help us </w:t>
      </w:r>
      <w:r w:rsidR="00FE6E2B" w:rsidRPr="001D70D7">
        <w:rPr>
          <w:rFonts w:ascii="Times New Roman" w:eastAsia="Times New Roman" w:hAnsi="Times New Roman" w:cs="Times New Roman"/>
        </w:rPr>
        <w:t xml:space="preserve">better understand </w:t>
      </w:r>
      <w:r w:rsidR="00746869">
        <w:rPr>
          <w:rFonts w:ascii="Times New Roman" w:eastAsia="Times New Roman" w:hAnsi="Times New Roman" w:cs="Times New Roman"/>
        </w:rPr>
        <w:t>the</w:t>
      </w:r>
      <w:r w:rsidR="00FE6E2B" w:rsidRPr="001D70D7">
        <w:rPr>
          <w:rFonts w:ascii="Times New Roman" w:eastAsia="Times New Roman" w:hAnsi="Times New Roman" w:cs="Times New Roman"/>
        </w:rPr>
        <w:t xml:space="preserve"> </w:t>
      </w:r>
      <w:r w:rsidR="0048046E" w:rsidRPr="001D70D7">
        <w:rPr>
          <w:rFonts w:ascii="Times New Roman" w:eastAsia="Times New Roman" w:hAnsi="Times New Roman" w:cs="Times New Roman"/>
        </w:rPr>
        <w:t>economic</w:t>
      </w:r>
      <w:r w:rsidR="00FE6E2B" w:rsidRPr="001D70D7">
        <w:rPr>
          <w:rFonts w:ascii="Times New Roman" w:eastAsia="Times New Roman" w:hAnsi="Times New Roman" w:cs="Times New Roman"/>
        </w:rPr>
        <w:t>s</w:t>
      </w:r>
      <w:r w:rsidR="0048046E" w:rsidRPr="001D70D7">
        <w:rPr>
          <w:rFonts w:ascii="Times New Roman" w:eastAsia="Times New Roman" w:hAnsi="Times New Roman" w:cs="Times New Roman"/>
        </w:rPr>
        <w:t xml:space="preserve"> </w:t>
      </w:r>
      <w:r w:rsidR="00DD5AA7" w:rsidRPr="001D70D7">
        <w:rPr>
          <w:rFonts w:ascii="Times New Roman" w:eastAsia="Times New Roman" w:hAnsi="Times New Roman" w:cs="Times New Roman"/>
        </w:rPr>
        <w:t>of</w:t>
      </w:r>
      <w:r w:rsidR="0048046E" w:rsidRPr="001D70D7">
        <w:rPr>
          <w:rFonts w:ascii="Times New Roman" w:eastAsia="Times New Roman" w:hAnsi="Times New Roman" w:cs="Times New Roman"/>
        </w:rPr>
        <w:t xml:space="preserve"> oil and </w:t>
      </w:r>
      <w:r w:rsidR="00C11520" w:rsidRPr="001D70D7">
        <w:rPr>
          <w:rFonts w:ascii="Times New Roman" w:eastAsia="Times New Roman" w:hAnsi="Times New Roman" w:cs="Times New Roman"/>
        </w:rPr>
        <w:t xml:space="preserve">natural </w:t>
      </w:r>
      <w:r w:rsidR="0048046E" w:rsidRPr="001D70D7">
        <w:rPr>
          <w:rFonts w:ascii="Times New Roman" w:eastAsia="Times New Roman" w:hAnsi="Times New Roman" w:cs="Times New Roman"/>
        </w:rPr>
        <w:t xml:space="preserve">gas wells. </w:t>
      </w:r>
    </w:p>
    <w:p w14:paraId="3A7AFC10" w14:textId="3C547515" w:rsidR="006A4330" w:rsidRDefault="006A4330" w:rsidP="00721CFB">
      <w:pPr>
        <w:spacing w:line="480" w:lineRule="auto"/>
        <w:rPr>
          <w:rFonts w:ascii="Times New Roman" w:eastAsia="Times New Roman" w:hAnsi="Times New Roman" w:cs="Times New Roman"/>
          <w:b/>
        </w:rPr>
      </w:pPr>
      <w:r>
        <w:rPr>
          <w:rFonts w:ascii="Times New Roman" w:eastAsia="Times New Roman" w:hAnsi="Times New Roman" w:cs="Times New Roman"/>
          <w:b/>
        </w:rPr>
        <w:t>Confidential Business Information</w:t>
      </w:r>
    </w:p>
    <w:p w14:paraId="59F93B15" w14:textId="77777777" w:rsidR="006A4330" w:rsidRPr="00D85752" w:rsidRDefault="006A4330" w:rsidP="00D85752">
      <w:pPr>
        <w:spacing w:line="480" w:lineRule="auto"/>
        <w:ind w:firstLine="720"/>
        <w:rPr>
          <w:rFonts w:ascii="Times New Roman" w:eastAsia="Times New Roman" w:hAnsi="Times New Roman" w:cs="Times New Roman"/>
        </w:rPr>
      </w:pPr>
      <w:r w:rsidRPr="00D85752">
        <w:rPr>
          <w:rFonts w:ascii="Times New Roman" w:eastAsia="Times New Roman" w:hAnsi="Times New Roman" w:cs="Times New Roman"/>
        </w:rPr>
        <w:t>Several commenters asserted that the information sought by the surveys that accompanied the first draft of the ICR could potentially be confidential business information (CBI), and that CBI ought to be protected from public disclosure by EPA. To support the position that some of the data elements in the surveys should be withheld from public disclosure, comments alleged that making these data elements available to the public could have an unfair impact on competition, compromise trade secrets, breach contracts, implicate national security, and/or violate the law (such as CIPSEA). Some commenters asserted that certain data elements in the surveys were not “emissions data” and thus cannot be excluded from confidentiality protection under section 114(c) of the Clean Air Act.  These comments were submitted in response to the discussions related to the treatment of confidential information in the Federal Register Notice (81 FR 35763), the Support Statement for Public Comment, and a memo included in the docket titled “Data Category Assignments and Draft Confidentiality Determinations for Data Elements in the Draft Information Collection Effort for Oil and Gas Facilities” (CBI Memo).</w:t>
      </w:r>
    </w:p>
    <w:p w14:paraId="752234E7" w14:textId="6E2AC9A1" w:rsidR="006A4330" w:rsidRPr="00D85752" w:rsidRDefault="006A4330" w:rsidP="00D85752">
      <w:pPr>
        <w:spacing w:line="480" w:lineRule="auto"/>
        <w:ind w:firstLine="720"/>
        <w:rPr>
          <w:rFonts w:ascii="Times New Roman" w:eastAsia="Times New Roman" w:hAnsi="Times New Roman" w:cs="Times New Roman"/>
        </w:rPr>
      </w:pPr>
      <w:r w:rsidRPr="00D85752">
        <w:rPr>
          <w:rFonts w:ascii="Times New Roman" w:eastAsia="Times New Roman" w:hAnsi="Times New Roman" w:cs="Times New Roman"/>
        </w:rPr>
        <w:lastRenderedPageBreak/>
        <w:t>EPA is taking this opportunity to clarify that no confidentiality determination is being made via the ICR process. The charts that were included in the CBI Memo were intended for informative purposes only and were meant to assist with the solicitation of comments from possible industry respondents. EPA appreciates the comments and emp</w:t>
      </w:r>
      <w:r w:rsidR="004D6A52">
        <w:rPr>
          <w:rFonts w:ascii="Times New Roman" w:eastAsia="Times New Roman" w:hAnsi="Times New Roman" w:cs="Times New Roman"/>
        </w:rPr>
        <w:t>has</w:t>
      </w:r>
      <w:r w:rsidRPr="00D85752">
        <w:rPr>
          <w:rFonts w:ascii="Times New Roman" w:eastAsia="Times New Roman" w:hAnsi="Times New Roman" w:cs="Times New Roman"/>
        </w:rPr>
        <w:t>izes that all information submitted to the Agency in response to the ICR surveys will be managed in accordance with applicable laws and EPA’s regulations governing treatment of confidential business information at 40 CFR Part 2, Subpart B. Any information determined to constitute a trade secret will be protected under 18 U.S.C. § 1905.</w:t>
      </w:r>
    </w:p>
    <w:p w14:paraId="4BC98FE8" w14:textId="77777777" w:rsidR="004A7296" w:rsidRDefault="004A7296" w:rsidP="004A7296">
      <w:pPr>
        <w:rPr>
          <w:rFonts w:ascii="Times New Roman" w:hAnsi="Times New Roman"/>
          <w:b/>
          <w:bCs/>
        </w:rPr>
      </w:pPr>
      <w:r>
        <w:rPr>
          <w:rFonts w:ascii="Times New Roman" w:hAnsi="Times New Roman"/>
          <w:b/>
          <w:bCs/>
        </w:rPr>
        <w:t>Legal Authority</w:t>
      </w:r>
    </w:p>
    <w:p w14:paraId="62981212" w14:textId="5D73D6F6" w:rsidR="004A7296" w:rsidRPr="004A7296" w:rsidRDefault="004A7296" w:rsidP="001D70D7">
      <w:pPr>
        <w:spacing w:line="480" w:lineRule="auto"/>
        <w:ind w:firstLine="720"/>
        <w:rPr>
          <w:rFonts w:ascii="Times New Roman" w:eastAsia="Times New Roman" w:hAnsi="Times New Roman" w:cs="Times New Roman"/>
        </w:rPr>
      </w:pPr>
      <w:r w:rsidRPr="004A7296">
        <w:rPr>
          <w:rFonts w:ascii="Times New Roman" w:eastAsia="Times New Roman" w:hAnsi="Times New Roman" w:cs="Times New Roman"/>
        </w:rPr>
        <w:t>Several commenters proclaim that the stated purpose of the ICR, to gather information to support future regulatory actions, does not comport with the Clean Air Act (CAA) and therefore cannot justify the ICR under the Paperwork Reduction Act. Put another way, commenters allege that EPA does not have the legal authority to utilize the information that the Agency plans to collect via the ICR to regulate the oil and gas industry. To support this argument, commenters state that EPA cannot promulgate regulations in accordance with CAA § 111(d) for the oil and gas industry because this industry is already regulated by various entities, including by states and the EPA, under different statutory authorities, including CAA § 112. Moreover, some commenters argue that EPA must make an additional endangerment finding, must promulgate additional CAA § 111(b) standards, and/or revise the source category listing before promulgating a 111(d) standard.</w:t>
      </w:r>
    </w:p>
    <w:p w14:paraId="5F5E0930" w14:textId="6CA99F23" w:rsidR="004A7296" w:rsidRPr="004A7296" w:rsidRDefault="004A7296" w:rsidP="001D70D7">
      <w:pPr>
        <w:spacing w:line="480" w:lineRule="auto"/>
        <w:ind w:firstLine="720"/>
        <w:rPr>
          <w:rFonts w:ascii="Times New Roman" w:eastAsia="Times New Roman" w:hAnsi="Times New Roman" w:cs="Times New Roman"/>
        </w:rPr>
      </w:pPr>
      <w:r w:rsidRPr="004A7296">
        <w:rPr>
          <w:rFonts w:ascii="Times New Roman" w:eastAsia="Times New Roman" w:hAnsi="Times New Roman" w:cs="Times New Roman"/>
        </w:rPr>
        <w:t>EPA disagrees with these comments. The Agency does have the authority to utilize the data that it plans to collect via the ICR for numerous purposes, including, but not necessarily limited to, exercising EPA’s authority under CAA § 111(d). EPA does not agree that it lacks the legal authority to regulate the oil and gas industry for greenhouse gases pursuant to 111(d) due to the fact that that same industry is subject to regulations for hazardous air pollutants under CAA § 112. Commenters have not cited any compelling authority to substantiate their claims that EPA lacks the legal authority to eff</w:t>
      </w:r>
      <w:r>
        <w:rPr>
          <w:rFonts w:ascii="Times New Roman" w:eastAsia="Times New Roman" w:hAnsi="Times New Roman" w:cs="Times New Roman"/>
        </w:rPr>
        <w:t>ectuate the purpose of the ICR.</w:t>
      </w:r>
    </w:p>
    <w:p w14:paraId="7180EE2F" w14:textId="424B0271" w:rsidR="004A7296" w:rsidRPr="004A7296" w:rsidRDefault="004A7296" w:rsidP="001D70D7">
      <w:pPr>
        <w:spacing w:line="480" w:lineRule="auto"/>
        <w:ind w:firstLine="720"/>
        <w:rPr>
          <w:rFonts w:ascii="Times New Roman" w:eastAsia="Times New Roman" w:hAnsi="Times New Roman" w:cs="Times New Roman"/>
        </w:rPr>
      </w:pPr>
      <w:r w:rsidRPr="004A7296">
        <w:rPr>
          <w:rFonts w:ascii="Times New Roman" w:eastAsia="Times New Roman" w:hAnsi="Times New Roman" w:cs="Times New Roman"/>
        </w:rPr>
        <w:lastRenderedPageBreak/>
        <w:t>CAA § 114 grants the EPA authority to collect the information sought via the ICR. Per the CAA, the Agency has legal authority to collect this information from the oil and gas industry. Moreover, the purpose of the ICR serves a goal that is within the bounds of the Clean Air Act. EPA acknowledges that some issues raised by commenters, including the interaction of CAA sections 112 and 111(d), are contemplated in active litigation. EPA has stated its view on these issues in its filings in West Virginia v. EPA, No. 15-1363 (and consolidated cases) (D.C. Cir.) and in the Clean Power Plan final rule (at 80 FR 64662, 64710-64715 (Oct. 23, 2015)). As such, EPA does not find it necessary to restate the Agency’s arguments here.</w:t>
      </w:r>
    </w:p>
    <w:p w14:paraId="6DE9032C" w14:textId="3D58D289" w:rsidR="002E2E88" w:rsidRPr="002E2E88" w:rsidRDefault="004A7296" w:rsidP="001D70D7">
      <w:pPr>
        <w:spacing w:line="480" w:lineRule="auto"/>
        <w:ind w:firstLine="720"/>
        <w:rPr>
          <w:rFonts w:ascii="Times New Roman" w:hAnsi="Times New Roman" w:cs="Times New Roman"/>
        </w:rPr>
      </w:pPr>
      <w:r w:rsidRPr="004A7296">
        <w:rPr>
          <w:rFonts w:ascii="Times New Roman" w:eastAsia="Times New Roman" w:hAnsi="Times New Roman" w:cs="Times New Roman"/>
        </w:rPr>
        <w:t>To be clear, the data collected via the ICR will only be utilized in accordance with applicable laws, regulations, and agency guidance. This data has utility, is not duplicative with currently available information, and has value that outweighs the ICR’s burden. The analysis required by the Paperwork Reduction Act is included in the docket for the second draft of the ICR, as it was for the first draft. Please see the Support Statement and other docket materials for further discussion on this matter.</w:t>
      </w:r>
    </w:p>
    <w:sectPr w:rsidR="002E2E88" w:rsidRPr="002E2E8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9EF1D" w14:textId="77777777" w:rsidR="007A39D7" w:rsidRDefault="007A39D7" w:rsidP="0043494B">
      <w:pPr>
        <w:spacing w:after="0" w:line="240" w:lineRule="auto"/>
      </w:pPr>
      <w:r>
        <w:separator/>
      </w:r>
    </w:p>
  </w:endnote>
  <w:endnote w:type="continuationSeparator" w:id="0">
    <w:p w14:paraId="0C85FF66" w14:textId="77777777" w:rsidR="007A39D7" w:rsidRDefault="007A39D7" w:rsidP="00434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934001"/>
      <w:docPartObj>
        <w:docPartGallery w:val="Page Numbers (Bottom of Page)"/>
        <w:docPartUnique/>
      </w:docPartObj>
    </w:sdtPr>
    <w:sdtEndPr>
      <w:rPr>
        <w:noProof/>
      </w:rPr>
    </w:sdtEndPr>
    <w:sdtContent>
      <w:p w14:paraId="268A3432" w14:textId="09E40C85" w:rsidR="0043494B" w:rsidRDefault="0043494B">
        <w:pPr>
          <w:pStyle w:val="Footer"/>
          <w:jc w:val="center"/>
        </w:pPr>
        <w:r>
          <w:fldChar w:fldCharType="begin"/>
        </w:r>
        <w:r>
          <w:instrText xml:space="preserve"> PAGE   \* MERGEFORMAT </w:instrText>
        </w:r>
        <w:r>
          <w:fldChar w:fldCharType="separate"/>
        </w:r>
        <w:r w:rsidR="00F83853">
          <w:rPr>
            <w:noProof/>
          </w:rPr>
          <w:t>10</w:t>
        </w:r>
        <w:r>
          <w:rPr>
            <w:noProof/>
          </w:rPr>
          <w:fldChar w:fldCharType="end"/>
        </w:r>
      </w:p>
    </w:sdtContent>
  </w:sdt>
  <w:p w14:paraId="5A5A1449" w14:textId="77777777" w:rsidR="0043494B" w:rsidRDefault="004349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65A68" w14:textId="77777777" w:rsidR="007A39D7" w:rsidRDefault="007A39D7" w:rsidP="0043494B">
      <w:pPr>
        <w:spacing w:after="0" w:line="240" w:lineRule="auto"/>
      </w:pPr>
      <w:r>
        <w:separator/>
      </w:r>
    </w:p>
  </w:footnote>
  <w:footnote w:type="continuationSeparator" w:id="0">
    <w:p w14:paraId="742C54AA" w14:textId="77777777" w:rsidR="007A39D7" w:rsidRDefault="007A39D7" w:rsidP="004349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D6A52"/>
    <w:multiLevelType w:val="hybridMultilevel"/>
    <w:tmpl w:val="2F228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hideSpellingErrors/>
  <w:hideGrammaticalErrors/>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685"/>
    <w:rsid w:val="00000F3F"/>
    <w:rsid w:val="000065B1"/>
    <w:rsid w:val="00007C3F"/>
    <w:rsid w:val="00020C08"/>
    <w:rsid w:val="000525E7"/>
    <w:rsid w:val="000940F2"/>
    <w:rsid w:val="000B4685"/>
    <w:rsid w:val="000D77C9"/>
    <w:rsid w:val="000E4783"/>
    <w:rsid w:val="000F3791"/>
    <w:rsid w:val="00103042"/>
    <w:rsid w:val="00116FAD"/>
    <w:rsid w:val="00150F3A"/>
    <w:rsid w:val="0015478E"/>
    <w:rsid w:val="00164FAA"/>
    <w:rsid w:val="001653BA"/>
    <w:rsid w:val="00176E08"/>
    <w:rsid w:val="00191F3A"/>
    <w:rsid w:val="001940B1"/>
    <w:rsid w:val="001B4698"/>
    <w:rsid w:val="001B61DA"/>
    <w:rsid w:val="001B7CB6"/>
    <w:rsid w:val="001C75AA"/>
    <w:rsid w:val="001D0F1A"/>
    <w:rsid w:val="001D1805"/>
    <w:rsid w:val="001D70D7"/>
    <w:rsid w:val="001E5407"/>
    <w:rsid w:val="00201E39"/>
    <w:rsid w:val="002056DF"/>
    <w:rsid w:val="00232B73"/>
    <w:rsid w:val="00235468"/>
    <w:rsid w:val="002418A9"/>
    <w:rsid w:val="00262842"/>
    <w:rsid w:val="00266566"/>
    <w:rsid w:val="00286CBC"/>
    <w:rsid w:val="002A3CBF"/>
    <w:rsid w:val="002B2B2B"/>
    <w:rsid w:val="002B77A7"/>
    <w:rsid w:val="002D047F"/>
    <w:rsid w:val="002E2E88"/>
    <w:rsid w:val="002F0302"/>
    <w:rsid w:val="002F2EFE"/>
    <w:rsid w:val="003204F4"/>
    <w:rsid w:val="00323171"/>
    <w:rsid w:val="003262E9"/>
    <w:rsid w:val="0032792F"/>
    <w:rsid w:val="00335791"/>
    <w:rsid w:val="0036087C"/>
    <w:rsid w:val="00364DB1"/>
    <w:rsid w:val="00375158"/>
    <w:rsid w:val="00375CCA"/>
    <w:rsid w:val="00377793"/>
    <w:rsid w:val="00382371"/>
    <w:rsid w:val="00396344"/>
    <w:rsid w:val="003B082F"/>
    <w:rsid w:val="003B6DDC"/>
    <w:rsid w:val="003C4E83"/>
    <w:rsid w:val="003C691D"/>
    <w:rsid w:val="003D2570"/>
    <w:rsid w:val="003E1FD5"/>
    <w:rsid w:val="003E49F3"/>
    <w:rsid w:val="003F644C"/>
    <w:rsid w:val="004006FB"/>
    <w:rsid w:val="0040370A"/>
    <w:rsid w:val="004040B7"/>
    <w:rsid w:val="00407DC0"/>
    <w:rsid w:val="00413967"/>
    <w:rsid w:val="0043494B"/>
    <w:rsid w:val="0043655E"/>
    <w:rsid w:val="0044799C"/>
    <w:rsid w:val="00456518"/>
    <w:rsid w:val="00456D37"/>
    <w:rsid w:val="00462DB6"/>
    <w:rsid w:val="0047466B"/>
    <w:rsid w:val="004767BA"/>
    <w:rsid w:val="0048046E"/>
    <w:rsid w:val="00481918"/>
    <w:rsid w:val="0048440B"/>
    <w:rsid w:val="004A7296"/>
    <w:rsid w:val="004B1B24"/>
    <w:rsid w:val="004D6803"/>
    <w:rsid w:val="004D6890"/>
    <w:rsid w:val="004D6A52"/>
    <w:rsid w:val="004E785C"/>
    <w:rsid w:val="00525319"/>
    <w:rsid w:val="0055063B"/>
    <w:rsid w:val="0055341A"/>
    <w:rsid w:val="005B1A4E"/>
    <w:rsid w:val="005B3512"/>
    <w:rsid w:val="005B50EF"/>
    <w:rsid w:val="006027C1"/>
    <w:rsid w:val="0062585F"/>
    <w:rsid w:val="00687B1A"/>
    <w:rsid w:val="006A4330"/>
    <w:rsid w:val="006B2E31"/>
    <w:rsid w:val="006F045A"/>
    <w:rsid w:val="006F6102"/>
    <w:rsid w:val="006F6D15"/>
    <w:rsid w:val="00700655"/>
    <w:rsid w:val="00704029"/>
    <w:rsid w:val="0070701A"/>
    <w:rsid w:val="0071064B"/>
    <w:rsid w:val="00721CFB"/>
    <w:rsid w:val="0073696D"/>
    <w:rsid w:val="00746869"/>
    <w:rsid w:val="00757FD7"/>
    <w:rsid w:val="00764BDA"/>
    <w:rsid w:val="007661CD"/>
    <w:rsid w:val="00782C28"/>
    <w:rsid w:val="00795F93"/>
    <w:rsid w:val="007A0271"/>
    <w:rsid w:val="007A39D7"/>
    <w:rsid w:val="007B09C3"/>
    <w:rsid w:val="007C505B"/>
    <w:rsid w:val="007D3B0D"/>
    <w:rsid w:val="007E3B05"/>
    <w:rsid w:val="008328BA"/>
    <w:rsid w:val="00832900"/>
    <w:rsid w:val="008524C8"/>
    <w:rsid w:val="00864617"/>
    <w:rsid w:val="00885111"/>
    <w:rsid w:val="008A6178"/>
    <w:rsid w:val="008A7D58"/>
    <w:rsid w:val="008B20DC"/>
    <w:rsid w:val="008B72E5"/>
    <w:rsid w:val="008E69A1"/>
    <w:rsid w:val="008E6A74"/>
    <w:rsid w:val="008F0860"/>
    <w:rsid w:val="008F6D7F"/>
    <w:rsid w:val="008F6EFA"/>
    <w:rsid w:val="00900259"/>
    <w:rsid w:val="009022CB"/>
    <w:rsid w:val="0090737B"/>
    <w:rsid w:val="00913E98"/>
    <w:rsid w:val="00915468"/>
    <w:rsid w:val="00920BF4"/>
    <w:rsid w:val="00933B38"/>
    <w:rsid w:val="00945AEA"/>
    <w:rsid w:val="00947EE9"/>
    <w:rsid w:val="0095033F"/>
    <w:rsid w:val="009659AD"/>
    <w:rsid w:val="00966135"/>
    <w:rsid w:val="009A5ABC"/>
    <w:rsid w:val="009D151D"/>
    <w:rsid w:val="00A040F2"/>
    <w:rsid w:val="00A04D39"/>
    <w:rsid w:val="00A15AAA"/>
    <w:rsid w:val="00A17923"/>
    <w:rsid w:val="00A21287"/>
    <w:rsid w:val="00A37DC2"/>
    <w:rsid w:val="00A449D8"/>
    <w:rsid w:val="00A53787"/>
    <w:rsid w:val="00A62C2B"/>
    <w:rsid w:val="00A63CA2"/>
    <w:rsid w:val="00A76E3D"/>
    <w:rsid w:val="00A94743"/>
    <w:rsid w:val="00A95B43"/>
    <w:rsid w:val="00AA1332"/>
    <w:rsid w:val="00AB5DE8"/>
    <w:rsid w:val="00AC2A65"/>
    <w:rsid w:val="00AE1132"/>
    <w:rsid w:val="00B051E9"/>
    <w:rsid w:val="00B24098"/>
    <w:rsid w:val="00B32319"/>
    <w:rsid w:val="00B50563"/>
    <w:rsid w:val="00B5389B"/>
    <w:rsid w:val="00B56F94"/>
    <w:rsid w:val="00B622B0"/>
    <w:rsid w:val="00B64E66"/>
    <w:rsid w:val="00B67AA6"/>
    <w:rsid w:val="00B94D95"/>
    <w:rsid w:val="00B95849"/>
    <w:rsid w:val="00BE2289"/>
    <w:rsid w:val="00BF0F32"/>
    <w:rsid w:val="00BF6EF6"/>
    <w:rsid w:val="00C02CE1"/>
    <w:rsid w:val="00C11520"/>
    <w:rsid w:val="00C173B4"/>
    <w:rsid w:val="00C22B1C"/>
    <w:rsid w:val="00C343E6"/>
    <w:rsid w:val="00C379D6"/>
    <w:rsid w:val="00C7156F"/>
    <w:rsid w:val="00C867B3"/>
    <w:rsid w:val="00C9368B"/>
    <w:rsid w:val="00CB0062"/>
    <w:rsid w:val="00CB56E0"/>
    <w:rsid w:val="00CC119D"/>
    <w:rsid w:val="00CC4CF4"/>
    <w:rsid w:val="00CE0764"/>
    <w:rsid w:val="00CE351F"/>
    <w:rsid w:val="00D131BD"/>
    <w:rsid w:val="00D13DF7"/>
    <w:rsid w:val="00D15CC4"/>
    <w:rsid w:val="00D171D1"/>
    <w:rsid w:val="00D2126F"/>
    <w:rsid w:val="00D2230C"/>
    <w:rsid w:val="00D23CA9"/>
    <w:rsid w:val="00D30618"/>
    <w:rsid w:val="00D3178C"/>
    <w:rsid w:val="00D37505"/>
    <w:rsid w:val="00D44C87"/>
    <w:rsid w:val="00D85752"/>
    <w:rsid w:val="00DA73D7"/>
    <w:rsid w:val="00DB0A47"/>
    <w:rsid w:val="00DB4B06"/>
    <w:rsid w:val="00DD5AA7"/>
    <w:rsid w:val="00DE2849"/>
    <w:rsid w:val="00DF4794"/>
    <w:rsid w:val="00DF5FFC"/>
    <w:rsid w:val="00E06C3B"/>
    <w:rsid w:val="00E07B17"/>
    <w:rsid w:val="00E20BDA"/>
    <w:rsid w:val="00E35AF6"/>
    <w:rsid w:val="00E4682F"/>
    <w:rsid w:val="00E73E80"/>
    <w:rsid w:val="00E77FBA"/>
    <w:rsid w:val="00E8461A"/>
    <w:rsid w:val="00E86B6E"/>
    <w:rsid w:val="00EA0753"/>
    <w:rsid w:val="00EA3FB1"/>
    <w:rsid w:val="00EB01C1"/>
    <w:rsid w:val="00EB5BBD"/>
    <w:rsid w:val="00F02F54"/>
    <w:rsid w:val="00F0324C"/>
    <w:rsid w:val="00F308A8"/>
    <w:rsid w:val="00F47278"/>
    <w:rsid w:val="00F63622"/>
    <w:rsid w:val="00F63642"/>
    <w:rsid w:val="00F67310"/>
    <w:rsid w:val="00F83853"/>
    <w:rsid w:val="00F84885"/>
    <w:rsid w:val="00F87E71"/>
    <w:rsid w:val="00F95E5D"/>
    <w:rsid w:val="00FC5FAE"/>
    <w:rsid w:val="00FD71ED"/>
    <w:rsid w:val="00FE6E2B"/>
    <w:rsid w:val="00FE6E67"/>
    <w:rsid w:val="7CFBF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5F5F1"/>
  <w15:chartTrackingRefBased/>
  <w15:docId w15:val="{CA3E0CF9-E9FC-4C75-8088-0B28D6A6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F3791"/>
    <w:pPr>
      <w:spacing w:after="0" w:line="240" w:lineRule="auto"/>
    </w:pPr>
  </w:style>
  <w:style w:type="character" w:styleId="CommentReference">
    <w:name w:val="annotation reference"/>
    <w:basedOn w:val="DefaultParagraphFont"/>
    <w:uiPriority w:val="99"/>
    <w:semiHidden/>
    <w:unhideWhenUsed/>
    <w:rsid w:val="00DB0A47"/>
    <w:rPr>
      <w:sz w:val="16"/>
      <w:szCs w:val="16"/>
    </w:rPr>
  </w:style>
  <w:style w:type="paragraph" w:styleId="CommentText">
    <w:name w:val="annotation text"/>
    <w:basedOn w:val="Normal"/>
    <w:link w:val="CommentTextChar"/>
    <w:uiPriority w:val="99"/>
    <w:semiHidden/>
    <w:unhideWhenUsed/>
    <w:rsid w:val="00DB0A47"/>
    <w:pPr>
      <w:spacing w:line="240" w:lineRule="auto"/>
    </w:pPr>
    <w:rPr>
      <w:sz w:val="20"/>
      <w:szCs w:val="20"/>
    </w:rPr>
  </w:style>
  <w:style w:type="character" w:customStyle="1" w:styleId="CommentTextChar">
    <w:name w:val="Comment Text Char"/>
    <w:basedOn w:val="DefaultParagraphFont"/>
    <w:link w:val="CommentText"/>
    <w:uiPriority w:val="99"/>
    <w:semiHidden/>
    <w:rsid w:val="00DB0A47"/>
    <w:rPr>
      <w:sz w:val="20"/>
      <w:szCs w:val="20"/>
    </w:rPr>
  </w:style>
  <w:style w:type="paragraph" w:styleId="CommentSubject">
    <w:name w:val="annotation subject"/>
    <w:basedOn w:val="CommentText"/>
    <w:next w:val="CommentText"/>
    <w:link w:val="CommentSubjectChar"/>
    <w:uiPriority w:val="99"/>
    <w:semiHidden/>
    <w:unhideWhenUsed/>
    <w:rsid w:val="00DB0A47"/>
    <w:rPr>
      <w:b/>
      <w:bCs/>
    </w:rPr>
  </w:style>
  <w:style w:type="character" w:customStyle="1" w:styleId="CommentSubjectChar">
    <w:name w:val="Comment Subject Char"/>
    <w:basedOn w:val="CommentTextChar"/>
    <w:link w:val="CommentSubject"/>
    <w:uiPriority w:val="99"/>
    <w:semiHidden/>
    <w:rsid w:val="00DB0A47"/>
    <w:rPr>
      <w:b/>
      <w:bCs/>
      <w:sz w:val="20"/>
      <w:szCs w:val="20"/>
    </w:rPr>
  </w:style>
  <w:style w:type="paragraph" w:styleId="BalloonText">
    <w:name w:val="Balloon Text"/>
    <w:basedOn w:val="Normal"/>
    <w:link w:val="BalloonTextChar"/>
    <w:uiPriority w:val="99"/>
    <w:semiHidden/>
    <w:unhideWhenUsed/>
    <w:rsid w:val="00DB0A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A47"/>
    <w:rPr>
      <w:rFonts w:ascii="Segoe UI" w:hAnsi="Segoe UI" w:cs="Segoe UI"/>
      <w:sz w:val="18"/>
      <w:szCs w:val="18"/>
    </w:rPr>
  </w:style>
  <w:style w:type="paragraph" w:styleId="ListParagraph">
    <w:name w:val="List Paragraph"/>
    <w:basedOn w:val="Normal"/>
    <w:uiPriority w:val="34"/>
    <w:qFormat/>
    <w:rsid w:val="00407DC0"/>
    <w:pPr>
      <w:ind w:left="720"/>
      <w:contextualSpacing/>
    </w:pPr>
  </w:style>
  <w:style w:type="paragraph" w:styleId="Header">
    <w:name w:val="header"/>
    <w:basedOn w:val="Normal"/>
    <w:link w:val="HeaderChar"/>
    <w:uiPriority w:val="99"/>
    <w:unhideWhenUsed/>
    <w:rsid w:val="00434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94B"/>
  </w:style>
  <w:style w:type="paragraph" w:styleId="Footer">
    <w:name w:val="footer"/>
    <w:basedOn w:val="Normal"/>
    <w:link w:val="FooterChar"/>
    <w:uiPriority w:val="99"/>
    <w:unhideWhenUsed/>
    <w:rsid w:val="00434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951300">
      <w:bodyDiv w:val="1"/>
      <w:marLeft w:val="0"/>
      <w:marRight w:val="0"/>
      <w:marTop w:val="0"/>
      <w:marBottom w:val="0"/>
      <w:divBdr>
        <w:top w:val="none" w:sz="0" w:space="0" w:color="auto"/>
        <w:left w:val="none" w:sz="0" w:space="0" w:color="auto"/>
        <w:bottom w:val="none" w:sz="0" w:space="0" w:color="auto"/>
        <w:right w:val="none" w:sz="0" w:space="0" w:color="auto"/>
      </w:divBdr>
    </w:div>
    <w:div w:id="1279023706">
      <w:bodyDiv w:val="1"/>
      <w:marLeft w:val="0"/>
      <w:marRight w:val="0"/>
      <w:marTop w:val="0"/>
      <w:marBottom w:val="0"/>
      <w:divBdr>
        <w:top w:val="none" w:sz="0" w:space="0" w:color="auto"/>
        <w:left w:val="none" w:sz="0" w:space="0" w:color="auto"/>
        <w:bottom w:val="none" w:sz="0" w:space="0" w:color="auto"/>
        <w:right w:val="none" w:sz="0" w:space="0" w:color="auto"/>
      </w:divBdr>
    </w:div>
    <w:div w:id="1875538672">
      <w:bodyDiv w:val="1"/>
      <w:marLeft w:val="0"/>
      <w:marRight w:val="0"/>
      <w:marTop w:val="0"/>
      <w:marBottom w:val="0"/>
      <w:divBdr>
        <w:top w:val="none" w:sz="0" w:space="0" w:color="auto"/>
        <w:left w:val="none" w:sz="0" w:space="0" w:color="auto"/>
        <w:bottom w:val="none" w:sz="0" w:space="0" w:color="auto"/>
        <w:right w:val="none" w:sz="0" w:space="0" w:color="auto"/>
      </w:divBdr>
    </w:div>
    <w:div w:id="212122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3FF6CD48380BC42995341910D16904E" ma:contentTypeVersion="22" ma:contentTypeDescription="Create a new document." ma:contentTypeScope="" ma:versionID="2f86fdfc18816ae5928105ba6c6478ea">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f0aaecb-2d7c-43f0-9f94-ea8013dc6a3e" targetNamespace="http://schemas.microsoft.com/office/2006/metadata/properties" ma:root="true" ma:fieldsID="1aa6f07849e1a9ea62e52d4d49f25b98" ns1:_="" ns2:_="" ns3:_="" ns4:_="" ns5:_="">
    <xsd:import namespace="http://schemas.microsoft.com/sharepoint/v3"/>
    <xsd:import namespace="4ffa91fb-a0ff-4ac5-b2db-65c790d184a4"/>
    <xsd:import namespace="http://schemas.microsoft.com/sharepoint.v3"/>
    <xsd:import namespace="http://schemas.microsoft.com/sharepoint/v3/fields"/>
    <xsd:import namespace="af0aaecb-2d7c-43f0-9f94-ea8013dc6a3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0aaecb-2d7c-43f0-9f94-ea8013dc6a3e"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2016-09-07T04:00:00+00:00</Document_x0020_Creation_x0020_Date>
    <EPA_x0020_Office xmlns="4ffa91fb-a0ff-4ac5-b2db-65c790d184a4">OAR-OAQPS-SPPD-NRG</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Carey, Angela</DisplayName>
        <AccountId>10684</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F4D29-359C-4516-8125-6EF2784AB73D}">
  <ds:schemaRefs>
    <ds:schemaRef ds:uri="Microsoft.SharePoint.Taxonomy.ContentTypeSync"/>
  </ds:schemaRefs>
</ds:datastoreItem>
</file>

<file path=customXml/itemProps2.xml><?xml version="1.0" encoding="utf-8"?>
<ds:datastoreItem xmlns:ds="http://schemas.openxmlformats.org/officeDocument/2006/customXml" ds:itemID="{587D6BD5-2039-45BA-A57B-14F80678D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0aaecb-2d7c-43f0-9f94-ea8013dc6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96FC3-D59F-44C9-B965-46812B7BC5BD}">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1B10A0B6-8B33-451E-A333-8C4761E63D68}">
  <ds:schemaRefs>
    <ds:schemaRef ds:uri="http://schemas.microsoft.com/sharepoint/v3/contenttype/forms"/>
  </ds:schemaRefs>
</ds:datastoreItem>
</file>

<file path=customXml/itemProps5.xml><?xml version="1.0" encoding="utf-8"?>
<ds:datastoreItem xmlns:ds="http://schemas.openxmlformats.org/officeDocument/2006/customXml" ds:itemID="{29243F91-1BAC-4EB2-A0F2-F6144EF6A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3115</Words>
  <Characters>17756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Summary of Comments and Responses Memo (New)</vt:lpstr>
    </vt:vector>
  </TitlesOfParts>
  <Company/>
  <LinksUpToDate>false</LinksUpToDate>
  <CharactersWithSpaces>20830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Comments and Responses Memo (New)</dc:title>
  <dc:subject/>
  <dc:creator>Carey, Angela</dc:creator>
  <cp:keywords/>
  <dc:description/>
  <cp:lastModifiedBy>Clark, Spencer</cp:lastModifiedBy>
  <cp:revision>2</cp:revision>
  <dcterms:created xsi:type="dcterms:W3CDTF">2016-09-23T16:59:00Z</dcterms:created>
  <dcterms:modified xsi:type="dcterms:W3CDTF">2016-09-23T16:59:00Z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0x01010063FF6CD48380BC42995341910D16904E</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