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4646" w:rsidRDefault="006A4646" w:rsidP="006A46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Pr>
          <w:rFonts w:ascii="Helvetica" w:hAnsi="Helvetica"/>
          <w:b/>
          <w:sz w:val="28"/>
        </w:rPr>
        <w:t>Supporting Statement for Paperwork Reduction Act Submissions</w:t>
      </w:r>
    </w:p>
    <w:p w:rsidR="006A4646" w:rsidRDefault="006A4646" w:rsidP="006A464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24"/>
        </w:rPr>
      </w:pPr>
    </w:p>
    <w:p w:rsidR="006A4646" w:rsidRDefault="006A4646" w:rsidP="006A4646">
      <w:pPr>
        <w:pStyle w:val="Heading1"/>
      </w:pPr>
      <w:r>
        <w:t>Request for Construction Change</w:t>
      </w:r>
    </w:p>
    <w:p w:rsidR="006A4646" w:rsidRDefault="006A4646" w:rsidP="006A464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4"/>
        </w:rPr>
      </w:pPr>
      <w:r>
        <w:rPr>
          <w:rFonts w:ascii="Helvetica" w:hAnsi="Helvetica"/>
          <w:b/>
          <w:sz w:val="24"/>
        </w:rPr>
        <w:t>OMB Control Number 2502-0011</w:t>
      </w:r>
    </w:p>
    <w:p w:rsidR="006A4646" w:rsidRDefault="006A4646" w:rsidP="006A464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4"/>
        </w:rPr>
      </w:pPr>
      <w:r>
        <w:rPr>
          <w:rFonts w:ascii="Helvetica" w:hAnsi="Helvetica"/>
          <w:b/>
          <w:sz w:val="24"/>
        </w:rPr>
        <w:t>(Forms HUD-92437, HUD-92441, HUD-92442, HUD-92442-A, HUD-92442-CA, HUD-92442-A-CA)</w:t>
      </w:r>
    </w:p>
    <w:p w:rsidR="006A4646" w:rsidRDefault="006A4646" w:rsidP="006A464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24"/>
        </w:rPr>
      </w:pPr>
    </w:p>
    <w:p w:rsidR="006A4646" w:rsidRDefault="006A4646" w:rsidP="006A464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24"/>
        </w:rPr>
      </w:pPr>
    </w:p>
    <w:p w:rsidR="006A4646" w:rsidRDefault="006A4646" w:rsidP="006A464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4"/>
        </w:rPr>
      </w:pPr>
      <w:r>
        <w:rPr>
          <w:b/>
          <w:sz w:val="24"/>
        </w:rPr>
        <w:t xml:space="preserve">A. </w:t>
      </w:r>
      <w:r>
        <w:rPr>
          <w:b/>
          <w:sz w:val="24"/>
        </w:rPr>
        <w:tab/>
        <w:t>Justi</w:t>
      </w:r>
      <w:r>
        <w:rPr>
          <w:b/>
          <w:color w:val="000000"/>
          <w:sz w:val="24"/>
        </w:rPr>
        <w:t>fication</w:t>
      </w:r>
    </w:p>
    <w:p w:rsidR="006A4646" w:rsidRDefault="006A4646" w:rsidP="006A46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4"/>
        </w:rPr>
      </w:pPr>
    </w:p>
    <w:p w:rsidR="006A4646" w:rsidRDefault="006A4646" w:rsidP="006A4646">
      <w:pPr>
        <w:pStyle w:val="BodyTextIndent"/>
        <w:numPr>
          <w:ilvl w:val="0"/>
          <w:numId w:val="1"/>
        </w:numPr>
      </w:pPr>
      <w:r>
        <w:t>Section 207(b) of the National Housing Act (Public Law 479, 48 Stat. 12 U.S.C. 1701, et. seq.), authorizes the Secretary of the Department of Housing and Urban Development to insure mortgages for construction of rental housing projects.  Regulations can be found at 24 CFR 200 Subpart A.  Regulations authorize the Secretary to conduct periodic inspections and observations of the construction site of a multifamily housing project for the purposes of protecting the Department interests.  Contractors, mortgagors, and mortgagees use the information to obtain approval of changes in contract drawings and specifications from the FHA Commissioner.  Changes to the scope or the design of a project occur for a variety of reasons.  Information from this collection is used by HUD to determine that the respondents are in compliance with Article 1.E of the construction contract, which states “Changes in Drawings and Specifications of any terms of the contract documents, or orders for extra work, or changes by altering or adding to the work, or which will change the design concept, may be effected only with the prior approval of the mortgagor and the FHA Commissioner under such conditions as either the mortgagor or the FHA Commissioner may establish.</w:t>
      </w:r>
    </w:p>
    <w:p w:rsidR="006A4646" w:rsidRDefault="006A4646" w:rsidP="006A4646">
      <w:pPr>
        <w:pStyle w:val="BodyTextIndent"/>
        <w:ind w:left="0" w:firstLine="0"/>
      </w:pPr>
    </w:p>
    <w:p w:rsidR="006A4646" w:rsidRDefault="006A4646" w:rsidP="006A4646">
      <w:pPr>
        <w:pStyle w:val="BodyText2"/>
        <w:numPr>
          <w:ilvl w:val="0"/>
          <w:numId w:val="1"/>
        </w:numPr>
      </w:pPr>
      <w:r>
        <w:t>Inspections are conducted to evaluate the contractor and architect’s performance, to obtain construction in accordance with contract documents, and to report on conformance with prevailing wage and other contract requirements.  HUD must review all requested changes that may affect the marketability, value, income, maintenance, or operating cost of the project.  The Department must also identify and explain any estimated increase or decrease in net project income.</w:t>
      </w:r>
    </w:p>
    <w:p w:rsidR="006A4646" w:rsidRDefault="006A4646" w:rsidP="006A4646">
      <w:pPr>
        <w:pStyle w:val="BodyText2"/>
        <w:ind w:left="360"/>
      </w:pPr>
    </w:p>
    <w:p w:rsidR="006A4646" w:rsidRDefault="006A4646" w:rsidP="006A4646">
      <w:pPr>
        <w:pStyle w:val="BodyText2"/>
        <w:ind w:left="360"/>
      </w:pPr>
      <w:r w:rsidRPr="001F78B2">
        <w:rPr>
          <w:b/>
          <w:bCs/>
          <w:u w:val="single"/>
        </w:rPr>
        <w:t>Form HUD-92437</w:t>
      </w:r>
      <w:r w:rsidRPr="001F78B2">
        <w:rPr>
          <w:u w:val="single"/>
        </w:rPr>
        <w:t xml:space="preserve">, </w:t>
      </w:r>
      <w:r w:rsidRPr="001F78B2">
        <w:rPr>
          <w:b/>
          <w:u w:val="single"/>
        </w:rPr>
        <w:t>Request for Construction Changes on Project Mortgages.</w:t>
      </w:r>
      <w:r>
        <w:t xml:space="preserve">  This form serves as the project’s change order involving changes to contract work, contract price, or contract time.  All on-site construction changes are submitted on this form.  The contractor, architect, mortgagor, and mortgagee must approve the proposed changes before the request is submitted to HUD for approval.  The form ensures that viable projects are developed.</w:t>
      </w:r>
    </w:p>
    <w:p w:rsidR="006A4646" w:rsidRDefault="006A4646" w:rsidP="006A4646">
      <w:pPr>
        <w:pStyle w:val="BodyText2"/>
        <w:ind w:left="360"/>
      </w:pPr>
    </w:p>
    <w:p w:rsidR="006A4646" w:rsidRDefault="006A4646" w:rsidP="006A4646">
      <w:pPr>
        <w:pStyle w:val="BodyTextIndent3"/>
      </w:pPr>
      <w:r w:rsidRPr="001F78B2">
        <w:rPr>
          <w:b/>
          <w:bCs/>
          <w:u w:val="single"/>
        </w:rPr>
        <w:t>Form HUD-92441, Building Loan Agreement</w:t>
      </w:r>
      <w:r w:rsidRPr="001F78B2">
        <w:rPr>
          <w:u w:val="single"/>
        </w:rPr>
        <w:t>.</w:t>
      </w:r>
      <w:r>
        <w:t xml:space="preserve">  This form is used to establish responsibilities, conditions, operations, and terms between the mortgagee and mortgagor, including the basis in which insured advances may be made during the construction period.    Paragraph 3 of form HUD-92441 reads as follows:</w:t>
      </w:r>
    </w:p>
    <w:p w:rsidR="006A4646" w:rsidRDefault="006A4646" w:rsidP="006A4646">
      <w:pPr>
        <w:pStyle w:val="BodyText"/>
        <w:ind w:left="360"/>
      </w:pPr>
    </w:p>
    <w:p w:rsidR="006A4646" w:rsidRDefault="006A4646" w:rsidP="006A4646">
      <w:pPr>
        <w:pStyle w:val="BodyText"/>
        <w:ind w:left="720"/>
      </w:pPr>
      <w:r>
        <w:t>Changes in Drawings and Specifications, or changes by altering or adding to the work contemplated, or orders for extra work, or which change the design concept, may be effected only with prior written approval of the Lender and the Commissioner and under such conditions as either the Lender or the Commissioner may establish.</w:t>
      </w:r>
    </w:p>
    <w:p w:rsidR="006A4646" w:rsidRDefault="006A4646" w:rsidP="006A4646">
      <w:pPr>
        <w:pStyle w:val="BodyText2"/>
        <w:ind w:left="360"/>
      </w:pPr>
    </w:p>
    <w:p w:rsidR="006A4646" w:rsidRDefault="006A4646" w:rsidP="006A4646">
      <w:pPr>
        <w:pStyle w:val="BodyText2"/>
        <w:ind w:left="360"/>
      </w:pPr>
      <w:r w:rsidRPr="001F78B2">
        <w:rPr>
          <w:b/>
          <w:u w:val="single"/>
        </w:rPr>
        <w:t>Form HUD-92442, Construction Contract Lump Sum.</w:t>
      </w:r>
      <w:r>
        <w:t xml:space="preserve"> This form is used to obtain approval from the FHA Commissioner for contractors and mortgagors to document the terms and conditions of any contract document, or order for extra work, or changes by altering or adding to the work, of which will change the design concept.  Form HUD-92442 may be used when there is no identity of interest between the mortgagor and the contractor.  </w:t>
      </w:r>
    </w:p>
    <w:p w:rsidR="006A4646" w:rsidRDefault="006A4646" w:rsidP="006A4646">
      <w:pPr>
        <w:pStyle w:val="BodyText2"/>
        <w:ind w:left="720"/>
      </w:pPr>
    </w:p>
    <w:p w:rsidR="006A4646" w:rsidRDefault="006A4646" w:rsidP="006A4646">
      <w:pPr>
        <w:pStyle w:val="BodyTextIndent"/>
        <w:ind w:firstLine="0"/>
      </w:pPr>
      <w:r>
        <w:rPr>
          <w:b/>
          <w:u w:val="single"/>
        </w:rPr>
        <w:br w:type="page"/>
      </w:r>
      <w:r w:rsidRPr="001F78B2">
        <w:rPr>
          <w:b/>
          <w:u w:val="single"/>
        </w:rPr>
        <w:lastRenderedPageBreak/>
        <w:t>Form HUD-92442-A, Construction Contract Cost Plus.</w:t>
      </w:r>
      <w:r w:rsidRPr="001F78B2">
        <w:rPr>
          <w:b/>
        </w:rPr>
        <w:t xml:space="preserve"> </w:t>
      </w:r>
      <w:r>
        <w:t xml:space="preserve"> This form is used by contractors and mortgagors to obtain approval from the FHA Commissioner to document the terms of any contract document, or order for extra work, or changes by altering or adding to the work, of which will change the design concept.  Form HUD-92442-A may be used in any case, and shall be used when there is an identity of interest between the mortgagor and contractor.  </w:t>
      </w:r>
    </w:p>
    <w:p w:rsidR="006A4646" w:rsidRDefault="006A4646" w:rsidP="006A4646">
      <w:pPr>
        <w:pStyle w:val="BodyTextIndent"/>
      </w:pPr>
    </w:p>
    <w:p w:rsidR="006A4646" w:rsidRDefault="006A4646" w:rsidP="006A4646">
      <w:pPr>
        <w:pStyle w:val="BodyTextIndent"/>
        <w:ind w:left="720" w:firstLine="360"/>
        <w:rPr>
          <w:i/>
          <w:iCs/>
        </w:rPr>
      </w:pPr>
      <w:r>
        <w:rPr>
          <w:i/>
          <w:iCs/>
        </w:rPr>
        <w:t>Article I.E. of forms HUD-92442 and HUD-92442A reads as follows:</w:t>
      </w:r>
    </w:p>
    <w:p w:rsidR="006A4646" w:rsidRDefault="006A4646" w:rsidP="006A4646">
      <w:pPr>
        <w:pStyle w:val="BodyText2"/>
        <w:ind w:left="1080"/>
        <w:rPr>
          <w:i/>
          <w:iCs/>
        </w:rPr>
      </w:pPr>
      <w:r>
        <w:rPr>
          <w:i/>
          <w:iCs/>
        </w:rPr>
        <w:t>Changes in the Drawings and Specifications, or changes by altering or adding to the work contemplated, or orders for extra work, or which change the design concept, may be effected only with prior written approval of the Lender and the Commissioner and under such conditions as either the Lender or the Commissioner may establish.</w:t>
      </w:r>
    </w:p>
    <w:p w:rsidR="006A4646" w:rsidRDefault="006A4646" w:rsidP="006A4646">
      <w:pPr>
        <w:pStyle w:val="BodyText2"/>
        <w:ind w:left="720"/>
      </w:pPr>
    </w:p>
    <w:p w:rsidR="006A4646" w:rsidRDefault="006A4646" w:rsidP="006A4646">
      <w:pPr>
        <w:pStyle w:val="BodyText2"/>
        <w:ind w:left="360"/>
      </w:pPr>
      <w:r w:rsidRPr="009219A3">
        <w:rPr>
          <w:b/>
          <w:u w:val="single"/>
        </w:rPr>
        <w:t>Form HUD-92442-CA, Construction Contract Lump Sum</w:t>
      </w:r>
      <w:r>
        <w:rPr>
          <w:b/>
          <w:u w:val="single"/>
        </w:rPr>
        <w:t>.</w:t>
      </w:r>
      <w:r>
        <w:t xml:space="preserve">  Contactors and mortgagors use this form to obtain approval from the FHA Commissioner for any changes in the terms of the contract documents, or order for extra work, or changes by altering or adding to the work, or which will change the design concept of the construction contract.  This form is used by projects insured under Section 202/811 Program only and where the bidding procedures are not being used.</w:t>
      </w:r>
    </w:p>
    <w:p w:rsidR="006A4646" w:rsidRDefault="006A4646" w:rsidP="006A4646">
      <w:pPr>
        <w:pStyle w:val="BodyText2"/>
        <w:ind w:left="720"/>
      </w:pPr>
    </w:p>
    <w:p w:rsidR="006A4646" w:rsidRDefault="006A4646" w:rsidP="006A4646">
      <w:pPr>
        <w:pStyle w:val="BodyText2"/>
        <w:ind w:left="360"/>
      </w:pPr>
      <w:r w:rsidRPr="009219A3">
        <w:rPr>
          <w:b/>
          <w:u w:val="single"/>
        </w:rPr>
        <w:t>Form HUD-92442-A-CA, Construction Contract Cost Plus.</w:t>
      </w:r>
      <w:r>
        <w:t xml:space="preserve">  HUD-92442-A-CA – Contractors and mortgagors use this form to document the terms and conditions of the construction contact, i.e. changes for extra work or changes by altering or adding to the work, of which will change the design concept of the construction document for approval of the FHA Commissioner.  This form is used by projects insured under Section 202/811 Program only and were competitive bidding is being used.</w:t>
      </w:r>
    </w:p>
    <w:p w:rsidR="009101B4" w:rsidRDefault="009101B4" w:rsidP="009101B4">
      <w:pPr>
        <w:pStyle w:val="BodyText2"/>
      </w:pPr>
      <w:r>
        <w:t xml:space="preserve"> </w:t>
      </w:r>
    </w:p>
    <w:p w:rsidR="009101B4" w:rsidRDefault="009101B4" w:rsidP="009101B4">
      <w:pPr>
        <w:pStyle w:val="ListParagraph"/>
        <w:numPr>
          <w:ilvl w:val="0"/>
          <w:numId w:val="1"/>
        </w:numPr>
        <w:rPr>
          <w:color w:val="000000" w:themeColor="text1"/>
          <w:sz w:val="24"/>
          <w:szCs w:val="24"/>
        </w:rPr>
      </w:pPr>
      <w:r w:rsidRPr="009101B4">
        <w:rPr>
          <w:color w:val="000000" w:themeColor="text1"/>
          <w:sz w:val="24"/>
          <w:szCs w:val="24"/>
        </w:rPr>
        <w:t xml:space="preserve">Reengineering efforts to replace the Development Application Processing (DAP) system with a modernized and simplified solution to improve the application review process are underway.  The initial prototype for handling the tracking pipeline data and reporting for Multifamily (MFH) and Healthcare (OHP) needs to be developed using the most feasible, flexible, and scalable technologies to build an interactive and intuitive online solution.  The new system, to be called Application Underwriting Support System (AUSS) will generate staff-generated review documents, pre-populated standardized documents and offers communication capability between HUD staff reviews and Lender coordination. It will also interface with the integrated Real Estate Management System (iREMS), a lender portal, and document management system for an enterprise solution that will streamline FHA’s business processes.  Strategic planning, technologies evaluation, risk assessment, and security consideration are agilely reviewed at each life cycle stage to ensure realignment opportunities captured and implemented in timely manner. </w:t>
      </w:r>
    </w:p>
    <w:p w:rsidR="006A4646" w:rsidRDefault="006A4646" w:rsidP="006A4646">
      <w:pPr>
        <w:pStyle w:val="ListParagraph"/>
        <w:ind w:left="360"/>
        <w:contextualSpacing/>
        <w:rPr>
          <w:sz w:val="24"/>
        </w:rPr>
      </w:pPr>
    </w:p>
    <w:p w:rsidR="006A4646" w:rsidRDefault="006A4646" w:rsidP="006A4646">
      <w:pPr>
        <w:pStyle w:val="BodyTextIndent"/>
        <w:numPr>
          <w:ilvl w:val="0"/>
          <w:numId w:val="1"/>
        </w:numPr>
      </w:pPr>
      <w:r>
        <w:t>This information is not collected elsewhere.  A review of Development and construction costs varies with each project; general or modified information is not acceptable.  No other forms exist that can be substituted to obtain the required information for construction contract administration.</w:t>
      </w:r>
    </w:p>
    <w:p w:rsidR="006A4646" w:rsidRDefault="006A4646" w:rsidP="006A4646">
      <w:pPr>
        <w:rPr>
          <w:sz w:val="24"/>
        </w:rPr>
      </w:pPr>
    </w:p>
    <w:p w:rsidR="006A4646" w:rsidRDefault="006A4646" w:rsidP="006A4646">
      <w:pPr>
        <w:numPr>
          <w:ilvl w:val="0"/>
          <w:numId w:val="1"/>
        </w:numPr>
        <w:rPr>
          <w:sz w:val="24"/>
        </w:rPr>
      </w:pPr>
      <w:r>
        <w:rPr>
          <w:sz w:val="24"/>
        </w:rPr>
        <w:t>There are no small businesses or other small entities involved in collection of this information.</w:t>
      </w:r>
    </w:p>
    <w:p w:rsidR="006A4646" w:rsidRDefault="006A4646" w:rsidP="006A4646">
      <w:pPr>
        <w:rPr>
          <w:sz w:val="24"/>
        </w:rPr>
      </w:pPr>
    </w:p>
    <w:p w:rsidR="006A4646" w:rsidRDefault="006A4646" w:rsidP="006A4646">
      <w:pPr>
        <w:pStyle w:val="BodyTextIndent"/>
        <w:numPr>
          <w:ilvl w:val="0"/>
          <w:numId w:val="1"/>
        </w:numPr>
      </w:pPr>
      <w:r>
        <w:t>Collection of information occurs as changes in contract documents occur at a construction site.  If the information were collected less frequently, there would be a discrepancy that could lead to possible mechanic’s liens against the property, bankruptcy of the general contractor, and defaults under the terms of the Building Loan Agreement, foreclosure, and repossession by the Department.</w:t>
      </w:r>
    </w:p>
    <w:p w:rsidR="006A4646" w:rsidRDefault="006A4646" w:rsidP="006A4646">
      <w:pPr>
        <w:rPr>
          <w:sz w:val="24"/>
        </w:rPr>
      </w:pPr>
    </w:p>
    <w:p w:rsidR="009101B4" w:rsidRDefault="009101B4" w:rsidP="009101B4">
      <w:pPr>
        <w:keepNext/>
        <w:numPr>
          <w:ilvl w:val="0"/>
          <w:numId w:val="2"/>
        </w:numPr>
        <w:tabs>
          <w:tab w:val="left" w:pos="360"/>
        </w:tabs>
        <w:textAlignment w:val="auto"/>
        <w:rPr>
          <w:b/>
          <w:bCs/>
          <w:sz w:val="22"/>
        </w:rPr>
      </w:pPr>
      <w:r>
        <w:rPr>
          <w:b/>
          <w:bCs/>
          <w:sz w:val="22"/>
        </w:rPr>
        <w:lastRenderedPageBreak/>
        <w:t xml:space="preserve">Explain any special circumstances that would cause an information collection to be conducted in a manner: </w:t>
      </w:r>
    </w:p>
    <w:p w:rsidR="009101B4" w:rsidRDefault="009101B4" w:rsidP="009101B4">
      <w:pPr>
        <w:keepNext/>
        <w:tabs>
          <w:tab w:val="left" w:pos="360"/>
        </w:tabs>
        <w:ind w:left="360"/>
        <w:rPr>
          <w:b/>
          <w:bCs/>
          <w:sz w:val="22"/>
        </w:rPr>
      </w:pPr>
    </w:p>
    <w:p w:rsidR="009101B4" w:rsidRDefault="009101B4" w:rsidP="009101B4">
      <w:pPr>
        <w:keepNext/>
        <w:numPr>
          <w:ilvl w:val="0"/>
          <w:numId w:val="3"/>
        </w:numPr>
        <w:tabs>
          <w:tab w:val="left" w:pos="360"/>
        </w:tabs>
        <w:textAlignment w:val="auto"/>
        <w:rPr>
          <w:bCs/>
          <w:sz w:val="22"/>
        </w:rPr>
      </w:pPr>
      <w:r>
        <w:rPr>
          <w:bCs/>
          <w:sz w:val="22"/>
        </w:rPr>
        <w:t xml:space="preserve">requiring respondents to report information to the agency more than quarterly; </w:t>
      </w:r>
    </w:p>
    <w:p w:rsidR="009101B4" w:rsidRDefault="009101B4" w:rsidP="009101B4">
      <w:pPr>
        <w:keepNext/>
        <w:tabs>
          <w:tab w:val="left" w:pos="360"/>
        </w:tabs>
        <w:ind w:left="504"/>
        <w:rPr>
          <w:b/>
          <w:bCs/>
          <w:sz w:val="22"/>
        </w:rPr>
      </w:pPr>
      <w:r>
        <w:rPr>
          <w:b/>
          <w:bCs/>
          <w:sz w:val="22"/>
        </w:rPr>
        <w:t>Not Applicable</w:t>
      </w:r>
    </w:p>
    <w:p w:rsidR="009101B4" w:rsidRDefault="009101B4" w:rsidP="009101B4">
      <w:pPr>
        <w:keepNext/>
        <w:numPr>
          <w:ilvl w:val="0"/>
          <w:numId w:val="3"/>
        </w:numPr>
        <w:tabs>
          <w:tab w:val="left" w:pos="360"/>
        </w:tabs>
        <w:textAlignment w:val="auto"/>
        <w:rPr>
          <w:bCs/>
          <w:sz w:val="22"/>
        </w:rPr>
      </w:pPr>
      <w:r>
        <w:rPr>
          <w:bCs/>
          <w:sz w:val="22"/>
        </w:rPr>
        <w:t xml:space="preserve">requiring respondents to prepare a written response to a collection of information in fewer than 30 days after receipt of it; </w:t>
      </w:r>
    </w:p>
    <w:p w:rsidR="009101B4" w:rsidRDefault="009101B4" w:rsidP="009101B4">
      <w:pPr>
        <w:keepNext/>
        <w:tabs>
          <w:tab w:val="left" w:pos="360"/>
        </w:tabs>
        <w:ind w:left="504"/>
        <w:rPr>
          <w:b/>
          <w:bCs/>
          <w:sz w:val="22"/>
        </w:rPr>
      </w:pPr>
      <w:r>
        <w:rPr>
          <w:b/>
          <w:bCs/>
          <w:sz w:val="22"/>
        </w:rPr>
        <w:t>Not Applicable</w:t>
      </w:r>
    </w:p>
    <w:p w:rsidR="009101B4" w:rsidRDefault="009101B4" w:rsidP="009101B4">
      <w:pPr>
        <w:keepNext/>
        <w:numPr>
          <w:ilvl w:val="0"/>
          <w:numId w:val="3"/>
        </w:numPr>
        <w:tabs>
          <w:tab w:val="left" w:pos="360"/>
        </w:tabs>
        <w:textAlignment w:val="auto"/>
        <w:rPr>
          <w:bCs/>
          <w:sz w:val="22"/>
        </w:rPr>
      </w:pPr>
      <w:r>
        <w:rPr>
          <w:bCs/>
          <w:sz w:val="22"/>
        </w:rPr>
        <w:t xml:space="preserve">requiring respondents to submit more than an original and two copies of any document; </w:t>
      </w:r>
    </w:p>
    <w:p w:rsidR="009101B4" w:rsidRDefault="009101B4" w:rsidP="009101B4">
      <w:pPr>
        <w:keepNext/>
        <w:tabs>
          <w:tab w:val="left" w:pos="360"/>
        </w:tabs>
        <w:ind w:left="504"/>
        <w:rPr>
          <w:b/>
          <w:bCs/>
          <w:sz w:val="22"/>
        </w:rPr>
      </w:pPr>
      <w:r>
        <w:rPr>
          <w:b/>
          <w:bCs/>
          <w:sz w:val="22"/>
        </w:rPr>
        <w:t>Not Applicable</w:t>
      </w:r>
    </w:p>
    <w:p w:rsidR="009101B4" w:rsidRDefault="009101B4" w:rsidP="009101B4">
      <w:pPr>
        <w:keepNext/>
        <w:numPr>
          <w:ilvl w:val="0"/>
          <w:numId w:val="3"/>
        </w:numPr>
        <w:tabs>
          <w:tab w:val="left" w:pos="360"/>
        </w:tabs>
        <w:textAlignment w:val="auto"/>
        <w:rPr>
          <w:bCs/>
          <w:sz w:val="22"/>
        </w:rPr>
      </w:pPr>
      <w:r>
        <w:rPr>
          <w:bCs/>
          <w:sz w:val="22"/>
        </w:rPr>
        <w:t xml:space="preserve">requiring respondents to retain records other than health, medical, government contract, grant-in-aid, or tax records for more than three years; </w:t>
      </w:r>
    </w:p>
    <w:p w:rsidR="009101B4" w:rsidRDefault="009101B4" w:rsidP="009101B4">
      <w:pPr>
        <w:keepNext/>
        <w:tabs>
          <w:tab w:val="left" w:pos="360"/>
        </w:tabs>
        <w:ind w:left="504"/>
        <w:rPr>
          <w:b/>
          <w:bCs/>
          <w:sz w:val="22"/>
        </w:rPr>
      </w:pPr>
      <w:r>
        <w:rPr>
          <w:b/>
          <w:bCs/>
          <w:sz w:val="22"/>
        </w:rPr>
        <w:t>Not Applicable</w:t>
      </w:r>
    </w:p>
    <w:p w:rsidR="009101B4" w:rsidRDefault="009101B4" w:rsidP="009101B4">
      <w:pPr>
        <w:keepNext/>
        <w:numPr>
          <w:ilvl w:val="0"/>
          <w:numId w:val="3"/>
        </w:numPr>
        <w:tabs>
          <w:tab w:val="left" w:pos="360"/>
        </w:tabs>
        <w:textAlignment w:val="auto"/>
        <w:rPr>
          <w:bCs/>
          <w:sz w:val="22"/>
        </w:rPr>
      </w:pPr>
      <w:r>
        <w:rPr>
          <w:bCs/>
          <w:sz w:val="22"/>
        </w:rPr>
        <w:t xml:space="preserve">in connection with a statistical survey, that is not designed to produce valid and reliable results than can be generalized to the universe of study; </w:t>
      </w:r>
    </w:p>
    <w:p w:rsidR="009101B4" w:rsidRDefault="009101B4" w:rsidP="009101B4">
      <w:pPr>
        <w:keepNext/>
        <w:tabs>
          <w:tab w:val="left" w:pos="360"/>
        </w:tabs>
        <w:ind w:left="504"/>
        <w:rPr>
          <w:b/>
          <w:bCs/>
          <w:sz w:val="22"/>
        </w:rPr>
      </w:pPr>
      <w:r>
        <w:rPr>
          <w:b/>
          <w:bCs/>
          <w:sz w:val="22"/>
        </w:rPr>
        <w:t>Not Applicable</w:t>
      </w:r>
    </w:p>
    <w:p w:rsidR="009101B4" w:rsidRDefault="009101B4" w:rsidP="009101B4">
      <w:pPr>
        <w:keepNext/>
        <w:numPr>
          <w:ilvl w:val="0"/>
          <w:numId w:val="3"/>
        </w:numPr>
        <w:tabs>
          <w:tab w:val="left" w:pos="360"/>
        </w:tabs>
        <w:textAlignment w:val="auto"/>
        <w:rPr>
          <w:bCs/>
          <w:sz w:val="22"/>
        </w:rPr>
      </w:pPr>
      <w:r>
        <w:rPr>
          <w:bCs/>
          <w:sz w:val="22"/>
        </w:rPr>
        <w:t xml:space="preserve">requiring the use of a statistical data classification that has not been reviewed and approved by OMB; </w:t>
      </w:r>
    </w:p>
    <w:p w:rsidR="009101B4" w:rsidRDefault="009101B4" w:rsidP="009101B4">
      <w:pPr>
        <w:keepNext/>
        <w:numPr>
          <w:ilvl w:val="0"/>
          <w:numId w:val="3"/>
        </w:numPr>
        <w:tabs>
          <w:tab w:val="left" w:pos="360"/>
        </w:tabs>
        <w:textAlignment w:val="auto"/>
        <w:rPr>
          <w:b/>
          <w:bCs/>
          <w:sz w:val="22"/>
        </w:rPr>
      </w:pPr>
      <w:r>
        <w:rPr>
          <w:b/>
          <w:bCs/>
          <w:sz w:val="22"/>
        </w:rPr>
        <w:t>Not Applicable</w:t>
      </w:r>
    </w:p>
    <w:p w:rsidR="009101B4" w:rsidRDefault="009101B4" w:rsidP="009101B4">
      <w:pPr>
        <w:keepNext/>
        <w:tabs>
          <w:tab w:val="left" w:pos="360"/>
        </w:tabs>
        <w:ind w:left="504"/>
        <w:rPr>
          <w:bCs/>
          <w:sz w:val="22"/>
        </w:rPr>
      </w:pPr>
      <w:r>
        <w:rPr>
          <w:bCs/>
          <w:sz w:val="22"/>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9101B4" w:rsidRDefault="009101B4" w:rsidP="009101B4">
      <w:pPr>
        <w:keepNext/>
        <w:tabs>
          <w:tab w:val="left" w:pos="360"/>
        </w:tabs>
        <w:ind w:left="504"/>
        <w:rPr>
          <w:b/>
          <w:bCs/>
          <w:sz w:val="22"/>
        </w:rPr>
      </w:pPr>
      <w:r>
        <w:rPr>
          <w:b/>
          <w:bCs/>
          <w:sz w:val="22"/>
        </w:rPr>
        <w:t>Not Applicable</w:t>
      </w:r>
    </w:p>
    <w:p w:rsidR="009101B4" w:rsidRDefault="009101B4" w:rsidP="009101B4">
      <w:pPr>
        <w:keepNext/>
        <w:numPr>
          <w:ilvl w:val="0"/>
          <w:numId w:val="3"/>
        </w:numPr>
        <w:tabs>
          <w:tab w:val="left" w:pos="360"/>
        </w:tabs>
        <w:textAlignment w:val="auto"/>
        <w:rPr>
          <w:bCs/>
          <w:sz w:val="22"/>
        </w:rPr>
      </w:pPr>
      <w:r>
        <w:rPr>
          <w:bCs/>
          <w:sz w:val="22"/>
        </w:rPr>
        <w:t>requiring respondents to submit proprietary trade secret, or other confidential information unless the agency can demonstrate that it has instituted procedures to protect the information's confidentiality to the extent permitted by law.</w:t>
      </w:r>
    </w:p>
    <w:p w:rsidR="009101B4" w:rsidRDefault="009101B4" w:rsidP="009101B4">
      <w:pPr>
        <w:keepNext/>
        <w:numPr>
          <w:ilvl w:val="0"/>
          <w:numId w:val="3"/>
        </w:numPr>
        <w:tabs>
          <w:tab w:val="left" w:pos="360"/>
        </w:tabs>
        <w:textAlignment w:val="auto"/>
        <w:rPr>
          <w:b/>
          <w:bCs/>
          <w:sz w:val="22"/>
        </w:rPr>
      </w:pPr>
      <w:r>
        <w:rPr>
          <w:b/>
          <w:bCs/>
          <w:sz w:val="22"/>
        </w:rPr>
        <w:t>Not Applicable</w:t>
      </w:r>
    </w:p>
    <w:p w:rsidR="009101B4" w:rsidRDefault="009101B4" w:rsidP="009101B4">
      <w:pPr>
        <w:tabs>
          <w:tab w:val="left" w:pos="360"/>
        </w:tabs>
        <w:ind w:left="504"/>
        <w:rPr>
          <w:sz w:val="22"/>
        </w:rPr>
      </w:pPr>
    </w:p>
    <w:p w:rsidR="009101B4" w:rsidRDefault="009101B4" w:rsidP="009101B4">
      <w:pPr>
        <w:tabs>
          <w:tab w:val="left" w:pos="360"/>
        </w:tabs>
        <w:ind w:left="360" w:hanging="360"/>
        <w:rPr>
          <w:sz w:val="22"/>
        </w:rPr>
      </w:pPr>
      <w:r>
        <w:rPr>
          <w:sz w:val="22"/>
        </w:rPr>
        <w:tab/>
        <w:t>There are no special circumstances that require the collection of information to be inconsistent with the guidelines in 24CFR 200.95 and 200.96.</w:t>
      </w:r>
    </w:p>
    <w:p w:rsidR="009101B4" w:rsidRDefault="009101B4" w:rsidP="009101B4">
      <w:pPr>
        <w:tabs>
          <w:tab w:val="left" w:pos="360"/>
        </w:tabs>
        <w:ind w:left="360" w:hanging="360"/>
        <w:rPr>
          <w:sz w:val="22"/>
        </w:rPr>
      </w:pPr>
    </w:p>
    <w:p w:rsidR="009101B4" w:rsidRDefault="009101B4" w:rsidP="009101B4">
      <w:pPr>
        <w:tabs>
          <w:tab w:val="left" w:pos="360"/>
        </w:tabs>
        <w:ind w:left="360" w:hanging="360"/>
        <w:rPr>
          <w:sz w:val="22"/>
        </w:rPr>
      </w:pPr>
    </w:p>
    <w:p w:rsidR="006A4646" w:rsidRPr="00F9784B" w:rsidRDefault="009101B4" w:rsidP="009101B4">
      <w:pPr>
        <w:rPr>
          <w:sz w:val="24"/>
          <w:szCs w:val="24"/>
        </w:rPr>
      </w:pPr>
      <w:r>
        <w:t xml:space="preserve">8.        </w:t>
      </w:r>
      <w:r w:rsidR="00573894" w:rsidRPr="00573894">
        <w:rPr>
          <w:sz w:val="24"/>
          <w:szCs w:val="24"/>
        </w:rPr>
        <w:t xml:space="preserve">In accordance with 5CFR 1320.8(d), this information collection soliciting public comments was announced in the Federal Register on </w:t>
      </w:r>
      <w:r w:rsidR="00573894" w:rsidRPr="00573894">
        <w:rPr>
          <w:b/>
          <w:sz w:val="24"/>
          <w:szCs w:val="24"/>
        </w:rPr>
        <w:t>September 16, 2016</w:t>
      </w:r>
      <w:r w:rsidR="00573894" w:rsidRPr="00573894">
        <w:rPr>
          <w:sz w:val="24"/>
          <w:szCs w:val="24"/>
        </w:rPr>
        <w:t xml:space="preserve">, Volume </w:t>
      </w:r>
      <w:r w:rsidR="00573894" w:rsidRPr="00573894">
        <w:rPr>
          <w:b/>
          <w:sz w:val="24"/>
          <w:szCs w:val="24"/>
        </w:rPr>
        <w:t>81</w:t>
      </w:r>
      <w:r w:rsidR="00573894" w:rsidRPr="00573894">
        <w:rPr>
          <w:sz w:val="24"/>
          <w:szCs w:val="24"/>
        </w:rPr>
        <w:t xml:space="preserve">, No. </w:t>
      </w:r>
      <w:r w:rsidR="00573894" w:rsidRPr="00573894">
        <w:rPr>
          <w:b/>
          <w:sz w:val="24"/>
          <w:szCs w:val="24"/>
        </w:rPr>
        <w:t>180</w:t>
      </w:r>
      <w:r w:rsidR="00573894" w:rsidRPr="00573894">
        <w:rPr>
          <w:sz w:val="24"/>
          <w:szCs w:val="24"/>
        </w:rPr>
        <w:t xml:space="preserve">, Pages </w:t>
      </w:r>
      <w:r w:rsidR="00573894" w:rsidRPr="00573894">
        <w:rPr>
          <w:b/>
          <w:sz w:val="24"/>
          <w:szCs w:val="24"/>
        </w:rPr>
        <w:t>63785</w:t>
      </w:r>
      <w:r w:rsidR="00573894" w:rsidRPr="00573894">
        <w:rPr>
          <w:sz w:val="24"/>
          <w:szCs w:val="24"/>
        </w:rPr>
        <w:t>.  No Comments received.</w:t>
      </w:r>
      <w:r w:rsidR="006A4646" w:rsidRPr="00F9784B">
        <w:rPr>
          <w:sz w:val="24"/>
          <w:szCs w:val="24"/>
        </w:rPr>
        <w:t xml:space="preserve">  </w:t>
      </w:r>
    </w:p>
    <w:p w:rsidR="006A4646" w:rsidRPr="00F9784B" w:rsidRDefault="006A4646" w:rsidP="006A4646">
      <w:pPr>
        <w:pStyle w:val="ListParagraph"/>
        <w:rPr>
          <w:sz w:val="24"/>
          <w:szCs w:val="24"/>
        </w:rPr>
      </w:pPr>
    </w:p>
    <w:p w:rsidR="006A4646" w:rsidRDefault="006A4646" w:rsidP="006A4646">
      <w:pPr>
        <w:pStyle w:val="BodyTextIndent"/>
        <w:keepNext/>
        <w:ind w:firstLine="0"/>
      </w:pPr>
      <w:r>
        <w:t>The following individuals were solicited regarding the collection:</w:t>
      </w:r>
    </w:p>
    <w:p w:rsidR="006A4646" w:rsidRDefault="006A4646" w:rsidP="006A4646">
      <w:pPr>
        <w:pStyle w:val="BodyTextIndent"/>
        <w:keepNext/>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2"/>
        <w:gridCol w:w="3428"/>
        <w:gridCol w:w="3428"/>
      </w:tblGrid>
      <w:tr w:rsidR="006A4646" w:rsidTr="002A0020">
        <w:tc>
          <w:tcPr>
            <w:tcW w:w="3684" w:type="dxa"/>
          </w:tcPr>
          <w:p w:rsidR="006A4646" w:rsidRDefault="006A4646" w:rsidP="002A0020">
            <w:pPr>
              <w:pStyle w:val="BodyTextIndent"/>
              <w:keepNext/>
              <w:ind w:left="180" w:hanging="180"/>
              <w:rPr>
                <w:rFonts w:ascii="Arial" w:hAnsi="Arial" w:cs="Arial"/>
                <w:sz w:val="18"/>
              </w:rPr>
            </w:pPr>
            <w:r>
              <w:rPr>
                <w:rFonts w:ascii="Arial" w:hAnsi="Arial" w:cs="Arial"/>
                <w:sz w:val="18"/>
              </w:rPr>
              <w:t>Yvette B. Jackson</w:t>
            </w:r>
          </w:p>
          <w:p w:rsidR="006A4646" w:rsidRDefault="006A4646" w:rsidP="002A0020">
            <w:pPr>
              <w:pStyle w:val="BodyTextIndent"/>
              <w:keepNext/>
              <w:ind w:left="0" w:firstLine="0"/>
              <w:rPr>
                <w:rFonts w:ascii="Arial" w:hAnsi="Arial" w:cs="Arial"/>
                <w:sz w:val="18"/>
              </w:rPr>
            </w:pPr>
            <w:r>
              <w:rPr>
                <w:rFonts w:ascii="Arial" w:hAnsi="Arial" w:cs="Arial"/>
                <w:sz w:val="18"/>
              </w:rPr>
              <w:t>Baltimore Multifamily Hub</w:t>
            </w:r>
          </w:p>
          <w:p w:rsidR="006A4646" w:rsidRDefault="006A4646" w:rsidP="002A0020">
            <w:pPr>
              <w:pStyle w:val="BodyTextIndent"/>
              <w:keepNext/>
              <w:ind w:left="162" w:hanging="162"/>
              <w:rPr>
                <w:rFonts w:ascii="Arial" w:hAnsi="Arial" w:cs="Arial"/>
                <w:sz w:val="18"/>
              </w:rPr>
            </w:pPr>
            <w:r>
              <w:rPr>
                <w:rFonts w:ascii="Arial" w:hAnsi="Arial" w:cs="Arial"/>
                <w:sz w:val="18"/>
              </w:rPr>
              <w:t>US Department of Housing and Urban Development</w:t>
            </w:r>
          </w:p>
          <w:p w:rsidR="006A4646" w:rsidRDefault="006A4646" w:rsidP="002A0020">
            <w:pPr>
              <w:pStyle w:val="BodyTextIndent"/>
              <w:keepNext/>
              <w:ind w:left="1800" w:hanging="1800"/>
              <w:rPr>
                <w:rFonts w:ascii="Arial" w:hAnsi="Arial" w:cs="Arial"/>
                <w:sz w:val="18"/>
              </w:rPr>
            </w:pPr>
            <w:r>
              <w:rPr>
                <w:rFonts w:ascii="Arial" w:hAnsi="Arial" w:cs="Arial"/>
                <w:sz w:val="18"/>
              </w:rPr>
              <w:t>10 South Howard Street</w:t>
            </w:r>
          </w:p>
          <w:p w:rsidR="006A4646" w:rsidRDefault="006A4646" w:rsidP="002A0020">
            <w:pPr>
              <w:pStyle w:val="BodyTextIndent"/>
              <w:keepNext/>
              <w:ind w:left="1800" w:hanging="1800"/>
              <w:rPr>
                <w:rFonts w:ascii="Arial" w:hAnsi="Arial" w:cs="Arial"/>
                <w:sz w:val="18"/>
              </w:rPr>
            </w:pPr>
            <w:r>
              <w:rPr>
                <w:rFonts w:ascii="Arial" w:hAnsi="Arial" w:cs="Arial"/>
                <w:sz w:val="18"/>
              </w:rPr>
              <w:t>Baltimore, Maryland 21202</w:t>
            </w:r>
          </w:p>
          <w:p w:rsidR="006A4646" w:rsidRDefault="006A4646" w:rsidP="002A0020">
            <w:pPr>
              <w:pStyle w:val="BodyTextIndent"/>
              <w:ind w:left="0" w:firstLine="0"/>
              <w:rPr>
                <w:rFonts w:ascii="Arial" w:hAnsi="Arial" w:cs="Arial"/>
                <w:sz w:val="18"/>
              </w:rPr>
            </w:pPr>
            <w:r>
              <w:rPr>
                <w:rFonts w:ascii="Arial" w:hAnsi="Arial" w:cs="Arial"/>
                <w:sz w:val="18"/>
              </w:rPr>
              <w:t xml:space="preserve"> (410)209-6550</w:t>
            </w:r>
          </w:p>
        </w:tc>
        <w:tc>
          <w:tcPr>
            <w:tcW w:w="3432" w:type="dxa"/>
          </w:tcPr>
          <w:p w:rsidR="006A4646" w:rsidRDefault="006A4646" w:rsidP="002A0020">
            <w:pPr>
              <w:pStyle w:val="BodyTextIndent"/>
              <w:ind w:left="232" w:hanging="192"/>
              <w:rPr>
                <w:rFonts w:ascii="Arial" w:hAnsi="Arial" w:cs="Arial"/>
                <w:sz w:val="18"/>
              </w:rPr>
            </w:pPr>
            <w:r>
              <w:rPr>
                <w:rFonts w:ascii="Arial" w:hAnsi="Arial" w:cs="Arial"/>
                <w:sz w:val="18"/>
              </w:rPr>
              <w:t>Elizabeth Arteaga</w:t>
            </w:r>
          </w:p>
          <w:p w:rsidR="006A4646" w:rsidRDefault="006A4646" w:rsidP="002A0020">
            <w:pPr>
              <w:pStyle w:val="BodyTextIndent"/>
              <w:ind w:left="232" w:hanging="192"/>
              <w:rPr>
                <w:rFonts w:ascii="Arial" w:hAnsi="Arial" w:cs="Arial"/>
                <w:sz w:val="18"/>
              </w:rPr>
            </w:pPr>
            <w:r>
              <w:rPr>
                <w:rFonts w:ascii="Arial" w:hAnsi="Arial" w:cs="Arial"/>
                <w:sz w:val="18"/>
              </w:rPr>
              <w:t>US Department of Housing and Urban Development</w:t>
            </w:r>
          </w:p>
          <w:p w:rsidR="006A4646" w:rsidRDefault="006A4646" w:rsidP="002A0020">
            <w:pPr>
              <w:pStyle w:val="BodyTextIndent"/>
              <w:ind w:left="232" w:hanging="192"/>
              <w:rPr>
                <w:rFonts w:ascii="Arial" w:hAnsi="Arial" w:cs="Arial"/>
                <w:sz w:val="18"/>
              </w:rPr>
            </w:pPr>
            <w:r>
              <w:rPr>
                <w:rFonts w:ascii="Arial" w:hAnsi="Arial" w:cs="Arial"/>
                <w:sz w:val="18"/>
              </w:rPr>
              <w:t>San Antonio Office</w:t>
            </w:r>
          </w:p>
          <w:p w:rsidR="006A4646" w:rsidRDefault="006A4646" w:rsidP="002A0020">
            <w:pPr>
              <w:pStyle w:val="BodyTextIndent"/>
              <w:ind w:left="232" w:hanging="192"/>
              <w:rPr>
                <w:rFonts w:ascii="Arial" w:hAnsi="Arial" w:cs="Arial"/>
                <w:sz w:val="18"/>
              </w:rPr>
            </w:pPr>
            <w:r>
              <w:rPr>
                <w:rFonts w:ascii="Arial" w:hAnsi="Arial" w:cs="Arial"/>
                <w:sz w:val="18"/>
              </w:rPr>
              <w:t>106 South St. Mary’s Street</w:t>
            </w:r>
          </w:p>
          <w:p w:rsidR="006A4646" w:rsidRDefault="006A4646" w:rsidP="002A0020">
            <w:pPr>
              <w:pStyle w:val="BodyTextIndent"/>
              <w:ind w:left="232" w:hanging="192"/>
              <w:rPr>
                <w:rFonts w:ascii="Arial" w:hAnsi="Arial" w:cs="Arial"/>
                <w:sz w:val="18"/>
              </w:rPr>
            </w:pPr>
            <w:r>
              <w:rPr>
                <w:rFonts w:ascii="Arial" w:hAnsi="Arial" w:cs="Arial"/>
                <w:sz w:val="18"/>
              </w:rPr>
              <w:t xml:space="preserve"> Suite 405</w:t>
            </w:r>
          </w:p>
          <w:p w:rsidR="006A4646" w:rsidRDefault="006A4646" w:rsidP="002A0020">
            <w:pPr>
              <w:pStyle w:val="BodyTextIndent"/>
              <w:ind w:left="0" w:firstLine="0"/>
              <w:rPr>
                <w:rFonts w:ascii="Arial" w:hAnsi="Arial" w:cs="Arial"/>
                <w:sz w:val="18"/>
              </w:rPr>
            </w:pPr>
            <w:r>
              <w:rPr>
                <w:rFonts w:ascii="Arial" w:hAnsi="Arial" w:cs="Arial"/>
                <w:sz w:val="18"/>
              </w:rPr>
              <w:t xml:space="preserve"> (210) 475-6800</w:t>
            </w:r>
          </w:p>
        </w:tc>
        <w:tc>
          <w:tcPr>
            <w:tcW w:w="3432" w:type="dxa"/>
          </w:tcPr>
          <w:p w:rsidR="006A4646" w:rsidRDefault="006A4646" w:rsidP="002A0020">
            <w:pPr>
              <w:pStyle w:val="BodyTextIndent"/>
              <w:ind w:left="246" w:hanging="232"/>
              <w:rPr>
                <w:rFonts w:ascii="Arial" w:hAnsi="Arial" w:cs="Arial"/>
                <w:sz w:val="18"/>
              </w:rPr>
            </w:pPr>
            <w:r>
              <w:rPr>
                <w:rFonts w:ascii="Arial" w:hAnsi="Arial" w:cs="Arial"/>
                <w:sz w:val="18"/>
              </w:rPr>
              <w:t>Bhek S. Simmons</w:t>
            </w:r>
          </w:p>
          <w:p w:rsidR="006A4646" w:rsidRDefault="006A4646" w:rsidP="002A0020">
            <w:pPr>
              <w:pStyle w:val="BodyTextIndent"/>
              <w:ind w:left="246" w:hanging="232"/>
              <w:rPr>
                <w:rFonts w:ascii="Arial" w:hAnsi="Arial" w:cs="Arial"/>
                <w:sz w:val="18"/>
              </w:rPr>
            </w:pPr>
            <w:r>
              <w:rPr>
                <w:rFonts w:ascii="Arial" w:hAnsi="Arial" w:cs="Arial"/>
                <w:sz w:val="18"/>
              </w:rPr>
              <w:t>Baltimore Multifamily Hub</w:t>
            </w:r>
          </w:p>
          <w:p w:rsidR="006A4646" w:rsidRDefault="006A4646" w:rsidP="002A0020">
            <w:pPr>
              <w:pStyle w:val="BodyTextIndent"/>
              <w:ind w:left="246" w:hanging="232"/>
              <w:rPr>
                <w:rFonts w:ascii="Arial" w:hAnsi="Arial" w:cs="Arial"/>
                <w:sz w:val="18"/>
              </w:rPr>
            </w:pPr>
            <w:r>
              <w:rPr>
                <w:rFonts w:ascii="Arial" w:hAnsi="Arial" w:cs="Arial"/>
                <w:sz w:val="18"/>
              </w:rPr>
              <w:t>U.S. Department of Housing and Urban Development</w:t>
            </w:r>
          </w:p>
          <w:p w:rsidR="006A4646" w:rsidRDefault="006A4646" w:rsidP="002A0020">
            <w:pPr>
              <w:pStyle w:val="BodyTextIndent"/>
              <w:ind w:left="0" w:firstLine="0"/>
              <w:rPr>
                <w:rFonts w:ascii="Arial" w:hAnsi="Arial" w:cs="Arial"/>
                <w:sz w:val="18"/>
              </w:rPr>
            </w:pPr>
            <w:r>
              <w:rPr>
                <w:rFonts w:ascii="Arial" w:hAnsi="Arial" w:cs="Arial"/>
                <w:sz w:val="18"/>
              </w:rPr>
              <w:t>10 South Howard Street</w:t>
            </w:r>
          </w:p>
          <w:p w:rsidR="006A4646" w:rsidRDefault="006A4646" w:rsidP="002A0020">
            <w:pPr>
              <w:pStyle w:val="BodyTextIndent"/>
              <w:ind w:left="0" w:firstLine="0"/>
              <w:rPr>
                <w:rFonts w:ascii="Arial" w:hAnsi="Arial" w:cs="Arial"/>
                <w:sz w:val="18"/>
              </w:rPr>
            </w:pPr>
            <w:r>
              <w:rPr>
                <w:rFonts w:ascii="Arial" w:hAnsi="Arial" w:cs="Arial"/>
                <w:sz w:val="18"/>
              </w:rPr>
              <w:t xml:space="preserve"> Baltimore, Maryland 21202</w:t>
            </w:r>
          </w:p>
          <w:p w:rsidR="006A4646" w:rsidRDefault="006A4646" w:rsidP="002A0020">
            <w:pPr>
              <w:pStyle w:val="BodyTextIndent"/>
              <w:ind w:left="0" w:firstLine="0"/>
              <w:rPr>
                <w:rFonts w:ascii="Arial" w:hAnsi="Arial" w:cs="Arial"/>
                <w:sz w:val="18"/>
              </w:rPr>
            </w:pPr>
            <w:r>
              <w:rPr>
                <w:rFonts w:ascii="Arial" w:hAnsi="Arial" w:cs="Arial"/>
                <w:sz w:val="18"/>
              </w:rPr>
              <w:t>(410) 209-6544</w:t>
            </w:r>
          </w:p>
        </w:tc>
      </w:tr>
    </w:tbl>
    <w:p w:rsidR="006A4646" w:rsidRDefault="006A4646" w:rsidP="006A4646">
      <w:pPr>
        <w:pStyle w:val="BodyTextIndent"/>
        <w:ind w:left="720"/>
      </w:pPr>
    </w:p>
    <w:p w:rsidR="006A4646" w:rsidRDefault="006A4646" w:rsidP="006A4646">
      <w:pPr>
        <w:pStyle w:val="BodyTextIndent"/>
        <w:ind w:firstLine="0"/>
      </w:pPr>
      <w:r>
        <w:t>All individuals concluded that the information collection is still necessary to conduct business.  No problems were indicated from any of these individuals relative to our present construction contract procedures and the forms associated therewith.</w:t>
      </w:r>
    </w:p>
    <w:p w:rsidR="006A4646" w:rsidRDefault="006A4646" w:rsidP="006A4646">
      <w:pPr>
        <w:pStyle w:val="BodyTextIndent"/>
        <w:ind w:left="1800"/>
      </w:pPr>
    </w:p>
    <w:p w:rsidR="006A4646" w:rsidRDefault="009101B4" w:rsidP="009101B4">
      <w:pPr>
        <w:pStyle w:val="BodyTextIndent"/>
        <w:numPr>
          <w:ilvl w:val="0"/>
          <w:numId w:val="4"/>
        </w:numPr>
      </w:pPr>
      <w:r>
        <w:t xml:space="preserve"> </w:t>
      </w:r>
      <w:r w:rsidR="006A4646">
        <w:t>No payments or gifts are provided to respondents.</w:t>
      </w:r>
    </w:p>
    <w:p w:rsidR="006A4646" w:rsidRDefault="006A4646" w:rsidP="006A4646">
      <w:pPr>
        <w:rPr>
          <w:sz w:val="24"/>
        </w:rPr>
      </w:pPr>
    </w:p>
    <w:p w:rsidR="006A4646" w:rsidRDefault="006A4646" w:rsidP="009101B4">
      <w:pPr>
        <w:pStyle w:val="BodyTextIndent"/>
        <w:numPr>
          <w:ilvl w:val="0"/>
          <w:numId w:val="2"/>
        </w:numPr>
      </w:pPr>
      <w:r>
        <w:t>Forms HUD-92437, 92441, 92442, 92442A, 92442-CA, 92442A-CA are for the Department’s use only and respondents are assured that the material is held in confidentiality unless a release order is issued under the Freedom of Information Act.</w:t>
      </w:r>
    </w:p>
    <w:p w:rsidR="006A4646" w:rsidRDefault="006A4646" w:rsidP="006A4646">
      <w:pPr>
        <w:rPr>
          <w:sz w:val="24"/>
        </w:rPr>
      </w:pPr>
    </w:p>
    <w:p w:rsidR="006A4646" w:rsidRDefault="006A4646" w:rsidP="009101B4">
      <w:pPr>
        <w:pStyle w:val="BodyTextIndent"/>
        <w:numPr>
          <w:ilvl w:val="0"/>
          <w:numId w:val="2"/>
        </w:numPr>
      </w:pPr>
      <w:r>
        <w:t>The collection does not contain information of a sensitive nature about sexual behavior or attitudes, religious beliefs, or private matters.</w:t>
      </w:r>
    </w:p>
    <w:p w:rsidR="006A4646" w:rsidRDefault="006A4646" w:rsidP="006A4646">
      <w:pPr>
        <w:pStyle w:val="BodyTextIndent"/>
        <w:ind w:left="0" w:firstLine="0"/>
      </w:pPr>
    </w:p>
    <w:p w:rsidR="006A4646" w:rsidRDefault="006A4646" w:rsidP="00151C46">
      <w:pPr>
        <w:pStyle w:val="BodyTextIndent"/>
        <w:numPr>
          <w:ilvl w:val="0"/>
          <w:numId w:val="2"/>
        </w:numPr>
      </w:pPr>
      <w:r>
        <w:lastRenderedPageBreak/>
        <w:t>The number of respondents for each form represents estimated levels for an annual period.  Respondents using Forms HUD-92441, 92442, 92442A, 92442-CA, 92442A-CA are distinct from respondents for Form HUD-92437.  Due to the inherent complexity in planning and constructing a multifamily project, work may require multiple changes in the contract drawings and specifications.  This form, HUD</w:t>
      </w:r>
      <w:r w:rsidR="004C1FA9">
        <w:t xml:space="preserve"> </w:t>
      </w:r>
      <w:bookmarkStart w:id="0" w:name="_GoBack"/>
      <w:bookmarkEnd w:id="0"/>
      <w:r>
        <w:t xml:space="preserve">92437 may be used more than once during the construction period.  This number is representative of the average number of change orders a project will have. </w:t>
      </w:r>
    </w:p>
    <w:p w:rsidR="006A4646" w:rsidRDefault="006A4646" w:rsidP="006A4646">
      <w:pPr>
        <w:pStyle w:val="BodyTextIndent"/>
        <w:ind w:firstLine="0"/>
      </w:pPr>
    </w:p>
    <w:p w:rsidR="006A4646" w:rsidRDefault="00151C46" w:rsidP="006A4646">
      <w:pPr>
        <w:pStyle w:val="BodyTextIndent"/>
        <w:ind w:firstLine="0"/>
      </w:pPr>
      <w:r>
        <w:t>The 157</w:t>
      </w:r>
      <w:r w:rsidR="006A4646">
        <w:t xml:space="preserve"> respondents fill out form HUD-92437 to request and document project change orders. On average there are approximately 3 change orders per project for a total of 450 responses.  Forms HUD-92441, HUD-92442, HUD-92442-A, and HUD-92442-CA, HUD-92442-A-CA are contracts between the mortgagee, mortgagor, and contractor.  These forms must be executed before construction commences.  The HUD-92441 is only used for projects where the mortgagor is also serving as the general contractor. HUD-92442 is used when there is no identity of interest between the mortgagor and, the contractor. 92442A is used when there is an identity of interest between the mortgagor and contractor. The identity interest between the mortgagor and contractor determines which form /contract is used.  The number of respondents hasn’t changed and reflects an accurate estimate. For forms (92442, 92442A, and 92442-CA) there is still a response time of 16 hrs.  Forms HUD-92442-CA and HUD-92442-A-CA are used only for the 202/811 Capital Advance</w:t>
      </w:r>
      <w:r>
        <w:t xml:space="preserve"> Programs.  HUD-92442-CA has 265</w:t>
      </w:r>
      <w:r w:rsidR="006A4646">
        <w:t xml:space="preserve"> respondents and is used where the bidding procedures are not being</w:t>
      </w:r>
      <w:r>
        <w:t xml:space="preserve"> used and HUD-92442-A-CA has 265</w:t>
      </w:r>
      <w:r w:rsidR="006A4646">
        <w:t xml:space="preserve"> respondents and is used where competitive bidding is being used.  Form HUD-92442-CA is used more often than HUD-92442-A-CA because a majority of the </w:t>
      </w:r>
      <w:r w:rsidR="006A4646" w:rsidRPr="00151C46">
        <w:t>bidding is non-competitive.</w:t>
      </w:r>
      <w:r w:rsidR="006A4646">
        <w:t xml:space="preserve">  </w:t>
      </w:r>
    </w:p>
    <w:p w:rsidR="00151C46" w:rsidRDefault="00151C46" w:rsidP="006A4646">
      <w:pPr>
        <w:pStyle w:val="BodyTextIndent"/>
        <w:ind w:firstLine="0"/>
      </w:pPr>
    </w:p>
    <w:p w:rsidR="00151C46" w:rsidRDefault="00151C46" w:rsidP="006A4646">
      <w:pPr>
        <w:pStyle w:val="BodyTextIndent"/>
        <w:ind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6"/>
        <w:gridCol w:w="1616"/>
        <w:gridCol w:w="1441"/>
        <w:gridCol w:w="1230"/>
        <w:gridCol w:w="1136"/>
        <w:gridCol w:w="923"/>
        <w:gridCol w:w="1136"/>
        <w:gridCol w:w="1382"/>
      </w:tblGrid>
      <w:tr w:rsidR="006A4646" w:rsidRPr="00151C46" w:rsidTr="00151C46">
        <w:tc>
          <w:tcPr>
            <w:tcW w:w="0" w:type="auto"/>
          </w:tcPr>
          <w:p w:rsidR="006A4646" w:rsidRDefault="006A4646" w:rsidP="002A0020">
            <w:pPr>
              <w:rPr>
                <w:sz w:val="24"/>
              </w:rPr>
            </w:pPr>
            <w:r>
              <w:rPr>
                <w:sz w:val="24"/>
              </w:rPr>
              <w:t>Information</w:t>
            </w:r>
          </w:p>
          <w:p w:rsidR="006A4646" w:rsidRDefault="006A4646" w:rsidP="002A0020">
            <w:pPr>
              <w:rPr>
                <w:sz w:val="24"/>
              </w:rPr>
            </w:pPr>
            <w:r>
              <w:rPr>
                <w:sz w:val="24"/>
              </w:rPr>
              <w:t>Collection</w:t>
            </w:r>
          </w:p>
        </w:tc>
        <w:tc>
          <w:tcPr>
            <w:tcW w:w="1616" w:type="dxa"/>
            <w:shd w:val="clear" w:color="auto" w:fill="F2F2F2" w:themeFill="background1" w:themeFillShade="F2"/>
          </w:tcPr>
          <w:p w:rsidR="006A4646" w:rsidRPr="00151C46" w:rsidRDefault="006A4646" w:rsidP="00151C46">
            <w:pPr>
              <w:jc w:val="both"/>
              <w:rPr>
                <w:sz w:val="24"/>
              </w:rPr>
            </w:pPr>
            <w:r w:rsidRPr="00151C46">
              <w:rPr>
                <w:sz w:val="24"/>
              </w:rPr>
              <w:t>Number of</w:t>
            </w:r>
          </w:p>
          <w:p w:rsidR="006A4646" w:rsidRPr="00151C46" w:rsidRDefault="006A4646" w:rsidP="002A0020">
            <w:pPr>
              <w:rPr>
                <w:sz w:val="24"/>
              </w:rPr>
            </w:pPr>
            <w:r w:rsidRPr="00151C46">
              <w:rPr>
                <w:sz w:val="24"/>
              </w:rPr>
              <w:t>Respondents</w:t>
            </w:r>
          </w:p>
        </w:tc>
        <w:tc>
          <w:tcPr>
            <w:tcW w:w="1441" w:type="dxa"/>
          </w:tcPr>
          <w:p w:rsidR="006A4646" w:rsidRDefault="006A4646" w:rsidP="002A0020">
            <w:pPr>
              <w:rPr>
                <w:sz w:val="24"/>
              </w:rPr>
            </w:pPr>
            <w:r>
              <w:rPr>
                <w:sz w:val="24"/>
              </w:rPr>
              <w:t>Frequency of</w:t>
            </w:r>
          </w:p>
          <w:p w:rsidR="006A4646" w:rsidRDefault="006A4646" w:rsidP="002A0020">
            <w:pPr>
              <w:rPr>
                <w:sz w:val="24"/>
              </w:rPr>
            </w:pPr>
            <w:r>
              <w:rPr>
                <w:sz w:val="24"/>
              </w:rPr>
              <w:t>Responses</w:t>
            </w:r>
          </w:p>
        </w:tc>
        <w:tc>
          <w:tcPr>
            <w:tcW w:w="1141" w:type="dxa"/>
          </w:tcPr>
          <w:p w:rsidR="006A4646" w:rsidRDefault="006A4646" w:rsidP="002A0020">
            <w:pPr>
              <w:rPr>
                <w:sz w:val="24"/>
              </w:rPr>
            </w:pPr>
            <w:r>
              <w:rPr>
                <w:sz w:val="24"/>
              </w:rPr>
              <w:t xml:space="preserve">Responses </w:t>
            </w:r>
          </w:p>
          <w:p w:rsidR="006A4646" w:rsidRDefault="006A4646" w:rsidP="002A0020">
            <w:pPr>
              <w:rPr>
                <w:sz w:val="24"/>
              </w:rPr>
            </w:pPr>
            <w:r>
              <w:rPr>
                <w:sz w:val="24"/>
              </w:rPr>
              <w:t>Per Annum</w:t>
            </w:r>
          </w:p>
        </w:tc>
        <w:tc>
          <w:tcPr>
            <w:tcW w:w="0" w:type="auto"/>
          </w:tcPr>
          <w:p w:rsidR="006A4646" w:rsidRDefault="006A4646" w:rsidP="002A0020">
            <w:pPr>
              <w:rPr>
                <w:sz w:val="24"/>
              </w:rPr>
            </w:pPr>
            <w:r>
              <w:rPr>
                <w:sz w:val="24"/>
              </w:rPr>
              <w:t xml:space="preserve">Burden </w:t>
            </w:r>
          </w:p>
          <w:p w:rsidR="006A4646" w:rsidRDefault="006A4646" w:rsidP="002A0020">
            <w:pPr>
              <w:rPr>
                <w:sz w:val="24"/>
              </w:rPr>
            </w:pPr>
            <w:r>
              <w:rPr>
                <w:sz w:val="24"/>
              </w:rPr>
              <w:t>Hour Per</w:t>
            </w:r>
          </w:p>
          <w:p w:rsidR="006A4646" w:rsidRDefault="006A4646" w:rsidP="002A0020">
            <w:pPr>
              <w:rPr>
                <w:sz w:val="24"/>
              </w:rPr>
            </w:pPr>
            <w:r>
              <w:rPr>
                <w:sz w:val="24"/>
              </w:rPr>
              <w:t>Response</w:t>
            </w:r>
          </w:p>
        </w:tc>
        <w:tc>
          <w:tcPr>
            <w:tcW w:w="0" w:type="auto"/>
            <w:shd w:val="clear" w:color="auto" w:fill="F2F2F2" w:themeFill="background1" w:themeFillShade="F2"/>
          </w:tcPr>
          <w:p w:rsidR="006A4646" w:rsidRDefault="006A4646" w:rsidP="002A0020">
            <w:pPr>
              <w:rPr>
                <w:sz w:val="24"/>
              </w:rPr>
            </w:pPr>
            <w:r>
              <w:rPr>
                <w:sz w:val="24"/>
              </w:rPr>
              <w:t>Annual</w:t>
            </w:r>
          </w:p>
          <w:p w:rsidR="006A4646" w:rsidRDefault="006A4646" w:rsidP="002A0020">
            <w:pPr>
              <w:rPr>
                <w:sz w:val="24"/>
              </w:rPr>
            </w:pPr>
            <w:r>
              <w:rPr>
                <w:sz w:val="24"/>
              </w:rPr>
              <w:t>Burden</w:t>
            </w:r>
          </w:p>
          <w:p w:rsidR="006A4646" w:rsidRDefault="00187BBB" w:rsidP="002A0020">
            <w:pPr>
              <w:rPr>
                <w:sz w:val="24"/>
              </w:rPr>
            </w:pPr>
            <w:r>
              <w:rPr>
                <w:sz w:val="24"/>
              </w:rPr>
              <w:t>Hrs</w:t>
            </w:r>
          </w:p>
        </w:tc>
        <w:tc>
          <w:tcPr>
            <w:tcW w:w="0" w:type="auto"/>
          </w:tcPr>
          <w:p w:rsidR="006A4646" w:rsidRDefault="006A4646" w:rsidP="002A0020">
            <w:pPr>
              <w:rPr>
                <w:sz w:val="24"/>
              </w:rPr>
            </w:pPr>
            <w:r>
              <w:rPr>
                <w:sz w:val="24"/>
              </w:rPr>
              <w:t xml:space="preserve">Hourly </w:t>
            </w:r>
          </w:p>
          <w:p w:rsidR="006A4646" w:rsidRDefault="006A4646" w:rsidP="002A0020">
            <w:pPr>
              <w:rPr>
                <w:sz w:val="24"/>
              </w:rPr>
            </w:pPr>
            <w:r>
              <w:rPr>
                <w:sz w:val="24"/>
              </w:rPr>
              <w:t>Cost Per</w:t>
            </w:r>
          </w:p>
          <w:p w:rsidR="006A4646" w:rsidRDefault="006A4646" w:rsidP="002A0020">
            <w:pPr>
              <w:rPr>
                <w:sz w:val="24"/>
              </w:rPr>
            </w:pPr>
            <w:r>
              <w:rPr>
                <w:sz w:val="24"/>
              </w:rPr>
              <w:t>Response</w:t>
            </w:r>
          </w:p>
        </w:tc>
        <w:tc>
          <w:tcPr>
            <w:tcW w:w="0" w:type="auto"/>
          </w:tcPr>
          <w:p w:rsidR="006A4646" w:rsidRDefault="00151C46" w:rsidP="002A0020">
            <w:pPr>
              <w:rPr>
                <w:sz w:val="24"/>
              </w:rPr>
            </w:pPr>
            <w:r>
              <w:rPr>
                <w:sz w:val="24"/>
              </w:rPr>
              <w:t xml:space="preserve">Total </w:t>
            </w:r>
            <w:r w:rsidR="006A4646">
              <w:rPr>
                <w:sz w:val="24"/>
              </w:rPr>
              <w:t>Annual</w:t>
            </w:r>
          </w:p>
          <w:p w:rsidR="006A4646" w:rsidRDefault="006A4646" w:rsidP="002A0020">
            <w:pPr>
              <w:rPr>
                <w:sz w:val="24"/>
              </w:rPr>
            </w:pPr>
            <w:r>
              <w:rPr>
                <w:sz w:val="24"/>
              </w:rPr>
              <w:t>Cost</w:t>
            </w:r>
          </w:p>
          <w:p w:rsidR="006A4646" w:rsidRDefault="006A4646" w:rsidP="002A0020">
            <w:pPr>
              <w:rPr>
                <w:sz w:val="24"/>
              </w:rPr>
            </w:pPr>
          </w:p>
        </w:tc>
      </w:tr>
      <w:tr w:rsidR="006A4646" w:rsidTr="00151C46">
        <w:tc>
          <w:tcPr>
            <w:tcW w:w="0" w:type="auto"/>
          </w:tcPr>
          <w:p w:rsidR="006A4646" w:rsidRDefault="006A4646" w:rsidP="002A0020">
            <w:pPr>
              <w:rPr>
                <w:sz w:val="24"/>
              </w:rPr>
            </w:pPr>
            <w:r>
              <w:rPr>
                <w:sz w:val="24"/>
              </w:rPr>
              <w:t>HUD-92437</w:t>
            </w:r>
          </w:p>
        </w:tc>
        <w:tc>
          <w:tcPr>
            <w:tcW w:w="1616" w:type="dxa"/>
            <w:shd w:val="clear" w:color="auto" w:fill="F2F2F2" w:themeFill="background1" w:themeFillShade="F2"/>
          </w:tcPr>
          <w:p w:rsidR="006A4646" w:rsidRPr="00151C46" w:rsidRDefault="006A4646" w:rsidP="002A0020">
            <w:pPr>
              <w:rPr>
                <w:sz w:val="24"/>
              </w:rPr>
            </w:pPr>
            <w:r w:rsidRPr="00151C46">
              <w:rPr>
                <w:sz w:val="24"/>
              </w:rPr>
              <w:t xml:space="preserve">  157</w:t>
            </w:r>
          </w:p>
        </w:tc>
        <w:tc>
          <w:tcPr>
            <w:tcW w:w="1441" w:type="dxa"/>
          </w:tcPr>
          <w:p w:rsidR="006A4646" w:rsidRDefault="006A4646" w:rsidP="002A0020">
            <w:pPr>
              <w:rPr>
                <w:sz w:val="24"/>
              </w:rPr>
            </w:pPr>
            <w:r>
              <w:rPr>
                <w:sz w:val="24"/>
              </w:rPr>
              <w:t>3</w:t>
            </w:r>
          </w:p>
        </w:tc>
        <w:tc>
          <w:tcPr>
            <w:tcW w:w="1141" w:type="dxa"/>
          </w:tcPr>
          <w:p w:rsidR="006A4646" w:rsidRDefault="006A4646" w:rsidP="002A0020">
            <w:pPr>
              <w:rPr>
                <w:sz w:val="24"/>
              </w:rPr>
            </w:pPr>
            <w:r>
              <w:rPr>
                <w:sz w:val="24"/>
              </w:rPr>
              <w:t xml:space="preserve">  471</w:t>
            </w:r>
          </w:p>
        </w:tc>
        <w:tc>
          <w:tcPr>
            <w:tcW w:w="0" w:type="auto"/>
          </w:tcPr>
          <w:p w:rsidR="006A4646" w:rsidRDefault="006A4646" w:rsidP="002A0020">
            <w:pPr>
              <w:rPr>
                <w:sz w:val="24"/>
              </w:rPr>
            </w:pPr>
            <w:r>
              <w:rPr>
                <w:sz w:val="24"/>
              </w:rPr>
              <w:t xml:space="preserve">    2</w:t>
            </w:r>
          </w:p>
        </w:tc>
        <w:tc>
          <w:tcPr>
            <w:tcW w:w="0" w:type="auto"/>
            <w:shd w:val="clear" w:color="auto" w:fill="F2F2F2" w:themeFill="background1" w:themeFillShade="F2"/>
          </w:tcPr>
          <w:p w:rsidR="006A4646" w:rsidRDefault="006A4646" w:rsidP="002A0020">
            <w:pPr>
              <w:rPr>
                <w:sz w:val="24"/>
              </w:rPr>
            </w:pPr>
            <w:r>
              <w:rPr>
                <w:sz w:val="24"/>
              </w:rPr>
              <w:t xml:space="preserve">   942</w:t>
            </w:r>
          </w:p>
        </w:tc>
        <w:tc>
          <w:tcPr>
            <w:tcW w:w="0" w:type="auto"/>
          </w:tcPr>
          <w:p w:rsidR="006A4646" w:rsidRDefault="00003F15" w:rsidP="002A0020">
            <w:pPr>
              <w:rPr>
                <w:sz w:val="24"/>
              </w:rPr>
            </w:pPr>
            <w:r>
              <w:rPr>
                <w:sz w:val="24"/>
              </w:rPr>
              <w:t xml:space="preserve">$ </w:t>
            </w:r>
            <w:r w:rsidR="006A4646">
              <w:rPr>
                <w:sz w:val="24"/>
              </w:rPr>
              <w:t>40.00</w:t>
            </w:r>
          </w:p>
        </w:tc>
        <w:tc>
          <w:tcPr>
            <w:tcW w:w="0" w:type="auto"/>
          </w:tcPr>
          <w:p w:rsidR="006A4646" w:rsidRDefault="006A4646" w:rsidP="002A0020">
            <w:pPr>
              <w:rPr>
                <w:sz w:val="24"/>
              </w:rPr>
            </w:pPr>
            <w:r>
              <w:rPr>
                <w:sz w:val="24"/>
              </w:rPr>
              <w:t>$   37,680</w:t>
            </w:r>
          </w:p>
        </w:tc>
      </w:tr>
      <w:tr w:rsidR="006A4646" w:rsidTr="00151C46">
        <w:tc>
          <w:tcPr>
            <w:tcW w:w="0" w:type="auto"/>
          </w:tcPr>
          <w:p w:rsidR="006A4646" w:rsidRDefault="006A4646" w:rsidP="002A0020">
            <w:pPr>
              <w:rPr>
                <w:sz w:val="24"/>
              </w:rPr>
            </w:pPr>
            <w:r>
              <w:rPr>
                <w:sz w:val="24"/>
              </w:rPr>
              <w:t>HUD-92441</w:t>
            </w:r>
          </w:p>
        </w:tc>
        <w:tc>
          <w:tcPr>
            <w:tcW w:w="1616" w:type="dxa"/>
            <w:shd w:val="clear" w:color="auto" w:fill="F2F2F2" w:themeFill="background1" w:themeFillShade="F2"/>
          </w:tcPr>
          <w:p w:rsidR="006A4646" w:rsidRPr="00151C46" w:rsidRDefault="006A4646" w:rsidP="002A0020">
            <w:pPr>
              <w:rPr>
                <w:sz w:val="24"/>
              </w:rPr>
            </w:pPr>
            <w:r w:rsidRPr="00151C46">
              <w:rPr>
                <w:sz w:val="24"/>
              </w:rPr>
              <w:t xml:space="preserve">  157</w:t>
            </w:r>
          </w:p>
        </w:tc>
        <w:tc>
          <w:tcPr>
            <w:tcW w:w="1441" w:type="dxa"/>
          </w:tcPr>
          <w:p w:rsidR="006A4646" w:rsidRDefault="006A4646" w:rsidP="002A0020">
            <w:pPr>
              <w:rPr>
                <w:sz w:val="24"/>
              </w:rPr>
            </w:pPr>
            <w:r>
              <w:rPr>
                <w:sz w:val="24"/>
              </w:rPr>
              <w:t>1</w:t>
            </w:r>
          </w:p>
        </w:tc>
        <w:tc>
          <w:tcPr>
            <w:tcW w:w="1141" w:type="dxa"/>
          </w:tcPr>
          <w:p w:rsidR="006A4646" w:rsidRDefault="006A4646" w:rsidP="002A0020">
            <w:pPr>
              <w:rPr>
                <w:sz w:val="24"/>
              </w:rPr>
            </w:pPr>
            <w:r>
              <w:rPr>
                <w:sz w:val="24"/>
              </w:rPr>
              <w:t xml:space="preserve">  157</w:t>
            </w:r>
          </w:p>
        </w:tc>
        <w:tc>
          <w:tcPr>
            <w:tcW w:w="0" w:type="auto"/>
          </w:tcPr>
          <w:p w:rsidR="006A4646" w:rsidRDefault="006A4646" w:rsidP="002A0020">
            <w:pPr>
              <w:rPr>
                <w:sz w:val="24"/>
              </w:rPr>
            </w:pPr>
            <w:r>
              <w:rPr>
                <w:sz w:val="24"/>
              </w:rPr>
              <w:t xml:space="preserve">  16</w:t>
            </w:r>
          </w:p>
        </w:tc>
        <w:tc>
          <w:tcPr>
            <w:tcW w:w="0" w:type="auto"/>
            <w:shd w:val="clear" w:color="auto" w:fill="F2F2F2" w:themeFill="background1" w:themeFillShade="F2"/>
          </w:tcPr>
          <w:p w:rsidR="006A4646" w:rsidRDefault="006A4646" w:rsidP="002A0020">
            <w:pPr>
              <w:rPr>
                <w:sz w:val="24"/>
              </w:rPr>
            </w:pPr>
            <w:r>
              <w:rPr>
                <w:sz w:val="24"/>
              </w:rPr>
              <w:t xml:space="preserve"> 2512</w:t>
            </w:r>
          </w:p>
        </w:tc>
        <w:tc>
          <w:tcPr>
            <w:tcW w:w="0" w:type="auto"/>
          </w:tcPr>
          <w:p w:rsidR="006A4646" w:rsidRDefault="00003F15" w:rsidP="00003F15">
            <w:pPr>
              <w:rPr>
                <w:sz w:val="24"/>
              </w:rPr>
            </w:pPr>
            <w:r>
              <w:rPr>
                <w:sz w:val="24"/>
              </w:rPr>
              <w:t>$ 4</w:t>
            </w:r>
            <w:r w:rsidR="006A4646">
              <w:rPr>
                <w:sz w:val="24"/>
              </w:rPr>
              <w:t>0.00</w:t>
            </w:r>
          </w:p>
        </w:tc>
        <w:tc>
          <w:tcPr>
            <w:tcW w:w="0" w:type="auto"/>
          </w:tcPr>
          <w:p w:rsidR="006A4646" w:rsidRDefault="006A4646" w:rsidP="002A0020">
            <w:pPr>
              <w:rPr>
                <w:sz w:val="24"/>
              </w:rPr>
            </w:pPr>
            <w:r>
              <w:rPr>
                <w:sz w:val="24"/>
              </w:rPr>
              <w:t>$ 100,480</w:t>
            </w:r>
          </w:p>
        </w:tc>
      </w:tr>
      <w:tr w:rsidR="006A4646" w:rsidTr="00151C46">
        <w:tc>
          <w:tcPr>
            <w:tcW w:w="0" w:type="auto"/>
          </w:tcPr>
          <w:p w:rsidR="006A4646" w:rsidRDefault="006A4646" w:rsidP="002A0020">
            <w:pPr>
              <w:rPr>
                <w:sz w:val="24"/>
              </w:rPr>
            </w:pPr>
            <w:r>
              <w:rPr>
                <w:sz w:val="24"/>
              </w:rPr>
              <w:t>HUD-92442</w:t>
            </w:r>
          </w:p>
        </w:tc>
        <w:tc>
          <w:tcPr>
            <w:tcW w:w="1616" w:type="dxa"/>
            <w:shd w:val="clear" w:color="auto" w:fill="F2F2F2" w:themeFill="background1" w:themeFillShade="F2"/>
          </w:tcPr>
          <w:p w:rsidR="006A4646" w:rsidRPr="00151C46" w:rsidRDefault="006A4646" w:rsidP="002A0020">
            <w:pPr>
              <w:rPr>
                <w:sz w:val="24"/>
              </w:rPr>
            </w:pPr>
            <w:r w:rsidRPr="00151C46">
              <w:rPr>
                <w:sz w:val="24"/>
              </w:rPr>
              <w:t xml:space="preserve">  157</w:t>
            </w:r>
          </w:p>
        </w:tc>
        <w:tc>
          <w:tcPr>
            <w:tcW w:w="1441" w:type="dxa"/>
          </w:tcPr>
          <w:p w:rsidR="006A4646" w:rsidRDefault="006A4646" w:rsidP="002A0020">
            <w:pPr>
              <w:rPr>
                <w:sz w:val="24"/>
              </w:rPr>
            </w:pPr>
            <w:r>
              <w:rPr>
                <w:sz w:val="24"/>
              </w:rPr>
              <w:t>1</w:t>
            </w:r>
          </w:p>
        </w:tc>
        <w:tc>
          <w:tcPr>
            <w:tcW w:w="1141" w:type="dxa"/>
          </w:tcPr>
          <w:p w:rsidR="006A4646" w:rsidRDefault="006A4646" w:rsidP="002A0020">
            <w:pPr>
              <w:rPr>
                <w:sz w:val="24"/>
              </w:rPr>
            </w:pPr>
            <w:r>
              <w:rPr>
                <w:sz w:val="24"/>
              </w:rPr>
              <w:t xml:space="preserve">  157</w:t>
            </w:r>
          </w:p>
        </w:tc>
        <w:tc>
          <w:tcPr>
            <w:tcW w:w="0" w:type="auto"/>
          </w:tcPr>
          <w:p w:rsidR="006A4646" w:rsidRDefault="006A4646" w:rsidP="002A0020">
            <w:pPr>
              <w:rPr>
                <w:sz w:val="24"/>
              </w:rPr>
            </w:pPr>
            <w:r>
              <w:rPr>
                <w:sz w:val="24"/>
              </w:rPr>
              <w:t xml:space="preserve">  16</w:t>
            </w:r>
          </w:p>
        </w:tc>
        <w:tc>
          <w:tcPr>
            <w:tcW w:w="0" w:type="auto"/>
            <w:shd w:val="clear" w:color="auto" w:fill="F2F2F2" w:themeFill="background1" w:themeFillShade="F2"/>
          </w:tcPr>
          <w:p w:rsidR="006A4646" w:rsidRDefault="006A4646" w:rsidP="002A0020">
            <w:pPr>
              <w:rPr>
                <w:sz w:val="24"/>
              </w:rPr>
            </w:pPr>
            <w:r>
              <w:rPr>
                <w:sz w:val="24"/>
              </w:rPr>
              <w:t xml:space="preserve"> 2512</w:t>
            </w:r>
          </w:p>
        </w:tc>
        <w:tc>
          <w:tcPr>
            <w:tcW w:w="0" w:type="auto"/>
          </w:tcPr>
          <w:p w:rsidR="006A4646" w:rsidRDefault="00003F15" w:rsidP="002A0020">
            <w:pPr>
              <w:rPr>
                <w:sz w:val="24"/>
              </w:rPr>
            </w:pPr>
            <w:r>
              <w:rPr>
                <w:sz w:val="24"/>
              </w:rPr>
              <w:t>$</w:t>
            </w:r>
            <w:r w:rsidR="006A4646">
              <w:rPr>
                <w:sz w:val="24"/>
              </w:rPr>
              <w:t xml:space="preserve"> 40.00</w:t>
            </w:r>
          </w:p>
        </w:tc>
        <w:tc>
          <w:tcPr>
            <w:tcW w:w="0" w:type="auto"/>
          </w:tcPr>
          <w:p w:rsidR="006A4646" w:rsidRDefault="006A4646" w:rsidP="002A0020">
            <w:pPr>
              <w:rPr>
                <w:sz w:val="24"/>
              </w:rPr>
            </w:pPr>
            <w:r>
              <w:rPr>
                <w:sz w:val="24"/>
              </w:rPr>
              <w:t>$ 100,480</w:t>
            </w:r>
          </w:p>
        </w:tc>
      </w:tr>
      <w:tr w:rsidR="006A4646" w:rsidTr="00151C46">
        <w:tc>
          <w:tcPr>
            <w:tcW w:w="0" w:type="auto"/>
          </w:tcPr>
          <w:p w:rsidR="006A4646" w:rsidRDefault="006A4646" w:rsidP="002A0020">
            <w:pPr>
              <w:rPr>
                <w:sz w:val="24"/>
              </w:rPr>
            </w:pPr>
            <w:r>
              <w:rPr>
                <w:sz w:val="24"/>
              </w:rPr>
              <w:t>HUD-92442-A</w:t>
            </w:r>
          </w:p>
        </w:tc>
        <w:tc>
          <w:tcPr>
            <w:tcW w:w="1616" w:type="dxa"/>
            <w:shd w:val="clear" w:color="auto" w:fill="F2F2F2" w:themeFill="background1" w:themeFillShade="F2"/>
          </w:tcPr>
          <w:p w:rsidR="006A4646" w:rsidRPr="00151C46" w:rsidRDefault="006A4646" w:rsidP="002A0020">
            <w:pPr>
              <w:rPr>
                <w:sz w:val="24"/>
              </w:rPr>
            </w:pPr>
            <w:r w:rsidRPr="00151C46">
              <w:rPr>
                <w:sz w:val="24"/>
              </w:rPr>
              <w:t xml:space="preserve">  157</w:t>
            </w:r>
          </w:p>
        </w:tc>
        <w:tc>
          <w:tcPr>
            <w:tcW w:w="1441" w:type="dxa"/>
          </w:tcPr>
          <w:p w:rsidR="006A4646" w:rsidRDefault="006A4646" w:rsidP="002A0020">
            <w:pPr>
              <w:rPr>
                <w:sz w:val="24"/>
              </w:rPr>
            </w:pPr>
            <w:r>
              <w:rPr>
                <w:sz w:val="24"/>
              </w:rPr>
              <w:t>1</w:t>
            </w:r>
          </w:p>
        </w:tc>
        <w:tc>
          <w:tcPr>
            <w:tcW w:w="1141" w:type="dxa"/>
          </w:tcPr>
          <w:p w:rsidR="006A4646" w:rsidRDefault="006A4646" w:rsidP="002A0020">
            <w:pPr>
              <w:rPr>
                <w:sz w:val="24"/>
              </w:rPr>
            </w:pPr>
            <w:r>
              <w:rPr>
                <w:sz w:val="24"/>
              </w:rPr>
              <w:t xml:space="preserve">  157</w:t>
            </w:r>
          </w:p>
        </w:tc>
        <w:tc>
          <w:tcPr>
            <w:tcW w:w="0" w:type="auto"/>
          </w:tcPr>
          <w:p w:rsidR="006A4646" w:rsidRDefault="006A4646" w:rsidP="002A0020">
            <w:pPr>
              <w:rPr>
                <w:sz w:val="24"/>
              </w:rPr>
            </w:pPr>
            <w:r>
              <w:rPr>
                <w:sz w:val="24"/>
              </w:rPr>
              <w:t xml:space="preserve">  16</w:t>
            </w:r>
          </w:p>
        </w:tc>
        <w:tc>
          <w:tcPr>
            <w:tcW w:w="0" w:type="auto"/>
            <w:shd w:val="clear" w:color="auto" w:fill="F2F2F2" w:themeFill="background1" w:themeFillShade="F2"/>
          </w:tcPr>
          <w:p w:rsidR="006A4646" w:rsidRDefault="006A4646" w:rsidP="002A0020">
            <w:pPr>
              <w:rPr>
                <w:sz w:val="24"/>
              </w:rPr>
            </w:pPr>
            <w:r>
              <w:rPr>
                <w:sz w:val="24"/>
              </w:rPr>
              <w:t xml:space="preserve"> 2512</w:t>
            </w:r>
          </w:p>
        </w:tc>
        <w:tc>
          <w:tcPr>
            <w:tcW w:w="0" w:type="auto"/>
          </w:tcPr>
          <w:p w:rsidR="006A4646" w:rsidRDefault="00003F15" w:rsidP="002A0020">
            <w:pPr>
              <w:rPr>
                <w:sz w:val="24"/>
              </w:rPr>
            </w:pPr>
            <w:r>
              <w:rPr>
                <w:sz w:val="24"/>
              </w:rPr>
              <w:t xml:space="preserve">$ </w:t>
            </w:r>
            <w:r w:rsidR="006A4646">
              <w:rPr>
                <w:sz w:val="24"/>
              </w:rPr>
              <w:t>40.00</w:t>
            </w:r>
          </w:p>
        </w:tc>
        <w:tc>
          <w:tcPr>
            <w:tcW w:w="0" w:type="auto"/>
          </w:tcPr>
          <w:p w:rsidR="006A4646" w:rsidRDefault="006A4646" w:rsidP="002A0020">
            <w:pPr>
              <w:rPr>
                <w:sz w:val="24"/>
              </w:rPr>
            </w:pPr>
            <w:r>
              <w:rPr>
                <w:sz w:val="24"/>
              </w:rPr>
              <w:t>$ 100,480</w:t>
            </w:r>
          </w:p>
        </w:tc>
      </w:tr>
      <w:tr w:rsidR="006A4646" w:rsidTr="00151C46">
        <w:tc>
          <w:tcPr>
            <w:tcW w:w="0" w:type="auto"/>
          </w:tcPr>
          <w:p w:rsidR="006A4646" w:rsidRDefault="006A4646" w:rsidP="002A0020">
            <w:pPr>
              <w:rPr>
                <w:sz w:val="24"/>
              </w:rPr>
            </w:pPr>
            <w:r>
              <w:rPr>
                <w:sz w:val="24"/>
              </w:rPr>
              <w:t>HUD-92442-CA</w:t>
            </w:r>
          </w:p>
        </w:tc>
        <w:tc>
          <w:tcPr>
            <w:tcW w:w="1616" w:type="dxa"/>
            <w:shd w:val="clear" w:color="auto" w:fill="F2F2F2" w:themeFill="background1" w:themeFillShade="F2"/>
          </w:tcPr>
          <w:p w:rsidR="006A4646" w:rsidRPr="00151C46" w:rsidRDefault="006A4646" w:rsidP="002A0020">
            <w:pPr>
              <w:rPr>
                <w:sz w:val="24"/>
              </w:rPr>
            </w:pPr>
            <w:r w:rsidRPr="00151C46">
              <w:rPr>
                <w:sz w:val="24"/>
              </w:rPr>
              <w:t xml:space="preserve">  265</w:t>
            </w:r>
          </w:p>
        </w:tc>
        <w:tc>
          <w:tcPr>
            <w:tcW w:w="1441" w:type="dxa"/>
          </w:tcPr>
          <w:p w:rsidR="006A4646" w:rsidRDefault="006A4646" w:rsidP="002A0020">
            <w:pPr>
              <w:rPr>
                <w:sz w:val="24"/>
              </w:rPr>
            </w:pPr>
            <w:r>
              <w:rPr>
                <w:sz w:val="24"/>
              </w:rPr>
              <w:t>1</w:t>
            </w:r>
          </w:p>
        </w:tc>
        <w:tc>
          <w:tcPr>
            <w:tcW w:w="1141" w:type="dxa"/>
          </w:tcPr>
          <w:p w:rsidR="006A4646" w:rsidRDefault="006A4646" w:rsidP="002A0020">
            <w:pPr>
              <w:rPr>
                <w:sz w:val="24"/>
              </w:rPr>
            </w:pPr>
            <w:r>
              <w:rPr>
                <w:sz w:val="24"/>
              </w:rPr>
              <w:t xml:space="preserve">  265</w:t>
            </w:r>
          </w:p>
        </w:tc>
        <w:tc>
          <w:tcPr>
            <w:tcW w:w="0" w:type="auto"/>
          </w:tcPr>
          <w:p w:rsidR="006A4646" w:rsidRDefault="006A4646" w:rsidP="002A0020">
            <w:pPr>
              <w:rPr>
                <w:sz w:val="24"/>
              </w:rPr>
            </w:pPr>
            <w:r>
              <w:rPr>
                <w:sz w:val="24"/>
              </w:rPr>
              <w:t xml:space="preserve">    2</w:t>
            </w:r>
          </w:p>
        </w:tc>
        <w:tc>
          <w:tcPr>
            <w:tcW w:w="0" w:type="auto"/>
            <w:shd w:val="clear" w:color="auto" w:fill="F2F2F2" w:themeFill="background1" w:themeFillShade="F2"/>
          </w:tcPr>
          <w:p w:rsidR="006A4646" w:rsidRDefault="006A4646" w:rsidP="002A0020">
            <w:pPr>
              <w:rPr>
                <w:sz w:val="24"/>
              </w:rPr>
            </w:pPr>
            <w:r>
              <w:rPr>
                <w:sz w:val="24"/>
              </w:rPr>
              <w:t xml:space="preserve">   530</w:t>
            </w:r>
          </w:p>
        </w:tc>
        <w:tc>
          <w:tcPr>
            <w:tcW w:w="0" w:type="auto"/>
          </w:tcPr>
          <w:p w:rsidR="006A4646" w:rsidRDefault="00003F15" w:rsidP="002A0020">
            <w:pPr>
              <w:rPr>
                <w:sz w:val="24"/>
              </w:rPr>
            </w:pPr>
            <w:r>
              <w:rPr>
                <w:sz w:val="24"/>
              </w:rPr>
              <w:t>$</w:t>
            </w:r>
            <w:r w:rsidR="006A4646">
              <w:rPr>
                <w:sz w:val="24"/>
              </w:rPr>
              <w:t xml:space="preserve"> 40.00</w:t>
            </w:r>
          </w:p>
        </w:tc>
        <w:tc>
          <w:tcPr>
            <w:tcW w:w="0" w:type="auto"/>
          </w:tcPr>
          <w:p w:rsidR="006A4646" w:rsidRDefault="006A4646" w:rsidP="002A0020">
            <w:pPr>
              <w:rPr>
                <w:sz w:val="24"/>
              </w:rPr>
            </w:pPr>
            <w:r>
              <w:rPr>
                <w:sz w:val="24"/>
              </w:rPr>
              <w:t>$   21,200</w:t>
            </w:r>
          </w:p>
        </w:tc>
      </w:tr>
      <w:tr w:rsidR="006A4646" w:rsidTr="00151C46">
        <w:tc>
          <w:tcPr>
            <w:tcW w:w="0" w:type="auto"/>
          </w:tcPr>
          <w:p w:rsidR="006A4646" w:rsidRDefault="006A4646" w:rsidP="002A0020">
            <w:pPr>
              <w:rPr>
                <w:sz w:val="24"/>
              </w:rPr>
            </w:pPr>
            <w:r>
              <w:rPr>
                <w:sz w:val="24"/>
              </w:rPr>
              <w:t>HUD-92442-A-CA</w:t>
            </w:r>
          </w:p>
        </w:tc>
        <w:tc>
          <w:tcPr>
            <w:tcW w:w="1616" w:type="dxa"/>
            <w:shd w:val="clear" w:color="auto" w:fill="F2F2F2" w:themeFill="background1" w:themeFillShade="F2"/>
          </w:tcPr>
          <w:p w:rsidR="006A4646" w:rsidRPr="00151C46" w:rsidRDefault="006A4646" w:rsidP="002A0020">
            <w:pPr>
              <w:rPr>
                <w:sz w:val="24"/>
              </w:rPr>
            </w:pPr>
            <w:r w:rsidRPr="00151C46">
              <w:rPr>
                <w:sz w:val="24"/>
              </w:rPr>
              <w:t xml:space="preserve">  265</w:t>
            </w:r>
          </w:p>
        </w:tc>
        <w:tc>
          <w:tcPr>
            <w:tcW w:w="1441" w:type="dxa"/>
          </w:tcPr>
          <w:p w:rsidR="006A4646" w:rsidRDefault="006A4646" w:rsidP="002A0020">
            <w:pPr>
              <w:rPr>
                <w:sz w:val="24"/>
              </w:rPr>
            </w:pPr>
            <w:r>
              <w:rPr>
                <w:sz w:val="24"/>
              </w:rPr>
              <w:t>1</w:t>
            </w:r>
          </w:p>
        </w:tc>
        <w:tc>
          <w:tcPr>
            <w:tcW w:w="1141" w:type="dxa"/>
          </w:tcPr>
          <w:p w:rsidR="006A4646" w:rsidRDefault="006A4646" w:rsidP="002A0020">
            <w:pPr>
              <w:rPr>
                <w:sz w:val="24"/>
              </w:rPr>
            </w:pPr>
            <w:r>
              <w:rPr>
                <w:sz w:val="24"/>
              </w:rPr>
              <w:t xml:space="preserve">  265</w:t>
            </w:r>
          </w:p>
        </w:tc>
        <w:tc>
          <w:tcPr>
            <w:tcW w:w="0" w:type="auto"/>
          </w:tcPr>
          <w:p w:rsidR="006A4646" w:rsidRDefault="006A4646" w:rsidP="002A0020">
            <w:pPr>
              <w:rPr>
                <w:sz w:val="24"/>
              </w:rPr>
            </w:pPr>
            <w:r>
              <w:rPr>
                <w:sz w:val="24"/>
              </w:rPr>
              <w:t xml:space="preserve">    2</w:t>
            </w:r>
          </w:p>
        </w:tc>
        <w:tc>
          <w:tcPr>
            <w:tcW w:w="0" w:type="auto"/>
            <w:shd w:val="clear" w:color="auto" w:fill="F2F2F2" w:themeFill="background1" w:themeFillShade="F2"/>
          </w:tcPr>
          <w:p w:rsidR="006A4646" w:rsidRDefault="006A4646" w:rsidP="002A0020">
            <w:pPr>
              <w:rPr>
                <w:sz w:val="24"/>
              </w:rPr>
            </w:pPr>
            <w:r>
              <w:rPr>
                <w:sz w:val="24"/>
              </w:rPr>
              <w:t xml:space="preserve">   530  </w:t>
            </w:r>
          </w:p>
        </w:tc>
        <w:tc>
          <w:tcPr>
            <w:tcW w:w="0" w:type="auto"/>
          </w:tcPr>
          <w:p w:rsidR="006A4646" w:rsidRDefault="00003F15" w:rsidP="002A0020">
            <w:pPr>
              <w:rPr>
                <w:sz w:val="24"/>
              </w:rPr>
            </w:pPr>
            <w:r>
              <w:rPr>
                <w:sz w:val="24"/>
              </w:rPr>
              <w:t>$</w:t>
            </w:r>
            <w:r w:rsidR="006A4646">
              <w:rPr>
                <w:sz w:val="24"/>
              </w:rPr>
              <w:t xml:space="preserve"> 40.00</w:t>
            </w:r>
          </w:p>
        </w:tc>
        <w:tc>
          <w:tcPr>
            <w:tcW w:w="0" w:type="auto"/>
          </w:tcPr>
          <w:p w:rsidR="006A4646" w:rsidRDefault="006A4646" w:rsidP="002A0020">
            <w:pPr>
              <w:rPr>
                <w:sz w:val="24"/>
              </w:rPr>
            </w:pPr>
            <w:r>
              <w:rPr>
                <w:sz w:val="24"/>
              </w:rPr>
              <w:t>$   21,200</w:t>
            </w:r>
          </w:p>
        </w:tc>
      </w:tr>
      <w:tr w:rsidR="006A4646" w:rsidRPr="00FD7C0E" w:rsidTr="00151C46">
        <w:tc>
          <w:tcPr>
            <w:tcW w:w="0" w:type="auto"/>
          </w:tcPr>
          <w:p w:rsidR="006A4646" w:rsidRDefault="006A4646" w:rsidP="002A0020">
            <w:pPr>
              <w:pStyle w:val="Heading2"/>
            </w:pPr>
            <w:r>
              <w:t>Totals</w:t>
            </w:r>
          </w:p>
        </w:tc>
        <w:tc>
          <w:tcPr>
            <w:tcW w:w="1616" w:type="dxa"/>
            <w:shd w:val="clear" w:color="auto" w:fill="F2F2F2" w:themeFill="background1" w:themeFillShade="F2"/>
          </w:tcPr>
          <w:p w:rsidR="006A4646" w:rsidRPr="00151C46" w:rsidRDefault="006A4646" w:rsidP="00C92E6F">
            <w:pPr>
              <w:rPr>
                <w:b/>
                <w:bCs/>
                <w:sz w:val="24"/>
              </w:rPr>
            </w:pPr>
          </w:p>
        </w:tc>
        <w:tc>
          <w:tcPr>
            <w:tcW w:w="1441" w:type="dxa"/>
          </w:tcPr>
          <w:p w:rsidR="006A4646" w:rsidRDefault="006A4646" w:rsidP="002A0020">
            <w:pPr>
              <w:rPr>
                <w:b/>
                <w:bCs/>
                <w:sz w:val="24"/>
              </w:rPr>
            </w:pPr>
          </w:p>
        </w:tc>
        <w:tc>
          <w:tcPr>
            <w:tcW w:w="1141" w:type="dxa"/>
          </w:tcPr>
          <w:p w:rsidR="006A4646" w:rsidRDefault="00187BBB" w:rsidP="002A0020">
            <w:pPr>
              <w:rPr>
                <w:b/>
                <w:bCs/>
                <w:sz w:val="24"/>
              </w:rPr>
            </w:pPr>
            <w:r>
              <w:rPr>
                <w:b/>
                <w:bCs/>
                <w:sz w:val="24"/>
              </w:rPr>
              <w:t>1,472</w:t>
            </w:r>
          </w:p>
        </w:tc>
        <w:tc>
          <w:tcPr>
            <w:tcW w:w="0" w:type="auto"/>
          </w:tcPr>
          <w:p w:rsidR="006A4646" w:rsidRDefault="006A4646" w:rsidP="00C92E6F">
            <w:pPr>
              <w:rPr>
                <w:b/>
                <w:bCs/>
                <w:sz w:val="24"/>
              </w:rPr>
            </w:pPr>
            <w:r>
              <w:rPr>
                <w:b/>
                <w:bCs/>
                <w:sz w:val="24"/>
              </w:rPr>
              <w:t xml:space="preserve">  </w:t>
            </w:r>
          </w:p>
        </w:tc>
        <w:tc>
          <w:tcPr>
            <w:tcW w:w="0" w:type="auto"/>
            <w:shd w:val="clear" w:color="auto" w:fill="F2F2F2" w:themeFill="background1" w:themeFillShade="F2"/>
          </w:tcPr>
          <w:p w:rsidR="006A4646" w:rsidRDefault="00187BBB" w:rsidP="002A0020">
            <w:pPr>
              <w:rPr>
                <w:b/>
                <w:bCs/>
                <w:sz w:val="24"/>
              </w:rPr>
            </w:pPr>
            <w:r>
              <w:rPr>
                <w:b/>
                <w:bCs/>
                <w:sz w:val="24"/>
              </w:rPr>
              <w:t>9,538</w:t>
            </w:r>
          </w:p>
        </w:tc>
        <w:tc>
          <w:tcPr>
            <w:tcW w:w="0" w:type="auto"/>
          </w:tcPr>
          <w:p w:rsidR="006A4646" w:rsidRDefault="006A4646" w:rsidP="002A0020">
            <w:pPr>
              <w:rPr>
                <w:sz w:val="24"/>
              </w:rPr>
            </w:pPr>
          </w:p>
        </w:tc>
        <w:tc>
          <w:tcPr>
            <w:tcW w:w="0" w:type="auto"/>
          </w:tcPr>
          <w:p w:rsidR="006A4646" w:rsidRPr="00FD7C0E" w:rsidRDefault="006A4646" w:rsidP="002A0020">
            <w:pPr>
              <w:rPr>
                <w:b/>
                <w:sz w:val="24"/>
              </w:rPr>
            </w:pPr>
            <w:r w:rsidRPr="00FD7C0E">
              <w:rPr>
                <w:b/>
                <w:sz w:val="24"/>
              </w:rPr>
              <w:t>$ 381,520</w:t>
            </w:r>
          </w:p>
        </w:tc>
      </w:tr>
    </w:tbl>
    <w:p w:rsidR="006A4646" w:rsidRDefault="006A4646" w:rsidP="006A4646">
      <w:pPr>
        <w:ind w:firstLine="720"/>
        <w:rPr>
          <w:sz w:val="24"/>
        </w:rPr>
      </w:pPr>
      <w:r>
        <w:rPr>
          <w:sz w:val="24"/>
        </w:rPr>
        <w:t xml:space="preserve"> </w:t>
      </w:r>
    </w:p>
    <w:p w:rsidR="006A4646" w:rsidRDefault="006A4646" w:rsidP="006A4646">
      <w:pPr>
        <w:pStyle w:val="BodyTextIndent"/>
      </w:pPr>
      <w:r>
        <w:t>13.</w:t>
      </w:r>
      <w:r>
        <w:tab/>
        <w:t>There are no new capital or start-up costs that apply to these collections of information.  There are no annual operation or maintenance costs resulting from these collections of information.</w:t>
      </w:r>
    </w:p>
    <w:p w:rsidR="006A4646" w:rsidRDefault="006A4646" w:rsidP="006A4646">
      <w:pPr>
        <w:rPr>
          <w:sz w:val="24"/>
        </w:rPr>
      </w:pPr>
    </w:p>
    <w:p w:rsidR="00A40409" w:rsidRDefault="00A40409" w:rsidP="006A4646">
      <w:pPr>
        <w:pStyle w:val="BodyTextIndent"/>
        <w:ind w:left="0" w:firstLine="0"/>
      </w:pPr>
    </w:p>
    <w:p w:rsidR="00A40409" w:rsidRDefault="00A40409" w:rsidP="006A4646">
      <w:pPr>
        <w:pStyle w:val="BodyTextIndent"/>
        <w:ind w:left="0" w:firstLine="0"/>
      </w:pPr>
    </w:p>
    <w:p w:rsidR="00A40409" w:rsidRDefault="00A40409" w:rsidP="006A4646">
      <w:pPr>
        <w:pStyle w:val="BodyTextIndent"/>
        <w:ind w:left="0" w:firstLine="0"/>
      </w:pPr>
    </w:p>
    <w:p w:rsidR="00A40409" w:rsidRDefault="00A40409" w:rsidP="006A4646">
      <w:pPr>
        <w:pStyle w:val="BodyTextIndent"/>
        <w:ind w:left="0" w:firstLine="0"/>
      </w:pPr>
    </w:p>
    <w:p w:rsidR="00A40409" w:rsidRDefault="00A40409" w:rsidP="006A4646">
      <w:pPr>
        <w:pStyle w:val="BodyTextIndent"/>
        <w:ind w:left="0" w:firstLine="0"/>
      </w:pPr>
    </w:p>
    <w:p w:rsidR="00A40409" w:rsidRDefault="00A40409" w:rsidP="006A4646">
      <w:pPr>
        <w:pStyle w:val="BodyTextIndent"/>
        <w:ind w:left="0" w:firstLine="0"/>
      </w:pPr>
    </w:p>
    <w:p w:rsidR="00A40409" w:rsidRDefault="00A40409" w:rsidP="006A4646">
      <w:pPr>
        <w:pStyle w:val="BodyTextIndent"/>
        <w:ind w:left="0" w:firstLine="0"/>
      </w:pPr>
    </w:p>
    <w:p w:rsidR="00A40409" w:rsidRDefault="00A40409" w:rsidP="006A4646">
      <w:pPr>
        <w:pStyle w:val="BodyTextIndent"/>
        <w:ind w:left="0" w:firstLine="0"/>
      </w:pPr>
    </w:p>
    <w:p w:rsidR="00A40409" w:rsidRDefault="00A40409" w:rsidP="006A4646">
      <w:pPr>
        <w:pStyle w:val="BodyTextIndent"/>
        <w:ind w:left="0" w:firstLine="0"/>
      </w:pPr>
    </w:p>
    <w:p w:rsidR="00A40409" w:rsidRDefault="00A40409" w:rsidP="006A4646">
      <w:pPr>
        <w:pStyle w:val="BodyTextIndent"/>
        <w:ind w:left="0" w:firstLine="0"/>
      </w:pPr>
    </w:p>
    <w:p w:rsidR="00A40409" w:rsidRDefault="00A40409" w:rsidP="006A4646">
      <w:pPr>
        <w:pStyle w:val="BodyTextIndent"/>
        <w:ind w:left="0" w:firstLine="0"/>
      </w:pPr>
    </w:p>
    <w:p w:rsidR="00A40409" w:rsidRDefault="00A40409" w:rsidP="006A4646">
      <w:pPr>
        <w:pStyle w:val="BodyTextIndent"/>
        <w:ind w:left="0" w:firstLine="0"/>
      </w:pPr>
    </w:p>
    <w:p w:rsidR="006A4646" w:rsidRDefault="006A4646" w:rsidP="006A4646">
      <w:pPr>
        <w:pStyle w:val="BodyTextIndent"/>
        <w:ind w:left="0" w:firstLine="0"/>
      </w:pPr>
      <w:r>
        <w:lastRenderedPageBreak/>
        <w:t>14. Annual Cost to the Federal Government:  Estimated cost based on the annual salary of a GS 12/Step 5 Salary of $</w:t>
      </w:r>
      <w:r w:rsidR="00014FC4">
        <w:t>80,481</w:t>
      </w:r>
      <w:r w:rsidR="00E8092B">
        <w:t>.</w:t>
      </w:r>
      <w:r>
        <w:t xml:space="preserve"> </w:t>
      </w:r>
    </w:p>
    <w:p w:rsidR="006A4646" w:rsidRDefault="006A4646" w:rsidP="006A4646">
      <w:pPr>
        <w:pStyle w:val="BodyTextIndent"/>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2"/>
        <w:gridCol w:w="1443"/>
        <w:gridCol w:w="1229"/>
        <w:gridCol w:w="1230"/>
        <w:gridCol w:w="1136"/>
        <w:gridCol w:w="923"/>
        <w:gridCol w:w="896"/>
        <w:gridCol w:w="1316"/>
      </w:tblGrid>
      <w:tr w:rsidR="00E8092B" w:rsidTr="009B52B1">
        <w:trPr>
          <w:trHeight w:val="70"/>
        </w:trPr>
        <w:tc>
          <w:tcPr>
            <w:tcW w:w="2495" w:type="dxa"/>
          </w:tcPr>
          <w:p w:rsidR="006A4646" w:rsidRDefault="006A4646" w:rsidP="002A0020">
            <w:pPr>
              <w:pStyle w:val="BodyTextIndent"/>
              <w:ind w:left="0" w:firstLine="0"/>
            </w:pPr>
            <w:r>
              <w:t xml:space="preserve">Information </w:t>
            </w:r>
          </w:p>
          <w:p w:rsidR="006A4646" w:rsidRDefault="006A4646" w:rsidP="002A0020">
            <w:pPr>
              <w:pStyle w:val="BodyTextIndent"/>
              <w:ind w:left="0" w:firstLine="0"/>
            </w:pPr>
            <w:r>
              <w:t>Collection</w:t>
            </w:r>
          </w:p>
          <w:p w:rsidR="00E8092B" w:rsidRDefault="00E8092B" w:rsidP="002A0020">
            <w:pPr>
              <w:pStyle w:val="BodyTextIndent"/>
              <w:ind w:left="0" w:firstLine="0"/>
            </w:pPr>
          </w:p>
          <w:p w:rsidR="00E8092B" w:rsidRDefault="00E8092B" w:rsidP="002A0020">
            <w:pPr>
              <w:pStyle w:val="BodyTextIndent"/>
              <w:ind w:left="0" w:firstLine="0"/>
            </w:pPr>
          </w:p>
        </w:tc>
        <w:tc>
          <w:tcPr>
            <w:tcW w:w="0" w:type="auto"/>
          </w:tcPr>
          <w:p w:rsidR="006A4646" w:rsidRDefault="006A4646" w:rsidP="002A0020">
            <w:pPr>
              <w:pStyle w:val="BodyTextIndent"/>
              <w:ind w:left="0" w:firstLine="0"/>
            </w:pPr>
            <w:r>
              <w:t>Number of</w:t>
            </w:r>
          </w:p>
          <w:p w:rsidR="006A4646" w:rsidRDefault="006A4646" w:rsidP="00E8092B">
            <w:pPr>
              <w:pStyle w:val="BodyTextIndent"/>
              <w:ind w:left="0" w:firstLine="0"/>
            </w:pPr>
            <w:r>
              <w:t>Respon</w:t>
            </w:r>
            <w:r w:rsidR="00E8092B">
              <w:t>dents</w:t>
            </w:r>
            <w:r>
              <w:t xml:space="preserve"> </w:t>
            </w:r>
          </w:p>
        </w:tc>
        <w:tc>
          <w:tcPr>
            <w:tcW w:w="0" w:type="auto"/>
          </w:tcPr>
          <w:p w:rsidR="006A4646" w:rsidRDefault="006A4646" w:rsidP="002A0020">
            <w:pPr>
              <w:pStyle w:val="BodyTextIndent"/>
              <w:ind w:left="0" w:firstLine="0"/>
            </w:pPr>
            <w:r>
              <w:t>Frequency of</w:t>
            </w:r>
          </w:p>
          <w:p w:rsidR="006A4646" w:rsidRDefault="00E8092B" w:rsidP="002A0020">
            <w:pPr>
              <w:pStyle w:val="BodyTextIndent"/>
              <w:ind w:left="0" w:firstLine="0"/>
            </w:pPr>
            <w:r>
              <w:t>Response</w:t>
            </w:r>
          </w:p>
        </w:tc>
        <w:tc>
          <w:tcPr>
            <w:tcW w:w="0" w:type="auto"/>
          </w:tcPr>
          <w:p w:rsidR="006A4646" w:rsidRDefault="00E8092B" w:rsidP="00E8092B">
            <w:pPr>
              <w:pStyle w:val="BodyTextIndent"/>
              <w:ind w:left="0" w:firstLine="0"/>
            </w:pPr>
            <w:r>
              <w:t xml:space="preserve">Total Annual </w:t>
            </w:r>
            <w:r w:rsidR="006A4646">
              <w:t xml:space="preserve">Responses </w:t>
            </w:r>
          </w:p>
        </w:tc>
        <w:tc>
          <w:tcPr>
            <w:tcW w:w="0" w:type="auto"/>
          </w:tcPr>
          <w:p w:rsidR="006A4646" w:rsidRDefault="006A4646" w:rsidP="002A0020">
            <w:pPr>
              <w:pStyle w:val="BodyTextIndent"/>
              <w:ind w:left="0" w:firstLine="0"/>
            </w:pPr>
            <w:r>
              <w:t xml:space="preserve">Burden </w:t>
            </w:r>
          </w:p>
          <w:p w:rsidR="006A4646" w:rsidRDefault="006A4646" w:rsidP="002A0020">
            <w:pPr>
              <w:pStyle w:val="BodyTextIndent"/>
              <w:ind w:left="0" w:firstLine="0"/>
            </w:pPr>
            <w:r>
              <w:t>Hour Per</w:t>
            </w:r>
          </w:p>
          <w:p w:rsidR="006A4646" w:rsidRDefault="006A4646" w:rsidP="002A0020">
            <w:pPr>
              <w:pStyle w:val="BodyTextIndent"/>
              <w:ind w:left="0" w:firstLine="0"/>
            </w:pPr>
            <w:r>
              <w:t>Response</w:t>
            </w:r>
          </w:p>
        </w:tc>
        <w:tc>
          <w:tcPr>
            <w:tcW w:w="0" w:type="auto"/>
          </w:tcPr>
          <w:p w:rsidR="006A4646" w:rsidRDefault="006A4646" w:rsidP="002A0020">
            <w:pPr>
              <w:pStyle w:val="BodyTextIndent"/>
              <w:ind w:left="0" w:firstLine="0"/>
            </w:pPr>
            <w:r>
              <w:t xml:space="preserve">Annual </w:t>
            </w:r>
          </w:p>
          <w:p w:rsidR="006A4646" w:rsidRDefault="006A4646" w:rsidP="002A0020">
            <w:pPr>
              <w:pStyle w:val="BodyTextIndent"/>
              <w:ind w:left="0" w:firstLine="0"/>
            </w:pPr>
            <w:r>
              <w:t>Burden</w:t>
            </w:r>
          </w:p>
          <w:p w:rsidR="006A4646" w:rsidRDefault="006A4646" w:rsidP="002A0020">
            <w:pPr>
              <w:pStyle w:val="BodyTextIndent"/>
              <w:ind w:left="0" w:firstLine="0"/>
            </w:pPr>
            <w:r>
              <w:t>Hours</w:t>
            </w:r>
          </w:p>
        </w:tc>
        <w:tc>
          <w:tcPr>
            <w:tcW w:w="0" w:type="auto"/>
          </w:tcPr>
          <w:p w:rsidR="006A4646" w:rsidRDefault="006A4646" w:rsidP="002A0020">
            <w:pPr>
              <w:pStyle w:val="BodyTextIndent"/>
              <w:ind w:left="0" w:firstLine="0"/>
            </w:pPr>
            <w:r>
              <w:t>Hourly</w:t>
            </w:r>
          </w:p>
          <w:p w:rsidR="006A4646" w:rsidRDefault="006A4646" w:rsidP="00E8092B">
            <w:pPr>
              <w:pStyle w:val="BodyTextIndent"/>
              <w:ind w:left="0" w:firstLine="0"/>
            </w:pPr>
            <w:r>
              <w:t>Cost</w:t>
            </w:r>
          </w:p>
        </w:tc>
        <w:tc>
          <w:tcPr>
            <w:tcW w:w="1125" w:type="dxa"/>
          </w:tcPr>
          <w:p w:rsidR="006A4646" w:rsidRDefault="00E8092B" w:rsidP="002A0020">
            <w:pPr>
              <w:pStyle w:val="BodyTextIndent"/>
              <w:ind w:left="0" w:firstLine="0"/>
            </w:pPr>
            <w:r>
              <w:t xml:space="preserve">Total </w:t>
            </w:r>
            <w:r w:rsidR="006A4646">
              <w:t>Annual</w:t>
            </w:r>
          </w:p>
          <w:p w:rsidR="006A4646" w:rsidRDefault="006A4646" w:rsidP="002A0020">
            <w:pPr>
              <w:pStyle w:val="BodyTextIndent"/>
              <w:ind w:left="0" w:firstLine="0"/>
            </w:pPr>
            <w:r>
              <w:t>Cost</w:t>
            </w:r>
          </w:p>
        </w:tc>
      </w:tr>
      <w:tr w:rsidR="00E8092B" w:rsidTr="00E8092B">
        <w:tc>
          <w:tcPr>
            <w:tcW w:w="2495" w:type="dxa"/>
          </w:tcPr>
          <w:p w:rsidR="006A4646" w:rsidRDefault="006A4646" w:rsidP="002A0020">
            <w:pPr>
              <w:pStyle w:val="BodyTextIndent"/>
              <w:ind w:left="0" w:firstLine="0"/>
            </w:pPr>
            <w:r>
              <w:t>HUD-92437</w:t>
            </w:r>
          </w:p>
        </w:tc>
        <w:tc>
          <w:tcPr>
            <w:tcW w:w="0" w:type="auto"/>
          </w:tcPr>
          <w:p w:rsidR="006A4646" w:rsidRDefault="006A4646" w:rsidP="002A0020">
            <w:pPr>
              <w:pStyle w:val="BodyTextIndent"/>
              <w:ind w:left="0" w:firstLine="0"/>
            </w:pPr>
            <w:r>
              <w:t xml:space="preserve">  157</w:t>
            </w:r>
          </w:p>
        </w:tc>
        <w:tc>
          <w:tcPr>
            <w:tcW w:w="0" w:type="auto"/>
          </w:tcPr>
          <w:p w:rsidR="006A4646" w:rsidRDefault="006A4646" w:rsidP="002A0020">
            <w:pPr>
              <w:pStyle w:val="BodyTextIndent"/>
              <w:ind w:left="0" w:firstLine="0"/>
            </w:pPr>
            <w:r>
              <w:t>3</w:t>
            </w:r>
          </w:p>
        </w:tc>
        <w:tc>
          <w:tcPr>
            <w:tcW w:w="0" w:type="auto"/>
          </w:tcPr>
          <w:p w:rsidR="006A4646" w:rsidRDefault="006A4646" w:rsidP="002A0020">
            <w:pPr>
              <w:pStyle w:val="BodyTextIndent"/>
              <w:ind w:left="0" w:firstLine="0"/>
            </w:pPr>
            <w:r>
              <w:t xml:space="preserve">    471</w:t>
            </w:r>
          </w:p>
        </w:tc>
        <w:tc>
          <w:tcPr>
            <w:tcW w:w="0" w:type="auto"/>
          </w:tcPr>
          <w:p w:rsidR="006A4646" w:rsidRDefault="006A4646" w:rsidP="002A0020">
            <w:pPr>
              <w:pStyle w:val="BodyTextIndent"/>
              <w:ind w:left="0" w:firstLine="0"/>
            </w:pPr>
            <w:r>
              <w:t xml:space="preserve">  2</w:t>
            </w:r>
          </w:p>
        </w:tc>
        <w:tc>
          <w:tcPr>
            <w:tcW w:w="0" w:type="auto"/>
          </w:tcPr>
          <w:p w:rsidR="006A4646" w:rsidRDefault="006A4646" w:rsidP="002A0020">
            <w:pPr>
              <w:pStyle w:val="BodyTextIndent"/>
              <w:ind w:left="0" w:firstLine="0"/>
            </w:pPr>
            <w:r>
              <w:t xml:space="preserve">    942</w:t>
            </w:r>
          </w:p>
        </w:tc>
        <w:tc>
          <w:tcPr>
            <w:tcW w:w="0" w:type="auto"/>
          </w:tcPr>
          <w:p w:rsidR="006A4646" w:rsidRDefault="009B52B1" w:rsidP="00014FC4">
            <w:pPr>
              <w:pStyle w:val="BodyTextIndent"/>
              <w:ind w:left="-44" w:firstLine="0"/>
            </w:pPr>
            <w:r>
              <w:t xml:space="preserve">$ </w:t>
            </w:r>
            <w:r w:rsidR="00014FC4">
              <w:t>38.56</w:t>
            </w:r>
          </w:p>
        </w:tc>
        <w:tc>
          <w:tcPr>
            <w:tcW w:w="1125" w:type="dxa"/>
          </w:tcPr>
          <w:p w:rsidR="006A4646" w:rsidRDefault="00BF2FBB" w:rsidP="002A0020">
            <w:pPr>
              <w:pStyle w:val="BodyTextIndent"/>
              <w:ind w:left="0" w:firstLine="0"/>
            </w:pPr>
            <w:r>
              <w:t>$</w:t>
            </w:r>
            <w:r w:rsidR="00514E13">
              <w:t>38,323.52</w:t>
            </w:r>
          </w:p>
        </w:tc>
      </w:tr>
      <w:tr w:rsidR="00E8092B" w:rsidTr="00E8092B">
        <w:tc>
          <w:tcPr>
            <w:tcW w:w="2495" w:type="dxa"/>
          </w:tcPr>
          <w:p w:rsidR="006A4646" w:rsidRDefault="006A4646" w:rsidP="002A0020">
            <w:pPr>
              <w:pStyle w:val="BodyTextIndent"/>
              <w:ind w:left="0" w:firstLine="0"/>
            </w:pPr>
            <w:r>
              <w:t>HUD-92441</w:t>
            </w:r>
          </w:p>
        </w:tc>
        <w:tc>
          <w:tcPr>
            <w:tcW w:w="0" w:type="auto"/>
          </w:tcPr>
          <w:p w:rsidR="006A4646" w:rsidRDefault="006A4646" w:rsidP="002A0020">
            <w:pPr>
              <w:pStyle w:val="BodyTextIndent"/>
              <w:ind w:left="0" w:firstLine="0"/>
            </w:pPr>
            <w:r>
              <w:t xml:space="preserve">  157</w:t>
            </w:r>
          </w:p>
        </w:tc>
        <w:tc>
          <w:tcPr>
            <w:tcW w:w="0" w:type="auto"/>
          </w:tcPr>
          <w:p w:rsidR="006A4646" w:rsidRDefault="006A4646" w:rsidP="002A0020">
            <w:pPr>
              <w:pStyle w:val="BodyTextIndent"/>
              <w:ind w:left="0" w:firstLine="0"/>
            </w:pPr>
            <w:r>
              <w:t>1</w:t>
            </w:r>
          </w:p>
        </w:tc>
        <w:tc>
          <w:tcPr>
            <w:tcW w:w="0" w:type="auto"/>
          </w:tcPr>
          <w:p w:rsidR="006A4646" w:rsidRDefault="006A4646" w:rsidP="002A0020">
            <w:pPr>
              <w:pStyle w:val="BodyTextIndent"/>
              <w:ind w:left="0" w:firstLine="0"/>
            </w:pPr>
            <w:r>
              <w:t xml:space="preserve">    157</w:t>
            </w:r>
          </w:p>
        </w:tc>
        <w:tc>
          <w:tcPr>
            <w:tcW w:w="0" w:type="auto"/>
          </w:tcPr>
          <w:p w:rsidR="006A4646" w:rsidRDefault="006A4646" w:rsidP="002A0020">
            <w:pPr>
              <w:pStyle w:val="BodyTextIndent"/>
              <w:ind w:left="0" w:firstLine="0"/>
            </w:pPr>
            <w:r>
              <w:t>16</w:t>
            </w:r>
          </w:p>
        </w:tc>
        <w:tc>
          <w:tcPr>
            <w:tcW w:w="0" w:type="auto"/>
          </w:tcPr>
          <w:p w:rsidR="006A4646" w:rsidRDefault="006A4646" w:rsidP="002A0020">
            <w:pPr>
              <w:pStyle w:val="BodyTextIndent"/>
              <w:ind w:left="0" w:firstLine="0"/>
            </w:pPr>
            <w:r>
              <w:t xml:space="preserve">  2512</w:t>
            </w:r>
          </w:p>
        </w:tc>
        <w:tc>
          <w:tcPr>
            <w:tcW w:w="0" w:type="auto"/>
          </w:tcPr>
          <w:p w:rsidR="006A4646" w:rsidRDefault="00014FC4" w:rsidP="008B3D4B">
            <w:pPr>
              <w:pStyle w:val="BodyTextIndent"/>
              <w:ind w:left="0" w:firstLine="0"/>
            </w:pPr>
            <w:r>
              <w:t>$38.56</w:t>
            </w:r>
          </w:p>
        </w:tc>
        <w:tc>
          <w:tcPr>
            <w:tcW w:w="1125" w:type="dxa"/>
          </w:tcPr>
          <w:p w:rsidR="006A4646" w:rsidRDefault="00514E13" w:rsidP="002A0020">
            <w:pPr>
              <w:pStyle w:val="BodyTextIndent"/>
              <w:ind w:left="0" w:firstLine="0"/>
            </w:pPr>
            <w:r>
              <w:t>$96,862.72</w:t>
            </w:r>
          </w:p>
        </w:tc>
      </w:tr>
      <w:tr w:rsidR="00E8092B" w:rsidTr="00E8092B">
        <w:tc>
          <w:tcPr>
            <w:tcW w:w="2495" w:type="dxa"/>
          </w:tcPr>
          <w:p w:rsidR="006A4646" w:rsidRDefault="006A4646" w:rsidP="002A0020">
            <w:pPr>
              <w:pStyle w:val="BodyTextIndent"/>
              <w:ind w:left="0" w:firstLine="0"/>
            </w:pPr>
            <w:r>
              <w:t>HUD-92442</w:t>
            </w:r>
          </w:p>
        </w:tc>
        <w:tc>
          <w:tcPr>
            <w:tcW w:w="0" w:type="auto"/>
          </w:tcPr>
          <w:p w:rsidR="006A4646" w:rsidRDefault="006A4646" w:rsidP="002A0020">
            <w:pPr>
              <w:pStyle w:val="BodyTextIndent"/>
              <w:ind w:left="0" w:firstLine="0"/>
            </w:pPr>
            <w:r>
              <w:t xml:space="preserve">  157</w:t>
            </w:r>
          </w:p>
        </w:tc>
        <w:tc>
          <w:tcPr>
            <w:tcW w:w="0" w:type="auto"/>
          </w:tcPr>
          <w:p w:rsidR="006A4646" w:rsidRDefault="006A4646" w:rsidP="002A0020">
            <w:pPr>
              <w:pStyle w:val="BodyTextIndent"/>
              <w:ind w:left="0" w:firstLine="0"/>
            </w:pPr>
            <w:r>
              <w:t>1</w:t>
            </w:r>
          </w:p>
        </w:tc>
        <w:tc>
          <w:tcPr>
            <w:tcW w:w="0" w:type="auto"/>
          </w:tcPr>
          <w:p w:rsidR="006A4646" w:rsidRDefault="006A4646" w:rsidP="002A0020">
            <w:pPr>
              <w:pStyle w:val="BodyTextIndent"/>
              <w:ind w:left="0" w:firstLine="0"/>
            </w:pPr>
            <w:r>
              <w:t xml:space="preserve">    157</w:t>
            </w:r>
          </w:p>
        </w:tc>
        <w:tc>
          <w:tcPr>
            <w:tcW w:w="0" w:type="auto"/>
          </w:tcPr>
          <w:p w:rsidR="006A4646" w:rsidRDefault="006A4646" w:rsidP="002A0020">
            <w:pPr>
              <w:pStyle w:val="BodyTextIndent"/>
              <w:ind w:left="0" w:firstLine="0"/>
            </w:pPr>
            <w:r>
              <w:t>16</w:t>
            </w:r>
          </w:p>
        </w:tc>
        <w:tc>
          <w:tcPr>
            <w:tcW w:w="0" w:type="auto"/>
          </w:tcPr>
          <w:p w:rsidR="006A4646" w:rsidRDefault="006A4646" w:rsidP="002A0020">
            <w:pPr>
              <w:pStyle w:val="BodyTextIndent"/>
              <w:ind w:left="0" w:firstLine="0"/>
            </w:pPr>
            <w:r>
              <w:t xml:space="preserve">  2512</w:t>
            </w:r>
          </w:p>
        </w:tc>
        <w:tc>
          <w:tcPr>
            <w:tcW w:w="0" w:type="auto"/>
          </w:tcPr>
          <w:p w:rsidR="006A4646" w:rsidRDefault="00014FC4" w:rsidP="002A0020">
            <w:pPr>
              <w:pStyle w:val="BodyTextIndent"/>
              <w:ind w:left="0" w:firstLine="0"/>
            </w:pPr>
            <w:r>
              <w:t>$38.56</w:t>
            </w:r>
          </w:p>
        </w:tc>
        <w:tc>
          <w:tcPr>
            <w:tcW w:w="1125" w:type="dxa"/>
          </w:tcPr>
          <w:p w:rsidR="006A4646" w:rsidRDefault="00514E13" w:rsidP="002A0020">
            <w:pPr>
              <w:pStyle w:val="BodyTextIndent"/>
              <w:ind w:left="0" w:firstLine="0"/>
            </w:pPr>
            <w:r>
              <w:t>$96,862.72</w:t>
            </w:r>
          </w:p>
        </w:tc>
      </w:tr>
      <w:tr w:rsidR="00E8092B" w:rsidTr="00E8092B">
        <w:tc>
          <w:tcPr>
            <w:tcW w:w="2495" w:type="dxa"/>
          </w:tcPr>
          <w:p w:rsidR="006A4646" w:rsidRDefault="006A4646" w:rsidP="002A0020">
            <w:pPr>
              <w:pStyle w:val="BodyTextIndent"/>
              <w:ind w:left="0" w:firstLine="0"/>
            </w:pPr>
            <w:r>
              <w:t>HUD-92442A</w:t>
            </w:r>
          </w:p>
        </w:tc>
        <w:tc>
          <w:tcPr>
            <w:tcW w:w="0" w:type="auto"/>
          </w:tcPr>
          <w:p w:rsidR="006A4646" w:rsidRDefault="006A4646" w:rsidP="002A0020">
            <w:pPr>
              <w:pStyle w:val="BodyTextIndent"/>
              <w:ind w:left="0" w:firstLine="0"/>
            </w:pPr>
            <w:r>
              <w:t xml:space="preserve">  157</w:t>
            </w:r>
          </w:p>
        </w:tc>
        <w:tc>
          <w:tcPr>
            <w:tcW w:w="0" w:type="auto"/>
          </w:tcPr>
          <w:p w:rsidR="006A4646" w:rsidRDefault="006A4646" w:rsidP="002A0020">
            <w:pPr>
              <w:pStyle w:val="BodyTextIndent"/>
              <w:ind w:left="0" w:firstLine="0"/>
            </w:pPr>
            <w:r>
              <w:t>1</w:t>
            </w:r>
          </w:p>
        </w:tc>
        <w:tc>
          <w:tcPr>
            <w:tcW w:w="0" w:type="auto"/>
          </w:tcPr>
          <w:p w:rsidR="006A4646" w:rsidRDefault="006A4646" w:rsidP="002A0020">
            <w:pPr>
              <w:pStyle w:val="BodyTextIndent"/>
              <w:ind w:left="0" w:firstLine="0"/>
            </w:pPr>
            <w:r>
              <w:t xml:space="preserve">    157</w:t>
            </w:r>
          </w:p>
        </w:tc>
        <w:tc>
          <w:tcPr>
            <w:tcW w:w="0" w:type="auto"/>
          </w:tcPr>
          <w:p w:rsidR="006A4646" w:rsidRDefault="006A4646" w:rsidP="002A0020">
            <w:pPr>
              <w:pStyle w:val="BodyTextIndent"/>
              <w:ind w:left="0" w:firstLine="0"/>
            </w:pPr>
            <w:r>
              <w:t>16</w:t>
            </w:r>
          </w:p>
        </w:tc>
        <w:tc>
          <w:tcPr>
            <w:tcW w:w="0" w:type="auto"/>
          </w:tcPr>
          <w:p w:rsidR="006A4646" w:rsidRDefault="006A4646" w:rsidP="002A0020">
            <w:pPr>
              <w:pStyle w:val="BodyTextIndent"/>
              <w:ind w:left="0" w:firstLine="0"/>
            </w:pPr>
            <w:r>
              <w:t xml:space="preserve">  2512</w:t>
            </w:r>
          </w:p>
        </w:tc>
        <w:tc>
          <w:tcPr>
            <w:tcW w:w="0" w:type="auto"/>
          </w:tcPr>
          <w:p w:rsidR="006A4646" w:rsidRDefault="00014FC4" w:rsidP="002A0020">
            <w:pPr>
              <w:pStyle w:val="BodyTextIndent"/>
              <w:ind w:left="0" w:firstLine="0"/>
            </w:pPr>
            <w:r>
              <w:t>$38.56</w:t>
            </w:r>
          </w:p>
        </w:tc>
        <w:tc>
          <w:tcPr>
            <w:tcW w:w="1125" w:type="dxa"/>
          </w:tcPr>
          <w:p w:rsidR="006A4646" w:rsidRDefault="00514E13" w:rsidP="002A0020">
            <w:pPr>
              <w:pStyle w:val="BodyTextIndent"/>
              <w:ind w:left="0" w:firstLine="0"/>
            </w:pPr>
            <w:r>
              <w:t>$96,862.72</w:t>
            </w:r>
          </w:p>
        </w:tc>
      </w:tr>
      <w:tr w:rsidR="00E8092B" w:rsidTr="00E8092B">
        <w:tc>
          <w:tcPr>
            <w:tcW w:w="2495" w:type="dxa"/>
          </w:tcPr>
          <w:p w:rsidR="006A4646" w:rsidRDefault="006A4646" w:rsidP="002A0020">
            <w:pPr>
              <w:pStyle w:val="BodyTextIndent"/>
              <w:ind w:left="0" w:firstLine="0"/>
            </w:pPr>
            <w:r>
              <w:t>HUD-92442-CA</w:t>
            </w:r>
          </w:p>
        </w:tc>
        <w:tc>
          <w:tcPr>
            <w:tcW w:w="0" w:type="auto"/>
          </w:tcPr>
          <w:p w:rsidR="006A4646" w:rsidRDefault="006A4646" w:rsidP="002A0020">
            <w:pPr>
              <w:pStyle w:val="BodyTextIndent"/>
              <w:ind w:left="0" w:firstLine="0"/>
            </w:pPr>
            <w:r>
              <w:t xml:space="preserve">  265</w:t>
            </w:r>
          </w:p>
        </w:tc>
        <w:tc>
          <w:tcPr>
            <w:tcW w:w="0" w:type="auto"/>
          </w:tcPr>
          <w:p w:rsidR="006A4646" w:rsidRDefault="006A4646" w:rsidP="002A0020">
            <w:pPr>
              <w:pStyle w:val="BodyTextIndent"/>
              <w:ind w:left="0" w:firstLine="0"/>
            </w:pPr>
            <w:r>
              <w:t>1</w:t>
            </w:r>
          </w:p>
        </w:tc>
        <w:tc>
          <w:tcPr>
            <w:tcW w:w="0" w:type="auto"/>
          </w:tcPr>
          <w:p w:rsidR="006A4646" w:rsidRDefault="006A4646" w:rsidP="002A0020">
            <w:pPr>
              <w:pStyle w:val="BodyTextIndent"/>
              <w:ind w:left="0" w:firstLine="0"/>
            </w:pPr>
            <w:r>
              <w:t xml:space="preserve">    265</w:t>
            </w:r>
          </w:p>
        </w:tc>
        <w:tc>
          <w:tcPr>
            <w:tcW w:w="0" w:type="auto"/>
          </w:tcPr>
          <w:p w:rsidR="006A4646" w:rsidRDefault="006A4646" w:rsidP="002A0020">
            <w:pPr>
              <w:pStyle w:val="BodyTextIndent"/>
              <w:ind w:left="0" w:firstLine="0"/>
            </w:pPr>
            <w:r>
              <w:t xml:space="preserve">  2</w:t>
            </w:r>
          </w:p>
        </w:tc>
        <w:tc>
          <w:tcPr>
            <w:tcW w:w="0" w:type="auto"/>
          </w:tcPr>
          <w:p w:rsidR="006A4646" w:rsidRDefault="006A4646" w:rsidP="002A0020">
            <w:pPr>
              <w:pStyle w:val="BodyTextIndent"/>
              <w:ind w:left="0" w:firstLine="0"/>
            </w:pPr>
            <w:r>
              <w:t xml:space="preserve">    530</w:t>
            </w:r>
          </w:p>
        </w:tc>
        <w:tc>
          <w:tcPr>
            <w:tcW w:w="0" w:type="auto"/>
          </w:tcPr>
          <w:p w:rsidR="006A4646" w:rsidRDefault="00014FC4" w:rsidP="002A0020">
            <w:pPr>
              <w:pStyle w:val="BodyTextIndent"/>
              <w:ind w:left="0" w:firstLine="0"/>
            </w:pPr>
            <w:r>
              <w:t>$38.56</w:t>
            </w:r>
          </w:p>
        </w:tc>
        <w:tc>
          <w:tcPr>
            <w:tcW w:w="1125" w:type="dxa"/>
          </w:tcPr>
          <w:p w:rsidR="006A4646" w:rsidRDefault="00514E13" w:rsidP="002A0020">
            <w:pPr>
              <w:pStyle w:val="BodyTextIndent"/>
              <w:ind w:left="0" w:firstLine="0"/>
            </w:pPr>
            <w:r>
              <w:t>$20,436.80</w:t>
            </w:r>
          </w:p>
        </w:tc>
      </w:tr>
      <w:tr w:rsidR="00E8092B" w:rsidTr="00E8092B">
        <w:tc>
          <w:tcPr>
            <w:tcW w:w="2495" w:type="dxa"/>
          </w:tcPr>
          <w:p w:rsidR="006A4646" w:rsidRDefault="006A4646" w:rsidP="002A0020">
            <w:pPr>
              <w:pStyle w:val="BodyTextIndent"/>
              <w:ind w:left="0" w:firstLine="0"/>
            </w:pPr>
            <w:r>
              <w:t>HUD-92442A-CA</w:t>
            </w:r>
          </w:p>
        </w:tc>
        <w:tc>
          <w:tcPr>
            <w:tcW w:w="0" w:type="auto"/>
          </w:tcPr>
          <w:p w:rsidR="006A4646" w:rsidRDefault="006A4646" w:rsidP="002A0020">
            <w:pPr>
              <w:pStyle w:val="BodyTextIndent"/>
              <w:ind w:left="0" w:firstLine="0"/>
            </w:pPr>
            <w:r>
              <w:t xml:space="preserve">  265</w:t>
            </w:r>
          </w:p>
        </w:tc>
        <w:tc>
          <w:tcPr>
            <w:tcW w:w="0" w:type="auto"/>
          </w:tcPr>
          <w:p w:rsidR="006A4646" w:rsidRDefault="006A4646" w:rsidP="002A0020">
            <w:pPr>
              <w:pStyle w:val="BodyTextIndent"/>
              <w:ind w:left="0" w:firstLine="0"/>
            </w:pPr>
            <w:r>
              <w:t>1</w:t>
            </w:r>
          </w:p>
        </w:tc>
        <w:tc>
          <w:tcPr>
            <w:tcW w:w="0" w:type="auto"/>
          </w:tcPr>
          <w:p w:rsidR="006A4646" w:rsidRDefault="006A4646" w:rsidP="002A0020">
            <w:pPr>
              <w:pStyle w:val="BodyTextIndent"/>
              <w:ind w:left="0" w:firstLine="0"/>
            </w:pPr>
            <w:r>
              <w:t xml:space="preserve">    265</w:t>
            </w:r>
          </w:p>
        </w:tc>
        <w:tc>
          <w:tcPr>
            <w:tcW w:w="0" w:type="auto"/>
          </w:tcPr>
          <w:p w:rsidR="006A4646" w:rsidRDefault="006A4646" w:rsidP="002A0020">
            <w:pPr>
              <w:pStyle w:val="BodyTextIndent"/>
              <w:ind w:left="0" w:firstLine="0"/>
            </w:pPr>
            <w:r>
              <w:t xml:space="preserve">  2</w:t>
            </w:r>
          </w:p>
        </w:tc>
        <w:tc>
          <w:tcPr>
            <w:tcW w:w="0" w:type="auto"/>
          </w:tcPr>
          <w:p w:rsidR="006A4646" w:rsidRDefault="006A4646" w:rsidP="002A0020">
            <w:pPr>
              <w:pStyle w:val="BodyTextIndent"/>
              <w:ind w:left="0" w:firstLine="0"/>
            </w:pPr>
            <w:r>
              <w:t xml:space="preserve">    530</w:t>
            </w:r>
          </w:p>
        </w:tc>
        <w:tc>
          <w:tcPr>
            <w:tcW w:w="0" w:type="auto"/>
          </w:tcPr>
          <w:p w:rsidR="006A4646" w:rsidRDefault="00014FC4" w:rsidP="009B52B1">
            <w:pPr>
              <w:pStyle w:val="BodyTextIndent"/>
              <w:ind w:left="0" w:firstLine="0"/>
            </w:pPr>
            <w:r>
              <w:t>$38.56</w:t>
            </w:r>
          </w:p>
        </w:tc>
        <w:tc>
          <w:tcPr>
            <w:tcW w:w="1125" w:type="dxa"/>
          </w:tcPr>
          <w:p w:rsidR="006A4646" w:rsidRDefault="00514E13" w:rsidP="002A0020">
            <w:pPr>
              <w:pStyle w:val="BodyTextIndent"/>
              <w:ind w:left="0" w:firstLine="0"/>
            </w:pPr>
            <w:r>
              <w:t>$20,436.80</w:t>
            </w:r>
          </w:p>
        </w:tc>
      </w:tr>
      <w:tr w:rsidR="009B52B1" w:rsidTr="009B52B1">
        <w:trPr>
          <w:trHeight w:val="70"/>
        </w:trPr>
        <w:tc>
          <w:tcPr>
            <w:tcW w:w="2495" w:type="dxa"/>
          </w:tcPr>
          <w:p w:rsidR="00E8092B" w:rsidRDefault="00E8092B" w:rsidP="002A0020">
            <w:pPr>
              <w:pStyle w:val="BodyTextIndent"/>
              <w:ind w:left="0" w:firstLine="0"/>
            </w:pPr>
          </w:p>
        </w:tc>
        <w:tc>
          <w:tcPr>
            <w:tcW w:w="0" w:type="auto"/>
          </w:tcPr>
          <w:p w:rsidR="00E8092B" w:rsidRDefault="00E8092B" w:rsidP="002A0020">
            <w:pPr>
              <w:pStyle w:val="BodyTextIndent"/>
              <w:ind w:left="0" w:firstLine="0"/>
            </w:pPr>
          </w:p>
        </w:tc>
        <w:tc>
          <w:tcPr>
            <w:tcW w:w="0" w:type="auto"/>
          </w:tcPr>
          <w:p w:rsidR="00E8092B" w:rsidRDefault="00E8092B" w:rsidP="002A0020">
            <w:pPr>
              <w:pStyle w:val="BodyTextIndent"/>
              <w:ind w:left="0" w:firstLine="0"/>
            </w:pPr>
          </w:p>
        </w:tc>
        <w:tc>
          <w:tcPr>
            <w:tcW w:w="0" w:type="auto"/>
          </w:tcPr>
          <w:p w:rsidR="00E8092B" w:rsidRDefault="00E8092B" w:rsidP="002A0020">
            <w:pPr>
              <w:pStyle w:val="BodyTextIndent"/>
              <w:ind w:left="0" w:firstLine="0"/>
            </w:pPr>
          </w:p>
        </w:tc>
        <w:tc>
          <w:tcPr>
            <w:tcW w:w="0" w:type="auto"/>
          </w:tcPr>
          <w:p w:rsidR="00E8092B" w:rsidRDefault="00E8092B" w:rsidP="002A0020">
            <w:pPr>
              <w:pStyle w:val="BodyTextIndent"/>
              <w:ind w:left="0" w:firstLine="0"/>
            </w:pPr>
          </w:p>
        </w:tc>
        <w:tc>
          <w:tcPr>
            <w:tcW w:w="0" w:type="auto"/>
          </w:tcPr>
          <w:p w:rsidR="00E8092B" w:rsidRDefault="00E8092B" w:rsidP="002A0020">
            <w:pPr>
              <w:pStyle w:val="BodyTextIndent"/>
              <w:ind w:left="0" w:firstLine="0"/>
            </w:pPr>
          </w:p>
        </w:tc>
        <w:tc>
          <w:tcPr>
            <w:tcW w:w="0" w:type="auto"/>
          </w:tcPr>
          <w:p w:rsidR="00E8092B" w:rsidRDefault="00E8092B" w:rsidP="002A0020">
            <w:pPr>
              <w:pStyle w:val="BodyTextIndent"/>
              <w:ind w:left="0" w:firstLine="0"/>
            </w:pPr>
          </w:p>
        </w:tc>
        <w:tc>
          <w:tcPr>
            <w:tcW w:w="1125" w:type="dxa"/>
          </w:tcPr>
          <w:p w:rsidR="00E8092B" w:rsidRDefault="00E8092B" w:rsidP="002A0020">
            <w:pPr>
              <w:pStyle w:val="BodyTextIndent"/>
              <w:ind w:left="0" w:firstLine="0"/>
            </w:pPr>
          </w:p>
          <w:p w:rsidR="00A40409" w:rsidRDefault="00A40409" w:rsidP="002A0020">
            <w:pPr>
              <w:pStyle w:val="BodyTextIndent"/>
              <w:ind w:left="0" w:firstLine="0"/>
            </w:pPr>
          </w:p>
        </w:tc>
      </w:tr>
      <w:tr w:rsidR="00E8092B" w:rsidRPr="00003F15" w:rsidTr="00E8092B">
        <w:tc>
          <w:tcPr>
            <w:tcW w:w="2495" w:type="dxa"/>
          </w:tcPr>
          <w:p w:rsidR="006A4646" w:rsidRDefault="006A4646" w:rsidP="002A0020">
            <w:pPr>
              <w:pStyle w:val="BodyTextIndent"/>
              <w:ind w:left="0" w:firstLine="0"/>
              <w:rPr>
                <w:b/>
                <w:bCs/>
              </w:rPr>
            </w:pPr>
            <w:r>
              <w:rPr>
                <w:b/>
                <w:bCs/>
              </w:rPr>
              <w:t>Totals</w:t>
            </w:r>
          </w:p>
        </w:tc>
        <w:tc>
          <w:tcPr>
            <w:tcW w:w="0" w:type="auto"/>
          </w:tcPr>
          <w:p w:rsidR="006A4646" w:rsidRDefault="006A4646" w:rsidP="002A0020">
            <w:pPr>
              <w:pStyle w:val="BodyTextIndent"/>
              <w:ind w:left="0" w:firstLine="0"/>
              <w:rPr>
                <w:b/>
                <w:bCs/>
              </w:rPr>
            </w:pPr>
            <w:r>
              <w:rPr>
                <w:b/>
                <w:bCs/>
              </w:rPr>
              <w:t>1158</w:t>
            </w:r>
          </w:p>
        </w:tc>
        <w:tc>
          <w:tcPr>
            <w:tcW w:w="0" w:type="auto"/>
          </w:tcPr>
          <w:p w:rsidR="006A4646" w:rsidRDefault="006A4646" w:rsidP="002A0020">
            <w:pPr>
              <w:pStyle w:val="BodyTextIndent"/>
              <w:ind w:left="0" w:firstLine="0"/>
            </w:pPr>
          </w:p>
        </w:tc>
        <w:tc>
          <w:tcPr>
            <w:tcW w:w="0" w:type="auto"/>
          </w:tcPr>
          <w:p w:rsidR="006A4646" w:rsidRDefault="006A4646" w:rsidP="002A0020">
            <w:pPr>
              <w:pStyle w:val="BodyTextIndent"/>
              <w:ind w:left="0" w:firstLine="0"/>
              <w:rPr>
                <w:b/>
                <w:bCs/>
              </w:rPr>
            </w:pPr>
            <w:r>
              <w:t xml:space="preserve">  </w:t>
            </w:r>
            <w:r>
              <w:rPr>
                <w:b/>
              </w:rPr>
              <w:t>1472</w:t>
            </w:r>
          </w:p>
        </w:tc>
        <w:tc>
          <w:tcPr>
            <w:tcW w:w="0" w:type="auto"/>
          </w:tcPr>
          <w:p w:rsidR="006A4646" w:rsidRPr="009B3830" w:rsidRDefault="006A4646" w:rsidP="002A0020">
            <w:pPr>
              <w:pStyle w:val="BodyTextIndent"/>
              <w:ind w:left="0" w:firstLine="0"/>
              <w:rPr>
                <w:b/>
              </w:rPr>
            </w:pPr>
          </w:p>
        </w:tc>
        <w:tc>
          <w:tcPr>
            <w:tcW w:w="0" w:type="auto"/>
          </w:tcPr>
          <w:p w:rsidR="006A4646" w:rsidRDefault="006A4646" w:rsidP="002A0020">
            <w:pPr>
              <w:pStyle w:val="BodyTextIndent"/>
              <w:ind w:left="0" w:firstLine="0"/>
              <w:rPr>
                <w:b/>
                <w:bCs/>
              </w:rPr>
            </w:pPr>
            <w:r>
              <w:rPr>
                <w:b/>
                <w:bCs/>
              </w:rPr>
              <w:t xml:space="preserve">  9538</w:t>
            </w:r>
          </w:p>
        </w:tc>
        <w:tc>
          <w:tcPr>
            <w:tcW w:w="0" w:type="auto"/>
          </w:tcPr>
          <w:p w:rsidR="006A4646" w:rsidRPr="009B3830" w:rsidRDefault="006A4646" w:rsidP="002A0020">
            <w:pPr>
              <w:pStyle w:val="BodyTextIndent"/>
              <w:ind w:left="0" w:firstLine="0"/>
              <w:rPr>
                <w:b/>
              </w:rPr>
            </w:pPr>
          </w:p>
        </w:tc>
        <w:tc>
          <w:tcPr>
            <w:tcW w:w="1125" w:type="dxa"/>
          </w:tcPr>
          <w:p w:rsidR="00003F15" w:rsidRPr="00003F15" w:rsidRDefault="00003F15" w:rsidP="00003F15">
            <w:pPr>
              <w:overflowPunct/>
              <w:autoSpaceDE/>
              <w:autoSpaceDN/>
              <w:adjustRightInd/>
              <w:textAlignment w:val="auto"/>
              <w:rPr>
                <w:b/>
                <w:color w:val="000000"/>
                <w:sz w:val="22"/>
                <w:szCs w:val="22"/>
              </w:rPr>
            </w:pPr>
            <w:r w:rsidRPr="00003F15">
              <w:rPr>
                <w:b/>
                <w:color w:val="000000"/>
                <w:sz w:val="22"/>
                <w:szCs w:val="22"/>
              </w:rPr>
              <w:t>$369,785.28</w:t>
            </w:r>
          </w:p>
          <w:p w:rsidR="006A4646" w:rsidRPr="00003F15" w:rsidRDefault="006A4646" w:rsidP="009B52B1">
            <w:pPr>
              <w:pStyle w:val="BodyTextIndent"/>
              <w:ind w:left="0" w:firstLine="0"/>
              <w:rPr>
                <w:b/>
                <w:bCs/>
              </w:rPr>
            </w:pPr>
          </w:p>
        </w:tc>
      </w:tr>
    </w:tbl>
    <w:p w:rsidR="006A4646" w:rsidRDefault="008B3D4B" w:rsidP="006A4646">
      <w:pPr>
        <w:pStyle w:val="BodyTextIndent"/>
        <w:ind w:left="720"/>
      </w:pPr>
      <w:r>
        <w:t xml:space="preserve">Estimated cost based on </w:t>
      </w:r>
    </w:p>
    <w:p w:rsidR="006A4646" w:rsidRDefault="006A4646" w:rsidP="006A4646">
      <w:pPr>
        <w:rPr>
          <w:sz w:val="24"/>
        </w:rPr>
      </w:pPr>
      <w:r>
        <w:rPr>
          <w:sz w:val="24"/>
        </w:rPr>
        <w:t xml:space="preserve"> </w:t>
      </w:r>
    </w:p>
    <w:p w:rsidR="006A4646" w:rsidRDefault="006A4646" w:rsidP="006A4646">
      <w:pPr>
        <w:pStyle w:val="BodyTextIndent"/>
      </w:pPr>
      <w:r>
        <w:t>15.</w:t>
      </w:r>
      <w:r>
        <w:tab/>
      </w:r>
      <w:r w:rsidR="009C0990" w:rsidRPr="009C0990">
        <w:t xml:space="preserve">This is a revision of a currently approved collection.  There has been no program change.  However, the reason for the great decline in numbers is two things:  HUD is not the sole insurer anymore, and the OMAPO, formerly the CA group does not have any business in one of their programs.  </w:t>
      </w:r>
    </w:p>
    <w:p w:rsidR="006A4646" w:rsidRDefault="006A4646" w:rsidP="006A4646">
      <w:pPr>
        <w:rPr>
          <w:sz w:val="24"/>
        </w:rPr>
      </w:pPr>
    </w:p>
    <w:p w:rsidR="006A4646" w:rsidRDefault="006A4646" w:rsidP="006A4646">
      <w:pPr>
        <w:pStyle w:val="BodyTextIndent"/>
      </w:pPr>
      <w:r>
        <w:t>16.</w:t>
      </w:r>
      <w:r>
        <w:tab/>
        <w:t>The collection of information is not scheduled for publication.</w:t>
      </w:r>
    </w:p>
    <w:p w:rsidR="006A4646" w:rsidRDefault="006A4646" w:rsidP="006A4646">
      <w:pPr>
        <w:rPr>
          <w:sz w:val="24"/>
        </w:rPr>
      </w:pPr>
    </w:p>
    <w:p w:rsidR="006A4646" w:rsidRDefault="006A4646" w:rsidP="006A4646">
      <w:pPr>
        <w:pStyle w:val="BodyTextIndent"/>
      </w:pPr>
      <w:r>
        <w:t>17.</w:t>
      </w:r>
      <w:r>
        <w:tab/>
        <w:t>OMB expiration data will be displayed on the appropriate forms.</w:t>
      </w:r>
    </w:p>
    <w:p w:rsidR="006A4646" w:rsidRDefault="006A4646" w:rsidP="006A4646">
      <w:pPr>
        <w:rPr>
          <w:sz w:val="24"/>
        </w:rPr>
      </w:pPr>
    </w:p>
    <w:p w:rsidR="006A4646" w:rsidRDefault="006A4646" w:rsidP="006A4646">
      <w:pPr>
        <w:pStyle w:val="BodyTextIndent"/>
      </w:pPr>
      <w:r>
        <w:t>18.</w:t>
      </w:r>
      <w:r>
        <w:tab/>
        <w:t>There will be no exceptions to the “certification statement” on OMB 83-I.</w:t>
      </w:r>
    </w:p>
    <w:p w:rsidR="006A4646" w:rsidRDefault="006A4646" w:rsidP="006A4646">
      <w:pPr>
        <w:rPr>
          <w:sz w:val="24"/>
        </w:rPr>
      </w:pPr>
    </w:p>
    <w:p w:rsidR="006A4646" w:rsidRDefault="006A4646" w:rsidP="006A4646">
      <w:pPr>
        <w:rPr>
          <w:b/>
          <w:bCs/>
          <w:sz w:val="24"/>
        </w:rPr>
      </w:pPr>
    </w:p>
    <w:p w:rsidR="006A4646" w:rsidRDefault="006A4646" w:rsidP="006A4646">
      <w:pPr>
        <w:pStyle w:val="BodyTextIndent"/>
        <w:rPr>
          <w:b/>
          <w:bCs/>
        </w:rPr>
      </w:pPr>
      <w:r>
        <w:rPr>
          <w:b/>
          <w:bCs/>
        </w:rPr>
        <w:t>B.</w:t>
      </w:r>
      <w:r>
        <w:rPr>
          <w:b/>
          <w:bCs/>
        </w:rPr>
        <w:tab/>
        <w:t>Collections of information Employing Statistical Methods.</w:t>
      </w:r>
    </w:p>
    <w:p w:rsidR="006A4646" w:rsidRDefault="006A4646" w:rsidP="006A4646">
      <w:pPr>
        <w:rPr>
          <w:b/>
          <w:bCs/>
          <w:sz w:val="24"/>
        </w:rPr>
      </w:pPr>
    </w:p>
    <w:p w:rsidR="006A4646" w:rsidRDefault="006A4646" w:rsidP="006A4646">
      <w:pPr>
        <w:ind w:left="360"/>
        <w:rPr>
          <w:sz w:val="24"/>
        </w:rPr>
      </w:pPr>
      <w:r>
        <w:rPr>
          <w:sz w:val="24"/>
        </w:rPr>
        <w:t>There will be no statistical methods used in this collection of information.</w:t>
      </w:r>
    </w:p>
    <w:p w:rsidR="006A4646" w:rsidRDefault="006A4646" w:rsidP="006A4646">
      <w:pPr>
        <w:rPr>
          <w:sz w:val="24"/>
        </w:rPr>
      </w:pPr>
    </w:p>
    <w:p w:rsidR="006A4646" w:rsidRDefault="006A4646" w:rsidP="006A4646">
      <w:pPr>
        <w:rPr>
          <w:sz w:val="24"/>
        </w:rPr>
      </w:pPr>
    </w:p>
    <w:p w:rsidR="006A4646" w:rsidRDefault="006A4646" w:rsidP="006A4646">
      <w:pPr>
        <w:rPr>
          <w:sz w:val="24"/>
        </w:rPr>
      </w:pPr>
    </w:p>
    <w:p w:rsidR="006A4646" w:rsidRDefault="006A4646" w:rsidP="006A4646">
      <w:pPr>
        <w:rPr>
          <w:sz w:val="24"/>
        </w:rPr>
      </w:pPr>
    </w:p>
    <w:p w:rsidR="006A4646" w:rsidRDefault="006A4646" w:rsidP="006A4646">
      <w:pPr>
        <w:rPr>
          <w:sz w:val="24"/>
        </w:rPr>
      </w:pPr>
    </w:p>
    <w:p w:rsidR="006A4646" w:rsidRDefault="006A4646" w:rsidP="006A4646">
      <w:pPr>
        <w:rPr>
          <w:sz w:val="24"/>
        </w:rPr>
      </w:pPr>
    </w:p>
    <w:p w:rsidR="006A4646" w:rsidRDefault="006A4646" w:rsidP="006A4646">
      <w:pPr>
        <w:rPr>
          <w:sz w:val="24"/>
        </w:rPr>
      </w:pPr>
    </w:p>
    <w:p w:rsidR="0066024E" w:rsidRDefault="0066024E"/>
    <w:sectPr w:rsidR="0066024E">
      <w:footerReference w:type="default" r:id="rId7"/>
      <w:footerReference w:type="first" r:id="rId8"/>
      <w:pgSz w:w="12240" w:h="15840"/>
      <w:pgMar w:top="480" w:right="720" w:bottom="480" w:left="600" w:header="480" w:footer="480" w:gutter="0"/>
      <w:cols w:space="480" w:equalWidth="0">
        <w:col w:w="1080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088D" w:rsidRDefault="0002088D">
      <w:r>
        <w:separator/>
      </w:r>
    </w:p>
  </w:endnote>
  <w:endnote w:type="continuationSeparator" w:id="0">
    <w:p w:rsidR="0002088D" w:rsidRDefault="00020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7D5E" w:rsidRDefault="006A464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C1FA9">
      <w:rPr>
        <w:rStyle w:val="PageNumber"/>
        <w:noProof/>
      </w:rPr>
      <w:t>4</w:t>
    </w:r>
    <w:r>
      <w:rPr>
        <w:rStyle w:val="PageNumber"/>
      </w:rPr>
      <w:fldChar w:fldCharType="end"/>
    </w:r>
  </w:p>
  <w:p w:rsidR="00AA7D5E" w:rsidRDefault="006A4646">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7D5E" w:rsidRDefault="006A4646">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OMB-83-I</w:t>
    </w:r>
    <w:r>
      <w:rPr>
        <w:rFonts w:ascii="Helvetica" w:hAnsi="Helvetica"/>
        <w:b/>
        <w:sz w:val="18"/>
      </w:rPr>
      <w:tab/>
      <w:t>10/95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088D" w:rsidRDefault="0002088D">
      <w:r>
        <w:separator/>
      </w:r>
    </w:p>
  </w:footnote>
  <w:footnote w:type="continuationSeparator" w:id="0">
    <w:p w:rsidR="0002088D" w:rsidRDefault="000208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26EA4E0"/>
    <w:lvl w:ilvl="0">
      <w:numFmt w:val="decimal"/>
      <w:lvlText w:val="*"/>
      <w:lvlJc w:val="left"/>
      <w:pPr>
        <w:ind w:left="0" w:firstLine="0"/>
      </w:pPr>
    </w:lvl>
  </w:abstractNum>
  <w:abstractNum w:abstractNumId="1" w15:restartNumberingAfterBreak="0">
    <w:nsid w:val="1E8A5383"/>
    <w:multiLevelType w:val="hybridMultilevel"/>
    <w:tmpl w:val="8D28E1F0"/>
    <w:lvl w:ilvl="0" w:tplc="ECD8B212">
      <w:start w:val="1"/>
      <w:numFmt w:val="decimal"/>
      <w:lvlText w:val="%1."/>
      <w:lvlJc w:val="left"/>
      <w:pPr>
        <w:tabs>
          <w:tab w:val="num" w:pos="360"/>
        </w:tabs>
        <w:ind w:left="360" w:hanging="360"/>
      </w:pPr>
      <w:rPr>
        <w:rFonts w:ascii="Times New Roman" w:hAnsi="Times New Roman" w:hint="default"/>
        <w:b w:val="0"/>
        <w:i w:val="0"/>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B206095"/>
    <w:multiLevelType w:val="multilevel"/>
    <w:tmpl w:val="856628CE"/>
    <w:lvl w:ilvl="0">
      <w:start w:val="7"/>
      <w:numFmt w:val="decimal"/>
      <w:lvlText w:val="%1. "/>
      <w:legacy w:legacy="1" w:legacySpace="0" w:legacyIndent="360"/>
      <w:lvlJc w:val="left"/>
      <w:pPr>
        <w:ind w:left="360" w:hanging="360"/>
      </w:pPr>
      <w:rPr>
        <w:rFonts w:ascii="Times New Roman" w:hAnsi="Times New Roman" w:cs="Times New Roman" w:hint="default"/>
        <w:b w:val="0"/>
        <w:i w:val="0"/>
        <w:strike w:val="0"/>
        <w:dstrike w:val="0"/>
        <w:sz w:val="18"/>
        <w:u w:val="none"/>
        <w:effect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
  </w:num>
  <w:num w:numId="2">
    <w:abstractNumId w:val="2"/>
    <w:lvlOverride w:ilvl="0">
      <w:startOverride w:val="7"/>
    </w:lvlOverride>
  </w:num>
  <w:num w:numId="3">
    <w:abstractNumId w:val="0"/>
    <w:lvlOverride w:ilvl="0">
      <w:lvl w:ilvl="0">
        <w:numFmt w:val="bullet"/>
        <w:lvlText w:val=""/>
        <w:legacy w:legacy="1" w:legacySpace="0" w:legacyIndent="144"/>
        <w:lvlJc w:val="left"/>
        <w:pPr>
          <w:ind w:left="504" w:hanging="144"/>
        </w:pPr>
        <w:rPr>
          <w:rFonts w:ascii="Symbol" w:hAnsi="Symbol" w:hint="default"/>
          <w:sz w:val="16"/>
        </w:rPr>
      </w:lvl>
    </w:lvlOverride>
  </w:num>
  <w:num w:numId="4">
    <w:abstractNumId w:val="2"/>
    <w:lvlOverride w:ilvl="0">
      <w:startOverride w:val="9"/>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646"/>
    <w:rsid w:val="00003F15"/>
    <w:rsid w:val="00014FC4"/>
    <w:rsid w:val="0002088D"/>
    <w:rsid w:val="00067AF7"/>
    <w:rsid w:val="000D1052"/>
    <w:rsid w:val="00151C46"/>
    <w:rsid w:val="00187BBB"/>
    <w:rsid w:val="00390F1B"/>
    <w:rsid w:val="004C1FA9"/>
    <w:rsid w:val="00514E13"/>
    <w:rsid w:val="00573894"/>
    <w:rsid w:val="005E1EC1"/>
    <w:rsid w:val="0062477D"/>
    <w:rsid w:val="0066024E"/>
    <w:rsid w:val="006A4646"/>
    <w:rsid w:val="006A47F7"/>
    <w:rsid w:val="008B3D4B"/>
    <w:rsid w:val="009101B4"/>
    <w:rsid w:val="00955266"/>
    <w:rsid w:val="009B52B1"/>
    <w:rsid w:val="009C0990"/>
    <w:rsid w:val="00A40409"/>
    <w:rsid w:val="00A844B8"/>
    <w:rsid w:val="00BF2FBB"/>
    <w:rsid w:val="00C35390"/>
    <w:rsid w:val="00C92E6F"/>
    <w:rsid w:val="00CF193C"/>
    <w:rsid w:val="00E209EB"/>
    <w:rsid w:val="00E8092B"/>
    <w:rsid w:val="00FD7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CA359"/>
  <w15:docId w15:val="{F3A72BED-2918-42F8-B72A-12E39CF84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6A464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6A4646"/>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outlineLvl w:val="0"/>
    </w:pPr>
    <w:rPr>
      <w:rFonts w:ascii="Helvetica" w:hAnsi="Helvetica"/>
      <w:b/>
      <w:sz w:val="24"/>
    </w:rPr>
  </w:style>
  <w:style w:type="paragraph" w:styleId="Heading2">
    <w:name w:val="heading 2"/>
    <w:basedOn w:val="Normal"/>
    <w:next w:val="Normal"/>
    <w:link w:val="Heading2Char"/>
    <w:qFormat/>
    <w:rsid w:val="006A4646"/>
    <w:pPr>
      <w:keepNext/>
      <w:outlineLvl w:val="1"/>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4646"/>
    <w:rPr>
      <w:rFonts w:ascii="Helvetica" w:eastAsia="Times New Roman" w:hAnsi="Helvetica" w:cs="Times New Roman"/>
      <w:b/>
      <w:sz w:val="24"/>
      <w:szCs w:val="20"/>
    </w:rPr>
  </w:style>
  <w:style w:type="character" w:customStyle="1" w:styleId="Heading2Char">
    <w:name w:val="Heading 2 Char"/>
    <w:basedOn w:val="DefaultParagraphFont"/>
    <w:link w:val="Heading2"/>
    <w:rsid w:val="006A4646"/>
    <w:rPr>
      <w:rFonts w:ascii="Times New Roman" w:eastAsia="Times New Roman" w:hAnsi="Times New Roman" w:cs="Times New Roman"/>
      <w:b/>
      <w:bCs/>
      <w:sz w:val="24"/>
      <w:szCs w:val="20"/>
    </w:rPr>
  </w:style>
  <w:style w:type="paragraph" w:styleId="Header">
    <w:name w:val="header"/>
    <w:basedOn w:val="Normal"/>
    <w:link w:val="HeaderChar"/>
    <w:semiHidden/>
    <w:rsid w:val="006A4646"/>
    <w:pPr>
      <w:tabs>
        <w:tab w:val="center" w:pos="4320"/>
        <w:tab w:val="right" w:pos="8640"/>
      </w:tabs>
    </w:pPr>
  </w:style>
  <w:style w:type="character" w:customStyle="1" w:styleId="HeaderChar">
    <w:name w:val="Header Char"/>
    <w:basedOn w:val="DefaultParagraphFont"/>
    <w:link w:val="Header"/>
    <w:semiHidden/>
    <w:rsid w:val="006A4646"/>
    <w:rPr>
      <w:rFonts w:ascii="Times New Roman" w:eastAsia="Times New Roman" w:hAnsi="Times New Roman" w:cs="Times New Roman"/>
      <w:sz w:val="20"/>
      <w:szCs w:val="20"/>
    </w:rPr>
  </w:style>
  <w:style w:type="paragraph" w:styleId="Footer">
    <w:name w:val="footer"/>
    <w:basedOn w:val="Normal"/>
    <w:link w:val="FooterChar"/>
    <w:semiHidden/>
    <w:rsid w:val="006A4646"/>
    <w:pPr>
      <w:tabs>
        <w:tab w:val="center" w:pos="4320"/>
        <w:tab w:val="right" w:pos="8640"/>
      </w:tabs>
    </w:pPr>
  </w:style>
  <w:style w:type="character" w:customStyle="1" w:styleId="FooterChar">
    <w:name w:val="Footer Char"/>
    <w:basedOn w:val="DefaultParagraphFont"/>
    <w:link w:val="Footer"/>
    <w:semiHidden/>
    <w:rsid w:val="006A4646"/>
    <w:rPr>
      <w:rFonts w:ascii="Times New Roman" w:eastAsia="Times New Roman" w:hAnsi="Times New Roman" w:cs="Times New Roman"/>
      <w:sz w:val="20"/>
      <w:szCs w:val="20"/>
    </w:rPr>
  </w:style>
  <w:style w:type="character" w:styleId="PageNumber">
    <w:name w:val="page number"/>
    <w:basedOn w:val="DefaultParagraphFont"/>
    <w:semiHidden/>
    <w:rsid w:val="006A4646"/>
  </w:style>
  <w:style w:type="paragraph" w:styleId="BodyText">
    <w:name w:val="Body Text"/>
    <w:basedOn w:val="Normal"/>
    <w:link w:val="BodyTextChar"/>
    <w:semiHidden/>
    <w:rsid w:val="006A4646"/>
    <w:pPr>
      <w:overflowPunct/>
      <w:autoSpaceDE/>
      <w:autoSpaceDN/>
      <w:adjustRightInd/>
      <w:textAlignment w:val="auto"/>
    </w:pPr>
    <w:rPr>
      <w:i/>
      <w:iCs/>
      <w:sz w:val="24"/>
      <w:szCs w:val="24"/>
    </w:rPr>
  </w:style>
  <w:style w:type="character" w:customStyle="1" w:styleId="BodyTextChar">
    <w:name w:val="Body Text Char"/>
    <w:basedOn w:val="DefaultParagraphFont"/>
    <w:link w:val="BodyText"/>
    <w:semiHidden/>
    <w:rsid w:val="006A4646"/>
    <w:rPr>
      <w:rFonts w:ascii="Times New Roman" w:eastAsia="Times New Roman" w:hAnsi="Times New Roman" w:cs="Times New Roman"/>
      <w:i/>
      <w:iCs/>
      <w:sz w:val="24"/>
      <w:szCs w:val="24"/>
    </w:rPr>
  </w:style>
  <w:style w:type="paragraph" w:styleId="BodyTextIndent">
    <w:name w:val="Body Text Indent"/>
    <w:basedOn w:val="Normal"/>
    <w:link w:val="BodyTextIndentChar"/>
    <w:semiHidden/>
    <w:rsid w:val="006A4646"/>
    <w:pPr>
      <w:ind w:left="360" w:hanging="360"/>
    </w:pPr>
    <w:rPr>
      <w:sz w:val="24"/>
    </w:rPr>
  </w:style>
  <w:style w:type="character" w:customStyle="1" w:styleId="BodyTextIndentChar">
    <w:name w:val="Body Text Indent Char"/>
    <w:basedOn w:val="DefaultParagraphFont"/>
    <w:link w:val="BodyTextIndent"/>
    <w:semiHidden/>
    <w:rsid w:val="006A4646"/>
    <w:rPr>
      <w:rFonts w:ascii="Times New Roman" w:eastAsia="Times New Roman" w:hAnsi="Times New Roman" w:cs="Times New Roman"/>
      <w:sz w:val="24"/>
      <w:szCs w:val="20"/>
    </w:rPr>
  </w:style>
  <w:style w:type="paragraph" w:styleId="BodyText2">
    <w:name w:val="Body Text 2"/>
    <w:basedOn w:val="Normal"/>
    <w:link w:val="BodyText2Char"/>
    <w:semiHidden/>
    <w:rsid w:val="006A4646"/>
    <w:rPr>
      <w:sz w:val="24"/>
    </w:rPr>
  </w:style>
  <w:style w:type="character" w:customStyle="1" w:styleId="BodyText2Char">
    <w:name w:val="Body Text 2 Char"/>
    <w:basedOn w:val="DefaultParagraphFont"/>
    <w:link w:val="BodyText2"/>
    <w:semiHidden/>
    <w:rsid w:val="006A4646"/>
    <w:rPr>
      <w:rFonts w:ascii="Times New Roman" w:eastAsia="Times New Roman" w:hAnsi="Times New Roman" w:cs="Times New Roman"/>
      <w:sz w:val="24"/>
      <w:szCs w:val="20"/>
    </w:rPr>
  </w:style>
  <w:style w:type="paragraph" w:styleId="BodyTextIndent3">
    <w:name w:val="Body Text Indent 3"/>
    <w:basedOn w:val="Normal"/>
    <w:link w:val="BodyTextIndent3Char"/>
    <w:semiHidden/>
    <w:rsid w:val="006A4646"/>
    <w:pPr>
      <w:ind w:left="360"/>
    </w:pPr>
    <w:rPr>
      <w:sz w:val="24"/>
    </w:rPr>
  </w:style>
  <w:style w:type="character" w:customStyle="1" w:styleId="BodyTextIndent3Char">
    <w:name w:val="Body Text Indent 3 Char"/>
    <w:basedOn w:val="DefaultParagraphFont"/>
    <w:link w:val="BodyTextIndent3"/>
    <w:semiHidden/>
    <w:rsid w:val="006A4646"/>
    <w:rPr>
      <w:rFonts w:ascii="Times New Roman" w:eastAsia="Times New Roman" w:hAnsi="Times New Roman" w:cs="Times New Roman"/>
      <w:sz w:val="24"/>
      <w:szCs w:val="20"/>
    </w:rPr>
  </w:style>
  <w:style w:type="paragraph" w:styleId="ListParagraph">
    <w:name w:val="List Paragraph"/>
    <w:basedOn w:val="Normal"/>
    <w:uiPriority w:val="34"/>
    <w:qFormat/>
    <w:rsid w:val="006A4646"/>
    <w:pPr>
      <w:ind w:left="720"/>
    </w:pPr>
  </w:style>
  <w:style w:type="paragraph" w:styleId="NoSpacing">
    <w:name w:val="No Spacing"/>
    <w:uiPriority w:val="1"/>
    <w:qFormat/>
    <w:rsid w:val="006A464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514E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4E1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127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2122</Words>
  <Characters>12102</Characters>
  <Application>Microsoft Office Word</Application>
  <DocSecurity>4</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User</dc:creator>
  <cp:lastModifiedBy>Pollard, Colette</cp:lastModifiedBy>
  <cp:revision>2</cp:revision>
  <cp:lastPrinted>2016-11-16T21:57:00Z</cp:lastPrinted>
  <dcterms:created xsi:type="dcterms:W3CDTF">2016-11-22T13:06:00Z</dcterms:created>
  <dcterms:modified xsi:type="dcterms:W3CDTF">2016-11-22T13:06:00Z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1773174214</vt:i4>
  </property>
  <property fmtid="{D5CDD505-2E9C-101B-9397-08002B2CF9AE}" pid="3" name="_NewReviewCycle">
    <vt:lpwstr/>
  </property>
  <property fmtid="{D5CDD505-2E9C-101B-9397-08002B2CF9AE}" pid="4" name="_EmailSubject">
    <vt:lpwstr>2502-0011 Supporting Statement A-(11-7-16)</vt:lpwstr>
  </property>
  <property fmtid="{D5CDD505-2E9C-101B-9397-08002B2CF9AE}" pid="5" name="_AuthorEmail">
    <vt:lpwstr>Sylvia.S.Chatman@hud.gov</vt:lpwstr>
  </property>
  <property fmtid="{D5CDD505-2E9C-101B-9397-08002B2CF9AE}" pid="6" name="_AuthorEmailDisplayName">
    <vt:lpwstr>Chatman, Sylvia S</vt:lpwstr>
  </property>
  <property fmtid="{D5CDD505-2E9C-101B-9397-08002B2CF9AE}" pid="7" name="_ReviewingToolsShownOnce">
    <vt:lpwstr/>
  </property>
</Properties>
</file>