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E88D9" w14:textId="2AF2C7EF" w:rsidR="00CE4F2F" w:rsidRPr="00E213D2" w:rsidRDefault="00CE4F2F">
      <w:pPr>
        <w:tabs>
          <w:tab w:val="center" w:pos="4680"/>
        </w:tabs>
        <w:jc w:val="center"/>
        <w:rPr>
          <w:rFonts w:asciiTheme="minorHAnsi" w:hAnsiTheme="minorHAnsi"/>
          <w:b/>
          <w:szCs w:val="24"/>
        </w:rPr>
      </w:pPr>
      <w:r w:rsidRPr="00E213D2">
        <w:rPr>
          <w:rFonts w:asciiTheme="minorHAnsi" w:hAnsiTheme="minorHAnsi"/>
          <w:b/>
          <w:szCs w:val="24"/>
        </w:rPr>
        <w:t>SUPPORTING STATEMENT</w:t>
      </w:r>
    </w:p>
    <w:p w14:paraId="02E4FA13" w14:textId="1469E2EB" w:rsidR="00D16CAD" w:rsidRPr="00E213D2" w:rsidRDefault="00CC08C7" w:rsidP="00D16CAD">
      <w:pPr>
        <w:jc w:val="center"/>
        <w:rPr>
          <w:rFonts w:asciiTheme="minorHAnsi" w:hAnsiTheme="minorHAnsi"/>
          <w:b/>
          <w:szCs w:val="24"/>
        </w:rPr>
      </w:pPr>
      <w:r w:rsidRPr="00E213D2">
        <w:rPr>
          <w:rFonts w:asciiTheme="minorHAnsi" w:hAnsiTheme="minorHAnsi"/>
          <w:b/>
          <w:szCs w:val="24"/>
        </w:rPr>
        <w:t xml:space="preserve">OGIS </w:t>
      </w:r>
      <w:r w:rsidR="00855E94" w:rsidRPr="00F90BBA">
        <w:rPr>
          <w:rStyle w:val="StyleBody"/>
        </w:rPr>
        <w:t>Consent to Make Inquiries and Release of Information and Records</w:t>
      </w:r>
      <w:r w:rsidR="00D16CAD" w:rsidRPr="00E213D2">
        <w:rPr>
          <w:rFonts w:asciiTheme="minorHAnsi" w:hAnsiTheme="minorHAnsi"/>
          <w:b/>
          <w:szCs w:val="24"/>
        </w:rPr>
        <w:t>, NA Form</w:t>
      </w:r>
      <w:r w:rsidR="001264B1" w:rsidRPr="00E213D2">
        <w:rPr>
          <w:rFonts w:asciiTheme="minorHAnsi" w:hAnsiTheme="minorHAnsi"/>
          <w:b/>
          <w:szCs w:val="24"/>
        </w:rPr>
        <w:t xml:space="preserve"> 1000</w:t>
      </w:r>
      <w:r w:rsidR="00855E94" w:rsidRPr="00F90BBA">
        <w:rPr>
          <w:rFonts w:asciiTheme="minorHAnsi" w:hAnsiTheme="minorHAnsi"/>
          <w:b/>
          <w:szCs w:val="24"/>
        </w:rPr>
        <w:t>3</w:t>
      </w:r>
    </w:p>
    <w:p w14:paraId="255A6D84" w14:textId="77777777" w:rsidR="00CE4F2F" w:rsidRPr="00E213D2" w:rsidRDefault="00CC08C7">
      <w:pPr>
        <w:jc w:val="center"/>
        <w:rPr>
          <w:rFonts w:asciiTheme="minorHAnsi" w:hAnsiTheme="minorHAnsi"/>
          <w:b/>
          <w:szCs w:val="24"/>
        </w:rPr>
      </w:pPr>
      <w:r w:rsidRPr="00E213D2">
        <w:rPr>
          <w:rFonts w:asciiTheme="minorHAnsi" w:hAnsiTheme="minorHAnsi"/>
          <w:b/>
          <w:szCs w:val="24"/>
        </w:rPr>
        <w:t xml:space="preserve">OMB Control No. </w:t>
      </w:r>
      <w:r w:rsidR="001264B1" w:rsidRPr="00E213D2">
        <w:rPr>
          <w:rFonts w:asciiTheme="minorHAnsi" w:hAnsiTheme="minorHAnsi"/>
          <w:b/>
          <w:szCs w:val="24"/>
        </w:rPr>
        <w:t>3095-0068</w:t>
      </w:r>
    </w:p>
    <w:p w14:paraId="192826CB" w14:textId="77777777" w:rsidR="00CE4F2F" w:rsidRPr="00E213D2" w:rsidRDefault="00CE4F2F">
      <w:pPr>
        <w:jc w:val="center"/>
        <w:rPr>
          <w:rFonts w:asciiTheme="minorHAnsi" w:hAnsiTheme="minorHAnsi"/>
          <w:szCs w:val="24"/>
        </w:rPr>
      </w:pPr>
    </w:p>
    <w:p w14:paraId="3464E8F4" w14:textId="091C7353" w:rsidR="00DF0357" w:rsidRDefault="00CE4F2F" w:rsidP="00472C02">
      <w:pPr>
        <w:ind w:left="288" w:hanging="288"/>
        <w:rPr>
          <w:rStyle w:val="StyleBody"/>
        </w:rPr>
      </w:pPr>
      <w:r w:rsidRPr="00E213D2">
        <w:rPr>
          <w:rStyle w:val="StyleBody"/>
        </w:rPr>
        <w:t xml:space="preserve">1.  </w:t>
      </w:r>
      <w:r w:rsidRPr="00E213D2">
        <w:rPr>
          <w:rFonts w:asciiTheme="minorHAnsi" w:hAnsiTheme="minorHAnsi"/>
          <w:b/>
          <w:szCs w:val="24"/>
          <w:u w:val="single"/>
        </w:rPr>
        <w:t xml:space="preserve">Circumstances </w:t>
      </w:r>
      <w:r w:rsidR="00855E94">
        <w:rPr>
          <w:rFonts w:asciiTheme="minorHAnsi" w:hAnsiTheme="minorHAnsi"/>
          <w:b/>
          <w:szCs w:val="24"/>
          <w:u w:val="single"/>
        </w:rPr>
        <w:t>m</w:t>
      </w:r>
      <w:r w:rsidRPr="00E213D2">
        <w:rPr>
          <w:rFonts w:asciiTheme="minorHAnsi" w:hAnsiTheme="minorHAnsi"/>
          <w:b/>
          <w:szCs w:val="24"/>
          <w:u w:val="single"/>
        </w:rPr>
        <w:t xml:space="preserve">aking the </w:t>
      </w:r>
      <w:r w:rsidR="00855E94">
        <w:rPr>
          <w:rFonts w:asciiTheme="minorHAnsi" w:hAnsiTheme="minorHAnsi"/>
          <w:b/>
          <w:szCs w:val="24"/>
          <w:u w:val="single"/>
        </w:rPr>
        <w:t>c</w:t>
      </w:r>
      <w:r w:rsidRPr="00E213D2">
        <w:rPr>
          <w:rFonts w:asciiTheme="minorHAnsi" w:hAnsiTheme="minorHAnsi"/>
          <w:b/>
          <w:szCs w:val="24"/>
          <w:u w:val="single"/>
        </w:rPr>
        <w:t xml:space="preserve">ollection of </w:t>
      </w:r>
      <w:r w:rsidR="00855E94">
        <w:rPr>
          <w:rFonts w:asciiTheme="minorHAnsi" w:hAnsiTheme="minorHAnsi"/>
          <w:b/>
          <w:szCs w:val="24"/>
          <w:u w:val="single"/>
        </w:rPr>
        <w:t>i</w:t>
      </w:r>
      <w:r w:rsidRPr="00E213D2">
        <w:rPr>
          <w:rFonts w:asciiTheme="minorHAnsi" w:hAnsiTheme="minorHAnsi"/>
          <w:b/>
          <w:szCs w:val="24"/>
          <w:u w:val="single"/>
        </w:rPr>
        <w:t xml:space="preserve">nformation </w:t>
      </w:r>
      <w:r w:rsidR="00855E94">
        <w:rPr>
          <w:rFonts w:asciiTheme="minorHAnsi" w:hAnsiTheme="minorHAnsi"/>
          <w:b/>
          <w:szCs w:val="24"/>
          <w:u w:val="single"/>
        </w:rPr>
        <w:t>n</w:t>
      </w:r>
      <w:r w:rsidRPr="00E213D2">
        <w:rPr>
          <w:rFonts w:asciiTheme="minorHAnsi" w:hAnsiTheme="minorHAnsi"/>
          <w:b/>
          <w:szCs w:val="24"/>
          <w:u w:val="single"/>
        </w:rPr>
        <w:t>ecessary.</w:t>
      </w:r>
      <w:r w:rsidRPr="00E213D2">
        <w:rPr>
          <w:rStyle w:val="StyleBody"/>
        </w:rPr>
        <w:t xml:space="preserve">  In </w:t>
      </w:r>
      <w:r w:rsidRPr="00E213D2">
        <w:rPr>
          <w:rStyle w:val="PageNumber"/>
        </w:rPr>
        <w:t>accordance</w:t>
      </w:r>
      <w:r w:rsidRPr="00E213D2">
        <w:rPr>
          <w:rStyle w:val="StyleBody"/>
        </w:rPr>
        <w:t xml:space="preserve"> with </w:t>
      </w:r>
      <w:r w:rsidR="00CC08C7" w:rsidRPr="00E213D2">
        <w:rPr>
          <w:rStyle w:val="StyleBody"/>
        </w:rPr>
        <w:t xml:space="preserve">the </w:t>
      </w:r>
      <w:r w:rsidR="004054EC" w:rsidRPr="00E213D2">
        <w:rPr>
          <w:rStyle w:val="StyleBody"/>
        </w:rPr>
        <w:t>O</w:t>
      </w:r>
      <w:r w:rsidR="004054EC">
        <w:rPr>
          <w:rStyle w:val="StyleBody"/>
        </w:rPr>
        <w:t>pen</w:t>
      </w:r>
      <w:r w:rsidR="004054EC" w:rsidRPr="00E213D2">
        <w:rPr>
          <w:rStyle w:val="StyleBody"/>
        </w:rPr>
        <w:t xml:space="preserve"> </w:t>
      </w:r>
      <w:r w:rsidR="00CC08C7" w:rsidRPr="00E213D2">
        <w:rPr>
          <w:rStyle w:val="StyleBody"/>
        </w:rPr>
        <w:t xml:space="preserve">Government Act of 2007, Congress created the Office of Government Information Services (OGIS), which is part of </w:t>
      </w:r>
      <w:r w:rsidRPr="00E213D2">
        <w:rPr>
          <w:rStyle w:val="StyleBody"/>
        </w:rPr>
        <w:t>the National Archives and Records Administration (NARA)</w:t>
      </w:r>
      <w:r w:rsidR="004054EC">
        <w:rPr>
          <w:rStyle w:val="StyleBody"/>
        </w:rPr>
        <w:t xml:space="preserve">.  OGIS </w:t>
      </w:r>
      <w:r w:rsidR="00CC08C7" w:rsidRPr="00E213D2">
        <w:rPr>
          <w:rStyle w:val="StyleBody"/>
        </w:rPr>
        <w:t>provide</w:t>
      </w:r>
      <w:r w:rsidR="004054EC">
        <w:rPr>
          <w:rStyle w:val="StyleBody"/>
        </w:rPr>
        <w:t>s</w:t>
      </w:r>
      <w:r w:rsidR="00CC08C7" w:rsidRPr="00E213D2">
        <w:rPr>
          <w:rStyle w:val="StyleBody"/>
        </w:rPr>
        <w:t xml:space="preserve"> mediation services to resolve </w:t>
      </w:r>
      <w:r w:rsidR="00852473" w:rsidRPr="00E213D2">
        <w:rPr>
          <w:rStyle w:val="StyleBody"/>
        </w:rPr>
        <w:t>d</w:t>
      </w:r>
      <w:r w:rsidR="00CC08C7" w:rsidRPr="00E213D2">
        <w:rPr>
          <w:rStyle w:val="StyleBody"/>
        </w:rPr>
        <w:t xml:space="preserve">isputes </w:t>
      </w:r>
      <w:r w:rsidR="00852473" w:rsidRPr="00E213D2">
        <w:rPr>
          <w:rStyle w:val="StyleBody"/>
        </w:rPr>
        <w:t xml:space="preserve">between </w:t>
      </w:r>
      <w:r w:rsidR="004054EC">
        <w:rPr>
          <w:rStyle w:val="StyleBody"/>
        </w:rPr>
        <w:t xml:space="preserve">agencies and </w:t>
      </w:r>
      <w:r w:rsidR="004054EC" w:rsidRPr="00E213D2">
        <w:rPr>
          <w:rStyle w:val="StyleBody"/>
        </w:rPr>
        <w:t>pe</w:t>
      </w:r>
      <w:r w:rsidR="004054EC">
        <w:rPr>
          <w:rStyle w:val="StyleBody"/>
        </w:rPr>
        <w:t>ople</w:t>
      </w:r>
      <w:r w:rsidR="004054EC" w:rsidRPr="00E213D2">
        <w:rPr>
          <w:rStyle w:val="StyleBody"/>
        </w:rPr>
        <w:t xml:space="preserve"> </w:t>
      </w:r>
      <w:r w:rsidR="00852473" w:rsidRPr="00E213D2">
        <w:rPr>
          <w:rStyle w:val="StyleBody"/>
        </w:rPr>
        <w:t>making Freedom of Information Act (FOIA) requests, review</w:t>
      </w:r>
      <w:r w:rsidR="004054EC">
        <w:rPr>
          <w:rStyle w:val="StyleBody"/>
        </w:rPr>
        <w:t>s administrative agency FOIA</w:t>
      </w:r>
      <w:r w:rsidR="00852473" w:rsidRPr="00E213D2">
        <w:rPr>
          <w:rStyle w:val="StyleBody"/>
        </w:rPr>
        <w:t xml:space="preserve"> policies and procedures, and review</w:t>
      </w:r>
      <w:r w:rsidR="004054EC">
        <w:rPr>
          <w:rStyle w:val="StyleBody"/>
        </w:rPr>
        <w:t>s</w:t>
      </w:r>
      <w:r w:rsidR="00852473" w:rsidRPr="00E213D2">
        <w:rPr>
          <w:rStyle w:val="StyleBody"/>
        </w:rPr>
        <w:t xml:space="preserve"> agencies’ compliance with the FOIA.  </w:t>
      </w:r>
      <w:r w:rsidR="00992BB3" w:rsidRPr="00E213D2">
        <w:rPr>
          <w:rStyle w:val="StyleBody"/>
        </w:rPr>
        <w:t xml:space="preserve">OGIS is also known as the “FOIA Ombudsman.”  </w:t>
      </w:r>
      <w:r w:rsidR="00852473" w:rsidRPr="00E213D2">
        <w:rPr>
          <w:rStyle w:val="StyleBody"/>
        </w:rPr>
        <w:t xml:space="preserve">The Privacy Act of 1974 requires prior written authorization from an individual to permit Federal agencies to share records and information related to FOIA and Privacy Act requests and appeals, </w:t>
      </w:r>
      <w:r w:rsidR="004054EC">
        <w:rPr>
          <w:rStyle w:val="StyleBody"/>
        </w:rPr>
        <w:t>unless the agency has a published</w:t>
      </w:r>
      <w:r w:rsidR="004054EC" w:rsidRPr="00E213D2">
        <w:rPr>
          <w:rStyle w:val="StyleBody"/>
        </w:rPr>
        <w:t xml:space="preserve"> </w:t>
      </w:r>
      <w:r w:rsidR="00852473" w:rsidRPr="00E213D2">
        <w:rPr>
          <w:rStyle w:val="StyleBody"/>
        </w:rPr>
        <w:t xml:space="preserve">routine use </w:t>
      </w:r>
      <w:r w:rsidR="004054EC">
        <w:rPr>
          <w:rStyle w:val="StyleBody"/>
        </w:rPr>
        <w:t>that includes release to OGIS for that purpose</w:t>
      </w:r>
      <w:r w:rsidR="00852473" w:rsidRPr="00E213D2">
        <w:rPr>
          <w:rStyle w:val="StyleBody"/>
        </w:rPr>
        <w:t xml:space="preserve">.  </w:t>
      </w:r>
      <w:r w:rsidR="00992BB3" w:rsidRPr="00E213D2">
        <w:rPr>
          <w:rStyle w:val="StyleBody"/>
        </w:rPr>
        <w:t>Currently</w:t>
      </w:r>
      <w:r w:rsidR="004054EC">
        <w:rPr>
          <w:rStyle w:val="StyleBody"/>
        </w:rPr>
        <w:t>,</w:t>
      </w:r>
      <w:r w:rsidR="00992BB3" w:rsidRPr="00E213D2">
        <w:rPr>
          <w:rStyle w:val="StyleBody"/>
        </w:rPr>
        <w:t xml:space="preserve"> </w:t>
      </w:r>
      <w:r w:rsidR="002D4122" w:rsidRPr="00E213D2">
        <w:rPr>
          <w:rStyle w:val="StyleBody"/>
        </w:rPr>
        <w:t xml:space="preserve">nine </w:t>
      </w:r>
      <w:r w:rsidR="004054EC">
        <w:rPr>
          <w:rStyle w:val="StyleBody"/>
        </w:rPr>
        <w:t>F</w:t>
      </w:r>
      <w:r w:rsidR="00992BB3" w:rsidRPr="00E213D2">
        <w:rPr>
          <w:rStyle w:val="StyleBody"/>
        </w:rPr>
        <w:t>ederal de</w:t>
      </w:r>
      <w:r w:rsidR="004604BE" w:rsidRPr="00E213D2">
        <w:rPr>
          <w:rStyle w:val="StyleBody"/>
        </w:rPr>
        <w:t xml:space="preserve">partments or agencies </w:t>
      </w:r>
      <w:r w:rsidR="00992BB3" w:rsidRPr="00E213D2">
        <w:rPr>
          <w:rStyle w:val="StyleBody"/>
        </w:rPr>
        <w:t xml:space="preserve">have a routine use of this nature included in </w:t>
      </w:r>
      <w:r w:rsidR="002D4122" w:rsidRPr="00E213D2">
        <w:rPr>
          <w:rStyle w:val="StyleBody"/>
        </w:rPr>
        <w:t>their</w:t>
      </w:r>
      <w:r w:rsidR="00992BB3" w:rsidRPr="00E213D2">
        <w:rPr>
          <w:rStyle w:val="StyleBody"/>
        </w:rPr>
        <w:t xml:space="preserve"> FOIA and Privacy Act files system of records notices.  </w:t>
      </w:r>
      <w:r w:rsidR="004054EC" w:rsidRPr="00F90BBA">
        <w:rPr>
          <w:rStyle w:val="StyleBody"/>
        </w:rPr>
        <w:t>Requesters use t</w:t>
      </w:r>
      <w:r w:rsidRPr="00F90BBA">
        <w:rPr>
          <w:rStyle w:val="StyleBody"/>
        </w:rPr>
        <w:t xml:space="preserve">he NA Form </w:t>
      </w:r>
      <w:r w:rsidR="001264B1" w:rsidRPr="00F90BBA">
        <w:rPr>
          <w:rStyle w:val="StyleBody"/>
        </w:rPr>
        <w:t>1000</w:t>
      </w:r>
      <w:r w:rsidR="004054EC" w:rsidRPr="00F90BBA">
        <w:rPr>
          <w:rStyle w:val="StyleBody"/>
        </w:rPr>
        <w:t>3</w:t>
      </w:r>
      <w:r w:rsidRPr="00F90BBA">
        <w:rPr>
          <w:rFonts w:asciiTheme="minorHAnsi" w:hAnsiTheme="minorHAnsi"/>
          <w:b/>
          <w:szCs w:val="24"/>
        </w:rPr>
        <w:t>,</w:t>
      </w:r>
      <w:r w:rsidRPr="00F90BBA">
        <w:rPr>
          <w:rStyle w:val="StyleBody"/>
        </w:rPr>
        <w:t xml:space="preserve"> </w:t>
      </w:r>
      <w:r w:rsidR="003473B6" w:rsidRPr="00F90BBA">
        <w:rPr>
          <w:rStyle w:val="StyleBody"/>
        </w:rPr>
        <w:t>OGIS Consent to Make Inquiries and Rele</w:t>
      </w:r>
      <w:r w:rsidR="00A23009" w:rsidRPr="00F90BBA">
        <w:rPr>
          <w:rStyle w:val="StyleBody"/>
        </w:rPr>
        <w:t>ase of Information and Records</w:t>
      </w:r>
      <w:r w:rsidR="004054EC" w:rsidRPr="00F90BBA">
        <w:rPr>
          <w:rStyle w:val="StyleBody"/>
        </w:rPr>
        <w:t xml:space="preserve">, </w:t>
      </w:r>
      <w:r w:rsidR="00852473" w:rsidRPr="00E213D2">
        <w:rPr>
          <w:rStyle w:val="StyleBody"/>
        </w:rPr>
        <w:t>to</w:t>
      </w:r>
      <w:r w:rsidRPr="00E213D2">
        <w:rPr>
          <w:rStyle w:val="StyleBody"/>
        </w:rPr>
        <w:t xml:space="preserve"> (1) </w:t>
      </w:r>
      <w:r w:rsidR="004054EC">
        <w:rPr>
          <w:rStyle w:val="StyleBody"/>
        </w:rPr>
        <w:t xml:space="preserve">request that OGIS </w:t>
      </w:r>
      <w:r w:rsidR="00852473" w:rsidRPr="00E213D2">
        <w:rPr>
          <w:rStyle w:val="StyleBody"/>
        </w:rPr>
        <w:t xml:space="preserve">make inquiries on their behalf </w:t>
      </w:r>
      <w:r w:rsidRPr="00E213D2">
        <w:rPr>
          <w:rStyle w:val="StyleBody"/>
        </w:rPr>
        <w:t xml:space="preserve">and (2) </w:t>
      </w:r>
      <w:r w:rsidR="001C4242">
        <w:rPr>
          <w:rStyle w:val="StyleBody"/>
        </w:rPr>
        <w:t xml:space="preserve">authorize agencies to </w:t>
      </w:r>
      <w:r w:rsidR="00852473" w:rsidRPr="00E213D2">
        <w:rPr>
          <w:rStyle w:val="StyleBody"/>
        </w:rPr>
        <w:t xml:space="preserve">release records and </w:t>
      </w:r>
      <w:r w:rsidRPr="00E213D2">
        <w:rPr>
          <w:rStyle w:val="StyleBody"/>
        </w:rPr>
        <w:t xml:space="preserve">information </w:t>
      </w:r>
      <w:r w:rsidR="00852473" w:rsidRPr="00E213D2">
        <w:rPr>
          <w:rStyle w:val="StyleBody"/>
        </w:rPr>
        <w:t xml:space="preserve">related to their FOIA and Privacy Act requests and appeals so that OGIS can assist in resolving </w:t>
      </w:r>
      <w:r w:rsidR="00992BB3" w:rsidRPr="00E213D2">
        <w:rPr>
          <w:rStyle w:val="StyleBody"/>
        </w:rPr>
        <w:t>the</w:t>
      </w:r>
      <w:r w:rsidR="00852473" w:rsidRPr="00E213D2">
        <w:rPr>
          <w:rStyle w:val="StyleBody"/>
        </w:rPr>
        <w:t xml:space="preserve"> dispute</w:t>
      </w:r>
      <w:r w:rsidR="008236C3" w:rsidRPr="00E213D2">
        <w:rPr>
          <w:rStyle w:val="StyleBody"/>
        </w:rPr>
        <w:t xml:space="preserve"> or in providing information</w:t>
      </w:r>
      <w:r w:rsidR="001C4242">
        <w:rPr>
          <w:rStyle w:val="StyleBody"/>
        </w:rPr>
        <w:t xml:space="preserve"> to the requester</w:t>
      </w:r>
      <w:r w:rsidRPr="00E213D2">
        <w:rPr>
          <w:rStyle w:val="StyleBody"/>
        </w:rPr>
        <w:t xml:space="preserve">.  The authority for this information collection is prescribed by </w:t>
      </w:r>
      <w:r w:rsidR="00992BB3" w:rsidRPr="00E213D2">
        <w:rPr>
          <w:rStyle w:val="StyleBody"/>
        </w:rPr>
        <w:t>5 U.S.C. § 552a(b)</w:t>
      </w:r>
      <w:r w:rsidR="001C4242">
        <w:rPr>
          <w:rStyle w:val="StyleBody"/>
        </w:rPr>
        <w:t xml:space="preserve">, and as interpreted by </w:t>
      </w:r>
      <w:r w:rsidR="001C4242" w:rsidRPr="00E213D2">
        <w:rPr>
          <w:rFonts w:asciiTheme="minorHAnsi" w:hAnsiTheme="minorHAnsi"/>
          <w:szCs w:val="24"/>
          <w:u w:val="single"/>
        </w:rPr>
        <w:t>Taylor v. Orr</w:t>
      </w:r>
      <w:r w:rsidR="001C4242" w:rsidRPr="00E213D2">
        <w:rPr>
          <w:rStyle w:val="StyleBody"/>
        </w:rPr>
        <w:t>, No. 83-0389, 1983 U.S. Dist. LEXIS 20334, at *6 n.6 (D.D.C. Dec. 5, 1983</w:t>
      </w:r>
      <w:r w:rsidRPr="00E213D2">
        <w:rPr>
          <w:rStyle w:val="StyleBody"/>
        </w:rPr>
        <w:t>.</w:t>
      </w:r>
    </w:p>
    <w:p w14:paraId="1E499CC1" w14:textId="77777777" w:rsidR="00DF0357" w:rsidRDefault="00DF0357" w:rsidP="00472C02">
      <w:pPr>
        <w:ind w:left="288" w:hanging="288"/>
        <w:rPr>
          <w:rStyle w:val="StyleBody"/>
        </w:rPr>
      </w:pPr>
    </w:p>
    <w:p w14:paraId="090F4FDD" w14:textId="28E0AE0C" w:rsidR="00CE4F2F" w:rsidRPr="00E213D2" w:rsidRDefault="00DF0357" w:rsidP="00DF0357">
      <w:pPr>
        <w:ind w:left="288"/>
        <w:rPr>
          <w:rStyle w:val="StyleBody"/>
        </w:rPr>
      </w:pPr>
      <w:r>
        <w:rPr>
          <w:rStyle w:val="StyleBody"/>
        </w:rPr>
        <w:t xml:space="preserve">In February 2014, OGIS requested that the name of the agency – National Archives and Records Administration, and office symbol – OGIS, be added to the address line on NA Form </w:t>
      </w:r>
      <w:r w:rsidRPr="00F90BBA">
        <w:rPr>
          <w:rStyle w:val="StyleBody"/>
        </w:rPr>
        <w:t>1000</w:t>
      </w:r>
      <w:r w:rsidR="001C4242" w:rsidRPr="00F90BBA">
        <w:rPr>
          <w:rStyle w:val="StyleBody"/>
        </w:rPr>
        <w:t>3</w:t>
      </w:r>
      <w:r w:rsidRPr="00F90BBA">
        <w:rPr>
          <w:rStyle w:val="StyleBody"/>
        </w:rPr>
        <w:t>.</w:t>
      </w:r>
    </w:p>
    <w:p w14:paraId="2B778A28" w14:textId="77777777" w:rsidR="00CE4F2F" w:rsidRPr="00E213D2" w:rsidRDefault="00CE4F2F">
      <w:pPr>
        <w:rPr>
          <w:rStyle w:val="StyleBody"/>
        </w:rPr>
      </w:pPr>
    </w:p>
    <w:p w14:paraId="23FBF534" w14:textId="74AFB4E4" w:rsidR="00CE4F2F" w:rsidRPr="00E213D2" w:rsidRDefault="00CE4F2F" w:rsidP="00472C02">
      <w:pPr>
        <w:ind w:left="288" w:hanging="288"/>
        <w:rPr>
          <w:rStyle w:val="StyleBody"/>
        </w:rPr>
      </w:pPr>
      <w:r w:rsidRPr="00E213D2">
        <w:rPr>
          <w:rStyle w:val="StyleBody"/>
        </w:rPr>
        <w:t xml:space="preserve">2.  </w:t>
      </w:r>
      <w:r w:rsidRPr="00E213D2">
        <w:rPr>
          <w:rFonts w:asciiTheme="minorHAnsi" w:hAnsiTheme="minorHAnsi"/>
          <w:b/>
          <w:szCs w:val="24"/>
          <w:u w:val="single"/>
        </w:rPr>
        <w:t xml:space="preserve">Purpose and </w:t>
      </w:r>
      <w:r w:rsidR="00855E94">
        <w:rPr>
          <w:rFonts w:asciiTheme="minorHAnsi" w:hAnsiTheme="minorHAnsi"/>
          <w:b/>
          <w:szCs w:val="24"/>
          <w:u w:val="single"/>
        </w:rPr>
        <w:t>u</w:t>
      </w:r>
      <w:r w:rsidRPr="00E213D2">
        <w:rPr>
          <w:rFonts w:asciiTheme="minorHAnsi" w:hAnsiTheme="minorHAnsi"/>
          <w:b/>
          <w:szCs w:val="24"/>
          <w:u w:val="single"/>
        </w:rPr>
        <w:t xml:space="preserve">se of the </w:t>
      </w:r>
      <w:r w:rsidR="00855E94">
        <w:rPr>
          <w:rFonts w:asciiTheme="minorHAnsi" w:hAnsiTheme="minorHAnsi"/>
          <w:b/>
          <w:szCs w:val="24"/>
          <w:u w:val="single"/>
        </w:rPr>
        <w:t>i</w:t>
      </w:r>
      <w:r w:rsidRPr="00E213D2">
        <w:rPr>
          <w:rFonts w:asciiTheme="minorHAnsi" w:hAnsiTheme="minorHAnsi"/>
          <w:b/>
          <w:szCs w:val="24"/>
          <w:u w:val="single"/>
        </w:rPr>
        <w:t>nformation.</w:t>
      </w:r>
      <w:r w:rsidRPr="00E213D2">
        <w:rPr>
          <w:rStyle w:val="StyleBody"/>
        </w:rPr>
        <w:t xml:space="preserve">  </w:t>
      </w:r>
      <w:r w:rsidR="00992BB3" w:rsidRPr="00E213D2">
        <w:rPr>
          <w:rStyle w:val="StyleBody"/>
        </w:rPr>
        <w:t xml:space="preserve">In order to fulfill its </w:t>
      </w:r>
      <w:r w:rsidR="006D61FD">
        <w:rPr>
          <w:rStyle w:val="StyleBody"/>
        </w:rPr>
        <w:t>G</w:t>
      </w:r>
      <w:r w:rsidR="00992BB3" w:rsidRPr="00E213D2">
        <w:rPr>
          <w:rStyle w:val="StyleBody"/>
        </w:rPr>
        <w:t xml:space="preserve">overnment-wide statutory mission, OGIS provides varying types of assistance to its customers, which requires communicating with </w:t>
      </w:r>
      <w:r w:rsidR="006D61FD">
        <w:rPr>
          <w:rStyle w:val="StyleBody"/>
        </w:rPr>
        <w:t>G</w:t>
      </w:r>
      <w:r w:rsidR="00992BB3" w:rsidRPr="00E213D2">
        <w:rPr>
          <w:rStyle w:val="StyleBody"/>
        </w:rPr>
        <w:t>overnment departments and agencies regarding the customer’s FOIA/Pr</w:t>
      </w:r>
      <w:r w:rsidR="00E47463" w:rsidRPr="00E213D2">
        <w:rPr>
          <w:rStyle w:val="StyleBody"/>
        </w:rPr>
        <w:t xml:space="preserve">ivacy Act request/appeal. </w:t>
      </w:r>
      <w:r w:rsidR="004054EC">
        <w:rPr>
          <w:rStyle w:val="StyleBody"/>
        </w:rPr>
        <w:t xml:space="preserve"> Under the Privacy Act, the agencies may not share peoples’ personal information without either a routine use that they inform people of prior to gathering the information, or permission from the involved person.  </w:t>
      </w:r>
      <w:r w:rsidR="001C4242">
        <w:rPr>
          <w:rStyle w:val="StyleBody"/>
        </w:rPr>
        <w:t xml:space="preserve">As a result, </w:t>
      </w:r>
      <w:r w:rsidR="00E47463" w:rsidRPr="00E213D2">
        <w:rPr>
          <w:rStyle w:val="StyleBody"/>
        </w:rPr>
        <w:t>OGIS</w:t>
      </w:r>
      <w:r w:rsidRPr="00E213D2">
        <w:rPr>
          <w:rStyle w:val="StyleBody"/>
        </w:rPr>
        <w:t xml:space="preserve"> uses </w:t>
      </w:r>
      <w:r w:rsidR="001C4242">
        <w:rPr>
          <w:rStyle w:val="StyleBody"/>
        </w:rPr>
        <w:t>NA Form 10003 to collect that authorization and the identifying information necessary for the agency to identify the correct files so that OGIS may</w:t>
      </w:r>
      <w:r w:rsidRPr="00E213D2">
        <w:rPr>
          <w:rStyle w:val="StyleBody"/>
        </w:rPr>
        <w:t xml:space="preserve"> </w:t>
      </w:r>
      <w:r w:rsidR="00E47463" w:rsidRPr="00E213D2">
        <w:rPr>
          <w:rStyle w:val="StyleBody"/>
        </w:rPr>
        <w:t>provide the requested assistance</w:t>
      </w:r>
      <w:r w:rsidR="001D04E7" w:rsidRPr="00E213D2">
        <w:rPr>
          <w:rStyle w:val="StyleBody"/>
        </w:rPr>
        <w:t>.  Without the information submitt</w:t>
      </w:r>
      <w:r w:rsidR="00531ACB" w:rsidRPr="00E213D2">
        <w:rPr>
          <w:rStyle w:val="StyleBody"/>
        </w:rPr>
        <w:t>ed in NA Form</w:t>
      </w:r>
      <w:r w:rsidR="006D61FD">
        <w:rPr>
          <w:rStyle w:val="StyleBody"/>
        </w:rPr>
        <w:t xml:space="preserve"> </w:t>
      </w:r>
      <w:r w:rsidR="00C717DA" w:rsidRPr="00E213D2">
        <w:rPr>
          <w:rStyle w:val="StyleBody"/>
        </w:rPr>
        <w:t>10003</w:t>
      </w:r>
      <w:r w:rsidR="001D04E7" w:rsidRPr="00E213D2">
        <w:rPr>
          <w:rStyle w:val="StyleBody"/>
        </w:rPr>
        <w:t>, OGIS would be unable to fulfill its mission</w:t>
      </w:r>
      <w:r w:rsidR="004054EC">
        <w:rPr>
          <w:rStyle w:val="StyleBody"/>
        </w:rPr>
        <w:t xml:space="preserve"> or provide assistance to requesters</w:t>
      </w:r>
      <w:r w:rsidR="001D04E7" w:rsidRPr="00E213D2">
        <w:rPr>
          <w:rStyle w:val="StyleBody"/>
        </w:rPr>
        <w:t>.</w:t>
      </w:r>
    </w:p>
    <w:p w14:paraId="13FA891C" w14:textId="77777777" w:rsidR="00CE4F2F" w:rsidRPr="00E213D2" w:rsidRDefault="00CE4F2F">
      <w:pPr>
        <w:rPr>
          <w:rStyle w:val="StyleBody"/>
        </w:rPr>
      </w:pPr>
    </w:p>
    <w:p w14:paraId="0D6ABA03" w14:textId="38521218" w:rsidR="00595B0E" w:rsidRPr="00E213D2" w:rsidRDefault="00CE4F2F" w:rsidP="00614888">
      <w:pPr>
        <w:ind w:left="288" w:hanging="288"/>
        <w:rPr>
          <w:rStyle w:val="StyleBody"/>
        </w:rPr>
      </w:pPr>
      <w:r w:rsidRPr="00E213D2">
        <w:rPr>
          <w:rStyle w:val="StyleBody"/>
        </w:rPr>
        <w:t xml:space="preserve">3.  </w:t>
      </w:r>
      <w:r w:rsidRPr="00E213D2">
        <w:rPr>
          <w:rFonts w:asciiTheme="minorHAnsi" w:hAnsiTheme="minorHAnsi"/>
          <w:b/>
          <w:szCs w:val="24"/>
          <w:u w:val="single"/>
        </w:rPr>
        <w:t xml:space="preserve">Use of </w:t>
      </w:r>
      <w:r w:rsidR="00855E94">
        <w:rPr>
          <w:rFonts w:asciiTheme="minorHAnsi" w:hAnsiTheme="minorHAnsi"/>
          <w:b/>
          <w:szCs w:val="24"/>
          <w:u w:val="single"/>
        </w:rPr>
        <w:t>i</w:t>
      </w:r>
      <w:r w:rsidRPr="00E213D2">
        <w:rPr>
          <w:rFonts w:asciiTheme="minorHAnsi" w:hAnsiTheme="minorHAnsi"/>
          <w:b/>
          <w:szCs w:val="24"/>
          <w:u w:val="single"/>
        </w:rPr>
        <w:t xml:space="preserve">nformation </w:t>
      </w:r>
      <w:r w:rsidR="00855E94">
        <w:rPr>
          <w:rFonts w:asciiTheme="minorHAnsi" w:hAnsiTheme="minorHAnsi"/>
          <w:b/>
          <w:szCs w:val="24"/>
          <w:u w:val="single"/>
        </w:rPr>
        <w:t>t</w:t>
      </w:r>
      <w:r w:rsidRPr="00E213D2">
        <w:rPr>
          <w:rFonts w:asciiTheme="minorHAnsi" w:hAnsiTheme="minorHAnsi"/>
          <w:b/>
          <w:szCs w:val="24"/>
          <w:u w:val="single"/>
        </w:rPr>
        <w:t xml:space="preserve">echnology and </w:t>
      </w:r>
      <w:r w:rsidR="00855E94">
        <w:rPr>
          <w:rFonts w:asciiTheme="minorHAnsi" w:hAnsiTheme="minorHAnsi"/>
          <w:b/>
          <w:szCs w:val="24"/>
          <w:u w:val="single"/>
        </w:rPr>
        <w:t>b</w:t>
      </w:r>
      <w:r w:rsidRPr="00E213D2">
        <w:rPr>
          <w:rFonts w:asciiTheme="minorHAnsi" w:hAnsiTheme="minorHAnsi"/>
          <w:b/>
          <w:szCs w:val="24"/>
          <w:u w:val="single"/>
        </w:rPr>
        <w:t xml:space="preserve">urden </w:t>
      </w:r>
      <w:r w:rsidR="00855E94">
        <w:rPr>
          <w:rFonts w:asciiTheme="minorHAnsi" w:hAnsiTheme="minorHAnsi"/>
          <w:b/>
          <w:szCs w:val="24"/>
          <w:u w:val="single"/>
        </w:rPr>
        <w:t>r</w:t>
      </w:r>
      <w:r w:rsidRPr="00E213D2">
        <w:rPr>
          <w:rFonts w:asciiTheme="minorHAnsi" w:hAnsiTheme="minorHAnsi"/>
          <w:b/>
          <w:szCs w:val="24"/>
          <w:u w:val="single"/>
        </w:rPr>
        <w:t>eduction.</w:t>
      </w:r>
      <w:r w:rsidRPr="00E213D2">
        <w:rPr>
          <w:rStyle w:val="StyleBody"/>
        </w:rPr>
        <w:t xml:space="preserve">  </w:t>
      </w:r>
    </w:p>
    <w:p w14:paraId="526EB977" w14:textId="5D942305" w:rsidR="00C35A07" w:rsidRPr="00E213D2" w:rsidRDefault="00225BED" w:rsidP="00595B0E">
      <w:pPr>
        <w:ind w:left="288" w:hanging="18"/>
        <w:rPr>
          <w:rFonts w:asciiTheme="minorHAnsi" w:hAnsiTheme="minorHAnsi"/>
          <w:szCs w:val="24"/>
        </w:rPr>
      </w:pPr>
      <w:r w:rsidRPr="00E213D2">
        <w:rPr>
          <w:rFonts w:asciiTheme="minorHAnsi" w:hAnsiTheme="minorHAnsi"/>
          <w:szCs w:val="24"/>
        </w:rPr>
        <w:t xml:space="preserve">OGIS cannot </w:t>
      </w:r>
      <w:r w:rsidR="00C35A07" w:rsidRPr="00E213D2">
        <w:rPr>
          <w:rFonts w:asciiTheme="minorHAnsi" w:hAnsiTheme="minorHAnsi"/>
          <w:szCs w:val="24"/>
        </w:rPr>
        <w:t xml:space="preserve">accept the collected information </w:t>
      </w:r>
      <w:r w:rsidR="005B2338">
        <w:rPr>
          <w:rFonts w:asciiTheme="minorHAnsi" w:hAnsiTheme="minorHAnsi"/>
          <w:szCs w:val="24"/>
        </w:rPr>
        <w:t xml:space="preserve">via </w:t>
      </w:r>
      <w:r w:rsidR="00C35A07" w:rsidRPr="00E213D2">
        <w:rPr>
          <w:rFonts w:asciiTheme="minorHAnsi" w:hAnsiTheme="minorHAnsi"/>
          <w:szCs w:val="24"/>
        </w:rPr>
        <w:t>online</w:t>
      </w:r>
      <w:r w:rsidR="005B2338">
        <w:rPr>
          <w:rFonts w:asciiTheme="minorHAnsi" w:hAnsiTheme="minorHAnsi"/>
          <w:szCs w:val="24"/>
        </w:rPr>
        <w:t xml:space="preserve"> submission</w:t>
      </w:r>
      <w:r w:rsidR="00C922A9" w:rsidRPr="00E213D2">
        <w:rPr>
          <w:rFonts w:asciiTheme="minorHAnsi" w:hAnsiTheme="minorHAnsi"/>
          <w:szCs w:val="24"/>
        </w:rPr>
        <w:t xml:space="preserve">.  </w:t>
      </w:r>
      <w:r w:rsidR="002D4122" w:rsidRPr="00E213D2">
        <w:rPr>
          <w:rFonts w:asciiTheme="minorHAnsi" w:hAnsiTheme="minorHAnsi"/>
          <w:szCs w:val="24"/>
        </w:rPr>
        <w:t xml:space="preserve">Therefore, </w:t>
      </w:r>
      <w:r w:rsidR="004D11BC">
        <w:rPr>
          <w:rFonts w:asciiTheme="minorHAnsi" w:hAnsiTheme="minorHAnsi"/>
          <w:szCs w:val="24"/>
        </w:rPr>
        <w:t xml:space="preserve">requesters may submit </w:t>
      </w:r>
      <w:r w:rsidR="002D4122" w:rsidRPr="00E213D2">
        <w:rPr>
          <w:rFonts w:asciiTheme="minorHAnsi" w:hAnsiTheme="minorHAnsi"/>
          <w:szCs w:val="24"/>
        </w:rPr>
        <w:t xml:space="preserve">signed copies </w:t>
      </w:r>
      <w:r w:rsidRPr="00E213D2">
        <w:rPr>
          <w:rFonts w:asciiTheme="minorHAnsi" w:hAnsiTheme="minorHAnsi"/>
          <w:szCs w:val="24"/>
        </w:rPr>
        <w:t xml:space="preserve">of the consent form </w:t>
      </w:r>
      <w:r w:rsidR="002D4122" w:rsidRPr="00E213D2">
        <w:rPr>
          <w:rFonts w:asciiTheme="minorHAnsi" w:hAnsiTheme="minorHAnsi"/>
          <w:szCs w:val="24"/>
        </w:rPr>
        <w:t xml:space="preserve">either </w:t>
      </w:r>
      <w:r w:rsidRPr="00E213D2">
        <w:rPr>
          <w:rFonts w:asciiTheme="minorHAnsi" w:hAnsiTheme="minorHAnsi"/>
          <w:szCs w:val="24"/>
        </w:rPr>
        <w:t>by</w:t>
      </w:r>
      <w:r w:rsidR="002D4122" w:rsidRPr="00E213D2">
        <w:rPr>
          <w:rFonts w:asciiTheme="minorHAnsi" w:hAnsiTheme="minorHAnsi"/>
          <w:szCs w:val="24"/>
        </w:rPr>
        <w:t xml:space="preserve"> email (PDF document), </w:t>
      </w:r>
      <w:r w:rsidR="004D11BC">
        <w:rPr>
          <w:rFonts w:asciiTheme="minorHAnsi" w:hAnsiTheme="minorHAnsi"/>
          <w:szCs w:val="24"/>
        </w:rPr>
        <w:t xml:space="preserve">mail, </w:t>
      </w:r>
      <w:r w:rsidR="002D4122" w:rsidRPr="00E213D2">
        <w:rPr>
          <w:rFonts w:asciiTheme="minorHAnsi" w:hAnsiTheme="minorHAnsi"/>
          <w:szCs w:val="24"/>
        </w:rPr>
        <w:t xml:space="preserve">or facsimile.  </w:t>
      </w:r>
      <w:r w:rsidR="00C922A9" w:rsidRPr="00E213D2">
        <w:rPr>
          <w:rFonts w:asciiTheme="minorHAnsi" w:hAnsiTheme="minorHAnsi"/>
          <w:szCs w:val="24"/>
        </w:rPr>
        <w:t>Once OGIS</w:t>
      </w:r>
      <w:r w:rsidR="002D4122" w:rsidRPr="00E213D2">
        <w:rPr>
          <w:rFonts w:asciiTheme="minorHAnsi" w:hAnsiTheme="minorHAnsi"/>
          <w:szCs w:val="24"/>
        </w:rPr>
        <w:t xml:space="preserve"> is able to add this technology to </w:t>
      </w:r>
      <w:r w:rsidR="009445E4">
        <w:rPr>
          <w:rFonts w:asciiTheme="minorHAnsi" w:hAnsiTheme="minorHAnsi"/>
          <w:szCs w:val="24"/>
        </w:rPr>
        <w:t xml:space="preserve">future </w:t>
      </w:r>
      <w:r w:rsidR="00C922A9" w:rsidRPr="00E213D2">
        <w:rPr>
          <w:rFonts w:asciiTheme="minorHAnsi" w:hAnsiTheme="minorHAnsi"/>
          <w:szCs w:val="24"/>
        </w:rPr>
        <w:t>case management database,</w:t>
      </w:r>
      <w:r w:rsidR="00D96685" w:rsidRPr="00E213D2">
        <w:rPr>
          <w:rFonts w:asciiTheme="minorHAnsi" w:hAnsiTheme="minorHAnsi"/>
          <w:szCs w:val="24"/>
        </w:rPr>
        <w:t xml:space="preserve"> OGIS</w:t>
      </w:r>
      <w:r w:rsidR="00C922A9" w:rsidRPr="00E213D2">
        <w:rPr>
          <w:rFonts w:asciiTheme="minorHAnsi" w:hAnsiTheme="minorHAnsi"/>
          <w:szCs w:val="24"/>
        </w:rPr>
        <w:t xml:space="preserve"> will be </w:t>
      </w:r>
      <w:r w:rsidR="00D96685" w:rsidRPr="00E213D2">
        <w:rPr>
          <w:rFonts w:asciiTheme="minorHAnsi" w:hAnsiTheme="minorHAnsi"/>
          <w:szCs w:val="24"/>
        </w:rPr>
        <w:t>able</w:t>
      </w:r>
      <w:r w:rsidR="00C922A9" w:rsidRPr="00E213D2">
        <w:rPr>
          <w:rFonts w:asciiTheme="minorHAnsi" w:hAnsiTheme="minorHAnsi"/>
          <w:szCs w:val="24"/>
        </w:rPr>
        <w:t xml:space="preserve"> to collect this information online</w:t>
      </w:r>
      <w:r w:rsidR="00C35A07" w:rsidRPr="00E213D2">
        <w:rPr>
          <w:rFonts w:asciiTheme="minorHAnsi" w:hAnsiTheme="minorHAnsi"/>
          <w:szCs w:val="24"/>
        </w:rPr>
        <w:t xml:space="preserve">.  The collected information is the minimum information needed to allow </w:t>
      </w:r>
      <w:r w:rsidR="00E47463" w:rsidRPr="00E213D2">
        <w:rPr>
          <w:rFonts w:asciiTheme="minorHAnsi" w:hAnsiTheme="minorHAnsi"/>
          <w:szCs w:val="24"/>
        </w:rPr>
        <w:t>OGIS</w:t>
      </w:r>
      <w:r w:rsidR="00C35A07" w:rsidRPr="00E213D2">
        <w:rPr>
          <w:rFonts w:asciiTheme="minorHAnsi" w:hAnsiTheme="minorHAnsi"/>
          <w:szCs w:val="24"/>
        </w:rPr>
        <w:t xml:space="preserve"> to </w:t>
      </w:r>
      <w:r w:rsidR="00E47463" w:rsidRPr="00E213D2">
        <w:rPr>
          <w:rFonts w:asciiTheme="minorHAnsi" w:hAnsiTheme="minorHAnsi"/>
          <w:szCs w:val="24"/>
        </w:rPr>
        <w:t>perform its statutory mission</w:t>
      </w:r>
      <w:r w:rsidR="004D11BC">
        <w:rPr>
          <w:rFonts w:asciiTheme="minorHAnsi" w:hAnsiTheme="minorHAnsi"/>
          <w:szCs w:val="24"/>
        </w:rPr>
        <w:t xml:space="preserve"> and to aid requesters</w:t>
      </w:r>
      <w:r w:rsidR="00C35A07" w:rsidRPr="00E213D2">
        <w:rPr>
          <w:rFonts w:asciiTheme="minorHAnsi" w:hAnsiTheme="minorHAnsi"/>
          <w:szCs w:val="24"/>
        </w:rPr>
        <w:t xml:space="preserve">.  </w:t>
      </w:r>
    </w:p>
    <w:p w14:paraId="7CCDE2CB" w14:textId="77777777" w:rsidR="00CE4F2F" w:rsidRPr="00E213D2" w:rsidRDefault="00CE4F2F" w:rsidP="00614888">
      <w:pPr>
        <w:ind w:left="288" w:hanging="288"/>
        <w:rPr>
          <w:rFonts w:asciiTheme="minorHAnsi" w:hAnsiTheme="minorHAnsi"/>
          <w:szCs w:val="24"/>
        </w:rPr>
      </w:pPr>
    </w:p>
    <w:p w14:paraId="01827A6A" w14:textId="1C788DFB" w:rsidR="00CE4F2F" w:rsidRPr="00E213D2" w:rsidRDefault="00CE4F2F" w:rsidP="00472C02">
      <w:pPr>
        <w:ind w:left="288" w:hanging="288"/>
        <w:rPr>
          <w:rStyle w:val="StyleBody"/>
        </w:rPr>
      </w:pPr>
      <w:r w:rsidRPr="00E213D2">
        <w:rPr>
          <w:rStyle w:val="StyleBody"/>
        </w:rPr>
        <w:lastRenderedPageBreak/>
        <w:t xml:space="preserve">4.  </w:t>
      </w:r>
      <w:r w:rsidRPr="00E213D2">
        <w:rPr>
          <w:rFonts w:asciiTheme="minorHAnsi" w:hAnsiTheme="minorHAnsi"/>
          <w:b/>
          <w:szCs w:val="24"/>
          <w:u w:val="single"/>
        </w:rPr>
        <w:t xml:space="preserve">Efforts to </w:t>
      </w:r>
      <w:r w:rsidR="00855E94">
        <w:rPr>
          <w:rFonts w:asciiTheme="minorHAnsi" w:hAnsiTheme="minorHAnsi"/>
          <w:b/>
          <w:szCs w:val="24"/>
          <w:u w:val="single"/>
        </w:rPr>
        <w:t>i</w:t>
      </w:r>
      <w:r w:rsidRPr="00E213D2">
        <w:rPr>
          <w:rFonts w:asciiTheme="minorHAnsi" w:hAnsiTheme="minorHAnsi"/>
          <w:b/>
          <w:szCs w:val="24"/>
          <w:u w:val="single"/>
        </w:rPr>
        <w:t xml:space="preserve">dentify </w:t>
      </w:r>
      <w:r w:rsidR="00855E94">
        <w:rPr>
          <w:rFonts w:asciiTheme="minorHAnsi" w:hAnsiTheme="minorHAnsi"/>
          <w:b/>
          <w:szCs w:val="24"/>
          <w:u w:val="single"/>
        </w:rPr>
        <w:t>d</w:t>
      </w:r>
      <w:r w:rsidRPr="00E213D2">
        <w:rPr>
          <w:rFonts w:asciiTheme="minorHAnsi" w:hAnsiTheme="minorHAnsi"/>
          <w:b/>
          <w:szCs w:val="24"/>
          <w:u w:val="single"/>
        </w:rPr>
        <w:t xml:space="preserve">uplication and </w:t>
      </w:r>
      <w:r w:rsidR="00855E94">
        <w:rPr>
          <w:rFonts w:asciiTheme="minorHAnsi" w:hAnsiTheme="minorHAnsi"/>
          <w:b/>
          <w:szCs w:val="24"/>
          <w:u w:val="single"/>
        </w:rPr>
        <w:t>u</w:t>
      </w:r>
      <w:r w:rsidRPr="00E213D2">
        <w:rPr>
          <w:rFonts w:asciiTheme="minorHAnsi" w:hAnsiTheme="minorHAnsi"/>
          <w:b/>
          <w:szCs w:val="24"/>
          <w:u w:val="single"/>
        </w:rPr>
        <w:t xml:space="preserve">se of </w:t>
      </w:r>
      <w:r w:rsidR="00855E94">
        <w:rPr>
          <w:rFonts w:asciiTheme="minorHAnsi" w:hAnsiTheme="minorHAnsi"/>
          <w:b/>
          <w:szCs w:val="24"/>
          <w:u w:val="single"/>
        </w:rPr>
        <w:t>s</w:t>
      </w:r>
      <w:r w:rsidRPr="00E213D2">
        <w:rPr>
          <w:rFonts w:asciiTheme="minorHAnsi" w:hAnsiTheme="minorHAnsi"/>
          <w:b/>
          <w:szCs w:val="24"/>
          <w:u w:val="single"/>
        </w:rPr>
        <w:t xml:space="preserve">imilar </w:t>
      </w:r>
      <w:r w:rsidR="00855E94">
        <w:rPr>
          <w:rFonts w:asciiTheme="minorHAnsi" w:hAnsiTheme="minorHAnsi"/>
          <w:b/>
          <w:szCs w:val="24"/>
          <w:u w:val="single"/>
        </w:rPr>
        <w:t>i</w:t>
      </w:r>
      <w:r w:rsidRPr="00E213D2">
        <w:rPr>
          <w:rFonts w:asciiTheme="minorHAnsi" w:hAnsiTheme="minorHAnsi"/>
          <w:b/>
          <w:szCs w:val="24"/>
          <w:u w:val="single"/>
        </w:rPr>
        <w:t>nformation.</w:t>
      </w:r>
      <w:r w:rsidRPr="00E213D2">
        <w:rPr>
          <w:rStyle w:val="StyleBody"/>
        </w:rPr>
        <w:t xml:space="preserve">  There is no duplication of this information. </w:t>
      </w:r>
    </w:p>
    <w:p w14:paraId="059EE0F2" w14:textId="77777777" w:rsidR="00CE4F2F" w:rsidRPr="00E213D2" w:rsidRDefault="00CE4F2F">
      <w:pPr>
        <w:rPr>
          <w:rStyle w:val="StyleBody"/>
        </w:rPr>
      </w:pPr>
    </w:p>
    <w:p w14:paraId="3B284C61" w14:textId="5763BFFB" w:rsidR="00CE4F2F" w:rsidRPr="00E213D2" w:rsidRDefault="00CE4F2F" w:rsidP="00472C02">
      <w:pPr>
        <w:ind w:left="288" w:hanging="288"/>
        <w:rPr>
          <w:rStyle w:val="StyleBody"/>
        </w:rPr>
      </w:pPr>
      <w:r w:rsidRPr="00E213D2">
        <w:rPr>
          <w:rStyle w:val="StyleBody"/>
        </w:rPr>
        <w:t xml:space="preserve">5.  </w:t>
      </w:r>
      <w:r w:rsidRPr="00E213D2">
        <w:rPr>
          <w:rFonts w:asciiTheme="minorHAnsi" w:hAnsiTheme="minorHAnsi"/>
          <w:b/>
          <w:szCs w:val="24"/>
          <w:u w:val="single"/>
        </w:rPr>
        <w:t xml:space="preserve">Impact on </w:t>
      </w:r>
      <w:r w:rsidR="00855E94">
        <w:rPr>
          <w:rFonts w:asciiTheme="minorHAnsi" w:hAnsiTheme="minorHAnsi"/>
          <w:b/>
          <w:szCs w:val="24"/>
          <w:u w:val="single"/>
        </w:rPr>
        <w:t>s</w:t>
      </w:r>
      <w:r w:rsidRPr="00E213D2">
        <w:rPr>
          <w:rFonts w:asciiTheme="minorHAnsi" w:hAnsiTheme="minorHAnsi"/>
          <w:b/>
          <w:szCs w:val="24"/>
          <w:u w:val="single"/>
        </w:rPr>
        <w:t xml:space="preserve">mall </w:t>
      </w:r>
      <w:r w:rsidR="00855E94">
        <w:rPr>
          <w:rFonts w:asciiTheme="minorHAnsi" w:hAnsiTheme="minorHAnsi"/>
          <w:b/>
          <w:szCs w:val="24"/>
          <w:u w:val="single"/>
        </w:rPr>
        <w:t>b</w:t>
      </w:r>
      <w:r w:rsidRPr="00E213D2">
        <w:rPr>
          <w:rFonts w:asciiTheme="minorHAnsi" w:hAnsiTheme="minorHAnsi"/>
          <w:b/>
          <w:szCs w:val="24"/>
          <w:u w:val="single"/>
        </w:rPr>
        <w:t xml:space="preserve">usinesses or </w:t>
      </w:r>
      <w:r w:rsidR="00855E94">
        <w:rPr>
          <w:rFonts w:asciiTheme="minorHAnsi" w:hAnsiTheme="minorHAnsi"/>
          <w:b/>
          <w:szCs w:val="24"/>
          <w:u w:val="single"/>
        </w:rPr>
        <w:t>o</w:t>
      </w:r>
      <w:r w:rsidRPr="00E213D2">
        <w:rPr>
          <w:rFonts w:asciiTheme="minorHAnsi" w:hAnsiTheme="minorHAnsi"/>
          <w:b/>
          <w:szCs w:val="24"/>
          <w:u w:val="single"/>
        </w:rPr>
        <w:t xml:space="preserve">ther </w:t>
      </w:r>
      <w:r w:rsidR="00855E94">
        <w:rPr>
          <w:rFonts w:asciiTheme="minorHAnsi" w:hAnsiTheme="minorHAnsi"/>
          <w:b/>
          <w:szCs w:val="24"/>
          <w:u w:val="single"/>
        </w:rPr>
        <w:t>s</w:t>
      </w:r>
      <w:r w:rsidRPr="00E213D2">
        <w:rPr>
          <w:rFonts w:asciiTheme="minorHAnsi" w:hAnsiTheme="minorHAnsi"/>
          <w:b/>
          <w:szCs w:val="24"/>
          <w:u w:val="single"/>
        </w:rPr>
        <w:t xml:space="preserve">mall </w:t>
      </w:r>
      <w:r w:rsidR="00855E94">
        <w:rPr>
          <w:rFonts w:asciiTheme="minorHAnsi" w:hAnsiTheme="minorHAnsi"/>
          <w:b/>
          <w:szCs w:val="24"/>
          <w:u w:val="single"/>
        </w:rPr>
        <w:t>e</w:t>
      </w:r>
      <w:r w:rsidRPr="00E213D2">
        <w:rPr>
          <w:rFonts w:asciiTheme="minorHAnsi" w:hAnsiTheme="minorHAnsi"/>
          <w:b/>
          <w:szCs w:val="24"/>
          <w:u w:val="single"/>
        </w:rPr>
        <w:t>ntities.</w:t>
      </w:r>
      <w:r w:rsidRPr="00E213D2">
        <w:rPr>
          <w:rStyle w:val="StyleBody"/>
        </w:rPr>
        <w:t xml:space="preserve">  Th</w:t>
      </w:r>
      <w:r w:rsidR="004D11BC">
        <w:rPr>
          <w:rStyle w:val="StyleBody"/>
        </w:rPr>
        <w:t>is</w:t>
      </w:r>
      <w:r w:rsidRPr="00E213D2">
        <w:rPr>
          <w:rStyle w:val="StyleBody"/>
        </w:rPr>
        <w:t xml:space="preserve"> </w:t>
      </w:r>
      <w:r w:rsidR="004D11BC">
        <w:rPr>
          <w:rStyle w:val="StyleBody"/>
        </w:rPr>
        <w:t>information collection</w:t>
      </w:r>
      <w:r w:rsidRPr="00E213D2">
        <w:rPr>
          <w:rStyle w:val="StyleBody"/>
        </w:rPr>
        <w:t xml:space="preserve"> does not have a significant impact on small businesses. </w:t>
      </w:r>
    </w:p>
    <w:p w14:paraId="1406E783" w14:textId="77777777" w:rsidR="00CE4F2F" w:rsidRPr="00E213D2" w:rsidRDefault="00CE4F2F">
      <w:pPr>
        <w:rPr>
          <w:rStyle w:val="StyleBody"/>
        </w:rPr>
      </w:pPr>
    </w:p>
    <w:p w14:paraId="67EC3EA4" w14:textId="349A2905" w:rsidR="00CE4F2F" w:rsidRPr="00E213D2" w:rsidRDefault="00CE4F2F" w:rsidP="00472C02">
      <w:pPr>
        <w:ind w:left="288" w:hanging="288"/>
        <w:rPr>
          <w:rStyle w:val="StyleBody"/>
        </w:rPr>
      </w:pPr>
      <w:r w:rsidRPr="00E213D2">
        <w:rPr>
          <w:rStyle w:val="StyleBody"/>
        </w:rPr>
        <w:t xml:space="preserve">6.  </w:t>
      </w:r>
      <w:r w:rsidRPr="00E213D2">
        <w:rPr>
          <w:rFonts w:asciiTheme="minorHAnsi" w:hAnsiTheme="minorHAnsi"/>
          <w:b/>
          <w:szCs w:val="24"/>
          <w:u w:val="single"/>
        </w:rPr>
        <w:t xml:space="preserve">Consequences of </w:t>
      </w:r>
      <w:r w:rsidR="00855E94">
        <w:rPr>
          <w:rFonts w:asciiTheme="minorHAnsi" w:hAnsiTheme="minorHAnsi"/>
          <w:b/>
          <w:szCs w:val="24"/>
          <w:u w:val="single"/>
        </w:rPr>
        <w:t>c</w:t>
      </w:r>
      <w:r w:rsidRPr="00E213D2">
        <w:rPr>
          <w:rFonts w:asciiTheme="minorHAnsi" w:hAnsiTheme="minorHAnsi"/>
          <w:b/>
          <w:szCs w:val="24"/>
          <w:u w:val="single"/>
        </w:rPr>
        <w:t xml:space="preserve">ollecting the </w:t>
      </w:r>
      <w:r w:rsidR="00855E94">
        <w:rPr>
          <w:rFonts w:asciiTheme="minorHAnsi" w:hAnsiTheme="minorHAnsi"/>
          <w:b/>
          <w:szCs w:val="24"/>
          <w:u w:val="single"/>
        </w:rPr>
        <w:t>i</w:t>
      </w:r>
      <w:r w:rsidRPr="00E213D2">
        <w:rPr>
          <w:rFonts w:asciiTheme="minorHAnsi" w:hAnsiTheme="minorHAnsi"/>
          <w:b/>
          <w:szCs w:val="24"/>
          <w:u w:val="single"/>
        </w:rPr>
        <w:t xml:space="preserve">nformation </w:t>
      </w:r>
      <w:r w:rsidR="00855E94">
        <w:rPr>
          <w:rFonts w:asciiTheme="minorHAnsi" w:hAnsiTheme="minorHAnsi"/>
          <w:b/>
          <w:szCs w:val="24"/>
          <w:u w:val="single"/>
        </w:rPr>
        <w:t>l</w:t>
      </w:r>
      <w:r w:rsidRPr="00E213D2">
        <w:rPr>
          <w:rFonts w:asciiTheme="minorHAnsi" w:hAnsiTheme="minorHAnsi"/>
          <w:b/>
          <w:szCs w:val="24"/>
          <w:u w:val="single"/>
        </w:rPr>
        <w:t xml:space="preserve">ess </w:t>
      </w:r>
      <w:r w:rsidR="00855E94">
        <w:rPr>
          <w:rFonts w:asciiTheme="minorHAnsi" w:hAnsiTheme="minorHAnsi"/>
          <w:b/>
          <w:szCs w:val="24"/>
          <w:u w:val="single"/>
        </w:rPr>
        <w:t>f</w:t>
      </w:r>
      <w:r w:rsidRPr="00E213D2">
        <w:rPr>
          <w:rFonts w:asciiTheme="minorHAnsi" w:hAnsiTheme="minorHAnsi"/>
          <w:b/>
          <w:szCs w:val="24"/>
          <w:u w:val="single"/>
        </w:rPr>
        <w:t>requently.</w:t>
      </w:r>
      <w:r w:rsidRPr="00E213D2">
        <w:rPr>
          <w:rStyle w:val="StyleBody"/>
        </w:rPr>
        <w:t xml:space="preserve">  </w:t>
      </w:r>
      <w:r w:rsidR="008F14A3" w:rsidRPr="00E213D2">
        <w:rPr>
          <w:rStyle w:val="StyleBody"/>
        </w:rPr>
        <w:t xml:space="preserve">The </w:t>
      </w:r>
      <w:r w:rsidRPr="00E213D2">
        <w:rPr>
          <w:rStyle w:val="StyleBody"/>
        </w:rPr>
        <w:t>frequency of response is occasion</w:t>
      </w:r>
      <w:r w:rsidR="004D11BC">
        <w:rPr>
          <w:rStyle w:val="StyleBody"/>
        </w:rPr>
        <w:t>al, and initiated by requests themselves when they ask for OGIS assistance</w:t>
      </w:r>
      <w:r w:rsidRPr="00E213D2">
        <w:rPr>
          <w:rStyle w:val="StyleBody"/>
        </w:rPr>
        <w:t>.</w:t>
      </w:r>
    </w:p>
    <w:p w14:paraId="6D2C004D" w14:textId="77777777" w:rsidR="00CE4F2F" w:rsidRPr="00E213D2" w:rsidRDefault="00CE4F2F">
      <w:pPr>
        <w:rPr>
          <w:rStyle w:val="StyleBody"/>
        </w:rPr>
      </w:pPr>
    </w:p>
    <w:p w14:paraId="4C148B4C" w14:textId="781F71E4" w:rsidR="00CE4F2F" w:rsidRPr="00E213D2" w:rsidRDefault="00CE4F2F" w:rsidP="00472C02">
      <w:pPr>
        <w:ind w:left="288" w:hanging="288"/>
        <w:rPr>
          <w:rStyle w:val="StyleBody"/>
        </w:rPr>
      </w:pPr>
      <w:r w:rsidRPr="00E213D2">
        <w:rPr>
          <w:rStyle w:val="StyleBody"/>
        </w:rPr>
        <w:t xml:space="preserve">7.  </w:t>
      </w:r>
      <w:r w:rsidRPr="00E213D2">
        <w:rPr>
          <w:rFonts w:asciiTheme="minorHAnsi" w:hAnsiTheme="minorHAnsi"/>
          <w:b/>
          <w:szCs w:val="24"/>
          <w:u w:val="single"/>
        </w:rPr>
        <w:t xml:space="preserve">Special </w:t>
      </w:r>
      <w:r w:rsidR="00855E94">
        <w:rPr>
          <w:rFonts w:asciiTheme="minorHAnsi" w:hAnsiTheme="minorHAnsi"/>
          <w:b/>
          <w:szCs w:val="24"/>
          <w:u w:val="single"/>
        </w:rPr>
        <w:t>c</w:t>
      </w:r>
      <w:r w:rsidRPr="00E213D2">
        <w:rPr>
          <w:rFonts w:asciiTheme="minorHAnsi" w:hAnsiTheme="minorHAnsi"/>
          <w:b/>
          <w:szCs w:val="24"/>
          <w:u w:val="single"/>
        </w:rPr>
        <w:t xml:space="preserve">ircumstances </w:t>
      </w:r>
      <w:r w:rsidR="00855E94">
        <w:rPr>
          <w:rFonts w:asciiTheme="minorHAnsi" w:hAnsiTheme="minorHAnsi"/>
          <w:b/>
          <w:szCs w:val="24"/>
          <w:u w:val="single"/>
        </w:rPr>
        <w:t>r</w:t>
      </w:r>
      <w:r w:rsidRPr="00E213D2">
        <w:rPr>
          <w:rFonts w:asciiTheme="minorHAnsi" w:hAnsiTheme="minorHAnsi"/>
          <w:b/>
          <w:szCs w:val="24"/>
          <w:u w:val="single"/>
        </w:rPr>
        <w:t xml:space="preserve">elating to the </w:t>
      </w:r>
      <w:r w:rsidR="00855E94">
        <w:rPr>
          <w:rFonts w:asciiTheme="minorHAnsi" w:hAnsiTheme="minorHAnsi"/>
          <w:b/>
          <w:szCs w:val="24"/>
          <w:u w:val="single"/>
        </w:rPr>
        <w:t>g</w:t>
      </w:r>
      <w:r w:rsidRPr="00E213D2">
        <w:rPr>
          <w:rFonts w:asciiTheme="minorHAnsi" w:hAnsiTheme="minorHAnsi"/>
          <w:b/>
          <w:szCs w:val="24"/>
          <w:u w:val="single"/>
        </w:rPr>
        <w:t>uidelines of 5 CFR 1320.5.</w:t>
      </w:r>
      <w:r w:rsidRPr="00E213D2">
        <w:rPr>
          <w:rStyle w:val="StyleBody"/>
        </w:rPr>
        <w:t xml:space="preserve">  The information collection is conducted in a manner consistent with the guidelines in 5 CFR 1320.</w:t>
      </w:r>
      <w:r w:rsidR="00C642FC" w:rsidRPr="00E213D2">
        <w:rPr>
          <w:rStyle w:val="StyleBody"/>
        </w:rPr>
        <w:t>5</w:t>
      </w:r>
      <w:r w:rsidRPr="00E213D2">
        <w:rPr>
          <w:rStyle w:val="StyleBody"/>
        </w:rPr>
        <w:t>.</w:t>
      </w:r>
    </w:p>
    <w:p w14:paraId="4B30D03B" w14:textId="77777777" w:rsidR="00CE4F2F" w:rsidRPr="00E213D2" w:rsidRDefault="00CE4F2F">
      <w:pPr>
        <w:rPr>
          <w:rStyle w:val="StyleBody"/>
        </w:rPr>
      </w:pPr>
    </w:p>
    <w:p w14:paraId="2AB1374F" w14:textId="16F9B11B" w:rsidR="00CE4F2F" w:rsidRPr="00E213D2" w:rsidRDefault="00CE4F2F" w:rsidP="00472C02">
      <w:pPr>
        <w:ind w:left="288" w:hanging="288"/>
        <w:rPr>
          <w:rStyle w:val="StyleBody"/>
        </w:rPr>
      </w:pPr>
      <w:r w:rsidRPr="00E213D2">
        <w:rPr>
          <w:rStyle w:val="StyleBody"/>
        </w:rPr>
        <w:t xml:space="preserve">8.  </w:t>
      </w:r>
      <w:r w:rsidRPr="00E213D2">
        <w:rPr>
          <w:rFonts w:asciiTheme="minorHAnsi" w:hAnsiTheme="minorHAnsi"/>
          <w:b/>
          <w:szCs w:val="24"/>
          <w:u w:val="single"/>
        </w:rPr>
        <w:t xml:space="preserve">Comments in </w:t>
      </w:r>
      <w:r w:rsidR="00855E94">
        <w:rPr>
          <w:rFonts w:asciiTheme="minorHAnsi" w:hAnsiTheme="minorHAnsi"/>
          <w:b/>
          <w:szCs w:val="24"/>
          <w:u w:val="single"/>
        </w:rPr>
        <w:t>r</w:t>
      </w:r>
      <w:r w:rsidRPr="00E213D2">
        <w:rPr>
          <w:rFonts w:asciiTheme="minorHAnsi" w:hAnsiTheme="minorHAnsi"/>
          <w:b/>
          <w:szCs w:val="24"/>
          <w:u w:val="single"/>
        </w:rPr>
        <w:t xml:space="preserve">esponse to the Federal Register </w:t>
      </w:r>
      <w:r w:rsidR="00855E94">
        <w:rPr>
          <w:rFonts w:asciiTheme="minorHAnsi" w:hAnsiTheme="minorHAnsi"/>
          <w:b/>
          <w:szCs w:val="24"/>
          <w:u w:val="single"/>
        </w:rPr>
        <w:t>n</w:t>
      </w:r>
      <w:r w:rsidRPr="00E213D2">
        <w:rPr>
          <w:rFonts w:asciiTheme="minorHAnsi" w:hAnsiTheme="minorHAnsi"/>
          <w:b/>
          <w:szCs w:val="24"/>
          <w:u w:val="single"/>
        </w:rPr>
        <w:t xml:space="preserve">otice and </w:t>
      </w:r>
      <w:r w:rsidR="00855E94">
        <w:rPr>
          <w:rFonts w:asciiTheme="minorHAnsi" w:hAnsiTheme="minorHAnsi"/>
          <w:b/>
          <w:szCs w:val="24"/>
          <w:u w:val="single"/>
        </w:rPr>
        <w:t>e</w:t>
      </w:r>
      <w:r w:rsidRPr="00E213D2">
        <w:rPr>
          <w:rFonts w:asciiTheme="minorHAnsi" w:hAnsiTheme="minorHAnsi"/>
          <w:b/>
          <w:szCs w:val="24"/>
          <w:u w:val="single"/>
        </w:rPr>
        <w:t xml:space="preserve">fforts to </w:t>
      </w:r>
      <w:r w:rsidR="00855E94">
        <w:rPr>
          <w:rFonts w:asciiTheme="minorHAnsi" w:hAnsiTheme="minorHAnsi"/>
          <w:b/>
          <w:szCs w:val="24"/>
          <w:u w:val="single"/>
        </w:rPr>
        <w:t>c</w:t>
      </w:r>
      <w:r w:rsidRPr="00E213D2">
        <w:rPr>
          <w:rFonts w:asciiTheme="minorHAnsi" w:hAnsiTheme="minorHAnsi"/>
          <w:b/>
          <w:szCs w:val="24"/>
          <w:u w:val="single"/>
        </w:rPr>
        <w:t xml:space="preserve">onsult </w:t>
      </w:r>
      <w:r w:rsidR="00855E94">
        <w:rPr>
          <w:rFonts w:asciiTheme="minorHAnsi" w:hAnsiTheme="minorHAnsi"/>
          <w:b/>
          <w:szCs w:val="24"/>
          <w:u w:val="single"/>
        </w:rPr>
        <w:t>o</w:t>
      </w:r>
      <w:r w:rsidRPr="00E213D2">
        <w:rPr>
          <w:rFonts w:asciiTheme="minorHAnsi" w:hAnsiTheme="minorHAnsi"/>
          <w:b/>
          <w:szCs w:val="24"/>
          <w:u w:val="single"/>
        </w:rPr>
        <w:t xml:space="preserve">utside </w:t>
      </w:r>
      <w:r w:rsidR="00855E94">
        <w:rPr>
          <w:rFonts w:asciiTheme="minorHAnsi" w:hAnsiTheme="minorHAnsi"/>
          <w:b/>
          <w:szCs w:val="24"/>
          <w:u w:val="single"/>
        </w:rPr>
        <w:t>a</w:t>
      </w:r>
      <w:r w:rsidRPr="00E213D2">
        <w:rPr>
          <w:rFonts w:asciiTheme="minorHAnsi" w:hAnsiTheme="minorHAnsi"/>
          <w:b/>
          <w:szCs w:val="24"/>
          <w:u w:val="single"/>
        </w:rPr>
        <w:t>gency.</w:t>
      </w:r>
      <w:r w:rsidRPr="00E213D2">
        <w:rPr>
          <w:rStyle w:val="StyleBody"/>
        </w:rPr>
        <w:t xml:space="preserve">  No formal consultations have taken place.  NARA published a notice in </w:t>
      </w:r>
      <w:r w:rsidRPr="00F90BBA">
        <w:rPr>
          <w:rStyle w:val="StyleBody"/>
        </w:rPr>
        <w:t xml:space="preserve">the </w:t>
      </w:r>
      <w:r w:rsidRPr="00F90BBA">
        <w:rPr>
          <w:rFonts w:asciiTheme="minorHAnsi" w:hAnsiTheme="minorHAnsi"/>
          <w:szCs w:val="24"/>
          <w:u w:val="single"/>
        </w:rPr>
        <w:t>Federal Register</w:t>
      </w:r>
      <w:r w:rsidRPr="00F90BBA">
        <w:rPr>
          <w:rStyle w:val="StyleBody"/>
        </w:rPr>
        <w:t xml:space="preserve"> on </w:t>
      </w:r>
      <w:r w:rsidR="00371B23" w:rsidRPr="00F90BBA">
        <w:rPr>
          <w:rStyle w:val="StyleBody"/>
        </w:rPr>
        <w:t>J</w:t>
      </w:r>
      <w:r w:rsidR="00A9511B" w:rsidRPr="00F90BBA">
        <w:rPr>
          <w:rStyle w:val="StyleBody"/>
        </w:rPr>
        <w:t>u</w:t>
      </w:r>
      <w:r w:rsidR="00A23009" w:rsidRPr="00F90BBA">
        <w:rPr>
          <w:rStyle w:val="StyleBody"/>
        </w:rPr>
        <w:t>ne</w:t>
      </w:r>
      <w:r w:rsidR="00371B23" w:rsidRPr="00F90BBA">
        <w:rPr>
          <w:rStyle w:val="StyleBody"/>
        </w:rPr>
        <w:t xml:space="preserve"> </w:t>
      </w:r>
      <w:r w:rsidR="00BC27D2">
        <w:rPr>
          <w:rStyle w:val="StyleBody"/>
        </w:rPr>
        <w:t>21</w:t>
      </w:r>
      <w:r w:rsidR="00371B23" w:rsidRPr="00F90BBA">
        <w:rPr>
          <w:rStyle w:val="StyleBody"/>
        </w:rPr>
        <w:t>, 20</w:t>
      </w:r>
      <w:r w:rsidR="00A9511B" w:rsidRPr="00F90BBA">
        <w:rPr>
          <w:rStyle w:val="StyleBody"/>
        </w:rPr>
        <w:t>1</w:t>
      </w:r>
      <w:r w:rsidR="00A23009" w:rsidRPr="00F90BBA">
        <w:rPr>
          <w:rStyle w:val="StyleBody"/>
        </w:rPr>
        <w:t>6</w:t>
      </w:r>
      <w:r w:rsidR="003916B2" w:rsidRPr="00F90BBA">
        <w:rPr>
          <w:rStyle w:val="StyleBody"/>
        </w:rPr>
        <w:t xml:space="preserve"> (</w:t>
      </w:r>
      <w:r w:rsidR="00371B23" w:rsidRPr="00F90BBA">
        <w:rPr>
          <w:rStyle w:val="StyleBody"/>
        </w:rPr>
        <w:t xml:space="preserve">FR </w:t>
      </w:r>
      <w:r w:rsidR="00A23009" w:rsidRPr="00F90BBA">
        <w:rPr>
          <w:rStyle w:val="StyleBody"/>
        </w:rPr>
        <w:t>81</w:t>
      </w:r>
      <w:r w:rsidR="00BC27D2">
        <w:rPr>
          <w:rStyle w:val="StyleBody"/>
        </w:rPr>
        <w:t xml:space="preserve"> 40353</w:t>
      </w:r>
      <w:r w:rsidR="00423646" w:rsidRPr="00F90BBA">
        <w:rPr>
          <w:rStyle w:val="StyleBody"/>
        </w:rPr>
        <w:t>)</w:t>
      </w:r>
      <w:r w:rsidRPr="00F90BBA">
        <w:rPr>
          <w:rStyle w:val="StyleBody"/>
        </w:rPr>
        <w:t xml:space="preserve"> requesting public comment.  </w:t>
      </w:r>
      <w:r w:rsidR="00BC27D2">
        <w:rPr>
          <w:rStyle w:val="StyleBody"/>
        </w:rPr>
        <w:t>No</w:t>
      </w:r>
      <w:r w:rsidRPr="00F90BBA">
        <w:rPr>
          <w:rStyle w:val="StyleBody"/>
        </w:rPr>
        <w:t xml:space="preserve"> comment were received.</w:t>
      </w:r>
      <w:r w:rsidRPr="00E213D2">
        <w:rPr>
          <w:rStyle w:val="StyleBody"/>
        </w:rPr>
        <w:t xml:space="preserve">  </w:t>
      </w:r>
    </w:p>
    <w:p w14:paraId="6BA39D4D" w14:textId="77777777" w:rsidR="00CE4F2F" w:rsidRPr="00E213D2" w:rsidRDefault="00CE4F2F">
      <w:pPr>
        <w:rPr>
          <w:rStyle w:val="StyleBody"/>
        </w:rPr>
      </w:pPr>
    </w:p>
    <w:p w14:paraId="7ED67760" w14:textId="52430F9D" w:rsidR="00CE4F2F" w:rsidRPr="00E213D2" w:rsidRDefault="00CE4F2F" w:rsidP="00472C02">
      <w:pPr>
        <w:ind w:left="288" w:hanging="288"/>
        <w:rPr>
          <w:rStyle w:val="StyleBody"/>
        </w:rPr>
      </w:pPr>
      <w:r w:rsidRPr="00E213D2">
        <w:rPr>
          <w:rStyle w:val="StyleBody"/>
        </w:rPr>
        <w:t xml:space="preserve">9.  </w:t>
      </w:r>
      <w:r w:rsidRPr="00E213D2">
        <w:rPr>
          <w:rFonts w:asciiTheme="minorHAnsi" w:hAnsiTheme="minorHAnsi"/>
          <w:b/>
          <w:szCs w:val="24"/>
          <w:u w:val="single"/>
        </w:rPr>
        <w:t xml:space="preserve">Explanation of </w:t>
      </w:r>
      <w:r w:rsidR="00855E94">
        <w:rPr>
          <w:rFonts w:asciiTheme="minorHAnsi" w:hAnsiTheme="minorHAnsi"/>
          <w:b/>
          <w:szCs w:val="24"/>
          <w:u w:val="single"/>
        </w:rPr>
        <w:t>a</w:t>
      </w:r>
      <w:r w:rsidRPr="00E213D2">
        <w:rPr>
          <w:rFonts w:asciiTheme="minorHAnsi" w:hAnsiTheme="minorHAnsi"/>
          <w:b/>
          <w:szCs w:val="24"/>
          <w:u w:val="single"/>
        </w:rPr>
        <w:t xml:space="preserve">ny </w:t>
      </w:r>
      <w:r w:rsidR="00855E94">
        <w:rPr>
          <w:rFonts w:asciiTheme="minorHAnsi" w:hAnsiTheme="minorHAnsi"/>
          <w:b/>
          <w:szCs w:val="24"/>
          <w:u w:val="single"/>
        </w:rPr>
        <w:t>p</w:t>
      </w:r>
      <w:r w:rsidRPr="00E213D2">
        <w:rPr>
          <w:rFonts w:asciiTheme="minorHAnsi" w:hAnsiTheme="minorHAnsi"/>
          <w:b/>
          <w:szCs w:val="24"/>
          <w:u w:val="single"/>
        </w:rPr>
        <w:t xml:space="preserve">ayment or </w:t>
      </w:r>
      <w:r w:rsidR="00855E94">
        <w:rPr>
          <w:rFonts w:asciiTheme="minorHAnsi" w:hAnsiTheme="minorHAnsi"/>
          <w:b/>
          <w:szCs w:val="24"/>
          <w:u w:val="single"/>
        </w:rPr>
        <w:t>g</w:t>
      </w:r>
      <w:r w:rsidRPr="00E213D2">
        <w:rPr>
          <w:rFonts w:asciiTheme="minorHAnsi" w:hAnsiTheme="minorHAnsi"/>
          <w:b/>
          <w:szCs w:val="24"/>
          <w:u w:val="single"/>
        </w:rPr>
        <w:t xml:space="preserve">ift to </w:t>
      </w:r>
      <w:r w:rsidR="00855E94">
        <w:rPr>
          <w:rFonts w:asciiTheme="minorHAnsi" w:hAnsiTheme="minorHAnsi"/>
          <w:b/>
          <w:szCs w:val="24"/>
          <w:u w:val="single"/>
        </w:rPr>
        <w:t>r</w:t>
      </w:r>
      <w:r w:rsidRPr="00E213D2">
        <w:rPr>
          <w:rFonts w:asciiTheme="minorHAnsi" w:hAnsiTheme="minorHAnsi"/>
          <w:b/>
          <w:szCs w:val="24"/>
          <w:u w:val="single"/>
        </w:rPr>
        <w:t>espondents.</w:t>
      </w:r>
      <w:r w:rsidRPr="00E213D2">
        <w:rPr>
          <w:rStyle w:val="StyleBody"/>
        </w:rPr>
        <w:t xml:space="preserve">  This information collection involves no remuneration to respondents.</w:t>
      </w:r>
    </w:p>
    <w:p w14:paraId="04AE8701" w14:textId="77777777" w:rsidR="00CE4F2F" w:rsidRPr="00E213D2" w:rsidRDefault="00CE4F2F">
      <w:pPr>
        <w:rPr>
          <w:rStyle w:val="StyleBody"/>
        </w:rPr>
      </w:pPr>
    </w:p>
    <w:p w14:paraId="367DDED8" w14:textId="36C4E557" w:rsidR="00CE4F2F" w:rsidRPr="00E213D2" w:rsidRDefault="00CE4F2F" w:rsidP="00472C02">
      <w:pPr>
        <w:ind w:left="432" w:hanging="432"/>
        <w:rPr>
          <w:rStyle w:val="StyleBody"/>
        </w:rPr>
      </w:pPr>
      <w:r w:rsidRPr="00E213D2">
        <w:rPr>
          <w:rStyle w:val="StyleBody"/>
        </w:rPr>
        <w:t xml:space="preserve">10.  </w:t>
      </w:r>
      <w:r w:rsidRPr="00E213D2">
        <w:rPr>
          <w:rFonts w:asciiTheme="minorHAnsi" w:hAnsiTheme="minorHAnsi"/>
          <w:b/>
          <w:szCs w:val="24"/>
          <w:u w:val="single"/>
        </w:rPr>
        <w:t xml:space="preserve">Assurance of </w:t>
      </w:r>
      <w:r w:rsidR="00855E94">
        <w:rPr>
          <w:rFonts w:asciiTheme="minorHAnsi" w:hAnsiTheme="minorHAnsi"/>
          <w:b/>
          <w:szCs w:val="24"/>
          <w:u w:val="single"/>
        </w:rPr>
        <w:t>c</w:t>
      </w:r>
      <w:r w:rsidRPr="00E213D2">
        <w:rPr>
          <w:rFonts w:asciiTheme="minorHAnsi" w:hAnsiTheme="minorHAnsi"/>
          <w:b/>
          <w:szCs w:val="24"/>
          <w:u w:val="single"/>
        </w:rPr>
        <w:t xml:space="preserve">onfidentiality </w:t>
      </w:r>
      <w:r w:rsidR="00855E94">
        <w:rPr>
          <w:rFonts w:asciiTheme="minorHAnsi" w:hAnsiTheme="minorHAnsi"/>
          <w:b/>
          <w:szCs w:val="24"/>
          <w:u w:val="single"/>
        </w:rPr>
        <w:t>p</w:t>
      </w:r>
      <w:r w:rsidRPr="00E213D2">
        <w:rPr>
          <w:rFonts w:asciiTheme="minorHAnsi" w:hAnsiTheme="minorHAnsi"/>
          <w:b/>
          <w:szCs w:val="24"/>
          <w:u w:val="single"/>
        </w:rPr>
        <w:t xml:space="preserve">rovided to </w:t>
      </w:r>
      <w:r w:rsidR="00855E94">
        <w:rPr>
          <w:rFonts w:asciiTheme="minorHAnsi" w:hAnsiTheme="minorHAnsi"/>
          <w:b/>
          <w:szCs w:val="24"/>
          <w:u w:val="single"/>
        </w:rPr>
        <w:t>r</w:t>
      </w:r>
      <w:r w:rsidRPr="00E213D2">
        <w:rPr>
          <w:rFonts w:asciiTheme="minorHAnsi" w:hAnsiTheme="minorHAnsi"/>
          <w:b/>
          <w:szCs w:val="24"/>
          <w:u w:val="single"/>
        </w:rPr>
        <w:t>espondents.</w:t>
      </w:r>
      <w:r w:rsidRPr="00E213D2">
        <w:rPr>
          <w:rStyle w:val="StyleBody"/>
        </w:rPr>
        <w:t xml:space="preserve">  </w:t>
      </w:r>
      <w:r w:rsidR="001608B4">
        <w:rPr>
          <w:rStyle w:val="StyleBody"/>
        </w:rPr>
        <w:t>We do not provide assurances of confidentiality</w:t>
      </w:r>
      <w:r w:rsidRPr="00E213D2">
        <w:rPr>
          <w:rStyle w:val="StyleBody"/>
        </w:rPr>
        <w:t xml:space="preserve"> to respondents.</w:t>
      </w:r>
      <w:r w:rsidR="00262931" w:rsidRPr="00E213D2">
        <w:rPr>
          <w:rStyle w:val="StyleBody"/>
        </w:rPr>
        <w:t xml:space="preserve">  OGIS maintain</w:t>
      </w:r>
      <w:r w:rsidR="001608B4">
        <w:rPr>
          <w:rStyle w:val="StyleBody"/>
        </w:rPr>
        <w:t>s</w:t>
      </w:r>
      <w:r w:rsidR="00262931" w:rsidRPr="00E213D2">
        <w:rPr>
          <w:rStyle w:val="StyleBody"/>
        </w:rPr>
        <w:t xml:space="preserve"> the information submitted in NA F</w:t>
      </w:r>
      <w:r w:rsidR="00531ACB" w:rsidRPr="00E213D2">
        <w:rPr>
          <w:rStyle w:val="StyleBody"/>
        </w:rPr>
        <w:t>orm</w:t>
      </w:r>
      <w:r w:rsidR="00262931" w:rsidRPr="00E213D2">
        <w:rPr>
          <w:rStyle w:val="StyleBody"/>
        </w:rPr>
        <w:t xml:space="preserve"> </w:t>
      </w:r>
      <w:r w:rsidR="001264B1" w:rsidRPr="00F90BBA">
        <w:rPr>
          <w:rStyle w:val="StyleBody"/>
        </w:rPr>
        <w:t>1000</w:t>
      </w:r>
      <w:r w:rsidR="001608B4" w:rsidRPr="00F90BBA">
        <w:rPr>
          <w:rStyle w:val="StyleBody"/>
        </w:rPr>
        <w:t>3</w:t>
      </w:r>
      <w:r w:rsidR="001264B1" w:rsidRPr="00F90BBA">
        <w:rPr>
          <w:rStyle w:val="StyleBody"/>
        </w:rPr>
        <w:t xml:space="preserve"> </w:t>
      </w:r>
      <w:r w:rsidR="00262931" w:rsidRPr="00F90BBA">
        <w:rPr>
          <w:rStyle w:val="StyleBody"/>
        </w:rPr>
        <w:t>in a Privacy Act-protected system of records</w:t>
      </w:r>
      <w:r w:rsidR="004D11BC" w:rsidRPr="00F90BBA">
        <w:rPr>
          <w:rStyle w:val="StyleBody"/>
        </w:rPr>
        <w:t>,</w:t>
      </w:r>
      <w:r w:rsidR="00262931" w:rsidRPr="00F90BBA">
        <w:rPr>
          <w:rStyle w:val="StyleBody"/>
        </w:rPr>
        <w:t xml:space="preserve"> and </w:t>
      </w:r>
      <w:r w:rsidR="00A90A12" w:rsidRPr="00F90BBA">
        <w:rPr>
          <w:rStyle w:val="StyleBody"/>
        </w:rPr>
        <w:t>store, maintain</w:t>
      </w:r>
      <w:r w:rsidR="001608B4" w:rsidRPr="00F90BBA">
        <w:rPr>
          <w:rStyle w:val="StyleBody"/>
        </w:rPr>
        <w:t>,</w:t>
      </w:r>
      <w:r w:rsidR="00A90A12" w:rsidRPr="00F90BBA">
        <w:rPr>
          <w:rStyle w:val="StyleBody"/>
        </w:rPr>
        <w:t xml:space="preserve"> and</w:t>
      </w:r>
      <w:r w:rsidR="00262931" w:rsidRPr="00F90BBA">
        <w:rPr>
          <w:rStyle w:val="StyleBody"/>
        </w:rPr>
        <w:t xml:space="preserve"> destroy</w:t>
      </w:r>
      <w:r w:rsidR="00A90A12" w:rsidRPr="00F90BBA">
        <w:rPr>
          <w:rStyle w:val="StyleBody"/>
        </w:rPr>
        <w:t xml:space="preserve"> the information</w:t>
      </w:r>
      <w:r w:rsidR="00262931" w:rsidRPr="00F90BBA">
        <w:rPr>
          <w:rStyle w:val="StyleBody"/>
        </w:rPr>
        <w:t xml:space="preserve"> in accordance with NARA records retention schedules.</w:t>
      </w:r>
      <w:r w:rsidR="00A90A12" w:rsidRPr="00E213D2">
        <w:rPr>
          <w:rStyle w:val="StyleBody"/>
        </w:rPr>
        <w:t xml:space="preserve">  </w:t>
      </w:r>
      <w:r w:rsidR="001608B4">
        <w:rPr>
          <w:rStyle w:val="StyleBody"/>
        </w:rPr>
        <w:t>NARA published</w:t>
      </w:r>
      <w:r w:rsidR="00531ACB" w:rsidRPr="00E213D2">
        <w:rPr>
          <w:rStyle w:val="StyleBody"/>
        </w:rPr>
        <w:t xml:space="preserve"> a </w:t>
      </w:r>
      <w:r w:rsidR="00A90A12" w:rsidRPr="00E213D2">
        <w:rPr>
          <w:rStyle w:val="StyleBody"/>
        </w:rPr>
        <w:t xml:space="preserve">Privacy Act System of Records Notice </w:t>
      </w:r>
      <w:r w:rsidR="001264B1" w:rsidRPr="00E213D2">
        <w:rPr>
          <w:rStyle w:val="StyleBody"/>
        </w:rPr>
        <w:t xml:space="preserve">on August 3, 2010 (75 FR 45674 and 45675), NARA 40, </w:t>
      </w:r>
      <w:r w:rsidR="00A90A12" w:rsidRPr="00E213D2">
        <w:rPr>
          <w:rStyle w:val="StyleBody"/>
        </w:rPr>
        <w:t xml:space="preserve">to cover its case </w:t>
      </w:r>
      <w:r w:rsidR="002F4687" w:rsidRPr="00E213D2">
        <w:rPr>
          <w:rStyle w:val="StyleBody"/>
        </w:rPr>
        <w:t xml:space="preserve">files and case </w:t>
      </w:r>
      <w:r w:rsidR="00A90A12" w:rsidRPr="00E213D2">
        <w:rPr>
          <w:rStyle w:val="StyleBody"/>
        </w:rPr>
        <w:t>management</w:t>
      </w:r>
      <w:r w:rsidR="001608B4">
        <w:rPr>
          <w:rStyle w:val="StyleBody"/>
        </w:rPr>
        <w:t xml:space="preserve">, and re-published SORN 40 with NARA’s full set of SORNs on December 20, 2013 (78 FR </w:t>
      </w:r>
      <w:r w:rsidR="004D11BC">
        <w:rPr>
          <w:rStyle w:val="StyleBody"/>
        </w:rPr>
        <w:t>77255)</w:t>
      </w:r>
      <w:r w:rsidR="002F4687" w:rsidRPr="00E213D2">
        <w:rPr>
          <w:rStyle w:val="StyleBody"/>
        </w:rPr>
        <w:t xml:space="preserve">.  </w:t>
      </w:r>
    </w:p>
    <w:p w14:paraId="15DAE820" w14:textId="77777777" w:rsidR="00CE4F2F" w:rsidRPr="00E213D2" w:rsidRDefault="00CE4F2F">
      <w:pPr>
        <w:rPr>
          <w:rStyle w:val="StyleBody"/>
        </w:rPr>
      </w:pPr>
    </w:p>
    <w:p w14:paraId="0A07DD6F" w14:textId="13333BC9" w:rsidR="00CE4F2F" w:rsidRPr="00E213D2" w:rsidRDefault="00CE4F2F" w:rsidP="00472C02">
      <w:pPr>
        <w:ind w:left="432" w:hanging="432"/>
        <w:rPr>
          <w:rStyle w:val="StyleBody"/>
        </w:rPr>
      </w:pPr>
      <w:r w:rsidRPr="00E213D2">
        <w:rPr>
          <w:rStyle w:val="StyleBody"/>
        </w:rPr>
        <w:t xml:space="preserve">11.  </w:t>
      </w:r>
      <w:r w:rsidRPr="00E213D2">
        <w:rPr>
          <w:rFonts w:asciiTheme="minorHAnsi" w:hAnsiTheme="minorHAnsi"/>
          <w:b/>
          <w:szCs w:val="24"/>
          <w:u w:val="single"/>
        </w:rPr>
        <w:t xml:space="preserve">Justification for </w:t>
      </w:r>
      <w:r w:rsidR="00855E94">
        <w:rPr>
          <w:rFonts w:asciiTheme="minorHAnsi" w:hAnsiTheme="minorHAnsi"/>
          <w:b/>
          <w:szCs w:val="24"/>
          <w:u w:val="single"/>
        </w:rPr>
        <w:t>s</w:t>
      </w:r>
      <w:r w:rsidRPr="00E213D2">
        <w:rPr>
          <w:rFonts w:asciiTheme="minorHAnsi" w:hAnsiTheme="minorHAnsi"/>
          <w:b/>
          <w:szCs w:val="24"/>
          <w:u w:val="single"/>
        </w:rPr>
        <w:t xml:space="preserve">ensitive </w:t>
      </w:r>
      <w:r w:rsidR="00855E94">
        <w:rPr>
          <w:rFonts w:asciiTheme="minorHAnsi" w:hAnsiTheme="minorHAnsi"/>
          <w:b/>
          <w:szCs w:val="24"/>
          <w:u w:val="single"/>
        </w:rPr>
        <w:t>q</w:t>
      </w:r>
      <w:r w:rsidRPr="00E213D2">
        <w:rPr>
          <w:rFonts w:asciiTheme="minorHAnsi" w:hAnsiTheme="minorHAnsi"/>
          <w:b/>
          <w:szCs w:val="24"/>
          <w:u w:val="single"/>
        </w:rPr>
        <w:t>uestions.</w:t>
      </w:r>
      <w:r w:rsidRPr="00E213D2">
        <w:rPr>
          <w:rStyle w:val="StyleBody"/>
        </w:rPr>
        <w:t xml:space="preserve">  </w:t>
      </w:r>
      <w:r w:rsidR="004D11BC">
        <w:rPr>
          <w:rStyle w:val="StyleBody"/>
        </w:rPr>
        <w:t>We ask r</w:t>
      </w:r>
      <w:r w:rsidR="004D11BC" w:rsidRPr="00E213D2">
        <w:rPr>
          <w:rStyle w:val="StyleBody"/>
        </w:rPr>
        <w:t xml:space="preserve">espondents </w:t>
      </w:r>
      <w:r w:rsidRPr="00E213D2">
        <w:rPr>
          <w:rStyle w:val="StyleBody"/>
        </w:rPr>
        <w:t>no questions of a sensitive nature.</w:t>
      </w:r>
    </w:p>
    <w:p w14:paraId="6AC69B93" w14:textId="77777777" w:rsidR="00CE4F2F" w:rsidRPr="00E213D2" w:rsidRDefault="00CE4F2F">
      <w:pPr>
        <w:rPr>
          <w:rStyle w:val="StyleBody"/>
        </w:rPr>
      </w:pPr>
    </w:p>
    <w:p w14:paraId="604B55B4" w14:textId="4853669F" w:rsidR="00CE4F2F" w:rsidRPr="00E213D2" w:rsidRDefault="00CE4F2F" w:rsidP="00472C02">
      <w:pPr>
        <w:ind w:left="432" w:hanging="432"/>
        <w:rPr>
          <w:rStyle w:val="StyleBody"/>
        </w:rPr>
      </w:pPr>
      <w:r w:rsidRPr="00E213D2">
        <w:rPr>
          <w:rStyle w:val="StyleBody"/>
        </w:rPr>
        <w:t xml:space="preserve">12.  </w:t>
      </w:r>
      <w:r w:rsidRPr="00E213D2">
        <w:rPr>
          <w:rFonts w:asciiTheme="minorHAnsi" w:hAnsiTheme="minorHAnsi"/>
          <w:b/>
          <w:szCs w:val="24"/>
          <w:u w:val="single"/>
        </w:rPr>
        <w:t xml:space="preserve">Estimates of </w:t>
      </w:r>
      <w:r w:rsidR="00855E94">
        <w:rPr>
          <w:rFonts w:asciiTheme="minorHAnsi" w:hAnsiTheme="minorHAnsi"/>
          <w:b/>
          <w:szCs w:val="24"/>
          <w:u w:val="single"/>
        </w:rPr>
        <w:t>h</w:t>
      </w:r>
      <w:r w:rsidRPr="00E213D2">
        <w:rPr>
          <w:rFonts w:asciiTheme="minorHAnsi" w:hAnsiTheme="minorHAnsi"/>
          <w:b/>
          <w:szCs w:val="24"/>
          <w:u w:val="single"/>
        </w:rPr>
        <w:t xml:space="preserve">our </w:t>
      </w:r>
      <w:r w:rsidR="00855E94">
        <w:rPr>
          <w:rFonts w:asciiTheme="minorHAnsi" w:hAnsiTheme="minorHAnsi"/>
          <w:b/>
          <w:szCs w:val="24"/>
          <w:u w:val="single"/>
        </w:rPr>
        <w:t>b</w:t>
      </w:r>
      <w:r w:rsidRPr="00E213D2">
        <w:rPr>
          <w:rFonts w:asciiTheme="minorHAnsi" w:hAnsiTheme="minorHAnsi"/>
          <w:b/>
          <w:szCs w:val="24"/>
          <w:u w:val="single"/>
        </w:rPr>
        <w:t xml:space="preserve">urden </w:t>
      </w:r>
      <w:r w:rsidR="00855E94">
        <w:rPr>
          <w:rFonts w:asciiTheme="minorHAnsi" w:hAnsiTheme="minorHAnsi"/>
          <w:b/>
          <w:szCs w:val="24"/>
          <w:u w:val="single"/>
        </w:rPr>
        <w:t>i</w:t>
      </w:r>
      <w:r w:rsidRPr="00E213D2">
        <w:rPr>
          <w:rFonts w:asciiTheme="minorHAnsi" w:hAnsiTheme="minorHAnsi"/>
          <w:b/>
          <w:szCs w:val="24"/>
          <w:u w:val="single"/>
        </w:rPr>
        <w:t xml:space="preserve">ncluding </w:t>
      </w:r>
      <w:r w:rsidR="00855E94">
        <w:rPr>
          <w:rFonts w:asciiTheme="minorHAnsi" w:hAnsiTheme="minorHAnsi"/>
          <w:b/>
          <w:szCs w:val="24"/>
          <w:u w:val="single"/>
        </w:rPr>
        <w:t>a</w:t>
      </w:r>
      <w:r w:rsidRPr="00E213D2">
        <w:rPr>
          <w:rFonts w:asciiTheme="minorHAnsi" w:hAnsiTheme="minorHAnsi"/>
          <w:b/>
          <w:szCs w:val="24"/>
          <w:u w:val="single"/>
        </w:rPr>
        <w:t xml:space="preserve">nnualized </w:t>
      </w:r>
      <w:r w:rsidR="00855E94">
        <w:rPr>
          <w:rFonts w:asciiTheme="minorHAnsi" w:hAnsiTheme="minorHAnsi"/>
          <w:b/>
          <w:szCs w:val="24"/>
          <w:u w:val="single"/>
        </w:rPr>
        <w:t>h</w:t>
      </w:r>
      <w:r w:rsidRPr="00E213D2">
        <w:rPr>
          <w:rFonts w:asciiTheme="minorHAnsi" w:hAnsiTheme="minorHAnsi"/>
          <w:b/>
          <w:szCs w:val="24"/>
          <w:u w:val="single"/>
        </w:rPr>
        <w:t xml:space="preserve">ourly </w:t>
      </w:r>
      <w:r w:rsidR="00855E94">
        <w:rPr>
          <w:rFonts w:asciiTheme="minorHAnsi" w:hAnsiTheme="minorHAnsi"/>
          <w:b/>
          <w:szCs w:val="24"/>
          <w:u w:val="single"/>
        </w:rPr>
        <w:t>c</w:t>
      </w:r>
      <w:r w:rsidRPr="00E213D2">
        <w:rPr>
          <w:rFonts w:asciiTheme="minorHAnsi" w:hAnsiTheme="minorHAnsi"/>
          <w:b/>
          <w:szCs w:val="24"/>
          <w:u w:val="single"/>
        </w:rPr>
        <w:t>osts.</w:t>
      </w:r>
      <w:r w:rsidRPr="00E213D2">
        <w:rPr>
          <w:rStyle w:val="StyleBody"/>
        </w:rPr>
        <w:t xml:space="preserve">  The hour burden for all individual respondents is as follows:</w:t>
      </w:r>
    </w:p>
    <w:p w14:paraId="4523CB9B" w14:textId="77777777" w:rsidR="00CE4F2F" w:rsidRPr="00E213D2" w:rsidRDefault="00CE4F2F">
      <w:pPr>
        <w:rPr>
          <w:rStyle w:val="StyleBody"/>
        </w:rPr>
      </w:pPr>
    </w:p>
    <w:tbl>
      <w:tblPr>
        <w:tblW w:w="9090" w:type="dxa"/>
        <w:tblInd w:w="57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67"/>
        <w:gridCol w:w="1555"/>
        <w:gridCol w:w="1848"/>
        <w:gridCol w:w="1710"/>
        <w:gridCol w:w="1710"/>
      </w:tblGrid>
      <w:tr w:rsidR="00CE4F2F" w:rsidRPr="00E213D2" w14:paraId="16B0C233" w14:textId="77777777">
        <w:trPr>
          <w:tblHeader/>
        </w:trPr>
        <w:tc>
          <w:tcPr>
            <w:tcW w:w="22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6E4C2" w14:textId="77777777" w:rsidR="00CE4F2F" w:rsidRPr="00E213D2" w:rsidRDefault="00CE4F2F">
            <w:pPr>
              <w:spacing w:after="58"/>
              <w:rPr>
                <w:rFonts w:asciiTheme="minorHAnsi" w:hAnsiTheme="minorHAnsi"/>
                <w:szCs w:val="24"/>
              </w:rPr>
            </w:pPr>
            <w:r w:rsidRPr="00E213D2">
              <w:rPr>
                <w:rFonts w:asciiTheme="minorHAnsi" w:hAnsiTheme="minorHAnsi"/>
                <w:b/>
                <w:i/>
                <w:szCs w:val="24"/>
              </w:rPr>
              <w:t>Form of Request from Respondents</w:t>
            </w:r>
          </w:p>
        </w:tc>
        <w:tc>
          <w:tcPr>
            <w:tcW w:w="1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C2AC15" w14:textId="77777777" w:rsidR="00CE4F2F" w:rsidRPr="00E213D2" w:rsidRDefault="00CE4F2F">
            <w:pPr>
              <w:spacing w:after="58"/>
              <w:rPr>
                <w:rFonts w:asciiTheme="minorHAnsi" w:hAnsiTheme="minorHAnsi"/>
                <w:szCs w:val="24"/>
              </w:rPr>
            </w:pPr>
            <w:r w:rsidRPr="00E213D2">
              <w:rPr>
                <w:rFonts w:asciiTheme="minorHAnsi" w:hAnsiTheme="minorHAnsi"/>
                <w:b/>
                <w:i/>
                <w:szCs w:val="24"/>
              </w:rPr>
              <w:t>Number of Respondents</w:t>
            </w:r>
          </w:p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509803" w14:textId="77777777" w:rsidR="00CE4F2F" w:rsidRPr="00E213D2" w:rsidRDefault="00CE4F2F">
            <w:pPr>
              <w:spacing w:after="58"/>
              <w:rPr>
                <w:rFonts w:asciiTheme="minorHAnsi" w:hAnsiTheme="minorHAnsi"/>
                <w:szCs w:val="24"/>
              </w:rPr>
            </w:pPr>
            <w:r w:rsidRPr="00E213D2">
              <w:rPr>
                <w:rFonts w:asciiTheme="minorHAnsi" w:hAnsiTheme="minorHAnsi"/>
                <w:b/>
                <w:i/>
                <w:szCs w:val="24"/>
              </w:rPr>
              <w:t>Responses per Respondent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E4AAFE" w14:textId="77777777" w:rsidR="00CE4F2F" w:rsidRPr="00E213D2" w:rsidRDefault="00CE4F2F">
            <w:pPr>
              <w:spacing w:after="58"/>
              <w:rPr>
                <w:rFonts w:asciiTheme="minorHAnsi" w:hAnsiTheme="minorHAnsi"/>
                <w:szCs w:val="24"/>
              </w:rPr>
            </w:pPr>
            <w:r w:rsidRPr="00E213D2">
              <w:rPr>
                <w:rFonts w:asciiTheme="minorHAnsi" w:hAnsiTheme="minorHAnsi"/>
                <w:b/>
                <w:i/>
                <w:szCs w:val="24"/>
              </w:rPr>
              <w:t>Minutes per Response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0AE6F" w14:textId="77777777" w:rsidR="00CE4F2F" w:rsidRPr="00E213D2" w:rsidRDefault="00CE4F2F">
            <w:pPr>
              <w:spacing w:after="58"/>
              <w:rPr>
                <w:rFonts w:asciiTheme="minorHAnsi" w:hAnsiTheme="minorHAnsi"/>
                <w:szCs w:val="24"/>
              </w:rPr>
            </w:pPr>
            <w:r w:rsidRPr="00E213D2">
              <w:rPr>
                <w:rFonts w:asciiTheme="minorHAnsi" w:hAnsiTheme="minorHAnsi"/>
                <w:b/>
                <w:i/>
                <w:szCs w:val="24"/>
              </w:rPr>
              <w:t>Annual Hour Burden</w:t>
            </w:r>
          </w:p>
        </w:tc>
      </w:tr>
      <w:tr w:rsidR="00CE4F2F" w:rsidRPr="00E213D2" w14:paraId="5F012F66" w14:textId="77777777">
        <w:tc>
          <w:tcPr>
            <w:tcW w:w="22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16EB42" w14:textId="52944F6F" w:rsidR="00CE4F2F" w:rsidRPr="00E213D2" w:rsidRDefault="00CE4F2F" w:rsidP="00DE035E">
            <w:pPr>
              <w:spacing w:after="58"/>
              <w:jc w:val="center"/>
              <w:rPr>
                <w:rFonts w:asciiTheme="minorHAnsi" w:hAnsiTheme="minorHAnsi"/>
                <w:szCs w:val="24"/>
              </w:rPr>
            </w:pPr>
            <w:r w:rsidRPr="00E213D2">
              <w:rPr>
                <w:rStyle w:val="StyleBody"/>
              </w:rPr>
              <w:t>NA Form</w:t>
            </w:r>
            <w:r w:rsidR="003473B6" w:rsidRPr="00E213D2">
              <w:rPr>
                <w:rStyle w:val="StyleBody"/>
              </w:rPr>
              <w:t xml:space="preserve"> </w:t>
            </w:r>
            <w:r w:rsidR="00DE035E" w:rsidRPr="00E213D2">
              <w:rPr>
                <w:rFonts w:asciiTheme="minorHAnsi" w:hAnsiTheme="minorHAnsi"/>
                <w:b/>
                <w:szCs w:val="24"/>
              </w:rPr>
              <w:t>1000</w:t>
            </w:r>
            <w:r w:rsidR="00DE035E">
              <w:rPr>
                <w:rFonts w:asciiTheme="minorHAnsi" w:hAnsiTheme="minorHAnsi"/>
                <w:b/>
                <w:szCs w:val="24"/>
              </w:rPr>
              <w:t>3</w:t>
            </w:r>
            <w:r w:rsidR="00DE035E" w:rsidRPr="00E213D2">
              <w:rPr>
                <w:rFonts w:asciiTheme="minorHAnsi" w:hAnsiTheme="minorHAnsi"/>
                <w:b/>
                <w:szCs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4BF675" w14:textId="77777777" w:rsidR="00CE4F2F" w:rsidRPr="00E213D2" w:rsidRDefault="003473B6">
            <w:pPr>
              <w:spacing w:after="58"/>
              <w:jc w:val="center"/>
              <w:rPr>
                <w:rFonts w:asciiTheme="minorHAnsi" w:hAnsiTheme="minorHAnsi"/>
                <w:szCs w:val="24"/>
              </w:rPr>
            </w:pPr>
            <w:r w:rsidRPr="00E213D2">
              <w:rPr>
                <w:rFonts w:asciiTheme="minorHAnsi" w:hAnsiTheme="minorHAnsi"/>
                <w:szCs w:val="24"/>
              </w:rPr>
              <w:t>400</w:t>
            </w:r>
          </w:p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3A91CF" w14:textId="77777777" w:rsidR="00CE4F2F" w:rsidRPr="00E213D2" w:rsidRDefault="00531ACB">
            <w:pPr>
              <w:spacing w:after="58"/>
              <w:jc w:val="center"/>
              <w:rPr>
                <w:rFonts w:asciiTheme="minorHAnsi" w:hAnsiTheme="minorHAnsi"/>
                <w:szCs w:val="24"/>
              </w:rPr>
            </w:pPr>
            <w:r w:rsidRPr="00E213D2">
              <w:rPr>
                <w:rFonts w:asciiTheme="minorHAnsi" w:hAnsiTheme="minorHAnsi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F8B1F4" w14:textId="3A9F10FE" w:rsidR="00CE4F2F" w:rsidRPr="00E213D2" w:rsidRDefault="00F90BBA">
            <w:pPr>
              <w:spacing w:after="58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2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CFABDD" w14:textId="035BB792" w:rsidR="00CE4F2F" w:rsidRPr="00E213D2" w:rsidRDefault="00F90BBA">
            <w:pPr>
              <w:spacing w:after="58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13</w:t>
            </w:r>
          </w:p>
        </w:tc>
      </w:tr>
    </w:tbl>
    <w:p w14:paraId="4B844E65" w14:textId="77777777" w:rsidR="00CE4F2F" w:rsidRPr="00E213D2" w:rsidRDefault="00CE4F2F">
      <w:pPr>
        <w:rPr>
          <w:rStyle w:val="StyleBody"/>
        </w:rPr>
      </w:pPr>
    </w:p>
    <w:p w14:paraId="2DC05993" w14:textId="77777777" w:rsidR="003473B6" w:rsidRPr="00E213D2" w:rsidRDefault="003473B6" w:rsidP="00472C02">
      <w:pPr>
        <w:ind w:left="432"/>
        <w:rPr>
          <w:rFonts w:asciiTheme="minorHAnsi" w:hAnsiTheme="minorHAnsi"/>
          <w:szCs w:val="24"/>
        </w:rPr>
      </w:pPr>
    </w:p>
    <w:p w14:paraId="473930EC" w14:textId="4294C03F" w:rsidR="00CE4F2F" w:rsidRPr="00E213D2" w:rsidRDefault="00A849E5" w:rsidP="00472C02">
      <w:pPr>
        <w:ind w:left="432"/>
        <w:rPr>
          <w:rFonts w:asciiTheme="minorHAnsi" w:hAnsiTheme="minorHAnsi"/>
          <w:szCs w:val="24"/>
        </w:rPr>
      </w:pPr>
      <w:r w:rsidRPr="00E213D2">
        <w:rPr>
          <w:rFonts w:asciiTheme="minorHAnsi" w:hAnsiTheme="minorHAnsi"/>
          <w:szCs w:val="24"/>
        </w:rPr>
        <w:t>OGIS</w:t>
      </w:r>
      <w:r w:rsidR="00CE4F2F" w:rsidRPr="00E213D2">
        <w:rPr>
          <w:rFonts w:asciiTheme="minorHAnsi" w:hAnsiTheme="minorHAnsi"/>
          <w:szCs w:val="24"/>
        </w:rPr>
        <w:t xml:space="preserve"> developed the respondent data by </w:t>
      </w:r>
      <w:r w:rsidR="00544AAE" w:rsidRPr="00E213D2">
        <w:rPr>
          <w:rFonts w:asciiTheme="minorHAnsi" w:hAnsiTheme="minorHAnsi"/>
          <w:szCs w:val="24"/>
        </w:rPr>
        <w:t xml:space="preserve">monitoring the administration of </w:t>
      </w:r>
      <w:r w:rsidR="003473B6" w:rsidRPr="00E213D2">
        <w:rPr>
          <w:rFonts w:asciiTheme="minorHAnsi" w:hAnsiTheme="minorHAnsi"/>
          <w:szCs w:val="24"/>
        </w:rPr>
        <w:t>a</w:t>
      </w:r>
      <w:r w:rsidR="00544AAE" w:rsidRPr="00E213D2">
        <w:rPr>
          <w:rFonts w:asciiTheme="minorHAnsi" w:hAnsiTheme="minorHAnsi"/>
          <w:szCs w:val="24"/>
        </w:rPr>
        <w:t xml:space="preserve"> proposed </w:t>
      </w:r>
      <w:r w:rsidR="00531ACB" w:rsidRPr="00E213D2">
        <w:rPr>
          <w:rFonts w:asciiTheme="minorHAnsi" w:hAnsiTheme="minorHAnsi"/>
          <w:szCs w:val="24"/>
        </w:rPr>
        <w:t xml:space="preserve">consent </w:t>
      </w:r>
      <w:r w:rsidR="00544AAE" w:rsidRPr="00E213D2">
        <w:rPr>
          <w:rFonts w:asciiTheme="minorHAnsi" w:hAnsiTheme="minorHAnsi"/>
          <w:szCs w:val="24"/>
        </w:rPr>
        <w:t>form to a test group of respondents</w:t>
      </w:r>
      <w:r w:rsidR="00531ACB" w:rsidRPr="00E213D2">
        <w:rPr>
          <w:rFonts w:asciiTheme="minorHAnsi" w:hAnsiTheme="minorHAnsi"/>
          <w:szCs w:val="24"/>
        </w:rPr>
        <w:t xml:space="preserve"> and estimated an additional minute to complete the consent form</w:t>
      </w:r>
      <w:r w:rsidR="00CE4F2F" w:rsidRPr="00E213D2">
        <w:rPr>
          <w:rFonts w:asciiTheme="minorHAnsi" w:hAnsiTheme="minorHAnsi"/>
          <w:szCs w:val="24"/>
        </w:rPr>
        <w:t>.</w:t>
      </w:r>
    </w:p>
    <w:p w14:paraId="7816A360" w14:textId="77777777" w:rsidR="00CE4F2F" w:rsidRPr="00E213D2" w:rsidRDefault="00CE4F2F">
      <w:pPr>
        <w:rPr>
          <w:rStyle w:val="StyleBody"/>
        </w:rPr>
      </w:pPr>
    </w:p>
    <w:p w14:paraId="17868B52" w14:textId="491A6229" w:rsidR="00CE4F2F" w:rsidRPr="00E213D2" w:rsidRDefault="00CE4F2F" w:rsidP="00472C02">
      <w:pPr>
        <w:ind w:left="432" w:hanging="432"/>
        <w:rPr>
          <w:rStyle w:val="StyleBody"/>
        </w:rPr>
      </w:pPr>
      <w:r w:rsidRPr="00E213D2">
        <w:rPr>
          <w:rStyle w:val="StyleBody"/>
        </w:rPr>
        <w:t xml:space="preserve">13.  </w:t>
      </w:r>
      <w:r w:rsidRPr="00E213D2">
        <w:rPr>
          <w:rFonts w:asciiTheme="minorHAnsi" w:hAnsiTheme="minorHAnsi"/>
          <w:b/>
          <w:szCs w:val="24"/>
          <w:u w:val="single"/>
        </w:rPr>
        <w:t xml:space="preserve">Estimate of </w:t>
      </w:r>
      <w:r w:rsidR="00855E94">
        <w:rPr>
          <w:rFonts w:asciiTheme="minorHAnsi" w:hAnsiTheme="minorHAnsi"/>
          <w:b/>
          <w:szCs w:val="24"/>
          <w:u w:val="single"/>
        </w:rPr>
        <w:t>o</w:t>
      </w:r>
      <w:r w:rsidRPr="00E213D2">
        <w:rPr>
          <w:rFonts w:asciiTheme="minorHAnsi" w:hAnsiTheme="minorHAnsi"/>
          <w:b/>
          <w:szCs w:val="24"/>
          <w:u w:val="single"/>
        </w:rPr>
        <w:t xml:space="preserve">ther </w:t>
      </w:r>
      <w:r w:rsidR="00855E94">
        <w:rPr>
          <w:rFonts w:asciiTheme="minorHAnsi" w:hAnsiTheme="minorHAnsi"/>
          <w:b/>
          <w:szCs w:val="24"/>
          <w:u w:val="single"/>
        </w:rPr>
        <w:t>t</w:t>
      </w:r>
      <w:r w:rsidRPr="00E213D2">
        <w:rPr>
          <w:rFonts w:asciiTheme="minorHAnsi" w:hAnsiTheme="minorHAnsi"/>
          <w:b/>
          <w:szCs w:val="24"/>
          <w:u w:val="single"/>
        </w:rPr>
        <w:t xml:space="preserve">otal </w:t>
      </w:r>
      <w:r w:rsidR="00855E94">
        <w:rPr>
          <w:rFonts w:asciiTheme="minorHAnsi" w:hAnsiTheme="minorHAnsi"/>
          <w:b/>
          <w:szCs w:val="24"/>
          <w:u w:val="single"/>
        </w:rPr>
        <w:t>a</w:t>
      </w:r>
      <w:r w:rsidRPr="00E213D2">
        <w:rPr>
          <w:rFonts w:asciiTheme="minorHAnsi" w:hAnsiTheme="minorHAnsi"/>
          <w:b/>
          <w:szCs w:val="24"/>
          <w:u w:val="single"/>
        </w:rPr>
        <w:t xml:space="preserve">nnual </w:t>
      </w:r>
      <w:r w:rsidR="00855E94">
        <w:rPr>
          <w:rFonts w:asciiTheme="minorHAnsi" w:hAnsiTheme="minorHAnsi"/>
          <w:b/>
          <w:szCs w:val="24"/>
          <w:u w:val="single"/>
        </w:rPr>
        <w:t>c</w:t>
      </w:r>
      <w:r w:rsidRPr="00E213D2">
        <w:rPr>
          <w:rFonts w:asciiTheme="minorHAnsi" w:hAnsiTheme="minorHAnsi"/>
          <w:b/>
          <w:szCs w:val="24"/>
          <w:u w:val="single"/>
        </w:rPr>
        <w:t xml:space="preserve">ost </w:t>
      </w:r>
      <w:r w:rsidR="00855E94">
        <w:rPr>
          <w:rFonts w:asciiTheme="minorHAnsi" w:hAnsiTheme="minorHAnsi"/>
          <w:b/>
          <w:szCs w:val="24"/>
          <w:u w:val="single"/>
        </w:rPr>
        <w:t>b</w:t>
      </w:r>
      <w:r w:rsidRPr="00E213D2">
        <w:rPr>
          <w:rFonts w:asciiTheme="minorHAnsi" w:hAnsiTheme="minorHAnsi"/>
          <w:b/>
          <w:szCs w:val="24"/>
          <w:u w:val="single"/>
        </w:rPr>
        <w:t xml:space="preserve">urden to </w:t>
      </w:r>
      <w:r w:rsidR="00855E94">
        <w:rPr>
          <w:rFonts w:asciiTheme="minorHAnsi" w:hAnsiTheme="minorHAnsi"/>
          <w:b/>
          <w:szCs w:val="24"/>
          <w:u w:val="single"/>
        </w:rPr>
        <w:t>r</w:t>
      </w:r>
      <w:r w:rsidRPr="00E213D2">
        <w:rPr>
          <w:rFonts w:asciiTheme="minorHAnsi" w:hAnsiTheme="minorHAnsi"/>
          <w:b/>
          <w:szCs w:val="24"/>
          <w:u w:val="single"/>
        </w:rPr>
        <w:t xml:space="preserve">espondents or </w:t>
      </w:r>
      <w:r w:rsidR="00855E94">
        <w:rPr>
          <w:rFonts w:asciiTheme="minorHAnsi" w:hAnsiTheme="minorHAnsi"/>
          <w:b/>
          <w:szCs w:val="24"/>
          <w:u w:val="single"/>
        </w:rPr>
        <w:t>r</w:t>
      </w:r>
      <w:r w:rsidRPr="00E213D2">
        <w:rPr>
          <w:rFonts w:asciiTheme="minorHAnsi" w:hAnsiTheme="minorHAnsi"/>
          <w:b/>
          <w:szCs w:val="24"/>
          <w:u w:val="single"/>
        </w:rPr>
        <w:t>ecord</w:t>
      </w:r>
      <w:r w:rsidR="00225BED" w:rsidRPr="00E213D2">
        <w:rPr>
          <w:rFonts w:asciiTheme="minorHAnsi" w:hAnsiTheme="minorHAnsi"/>
          <w:b/>
          <w:szCs w:val="24"/>
          <w:u w:val="single"/>
        </w:rPr>
        <w:t xml:space="preserve"> </w:t>
      </w:r>
      <w:r w:rsidRPr="00E213D2">
        <w:rPr>
          <w:rFonts w:asciiTheme="minorHAnsi" w:hAnsiTheme="minorHAnsi"/>
          <w:b/>
          <w:szCs w:val="24"/>
          <w:u w:val="single"/>
        </w:rPr>
        <w:t>keepers.</w:t>
      </w:r>
      <w:r w:rsidRPr="00E213D2">
        <w:rPr>
          <w:rStyle w:val="StyleBody"/>
        </w:rPr>
        <w:t xml:space="preserve">  </w:t>
      </w:r>
      <w:r w:rsidR="006C49AD" w:rsidRPr="00E213D2">
        <w:rPr>
          <w:rStyle w:val="StyleBody"/>
        </w:rPr>
        <w:t>The estimated annualized cost for each individual respondent is $0.</w:t>
      </w:r>
    </w:p>
    <w:p w14:paraId="1F9B7C91" w14:textId="77777777" w:rsidR="00CE4F2F" w:rsidRPr="00E213D2" w:rsidRDefault="00CE4F2F">
      <w:pPr>
        <w:rPr>
          <w:rStyle w:val="StyleBody"/>
        </w:rPr>
      </w:pPr>
    </w:p>
    <w:p w14:paraId="2B068DDC" w14:textId="1434A7F3" w:rsidR="00CE4F2F" w:rsidRPr="00E213D2" w:rsidRDefault="00CE4F2F" w:rsidP="00472C02">
      <w:pPr>
        <w:ind w:left="432" w:hanging="432"/>
        <w:rPr>
          <w:rStyle w:val="StyleBody"/>
        </w:rPr>
      </w:pPr>
      <w:r w:rsidRPr="00E213D2">
        <w:rPr>
          <w:rStyle w:val="StyleBody"/>
        </w:rPr>
        <w:t xml:space="preserve">14.  </w:t>
      </w:r>
      <w:r w:rsidRPr="00E213D2">
        <w:rPr>
          <w:rFonts w:asciiTheme="minorHAnsi" w:hAnsiTheme="minorHAnsi"/>
          <w:b/>
          <w:szCs w:val="24"/>
          <w:u w:val="single"/>
        </w:rPr>
        <w:t xml:space="preserve">Annualized </w:t>
      </w:r>
      <w:r w:rsidR="00855E94">
        <w:rPr>
          <w:rFonts w:asciiTheme="minorHAnsi" w:hAnsiTheme="minorHAnsi"/>
          <w:b/>
          <w:szCs w:val="24"/>
          <w:u w:val="single"/>
        </w:rPr>
        <w:t>c</w:t>
      </w:r>
      <w:r w:rsidRPr="00E213D2">
        <w:rPr>
          <w:rFonts w:asciiTheme="minorHAnsi" w:hAnsiTheme="minorHAnsi"/>
          <w:b/>
          <w:szCs w:val="24"/>
          <w:u w:val="single"/>
        </w:rPr>
        <w:t>ost to the Federal Government.</w:t>
      </w:r>
      <w:r w:rsidRPr="00E213D2">
        <w:rPr>
          <w:rStyle w:val="StyleBody"/>
        </w:rPr>
        <w:t xml:space="preserve">  The total e</w:t>
      </w:r>
      <w:r w:rsidR="006C49AD" w:rsidRPr="00E213D2">
        <w:rPr>
          <w:rStyle w:val="StyleBody"/>
        </w:rPr>
        <w:t xml:space="preserve">stimated annualized cost to NARA is </w:t>
      </w:r>
      <w:r w:rsidRPr="00E213D2">
        <w:rPr>
          <w:rStyle w:val="StyleBody"/>
        </w:rPr>
        <w:t>$</w:t>
      </w:r>
      <w:r w:rsidR="006C49AD" w:rsidRPr="00E213D2">
        <w:rPr>
          <w:rStyle w:val="StyleBody"/>
        </w:rPr>
        <w:t>0</w:t>
      </w:r>
      <w:r w:rsidRPr="00E213D2">
        <w:rPr>
          <w:rStyle w:val="StyleBody"/>
        </w:rPr>
        <w:t xml:space="preserve">.  </w:t>
      </w:r>
    </w:p>
    <w:p w14:paraId="357CF9D4" w14:textId="77777777" w:rsidR="00CE4F2F" w:rsidRPr="00E213D2" w:rsidRDefault="00CE4F2F">
      <w:pPr>
        <w:rPr>
          <w:rStyle w:val="StyleBody"/>
        </w:rPr>
      </w:pPr>
    </w:p>
    <w:p w14:paraId="168909BE" w14:textId="29DFA4C3" w:rsidR="00CE4F2F" w:rsidRPr="00E213D2" w:rsidRDefault="00CE4F2F" w:rsidP="00472C02">
      <w:pPr>
        <w:ind w:left="432" w:hanging="432"/>
        <w:rPr>
          <w:rStyle w:val="StyleBody"/>
        </w:rPr>
      </w:pPr>
      <w:r w:rsidRPr="00E213D2">
        <w:rPr>
          <w:rStyle w:val="StyleBody"/>
        </w:rPr>
        <w:t xml:space="preserve">15.  </w:t>
      </w:r>
      <w:r w:rsidRPr="00E213D2">
        <w:rPr>
          <w:rFonts w:asciiTheme="minorHAnsi" w:hAnsiTheme="minorHAnsi"/>
          <w:b/>
          <w:szCs w:val="24"/>
          <w:u w:val="single"/>
        </w:rPr>
        <w:t xml:space="preserve">Explanation for </w:t>
      </w:r>
      <w:r w:rsidR="00855E94">
        <w:rPr>
          <w:rFonts w:asciiTheme="minorHAnsi" w:hAnsiTheme="minorHAnsi"/>
          <w:b/>
          <w:szCs w:val="24"/>
          <w:u w:val="single"/>
        </w:rPr>
        <w:t>p</w:t>
      </w:r>
      <w:r w:rsidRPr="00E213D2">
        <w:rPr>
          <w:rFonts w:asciiTheme="minorHAnsi" w:hAnsiTheme="minorHAnsi"/>
          <w:b/>
          <w:szCs w:val="24"/>
          <w:u w:val="single"/>
        </w:rPr>
        <w:t xml:space="preserve">rogram </w:t>
      </w:r>
      <w:r w:rsidR="00855E94">
        <w:rPr>
          <w:rFonts w:asciiTheme="minorHAnsi" w:hAnsiTheme="minorHAnsi"/>
          <w:b/>
          <w:szCs w:val="24"/>
          <w:u w:val="single"/>
        </w:rPr>
        <w:t>c</w:t>
      </w:r>
      <w:r w:rsidRPr="00E213D2">
        <w:rPr>
          <w:rFonts w:asciiTheme="minorHAnsi" w:hAnsiTheme="minorHAnsi"/>
          <w:b/>
          <w:szCs w:val="24"/>
          <w:u w:val="single"/>
        </w:rPr>
        <w:t xml:space="preserve">hanges or </w:t>
      </w:r>
      <w:r w:rsidR="00855E94">
        <w:rPr>
          <w:rFonts w:asciiTheme="minorHAnsi" w:hAnsiTheme="minorHAnsi"/>
          <w:b/>
          <w:szCs w:val="24"/>
          <w:u w:val="single"/>
        </w:rPr>
        <w:t>a</w:t>
      </w:r>
      <w:r w:rsidRPr="00E213D2">
        <w:rPr>
          <w:rFonts w:asciiTheme="minorHAnsi" w:hAnsiTheme="minorHAnsi"/>
          <w:b/>
          <w:szCs w:val="24"/>
          <w:u w:val="single"/>
        </w:rPr>
        <w:t>djustments.</w:t>
      </w:r>
      <w:r w:rsidRPr="00E213D2">
        <w:rPr>
          <w:rStyle w:val="StyleBody"/>
        </w:rPr>
        <w:t xml:space="preserve">  </w:t>
      </w:r>
      <w:r w:rsidR="00544AAE" w:rsidRPr="00E213D2">
        <w:rPr>
          <w:rStyle w:val="StyleBody"/>
        </w:rPr>
        <w:t>Th</w:t>
      </w:r>
      <w:r w:rsidR="001264B1" w:rsidRPr="00E213D2">
        <w:rPr>
          <w:rStyle w:val="StyleBody"/>
        </w:rPr>
        <w:t xml:space="preserve">ere is </w:t>
      </w:r>
      <w:r w:rsidR="00215A33">
        <w:rPr>
          <w:rStyle w:val="StyleBody"/>
        </w:rPr>
        <w:t>slight</w:t>
      </w:r>
      <w:r w:rsidR="00215A33" w:rsidRPr="00E213D2">
        <w:rPr>
          <w:rStyle w:val="StyleBody"/>
        </w:rPr>
        <w:t xml:space="preserve"> </w:t>
      </w:r>
      <w:r w:rsidR="001264B1" w:rsidRPr="00E213D2">
        <w:rPr>
          <w:rStyle w:val="StyleBody"/>
        </w:rPr>
        <w:t>change in burden</w:t>
      </w:r>
      <w:r w:rsidR="00215A33">
        <w:rPr>
          <w:rStyle w:val="StyleBody"/>
        </w:rPr>
        <w:t xml:space="preserve">, from 10 hours to 13 hours as the estimated time to complete the form has increased </w:t>
      </w:r>
      <w:r w:rsidR="00842645">
        <w:rPr>
          <w:rStyle w:val="StyleBody"/>
        </w:rPr>
        <w:t xml:space="preserve">from one minute to </w:t>
      </w:r>
      <w:bookmarkStart w:id="0" w:name="_GoBack"/>
      <w:bookmarkEnd w:id="0"/>
      <w:r w:rsidR="00215A33">
        <w:rPr>
          <w:rStyle w:val="StyleBody"/>
        </w:rPr>
        <w:t>two minutes.</w:t>
      </w:r>
    </w:p>
    <w:p w14:paraId="22477BB1" w14:textId="77777777" w:rsidR="00CE4F2F" w:rsidRPr="00E213D2" w:rsidRDefault="00CE4F2F">
      <w:pPr>
        <w:rPr>
          <w:rStyle w:val="StyleBody"/>
        </w:rPr>
      </w:pPr>
    </w:p>
    <w:p w14:paraId="2B60FB96" w14:textId="36D00B29" w:rsidR="00CE4F2F" w:rsidRPr="00E213D2" w:rsidRDefault="00CE4F2F" w:rsidP="00472C02">
      <w:pPr>
        <w:ind w:left="432" w:hanging="432"/>
        <w:rPr>
          <w:rStyle w:val="StyleBody"/>
        </w:rPr>
      </w:pPr>
      <w:r w:rsidRPr="00E213D2">
        <w:rPr>
          <w:rStyle w:val="StyleBody"/>
        </w:rPr>
        <w:t xml:space="preserve">16.  </w:t>
      </w:r>
      <w:r w:rsidRPr="00E213D2">
        <w:rPr>
          <w:rFonts w:asciiTheme="minorHAnsi" w:hAnsiTheme="minorHAnsi"/>
          <w:b/>
          <w:szCs w:val="24"/>
          <w:u w:val="single"/>
        </w:rPr>
        <w:t xml:space="preserve">Plans for </w:t>
      </w:r>
      <w:r w:rsidR="00855E94">
        <w:rPr>
          <w:rFonts w:asciiTheme="minorHAnsi" w:hAnsiTheme="minorHAnsi"/>
          <w:b/>
          <w:szCs w:val="24"/>
          <w:u w:val="single"/>
        </w:rPr>
        <w:t>t</w:t>
      </w:r>
      <w:r w:rsidRPr="00E213D2">
        <w:rPr>
          <w:rFonts w:asciiTheme="minorHAnsi" w:hAnsiTheme="minorHAnsi"/>
          <w:b/>
          <w:szCs w:val="24"/>
          <w:u w:val="single"/>
        </w:rPr>
        <w:t xml:space="preserve">abulation and </w:t>
      </w:r>
      <w:r w:rsidR="00855E94">
        <w:rPr>
          <w:rFonts w:asciiTheme="minorHAnsi" w:hAnsiTheme="minorHAnsi"/>
          <w:b/>
          <w:szCs w:val="24"/>
          <w:u w:val="single"/>
        </w:rPr>
        <w:t>p</w:t>
      </w:r>
      <w:r w:rsidRPr="00E213D2">
        <w:rPr>
          <w:rFonts w:asciiTheme="minorHAnsi" w:hAnsiTheme="minorHAnsi"/>
          <w:b/>
          <w:szCs w:val="24"/>
          <w:u w:val="single"/>
        </w:rPr>
        <w:t xml:space="preserve">ublication and </w:t>
      </w:r>
      <w:r w:rsidR="00855E94">
        <w:rPr>
          <w:rFonts w:asciiTheme="minorHAnsi" w:hAnsiTheme="minorHAnsi"/>
          <w:b/>
          <w:szCs w:val="24"/>
          <w:u w:val="single"/>
        </w:rPr>
        <w:t>p</w:t>
      </w:r>
      <w:r w:rsidRPr="00E213D2">
        <w:rPr>
          <w:rFonts w:asciiTheme="minorHAnsi" w:hAnsiTheme="minorHAnsi"/>
          <w:b/>
          <w:szCs w:val="24"/>
          <w:u w:val="single"/>
        </w:rPr>
        <w:t xml:space="preserve">roject </w:t>
      </w:r>
      <w:r w:rsidR="00855E94">
        <w:rPr>
          <w:rFonts w:asciiTheme="minorHAnsi" w:hAnsiTheme="minorHAnsi"/>
          <w:b/>
          <w:szCs w:val="24"/>
          <w:u w:val="single"/>
        </w:rPr>
        <w:t>t</w:t>
      </w:r>
      <w:r w:rsidRPr="00E213D2">
        <w:rPr>
          <w:rFonts w:asciiTheme="minorHAnsi" w:hAnsiTheme="minorHAnsi"/>
          <w:b/>
          <w:szCs w:val="24"/>
          <w:u w:val="single"/>
        </w:rPr>
        <w:t xml:space="preserve">ime </w:t>
      </w:r>
      <w:r w:rsidR="00855E94">
        <w:rPr>
          <w:rFonts w:asciiTheme="minorHAnsi" w:hAnsiTheme="minorHAnsi"/>
          <w:b/>
          <w:szCs w:val="24"/>
          <w:u w:val="single"/>
        </w:rPr>
        <w:t>s</w:t>
      </w:r>
      <w:r w:rsidRPr="00E213D2">
        <w:rPr>
          <w:rFonts w:asciiTheme="minorHAnsi" w:hAnsiTheme="minorHAnsi"/>
          <w:b/>
          <w:szCs w:val="24"/>
          <w:u w:val="single"/>
        </w:rPr>
        <w:t>chedule.</w:t>
      </w:r>
      <w:r w:rsidRPr="00E213D2">
        <w:rPr>
          <w:rStyle w:val="StyleBody"/>
        </w:rPr>
        <w:t xml:space="preserve">  The information collection is not used for statistical studies or publications.</w:t>
      </w:r>
    </w:p>
    <w:p w14:paraId="42A06B81" w14:textId="77777777" w:rsidR="00F9562E" w:rsidRPr="00E213D2" w:rsidRDefault="00F9562E" w:rsidP="00472C02">
      <w:pPr>
        <w:ind w:left="432" w:hanging="432"/>
        <w:rPr>
          <w:rFonts w:asciiTheme="minorHAnsi" w:hAnsiTheme="minorHAnsi"/>
          <w:szCs w:val="24"/>
        </w:rPr>
      </w:pPr>
    </w:p>
    <w:p w14:paraId="1F490EAE" w14:textId="4E69482E" w:rsidR="00F9562E" w:rsidRPr="00E213D2" w:rsidRDefault="00F9562E" w:rsidP="00472C02">
      <w:pPr>
        <w:ind w:left="432" w:hanging="432"/>
        <w:rPr>
          <w:rStyle w:val="StyleBody"/>
        </w:rPr>
      </w:pPr>
      <w:r w:rsidRPr="00E213D2">
        <w:rPr>
          <w:rStyle w:val="StyleBody"/>
        </w:rPr>
        <w:t xml:space="preserve">17.  </w:t>
      </w:r>
      <w:r w:rsidRPr="00E213D2">
        <w:rPr>
          <w:rFonts w:asciiTheme="minorHAnsi" w:hAnsiTheme="minorHAnsi"/>
          <w:b/>
          <w:szCs w:val="24"/>
          <w:u w:val="single"/>
        </w:rPr>
        <w:t xml:space="preserve">Reason(s) </w:t>
      </w:r>
      <w:r w:rsidR="00855E94">
        <w:rPr>
          <w:rFonts w:asciiTheme="minorHAnsi" w:hAnsiTheme="minorHAnsi"/>
          <w:b/>
          <w:szCs w:val="24"/>
          <w:u w:val="single"/>
        </w:rPr>
        <w:t>d</w:t>
      </w:r>
      <w:r w:rsidRPr="00E213D2">
        <w:rPr>
          <w:rFonts w:asciiTheme="minorHAnsi" w:hAnsiTheme="minorHAnsi"/>
          <w:b/>
          <w:szCs w:val="24"/>
          <w:u w:val="single"/>
        </w:rPr>
        <w:t xml:space="preserve">isplay of OMB </w:t>
      </w:r>
      <w:r w:rsidR="00855E94">
        <w:rPr>
          <w:rFonts w:asciiTheme="minorHAnsi" w:hAnsiTheme="minorHAnsi"/>
          <w:b/>
          <w:szCs w:val="24"/>
          <w:u w:val="single"/>
        </w:rPr>
        <w:t>e</w:t>
      </w:r>
      <w:r w:rsidRPr="00E213D2">
        <w:rPr>
          <w:rFonts w:asciiTheme="minorHAnsi" w:hAnsiTheme="minorHAnsi"/>
          <w:b/>
          <w:szCs w:val="24"/>
          <w:u w:val="single"/>
        </w:rPr>
        <w:t xml:space="preserve">xpiration </w:t>
      </w:r>
      <w:r w:rsidR="00855E94">
        <w:rPr>
          <w:rFonts w:asciiTheme="minorHAnsi" w:hAnsiTheme="minorHAnsi"/>
          <w:b/>
          <w:szCs w:val="24"/>
          <w:u w:val="single"/>
        </w:rPr>
        <w:t>d</w:t>
      </w:r>
      <w:r w:rsidRPr="00E213D2">
        <w:rPr>
          <w:rFonts w:asciiTheme="minorHAnsi" w:hAnsiTheme="minorHAnsi"/>
          <w:b/>
          <w:szCs w:val="24"/>
          <w:u w:val="single"/>
        </w:rPr>
        <w:t xml:space="preserve">ate is </w:t>
      </w:r>
      <w:r w:rsidR="00855E94">
        <w:rPr>
          <w:rFonts w:asciiTheme="minorHAnsi" w:hAnsiTheme="minorHAnsi"/>
          <w:b/>
          <w:szCs w:val="24"/>
          <w:u w:val="single"/>
        </w:rPr>
        <w:t>i</w:t>
      </w:r>
      <w:r w:rsidRPr="00E213D2">
        <w:rPr>
          <w:rFonts w:asciiTheme="minorHAnsi" w:hAnsiTheme="minorHAnsi"/>
          <w:b/>
          <w:szCs w:val="24"/>
          <w:u w:val="single"/>
        </w:rPr>
        <w:t>nappropriate.</w:t>
      </w:r>
      <w:r w:rsidRPr="00E213D2">
        <w:rPr>
          <w:rStyle w:val="StyleBody"/>
        </w:rPr>
        <w:t xml:space="preserve">  The expiration date of the OMB approval will be displayed on the form.</w:t>
      </w:r>
    </w:p>
    <w:p w14:paraId="50C4E261" w14:textId="77777777" w:rsidR="00F9562E" w:rsidRPr="00E213D2" w:rsidRDefault="00F9562E" w:rsidP="00472C02">
      <w:pPr>
        <w:ind w:left="432" w:hanging="432"/>
        <w:rPr>
          <w:rFonts w:asciiTheme="minorHAnsi" w:hAnsiTheme="minorHAnsi"/>
          <w:szCs w:val="24"/>
        </w:rPr>
      </w:pPr>
    </w:p>
    <w:p w14:paraId="2C2D93C8" w14:textId="62A11D67" w:rsidR="00F9562E" w:rsidRPr="00E213D2" w:rsidRDefault="00F9562E" w:rsidP="00472C02">
      <w:pPr>
        <w:ind w:left="432" w:hanging="432"/>
        <w:rPr>
          <w:rStyle w:val="StyleBody"/>
        </w:rPr>
      </w:pPr>
      <w:r w:rsidRPr="00E213D2">
        <w:rPr>
          <w:rStyle w:val="StyleBody"/>
        </w:rPr>
        <w:t xml:space="preserve">18.  </w:t>
      </w:r>
      <w:r w:rsidRPr="00E213D2">
        <w:rPr>
          <w:rFonts w:asciiTheme="minorHAnsi" w:hAnsiTheme="minorHAnsi"/>
          <w:b/>
          <w:szCs w:val="24"/>
          <w:u w:val="single"/>
        </w:rPr>
        <w:t xml:space="preserve">Exceptions to </w:t>
      </w:r>
      <w:r w:rsidR="001608B4">
        <w:rPr>
          <w:rFonts w:asciiTheme="minorHAnsi" w:hAnsiTheme="minorHAnsi"/>
          <w:b/>
          <w:szCs w:val="24"/>
          <w:u w:val="single"/>
        </w:rPr>
        <w:t>c</w:t>
      </w:r>
      <w:r w:rsidRPr="00E213D2">
        <w:rPr>
          <w:rFonts w:asciiTheme="minorHAnsi" w:hAnsiTheme="minorHAnsi"/>
          <w:b/>
          <w:szCs w:val="24"/>
          <w:u w:val="single"/>
        </w:rPr>
        <w:t xml:space="preserve">ertification for Paperwork Reduction Act </w:t>
      </w:r>
      <w:r w:rsidR="001608B4">
        <w:rPr>
          <w:rFonts w:asciiTheme="minorHAnsi" w:hAnsiTheme="minorHAnsi"/>
          <w:b/>
          <w:szCs w:val="24"/>
          <w:u w:val="single"/>
        </w:rPr>
        <w:t>s</w:t>
      </w:r>
      <w:r w:rsidRPr="00E213D2">
        <w:rPr>
          <w:rFonts w:asciiTheme="minorHAnsi" w:hAnsiTheme="minorHAnsi"/>
          <w:b/>
          <w:szCs w:val="24"/>
          <w:u w:val="single"/>
        </w:rPr>
        <w:t>ubmissions.</w:t>
      </w:r>
      <w:r w:rsidRPr="00E213D2">
        <w:rPr>
          <w:rStyle w:val="StyleBody"/>
        </w:rPr>
        <w:t xml:space="preserve">  NARA is not requesting any exceptions to the certification statement identified in Item 19, “Certification for Paperwork Reduction Submissions,” of the OMB Form 83-I.</w:t>
      </w:r>
    </w:p>
    <w:sectPr w:rsidR="00F9562E" w:rsidRPr="00E213D2" w:rsidSect="00F0157B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endnotePr>
        <w:numFmt w:val="decimal"/>
      </w:endnotePr>
      <w:type w:val="continuous"/>
      <w:pgSz w:w="12240" w:h="15840"/>
      <w:pgMar w:top="1440" w:right="1152" w:bottom="1296" w:left="1152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610D7" w14:textId="77777777" w:rsidR="00F45831" w:rsidRDefault="00F45831">
      <w:r>
        <w:separator/>
      </w:r>
    </w:p>
  </w:endnote>
  <w:endnote w:type="continuationSeparator" w:id="0">
    <w:p w14:paraId="56B047C7" w14:textId="77777777" w:rsidR="00F45831" w:rsidRDefault="00F4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B0983" w14:textId="77777777" w:rsidR="00AB1118" w:rsidRDefault="00BE61AB" w:rsidP="00F015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11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48DCC0" w14:textId="77777777" w:rsidR="00AB1118" w:rsidRDefault="00AB1118" w:rsidP="00F0157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213C9" w14:textId="77777777" w:rsidR="00AB1118" w:rsidRPr="00E213D2" w:rsidRDefault="00BE61AB" w:rsidP="00450911">
    <w:pPr>
      <w:spacing w:line="240" w:lineRule="exact"/>
      <w:jc w:val="center"/>
      <w:rPr>
        <w:rFonts w:asciiTheme="minorHAnsi" w:hAnsiTheme="minorHAnsi"/>
        <w:szCs w:val="24"/>
      </w:rPr>
    </w:pPr>
    <w:r w:rsidRPr="00E213D2">
      <w:rPr>
        <w:rStyle w:val="PageNumber"/>
        <w:rFonts w:asciiTheme="minorHAnsi" w:hAnsiTheme="minorHAnsi"/>
      </w:rPr>
      <w:fldChar w:fldCharType="begin"/>
    </w:r>
    <w:r w:rsidR="00AB1118" w:rsidRPr="00E213D2">
      <w:rPr>
        <w:rStyle w:val="PageNumber"/>
        <w:rFonts w:asciiTheme="minorHAnsi" w:hAnsiTheme="minorHAnsi"/>
      </w:rPr>
      <w:instrText xml:space="preserve"> PAGE </w:instrText>
    </w:r>
    <w:r w:rsidRPr="00E213D2">
      <w:rPr>
        <w:rStyle w:val="PageNumber"/>
        <w:rFonts w:asciiTheme="minorHAnsi" w:hAnsiTheme="minorHAnsi"/>
      </w:rPr>
      <w:fldChar w:fldCharType="separate"/>
    </w:r>
    <w:r w:rsidR="00842645">
      <w:rPr>
        <w:rStyle w:val="PageNumber"/>
        <w:rFonts w:asciiTheme="minorHAnsi" w:hAnsiTheme="minorHAnsi"/>
        <w:noProof/>
      </w:rPr>
      <w:t>3</w:t>
    </w:r>
    <w:r w:rsidRPr="00E213D2">
      <w:rPr>
        <w:rStyle w:val="PageNumber"/>
        <w:rFonts w:asciiTheme="minorHAnsi" w:hAnsiTheme="minorHAnsi"/>
      </w:rPr>
      <w:fldChar w:fldCharType="end"/>
    </w:r>
  </w:p>
  <w:p w14:paraId="708DC448" w14:textId="77777777" w:rsidR="00AB1118" w:rsidRDefault="00AB1118" w:rsidP="00F0157B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0D14C" w14:textId="77777777" w:rsidR="00AB1118" w:rsidRDefault="00BE61AB" w:rsidP="00450911">
    <w:pPr>
      <w:pStyle w:val="Footer"/>
      <w:jc w:val="center"/>
    </w:pPr>
    <w:r>
      <w:rPr>
        <w:rStyle w:val="PageNumber"/>
      </w:rPr>
      <w:fldChar w:fldCharType="begin"/>
    </w:r>
    <w:r w:rsidR="00AB111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4264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4E4B8" w14:textId="77777777" w:rsidR="00F45831" w:rsidRDefault="00F45831">
      <w:r>
        <w:separator/>
      </w:r>
    </w:p>
  </w:footnote>
  <w:footnote w:type="continuationSeparator" w:id="0">
    <w:p w14:paraId="1473A236" w14:textId="77777777" w:rsidR="00F45831" w:rsidRDefault="00F45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A707A" w14:textId="77777777" w:rsidR="00AB1118" w:rsidRDefault="00AB1118" w:rsidP="00310B26">
    <w:pPr>
      <w:pStyle w:val="Header"/>
      <w:jc w:val="right"/>
      <w:rPr>
        <w:rFonts w:ascii="Times New Roman" w:hAnsi="Times New Roman"/>
        <w:i/>
      </w:rPr>
    </w:pPr>
  </w:p>
  <w:p w14:paraId="39F9B563" w14:textId="77777777" w:rsidR="00AB1118" w:rsidRPr="00310B26" w:rsidRDefault="00AB1118" w:rsidP="00310B26">
    <w:pPr>
      <w:pStyle w:val="Header"/>
      <w:jc w:val="right"/>
      <w:rPr>
        <w:rFonts w:ascii="Times New Roman" w:hAnsi="Times New Roman"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A84FF" w14:textId="77777777" w:rsidR="00AB1118" w:rsidRPr="00310B26" w:rsidRDefault="00AB1118" w:rsidP="00310B26">
    <w:pPr>
      <w:pStyle w:val="Header"/>
      <w:jc w:val="right"/>
      <w:rPr>
        <w:rFonts w:ascii="Times New Roman" w:hAnsi="Times New Roman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AD"/>
    <w:rsid w:val="0003492D"/>
    <w:rsid w:val="00040A44"/>
    <w:rsid w:val="000A4006"/>
    <w:rsid w:val="000A7D28"/>
    <w:rsid w:val="000F12FD"/>
    <w:rsid w:val="00116D9E"/>
    <w:rsid w:val="001206A6"/>
    <w:rsid w:val="001264B1"/>
    <w:rsid w:val="00152A03"/>
    <w:rsid w:val="001608B4"/>
    <w:rsid w:val="001740F0"/>
    <w:rsid w:val="00192471"/>
    <w:rsid w:val="001C4242"/>
    <w:rsid w:val="001D04E7"/>
    <w:rsid w:val="001F58F1"/>
    <w:rsid w:val="00206904"/>
    <w:rsid w:val="00215A33"/>
    <w:rsid w:val="0022196A"/>
    <w:rsid w:val="00225BED"/>
    <w:rsid w:val="002422B6"/>
    <w:rsid w:val="00252DE3"/>
    <w:rsid w:val="00262931"/>
    <w:rsid w:val="002D4122"/>
    <w:rsid w:val="002F4687"/>
    <w:rsid w:val="00310B26"/>
    <w:rsid w:val="00311B5E"/>
    <w:rsid w:val="0032113C"/>
    <w:rsid w:val="00342485"/>
    <w:rsid w:val="003473B6"/>
    <w:rsid w:val="00371B23"/>
    <w:rsid w:val="00376DF1"/>
    <w:rsid w:val="003916B2"/>
    <w:rsid w:val="003A3B25"/>
    <w:rsid w:val="003D1E63"/>
    <w:rsid w:val="004054EC"/>
    <w:rsid w:val="0041392B"/>
    <w:rsid w:val="00423646"/>
    <w:rsid w:val="00450911"/>
    <w:rsid w:val="004604BE"/>
    <w:rsid w:val="00472C02"/>
    <w:rsid w:val="00483E16"/>
    <w:rsid w:val="00496A71"/>
    <w:rsid w:val="004A331A"/>
    <w:rsid w:val="004B0D32"/>
    <w:rsid w:val="004B1A58"/>
    <w:rsid w:val="004B5A19"/>
    <w:rsid w:val="004C5DDC"/>
    <w:rsid w:val="004D11BC"/>
    <w:rsid w:val="004E5726"/>
    <w:rsid w:val="00531ACB"/>
    <w:rsid w:val="00544AAE"/>
    <w:rsid w:val="00595B0E"/>
    <w:rsid w:val="005B2338"/>
    <w:rsid w:val="005B4F19"/>
    <w:rsid w:val="005C24B4"/>
    <w:rsid w:val="00613842"/>
    <w:rsid w:val="00614888"/>
    <w:rsid w:val="00616407"/>
    <w:rsid w:val="0062777C"/>
    <w:rsid w:val="00654453"/>
    <w:rsid w:val="006C0003"/>
    <w:rsid w:val="006C49AD"/>
    <w:rsid w:val="006D61FD"/>
    <w:rsid w:val="006D729F"/>
    <w:rsid w:val="006D7A74"/>
    <w:rsid w:val="006F3DF6"/>
    <w:rsid w:val="00731F8B"/>
    <w:rsid w:val="00733507"/>
    <w:rsid w:val="00777A84"/>
    <w:rsid w:val="00784EF4"/>
    <w:rsid w:val="007E0F1E"/>
    <w:rsid w:val="008236C3"/>
    <w:rsid w:val="00826C24"/>
    <w:rsid w:val="00842645"/>
    <w:rsid w:val="008444DE"/>
    <w:rsid w:val="00852473"/>
    <w:rsid w:val="00855E94"/>
    <w:rsid w:val="0086323D"/>
    <w:rsid w:val="008F14A3"/>
    <w:rsid w:val="009045E6"/>
    <w:rsid w:val="009241C7"/>
    <w:rsid w:val="009445E4"/>
    <w:rsid w:val="009566D9"/>
    <w:rsid w:val="0096001E"/>
    <w:rsid w:val="00992BB3"/>
    <w:rsid w:val="009A7EB4"/>
    <w:rsid w:val="00A02370"/>
    <w:rsid w:val="00A23009"/>
    <w:rsid w:val="00A50407"/>
    <w:rsid w:val="00A81A4A"/>
    <w:rsid w:val="00A849E5"/>
    <w:rsid w:val="00A90A12"/>
    <w:rsid w:val="00A920EE"/>
    <w:rsid w:val="00A9511B"/>
    <w:rsid w:val="00AB1118"/>
    <w:rsid w:val="00AC0EF7"/>
    <w:rsid w:val="00B21181"/>
    <w:rsid w:val="00B32900"/>
    <w:rsid w:val="00B970F6"/>
    <w:rsid w:val="00BC27D2"/>
    <w:rsid w:val="00BE61AB"/>
    <w:rsid w:val="00C06103"/>
    <w:rsid w:val="00C214F7"/>
    <w:rsid w:val="00C335D3"/>
    <w:rsid w:val="00C35A07"/>
    <w:rsid w:val="00C4187D"/>
    <w:rsid w:val="00C642FC"/>
    <w:rsid w:val="00C717DA"/>
    <w:rsid w:val="00C922A9"/>
    <w:rsid w:val="00C96153"/>
    <w:rsid w:val="00CC08C7"/>
    <w:rsid w:val="00CC7E3B"/>
    <w:rsid w:val="00CE4F2F"/>
    <w:rsid w:val="00CF15EB"/>
    <w:rsid w:val="00D0024A"/>
    <w:rsid w:val="00D059BA"/>
    <w:rsid w:val="00D16CAD"/>
    <w:rsid w:val="00D21580"/>
    <w:rsid w:val="00D46293"/>
    <w:rsid w:val="00D473DD"/>
    <w:rsid w:val="00D52DA2"/>
    <w:rsid w:val="00D6368F"/>
    <w:rsid w:val="00D744C2"/>
    <w:rsid w:val="00D754BD"/>
    <w:rsid w:val="00D931CA"/>
    <w:rsid w:val="00D96685"/>
    <w:rsid w:val="00DB62F1"/>
    <w:rsid w:val="00DD04BE"/>
    <w:rsid w:val="00DD47AC"/>
    <w:rsid w:val="00DE035E"/>
    <w:rsid w:val="00DE0461"/>
    <w:rsid w:val="00DF0357"/>
    <w:rsid w:val="00DF2C2E"/>
    <w:rsid w:val="00DF5C79"/>
    <w:rsid w:val="00DF641C"/>
    <w:rsid w:val="00E17E20"/>
    <w:rsid w:val="00E213D2"/>
    <w:rsid w:val="00E47463"/>
    <w:rsid w:val="00E50E47"/>
    <w:rsid w:val="00E65531"/>
    <w:rsid w:val="00E77B0A"/>
    <w:rsid w:val="00EA6A3E"/>
    <w:rsid w:val="00EB109E"/>
    <w:rsid w:val="00EB44C4"/>
    <w:rsid w:val="00EE5418"/>
    <w:rsid w:val="00EF6D4E"/>
    <w:rsid w:val="00F005C6"/>
    <w:rsid w:val="00F0157B"/>
    <w:rsid w:val="00F211A7"/>
    <w:rsid w:val="00F24FEE"/>
    <w:rsid w:val="00F45831"/>
    <w:rsid w:val="00F515F6"/>
    <w:rsid w:val="00F60DD8"/>
    <w:rsid w:val="00F85DF0"/>
    <w:rsid w:val="00F90BBA"/>
    <w:rsid w:val="00F9562E"/>
    <w:rsid w:val="00F96CB4"/>
    <w:rsid w:val="00FD27F5"/>
    <w:rsid w:val="00FD2F4C"/>
    <w:rsid w:val="00F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5D41296"/>
  <w15:docId w15:val="{68F020D0-5F75-4251-9046-3A7FA2E6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842"/>
    <w:pPr>
      <w:widowControl w:val="0"/>
    </w:pPr>
    <w:rPr>
      <w:rFonts w:ascii="Courier New" w:hAnsi="Courier New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13842"/>
  </w:style>
  <w:style w:type="paragraph" w:styleId="Header">
    <w:name w:val="header"/>
    <w:basedOn w:val="Normal"/>
    <w:rsid w:val="00D16C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6CA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13D2"/>
    <w:rPr>
      <w:rFonts w:ascii="Calibri" w:hAnsi="Calibri"/>
      <w:sz w:val="24"/>
    </w:rPr>
  </w:style>
  <w:style w:type="character" w:customStyle="1" w:styleId="StyleBody">
    <w:name w:val="Style +Body"/>
    <w:basedOn w:val="DefaultParagraphFont"/>
    <w:rsid w:val="00E213D2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E94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E94"/>
    <w:rPr>
      <w:snapToGrid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08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8B4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8B4"/>
    <w:rPr>
      <w:rFonts w:ascii="Courier New" w:hAnsi="Courier New"/>
      <w:snapToGrid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8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8B4"/>
    <w:rPr>
      <w:rFonts w:ascii="Courier New" w:hAnsi="Courier New"/>
      <w:b/>
      <w:b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7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974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nara</Company>
  <LinksUpToDate>false</LinksUpToDate>
  <CharactersWithSpaces>6375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nara</dc:creator>
  <cp:keywords>OMB Control No. 3095-0068, expiration date 12/30/2016</cp:keywords>
  <cp:lastModifiedBy>Tamee Fechhelm</cp:lastModifiedBy>
  <cp:revision>4</cp:revision>
  <cp:lastPrinted>2016-06-09T15:26:00Z</cp:lastPrinted>
  <dcterms:created xsi:type="dcterms:W3CDTF">2016-09-22T17:51:00Z</dcterms:created>
  <dcterms:modified xsi:type="dcterms:W3CDTF">2016-09-22T21:04:00Z</dcterms:modified>
</cp:coreProperties>
</file>