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C64E0" w14:textId="77777777" w:rsidR="00B765A5" w:rsidRDefault="00B765A5" w:rsidP="00B765A5">
      <w:pPr>
        <w:pStyle w:val="Title"/>
      </w:pPr>
      <w:r>
        <w:t>SUPPORTING STATEMENT</w:t>
      </w:r>
    </w:p>
    <w:p w14:paraId="38F6B327" w14:textId="77777777" w:rsidR="00B765A5" w:rsidRDefault="00B765A5" w:rsidP="00B765A5">
      <w:pPr>
        <w:pStyle w:val="Title"/>
      </w:pPr>
      <w:r>
        <w:t>United States Patent and Trademark Office</w:t>
      </w:r>
    </w:p>
    <w:p w14:paraId="6B43A779" w14:textId="77777777" w:rsidR="00B765A5" w:rsidRDefault="00B765A5" w:rsidP="00B765A5">
      <w:pPr>
        <w:pStyle w:val="Title"/>
      </w:pPr>
      <w:r>
        <w:t>Pro Bono Survey</w:t>
      </w:r>
    </w:p>
    <w:p w14:paraId="1D7CB1AA" w14:textId="77777777" w:rsidR="00B765A5" w:rsidRDefault="00B765A5" w:rsidP="00B765A5">
      <w:pPr>
        <w:pStyle w:val="Title"/>
      </w:pPr>
      <w:r>
        <w:t xml:space="preserve">OMB </w:t>
      </w:r>
      <w:r w:rsidR="004B1551">
        <w:t>CONTROL NUMBER</w:t>
      </w:r>
      <w:r>
        <w:t xml:space="preserve"> 0651-New</w:t>
      </w:r>
    </w:p>
    <w:p w14:paraId="53B87F07" w14:textId="070AD0F1" w:rsidR="00B765A5" w:rsidRDefault="00BD63FE" w:rsidP="00B765A5">
      <w:pPr>
        <w:pStyle w:val="Title"/>
      </w:pPr>
      <w:r>
        <w:t>April 2017</w:t>
      </w:r>
    </w:p>
    <w:p w14:paraId="67EE1931" w14:textId="77777777" w:rsidR="00B765A5" w:rsidRDefault="00B765A5" w:rsidP="00B765A5">
      <w:pPr>
        <w:jc w:val="center"/>
        <w:rPr>
          <w:rFonts w:ascii="Arial" w:hAnsi="Arial"/>
          <w:b/>
          <w:sz w:val="24"/>
        </w:rPr>
      </w:pPr>
    </w:p>
    <w:p w14:paraId="34494AFD" w14:textId="77777777" w:rsidR="00B765A5" w:rsidRDefault="00B765A5" w:rsidP="00B765A5">
      <w:pPr>
        <w:pStyle w:val="Heading1"/>
      </w:pPr>
      <w:r>
        <w:t>A.</w:t>
      </w:r>
      <w:r>
        <w:tab/>
        <w:t>JUSTIFICATION</w:t>
      </w:r>
    </w:p>
    <w:p w14:paraId="7ACE8BBF" w14:textId="77777777" w:rsidR="00B765A5" w:rsidRDefault="00B765A5" w:rsidP="00B765A5">
      <w:pPr>
        <w:rPr>
          <w:rFonts w:ascii="Arial" w:hAnsi="Arial"/>
          <w:b/>
          <w:sz w:val="24"/>
        </w:rPr>
      </w:pPr>
    </w:p>
    <w:p w14:paraId="60D4154C" w14:textId="77777777" w:rsidR="00B765A5" w:rsidRDefault="00B765A5" w:rsidP="00B765A5">
      <w:pPr>
        <w:rPr>
          <w:rFonts w:ascii="Arial" w:hAnsi="Arial"/>
          <w:b/>
          <w:sz w:val="24"/>
        </w:rPr>
      </w:pPr>
      <w:r>
        <w:rPr>
          <w:rFonts w:ascii="Arial" w:hAnsi="Arial"/>
          <w:b/>
          <w:sz w:val="24"/>
        </w:rPr>
        <w:t>1.</w:t>
      </w:r>
      <w:r>
        <w:rPr>
          <w:rFonts w:ascii="Arial" w:hAnsi="Arial"/>
          <w:b/>
          <w:sz w:val="24"/>
        </w:rPr>
        <w:tab/>
        <w:t>Necessity of Information Collection</w:t>
      </w:r>
    </w:p>
    <w:p w14:paraId="4341E8A4" w14:textId="77777777" w:rsidR="00B765A5" w:rsidRDefault="00B765A5" w:rsidP="00B765A5">
      <w:pPr>
        <w:jc w:val="both"/>
        <w:rPr>
          <w:rFonts w:ascii="Arial" w:hAnsi="Arial"/>
          <w:sz w:val="24"/>
        </w:rPr>
      </w:pPr>
    </w:p>
    <w:p w14:paraId="5286A1DC" w14:textId="70415FAA" w:rsidR="009F0F73" w:rsidRDefault="009F0F73" w:rsidP="00B765A5">
      <w:pPr>
        <w:jc w:val="both"/>
        <w:rPr>
          <w:rFonts w:ascii="Arial" w:hAnsi="Arial" w:cs="Arial"/>
          <w:sz w:val="24"/>
        </w:rPr>
      </w:pPr>
      <w:r w:rsidRPr="009F0F73">
        <w:rPr>
          <w:rFonts w:ascii="Arial" w:hAnsi="Arial" w:cs="Arial"/>
          <w:sz w:val="24"/>
        </w:rPr>
        <w:t xml:space="preserve">The Leahy-Smith America Invents Act (AIA), Pub. L. No. 112-29 § 32 (2011) directs the USPTO to work with and support intellectual property law associations across the country in the establishment of pro bono programs designed to assist financially under-resourced independent inventors and small businesses. In February 2014, President Obama issued an Executive Action calling on the USPTO to expand the existing patent pro bono programs to all 50 states in the country. In support of this Executive Action, the USPTO—in collaboration with various non-profit organizations—has established a series of autonomous regional </w:t>
      </w:r>
      <w:r w:rsidR="00595C5A">
        <w:rPr>
          <w:rFonts w:ascii="Arial" w:hAnsi="Arial" w:cs="Arial"/>
          <w:sz w:val="24"/>
        </w:rPr>
        <w:t>program</w:t>
      </w:r>
      <w:r w:rsidR="002E6299">
        <w:rPr>
          <w:rFonts w:ascii="Arial" w:hAnsi="Arial" w:cs="Arial"/>
          <w:sz w:val="24"/>
        </w:rPr>
        <w:t>s</w:t>
      </w:r>
      <w:r w:rsidRPr="009F0F73">
        <w:rPr>
          <w:rFonts w:ascii="Arial" w:hAnsi="Arial" w:cs="Arial"/>
          <w:sz w:val="24"/>
        </w:rPr>
        <w:t xml:space="preserve"> that act as matchmakers to help connect low-income inventors with volunteer patent attorneys across the United States. </w:t>
      </w:r>
    </w:p>
    <w:p w14:paraId="11FC5D4D" w14:textId="77777777" w:rsidR="009F0F73" w:rsidRDefault="009F0F73" w:rsidP="00B765A5">
      <w:pPr>
        <w:jc w:val="both"/>
        <w:rPr>
          <w:rFonts w:ascii="Arial" w:hAnsi="Arial" w:cs="Arial"/>
          <w:sz w:val="24"/>
        </w:rPr>
      </w:pPr>
    </w:p>
    <w:p w14:paraId="1994076D" w14:textId="1D4447C1" w:rsidR="009262BB" w:rsidRPr="009262BB" w:rsidRDefault="009F0F73" w:rsidP="009262BB">
      <w:pPr>
        <w:jc w:val="both"/>
        <w:rPr>
          <w:rFonts w:asciiTheme="minorHAnsi" w:hAnsiTheme="minorHAnsi"/>
          <w:sz w:val="24"/>
          <w:szCs w:val="24"/>
        </w:rPr>
      </w:pPr>
      <w:r w:rsidRPr="009F0F73">
        <w:rPr>
          <w:rFonts w:ascii="Arial" w:hAnsi="Arial" w:cs="Arial"/>
          <w:sz w:val="24"/>
        </w:rPr>
        <w:t xml:space="preserve">The regional </w:t>
      </w:r>
      <w:r w:rsidR="00595C5A">
        <w:rPr>
          <w:rFonts w:ascii="Arial" w:hAnsi="Arial" w:cs="Arial"/>
          <w:sz w:val="24"/>
        </w:rPr>
        <w:t>program</w:t>
      </w:r>
      <w:r w:rsidR="002E6299">
        <w:rPr>
          <w:rFonts w:ascii="Arial" w:hAnsi="Arial" w:cs="Arial"/>
          <w:sz w:val="24"/>
        </w:rPr>
        <w:t>s</w:t>
      </w:r>
      <w:r w:rsidRPr="009F0F73">
        <w:rPr>
          <w:rFonts w:ascii="Arial" w:hAnsi="Arial" w:cs="Arial"/>
          <w:sz w:val="24"/>
        </w:rPr>
        <w:t xml:space="preserve"> comprise law school IP clinics, bar associations, innovation/entrepreneurial organizations, and arts-focused lawyer referral services that are strategically located to provide access to patent pro bono se</w:t>
      </w:r>
      <w:r w:rsidR="001F25E4">
        <w:rPr>
          <w:rFonts w:ascii="Arial" w:hAnsi="Arial" w:cs="Arial"/>
          <w:sz w:val="24"/>
        </w:rPr>
        <w:t>rvices across all fifty states.</w:t>
      </w:r>
      <w:r w:rsidR="005B6A47">
        <w:rPr>
          <w:rFonts w:ascii="Arial" w:hAnsi="Arial" w:cs="Arial"/>
          <w:sz w:val="24"/>
        </w:rPr>
        <w:t xml:space="preserve"> The Regional Program Administrator Survey collects information about the services being provided by each region. </w:t>
      </w:r>
      <w:r w:rsidRPr="009F0F73">
        <w:rPr>
          <w:rFonts w:ascii="Arial" w:hAnsi="Arial" w:cs="Arial"/>
          <w:sz w:val="24"/>
        </w:rPr>
        <w:t xml:space="preserve">This information will help the USPTO determine which regional </w:t>
      </w:r>
      <w:r w:rsidR="00595C5A">
        <w:rPr>
          <w:rFonts w:ascii="Arial" w:hAnsi="Arial" w:cs="Arial"/>
          <w:sz w:val="24"/>
        </w:rPr>
        <w:t>programs</w:t>
      </w:r>
      <w:r w:rsidRPr="009F0F73">
        <w:rPr>
          <w:rFonts w:ascii="Arial" w:hAnsi="Arial" w:cs="Arial"/>
          <w:sz w:val="24"/>
        </w:rPr>
        <w:t xml:space="preserve"> are operating efficiently and which p</w:t>
      </w:r>
      <w:r w:rsidR="009262BB">
        <w:rPr>
          <w:rFonts w:ascii="Arial" w:hAnsi="Arial" w:cs="Arial"/>
          <w:sz w:val="24"/>
        </w:rPr>
        <w:t xml:space="preserve">rograms need additional support; </w:t>
      </w:r>
      <w:r w:rsidR="009262BB" w:rsidRPr="009262BB">
        <w:rPr>
          <w:rFonts w:ascii="Arial" w:hAnsi="Arial" w:cs="Arial"/>
          <w:sz w:val="24"/>
          <w:szCs w:val="24"/>
        </w:rPr>
        <w:t>ensur</w:t>
      </w:r>
      <w:r w:rsidR="009262BB">
        <w:rPr>
          <w:rFonts w:ascii="Arial" w:hAnsi="Arial" w:cs="Arial"/>
          <w:sz w:val="24"/>
          <w:szCs w:val="24"/>
        </w:rPr>
        <w:t>ing</w:t>
      </w:r>
      <w:r w:rsidR="009262BB" w:rsidRPr="009262BB">
        <w:rPr>
          <w:rFonts w:ascii="Arial" w:hAnsi="Arial" w:cs="Arial"/>
          <w:sz w:val="24"/>
          <w:szCs w:val="24"/>
        </w:rPr>
        <w:t xml:space="preserve"> that the efforts provided by our partners are resulting in matches between attorneys and applicants.  The metrics will help establish the criteria used to </w:t>
      </w:r>
      <w:r w:rsidR="009262BB">
        <w:rPr>
          <w:rFonts w:ascii="Arial" w:hAnsi="Arial" w:cs="Arial"/>
          <w:sz w:val="24"/>
          <w:szCs w:val="24"/>
        </w:rPr>
        <w:t xml:space="preserve">individually </w:t>
      </w:r>
      <w:r w:rsidR="009262BB" w:rsidRPr="009262BB">
        <w:rPr>
          <w:rFonts w:ascii="Arial" w:hAnsi="Arial" w:cs="Arial"/>
          <w:sz w:val="24"/>
          <w:szCs w:val="24"/>
        </w:rPr>
        <w:t>evaluate each program on its own merits.</w:t>
      </w:r>
      <w:r w:rsidR="009262BB" w:rsidRPr="009262BB">
        <w:rPr>
          <w:rFonts w:asciiTheme="minorHAnsi" w:hAnsiTheme="minorHAnsi"/>
          <w:sz w:val="24"/>
          <w:szCs w:val="24"/>
        </w:rPr>
        <w:t xml:space="preserve">  </w:t>
      </w:r>
    </w:p>
    <w:p w14:paraId="5C30E4BE" w14:textId="77777777" w:rsidR="009F0F73" w:rsidRDefault="009F0F73" w:rsidP="00B765A5">
      <w:pPr>
        <w:jc w:val="both"/>
        <w:rPr>
          <w:rFonts w:ascii="Arial" w:hAnsi="Arial" w:cs="Arial"/>
          <w:sz w:val="24"/>
        </w:rPr>
      </w:pPr>
    </w:p>
    <w:p w14:paraId="5AC4467B" w14:textId="3611E4BF" w:rsidR="00B765A5" w:rsidRDefault="00B765A5" w:rsidP="00B765A5">
      <w:pPr>
        <w:jc w:val="both"/>
        <w:rPr>
          <w:rFonts w:ascii="Arial" w:hAnsi="Arial" w:cs="Arial"/>
          <w:sz w:val="24"/>
        </w:rPr>
      </w:pPr>
      <w:r>
        <w:rPr>
          <w:rFonts w:ascii="Arial" w:hAnsi="Arial" w:cs="Arial"/>
          <w:sz w:val="24"/>
        </w:rPr>
        <w:t xml:space="preserve">Table 1 identifies the statutory and </w:t>
      </w:r>
      <w:r w:rsidR="007B5F94">
        <w:rPr>
          <w:rFonts w:ascii="Arial" w:hAnsi="Arial" w:cs="Arial"/>
          <w:sz w:val="24"/>
        </w:rPr>
        <w:t xml:space="preserve">regulatory </w:t>
      </w:r>
      <w:r w:rsidR="00875F28">
        <w:rPr>
          <w:rFonts w:ascii="Arial" w:hAnsi="Arial" w:cs="Arial"/>
          <w:sz w:val="24"/>
        </w:rPr>
        <w:t>authorities that allow for the</w:t>
      </w:r>
      <w:r w:rsidR="001C51D2">
        <w:rPr>
          <w:rFonts w:ascii="Arial" w:hAnsi="Arial" w:cs="Arial"/>
          <w:sz w:val="24"/>
        </w:rPr>
        <w:t xml:space="preserve"> </w:t>
      </w:r>
      <w:r>
        <w:rPr>
          <w:rFonts w:ascii="Arial" w:hAnsi="Arial" w:cs="Arial"/>
          <w:sz w:val="24"/>
        </w:rPr>
        <w:t xml:space="preserve">USPTO to </w:t>
      </w:r>
      <w:r w:rsidR="00B05C0D">
        <w:rPr>
          <w:rFonts w:ascii="Arial" w:hAnsi="Arial" w:cs="Arial"/>
          <w:sz w:val="24"/>
        </w:rPr>
        <w:t xml:space="preserve">administer </w:t>
      </w:r>
      <w:r w:rsidR="00875F28">
        <w:rPr>
          <w:rFonts w:ascii="Arial" w:hAnsi="Arial" w:cs="Arial"/>
          <w:sz w:val="24"/>
        </w:rPr>
        <w:t>the Patent Pro Bono Program</w:t>
      </w:r>
      <w:r w:rsidR="00B05C0D">
        <w:rPr>
          <w:rFonts w:ascii="Arial" w:hAnsi="Arial" w:cs="Arial"/>
          <w:sz w:val="24"/>
        </w:rPr>
        <w:t>.</w:t>
      </w:r>
      <w:r w:rsidR="001C51D2">
        <w:rPr>
          <w:rFonts w:ascii="Arial" w:hAnsi="Arial" w:cs="Arial"/>
          <w:sz w:val="24"/>
        </w:rPr>
        <w:t xml:space="preserve"> </w:t>
      </w:r>
      <w:r w:rsidR="00875F28">
        <w:rPr>
          <w:rFonts w:ascii="Arial" w:hAnsi="Arial" w:cs="Arial"/>
          <w:sz w:val="24"/>
        </w:rPr>
        <w:t xml:space="preserve">In support of Program administration, </w:t>
      </w:r>
      <w:r w:rsidR="00B05C0D">
        <w:rPr>
          <w:rFonts w:ascii="Arial" w:hAnsi="Arial" w:cs="Arial"/>
          <w:sz w:val="24"/>
        </w:rPr>
        <w:t xml:space="preserve">this proposed survey </w:t>
      </w:r>
      <w:r w:rsidR="0099229C">
        <w:rPr>
          <w:rFonts w:ascii="Arial" w:hAnsi="Arial" w:cs="Arial"/>
          <w:sz w:val="24"/>
        </w:rPr>
        <w:t>facilitates the</w:t>
      </w:r>
      <w:r w:rsidR="00B05C0D">
        <w:rPr>
          <w:rFonts w:ascii="Arial" w:hAnsi="Arial" w:cs="Arial"/>
          <w:sz w:val="24"/>
        </w:rPr>
        <w:t xml:space="preserve"> USPTO</w:t>
      </w:r>
      <w:r w:rsidR="0099229C">
        <w:rPr>
          <w:rFonts w:ascii="Arial" w:hAnsi="Arial" w:cs="Arial"/>
          <w:sz w:val="24"/>
        </w:rPr>
        <w:t>’s</w:t>
      </w:r>
      <w:r w:rsidR="00B05C0D">
        <w:rPr>
          <w:rFonts w:ascii="Arial" w:hAnsi="Arial" w:cs="Arial"/>
          <w:sz w:val="24"/>
        </w:rPr>
        <w:t xml:space="preserve"> </w:t>
      </w:r>
      <w:r w:rsidR="0099229C">
        <w:rPr>
          <w:rFonts w:ascii="Arial" w:hAnsi="Arial" w:cs="Arial"/>
          <w:sz w:val="24"/>
        </w:rPr>
        <w:t>s</w:t>
      </w:r>
      <w:r w:rsidR="00B05C0D">
        <w:rPr>
          <w:rFonts w:ascii="Arial" w:hAnsi="Arial" w:cs="Arial"/>
          <w:sz w:val="24"/>
        </w:rPr>
        <w:t xml:space="preserve">upport and coordination </w:t>
      </w:r>
      <w:r w:rsidR="007B5F94">
        <w:rPr>
          <w:rFonts w:ascii="Arial" w:hAnsi="Arial" w:cs="Arial"/>
          <w:sz w:val="24"/>
        </w:rPr>
        <w:t>of regional</w:t>
      </w:r>
      <w:r w:rsidR="00B05C0D">
        <w:rPr>
          <w:rFonts w:ascii="Arial" w:hAnsi="Arial" w:cs="Arial"/>
          <w:sz w:val="24"/>
        </w:rPr>
        <w:t xml:space="preserve"> </w:t>
      </w:r>
      <w:r w:rsidR="007B5F94">
        <w:rPr>
          <w:rFonts w:ascii="Arial" w:hAnsi="Arial" w:cs="Arial"/>
          <w:sz w:val="24"/>
        </w:rPr>
        <w:t xml:space="preserve">patent pro bono </w:t>
      </w:r>
      <w:r w:rsidR="00B05C0D">
        <w:rPr>
          <w:rFonts w:ascii="Arial" w:hAnsi="Arial" w:cs="Arial"/>
          <w:sz w:val="24"/>
        </w:rPr>
        <w:t>program</w:t>
      </w:r>
      <w:r w:rsidR="007B5F94">
        <w:rPr>
          <w:rFonts w:ascii="Arial" w:hAnsi="Arial" w:cs="Arial"/>
          <w:sz w:val="24"/>
        </w:rPr>
        <w:t>s</w:t>
      </w:r>
      <w:r w:rsidR="00B05C0D">
        <w:rPr>
          <w:rFonts w:ascii="Arial" w:hAnsi="Arial" w:cs="Arial"/>
          <w:sz w:val="24"/>
        </w:rPr>
        <w:t xml:space="preserve"> </w:t>
      </w:r>
      <w:r w:rsidR="007B5F94">
        <w:rPr>
          <w:rFonts w:ascii="Arial" w:hAnsi="Arial" w:cs="Arial"/>
          <w:sz w:val="24"/>
        </w:rPr>
        <w:t>in the nationwide network</w:t>
      </w:r>
      <w:r w:rsidR="0099229C">
        <w:rPr>
          <w:rFonts w:ascii="Arial" w:hAnsi="Arial" w:cs="Arial"/>
          <w:sz w:val="24"/>
        </w:rPr>
        <w:t xml:space="preserve"> of programs</w:t>
      </w:r>
      <w:r w:rsidR="00B05C0D">
        <w:rPr>
          <w:rFonts w:ascii="Arial" w:hAnsi="Arial" w:cs="Arial"/>
          <w:sz w:val="24"/>
        </w:rPr>
        <w:t xml:space="preserve">; ensuring that </w:t>
      </w:r>
      <w:r w:rsidR="007B5F94">
        <w:rPr>
          <w:rFonts w:ascii="Arial" w:hAnsi="Arial" w:cs="Arial"/>
          <w:sz w:val="24"/>
        </w:rPr>
        <w:t xml:space="preserve">each </w:t>
      </w:r>
      <w:r w:rsidR="0099229C">
        <w:rPr>
          <w:rFonts w:ascii="Arial" w:hAnsi="Arial" w:cs="Arial"/>
          <w:sz w:val="24"/>
        </w:rPr>
        <w:t>regional</w:t>
      </w:r>
      <w:r w:rsidR="007B5F94">
        <w:rPr>
          <w:rFonts w:ascii="Arial" w:hAnsi="Arial" w:cs="Arial"/>
          <w:sz w:val="24"/>
        </w:rPr>
        <w:t xml:space="preserve"> patent pro bono program is </w:t>
      </w:r>
      <w:r w:rsidR="0099229C">
        <w:rPr>
          <w:rFonts w:ascii="Arial" w:hAnsi="Arial" w:cs="Arial"/>
          <w:sz w:val="24"/>
        </w:rPr>
        <w:t>effective</w:t>
      </w:r>
      <w:r w:rsidR="007B5F94">
        <w:rPr>
          <w:rFonts w:ascii="Arial" w:hAnsi="Arial" w:cs="Arial"/>
          <w:sz w:val="24"/>
        </w:rPr>
        <w:t xml:space="preserve"> in providing patent pro bono services</w:t>
      </w:r>
      <w:r w:rsidR="0099229C">
        <w:rPr>
          <w:rFonts w:ascii="Arial" w:hAnsi="Arial" w:cs="Arial"/>
          <w:sz w:val="24"/>
        </w:rPr>
        <w:t xml:space="preserve"> to its </w:t>
      </w:r>
      <w:r w:rsidR="00226401">
        <w:rPr>
          <w:rFonts w:ascii="Arial" w:hAnsi="Arial" w:cs="Arial"/>
          <w:sz w:val="24"/>
        </w:rPr>
        <w:t>constituents</w:t>
      </w:r>
      <w:r w:rsidR="00B05C0D">
        <w:rPr>
          <w:rFonts w:ascii="Arial" w:hAnsi="Arial" w:cs="Arial"/>
          <w:sz w:val="24"/>
        </w:rPr>
        <w:t>.</w:t>
      </w:r>
      <w:r w:rsidR="001C51D2">
        <w:rPr>
          <w:rFonts w:ascii="Arial" w:hAnsi="Arial" w:cs="Arial"/>
          <w:sz w:val="24"/>
        </w:rPr>
        <w:t xml:space="preserve"> </w:t>
      </w:r>
      <w:r w:rsidR="00B05C0D">
        <w:rPr>
          <w:rFonts w:ascii="Arial" w:hAnsi="Arial" w:cs="Arial"/>
          <w:sz w:val="24"/>
        </w:rPr>
        <w:t xml:space="preserve"> The survey collection </w:t>
      </w:r>
      <w:r w:rsidR="007B5F94">
        <w:rPr>
          <w:rFonts w:ascii="Arial" w:hAnsi="Arial" w:cs="Arial"/>
          <w:sz w:val="24"/>
        </w:rPr>
        <w:t xml:space="preserve">also </w:t>
      </w:r>
      <w:r w:rsidR="00875F28">
        <w:rPr>
          <w:rFonts w:ascii="Arial" w:hAnsi="Arial" w:cs="Arial"/>
          <w:sz w:val="24"/>
        </w:rPr>
        <w:t>helps validate USPTO</w:t>
      </w:r>
      <w:r w:rsidR="00B05C0D">
        <w:rPr>
          <w:rFonts w:ascii="Arial" w:hAnsi="Arial" w:cs="Arial"/>
          <w:sz w:val="24"/>
        </w:rPr>
        <w:t xml:space="preserve"> </w:t>
      </w:r>
      <w:r w:rsidR="00875F28">
        <w:rPr>
          <w:rFonts w:ascii="Arial" w:hAnsi="Arial" w:cs="Arial"/>
          <w:sz w:val="24"/>
        </w:rPr>
        <w:t>funding allocations to</w:t>
      </w:r>
      <w:r w:rsidR="00B05C0D">
        <w:rPr>
          <w:rFonts w:ascii="Arial" w:hAnsi="Arial" w:cs="Arial"/>
          <w:sz w:val="24"/>
        </w:rPr>
        <w:t xml:space="preserve"> certain regional programs </w:t>
      </w:r>
      <w:r w:rsidR="00875F28">
        <w:rPr>
          <w:rFonts w:ascii="Arial" w:hAnsi="Arial" w:cs="Arial"/>
          <w:sz w:val="24"/>
        </w:rPr>
        <w:t>via</w:t>
      </w:r>
      <w:r w:rsidR="00B05C0D">
        <w:rPr>
          <w:rFonts w:ascii="Arial" w:hAnsi="Arial" w:cs="Arial"/>
          <w:sz w:val="24"/>
        </w:rPr>
        <w:t xml:space="preserve"> established M</w:t>
      </w:r>
      <w:r w:rsidR="00875F28">
        <w:rPr>
          <w:rFonts w:ascii="Arial" w:hAnsi="Arial" w:cs="Arial"/>
          <w:sz w:val="24"/>
        </w:rPr>
        <w:t>emoranda of Agreement (MOA)</w:t>
      </w:r>
      <w:r w:rsidR="00B05C0D">
        <w:rPr>
          <w:rFonts w:ascii="Arial" w:hAnsi="Arial" w:cs="Arial"/>
          <w:sz w:val="24"/>
        </w:rPr>
        <w:t>.</w:t>
      </w:r>
      <w:r w:rsidR="001C51D2">
        <w:rPr>
          <w:rFonts w:ascii="Arial" w:hAnsi="Arial" w:cs="Arial"/>
          <w:sz w:val="24"/>
        </w:rPr>
        <w:t xml:space="preserve"> </w:t>
      </w:r>
      <w:r w:rsidR="00B05C0D">
        <w:rPr>
          <w:rFonts w:ascii="Arial" w:hAnsi="Arial" w:cs="Arial"/>
          <w:sz w:val="24"/>
        </w:rPr>
        <w:t xml:space="preserve"> </w:t>
      </w:r>
      <w:r>
        <w:rPr>
          <w:rFonts w:ascii="Arial" w:hAnsi="Arial" w:cs="Arial"/>
          <w:sz w:val="24"/>
        </w:rPr>
        <w:t xml:space="preserve"> </w:t>
      </w:r>
    </w:p>
    <w:p w14:paraId="36D0C762" w14:textId="77777777" w:rsidR="00B765A5" w:rsidRDefault="00B765A5" w:rsidP="00B765A5">
      <w:pPr>
        <w:jc w:val="both"/>
        <w:rPr>
          <w:rFonts w:ascii="Arial" w:hAnsi="Arial" w:cs="Arial"/>
          <w:sz w:val="24"/>
        </w:rPr>
      </w:pPr>
    </w:p>
    <w:p w14:paraId="027DC742" w14:textId="67814DD3" w:rsidR="00B765A5" w:rsidRPr="00B10E87" w:rsidRDefault="00B765A5" w:rsidP="00B765A5">
      <w:pPr>
        <w:pStyle w:val="BodyText"/>
        <w:rPr>
          <w:sz w:val="22"/>
          <w:szCs w:val="22"/>
        </w:rPr>
      </w:pPr>
      <w:r w:rsidRPr="00B10E87">
        <w:rPr>
          <w:sz w:val="22"/>
          <w:szCs w:val="22"/>
        </w:rPr>
        <w:t>Table 1:</w:t>
      </w:r>
      <w:r w:rsidR="001C51D2">
        <w:rPr>
          <w:sz w:val="22"/>
          <w:szCs w:val="22"/>
        </w:rPr>
        <w:t xml:space="preserve"> </w:t>
      </w:r>
      <w:r w:rsidR="00875F28">
        <w:rPr>
          <w:sz w:val="22"/>
          <w:szCs w:val="22"/>
        </w:rPr>
        <w:t>Authorities for Patent Pro Bono Program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140"/>
        <w:gridCol w:w="2160"/>
        <w:gridCol w:w="2160"/>
      </w:tblGrid>
      <w:tr w:rsidR="008D4FF1" w14:paraId="70CD86C6" w14:textId="77777777" w:rsidTr="00CF658D">
        <w:trPr>
          <w:cantSplit/>
          <w:trHeight w:val="287"/>
        </w:trPr>
        <w:tc>
          <w:tcPr>
            <w:tcW w:w="900" w:type="dxa"/>
          </w:tcPr>
          <w:p w14:paraId="2E51DB7C" w14:textId="77777777" w:rsidR="008D4FF1" w:rsidRDefault="008D4FF1" w:rsidP="000D3A0A">
            <w:pPr>
              <w:tabs>
                <w:tab w:val="left" w:pos="720"/>
              </w:tabs>
              <w:jc w:val="center"/>
              <w:rPr>
                <w:rFonts w:ascii="Arial" w:hAnsi="Arial"/>
                <w:b/>
                <w:sz w:val="16"/>
              </w:rPr>
            </w:pPr>
          </w:p>
          <w:p w14:paraId="155DF9D8" w14:textId="77777777" w:rsidR="008D4FF1" w:rsidRDefault="008D4FF1" w:rsidP="008D4FF1">
            <w:pPr>
              <w:tabs>
                <w:tab w:val="left" w:pos="720"/>
              </w:tabs>
              <w:jc w:val="center"/>
              <w:rPr>
                <w:rFonts w:ascii="Arial" w:hAnsi="Arial"/>
                <w:b/>
                <w:sz w:val="16"/>
              </w:rPr>
            </w:pPr>
            <w:r>
              <w:rPr>
                <w:rFonts w:ascii="Arial" w:hAnsi="Arial"/>
                <w:b/>
                <w:sz w:val="16"/>
              </w:rPr>
              <w:t>IC Number</w:t>
            </w:r>
          </w:p>
          <w:p w14:paraId="51469D1F" w14:textId="77777777" w:rsidR="008D4FF1" w:rsidRDefault="008D4FF1" w:rsidP="008D4FF1">
            <w:pPr>
              <w:tabs>
                <w:tab w:val="left" w:pos="720"/>
              </w:tabs>
              <w:jc w:val="center"/>
              <w:rPr>
                <w:rFonts w:ascii="Arial" w:hAnsi="Arial"/>
                <w:b/>
                <w:sz w:val="16"/>
              </w:rPr>
            </w:pPr>
          </w:p>
        </w:tc>
        <w:tc>
          <w:tcPr>
            <w:tcW w:w="4140" w:type="dxa"/>
          </w:tcPr>
          <w:p w14:paraId="1D069D4F" w14:textId="77777777" w:rsidR="008D4FF1" w:rsidRDefault="008D4FF1" w:rsidP="000D3A0A">
            <w:pPr>
              <w:tabs>
                <w:tab w:val="left" w:pos="720"/>
              </w:tabs>
              <w:jc w:val="center"/>
              <w:rPr>
                <w:rFonts w:ascii="Arial" w:hAnsi="Arial"/>
                <w:b/>
                <w:sz w:val="16"/>
              </w:rPr>
            </w:pPr>
          </w:p>
          <w:p w14:paraId="21CD9A85" w14:textId="77777777" w:rsidR="008D4FF1" w:rsidRDefault="00875F28" w:rsidP="000D3A0A">
            <w:pPr>
              <w:pStyle w:val="Heading9"/>
              <w:rPr>
                <w:sz w:val="16"/>
              </w:rPr>
            </w:pPr>
            <w:r>
              <w:rPr>
                <w:sz w:val="16"/>
              </w:rPr>
              <w:t>Description</w:t>
            </w:r>
          </w:p>
          <w:p w14:paraId="67ADAA58" w14:textId="77777777" w:rsidR="008D4FF1" w:rsidRPr="009F0F73" w:rsidRDefault="008D4FF1" w:rsidP="009F0F73"/>
        </w:tc>
        <w:tc>
          <w:tcPr>
            <w:tcW w:w="2160" w:type="dxa"/>
          </w:tcPr>
          <w:p w14:paraId="0C6CDD7F" w14:textId="77777777" w:rsidR="008D4FF1" w:rsidRDefault="008D4FF1" w:rsidP="000D3A0A">
            <w:pPr>
              <w:tabs>
                <w:tab w:val="left" w:pos="720"/>
              </w:tabs>
              <w:jc w:val="center"/>
              <w:rPr>
                <w:rFonts w:ascii="Arial" w:hAnsi="Arial"/>
                <w:b/>
                <w:sz w:val="16"/>
              </w:rPr>
            </w:pPr>
          </w:p>
          <w:p w14:paraId="4779F75A" w14:textId="77777777" w:rsidR="008D4FF1" w:rsidRDefault="008D4FF1" w:rsidP="000D3A0A">
            <w:pPr>
              <w:jc w:val="center"/>
              <w:rPr>
                <w:rFonts w:ascii="Arial" w:hAnsi="Arial"/>
                <w:b/>
                <w:sz w:val="16"/>
              </w:rPr>
            </w:pPr>
            <w:r>
              <w:rPr>
                <w:rFonts w:ascii="Arial" w:hAnsi="Arial"/>
                <w:b/>
                <w:sz w:val="16"/>
              </w:rPr>
              <w:t>Statute</w:t>
            </w:r>
          </w:p>
        </w:tc>
        <w:tc>
          <w:tcPr>
            <w:tcW w:w="2160" w:type="dxa"/>
          </w:tcPr>
          <w:p w14:paraId="2D130399" w14:textId="77777777" w:rsidR="008D4FF1" w:rsidRDefault="008D4FF1" w:rsidP="000D3A0A">
            <w:pPr>
              <w:tabs>
                <w:tab w:val="left" w:pos="720"/>
              </w:tabs>
              <w:jc w:val="center"/>
              <w:rPr>
                <w:rFonts w:ascii="Arial" w:hAnsi="Arial"/>
                <w:b/>
                <w:sz w:val="16"/>
              </w:rPr>
            </w:pPr>
          </w:p>
          <w:p w14:paraId="4D7DDE7F" w14:textId="77777777" w:rsidR="008D4FF1" w:rsidRDefault="00875F28" w:rsidP="000D3A0A">
            <w:pPr>
              <w:jc w:val="center"/>
              <w:rPr>
                <w:rFonts w:ascii="Arial" w:hAnsi="Arial"/>
                <w:b/>
                <w:sz w:val="16"/>
              </w:rPr>
            </w:pPr>
            <w:r>
              <w:rPr>
                <w:rFonts w:ascii="Arial" w:hAnsi="Arial"/>
                <w:b/>
                <w:sz w:val="16"/>
              </w:rPr>
              <w:t>Other</w:t>
            </w:r>
          </w:p>
        </w:tc>
      </w:tr>
      <w:tr w:rsidR="008D4FF1" w14:paraId="68F979BE" w14:textId="77777777" w:rsidTr="004A7269">
        <w:trPr>
          <w:cantSplit/>
        </w:trPr>
        <w:tc>
          <w:tcPr>
            <w:tcW w:w="900" w:type="dxa"/>
          </w:tcPr>
          <w:p w14:paraId="17B85590" w14:textId="77777777" w:rsidR="008D4FF1" w:rsidRDefault="008D4FF1" w:rsidP="000D3A0A">
            <w:pPr>
              <w:rPr>
                <w:rFonts w:ascii="Arial" w:hAnsi="Arial"/>
                <w:sz w:val="16"/>
              </w:rPr>
            </w:pPr>
          </w:p>
          <w:p w14:paraId="15B74411" w14:textId="77777777" w:rsidR="008D4FF1" w:rsidRPr="008D4FF1" w:rsidRDefault="008D4FF1" w:rsidP="008D4FF1">
            <w:pPr>
              <w:jc w:val="center"/>
              <w:rPr>
                <w:rFonts w:ascii="Arial" w:hAnsi="Arial"/>
                <w:b/>
                <w:sz w:val="16"/>
              </w:rPr>
            </w:pPr>
            <w:r w:rsidRPr="008D4FF1">
              <w:rPr>
                <w:rFonts w:ascii="Arial" w:hAnsi="Arial"/>
                <w:b/>
                <w:sz w:val="16"/>
              </w:rPr>
              <w:t>1</w:t>
            </w:r>
          </w:p>
          <w:p w14:paraId="32BAEFFB" w14:textId="77777777" w:rsidR="008D4FF1" w:rsidRDefault="008D4FF1" w:rsidP="000D3A0A">
            <w:pPr>
              <w:rPr>
                <w:rFonts w:ascii="Arial" w:hAnsi="Arial"/>
                <w:sz w:val="16"/>
              </w:rPr>
            </w:pPr>
          </w:p>
        </w:tc>
        <w:tc>
          <w:tcPr>
            <w:tcW w:w="4140" w:type="dxa"/>
          </w:tcPr>
          <w:p w14:paraId="489545AD" w14:textId="77777777" w:rsidR="008D4FF1" w:rsidRDefault="008D4FF1" w:rsidP="000D3A0A">
            <w:pPr>
              <w:rPr>
                <w:rFonts w:ascii="Arial" w:hAnsi="Arial"/>
                <w:sz w:val="16"/>
              </w:rPr>
            </w:pPr>
          </w:p>
          <w:p w14:paraId="219EE15B" w14:textId="77777777" w:rsidR="008D4FF1" w:rsidRDefault="00875F28" w:rsidP="00875F28">
            <w:pPr>
              <w:rPr>
                <w:rFonts w:ascii="Arial" w:hAnsi="Arial"/>
                <w:sz w:val="16"/>
              </w:rPr>
            </w:pPr>
            <w:r>
              <w:rPr>
                <w:rFonts w:ascii="Arial" w:hAnsi="Arial"/>
                <w:sz w:val="16"/>
              </w:rPr>
              <w:t>Establish Patent Pro Bono Program</w:t>
            </w:r>
          </w:p>
        </w:tc>
        <w:tc>
          <w:tcPr>
            <w:tcW w:w="2160" w:type="dxa"/>
          </w:tcPr>
          <w:p w14:paraId="67381BED" w14:textId="77777777" w:rsidR="008D4FF1" w:rsidRPr="009B43BB" w:rsidRDefault="008D4FF1" w:rsidP="000D3A0A">
            <w:pPr>
              <w:jc w:val="center"/>
              <w:rPr>
                <w:rFonts w:ascii="Arial" w:hAnsi="Arial"/>
                <w:sz w:val="16"/>
              </w:rPr>
            </w:pPr>
          </w:p>
          <w:p w14:paraId="6E9431F4" w14:textId="77777777" w:rsidR="008D4FF1" w:rsidRPr="009B43BB" w:rsidRDefault="00097689" w:rsidP="000D3A0A">
            <w:pPr>
              <w:jc w:val="center"/>
              <w:rPr>
                <w:rFonts w:ascii="Arial" w:hAnsi="Arial"/>
                <w:sz w:val="16"/>
              </w:rPr>
            </w:pPr>
            <w:r>
              <w:rPr>
                <w:rFonts w:ascii="Arial" w:hAnsi="Arial"/>
                <w:sz w:val="16"/>
              </w:rPr>
              <w:t xml:space="preserve">Pub. L. No. 112-29 </w:t>
            </w:r>
            <w:r>
              <w:rPr>
                <w:rFonts w:ascii="Arial" w:hAnsi="Arial" w:cs="Arial"/>
                <w:sz w:val="16"/>
              </w:rPr>
              <w:t>§</w:t>
            </w:r>
            <w:r>
              <w:rPr>
                <w:rFonts w:ascii="Arial" w:hAnsi="Arial"/>
                <w:sz w:val="16"/>
              </w:rPr>
              <w:t xml:space="preserve"> 32</w:t>
            </w:r>
            <w:r w:rsidR="004A7269">
              <w:rPr>
                <w:rFonts w:ascii="Arial" w:hAnsi="Arial"/>
                <w:sz w:val="16"/>
              </w:rPr>
              <w:t xml:space="preserve">; 35 U.S.C. </w:t>
            </w:r>
            <w:r w:rsidR="004A7269">
              <w:rPr>
                <w:rFonts w:ascii="Arial" w:hAnsi="Arial" w:cs="Arial"/>
                <w:sz w:val="16"/>
              </w:rPr>
              <w:t>§</w:t>
            </w:r>
            <w:r w:rsidR="004A7269">
              <w:rPr>
                <w:rFonts w:ascii="Arial" w:hAnsi="Arial"/>
                <w:sz w:val="16"/>
              </w:rPr>
              <w:t xml:space="preserve"> 2(b)(11)</w:t>
            </w:r>
          </w:p>
        </w:tc>
        <w:tc>
          <w:tcPr>
            <w:tcW w:w="2160" w:type="dxa"/>
          </w:tcPr>
          <w:p w14:paraId="464D5C32" w14:textId="77777777" w:rsidR="008D4FF1" w:rsidRPr="009B43BB" w:rsidRDefault="008D4FF1" w:rsidP="000D3A0A">
            <w:pPr>
              <w:jc w:val="center"/>
              <w:rPr>
                <w:rFonts w:ascii="Arial" w:hAnsi="Arial"/>
                <w:sz w:val="16"/>
              </w:rPr>
            </w:pPr>
          </w:p>
          <w:p w14:paraId="20D6BC10" w14:textId="66937AB5" w:rsidR="008D4FF1" w:rsidRPr="009B43BB" w:rsidRDefault="004A7269" w:rsidP="009F0F73">
            <w:pPr>
              <w:jc w:val="center"/>
              <w:rPr>
                <w:rFonts w:ascii="Arial" w:hAnsi="Arial"/>
                <w:sz w:val="16"/>
              </w:rPr>
            </w:pPr>
            <w:r>
              <w:rPr>
                <w:rFonts w:ascii="Arial" w:hAnsi="Arial"/>
                <w:sz w:val="16"/>
              </w:rPr>
              <w:t>White House Executive Action dated 20 February 2014</w:t>
            </w:r>
          </w:p>
        </w:tc>
      </w:tr>
    </w:tbl>
    <w:p w14:paraId="45C05640" w14:textId="77777777" w:rsidR="00B765A5" w:rsidRDefault="00B765A5" w:rsidP="00B765A5">
      <w:pPr>
        <w:jc w:val="both"/>
        <w:rPr>
          <w:rFonts w:ascii="Arial" w:hAnsi="Arial"/>
          <w:b/>
          <w:sz w:val="24"/>
        </w:rPr>
      </w:pPr>
    </w:p>
    <w:p w14:paraId="7EB9A21F" w14:textId="77777777" w:rsidR="00B765A5" w:rsidRDefault="00B765A5" w:rsidP="00B765A5">
      <w:pPr>
        <w:numPr>
          <w:ilvl w:val="0"/>
          <w:numId w:val="5"/>
        </w:numPr>
        <w:jc w:val="both"/>
        <w:rPr>
          <w:rFonts w:ascii="Arial" w:hAnsi="Arial"/>
          <w:b/>
          <w:sz w:val="24"/>
        </w:rPr>
      </w:pPr>
      <w:r>
        <w:rPr>
          <w:rFonts w:ascii="Arial" w:hAnsi="Arial"/>
          <w:b/>
          <w:sz w:val="24"/>
        </w:rPr>
        <w:t>Needs and Uses</w:t>
      </w:r>
    </w:p>
    <w:p w14:paraId="328D8D67" w14:textId="77777777" w:rsidR="00B765A5" w:rsidRDefault="00B765A5" w:rsidP="00B765A5">
      <w:pPr>
        <w:jc w:val="both"/>
        <w:rPr>
          <w:rFonts w:ascii="Arial" w:hAnsi="Arial"/>
          <w:sz w:val="24"/>
        </w:rPr>
      </w:pPr>
    </w:p>
    <w:p w14:paraId="7B7671EB" w14:textId="1C999F2A" w:rsidR="00595C5A" w:rsidRDefault="009F0F73" w:rsidP="00B765A5">
      <w:pPr>
        <w:jc w:val="both"/>
        <w:rPr>
          <w:rFonts w:ascii="Arial" w:hAnsi="Arial" w:cs="Arial"/>
          <w:sz w:val="24"/>
          <w:szCs w:val="24"/>
        </w:rPr>
      </w:pPr>
      <w:r w:rsidRPr="009F0F73">
        <w:rPr>
          <w:rFonts w:ascii="Arial" w:hAnsi="Arial"/>
          <w:sz w:val="24"/>
        </w:rPr>
        <w:t xml:space="preserve">This information collection will ascertain the effectiveness of each individual regional </w:t>
      </w:r>
      <w:r w:rsidR="00595C5A">
        <w:rPr>
          <w:rFonts w:ascii="Arial" w:hAnsi="Arial"/>
          <w:sz w:val="24"/>
        </w:rPr>
        <w:t>program</w:t>
      </w:r>
      <w:r w:rsidRPr="009F0F73">
        <w:rPr>
          <w:rFonts w:ascii="Arial" w:hAnsi="Arial"/>
          <w:sz w:val="24"/>
        </w:rPr>
        <w:t xml:space="preserve"> with respect to their matchmaking efforts. The USPTO has worked with the Pro Bono Advisory Council (PBAC) to determine what information is necessary to ascertain the effectiveness of each regional pro bono </w:t>
      </w:r>
      <w:r w:rsidR="00595C5A">
        <w:rPr>
          <w:rFonts w:ascii="Arial" w:hAnsi="Arial"/>
          <w:sz w:val="24"/>
        </w:rPr>
        <w:t>program</w:t>
      </w:r>
      <w:r w:rsidRPr="009F0F73">
        <w:rPr>
          <w:rFonts w:ascii="Arial" w:hAnsi="Arial"/>
          <w:sz w:val="24"/>
        </w:rPr>
        <w:t xml:space="preserve">’s matchmaking operations. PBAC is a well-established group of patent </w:t>
      </w:r>
      <w:r w:rsidR="00F35366">
        <w:rPr>
          <w:rFonts w:ascii="Arial" w:hAnsi="Arial"/>
          <w:sz w:val="24"/>
        </w:rPr>
        <w:t>practitioners</w:t>
      </w:r>
      <w:r w:rsidRPr="009F0F73">
        <w:rPr>
          <w:rFonts w:ascii="Arial" w:hAnsi="Arial"/>
          <w:sz w:val="24"/>
        </w:rPr>
        <w:t xml:space="preserve"> and patent pro bono regional </w:t>
      </w:r>
      <w:r w:rsidR="00595C5A">
        <w:rPr>
          <w:rFonts w:ascii="Arial" w:hAnsi="Arial"/>
          <w:sz w:val="24"/>
        </w:rPr>
        <w:t>program</w:t>
      </w:r>
      <w:r w:rsidRPr="009F0F73">
        <w:rPr>
          <w:rFonts w:ascii="Arial" w:hAnsi="Arial"/>
          <w:sz w:val="24"/>
        </w:rPr>
        <w:t xml:space="preserve"> administrators who have committed to provide support and guidance to patent pro bono programs across the country. </w:t>
      </w:r>
      <w:r w:rsidR="00097689">
        <w:rPr>
          <w:rFonts w:ascii="Arial" w:hAnsi="Arial"/>
          <w:sz w:val="24"/>
        </w:rPr>
        <w:t>The USPTO</w:t>
      </w:r>
      <w:r w:rsidRPr="009F0F73">
        <w:rPr>
          <w:rFonts w:ascii="Arial" w:hAnsi="Arial"/>
          <w:sz w:val="24"/>
        </w:rPr>
        <w:t xml:space="preserve"> is responsible for the collection of this information, which is </w:t>
      </w:r>
      <w:r w:rsidR="00B34FAD">
        <w:rPr>
          <w:rFonts w:ascii="Arial" w:hAnsi="Arial"/>
          <w:sz w:val="24"/>
        </w:rPr>
        <w:t>collected on a quarterly basis.</w:t>
      </w:r>
      <w:r w:rsidR="001C51D2">
        <w:t xml:space="preserve"> </w:t>
      </w:r>
      <w:r w:rsidR="00B34FAD" w:rsidRPr="00B34FAD">
        <w:rPr>
          <w:rFonts w:ascii="Arial" w:hAnsi="Arial" w:cs="Arial"/>
          <w:sz w:val="24"/>
          <w:szCs w:val="24"/>
        </w:rPr>
        <w:t xml:space="preserve">The collection of the data using the form is </w:t>
      </w:r>
      <w:r w:rsidR="00CB5A5A">
        <w:rPr>
          <w:rFonts w:ascii="Arial" w:hAnsi="Arial" w:cs="Arial"/>
          <w:sz w:val="24"/>
          <w:szCs w:val="24"/>
        </w:rPr>
        <w:t xml:space="preserve">prescribed </w:t>
      </w:r>
      <w:r w:rsidR="00B34FAD" w:rsidRPr="00B34FAD">
        <w:rPr>
          <w:rFonts w:ascii="Arial" w:hAnsi="Arial" w:cs="Arial"/>
          <w:sz w:val="24"/>
          <w:szCs w:val="24"/>
        </w:rPr>
        <w:t xml:space="preserve">for programs </w:t>
      </w:r>
      <w:r w:rsidR="00CB5A5A">
        <w:rPr>
          <w:rFonts w:ascii="Arial" w:hAnsi="Arial" w:cs="Arial"/>
          <w:sz w:val="24"/>
          <w:szCs w:val="24"/>
        </w:rPr>
        <w:t>in</w:t>
      </w:r>
      <w:r w:rsidR="00CB5A5A" w:rsidRPr="00B34FAD">
        <w:rPr>
          <w:rFonts w:ascii="Arial" w:hAnsi="Arial" w:cs="Arial"/>
          <w:sz w:val="24"/>
          <w:szCs w:val="24"/>
        </w:rPr>
        <w:t xml:space="preserve"> </w:t>
      </w:r>
      <w:r w:rsidR="00B34FAD" w:rsidRPr="00B34FAD">
        <w:rPr>
          <w:rFonts w:ascii="Arial" w:hAnsi="Arial" w:cs="Arial"/>
          <w:sz w:val="24"/>
          <w:szCs w:val="24"/>
        </w:rPr>
        <w:t xml:space="preserve">which </w:t>
      </w:r>
      <w:r w:rsidR="00CB5A5A">
        <w:rPr>
          <w:rFonts w:ascii="Arial" w:hAnsi="Arial" w:cs="Arial"/>
          <w:sz w:val="24"/>
          <w:szCs w:val="24"/>
        </w:rPr>
        <w:t xml:space="preserve">the </w:t>
      </w:r>
      <w:r w:rsidR="00B34FAD" w:rsidRPr="00B34FAD">
        <w:rPr>
          <w:rFonts w:ascii="Arial" w:hAnsi="Arial" w:cs="Arial"/>
          <w:sz w:val="24"/>
          <w:szCs w:val="24"/>
        </w:rPr>
        <w:t>USPTO and the Regional Pro Bono organization have a</w:t>
      </w:r>
      <w:r w:rsidR="002E6299">
        <w:rPr>
          <w:rFonts w:ascii="Arial" w:hAnsi="Arial" w:cs="Arial"/>
          <w:sz w:val="24"/>
          <w:szCs w:val="24"/>
        </w:rPr>
        <w:t>n MOA.</w:t>
      </w:r>
      <w:r w:rsidR="00B34FAD" w:rsidRPr="00B34FAD">
        <w:rPr>
          <w:rFonts w:ascii="Arial" w:hAnsi="Arial" w:cs="Arial"/>
          <w:sz w:val="24"/>
          <w:szCs w:val="24"/>
        </w:rPr>
        <w:t> </w:t>
      </w:r>
      <w:r w:rsidR="001C51D2">
        <w:rPr>
          <w:rFonts w:ascii="Arial" w:hAnsi="Arial" w:cs="Arial"/>
          <w:sz w:val="24"/>
          <w:szCs w:val="24"/>
        </w:rPr>
        <w:t xml:space="preserve"> </w:t>
      </w:r>
      <w:r w:rsidR="00B34FAD" w:rsidRPr="00B34FAD">
        <w:rPr>
          <w:rFonts w:ascii="Arial" w:hAnsi="Arial" w:cs="Arial"/>
          <w:sz w:val="24"/>
          <w:szCs w:val="24"/>
        </w:rPr>
        <w:t>The collection is voluntary for programs for which USPTO do</w:t>
      </w:r>
      <w:r w:rsidR="00A46A85">
        <w:rPr>
          <w:rFonts w:ascii="Arial" w:hAnsi="Arial" w:cs="Arial"/>
          <w:sz w:val="24"/>
          <w:szCs w:val="24"/>
        </w:rPr>
        <w:t>es</w:t>
      </w:r>
      <w:r w:rsidR="00B34FAD" w:rsidRPr="00B34FAD">
        <w:rPr>
          <w:rFonts w:ascii="Arial" w:hAnsi="Arial" w:cs="Arial"/>
          <w:sz w:val="24"/>
          <w:szCs w:val="24"/>
        </w:rPr>
        <w:t xml:space="preserve"> not have an established </w:t>
      </w:r>
      <w:r w:rsidR="00595C5A">
        <w:rPr>
          <w:rFonts w:ascii="Arial" w:hAnsi="Arial" w:cs="Arial"/>
          <w:sz w:val="24"/>
          <w:szCs w:val="24"/>
        </w:rPr>
        <w:t>MOA</w:t>
      </w:r>
      <w:r w:rsidR="002E6299">
        <w:rPr>
          <w:rFonts w:ascii="Arial" w:hAnsi="Arial" w:cs="Arial"/>
          <w:sz w:val="24"/>
          <w:szCs w:val="24"/>
        </w:rPr>
        <w:t>.</w:t>
      </w:r>
    </w:p>
    <w:p w14:paraId="55536087" w14:textId="77777777" w:rsidR="008D4FF1" w:rsidRDefault="008D4FF1" w:rsidP="00B765A5">
      <w:pPr>
        <w:jc w:val="both"/>
        <w:rPr>
          <w:rFonts w:ascii="Arial" w:hAnsi="Arial"/>
          <w:sz w:val="24"/>
        </w:rPr>
      </w:pPr>
    </w:p>
    <w:p w14:paraId="7AAB0AAF" w14:textId="41C49F02" w:rsidR="00476089" w:rsidRPr="007E0CC1" w:rsidRDefault="00476089" w:rsidP="00476089">
      <w:pPr>
        <w:jc w:val="both"/>
        <w:rPr>
          <w:rFonts w:ascii="Arial" w:hAnsi="Arial"/>
          <w:sz w:val="24"/>
        </w:rPr>
      </w:pPr>
      <w:r w:rsidRPr="007E0CC1">
        <w:rPr>
          <w:rFonts w:ascii="Arial" w:hAnsi="Arial"/>
          <w:sz w:val="24"/>
        </w:rPr>
        <w:t xml:space="preserve">Specifically, the information will allow </w:t>
      </w:r>
      <w:r>
        <w:rPr>
          <w:rFonts w:ascii="Arial" w:hAnsi="Arial"/>
          <w:sz w:val="24"/>
        </w:rPr>
        <w:t xml:space="preserve">the </w:t>
      </w:r>
      <w:r w:rsidRPr="007E0CC1">
        <w:rPr>
          <w:rFonts w:ascii="Arial" w:hAnsi="Arial"/>
          <w:sz w:val="24"/>
        </w:rPr>
        <w:t>PBAC and the USPTO to ascertain the origination state of applicants, where applicants are being referred from, and what portion of applicants are completing and returning financial screening applications.</w:t>
      </w:r>
      <w:r w:rsidR="001C51D2">
        <w:rPr>
          <w:rFonts w:ascii="Arial" w:hAnsi="Arial"/>
          <w:sz w:val="24"/>
        </w:rPr>
        <w:t xml:space="preserve"> </w:t>
      </w:r>
      <w:r w:rsidRPr="007E0CC1">
        <w:rPr>
          <w:rFonts w:ascii="Arial" w:hAnsi="Arial"/>
          <w:sz w:val="24"/>
        </w:rPr>
        <w:t>Additionally</w:t>
      </w:r>
      <w:r>
        <w:rPr>
          <w:rFonts w:ascii="Arial" w:hAnsi="Arial"/>
          <w:sz w:val="24"/>
        </w:rPr>
        <w:t>,</w:t>
      </w:r>
      <w:r w:rsidRPr="007E0CC1">
        <w:rPr>
          <w:rFonts w:ascii="Arial" w:hAnsi="Arial"/>
          <w:sz w:val="24"/>
        </w:rPr>
        <w:t xml:space="preserve"> the information will help track the number of invention screenings, disqualified applicants, corporations/law firms agreeing to accept cases, backlog of unmatched applicants, hours donated by lawyer referral service panel attorneys, and provisional and non-provisional applications filed, all on a quarterly basis.</w:t>
      </w:r>
      <w:r w:rsidR="001C51D2">
        <w:rPr>
          <w:rFonts w:ascii="Arial" w:hAnsi="Arial"/>
          <w:sz w:val="24"/>
        </w:rPr>
        <w:t xml:space="preserve"> </w:t>
      </w:r>
      <w:r w:rsidR="00E0699E">
        <w:rPr>
          <w:rFonts w:ascii="Arial" w:hAnsi="Arial"/>
          <w:sz w:val="24"/>
        </w:rPr>
        <w:t>Further,</w:t>
      </w:r>
      <w:r w:rsidR="00E0699E" w:rsidRPr="007E0CC1">
        <w:rPr>
          <w:rFonts w:ascii="Arial" w:hAnsi="Arial"/>
          <w:sz w:val="24"/>
        </w:rPr>
        <w:t xml:space="preserve"> </w:t>
      </w:r>
      <w:r w:rsidRPr="007E0CC1">
        <w:rPr>
          <w:rFonts w:ascii="Arial" w:hAnsi="Arial"/>
          <w:sz w:val="24"/>
        </w:rPr>
        <w:t>information</w:t>
      </w:r>
      <w:r w:rsidR="00E0699E">
        <w:rPr>
          <w:rFonts w:ascii="Arial" w:hAnsi="Arial"/>
          <w:sz w:val="24"/>
        </w:rPr>
        <w:t xml:space="preserve"> regarding depth of donor support</w:t>
      </w:r>
      <w:r w:rsidRPr="007E0CC1">
        <w:rPr>
          <w:rFonts w:ascii="Arial" w:hAnsi="Arial"/>
          <w:sz w:val="24"/>
        </w:rPr>
        <w:t xml:space="preserve"> will allow </w:t>
      </w:r>
      <w:r w:rsidR="00E0699E">
        <w:rPr>
          <w:rFonts w:ascii="Arial" w:hAnsi="Arial"/>
          <w:sz w:val="24"/>
        </w:rPr>
        <w:t xml:space="preserve">the </w:t>
      </w:r>
      <w:r w:rsidRPr="007E0CC1">
        <w:rPr>
          <w:rFonts w:ascii="Arial" w:hAnsi="Arial"/>
          <w:sz w:val="24"/>
        </w:rPr>
        <w:t xml:space="preserve">PBAC and the USPTO to understand </w:t>
      </w:r>
      <w:r w:rsidR="00E0699E">
        <w:rPr>
          <w:rFonts w:ascii="Arial" w:hAnsi="Arial"/>
          <w:sz w:val="24"/>
        </w:rPr>
        <w:t xml:space="preserve">each </w:t>
      </w:r>
      <w:r w:rsidRPr="007E0CC1">
        <w:rPr>
          <w:rFonts w:ascii="Arial" w:hAnsi="Arial"/>
          <w:sz w:val="24"/>
        </w:rPr>
        <w:t>program</w:t>
      </w:r>
      <w:r w:rsidR="00E0699E">
        <w:rPr>
          <w:rFonts w:ascii="Arial" w:hAnsi="Arial"/>
          <w:sz w:val="24"/>
        </w:rPr>
        <w:t>’s</w:t>
      </w:r>
      <w:r w:rsidRPr="007E0CC1">
        <w:rPr>
          <w:rFonts w:ascii="Arial" w:hAnsi="Arial"/>
          <w:sz w:val="24"/>
        </w:rPr>
        <w:t xml:space="preserve"> </w:t>
      </w:r>
      <w:r w:rsidR="00E0699E">
        <w:rPr>
          <w:rFonts w:ascii="Arial" w:hAnsi="Arial"/>
          <w:sz w:val="24"/>
        </w:rPr>
        <w:t>progress toward financial self-sustainability</w:t>
      </w:r>
      <w:r w:rsidRPr="007E0CC1">
        <w:rPr>
          <w:rFonts w:ascii="Arial" w:hAnsi="Arial"/>
          <w:sz w:val="24"/>
        </w:rPr>
        <w:t>.</w:t>
      </w:r>
    </w:p>
    <w:p w14:paraId="0EC5CE25" w14:textId="77777777" w:rsidR="00476089" w:rsidRDefault="00476089" w:rsidP="00476089">
      <w:pPr>
        <w:jc w:val="both"/>
        <w:rPr>
          <w:rFonts w:ascii="Arial" w:hAnsi="Arial"/>
          <w:sz w:val="24"/>
        </w:rPr>
      </w:pPr>
    </w:p>
    <w:p w14:paraId="55820A93" w14:textId="3A6E9EC2" w:rsidR="00476089" w:rsidRDefault="00476089" w:rsidP="00476089">
      <w:pPr>
        <w:jc w:val="both"/>
        <w:rPr>
          <w:rFonts w:ascii="Arial" w:hAnsi="Arial"/>
          <w:sz w:val="24"/>
        </w:rPr>
      </w:pPr>
      <w:r w:rsidRPr="009F0F73">
        <w:rPr>
          <w:rFonts w:ascii="Arial" w:hAnsi="Arial"/>
          <w:sz w:val="24"/>
        </w:rPr>
        <w:t xml:space="preserve">The information, at its highest level, will allow </w:t>
      </w:r>
      <w:r>
        <w:rPr>
          <w:rFonts w:ascii="Arial" w:hAnsi="Arial"/>
          <w:sz w:val="24"/>
        </w:rPr>
        <w:t xml:space="preserve">the </w:t>
      </w:r>
      <w:r w:rsidRPr="009F0F73">
        <w:rPr>
          <w:rFonts w:ascii="Arial" w:hAnsi="Arial"/>
          <w:sz w:val="24"/>
        </w:rPr>
        <w:t xml:space="preserve">PBAC and the USPTO to ascertain whether the regional </w:t>
      </w:r>
      <w:r w:rsidR="00595C5A">
        <w:rPr>
          <w:rFonts w:ascii="Arial" w:hAnsi="Arial"/>
          <w:sz w:val="24"/>
        </w:rPr>
        <w:t>program</w:t>
      </w:r>
      <w:r w:rsidR="002E6299">
        <w:rPr>
          <w:rFonts w:ascii="Arial" w:hAnsi="Arial"/>
          <w:sz w:val="24"/>
        </w:rPr>
        <w:t>s</w:t>
      </w:r>
      <w:r w:rsidR="008B77B5" w:rsidRPr="009F0F73">
        <w:rPr>
          <w:rFonts w:ascii="Arial" w:hAnsi="Arial"/>
          <w:sz w:val="24"/>
        </w:rPr>
        <w:t xml:space="preserve"> </w:t>
      </w:r>
      <w:r w:rsidRPr="009F0F73">
        <w:rPr>
          <w:rFonts w:ascii="Arial" w:hAnsi="Arial"/>
          <w:sz w:val="24"/>
        </w:rPr>
        <w:t xml:space="preserve">are matching qualified low income inventors with volunteer patent attorneys. It will also help </w:t>
      </w:r>
      <w:r>
        <w:rPr>
          <w:rFonts w:ascii="Arial" w:hAnsi="Arial"/>
          <w:sz w:val="24"/>
        </w:rPr>
        <w:t xml:space="preserve">successfully </w:t>
      </w:r>
      <w:r w:rsidRPr="009F0F73">
        <w:rPr>
          <w:rFonts w:ascii="Arial" w:hAnsi="Arial"/>
          <w:sz w:val="24"/>
        </w:rPr>
        <w:t>establish the total economic benefit derived by low-income inventors in the form of donated legal services.</w:t>
      </w:r>
      <w:r w:rsidR="001C51D2">
        <w:rPr>
          <w:rFonts w:ascii="Arial" w:hAnsi="Arial"/>
          <w:sz w:val="24"/>
        </w:rPr>
        <w:t xml:space="preserve"> </w:t>
      </w:r>
      <w:r w:rsidRPr="00B82C23">
        <w:rPr>
          <w:rFonts w:ascii="Arial" w:hAnsi="Arial"/>
          <w:sz w:val="24"/>
        </w:rPr>
        <w:t xml:space="preserve">This information can then be used to promote the regional </w:t>
      </w:r>
      <w:r w:rsidR="00595C5A">
        <w:rPr>
          <w:rFonts w:ascii="Arial" w:hAnsi="Arial"/>
          <w:sz w:val="24"/>
        </w:rPr>
        <w:t>program</w:t>
      </w:r>
      <w:r w:rsidR="00D67D23">
        <w:rPr>
          <w:rFonts w:ascii="Arial" w:hAnsi="Arial"/>
          <w:sz w:val="24"/>
        </w:rPr>
        <w:t>s</w:t>
      </w:r>
      <w:r w:rsidRPr="00B82C23">
        <w:rPr>
          <w:rFonts w:ascii="Arial" w:hAnsi="Arial"/>
          <w:sz w:val="24"/>
        </w:rPr>
        <w:t xml:space="preserve"> to under-resourced inventors and patent </w:t>
      </w:r>
      <w:r>
        <w:rPr>
          <w:rFonts w:ascii="Arial" w:hAnsi="Arial"/>
          <w:sz w:val="24"/>
        </w:rPr>
        <w:t>attorneys</w:t>
      </w:r>
      <w:r w:rsidRPr="00B82C23">
        <w:rPr>
          <w:rFonts w:ascii="Arial" w:hAnsi="Arial"/>
          <w:sz w:val="24"/>
        </w:rPr>
        <w:t>.</w:t>
      </w:r>
    </w:p>
    <w:p w14:paraId="78DC9EE3" w14:textId="77777777" w:rsidR="00B765A5" w:rsidRDefault="00B765A5" w:rsidP="00B765A5">
      <w:pPr>
        <w:pStyle w:val="BodyText2"/>
        <w:tabs>
          <w:tab w:val="left" w:pos="720"/>
        </w:tabs>
      </w:pPr>
    </w:p>
    <w:p w14:paraId="42C86379" w14:textId="1D5ABBF1" w:rsidR="00476089" w:rsidRDefault="00476089" w:rsidP="00476089">
      <w:pPr>
        <w:tabs>
          <w:tab w:val="left" w:pos="720"/>
        </w:tabs>
        <w:jc w:val="both"/>
        <w:rPr>
          <w:rFonts w:ascii="Arial" w:hAnsi="Arial"/>
          <w:sz w:val="24"/>
        </w:rPr>
      </w:pPr>
      <w:r>
        <w:rPr>
          <w:rFonts w:ascii="Arial" w:hAnsi="Arial"/>
          <w:sz w:val="24"/>
        </w:rPr>
        <w:t xml:space="preserve">Table 2 outlines how the items in this collection of information are used by the regional </w:t>
      </w:r>
      <w:r w:rsidR="00595C5A">
        <w:rPr>
          <w:rFonts w:ascii="Arial" w:hAnsi="Arial"/>
          <w:sz w:val="24"/>
        </w:rPr>
        <w:t>program</w:t>
      </w:r>
      <w:r w:rsidR="00D67D23">
        <w:rPr>
          <w:rFonts w:ascii="Arial" w:hAnsi="Arial"/>
          <w:sz w:val="24"/>
        </w:rPr>
        <w:t>s</w:t>
      </w:r>
      <w:r>
        <w:rPr>
          <w:rFonts w:ascii="Arial" w:hAnsi="Arial"/>
          <w:sz w:val="24"/>
        </w:rPr>
        <w:t xml:space="preserve">, the PBAC, and the USPTO: </w:t>
      </w:r>
    </w:p>
    <w:p w14:paraId="1C9D0049" w14:textId="77777777" w:rsidR="00B765A5" w:rsidRPr="0064274E" w:rsidRDefault="00B765A5" w:rsidP="00B765A5">
      <w:pPr>
        <w:tabs>
          <w:tab w:val="left" w:pos="720"/>
        </w:tabs>
        <w:jc w:val="both"/>
        <w:rPr>
          <w:rFonts w:ascii="Arial" w:hAnsi="Arial"/>
          <w:sz w:val="24"/>
        </w:rPr>
      </w:pPr>
    </w:p>
    <w:p w14:paraId="4E20B681" w14:textId="3CE8BDDB" w:rsidR="00B765A5" w:rsidRPr="00B10E87" w:rsidRDefault="00B765A5" w:rsidP="00B765A5">
      <w:pPr>
        <w:pStyle w:val="Heading3"/>
        <w:keepNext w:val="0"/>
        <w:widowControl w:val="0"/>
        <w:rPr>
          <w:sz w:val="22"/>
          <w:szCs w:val="22"/>
        </w:rPr>
      </w:pPr>
      <w:r w:rsidRPr="00B10E87">
        <w:rPr>
          <w:sz w:val="22"/>
          <w:szCs w:val="22"/>
        </w:rPr>
        <w:t>Table 2:</w:t>
      </w:r>
      <w:r w:rsidR="001C51D2">
        <w:rPr>
          <w:sz w:val="22"/>
          <w:szCs w:val="22"/>
        </w:rPr>
        <w:t xml:space="preserve"> </w:t>
      </w:r>
      <w:r w:rsidRPr="00B10E87">
        <w:rPr>
          <w:sz w:val="22"/>
          <w:szCs w:val="22"/>
        </w:rPr>
        <w:t xml:space="preserve">Needs and Uses for </w:t>
      </w:r>
      <w:r w:rsidR="009F0F73" w:rsidRPr="00B10E87">
        <w:rPr>
          <w:sz w:val="22"/>
          <w:szCs w:val="22"/>
        </w:rPr>
        <w:t>Pro Bono Survey</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520"/>
        <w:gridCol w:w="1890"/>
        <w:gridCol w:w="3960"/>
      </w:tblGrid>
      <w:tr w:rsidR="008D4FF1" w14:paraId="0DD38C28" w14:textId="77777777" w:rsidTr="001B4C9E">
        <w:trPr>
          <w:cantSplit/>
          <w:trHeight w:val="278"/>
          <w:tblHeader/>
        </w:trPr>
        <w:tc>
          <w:tcPr>
            <w:tcW w:w="990" w:type="dxa"/>
          </w:tcPr>
          <w:p w14:paraId="58063F5D" w14:textId="77777777" w:rsidR="008D4FF1" w:rsidRDefault="008D4FF1" w:rsidP="000D3A0A">
            <w:pPr>
              <w:tabs>
                <w:tab w:val="left" w:pos="720"/>
              </w:tabs>
              <w:jc w:val="center"/>
              <w:rPr>
                <w:rFonts w:ascii="Arial" w:hAnsi="Arial"/>
                <w:b/>
                <w:sz w:val="16"/>
              </w:rPr>
            </w:pPr>
          </w:p>
          <w:p w14:paraId="02B9BE16" w14:textId="77777777" w:rsidR="008D4FF1" w:rsidRDefault="008D4FF1" w:rsidP="000D3A0A">
            <w:pPr>
              <w:tabs>
                <w:tab w:val="left" w:pos="720"/>
              </w:tabs>
              <w:jc w:val="center"/>
              <w:rPr>
                <w:rFonts w:ascii="Arial" w:hAnsi="Arial"/>
                <w:b/>
                <w:sz w:val="16"/>
              </w:rPr>
            </w:pPr>
            <w:r>
              <w:rPr>
                <w:rFonts w:ascii="Arial" w:hAnsi="Arial"/>
                <w:b/>
                <w:sz w:val="16"/>
              </w:rPr>
              <w:t>IC Number</w:t>
            </w:r>
          </w:p>
          <w:p w14:paraId="2ABE09AA" w14:textId="77777777" w:rsidR="008D4FF1" w:rsidRDefault="008D4FF1" w:rsidP="000D3A0A">
            <w:pPr>
              <w:tabs>
                <w:tab w:val="left" w:pos="720"/>
              </w:tabs>
              <w:jc w:val="center"/>
              <w:rPr>
                <w:rFonts w:ascii="Arial" w:hAnsi="Arial"/>
                <w:b/>
                <w:sz w:val="16"/>
              </w:rPr>
            </w:pPr>
          </w:p>
        </w:tc>
        <w:tc>
          <w:tcPr>
            <w:tcW w:w="2520" w:type="dxa"/>
            <w:vAlign w:val="center"/>
          </w:tcPr>
          <w:p w14:paraId="57859706" w14:textId="77777777" w:rsidR="008D4FF1" w:rsidRDefault="008D4FF1" w:rsidP="000D3A0A">
            <w:pPr>
              <w:tabs>
                <w:tab w:val="left" w:pos="720"/>
              </w:tabs>
              <w:jc w:val="center"/>
              <w:rPr>
                <w:rFonts w:ascii="Arial" w:hAnsi="Arial"/>
                <w:b/>
                <w:sz w:val="16"/>
              </w:rPr>
            </w:pPr>
            <w:r>
              <w:rPr>
                <w:rFonts w:ascii="Arial" w:hAnsi="Arial"/>
                <w:b/>
                <w:sz w:val="16"/>
              </w:rPr>
              <w:t>IC Instrument</w:t>
            </w:r>
          </w:p>
          <w:p w14:paraId="3AFFB0F9" w14:textId="77777777" w:rsidR="008D4FF1" w:rsidRDefault="008D4FF1" w:rsidP="000D3A0A">
            <w:pPr>
              <w:tabs>
                <w:tab w:val="left" w:pos="720"/>
              </w:tabs>
              <w:jc w:val="center"/>
              <w:rPr>
                <w:rFonts w:ascii="Arial" w:hAnsi="Arial"/>
                <w:b/>
                <w:sz w:val="16"/>
              </w:rPr>
            </w:pPr>
          </w:p>
        </w:tc>
        <w:tc>
          <w:tcPr>
            <w:tcW w:w="1890" w:type="dxa"/>
            <w:vAlign w:val="center"/>
          </w:tcPr>
          <w:p w14:paraId="7E351A98" w14:textId="77777777" w:rsidR="008D4FF1" w:rsidRDefault="008D4FF1" w:rsidP="008D4FF1">
            <w:pPr>
              <w:tabs>
                <w:tab w:val="left" w:pos="720"/>
              </w:tabs>
              <w:jc w:val="center"/>
              <w:rPr>
                <w:rFonts w:ascii="Arial" w:hAnsi="Arial"/>
                <w:b/>
                <w:sz w:val="16"/>
              </w:rPr>
            </w:pPr>
            <w:r>
              <w:rPr>
                <w:rFonts w:ascii="Arial" w:hAnsi="Arial"/>
                <w:b/>
                <w:sz w:val="16"/>
              </w:rPr>
              <w:t>Form #</w:t>
            </w:r>
          </w:p>
          <w:p w14:paraId="564A26C3" w14:textId="77777777" w:rsidR="008D4FF1" w:rsidRDefault="008D4FF1" w:rsidP="008D4FF1">
            <w:pPr>
              <w:tabs>
                <w:tab w:val="left" w:pos="720"/>
              </w:tabs>
              <w:jc w:val="center"/>
              <w:rPr>
                <w:rFonts w:ascii="Arial" w:hAnsi="Arial"/>
                <w:b/>
                <w:sz w:val="16"/>
              </w:rPr>
            </w:pPr>
          </w:p>
        </w:tc>
        <w:tc>
          <w:tcPr>
            <w:tcW w:w="3960" w:type="dxa"/>
            <w:vAlign w:val="center"/>
          </w:tcPr>
          <w:p w14:paraId="75BDF641" w14:textId="77777777" w:rsidR="008D4FF1" w:rsidRDefault="008D4FF1" w:rsidP="000D3A0A">
            <w:pPr>
              <w:tabs>
                <w:tab w:val="left" w:pos="720"/>
              </w:tabs>
              <w:jc w:val="center"/>
              <w:rPr>
                <w:rFonts w:ascii="Arial" w:hAnsi="Arial"/>
                <w:b/>
                <w:sz w:val="16"/>
              </w:rPr>
            </w:pPr>
            <w:r>
              <w:rPr>
                <w:rFonts w:ascii="Arial" w:hAnsi="Arial"/>
                <w:b/>
                <w:sz w:val="16"/>
              </w:rPr>
              <w:t>Needs and Uses</w:t>
            </w:r>
          </w:p>
          <w:p w14:paraId="139D1FA4" w14:textId="77777777" w:rsidR="008D4FF1" w:rsidRDefault="008D4FF1" w:rsidP="000D3A0A">
            <w:pPr>
              <w:tabs>
                <w:tab w:val="left" w:pos="720"/>
              </w:tabs>
              <w:jc w:val="center"/>
              <w:rPr>
                <w:rFonts w:ascii="Arial" w:hAnsi="Arial"/>
                <w:b/>
                <w:sz w:val="16"/>
              </w:rPr>
            </w:pPr>
          </w:p>
        </w:tc>
      </w:tr>
      <w:tr w:rsidR="00476089" w14:paraId="33A99600" w14:textId="77777777" w:rsidTr="00A20ECA">
        <w:trPr>
          <w:cantSplit/>
        </w:trPr>
        <w:tc>
          <w:tcPr>
            <w:tcW w:w="990" w:type="dxa"/>
          </w:tcPr>
          <w:p w14:paraId="07B48924" w14:textId="77777777" w:rsidR="00476089" w:rsidRDefault="00476089" w:rsidP="000D3A0A">
            <w:pPr>
              <w:tabs>
                <w:tab w:val="left" w:pos="720"/>
              </w:tabs>
              <w:rPr>
                <w:rFonts w:ascii="Arial" w:hAnsi="Arial"/>
                <w:sz w:val="16"/>
              </w:rPr>
            </w:pPr>
          </w:p>
          <w:p w14:paraId="33FDDCCE" w14:textId="77777777" w:rsidR="00476089" w:rsidRPr="008D4FF1" w:rsidRDefault="00476089" w:rsidP="008D4FF1">
            <w:pPr>
              <w:tabs>
                <w:tab w:val="left" w:pos="720"/>
              </w:tabs>
              <w:jc w:val="center"/>
              <w:rPr>
                <w:rFonts w:ascii="Arial" w:hAnsi="Arial"/>
                <w:b/>
                <w:sz w:val="16"/>
              </w:rPr>
            </w:pPr>
            <w:r w:rsidRPr="008D4FF1">
              <w:rPr>
                <w:rFonts w:ascii="Arial" w:hAnsi="Arial"/>
                <w:b/>
                <w:sz w:val="16"/>
              </w:rPr>
              <w:t>1</w:t>
            </w:r>
          </w:p>
        </w:tc>
        <w:tc>
          <w:tcPr>
            <w:tcW w:w="2520" w:type="dxa"/>
          </w:tcPr>
          <w:p w14:paraId="2D0CA38D" w14:textId="77777777" w:rsidR="00476089" w:rsidRDefault="00476089" w:rsidP="008D4FF1">
            <w:pPr>
              <w:tabs>
                <w:tab w:val="left" w:pos="720"/>
              </w:tabs>
              <w:rPr>
                <w:rFonts w:ascii="Arial" w:hAnsi="Arial"/>
                <w:sz w:val="16"/>
              </w:rPr>
            </w:pPr>
          </w:p>
          <w:p w14:paraId="58EB3475" w14:textId="77777777" w:rsidR="00476089" w:rsidRDefault="00476089" w:rsidP="008D4FF1">
            <w:pPr>
              <w:tabs>
                <w:tab w:val="left" w:pos="720"/>
              </w:tabs>
              <w:rPr>
                <w:rFonts w:ascii="Arial" w:hAnsi="Arial"/>
                <w:sz w:val="16"/>
              </w:rPr>
            </w:pPr>
            <w:r>
              <w:rPr>
                <w:rFonts w:ascii="Arial" w:hAnsi="Arial"/>
                <w:sz w:val="16"/>
              </w:rPr>
              <w:t>Regional Program Administrator Survey</w:t>
            </w:r>
          </w:p>
        </w:tc>
        <w:tc>
          <w:tcPr>
            <w:tcW w:w="1890" w:type="dxa"/>
          </w:tcPr>
          <w:p w14:paraId="52485D58" w14:textId="77777777" w:rsidR="00476089" w:rsidRDefault="00476089" w:rsidP="008D4FF1">
            <w:pPr>
              <w:tabs>
                <w:tab w:val="left" w:pos="720"/>
              </w:tabs>
              <w:rPr>
                <w:rFonts w:ascii="Arial" w:hAnsi="Arial"/>
                <w:sz w:val="16"/>
              </w:rPr>
            </w:pPr>
          </w:p>
          <w:p w14:paraId="3D31E7F0" w14:textId="77777777" w:rsidR="00476089" w:rsidRDefault="00476089" w:rsidP="00476089">
            <w:pPr>
              <w:tabs>
                <w:tab w:val="left" w:pos="720"/>
              </w:tabs>
              <w:rPr>
                <w:rFonts w:ascii="Arial" w:hAnsi="Arial"/>
                <w:sz w:val="16"/>
              </w:rPr>
            </w:pPr>
            <w:r>
              <w:rPr>
                <w:rFonts w:ascii="Arial" w:hAnsi="Arial"/>
                <w:sz w:val="16"/>
              </w:rPr>
              <w:t>Electronic Worksheet, No Form Number</w:t>
            </w:r>
          </w:p>
        </w:tc>
        <w:tc>
          <w:tcPr>
            <w:tcW w:w="3960" w:type="dxa"/>
          </w:tcPr>
          <w:p w14:paraId="3E9BBC67" w14:textId="68977E8A" w:rsidR="00476089" w:rsidRPr="002C4BFA" w:rsidRDefault="00476089" w:rsidP="00476089">
            <w:pPr>
              <w:pStyle w:val="ListParagraph"/>
              <w:numPr>
                <w:ilvl w:val="0"/>
                <w:numId w:val="9"/>
              </w:numPr>
              <w:spacing w:before="60"/>
              <w:ind w:left="230" w:hanging="187"/>
              <w:rPr>
                <w:rFonts w:ascii="Arial" w:hAnsi="Arial"/>
                <w:sz w:val="16"/>
              </w:rPr>
            </w:pPr>
            <w:r>
              <w:rPr>
                <w:rFonts w:ascii="Arial" w:hAnsi="Arial"/>
                <w:sz w:val="16"/>
              </w:rPr>
              <w:t xml:space="preserve">Used by regional </w:t>
            </w:r>
            <w:r w:rsidR="00595C5A">
              <w:rPr>
                <w:rFonts w:ascii="Arial" w:hAnsi="Arial"/>
                <w:sz w:val="16"/>
              </w:rPr>
              <w:t>program</w:t>
            </w:r>
            <w:r>
              <w:rPr>
                <w:rFonts w:ascii="Arial" w:hAnsi="Arial"/>
                <w:sz w:val="16"/>
              </w:rPr>
              <w:t xml:space="preserve"> administrators to provide information to the USPTO regarding the current status and effectiveness of their region’s pro bono </w:t>
            </w:r>
            <w:r w:rsidR="00595C5A">
              <w:rPr>
                <w:rFonts w:ascii="Arial" w:hAnsi="Arial"/>
                <w:sz w:val="16"/>
              </w:rPr>
              <w:t>program</w:t>
            </w:r>
            <w:r>
              <w:rPr>
                <w:rFonts w:ascii="Arial" w:hAnsi="Arial"/>
                <w:sz w:val="16"/>
              </w:rPr>
              <w:t>.</w:t>
            </w:r>
          </w:p>
          <w:p w14:paraId="77978991" w14:textId="20DCB487" w:rsidR="00476089" w:rsidRPr="002C4BFA" w:rsidRDefault="00476089" w:rsidP="00476089">
            <w:pPr>
              <w:pStyle w:val="ListParagraph"/>
              <w:numPr>
                <w:ilvl w:val="0"/>
                <w:numId w:val="9"/>
              </w:numPr>
              <w:ind w:left="229" w:hanging="180"/>
              <w:rPr>
                <w:rFonts w:ascii="Arial" w:hAnsi="Arial"/>
                <w:sz w:val="16"/>
              </w:rPr>
            </w:pPr>
            <w:r>
              <w:rPr>
                <w:rFonts w:ascii="Arial" w:hAnsi="Arial"/>
                <w:sz w:val="16"/>
              </w:rPr>
              <w:t xml:space="preserve">Used by the USPTO and the PBAC to evaluate the effectiveness of each regional pro bono </w:t>
            </w:r>
            <w:r w:rsidR="00595C5A">
              <w:rPr>
                <w:rFonts w:ascii="Arial" w:hAnsi="Arial"/>
                <w:sz w:val="16"/>
              </w:rPr>
              <w:t>program</w:t>
            </w:r>
            <w:r w:rsidR="001C51D2">
              <w:rPr>
                <w:rFonts w:ascii="Arial" w:hAnsi="Arial"/>
                <w:sz w:val="16"/>
              </w:rPr>
              <w:t xml:space="preserve"> </w:t>
            </w:r>
            <w:r>
              <w:rPr>
                <w:rFonts w:ascii="Arial" w:hAnsi="Arial"/>
                <w:sz w:val="16"/>
              </w:rPr>
              <w:t xml:space="preserve">to help inform determinations regarding future support for or actions involving those </w:t>
            </w:r>
            <w:r w:rsidR="00595C5A">
              <w:rPr>
                <w:rFonts w:ascii="Arial" w:hAnsi="Arial"/>
                <w:sz w:val="16"/>
              </w:rPr>
              <w:t>program</w:t>
            </w:r>
            <w:r w:rsidR="00D67D23">
              <w:rPr>
                <w:rFonts w:ascii="Arial" w:hAnsi="Arial"/>
                <w:sz w:val="16"/>
              </w:rPr>
              <w:t>s</w:t>
            </w:r>
            <w:r>
              <w:rPr>
                <w:rFonts w:ascii="Arial" w:hAnsi="Arial"/>
                <w:sz w:val="16"/>
              </w:rPr>
              <w:t xml:space="preserve">. </w:t>
            </w:r>
          </w:p>
          <w:p w14:paraId="0B856AD4" w14:textId="49835433" w:rsidR="00476089" w:rsidRPr="00F0632D" w:rsidRDefault="00476089" w:rsidP="00476089">
            <w:pPr>
              <w:pStyle w:val="ListParagraph"/>
              <w:numPr>
                <w:ilvl w:val="0"/>
                <w:numId w:val="9"/>
              </w:numPr>
              <w:ind w:left="229" w:hanging="180"/>
              <w:rPr>
                <w:rFonts w:ascii="Arial" w:hAnsi="Arial"/>
                <w:sz w:val="16"/>
              </w:rPr>
            </w:pPr>
            <w:r w:rsidRPr="00F0632D">
              <w:rPr>
                <w:rFonts w:ascii="Arial" w:hAnsi="Arial"/>
                <w:sz w:val="16"/>
              </w:rPr>
              <w:t xml:space="preserve">Used by the USPTO to publish summary metrics about </w:t>
            </w:r>
            <w:r>
              <w:rPr>
                <w:rFonts w:ascii="Arial" w:hAnsi="Arial"/>
                <w:sz w:val="16"/>
              </w:rPr>
              <w:t xml:space="preserve">all of </w:t>
            </w:r>
            <w:r w:rsidRPr="00F0632D">
              <w:rPr>
                <w:rFonts w:ascii="Arial" w:hAnsi="Arial"/>
                <w:sz w:val="16"/>
              </w:rPr>
              <w:t xml:space="preserve">the pro bono </w:t>
            </w:r>
            <w:r>
              <w:rPr>
                <w:rFonts w:ascii="Arial" w:hAnsi="Arial"/>
                <w:sz w:val="16"/>
              </w:rPr>
              <w:t xml:space="preserve">regional </w:t>
            </w:r>
            <w:r w:rsidR="00595C5A">
              <w:rPr>
                <w:rFonts w:ascii="Arial" w:hAnsi="Arial"/>
                <w:sz w:val="16"/>
              </w:rPr>
              <w:t>programs</w:t>
            </w:r>
            <w:r w:rsidRPr="00F0632D">
              <w:rPr>
                <w:rFonts w:ascii="Arial" w:hAnsi="Arial"/>
                <w:sz w:val="16"/>
              </w:rPr>
              <w:t xml:space="preserve"> and to publish metrics regarding the performance of</w:t>
            </w:r>
            <w:r w:rsidR="001C51D2">
              <w:rPr>
                <w:rFonts w:ascii="Arial" w:hAnsi="Arial"/>
                <w:sz w:val="16"/>
              </w:rPr>
              <w:t xml:space="preserve"> </w:t>
            </w:r>
            <w:r w:rsidRPr="00F0632D">
              <w:rPr>
                <w:rFonts w:ascii="Arial" w:hAnsi="Arial"/>
                <w:sz w:val="16"/>
              </w:rPr>
              <w:t xml:space="preserve">individual </w:t>
            </w:r>
            <w:r>
              <w:rPr>
                <w:rFonts w:ascii="Arial" w:hAnsi="Arial"/>
                <w:sz w:val="16"/>
              </w:rPr>
              <w:t xml:space="preserve">regional </w:t>
            </w:r>
            <w:r w:rsidR="00595C5A">
              <w:rPr>
                <w:rFonts w:ascii="Arial" w:hAnsi="Arial"/>
                <w:sz w:val="16"/>
              </w:rPr>
              <w:t>program</w:t>
            </w:r>
            <w:r w:rsidR="00D67D23">
              <w:rPr>
                <w:rFonts w:ascii="Arial" w:hAnsi="Arial"/>
                <w:sz w:val="16"/>
              </w:rPr>
              <w:t>s</w:t>
            </w:r>
            <w:r w:rsidRPr="00F0632D">
              <w:rPr>
                <w:rFonts w:ascii="Arial" w:hAnsi="Arial"/>
                <w:sz w:val="16"/>
              </w:rPr>
              <w:t xml:space="preserve"> in order to promote the regional </w:t>
            </w:r>
            <w:r w:rsidR="00595C5A">
              <w:rPr>
                <w:rFonts w:ascii="Arial" w:hAnsi="Arial"/>
                <w:sz w:val="16"/>
              </w:rPr>
              <w:t>program</w:t>
            </w:r>
            <w:r w:rsidR="00D67D23">
              <w:rPr>
                <w:rFonts w:ascii="Arial" w:hAnsi="Arial"/>
                <w:sz w:val="16"/>
              </w:rPr>
              <w:t>s</w:t>
            </w:r>
            <w:r w:rsidRPr="00F0632D">
              <w:rPr>
                <w:rFonts w:ascii="Arial" w:hAnsi="Arial"/>
                <w:sz w:val="16"/>
              </w:rPr>
              <w:t xml:space="preserve"> individually and collectively. </w:t>
            </w:r>
          </w:p>
          <w:p w14:paraId="185FF0E7" w14:textId="77777777" w:rsidR="00476089" w:rsidRDefault="00476089" w:rsidP="009F0F73">
            <w:pPr>
              <w:ind w:left="252"/>
              <w:rPr>
                <w:rFonts w:ascii="Arial" w:hAnsi="Arial"/>
                <w:sz w:val="16"/>
              </w:rPr>
            </w:pPr>
            <w:r>
              <w:rPr>
                <w:rFonts w:ascii="Arial" w:hAnsi="Arial"/>
                <w:sz w:val="16"/>
              </w:rPr>
              <w:t xml:space="preserve"> </w:t>
            </w:r>
          </w:p>
        </w:tc>
      </w:tr>
    </w:tbl>
    <w:p w14:paraId="0BEC4DCD" w14:textId="77777777" w:rsidR="00B765A5" w:rsidRDefault="00B765A5" w:rsidP="00B765A5">
      <w:pPr>
        <w:tabs>
          <w:tab w:val="left" w:pos="720"/>
        </w:tabs>
        <w:jc w:val="both"/>
        <w:rPr>
          <w:rFonts w:ascii="Arial" w:hAnsi="Arial"/>
          <w:b/>
          <w:sz w:val="24"/>
        </w:rPr>
      </w:pPr>
    </w:p>
    <w:p w14:paraId="0371761C" w14:textId="77777777" w:rsidR="00B765A5" w:rsidRDefault="00B765A5" w:rsidP="00B765A5">
      <w:pPr>
        <w:tabs>
          <w:tab w:val="left" w:pos="720"/>
        </w:tabs>
        <w:jc w:val="both"/>
        <w:rPr>
          <w:rFonts w:ascii="Arial" w:hAnsi="Arial"/>
          <w:b/>
          <w:sz w:val="24"/>
        </w:rPr>
      </w:pPr>
      <w:r w:rsidRPr="003743E5">
        <w:rPr>
          <w:rFonts w:ascii="Arial" w:hAnsi="Arial"/>
          <w:b/>
          <w:sz w:val="24"/>
        </w:rPr>
        <w:t>3.</w:t>
      </w:r>
      <w:r w:rsidRPr="003743E5">
        <w:rPr>
          <w:rFonts w:ascii="Arial" w:hAnsi="Arial"/>
          <w:b/>
          <w:sz w:val="24"/>
        </w:rPr>
        <w:tab/>
        <w:t>Use of Information Technology</w:t>
      </w:r>
    </w:p>
    <w:p w14:paraId="32CCD256" w14:textId="77777777" w:rsidR="00B765A5" w:rsidRDefault="00B765A5" w:rsidP="00B765A5">
      <w:pPr>
        <w:tabs>
          <w:tab w:val="left" w:pos="720"/>
        </w:tabs>
        <w:jc w:val="both"/>
        <w:rPr>
          <w:rFonts w:ascii="Arial" w:hAnsi="Arial"/>
          <w:sz w:val="24"/>
        </w:rPr>
      </w:pPr>
    </w:p>
    <w:p w14:paraId="76ADEFA0" w14:textId="5EF1A4DD" w:rsidR="00476089" w:rsidRDefault="00476089" w:rsidP="00476089">
      <w:pPr>
        <w:tabs>
          <w:tab w:val="left" w:pos="720"/>
        </w:tabs>
        <w:jc w:val="both"/>
        <w:rPr>
          <w:rFonts w:ascii="Arial" w:hAnsi="Arial"/>
          <w:sz w:val="24"/>
        </w:rPr>
      </w:pPr>
      <w:r>
        <w:rPr>
          <w:rFonts w:ascii="Arial" w:hAnsi="Arial"/>
          <w:sz w:val="24"/>
        </w:rPr>
        <w:t xml:space="preserve">The information collected through the Regional Program Administrator Survey will only be collected </w:t>
      </w:r>
      <w:r w:rsidR="00AB5DF7">
        <w:rPr>
          <w:rFonts w:ascii="Arial" w:hAnsi="Arial"/>
          <w:sz w:val="24"/>
        </w:rPr>
        <w:t>through online survey tools and electronically submitted by regional program administrators.</w:t>
      </w:r>
      <w:r w:rsidR="001C51D2">
        <w:rPr>
          <w:rFonts w:ascii="Arial" w:hAnsi="Arial"/>
          <w:sz w:val="24"/>
        </w:rPr>
        <w:t xml:space="preserve"> </w:t>
      </w:r>
      <w:r>
        <w:rPr>
          <w:rFonts w:ascii="Arial" w:hAnsi="Arial"/>
          <w:sz w:val="24"/>
        </w:rPr>
        <w:t xml:space="preserve">No paper or other non-electronic methods of submission are allowed for the survey. </w:t>
      </w:r>
    </w:p>
    <w:p w14:paraId="09CECAC9" w14:textId="77777777" w:rsidR="00B765A5" w:rsidRDefault="00B765A5" w:rsidP="00B765A5">
      <w:pPr>
        <w:tabs>
          <w:tab w:val="left" w:pos="720"/>
        </w:tabs>
        <w:jc w:val="both"/>
        <w:rPr>
          <w:rFonts w:ascii="Arial" w:hAnsi="Arial"/>
          <w:sz w:val="24"/>
        </w:rPr>
      </w:pPr>
    </w:p>
    <w:p w14:paraId="5D4625A8" w14:textId="77777777" w:rsidR="00B765A5" w:rsidRDefault="00B765A5" w:rsidP="00B765A5">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671F976A" w14:textId="77777777" w:rsidR="00B765A5" w:rsidRDefault="00B765A5" w:rsidP="00B765A5">
      <w:pPr>
        <w:tabs>
          <w:tab w:val="left" w:pos="720"/>
        </w:tabs>
        <w:jc w:val="both"/>
        <w:rPr>
          <w:rFonts w:ascii="Arial" w:hAnsi="Arial"/>
          <w:sz w:val="24"/>
        </w:rPr>
      </w:pPr>
    </w:p>
    <w:p w14:paraId="4200A13D" w14:textId="7BFEC48A" w:rsidR="001B4C9E" w:rsidRDefault="00097689" w:rsidP="00B765A5">
      <w:pPr>
        <w:tabs>
          <w:tab w:val="left" w:pos="720"/>
        </w:tabs>
        <w:jc w:val="both"/>
        <w:rPr>
          <w:rFonts w:ascii="Arial" w:hAnsi="Arial"/>
          <w:sz w:val="24"/>
        </w:rPr>
      </w:pPr>
      <w:r>
        <w:rPr>
          <w:rFonts w:ascii="Arial" w:hAnsi="Arial"/>
          <w:sz w:val="24"/>
        </w:rPr>
        <w:t>USPTO collects this information from</w:t>
      </w:r>
      <w:r w:rsidR="001B4C9E">
        <w:rPr>
          <w:rFonts w:ascii="Arial" w:hAnsi="Arial"/>
          <w:sz w:val="24"/>
        </w:rPr>
        <w:t xml:space="preserve"> regional program administrators on a quarterly basis. It does not duplicate information or collect data that could be found elsewhere</w:t>
      </w:r>
      <w:r w:rsidR="008B77B5">
        <w:rPr>
          <w:rFonts w:ascii="Arial" w:hAnsi="Arial"/>
          <w:sz w:val="24"/>
        </w:rPr>
        <w:t>; it functions as the source dat</w:t>
      </w:r>
      <w:r w:rsidR="00D52784">
        <w:rPr>
          <w:rFonts w:ascii="Arial" w:hAnsi="Arial"/>
          <w:sz w:val="24"/>
        </w:rPr>
        <w:t xml:space="preserve">a for regional program statistics, and may </w:t>
      </w:r>
      <w:r w:rsidR="00D67D23">
        <w:rPr>
          <w:rFonts w:ascii="Arial" w:hAnsi="Arial"/>
          <w:sz w:val="24"/>
        </w:rPr>
        <w:t>later be</w:t>
      </w:r>
      <w:r w:rsidR="00D52784">
        <w:rPr>
          <w:rFonts w:ascii="Arial" w:hAnsi="Arial"/>
          <w:sz w:val="24"/>
        </w:rPr>
        <w:t xml:space="preserve"> used by the program</w:t>
      </w:r>
      <w:r w:rsidR="00E01FF0">
        <w:rPr>
          <w:rFonts w:ascii="Arial" w:hAnsi="Arial"/>
          <w:sz w:val="24"/>
        </w:rPr>
        <w:t>s</w:t>
      </w:r>
      <w:r w:rsidR="00D52784">
        <w:rPr>
          <w:rFonts w:ascii="Arial" w:hAnsi="Arial"/>
          <w:sz w:val="24"/>
        </w:rPr>
        <w:t xml:space="preserve"> at their discretion.</w:t>
      </w:r>
      <w:r w:rsidR="001C51D2">
        <w:rPr>
          <w:rFonts w:ascii="Arial" w:hAnsi="Arial"/>
          <w:sz w:val="24"/>
        </w:rPr>
        <w:t xml:space="preserve"> </w:t>
      </w:r>
      <w:r w:rsidR="001B4C9E">
        <w:rPr>
          <w:rFonts w:ascii="Arial" w:hAnsi="Arial"/>
          <w:sz w:val="24"/>
        </w:rPr>
        <w:t xml:space="preserve"> </w:t>
      </w:r>
    </w:p>
    <w:p w14:paraId="2D3671EF" w14:textId="77777777" w:rsidR="00B765A5" w:rsidRDefault="00B765A5" w:rsidP="00B765A5">
      <w:pPr>
        <w:tabs>
          <w:tab w:val="left" w:pos="720"/>
        </w:tabs>
        <w:jc w:val="both"/>
        <w:rPr>
          <w:rFonts w:ascii="Arial" w:hAnsi="Arial"/>
          <w:sz w:val="24"/>
        </w:rPr>
      </w:pPr>
    </w:p>
    <w:p w14:paraId="1CBDB053" w14:textId="77777777" w:rsidR="00B765A5" w:rsidRDefault="00B765A5" w:rsidP="00B765A5">
      <w:pPr>
        <w:jc w:val="both"/>
        <w:rPr>
          <w:rFonts w:ascii="Arial" w:hAnsi="Arial"/>
          <w:b/>
          <w:sz w:val="24"/>
        </w:rPr>
      </w:pPr>
      <w:r>
        <w:rPr>
          <w:rFonts w:ascii="Arial" w:hAnsi="Arial"/>
          <w:b/>
          <w:sz w:val="24"/>
        </w:rPr>
        <w:t>5.</w:t>
      </w:r>
      <w:r>
        <w:rPr>
          <w:rFonts w:ascii="Arial" w:hAnsi="Arial"/>
          <w:b/>
          <w:sz w:val="24"/>
        </w:rPr>
        <w:tab/>
        <w:t>Minimizing the Burden to Small Entities</w:t>
      </w:r>
    </w:p>
    <w:p w14:paraId="3422131B" w14:textId="77777777" w:rsidR="00B765A5" w:rsidRDefault="00B765A5" w:rsidP="00B765A5">
      <w:pPr>
        <w:jc w:val="both"/>
        <w:rPr>
          <w:rFonts w:ascii="Arial" w:hAnsi="Arial"/>
          <w:b/>
          <w:sz w:val="24"/>
        </w:rPr>
      </w:pPr>
    </w:p>
    <w:p w14:paraId="1A43BA11" w14:textId="7613B4F2" w:rsidR="00476089" w:rsidRPr="001B4C9E" w:rsidRDefault="00476089" w:rsidP="00476089">
      <w:pPr>
        <w:jc w:val="both"/>
        <w:rPr>
          <w:rFonts w:ascii="Arial" w:hAnsi="Arial"/>
          <w:sz w:val="24"/>
          <w:vertAlign w:val="subscript"/>
        </w:rPr>
      </w:pPr>
      <w:r>
        <w:rPr>
          <w:rFonts w:ascii="Arial" w:hAnsi="Arial"/>
          <w:sz w:val="24"/>
        </w:rPr>
        <w:t>Small business entity status is determined by the Small Business Administration.</w:t>
      </w:r>
      <w:r w:rsidR="001C51D2">
        <w:rPr>
          <w:rFonts w:ascii="Arial" w:hAnsi="Arial"/>
          <w:sz w:val="24"/>
        </w:rPr>
        <w:t xml:space="preserve"> </w:t>
      </w:r>
      <w:r>
        <w:rPr>
          <w:rFonts w:ascii="Arial" w:hAnsi="Arial"/>
          <w:sz w:val="24"/>
        </w:rPr>
        <w:t xml:space="preserve">As small non-profits, many of the regional </w:t>
      </w:r>
      <w:r w:rsidR="00595C5A">
        <w:rPr>
          <w:rFonts w:ascii="Arial" w:hAnsi="Arial"/>
          <w:sz w:val="24"/>
        </w:rPr>
        <w:t>programs</w:t>
      </w:r>
      <w:r>
        <w:rPr>
          <w:rFonts w:ascii="Arial" w:hAnsi="Arial"/>
          <w:sz w:val="24"/>
        </w:rPr>
        <w:t xml:space="preserve"> are small entities. However, no specific change in rules, processing, fees, or other factors benefit one categorical entity over another in this collection.</w:t>
      </w:r>
      <w:r w:rsidR="001C51D2">
        <w:rPr>
          <w:rFonts w:ascii="Arial" w:hAnsi="Arial"/>
          <w:sz w:val="24"/>
        </w:rPr>
        <w:t xml:space="preserve"> </w:t>
      </w:r>
      <w:r>
        <w:rPr>
          <w:rFonts w:ascii="Arial" w:hAnsi="Arial"/>
          <w:sz w:val="24"/>
        </w:rPr>
        <w:t xml:space="preserve"> As a result, this survey, which is an essential part of the program, places an equally low burden on each regional </w:t>
      </w:r>
      <w:r w:rsidR="00E01FF0">
        <w:rPr>
          <w:rFonts w:ascii="Arial" w:hAnsi="Arial"/>
          <w:sz w:val="24"/>
        </w:rPr>
        <w:t xml:space="preserve">program </w:t>
      </w:r>
      <w:r>
        <w:rPr>
          <w:rFonts w:ascii="Arial" w:hAnsi="Arial"/>
          <w:sz w:val="24"/>
        </w:rPr>
        <w:t>administrator.</w:t>
      </w:r>
      <w:r w:rsidR="001C51D2">
        <w:rPr>
          <w:rFonts w:ascii="Arial" w:hAnsi="Arial"/>
          <w:sz w:val="24"/>
        </w:rPr>
        <w:t xml:space="preserve"> </w:t>
      </w:r>
    </w:p>
    <w:p w14:paraId="3345EE0D" w14:textId="77777777" w:rsidR="00B765A5" w:rsidRDefault="00B765A5" w:rsidP="00B765A5">
      <w:pPr>
        <w:jc w:val="both"/>
        <w:rPr>
          <w:rFonts w:ascii="Arial" w:hAnsi="Arial"/>
          <w:sz w:val="24"/>
        </w:rPr>
      </w:pPr>
    </w:p>
    <w:p w14:paraId="1CCA3454" w14:textId="77777777" w:rsidR="00B765A5" w:rsidRDefault="00B765A5" w:rsidP="00B765A5">
      <w:pPr>
        <w:jc w:val="both"/>
        <w:rPr>
          <w:rFonts w:ascii="Arial" w:hAnsi="Arial"/>
          <w:b/>
          <w:sz w:val="24"/>
        </w:rPr>
      </w:pPr>
      <w:r>
        <w:rPr>
          <w:rFonts w:ascii="Arial" w:hAnsi="Arial"/>
          <w:b/>
          <w:sz w:val="24"/>
        </w:rPr>
        <w:t>6.</w:t>
      </w:r>
      <w:r>
        <w:rPr>
          <w:rFonts w:ascii="Arial" w:hAnsi="Arial"/>
          <w:b/>
          <w:sz w:val="24"/>
        </w:rPr>
        <w:tab/>
        <w:t>Consequences of Less Frequent Collection</w:t>
      </w:r>
    </w:p>
    <w:p w14:paraId="1446388F" w14:textId="77777777" w:rsidR="00B765A5" w:rsidRDefault="00B765A5" w:rsidP="00B765A5">
      <w:pPr>
        <w:jc w:val="both"/>
        <w:rPr>
          <w:rFonts w:ascii="Arial" w:hAnsi="Arial"/>
          <w:sz w:val="24"/>
        </w:rPr>
      </w:pPr>
    </w:p>
    <w:p w14:paraId="64F488B5" w14:textId="0BED058A" w:rsidR="00476089" w:rsidRDefault="00476089" w:rsidP="00476089">
      <w:pPr>
        <w:jc w:val="both"/>
        <w:rPr>
          <w:rFonts w:ascii="Arial" w:hAnsi="Arial"/>
          <w:sz w:val="24"/>
        </w:rPr>
      </w:pPr>
      <w:r>
        <w:rPr>
          <w:rFonts w:ascii="Arial" w:hAnsi="Arial"/>
          <w:sz w:val="24"/>
        </w:rPr>
        <w:t xml:space="preserve">The USPTO is collecting this information on a quarterly basis in order to more effectively ascertain the effectiveness of each individual regional pro bono </w:t>
      </w:r>
      <w:r w:rsidR="00595C5A">
        <w:rPr>
          <w:rFonts w:ascii="Arial" w:hAnsi="Arial"/>
          <w:sz w:val="24"/>
        </w:rPr>
        <w:t>program</w:t>
      </w:r>
      <w:r w:rsidR="008A63EA">
        <w:rPr>
          <w:rFonts w:ascii="Arial" w:hAnsi="Arial"/>
          <w:sz w:val="24"/>
        </w:rPr>
        <w:t xml:space="preserve"> </w:t>
      </w:r>
      <w:r>
        <w:rPr>
          <w:rFonts w:ascii="Arial" w:hAnsi="Arial"/>
          <w:sz w:val="24"/>
        </w:rPr>
        <w:t xml:space="preserve">and to determine how best to provide additional support to regional </w:t>
      </w:r>
      <w:r w:rsidR="00E01FF0">
        <w:rPr>
          <w:rFonts w:ascii="Arial" w:hAnsi="Arial"/>
          <w:sz w:val="24"/>
        </w:rPr>
        <w:t xml:space="preserve">programs </w:t>
      </w:r>
      <w:r>
        <w:rPr>
          <w:rFonts w:ascii="Arial" w:hAnsi="Arial"/>
          <w:sz w:val="24"/>
        </w:rPr>
        <w:t xml:space="preserve">should they need such support. Less frequent collection would reduce the USPTO’s ability to support the regional </w:t>
      </w:r>
      <w:r w:rsidR="00E01FF0">
        <w:rPr>
          <w:rFonts w:ascii="Arial" w:hAnsi="Arial"/>
          <w:sz w:val="24"/>
        </w:rPr>
        <w:t xml:space="preserve">programs </w:t>
      </w:r>
      <w:r>
        <w:rPr>
          <w:rFonts w:ascii="Arial" w:hAnsi="Arial"/>
          <w:sz w:val="24"/>
        </w:rPr>
        <w:t>in a timely manner</w:t>
      </w:r>
      <w:r w:rsidR="00E0699E">
        <w:rPr>
          <w:rFonts w:ascii="Arial" w:hAnsi="Arial"/>
          <w:sz w:val="24"/>
        </w:rPr>
        <w:t xml:space="preserve"> because</w:t>
      </w:r>
      <w:r w:rsidR="00E01FF0">
        <w:rPr>
          <w:rFonts w:ascii="Arial" w:hAnsi="Arial"/>
          <w:sz w:val="24"/>
        </w:rPr>
        <w:t xml:space="preserve"> these emerging programs have </w:t>
      </w:r>
      <w:r w:rsidR="008A63EA">
        <w:rPr>
          <w:rFonts w:ascii="Arial" w:hAnsi="Arial"/>
          <w:sz w:val="24"/>
        </w:rPr>
        <w:t>rapidly</w:t>
      </w:r>
      <w:r w:rsidR="00E01FF0">
        <w:rPr>
          <w:rFonts w:ascii="Arial" w:hAnsi="Arial"/>
          <w:sz w:val="24"/>
        </w:rPr>
        <w:t xml:space="preserve"> chang</w:t>
      </w:r>
      <w:r w:rsidR="00E0699E">
        <w:rPr>
          <w:rFonts w:ascii="Arial" w:hAnsi="Arial"/>
          <w:sz w:val="24"/>
        </w:rPr>
        <w:t>ing</w:t>
      </w:r>
      <w:r w:rsidR="00E01FF0">
        <w:rPr>
          <w:rFonts w:ascii="Arial" w:hAnsi="Arial"/>
          <w:sz w:val="24"/>
        </w:rPr>
        <w:t xml:space="preserve"> data</w:t>
      </w:r>
      <w:r>
        <w:rPr>
          <w:rFonts w:ascii="Arial" w:hAnsi="Arial"/>
          <w:sz w:val="24"/>
        </w:rPr>
        <w:t>.</w:t>
      </w:r>
      <w:r w:rsidR="001C51D2">
        <w:rPr>
          <w:rFonts w:ascii="Arial" w:hAnsi="Arial"/>
          <w:sz w:val="24"/>
        </w:rPr>
        <w:t xml:space="preserve"> </w:t>
      </w:r>
      <w:r w:rsidR="00E0699E">
        <w:rPr>
          <w:rFonts w:ascii="Arial" w:hAnsi="Arial"/>
          <w:sz w:val="24"/>
        </w:rPr>
        <w:t>In addition, t</w:t>
      </w:r>
      <w:r>
        <w:rPr>
          <w:rFonts w:ascii="Arial" w:hAnsi="Arial"/>
          <w:sz w:val="24"/>
        </w:rPr>
        <w:t>his information is not collected elsewhere.</w:t>
      </w:r>
      <w:r w:rsidR="00275566">
        <w:rPr>
          <w:rFonts w:ascii="Arial" w:hAnsi="Arial"/>
          <w:sz w:val="24"/>
        </w:rPr>
        <w:t xml:space="preserve"> </w:t>
      </w:r>
      <w:r w:rsidR="000B5B6D">
        <w:rPr>
          <w:rFonts w:ascii="Arial" w:hAnsi="Arial"/>
          <w:sz w:val="24"/>
        </w:rPr>
        <w:t xml:space="preserve">Therefore, less frequent collection of information would reduce the relevancy of the </w:t>
      </w:r>
      <w:r w:rsidR="000B5B6D">
        <w:rPr>
          <w:rFonts w:ascii="Arial" w:hAnsi="Arial"/>
          <w:sz w:val="24"/>
        </w:rPr>
        <w:lastRenderedPageBreak/>
        <w:t>information for publication to stakeholders, such as inventors and patent attorneys, and for outreach</w:t>
      </w:r>
      <w:r w:rsidR="00446908">
        <w:rPr>
          <w:rFonts w:ascii="Arial" w:hAnsi="Arial"/>
          <w:sz w:val="24"/>
        </w:rPr>
        <w:t xml:space="preserve"> in presentations</w:t>
      </w:r>
      <w:r w:rsidR="009262BB">
        <w:rPr>
          <w:rFonts w:ascii="Arial" w:hAnsi="Arial"/>
          <w:sz w:val="24"/>
        </w:rPr>
        <w:t xml:space="preserve">, online discussion, and conferences.  </w:t>
      </w:r>
      <w:r w:rsidR="001C51D2">
        <w:rPr>
          <w:rFonts w:ascii="Arial" w:hAnsi="Arial"/>
          <w:sz w:val="24"/>
        </w:rPr>
        <w:t xml:space="preserve">   </w:t>
      </w:r>
      <w:r>
        <w:rPr>
          <w:rFonts w:ascii="Arial" w:hAnsi="Arial"/>
          <w:sz w:val="24"/>
        </w:rPr>
        <w:t xml:space="preserve"> </w:t>
      </w:r>
      <w:r w:rsidR="001C51D2">
        <w:rPr>
          <w:rFonts w:ascii="Arial" w:hAnsi="Arial"/>
          <w:sz w:val="24"/>
        </w:rPr>
        <w:t xml:space="preserve">  </w:t>
      </w:r>
    </w:p>
    <w:p w14:paraId="142D81E4" w14:textId="77777777" w:rsidR="00B765A5" w:rsidRDefault="00B765A5" w:rsidP="00B765A5">
      <w:pPr>
        <w:jc w:val="both"/>
        <w:rPr>
          <w:rFonts w:ascii="Arial" w:hAnsi="Arial"/>
          <w:sz w:val="24"/>
        </w:rPr>
      </w:pPr>
    </w:p>
    <w:p w14:paraId="30DCBE27" w14:textId="77777777" w:rsidR="00B765A5" w:rsidRDefault="00B765A5" w:rsidP="00B765A5">
      <w:pPr>
        <w:jc w:val="both"/>
        <w:rPr>
          <w:rFonts w:ascii="Arial" w:hAnsi="Arial"/>
          <w:b/>
          <w:sz w:val="24"/>
        </w:rPr>
      </w:pPr>
      <w:r w:rsidRPr="001B5FBE">
        <w:rPr>
          <w:rFonts w:ascii="Arial" w:hAnsi="Arial"/>
          <w:b/>
          <w:sz w:val="24"/>
        </w:rPr>
        <w:t>7.</w:t>
      </w:r>
      <w:r w:rsidRPr="001B5FBE">
        <w:rPr>
          <w:rFonts w:ascii="Arial" w:hAnsi="Arial"/>
          <w:b/>
          <w:sz w:val="24"/>
        </w:rPr>
        <w:tab/>
        <w:t>Special Circumstances in the Conduct of Information Collection</w:t>
      </w:r>
    </w:p>
    <w:p w14:paraId="1F77AC19" w14:textId="77777777" w:rsidR="00B765A5" w:rsidRDefault="00B765A5" w:rsidP="00B765A5">
      <w:pPr>
        <w:jc w:val="both"/>
        <w:rPr>
          <w:rFonts w:ascii="Arial" w:hAnsi="Arial"/>
          <w:b/>
          <w:sz w:val="24"/>
        </w:rPr>
      </w:pPr>
    </w:p>
    <w:p w14:paraId="4D11EAF6" w14:textId="77777777" w:rsidR="00B765A5" w:rsidRDefault="00B765A5" w:rsidP="00B765A5">
      <w:pPr>
        <w:pStyle w:val="BodyText2"/>
      </w:pPr>
      <w:r>
        <w:t>There are no special circumstances associated with this collection of information.</w:t>
      </w:r>
    </w:p>
    <w:p w14:paraId="436FBBD4" w14:textId="77777777" w:rsidR="00B765A5" w:rsidRDefault="00B765A5" w:rsidP="00B765A5">
      <w:pPr>
        <w:pStyle w:val="BodyText2"/>
      </w:pPr>
    </w:p>
    <w:p w14:paraId="30859367" w14:textId="77777777" w:rsidR="00B765A5" w:rsidRPr="005D0198" w:rsidRDefault="00B765A5" w:rsidP="00B765A5">
      <w:pPr>
        <w:numPr>
          <w:ilvl w:val="0"/>
          <w:numId w:val="4"/>
        </w:numPr>
        <w:jc w:val="both"/>
        <w:rPr>
          <w:rFonts w:ascii="Arial" w:hAnsi="Arial"/>
          <w:b/>
          <w:sz w:val="24"/>
        </w:rPr>
      </w:pPr>
      <w:r w:rsidRPr="005D0198">
        <w:rPr>
          <w:rFonts w:ascii="Arial" w:hAnsi="Arial"/>
          <w:b/>
          <w:sz w:val="24"/>
        </w:rPr>
        <w:t>Consultation Outside the Agency</w:t>
      </w:r>
    </w:p>
    <w:p w14:paraId="0F7492AA" w14:textId="77777777" w:rsidR="00B765A5" w:rsidRDefault="00B765A5" w:rsidP="00B765A5">
      <w:pPr>
        <w:jc w:val="both"/>
        <w:rPr>
          <w:rFonts w:ascii="Arial" w:hAnsi="Arial"/>
          <w:sz w:val="24"/>
        </w:rPr>
      </w:pPr>
    </w:p>
    <w:p w14:paraId="062B38BC" w14:textId="1EFA2BCB" w:rsidR="00B765A5" w:rsidRDefault="00B765A5" w:rsidP="00B765A5">
      <w:pPr>
        <w:jc w:val="both"/>
        <w:rPr>
          <w:rFonts w:ascii="Arial" w:hAnsi="Arial"/>
          <w:sz w:val="24"/>
        </w:rPr>
      </w:pPr>
      <w:r>
        <w:rPr>
          <w:rFonts w:ascii="Arial" w:hAnsi="Arial"/>
          <w:sz w:val="24"/>
        </w:rPr>
        <w:t xml:space="preserve">The 60-Day </w:t>
      </w:r>
      <w:r w:rsidRPr="008664A0">
        <w:rPr>
          <w:rFonts w:ascii="Arial" w:hAnsi="Arial"/>
          <w:i/>
          <w:sz w:val="24"/>
        </w:rPr>
        <w:t>Federal Register</w:t>
      </w:r>
      <w:r>
        <w:rPr>
          <w:rFonts w:ascii="Arial" w:hAnsi="Arial"/>
          <w:sz w:val="24"/>
        </w:rPr>
        <w:t xml:space="preserve"> Notice published on </w:t>
      </w:r>
      <w:r w:rsidR="002B62DD">
        <w:rPr>
          <w:rFonts w:ascii="Arial" w:hAnsi="Arial"/>
          <w:sz w:val="24"/>
        </w:rPr>
        <w:t>May</w:t>
      </w:r>
      <w:r>
        <w:rPr>
          <w:rFonts w:ascii="Arial" w:hAnsi="Arial"/>
          <w:sz w:val="24"/>
        </w:rPr>
        <w:t xml:space="preserve"> </w:t>
      </w:r>
      <w:r w:rsidR="002B62DD">
        <w:rPr>
          <w:rFonts w:ascii="Arial" w:hAnsi="Arial"/>
          <w:sz w:val="24"/>
        </w:rPr>
        <w:t>12</w:t>
      </w:r>
      <w:r>
        <w:rPr>
          <w:rFonts w:ascii="Arial" w:hAnsi="Arial"/>
          <w:sz w:val="24"/>
        </w:rPr>
        <w:t>, 201</w:t>
      </w:r>
      <w:r w:rsidR="002B62DD">
        <w:rPr>
          <w:rFonts w:ascii="Arial" w:hAnsi="Arial"/>
          <w:sz w:val="24"/>
        </w:rPr>
        <w:t>5</w:t>
      </w:r>
      <w:r>
        <w:rPr>
          <w:rFonts w:ascii="Arial" w:hAnsi="Arial"/>
          <w:sz w:val="24"/>
        </w:rPr>
        <w:t xml:space="preserve"> (</w:t>
      </w:r>
      <w:r w:rsidR="002B62DD">
        <w:rPr>
          <w:rFonts w:ascii="Arial" w:hAnsi="Arial"/>
          <w:sz w:val="24"/>
        </w:rPr>
        <w:t>80</w:t>
      </w:r>
      <w:r w:rsidR="003F42E4">
        <w:rPr>
          <w:rFonts w:ascii="Arial" w:hAnsi="Arial"/>
          <w:sz w:val="24"/>
        </w:rPr>
        <w:t xml:space="preserve"> FR</w:t>
      </w:r>
      <w:r>
        <w:rPr>
          <w:rFonts w:ascii="Arial" w:hAnsi="Arial"/>
          <w:sz w:val="24"/>
        </w:rPr>
        <w:t xml:space="preserve"> </w:t>
      </w:r>
      <w:r w:rsidR="002B62DD">
        <w:rPr>
          <w:rFonts w:ascii="Arial" w:hAnsi="Arial"/>
          <w:sz w:val="24"/>
        </w:rPr>
        <w:t>27150</w:t>
      </w:r>
      <w:r>
        <w:rPr>
          <w:rFonts w:ascii="Arial" w:hAnsi="Arial"/>
          <w:sz w:val="24"/>
        </w:rPr>
        <w:t>).</w:t>
      </w:r>
      <w:r w:rsidR="001C51D2">
        <w:rPr>
          <w:rFonts w:ascii="Arial" w:hAnsi="Arial"/>
          <w:sz w:val="24"/>
        </w:rPr>
        <w:t xml:space="preserve"> </w:t>
      </w:r>
      <w:r>
        <w:rPr>
          <w:rFonts w:ascii="Arial" w:hAnsi="Arial"/>
          <w:sz w:val="24"/>
        </w:rPr>
        <w:t xml:space="preserve">The public comment period ended on </w:t>
      </w:r>
      <w:r w:rsidR="002B62DD">
        <w:rPr>
          <w:rFonts w:ascii="Arial" w:hAnsi="Arial"/>
          <w:sz w:val="24"/>
        </w:rPr>
        <w:t>July</w:t>
      </w:r>
      <w:r>
        <w:rPr>
          <w:rFonts w:ascii="Arial" w:hAnsi="Arial"/>
          <w:sz w:val="24"/>
        </w:rPr>
        <w:t xml:space="preserve"> </w:t>
      </w:r>
      <w:r w:rsidR="002B62DD">
        <w:rPr>
          <w:rFonts w:ascii="Arial" w:hAnsi="Arial"/>
          <w:sz w:val="24"/>
        </w:rPr>
        <w:t>11</w:t>
      </w:r>
      <w:r>
        <w:rPr>
          <w:rFonts w:ascii="Arial" w:hAnsi="Arial"/>
          <w:sz w:val="24"/>
        </w:rPr>
        <w:t>, 2015.</w:t>
      </w:r>
      <w:r w:rsidR="002B62DD">
        <w:rPr>
          <w:rFonts w:ascii="Arial" w:hAnsi="Arial"/>
          <w:sz w:val="24"/>
        </w:rPr>
        <w:t xml:space="preserve"> </w:t>
      </w:r>
      <w:r>
        <w:rPr>
          <w:rFonts w:ascii="Arial" w:hAnsi="Arial"/>
          <w:sz w:val="24"/>
        </w:rPr>
        <w:t>One public comment was received.</w:t>
      </w:r>
    </w:p>
    <w:p w14:paraId="432C47E2" w14:textId="77777777" w:rsidR="00B765A5" w:rsidRDefault="00B765A5" w:rsidP="00B765A5">
      <w:pPr>
        <w:jc w:val="both"/>
        <w:rPr>
          <w:rFonts w:ascii="Arial" w:hAnsi="Arial"/>
          <w:sz w:val="24"/>
        </w:rPr>
      </w:pPr>
    </w:p>
    <w:p w14:paraId="14CE7CCD" w14:textId="7AFFD14E" w:rsidR="00B765A5" w:rsidRDefault="00B765A5" w:rsidP="00B765A5">
      <w:pPr>
        <w:jc w:val="both"/>
        <w:rPr>
          <w:rFonts w:ascii="Arial" w:hAnsi="Arial"/>
          <w:sz w:val="24"/>
        </w:rPr>
      </w:pPr>
      <w:r>
        <w:rPr>
          <w:rFonts w:ascii="Arial" w:hAnsi="Arial"/>
          <w:sz w:val="24"/>
        </w:rPr>
        <w:t xml:space="preserve">The comment received </w:t>
      </w:r>
      <w:r w:rsidR="002B62DD">
        <w:rPr>
          <w:rFonts w:ascii="Arial" w:hAnsi="Arial"/>
          <w:sz w:val="24"/>
        </w:rPr>
        <w:t xml:space="preserve">expressed the belief that the collection of information in order to evaluate the effectiveness of regional pro bono patent services </w:t>
      </w:r>
      <w:r w:rsidR="00595C5A">
        <w:rPr>
          <w:rFonts w:ascii="Arial" w:hAnsi="Arial"/>
          <w:sz w:val="24"/>
        </w:rPr>
        <w:t>programs</w:t>
      </w:r>
      <w:r w:rsidR="002B62DD">
        <w:rPr>
          <w:rFonts w:ascii="Arial" w:hAnsi="Arial"/>
          <w:sz w:val="24"/>
        </w:rPr>
        <w:t xml:space="preserve"> is “crucial” to the determination of the pro bono program’s efficacy. The commenter noted the requirement of attorneys in his home state to report hours to the state bar, and the ongoing encouragement of attorneys to complete pro bono services. The commenter went on to opine that assisting under-resourced and otherwise-disadvantaged inventors and small businesses, as these programs are designed to do, is a “noble cause” and one that should spur future innovation. The USPTO appreciates this comment and agrees that these services have the potential to further advance technological progress and achievement.</w:t>
      </w:r>
      <w:r w:rsidR="001C51D2">
        <w:rPr>
          <w:rFonts w:ascii="Arial" w:hAnsi="Arial"/>
          <w:sz w:val="24"/>
        </w:rPr>
        <w:t xml:space="preserve"> </w:t>
      </w:r>
    </w:p>
    <w:p w14:paraId="509673D4" w14:textId="77777777" w:rsidR="00B765A5" w:rsidRDefault="00B765A5" w:rsidP="00B765A5">
      <w:pPr>
        <w:jc w:val="both"/>
        <w:rPr>
          <w:rFonts w:ascii="Arial" w:hAnsi="Arial"/>
          <w:sz w:val="24"/>
        </w:rPr>
      </w:pPr>
    </w:p>
    <w:p w14:paraId="36E65E10" w14:textId="77777777" w:rsidR="00476089" w:rsidRPr="00D067B0" w:rsidRDefault="00476089" w:rsidP="00476089">
      <w:pPr>
        <w:jc w:val="both"/>
        <w:rPr>
          <w:rFonts w:ascii="Arial" w:hAnsi="Arial"/>
          <w:sz w:val="24"/>
        </w:rPr>
      </w:pPr>
      <w:r>
        <w:rPr>
          <w:rFonts w:ascii="Arial" w:hAnsi="Arial"/>
          <w:sz w:val="24"/>
        </w:rPr>
        <w:t xml:space="preserve">The </w:t>
      </w:r>
      <w:r w:rsidRPr="00D067B0">
        <w:rPr>
          <w:rFonts w:ascii="Arial" w:hAnsi="Arial"/>
          <w:sz w:val="24"/>
        </w:rPr>
        <w:t xml:space="preserve">USPTO has long-standing relationships with groups from whom patent application data is collected, such as the American Intellectual Property Law Association (AIPLA), as well as patent bar associations, independent inventor groups, and users of our public facilities. Views expressed by these groups are considered in developing proposals for information collection requirements and during the renewal of an information collection. </w:t>
      </w:r>
    </w:p>
    <w:p w14:paraId="3EB361AE" w14:textId="77777777" w:rsidR="00D067B0" w:rsidRDefault="00D067B0" w:rsidP="00D067B0">
      <w:pPr>
        <w:jc w:val="both"/>
        <w:rPr>
          <w:rFonts w:ascii="Arial" w:hAnsi="Arial"/>
          <w:sz w:val="24"/>
        </w:rPr>
      </w:pPr>
    </w:p>
    <w:p w14:paraId="02B73033" w14:textId="77777777" w:rsidR="00B765A5" w:rsidRDefault="00B765A5" w:rsidP="00B765A5">
      <w:pPr>
        <w:jc w:val="both"/>
        <w:rPr>
          <w:rFonts w:ascii="Arial" w:hAnsi="Arial"/>
          <w:b/>
          <w:sz w:val="24"/>
        </w:rPr>
      </w:pPr>
      <w:r>
        <w:rPr>
          <w:rFonts w:ascii="Arial" w:hAnsi="Arial"/>
          <w:b/>
          <w:sz w:val="24"/>
        </w:rPr>
        <w:t>9.</w:t>
      </w:r>
      <w:r>
        <w:rPr>
          <w:rFonts w:ascii="Arial" w:hAnsi="Arial"/>
          <w:b/>
          <w:sz w:val="24"/>
        </w:rPr>
        <w:tab/>
        <w:t>Payment or Gifts to Respondents</w:t>
      </w:r>
    </w:p>
    <w:p w14:paraId="48C0BBCA" w14:textId="77777777" w:rsidR="00B765A5" w:rsidRDefault="00B765A5" w:rsidP="00B765A5">
      <w:pPr>
        <w:jc w:val="both"/>
        <w:rPr>
          <w:rFonts w:ascii="Arial" w:hAnsi="Arial"/>
          <w:sz w:val="24"/>
        </w:rPr>
      </w:pPr>
    </w:p>
    <w:p w14:paraId="24F1151F" w14:textId="7B4D954B" w:rsidR="00B765A5" w:rsidRDefault="00B765A5" w:rsidP="00B765A5">
      <w:pPr>
        <w:jc w:val="both"/>
        <w:rPr>
          <w:rFonts w:ascii="Arial" w:hAnsi="Arial"/>
          <w:sz w:val="24"/>
        </w:rPr>
      </w:pPr>
      <w:r>
        <w:rPr>
          <w:rFonts w:ascii="Arial" w:hAnsi="Arial"/>
          <w:sz w:val="24"/>
        </w:rPr>
        <w:t>This information collection does not involve a payment or gift to any respondent.</w:t>
      </w:r>
      <w:r w:rsidR="001C51D2">
        <w:rPr>
          <w:rFonts w:ascii="Arial" w:hAnsi="Arial"/>
          <w:sz w:val="24"/>
        </w:rPr>
        <w:t xml:space="preserve">  </w:t>
      </w:r>
      <w:r>
        <w:rPr>
          <w:rFonts w:ascii="Arial" w:hAnsi="Arial"/>
          <w:sz w:val="24"/>
        </w:rPr>
        <w:t xml:space="preserve"> </w:t>
      </w:r>
    </w:p>
    <w:p w14:paraId="4FC3FD7C" w14:textId="77777777" w:rsidR="00B765A5" w:rsidRDefault="00B765A5" w:rsidP="00B765A5">
      <w:pPr>
        <w:jc w:val="both"/>
        <w:rPr>
          <w:rFonts w:ascii="Arial" w:hAnsi="Arial"/>
          <w:sz w:val="24"/>
        </w:rPr>
      </w:pPr>
    </w:p>
    <w:p w14:paraId="2CE052DE" w14:textId="77777777" w:rsidR="00B765A5" w:rsidRDefault="00B765A5" w:rsidP="00B765A5">
      <w:pPr>
        <w:jc w:val="both"/>
        <w:rPr>
          <w:rFonts w:ascii="Arial" w:hAnsi="Arial"/>
          <w:b/>
          <w:sz w:val="24"/>
        </w:rPr>
      </w:pPr>
      <w:r>
        <w:rPr>
          <w:rFonts w:ascii="Arial" w:hAnsi="Arial"/>
          <w:b/>
          <w:sz w:val="24"/>
        </w:rPr>
        <w:t>10.</w:t>
      </w:r>
      <w:r>
        <w:rPr>
          <w:rFonts w:ascii="Arial" w:hAnsi="Arial"/>
          <w:b/>
          <w:sz w:val="24"/>
        </w:rPr>
        <w:tab/>
        <w:t>Assurance of Confidentiality</w:t>
      </w:r>
    </w:p>
    <w:p w14:paraId="34D7D9CD" w14:textId="77777777" w:rsidR="00B765A5" w:rsidRDefault="00B765A5" w:rsidP="00B765A5">
      <w:pPr>
        <w:jc w:val="both"/>
        <w:rPr>
          <w:rFonts w:ascii="Arial" w:hAnsi="Arial"/>
          <w:sz w:val="24"/>
        </w:rPr>
      </w:pPr>
    </w:p>
    <w:p w14:paraId="57CB6E6E" w14:textId="4B48B9E5" w:rsidR="00B765A5" w:rsidRDefault="00031669" w:rsidP="00B765A5">
      <w:pPr>
        <w:jc w:val="both"/>
        <w:rPr>
          <w:rFonts w:ascii="Arial" w:hAnsi="Arial"/>
          <w:sz w:val="24"/>
        </w:rPr>
      </w:pPr>
      <w:r w:rsidRPr="00BD63FE">
        <w:rPr>
          <w:rFonts w:ascii="Arial" w:hAnsi="Arial" w:cs="Arial"/>
          <w:sz w:val="24"/>
          <w:szCs w:val="24"/>
        </w:rPr>
        <w:t xml:space="preserve">The agreements </w:t>
      </w:r>
      <w:r w:rsidR="00426A83" w:rsidRPr="00BD63FE">
        <w:rPr>
          <w:rFonts w:ascii="Arial" w:hAnsi="Arial" w:cs="Arial"/>
          <w:sz w:val="24"/>
          <w:szCs w:val="24"/>
        </w:rPr>
        <w:t>that are in place with each of our partners indicate that only non-confidential information is to be shared, and thus no proprietary information is included in the survey.</w:t>
      </w:r>
      <w:r w:rsidR="00426A83" w:rsidRPr="00BD63FE">
        <w:t xml:space="preserve">  </w:t>
      </w:r>
      <w:r w:rsidR="006F22A2" w:rsidRPr="00BD63FE">
        <w:rPr>
          <w:rFonts w:ascii="Arial" w:hAnsi="Arial" w:cs="Arial"/>
          <w:sz w:val="24"/>
          <w:szCs w:val="24"/>
        </w:rPr>
        <w:t xml:space="preserve">Information obtained in this collection </w:t>
      </w:r>
      <w:r w:rsidR="003D5796" w:rsidRPr="00BD63FE">
        <w:rPr>
          <w:rFonts w:ascii="Arial" w:hAnsi="Arial" w:cs="Arial"/>
          <w:sz w:val="24"/>
          <w:szCs w:val="24"/>
        </w:rPr>
        <w:t>is often</w:t>
      </w:r>
      <w:r w:rsidR="006F22A2" w:rsidRPr="00BD63FE">
        <w:rPr>
          <w:rFonts w:ascii="Arial" w:hAnsi="Arial" w:cs="Arial"/>
          <w:sz w:val="24"/>
          <w:szCs w:val="24"/>
        </w:rPr>
        <w:t xml:space="preserve"> made available to the public.  </w:t>
      </w:r>
      <w:r w:rsidR="003D5796" w:rsidRPr="00BD63FE">
        <w:rPr>
          <w:rFonts w:ascii="Arial" w:hAnsi="Arial" w:cs="Arial"/>
          <w:sz w:val="24"/>
          <w:szCs w:val="24"/>
        </w:rPr>
        <w:t>A</w:t>
      </w:r>
      <w:r w:rsidR="006F22A2" w:rsidRPr="00BD63FE">
        <w:rPr>
          <w:rFonts w:ascii="Arial" w:hAnsi="Arial" w:cs="Arial"/>
          <w:sz w:val="24"/>
          <w:szCs w:val="24"/>
        </w:rPr>
        <w:t xml:space="preserve">ny information </w:t>
      </w:r>
      <w:r w:rsidR="00426A83" w:rsidRPr="00BD63FE">
        <w:rPr>
          <w:rFonts w:ascii="Arial" w:hAnsi="Arial" w:cs="Arial"/>
          <w:sz w:val="24"/>
          <w:szCs w:val="24"/>
        </w:rPr>
        <w:t>retained</w:t>
      </w:r>
      <w:r w:rsidR="006F22A2" w:rsidRPr="00BD63FE">
        <w:rPr>
          <w:rFonts w:ascii="Arial" w:hAnsi="Arial" w:cs="Arial"/>
          <w:sz w:val="24"/>
          <w:szCs w:val="24"/>
        </w:rPr>
        <w:t xml:space="preserve"> by the program will be kept private to the extent permitted by law. </w:t>
      </w:r>
    </w:p>
    <w:p w14:paraId="32584D73" w14:textId="77777777" w:rsidR="00B765A5" w:rsidRDefault="00B765A5" w:rsidP="00B765A5">
      <w:pPr>
        <w:jc w:val="both"/>
        <w:rPr>
          <w:rFonts w:ascii="Arial" w:hAnsi="Arial"/>
          <w:sz w:val="24"/>
        </w:rPr>
      </w:pPr>
    </w:p>
    <w:p w14:paraId="00A0064E" w14:textId="77777777" w:rsidR="00B765A5" w:rsidRDefault="00B765A5" w:rsidP="00B765A5">
      <w:pPr>
        <w:jc w:val="both"/>
        <w:rPr>
          <w:rFonts w:ascii="Arial" w:hAnsi="Arial"/>
          <w:b/>
          <w:sz w:val="24"/>
        </w:rPr>
      </w:pPr>
      <w:r>
        <w:rPr>
          <w:rFonts w:ascii="Arial" w:hAnsi="Arial"/>
          <w:b/>
          <w:sz w:val="24"/>
        </w:rPr>
        <w:t>11.</w:t>
      </w:r>
      <w:r>
        <w:rPr>
          <w:rFonts w:ascii="Arial" w:hAnsi="Arial"/>
          <w:b/>
          <w:sz w:val="24"/>
        </w:rPr>
        <w:tab/>
        <w:t>Justification for Sensitive Questions</w:t>
      </w:r>
    </w:p>
    <w:p w14:paraId="161E836E" w14:textId="77777777" w:rsidR="00B765A5" w:rsidRDefault="00B765A5" w:rsidP="00B765A5">
      <w:pPr>
        <w:jc w:val="both"/>
        <w:rPr>
          <w:rFonts w:ascii="Arial" w:hAnsi="Arial"/>
          <w:sz w:val="24"/>
        </w:rPr>
      </w:pPr>
    </w:p>
    <w:p w14:paraId="2BA4C311" w14:textId="77777777" w:rsidR="00B765A5" w:rsidRDefault="00B765A5" w:rsidP="00B765A5">
      <w:pPr>
        <w:pStyle w:val="BodyText2"/>
      </w:pPr>
      <w:r>
        <w:t>None of the required information is considered to be of a sensitive nature.</w:t>
      </w:r>
    </w:p>
    <w:p w14:paraId="6ADC39AE" w14:textId="77777777" w:rsidR="00B765A5" w:rsidRDefault="00B765A5" w:rsidP="00B765A5">
      <w:pPr>
        <w:pStyle w:val="BodyText2"/>
      </w:pPr>
    </w:p>
    <w:p w14:paraId="1D9DA9E2" w14:textId="77777777" w:rsidR="00B765A5" w:rsidRDefault="00B765A5" w:rsidP="00B765A5">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448B00EB" w14:textId="77777777" w:rsidR="00B765A5" w:rsidRDefault="00B765A5" w:rsidP="00B765A5">
      <w:pPr>
        <w:jc w:val="both"/>
        <w:rPr>
          <w:rFonts w:ascii="Arial" w:hAnsi="Arial"/>
          <w:sz w:val="24"/>
        </w:rPr>
      </w:pPr>
    </w:p>
    <w:p w14:paraId="23AF0B98" w14:textId="40105F35" w:rsidR="00B765A5" w:rsidRDefault="00B765A5" w:rsidP="00B765A5">
      <w:pPr>
        <w:pStyle w:val="BodyText2"/>
      </w:pPr>
      <w:r>
        <w:t xml:space="preserve">Table </w:t>
      </w:r>
      <w:r>
        <w:t>3 calculates the anticipated burden hours and costs of this information collection to the public, bas</w:t>
      </w:r>
      <w:r w:rsidR="00435444">
        <w:t>ed on the following factors:</w:t>
      </w:r>
      <w:r w:rsidR="001C51D2">
        <w:t xml:space="preserve"> </w:t>
      </w:r>
    </w:p>
    <w:p w14:paraId="0D5C7FFE" w14:textId="77777777" w:rsidR="00B765A5" w:rsidRDefault="00B765A5" w:rsidP="00B765A5">
      <w:pPr>
        <w:jc w:val="both"/>
        <w:rPr>
          <w:rFonts w:ascii="Arial" w:hAnsi="Arial"/>
        </w:rPr>
      </w:pPr>
    </w:p>
    <w:p w14:paraId="30A6E879" w14:textId="77777777" w:rsidR="00B765A5" w:rsidRDefault="00B765A5" w:rsidP="00B765A5">
      <w:pPr>
        <w:numPr>
          <w:ilvl w:val="0"/>
          <w:numId w:val="1"/>
        </w:numPr>
        <w:ind w:hanging="720"/>
        <w:jc w:val="both"/>
        <w:rPr>
          <w:rFonts w:ascii="Arial" w:hAnsi="Arial"/>
          <w:b/>
          <w:sz w:val="22"/>
        </w:rPr>
      </w:pPr>
      <w:r>
        <w:rPr>
          <w:rFonts w:ascii="Arial" w:hAnsi="Arial"/>
          <w:b/>
          <w:sz w:val="22"/>
        </w:rPr>
        <w:t>Respondent Calculation Factors</w:t>
      </w:r>
    </w:p>
    <w:p w14:paraId="0E314273" w14:textId="34A96213" w:rsidR="00B765A5" w:rsidRDefault="00B765A5" w:rsidP="00B765A5">
      <w:pPr>
        <w:pStyle w:val="BodyTextIndent"/>
        <w:rPr>
          <w:sz w:val="22"/>
          <w:szCs w:val="22"/>
        </w:rPr>
      </w:pPr>
      <w:r>
        <w:rPr>
          <w:sz w:val="22"/>
          <w:szCs w:val="22"/>
        </w:rPr>
        <w:t xml:space="preserve">The USPTO estimates that it will receive </w:t>
      </w:r>
      <w:r w:rsidR="002B62DD">
        <w:rPr>
          <w:sz w:val="22"/>
          <w:szCs w:val="22"/>
        </w:rPr>
        <w:t>80</w:t>
      </w:r>
      <w:r>
        <w:rPr>
          <w:sz w:val="22"/>
          <w:szCs w:val="22"/>
        </w:rPr>
        <w:t xml:space="preserve"> responses to this information collection per year, with approximately</w:t>
      </w:r>
      <w:r w:rsidR="002B62DD">
        <w:rPr>
          <w:sz w:val="22"/>
          <w:szCs w:val="22"/>
        </w:rPr>
        <w:t xml:space="preserve"> 20</w:t>
      </w:r>
      <w:r>
        <w:rPr>
          <w:sz w:val="22"/>
          <w:szCs w:val="22"/>
        </w:rPr>
        <w:t xml:space="preserve"> </w:t>
      </w:r>
      <w:r w:rsidR="002B62DD">
        <w:rPr>
          <w:sz w:val="22"/>
          <w:szCs w:val="22"/>
        </w:rPr>
        <w:t xml:space="preserve">regional program administrators </w:t>
      </w:r>
      <w:r>
        <w:rPr>
          <w:sz w:val="22"/>
          <w:szCs w:val="22"/>
        </w:rPr>
        <w:t xml:space="preserve">reporting </w:t>
      </w:r>
      <w:r w:rsidR="00343ED0">
        <w:rPr>
          <w:sz w:val="22"/>
          <w:szCs w:val="22"/>
        </w:rPr>
        <w:t>their metrics once per quarter.</w:t>
      </w:r>
      <w:r>
        <w:rPr>
          <w:sz w:val="22"/>
          <w:szCs w:val="22"/>
        </w:rPr>
        <w:t xml:space="preserve"> All responses are submitted electronically.</w:t>
      </w:r>
      <w:r w:rsidR="001C51D2">
        <w:rPr>
          <w:sz w:val="22"/>
          <w:szCs w:val="22"/>
        </w:rPr>
        <w:t xml:space="preserve">  </w:t>
      </w:r>
    </w:p>
    <w:p w14:paraId="12CEFD1D" w14:textId="77777777" w:rsidR="00B765A5" w:rsidRDefault="00B765A5" w:rsidP="00B765A5">
      <w:pPr>
        <w:pStyle w:val="BodyTextIndent"/>
        <w:rPr>
          <w:sz w:val="22"/>
          <w:szCs w:val="22"/>
        </w:rPr>
      </w:pPr>
    </w:p>
    <w:p w14:paraId="29D0F204" w14:textId="77777777" w:rsidR="00B765A5" w:rsidRDefault="00B765A5" w:rsidP="00B765A5">
      <w:pPr>
        <w:numPr>
          <w:ilvl w:val="0"/>
          <w:numId w:val="2"/>
        </w:numPr>
        <w:tabs>
          <w:tab w:val="clear" w:pos="360"/>
          <w:tab w:val="num" w:pos="720"/>
        </w:tabs>
        <w:ind w:left="720" w:hanging="720"/>
        <w:jc w:val="both"/>
        <w:rPr>
          <w:rFonts w:ascii="Arial" w:hAnsi="Arial"/>
          <w:b/>
          <w:sz w:val="22"/>
        </w:rPr>
      </w:pPr>
      <w:r>
        <w:rPr>
          <w:rFonts w:ascii="Arial" w:hAnsi="Arial"/>
          <w:b/>
          <w:sz w:val="22"/>
        </w:rPr>
        <w:t>Burden Hour Calculation Factors</w:t>
      </w:r>
    </w:p>
    <w:p w14:paraId="4FE14AEF" w14:textId="35B6A754" w:rsidR="00B765A5" w:rsidRDefault="00B765A5" w:rsidP="00B765A5">
      <w:pPr>
        <w:ind w:left="720"/>
        <w:jc w:val="both"/>
        <w:rPr>
          <w:rFonts w:ascii="Arial" w:hAnsi="Arial"/>
          <w:sz w:val="22"/>
        </w:rPr>
      </w:pPr>
      <w:r>
        <w:rPr>
          <w:rFonts w:ascii="Arial" w:hAnsi="Arial"/>
          <w:sz w:val="22"/>
        </w:rPr>
        <w:t xml:space="preserve">The USPTO estimates that it takes the public approximately </w:t>
      </w:r>
      <w:r w:rsidR="002B62DD">
        <w:rPr>
          <w:rFonts w:ascii="Arial" w:hAnsi="Arial"/>
          <w:sz w:val="22"/>
        </w:rPr>
        <w:t xml:space="preserve">120 minutes (2 hours) </w:t>
      </w:r>
      <w:r w:rsidR="00343ED0">
        <w:rPr>
          <w:rFonts w:ascii="Arial" w:hAnsi="Arial"/>
          <w:sz w:val="22"/>
        </w:rPr>
        <w:t>to complete the worksheet.</w:t>
      </w:r>
      <w:r>
        <w:rPr>
          <w:rFonts w:ascii="Arial" w:hAnsi="Arial"/>
          <w:sz w:val="22"/>
        </w:rPr>
        <w:t xml:space="preserve"> This includes the time to gather the necessary information, prepare the worksheet, and submit it to the USPTO.</w:t>
      </w:r>
      <w:r w:rsidR="001C51D2">
        <w:rPr>
          <w:rFonts w:ascii="Arial" w:hAnsi="Arial"/>
          <w:sz w:val="22"/>
        </w:rPr>
        <w:t xml:space="preserve">  </w:t>
      </w:r>
    </w:p>
    <w:p w14:paraId="1104979B" w14:textId="77777777" w:rsidR="00B765A5" w:rsidRDefault="00B765A5" w:rsidP="00B765A5">
      <w:pPr>
        <w:ind w:left="720"/>
        <w:jc w:val="both"/>
        <w:rPr>
          <w:rFonts w:ascii="Arial" w:hAnsi="Arial"/>
          <w:sz w:val="22"/>
        </w:rPr>
      </w:pPr>
    </w:p>
    <w:p w14:paraId="7838D48C" w14:textId="77777777" w:rsidR="00B765A5" w:rsidRDefault="00B765A5" w:rsidP="00B765A5">
      <w:pPr>
        <w:numPr>
          <w:ilvl w:val="0"/>
          <w:numId w:val="3"/>
        </w:numPr>
        <w:ind w:hanging="720"/>
        <w:jc w:val="both"/>
        <w:rPr>
          <w:rFonts w:ascii="Arial" w:hAnsi="Arial"/>
          <w:sz w:val="22"/>
        </w:rPr>
      </w:pPr>
      <w:r>
        <w:rPr>
          <w:rFonts w:ascii="Arial" w:hAnsi="Arial"/>
          <w:b/>
          <w:sz w:val="22"/>
        </w:rPr>
        <w:t>Cost Burden Calculation Factors</w:t>
      </w:r>
    </w:p>
    <w:p w14:paraId="373EE463" w14:textId="7B1D789F" w:rsidR="00B765A5" w:rsidRDefault="00D77D10" w:rsidP="00B765A5">
      <w:pPr>
        <w:pStyle w:val="BodyTextIndent2"/>
      </w:pPr>
      <w:r>
        <w:t>T</w:t>
      </w:r>
      <w:r w:rsidR="00812D64" w:rsidRPr="00812D64">
        <w:t xml:space="preserve">he USPTO expects that regional </w:t>
      </w:r>
      <w:r w:rsidR="00595C5A">
        <w:t>program</w:t>
      </w:r>
      <w:r w:rsidR="00812D64" w:rsidRPr="00812D64">
        <w:t xml:space="preserve"> administrators will supply the information in this collection, at an estimated hourly rate of $65.51.</w:t>
      </w:r>
      <w:r w:rsidR="001C51D2">
        <w:t xml:space="preserve"> </w:t>
      </w:r>
      <w:r w:rsidR="00812D64" w:rsidRPr="00812D64">
        <w:t>The estimated hourly rate is derived from the mean hourly wage for a lawyer according to the United States Department of Labor Bureau of Labor Statistics May 2015 National Occupational Employment and Wage Estimates</w:t>
      </w:r>
      <w:r w:rsidR="00B10E87">
        <w:t xml:space="preserve">. </w:t>
      </w:r>
    </w:p>
    <w:p w14:paraId="02CC889A" w14:textId="77777777" w:rsidR="00A24A9C" w:rsidRDefault="00A24A9C" w:rsidP="00B765A5">
      <w:pPr>
        <w:pStyle w:val="BodyTextIndent2"/>
      </w:pPr>
    </w:p>
    <w:tbl>
      <w:tblPr>
        <w:tblpPr w:leftFromText="180" w:rightFromText="180" w:vertAnchor="text" w:horzAnchor="margin" w:tblpXSpec="center" w:tblpY="376"/>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818"/>
        <w:gridCol w:w="1350"/>
        <w:gridCol w:w="1332"/>
        <w:gridCol w:w="1548"/>
        <w:gridCol w:w="1134"/>
        <w:gridCol w:w="1368"/>
      </w:tblGrid>
      <w:tr w:rsidR="00B10E87" w14:paraId="651D847E" w14:textId="77777777" w:rsidTr="005B2440">
        <w:trPr>
          <w:cantSplit/>
          <w:tblHeader/>
        </w:trPr>
        <w:tc>
          <w:tcPr>
            <w:tcW w:w="828" w:type="dxa"/>
          </w:tcPr>
          <w:p w14:paraId="7BA13F3A" w14:textId="77777777" w:rsidR="00B10E87" w:rsidRDefault="00B10E87" w:rsidP="00B10E87">
            <w:pPr>
              <w:jc w:val="center"/>
              <w:rPr>
                <w:rFonts w:ascii="Arial" w:hAnsi="Arial"/>
                <w:b/>
                <w:sz w:val="16"/>
              </w:rPr>
            </w:pPr>
          </w:p>
          <w:p w14:paraId="7403989E" w14:textId="77777777" w:rsidR="00B10E87" w:rsidRDefault="00B10E87" w:rsidP="00B10E87">
            <w:pPr>
              <w:jc w:val="center"/>
              <w:rPr>
                <w:rFonts w:ascii="Arial" w:hAnsi="Arial"/>
                <w:b/>
                <w:sz w:val="16"/>
              </w:rPr>
            </w:pPr>
            <w:r>
              <w:rPr>
                <w:rFonts w:ascii="Arial" w:hAnsi="Arial"/>
                <w:b/>
                <w:sz w:val="16"/>
              </w:rPr>
              <w:t>IC Number</w:t>
            </w:r>
          </w:p>
        </w:tc>
        <w:tc>
          <w:tcPr>
            <w:tcW w:w="1818" w:type="dxa"/>
          </w:tcPr>
          <w:p w14:paraId="4902E29A" w14:textId="77777777" w:rsidR="00B10E87" w:rsidRDefault="00B10E87" w:rsidP="00B10E87">
            <w:pPr>
              <w:pStyle w:val="Heading9"/>
              <w:rPr>
                <w:sz w:val="16"/>
              </w:rPr>
            </w:pPr>
          </w:p>
          <w:p w14:paraId="0EBC1BDE" w14:textId="77777777" w:rsidR="00B10E87" w:rsidRDefault="00B10E87" w:rsidP="00B10E87">
            <w:pPr>
              <w:pStyle w:val="Heading9"/>
              <w:rPr>
                <w:sz w:val="16"/>
              </w:rPr>
            </w:pPr>
            <w:r>
              <w:rPr>
                <w:sz w:val="16"/>
              </w:rPr>
              <w:t>Item</w:t>
            </w:r>
          </w:p>
        </w:tc>
        <w:tc>
          <w:tcPr>
            <w:tcW w:w="1350" w:type="dxa"/>
          </w:tcPr>
          <w:p w14:paraId="6185D908" w14:textId="77777777" w:rsidR="00B10E87" w:rsidRDefault="00B10E87" w:rsidP="00B10E87">
            <w:pPr>
              <w:jc w:val="center"/>
              <w:rPr>
                <w:rFonts w:ascii="Arial" w:hAnsi="Arial"/>
                <w:b/>
                <w:sz w:val="16"/>
              </w:rPr>
            </w:pPr>
          </w:p>
          <w:p w14:paraId="66E3E963" w14:textId="77777777" w:rsidR="00B10E87" w:rsidRDefault="00B10E87" w:rsidP="00B10E87">
            <w:pPr>
              <w:jc w:val="center"/>
              <w:rPr>
                <w:rFonts w:ascii="Arial" w:hAnsi="Arial"/>
                <w:b/>
                <w:sz w:val="16"/>
              </w:rPr>
            </w:pPr>
            <w:r>
              <w:rPr>
                <w:rFonts w:ascii="Arial" w:hAnsi="Arial"/>
                <w:b/>
                <w:sz w:val="16"/>
              </w:rPr>
              <w:t>Estimated Response Time (min)</w:t>
            </w:r>
          </w:p>
          <w:p w14:paraId="507D60DE" w14:textId="77777777" w:rsidR="00B10E87" w:rsidRDefault="00B10E87" w:rsidP="00B10E87">
            <w:pPr>
              <w:jc w:val="center"/>
              <w:rPr>
                <w:rFonts w:ascii="Arial" w:hAnsi="Arial"/>
                <w:b/>
                <w:sz w:val="16"/>
              </w:rPr>
            </w:pPr>
            <w:r>
              <w:rPr>
                <w:rFonts w:ascii="Arial" w:hAnsi="Arial"/>
                <w:b/>
                <w:sz w:val="16"/>
              </w:rPr>
              <w:t>(a)</w:t>
            </w:r>
          </w:p>
        </w:tc>
        <w:tc>
          <w:tcPr>
            <w:tcW w:w="1332" w:type="dxa"/>
          </w:tcPr>
          <w:p w14:paraId="74F9FFAF" w14:textId="77777777" w:rsidR="00B10E87" w:rsidRDefault="00B10E87" w:rsidP="00B10E87">
            <w:pPr>
              <w:jc w:val="center"/>
              <w:rPr>
                <w:rFonts w:ascii="Arial" w:hAnsi="Arial"/>
                <w:b/>
                <w:sz w:val="16"/>
              </w:rPr>
            </w:pPr>
          </w:p>
          <w:p w14:paraId="35D2D104" w14:textId="77777777" w:rsidR="00B10E87" w:rsidRDefault="00B10E87" w:rsidP="00B10E87">
            <w:pPr>
              <w:jc w:val="center"/>
              <w:rPr>
                <w:rFonts w:ascii="Arial" w:hAnsi="Arial"/>
                <w:b/>
                <w:sz w:val="16"/>
              </w:rPr>
            </w:pPr>
            <w:r>
              <w:rPr>
                <w:rFonts w:ascii="Arial" w:hAnsi="Arial"/>
                <w:b/>
                <w:sz w:val="16"/>
              </w:rPr>
              <w:t>Estimated Annual Responses</w:t>
            </w:r>
          </w:p>
          <w:p w14:paraId="73A9446A" w14:textId="77777777" w:rsidR="00B10E87" w:rsidRDefault="00B10E87" w:rsidP="00B10E87">
            <w:pPr>
              <w:jc w:val="center"/>
              <w:rPr>
                <w:rFonts w:ascii="Arial" w:hAnsi="Arial"/>
                <w:b/>
                <w:sz w:val="16"/>
              </w:rPr>
            </w:pPr>
            <w:r>
              <w:rPr>
                <w:rFonts w:ascii="Arial" w:hAnsi="Arial"/>
                <w:b/>
                <w:sz w:val="16"/>
              </w:rPr>
              <w:t>(b)</w:t>
            </w:r>
          </w:p>
        </w:tc>
        <w:tc>
          <w:tcPr>
            <w:tcW w:w="1548" w:type="dxa"/>
          </w:tcPr>
          <w:p w14:paraId="3FB29F07" w14:textId="77777777" w:rsidR="00B10E87" w:rsidRDefault="00B10E87" w:rsidP="00B10E87">
            <w:pPr>
              <w:jc w:val="center"/>
              <w:rPr>
                <w:rFonts w:ascii="Arial" w:hAnsi="Arial"/>
                <w:b/>
                <w:sz w:val="16"/>
              </w:rPr>
            </w:pPr>
          </w:p>
          <w:p w14:paraId="428BA795" w14:textId="77777777" w:rsidR="00B10E87" w:rsidRDefault="00B10E87" w:rsidP="00B10E87">
            <w:pPr>
              <w:jc w:val="center"/>
              <w:rPr>
                <w:rFonts w:ascii="Arial" w:hAnsi="Arial"/>
                <w:b/>
                <w:sz w:val="16"/>
              </w:rPr>
            </w:pPr>
            <w:r>
              <w:rPr>
                <w:rFonts w:ascii="Arial" w:hAnsi="Arial"/>
                <w:b/>
                <w:sz w:val="16"/>
              </w:rPr>
              <w:t>Estimated Annual Burden Hours</w:t>
            </w:r>
          </w:p>
          <w:p w14:paraId="02A8E962" w14:textId="77777777" w:rsidR="00B10E87" w:rsidRDefault="00B10E87" w:rsidP="00B10E87">
            <w:pPr>
              <w:jc w:val="center"/>
              <w:rPr>
                <w:rFonts w:ascii="Arial" w:hAnsi="Arial"/>
                <w:b/>
                <w:sz w:val="16"/>
              </w:rPr>
            </w:pPr>
            <w:r>
              <w:rPr>
                <w:rFonts w:ascii="Arial" w:hAnsi="Arial"/>
                <w:b/>
                <w:sz w:val="16"/>
              </w:rPr>
              <w:t xml:space="preserve">(a) x (b) </w:t>
            </w:r>
            <w:r w:rsidR="005B2440">
              <w:rPr>
                <w:rFonts w:ascii="Arial" w:hAnsi="Arial"/>
                <w:b/>
                <w:sz w:val="16"/>
              </w:rPr>
              <w:t xml:space="preserve">/ 60 </w:t>
            </w:r>
            <w:r>
              <w:rPr>
                <w:rFonts w:ascii="Arial" w:hAnsi="Arial"/>
                <w:b/>
                <w:sz w:val="16"/>
              </w:rPr>
              <w:t>= (c)</w:t>
            </w:r>
          </w:p>
        </w:tc>
        <w:tc>
          <w:tcPr>
            <w:tcW w:w="1134" w:type="dxa"/>
          </w:tcPr>
          <w:p w14:paraId="250DF772" w14:textId="77777777" w:rsidR="00B10E87" w:rsidRDefault="00B10E87" w:rsidP="00B10E87">
            <w:pPr>
              <w:jc w:val="center"/>
              <w:rPr>
                <w:rFonts w:ascii="Arial" w:hAnsi="Arial"/>
                <w:b/>
                <w:sz w:val="16"/>
              </w:rPr>
            </w:pPr>
          </w:p>
          <w:p w14:paraId="23DA95A7" w14:textId="77777777" w:rsidR="00B10E87" w:rsidRDefault="00B10E87" w:rsidP="00B10E87">
            <w:pPr>
              <w:jc w:val="center"/>
              <w:rPr>
                <w:rFonts w:ascii="Arial" w:hAnsi="Arial"/>
                <w:b/>
                <w:sz w:val="16"/>
              </w:rPr>
            </w:pPr>
            <w:r>
              <w:rPr>
                <w:rFonts w:ascii="Arial" w:hAnsi="Arial"/>
                <w:b/>
                <w:sz w:val="16"/>
              </w:rPr>
              <w:t>Rate</w:t>
            </w:r>
          </w:p>
          <w:p w14:paraId="13ABEBDB" w14:textId="77777777" w:rsidR="00B10E87" w:rsidRDefault="00B10E87" w:rsidP="00B10E87">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4583EF46" w14:textId="77777777" w:rsidR="00B10E87" w:rsidRDefault="00B10E87" w:rsidP="00B10E87">
            <w:pPr>
              <w:jc w:val="center"/>
              <w:rPr>
                <w:rFonts w:ascii="Arial" w:hAnsi="Arial"/>
                <w:b/>
                <w:sz w:val="16"/>
              </w:rPr>
            </w:pPr>
          </w:p>
          <w:p w14:paraId="717F2B8A" w14:textId="77777777" w:rsidR="00B10E87" w:rsidRDefault="00B10E87" w:rsidP="00B10E87">
            <w:pPr>
              <w:jc w:val="center"/>
              <w:rPr>
                <w:rFonts w:ascii="Arial" w:hAnsi="Arial"/>
                <w:b/>
                <w:sz w:val="16"/>
              </w:rPr>
            </w:pPr>
            <w:r>
              <w:rPr>
                <w:rFonts w:ascii="Arial" w:hAnsi="Arial"/>
                <w:b/>
                <w:sz w:val="16"/>
              </w:rPr>
              <w:t>(d)</w:t>
            </w:r>
          </w:p>
        </w:tc>
        <w:tc>
          <w:tcPr>
            <w:tcW w:w="1368" w:type="dxa"/>
          </w:tcPr>
          <w:p w14:paraId="36B6488A" w14:textId="77777777" w:rsidR="00B10E87" w:rsidRDefault="00B10E87" w:rsidP="00B10E87">
            <w:pPr>
              <w:jc w:val="center"/>
              <w:rPr>
                <w:rFonts w:ascii="Arial" w:hAnsi="Arial"/>
                <w:b/>
                <w:sz w:val="16"/>
              </w:rPr>
            </w:pPr>
          </w:p>
          <w:p w14:paraId="0A09B645" w14:textId="77777777" w:rsidR="00B10E87" w:rsidRDefault="00B10E87" w:rsidP="00B10E87">
            <w:pPr>
              <w:jc w:val="center"/>
              <w:rPr>
                <w:rFonts w:ascii="Arial" w:hAnsi="Arial"/>
                <w:b/>
                <w:sz w:val="16"/>
              </w:rPr>
            </w:pPr>
            <w:r>
              <w:rPr>
                <w:rFonts w:ascii="Arial" w:hAnsi="Arial"/>
                <w:b/>
                <w:sz w:val="16"/>
              </w:rPr>
              <w:t>Total Hourly Burden Cost</w:t>
            </w:r>
          </w:p>
          <w:p w14:paraId="31A22A44" w14:textId="77777777" w:rsidR="00B10E87" w:rsidRDefault="00B10E87" w:rsidP="00B10E87">
            <w:pPr>
              <w:jc w:val="center"/>
              <w:rPr>
                <w:rFonts w:ascii="Arial" w:hAnsi="Arial"/>
                <w:b/>
                <w:sz w:val="16"/>
              </w:rPr>
            </w:pPr>
          </w:p>
          <w:p w14:paraId="353C4B32" w14:textId="77777777" w:rsidR="00B10E87" w:rsidRDefault="00B10E87" w:rsidP="00B10E87">
            <w:pPr>
              <w:jc w:val="center"/>
              <w:rPr>
                <w:rFonts w:ascii="Arial" w:hAnsi="Arial"/>
                <w:b/>
                <w:sz w:val="16"/>
              </w:rPr>
            </w:pPr>
            <w:r>
              <w:rPr>
                <w:rFonts w:ascii="Arial" w:hAnsi="Arial"/>
                <w:b/>
                <w:sz w:val="16"/>
              </w:rPr>
              <w:t>(c) x (d) = (e)</w:t>
            </w:r>
          </w:p>
        </w:tc>
      </w:tr>
      <w:tr w:rsidR="00B10E87" w14:paraId="79294CBA" w14:textId="77777777" w:rsidTr="00204142">
        <w:trPr>
          <w:cantSplit/>
        </w:trPr>
        <w:tc>
          <w:tcPr>
            <w:tcW w:w="828" w:type="dxa"/>
            <w:vAlign w:val="center"/>
          </w:tcPr>
          <w:p w14:paraId="3870D2FB" w14:textId="77777777" w:rsidR="00B10E87" w:rsidRPr="00B10E87" w:rsidRDefault="00B10E87" w:rsidP="00B10E87">
            <w:pPr>
              <w:jc w:val="center"/>
              <w:rPr>
                <w:rFonts w:ascii="Arial" w:hAnsi="Arial"/>
                <w:b/>
                <w:bCs/>
                <w:sz w:val="16"/>
              </w:rPr>
            </w:pPr>
            <w:r w:rsidRPr="00B10E87">
              <w:rPr>
                <w:rFonts w:ascii="Arial" w:hAnsi="Arial"/>
                <w:b/>
                <w:bCs/>
                <w:sz w:val="16"/>
              </w:rPr>
              <w:t>1</w:t>
            </w:r>
          </w:p>
        </w:tc>
        <w:tc>
          <w:tcPr>
            <w:tcW w:w="1818" w:type="dxa"/>
            <w:vAlign w:val="center"/>
          </w:tcPr>
          <w:p w14:paraId="5B5AAEAA" w14:textId="77777777" w:rsidR="00B10E87" w:rsidRDefault="00204142" w:rsidP="00B10E87">
            <w:pPr>
              <w:rPr>
                <w:rFonts w:ascii="Arial" w:hAnsi="Arial"/>
                <w:bCs/>
                <w:sz w:val="16"/>
              </w:rPr>
            </w:pPr>
            <w:r>
              <w:rPr>
                <w:rFonts w:ascii="Arial" w:hAnsi="Arial"/>
                <w:bCs/>
                <w:sz w:val="16"/>
              </w:rPr>
              <w:t>R</w:t>
            </w:r>
            <w:r w:rsidR="00B10E87" w:rsidRPr="00B10E87">
              <w:rPr>
                <w:rFonts w:ascii="Arial" w:hAnsi="Arial"/>
                <w:bCs/>
                <w:sz w:val="16"/>
              </w:rPr>
              <w:t>egional Program Administrator Survey</w:t>
            </w:r>
          </w:p>
        </w:tc>
        <w:tc>
          <w:tcPr>
            <w:tcW w:w="1350" w:type="dxa"/>
            <w:vAlign w:val="center"/>
          </w:tcPr>
          <w:p w14:paraId="40EB9489" w14:textId="77777777" w:rsidR="00B10E87" w:rsidRDefault="00B10E87" w:rsidP="005B2440">
            <w:pPr>
              <w:jc w:val="right"/>
              <w:rPr>
                <w:rFonts w:ascii="Arial" w:hAnsi="Arial"/>
                <w:sz w:val="16"/>
              </w:rPr>
            </w:pPr>
            <w:r>
              <w:rPr>
                <w:rFonts w:ascii="Arial" w:hAnsi="Arial"/>
                <w:sz w:val="16"/>
              </w:rPr>
              <w:t>120</w:t>
            </w:r>
          </w:p>
        </w:tc>
        <w:tc>
          <w:tcPr>
            <w:tcW w:w="1332" w:type="dxa"/>
            <w:vAlign w:val="center"/>
          </w:tcPr>
          <w:p w14:paraId="28AE3160" w14:textId="77777777" w:rsidR="00B10E87" w:rsidRDefault="00B10E87" w:rsidP="005B2440">
            <w:pPr>
              <w:jc w:val="right"/>
              <w:rPr>
                <w:rFonts w:ascii="Arial" w:hAnsi="Arial"/>
                <w:sz w:val="16"/>
              </w:rPr>
            </w:pPr>
            <w:r>
              <w:rPr>
                <w:rFonts w:ascii="Arial" w:hAnsi="Arial"/>
                <w:sz w:val="16"/>
              </w:rPr>
              <w:t>80</w:t>
            </w:r>
          </w:p>
        </w:tc>
        <w:tc>
          <w:tcPr>
            <w:tcW w:w="1548" w:type="dxa"/>
            <w:vAlign w:val="center"/>
          </w:tcPr>
          <w:p w14:paraId="3DA8EF0A" w14:textId="77777777" w:rsidR="00B10E87" w:rsidRDefault="00B10E87" w:rsidP="00B10E87">
            <w:pPr>
              <w:jc w:val="right"/>
              <w:rPr>
                <w:rFonts w:ascii="Arial" w:hAnsi="Arial"/>
                <w:sz w:val="16"/>
              </w:rPr>
            </w:pPr>
            <w:r>
              <w:rPr>
                <w:rFonts w:ascii="Arial" w:hAnsi="Arial"/>
                <w:sz w:val="16"/>
              </w:rPr>
              <w:t>160</w:t>
            </w:r>
          </w:p>
        </w:tc>
        <w:tc>
          <w:tcPr>
            <w:tcW w:w="1134" w:type="dxa"/>
            <w:vAlign w:val="center"/>
          </w:tcPr>
          <w:p w14:paraId="14E73132" w14:textId="77777777" w:rsidR="00204142" w:rsidRDefault="00204142" w:rsidP="00B10E87">
            <w:pPr>
              <w:jc w:val="right"/>
              <w:rPr>
                <w:rFonts w:ascii="Arial" w:hAnsi="Arial"/>
                <w:sz w:val="16"/>
              </w:rPr>
            </w:pPr>
          </w:p>
          <w:p w14:paraId="0457077C" w14:textId="77777777" w:rsidR="00B10E87" w:rsidRDefault="00B10E87" w:rsidP="00B10E87">
            <w:pPr>
              <w:jc w:val="right"/>
              <w:rPr>
                <w:rFonts w:ascii="Arial" w:hAnsi="Arial"/>
                <w:sz w:val="16"/>
              </w:rPr>
            </w:pPr>
            <w:r>
              <w:rPr>
                <w:rFonts w:ascii="Arial" w:hAnsi="Arial"/>
                <w:sz w:val="16"/>
              </w:rPr>
              <w:t>$</w:t>
            </w:r>
            <w:r w:rsidR="00812D64">
              <w:rPr>
                <w:rFonts w:ascii="Arial" w:hAnsi="Arial"/>
                <w:sz w:val="16"/>
              </w:rPr>
              <w:t>65.51</w:t>
            </w:r>
          </w:p>
          <w:p w14:paraId="19C6DBFE" w14:textId="77777777" w:rsidR="00B10E87" w:rsidRDefault="00B10E87" w:rsidP="00B10E87">
            <w:pPr>
              <w:jc w:val="right"/>
              <w:rPr>
                <w:rFonts w:ascii="Arial" w:hAnsi="Arial"/>
                <w:sz w:val="16"/>
              </w:rPr>
            </w:pPr>
          </w:p>
        </w:tc>
        <w:tc>
          <w:tcPr>
            <w:tcW w:w="1368" w:type="dxa"/>
            <w:vAlign w:val="center"/>
          </w:tcPr>
          <w:p w14:paraId="7CF25EBC" w14:textId="77777777" w:rsidR="00B10E87" w:rsidRDefault="00812D64" w:rsidP="00812D64">
            <w:pPr>
              <w:jc w:val="right"/>
              <w:rPr>
                <w:rFonts w:ascii="Arial" w:hAnsi="Arial"/>
                <w:sz w:val="16"/>
              </w:rPr>
            </w:pPr>
            <w:r w:rsidRPr="00812D64">
              <w:rPr>
                <w:rFonts w:ascii="Arial" w:hAnsi="Arial"/>
                <w:sz w:val="16"/>
              </w:rPr>
              <w:t>$10,48</w:t>
            </w:r>
            <w:r>
              <w:rPr>
                <w:rFonts w:ascii="Arial" w:hAnsi="Arial"/>
                <w:sz w:val="16"/>
              </w:rPr>
              <w:t>1</w:t>
            </w:r>
            <w:r w:rsidRPr="00812D64">
              <w:rPr>
                <w:rFonts w:ascii="Arial" w:hAnsi="Arial"/>
                <w:sz w:val="16"/>
              </w:rPr>
              <w:t>.</w:t>
            </w:r>
            <w:r>
              <w:rPr>
                <w:rFonts w:ascii="Arial" w:hAnsi="Arial"/>
                <w:sz w:val="16"/>
              </w:rPr>
              <w:t>6</w:t>
            </w:r>
            <w:r w:rsidRPr="00812D64">
              <w:rPr>
                <w:rFonts w:ascii="Arial" w:hAnsi="Arial"/>
                <w:sz w:val="16"/>
              </w:rPr>
              <w:t>0</w:t>
            </w:r>
          </w:p>
        </w:tc>
      </w:tr>
      <w:tr w:rsidR="00B10E87" w14:paraId="5CFAD2E8" w14:textId="77777777" w:rsidTr="00204142">
        <w:trPr>
          <w:cantSplit/>
        </w:trPr>
        <w:tc>
          <w:tcPr>
            <w:tcW w:w="828" w:type="dxa"/>
            <w:vAlign w:val="center"/>
          </w:tcPr>
          <w:p w14:paraId="40717448" w14:textId="77777777" w:rsidR="00B10E87" w:rsidRDefault="00B10E87" w:rsidP="00B10E87">
            <w:pPr>
              <w:rPr>
                <w:rFonts w:ascii="Arial" w:hAnsi="Arial"/>
                <w:b/>
                <w:sz w:val="16"/>
              </w:rPr>
            </w:pPr>
          </w:p>
        </w:tc>
        <w:tc>
          <w:tcPr>
            <w:tcW w:w="1818" w:type="dxa"/>
            <w:vAlign w:val="center"/>
          </w:tcPr>
          <w:p w14:paraId="5B86B99C" w14:textId="77777777" w:rsidR="00B10E87" w:rsidRDefault="00B10E87" w:rsidP="00B10E87">
            <w:pPr>
              <w:rPr>
                <w:rFonts w:ascii="Arial" w:hAnsi="Arial"/>
                <w:b/>
                <w:sz w:val="16"/>
              </w:rPr>
            </w:pPr>
            <w:r>
              <w:rPr>
                <w:rFonts w:ascii="Arial" w:hAnsi="Arial"/>
                <w:b/>
                <w:sz w:val="16"/>
              </w:rPr>
              <w:t>Total</w:t>
            </w:r>
          </w:p>
        </w:tc>
        <w:tc>
          <w:tcPr>
            <w:tcW w:w="1350" w:type="dxa"/>
            <w:vAlign w:val="center"/>
          </w:tcPr>
          <w:p w14:paraId="5A8B6C23" w14:textId="77777777" w:rsidR="00B10E87" w:rsidRDefault="00B10E87" w:rsidP="00B10E87">
            <w:pPr>
              <w:jc w:val="center"/>
              <w:rPr>
                <w:rFonts w:ascii="Arial" w:hAnsi="Arial"/>
                <w:b/>
                <w:sz w:val="16"/>
              </w:rPr>
            </w:pPr>
          </w:p>
          <w:p w14:paraId="31C06C15" w14:textId="58EDBE2D" w:rsidR="00B10E87" w:rsidRDefault="001C51D2" w:rsidP="00B10E87">
            <w:pPr>
              <w:jc w:val="center"/>
              <w:rPr>
                <w:rFonts w:ascii="Arial" w:hAnsi="Arial"/>
                <w:b/>
                <w:sz w:val="16"/>
              </w:rPr>
            </w:pPr>
            <w:r>
              <w:rPr>
                <w:rFonts w:ascii="Arial" w:hAnsi="Arial"/>
                <w:b/>
                <w:sz w:val="16"/>
              </w:rPr>
              <w:t xml:space="preserve"> </w:t>
            </w:r>
            <w:r w:rsidR="00B10E87">
              <w:rPr>
                <w:rFonts w:ascii="Arial" w:hAnsi="Arial"/>
                <w:b/>
                <w:sz w:val="16"/>
              </w:rPr>
              <w:t>-</w:t>
            </w:r>
            <w:r>
              <w:rPr>
                <w:rFonts w:ascii="Arial" w:hAnsi="Arial"/>
                <w:b/>
                <w:sz w:val="16"/>
              </w:rPr>
              <w:t xml:space="preserve"> </w:t>
            </w:r>
            <w:r w:rsidR="00B10E87">
              <w:rPr>
                <w:rFonts w:ascii="Arial" w:hAnsi="Arial"/>
                <w:b/>
                <w:sz w:val="16"/>
              </w:rPr>
              <w:t>-</w:t>
            </w:r>
            <w:r>
              <w:rPr>
                <w:rFonts w:ascii="Arial" w:hAnsi="Arial"/>
                <w:b/>
                <w:sz w:val="16"/>
              </w:rPr>
              <w:t xml:space="preserve"> </w:t>
            </w:r>
            <w:r w:rsidR="00B10E87">
              <w:rPr>
                <w:rFonts w:ascii="Arial" w:hAnsi="Arial"/>
                <w:b/>
                <w:sz w:val="16"/>
              </w:rPr>
              <w:t>-</w:t>
            </w:r>
            <w:r>
              <w:rPr>
                <w:rFonts w:ascii="Arial" w:hAnsi="Arial"/>
                <w:b/>
                <w:sz w:val="16"/>
              </w:rPr>
              <w:t xml:space="preserve"> </w:t>
            </w:r>
            <w:r w:rsidR="00B10E87">
              <w:rPr>
                <w:rFonts w:ascii="Arial" w:hAnsi="Arial"/>
                <w:b/>
                <w:sz w:val="16"/>
              </w:rPr>
              <w:t>-</w:t>
            </w:r>
          </w:p>
        </w:tc>
        <w:tc>
          <w:tcPr>
            <w:tcW w:w="1332" w:type="dxa"/>
            <w:vAlign w:val="center"/>
          </w:tcPr>
          <w:p w14:paraId="3DFF34A6" w14:textId="77777777" w:rsidR="00B10E87" w:rsidRDefault="00B10E87" w:rsidP="00B10E87">
            <w:pPr>
              <w:jc w:val="right"/>
              <w:rPr>
                <w:rFonts w:ascii="Arial" w:hAnsi="Arial"/>
                <w:b/>
                <w:sz w:val="16"/>
              </w:rPr>
            </w:pPr>
            <w:r>
              <w:rPr>
                <w:rFonts w:ascii="Arial" w:hAnsi="Arial"/>
                <w:b/>
                <w:sz w:val="16"/>
              </w:rPr>
              <w:t>80</w:t>
            </w:r>
          </w:p>
        </w:tc>
        <w:tc>
          <w:tcPr>
            <w:tcW w:w="1548" w:type="dxa"/>
            <w:vAlign w:val="center"/>
          </w:tcPr>
          <w:p w14:paraId="0293A80A" w14:textId="77777777" w:rsidR="00B10E87" w:rsidRDefault="00B10E87" w:rsidP="00B10E87">
            <w:pPr>
              <w:jc w:val="right"/>
              <w:rPr>
                <w:rFonts w:ascii="Arial" w:hAnsi="Arial"/>
                <w:b/>
                <w:sz w:val="16"/>
              </w:rPr>
            </w:pPr>
            <w:r>
              <w:rPr>
                <w:rFonts w:ascii="Arial" w:hAnsi="Arial"/>
                <w:b/>
                <w:sz w:val="16"/>
              </w:rPr>
              <w:t>160</w:t>
            </w:r>
          </w:p>
        </w:tc>
        <w:tc>
          <w:tcPr>
            <w:tcW w:w="1134" w:type="dxa"/>
            <w:vAlign w:val="center"/>
          </w:tcPr>
          <w:p w14:paraId="75A2320A" w14:textId="77777777" w:rsidR="00B10E87" w:rsidRDefault="00B10E87" w:rsidP="00B10E87">
            <w:pPr>
              <w:jc w:val="right"/>
              <w:rPr>
                <w:rFonts w:ascii="Arial" w:hAnsi="Arial"/>
                <w:b/>
                <w:sz w:val="16"/>
              </w:rPr>
            </w:pPr>
          </w:p>
          <w:p w14:paraId="6A66A27E" w14:textId="127246A6" w:rsidR="00B10E87" w:rsidRDefault="00B10E87" w:rsidP="00B10E87">
            <w:pPr>
              <w:jc w:val="right"/>
              <w:rPr>
                <w:rFonts w:ascii="Arial" w:hAnsi="Arial"/>
                <w:b/>
                <w:sz w:val="16"/>
              </w:rPr>
            </w:pPr>
            <w:r>
              <w:rPr>
                <w:rFonts w:ascii="Arial" w:hAnsi="Arial"/>
                <w:b/>
                <w:sz w:val="16"/>
              </w:rPr>
              <w:t>-</w:t>
            </w:r>
            <w:r w:rsidR="001C51D2">
              <w:rPr>
                <w:rFonts w:ascii="Arial" w:hAnsi="Arial"/>
                <w:b/>
                <w:sz w:val="16"/>
              </w:rPr>
              <w:t xml:space="preserve"> </w:t>
            </w:r>
            <w:r>
              <w:rPr>
                <w:rFonts w:ascii="Arial" w:hAnsi="Arial"/>
                <w:b/>
                <w:sz w:val="16"/>
              </w:rPr>
              <w:t>-</w:t>
            </w:r>
            <w:r w:rsidR="001C51D2">
              <w:rPr>
                <w:rFonts w:ascii="Arial" w:hAnsi="Arial"/>
                <w:b/>
                <w:sz w:val="16"/>
              </w:rPr>
              <w:t xml:space="preserve"> </w:t>
            </w:r>
            <w:r>
              <w:rPr>
                <w:rFonts w:ascii="Arial" w:hAnsi="Arial"/>
                <w:b/>
                <w:sz w:val="16"/>
              </w:rPr>
              <w:t>-</w:t>
            </w:r>
            <w:r w:rsidR="001C51D2">
              <w:rPr>
                <w:rFonts w:ascii="Arial" w:hAnsi="Arial"/>
                <w:b/>
                <w:sz w:val="16"/>
              </w:rPr>
              <w:t xml:space="preserve"> </w:t>
            </w:r>
            <w:r>
              <w:rPr>
                <w:rFonts w:ascii="Arial" w:hAnsi="Arial"/>
                <w:b/>
                <w:sz w:val="16"/>
              </w:rPr>
              <w:t xml:space="preserve">- </w:t>
            </w:r>
          </w:p>
        </w:tc>
        <w:tc>
          <w:tcPr>
            <w:tcW w:w="1368" w:type="dxa"/>
            <w:vAlign w:val="center"/>
          </w:tcPr>
          <w:p w14:paraId="7E74AC16" w14:textId="77777777" w:rsidR="00B10E87" w:rsidRDefault="00812D64" w:rsidP="00812D64">
            <w:pPr>
              <w:jc w:val="right"/>
              <w:rPr>
                <w:rFonts w:ascii="Arial" w:hAnsi="Arial"/>
                <w:b/>
                <w:sz w:val="16"/>
              </w:rPr>
            </w:pPr>
            <w:r w:rsidRPr="00812D64">
              <w:rPr>
                <w:rFonts w:ascii="Arial" w:hAnsi="Arial"/>
                <w:b/>
                <w:sz w:val="16"/>
              </w:rPr>
              <w:t>$10,48</w:t>
            </w:r>
            <w:r>
              <w:rPr>
                <w:rFonts w:ascii="Arial" w:hAnsi="Arial"/>
                <w:b/>
                <w:sz w:val="16"/>
              </w:rPr>
              <w:t>1</w:t>
            </w:r>
            <w:r w:rsidRPr="00812D64">
              <w:rPr>
                <w:rFonts w:ascii="Arial" w:hAnsi="Arial"/>
                <w:b/>
                <w:sz w:val="16"/>
              </w:rPr>
              <w:t>.</w:t>
            </w:r>
            <w:r>
              <w:rPr>
                <w:rFonts w:ascii="Arial" w:hAnsi="Arial"/>
                <w:b/>
                <w:sz w:val="16"/>
              </w:rPr>
              <w:t>6</w:t>
            </w:r>
            <w:r w:rsidRPr="00812D64">
              <w:rPr>
                <w:rFonts w:ascii="Arial" w:hAnsi="Arial"/>
                <w:b/>
                <w:sz w:val="16"/>
              </w:rPr>
              <w:t>0</w:t>
            </w:r>
          </w:p>
        </w:tc>
      </w:tr>
    </w:tbl>
    <w:p w14:paraId="1D7A057F" w14:textId="450CF8CA" w:rsidR="00B765A5" w:rsidRPr="00B10E87" w:rsidRDefault="00B765A5" w:rsidP="00B10E87">
      <w:pPr>
        <w:pStyle w:val="BodyTextIndent2"/>
        <w:ind w:left="0"/>
        <w:rPr>
          <w:b/>
        </w:rPr>
      </w:pPr>
      <w:r w:rsidRPr="00B10E87">
        <w:rPr>
          <w:b/>
        </w:rPr>
        <w:t>Table 3:</w:t>
      </w:r>
      <w:r w:rsidR="001C51D2">
        <w:rPr>
          <w:b/>
        </w:rPr>
        <w:t xml:space="preserve"> </w:t>
      </w:r>
      <w:r w:rsidRPr="00B10E87">
        <w:rPr>
          <w:b/>
        </w:rPr>
        <w:t xml:space="preserve">Burden Hour/Burden Cost to Respondents for </w:t>
      </w:r>
      <w:r w:rsidR="00B10E87">
        <w:rPr>
          <w:b/>
        </w:rPr>
        <w:t>Pro Bono Survey</w:t>
      </w:r>
    </w:p>
    <w:p w14:paraId="6D318C3C" w14:textId="4CE6F5DE" w:rsidR="00B765A5" w:rsidRDefault="00BD63FE" w:rsidP="00BD63FE">
      <w:pPr>
        <w:tabs>
          <w:tab w:val="left" w:pos="8385"/>
        </w:tabs>
        <w:rPr>
          <w:rFonts w:ascii="Arial" w:hAnsi="Arial"/>
          <w:b/>
          <w:sz w:val="24"/>
        </w:rPr>
      </w:pPr>
      <w:r>
        <w:rPr>
          <w:rFonts w:ascii="Arial" w:hAnsi="Arial"/>
          <w:b/>
          <w:sz w:val="24"/>
        </w:rPr>
        <w:tab/>
      </w:r>
    </w:p>
    <w:p w14:paraId="20DDD55B" w14:textId="77777777" w:rsidR="00B765A5" w:rsidRDefault="00B765A5" w:rsidP="00B765A5">
      <w:pPr>
        <w:rPr>
          <w:rFonts w:ascii="Arial" w:hAnsi="Arial"/>
          <w:b/>
          <w:sz w:val="24"/>
        </w:rPr>
      </w:pPr>
      <w:r>
        <w:rPr>
          <w:rFonts w:ascii="Arial" w:hAnsi="Arial"/>
          <w:b/>
          <w:sz w:val="24"/>
        </w:rPr>
        <w:t>13.</w:t>
      </w:r>
      <w:r>
        <w:rPr>
          <w:rFonts w:ascii="Arial" w:hAnsi="Arial"/>
          <w:b/>
          <w:sz w:val="24"/>
        </w:rPr>
        <w:tab/>
        <w:t>Total Annualized</w:t>
      </w:r>
      <w:r w:rsidR="004847AE">
        <w:rPr>
          <w:rFonts w:ascii="Arial" w:hAnsi="Arial"/>
          <w:b/>
          <w:sz w:val="24"/>
        </w:rPr>
        <w:t xml:space="preserve"> (Non-hour)</w:t>
      </w:r>
      <w:r>
        <w:rPr>
          <w:rFonts w:ascii="Arial" w:hAnsi="Arial"/>
          <w:b/>
          <w:sz w:val="24"/>
        </w:rPr>
        <w:t xml:space="preserve"> Cost Burden</w:t>
      </w:r>
    </w:p>
    <w:p w14:paraId="794ECBC3" w14:textId="77777777" w:rsidR="00B765A5" w:rsidRDefault="00B765A5" w:rsidP="00B765A5">
      <w:pPr>
        <w:rPr>
          <w:rFonts w:ascii="Arial" w:hAnsi="Arial"/>
          <w:sz w:val="24"/>
        </w:rPr>
      </w:pPr>
    </w:p>
    <w:p w14:paraId="5EEBF186" w14:textId="478CF31C" w:rsidR="00B765A5" w:rsidRDefault="00B765A5" w:rsidP="00B765A5">
      <w:pPr>
        <w:jc w:val="both"/>
        <w:rPr>
          <w:rFonts w:ascii="Arial" w:hAnsi="Arial"/>
          <w:sz w:val="24"/>
        </w:rPr>
      </w:pPr>
      <w:r>
        <w:rPr>
          <w:rFonts w:ascii="Arial" w:hAnsi="Arial"/>
          <w:sz w:val="24"/>
        </w:rPr>
        <w:t>There are no annualized (non-hour) costs associated with this information collection.</w:t>
      </w:r>
      <w:r w:rsidR="001C51D2">
        <w:rPr>
          <w:rFonts w:ascii="Arial" w:hAnsi="Arial"/>
          <w:sz w:val="24"/>
        </w:rPr>
        <w:t xml:space="preserve"> </w:t>
      </w:r>
      <w:r w:rsidR="00CD3DF2">
        <w:rPr>
          <w:rFonts w:ascii="Arial" w:hAnsi="Arial"/>
          <w:sz w:val="24"/>
        </w:rPr>
        <w:t xml:space="preserve">100 percent of the items in this collection are </w:t>
      </w:r>
      <w:r w:rsidR="0088776B">
        <w:rPr>
          <w:rFonts w:ascii="Arial" w:hAnsi="Arial"/>
          <w:sz w:val="24"/>
        </w:rPr>
        <w:t xml:space="preserve">submitted electronically, eliminating the need for </w:t>
      </w:r>
      <w:r>
        <w:rPr>
          <w:rFonts w:ascii="Arial" w:hAnsi="Arial"/>
          <w:sz w:val="24"/>
        </w:rPr>
        <w:t>postage</w:t>
      </w:r>
      <w:r w:rsidR="0088776B">
        <w:rPr>
          <w:rFonts w:ascii="Arial" w:hAnsi="Arial"/>
          <w:sz w:val="24"/>
        </w:rPr>
        <w:t>,</w:t>
      </w:r>
      <w:r>
        <w:rPr>
          <w:rFonts w:ascii="Arial" w:hAnsi="Arial"/>
          <w:sz w:val="24"/>
        </w:rPr>
        <w:t xml:space="preserve"> </w:t>
      </w:r>
      <w:r w:rsidR="0088776B">
        <w:rPr>
          <w:rFonts w:ascii="Arial" w:hAnsi="Arial"/>
          <w:sz w:val="24"/>
        </w:rPr>
        <w:t xml:space="preserve">and there </w:t>
      </w:r>
      <w:proofErr w:type="gramStart"/>
      <w:r w:rsidR="0088776B">
        <w:rPr>
          <w:rFonts w:ascii="Arial" w:hAnsi="Arial"/>
          <w:sz w:val="24"/>
        </w:rPr>
        <w:t>are</w:t>
      </w:r>
      <w:proofErr w:type="gramEnd"/>
      <w:r w:rsidR="0088776B">
        <w:rPr>
          <w:rFonts w:ascii="Arial" w:hAnsi="Arial"/>
          <w:sz w:val="24"/>
        </w:rPr>
        <w:t xml:space="preserve"> no </w:t>
      </w:r>
      <w:r>
        <w:rPr>
          <w:rFonts w:ascii="Arial" w:hAnsi="Arial"/>
          <w:sz w:val="24"/>
        </w:rPr>
        <w:t xml:space="preserve">other transaction costs </w:t>
      </w:r>
      <w:r w:rsidR="0088776B">
        <w:rPr>
          <w:rFonts w:ascii="Arial" w:hAnsi="Arial"/>
          <w:sz w:val="24"/>
        </w:rPr>
        <w:t xml:space="preserve">(e.g. filing fees) </w:t>
      </w:r>
      <w:r>
        <w:rPr>
          <w:rFonts w:ascii="Arial" w:hAnsi="Arial"/>
          <w:sz w:val="24"/>
        </w:rPr>
        <w:t>associated with this collection.</w:t>
      </w:r>
      <w:r w:rsidR="001C51D2">
        <w:rPr>
          <w:rFonts w:ascii="Arial" w:hAnsi="Arial"/>
          <w:sz w:val="24"/>
        </w:rPr>
        <w:t xml:space="preserve"> </w:t>
      </w:r>
    </w:p>
    <w:p w14:paraId="1C9D7AEC" w14:textId="77777777" w:rsidR="00B765A5" w:rsidRDefault="00B765A5" w:rsidP="00B765A5">
      <w:pPr>
        <w:jc w:val="both"/>
        <w:rPr>
          <w:rFonts w:ascii="Arial" w:hAnsi="Arial"/>
          <w:sz w:val="24"/>
        </w:rPr>
      </w:pPr>
    </w:p>
    <w:p w14:paraId="60817005" w14:textId="77777777" w:rsidR="00B765A5" w:rsidRDefault="00B765A5" w:rsidP="00B765A5">
      <w:pPr>
        <w:jc w:val="both"/>
        <w:rPr>
          <w:rFonts w:ascii="Arial" w:hAnsi="Arial"/>
          <w:b/>
          <w:sz w:val="24"/>
        </w:rPr>
      </w:pPr>
      <w:r>
        <w:rPr>
          <w:rFonts w:ascii="Arial" w:hAnsi="Arial"/>
          <w:b/>
          <w:sz w:val="24"/>
        </w:rPr>
        <w:t>14.</w:t>
      </w:r>
      <w:r>
        <w:rPr>
          <w:rFonts w:ascii="Arial" w:hAnsi="Arial"/>
          <w:b/>
          <w:sz w:val="24"/>
        </w:rPr>
        <w:tab/>
        <w:t>Annual Cost to the Federal Government</w:t>
      </w:r>
    </w:p>
    <w:p w14:paraId="60B36A2C" w14:textId="77777777" w:rsidR="00B765A5" w:rsidRDefault="00B765A5" w:rsidP="00B765A5">
      <w:pPr>
        <w:jc w:val="both"/>
        <w:rPr>
          <w:rFonts w:ascii="Arial" w:hAnsi="Arial"/>
          <w:sz w:val="24"/>
        </w:rPr>
      </w:pPr>
    </w:p>
    <w:p w14:paraId="5DFD0B93" w14:textId="45A6D7F9" w:rsidR="00B765A5" w:rsidRPr="00D56658" w:rsidRDefault="00B765A5" w:rsidP="00B765A5">
      <w:pPr>
        <w:jc w:val="both"/>
        <w:rPr>
          <w:rFonts w:ascii="Arial" w:hAnsi="Arial"/>
          <w:sz w:val="24"/>
        </w:rPr>
      </w:pPr>
      <w:r w:rsidRPr="00D56658">
        <w:rPr>
          <w:rFonts w:ascii="Arial" w:hAnsi="Arial"/>
          <w:sz w:val="24"/>
        </w:rPr>
        <w:t>The USPTO estimates that it takes a GS-</w:t>
      </w:r>
      <w:r w:rsidR="0046604E">
        <w:rPr>
          <w:rFonts w:ascii="Arial" w:hAnsi="Arial"/>
          <w:sz w:val="24"/>
        </w:rPr>
        <w:t>14</w:t>
      </w:r>
      <w:r w:rsidR="00097689">
        <w:rPr>
          <w:rFonts w:ascii="Arial" w:hAnsi="Arial"/>
          <w:sz w:val="24"/>
        </w:rPr>
        <w:t>,</w:t>
      </w:r>
      <w:r w:rsidRPr="00D56658">
        <w:rPr>
          <w:rFonts w:ascii="Arial" w:hAnsi="Arial"/>
          <w:sz w:val="24"/>
        </w:rPr>
        <w:t xml:space="preserve"> step </w:t>
      </w:r>
      <w:r w:rsidR="0046604E">
        <w:rPr>
          <w:rFonts w:ascii="Arial" w:hAnsi="Arial"/>
          <w:sz w:val="24"/>
        </w:rPr>
        <w:t>10</w:t>
      </w:r>
      <w:r w:rsidR="00097689">
        <w:rPr>
          <w:rFonts w:ascii="Arial" w:hAnsi="Arial"/>
          <w:sz w:val="24"/>
        </w:rPr>
        <w:t>,</w:t>
      </w:r>
      <w:r>
        <w:rPr>
          <w:rFonts w:ascii="Arial" w:hAnsi="Arial"/>
          <w:sz w:val="24"/>
        </w:rPr>
        <w:t xml:space="preserve"> </w:t>
      </w:r>
      <w:r w:rsidR="000B5B6D">
        <w:rPr>
          <w:rFonts w:ascii="Arial" w:hAnsi="Arial"/>
          <w:sz w:val="24"/>
        </w:rPr>
        <w:t xml:space="preserve">60 </w:t>
      </w:r>
      <w:r w:rsidRPr="00D56658">
        <w:rPr>
          <w:rFonts w:ascii="Arial" w:hAnsi="Arial"/>
          <w:sz w:val="24"/>
        </w:rPr>
        <w:t>minutes</w:t>
      </w:r>
      <w:r>
        <w:rPr>
          <w:rFonts w:ascii="Arial" w:hAnsi="Arial"/>
          <w:sz w:val="24"/>
        </w:rPr>
        <w:t xml:space="preserve"> (</w:t>
      </w:r>
      <w:r w:rsidR="000B5B6D">
        <w:rPr>
          <w:rFonts w:ascii="Arial" w:hAnsi="Arial"/>
          <w:sz w:val="24"/>
        </w:rPr>
        <w:t xml:space="preserve">1 </w:t>
      </w:r>
      <w:r>
        <w:rPr>
          <w:rFonts w:ascii="Arial" w:hAnsi="Arial"/>
          <w:sz w:val="24"/>
        </w:rPr>
        <w:t>hour)</w:t>
      </w:r>
      <w:r w:rsidRPr="00D56658">
        <w:rPr>
          <w:rFonts w:ascii="Arial" w:hAnsi="Arial"/>
          <w:sz w:val="24"/>
        </w:rPr>
        <w:t xml:space="preserve"> to process a </w:t>
      </w:r>
      <w:r w:rsidR="00F005E6">
        <w:rPr>
          <w:rFonts w:ascii="Arial" w:hAnsi="Arial"/>
          <w:sz w:val="24"/>
        </w:rPr>
        <w:t>single submission from this collection.</w:t>
      </w:r>
      <w:r w:rsidRPr="00D56658">
        <w:rPr>
          <w:rFonts w:ascii="Arial" w:hAnsi="Arial"/>
          <w:sz w:val="24"/>
        </w:rPr>
        <w:t xml:space="preserve"> The </w:t>
      </w:r>
      <w:r>
        <w:rPr>
          <w:rFonts w:ascii="Arial" w:hAnsi="Arial"/>
          <w:sz w:val="24"/>
        </w:rPr>
        <w:t xml:space="preserve">current </w:t>
      </w:r>
      <w:r w:rsidR="00F005E6">
        <w:rPr>
          <w:rFonts w:ascii="Arial" w:hAnsi="Arial"/>
          <w:sz w:val="24"/>
        </w:rPr>
        <w:t>201</w:t>
      </w:r>
      <w:r w:rsidR="0046604E">
        <w:rPr>
          <w:rFonts w:ascii="Arial" w:hAnsi="Arial"/>
          <w:sz w:val="24"/>
        </w:rPr>
        <w:t>6</w:t>
      </w:r>
      <w:r w:rsidR="00F005E6">
        <w:rPr>
          <w:rFonts w:ascii="Arial" w:hAnsi="Arial"/>
          <w:sz w:val="24"/>
        </w:rPr>
        <w:t xml:space="preserve"> </w:t>
      </w:r>
      <w:r w:rsidRPr="00D56658">
        <w:rPr>
          <w:rFonts w:ascii="Arial" w:hAnsi="Arial"/>
          <w:sz w:val="24"/>
        </w:rPr>
        <w:t>hourly rate for a GS-</w:t>
      </w:r>
      <w:r w:rsidR="0046604E">
        <w:rPr>
          <w:rFonts w:ascii="Arial" w:hAnsi="Arial"/>
          <w:sz w:val="24"/>
        </w:rPr>
        <w:t>14</w:t>
      </w:r>
      <w:r w:rsidR="00097689">
        <w:rPr>
          <w:rFonts w:ascii="Arial" w:hAnsi="Arial"/>
          <w:sz w:val="24"/>
        </w:rPr>
        <w:t>,</w:t>
      </w:r>
      <w:r w:rsidR="00F005E6">
        <w:rPr>
          <w:rFonts w:ascii="Arial" w:hAnsi="Arial"/>
          <w:sz w:val="24"/>
        </w:rPr>
        <w:t xml:space="preserve"> </w:t>
      </w:r>
      <w:r w:rsidRPr="00D56658">
        <w:rPr>
          <w:rFonts w:ascii="Arial" w:hAnsi="Arial"/>
          <w:sz w:val="24"/>
        </w:rPr>
        <w:t>step</w:t>
      </w:r>
      <w:r w:rsidR="00F005E6">
        <w:rPr>
          <w:rFonts w:ascii="Arial" w:hAnsi="Arial"/>
          <w:sz w:val="24"/>
        </w:rPr>
        <w:t xml:space="preserve"> </w:t>
      </w:r>
      <w:r w:rsidR="0046604E">
        <w:rPr>
          <w:rFonts w:ascii="Arial" w:hAnsi="Arial"/>
          <w:sz w:val="24"/>
        </w:rPr>
        <w:t>10</w:t>
      </w:r>
      <w:r w:rsidR="00097689">
        <w:rPr>
          <w:rFonts w:ascii="Arial" w:hAnsi="Arial"/>
          <w:sz w:val="24"/>
        </w:rPr>
        <w:t>,</w:t>
      </w:r>
      <w:r w:rsidRPr="00D56658">
        <w:rPr>
          <w:rFonts w:ascii="Arial" w:hAnsi="Arial"/>
          <w:sz w:val="24"/>
        </w:rPr>
        <w:t xml:space="preserve"> is $</w:t>
      </w:r>
      <w:r w:rsidR="0046604E">
        <w:rPr>
          <w:rFonts w:ascii="Arial" w:hAnsi="Arial"/>
          <w:sz w:val="24"/>
        </w:rPr>
        <w:t>67.83</w:t>
      </w:r>
      <w:r w:rsidR="00F005E6">
        <w:rPr>
          <w:rFonts w:ascii="Arial" w:hAnsi="Arial"/>
          <w:sz w:val="24"/>
        </w:rPr>
        <w:t xml:space="preserve">. </w:t>
      </w:r>
      <w:r w:rsidRPr="00D56658">
        <w:rPr>
          <w:rFonts w:ascii="Arial" w:hAnsi="Arial"/>
          <w:sz w:val="24"/>
        </w:rPr>
        <w:t xml:space="preserve">When 30% is added to account for a fully loaded hourly rate (benefits and overhead), the rate per hour for a </w:t>
      </w:r>
      <w:r w:rsidR="00F005E6">
        <w:rPr>
          <w:rFonts w:ascii="Arial" w:hAnsi="Arial"/>
          <w:sz w:val="24"/>
        </w:rPr>
        <w:t>GS-</w:t>
      </w:r>
      <w:r w:rsidR="0046604E">
        <w:rPr>
          <w:rFonts w:ascii="Arial" w:hAnsi="Arial"/>
          <w:sz w:val="24"/>
        </w:rPr>
        <w:t>14</w:t>
      </w:r>
      <w:r w:rsidRPr="00D56658">
        <w:rPr>
          <w:rFonts w:ascii="Arial" w:hAnsi="Arial"/>
          <w:sz w:val="24"/>
        </w:rPr>
        <w:t>, step</w:t>
      </w:r>
      <w:r w:rsidR="00F005E6">
        <w:rPr>
          <w:rFonts w:ascii="Arial" w:hAnsi="Arial"/>
          <w:sz w:val="24"/>
        </w:rPr>
        <w:t xml:space="preserve"> </w:t>
      </w:r>
      <w:r w:rsidR="0046604E">
        <w:rPr>
          <w:rFonts w:ascii="Arial" w:hAnsi="Arial"/>
          <w:sz w:val="24"/>
        </w:rPr>
        <w:t>10</w:t>
      </w:r>
      <w:r w:rsidR="00097689">
        <w:rPr>
          <w:rFonts w:ascii="Arial" w:hAnsi="Arial"/>
          <w:sz w:val="24"/>
        </w:rPr>
        <w:t>,</w:t>
      </w:r>
      <w:r w:rsidRPr="00D56658">
        <w:rPr>
          <w:rFonts w:ascii="Arial" w:hAnsi="Arial"/>
          <w:sz w:val="24"/>
        </w:rPr>
        <w:t xml:space="preserve"> is $</w:t>
      </w:r>
      <w:r w:rsidR="0046604E">
        <w:rPr>
          <w:rFonts w:ascii="Arial" w:hAnsi="Arial"/>
          <w:sz w:val="24"/>
        </w:rPr>
        <w:t>88.18</w:t>
      </w:r>
      <w:r w:rsidRPr="00D56658">
        <w:rPr>
          <w:rFonts w:ascii="Arial" w:hAnsi="Arial"/>
          <w:sz w:val="24"/>
        </w:rPr>
        <w:t xml:space="preserve"> ($</w:t>
      </w:r>
      <w:r w:rsidR="0046604E">
        <w:rPr>
          <w:rFonts w:ascii="Arial" w:hAnsi="Arial"/>
          <w:sz w:val="24"/>
        </w:rPr>
        <w:t>67.83</w:t>
      </w:r>
      <w:r w:rsidRPr="00D56658">
        <w:rPr>
          <w:rFonts w:ascii="Arial" w:hAnsi="Arial"/>
          <w:sz w:val="24"/>
        </w:rPr>
        <w:t xml:space="preserve"> </w:t>
      </w:r>
      <w:r w:rsidR="00F005E6">
        <w:rPr>
          <w:rFonts w:ascii="Arial" w:hAnsi="Arial"/>
          <w:sz w:val="24"/>
        </w:rPr>
        <w:t>+ $</w:t>
      </w:r>
      <w:r w:rsidR="0046604E">
        <w:rPr>
          <w:rFonts w:ascii="Arial" w:hAnsi="Arial"/>
          <w:sz w:val="24"/>
        </w:rPr>
        <w:t>20.35</w:t>
      </w:r>
      <w:r w:rsidRPr="00D56658">
        <w:rPr>
          <w:rFonts w:ascii="Arial" w:hAnsi="Arial"/>
          <w:sz w:val="24"/>
        </w:rPr>
        <w:t>).</w:t>
      </w:r>
    </w:p>
    <w:p w14:paraId="4FB1EE54" w14:textId="77777777" w:rsidR="00B765A5" w:rsidRPr="00D56658" w:rsidRDefault="00B765A5" w:rsidP="00B765A5">
      <w:pPr>
        <w:jc w:val="both"/>
        <w:rPr>
          <w:rFonts w:ascii="Arial" w:hAnsi="Arial"/>
          <w:sz w:val="24"/>
        </w:rPr>
      </w:pPr>
    </w:p>
    <w:p w14:paraId="7810E3E1" w14:textId="77777777" w:rsidR="00B765A5" w:rsidRDefault="00B765A5" w:rsidP="00B765A5">
      <w:pPr>
        <w:jc w:val="both"/>
        <w:rPr>
          <w:rFonts w:ascii="Arial" w:hAnsi="Arial"/>
          <w:sz w:val="24"/>
        </w:rPr>
      </w:pPr>
      <w:r w:rsidRPr="00D56658">
        <w:rPr>
          <w:rFonts w:ascii="Arial" w:hAnsi="Arial"/>
          <w:sz w:val="24"/>
        </w:rPr>
        <w:t xml:space="preserve">Table </w:t>
      </w:r>
      <w:r w:rsidR="00B10E87">
        <w:rPr>
          <w:rFonts w:ascii="Arial" w:hAnsi="Arial"/>
          <w:sz w:val="24"/>
        </w:rPr>
        <w:t>4</w:t>
      </w:r>
      <w:r w:rsidRPr="00D56658">
        <w:rPr>
          <w:rFonts w:ascii="Arial" w:hAnsi="Arial"/>
          <w:sz w:val="24"/>
        </w:rPr>
        <w:t xml:space="preserve"> calculates the processing hours and costs of this information collection to the Federal Government:</w:t>
      </w:r>
    </w:p>
    <w:p w14:paraId="3B032700" w14:textId="77777777" w:rsidR="00B765A5" w:rsidRDefault="00B765A5" w:rsidP="00B765A5">
      <w:pPr>
        <w:jc w:val="both"/>
        <w:rPr>
          <w:rFonts w:ascii="Arial" w:hAnsi="Arial"/>
          <w:sz w:val="24"/>
        </w:rPr>
      </w:pPr>
      <w:r>
        <w:rPr>
          <w:rFonts w:ascii="Arial" w:hAnsi="Arial"/>
          <w:sz w:val="24"/>
        </w:rPr>
        <w:t xml:space="preserve"> </w:t>
      </w:r>
    </w:p>
    <w:p w14:paraId="02FBF303" w14:textId="1DB136DA" w:rsidR="00B765A5" w:rsidRPr="00B10E87" w:rsidRDefault="00B765A5" w:rsidP="00B765A5">
      <w:pPr>
        <w:pStyle w:val="Heading5"/>
        <w:rPr>
          <w:sz w:val="22"/>
          <w:szCs w:val="22"/>
        </w:rPr>
      </w:pPr>
      <w:r w:rsidRPr="00B10E87">
        <w:rPr>
          <w:sz w:val="22"/>
          <w:szCs w:val="22"/>
        </w:rPr>
        <w:lastRenderedPageBreak/>
        <w:t>Table 4:</w:t>
      </w:r>
      <w:r w:rsidR="001C51D2">
        <w:rPr>
          <w:sz w:val="22"/>
          <w:szCs w:val="22"/>
        </w:rPr>
        <w:t xml:space="preserve"> </w:t>
      </w:r>
      <w:r w:rsidRPr="00B10E87">
        <w:rPr>
          <w:sz w:val="22"/>
          <w:szCs w:val="22"/>
        </w:rPr>
        <w:t>Annual Burden Hour/Burden Cost to the Federal Government</w:t>
      </w:r>
    </w:p>
    <w:tbl>
      <w:tblPr>
        <w:tblpPr w:leftFromText="180" w:rightFromText="180" w:vertAnchor="text" w:horzAnchor="margin" w:tblpX="108" w:tblpY="70"/>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710"/>
        <w:gridCol w:w="1260"/>
        <w:gridCol w:w="1440"/>
        <w:gridCol w:w="1530"/>
        <w:gridCol w:w="1134"/>
        <w:gridCol w:w="1476"/>
      </w:tblGrid>
      <w:tr w:rsidR="00F005E6" w14:paraId="4E8CEE22" w14:textId="77777777" w:rsidTr="00097689">
        <w:trPr>
          <w:cantSplit/>
          <w:tblHeader/>
        </w:trPr>
        <w:tc>
          <w:tcPr>
            <w:tcW w:w="828" w:type="dxa"/>
            <w:vAlign w:val="center"/>
          </w:tcPr>
          <w:p w14:paraId="16A65C8F" w14:textId="77777777" w:rsidR="00F005E6" w:rsidRDefault="00F005E6" w:rsidP="00097689">
            <w:pPr>
              <w:jc w:val="center"/>
              <w:rPr>
                <w:rFonts w:ascii="Arial" w:hAnsi="Arial"/>
                <w:b/>
                <w:sz w:val="16"/>
              </w:rPr>
            </w:pPr>
            <w:r>
              <w:rPr>
                <w:rFonts w:ascii="Arial" w:hAnsi="Arial"/>
                <w:b/>
                <w:sz w:val="16"/>
              </w:rPr>
              <w:t xml:space="preserve">IC </w:t>
            </w:r>
            <w:r w:rsidR="00097689">
              <w:rPr>
                <w:rFonts w:ascii="Arial" w:hAnsi="Arial"/>
                <w:b/>
                <w:sz w:val="16"/>
              </w:rPr>
              <w:t>N</w:t>
            </w:r>
            <w:r>
              <w:rPr>
                <w:rFonts w:ascii="Arial" w:hAnsi="Arial"/>
                <w:b/>
                <w:sz w:val="16"/>
              </w:rPr>
              <w:t>umber</w:t>
            </w:r>
          </w:p>
        </w:tc>
        <w:tc>
          <w:tcPr>
            <w:tcW w:w="1710" w:type="dxa"/>
            <w:vAlign w:val="center"/>
          </w:tcPr>
          <w:p w14:paraId="0739A2B6" w14:textId="77777777" w:rsidR="00F005E6" w:rsidRDefault="00F005E6" w:rsidP="00F005E6">
            <w:pPr>
              <w:pStyle w:val="Heading9"/>
              <w:rPr>
                <w:sz w:val="16"/>
              </w:rPr>
            </w:pPr>
            <w:r>
              <w:rPr>
                <w:sz w:val="16"/>
              </w:rPr>
              <w:t>Item</w:t>
            </w:r>
          </w:p>
        </w:tc>
        <w:tc>
          <w:tcPr>
            <w:tcW w:w="1260" w:type="dxa"/>
            <w:vAlign w:val="center"/>
          </w:tcPr>
          <w:p w14:paraId="4923D28B" w14:textId="77777777" w:rsidR="00F005E6" w:rsidRDefault="00F005E6" w:rsidP="00F005E6">
            <w:pPr>
              <w:jc w:val="center"/>
              <w:rPr>
                <w:rFonts w:ascii="Arial" w:hAnsi="Arial"/>
                <w:b/>
                <w:sz w:val="16"/>
              </w:rPr>
            </w:pPr>
            <w:r>
              <w:rPr>
                <w:rFonts w:ascii="Arial" w:hAnsi="Arial"/>
                <w:b/>
                <w:sz w:val="16"/>
              </w:rPr>
              <w:t>Estimated Response Time (min)</w:t>
            </w:r>
          </w:p>
          <w:p w14:paraId="7E5101B3" w14:textId="77777777" w:rsidR="00F005E6" w:rsidRDefault="00F005E6" w:rsidP="00F005E6">
            <w:pPr>
              <w:jc w:val="center"/>
              <w:rPr>
                <w:rFonts w:ascii="Arial" w:hAnsi="Arial"/>
                <w:b/>
                <w:sz w:val="16"/>
              </w:rPr>
            </w:pPr>
            <w:r>
              <w:rPr>
                <w:rFonts w:ascii="Arial" w:hAnsi="Arial"/>
                <w:b/>
                <w:sz w:val="16"/>
              </w:rPr>
              <w:t>(a)</w:t>
            </w:r>
          </w:p>
        </w:tc>
        <w:tc>
          <w:tcPr>
            <w:tcW w:w="1440" w:type="dxa"/>
            <w:vAlign w:val="center"/>
          </w:tcPr>
          <w:p w14:paraId="04BB1CC1" w14:textId="77777777" w:rsidR="00F005E6" w:rsidRDefault="00F005E6" w:rsidP="00F005E6">
            <w:pPr>
              <w:jc w:val="center"/>
              <w:rPr>
                <w:rFonts w:ascii="Arial" w:hAnsi="Arial"/>
                <w:b/>
                <w:sz w:val="16"/>
              </w:rPr>
            </w:pPr>
            <w:r>
              <w:rPr>
                <w:rFonts w:ascii="Arial" w:hAnsi="Arial"/>
                <w:b/>
                <w:sz w:val="16"/>
              </w:rPr>
              <w:t>Estimated Annual Responses</w:t>
            </w:r>
          </w:p>
          <w:p w14:paraId="194ABACF" w14:textId="77777777" w:rsidR="00F005E6" w:rsidRDefault="00F005E6" w:rsidP="00F005E6">
            <w:pPr>
              <w:jc w:val="center"/>
              <w:rPr>
                <w:rFonts w:ascii="Arial" w:hAnsi="Arial"/>
                <w:b/>
                <w:sz w:val="16"/>
              </w:rPr>
            </w:pPr>
            <w:r>
              <w:rPr>
                <w:rFonts w:ascii="Arial" w:hAnsi="Arial"/>
                <w:b/>
                <w:sz w:val="16"/>
              </w:rPr>
              <w:t>(b)</w:t>
            </w:r>
          </w:p>
        </w:tc>
        <w:tc>
          <w:tcPr>
            <w:tcW w:w="1530" w:type="dxa"/>
            <w:vAlign w:val="center"/>
          </w:tcPr>
          <w:p w14:paraId="62ED4E7F" w14:textId="77777777" w:rsidR="00F005E6" w:rsidRDefault="00F005E6" w:rsidP="00F005E6">
            <w:pPr>
              <w:jc w:val="center"/>
              <w:rPr>
                <w:rFonts w:ascii="Arial" w:hAnsi="Arial"/>
                <w:b/>
                <w:sz w:val="16"/>
              </w:rPr>
            </w:pPr>
            <w:r>
              <w:rPr>
                <w:rFonts w:ascii="Arial" w:hAnsi="Arial"/>
                <w:b/>
                <w:sz w:val="16"/>
              </w:rPr>
              <w:t>Estimated Annual Burden Hours</w:t>
            </w:r>
          </w:p>
          <w:p w14:paraId="44E939ED" w14:textId="77777777" w:rsidR="00F005E6" w:rsidRDefault="00F005E6" w:rsidP="00F005E6">
            <w:pPr>
              <w:jc w:val="center"/>
              <w:rPr>
                <w:rFonts w:ascii="Arial" w:hAnsi="Arial"/>
                <w:b/>
                <w:sz w:val="16"/>
              </w:rPr>
            </w:pPr>
            <w:r>
              <w:rPr>
                <w:rFonts w:ascii="Arial" w:hAnsi="Arial"/>
                <w:b/>
                <w:sz w:val="16"/>
              </w:rPr>
              <w:t>(a) x (b)</w:t>
            </w:r>
            <w:r w:rsidR="00097689">
              <w:rPr>
                <w:rFonts w:ascii="Arial" w:hAnsi="Arial"/>
                <w:b/>
                <w:sz w:val="16"/>
              </w:rPr>
              <w:t xml:space="preserve"> /</w:t>
            </w:r>
            <w:r>
              <w:rPr>
                <w:rFonts w:ascii="Arial" w:hAnsi="Arial"/>
                <w:b/>
                <w:sz w:val="16"/>
              </w:rPr>
              <w:t xml:space="preserve"> </w:t>
            </w:r>
            <w:r w:rsidR="00097689">
              <w:rPr>
                <w:rFonts w:ascii="Arial" w:hAnsi="Arial"/>
                <w:b/>
                <w:sz w:val="16"/>
              </w:rPr>
              <w:t xml:space="preserve">60 </w:t>
            </w:r>
            <w:r>
              <w:rPr>
                <w:rFonts w:ascii="Arial" w:hAnsi="Arial"/>
                <w:b/>
                <w:sz w:val="16"/>
              </w:rPr>
              <w:t>= (c)</w:t>
            </w:r>
          </w:p>
        </w:tc>
        <w:tc>
          <w:tcPr>
            <w:tcW w:w="1134" w:type="dxa"/>
            <w:vAlign w:val="center"/>
          </w:tcPr>
          <w:p w14:paraId="42600021" w14:textId="77777777" w:rsidR="00F005E6" w:rsidRDefault="00F005E6" w:rsidP="00F005E6">
            <w:pPr>
              <w:jc w:val="center"/>
              <w:rPr>
                <w:rFonts w:ascii="Arial" w:hAnsi="Arial"/>
                <w:b/>
                <w:sz w:val="16"/>
              </w:rPr>
            </w:pPr>
            <w:r>
              <w:rPr>
                <w:rFonts w:ascii="Arial" w:hAnsi="Arial"/>
                <w:b/>
                <w:sz w:val="16"/>
              </w:rPr>
              <w:t>Rate</w:t>
            </w:r>
          </w:p>
          <w:p w14:paraId="77F1D351" w14:textId="77777777" w:rsidR="00F005E6" w:rsidRDefault="00F005E6" w:rsidP="00F005E6">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1344C8C2" w14:textId="77777777" w:rsidR="00F005E6" w:rsidRDefault="00F005E6" w:rsidP="00F005E6">
            <w:pPr>
              <w:jc w:val="center"/>
              <w:rPr>
                <w:rFonts w:ascii="Arial" w:hAnsi="Arial"/>
                <w:b/>
                <w:sz w:val="16"/>
              </w:rPr>
            </w:pPr>
          </w:p>
          <w:p w14:paraId="50D6778B" w14:textId="77777777" w:rsidR="00F005E6" w:rsidRDefault="00F005E6" w:rsidP="00F005E6">
            <w:pPr>
              <w:jc w:val="center"/>
              <w:rPr>
                <w:rFonts w:ascii="Arial" w:hAnsi="Arial"/>
                <w:b/>
                <w:sz w:val="16"/>
              </w:rPr>
            </w:pPr>
            <w:r>
              <w:rPr>
                <w:rFonts w:ascii="Arial" w:hAnsi="Arial"/>
                <w:b/>
                <w:sz w:val="16"/>
              </w:rPr>
              <w:t>(d)</w:t>
            </w:r>
          </w:p>
        </w:tc>
        <w:tc>
          <w:tcPr>
            <w:tcW w:w="1476" w:type="dxa"/>
            <w:vAlign w:val="center"/>
          </w:tcPr>
          <w:p w14:paraId="4EB4EAC2" w14:textId="77777777" w:rsidR="00F005E6" w:rsidRDefault="00F005E6" w:rsidP="00F005E6">
            <w:pPr>
              <w:jc w:val="center"/>
              <w:rPr>
                <w:rFonts w:ascii="Arial" w:hAnsi="Arial"/>
                <w:b/>
                <w:sz w:val="16"/>
              </w:rPr>
            </w:pPr>
            <w:r>
              <w:rPr>
                <w:rFonts w:ascii="Arial" w:hAnsi="Arial"/>
                <w:b/>
                <w:sz w:val="16"/>
              </w:rPr>
              <w:t>Total Government</w:t>
            </w:r>
          </w:p>
          <w:p w14:paraId="0D9EF776" w14:textId="77777777" w:rsidR="00F005E6" w:rsidRDefault="00F005E6" w:rsidP="00F005E6">
            <w:pPr>
              <w:jc w:val="center"/>
              <w:rPr>
                <w:rFonts w:ascii="Arial" w:hAnsi="Arial"/>
                <w:b/>
                <w:sz w:val="16"/>
              </w:rPr>
            </w:pPr>
            <w:r>
              <w:rPr>
                <w:rFonts w:ascii="Arial" w:hAnsi="Arial"/>
                <w:b/>
                <w:sz w:val="16"/>
              </w:rPr>
              <w:t>Burden Cost</w:t>
            </w:r>
          </w:p>
          <w:p w14:paraId="26881B52" w14:textId="77777777" w:rsidR="00F005E6" w:rsidRDefault="00F005E6" w:rsidP="00F005E6">
            <w:pPr>
              <w:jc w:val="center"/>
              <w:rPr>
                <w:rFonts w:ascii="Arial" w:hAnsi="Arial"/>
                <w:b/>
                <w:sz w:val="16"/>
              </w:rPr>
            </w:pPr>
            <w:r>
              <w:rPr>
                <w:rFonts w:ascii="Arial" w:hAnsi="Arial"/>
                <w:b/>
                <w:sz w:val="16"/>
              </w:rPr>
              <w:t>(c) x (d) = (e)</w:t>
            </w:r>
          </w:p>
        </w:tc>
      </w:tr>
      <w:tr w:rsidR="00F005E6" w14:paraId="05A750AD" w14:textId="77777777" w:rsidTr="00097689">
        <w:trPr>
          <w:cantSplit/>
        </w:trPr>
        <w:tc>
          <w:tcPr>
            <w:tcW w:w="828" w:type="dxa"/>
          </w:tcPr>
          <w:p w14:paraId="0F9863EC" w14:textId="77777777" w:rsidR="00F005E6" w:rsidRDefault="00F005E6" w:rsidP="00F005E6">
            <w:pPr>
              <w:rPr>
                <w:rFonts w:ascii="Arial" w:hAnsi="Arial"/>
                <w:bCs/>
                <w:sz w:val="16"/>
              </w:rPr>
            </w:pPr>
          </w:p>
          <w:p w14:paraId="643E18D8" w14:textId="77777777" w:rsidR="00F005E6" w:rsidRPr="00B10E87" w:rsidRDefault="00F005E6" w:rsidP="00F005E6">
            <w:pPr>
              <w:jc w:val="center"/>
              <w:rPr>
                <w:rFonts w:ascii="Arial" w:hAnsi="Arial"/>
                <w:b/>
                <w:bCs/>
                <w:sz w:val="16"/>
              </w:rPr>
            </w:pPr>
            <w:r w:rsidRPr="00B10E87">
              <w:rPr>
                <w:rFonts w:ascii="Arial" w:hAnsi="Arial"/>
                <w:b/>
                <w:bCs/>
                <w:sz w:val="16"/>
              </w:rPr>
              <w:t>1</w:t>
            </w:r>
          </w:p>
        </w:tc>
        <w:tc>
          <w:tcPr>
            <w:tcW w:w="1710" w:type="dxa"/>
            <w:vAlign w:val="center"/>
          </w:tcPr>
          <w:p w14:paraId="3D4BF494" w14:textId="77777777" w:rsidR="00F005E6" w:rsidRDefault="00F005E6" w:rsidP="00F005E6">
            <w:pPr>
              <w:rPr>
                <w:rFonts w:ascii="Arial" w:hAnsi="Arial"/>
                <w:bCs/>
                <w:sz w:val="16"/>
              </w:rPr>
            </w:pPr>
            <w:r w:rsidRPr="00B10E87">
              <w:rPr>
                <w:rFonts w:ascii="Arial" w:hAnsi="Arial"/>
                <w:bCs/>
                <w:sz w:val="16"/>
              </w:rPr>
              <w:t>Regional Program Administrator Survey</w:t>
            </w:r>
          </w:p>
        </w:tc>
        <w:tc>
          <w:tcPr>
            <w:tcW w:w="1260" w:type="dxa"/>
          </w:tcPr>
          <w:p w14:paraId="25F2B100" w14:textId="77777777" w:rsidR="00F005E6" w:rsidRDefault="00F005E6" w:rsidP="00F005E6">
            <w:pPr>
              <w:jc w:val="center"/>
              <w:rPr>
                <w:rFonts w:ascii="Arial" w:hAnsi="Arial"/>
                <w:sz w:val="16"/>
              </w:rPr>
            </w:pPr>
          </w:p>
          <w:p w14:paraId="6A7D21AB" w14:textId="3291F807" w:rsidR="00F005E6" w:rsidRDefault="000B5B6D" w:rsidP="00F005E6">
            <w:pPr>
              <w:jc w:val="center"/>
              <w:rPr>
                <w:rFonts w:ascii="Arial" w:hAnsi="Arial"/>
                <w:sz w:val="16"/>
              </w:rPr>
            </w:pPr>
            <w:r>
              <w:rPr>
                <w:rFonts w:ascii="Arial" w:hAnsi="Arial"/>
                <w:sz w:val="16"/>
              </w:rPr>
              <w:t>60</w:t>
            </w:r>
          </w:p>
        </w:tc>
        <w:tc>
          <w:tcPr>
            <w:tcW w:w="1440" w:type="dxa"/>
          </w:tcPr>
          <w:p w14:paraId="5D8180B3" w14:textId="77777777" w:rsidR="00F005E6" w:rsidRDefault="00F005E6" w:rsidP="00F005E6">
            <w:pPr>
              <w:jc w:val="center"/>
              <w:rPr>
                <w:rFonts w:ascii="Arial" w:hAnsi="Arial"/>
                <w:sz w:val="16"/>
              </w:rPr>
            </w:pPr>
            <w:r>
              <w:rPr>
                <w:rFonts w:ascii="Arial" w:hAnsi="Arial"/>
                <w:sz w:val="16"/>
              </w:rPr>
              <w:t xml:space="preserve"> </w:t>
            </w:r>
          </w:p>
          <w:p w14:paraId="4C333C3A" w14:textId="77777777" w:rsidR="00F005E6" w:rsidRDefault="00F005E6" w:rsidP="00097689">
            <w:pPr>
              <w:jc w:val="center"/>
              <w:rPr>
                <w:rFonts w:ascii="Arial" w:hAnsi="Arial"/>
                <w:sz w:val="16"/>
              </w:rPr>
            </w:pPr>
            <w:r w:rsidRPr="00D56658">
              <w:rPr>
                <w:rFonts w:ascii="Arial" w:hAnsi="Arial"/>
                <w:sz w:val="16"/>
              </w:rPr>
              <w:t>(</w:t>
            </w:r>
            <w:r>
              <w:rPr>
                <w:rFonts w:ascii="Arial" w:hAnsi="Arial"/>
                <w:sz w:val="16"/>
              </w:rPr>
              <w:t>20</w:t>
            </w:r>
            <w:r w:rsidRPr="00D56658">
              <w:rPr>
                <w:rFonts w:ascii="Arial" w:hAnsi="Arial"/>
                <w:sz w:val="16"/>
              </w:rPr>
              <w:t xml:space="preserve"> x 4) =</w:t>
            </w:r>
            <w:r w:rsidR="00097689">
              <w:rPr>
                <w:rFonts w:ascii="Arial" w:hAnsi="Arial"/>
                <w:sz w:val="16"/>
              </w:rPr>
              <w:t xml:space="preserve"> </w:t>
            </w:r>
            <w:r>
              <w:rPr>
                <w:rFonts w:ascii="Arial" w:hAnsi="Arial"/>
                <w:sz w:val="16"/>
              </w:rPr>
              <w:t>80</w:t>
            </w:r>
          </w:p>
        </w:tc>
        <w:tc>
          <w:tcPr>
            <w:tcW w:w="1530" w:type="dxa"/>
          </w:tcPr>
          <w:p w14:paraId="649A57CE" w14:textId="77777777" w:rsidR="00F005E6" w:rsidRDefault="00F005E6" w:rsidP="00F005E6">
            <w:pPr>
              <w:jc w:val="right"/>
              <w:rPr>
                <w:rFonts w:ascii="Arial" w:hAnsi="Arial"/>
                <w:sz w:val="16"/>
              </w:rPr>
            </w:pPr>
          </w:p>
          <w:p w14:paraId="102778C5" w14:textId="24E4EC2D" w:rsidR="00F005E6" w:rsidRDefault="000B5B6D" w:rsidP="00F005E6">
            <w:pPr>
              <w:jc w:val="right"/>
              <w:rPr>
                <w:rFonts w:ascii="Arial" w:hAnsi="Arial"/>
                <w:sz w:val="16"/>
              </w:rPr>
            </w:pPr>
            <w:r>
              <w:rPr>
                <w:rFonts w:ascii="Arial" w:hAnsi="Arial"/>
                <w:sz w:val="16"/>
              </w:rPr>
              <w:t>80</w:t>
            </w:r>
          </w:p>
        </w:tc>
        <w:tc>
          <w:tcPr>
            <w:tcW w:w="1134" w:type="dxa"/>
          </w:tcPr>
          <w:p w14:paraId="5550C581" w14:textId="77777777" w:rsidR="00F005E6" w:rsidRDefault="00F005E6" w:rsidP="00F005E6">
            <w:pPr>
              <w:jc w:val="right"/>
              <w:rPr>
                <w:rFonts w:ascii="Arial" w:hAnsi="Arial"/>
                <w:sz w:val="16"/>
              </w:rPr>
            </w:pPr>
          </w:p>
          <w:p w14:paraId="16B5B896" w14:textId="77777777" w:rsidR="00F005E6" w:rsidRDefault="00F005E6" w:rsidP="00F005E6">
            <w:pPr>
              <w:jc w:val="right"/>
              <w:rPr>
                <w:rFonts w:ascii="Arial" w:hAnsi="Arial"/>
                <w:sz w:val="16"/>
              </w:rPr>
            </w:pPr>
            <w:r>
              <w:rPr>
                <w:rFonts w:ascii="Arial" w:hAnsi="Arial"/>
                <w:sz w:val="16"/>
              </w:rPr>
              <w:t>$</w:t>
            </w:r>
            <w:r w:rsidR="0046604E">
              <w:rPr>
                <w:rFonts w:ascii="Arial" w:hAnsi="Arial"/>
                <w:sz w:val="16"/>
              </w:rPr>
              <w:t>88.18</w:t>
            </w:r>
          </w:p>
          <w:p w14:paraId="54771A59" w14:textId="77777777" w:rsidR="00F005E6" w:rsidRDefault="00F005E6" w:rsidP="00F005E6">
            <w:pPr>
              <w:jc w:val="right"/>
              <w:rPr>
                <w:rFonts w:ascii="Arial" w:hAnsi="Arial"/>
                <w:sz w:val="16"/>
              </w:rPr>
            </w:pPr>
          </w:p>
        </w:tc>
        <w:tc>
          <w:tcPr>
            <w:tcW w:w="1476" w:type="dxa"/>
          </w:tcPr>
          <w:p w14:paraId="783AA996" w14:textId="77777777" w:rsidR="00F005E6" w:rsidRDefault="00F005E6" w:rsidP="00F005E6">
            <w:pPr>
              <w:jc w:val="right"/>
              <w:rPr>
                <w:rFonts w:ascii="Arial" w:hAnsi="Arial"/>
                <w:sz w:val="16"/>
              </w:rPr>
            </w:pPr>
          </w:p>
          <w:p w14:paraId="7D88D6D9" w14:textId="7D4546B2" w:rsidR="00F005E6" w:rsidRDefault="00F005E6" w:rsidP="000B5B6D">
            <w:pPr>
              <w:jc w:val="right"/>
              <w:rPr>
                <w:rFonts w:ascii="Arial" w:hAnsi="Arial"/>
                <w:sz w:val="16"/>
              </w:rPr>
            </w:pPr>
            <w:r>
              <w:rPr>
                <w:rFonts w:ascii="Arial" w:hAnsi="Arial"/>
                <w:sz w:val="16"/>
              </w:rPr>
              <w:t>$</w:t>
            </w:r>
            <w:r w:rsidR="000B5B6D">
              <w:rPr>
                <w:rFonts w:ascii="Arial" w:hAnsi="Arial"/>
                <w:sz w:val="16"/>
              </w:rPr>
              <w:t>7,054.40</w:t>
            </w:r>
          </w:p>
        </w:tc>
      </w:tr>
      <w:tr w:rsidR="00F005E6" w14:paraId="20BF5D6E" w14:textId="77777777" w:rsidTr="00097689">
        <w:trPr>
          <w:cantSplit/>
        </w:trPr>
        <w:tc>
          <w:tcPr>
            <w:tcW w:w="828" w:type="dxa"/>
          </w:tcPr>
          <w:p w14:paraId="7ECEAA7A" w14:textId="77777777" w:rsidR="00F005E6" w:rsidRDefault="00F005E6" w:rsidP="00F005E6">
            <w:pPr>
              <w:rPr>
                <w:rFonts w:ascii="Arial" w:hAnsi="Arial"/>
                <w:b/>
                <w:sz w:val="16"/>
              </w:rPr>
            </w:pPr>
          </w:p>
        </w:tc>
        <w:tc>
          <w:tcPr>
            <w:tcW w:w="1710" w:type="dxa"/>
          </w:tcPr>
          <w:p w14:paraId="596EFBE9" w14:textId="77777777" w:rsidR="00F005E6" w:rsidRDefault="00F005E6" w:rsidP="00097689">
            <w:pPr>
              <w:spacing w:before="120" w:after="120"/>
              <w:rPr>
                <w:rFonts w:ascii="Arial" w:hAnsi="Arial"/>
                <w:b/>
                <w:sz w:val="16"/>
              </w:rPr>
            </w:pPr>
            <w:r>
              <w:rPr>
                <w:rFonts w:ascii="Arial" w:hAnsi="Arial"/>
                <w:b/>
                <w:sz w:val="16"/>
              </w:rPr>
              <w:t>Total</w:t>
            </w:r>
          </w:p>
        </w:tc>
        <w:tc>
          <w:tcPr>
            <w:tcW w:w="1260" w:type="dxa"/>
          </w:tcPr>
          <w:p w14:paraId="11C30193" w14:textId="1C42BF40" w:rsidR="00F005E6" w:rsidRDefault="001C51D2" w:rsidP="00097689">
            <w:pPr>
              <w:spacing w:before="120" w:after="120"/>
              <w:jc w:val="center"/>
              <w:rPr>
                <w:rFonts w:ascii="Arial" w:hAnsi="Arial"/>
                <w:b/>
                <w:sz w:val="16"/>
              </w:rPr>
            </w:pPr>
            <w:r>
              <w:rPr>
                <w:rFonts w:ascii="Arial" w:hAnsi="Arial"/>
                <w:b/>
                <w:sz w:val="16"/>
              </w:rPr>
              <w:t xml:space="preserve"> </w:t>
            </w:r>
            <w:r w:rsidR="00F005E6">
              <w:rPr>
                <w:rFonts w:ascii="Arial" w:hAnsi="Arial"/>
                <w:b/>
                <w:sz w:val="16"/>
              </w:rPr>
              <w:t>-</w:t>
            </w:r>
            <w:r>
              <w:rPr>
                <w:rFonts w:ascii="Arial" w:hAnsi="Arial"/>
                <w:b/>
                <w:sz w:val="16"/>
              </w:rPr>
              <w:t xml:space="preserve"> </w:t>
            </w:r>
            <w:r w:rsidR="00F005E6">
              <w:rPr>
                <w:rFonts w:ascii="Arial" w:hAnsi="Arial"/>
                <w:b/>
                <w:sz w:val="16"/>
              </w:rPr>
              <w:t>-</w:t>
            </w:r>
            <w:r>
              <w:rPr>
                <w:rFonts w:ascii="Arial" w:hAnsi="Arial"/>
                <w:b/>
                <w:sz w:val="16"/>
              </w:rPr>
              <w:t xml:space="preserve"> </w:t>
            </w:r>
            <w:r w:rsidR="00F005E6">
              <w:rPr>
                <w:rFonts w:ascii="Arial" w:hAnsi="Arial"/>
                <w:b/>
                <w:sz w:val="16"/>
              </w:rPr>
              <w:t>-</w:t>
            </w:r>
            <w:r>
              <w:rPr>
                <w:rFonts w:ascii="Arial" w:hAnsi="Arial"/>
                <w:b/>
                <w:sz w:val="16"/>
              </w:rPr>
              <w:t xml:space="preserve"> </w:t>
            </w:r>
            <w:r w:rsidR="00F005E6">
              <w:rPr>
                <w:rFonts w:ascii="Arial" w:hAnsi="Arial"/>
                <w:b/>
                <w:sz w:val="16"/>
              </w:rPr>
              <w:t>-</w:t>
            </w:r>
          </w:p>
        </w:tc>
        <w:tc>
          <w:tcPr>
            <w:tcW w:w="1440" w:type="dxa"/>
          </w:tcPr>
          <w:p w14:paraId="01201569" w14:textId="77777777" w:rsidR="00F005E6" w:rsidRDefault="00F005E6" w:rsidP="00097689">
            <w:pPr>
              <w:spacing w:before="120" w:after="120"/>
              <w:jc w:val="right"/>
              <w:rPr>
                <w:rFonts w:ascii="Arial" w:hAnsi="Arial"/>
                <w:b/>
                <w:sz w:val="16"/>
              </w:rPr>
            </w:pPr>
            <w:r>
              <w:rPr>
                <w:rFonts w:ascii="Arial" w:hAnsi="Arial"/>
                <w:b/>
                <w:sz w:val="16"/>
              </w:rPr>
              <w:t>80</w:t>
            </w:r>
          </w:p>
        </w:tc>
        <w:tc>
          <w:tcPr>
            <w:tcW w:w="1530" w:type="dxa"/>
          </w:tcPr>
          <w:p w14:paraId="46E208AE" w14:textId="47AFBAB0" w:rsidR="00F005E6" w:rsidRDefault="000B5B6D" w:rsidP="00097689">
            <w:pPr>
              <w:spacing w:before="120" w:after="120"/>
              <w:jc w:val="right"/>
              <w:rPr>
                <w:rFonts w:ascii="Arial" w:hAnsi="Arial"/>
                <w:b/>
                <w:sz w:val="16"/>
              </w:rPr>
            </w:pPr>
            <w:r>
              <w:rPr>
                <w:rFonts w:ascii="Arial" w:hAnsi="Arial"/>
                <w:b/>
                <w:sz w:val="16"/>
              </w:rPr>
              <w:t>80</w:t>
            </w:r>
          </w:p>
        </w:tc>
        <w:tc>
          <w:tcPr>
            <w:tcW w:w="1134" w:type="dxa"/>
          </w:tcPr>
          <w:p w14:paraId="6873C324" w14:textId="1F352350" w:rsidR="00F005E6" w:rsidRDefault="00F005E6" w:rsidP="00097689">
            <w:pPr>
              <w:spacing w:before="120" w:after="120"/>
              <w:jc w:val="right"/>
              <w:rPr>
                <w:rFonts w:ascii="Arial" w:hAnsi="Arial"/>
                <w:b/>
                <w:sz w:val="16"/>
              </w:rPr>
            </w:pPr>
            <w:r>
              <w:rPr>
                <w:rFonts w:ascii="Arial" w:hAnsi="Arial"/>
                <w:b/>
                <w:sz w:val="16"/>
              </w:rPr>
              <w:t>-</w:t>
            </w:r>
            <w:r w:rsidR="001C51D2">
              <w:rPr>
                <w:rFonts w:ascii="Arial" w:hAnsi="Arial"/>
                <w:b/>
                <w:sz w:val="16"/>
              </w:rPr>
              <w:t xml:space="preserve"> </w:t>
            </w:r>
            <w:r>
              <w:rPr>
                <w:rFonts w:ascii="Arial" w:hAnsi="Arial"/>
                <w:b/>
                <w:sz w:val="16"/>
              </w:rPr>
              <w:t>-</w:t>
            </w:r>
            <w:r w:rsidR="001C51D2">
              <w:rPr>
                <w:rFonts w:ascii="Arial" w:hAnsi="Arial"/>
                <w:b/>
                <w:sz w:val="16"/>
              </w:rPr>
              <w:t xml:space="preserve"> </w:t>
            </w:r>
            <w:r>
              <w:rPr>
                <w:rFonts w:ascii="Arial" w:hAnsi="Arial"/>
                <w:b/>
                <w:sz w:val="16"/>
              </w:rPr>
              <w:t>-</w:t>
            </w:r>
            <w:r w:rsidR="001C51D2">
              <w:rPr>
                <w:rFonts w:ascii="Arial" w:hAnsi="Arial"/>
                <w:b/>
                <w:sz w:val="16"/>
              </w:rPr>
              <w:t xml:space="preserve"> </w:t>
            </w:r>
            <w:r>
              <w:rPr>
                <w:rFonts w:ascii="Arial" w:hAnsi="Arial"/>
                <w:b/>
                <w:sz w:val="16"/>
              </w:rPr>
              <w:t xml:space="preserve">- </w:t>
            </w:r>
          </w:p>
        </w:tc>
        <w:tc>
          <w:tcPr>
            <w:tcW w:w="1476" w:type="dxa"/>
          </w:tcPr>
          <w:p w14:paraId="3C122FC5" w14:textId="54988462" w:rsidR="00F005E6" w:rsidRDefault="0046604E" w:rsidP="000B5B6D">
            <w:pPr>
              <w:spacing w:before="120" w:after="120"/>
              <w:jc w:val="right"/>
              <w:rPr>
                <w:rFonts w:ascii="Arial" w:hAnsi="Arial"/>
                <w:b/>
                <w:sz w:val="16"/>
              </w:rPr>
            </w:pPr>
            <w:r w:rsidRPr="0046604E">
              <w:rPr>
                <w:rFonts w:ascii="Arial" w:hAnsi="Arial"/>
                <w:b/>
                <w:sz w:val="16"/>
              </w:rPr>
              <w:t>$</w:t>
            </w:r>
            <w:r w:rsidR="000B5B6D">
              <w:rPr>
                <w:rFonts w:ascii="Arial" w:hAnsi="Arial"/>
                <w:b/>
                <w:sz w:val="16"/>
              </w:rPr>
              <w:t>7,054.40</w:t>
            </w:r>
          </w:p>
        </w:tc>
      </w:tr>
    </w:tbl>
    <w:p w14:paraId="686FF5AA" w14:textId="77777777" w:rsidR="00F005E6" w:rsidRDefault="00F005E6" w:rsidP="00B765A5">
      <w:pPr>
        <w:jc w:val="both"/>
        <w:rPr>
          <w:rFonts w:ascii="Arial" w:hAnsi="Arial"/>
          <w:b/>
          <w:sz w:val="24"/>
        </w:rPr>
      </w:pPr>
    </w:p>
    <w:p w14:paraId="2A305725" w14:textId="7A1B9903" w:rsidR="00B765A5" w:rsidRPr="00F005E6" w:rsidRDefault="00B765A5" w:rsidP="00B765A5">
      <w:pPr>
        <w:jc w:val="both"/>
        <w:rPr>
          <w:rFonts w:ascii="Arial" w:hAnsi="Arial"/>
          <w:sz w:val="24"/>
        </w:rPr>
      </w:pPr>
      <w:r w:rsidRPr="00F005E6">
        <w:rPr>
          <w:rFonts w:ascii="Arial" w:hAnsi="Arial"/>
          <w:sz w:val="24"/>
        </w:rPr>
        <w:t xml:space="preserve">The USPTO’s total estimated cost for processing the information in this collection is </w:t>
      </w:r>
      <w:r w:rsidR="0046604E" w:rsidRPr="0046604E">
        <w:rPr>
          <w:rFonts w:ascii="Arial" w:hAnsi="Arial"/>
          <w:sz w:val="24"/>
        </w:rPr>
        <w:t>$</w:t>
      </w:r>
      <w:r w:rsidR="000B5B6D">
        <w:rPr>
          <w:rFonts w:ascii="Arial" w:hAnsi="Arial"/>
          <w:sz w:val="24"/>
        </w:rPr>
        <w:t>7,054.40</w:t>
      </w:r>
      <w:r w:rsidR="0046604E">
        <w:rPr>
          <w:rFonts w:ascii="Arial" w:hAnsi="Arial"/>
          <w:sz w:val="24"/>
        </w:rPr>
        <w:t xml:space="preserve"> </w:t>
      </w:r>
      <w:r w:rsidRPr="00F005E6">
        <w:rPr>
          <w:rFonts w:ascii="Arial" w:hAnsi="Arial"/>
          <w:sz w:val="24"/>
        </w:rPr>
        <w:t>per year.</w:t>
      </w:r>
    </w:p>
    <w:p w14:paraId="1B8BFEDC" w14:textId="77777777" w:rsidR="00B765A5" w:rsidRDefault="00B765A5" w:rsidP="00B765A5">
      <w:pPr>
        <w:jc w:val="both"/>
        <w:rPr>
          <w:rFonts w:ascii="Arial" w:hAnsi="Arial"/>
          <w:sz w:val="24"/>
        </w:rPr>
      </w:pPr>
    </w:p>
    <w:p w14:paraId="64BCFE49" w14:textId="77777777" w:rsidR="00B765A5" w:rsidRDefault="00B765A5" w:rsidP="00B765A5">
      <w:pPr>
        <w:jc w:val="both"/>
        <w:rPr>
          <w:rFonts w:ascii="Arial" w:hAnsi="Arial"/>
          <w:b/>
          <w:sz w:val="24"/>
        </w:rPr>
      </w:pPr>
      <w:r w:rsidRPr="008A3827">
        <w:rPr>
          <w:rFonts w:ascii="Arial" w:hAnsi="Arial"/>
          <w:b/>
          <w:sz w:val="24"/>
        </w:rPr>
        <w:t>15.</w:t>
      </w:r>
      <w:r w:rsidRPr="008A3827">
        <w:rPr>
          <w:rFonts w:ascii="Arial" w:hAnsi="Arial"/>
          <w:b/>
          <w:sz w:val="24"/>
        </w:rPr>
        <w:tab/>
        <w:t>Reason for Change in Burden</w:t>
      </w:r>
    </w:p>
    <w:p w14:paraId="4174117C" w14:textId="77777777" w:rsidR="00B765A5" w:rsidRDefault="00B765A5" w:rsidP="00B765A5">
      <w:pPr>
        <w:jc w:val="both"/>
        <w:rPr>
          <w:rFonts w:ascii="Arial" w:hAnsi="Arial"/>
          <w:b/>
          <w:sz w:val="24"/>
        </w:rPr>
      </w:pPr>
    </w:p>
    <w:p w14:paraId="1CCF8928" w14:textId="77777777" w:rsidR="00B765A5" w:rsidRDefault="00B765A5" w:rsidP="00B765A5">
      <w:pPr>
        <w:jc w:val="both"/>
        <w:rPr>
          <w:rFonts w:ascii="Arial" w:hAnsi="Arial"/>
          <w:sz w:val="24"/>
          <w:u w:val="single"/>
        </w:rPr>
      </w:pPr>
      <w:r>
        <w:rPr>
          <w:rFonts w:ascii="Arial" w:hAnsi="Arial"/>
          <w:sz w:val="24"/>
          <w:u w:val="single"/>
        </w:rPr>
        <w:t xml:space="preserve">Summary of Changes </w:t>
      </w:r>
      <w:proofErr w:type="gramStart"/>
      <w:r>
        <w:rPr>
          <w:rFonts w:ascii="Arial" w:hAnsi="Arial"/>
          <w:sz w:val="24"/>
          <w:u w:val="single"/>
        </w:rPr>
        <w:t>Since</w:t>
      </w:r>
      <w:proofErr w:type="gramEnd"/>
      <w:r>
        <w:rPr>
          <w:rFonts w:ascii="Arial" w:hAnsi="Arial"/>
          <w:sz w:val="24"/>
          <w:u w:val="single"/>
        </w:rPr>
        <w:t xml:space="preserve"> the Previous Renewal</w:t>
      </w:r>
    </w:p>
    <w:p w14:paraId="60CD8577" w14:textId="0FC9FA22" w:rsidR="00BE7486" w:rsidRPr="00BE7486" w:rsidRDefault="00BE7486" w:rsidP="00B765A5">
      <w:pPr>
        <w:jc w:val="both"/>
        <w:rPr>
          <w:rFonts w:ascii="Arial" w:hAnsi="Arial"/>
          <w:sz w:val="24"/>
        </w:rPr>
      </w:pPr>
      <w:r>
        <w:rPr>
          <w:rFonts w:ascii="Arial" w:hAnsi="Arial"/>
          <w:sz w:val="24"/>
        </w:rPr>
        <w:t>Because this is a new collection, there have been no changes since the previous renewal.</w:t>
      </w:r>
      <w:r w:rsidR="001C51D2">
        <w:rPr>
          <w:rFonts w:ascii="Arial" w:hAnsi="Arial"/>
          <w:sz w:val="24"/>
        </w:rPr>
        <w:t xml:space="preserve"> </w:t>
      </w:r>
      <w:r>
        <w:rPr>
          <w:rFonts w:ascii="Arial" w:hAnsi="Arial"/>
          <w:sz w:val="24"/>
        </w:rPr>
        <w:t>However, there has been a change in hourly burden since the publication of the 60-day notice.</w:t>
      </w:r>
    </w:p>
    <w:p w14:paraId="47862070" w14:textId="77777777" w:rsidR="00B765A5" w:rsidRDefault="00B765A5" w:rsidP="00B765A5">
      <w:pPr>
        <w:pStyle w:val="BodyText2"/>
        <w:rPr>
          <w:u w:val="single"/>
        </w:rPr>
      </w:pPr>
    </w:p>
    <w:p w14:paraId="7F974C57" w14:textId="2093012B" w:rsidR="00BE7486" w:rsidRPr="00BE7486" w:rsidRDefault="00BE7486" w:rsidP="004C4DAB">
      <w:pPr>
        <w:pStyle w:val="BodyText2"/>
        <w:rPr>
          <w:u w:val="single"/>
        </w:rPr>
      </w:pPr>
      <w:r>
        <w:rPr>
          <w:u w:val="single"/>
        </w:rPr>
        <w:t xml:space="preserve">Changes </w:t>
      </w:r>
      <w:r w:rsidR="00876E24">
        <w:rPr>
          <w:u w:val="single"/>
        </w:rPr>
        <w:t>S</w:t>
      </w:r>
      <w:r>
        <w:rPr>
          <w:u w:val="single"/>
        </w:rPr>
        <w:t xml:space="preserve">ince the 60-day </w:t>
      </w:r>
      <w:r w:rsidR="00876E24">
        <w:rPr>
          <w:u w:val="single"/>
        </w:rPr>
        <w:t>N</w:t>
      </w:r>
      <w:r>
        <w:rPr>
          <w:u w:val="single"/>
        </w:rPr>
        <w:t>otice</w:t>
      </w:r>
    </w:p>
    <w:p w14:paraId="6A5895C5" w14:textId="22DF605B" w:rsidR="004C4DAB" w:rsidRDefault="004C4DAB" w:rsidP="004C4DAB">
      <w:pPr>
        <w:pStyle w:val="BodyText2"/>
      </w:pPr>
      <w:r w:rsidRPr="00854B53">
        <w:t xml:space="preserve">Since the 60-day notice for this collection was published, USPTO has revised its estimate of the hourly burden rate for the </w:t>
      </w:r>
      <w:r>
        <w:t>regional program administrators</w:t>
      </w:r>
      <w:r w:rsidRPr="00854B53">
        <w:t>.</w:t>
      </w:r>
      <w:r w:rsidR="001C51D2">
        <w:t xml:space="preserve"> </w:t>
      </w:r>
      <w:r w:rsidRPr="00854B53">
        <w:t xml:space="preserve">Previously this cost was estimated at $50 an hour, but it has been </w:t>
      </w:r>
      <w:r>
        <w:t>updated to an hourly rate of $</w:t>
      </w:r>
      <w:r w:rsidRPr="00854B53">
        <w:t xml:space="preserve">65.51 </w:t>
      </w:r>
      <w:r w:rsidR="00BD63FE">
        <w:t xml:space="preserve">to reflect that most of the </w:t>
      </w:r>
      <w:r>
        <w:t>regional program administrators are lawyers.</w:t>
      </w:r>
      <w:r w:rsidR="00BE7486">
        <w:t xml:space="preserve"> Therefore, the </w:t>
      </w:r>
      <w:r w:rsidR="000B5B6D">
        <w:t>h</w:t>
      </w:r>
      <w:r w:rsidR="00BE7486">
        <w:t xml:space="preserve">ourly cost </w:t>
      </w:r>
      <w:r w:rsidR="000B5B6D">
        <w:t xml:space="preserve">to respondents </w:t>
      </w:r>
      <w:r w:rsidR="00BE7486">
        <w:t xml:space="preserve">has increased from $8,000 to </w:t>
      </w:r>
      <w:r w:rsidR="00BE7486" w:rsidRPr="00BE7486">
        <w:t>$10,481.60</w:t>
      </w:r>
      <w:r w:rsidR="00BE7486">
        <w:t>.</w:t>
      </w:r>
      <w:r w:rsidR="000B5B6D">
        <w:t xml:space="preserve">  In addition, the USPTO has determined since implementation of the survey that only </w:t>
      </w:r>
      <w:r w:rsidR="00617A67">
        <w:t>60 minutes (1 hour) is required to process a single submission.  Thus, the Total Government Burden Cost has been reduced from $14,108.80 to $7,054.40.</w:t>
      </w:r>
    </w:p>
    <w:p w14:paraId="6376A39F" w14:textId="77777777" w:rsidR="00B10E87" w:rsidRDefault="00B10E87" w:rsidP="00B765A5">
      <w:pPr>
        <w:pStyle w:val="BodyText2"/>
      </w:pPr>
    </w:p>
    <w:p w14:paraId="596FEAAB" w14:textId="77777777" w:rsidR="00B765A5" w:rsidRDefault="00B765A5" w:rsidP="00B765A5">
      <w:pPr>
        <w:jc w:val="both"/>
        <w:rPr>
          <w:rFonts w:ascii="Arial" w:hAnsi="Arial"/>
          <w:sz w:val="24"/>
        </w:rPr>
      </w:pPr>
      <w:r>
        <w:rPr>
          <w:rFonts w:ascii="Arial" w:hAnsi="Arial"/>
          <w:b/>
          <w:sz w:val="24"/>
        </w:rPr>
        <w:t>16.</w:t>
      </w:r>
      <w:r>
        <w:rPr>
          <w:rFonts w:ascii="Arial" w:hAnsi="Arial"/>
          <w:b/>
          <w:sz w:val="24"/>
        </w:rPr>
        <w:tab/>
        <w:t>Project Schedule</w:t>
      </w:r>
    </w:p>
    <w:p w14:paraId="358A8F25" w14:textId="77777777" w:rsidR="00B765A5" w:rsidRDefault="00B765A5" w:rsidP="00B765A5">
      <w:pPr>
        <w:jc w:val="both"/>
        <w:rPr>
          <w:rFonts w:ascii="Arial" w:hAnsi="Arial"/>
          <w:sz w:val="24"/>
        </w:rPr>
      </w:pPr>
    </w:p>
    <w:p w14:paraId="1FA23CEF" w14:textId="08C46522" w:rsidR="00773AA7" w:rsidRPr="006F7A02" w:rsidRDefault="004C4DAB" w:rsidP="00B765A5">
      <w:pPr>
        <w:jc w:val="both"/>
        <w:rPr>
          <w:rFonts w:ascii="Arial" w:hAnsi="Arial"/>
          <w:sz w:val="24"/>
        </w:rPr>
      </w:pPr>
      <w:r w:rsidRPr="004C4DAB">
        <w:rPr>
          <w:rFonts w:ascii="Arial" w:hAnsi="Arial"/>
          <w:sz w:val="24"/>
        </w:rPr>
        <w:t xml:space="preserve">The USPTO plans to </w:t>
      </w:r>
      <w:r w:rsidR="00141F63">
        <w:rPr>
          <w:rFonts w:ascii="Arial" w:hAnsi="Arial"/>
          <w:sz w:val="24"/>
        </w:rPr>
        <w:t>present</w:t>
      </w:r>
      <w:r w:rsidR="00141F63" w:rsidRPr="004C4DAB">
        <w:rPr>
          <w:rFonts w:ascii="Arial" w:hAnsi="Arial"/>
          <w:sz w:val="24"/>
        </w:rPr>
        <w:t xml:space="preserve"> </w:t>
      </w:r>
      <w:r w:rsidRPr="004C4DAB">
        <w:rPr>
          <w:rFonts w:ascii="Arial" w:hAnsi="Arial"/>
          <w:sz w:val="24"/>
        </w:rPr>
        <w:t xml:space="preserve">aggregate summary metrics for the regional </w:t>
      </w:r>
      <w:r w:rsidR="00340DB7">
        <w:rPr>
          <w:rFonts w:ascii="Arial" w:hAnsi="Arial"/>
          <w:sz w:val="24"/>
        </w:rPr>
        <w:t>programs</w:t>
      </w:r>
      <w:r w:rsidR="00340DB7" w:rsidRPr="004C4DAB">
        <w:rPr>
          <w:rFonts w:ascii="Arial" w:hAnsi="Arial"/>
          <w:sz w:val="24"/>
        </w:rPr>
        <w:t xml:space="preserve"> </w:t>
      </w:r>
      <w:r w:rsidRPr="004C4DAB">
        <w:rPr>
          <w:rFonts w:ascii="Arial" w:hAnsi="Arial"/>
          <w:sz w:val="24"/>
        </w:rPr>
        <w:t xml:space="preserve">using the Pro Bono Survey in order to promote the regional </w:t>
      </w:r>
      <w:r w:rsidR="00340DB7">
        <w:rPr>
          <w:rFonts w:ascii="Arial" w:hAnsi="Arial"/>
          <w:sz w:val="24"/>
        </w:rPr>
        <w:t>programs</w:t>
      </w:r>
      <w:r w:rsidR="00753DF0">
        <w:rPr>
          <w:rFonts w:ascii="Arial" w:hAnsi="Arial"/>
          <w:sz w:val="24"/>
        </w:rPr>
        <w:t xml:space="preserve"> at conferences</w:t>
      </w:r>
      <w:r w:rsidR="007A7498">
        <w:rPr>
          <w:rFonts w:ascii="Arial" w:hAnsi="Arial"/>
          <w:sz w:val="24"/>
        </w:rPr>
        <w:t xml:space="preserve"> and forums. </w:t>
      </w:r>
      <w:r w:rsidRPr="004C4DAB">
        <w:rPr>
          <w:rFonts w:ascii="Arial" w:hAnsi="Arial"/>
          <w:sz w:val="24"/>
        </w:rPr>
        <w:t xml:space="preserve">The USPTO may also publish metrics for individual regional </w:t>
      </w:r>
      <w:r w:rsidR="00340DB7">
        <w:rPr>
          <w:rFonts w:ascii="Arial" w:hAnsi="Arial"/>
          <w:sz w:val="24"/>
        </w:rPr>
        <w:t>programs</w:t>
      </w:r>
      <w:r w:rsidR="00340DB7" w:rsidRPr="004C4DAB">
        <w:rPr>
          <w:rFonts w:ascii="Arial" w:hAnsi="Arial"/>
          <w:sz w:val="24"/>
        </w:rPr>
        <w:t xml:space="preserve"> </w:t>
      </w:r>
      <w:r w:rsidRPr="004C4DAB">
        <w:rPr>
          <w:rFonts w:ascii="Arial" w:hAnsi="Arial"/>
          <w:sz w:val="24"/>
        </w:rPr>
        <w:t xml:space="preserve">to promote the </w:t>
      </w:r>
      <w:r w:rsidR="00340DB7">
        <w:rPr>
          <w:rFonts w:ascii="Arial" w:hAnsi="Arial"/>
          <w:sz w:val="24"/>
        </w:rPr>
        <w:t>programs</w:t>
      </w:r>
      <w:r w:rsidR="00340DB7" w:rsidRPr="004C4DAB">
        <w:rPr>
          <w:rFonts w:ascii="Arial" w:hAnsi="Arial"/>
          <w:sz w:val="24"/>
        </w:rPr>
        <w:t xml:space="preserve"> </w:t>
      </w:r>
      <w:r w:rsidRPr="004C4DAB">
        <w:rPr>
          <w:rFonts w:ascii="Arial" w:hAnsi="Arial"/>
          <w:sz w:val="24"/>
        </w:rPr>
        <w:t>individually. The Office of Enrollment and Discipline of the USPTO is res</w:t>
      </w:r>
      <w:bookmarkStart w:id="0" w:name="_GoBack"/>
      <w:bookmarkEnd w:id="0"/>
      <w:r w:rsidRPr="004C4DAB">
        <w:rPr>
          <w:rFonts w:ascii="Arial" w:hAnsi="Arial"/>
          <w:sz w:val="24"/>
        </w:rPr>
        <w:t>ponsible for conducting and summarizing the Pro Bono Survey.</w:t>
      </w:r>
      <w:r w:rsidR="001C51D2">
        <w:rPr>
          <w:rFonts w:ascii="Arial" w:hAnsi="Arial"/>
          <w:sz w:val="24"/>
        </w:rPr>
        <w:t xml:space="preserve"> </w:t>
      </w:r>
      <w:r w:rsidR="00141F63">
        <w:rPr>
          <w:rFonts w:ascii="Arial" w:hAnsi="Arial"/>
          <w:sz w:val="24"/>
        </w:rPr>
        <w:t xml:space="preserve"> </w:t>
      </w:r>
      <w:r w:rsidR="009262BB">
        <w:rPr>
          <w:rFonts w:ascii="Arial" w:hAnsi="Arial"/>
          <w:sz w:val="24"/>
        </w:rPr>
        <w:t xml:space="preserve">These </w:t>
      </w:r>
      <w:r w:rsidR="00141F63">
        <w:rPr>
          <w:rFonts w:ascii="Arial" w:hAnsi="Arial"/>
          <w:sz w:val="24"/>
        </w:rPr>
        <w:t>quarterly reports</w:t>
      </w:r>
      <w:r w:rsidR="006929E1">
        <w:rPr>
          <w:rFonts w:ascii="Arial" w:hAnsi="Arial"/>
          <w:sz w:val="24"/>
        </w:rPr>
        <w:t xml:space="preserve"> are used as a basis for OED performance discussion.</w:t>
      </w:r>
      <w:r w:rsidR="009262BB">
        <w:rPr>
          <w:rFonts w:ascii="Arial" w:hAnsi="Arial"/>
          <w:sz w:val="24"/>
        </w:rPr>
        <w:t xml:space="preserve"> </w:t>
      </w:r>
      <w:r w:rsidR="006929E1">
        <w:rPr>
          <w:rFonts w:ascii="Arial" w:hAnsi="Arial"/>
          <w:sz w:val="24"/>
        </w:rPr>
        <w:t>This performance discussion will be used to establish criteria to evaluate each program on its own merits.</w:t>
      </w:r>
      <w:r w:rsidR="006F7A02">
        <w:rPr>
          <w:rFonts w:ascii="Arial" w:hAnsi="Arial"/>
          <w:sz w:val="24"/>
        </w:rPr>
        <w:t xml:space="preserve"> </w:t>
      </w:r>
      <w:r w:rsidR="006F22A2" w:rsidRPr="00BD63FE">
        <w:rPr>
          <w:rFonts w:ascii="Arial" w:hAnsi="Arial" w:cs="Arial"/>
          <w:sz w:val="24"/>
          <w:szCs w:val="24"/>
        </w:rPr>
        <w:t>This data will help OED evaluate performances of each regional program as well as the overall performance and health of the overall patent pro bono program.</w:t>
      </w:r>
      <w:r w:rsidR="00753DF0" w:rsidRPr="006F7A02">
        <w:rPr>
          <w:rFonts w:ascii="Arial" w:hAnsi="Arial"/>
          <w:sz w:val="24"/>
        </w:rPr>
        <w:t xml:space="preserve"> </w:t>
      </w:r>
    </w:p>
    <w:p w14:paraId="12CC0B51" w14:textId="19016B9D" w:rsidR="009262BB" w:rsidRDefault="001C51D2" w:rsidP="00B765A5">
      <w:pPr>
        <w:jc w:val="both"/>
      </w:pPr>
      <w:r>
        <w:rPr>
          <w:rFonts w:ascii="Arial" w:hAnsi="Arial"/>
          <w:sz w:val="24"/>
        </w:rPr>
        <w:t xml:space="preserve"> </w:t>
      </w:r>
      <w:r>
        <w:t xml:space="preserve">  </w:t>
      </w:r>
    </w:p>
    <w:p w14:paraId="38DADAFF" w14:textId="77777777" w:rsidR="004C4DAB" w:rsidRDefault="004C4DAB" w:rsidP="00B765A5">
      <w:pPr>
        <w:jc w:val="both"/>
        <w:rPr>
          <w:rFonts w:ascii="Arial" w:hAnsi="Arial"/>
          <w:b/>
          <w:sz w:val="24"/>
        </w:rPr>
      </w:pPr>
    </w:p>
    <w:p w14:paraId="3F1047CC" w14:textId="77777777" w:rsidR="00B765A5" w:rsidRDefault="00B765A5" w:rsidP="00B765A5">
      <w:pPr>
        <w:jc w:val="both"/>
        <w:rPr>
          <w:rFonts w:ascii="Arial" w:hAnsi="Arial"/>
          <w:b/>
          <w:sz w:val="24"/>
        </w:rPr>
      </w:pPr>
      <w:r>
        <w:rPr>
          <w:rFonts w:ascii="Arial" w:hAnsi="Arial"/>
          <w:b/>
          <w:sz w:val="24"/>
        </w:rPr>
        <w:t>17.</w:t>
      </w:r>
      <w:r>
        <w:rPr>
          <w:rFonts w:ascii="Arial" w:hAnsi="Arial"/>
          <w:b/>
          <w:sz w:val="24"/>
        </w:rPr>
        <w:tab/>
        <w:t>Display of Expiration Date of OMB Approval</w:t>
      </w:r>
    </w:p>
    <w:p w14:paraId="6E9F2ACF" w14:textId="77777777" w:rsidR="00B765A5" w:rsidRDefault="00B765A5" w:rsidP="00B765A5">
      <w:pPr>
        <w:jc w:val="both"/>
        <w:rPr>
          <w:rFonts w:ascii="Arial" w:hAnsi="Arial"/>
          <w:sz w:val="24"/>
        </w:rPr>
      </w:pPr>
    </w:p>
    <w:p w14:paraId="6B3A2EE6" w14:textId="77777777" w:rsidR="00B765A5" w:rsidRDefault="00B765A5" w:rsidP="00B765A5">
      <w:pPr>
        <w:jc w:val="both"/>
        <w:rPr>
          <w:rFonts w:ascii="Arial" w:hAnsi="Arial"/>
          <w:sz w:val="24"/>
        </w:rPr>
      </w:pPr>
      <w:r>
        <w:rPr>
          <w:rFonts w:ascii="Arial" w:hAnsi="Arial"/>
          <w:sz w:val="24"/>
        </w:rPr>
        <w:t>The questionnaire</w:t>
      </w:r>
      <w:r w:rsidRPr="00251308">
        <w:rPr>
          <w:rFonts w:ascii="Arial" w:hAnsi="Arial"/>
          <w:sz w:val="24"/>
        </w:rPr>
        <w:t xml:space="preserve"> </w:t>
      </w:r>
      <w:r>
        <w:rPr>
          <w:rFonts w:ascii="Arial" w:hAnsi="Arial"/>
          <w:sz w:val="24"/>
        </w:rPr>
        <w:t>in this information collection will display the OMB Control Number and the OMB expiration date.</w:t>
      </w:r>
    </w:p>
    <w:p w14:paraId="32261661" w14:textId="77777777" w:rsidR="00B765A5" w:rsidRDefault="00B765A5" w:rsidP="00B765A5">
      <w:pPr>
        <w:jc w:val="both"/>
        <w:rPr>
          <w:rFonts w:ascii="Arial" w:hAnsi="Arial"/>
          <w:sz w:val="24"/>
        </w:rPr>
      </w:pPr>
    </w:p>
    <w:p w14:paraId="7A356592" w14:textId="77777777" w:rsidR="00B765A5" w:rsidRDefault="00B765A5" w:rsidP="00B765A5">
      <w:pPr>
        <w:jc w:val="both"/>
        <w:rPr>
          <w:rFonts w:ascii="Arial" w:hAnsi="Arial"/>
          <w:b/>
          <w:sz w:val="24"/>
        </w:rPr>
      </w:pPr>
      <w:r>
        <w:rPr>
          <w:rFonts w:ascii="Arial" w:hAnsi="Arial"/>
          <w:b/>
          <w:sz w:val="24"/>
        </w:rPr>
        <w:lastRenderedPageBreak/>
        <w:t>18.</w:t>
      </w:r>
      <w:r>
        <w:rPr>
          <w:rFonts w:ascii="Arial" w:hAnsi="Arial"/>
          <w:b/>
          <w:sz w:val="24"/>
        </w:rPr>
        <w:tab/>
        <w:t>Exception to the Certificate Statement</w:t>
      </w:r>
    </w:p>
    <w:p w14:paraId="6D86862D" w14:textId="77777777" w:rsidR="00B765A5" w:rsidRDefault="00B765A5" w:rsidP="00B765A5">
      <w:pPr>
        <w:jc w:val="both"/>
        <w:rPr>
          <w:rFonts w:ascii="Arial" w:hAnsi="Arial"/>
          <w:sz w:val="24"/>
        </w:rPr>
      </w:pPr>
    </w:p>
    <w:p w14:paraId="5CD65B2A" w14:textId="77777777" w:rsidR="00B765A5" w:rsidRDefault="00B765A5" w:rsidP="00B765A5">
      <w:pPr>
        <w:jc w:val="both"/>
        <w:rPr>
          <w:rFonts w:ascii="Arial" w:hAnsi="Arial"/>
          <w:sz w:val="24"/>
        </w:rPr>
      </w:pPr>
      <w:r>
        <w:rPr>
          <w:rFonts w:ascii="Arial" w:hAnsi="Arial"/>
          <w:sz w:val="24"/>
        </w:rPr>
        <w:t>This collection of information does not include any exceptions to the certificate statement.</w:t>
      </w:r>
    </w:p>
    <w:p w14:paraId="26744CFA" w14:textId="77777777" w:rsidR="00B765A5" w:rsidRDefault="00B765A5" w:rsidP="00B765A5">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56B9C9D1" w14:textId="77777777" w:rsidR="00201B5E" w:rsidRDefault="00F443C2"/>
    <w:sectPr w:rsidR="00201B5E">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8CB68" w15:done="0"/>
  <w15:commentEx w15:paraId="4660349D" w15:done="0"/>
  <w15:commentEx w15:paraId="73CF5116" w15:done="0"/>
  <w15:commentEx w15:paraId="7366A1F7" w15:done="0"/>
  <w15:commentEx w15:paraId="43606D01" w15:done="0"/>
  <w15:commentEx w15:paraId="654284F8" w15:done="0"/>
  <w15:commentEx w15:paraId="43F4147B" w15:done="0"/>
  <w15:commentEx w15:paraId="05C28C3A" w15:done="0"/>
  <w15:commentEx w15:paraId="574AC4BF" w15:done="0"/>
  <w15:commentEx w15:paraId="6A6AAD73" w15:done="0"/>
  <w15:commentEx w15:paraId="50939F16" w15:done="0"/>
  <w15:commentEx w15:paraId="09F3B46C" w15:done="0"/>
  <w15:commentEx w15:paraId="655D535F" w15:done="0"/>
  <w15:commentEx w15:paraId="45DA3EAF" w15:done="0"/>
  <w15:commentEx w15:paraId="60A3AA1F" w15:done="0"/>
  <w15:commentEx w15:paraId="01C24C58" w15:done="0"/>
  <w15:commentEx w15:paraId="15F780B9" w15:done="0"/>
  <w15:commentEx w15:paraId="5311E7E4" w15:done="0"/>
  <w15:commentEx w15:paraId="70F9E686" w15:done="0"/>
  <w15:commentEx w15:paraId="3E0D9492" w15:done="0"/>
  <w15:commentEx w15:paraId="2A09827A" w15:done="0"/>
  <w15:commentEx w15:paraId="49DF4934" w15:done="0"/>
  <w15:commentEx w15:paraId="1608234A" w15:done="0"/>
  <w15:commentEx w15:paraId="513E87BA" w15:done="0"/>
  <w15:commentEx w15:paraId="66E9CD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F6513" w14:textId="77777777" w:rsidR="00F443C2" w:rsidRDefault="00F443C2" w:rsidP="00E03587">
      <w:r>
        <w:separator/>
      </w:r>
    </w:p>
  </w:endnote>
  <w:endnote w:type="continuationSeparator" w:id="0">
    <w:p w14:paraId="6A8C28C0" w14:textId="77777777" w:rsidR="00F443C2" w:rsidRDefault="00F443C2" w:rsidP="00E0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544928"/>
      <w:docPartObj>
        <w:docPartGallery w:val="Page Numbers (Bottom of Page)"/>
        <w:docPartUnique/>
      </w:docPartObj>
    </w:sdtPr>
    <w:sdtEndPr>
      <w:rPr>
        <w:noProof/>
      </w:rPr>
    </w:sdtEndPr>
    <w:sdtContent>
      <w:p w14:paraId="15461BFB" w14:textId="1038DD35" w:rsidR="00E03587" w:rsidRDefault="00E03587">
        <w:pPr>
          <w:pStyle w:val="Footer"/>
          <w:jc w:val="right"/>
        </w:pPr>
        <w:r>
          <w:fldChar w:fldCharType="begin"/>
        </w:r>
        <w:r>
          <w:instrText xml:space="preserve"> PAGE   \* MERGEFORMAT </w:instrText>
        </w:r>
        <w:r>
          <w:fldChar w:fldCharType="separate"/>
        </w:r>
        <w:r w:rsidR="007A7498">
          <w:rPr>
            <w:noProof/>
          </w:rPr>
          <w:t>6</w:t>
        </w:r>
        <w:r>
          <w:rPr>
            <w:noProof/>
          </w:rPr>
          <w:fldChar w:fldCharType="end"/>
        </w:r>
      </w:p>
    </w:sdtContent>
  </w:sdt>
  <w:p w14:paraId="73BC33B8" w14:textId="77777777" w:rsidR="00E03587" w:rsidRDefault="00E035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86652" w14:textId="77777777" w:rsidR="00F443C2" w:rsidRDefault="00F443C2" w:rsidP="00E03587">
      <w:r>
        <w:separator/>
      </w:r>
    </w:p>
  </w:footnote>
  <w:footnote w:type="continuationSeparator" w:id="0">
    <w:p w14:paraId="2322F937" w14:textId="77777777" w:rsidR="00F443C2" w:rsidRDefault="00F443C2" w:rsidP="00E03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DF80824"/>
    <w:multiLevelType w:val="hybridMultilevel"/>
    <w:tmpl w:val="723CD24A"/>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932923"/>
    <w:multiLevelType w:val="hybridMultilevel"/>
    <w:tmpl w:val="9F3A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CB0FF8"/>
    <w:multiLevelType w:val="hybridMultilevel"/>
    <w:tmpl w:val="9D7883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C2B07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7BA37426"/>
    <w:multiLevelType w:val="hybridMultilevel"/>
    <w:tmpl w:val="653AD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E51407A"/>
    <w:multiLevelType w:val="hybridMultilevel"/>
    <w:tmpl w:val="A188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5"/>
  </w:num>
  <w:num w:numId="2">
    <w:abstractNumId w:val="0"/>
  </w:num>
  <w:num w:numId="3">
    <w:abstractNumId w:val="8"/>
  </w:num>
  <w:num w:numId="4">
    <w:abstractNumId w:val="2"/>
  </w:num>
  <w:num w:numId="5">
    <w:abstractNumId w:val="1"/>
  </w:num>
  <w:num w:numId="6">
    <w:abstractNumId w:val="6"/>
  </w:num>
  <w:num w:numId="7">
    <w:abstractNumId w:val="4"/>
  </w:num>
  <w:num w:numId="8">
    <w:abstractNumId w:val="7"/>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aac, Justin (AMBIT)">
    <w15:presenceInfo w15:providerId="AD" w15:userId="S-1-5-21-185489447-88882503-980507067-299125"/>
  </w15:person>
  <w15:person w15:author="Kirkpatrick, John C.">
    <w15:presenceInfo w15:providerId="AD" w15:userId="S-1-5-21-185489447-88882503-980507067-228946"/>
  </w15:person>
  <w15:person w15:author="Corboy, Grant">
    <w15:presenceInfo w15:providerId="AD" w15:userId="S-1-5-21-185489447-88882503-980507067-231548"/>
  </w15:person>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A5"/>
    <w:rsid w:val="00017D50"/>
    <w:rsid w:val="00031669"/>
    <w:rsid w:val="00043DA8"/>
    <w:rsid w:val="00052821"/>
    <w:rsid w:val="00061CA0"/>
    <w:rsid w:val="00087240"/>
    <w:rsid w:val="00097689"/>
    <w:rsid w:val="000A0A9D"/>
    <w:rsid w:val="000B5B6D"/>
    <w:rsid w:val="000E7674"/>
    <w:rsid w:val="000F31DD"/>
    <w:rsid w:val="001277DC"/>
    <w:rsid w:val="00141F63"/>
    <w:rsid w:val="001A48BA"/>
    <w:rsid w:val="001B4C9E"/>
    <w:rsid w:val="001C51D2"/>
    <w:rsid w:val="001E15E6"/>
    <w:rsid w:val="001E2D8C"/>
    <w:rsid w:val="001F25E4"/>
    <w:rsid w:val="001F3C8E"/>
    <w:rsid w:val="00204142"/>
    <w:rsid w:val="00226401"/>
    <w:rsid w:val="002530F1"/>
    <w:rsid w:val="00275566"/>
    <w:rsid w:val="00281DB8"/>
    <w:rsid w:val="00292959"/>
    <w:rsid w:val="002A7577"/>
    <w:rsid w:val="002B62DD"/>
    <w:rsid w:val="002E6299"/>
    <w:rsid w:val="00306D15"/>
    <w:rsid w:val="00324C5D"/>
    <w:rsid w:val="00340DB7"/>
    <w:rsid w:val="00343ED0"/>
    <w:rsid w:val="003B385C"/>
    <w:rsid w:val="003B5D3F"/>
    <w:rsid w:val="003C2332"/>
    <w:rsid w:val="003D5796"/>
    <w:rsid w:val="003E35B3"/>
    <w:rsid w:val="003F42E4"/>
    <w:rsid w:val="00426A83"/>
    <w:rsid w:val="00435444"/>
    <w:rsid w:val="00446908"/>
    <w:rsid w:val="0046604E"/>
    <w:rsid w:val="00476089"/>
    <w:rsid w:val="004847AE"/>
    <w:rsid w:val="00496589"/>
    <w:rsid w:val="004A7269"/>
    <w:rsid w:val="004B1551"/>
    <w:rsid w:val="004C4DAB"/>
    <w:rsid w:val="00500727"/>
    <w:rsid w:val="00595C5A"/>
    <w:rsid w:val="005B2440"/>
    <w:rsid w:val="005B6A47"/>
    <w:rsid w:val="005F635E"/>
    <w:rsid w:val="00617A67"/>
    <w:rsid w:val="006559D9"/>
    <w:rsid w:val="006929E1"/>
    <w:rsid w:val="006B6F71"/>
    <w:rsid w:val="006F108D"/>
    <w:rsid w:val="006F22A2"/>
    <w:rsid w:val="006F7A02"/>
    <w:rsid w:val="007022D2"/>
    <w:rsid w:val="00714A96"/>
    <w:rsid w:val="00753DF0"/>
    <w:rsid w:val="0076250A"/>
    <w:rsid w:val="007735E0"/>
    <w:rsid w:val="00773AA7"/>
    <w:rsid w:val="007A7498"/>
    <w:rsid w:val="007B5F94"/>
    <w:rsid w:val="007E2E97"/>
    <w:rsid w:val="007F7E1F"/>
    <w:rsid w:val="00803053"/>
    <w:rsid w:val="00812D64"/>
    <w:rsid w:val="0083198E"/>
    <w:rsid w:val="00847A35"/>
    <w:rsid w:val="00875F28"/>
    <w:rsid w:val="00876E24"/>
    <w:rsid w:val="0088776B"/>
    <w:rsid w:val="008A63EA"/>
    <w:rsid w:val="008B77B5"/>
    <w:rsid w:val="008D4FF1"/>
    <w:rsid w:val="009262BB"/>
    <w:rsid w:val="0093746D"/>
    <w:rsid w:val="0099229C"/>
    <w:rsid w:val="009B43BB"/>
    <w:rsid w:val="009C7A11"/>
    <w:rsid w:val="009E5BE4"/>
    <w:rsid w:val="009F0F73"/>
    <w:rsid w:val="00A24A9C"/>
    <w:rsid w:val="00A319AD"/>
    <w:rsid w:val="00A33E7A"/>
    <w:rsid w:val="00A462D4"/>
    <w:rsid w:val="00A46A85"/>
    <w:rsid w:val="00A47F26"/>
    <w:rsid w:val="00A84E67"/>
    <w:rsid w:val="00AB5DF7"/>
    <w:rsid w:val="00AB77D7"/>
    <w:rsid w:val="00B05C0D"/>
    <w:rsid w:val="00B10E87"/>
    <w:rsid w:val="00B34FAD"/>
    <w:rsid w:val="00B45631"/>
    <w:rsid w:val="00B64A38"/>
    <w:rsid w:val="00B74A38"/>
    <w:rsid w:val="00B765A5"/>
    <w:rsid w:val="00B87BE5"/>
    <w:rsid w:val="00BD63FE"/>
    <w:rsid w:val="00BE2E2E"/>
    <w:rsid w:val="00BE7486"/>
    <w:rsid w:val="00C03786"/>
    <w:rsid w:val="00C33961"/>
    <w:rsid w:val="00C54895"/>
    <w:rsid w:val="00CA6E15"/>
    <w:rsid w:val="00CA7A39"/>
    <w:rsid w:val="00CB5A5A"/>
    <w:rsid w:val="00CD3DF2"/>
    <w:rsid w:val="00CF658D"/>
    <w:rsid w:val="00D067B0"/>
    <w:rsid w:val="00D52784"/>
    <w:rsid w:val="00D67D23"/>
    <w:rsid w:val="00D711AF"/>
    <w:rsid w:val="00D77D10"/>
    <w:rsid w:val="00DC5B8E"/>
    <w:rsid w:val="00E01FF0"/>
    <w:rsid w:val="00E03587"/>
    <w:rsid w:val="00E03842"/>
    <w:rsid w:val="00E04939"/>
    <w:rsid w:val="00E0699E"/>
    <w:rsid w:val="00E852EB"/>
    <w:rsid w:val="00E92062"/>
    <w:rsid w:val="00EC1089"/>
    <w:rsid w:val="00ED115D"/>
    <w:rsid w:val="00F005E6"/>
    <w:rsid w:val="00F02FB0"/>
    <w:rsid w:val="00F35366"/>
    <w:rsid w:val="00F421D9"/>
    <w:rsid w:val="00F443C2"/>
    <w:rsid w:val="00F803C3"/>
    <w:rsid w:val="00F85F5E"/>
    <w:rsid w:val="00F90744"/>
    <w:rsid w:val="00FE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E8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65A5"/>
    <w:pPr>
      <w:keepNext/>
      <w:tabs>
        <w:tab w:val="left" w:pos="720"/>
      </w:tabs>
      <w:jc w:val="both"/>
      <w:outlineLvl w:val="0"/>
    </w:pPr>
    <w:rPr>
      <w:rFonts w:ascii="Arial" w:hAnsi="Arial"/>
      <w:b/>
      <w:sz w:val="24"/>
    </w:rPr>
  </w:style>
  <w:style w:type="paragraph" w:styleId="Heading3">
    <w:name w:val="heading 3"/>
    <w:basedOn w:val="Normal"/>
    <w:next w:val="Normal"/>
    <w:link w:val="Heading3Char"/>
    <w:qFormat/>
    <w:rsid w:val="00B765A5"/>
    <w:pPr>
      <w:keepNext/>
      <w:tabs>
        <w:tab w:val="left" w:pos="720"/>
      </w:tabs>
      <w:jc w:val="both"/>
      <w:outlineLvl w:val="2"/>
    </w:pPr>
    <w:rPr>
      <w:rFonts w:ascii="Arial" w:hAnsi="Arial"/>
      <w:b/>
    </w:rPr>
  </w:style>
  <w:style w:type="paragraph" w:styleId="Heading5">
    <w:name w:val="heading 5"/>
    <w:basedOn w:val="Normal"/>
    <w:next w:val="Normal"/>
    <w:link w:val="Heading5Char"/>
    <w:qFormat/>
    <w:rsid w:val="00B765A5"/>
    <w:pPr>
      <w:keepNext/>
      <w:outlineLvl w:val="4"/>
    </w:pPr>
    <w:rPr>
      <w:rFonts w:ascii="Arial" w:hAnsi="Arial"/>
      <w:b/>
    </w:rPr>
  </w:style>
  <w:style w:type="paragraph" w:styleId="Heading9">
    <w:name w:val="heading 9"/>
    <w:basedOn w:val="Normal"/>
    <w:next w:val="Normal"/>
    <w:link w:val="Heading9Char"/>
    <w:qFormat/>
    <w:rsid w:val="00B765A5"/>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65A5"/>
    <w:rPr>
      <w:rFonts w:ascii="Arial" w:eastAsia="Times New Roman" w:hAnsi="Arial" w:cs="Times New Roman"/>
      <w:b/>
      <w:sz w:val="24"/>
      <w:szCs w:val="20"/>
    </w:rPr>
  </w:style>
  <w:style w:type="character" w:customStyle="1" w:styleId="Heading3Char">
    <w:name w:val="Heading 3 Char"/>
    <w:basedOn w:val="DefaultParagraphFont"/>
    <w:link w:val="Heading3"/>
    <w:rsid w:val="00B765A5"/>
    <w:rPr>
      <w:rFonts w:ascii="Arial" w:eastAsia="Times New Roman" w:hAnsi="Arial" w:cs="Times New Roman"/>
      <w:b/>
      <w:sz w:val="20"/>
      <w:szCs w:val="20"/>
    </w:rPr>
  </w:style>
  <w:style w:type="character" w:customStyle="1" w:styleId="Heading5Char">
    <w:name w:val="Heading 5 Char"/>
    <w:basedOn w:val="DefaultParagraphFont"/>
    <w:link w:val="Heading5"/>
    <w:rsid w:val="00B765A5"/>
    <w:rPr>
      <w:rFonts w:ascii="Arial" w:eastAsia="Times New Roman" w:hAnsi="Arial" w:cs="Times New Roman"/>
      <w:b/>
      <w:sz w:val="20"/>
      <w:szCs w:val="20"/>
    </w:rPr>
  </w:style>
  <w:style w:type="character" w:customStyle="1" w:styleId="Heading9Char">
    <w:name w:val="Heading 9 Char"/>
    <w:basedOn w:val="DefaultParagraphFont"/>
    <w:link w:val="Heading9"/>
    <w:rsid w:val="00B765A5"/>
    <w:rPr>
      <w:rFonts w:ascii="Arial" w:eastAsia="Times New Roman" w:hAnsi="Arial" w:cs="Times New Roman"/>
      <w:b/>
      <w:sz w:val="18"/>
      <w:szCs w:val="20"/>
    </w:rPr>
  </w:style>
  <w:style w:type="paragraph" w:styleId="Title">
    <w:name w:val="Title"/>
    <w:basedOn w:val="Normal"/>
    <w:link w:val="TitleChar"/>
    <w:qFormat/>
    <w:rsid w:val="00B765A5"/>
    <w:pPr>
      <w:jc w:val="center"/>
    </w:pPr>
    <w:rPr>
      <w:rFonts w:ascii="Arial" w:hAnsi="Arial"/>
      <w:b/>
      <w:sz w:val="24"/>
    </w:rPr>
  </w:style>
  <w:style w:type="character" w:customStyle="1" w:styleId="TitleChar">
    <w:name w:val="Title Char"/>
    <w:basedOn w:val="DefaultParagraphFont"/>
    <w:link w:val="Title"/>
    <w:rsid w:val="00B765A5"/>
    <w:rPr>
      <w:rFonts w:ascii="Arial" w:eastAsia="Times New Roman" w:hAnsi="Arial" w:cs="Times New Roman"/>
      <w:b/>
      <w:sz w:val="24"/>
      <w:szCs w:val="20"/>
    </w:rPr>
  </w:style>
  <w:style w:type="paragraph" w:styleId="BodyText">
    <w:name w:val="Body Text"/>
    <w:basedOn w:val="Normal"/>
    <w:link w:val="BodyTextChar"/>
    <w:rsid w:val="00B765A5"/>
    <w:pPr>
      <w:jc w:val="both"/>
    </w:pPr>
    <w:rPr>
      <w:rFonts w:ascii="Arial" w:hAnsi="Arial"/>
      <w:b/>
    </w:rPr>
  </w:style>
  <w:style w:type="character" w:customStyle="1" w:styleId="BodyTextChar">
    <w:name w:val="Body Text Char"/>
    <w:basedOn w:val="DefaultParagraphFont"/>
    <w:link w:val="BodyText"/>
    <w:rsid w:val="00B765A5"/>
    <w:rPr>
      <w:rFonts w:ascii="Arial" w:eastAsia="Times New Roman" w:hAnsi="Arial" w:cs="Times New Roman"/>
      <w:b/>
      <w:sz w:val="20"/>
      <w:szCs w:val="20"/>
    </w:rPr>
  </w:style>
  <w:style w:type="paragraph" w:styleId="BodyText2">
    <w:name w:val="Body Text 2"/>
    <w:basedOn w:val="Normal"/>
    <w:link w:val="BodyText2Char"/>
    <w:rsid w:val="00B765A5"/>
    <w:pPr>
      <w:jc w:val="both"/>
    </w:pPr>
    <w:rPr>
      <w:rFonts w:ascii="Arial" w:hAnsi="Arial"/>
      <w:sz w:val="24"/>
    </w:rPr>
  </w:style>
  <w:style w:type="character" w:customStyle="1" w:styleId="BodyText2Char">
    <w:name w:val="Body Text 2 Char"/>
    <w:basedOn w:val="DefaultParagraphFont"/>
    <w:link w:val="BodyText2"/>
    <w:rsid w:val="00B765A5"/>
    <w:rPr>
      <w:rFonts w:ascii="Arial" w:eastAsia="Times New Roman" w:hAnsi="Arial" w:cs="Times New Roman"/>
      <w:sz w:val="24"/>
      <w:szCs w:val="20"/>
    </w:rPr>
  </w:style>
  <w:style w:type="paragraph" w:styleId="BodyTextIndent">
    <w:name w:val="Body Text Indent"/>
    <w:basedOn w:val="Normal"/>
    <w:link w:val="BodyTextIndentChar"/>
    <w:rsid w:val="00B765A5"/>
    <w:pPr>
      <w:ind w:left="720"/>
      <w:jc w:val="both"/>
    </w:pPr>
    <w:rPr>
      <w:rFonts w:ascii="Arial" w:hAnsi="Arial"/>
      <w:sz w:val="24"/>
    </w:rPr>
  </w:style>
  <w:style w:type="character" w:customStyle="1" w:styleId="BodyTextIndentChar">
    <w:name w:val="Body Text Indent Char"/>
    <w:basedOn w:val="DefaultParagraphFont"/>
    <w:link w:val="BodyTextIndent"/>
    <w:rsid w:val="00B765A5"/>
    <w:rPr>
      <w:rFonts w:ascii="Arial" w:eastAsia="Times New Roman" w:hAnsi="Arial" w:cs="Times New Roman"/>
      <w:sz w:val="24"/>
      <w:szCs w:val="20"/>
    </w:rPr>
  </w:style>
  <w:style w:type="paragraph" w:styleId="BodyTextIndent2">
    <w:name w:val="Body Text Indent 2"/>
    <w:basedOn w:val="Normal"/>
    <w:link w:val="BodyTextIndent2Char"/>
    <w:rsid w:val="00B765A5"/>
    <w:pPr>
      <w:ind w:left="720"/>
      <w:jc w:val="both"/>
    </w:pPr>
    <w:rPr>
      <w:rFonts w:ascii="Arial" w:hAnsi="Arial"/>
      <w:sz w:val="22"/>
    </w:rPr>
  </w:style>
  <w:style w:type="character" w:customStyle="1" w:styleId="BodyTextIndent2Char">
    <w:name w:val="Body Text Indent 2 Char"/>
    <w:basedOn w:val="DefaultParagraphFont"/>
    <w:link w:val="BodyTextIndent2"/>
    <w:rsid w:val="00B765A5"/>
    <w:rPr>
      <w:rFonts w:ascii="Arial" w:eastAsia="Times New Roman" w:hAnsi="Arial" w:cs="Times New Roman"/>
      <w:szCs w:val="20"/>
    </w:rPr>
  </w:style>
  <w:style w:type="paragraph" w:styleId="ListParagraph">
    <w:name w:val="List Paragraph"/>
    <w:basedOn w:val="Normal"/>
    <w:uiPriority w:val="34"/>
    <w:qFormat/>
    <w:rsid w:val="00B765A5"/>
    <w:pPr>
      <w:ind w:left="720"/>
    </w:pPr>
  </w:style>
  <w:style w:type="character" w:styleId="CommentReference">
    <w:name w:val="annotation reference"/>
    <w:basedOn w:val="DefaultParagraphFont"/>
    <w:uiPriority w:val="99"/>
    <w:semiHidden/>
    <w:unhideWhenUsed/>
    <w:rsid w:val="00F005E6"/>
    <w:rPr>
      <w:sz w:val="16"/>
      <w:szCs w:val="16"/>
    </w:rPr>
  </w:style>
  <w:style w:type="paragraph" w:styleId="CommentText">
    <w:name w:val="annotation text"/>
    <w:basedOn w:val="Normal"/>
    <w:link w:val="CommentTextChar"/>
    <w:uiPriority w:val="99"/>
    <w:semiHidden/>
    <w:unhideWhenUsed/>
    <w:rsid w:val="00F005E6"/>
  </w:style>
  <w:style w:type="character" w:customStyle="1" w:styleId="CommentTextChar">
    <w:name w:val="Comment Text Char"/>
    <w:basedOn w:val="DefaultParagraphFont"/>
    <w:link w:val="CommentText"/>
    <w:uiPriority w:val="99"/>
    <w:semiHidden/>
    <w:rsid w:val="00F005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05E6"/>
    <w:rPr>
      <w:b/>
      <w:bCs/>
    </w:rPr>
  </w:style>
  <w:style w:type="character" w:customStyle="1" w:styleId="CommentSubjectChar">
    <w:name w:val="Comment Subject Char"/>
    <w:basedOn w:val="CommentTextChar"/>
    <w:link w:val="CommentSubject"/>
    <w:uiPriority w:val="99"/>
    <w:semiHidden/>
    <w:rsid w:val="00F005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05E6"/>
    <w:rPr>
      <w:rFonts w:ascii="Tahoma" w:hAnsi="Tahoma" w:cs="Tahoma"/>
      <w:sz w:val="16"/>
      <w:szCs w:val="16"/>
    </w:rPr>
  </w:style>
  <w:style w:type="character" w:customStyle="1" w:styleId="BalloonTextChar">
    <w:name w:val="Balloon Text Char"/>
    <w:basedOn w:val="DefaultParagraphFont"/>
    <w:link w:val="BalloonText"/>
    <w:uiPriority w:val="99"/>
    <w:semiHidden/>
    <w:rsid w:val="00F005E6"/>
    <w:rPr>
      <w:rFonts w:ascii="Tahoma" w:eastAsia="Times New Roman" w:hAnsi="Tahoma" w:cs="Tahoma"/>
      <w:sz w:val="16"/>
      <w:szCs w:val="16"/>
    </w:rPr>
  </w:style>
  <w:style w:type="paragraph" w:styleId="Revision">
    <w:name w:val="Revision"/>
    <w:hidden/>
    <w:uiPriority w:val="99"/>
    <w:semiHidden/>
    <w:rsid w:val="00AB5DF7"/>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03587"/>
    <w:pPr>
      <w:tabs>
        <w:tab w:val="center" w:pos="4680"/>
        <w:tab w:val="right" w:pos="9360"/>
      </w:tabs>
    </w:pPr>
  </w:style>
  <w:style w:type="character" w:customStyle="1" w:styleId="HeaderChar">
    <w:name w:val="Header Char"/>
    <w:basedOn w:val="DefaultParagraphFont"/>
    <w:link w:val="Header"/>
    <w:uiPriority w:val="99"/>
    <w:rsid w:val="00E0358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03587"/>
    <w:pPr>
      <w:tabs>
        <w:tab w:val="center" w:pos="4680"/>
        <w:tab w:val="right" w:pos="9360"/>
      </w:tabs>
    </w:pPr>
  </w:style>
  <w:style w:type="character" w:customStyle="1" w:styleId="FooterChar">
    <w:name w:val="Footer Char"/>
    <w:basedOn w:val="DefaultParagraphFont"/>
    <w:link w:val="Footer"/>
    <w:uiPriority w:val="99"/>
    <w:rsid w:val="00E0358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E8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65A5"/>
    <w:pPr>
      <w:keepNext/>
      <w:tabs>
        <w:tab w:val="left" w:pos="720"/>
      </w:tabs>
      <w:jc w:val="both"/>
      <w:outlineLvl w:val="0"/>
    </w:pPr>
    <w:rPr>
      <w:rFonts w:ascii="Arial" w:hAnsi="Arial"/>
      <w:b/>
      <w:sz w:val="24"/>
    </w:rPr>
  </w:style>
  <w:style w:type="paragraph" w:styleId="Heading3">
    <w:name w:val="heading 3"/>
    <w:basedOn w:val="Normal"/>
    <w:next w:val="Normal"/>
    <w:link w:val="Heading3Char"/>
    <w:qFormat/>
    <w:rsid w:val="00B765A5"/>
    <w:pPr>
      <w:keepNext/>
      <w:tabs>
        <w:tab w:val="left" w:pos="720"/>
      </w:tabs>
      <w:jc w:val="both"/>
      <w:outlineLvl w:val="2"/>
    </w:pPr>
    <w:rPr>
      <w:rFonts w:ascii="Arial" w:hAnsi="Arial"/>
      <w:b/>
    </w:rPr>
  </w:style>
  <w:style w:type="paragraph" w:styleId="Heading5">
    <w:name w:val="heading 5"/>
    <w:basedOn w:val="Normal"/>
    <w:next w:val="Normal"/>
    <w:link w:val="Heading5Char"/>
    <w:qFormat/>
    <w:rsid w:val="00B765A5"/>
    <w:pPr>
      <w:keepNext/>
      <w:outlineLvl w:val="4"/>
    </w:pPr>
    <w:rPr>
      <w:rFonts w:ascii="Arial" w:hAnsi="Arial"/>
      <w:b/>
    </w:rPr>
  </w:style>
  <w:style w:type="paragraph" w:styleId="Heading9">
    <w:name w:val="heading 9"/>
    <w:basedOn w:val="Normal"/>
    <w:next w:val="Normal"/>
    <w:link w:val="Heading9Char"/>
    <w:qFormat/>
    <w:rsid w:val="00B765A5"/>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65A5"/>
    <w:rPr>
      <w:rFonts w:ascii="Arial" w:eastAsia="Times New Roman" w:hAnsi="Arial" w:cs="Times New Roman"/>
      <w:b/>
      <w:sz w:val="24"/>
      <w:szCs w:val="20"/>
    </w:rPr>
  </w:style>
  <w:style w:type="character" w:customStyle="1" w:styleId="Heading3Char">
    <w:name w:val="Heading 3 Char"/>
    <w:basedOn w:val="DefaultParagraphFont"/>
    <w:link w:val="Heading3"/>
    <w:rsid w:val="00B765A5"/>
    <w:rPr>
      <w:rFonts w:ascii="Arial" w:eastAsia="Times New Roman" w:hAnsi="Arial" w:cs="Times New Roman"/>
      <w:b/>
      <w:sz w:val="20"/>
      <w:szCs w:val="20"/>
    </w:rPr>
  </w:style>
  <w:style w:type="character" w:customStyle="1" w:styleId="Heading5Char">
    <w:name w:val="Heading 5 Char"/>
    <w:basedOn w:val="DefaultParagraphFont"/>
    <w:link w:val="Heading5"/>
    <w:rsid w:val="00B765A5"/>
    <w:rPr>
      <w:rFonts w:ascii="Arial" w:eastAsia="Times New Roman" w:hAnsi="Arial" w:cs="Times New Roman"/>
      <w:b/>
      <w:sz w:val="20"/>
      <w:szCs w:val="20"/>
    </w:rPr>
  </w:style>
  <w:style w:type="character" w:customStyle="1" w:styleId="Heading9Char">
    <w:name w:val="Heading 9 Char"/>
    <w:basedOn w:val="DefaultParagraphFont"/>
    <w:link w:val="Heading9"/>
    <w:rsid w:val="00B765A5"/>
    <w:rPr>
      <w:rFonts w:ascii="Arial" w:eastAsia="Times New Roman" w:hAnsi="Arial" w:cs="Times New Roman"/>
      <w:b/>
      <w:sz w:val="18"/>
      <w:szCs w:val="20"/>
    </w:rPr>
  </w:style>
  <w:style w:type="paragraph" w:styleId="Title">
    <w:name w:val="Title"/>
    <w:basedOn w:val="Normal"/>
    <w:link w:val="TitleChar"/>
    <w:qFormat/>
    <w:rsid w:val="00B765A5"/>
    <w:pPr>
      <w:jc w:val="center"/>
    </w:pPr>
    <w:rPr>
      <w:rFonts w:ascii="Arial" w:hAnsi="Arial"/>
      <w:b/>
      <w:sz w:val="24"/>
    </w:rPr>
  </w:style>
  <w:style w:type="character" w:customStyle="1" w:styleId="TitleChar">
    <w:name w:val="Title Char"/>
    <w:basedOn w:val="DefaultParagraphFont"/>
    <w:link w:val="Title"/>
    <w:rsid w:val="00B765A5"/>
    <w:rPr>
      <w:rFonts w:ascii="Arial" w:eastAsia="Times New Roman" w:hAnsi="Arial" w:cs="Times New Roman"/>
      <w:b/>
      <w:sz w:val="24"/>
      <w:szCs w:val="20"/>
    </w:rPr>
  </w:style>
  <w:style w:type="paragraph" w:styleId="BodyText">
    <w:name w:val="Body Text"/>
    <w:basedOn w:val="Normal"/>
    <w:link w:val="BodyTextChar"/>
    <w:rsid w:val="00B765A5"/>
    <w:pPr>
      <w:jc w:val="both"/>
    </w:pPr>
    <w:rPr>
      <w:rFonts w:ascii="Arial" w:hAnsi="Arial"/>
      <w:b/>
    </w:rPr>
  </w:style>
  <w:style w:type="character" w:customStyle="1" w:styleId="BodyTextChar">
    <w:name w:val="Body Text Char"/>
    <w:basedOn w:val="DefaultParagraphFont"/>
    <w:link w:val="BodyText"/>
    <w:rsid w:val="00B765A5"/>
    <w:rPr>
      <w:rFonts w:ascii="Arial" w:eastAsia="Times New Roman" w:hAnsi="Arial" w:cs="Times New Roman"/>
      <w:b/>
      <w:sz w:val="20"/>
      <w:szCs w:val="20"/>
    </w:rPr>
  </w:style>
  <w:style w:type="paragraph" w:styleId="BodyText2">
    <w:name w:val="Body Text 2"/>
    <w:basedOn w:val="Normal"/>
    <w:link w:val="BodyText2Char"/>
    <w:rsid w:val="00B765A5"/>
    <w:pPr>
      <w:jc w:val="both"/>
    </w:pPr>
    <w:rPr>
      <w:rFonts w:ascii="Arial" w:hAnsi="Arial"/>
      <w:sz w:val="24"/>
    </w:rPr>
  </w:style>
  <w:style w:type="character" w:customStyle="1" w:styleId="BodyText2Char">
    <w:name w:val="Body Text 2 Char"/>
    <w:basedOn w:val="DefaultParagraphFont"/>
    <w:link w:val="BodyText2"/>
    <w:rsid w:val="00B765A5"/>
    <w:rPr>
      <w:rFonts w:ascii="Arial" w:eastAsia="Times New Roman" w:hAnsi="Arial" w:cs="Times New Roman"/>
      <w:sz w:val="24"/>
      <w:szCs w:val="20"/>
    </w:rPr>
  </w:style>
  <w:style w:type="paragraph" w:styleId="BodyTextIndent">
    <w:name w:val="Body Text Indent"/>
    <w:basedOn w:val="Normal"/>
    <w:link w:val="BodyTextIndentChar"/>
    <w:rsid w:val="00B765A5"/>
    <w:pPr>
      <w:ind w:left="720"/>
      <w:jc w:val="both"/>
    </w:pPr>
    <w:rPr>
      <w:rFonts w:ascii="Arial" w:hAnsi="Arial"/>
      <w:sz w:val="24"/>
    </w:rPr>
  </w:style>
  <w:style w:type="character" w:customStyle="1" w:styleId="BodyTextIndentChar">
    <w:name w:val="Body Text Indent Char"/>
    <w:basedOn w:val="DefaultParagraphFont"/>
    <w:link w:val="BodyTextIndent"/>
    <w:rsid w:val="00B765A5"/>
    <w:rPr>
      <w:rFonts w:ascii="Arial" w:eastAsia="Times New Roman" w:hAnsi="Arial" w:cs="Times New Roman"/>
      <w:sz w:val="24"/>
      <w:szCs w:val="20"/>
    </w:rPr>
  </w:style>
  <w:style w:type="paragraph" w:styleId="BodyTextIndent2">
    <w:name w:val="Body Text Indent 2"/>
    <w:basedOn w:val="Normal"/>
    <w:link w:val="BodyTextIndent2Char"/>
    <w:rsid w:val="00B765A5"/>
    <w:pPr>
      <w:ind w:left="720"/>
      <w:jc w:val="both"/>
    </w:pPr>
    <w:rPr>
      <w:rFonts w:ascii="Arial" w:hAnsi="Arial"/>
      <w:sz w:val="22"/>
    </w:rPr>
  </w:style>
  <w:style w:type="character" w:customStyle="1" w:styleId="BodyTextIndent2Char">
    <w:name w:val="Body Text Indent 2 Char"/>
    <w:basedOn w:val="DefaultParagraphFont"/>
    <w:link w:val="BodyTextIndent2"/>
    <w:rsid w:val="00B765A5"/>
    <w:rPr>
      <w:rFonts w:ascii="Arial" w:eastAsia="Times New Roman" w:hAnsi="Arial" w:cs="Times New Roman"/>
      <w:szCs w:val="20"/>
    </w:rPr>
  </w:style>
  <w:style w:type="paragraph" w:styleId="ListParagraph">
    <w:name w:val="List Paragraph"/>
    <w:basedOn w:val="Normal"/>
    <w:uiPriority w:val="34"/>
    <w:qFormat/>
    <w:rsid w:val="00B765A5"/>
    <w:pPr>
      <w:ind w:left="720"/>
    </w:pPr>
  </w:style>
  <w:style w:type="character" w:styleId="CommentReference">
    <w:name w:val="annotation reference"/>
    <w:basedOn w:val="DefaultParagraphFont"/>
    <w:uiPriority w:val="99"/>
    <w:semiHidden/>
    <w:unhideWhenUsed/>
    <w:rsid w:val="00F005E6"/>
    <w:rPr>
      <w:sz w:val="16"/>
      <w:szCs w:val="16"/>
    </w:rPr>
  </w:style>
  <w:style w:type="paragraph" w:styleId="CommentText">
    <w:name w:val="annotation text"/>
    <w:basedOn w:val="Normal"/>
    <w:link w:val="CommentTextChar"/>
    <w:uiPriority w:val="99"/>
    <w:semiHidden/>
    <w:unhideWhenUsed/>
    <w:rsid w:val="00F005E6"/>
  </w:style>
  <w:style w:type="character" w:customStyle="1" w:styleId="CommentTextChar">
    <w:name w:val="Comment Text Char"/>
    <w:basedOn w:val="DefaultParagraphFont"/>
    <w:link w:val="CommentText"/>
    <w:uiPriority w:val="99"/>
    <w:semiHidden/>
    <w:rsid w:val="00F005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05E6"/>
    <w:rPr>
      <w:b/>
      <w:bCs/>
    </w:rPr>
  </w:style>
  <w:style w:type="character" w:customStyle="1" w:styleId="CommentSubjectChar">
    <w:name w:val="Comment Subject Char"/>
    <w:basedOn w:val="CommentTextChar"/>
    <w:link w:val="CommentSubject"/>
    <w:uiPriority w:val="99"/>
    <w:semiHidden/>
    <w:rsid w:val="00F005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05E6"/>
    <w:rPr>
      <w:rFonts w:ascii="Tahoma" w:hAnsi="Tahoma" w:cs="Tahoma"/>
      <w:sz w:val="16"/>
      <w:szCs w:val="16"/>
    </w:rPr>
  </w:style>
  <w:style w:type="character" w:customStyle="1" w:styleId="BalloonTextChar">
    <w:name w:val="Balloon Text Char"/>
    <w:basedOn w:val="DefaultParagraphFont"/>
    <w:link w:val="BalloonText"/>
    <w:uiPriority w:val="99"/>
    <w:semiHidden/>
    <w:rsid w:val="00F005E6"/>
    <w:rPr>
      <w:rFonts w:ascii="Tahoma" w:eastAsia="Times New Roman" w:hAnsi="Tahoma" w:cs="Tahoma"/>
      <w:sz w:val="16"/>
      <w:szCs w:val="16"/>
    </w:rPr>
  </w:style>
  <w:style w:type="paragraph" w:styleId="Revision">
    <w:name w:val="Revision"/>
    <w:hidden/>
    <w:uiPriority w:val="99"/>
    <w:semiHidden/>
    <w:rsid w:val="00AB5DF7"/>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03587"/>
    <w:pPr>
      <w:tabs>
        <w:tab w:val="center" w:pos="4680"/>
        <w:tab w:val="right" w:pos="9360"/>
      </w:tabs>
    </w:pPr>
  </w:style>
  <w:style w:type="character" w:customStyle="1" w:styleId="HeaderChar">
    <w:name w:val="Header Char"/>
    <w:basedOn w:val="DefaultParagraphFont"/>
    <w:link w:val="Header"/>
    <w:uiPriority w:val="99"/>
    <w:rsid w:val="00E0358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03587"/>
    <w:pPr>
      <w:tabs>
        <w:tab w:val="center" w:pos="4680"/>
        <w:tab w:val="right" w:pos="9360"/>
      </w:tabs>
    </w:pPr>
  </w:style>
  <w:style w:type="character" w:customStyle="1" w:styleId="FooterChar">
    <w:name w:val="Footer Char"/>
    <w:basedOn w:val="DefaultParagraphFont"/>
    <w:link w:val="Footer"/>
    <w:uiPriority w:val="99"/>
    <w:rsid w:val="00E0358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0651-New</Collection_x0020_Number>
    <Document_x0020_State xmlns="E85DE8A9-5CD3-41FE-A1A0-70BC17107555">Draft</Document_x0020_State>
    <Owner xmlns="5DFC53CF-7C17-4489-98AB-5F87C96333B9">
      <UserInfo>
        <DisplayName>Kirkpatrick, John C.</DisplayName>
        <AccountId>383</AccountId>
        <AccountType/>
      </UserInfo>
    </Owner>
    <IC_x0020_Category xmlns="E85DE8A9-5CD3-41FE-A1A0-70BC17107555">Renewal</IC_x0020_Category>
    <Approved_x0020_by_x0020_Business_x0020_Area xmlns="E85DE8A9-5CD3-41FE-A1A0-70BC17107555">No</Approved_x0020_by_x0020_Business_x0020_Area>
    <Year xmlns="E85DE8A9-5CD3-41FE-A1A0-70BC17107555">2016</Year>
    <Approved_x0020_by_x0020_PTO xmlns="E85DE8A9-5CD3-41FE-A1A0-70BC17107555">No</Approved_x0020_by_x0020_PTO>
    <Document_x0020_Type xmlns="E85DE8A9-5CD3-41FE-A1A0-70BC17107555">Supporting Statement</Document_x0020_Type>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8" ma:contentTypeDescription="Create a new document." ma:contentTypeScope="" ma:versionID="dbd3e9f9889c88a8d60d11d8a5084f0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8cdf7d5b86724301159b322dc30b54c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8543-E0EF-44D5-A051-4968E227F5E9}">
  <ds:schemaRefs>
    <ds:schemaRef ds:uri="http://schemas.microsoft.com/sharepoint/v3/contenttype/forms"/>
  </ds:schemaRefs>
</ds:datastoreItem>
</file>

<file path=customXml/itemProps2.xml><?xml version="1.0" encoding="utf-8"?>
<ds:datastoreItem xmlns:ds="http://schemas.openxmlformats.org/officeDocument/2006/customXml" ds:itemID="{34132735-16EA-4F1C-B427-92FE4404C96E}">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C4E13765-BF91-4A46-A45A-236CB7FB5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8C2DA6-BCE2-41D4-8BC9-F60540AF6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Styles, Nicholas (AMBIT)</dc:creator>
  <cp:lastModifiedBy>Isaac, Justin (AMBIT)</cp:lastModifiedBy>
  <cp:revision>3</cp:revision>
  <cp:lastPrinted>2016-12-21T18:34:00Z</cp:lastPrinted>
  <dcterms:created xsi:type="dcterms:W3CDTF">2017-04-14T18:28:00Z</dcterms:created>
  <dcterms:modified xsi:type="dcterms:W3CDTF">2017-04-14T18:29:00Z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