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7F0" w:rsidRDefault="001D17F0">
      <w:pPr>
        <w:jc w:val="center"/>
        <w:rPr>
          <w:b/>
          <w:bCs/>
          <w:iCs/>
        </w:rPr>
      </w:pPr>
    </w:p>
    <w:p w:rsidR="0003580D" w:rsidRDefault="0003580D" w:rsidP="004C438D">
      <w:pPr>
        <w:jc w:val="center"/>
        <w:outlineLvl w:val="0"/>
        <w:rPr>
          <w:b/>
          <w:bCs/>
          <w:iCs/>
        </w:rPr>
      </w:pPr>
    </w:p>
    <w:p w:rsidR="001D17F0" w:rsidRDefault="00A7653A" w:rsidP="004C438D">
      <w:pPr>
        <w:jc w:val="center"/>
        <w:outlineLvl w:val="0"/>
        <w:rPr>
          <w:b/>
          <w:bCs/>
          <w:iCs/>
        </w:rPr>
      </w:pPr>
      <w:r w:rsidRPr="00A7653A">
        <w:rPr>
          <w:b/>
          <w:bCs/>
          <w:iCs/>
        </w:rPr>
        <w:t>Request for Approval of a Non-Substantive Change:</w:t>
      </w:r>
      <w:r w:rsidR="001D17F0">
        <w:rPr>
          <w:b/>
          <w:bCs/>
          <w:iCs/>
        </w:rPr>
        <w:t xml:space="preserve"> </w:t>
      </w:r>
    </w:p>
    <w:p w:rsidR="001D17F0" w:rsidRDefault="001D17F0">
      <w:pPr>
        <w:jc w:val="center"/>
        <w:rPr>
          <w:b/>
          <w:bCs/>
          <w:iCs/>
        </w:rPr>
      </w:pPr>
    </w:p>
    <w:p w:rsidR="001D17F0" w:rsidRPr="001D17F0" w:rsidRDefault="001D17F0" w:rsidP="004C438D">
      <w:pPr>
        <w:jc w:val="center"/>
        <w:outlineLvl w:val="0"/>
        <w:rPr>
          <w:b/>
          <w:bCs/>
          <w:iCs/>
        </w:rPr>
      </w:pPr>
      <w:r w:rsidRPr="001D17F0">
        <w:rPr>
          <w:b/>
          <w:bCs/>
          <w:iCs/>
        </w:rPr>
        <w:t>Customer Surveys Generic Clearance</w:t>
      </w:r>
    </w:p>
    <w:p w:rsidR="001D17F0" w:rsidRPr="001D17F0" w:rsidRDefault="001D17F0">
      <w:pPr>
        <w:jc w:val="center"/>
        <w:rPr>
          <w:b/>
          <w:bCs/>
          <w:iCs/>
        </w:rPr>
      </w:pPr>
      <w:r>
        <w:rPr>
          <w:b/>
          <w:bCs/>
          <w:iCs/>
        </w:rPr>
        <w:t>f</w:t>
      </w:r>
      <w:r w:rsidRPr="001D17F0">
        <w:rPr>
          <w:b/>
          <w:bCs/>
          <w:iCs/>
        </w:rPr>
        <w:t>or the</w:t>
      </w:r>
    </w:p>
    <w:p w:rsidR="001D17F0" w:rsidRDefault="001D17F0">
      <w:pPr>
        <w:jc w:val="center"/>
        <w:rPr>
          <w:b/>
          <w:bCs/>
          <w:i/>
          <w:iCs/>
        </w:rPr>
      </w:pPr>
      <w:smartTag w:uri="urn:schemas-microsoft-com:office:smarttags" w:element="place">
        <w:smartTag w:uri="urn:schemas-microsoft-com:office:smarttags" w:element="PlaceName">
          <w:r w:rsidRPr="001D17F0">
            <w:rPr>
              <w:b/>
              <w:bCs/>
              <w:iCs/>
            </w:rPr>
            <w:t>National</w:t>
          </w:r>
        </w:smartTag>
        <w:r w:rsidRPr="001D17F0">
          <w:rPr>
            <w:b/>
            <w:bCs/>
            <w:iCs/>
          </w:rPr>
          <w:t xml:space="preserve"> </w:t>
        </w:r>
        <w:smartTag w:uri="urn:schemas-microsoft-com:office:smarttags" w:element="PlaceType">
          <w:r w:rsidRPr="001D17F0">
            <w:rPr>
              <w:b/>
              <w:bCs/>
              <w:iCs/>
            </w:rPr>
            <w:t>Center</w:t>
          </w:r>
        </w:smartTag>
      </w:smartTag>
      <w:r w:rsidRPr="001D17F0">
        <w:rPr>
          <w:b/>
          <w:bCs/>
          <w:iCs/>
        </w:rPr>
        <w:t xml:space="preserve"> for Health Statistics</w:t>
      </w:r>
      <w:r>
        <w:rPr>
          <w:b/>
          <w:bCs/>
          <w:i/>
          <w:iCs/>
        </w:rPr>
        <w:t xml:space="preserve"> </w:t>
      </w:r>
    </w:p>
    <w:p w:rsidR="001D17F0" w:rsidRDefault="001D17F0">
      <w:pPr>
        <w:jc w:val="center"/>
        <w:rPr>
          <w:b/>
          <w:bCs/>
          <w:i/>
          <w:iCs/>
        </w:rPr>
      </w:pPr>
    </w:p>
    <w:p w:rsidR="001D17F0" w:rsidRDefault="00746515">
      <w:pPr>
        <w:jc w:val="center"/>
        <w:rPr>
          <w:b/>
          <w:bCs/>
          <w:i/>
          <w:iCs/>
        </w:rPr>
      </w:pPr>
      <w:r>
        <w:rPr>
          <w:b/>
          <w:bCs/>
          <w:iCs/>
        </w:rPr>
        <w:t>OMB No. 0920-0729</w:t>
      </w:r>
    </w:p>
    <w:p w:rsidR="001D17F0" w:rsidRDefault="001D17F0">
      <w:pPr>
        <w:jc w:val="center"/>
        <w:rPr>
          <w:b/>
          <w:bCs/>
          <w:iCs/>
        </w:rPr>
      </w:pPr>
    </w:p>
    <w:p w:rsidR="001D17F0" w:rsidRDefault="0003580D">
      <w:pPr>
        <w:jc w:val="center"/>
        <w:rPr>
          <w:b/>
          <w:bCs/>
          <w:iCs/>
        </w:rPr>
      </w:pPr>
      <w:r>
        <w:rPr>
          <w:b/>
          <w:bCs/>
          <w:iCs/>
        </w:rPr>
        <w:t>(</w:t>
      </w:r>
      <w:proofErr w:type="gramStart"/>
      <w:r>
        <w:rPr>
          <w:b/>
          <w:bCs/>
          <w:iCs/>
        </w:rPr>
        <w:t>expire</w:t>
      </w:r>
      <w:r w:rsidR="009D77EF">
        <w:rPr>
          <w:b/>
          <w:bCs/>
          <w:iCs/>
        </w:rPr>
        <w:t>s</w:t>
      </w:r>
      <w:proofErr w:type="gramEnd"/>
      <w:r>
        <w:rPr>
          <w:b/>
          <w:bCs/>
          <w:iCs/>
        </w:rPr>
        <w:t xml:space="preserve"> </w:t>
      </w:r>
      <w:r w:rsidR="00A7653A">
        <w:rPr>
          <w:b/>
          <w:bCs/>
          <w:iCs/>
        </w:rPr>
        <w:t>May 31</w:t>
      </w:r>
      <w:r>
        <w:rPr>
          <w:b/>
          <w:bCs/>
          <w:iCs/>
        </w:rPr>
        <w:t>, 20</w:t>
      </w:r>
      <w:r w:rsidR="009D77EF">
        <w:rPr>
          <w:b/>
          <w:bCs/>
          <w:iCs/>
        </w:rPr>
        <w:t>1</w:t>
      </w:r>
      <w:r w:rsidR="00A7653A">
        <w:rPr>
          <w:b/>
          <w:bCs/>
          <w:iCs/>
        </w:rPr>
        <w:t>7</w:t>
      </w:r>
      <w:r>
        <w:rPr>
          <w:b/>
          <w:bCs/>
          <w:iCs/>
        </w:rPr>
        <w:t>)</w:t>
      </w:r>
    </w:p>
    <w:p w:rsidR="001D17F0" w:rsidRDefault="001D17F0">
      <w:pPr>
        <w:jc w:val="center"/>
        <w:rPr>
          <w:b/>
          <w:bCs/>
          <w:iCs/>
        </w:rPr>
      </w:pPr>
    </w:p>
    <w:p w:rsidR="001D17F0" w:rsidRDefault="001D17F0" w:rsidP="004C438D">
      <w:pPr>
        <w:jc w:val="center"/>
        <w:outlineLvl w:val="0"/>
        <w:rPr>
          <w:b/>
          <w:bCs/>
          <w:iCs/>
        </w:rPr>
      </w:pPr>
      <w:r>
        <w:rPr>
          <w:b/>
          <w:bCs/>
          <w:iCs/>
        </w:rPr>
        <w:t xml:space="preserve">Contact </w:t>
      </w:r>
      <w:r w:rsidR="00746515">
        <w:rPr>
          <w:b/>
          <w:bCs/>
          <w:iCs/>
        </w:rPr>
        <w:t>Information</w:t>
      </w:r>
    </w:p>
    <w:p w:rsidR="001D17F0" w:rsidRDefault="001D17F0">
      <w:pPr>
        <w:jc w:val="center"/>
        <w:rPr>
          <w:b/>
          <w:bCs/>
          <w:iCs/>
        </w:rPr>
      </w:pPr>
    </w:p>
    <w:p w:rsidR="001D17F0" w:rsidRDefault="009D77EF" w:rsidP="004C438D">
      <w:pPr>
        <w:jc w:val="center"/>
        <w:outlineLvl w:val="0"/>
        <w:rPr>
          <w:b/>
          <w:bCs/>
          <w:iCs/>
        </w:rPr>
      </w:pPr>
      <w:r>
        <w:rPr>
          <w:b/>
          <w:bCs/>
          <w:iCs/>
        </w:rPr>
        <w:t>Verita Custis Buie</w:t>
      </w:r>
      <w:r w:rsidR="001D17F0">
        <w:rPr>
          <w:b/>
          <w:bCs/>
          <w:iCs/>
        </w:rPr>
        <w:t xml:space="preserve">, </w:t>
      </w:r>
      <w:r>
        <w:rPr>
          <w:b/>
          <w:bCs/>
          <w:iCs/>
        </w:rPr>
        <w:t>Dr.P.H.</w:t>
      </w:r>
    </w:p>
    <w:p w:rsidR="001D17F0" w:rsidRDefault="001D17F0">
      <w:pPr>
        <w:jc w:val="center"/>
        <w:rPr>
          <w:b/>
          <w:bCs/>
          <w:iCs/>
        </w:rPr>
      </w:pPr>
      <w:r>
        <w:rPr>
          <w:b/>
          <w:bCs/>
          <w:iCs/>
        </w:rPr>
        <w:t xml:space="preserve">Office of </w:t>
      </w:r>
      <w:r w:rsidR="00116747">
        <w:rPr>
          <w:b/>
          <w:bCs/>
          <w:iCs/>
        </w:rPr>
        <w:t>Planning, Budget, and Legislation</w:t>
      </w:r>
    </w:p>
    <w:p w:rsidR="001D17F0" w:rsidRDefault="001D17F0">
      <w:pPr>
        <w:jc w:val="center"/>
        <w:rPr>
          <w:b/>
          <w:bCs/>
          <w:iCs/>
        </w:rPr>
      </w:pPr>
      <w:smartTag w:uri="urn:schemas-microsoft-com:office:smarttags" w:element="place">
        <w:smartTag w:uri="urn:schemas-microsoft-com:office:smarttags" w:element="PlaceName">
          <w:r>
            <w:rPr>
              <w:b/>
              <w:bCs/>
              <w:iCs/>
            </w:rPr>
            <w:t>National</w:t>
          </w:r>
        </w:smartTag>
        <w:r>
          <w:rPr>
            <w:b/>
            <w:bCs/>
            <w:iCs/>
          </w:rPr>
          <w:t xml:space="preserve"> </w:t>
        </w:r>
        <w:smartTag w:uri="urn:schemas-microsoft-com:office:smarttags" w:element="PlaceType">
          <w:r>
            <w:rPr>
              <w:b/>
              <w:bCs/>
              <w:iCs/>
            </w:rPr>
            <w:t>Center</w:t>
          </w:r>
        </w:smartTag>
      </w:smartTag>
      <w:r>
        <w:rPr>
          <w:b/>
          <w:bCs/>
          <w:iCs/>
        </w:rPr>
        <w:t xml:space="preserve"> for Health Statistics</w:t>
      </w:r>
    </w:p>
    <w:p w:rsidR="001D17F0" w:rsidRDefault="00746515">
      <w:pPr>
        <w:jc w:val="center"/>
        <w:rPr>
          <w:b/>
          <w:bCs/>
          <w:iCs/>
        </w:rPr>
      </w:pPr>
      <w:r>
        <w:rPr>
          <w:b/>
          <w:bCs/>
          <w:iCs/>
        </w:rPr>
        <w:t xml:space="preserve">3311 Toledo Road, Room </w:t>
      </w:r>
      <w:r w:rsidR="009D77EF">
        <w:rPr>
          <w:b/>
          <w:bCs/>
          <w:iCs/>
        </w:rPr>
        <w:t>7107</w:t>
      </w:r>
    </w:p>
    <w:p w:rsidR="00746515" w:rsidRDefault="00746515">
      <w:pPr>
        <w:jc w:val="center"/>
        <w:rPr>
          <w:b/>
          <w:bCs/>
          <w:iCs/>
        </w:rPr>
      </w:pPr>
      <w:r>
        <w:rPr>
          <w:b/>
          <w:bCs/>
          <w:iCs/>
        </w:rPr>
        <w:t>Hyattsville, MD 20782</w:t>
      </w:r>
    </w:p>
    <w:p w:rsidR="00746515" w:rsidRDefault="009D77EF" w:rsidP="00746515">
      <w:pPr>
        <w:jc w:val="center"/>
        <w:rPr>
          <w:b/>
          <w:bCs/>
          <w:iCs/>
        </w:rPr>
      </w:pPr>
      <w:r>
        <w:rPr>
          <w:b/>
          <w:bCs/>
          <w:iCs/>
        </w:rPr>
        <w:t>301-</w:t>
      </w:r>
      <w:r w:rsidR="001D17F0">
        <w:rPr>
          <w:b/>
          <w:bCs/>
          <w:iCs/>
        </w:rPr>
        <w:t>458-</w:t>
      </w:r>
      <w:r w:rsidR="00116747">
        <w:rPr>
          <w:b/>
          <w:bCs/>
          <w:iCs/>
        </w:rPr>
        <w:t>4</w:t>
      </w:r>
      <w:r>
        <w:rPr>
          <w:b/>
          <w:bCs/>
          <w:iCs/>
        </w:rPr>
        <w:t>5</w:t>
      </w:r>
      <w:r w:rsidR="00116747">
        <w:rPr>
          <w:b/>
          <w:bCs/>
          <w:iCs/>
        </w:rPr>
        <w:t>8</w:t>
      </w:r>
      <w:r>
        <w:rPr>
          <w:b/>
          <w:bCs/>
          <w:iCs/>
        </w:rPr>
        <w:t>2</w:t>
      </w:r>
      <w:r w:rsidR="00746515" w:rsidRPr="00746515">
        <w:rPr>
          <w:b/>
          <w:bCs/>
          <w:iCs/>
        </w:rPr>
        <w:t xml:space="preserve"> </w:t>
      </w:r>
    </w:p>
    <w:p w:rsidR="00746515" w:rsidRDefault="00CD0B4E" w:rsidP="00746515">
      <w:pPr>
        <w:jc w:val="center"/>
        <w:rPr>
          <w:b/>
          <w:bCs/>
          <w:iCs/>
        </w:rPr>
      </w:pPr>
      <w:hyperlink r:id="rId8" w:history="1">
        <w:r w:rsidR="009D77EF" w:rsidRPr="00C1070D">
          <w:rPr>
            <w:rStyle w:val="Hyperlink"/>
            <w:b/>
            <w:bCs/>
            <w:iCs/>
          </w:rPr>
          <w:t>vbuie@cdc.gov</w:t>
        </w:r>
      </w:hyperlink>
    </w:p>
    <w:p w:rsidR="00746515" w:rsidRDefault="00746515" w:rsidP="00746515">
      <w:pPr>
        <w:jc w:val="center"/>
        <w:rPr>
          <w:b/>
          <w:bCs/>
          <w:iCs/>
        </w:rPr>
      </w:pPr>
    </w:p>
    <w:p w:rsidR="00746515" w:rsidRDefault="00746515" w:rsidP="00746515">
      <w:pPr>
        <w:jc w:val="center"/>
        <w:rPr>
          <w:b/>
          <w:bCs/>
          <w:iCs/>
        </w:rPr>
      </w:pPr>
    </w:p>
    <w:p w:rsidR="00517609" w:rsidRPr="00746515" w:rsidRDefault="00A7653A">
      <w:pPr>
        <w:jc w:val="center"/>
        <w:rPr>
          <w:b/>
          <w:bCs/>
          <w:iCs/>
          <w:caps/>
        </w:rPr>
      </w:pPr>
      <w:r>
        <w:rPr>
          <w:b/>
          <w:bCs/>
          <w:iCs/>
        </w:rPr>
        <w:t xml:space="preserve">October </w:t>
      </w:r>
      <w:r w:rsidR="00CD0B4E">
        <w:rPr>
          <w:b/>
          <w:bCs/>
          <w:iCs/>
        </w:rPr>
        <w:t>5</w:t>
      </w:r>
      <w:r>
        <w:rPr>
          <w:b/>
          <w:bCs/>
          <w:iCs/>
        </w:rPr>
        <w:t>, 2016</w:t>
      </w:r>
      <w:r w:rsidR="001D17F0">
        <w:rPr>
          <w:b/>
          <w:bCs/>
          <w:i/>
          <w:iCs/>
        </w:rPr>
        <w:br w:type="page"/>
      </w:r>
    </w:p>
    <w:p w:rsidR="00517609" w:rsidRDefault="0003580D" w:rsidP="00240FD5">
      <w:pPr>
        <w:jc w:val="center"/>
        <w:outlineLvl w:val="0"/>
        <w:rPr>
          <w:b/>
          <w:caps/>
        </w:rPr>
      </w:pPr>
      <w:r w:rsidRPr="00746515">
        <w:rPr>
          <w:b/>
        </w:rPr>
        <w:lastRenderedPageBreak/>
        <w:t>Cust</w:t>
      </w:r>
      <w:r>
        <w:rPr>
          <w:b/>
        </w:rPr>
        <w:t>omer Surveys Generic Clearance for the National Center f</w:t>
      </w:r>
      <w:r w:rsidRPr="00746515">
        <w:rPr>
          <w:b/>
        </w:rPr>
        <w:t>or Health Statistics</w:t>
      </w:r>
    </w:p>
    <w:p w:rsidR="00746515" w:rsidRDefault="00746515" w:rsidP="00746515">
      <w:pPr>
        <w:outlineLvl w:val="0"/>
        <w:rPr>
          <w:b/>
          <w:caps/>
        </w:rPr>
      </w:pPr>
    </w:p>
    <w:p w:rsidR="00AF161F" w:rsidRDefault="00AF161F" w:rsidP="00746515">
      <w:pPr>
        <w:outlineLvl w:val="0"/>
      </w:pPr>
    </w:p>
    <w:p w:rsidR="00AF161F" w:rsidRDefault="00AF161F" w:rsidP="00AF161F">
      <w:pPr>
        <w:outlineLvl w:val="0"/>
        <w:rPr>
          <w:b/>
          <w:bCs/>
        </w:rPr>
      </w:pPr>
      <w:r w:rsidRPr="00AF161F">
        <w:rPr>
          <w:b/>
          <w:bCs/>
        </w:rPr>
        <w:t>1.</w:t>
      </w:r>
      <w:r w:rsidRPr="00AF161F">
        <w:rPr>
          <w:b/>
          <w:bCs/>
        </w:rPr>
        <w:tab/>
        <w:t>Circumstances Making the Collection of Information Necessary</w:t>
      </w:r>
    </w:p>
    <w:p w:rsidR="00E93D3B" w:rsidRPr="00AF161F" w:rsidRDefault="00E93D3B" w:rsidP="00AF161F">
      <w:pPr>
        <w:outlineLvl w:val="0"/>
        <w:rPr>
          <w:b/>
          <w:bCs/>
        </w:rPr>
      </w:pPr>
    </w:p>
    <w:p w:rsidR="00AF161F" w:rsidRPr="00AF161F" w:rsidRDefault="00AF161F" w:rsidP="00AF161F">
      <w:pPr>
        <w:outlineLvl w:val="0"/>
      </w:pPr>
    </w:p>
    <w:p w:rsidR="0097747A" w:rsidRDefault="00AF161F" w:rsidP="00746515">
      <w:pPr>
        <w:outlineLvl w:val="0"/>
      </w:pPr>
      <w:r w:rsidRPr="00AF161F">
        <w:t>This request is for a nonsubstantive change to an approved data collection (OMB No. 0920-0729, expires</w:t>
      </w:r>
      <w:r>
        <w:t xml:space="preserve"> 05/31/2017</w:t>
      </w:r>
      <w:r w:rsidRPr="00AF161F">
        <w:t xml:space="preserve">), </w:t>
      </w:r>
      <w:r w:rsidR="00746515" w:rsidRPr="00746515">
        <w:t>Customer Surveys Generic Clearance for the National Center for Health Statistics</w:t>
      </w:r>
      <w:r w:rsidR="00746515">
        <w:t xml:space="preserve">. </w:t>
      </w:r>
      <w:r>
        <w:t>On May 14, 2014, this generic package was approved for a tota</w:t>
      </w:r>
      <w:r w:rsidR="00052504">
        <w:t xml:space="preserve">l of 2,040 burden hours. In </w:t>
      </w:r>
      <w:r w:rsidR="00707574">
        <w:t xml:space="preserve">anticipation of </w:t>
      </w:r>
      <w:r w:rsidR="00052504">
        <w:t xml:space="preserve">additional </w:t>
      </w:r>
      <w:r w:rsidR="004853D7">
        <w:t xml:space="preserve">overall </w:t>
      </w:r>
      <w:r w:rsidR="00707574">
        <w:t>customer surveys</w:t>
      </w:r>
      <w:r w:rsidR="00052504">
        <w:t xml:space="preserve"> that would exceed the number of currently approved burden hours, this change request is submitted to increase the total number of approved burden hours from 2,040 to </w:t>
      </w:r>
      <w:r w:rsidR="00AF6B0F">
        <w:t>2,440.</w:t>
      </w:r>
    </w:p>
    <w:p w:rsidR="00E93D3B" w:rsidRDefault="00E93D3B" w:rsidP="00746515">
      <w:pPr>
        <w:outlineLvl w:val="0"/>
      </w:pPr>
    </w:p>
    <w:p w:rsidR="00AF161F" w:rsidRDefault="00AF161F" w:rsidP="00746515">
      <w:pPr>
        <w:outlineLvl w:val="0"/>
      </w:pPr>
    </w:p>
    <w:p w:rsidR="00517609" w:rsidRDefault="00517609" w:rsidP="004C438D">
      <w:pPr>
        <w:outlineLvl w:val="0"/>
        <w:rPr>
          <w:b/>
          <w:bCs/>
        </w:rPr>
      </w:pPr>
      <w:r w:rsidRPr="00E93D3B">
        <w:rPr>
          <w:b/>
        </w:rPr>
        <w:t>2</w:t>
      </w:r>
      <w:r>
        <w:t xml:space="preserve">.  </w:t>
      </w:r>
      <w:r>
        <w:rPr>
          <w:b/>
          <w:bCs/>
        </w:rPr>
        <w:t xml:space="preserve">Purpose and Use of the Information  </w:t>
      </w:r>
    </w:p>
    <w:p w:rsidR="00517609" w:rsidRDefault="00517609">
      <w:pPr>
        <w:rPr>
          <w:b/>
          <w:bCs/>
        </w:rPr>
      </w:pPr>
    </w:p>
    <w:p w:rsidR="00517609" w:rsidRDefault="00517609">
      <w:r>
        <w:t xml:space="preserve">NCHS places the highest priority on providing quality products and services to our customers. We will </w:t>
      </w:r>
      <w:r w:rsidR="00240FD5">
        <w:t xml:space="preserve">continue to </w:t>
      </w:r>
      <w:r>
        <w:t xml:space="preserve">use the results of all of our customer surveys to identify strengths and weaknesses in those current products and services and to refine and improve them by implementing modifications that are practical and feasible. Information obtained in </w:t>
      </w:r>
      <w:r w:rsidR="00F10700">
        <w:t>these</w:t>
      </w:r>
      <w:r>
        <w:t xml:space="preserve"> surveys will guide NCHS management in program planning.</w:t>
      </w:r>
    </w:p>
    <w:p w:rsidR="00D15044" w:rsidRPr="008C3AFF" w:rsidRDefault="00240FD5" w:rsidP="00D15044">
      <w:pPr>
        <w:pStyle w:val="NormalWeb"/>
        <w:rPr>
          <w:color w:val="000000" w:themeColor="text1"/>
        </w:rPr>
      </w:pPr>
      <w:r>
        <w:rPr>
          <w:color w:val="000000" w:themeColor="text1"/>
        </w:rPr>
        <w:t xml:space="preserve">To date, </w:t>
      </w:r>
      <w:r w:rsidR="00D15044" w:rsidRPr="008C3AFF">
        <w:rPr>
          <w:color w:val="000000" w:themeColor="text1"/>
        </w:rPr>
        <w:t xml:space="preserve">NCHS </w:t>
      </w:r>
      <w:r>
        <w:rPr>
          <w:color w:val="000000" w:themeColor="text1"/>
        </w:rPr>
        <w:t xml:space="preserve">has utilized the </w:t>
      </w:r>
      <w:r w:rsidR="00F10700">
        <w:rPr>
          <w:color w:val="000000" w:themeColor="text1"/>
        </w:rPr>
        <w:t>customer survey generic c</w:t>
      </w:r>
      <w:r w:rsidR="00D15044" w:rsidRPr="008C3AFF">
        <w:rPr>
          <w:color w:val="000000" w:themeColor="text1"/>
        </w:rPr>
        <w:t xml:space="preserve">learance to conduct a number of activities </w:t>
      </w:r>
      <w:r w:rsidR="008C3AFF" w:rsidRPr="008C3AFF">
        <w:rPr>
          <w:color w:val="000000" w:themeColor="text1"/>
        </w:rPr>
        <w:t xml:space="preserve">to </w:t>
      </w:r>
      <w:r w:rsidR="00D15044" w:rsidRPr="008C3AFF">
        <w:rPr>
          <w:color w:val="000000" w:themeColor="text1"/>
        </w:rPr>
        <w:t>assess progress toward meeting its Program Assessment Rating Tool (PART) objective to "measure satisfaction of key data users an</w:t>
      </w:r>
      <w:r>
        <w:rPr>
          <w:color w:val="000000" w:themeColor="text1"/>
        </w:rPr>
        <w:t xml:space="preserve">d policymakers."   Surveys are </w:t>
      </w:r>
      <w:r w:rsidR="00D15044" w:rsidRPr="008C3AFF">
        <w:rPr>
          <w:color w:val="000000" w:themeColor="text1"/>
        </w:rPr>
        <w:t>conducted among 1) "reimbursable collaborators"-- agencies, mostly governmental, which funded components of NCHS surveys; 2) Conference attendees--through both focus groups during the conference</w:t>
      </w:r>
      <w:r w:rsidR="009D77EF">
        <w:rPr>
          <w:color w:val="000000" w:themeColor="text1"/>
        </w:rPr>
        <w:t>s</w:t>
      </w:r>
      <w:r w:rsidR="00DC6242">
        <w:rPr>
          <w:color w:val="000000" w:themeColor="text1"/>
        </w:rPr>
        <w:t xml:space="preserve"> and </w:t>
      </w:r>
      <w:r w:rsidR="00D15044" w:rsidRPr="008C3AFF">
        <w:rPr>
          <w:color w:val="000000" w:themeColor="text1"/>
        </w:rPr>
        <w:t>email survey</w:t>
      </w:r>
      <w:r w:rsidR="009D77EF">
        <w:rPr>
          <w:color w:val="000000" w:themeColor="text1"/>
        </w:rPr>
        <w:t>s</w:t>
      </w:r>
      <w:r w:rsidR="00D15044" w:rsidRPr="008C3AFF">
        <w:rPr>
          <w:color w:val="000000" w:themeColor="text1"/>
        </w:rPr>
        <w:t xml:space="preserve"> of attendees following the meeting</w:t>
      </w:r>
      <w:r w:rsidR="009D77EF">
        <w:rPr>
          <w:color w:val="000000" w:themeColor="text1"/>
        </w:rPr>
        <w:t>s</w:t>
      </w:r>
      <w:r w:rsidR="00D15044" w:rsidRPr="008C3AFF">
        <w:rPr>
          <w:color w:val="000000" w:themeColor="text1"/>
        </w:rPr>
        <w:t>; 3) Federal "power users" of NCHS data--agencies that use NCHS data for analysis, policy, and other purposes; and 4) users of the NCHS web site--both through "usability testing" at the NCHS Conference</w:t>
      </w:r>
      <w:r w:rsidR="009D77EF">
        <w:rPr>
          <w:color w:val="000000" w:themeColor="text1"/>
        </w:rPr>
        <w:t xml:space="preserve">s and through </w:t>
      </w:r>
      <w:r>
        <w:rPr>
          <w:color w:val="000000" w:themeColor="text1"/>
        </w:rPr>
        <w:t xml:space="preserve">other </w:t>
      </w:r>
      <w:r w:rsidR="00D15044" w:rsidRPr="008C3AFF">
        <w:rPr>
          <w:color w:val="000000" w:themeColor="text1"/>
        </w:rPr>
        <w:t>internet-based survey</w:t>
      </w:r>
      <w:r w:rsidR="009D77EF">
        <w:rPr>
          <w:color w:val="000000" w:themeColor="text1"/>
        </w:rPr>
        <w:t>s</w:t>
      </w:r>
      <w:r w:rsidR="00D15044" w:rsidRPr="008C3AFF">
        <w:rPr>
          <w:color w:val="000000" w:themeColor="text1"/>
        </w:rPr>
        <w:t xml:space="preserve">.  As a result of these customer survey activities, NCHS </w:t>
      </w:r>
      <w:r>
        <w:rPr>
          <w:color w:val="000000" w:themeColor="text1"/>
        </w:rPr>
        <w:t xml:space="preserve">is </w:t>
      </w:r>
      <w:r w:rsidR="00D15044" w:rsidRPr="008C3AFF">
        <w:rPr>
          <w:color w:val="000000" w:themeColor="text1"/>
        </w:rPr>
        <w:t xml:space="preserve">able to obtain "actionable" information to improve products and services, and NCHS </w:t>
      </w:r>
      <w:r>
        <w:rPr>
          <w:color w:val="000000" w:themeColor="text1"/>
        </w:rPr>
        <w:t>is</w:t>
      </w:r>
      <w:r w:rsidR="00D15044" w:rsidRPr="008C3AFF">
        <w:rPr>
          <w:color w:val="000000" w:themeColor="text1"/>
        </w:rPr>
        <w:t xml:space="preserve"> able to effectively meet its PART objective to measure customer satisfaction.</w:t>
      </w:r>
    </w:p>
    <w:p w:rsidR="00517609" w:rsidRDefault="00517609">
      <w:r>
        <w:t xml:space="preserve"> </w:t>
      </w:r>
    </w:p>
    <w:p w:rsidR="00517609" w:rsidRDefault="00517609" w:rsidP="004C438D">
      <w:pPr>
        <w:widowControl/>
        <w:autoSpaceDE/>
        <w:autoSpaceDN/>
        <w:adjustRightInd/>
        <w:outlineLvl w:val="0"/>
        <w:rPr>
          <w:b/>
        </w:rPr>
      </w:pPr>
      <w:r w:rsidRPr="00E93D3B">
        <w:rPr>
          <w:b/>
        </w:rPr>
        <w:t>12.</w:t>
      </w:r>
      <w:r>
        <w:t xml:space="preserve">  </w:t>
      </w:r>
      <w:r>
        <w:rPr>
          <w:b/>
        </w:rPr>
        <w:t xml:space="preserve">Estimates of Annualized Burden Hours and Costs  </w:t>
      </w:r>
    </w:p>
    <w:p w:rsidR="00517609" w:rsidRDefault="00517609">
      <w:pPr>
        <w:widowControl/>
        <w:autoSpaceDE/>
        <w:autoSpaceDN/>
        <w:adjustRightInd/>
        <w:rPr>
          <w:b/>
        </w:rPr>
      </w:pPr>
    </w:p>
    <w:p w:rsidR="00517609" w:rsidRDefault="0097747A">
      <w:pPr>
        <w:widowControl/>
        <w:autoSpaceDE/>
        <w:autoSpaceDN/>
        <w:adjustRightInd/>
      </w:pPr>
      <w:r w:rsidRPr="0097747A">
        <w:t xml:space="preserve">In anticipation </w:t>
      </w:r>
      <w:r w:rsidR="00AF6B0F">
        <w:t xml:space="preserve">of </w:t>
      </w:r>
      <w:r>
        <w:t xml:space="preserve">increased </w:t>
      </w:r>
      <w:r w:rsidR="00AF6B0F">
        <w:t>Web-based</w:t>
      </w:r>
      <w:r w:rsidRPr="0097747A">
        <w:t xml:space="preserve"> </w:t>
      </w:r>
      <w:r w:rsidR="00AF6B0F">
        <w:t>surveys it</w:t>
      </w:r>
      <w:r>
        <w:t xml:space="preserve"> </w:t>
      </w:r>
      <w:r w:rsidR="00AF6B0F">
        <w:t>is estimated that the</w:t>
      </w:r>
      <w:r>
        <w:t xml:space="preserve"> total </w:t>
      </w:r>
      <w:r w:rsidR="00AF6B0F">
        <w:t xml:space="preserve">number of </w:t>
      </w:r>
      <w:r w:rsidRPr="0097747A">
        <w:t>burden hours</w:t>
      </w:r>
      <w:r w:rsidR="00AF6B0F">
        <w:t xml:space="preserve"> will increase from 750 to </w:t>
      </w:r>
      <w:r w:rsidR="00707574">
        <w:t>1000</w:t>
      </w:r>
      <w:r w:rsidR="000C0B00">
        <w:t>, increasing the corresponding number of estimated respondents from 4,500 to 6,000</w:t>
      </w:r>
      <w:r>
        <w:t>.</w:t>
      </w:r>
      <w:r w:rsidRPr="0097747A">
        <w:t xml:space="preserve"> </w:t>
      </w:r>
      <w:r w:rsidR="00707574">
        <w:t>Likewise, the number of other customer surveys are expected to increase the burden from 300 to 450 hours</w:t>
      </w:r>
      <w:r w:rsidR="000C0B00">
        <w:t xml:space="preserve"> and the number of respondents from 1,200 to 1,800</w:t>
      </w:r>
      <w:r w:rsidR="00707574">
        <w:t xml:space="preserve">.  </w:t>
      </w:r>
      <w:r>
        <w:t xml:space="preserve">No other </w:t>
      </w:r>
      <w:r w:rsidR="009E55EF">
        <w:t xml:space="preserve">changes to the burden captured by the </w:t>
      </w:r>
      <w:r w:rsidR="00707574">
        <w:t xml:space="preserve">conference registrants/attendees or focus groups </w:t>
      </w:r>
      <w:r w:rsidR="009E55EF">
        <w:t>are</w:t>
      </w:r>
      <w:r>
        <w:t xml:space="preserve"> </w:t>
      </w:r>
      <w:r w:rsidR="009E55EF">
        <w:t>anticipated.</w:t>
      </w:r>
      <w:r w:rsidRPr="0097747A">
        <w:t xml:space="preserve"> The total burden for the Customer Surveys Gen</w:t>
      </w:r>
      <w:r w:rsidR="00DC6242">
        <w:t>eric Clearance will now equal 2</w:t>
      </w:r>
      <w:r w:rsidRPr="0097747A">
        <w:t>,</w:t>
      </w:r>
      <w:r w:rsidR="00707574">
        <w:t>4</w:t>
      </w:r>
      <w:r w:rsidRPr="0097747A">
        <w:t xml:space="preserve">40 hours </w:t>
      </w:r>
      <w:r w:rsidR="000C0B00">
        <w:t xml:space="preserve">(12,540 respondents) </w:t>
      </w:r>
      <w:r w:rsidRPr="0097747A">
        <w:t xml:space="preserve">compared to the </w:t>
      </w:r>
      <w:r w:rsidR="00707574">
        <w:t>2</w:t>
      </w:r>
      <w:r w:rsidRPr="0097747A">
        <w:t>,</w:t>
      </w:r>
      <w:r w:rsidR="00707574">
        <w:t>0</w:t>
      </w:r>
      <w:r w:rsidRPr="0097747A">
        <w:t xml:space="preserve">40 hours </w:t>
      </w:r>
      <w:r w:rsidR="000C0B00">
        <w:t xml:space="preserve">(10,440 respondents) </w:t>
      </w:r>
      <w:r w:rsidRPr="0097747A">
        <w:t>captured in the most recently approved package.</w:t>
      </w:r>
      <w:r w:rsidR="009E55EF">
        <w:t xml:space="preserve"> </w:t>
      </w:r>
    </w:p>
    <w:p w:rsidR="00E93D3B" w:rsidRDefault="00E93D3B">
      <w:pPr>
        <w:widowControl/>
        <w:autoSpaceDE/>
        <w:autoSpaceDN/>
        <w:adjustRightInd/>
      </w:pPr>
      <w:bookmarkStart w:id="0" w:name="_GoBack"/>
      <w:bookmarkEnd w:id="0"/>
    </w:p>
    <w:p w:rsidR="00E93D3B" w:rsidRDefault="00E93D3B">
      <w:pPr>
        <w:widowControl/>
        <w:autoSpaceDE/>
        <w:autoSpaceDN/>
        <w:adjustRightInd/>
      </w:pPr>
    </w:p>
    <w:p w:rsidR="00707574" w:rsidRDefault="00707574">
      <w:pPr>
        <w:widowControl/>
        <w:autoSpaceDE/>
        <w:autoSpaceDN/>
        <w:adjustRightInd/>
      </w:pPr>
    </w:p>
    <w:p w:rsidR="00517609" w:rsidRDefault="00C64B34" w:rsidP="006F5771">
      <w:pPr>
        <w:widowControl/>
        <w:autoSpaceDE/>
        <w:autoSpaceDN/>
        <w:adjustRightInd/>
        <w:ind w:firstLine="810"/>
        <w:outlineLvl w:val="0"/>
      </w:pPr>
      <w:r>
        <w:rPr>
          <w:b/>
        </w:rPr>
        <w:t xml:space="preserve">Table 1. </w:t>
      </w:r>
      <w:r w:rsidR="00517609">
        <w:rPr>
          <w:b/>
        </w:rPr>
        <w:t>Estimates of Annualized Burden Hours for NCHS Customer Surveys</w:t>
      </w:r>
    </w:p>
    <w:tbl>
      <w:tblPr>
        <w:tblpPr w:leftFromText="180" w:rightFromText="180" w:vertAnchor="text" w:horzAnchor="margin" w:tblpY="122"/>
        <w:tblW w:w="9480" w:type="dxa"/>
        <w:tblLayout w:type="fixed"/>
        <w:tblCellMar>
          <w:left w:w="120" w:type="dxa"/>
          <w:right w:w="120" w:type="dxa"/>
        </w:tblCellMar>
        <w:tblLook w:val="0000" w:firstRow="0" w:lastRow="0" w:firstColumn="0" w:lastColumn="0" w:noHBand="0" w:noVBand="0"/>
      </w:tblPr>
      <w:tblGrid>
        <w:gridCol w:w="3096"/>
        <w:gridCol w:w="1704"/>
        <w:gridCol w:w="1620"/>
        <w:gridCol w:w="1620"/>
        <w:gridCol w:w="1440"/>
      </w:tblGrid>
      <w:tr w:rsidR="0069113D" w:rsidTr="0069113D">
        <w:trPr>
          <w:trHeight w:val="512"/>
        </w:trPr>
        <w:tc>
          <w:tcPr>
            <w:tcW w:w="3096" w:type="dxa"/>
            <w:tcBorders>
              <w:top w:val="single" w:sz="4" w:space="0" w:color="auto"/>
              <w:left w:val="single" w:sz="4" w:space="0" w:color="auto"/>
              <w:bottom w:val="single" w:sz="4" w:space="0" w:color="auto"/>
              <w:right w:val="single" w:sz="4" w:space="0" w:color="auto"/>
            </w:tcBorders>
          </w:tcPr>
          <w:p w:rsidR="0069113D" w:rsidRDefault="0069113D" w:rsidP="009E55EF">
            <w:pPr>
              <w:jc w:val="center"/>
              <w:rPr>
                <w:b/>
                <w:sz w:val="21"/>
                <w:szCs w:val="21"/>
              </w:rPr>
            </w:pPr>
            <w:r>
              <w:rPr>
                <w:b/>
                <w:sz w:val="21"/>
                <w:szCs w:val="21"/>
              </w:rPr>
              <w:t>Type of survey</w:t>
            </w:r>
          </w:p>
          <w:p w:rsidR="0069113D" w:rsidRDefault="0069113D" w:rsidP="009E55EF">
            <w:pPr>
              <w:jc w:val="center"/>
              <w:rPr>
                <w:b/>
                <w:sz w:val="21"/>
                <w:szCs w:val="21"/>
              </w:rPr>
            </w:pPr>
          </w:p>
        </w:tc>
        <w:tc>
          <w:tcPr>
            <w:tcW w:w="1704" w:type="dxa"/>
            <w:tcBorders>
              <w:top w:val="single" w:sz="4" w:space="0" w:color="auto"/>
              <w:left w:val="single" w:sz="4" w:space="0" w:color="auto"/>
              <w:bottom w:val="single" w:sz="4" w:space="0" w:color="auto"/>
              <w:right w:val="single" w:sz="8" w:space="0" w:color="000000"/>
            </w:tcBorders>
          </w:tcPr>
          <w:p w:rsidR="0069113D" w:rsidRDefault="0069113D" w:rsidP="009E55EF">
            <w:pPr>
              <w:jc w:val="center"/>
              <w:rPr>
                <w:sz w:val="21"/>
                <w:szCs w:val="21"/>
              </w:rPr>
            </w:pPr>
            <w:r>
              <w:rPr>
                <w:sz w:val="21"/>
                <w:szCs w:val="21"/>
              </w:rPr>
              <w:t>Number of</w:t>
            </w:r>
          </w:p>
          <w:p w:rsidR="0069113D" w:rsidRDefault="0069113D" w:rsidP="009E55EF">
            <w:pPr>
              <w:jc w:val="center"/>
              <w:rPr>
                <w:sz w:val="21"/>
                <w:szCs w:val="21"/>
              </w:rPr>
            </w:pPr>
            <w:r>
              <w:rPr>
                <w:sz w:val="21"/>
                <w:szCs w:val="21"/>
              </w:rPr>
              <w:t>Respondents</w:t>
            </w:r>
          </w:p>
        </w:tc>
        <w:tc>
          <w:tcPr>
            <w:tcW w:w="1620" w:type="dxa"/>
            <w:tcBorders>
              <w:top w:val="single" w:sz="4" w:space="0" w:color="auto"/>
              <w:left w:val="single" w:sz="8" w:space="0" w:color="000000"/>
              <w:bottom w:val="single" w:sz="4" w:space="0" w:color="auto"/>
              <w:right w:val="single" w:sz="8" w:space="0" w:color="000000"/>
            </w:tcBorders>
          </w:tcPr>
          <w:p w:rsidR="0069113D" w:rsidRDefault="0069113D" w:rsidP="009E55EF">
            <w:pPr>
              <w:jc w:val="center"/>
              <w:rPr>
                <w:sz w:val="21"/>
                <w:szCs w:val="21"/>
              </w:rPr>
            </w:pPr>
            <w:r>
              <w:rPr>
                <w:sz w:val="21"/>
                <w:szCs w:val="21"/>
              </w:rPr>
              <w:t>Number of</w:t>
            </w:r>
          </w:p>
          <w:p w:rsidR="0069113D" w:rsidRDefault="0069113D" w:rsidP="009E55EF">
            <w:pPr>
              <w:jc w:val="center"/>
              <w:rPr>
                <w:sz w:val="21"/>
                <w:szCs w:val="21"/>
              </w:rPr>
            </w:pPr>
            <w:r>
              <w:rPr>
                <w:sz w:val="21"/>
                <w:szCs w:val="21"/>
              </w:rPr>
              <w:t>responses/</w:t>
            </w:r>
          </w:p>
          <w:p w:rsidR="0069113D" w:rsidRDefault="0069113D" w:rsidP="009E55EF">
            <w:pPr>
              <w:jc w:val="center"/>
              <w:rPr>
                <w:sz w:val="21"/>
                <w:szCs w:val="21"/>
              </w:rPr>
            </w:pPr>
            <w:r>
              <w:rPr>
                <w:sz w:val="21"/>
                <w:szCs w:val="21"/>
              </w:rPr>
              <w:t>respondent</w:t>
            </w:r>
          </w:p>
        </w:tc>
        <w:tc>
          <w:tcPr>
            <w:tcW w:w="1620" w:type="dxa"/>
            <w:tcBorders>
              <w:top w:val="single" w:sz="4" w:space="0" w:color="auto"/>
              <w:left w:val="single" w:sz="8" w:space="0" w:color="000000"/>
              <w:bottom w:val="single" w:sz="4" w:space="0" w:color="auto"/>
              <w:right w:val="single" w:sz="8" w:space="0" w:color="000000"/>
            </w:tcBorders>
          </w:tcPr>
          <w:p w:rsidR="0069113D" w:rsidRDefault="0069113D" w:rsidP="009E55EF">
            <w:pPr>
              <w:jc w:val="center"/>
              <w:rPr>
                <w:sz w:val="21"/>
                <w:szCs w:val="21"/>
              </w:rPr>
            </w:pPr>
            <w:r>
              <w:rPr>
                <w:sz w:val="21"/>
                <w:szCs w:val="21"/>
              </w:rPr>
              <w:t>Average Burden/ response</w:t>
            </w:r>
          </w:p>
          <w:p w:rsidR="0069113D" w:rsidRDefault="0069113D" w:rsidP="009E55EF">
            <w:pPr>
              <w:jc w:val="center"/>
              <w:rPr>
                <w:sz w:val="21"/>
                <w:szCs w:val="21"/>
              </w:rPr>
            </w:pPr>
            <w:r>
              <w:rPr>
                <w:sz w:val="21"/>
                <w:szCs w:val="21"/>
              </w:rPr>
              <w:t>(in hours)</w:t>
            </w:r>
          </w:p>
        </w:tc>
        <w:tc>
          <w:tcPr>
            <w:tcW w:w="1440" w:type="dxa"/>
            <w:tcBorders>
              <w:top w:val="single" w:sz="4" w:space="0" w:color="auto"/>
              <w:left w:val="single" w:sz="8" w:space="0" w:color="000000"/>
              <w:bottom w:val="single" w:sz="4" w:space="0" w:color="auto"/>
              <w:right w:val="single" w:sz="4" w:space="0" w:color="auto"/>
            </w:tcBorders>
          </w:tcPr>
          <w:p w:rsidR="0069113D" w:rsidRDefault="0069113D" w:rsidP="009E55EF">
            <w:pPr>
              <w:tabs>
                <w:tab w:val="left" w:pos="1498"/>
              </w:tabs>
              <w:jc w:val="center"/>
              <w:rPr>
                <w:sz w:val="21"/>
                <w:szCs w:val="21"/>
              </w:rPr>
            </w:pPr>
            <w:r>
              <w:rPr>
                <w:sz w:val="21"/>
                <w:szCs w:val="21"/>
              </w:rPr>
              <w:t>Response</w:t>
            </w:r>
          </w:p>
          <w:p w:rsidR="0069113D" w:rsidRDefault="0069113D" w:rsidP="009E55EF">
            <w:pPr>
              <w:tabs>
                <w:tab w:val="left" w:pos="1498"/>
              </w:tabs>
              <w:jc w:val="center"/>
              <w:rPr>
                <w:sz w:val="21"/>
                <w:szCs w:val="21"/>
              </w:rPr>
            </w:pPr>
            <w:r>
              <w:rPr>
                <w:sz w:val="21"/>
                <w:szCs w:val="21"/>
              </w:rPr>
              <w:t>Burden</w:t>
            </w:r>
          </w:p>
          <w:p w:rsidR="0069113D" w:rsidRDefault="0069113D" w:rsidP="009E55EF">
            <w:pPr>
              <w:tabs>
                <w:tab w:val="left" w:pos="1498"/>
              </w:tabs>
              <w:jc w:val="center"/>
              <w:rPr>
                <w:sz w:val="21"/>
                <w:szCs w:val="21"/>
              </w:rPr>
            </w:pPr>
            <w:r>
              <w:rPr>
                <w:sz w:val="21"/>
                <w:szCs w:val="21"/>
              </w:rPr>
              <w:t>(in hours)</w:t>
            </w:r>
          </w:p>
          <w:p w:rsidR="0069113D" w:rsidRDefault="0069113D" w:rsidP="009E55EF">
            <w:pPr>
              <w:tabs>
                <w:tab w:val="left" w:pos="1498"/>
              </w:tabs>
              <w:jc w:val="center"/>
              <w:rPr>
                <w:sz w:val="21"/>
                <w:szCs w:val="21"/>
              </w:rPr>
            </w:pPr>
          </w:p>
        </w:tc>
      </w:tr>
      <w:tr w:rsidR="0069113D" w:rsidTr="0069113D">
        <w:trPr>
          <w:trHeight w:val="685"/>
        </w:trPr>
        <w:tc>
          <w:tcPr>
            <w:tcW w:w="3096"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line="120" w:lineRule="exact"/>
              <w:rPr>
                <w:sz w:val="21"/>
                <w:szCs w:val="21"/>
              </w:rPr>
            </w:pPr>
          </w:p>
          <w:p w:rsidR="0069113D" w:rsidRDefault="0069113D" w:rsidP="0069113D">
            <w:pPr>
              <w:spacing w:after="58"/>
              <w:rPr>
                <w:sz w:val="21"/>
                <w:szCs w:val="21"/>
              </w:rPr>
            </w:pPr>
            <w:r>
              <w:rPr>
                <w:sz w:val="21"/>
                <w:szCs w:val="21"/>
              </w:rPr>
              <w:t>Questionnaire for conference registrants/attendees</w:t>
            </w:r>
          </w:p>
        </w:tc>
        <w:tc>
          <w:tcPr>
            <w:tcW w:w="1704" w:type="dxa"/>
            <w:tcBorders>
              <w:top w:val="single" w:sz="4" w:space="0" w:color="auto"/>
              <w:left w:val="single" w:sz="7" w:space="0" w:color="000000"/>
              <w:bottom w:val="single" w:sz="6" w:space="0" w:color="FFFFFF"/>
              <w:right w:val="single" w:sz="6" w:space="0" w:color="FFFFFF"/>
            </w:tcBorders>
          </w:tcPr>
          <w:p w:rsidR="0069113D" w:rsidRDefault="0069113D" w:rsidP="0069113D">
            <w:pPr>
              <w:spacing w:after="58"/>
              <w:rPr>
                <w:sz w:val="21"/>
                <w:szCs w:val="21"/>
              </w:rPr>
            </w:pPr>
          </w:p>
          <w:p w:rsidR="0069113D" w:rsidRDefault="0069113D" w:rsidP="00436BDE">
            <w:pPr>
              <w:spacing w:after="58"/>
              <w:rPr>
                <w:sz w:val="21"/>
                <w:szCs w:val="21"/>
              </w:rPr>
            </w:pPr>
            <w:r>
              <w:rPr>
                <w:sz w:val="21"/>
                <w:szCs w:val="21"/>
              </w:rPr>
              <w:t xml:space="preserve">   </w:t>
            </w:r>
            <w:r w:rsidR="00436BDE">
              <w:rPr>
                <w:sz w:val="21"/>
                <w:szCs w:val="21"/>
              </w:rPr>
              <w:t>4,5</w:t>
            </w:r>
            <w:r>
              <w:rPr>
                <w:sz w:val="21"/>
                <w:szCs w:val="21"/>
              </w:rPr>
              <w:t>00</w:t>
            </w:r>
          </w:p>
        </w:tc>
        <w:tc>
          <w:tcPr>
            <w:tcW w:w="1620" w:type="dxa"/>
            <w:tcBorders>
              <w:top w:val="single" w:sz="4" w:space="0" w:color="auto"/>
              <w:left w:val="single" w:sz="7" w:space="0" w:color="000000"/>
              <w:bottom w:val="single" w:sz="6" w:space="0" w:color="FFFFFF"/>
              <w:right w:val="single" w:sz="6" w:space="0" w:color="FFFFFF"/>
            </w:tcBorders>
          </w:tcPr>
          <w:p w:rsidR="0069113D" w:rsidRDefault="0069113D" w:rsidP="0069113D">
            <w:pPr>
              <w:spacing w:after="58"/>
              <w:jc w:val="center"/>
              <w:rPr>
                <w:sz w:val="21"/>
                <w:szCs w:val="21"/>
              </w:rPr>
            </w:pPr>
          </w:p>
          <w:p w:rsidR="0069113D" w:rsidRDefault="0069113D" w:rsidP="0069113D">
            <w:pPr>
              <w:spacing w:after="58"/>
              <w:jc w:val="center"/>
              <w:rPr>
                <w:sz w:val="21"/>
                <w:szCs w:val="21"/>
              </w:rPr>
            </w:pPr>
            <w:r>
              <w:rPr>
                <w:sz w:val="21"/>
                <w:szCs w:val="21"/>
              </w:rPr>
              <w:t>1</w:t>
            </w:r>
          </w:p>
        </w:tc>
        <w:tc>
          <w:tcPr>
            <w:tcW w:w="1620" w:type="dxa"/>
            <w:tcBorders>
              <w:top w:val="single" w:sz="4" w:space="0" w:color="auto"/>
              <w:left w:val="single" w:sz="7" w:space="0" w:color="000000"/>
              <w:bottom w:val="single" w:sz="6" w:space="0" w:color="FFFFFF"/>
              <w:right w:val="single" w:sz="6" w:space="0" w:color="FFFFFF"/>
            </w:tcBorders>
          </w:tcPr>
          <w:p w:rsidR="0069113D" w:rsidRDefault="0069113D" w:rsidP="0069113D">
            <w:pPr>
              <w:spacing w:after="58"/>
              <w:jc w:val="center"/>
              <w:rPr>
                <w:sz w:val="21"/>
                <w:szCs w:val="21"/>
              </w:rPr>
            </w:pPr>
          </w:p>
          <w:p w:rsidR="0069113D" w:rsidRDefault="0069113D" w:rsidP="0069113D">
            <w:pPr>
              <w:spacing w:after="58"/>
              <w:jc w:val="center"/>
              <w:rPr>
                <w:sz w:val="21"/>
                <w:szCs w:val="21"/>
              </w:rPr>
            </w:pPr>
            <w:r>
              <w:rPr>
                <w:sz w:val="21"/>
                <w:szCs w:val="21"/>
              </w:rPr>
              <w:t>10/60</w:t>
            </w:r>
          </w:p>
        </w:tc>
        <w:tc>
          <w:tcPr>
            <w:tcW w:w="1440" w:type="dxa"/>
            <w:tcBorders>
              <w:top w:val="single" w:sz="4" w:space="0" w:color="auto"/>
              <w:left w:val="single" w:sz="7" w:space="0" w:color="000000"/>
              <w:bottom w:val="single" w:sz="6" w:space="0" w:color="FFFFFF"/>
              <w:right w:val="single" w:sz="7" w:space="0" w:color="000000"/>
            </w:tcBorders>
          </w:tcPr>
          <w:p w:rsidR="0069113D" w:rsidRDefault="0069113D" w:rsidP="0069113D">
            <w:pPr>
              <w:tabs>
                <w:tab w:val="left" w:pos="1498"/>
              </w:tabs>
              <w:spacing w:after="58"/>
              <w:jc w:val="center"/>
              <w:rPr>
                <w:sz w:val="21"/>
                <w:szCs w:val="21"/>
              </w:rPr>
            </w:pPr>
          </w:p>
          <w:p w:rsidR="0069113D" w:rsidRDefault="00436BDE" w:rsidP="0069113D">
            <w:pPr>
              <w:tabs>
                <w:tab w:val="left" w:pos="1498"/>
              </w:tabs>
              <w:spacing w:after="58"/>
              <w:jc w:val="center"/>
              <w:rPr>
                <w:sz w:val="21"/>
                <w:szCs w:val="21"/>
              </w:rPr>
            </w:pPr>
            <w:r>
              <w:rPr>
                <w:sz w:val="21"/>
                <w:szCs w:val="21"/>
              </w:rPr>
              <w:t>75</w:t>
            </w:r>
            <w:r w:rsidR="0069113D">
              <w:rPr>
                <w:sz w:val="21"/>
                <w:szCs w:val="21"/>
              </w:rPr>
              <w:t>0</w:t>
            </w:r>
          </w:p>
        </w:tc>
      </w:tr>
      <w:tr w:rsidR="0069113D" w:rsidTr="0069113D">
        <w:trPr>
          <w:trHeight w:val="595"/>
        </w:trPr>
        <w:tc>
          <w:tcPr>
            <w:tcW w:w="3096"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line="120" w:lineRule="exact"/>
              <w:rPr>
                <w:sz w:val="21"/>
                <w:szCs w:val="21"/>
              </w:rPr>
            </w:pPr>
          </w:p>
          <w:p w:rsidR="0069113D" w:rsidRDefault="0069113D" w:rsidP="0069113D">
            <w:pPr>
              <w:spacing w:after="58"/>
              <w:rPr>
                <w:sz w:val="21"/>
                <w:szCs w:val="21"/>
              </w:rPr>
            </w:pPr>
            <w:r>
              <w:rPr>
                <w:sz w:val="21"/>
                <w:szCs w:val="21"/>
              </w:rPr>
              <w:t>Focus groups</w:t>
            </w:r>
          </w:p>
        </w:tc>
        <w:tc>
          <w:tcPr>
            <w:tcW w:w="1704"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after="58"/>
              <w:rPr>
                <w:sz w:val="21"/>
                <w:szCs w:val="21"/>
              </w:rPr>
            </w:pPr>
          </w:p>
          <w:p w:rsidR="0069113D" w:rsidRDefault="0069113D" w:rsidP="00436BDE">
            <w:pPr>
              <w:spacing w:after="58"/>
              <w:rPr>
                <w:sz w:val="21"/>
                <w:szCs w:val="21"/>
              </w:rPr>
            </w:pPr>
            <w:r>
              <w:rPr>
                <w:sz w:val="21"/>
                <w:szCs w:val="21"/>
              </w:rPr>
              <w:t xml:space="preserve">   </w:t>
            </w:r>
            <w:r w:rsidR="00436BDE">
              <w:rPr>
                <w:sz w:val="21"/>
                <w:szCs w:val="21"/>
              </w:rPr>
              <w:t xml:space="preserve">  </w:t>
            </w:r>
            <w:r>
              <w:rPr>
                <w:sz w:val="21"/>
                <w:szCs w:val="21"/>
              </w:rPr>
              <w:t xml:space="preserve"> </w:t>
            </w:r>
            <w:r w:rsidR="00436BDE">
              <w:rPr>
                <w:sz w:val="21"/>
                <w:szCs w:val="21"/>
              </w:rPr>
              <w:t>2</w:t>
            </w:r>
            <w:r>
              <w:rPr>
                <w:sz w:val="21"/>
                <w:szCs w:val="21"/>
              </w:rPr>
              <w:t>40</w:t>
            </w:r>
          </w:p>
        </w:tc>
        <w:tc>
          <w:tcPr>
            <w:tcW w:w="1620"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after="58"/>
              <w:jc w:val="center"/>
              <w:rPr>
                <w:sz w:val="21"/>
                <w:szCs w:val="21"/>
              </w:rPr>
            </w:pPr>
          </w:p>
          <w:p w:rsidR="0069113D" w:rsidRDefault="0069113D" w:rsidP="0069113D">
            <w:pPr>
              <w:spacing w:after="58"/>
              <w:jc w:val="center"/>
              <w:rPr>
                <w:sz w:val="21"/>
                <w:szCs w:val="21"/>
              </w:rPr>
            </w:pPr>
            <w:r>
              <w:rPr>
                <w:sz w:val="21"/>
                <w:szCs w:val="21"/>
              </w:rPr>
              <w:t>1</w:t>
            </w:r>
          </w:p>
        </w:tc>
        <w:tc>
          <w:tcPr>
            <w:tcW w:w="1620"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after="58"/>
              <w:jc w:val="center"/>
              <w:rPr>
                <w:sz w:val="21"/>
                <w:szCs w:val="21"/>
              </w:rPr>
            </w:pPr>
          </w:p>
          <w:p w:rsidR="0069113D" w:rsidRDefault="0069113D" w:rsidP="0069113D">
            <w:pPr>
              <w:spacing w:after="58"/>
              <w:jc w:val="center"/>
              <w:rPr>
                <w:sz w:val="21"/>
                <w:szCs w:val="21"/>
              </w:rPr>
            </w:pPr>
            <w:r>
              <w:rPr>
                <w:sz w:val="21"/>
                <w:szCs w:val="21"/>
              </w:rPr>
              <w:t>1</w:t>
            </w:r>
          </w:p>
        </w:tc>
        <w:tc>
          <w:tcPr>
            <w:tcW w:w="1440" w:type="dxa"/>
            <w:tcBorders>
              <w:top w:val="single" w:sz="7" w:space="0" w:color="000000"/>
              <w:left w:val="single" w:sz="7" w:space="0" w:color="000000"/>
              <w:bottom w:val="single" w:sz="6" w:space="0" w:color="FFFFFF"/>
              <w:right w:val="single" w:sz="7" w:space="0" w:color="000000"/>
            </w:tcBorders>
          </w:tcPr>
          <w:p w:rsidR="0069113D" w:rsidRDefault="0069113D" w:rsidP="0069113D">
            <w:pPr>
              <w:tabs>
                <w:tab w:val="left" w:pos="1498"/>
              </w:tabs>
              <w:spacing w:after="58"/>
              <w:jc w:val="center"/>
              <w:rPr>
                <w:sz w:val="21"/>
                <w:szCs w:val="21"/>
              </w:rPr>
            </w:pPr>
          </w:p>
          <w:p w:rsidR="0069113D" w:rsidRDefault="00436BDE" w:rsidP="0069113D">
            <w:pPr>
              <w:tabs>
                <w:tab w:val="left" w:pos="1498"/>
              </w:tabs>
              <w:spacing w:after="58"/>
              <w:jc w:val="center"/>
              <w:rPr>
                <w:sz w:val="21"/>
                <w:szCs w:val="21"/>
              </w:rPr>
            </w:pPr>
            <w:r>
              <w:rPr>
                <w:sz w:val="21"/>
                <w:szCs w:val="21"/>
              </w:rPr>
              <w:t>24</w:t>
            </w:r>
            <w:r w:rsidR="0069113D">
              <w:rPr>
                <w:sz w:val="21"/>
                <w:szCs w:val="21"/>
              </w:rPr>
              <w:t>0</w:t>
            </w:r>
          </w:p>
        </w:tc>
      </w:tr>
      <w:tr w:rsidR="0069113D" w:rsidTr="0069113D">
        <w:tc>
          <w:tcPr>
            <w:tcW w:w="3096"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line="120" w:lineRule="exact"/>
              <w:rPr>
                <w:sz w:val="21"/>
                <w:szCs w:val="21"/>
              </w:rPr>
            </w:pPr>
          </w:p>
          <w:p w:rsidR="0069113D" w:rsidRDefault="0069113D" w:rsidP="0069113D">
            <w:pPr>
              <w:spacing w:after="58"/>
              <w:rPr>
                <w:sz w:val="21"/>
                <w:szCs w:val="21"/>
              </w:rPr>
            </w:pPr>
            <w:r>
              <w:rPr>
                <w:sz w:val="21"/>
                <w:szCs w:val="21"/>
              </w:rPr>
              <w:t xml:space="preserve">Web-based </w:t>
            </w:r>
          </w:p>
        </w:tc>
        <w:tc>
          <w:tcPr>
            <w:tcW w:w="1704"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after="58"/>
              <w:rPr>
                <w:sz w:val="21"/>
                <w:szCs w:val="21"/>
              </w:rPr>
            </w:pPr>
          </w:p>
          <w:p w:rsidR="0069113D" w:rsidRDefault="0069113D" w:rsidP="00707574">
            <w:pPr>
              <w:spacing w:after="58"/>
              <w:rPr>
                <w:sz w:val="21"/>
                <w:szCs w:val="21"/>
              </w:rPr>
            </w:pPr>
            <w:r>
              <w:rPr>
                <w:sz w:val="21"/>
                <w:szCs w:val="21"/>
              </w:rPr>
              <w:t xml:space="preserve">   </w:t>
            </w:r>
            <w:r w:rsidR="00707574">
              <w:rPr>
                <w:sz w:val="21"/>
                <w:szCs w:val="21"/>
              </w:rPr>
              <w:t>6000</w:t>
            </w:r>
          </w:p>
        </w:tc>
        <w:tc>
          <w:tcPr>
            <w:tcW w:w="1620"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after="58"/>
              <w:jc w:val="center"/>
              <w:rPr>
                <w:sz w:val="21"/>
                <w:szCs w:val="21"/>
              </w:rPr>
            </w:pPr>
          </w:p>
          <w:p w:rsidR="0069113D" w:rsidRDefault="0069113D" w:rsidP="0069113D">
            <w:pPr>
              <w:spacing w:after="58"/>
              <w:jc w:val="center"/>
              <w:rPr>
                <w:sz w:val="21"/>
                <w:szCs w:val="21"/>
              </w:rPr>
            </w:pPr>
            <w:r>
              <w:rPr>
                <w:sz w:val="21"/>
                <w:szCs w:val="21"/>
              </w:rPr>
              <w:t>1</w:t>
            </w:r>
          </w:p>
        </w:tc>
        <w:tc>
          <w:tcPr>
            <w:tcW w:w="1620"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after="58"/>
              <w:jc w:val="center"/>
              <w:rPr>
                <w:sz w:val="21"/>
                <w:szCs w:val="21"/>
              </w:rPr>
            </w:pPr>
          </w:p>
          <w:p w:rsidR="0069113D" w:rsidRDefault="0069113D" w:rsidP="0069113D">
            <w:pPr>
              <w:spacing w:after="58"/>
              <w:jc w:val="center"/>
              <w:rPr>
                <w:sz w:val="21"/>
                <w:szCs w:val="21"/>
              </w:rPr>
            </w:pPr>
            <w:r>
              <w:rPr>
                <w:sz w:val="21"/>
                <w:szCs w:val="21"/>
              </w:rPr>
              <w:t>10/60</w:t>
            </w:r>
          </w:p>
        </w:tc>
        <w:tc>
          <w:tcPr>
            <w:tcW w:w="1440" w:type="dxa"/>
            <w:tcBorders>
              <w:top w:val="single" w:sz="7" w:space="0" w:color="000000"/>
              <w:left w:val="single" w:sz="7" w:space="0" w:color="000000"/>
              <w:bottom w:val="single" w:sz="6" w:space="0" w:color="FFFFFF"/>
              <w:right w:val="single" w:sz="7" w:space="0" w:color="000000"/>
            </w:tcBorders>
          </w:tcPr>
          <w:p w:rsidR="0069113D" w:rsidRDefault="0069113D" w:rsidP="0069113D">
            <w:pPr>
              <w:tabs>
                <w:tab w:val="left" w:pos="1498"/>
              </w:tabs>
              <w:spacing w:after="58"/>
              <w:jc w:val="center"/>
              <w:rPr>
                <w:sz w:val="21"/>
                <w:szCs w:val="21"/>
              </w:rPr>
            </w:pPr>
          </w:p>
          <w:p w:rsidR="0069113D" w:rsidRDefault="00436BDE" w:rsidP="00707574">
            <w:pPr>
              <w:tabs>
                <w:tab w:val="left" w:pos="1498"/>
              </w:tabs>
              <w:spacing w:after="58"/>
              <w:rPr>
                <w:sz w:val="21"/>
                <w:szCs w:val="21"/>
              </w:rPr>
            </w:pPr>
            <w:r>
              <w:rPr>
                <w:sz w:val="21"/>
                <w:szCs w:val="21"/>
              </w:rPr>
              <w:t xml:space="preserve">        </w:t>
            </w:r>
            <w:r w:rsidR="00707574">
              <w:rPr>
                <w:sz w:val="21"/>
                <w:szCs w:val="21"/>
              </w:rPr>
              <w:t>1000</w:t>
            </w:r>
          </w:p>
        </w:tc>
      </w:tr>
      <w:tr w:rsidR="0069113D" w:rsidTr="0069113D">
        <w:trPr>
          <w:trHeight w:val="497"/>
        </w:trPr>
        <w:tc>
          <w:tcPr>
            <w:tcW w:w="3096"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line="120" w:lineRule="exact"/>
              <w:rPr>
                <w:sz w:val="21"/>
                <w:szCs w:val="21"/>
              </w:rPr>
            </w:pPr>
          </w:p>
          <w:p w:rsidR="0069113D" w:rsidRDefault="0069113D" w:rsidP="0069113D">
            <w:pPr>
              <w:spacing w:after="58"/>
              <w:rPr>
                <w:sz w:val="21"/>
                <w:szCs w:val="21"/>
              </w:rPr>
            </w:pPr>
            <w:r>
              <w:rPr>
                <w:sz w:val="21"/>
                <w:szCs w:val="21"/>
              </w:rPr>
              <w:t>Other customer surveys</w:t>
            </w:r>
          </w:p>
        </w:tc>
        <w:tc>
          <w:tcPr>
            <w:tcW w:w="1704" w:type="dxa"/>
            <w:tcBorders>
              <w:top w:val="single" w:sz="7" w:space="0" w:color="000000"/>
              <w:left w:val="single" w:sz="7" w:space="0" w:color="000000"/>
              <w:bottom w:val="single" w:sz="6" w:space="0" w:color="FFFFFF"/>
              <w:right w:val="single" w:sz="6" w:space="0" w:color="FFFFFF"/>
            </w:tcBorders>
          </w:tcPr>
          <w:p w:rsidR="0069113D" w:rsidRDefault="0069113D" w:rsidP="0069113D">
            <w:pPr>
              <w:jc w:val="center"/>
              <w:rPr>
                <w:sz w:val="21"/>
                <w:szCs w:val="21"/>
              </w:rPr>
            </w:pPr>
          </w:p>
          <w:p w:rsidR="0069113D" w:rsidRDefault="0069113D" w:rsidP="0069113D">
            <w:pPr>
              <w:rPr>
                <w:sz w:val="21"/>
                <w:szCs w:val="21"/>
              </w:rPr>
            </w:pPr>
            <w:r>
              <w:rPr>
                <w:sz w:val="21"/>
                <w:szCs w:val="21"/>
              </w:rPr>
              <w:t xml:space="preserve">   </w:t>
            </w:r>
            <w:r w:rsidR="00707574">
              <w:rPr>
                <w:sz w:val="21"/>
                <w:szCs w:val="21"/>
              </w:rPr>
              <w:t>1,800</w:t>
            </w:r>
          </w:p>
          <w:p w:rsidR="0069113D" w:rsidRDefault="0069113D" w:rsidP="0069113D">
            <w:pPr>
              <w:jc w:val="center"/>
              <w:rPr>
                <w:sz w:val="21"/>
                <w:szCs w:val="21"/>
              </w:rPr>
            </w:pPr>
          </w:p>
        </w:tc>
        <w:tc>
          <w:tcPr>
            <w:tcW w:w="1620" w:type="dxa"/>
            <w:tcBorders>
              <w:top w:val="single" w:sz="7" w:space="0" w:color="000000"/>
              <w:left w:val="single" w:sz="7" w:space="0" w:color="000000"/>
              <w:bottom w:val="single" w:sz="6" w:space="0" w:color="FFFFFF"/>
              <w:right w:val="single" w:sz="6" w:space="0" w:color="FFFFFF"/>
            </w:tcBorders>
          </w:tcPr>
          <w:p w:rsidR="0069113D" w:rsidRDefault="0069113D" w:rsidP="0069113D">
            <w:pPr>
              <w:jc w:val="center"/>
              <w:rPr>
                <w:sz w:val="21"/>
                <w:szCs w:val="21"/>
              </w:rPr>
            </w:pPr>
          </w:p>
          <w:p w:rsidR="0069113D" w:rsidRDefault="0069113D" w:rsidP="0069113D">
            <w:pPr>
              <w:jc w:val="center"/>
              <w:rPr>
                <w:sz w:val="21"/>
                <w:szCs w:val="21"/>
              </w:rPr>
            </w:pPr>
            <w:r>
              <w:rPr>
                <w:sz w:val="21"/>
                <w:szCs w:val="21"/>
              </w:rPr>
              <w:t>1</w:t>
            </w:r>
          </w:p>
          <w:p w:rsidR="0069113D" w:rsidRDefault="0069113D" w:rsidP="0069113D">
            <w:pPr>
              <w:jc w:val="center"/>
              <w:rPr>
                <w:sz w:val="21"/>
                <w:szCs w:val="21"/>
              </w:rPr>
            </w:pPr>
          </w:p>
        </w:tc>
        <w:tc>
          <w:tcPr>
            <w:tcW w:w="1620" w:type="dxa"/>
            <w:tcBorders>
              <w:top w:val="single" w:sz="7" w:space="0" w:color="000000"/>
              <w:left w:val="single" w:sz="7" w:space="0" w:color="000000"/>
              <w:bottom w:val="single" w:sz="6" w:space="0" w:color="FFFFFF"/>
              <w:right w:val="single" w:sz="6" w:space="0" w:color="FFFFFF"/>
            </w:tcBorders>
          </w:tcPr>
          <w:p w:rsidR="0069113D" w:rsidRDefault="0069113D" w:rsidP="0069113D">
            <w:pPr>
              <w:jc w:val="center"/>
              <w:rPr>
                <w:sz w:val="21"/>
                <w:szCs w:val="21"/>
              </w:rPr>
            </w:pPr>
          </w:p>
          <w:p w:rsidR="0069113D" w:rsidRDefault="0069113D" w:rsidP="0069113D">
            <w:pPr>
              <w:jc w:val="center"/>
              <w:rPr>
                <w:sz w:val="21"/>
                <w:szCs w:val="21"/>
              </w:rPr>
            </w:pPr>
            <w:r>
              <w:rPr>
                <w:sz w:val="21"/>
                <w:szCs w:val="21"/>
              </w:rPr>
              <w:t>15/60</w:t>
            </w:r>
          </w:p>
          <w:p w:rsidR="0069113D" w:rsidRDefault="0069113D" w:rsidP="0069113D">
            <w:pPr>
              <w:jc w:val="center"/>
              <w:rPr>
                <w:sz w:val="21"/>
                <w:szCs w:val="21"/>
              </w:rPr>
            </w:pPr>
          </w:p>
        </w:tc>
        <w:tc>
          <w:tcPr>
            <w:tcW w:w="1440" w:type="dxa"/>
            <w:tcBorders>
              <w:top w:val="single" w:sz="7" w:space="0" w:color="000000"/>
              <w:left w:val="single" w:sz="7" w:space="0" w:color="000000"/>
              <w:bottom w:val="single" w:sz="6" w:space="0" w:color="FFFFFF"/>
              <w:right w:val="single" w:sz="7" w:space="0" w:color="000000"/>
            </w:tcBorders>
          </w:tcPr>
          <w:p w:rsidR="0069113D" w:rsidRDefault="0069113D" w:rsidP="0069113D">
            <w:pPr>
              <w:tabs>
                <w:tab w:val="left" w:pos="1498"/>
              </w:tabs>
              <w:jc w:val="center"/>
              <w:rPr>
                <w:sz w:val="21"/>
                <w:szCs w:val="21"/>
              </w:rPr>
            </w:pPr>
          </w:p>
          <w:p w:rsidR="0069113D" w:rsidRDefault="00436BDE" w:rsidP="00436BDE">
            <w:pPr>
              <w:tabs>
                <w:tab w:val="left" w:pos="1498"/>
              </w:tabs>
              <w:rPr>
                <w:sz w:val="21"/>
                <w:szCs w:val="21"/>
              </w:rPr>
            </w:pPr>
            <w:r>
              <w:rPr>
                <w:sz w:val="21"/>
                <w:szCs w:val="21"/>
              </w:rPr>
              <w:t xml:space="preserve">       </w:t>
            </w:r>
            <w:r w:rsidR="00707574">
              <w:rPr>
                <w:sz w:val="21"/>
                <w:szCs w:val="21"/>
              </w:rPr>
              <w:t>450</w:t>
            </w:r>
          </w:p>
          <w:p w:rsidR="0069113D" w:rsidRDefault="0069113D" w:rsidP="0069113D">
            <w:pPr>
              <w:tabs>
                <w:tab w:val="left" w:pos="1498"/>
              </w:tabs>
              <w:jc w:val="center"/>
              <w:rPr>
                <w:sz w:val="21"/>
                <w:szCs w:val="21"/>
              </w:rPr>
            </w:pPr>
          </w:p>
        </w:tc>
      </w:tr>
      <w:tr w:rsidR="0069113D" w:rsidTr="0069113D">
        <w:tc>
          <w:tcPr>
            <w:tcW w:w="3096" w:type="dxa"/>
            <w:tcBorders>
              <w:top w:val="single" w:sz="7" w:space="0" w:color="000000"/>
              <w:left w:val="single" w:sz="7" w:space="0" w:color="000000"/>
              <w:bottom w:val="single" w:sz="7" w:space="0" w:color="000000"/>
              <w:right w:val="single" w:sz="6" w:space="0" w:color="FFFFFF"/>
            </w:tcBorders>
          </w:tcPr>
          <w:p w:rsidR="0069113D" w:rsidRDefault="0069113D" w:rsidP="0069113D">
            <w:pPr>
              <w:spacing w:line="120" w:lineRule="exact"/>
              <w:rPr>
                <w:sz w:val="21"/>
                <w:szCs w:val="21"/>
              </w:rPr>
            </w:pPr>
          </w:p>
          <w:p w:rsidR="0069113D" w:rsidRDefault="0069113D" w:rsidP="0069113D">
            <w:pPr>
              <w:spacing w:after="58"/>
              <w:rPr>
                <w:b/>
                <w:sz w:val="21"/>
                <w:szCs w:val="21"/>
              </w:rPr>
            </w:pPr>
            <w:r>
              <w:rPr>
                <w:sz w:val="21"/>
                <w:szCs w:val="21"/>
              </w:rPr>
              <w:t xml:space="preserve">       </w:t>
            </w:r>
            <w:r>
              <w:rPr>
                <w:b/>
                <w:sz w:val="21"/>
                <w:szCs w:val="21"/>
              </w:rPr>
              <w:t xml:space="preserve">Total </w:t>
            </w:r>
          </w:p>
        </w:tc>
        <w:tc>
          <w:tcPr>
            <w:tcW w:w="1704" w:type="dxa"/>
            <w:tcBorders>
              <w:top w:val="single" w:sz="7" w:space="0" w:color="000000"/>
              <w:left w:val="single" w:sz="7" w:space="0" w:color="000000"/>
              <w:bottom w:val="single" w:sz="7" w:space="0" w:color="000000"/>
              <w:right w:val="single" w:sz="6" w:space="0" w:color="FFFFFF"/>
            </w:tcBorders>
          </w:tcPr>
          <w:p w:rsidR="0069113D" w:rsidRDefault="0069113D" w:rsidP="0069113D">
            <w:pPr>
              <w:spacing w:line="120" w:lineRule="exact"/>
              <w:rPr>
                <w:sz w:val="21"/>
                <w:szCs w:val="21"/>
              </w:rPr>
            </w:pPr>
          </w:p>
          <w:p w:rsidR="0069113D" w:rsidRDefault="00707574" w:rsidP="00436BDE">
            <w:pPr>
              <w:spacing w:after="58"/>
              <w:rPr>
                <w:sz w:val="21"/>
                <w:szCs w:val="21"/>
              </w:rPr>
            </w:pPr>
            <w:r>
              <w:rPr>
                <w:sz w:val="21"/>
                <w:szCs w:val="21"/>
              </w:rPr>
              <w:t>12,540</w:t>
            </w:r>
          </w:p>
        </w:tc>
        <w:tc>
          <w:tcPr>
            <w:tcW w:w="1620" w:type="dxa"/>
            <w:tcBorders>
              <w:top w:val="single" w:sz="7" w:space="0" w:color="000000"/>
              <w:left w:val="single" w:sz="7" w:space="0" w:color="000000"/>
              <w:bottom w:val="single" w:sz="7" w:space="0" w:color="000000"/>
              <w:right w:val="single" w:sz="6" w:space="0" w:color="FFFFFF"/>
            </w:tcBorders>
          </w:tcPr>
          <w:p w:rsidR="0069113D" w:rsidRDefault="0069113D" w:rsidP="0069113D">
            <w:pPr>
              <w:spacing w:line="120" w:lineRule="exact"/>
              <w:rPr>
                <w:sz w:val="21"/>
                <w:szCs w:val="21"/>
              </w:rPr>
            </w:pPr>
          </w:p>
          <w:p w:rsidR="0069113D" w:rsidRDefault="00436BDE" w:rsidP="0069113D">
            <w:pPr>
              <w:spacing w:after="58"/>
              <w:rPr>
                <w:sz w:val="21"/>
                <w:szCs w:val="21"/>
              </w:rPr>
            </w:pPr>
            <w:r>
              <w:rPr>
                <w:sz w:val="21"/>
                <w:szCs w:val="21"/>
              </w:rPr>
              <w:t xml:space="preserve">        </w:t>
            </w:r>
            <w:r w:rsidR="0069113D">
              <w:rPr>
                <w:sz w:val="21"/>
                <w:szCs w:val="21"/>
              </w:rPr>
              <w:t>.........</w:t>
            </w:r>
          </w:p>
        </w:tc>
        <w:tc>
          <w:tcPr>
            <w:tcW w:w="1620" w:type="dxa"/>
            <w:tcBorders>
              <w:top w:val="single" w:sz="7" w:space="0" w:color="000000"/>
              <w:left w:val="single" w:sz="7" w:space="0" w:color="000000"/>
              <w:bottom w:val="single" w:sz="7" w:space="0" w:color="000000"/>
              <w:right w:val="single" w:sz="6" w:space="0" w:color="FFFFFF"/>
            </w:tcBorders>
          </w:tcPr>
          <w:p w:rsidR="0069113D" w:rsidRDefault="0069113D" w:rsidP="0069113D">
            <w:pPr>
              <w:spacing w:line="120" w:lineRule="exact"/>
              <w:rPr>
                <w:sz w:val="21"/>
                <w:szCs w:val="21"/>
              </w:rPr>
            </w:pPr>
          </w:p>
          <w:p w:rsidR="0069113D" w:rsidRDefault="00436BDE" w:rsidP="0069113D">
            <w:pPr>
              <w:spacing w:after="58"/>
              <w:rPr>
                <w:sz w:val="21"/>
                <w:szCs w:val="21"/>
              </w:rPr>
            </w:pPr>
            <w:r>
              <w:rPr>
                <w:sz w:val="21"/>
                <w:szCs w:val="21"/>
              </w:rPr>
              <w:t xml:space="preserve">        </w:t>
            </w:r>
            <w:r w:rsidR="0069113D">
              <w:rPr>
                <w:sz w:val="21"/>
                <w:szCs w:val="21"/>
              </w:rPr>
              <w:t>........</w:t>
            </w:r>
          </w:p>
        </w:tc>
        <w:tc>
          <w:tcPr>
            <w:tcW w:w="1440" w:type="dxa"/>
            <w:tcBorders>
              <w:top w:val="single" w:sz="7" w:space="0" w:color="000000"/>
              <w:left w:val="single" w:sz="7" w:space="0" w:color="000000"/>
              <w:bottom w:val="single" w:sz="7" w:space="0" w:color="000000"/>
              <w:right w:val="single" w:sz="7" w:space="0" w:color="000000"/>
            </w:tcBorders>
          </w:tcPr>
          <w:p w:rsidR="0069113D" w:rsidRDefault="0069113D" w:rsidP="0069113D">
            <w:pPr>
              <w:tabs>
                <w:tab w:val="left" w:pos="1498"/>
              </w:tabs>
              <w:spacing w:after="58"/>
              <w:jc w:val="center"/>
              <w:rPr>
                <w:sz w:val="21"/>
                <w:szCs w:val="21"/>
              </w:rPr>
            </w:pPr>
          </w:p>
          <w:p w:rsidR="0069113D" w:rsidRPr="00D15044" w:rsidRDefault="0069113D" w:rsidP="00707574">
            <w:pPr>
              <w:tabs>
                <w:tab w:val="left" w:pos="1498"/>
              </w:tabs>
              <w:spacing w:after="58"/>
              <w:rPr>
                <w:sz w:val="21"/>
                <w:szCs w:val="21"/>
              </w:rPr>
            </w:pPr>
            <w:r>
              <w:rPr>
                <w:sz w:val="21"/>
                <w:szCs w:val="21"/>
              </w:rPr>
              <w:t xml:space="preserve">     </w:t>
            </w:r>
            <w:r w:rsidR="00707574">
              <w:rPr>
                <w:sz w:val="21"/>
                <w:szCs w:val="21"/>
              </w:rPr>
              <w:t>2,440</w:t>
            </w:r>
          </w:p>
        </w:tc>
      </w:tr>
    </w:tbl>
    <w:p w:rsidR="00517609" w:rsidRDefault="00517609"/>
    <w:p w:rsidR="00517609" w:rsidRDefault="00517609">
      <w:pPr>
        <w:ind w:left="2160" w:firstLine="720"/>
        <w:rPr>
          <w:rFonts w:ascii="Courier New" w:hAnsi="Courier New" w:cs="Courier New"/>
        </w:rPr>
      </w:pPr>
    </w:p>
    <w:p w:rsidR="00472524" w:rsidRDefault="00472524"/>
    <w:p w:rsidR="00517609" w:rsidRDefault="00517609" w:rsidP="004C438D">
      <w:pPr>
        <w:outlineLvl w:val="0"/>
        <w:rPr>
          <w:b/>
          <w:bCs/>
        </w:rPr>
      </w:pPr>
      <w:r w:rsidRPr="00E93D3B">
        <w:rPr>
          <w:b/>
        </w:rPr>
        <w:t>15</w:t>
      </w:r>
      <w:r>
        <w:t xml:space="preserve">.  </w:t>
      </w:r>
      <w:r>
        <w:rPr>
          <w:b/>
          <w:bCs/>
        </w:rPr>
        <w:t xml:space="preserve">Explanation for Program Changes or Adjustments  </w:t>
      </w:r>
    </w:p>
    <w:p w:rsidR="00517609" w:rsidRDefault="00517609">
      <w:pPr>
        <w:rPr>
          <w:b/>
          <w:bCs/>
        </w:rPr>
      </w:pPr>
    </w:p>
    <w:p w:rsidR="005D1028" w:rsidRDefault="00707574" w:rsidP="004C438D">
      <w:pPr>
        <w:outlineLvl w:val="0"/>
      </w:pPr>
      <w:r w:rsidRPr="00707574">
        <w:t xml:space="preserve">In anticipation of additional </w:t>
      </w:r>
      <w:r w:rsidR="00240FD5">
        <w:t xml:space="preserve">overall </w:t>
      </w:r>
      <w:r w:rsidRPr="00707574">
        <w:t>customer surveys that would exceed the number of currently approved burden hours, this change request is submitted to increase the total number of approved burden hours from 2,040 to 2,440.</w:t>
      </w:r>
      <w:r w:rsidR="00240FD5">
        <w:t xml:space="preserve">  This includes an increase in the number of web-based burden hours from 750 to 1,000 and the number of other customer surveys from 300 to 450 hours.</w:t>
      </w:r>
    </w:p>
    <w:p w:rsidR="00A91D20" w:rsidRDefault="00A91D20" w:rsidP="004C438D">
      <w:pPr>
        <w:outlineLvl w:val="0"/>
      </w:pPr>
    </w:p>
    <w:p w:rsidR="00557FA1" w:rsidRPr="00557FA1" w:rsidRDefault="00557FA1" w:rsidP="00BC432A">
      <w:pPr>
        <w:jc w:val="center"/>
        <w:outlineLvl w:val="0"/>
      </w:pPr>
    </w:p>
    <w:sectPr w:rsidR="00557FA1" w:rsidRPr="00557FA1" w:rsidSect="004C438D">
      <w:headerReference w:type="default" r:id="rId9"/>
      <w:footerReference w:type="even" r:id="rId10"/>
      <w:footerReference w:type="default" r:id="rId11"/>
      <w:endnotePr>
        <w:numFmt w:val="decimal"/>
      </w:endnotePr>
      <w:pgSz w:w="12240" w:h="15840"/>
      <w:pgMar w:top="1350" w:right="1440" w:bottom="1170" w:left="1440" w:header="1350" w:footer="117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63B" w:rsidRDefault="0055363B">
      <w:r>
        <w:separator/>
      </w:r>
    </w:p>
  </w:endnote>
  <w:endnote w:type="continuationSeparator" w:id="0">
    <w:p w:rsidR="0055363B" w:rsidRDefault="0055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0D" w:rsidRDefault="006F0129" w:rsidP="004C438D">
    <w:pPr>
      <w:pStyle w:val="Footer"/>
      <w:framePr w:wrap="around" w:vAnchor="text" w:hAnchor="margin" w:xAlign="center" w:y="1"/>
      <w:rPr>
        <w:rStyle w:val="PageNumber"/>
      </w:rPr>
    </w:pPr>
    <w:r>
      <w:rPr>
        <w:rStyle w:val="PageNumber"/>
      </w:rPr>
      <w:fldChar w:fldCharType="begin"/>
    </w:r>
    <w:r w:rsidR="0003580D">
      <w:rPr>
        <w:rStyle w:val="PageNumber"/>
      </w:rPr>
      <w:instrText xml:space="preserve">PAGE  </w:instrText>
    </w:r>
    <w:r>
      <w:rPr>
        <w:rStyle w:val="PageNumber"/>
      </w:rPr>
      <w:fldChar w:fldCharType="end"/>
    </w:r>
  </w:p>
  <w:p w:rsidR="0003580D" w:rsidRDefault="000358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0D" w:rsidRDefault="006F0129" w:rsidP="004C438D">
    <w:pPr>
      <w:pStyle w:val="Footer"/>
      <w:framePr w:wrap="around" w:vAnchor="text" w:hAnchor="margin" w:xAlign="center" w:y="1"/>
      <w:rPr>
        <w:rStyle w:val="PageNumber"/>
      </w:rPr>
    </w:pPr>
    <w:r>
      <w:rPr>
        <w:rStyle w:val="PageNumber"/>
      </w:rPr>
      <w:fldChar w:fldCharType="begin"/>
    </w:r>
    <w:r w:rsidR="0003580D">
      <w:rPr>
        <w:rStyle w:val="PageNumber"/>
      </w:rPr>
      <w:instrText xml:space="preserve">PAGE  </w:instrText>
    </w:r>
    <w:r>
      <w:rPr>
        <w:rStyle w:val="PageNumber"/>
      </w:rPr>
      <w:fldChar w:fldCharType="separate"/>
    </w:r>
    <w:r w:rsidR="00CD0B4E">
      <w:rPr>
        <w:rStyle w:val="PageNumber"/>
        <w:noProof/>
      </w:rPr>
      <w:t>3</w:t>
    </w:r>
    <w:r>
      <w:rPr>
        <w:rStyle w:val="PageNumber"/>
      </w:rPr>
      <w:fldChar w:fldCharType="end"/>
    </w:r>
  </w:p>
  <w:p w:rsidR="0003580D" w:rsidRDefault="000358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63B" w:rsidRDefault="0055363B">
      <w:r>
        <w:separator/>
      </w:r>
    </w:p>
  </w:footnote>
  <w:footnote w:type="continuationSeparator" w:id="0">
    <w:p w:rsidR="0055363B" w:rsidRDefault="00553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FD7" w:rsidRDefault="00813F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6131F"/>
    <w:multiLevelType w:val="hybridMultilevel"/>
    <w:tmpl w:val="0FB4C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D3A9C"/>
    <w:multiLevelType w:val="hybridMultilevel"/>
    <w:tmpl w:val="C5CCA768"/>
    <w:lvl w:ilvl="0" w:tplc="C9A07974">
      <w:start w:val="10"/>
      <w:numFmt w:val="decimal"/>
      <w:lvlText w:val="%1."/>
      <w:lvlJc w:val="left"/>
      <w:pPr>
        <w:tabs>
          <w:tab w:val="num" w:pos="1440"/>
        </w:tabs>
        <w:ind w:left="1440" w:hanging="720"/>
      </w:pPr>
      <w:rPr>
        <w:rFonts w:hint="default"/>
        <w:b/>
      </w:rPr>
    </w:lvl>
    <w:lvl w:ilvl="1" w:tplc="D760313C">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771594D"/>
    <w:multiLevelType w:val="hybridMultilevel"/>
    <w:tmpl w:val="451484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2378AC"/>
    <w:multiLevelType w:val="hybridMultilevel"/>
    <w:tmpl w:val="198C9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84D18"/>
    <w:multiLevelType w:val="hybridMultilevel"/>
    <w:tmpl w:val="2A16E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94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22"/>
    <w:rsid w:val="00020377"/>
    <w:rsid w:val="0003252F"/>
    <w:rsid w:val="0003580D"/>
    <w:rsid w:val="00037303"/>
    <w:rsid w:val="00044E29"/>
    <w:rsid w:val="00052504"/>
    <w:rsid w:val="000C0B00"/>
    <w:rsid w:val="00116747"/>
    <w:rsid w:val="00123887"/>
    <w:rsid w:val="00144D8C"/>
    <w:rsid w:val="001A30B9"/>
    <w:rsid w:val="001B6FF2"/>
    <w:rsid w:val="001D17F0"/>
    <w:rsid w:val="001D7E78"/>
    <w:rsid w:val="001F2D4C"/>
    <w:rsid w:val="001F4666"/>
    <w:rsid w:val="00240FD5"/>
    <w:rsid w:val="00250A35"/>
    <w:rsid w:val="00285AA6"/>
    <w:rsid w:val="00315E22"/>
    <w:rsid w:val="00346EAF"/>
    <w:rsid w:val="0039189D"/>
    <w:rsid w:val="003D0104"/>
    <w:rsid w:val="003E6BEC"/>
    <w:rsid w:val="00436BDE"/>
    <w:rsid w:val="004653A2"/>
    <w:rsid w:val="0047053D"/>
    <w:rsid w:val="00472524"/>
    <w:rsid w:val="004853D7"/>
    <w:rsid w:val="004961CA"/>
    <w:rsid w:val="004C438D"/>
    <w:rsid w:val="004F5B86"/>
    <w:rsid w:val="00516EC9"/>
    <w:rsid w:val="00517609"/>
    <w:rsid w:val="00532573"/>
    <w:rsid w:val="0055363B"/>
    <w:rsid w:val="00557FA1"/>
    <w:rsid w:val="005D1028"/>
    <w:rsid w:val="006618E4"/>
    <w:rsid w:val="0069113D"/>
    <w:rsid w:val="006E0FAD"/>
    <w:rsid w:val="006F0129"/>
    <w:rsid w:val="006F5771"/>
    <w:rsid w:val="00707574"/>
    <w:rsid w:val="007146FD"/>
    <w:rsid w:val="00746515"/>
    <w:rsid w:val="007D6482"/>
    <w:rsid w:val="00813FD7"/>
    <w:rsid w:val="0085106A"/>
    <w:rsid w:val="008922FB"/>
    <w:rsid w:val="008C3AFF"/>
    <w:rsid w:val="00900CF7"/>
    <w:rsid w:val="00906B93"/>
    <w:rsid w:val="0093301A"/>
    <w:rsid w:val="0097747A"/>
    <w:rsid w:val="009937D2"/>
    <w:rsid w:val="00995B05"/>
    <w:rsid w:val="009D28F2"/>
    <w:rsid w:val="009D77EF"/>
    <w:rsid w:val="009E55EF"/>
    <w:rsid w:val="00A630C5"/>
    <w:rsid w:val="00A7653A"/>
    <w:rsid w:val="00A91721"/>
    <w:rsid w:val="00A91D20"/>
    <w:rsid w:val="00AB0A1B"/>
    <w:rsid w:val="00AF161F"/>
    <w:rsid w:val="00AF6B0F"/>
    <w:rsid w:val="00B0240E"/>
    <w:rsid w:val="00B22997"/>
    <w:rsid w:val="00BC432A"/>
    <w:rsid w:val="00BE5B79"/>
    <w:rsid w:val="00C62490"/>
    <w:rsid w:val="00C64B34"/>
    <w:rsid w:val="00CA444B"/>
    <w:rsid w:val="00CD0B4E"/>
    <w:rsid w:val="00D15044"/>
    <w:rsid w:val="00DC047B"/>
    <w:rsid w:val="00DC6242"/>
    <w:rsid w:val="00E27457"/>
    <w:rsid w:val="00E93D3B"/>
    <w:rsid w:val="00EF48D5"/>
    <w:rsid w:val="00F10700"/>
    <w:rsid w:val="00FE6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9457"/>
    <o:shapelayout v:ext="edit">
      <o:idmap v:ext="edit" data="1"/>
    </o:shapelayout>
  </w:shapeDefaults>
  <w:decimalSymbol w:val="."/>
  <w:listSeparator w:val=","/>
  <w15:docId w15:val="{A2547CAB-C139-4E20-A264-84FF472E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A3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50A35"/>
    <w:pPr>
      <w:widowControl/>
      <w:autoSpaceDE/>
      <w:autoSpaceDN/>
      <w:adjustRightInd/>
    </w:pPr>
    <w:rPr>
      <w:sz w:val="20"/>
      <w:szCs w:val="20"/>
    </w:rPr>
  </w:style>
  <w:style w:type="character" w:styleId="EndnoteReference">
    <w:name w:val="endnote reference"/>
    <w:basedOn w:val="DefaultParagraphFont"/>
    <w:semiHidden/>
    <w:rsid w:val="00250A35"/>
    <w:rPr>
      <w:vertAlign w:val="superscript"/>
    </w:rPr>
  </w:style>
  <w:style w:type="paragraph" w:styleId="Footer">
    <w:name w:val="footer"/>
    <w:basedOn w:val="Normal"/>
    <w:rsid w:val="00250A35"/>
    <w:pPr>
      <w:tabs>
        <w:tab w:val="center" w:pos="4320"/>
        <w:tab w:val="right" w:pos="8640"/>
      </w:tabs>
    </w:pPr>
  </w:style>
  <w:style w:type="character" w:styleId="PageNumber">
    <w:name w:val="page number"/>
    <w:basedOn w:val="DefaultParagraphFont"/>
    <w:rsid w:val="00250A35"/>
  </w:style>
  <w:style w:type="character" w:styleId="Hyperlink">
    <w:name w:val="Hyperlink"/>
    <w:basedOn w:val="DefaultParagraphFont"/>
    <w:rsid w:val="00250A35"/>
    <w:rPr>
      <w:color w:val="800000"/>
      <w:u w:val="single"/>
    </w:rPr>
  </w:style>
  <w:style w:type="character" w:styleId="FollowedHyperlink">
    <w:name w:val="FollowedHyperlink"/>
    <w:basedOn w:val="DefaultParagraphFont"/>
    <w:rsid w:val="00250A35"/>
    <w:rPr>
      <w:color w:val="800080"/>
      <w:u w:val="single"/>
    </w:rPr>
  </w:style>
  <w:style w:type="paragraph" w:styleId="DocumentMap">
    <w:name w:val="Document Map"/>
    <w:basedOn w:val="Normal"/>
    <w:semiHidden/>
    <w:rsid w:val="004C438D"/>
    <w:pPr>
      <w:shd w:val="clear" w:color="auto" w:fill="000080"/>
    </w:pPr>
    <w:rPr>
      <w:rFonts w:ascii="Tahoma" w:hAnsi="Tahoma" w:cs="Tahoma"/>
      <w:sz w:val="20"/>
      <w:szCs w:val="20"/>
    </w:rPr>
  </w:style>
  <w:style w:type="paragraph" w:styleId="NormalWeb">
    <w:name w:val="Normal (Web)"/>
    <w:basedOn w:val="Normal"/>
    <w:rsid w:val="00D15044"/>
    <w:pPr>
      <w:widowControl/>
      <w:autoSpaceDE/>
      <w:autoSpaceDN/>
      <w:adjustRightInd/>
      <w:spacing w:before="100" w:beforeAutospacing="1" w:after="100" w:afterAutospacing="1"/>
    </w:pPr>
  </w:style>
  <w:style w:type="paragraph" w:styleId="Header">
    <w:name w:val="header"/>
    <w:basedOn w:val="Normal"/>
    <w:link w:val="HeaderChar"/>
    <w:rsid w:val="00116747"/>
    <w:pPr>
      <w:tabs>
        <w:tab w:val="center" w:pos="4680"/>
        <w:tab w:val="right" w:pos="9360"/>
      </w:tabs>
    </w:pPr>
  </w:style>
  <w:style w:type="character" w:customStyle="1" w:styleId="HeaderChar">
    <w:name w:val="Header Char"/>
    <w:basedOn w:val="DefaultParagraphFont"/>
    <w:link w:val="Header"/>
    <w:rsid w:val="00116747"/>
    <w:rPr>
      <w:sz w:val="24"/>
      <w:szCs w:val="24"/>
    </w:rPr>
  </w:style>
  <w:style w:type="paragraph" w:styleId="ListParagraph">
    <w:name w:val="List Paragraph"/>
    <w:basedOn w:val="Normal"/>
    <w:uiPriority w:val="34"/>
    <w:qFormat/>
    <w:rsid w:val="0047053D"/>
    <w:pPr>
      <w:ind w:left="720"/>
      <w:contextualSpacing/>
    </w:pPr>
  </w:style>
  <w:style w:type="paragraph" w:styleId="BalloonText">
    <w:name w:val="Balloon Text"/>
    <w:basedOn w:val="Normal"/>
    <w:link w:val="BalloonTextChar"/>
    <w:semiHidden/>
    <w:unhideWhenUsed/>
    <w:rsid w:val="00707574"/>
    <w:rPr>
      <w:rFonts w:ascii="Segoe UI" w:hAnsi="Segoe UI" w:cs="Segoe UI"/>
      <w:sz w:val="18"/>
      <w:szCs w:val="18"/>
    </w:rPr>
  </w:style>
  <w:style w:type="character" w:customStyle="1" w:styleId="BalloonTextChar">
    <w:name w:val="Balloon Text Char"/>
    <w:basedOn w:val="DefaultParagraphFont"/>
    <w:link w:val="BalloonText"/>
    <w:semiHidden/>
    <w:rsid w:val="007075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34460">
      <w:bodyDiv w:val="1"/>
      <w:marLeft w:val="0"/>
      <w:marRight w:val="0"/>
      <w:marTop w:val="0"/>
      <w:marBottom w:val="0"/>
      <w:divBdr>
        <w:top w:val="none" w:sz="0" w:space="0" w:color="auto"/>
        <w:left w:val="none" w:sz="0" w:space="0" w:color="auto"/>
        <w:bottom w:val="none" w:sz="0" w:space="0" w:color="auto"/>
        <w:right w:val="none" w:sz="0" w:space="0" w:color="auto"/>
      </w:divBdr>
    </w:div>
    <w:div w:id="21682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buie@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52F31-E958-46DA-98E6-1E93E0741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 for Paperwork Reduction Act (PRA)</vt:lpstr>
    </vt:vector>
  </TitlesOfParts>
  <Company>ITSO</Company>
  <LinksUpToDate>false</LinksUpToDate>
  <CharactersWithSpaces>4226</CharactersWithSpaces>
  <SharedDoc>false</SharedDoc>
  <HLinks>
    <vt:vector size="24" baseType="variant">
      <vt:variant>
        <vt:i4>6291542</vt:i4>
      </vt:variant>
      <vt:variant>
        <vt:i4>6</vt:i4>
      </vt:variant>
      <vt:variant>
        <vt:i4>0</vt:i4>
      </vt:variant>
      <vt:variant>
        <vt:i4>5</vt:i4>
      </vt:variant>
      <vt:variant>
        <vt:lpwstr>mailto:mpalmer@cdc.gov</vt:lpwstr>
      </vt:variant>
      <vt:variant>
        <vt:lpwstr/>
      </vt:variant>
      <vt:variant>
        <vt:i4>7012440</vt:i4>
      </vt:variant>
      <vt:variant>
        <vt:i4>3</vt:i4>
      </vt:variant>
      <vt:variant>
        <vt:i4>0</vt:i4>
      </vt:variant>
      <vt:variant>
        <vt:i4>5</vt:i4>
      </vt:variant>
      <vt:variant>
        <vt:lpwstr>mailto:pbeatty@cdc.gov</vt:lpwstr>
      </vt:variant>
      <vt:variant>
        <vt:lpwstr/>
      </vt:variant>
      <vt:variant>
        <vt:i4>6291542</vt:i4>
      </vt:variant>
      <vt:variant>
        <vt:i4>0</vt:i4>
      </vt:variant>
      <vt:variant>
        <vt:i4>0</vt:i4>
      </vt:variant>
      <vt:variant>
        <vt:i4>5</vt:i4>
      </vt:variant>
      <vt:variant>
        <vt:lpwstr>mailto:mpalmer@cdc.gov</vt:lpwstr>
      </vt:variant>
      <vt:variant>
        <vt:lpwstr/>
      </vt:variant>
      <vt:variant>
        <vt:i4>7667754</vt:i4>
      </vt:variant>
      <vt:variant>
        <vt:i4>0</vt:i4>
      </vt:variant>
      <vt:variant>
        <vt:i4>0</vt:i4>
      </vt:variant>
      <vt:variant>
        <vt:i4>5</vt:i4>
      </vt:variant>
      <vt:variant>
        <vt:lpwstr>http://www.whitehouse.gov/omb/part/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(PRA)</dc:title>
  <dc:creator>gdp1</dc:creator>
  <cp:lastModifiedBy>Buie, Verita (CDC/OPHSS/NCHS)</cp:lastModifiedBy>
  <cp:revision>3</cp:revision>
  <cp:lastPrinted>2010-09-28T21:04:00Z</cp:lastPrinted>
  <dcterms:created xsi:type="dcterms:W3CDTF">2016-10-05T14:35:00Z</dcterms:created>
  <dcterms:modified xsi:type="dcterms:W3CDTF">2016-10-05T14:59:00Z</dcterms:modified>
</cp:coreProperties>
</file>