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9DBFE" w14:textId="77777777" w:rsidR="00B46F2C" w:rsidRPr="00B372FB" w:rsidRDefault="00B46F2C" w:rsidP="00F06866">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14:paraId="1AC96A94" w14:textId="77777777" w:rsidR="00EA2C4C" w:rsidRPr="00B372FB" w:rsidRDefault="00EA2C4C" w:rsidP="00EA2C4C">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14:paraId="3C0A784C" w14:textId="77777777" w:rsidR="00EA2C4C" w:rsidRPr="00B372FB" w:rsidRDefault="00D9332E" w:rsidP="00EA2C4C">
      <w:pPr>
        <w:jc w:val="center"/>
        <w:rPr>
          <w:rFonts w:ascii="Arial" w:hAnsi="Arial" w:cs="Arial"/>
          <w:b/>
          <w:sz w:val="24"/>
          <w:szCs w:val="24"/>
        </w:rPr>
      </w:pPr>
      <w:r>
        <w:rPr>
          <w:rFonts w:ascii="Arial" w:hAnsi="Arial" w:cs="Arial"/>
          <w:b/>
          <w:sz w:val="24"/>
          <w:szCs w:val="24"/>
        </w:rPr>
        <w:t>0920-1154</w:t>
      </w:r>
    </w:p>
    <w:p w14:paraId="78B5CEDA" w14:textId="77777777" w:rsidR="00B372FB" w:rsidRPr="00217EF6" w:rsidRDefault="00E2594A" w:rsidP="00434E33">
      <w:pPr>
        <w:rPr>
          <w:rFonts w:ascii="Arial" w:hAnsi="Arial"/>
          <w:sz w:val="20"/>
          <w:szCs w:val="20"/>
        </w:rPr>
      </w:pPr>
      <w:r w:rsidRPr="00B372FB">
        <w:rPr>
          <w:rFonts w:ascii="Arial" w:hAnsi="Arial"/>
          <w:noProof/>
        </w:rPr>
        <mc:AlternateContent>
          <mc:Choice Requires="wps">
            <w:drawing>
              <wp:anchor distT="0" distB="0" distL="114300" distR="114300" simplePos="0" relativeHeight="251658240" behindDoc="0" locked="0" layoutInCell="0" allowOverlap="1" wp14:anchorId="3787A2FC" wp14:editId="69847B5B">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82D8B"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372FB">
        <w:rPr>
          <w:rFonts w:ascii="Arial" w:hAnsi="Arial"/>
          <w:b/>
        </w:rPr>
        <w:t>CIO:</w:t>
      </w:r>
      <w:r w:rsidR="00D9332E">
        <w:rPr>
          <w:rFonts w:ascii="Arial" w:hAnsi="Arial"/>
          <w:b/>
        </w:rPr>
        <w:t xml:space="preserve"> </w:t>
      </w:r>
      <w:r w:rsidR="00D9332E" w:rsidRPr="00217EF6">
        <w:rPr>
          <w:rFonts w:ascii="Arial" w:hAnsi="Arial"/>
          <w:sz w:val="20"/>
          <w:szCs w:val="20"/>
        </w:rPr>
        <w:t>National Center of Birth Defects and Developmental Disabilities</w:t>
      </w:r>
    </w:p>
    <w:p w14:paraId="71CD79D4" w14:textId="77777777" w:rsidR="001721AB" w:rsidRDefault="00B372FB" w:rsidP="001721AB">
      <w:pPr>
        <w:rPr>
          <w:rFonts w:ascii="Arial" w:hAnsi="Arial"/>
        </w:rPr>
      </w:pPr>
      <w:r>
        <w:rPr>
          <w:rFonts w:ascii="Arial" w:hAnsi="Arial"/>
          <w:b/>
        </w:rPr>
        <w:t>PROJECT TITLE:</w:t>
      </w:r>
      <w:r w:rsidR="00B46F2C" w:rsidRPr="00B372FB">
        <w:rPr>
          <w:rFonts w:ascii="Arial" w:hAnsi="Arial"/>
        </w:rPr>
        <w:t xml:space="preserve"> </w:t>
      </w:r>
      <w:r w:rsidR="00D9332E" w:rsidRPr="00217EF6">
        <w:rPr>
          <w:rFonts w:ascii="Arial" w:hAnsi="Arial"/>
          <w:sz w:val="20"/>
          <w:szCs w:val="20"/>
        </w:rPr>
        <w:t>Reframing How We Talk About Alcohol: Public Perceptions of Excessive Alcohol Use and Related Harms</w:t>
      </w:r>
    </w:p>
    <w:p w14:paraId="57B7D201" w14:textId="77777777" w:rsidR="00217EF6" w:rsidRDefault="00B46F2C" w:rsidP="005C0BD0">
      <w:pPr>
        <w:pStyle w:val="BodyText"/>
        <w:rPr>
          <w:rFonts w:ascii="Arial" w:hAnsi="Arial" w:cs="Arial"/>
          <w:b/>
          <w:i w:val="0"/>
          <w:sz w:val="21"/>
          <w:szCs w:val="21"/>
        </w:rPr>
      </w:pPr>
      <w:r w:rsidRPr="00ED1606">
        <w:rPr>
          <w:rFonts w:ascii="Arial" w:hAnsi="Arial"/>
          <w:b/>
          <w:i w:val="0"/>
          <w:sz w:val="21"/>
          <w:szCs w:val="21"/>
        </w:rPr>
        <w:t>PURPOSE</w:t>
      </w:r>
      <w:r w:rsidR="00A13253" w:rsidRPr="00ED1606">
        <w:rPr>
          <w:rFonts w:ascii="Arial" w:hAnsi="Arial"/>
          <w:b/>
          <w:i w:val="0"/>
          <w:sz w:val="21"/>
          <w:szCs w:val="21"/>
        </w:rPr>
        <w:t xml:space="preserve"> AND USE OF</w:t>
      </w:r>
      <w:r w:rsidR="00A13253" w:rsidRPr="005C0BD0">
        <w:rPr>
          <w:rFonts w:ascii="Arial" w:hAnsi="Arial"/>
          <w:b/>
          <w:i w:val="0"/>
        </w:rPr>
        <w:t xml:space="preserve"> </w:t>
      </w:r>
      <w:r w:rsidR="00A13253" w:rsidRPr="005C0BD0">
        <w:rPr>
          <w:rFonts w:ascii="Arial" w:hAnsi="Arial" w:cs="Arial"/>
          <w:b/>
          <w:i w:val="0"/>
          <w:sz w:val="21"/>
          <w:szCs w:val="21"/>
        </w:rPr>
        <w:t>COLLECTION</w:t>
      </w:r>
      <w:r w:rsidRPr="005C0BD0">
        <w:rPr>
          <w:rFonts w:ascii="Arial" w:hAnsi="Arial" w:cs="Arial"/>
          <w:b/>
          <w:i w:val="0"/>
          <w:sz w:val="21"/>
          <w:szCs w:val="21"/>
        </w:rPr>
        <w:t>:</w:t>
      </w:r>
      <w:r w:rsidR="001721AB" w:rsidRPr="005C0BD0">
        <w:rPr>
          <w:rFonts w:ascii="Arial" w:hAnsi="Arial" w:cs="Arial"/>
          <w:b/>
          <w:i w:val="0"/>
          <w:sz w:val="21"/>
          <w:szCs w:val="21"/>
        </w:rPr>
        <w:t xml:space="preserve"> </w:t>
      </w:r>
    </w:p>
    <w:p w14:paraId="74EF1322" w14:textId="25F56B39" w:rsidR="00217EF6" w:rsidRPr="00217EF6" w:rsidRDefault="00217EF6" w:rsidP="00ED1606">
      <w:pPr>
        <w:pStyle w:val="BodyText"/>
        <w:ind w:firstLine="720"/>
        <w:rPr>
          <w:rFonts w:ascii="Arial" w:hAnsi="Arial" w:cs="Arial"/>
          <w:i w:val="0"/>
        </w:rPr>
      </w:pPr>
      <w:r w:rsidRPr="00217EF6">
        <w:rPr>
          <w:rFonts w:ascii="Arial" w:hAnsi="Arial" w:cs="Arial"/>
          <w:i w:val="0"/>
        </w:rPr>
        <w:t>Excessive alcohol consumption leads to a variety of negative health and social consequences. Those who drink heavily have an increased risk for certain chronic diseases, such as hypertension, psychological disorders, and various forms of cancer. Excessive alcohol use also can result in societal harms, such as unintentional injuries, violence, and high economic costs (Centers for Disease Control and Prevention [CDC], 2016).</w:t>
      </w:r>
      <w:r w:rsidRPr="00217EF6">
        <w:rPr>
          <w:rFonts w:ascii="Arial" w:eastAsia="MS PGothic" w:hAnsi="Arial" w:cs="Arial"/>
          <w:i w:val="0"/>
        </w:rPr>
        <w:t xml:space="preserve"> Fortunately effective prevention strategies are available to reduce excessive alcohol use and its related harms. However, it is difficult to craft public health messages and communication strategies to change alcohol-related attitudes and behaviors because </w:t>
      </w:r>
      <w:r w:rsidR="00770E75">
        <w:rPr>
          <w:rFonts w:ascii="Arial" w:eastAsia="MS PGothic" w:hAnsi="Arial" w:cs="Arial"/>
          <w:i w:val="0"/>
        </w:rPr>
        <w:t xml:space="preserve">the public’s </w:t>
      </w:r>
      <w:r w:rsidRPr="00217EF6">
        <w:rPr>
          <w:rFonts w:ascii="Arial" w:eastAsia="MS PGothic" w:hAnsi="Arial" w:cs="Arial"/>
          <w:i w:val="0"/>
        </w:rPr>
        <w:t xml:space="preserve">knowledge and beliefs about excessive alcohol use and its risks </w:t>
      </w:r>
      <w:r w:rsidR="00770E75">
        <w:rPr>
          <w:rFonts w:ascii="Arial" w:eastAsia="MS PGothic" w:hAnsi="Arial" w:cs="Arial"/>
          <w:i w:val="0"/>
        </w:rPr>
        <w:t>are</w:t>
      </w:r>
      <w:r w:rsidRPr="00217EF6">
        <w:rPr>
          <w:rFonts w:ascii="Arial" w:eastAsia="MS PGothic" w:hAnsi="Arial" w:cs="Arial"/>
          <w:i w:val="0"/>
        </w:rPr>
        <w:t xml:space="preserve"> not well understood. </w:t>
      </w:r>
      <w:r w:rsidR="00770E75">
        <w:rPr>
          <w:rFonts w:ascii="Arial" w:eastAsia="MS PGothic" w:hAnsi="Arial" w:cs="Arial"/>
          <w:i w:val="0"/>
        </w:rPr>
        <w:t>Also, d</w:t>
      </w:r>
      <w:r w:rsidRPr="00217EF6">
        <w:rPr>
          <w:rFonts w:ascii="Arial" w:eastAsia="MS PGothic" w:hAnsi="Arial" w:cs="Arial"/>
          <w:i w:val="0"/>
        </w:rPr>
        <w:t>espite</w:t>
      </w:r>
      <w:r w:rsidRPr="00217EF6">
        <w:rPr>
          <w:rFonts w:ascii="Arial" w:hAnsi="Arial" w:cs="Arial"/>
          <w:i w:val="0"/>
          <w:lang w:val="en"/>
        </w:rPr>
        <w:t xml:space="preserve"> the fact that public</w:t>
      </w:r>
      <w:r w:rsidRPr="00217EF6">
        <w:rPr>
          <w:rFonts w:ascii="Arial" w:hAnsi="Arial" w:cs="Arial"/>
          <w:i w:val="0"/>
        </w:rPr>
        <w:t xml:space="preserve"> health experts recommend that alcohol screening and brief counseling be provided to adults in primary care settings, </w:t>
      </w:r>
      <w:r w:rsidRPr="00217EF6">
        <w:rPr>
          <w:rFonts w:ascii="Arial" w:eastAsia="MS PGothic" w:hAnsi="Arial" w:cs="Arial"/>
          <w:i w:val="0"/>
        </w:rPr>
        <w:t>data indicate that only</w:t>
      </w:r>
      <w:r w:rsidRPr="00217EF6">
        <w:rPr>
          <w:rFonts w:ascii="Arial" w:hAnsi="Arial" w:cs="Arial"/>
          <w:i w:val="0"/>
          <w:lang w:val="en"/>
        </w:rPr>
        <w:t xml:space="preserve"> one of six U.S. adults reported ever discussing alcohol use with a health professional</w:t>
      </w:r>
      <w:r w:rsidRPr="00217EF6">
        <w:rPr>
          <w:rFonts w:ascii="Arial" w:hAnsi="Arial" w:cs="Arial"/>
          <w:i w:val="0"/>
        </w:rPr>
        <w:t>.</w:t>
      </w:r>
      <w:r w:rsidRPr="00217EF6">
        <w:rPr>
          <w:rFonts w:ascii="Arial" w:eastAsia="MS PGothic" w:hAnsi="Arial" w:cs="Arial"/>
          <w:i w:val="0"/>
        </w:rPr>
        <w:t xml:space="preserve"> </w:t>
      </w:r>
      <w:r w:rsidRPr="00217EF6">
        <w:rPr>
          <w:rFonts w:ascii="Arial" w:hAnsi="Arial" w:cs="Arial"/>
          <w:i w:val="0"/>
        </w:rPr>
        <w:t xml:space="preserve">To develop an effective, consistent messaging strategy, a deeper understanding of how the public thinks and talks about alcohol is </w:t>
      </w:r>
      <w:r w:rsidR="00770E75">
        <w:rPr>
          <w:rFonts w:ascii="Arial" w:hAnsi="Arial" w:cs="Arial"/>
          <w:i w:val="0"/>
        </w:rPr>
        <w:t>warranted</w:t>
      </w:r>
      <w:r w:rsidRPr="00217EF6">
        <w:rPr>
          <w:rFonts w:ascii="Arial" w:hAnsi="Arial" w:cs="Arial"/>
          <w:i w:val="0"/>
        </w:rPr>
        <w:t xml:space="preserve">. </w:t>
      </w:r>
    </w:p>
    <w:p w14:paraId="2BEAD11F" w14:textId="6CA94493" w:rsidR="00217EF6" w:rsidRPr="00217EF6" w:rsidRDefault="005C0BD0" w:rsidP="00ED1606">
      <w:pPr>
        <w:pStyle w:val="BodyText"/>
        <w:ind w:firstLine="720"/>
        <w:rPr>
          <w:rFonts w:ascii="Arial" w:hAnsi="Arial" w:cs="Arial"/>
          <w:i w:val="0"/>
        </w:rPr>
      </w:pPr>
      <w:r w:rsidRPr="00217EF6">
        <w:rPr>
          <w:rFonts w:ascii="Arial" w:hAnsi="Arial" w:cs="Arial"/>
          <w:i w:val="0"/>
        </w:rPr>
        <w:t xml:space="preserve">The purpose of this study is to conduct formative research to assess perceptions and frames regarding alcohol use and its related harms, gain insights on the language the public uses when talking about excessive alcohol use, examine patient–provider communication about alcohol use, and evaluate the influence of other sources of information on the public’s understanding of excessive alcohol use. The research </w:t>
      </w:r>
      <w:r w:rsidR="00217EF6" w:rsidRPr="00217EF6">
        <w:rPr>
          <w:rFonts w:ascii="Arial" w:hAnsi="Arial" w:cs="Arial"/>
          <w:i w:val="0"/>
        </w:rPr>
        <w:t>conducted under this generic IC</w:t>
      </w:r>
      <w:r w:rsidRPr="00217EF6">
        <w:rPr>
          <w:rFonts w:ascii="Arial" w:hAnsi="Arial" w:cs="Arial"/>
          <w:i w:val="0"/>
        </w:rPr>
        <w:t xml:space="preserve"> will be used to inform </w:t>
      </w:r>
      <w:r w:rsidR="00217EF6" w:rsidRPr="00217EF6">
        <w:rPr>
          <w:rFonts w:ascii="Arial" w:hAnsi="Arial" w:cs="Arial"/>
          <w:i w:val="0"/>
        </w:rPr>
        <w:t>the development of consumer and provider materials and messages about excessive alcohol use and related harms.</w:t>
      </w:r>
      <w:r w:rsidR="00217EF6" w:rsidRPr="00217EF6" w:rsidDel="00E21429">
        <w:rPr>
          <w:rStyle w:val="BodyTextChar"/>
          <w:rFonts w:ascii="Arial" w:hAnsi="Arial" w:cs="Arial"/>
          <w:i w:val="0"/>
          <w:sz w:val="20"/>
          <w:szCs w:val="20"/>
        </w:rPr>
        <w:t xml:space="preserve"> </w:t>
      </w:r>
    </w:p>
    <w:p w14:paraId="58382DFB" w14:textId="50EAE8E3" w:rsidR="00217EF6" w:rsidRPr="00217EF6" w:rsidRDefault="00217EF6" w:rsidP="00ED1606">
      <w:pPr>
        <w:pStyle w:val="BodyText"/>
        <w:ind w:firstLine="720"/>
        <w:rPr>
          <w:rFonts w:ascii="Arial" w:hAnsi="Arial" w:cs="Arial"/>
          <w:i w:val="0"/>
        </w:rPr>
      </w:pPr>
      <w:r w:rsidRPr="00217EF6">
        <w:rPr>
          <w:rFonts w:ascii="Arial" w:hAnsi="Arial" w:cs="Arial"/>
          <w:i w:val="0"/>
        </w:rPr>
        <w:t xml:space="preserve">The contractor will conduct all data collection related to the proposed study. Data collection will consist of a screening process to facilitate recruitment of participants into the study and a series of interviews and triads (small group discussions with three participants) in two phases of data collection with </w:t>
      </w:r>
      <w:r w:rsidR="00770E75">
        <w:rPr>
          <w:rFonts w:ascii="Arial" w:hAnsi="Arial" w:cs="Arial"/>
          <w:i w:val="0"/>
        </w:rPr>
        <w:t>adults</w:t>
      </w:r>
      <w:r w:rsidRPr="00217EF6">
        <w:rPr>
          <w:rFonts w:ascii="Arial" w:hAnsi="Arial" w:cs="Arial"/>
          <w:i w:val="0"/>
        </w:rPr>
        <w:t xml:space="preserve"> </w:t>
      </w:r>
      <w:r w:rsidR="00770E75" w:rsidRPr="00217EF6">
        <w:rPr>
          <w:rFonts w:ascii="Arial" w:hAnsi="Arial" w:cs="Arial"/>
          <w:i w:val="0"/>
        </w:rPr>
        <w:t xml:space="preserve">aged 21 to 55 years </w:t>
      </w:r>
      <w:r w:rsidRPr="00217EF6">
        <w:rPr>
          <w:rFonts w:ascii="Arial" w:hAnsi="Arial" w:cs="Arial"/>
          <w:i w:val="0"/>
        </w:rPr>
        <w:t xml:space="preserve">who drink alcohol. While both phases of proposed data collection share an overall goal of assessing perceptions and frames regarding excessive alcohol use, conducting the data collection in two phases allows the contractor to develop and test potential messages/graphical images based on the results of the first round of interviews.  In Phase 1, the emphasis is on eliciting descriptions and understanding of drinking behaviors and their associated health risks from participants. </w:t>
      </w:r>
      <w:r w:rsidRPr="00ED1606">
        <w:rPr>
          <w:rFonts w:ascii="Arial" w:hAnsi="Arial" w:cs="Arial"/>
          <w:i w:val="0"/>
        </w:rPr>
        <w:t>This information will help determine how participants define different levels of drinking and perceive the risks related to alcohol use, which in turn will provide context for the information collected in Phase 2. With insights from Phase 1, the contractor will develop or adapt existing messages/graphical images on drinking guidelines, health effects of drinking, and drinking levels for testing with participants in Phase 2. For example, if in Phase 1, it is found that a particular health risk resonates with participants, that element may be incorporated into an updated message/graphical image. P</w:t>
      </w:r>
      <w:r w:rsidRPr="00217EF6">
        <w:rPr>
          <w:rFonts w:ascii="Arial" w:hAnsi="Arial" w:cs="Arial"/>
          <w:i w:val="0"/>
        </w:rPr>
        <w:t xml:space="preserve">hase 2 also explores people’s response and preferences for language used in describing risks of excessive alcohol use, examines what sources people access for alcohol-related information, and investigates participant insights on patient-provider </w:t>
      </w:r>
      <w:r w:rsidRPr="00217EF6">
        <w:rPr>
          <w:rFonts w:ascii="Arial" w:hAnsi="Arial" w:cs="Arial"/>
          <w:i w:val="0"/>
        </w:rPr>
        <w:lastRenderedPageBreak/>
        <w:t xml:space="preserve">communication around alcohol use.  </w:t>
      </w:r>
    </w:p>
    <w:p w14:paraId="4B0AE039" w14:textId="77777777" w:rsidR="00217EF6" w:rsidRPr="00217EF6" w:rsidRDefault="00217EF6" w:rsidP="00ED1606">
      <w:pPr>
        <w:pStyle w:val="BodyText"/>
        <w:ind w:firstLine="720"/>
        <w:rPr>
          <w:rFonts w:ascii="Arial" w:hAnsi="Arial" w:cs="Arial"/>
          <w:i w:val="0"/>
        </w:rPr>
      </w:pPr>
      <w:r w:rsidRPr="00217EF6">
        <w:rPr>
          <w:rFonts w:ascii="Arial" w:hAnsi="Arial" w:cs="Arial"/>
          <w:i w:val="0"/>
        </w:rPr>
        <w:t xml:space="preserve">The collection of these data will identify key frames, themes, and gaps in the public’s knowledge which will be used to inform development of clear, persuasive messages and a communication strategy on excessive alcohol use and its related harms. </w:t>
      </w:r>
    </w:p>
    <w:p w14:paraId="7F57EEF1" w14:textId="2D27851D" w:rsidR="00840FCA" w:rsidRPr="00043C34" w:rsidRDefault="00B46F2C" w:rsidP="00217EF6">
      <w:pPr>
        <w:pStyle w:val="BodyText"/>
        <w:rPr>
          <w:rFonts w:ascii="Arial" w:hAnsi="Arial"/>
          <w:i w:val="0"/>
        </w:rPr>
      </w:pPr>
      <w:r w:rsidRPr="00043C34">
        <w:rPr>
          <w:rFonts w:ascii="Arial" w:hAnsi="Arial"/>
          <w:b/>
          <w:i w:val="0"/>
        </w:rPr>
        <w:t>DESCRIPTION OF RESPONDENTS</w:t>
      </w:r>
      <w:r w:rsidRPr="00043C34">
        <w:rPr>
          <w:rFonts w:ascii="Arial" w:hAnsi="Arial"/>
          <w:i w:val="0"/>
        </w:rPr>
        <w:t>:</w:t>
      </w:r>
      <w:r w:rsidR="001721AB" w:rsidRPr="00043C34">
        <w:rPr>
          <w:rFonts w:ascii="Arial" w:hAnsi="Arial"/>
          <w:i w:val="0"/>
        </w:rPr>
        <w:t xml:space="preserve"> </w:t>
      </w:r>
      <w:r w:rsidR="0024636D">
        <w:rPr>
          <w:rFonts w:ascii="Arial" w:hAnsi="Arial"/>
          <w:i w:val="0"/>
        </w:rPr>
        <w:br/>
      </w:r>
      <w:r w:rsidR="001721AB" w:rsidRPr="00043C34">
        <w:rPr>
          <w:rFonts w:ascii="Arial" w:hAnsi="Arial" w:cs="Arial"/>
          <w:i w:val="0"/>
        </w:rPr>
        <w:t>Adult</w:t>
      </w:r>
      <w:r w:rsidR="00770E75">
        <w:rPr>
          <w:rFonts w:ascii="Arial" w:hAnsi="Arial" w:cs="Arial"/>
          <w:i w:val="0"/>
        </w:rPr>
        <w:t>s</w:t>
      </w:r>
      <w:r w:rsidR="001721AB" w:rsidRPr="00043C34">
        <w:rPr>
          <w:rFonts w:ascii="Arial" w:hAnsi="Arial" w:cs="Arial"/>
          <w:i w:val="0"/>
        </w:rPr>
        <w:t xml:space="preserve"> </w:t>
      </w:r>
      <w:r w:rsidR="00770E75" w:rsidRPr="00043C34">
        <w:rPr>
          <w:rFonts w:ascii="Arial" w:hAnsi="Arial" w:cs="Arial"/>
          <w:i w:val="0"/>
        </w:rPr>
        <w:t>aged 21 to 55</w:t>
      </w:r>
      <w:r w:rsidR="00770E75">
        <w:rPr>
          <w:rFonts w:ascii="Arial" w:hAnsi="Arial" w:cs="Arial"/>
          <w:i w:val="0"/>
        </w:rPr>
        <w:t xml:space="preserve"> </w:t>
      </w:r>
      <w:r w:rsidR="006D040C" w:rsidRPr="00043C34">
        <w:rPr>
          <w:rFonts w:ascii="Arial" w:hAnsi="Arial" w:cs="Arial"/>
          <w:i w:val="0"/>
        </w:rPr>
        <w:t>who drink alcohol</w:t>
      </w:r>
      <w:r w:rsidR="0024636D">
        <w:rPr>
          <w:rFonts w:ascii="Arial" w:hAnsi="Arial" w:cs="Arial"/>
          <w:i w:val="0"/>
        </w:rPr>
        <w:t xml:space="preserve"> (Category 1: Individuals or Households)</w:t>
      </w:r>
    </w:p>
    <w:p w14:paraId="6B768B95" w14:textId="77777777" w:rsidR="002F2EF9" w:rsidRDefault="00B46F2C" w:rsidP="008101A5">
      <w:pPr>
        <w:rPr>
          <w:rFonts w:ascii="Arial" w:hAnsi="Arial"/>
          <w:b/>
        </w:rPr>
      </w:pPr>
      <w:r w:rsidRPr="00B372FB">
        <w:rPr>
          <w:rFonts w:ascii="Arial" w:hAnsi="Arial"/>
          <w:b/>
        </w:rPr>
        <w:t>CERTIFICATION:</w:t>
      </w:r>
      <w:r w:rsidR="002F2EF9">
        <w:rPr>
          <w:rFonts w:ascii="Arial" w:hAnsi="Arial"/>
          <w:b/>
        </w:rPr>
        <w:t xml:space="preserve"> </w:t>
      </w:r>
    </w:p>
    <w:p w14:paraId="3DD5D308" w14:textId="77777777" w:rsidR="00B46F2C" w:rsidRPr="00B372FB" w:rsidRDefault="00B46F2C" w:rsidP="008101A5">
      <w:pPr>
        <w:rPr>
          <w:rFonts w:ascii="Arial" w:hAnsi="Arial"/>
        </w:rPr>
      </w:pPr>
      <w:r w:rsidRPr="00B372FB">
        <w:rPr>
          <w:rFonts w:ascii="Arial" w:hAnsi="Arial"/>
        </w:rPr>
        <w:t xml:space="preserve">I certify the following to be true: </w:t>
      </w:r>
    </w:p>
    <w:p w14:paraId="4F0DB624" w14:textId="77777777" w:rsidR="00B46F2C" w:rsidRPr="00B372FB" w:rsidRDefault="00B46F2C" w:rsidP="008101A5">
      <w:pPr>
        <w:pStyle w:val="ListParagraph"/>
        <w:numPr>
          <w:ilvl w:val="0"/>
          <w:numId w:val="14"/>
        </w:numPr>
        <w:rPr>
          <w:rFonts w:ascii="Arial" w:hAnsi="Arial"/>
        </w:rPr>
      </w:pPr>
      <w:r w:rsidRPr="00B372FB">
        <w:rPr>
          <w:rFonts w:ascii="Arial" w:hAnsi="Arial"/>
        </w:rPr>
        <w:t xml:space="preserve">The collection is voluntary. </w:t>
      </w:r>
    </w:p>
    <w:p w14:paraId="5C1173EB" w14:textId="77777777" w:rsidR="00B46F2C" w:rsidRPr="00B372FB" w:rsidRDefault="00B46F2C" w:rsidP="008101A5">
      <w:pPr>
        <w:pStyle w:val="ListParagraph"/>
        <w:numPr>
          <w:ilvl w:val="0"/>
          <w:numId w:val="14"/>
        </w:numPr>
        <w:rPr>
          <w:rFonts w:ascii="Arial" w:hAnsi="Arial"/>
        </w:rPr>
      </w:pPr>
      <w:r w:rsidRPr="00B372FB">
        <w:rPr>
          <w:rFonts w:ascii="Arial" w:hAnsi="Arial"/>
        </w:rPr>
        <w:t>The collection is low-burden for respondents and low-cost for the Federal Government.</w:t>
      </w:r>
    </w:p>
    <w:p w14:paraId="2498ED58" w14:textId="77777777" w:rsidR="00B46F2C" w:rsidRPr="00846B36" w:rsidRDefault="00B46F2C" w:rsidP="006D040C">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14:paraId="19D5FCD2" w14:textId="77777777" w:rsidR="00B46F2C" w:rsidRPr="00B372FB" w:rsidRDefault="00B46F2C" w:rsidP="008101A5">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00B372FB" w:rsidRPr="002F2EF9">
        <w:rPr>
          <w:rFonts w:ascii="Arial" w:hAnsi="Arial"/>
        </w:rPr>
        <w:t xml:space="preserve"> </w:t>
      </w:r>
      <w:r w:rsidRPr="002F2EF9">
        <w:rPr>
          <w:rFonts w:ascii="Arial" w:hAnsi="Arial"/>
        </w:rPr>
        <w:t>policy d</w:t>
      </w:r>
      <w:r w:rsidRPr="00B372FB">
        <w:rPr>
          <w:rFonts w:ascii="Arial" w:hAnsi="Arial"/>
        </w:rPr>
        <w:t xml:space="preserve">ecisions. </w:t>
      </w:r>
    </w:p>
    <w:p w14:paraId="4150D271" w14:textId="77777777" w:rsidR="00B46F2C" w:rsidRPr="00B372FB" w:rsidRDefault="00B372FB" w:rsidP="008101A5">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14:paraId="54A5FDD6" w14:textId="77777777" w:rsidR="00B46F2C" w:rsidRPr="0024636D" w:rsidRDefault="00B46F2C" w:rsidP="009C13B9">
      <w:pPr>
        <w:rPr>
          <w:rFonts w:ascii="Arial" w:hAnsi="Arial"/>
          <w:i/>
        </w:rPr>
      </w:pPr>
      <w:r w:rsidRPr="00B372FB">
        <w:rPr>
          <w:rFonts w:ascii="Arial" w:hAnsi="Arial"/>
        </w:rPr>
        <w:t>Name:</w:t>
      </w:r>
      <w:r w:rsidR="00B32078">
        <w:rPr>
          <w:rFonts w:ascii="Arial" w:hAnsi="Arial"/>
        </w:rPr>
        <w:t xml:space="preserve"> </w:t>
      </w:r>
      <w:r w:rsidR="00D9332E" w:rsidRPr="0024636D">
        <w:rPr>
          <w:rFonts w:ascii="Arial" w:hAnsi="Arial"/>
          <w:i/>
        </w:rPr>
        <w:t xml:space="preserve">Mary Kate Weber </w:t>
      </w:r>
    </w:p>
    <w:p w14:paraId="7F07CAD6" w14:textId="77777777" w:rsidR="00B46F2C" w:rsidRPr="00B372FB" w:rsidRDefault="00B46F2C" w:rsidP="009C13B9">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14:paraId="68FD7A9C" w14:textId="77777777" w:rsidR="00B46F2C" w:rsidRPr="00B372FB" w:rsidRDefault="00B46F2C" w:rsidP="00C86E91">
      <w:pPr>
        <w:rPr>
          <w:rFonts w:ascii="Arial" w:hAnsi="Arial"/>
          <w:b/>
        </w:rPr>
      </w:pPr>
      <w:r w:rsidRPr="00B372FB">
        <w:rPr>
          <w:rFonts w:ascii="Arial" w:hAnsi="Arial"/>
          <w:b/>
        </w:rPr>
        <w:t>Personally Identifiable Information:</w:t>
      </w:r>
    </w:p>
    <w:p w14:paraId="5F55B113" w14:textId="77777777" w:rsidR="00B46F2C" w:rsidRPr="00B372FB" w:rsidRDefault="00B46F2C" w:rsidP="00C86E91">
      <w:pPr>
        <w:pStyle w:val="ListParagraph"/>
        <w:numPr>
          <w:ilvl w:val="0"/>
          <w:numId w:val="18"/>
        </w:numPr>
        <w:rPr>
          <w:rFonts w:ascii="Arial" w:hAnsi="Arial"/>
        </w:rPr>
      </w:pPr>
      <w:r w:rsidRPr="00B372FB">
        <w:rPr>
          <w:rFonts w:ascii="Arial" w:hAnsi="Arial"/>
        </w:rPr>
        <w:t xml:space="preserve">Is personally identifiable information (PII) collected?  [ </w:t>
      </w:r>
      <w:r w:rsidR="001721AB">
        <w:rPr>
          <w:rFonts w:ascii="Arial" w:hAnsi="Arial"/>
        </w:rPr>
        <w:t>X</w:t>
      </w:r>
      <w:r w:rsidRPr="00B372FB">
        <w:rPr>
          <w:rFonts w:ascii="Arial" w:hAnsi="Arial"/>
        </w:rPr>
        <w:t xml:space="preserve"> ] Yes  [ </w:t>
      </w:r>
      <w:r w:rsidR="00303F23">
        <w:rPr>
          <w:rFonts w:ascii="Arial" w:hAnsi="Arial"/>
        </w:rPr>
        <w:t xml:space="preserve"> </w:t>
      </w:r>
      <w:r w:rsidRPr="00B372FB">
        <w:rPr>
          <w:rFonts w:ascii="Arial" w:hAnsi="Arial"/>
        </w:rPr>
        <w:t xml:space="preserve">]  No </w:t>
      </w:r>
    </w:p>
    <w:p w14:paraId="75771026" w14:textId="77777777" w:rsidR="00B46F2C" w:rsidRPr="00B372FB" w:rsidRDefault="00B46F2C" w:rsidP="00C86E91">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  ] Yes [  ] No  </w:t>
      </w:r>
    </w:p>
    <w:p w14:paraId="73B3715F" w14:textId="77777777" w:rsidR="00B46F2C" w:rsidRPr="00B372FB" w:rsidRDefault="00B46F2C" w:rsidP="00C86E91">
      <w:pPr>
        <w:pStyle w:val="ListParagraph"/>
        <w:numPr>
          <w:ilvl w:val="0"/>
          <w:numId w:val="18"/>
        </w:numPr>
        <w:rPr>
          <w:rFonts w:ascii="Arial" w:hAnsi="Arial"/>
        </w:rPr>
      </w:pPr>
      <w:r w:rsidRPr="00B372FB">
        <w:rPr>
          <w:rFonts w:ascii="Arial" w:hAnsi="Arial"/>
        </w:rPr>
        <w:t xml:space="preserve">If Applicable, has a System or Records Notice been published?  [  ] Yes  [ </w:t>
      </w:r>
      <w:r w:rsidR="00342ACD">
        <w:rPr>
          <w:rFonts w:ascii="Arial" w:hAnsi="Arial"/>
        </w:rPr>
        <w:t>X</w:t>
      </w:r>
      <w:r w:rsidRPr="00B372FB">
        <w:rPr>
          <w:rFonts w:ascii="Arial" w:hAnsi="Arial"/>
        </w:rPr>
        <w:t xml:space="preserve"> ] No</w:t>
      </w:r>
    </w:p>
    <w:p w14:paraId="4611352F" w14:textId="77777777" w:rsidR="00E55CAE" w:rsidRDefault="00E55CAE" w:rsidP="00C86E91">
      <w:pPr>
        <w:pStyle w:val="ListParagraph"/>
        <w:ind w:left="0"/>
        <w:rPr>
          <w:rFonts w:ascii="Arial" w:hAnsi="Arial"/>
          <w:b/>
        </w:rPr>
      </w:pPr>
    </w:p>
    <w:p w14:paraId="1D3226AA" w14:textId="77777777" w:rsidR="00B46F2C" w:rsidRPr="00B372FB" w:rsidRDefault="00B46F2C" w:rsidP="00C86E91">
      <w:pPr>
        <w:pStyle w:val="ListParagraph"/>
        <w:ind w:left="0"/>
        <w:rPr>
          <w:rFonts w:ascii="Arial" w:hAnsi="Arial"/>
          <w:b/>
        </w:rPr>
      </w:pPr>
      <w:r w:rsidRPr="00B372FB">
        <w:rPr>
          <w:rFonts w:ascii="Arial" w:hAnsi="Arial"/>
          <w:b/>
        </w:rPr>
        <w:t>Gifts or Payments:</w:t>
      </w:r>
    </w:p>
    <w:p w14:paraId="28021263" w14:textId="77777777" w:rsidR="00043C34" w:rsidRPr="00D4442D" w:rsidRDefault="00B46F2C" w:rsidP="00043C34">
      <w:pPr>
        <w:rPr>
          <w:rFonts w:cs="Times New Roman"/>
          <w:szCs w:val="24"/>
        </w:rPr>
      </w:pPr>
      <w:r w:rsidRPr="00B372FB">
        <w:rPr>
          <w:rFonts w:ascii="Arial" w:hAnsi="Arial"/>
        </w:rPr>
        <w:t xml:space="preserve">Is an incentive (e.g., money or reimbursement of expenses, token of appreciation) provided to participants?  [ </w:t>
      </w:r>
      <w:r w:rsidR="00342ACD">
        <w:rPr>
          <w:rFonts w:ascii="Arial" w:hAnsi="Arial"/>
        </w:rPr>
        <w:t>X</w:t>
      </w:r>
      <w:r w:rsidRPr="00B372FB">
        <w:rPr>
          <w:rFonts w:ascii="Arial" w:hAnsi="Arial"/>
        </w:rPr>
        <w:t xml:space="preserve"> ] Yes [  ] No</w:t>
      </w:r>
      <w:r w:rsidR="00043C34" w:rsidRPr="00D4442D">
        <w:rPr>
          <w:rFonts w:cs="Times New Roman"/>
          <w:szCs w:val="24"/>
        </w:rPr>
        <w:t xml:space="preserve"> </w:t>
      </w:r>
    </w:p>
    <w:p w14:paraId="5D580B03" w14:textId="110886DC" w:rsidR="00ED1606" w:rsidRDefault="00ED1606" w:rsidP="00ED1606">
      <w:pPr>
        <w:tabs>
          <w:tab w:val="left" w:pos="720"/>
        </w:tabs>
        <w:ind w:firstLine="360"/>
        <w:rPr>
          <w:rFonts w:ascii="Arial" w:hAnsi="Arial" w:cs="Arial"/>
          <w:sz w:val="20"/>
          <w:szCs w:val="20"/>
        </w:rPr>
      </w:pPr>
      <w:r>
        <w:rPr>
          <w:rFonts w:ascii="Arial" w:hAnsi="Arial" w:cs="Arial"/>
          <w:sz w:val="20"/>
          <w:szCs w:val="20"/>
        </w:rPr>
        <w:tab/>
      </w:r>
      <w:r w:rsidRPr="00ED1606">
        <w:rPr>
          <w:rFonts w:ascii="Arial" w:hAnsi="Arial" w:cs="Arial"/>
          <w:sz w:val="20"/>
          <w:szCs w:val="20"/>
        </w:rPr>
        <w:t xml:space="preserve">Participants will be offered a token of appreciation of $60 for their time and participation. As participants often have competing demands for their time, incentives are used to encourage participation. The payment amounts for this project were determined through discussions with </w:t>
      </w:r>
      <w:r>
        <w:rPr>
          <w:rFonts w:ascii="Arial" w:hAnsi="Arial" w:cs="Arial"/>
          <w:sz w:val="20"/>
          <w:szCs w:val="20"/>
        </w:rPr>
        <w:t xml:space="preserve">the </w:t>
      </w:r>
      <w:r w:rsidRPr="00ED1606">
        <w:rPr>
          <w:rFonts w:ascii="Arial" w:hAnsi="Arial" w:cs="Arial"/>
          <w:sz w:val="20"/>
          <w:szCs w:val="20"/>
        </w:rPr>
        <w:t>contract</w:t>
      </w:r>
      <w:r>
        <w:rPr>
          <w:rFonts w:ascii="Arial" w:hAnsi="Arial" w:cs="Arial"/>
          <w:sz w:val="20"/>
          <w:szCs w:val="20"/>
        </w:rPr>
        <w:t>or, recruitment firms,</w:t>
      </w:r>
      <w:r w:rsidRPr="00ED1606">
        <w:rPr>
          <w:rFonts w:ascii="Arial" w:hAnsi="Arial" w:cs="Arial"/>
          <w:sz w:val="20"/>
          <w:szCs w:val="20"/>
        </w:rPr>
        <w:t xml:space="preserve"> and CDC staff with expertise in recruiting participants and conducting interviews about alcohol and similar health topics with the study population. This incentive will account for travel to, and participation in, a 90 minute triad or </w:t>
      </w:r>
      <w:r w:rsidR="00770E75">
        <w:rPr>
          <w:rFonts w:ascii="Arial" w:hAnsi="Arial" w:cs="Arial"/>
          <w:sz w:val="20"/>
          <w:szCs w:val="20"/>
        </w:rPr>
        <w:t>individual in-depth</w:t>
      </w:r>
      <w:r w:rsidRPr="00ED1606">
        <w:rPr>
          <w:rFonts w:ascii="Arial" w:hAnsi="Arial" w:cs="Arial"/>
          <w:sz w:val="20"/>
          <w:szCs w:val="20"/>
        </w:rPr>
        <w:t xml:space="preserve"> interview, for which dependent or child care arrangements may need to be secured, or expenses for travel may be incurred such as parking or public transportation. These challenges can present a significant burden to participants.</w:t>
      </w:r>
    </w:p>
    <w:p w14:paraId="292584F6" w14:textId="308473B7" w:rsidR="00ED1606" w:rsidRDefault="00ED1606" w:rsidP="00ED1606">
      <w:pPr>
        <w:tabs>
          <w:tab w:val="left" w:pos="720"/>
        </w:tabs>
        <w:ind w:firstLine="360"/>
        <w:rPr>
          <w:rFonts w:ascii="Arial" w:hAnsi="Arial" w:cs="Arial"/>
          <w:sz w:val="20"/>
          <w:szCs w:val="20"/>
        </w:rPr>
      </w:pPr>
      <w:r>
        <w:rPr>
          <w:rFonts w:ascii="Arial" w:hAnsi="Arial" w:cs="Arial"/>
          <w:sz w:val="20"/>
          <w:szCs w:val="20"/>
        </w:rPr>
        <w:tab/>
      </w:r>
      <w:r w:rsidRPr="00ED1606">
        <w:rPr>
          <w:rFonts w:ascii="Arial" w:hAnsi="Arial" w:cs="Arial"/>
          <w:sz w:val="20"/>
          <w:szCs w:val="20"/>
        </w:rPr>
        <w:t xml:space="preserve">Numerous empirical studies have shown that incentives can significantly increase response rates (e.g., Abreu &amp; Winters, 1999; Shettle &amp; Mooney, 1999). Incentives are also necessary to ensure that there is sufficient representation from certain groups that are more difficult to recruit such as low socio-economic groups and high-risk populations (Groth, 2010). Low or no incentives can also potentially result in a difficult and lengthy recruitment process. This can cause delays in initiating data collection, which can </w:t>
      </w:r>
      <w:r w:rsidRPr="00ED1606">
        <w:rPr>
          <w:rFonts w:ascii="Arial" w:hAnsi="Arial" w:cs="Arial"/>
          <w:sz w:val="20"/>
          <w:szCs w:val="20"/>
        </w:rPr>
        <w:lastRenderedPageBreak/>
        <w:t>lead to overall timeline delays and increased costs to the government. Ultimately, the absence of an appropriate incentive could impede the development of clear, persuasive messages and a communication strategy on excessive alc</w:t>
      </w:r>
      <w:r w:rsidR="00770E75">
        <w:rPr>
          <w:rFonts w:ascii="Arial" w:hAnsi="Arial" w:cs="Arial"/>
          <w:sz w:val="20"/>
          <w:szCs w:val="20"/>
        </w:rPr>
        <w:t xml:space="preserve">ohol use and its related harms which is the goal of </w:t>
      </w:r>
      <w:r w:rsidRPr="00ED1606">
        <w:rPr>
          <w:rFonts w:ascii="Arial" w:hAnsi="Arial" w:cs="Arial"/>
          <w:sz w:val="20"/>
          <w:szCs w:val="20"/>
        </w:rPr>
        <w:t xml:space="preserve">this project. </w:t>
      </w:r>
    </w:p>
    <w:p w14:paraId="1A78114C" w14:textId="1F6AA67D" w:rsidR="00B46F2C" w:rsidRPr="00B372FB" w:rsidRDefault="00B46F2C" w:rsidP="00ED1606">
      <w:pPr>
        <w:tabs>
          <w:tab w:val="left" w:pos="720"/>
        </w:tabs>
        <w:spacing w:after="0" w:line="360" w:lineRule="auto"/>
        <w:rPr>
          <w:rFonts w:ascii="Arial" w:hAnsi="Arial"/>
          <w:i/>
        </w:rPr>
      </w:pPr>
      <w:r w:rsidRPr="00B372FB">
        <w:rPr>
          <w:rFonts w:ascii="Arial" w:hAnsi="Arial"/>
          <w:b/>
        </w:rPr>
        <w:t>BURDEN HOURS</w:t>
      </w:r>
      <w:r w:rsidRPr="00B372FB">
        <w:rPr>
          <w:rFonts w:ascii="Arial" w:hAnsi="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421"/>
        <w:gridCol w:w="2373"/>
        <w:gridCol w:w="1348"/>
        <w:gridCol w:w="1348"/>
        <w:gridCol w:w="1530"/>
        <w:gridCol w:w="1330"/>
      </w:tblGrid>
      <w:tr w:rsidR="00B44774" w:rsidRPr="00D4442D" w14:paraId="6DEC75DF" w14:textId="77777777" w:rsidTr="006D040C">
        <w:trPr>
          <w:cantSplit/>
          <w:trHeight w:val="809"/>
        </w:trPr>
        <w:tc>
          <w:tcPr>
            <w:tcW w:w="760" w:type="pct"/>
            <w:vAlign w:val="bottom"/>
          </w:tcPr>
          <w:p w14:paraId="231B0582" w14:textId="77777777" w:rsidR="00B44774" w:rsidRPr="00D4442D" w:rsidRDefault="00B44774" w:rsidP="006D040C">
            <w:pPr>
              <w:spacing w:before="100" w:beforeAutospacing="1" w:after="100" w:afterAutospacing="1"/>
              <w:jc w:val="center"/>
              <w:rPr>
                <w:b/>
              </w:rPr>
            </w:pPr>
            <w:r w:rsidRPr="00D4442D">
              <w:rPr>
                <w:b/>
              </w:rPr>
              <w:t>Respondents</w:t>
            </w:r>
          </w:p>
        </w:tc>
        <w:tc>
          <w:tcPr>
            <w:tcW w:w="1269" w:type="pct"/>
            <w:vAlign w:val="bottom"/>
          </w:tcPr>
          <w:p w14:paraId="5EAF21DE" w14:textId="77777777" w:rsidR="00B44774" w:rsidRPr="00D4442D" w:rsidRDefault="00B44774" w:rsidP="006D040C">
            <w:pPr>
              <w:spacing w:before="100" w:beforeAutospacing="1" w:after="100" w:afterAutospacing="1"/>
              <w:jc w:val="center"/>
              <w:rPr>
                <w:b/>
              </w:rPr>
            </w:pPr>
            <w:r w:rsidRPr="00D4442D">
              <w:rPr>
                <w:b/>
              </w:rPr>
              <w:t>Form Name</w:t>
            </w:r>
          </w:p>
        </w:tc>
        <w:tc>
          <w:tcPr>
            <w:tcW w:w="721" w:type="pct"/>
            <w:vAlign w:val="bottom"/>
          </w:tcPr>
          <w:p w14:paraId="7FB33316" w14:textId="77777777" w:rsidR="00B44774" w:rsidRPr="00D4442D" w:rsidRDefault="00B44774" w:rsidP="006D040C">
            <w:pPr>
              <w:spacing w:before="100" w:beforeAutospacing="1" w:after="100" w:afterAutospacing="1"/>
              <w:jc w:val="center"/>
              <w:rPr>
                <w:b/>
              </w:rPr>
            </w:pPr>
            <w:r w:rsidRPr="00D4442D">
              <w:rPr>
                <w:b/>
              </w:rPr>
              <w:t>No. of Respondents</w:t>
            </w:r>
          </w:p>
        </w:tc>
        <w:tc>
          <w:tcPr>
            <w:tcW w:w="721" w:type="pct"/>
            <w:vAlign w:val="bottom"/>
          </w:tcPr>
          <w:p w14:paraId="18BBD359" w14:textId="77777777" w:rsidR="00B44774" w:rsidRPr="00D4442D" w:rsidRDefault="00B44774" w:rsidP="006D040C">
            <w:pPr>
              <w:spacing w:before="100" w:beforeAutospacing="1" w:after="100" w:afterAutospacing="1"/>
              <w:jc w:val="center"/>
              <w:rPr>
                <w:b/>
              </w:rPr>
            </w:pPr>
            <w:r w:rsidRPr="00D4442D">
              <w:rPr>
                <w:b/>
              </w:rPr>
              <w:t>No. of Responses per Respondent</w:t>
            </w:r>
          </w:p>
        </w:tc>
        <w:tc>
          <w:tcPr>
            <w:tcW w:w="818" w:type="pct"/>
            <w:vAlign w:val="bottom"/>
          </w:tcPr>
          <w:p w14:paraId="78A7B6A6" w14:textId="77777777" w:rsidR="00B44774" w:rsidRPr="00D4442D" w:rsidRDefault="00B44774" w:rsidP="006D040C">
            <w:pPr>
              <w:spacing w:before="100" w:beforeAutospacing="1" w:after="100" w:afterAutospacing="1"/>
              <w:jc w:val="center"/>
              <w:rPr>
                <w:b/>
              </w:rPr>
            </w:pPr>
            <w:r w:rsidRPr="00D4442D">
              <w:rPr>
                <w:b/>
              </w:rPr>
              <w:t xml:space="preserve">Average Burden per Response (in Hours) </w:t>
            </w:r>
          </w:p>
        </w:tc>
        <w:tc>
          <w:tcPr>
            <w:tcW w:w="711" w:type="pct"/>
            <w:vAlign w:val="bottom"/>
          </w:tcPr>
          <w:p w14:paraId="5516FCC8" w14:textId="77777777" w:rsidR="00B44774" w:rsidRPr="00D4442D" w:rsidRDefault="00B44774" w:rsidP="006D040C">
            <w:pPr>
              <w:spacing w:before="100" w:beforeAutospacing="1" w:after="100" w:afterAutospacing="1"/>
              <w:jc w:val="center"/>
              <w:rPr>
                <w:b/>
              </w:rPr>
            </w:pPr>
            <w:r>
              <w:rPr>
                <w:b/>
              </w:rPr>
              <w:t xml:space="preserve">Total Burden </w:t>
            </w:r>
            <w:r w:rsidRPr="00D4442D">
              <w:rPr>
                <w:b/>
              </w:rPr>
              <w:t>Hours</w:t>
            </w:r>
          </w:p>
        </w:tc>
      </w:tr>
      <w:tr w:rsidR="00B44774" w:rsidRPr="00D4442D" w14:paraId="739C30DB" w14:textId="77777777" w:rsidTr="006D040C">
        <w:tc>
          <w:tcPr>
            <w:tcW w:w="760" w:type="pct"/>
            <w:vMerge w:val="restart"/>
          </w:tcPr>
          <w:p w14:paraId="2372D776" w14:textId="77777777" w:rsidR="00B44774" w:rsidRPr="00D4442D" w:rsidRDefault="00B44774" w:rsidP="006D040C">
            <w:pPr>
              <w:spacing w:before="100" w:beforeAutospacing="1" w:after="100" w:afterAutospacing="1"/>
            </w:pPr>
            <w:r>
              <w:t>Persons aged 21–55</w:t>
            </w:r>
          </w:p>
        </w:tc>
        <w:tc>
          <w:tcPr>
            <w:tcW w:w="1269" w:type="pct"/>
          </w:tcPr>
          <w:p w14:paraId="07C08FA1" w14:textId="77777777" w:rsidR="00B44774" w:rsidRPr="00D4442D" w:rsidRDefault="00B44774" w:rsidP="006D040C">
            <w:pPr>
              <w:spacing w:before="100" w:beforeAutospacing="1" w:after="100" w:afterAutospacing="1"/>
            </w:pPr>
            <w:r w:rsidRPr="00D4442D">
              <w:t>Study screener</w:t>
            </w:r>
          </w:p>
        </w:tc>
        <w:tc>
          <w:tcPr>
            <w:tcW w:w="721" w:type="pct"/>
          </w:tcPr>
          <w:p w14:paraId="0152CB17" w14:textId="77777777" w:rsidR="00B44774" w:rsidRPr="00D4442D" w:rsidRDefault="00B44774" w:rsidP="006D040C">
            <w:pPr>
              <w:spacing w:before="100" w:beforeAutospacing="1" w:after="100" w:afterAutospacing="1"/>
              <w:jc w:val="center"/>
            </w:pPr>
            <w:r>
              <w:t>300</w:t>
            </w:r>
          </w:p>
        </w:tc>
        <w:tc>
          <w:tcPr>
            <w:tcW w:w="721" w:type="pct"/>
          </w:tcPr>
          <w:p w14:paraId="6045DC4A" w14:textId="77777777" w:rsidR="00B44774" w:rsidRPr="00D4442D" w:rsidRDefault="00B44774" w:rsidP="006D040C">
            <w:pPr>
              <w:spacing w:before="100" w:beforeAutospacing="1" w:after="100" w:afterAutospacing="1"/>
              <w:jc w:val="center"/>
            </w:pPr>
            <w:r>
              <w:t>1</w:t>
            </w:r>
          </w:p>
        </w:tc>
        <w:tc>
          <w:tcPr>
            <w:tcW w:w="818" w:type="pct"/>
          </w:tcPr>
          <w:p w14:paraId="7320DFCB" w14:textId="77777777" w:rsidR="00B44774" w:rsidRPr="00D4442D" w:rsidRDefault="00B44774" w:rsidP="006D040C">
            <w:pPr>
              <w:spacing w:before="100" w:beforeAutospacing="1" w:after="100" w:afterAutospacing="1"/>
              <w:jc w:val="center"/>
            </w:pPr>
            <w:r>
              <w:t>10/60</w:t>
            </w:r>
          </w:p>
        </w:tc>
        <w:tc>
          <w:tcPr>
            <w:tcW w:w="711" w:type="pct"/>
            <w:vAlign w:val="center"/>
          </w:tcPr>
          <w:p w14:paraId="4F365D0A" w14:textId="77777777" w:rsidR="00B44774" w:rsidRPr="00D4442D" w:rsidRDefault="00B44774" w:rsidP="006D040C">
            <w:pPr>
              <w:spacing w:before="100" w:beforeAutospacing="1" w:after="100" w:afterAutospacing="1"/>
              <w:jc w:val="center"/>
            </w:pPr>
            <w:r>
              <w:t>50</w:t>
            </w:r>
          </w:p>
        </w:tc>
      </w:tr>
      <w:tr w:rsidR="00B44774" w:rsidRPr="00D4442D" w14:paraId="222556A3" w14:textId="77777777" w:rsidTr="006D040C">
        <w:tc>
          <w:tcPr>
            <w:tcW w:w="760" w:type="pct"/>
            <w:vMerge/>
          </w:tcPr>
          <w:p w14:paraId="4A0B34CC" w14:textId="77777777" w:rsidR="00B44774" w:rsidRPr="00D4442D" w:rsidRDefault="00B44774" w:rsidP="006D040C">
            <w:pPr>
              <w:spacing w:before="100" w:beforeAutospacing="1" w:after="100" w:afterAutospacing="1"/>
            </w:pPr>
          </w:p>
        </w:tc>
        <w:tc>
          <w:tcPr>
            <w:tcW w:w="4240" w:type="pct"/>
            <w:gridSpan w:val="5"/>
          </w:tcPr>
          <w:p w14:paraId="2AF55E09" w14:textId="77777777" w:rsidR="00B44774" w:rsidRPr="00C94B06" w:rsidRDefault="00B44774" w:rsidP="006D040C">
            <w:pPr>
              <w:spacing w:before="100" w:beforeAutospacing="1" w:after="100" w:afterAutospacing="1"/>
              <w:jc w:val="center"/>
            </w:pPr>
            <w:r w:rsidRPr="00925797">
              <w:rPr>
                <w:b/>
                <w:i/>
              </w:rPr>
              <w:t>In-depth interviews</w:t>
            </w:r>
          </w:p>
        </w:tc>
      </w:tr>
      <w:tr w:rsidR="00B44774" w:rsidRPr="00D4442D" w14:paraId="0A7DB61D" w14:textId="77777777" w:rsidTr="006D040C">
        <w:trPr>
          <w:trHeight w:val="323"/>
        </w:trPr>
        <w:tc>
          <w:tcPr>
            <w:tcW w:w="760" w:type="pct"/>
            <w:vMerge/>
          </w:tcPr>
          <w:p w14:paraId="0D797D1D" w14:textId="77777777" w:rsidR="00B44774" w:rsidRPr="00D4442D" w:rsidRDefault="00B44774" w:rsidP="006D040C">
            <w:pPr>
              <w:spacing w:before="100" w:beforeAutospacing="1" w:after="100" w:afterAutospacing="1"/>
            </w:pPr>
          </w:p>
        </w:tc>
        <w:tc>
          <w:tcPr>
            <w:tcW w:w="1269" w:type="pct"/>
          </w:tcPr>
          <w:p w14:paraId="08C18978" w14:textId="77777777" w:rsidR="00B44774" w:rsidRPr="00D4442D" w:rsidRDefault="00B44774" w:rsidP="006D040C">
            <w:pPr>
              <w:spacing w:before="100" w:beforeAutospacing="1" w:after="100" w:afterAutospacing="1"/>
            </w:pPr>
            <w:r>
              <w:t>Phase 1</w:t>
            </w:r>
            <w:r w:rsidRPr="00D4442D">
              <w:t xml:space="preserve"> </w:t>
            </w:r>
            <w:r>
              <w:t>(Descriptive)</w:t>
            </w:r>
          </w:p>
        </w:tc>
        <w:tc>
          <w:tcPr>
            <w:tcW w:w="721" w:type="pct"/>
          </w:tcPr>
          <w:p w14:paraId="03C38276" w14:textId="77777777" w:rsidR="00B44774" w:rsidRPr="00D4442D" w:rsidRDefault="00B44774" w:rsidP="006D040C">
            <w:pPr>
              <w:spacing w:before="100" w:beforeAutospacing="1" w:after="100" w:afterAutospacing="1"/>
              <w:jc w:val="center"/>
            </w:pPr>
            <w:r>
              <w:t>9</w:t>
            </w:r>
          </w:p>
        </w:tc>
        <w:tc>
          <w:tcPr>
            <w:tcW w:w="721" w:type="pct"/>
          </w:tcPr>
          <w:p w14:paraId="7E708F60" w14:textId="77777777" w:rsidR="00B44774" w:rsidRPr="00D4442D" w:rsidRDefault="00B44774" w:rsidP="006D040C">
            <w:pPr>
              <w:spacing w:before="100" w:beforeAutospacing="1" w:after="100" w:afterAutospacing="1"/>
              <w:jc w:val="center"/>
            </w:pPr>
            <w:r>
              <w:t>1</w:t>
            </w:r>
          </w:p>
        </w:tc>
        <w:tc>
          <w:tcPr>
            <w:tcW w:w="818" w:type="pct"/>
          </w:tcPr>
          <w:p w14:paraId="3F396404" w14:textId="08F0827B" w:rsidR="00B44774" w:rsidRPr="00D4442D" w:rsidRDefault="005E1438" w:rsidP="006D040C">
            <w:pPr>
              <w:spacing w:before="100" w:beforeAutospacing="1" w:after="100" w:afterAutospacing="1"/>
              <w:jc w:val="center"/>
            </w:pPr>
            <w:r>
              <w:t>90/60</w:t>
            </w:r>
          </w:p>
        </w:tc>
        <w:tc>
          <w:tcPr>
            <w:tcW w:w="711" w:type="pct"/>
          </w:tcPr>
          <w:p w14:paraId="17BEB6F6" w14:textId="77777777" w:rsidR="00B44774" w:rsidRPr="00D4442D" w:rsidRDefault="006D040C" w:rsidP="006D040C">
            <w:pPr>
              <w:spacing w:before="100" w:beforeAutospacing="1" w:after="100" w:afterAutospacing="1"/>
              <w:jc w:val="center"/>
            </w:pPr>
            <w:r>
              <w:t>14</w:t>
            </w:r>
          </w:p>
        </w:tc>
      </w:tr>
      <w:tr w:rsidR="00B44774" w:rsidRPr="00D4442D" w14:paraId="7424B2D0" w14:textId="77777777" w:rsidTr="006D040C">
        <w:tc>
          <w:tcPr>
            <w:tcW w:w="760" w:type="pct"/>
            <w:vMerge/>
          </w:tcPr>
          <w:p w14:paraId="13C03999" w14:textId="77777777" w:rsidR="00B44774" w:rsidRPr="00D4442D" w:rsidRDefault="00B44774" w:rsidP="006D040C">
            <w:pPr>
              <w:spacing w:before="100" w:beforeAutospacing="1" w:after="100" w:afterAutospacing="1"/>
            </w:pPr>
          </w:p>
        </w:tc>
        <w:tc>
          <w:tcPr>
            <w:tcW w:w="1269" w:type="pct"/>
          </w:tcPr>
          <w:p w14:paraId="506E6BDC" w14:textId="77777777" w:rsidR="00B44774" w:rsidRPr="00D4442D" w:rsidRDefault="00B44774" w:rsidP="006D040C">
            <w:pPr>
              <w:spacing w:before="100" w:beforeAutospacing="1" w:after="100" w:afterAutospacing="1"/>
            </w:pPr>
            <w:r>
              <w:t>Phase 2 (Prescriptive)</w:t>
            </w:r>
          </w:p>
        </w:tc>
        <w:tc>
          <w:tcPr>
            <w:tcW w:w="721" w:type="pct"/>
          </w:tcPr>
          <w:p w14:paraId="372CC97D" w14:textId="77777777" w:rsidR="00B44774" w:rsidRPr="00D4442D" w:rsidRDefault="00B44774" w:rsidP="006D040C">
            <w:pPr>
              <w:spacing w:before="100" w:beforeAutospacing="1" w:after="100" w:afterAutospacing="1"/>
              <w:jc w:val="center"/>
            </w:pPr>
            <w:r>
              <w:t>9</w:t>
            </w:r>
          </w:p>
        </w:tc>
        <w:tc>
          <w:tcPr>
            <w:tcW w:w="721" w:type="pct"/>
          </w:tcPr>
          <w:p w14:paraId="4C3A8FD5" w14:textId="77777777" w:rsidR="00B44774" w:rsidRPr="00D4442D" w:rsidRDefault="00B44774" w:rsidP="006D040C">
            <w:pPr>
              <w:spacing w:before="100" w:beforeAutospacing="1" w:after="100" w:afterAutospacing="1"/>
              <w:jc w:val="center"/>
            </w:pPr>
            <w:r>
              <w:t>1</w:t>
            </w:r>
          </w:p>
        </w:tc>
        <w:tc>
          <w:tcPr>
            <w:tcW w:w="818" w:type="pct"/>
          </w:tcPr>
          <w:p w14:paraId="7DACCCE5" w14:textId="27B15D65" w:rsidR="00B44774" w:rsidRPr="00D4442D" w:rsidRDefault="005E1438" w:rsidP="006D040C">
            <w:pPr>
              <w:spacing w:before="100" w:beforeAutospacing="1" w:after="100" w:afterAutospacing="1"/>
              <w:jc w:val="center"/>
            </w:pPr>
            <w:r>
              <w:t>90/60</w:t>
            </w:r>
          </w:p>
        </w:tc>
        <w:tc>
          <w:tcPr>
            <w:tcW w:w="711" w:type="pct"/>
          </w:tcPr>
          <w:p w14:paraId="693D6A52" w14:textId="77777777" w:rsidR="00B44774" w:rsidRPr="00D4442D" w:rsidRDefault="006D040C" w:rsidP="006D040C">
            <w:pPr>
              <w:spacing w:before="100" w:beforeAutospacing="1" w:after="100" w:afterAutospacing="1"/>
              <w:jc w:val="center"/>
            </w:pPr>
            <w:r>
              <w:t>14</w:t>
            </w:r>
          </w:p>
        </w:tc>
      </w:tr>
      <w:tr w:rsidR="00B44774" w:rsidRPr="00D4442D" w14:paraId="107A232D" w14:textId="77777777" w:rsidTr="006D040C">
        <w:tc>
          <w:tcPr>
            <w:tcW w:w="760" w:type="pct"/>
            <w:vMerge/>
          </w:tcPr>
          <w:p w14:paraId="3EECCC66" w14:textId="77777777" w:rsidR="00B44774" w:rsidRPr="00D4442D" w:rsidRDefault="00B44774" w:rsidP="006D040C">
            <w:pPr>
              <w:spacing w:before="100" w:beforeAutospacing="1" w:after="100" w:afterAutospacing="1"/>
            </w:pPr>
          </w:p>
        </w:tc>
        <w:tc>
          <w:tcPr>
            <w:tcW w:w="4240" w:type="pct"/>
            <w:gridSpan w:val="5"/>
          </w:tcPr>
          <w:p w14:paraId="1D6A4231" w14:textId="77777777" w:rsidR="00B44774" w:rsidRPr="00D4442D" w:rsidRDefault="00B44774" w:rsidP="006D040C">
            <w:pPr>
              <w:spacing w:before="100" w:beforeAutospacing="1" w:after="100" w:afterAutospacing="1"/>
              <w:jc w:val="center"/>
            </w:pPr>
            <w:r>
              <w:rPr>
                <w:b/>
                <w:i/>
              </w:rPr>
              <w:t>Triads</w:t>
            </w:r>
          </w:p>
        </w:tc>
      </w:tr>
      <w:tr w:rsidR="00B44774" w:rsidRPr="00D4442D" w14:paraId="5B84E96B" w14:textId="77777777" w:rsidTr="006D040C">
        <w:tc>
          <w:tcPr>
            <w:tcW w:w="760" w:type="pct"/>
            <w:vMerge/>
          </w:tcPr>
          <w:p w14:paraId="38A432DD" w14:textId="77777777" w:rsidR="00B44774" w:rsidRPr="00D4442D" w:rsidRDefault="00B44774" w:rsidP="006D040C">
            <w:pPr>
              <w:spacing w:before="100" w:beforeAutospacing="1" w:after="100" w:afterAutospacing="1"/>
            </w:pPr>
          </w:p>
        </w:tc>
        <w:tc>
          <w:tcPr>
            <w:tcW w:w="1269" w:type="pct"/>
          </w:tcPr>
          <w:p w14:paraId="0E4026FF" w14:textId="77777777" w:rsidR="00B44774" w:rsidRPr="00D4442D" w:rsidRDefault="00B44774" w:rsidP="006D040C">
            <w:pPr>
              <w:spacing w:before="100" w:beforeAutospacing="1" w:after="100" w:afterAutospacing="1"/>
            </w:pPr>
            <w:r>
              <w:t>Phase 1</w:t>
            </w:r>
            <w:r w:rsidRPr="00D4442D">
              <w:t xml:space="preserve"> </w:t>
            </w:r>
            <w:r>
              <w:t>(Descriptive)</w:t>
            </w:r>
          </w:p>
        </w:tc>
        <w:tc>
          <w:tcPr>
            <w:tcW w:w="721" w:type="pct"/>
          </w:tcPr>
          <w:p w14:paraId="4E24CEE4" w14:textId="77777777" w:rsidR="00B44774" w:rsidRPr="00D4442D" w:rsidRDefault="00B44774" w:rsidP="006D040C">
            <w:pPr>
              <w:spacing w:before="100" w:beforeAutospacing="1" w:after="100" w:afterAutospacing="1"/>
              <w:jc w:val="center"/>
            </w:pPr>
            <w:r>
              <w:t>18</w:t>
            </w:r>
          </w:p>
        </w:tc>
        <w:tc>
          <w:tcPr>
            <w:tcW w:w="721" w:type="pct"/>
          </w:tcPr>
          <w:p w14:paraId="7521DAE4" w14:textId="77777777" w:rsidR="00B44774" w:rsidRPr="00D4442D" w:rsidRDefault="00B44774" w:rsidP="006D040C">
            <w:pPr>
              <w:spacing w:before="100" w:beforeAutospacing="1" w:after="100" w:afterAutospacing="1"/>
              <w:jc w:val="center"/>
            </w:pPr>
            <w:r>
              <w:t>1</w:t>
            </w:r>
          </w:p>
        </w:tc>
        <w:tc>
          <w:tcPr>
            <w:tcW w:w="818" w:type="pct"/>
          </w:tcPr>
          <w:p w14:paraId="2ED74368" w14:textId="18D89884" w:rsidR="00B44774" w:rsidRPr="00D4442D" w:rsidRDefault="005E1438" w:rsidP="006D040C">
            <w:pPr>
              <w:spacing w:before="100" w:beforeAutospacing="1" w:after="100" w:afterAutospacing="1"/>
              <w:jc w:val="center"/>
            </w:pPr>
            <w:r>
              <w:t>90/60</w:t>
            </w:r>
          </w:p>
        </w:tc>
        <w:tc>
          <w:tcPr>
            <w:tcW w:w="711" w:type="pct"/>
          </w:tcPr>
          <w:p w14:paraId="1341B9E3" w14:textId="77777777" w:rsidR="00B44774" w:rsidRPr="00D4442D" w:rsidRDefault="00B44774" w:rsidP="006D040C">
            <w:pPr>
              <w:spacing w:before="100" w:beforeAutospacing="1" w:after="100" w:afterAutospacing="1"/>
              <w:jc w:val="center"/>
            </w:pPr>
            <w:r>
              <w:t>27</w:t>
            </w:r>
          </w:p>
        </w:tc>
      </w:tr>
      <w:tr w:rsidR="00B44774" w:rsidRPr="00D4442D" w14:paraId="2A953CCB" w14:textId="77777777" w:rsidTr="006D040C">
        <w:tc>
          <w:tcPr>
            <w:tcW w:w="760" w:type="pct"/>
            <w:vMerge/>
          </w:tcPr>
          <w:p w14:paraId="14FB914E" w14:textId="77777777" w:rsidR="00B44774" w:rsidRPr="00D4442D" w:rsidRDefault="00B44774" w:rsidP="006D040C">
            <w:pPr>
              <w:spacing w:before="100" w:beforeAutospacing="1" w:after="100" w:afterAutospacing="1"/>
            </w:pPr>
          </w:p>
        </w:tc>
        <w:tc>
          <w:tcPr>
            <w:tcW w:w="1269" w:type="pct"/>
          </w:tcPr>
          <w:p w14:paraId="1202123D" w14:textId="77777777" w:rsidR="00B44774" w:rsidRPr="00D4442D" w:rsidRDefault="00B44774" w:rsidP="006D040C">
            <w:pPr>
              <w:spacing w:before="100" w:beforeAutospacing="1" w:after="100" w:afterAutospacing="1"/>
            </w:pPr>
            <w:r>
              <w:t>Phase 2</w:t>
            </w:r>
            <w:r w:rsidRPr="00D4442D">
              <w:t xml:space="preserve"> </w:t>
            </w:r>
            <w:r>
              <w:t>(Prescriptive)</w:t>
            </w:r>
          </w:p>
        </w:tc>
        <w:tc>
          <w:tcPr>
            <w:tcW w:w="721" w:type="pct"/>
          </w:tcPr>
          <w:p w14:paraId="74826AC6" w14:textId="77777777" w:rsidR="00B44774" w:rsidRPr="00D4442D" w:rsidRDefault="00B44774" w:rsidP="006D040C">
            <w:pPr>
              <w:spacing w:before="100" w:beforeAutospacing="1" w:after="100" w:afterAutospacing="1"/>
              <w:jc w:val="center"/>
            </w:pPr>
            <w:r>
              <w:t>18</w:t>
            </w:r>
          </w:p>
        </w:tc>
        <w:tc>
          <w:tcPr>
            <w:tcW w:w="721" w:type="pct"/>
          </w:tcPr>
          <w:p w14:paraId="4A472C1C" w14:textId="77777777" w:rsidR="00B44774" w:rsidRPr="00D4442D" w:rsidRDefault="00B44774" w:rsidP="006D040C">
            <w:pPr>
              <w:spacing w:before="100" w:beforeAutospacing="1" w:after="100" w:afterAutospacing="1"/>
              <w:jc w:val="center"/>
            </w:pPr>
            <w:r>
              <w:t>1</w:t>
            </w:r>
          </w:p>
        </w:tc>
        <w:tc>
          <w:tcPr>
            <w:tcW w:w="818" w:type="pct"/>
          </w:tcPr>
          <w:p w14:paraId="27740384" w14:textId="1A39D739" w:rsidR="00B44774" w:rsidRPr="00D4442D" w:rsidRDefault="005E1438" w:rsidP="006D040C">
            <w:pPr>
              <w:spacing w:before="100" w:beforeAutospacing="1" w:after="100" w:afterAutospacing="1"/>
              <w:jc w:val="center"/>
            </w:pPr>
            <w:r>
              <w:t>90/60</w:t>
            </w:r>
            <w:bookmarkStart w:id="0" w:name="_GoBack"/>
            <w:bookmarkEnd w:id="0"/>
          </w:p>
        </w:tc>
        <w:tc>
          <w:tcPr>
            <w:tcW w:w="711" w:type="pct"/>
          </w:tcPr>
          <w:p w14:paraId="28B7B486" w14:textId="77777777" w:rsidR="00B44774" w:rsidRPr="00D4442D" w:rsidRDefault="00B44774" w:rsidP="006D040C">
            <w:pPr>
              <w:spacing w:before="100" w:beforeAutospacing="1" w:after="100" w:afterAutospacing="1"/>
              <w:jc w:val="center"/>
            </w:pPr>
            <w:r>
              <w:t>27</w:t>
            </w:r>
          </w:p>
        </w:tc>
      </w:tr>
      <w:tr w:rsidR="001523D5" w:rsidRPr="001523D5" w14:paraId="12A88796" w14:textId="77777777" w:rsidTr="006D040C">
        <w:tc>
          <w:tcPr>
            <w:tcW w:w="760" w:type="pct"/>
            <w:vMerge/>
          </w:tcPr>
          <w:p w14:paraId="45B48F25" w14:textId="77777777" w:rsidR="001523D5" w:rsidRPr="001523D5" w:rsidRDefault="001523D5" w:rsidP="006D040C">
            <w:pPr>
              <w:spacing w:before="100" w:beforeAutospacing="1" w:after="100" w:afterAutospacing="1"/>
              <w:rPr>
                <w:b/>
              </w:rPr>
            </w:pPr>
          </w:p>
        </w:tc>
        <w:tc>
          <w:tcPr>
            <w:tcW w:w="1269" w:type="pct"/>
          </w:tcPr>
          <w:p w14:paraId="3AE445EC" w14:textId="3E152ECF" w:rsidR="001523D5" w:rsidRPr="001523D5" w:rsidRDefault="001523D5" w:rsidP="006D040C">
            <w:pPr>
              <w:spacing w:before="100" w:beforeAutospacing="1" w:after="100" w:afterAutospacing="1"/>
              <w:rPr>
                <w:b/>
              </w:rPr>
            </w:pPr>
            <w:r w:rsidRPr="001523D5">
              <w:rPr>
                <w:b/>
              </w:rPr>
              <w:t>Total</w:t>
            </w:r>
          </w:p>
        </w:tc>
        <w:tc>
          <w:tcPr>
            <w:tcW w:w="721" w:type="pct"/>
          </w:tcPr>
          <w:p w14:paraId="625B5383" w14:textId="4DB18A53" w:rsidR="001523D5" w:rsidRPr="001523D5" w:rsidRDefault="001523D5" w:rsidP="006D040C">
            <w:pPr>
              <w:spacing w:before="100" w:beforeAutospacing="1" w:after="100" w:afterAutospacing="1"/>
              <w:jc w:val="center"/>
              <w:rPr>
                <w:b/>
              </w:rPr>
            </w:pPr>
            <w:r w:rsidRPr="001523D5">
              <w:rPr>
                <w:b/>
              </w:rPr>
              <w:t>354</w:t>
            </w:r>
          </w:p>
        </w:tc>
        <w:tc>
          <w:tcPr>
            <w:tcW w:w="721" w:type="pct"/>
          </w:tcPr>
          <w:p w14:paraId="649FAE31" w14:textId="77777777" w:rsidR="001523D5" w:rsidRPr="001523D5" w:rsidRDefault="001523D5" w:rsidP="006D040C">
            <w:pPr>
              <w:spacing w:before="100" w:beforeAutospacing="1" w:after="100" w:afterAutospacing="1"/>
              <w:jc w:val="center"/>
              <w:rPr>
                <w:b/>
              </w:rPr>
            </w:pPr>
          </w:p>
        </w:tc>
        <w:tc>
          <w:tcPr>
            <w:tcW w:w="818" w:type="pct"/>
          </w:tcPr>
          <w:p w14:paraId="5CEA7354" w14:textId="77777777" w:rsidR="001523D5" w:rsidRPr="001523D5" w:rsidRDefault="001523D5" w:rsidP="006D040C">
            <w:pPr>
              <w:spacing w:before="100" w:beforeAutospacing="1" w:after="100" w:afterAutospacing="1"/>
              <w:jc w:val="center"/>
              <w:rPr>
                <w:b/>
              </w:rPr>
            </w:pPr>
          </w:p>
        </w:tc>
        <w:tc>
          <w:tcPr>
            <w:tcW w:w="711" w:type="pct"/>
          </w:tcPr>
          <w:p w14:paraId="29573C14" w14:textId="6666416F" w:rsidR="001523D5" w:rsidRPr="001523D5" w:rsidRDefault="001523D5" w:rsidP="006D040C">
            <w:pPr>
              <w:spacing w:before="100" w:beforeAutospacing="1" w:after="100" w:afterAutospacing="1"/>
              <w:jc w:val="center"/>
              <w:rPr>
                <w:b/>
              </w:rPr>
            </w:pPr>
            <w:r w:rsidRPr="001523D5">
              <w:rPr>
                <w:b/>
              </w:rPr>
              <w:t>132</w:t>
            </w:r>
          </w:p>
        </w:tc>
      </w:tr>
    </w:tbl>
    <w:p w14:paraId="49C13B44" w14:textId="77777777" w:rsidR="00B46F2C" w:rsidRPr="001523D5" w:rsidRDefault="00B46F2C" w:rsidP="00F3170F">
      <w:pPr>
        <w:rPr>
          <w:rFonts w:ascii="Arial" w:hAnsi="Arial"/>
          <w:b/>
        </w:rPr>
      </w:pPr>
    </w:p>
    <w:p w14:paraId="150B7A72" w14:textId="013ECA3C" w:rsidR="00B46F2C" w:rsidRPr="0089539F" w:rsidRDefault="00B46F2C">
      <w:pPr>
        <w:rPr>
          <w:rFonts w:ascii="Arial" w:hAnsi="Arial" w:cs="Arial"/>
          <w:b/>
          <w:color w:val="FF0000"/>
          <w:sz w:val="20"/>
          <w:szCs w:val="20"/>
        </w:rPr>
      </w:pPr>
      <w:r w:rsidRPr="00B372FB">
        <w:rPr>
          <w:rFonts w:ascii="Arial" w:hAnsi="Arial"/>
          <w:b/>
        </w:rPr>
        <w:t xml:space="preserve">FEDERAL COST:  </w:t>
      </w:r>
      <w:r w:rsidRPr="0089539F">
        <w:rPr>
          <w:rFonts w:ascii="Arial" w:hAnsi="Arial"/>
          <w:sz w:val="20"/>
          <w:szCs w:val="20"/>
        </w:rPr>
        <w:t xml:space="preserve">The estimated annual cost to the Federal government is </w:t>
      </w:r>
      <w:r w:rsidR="00B44774" w:rsidRPr="0089539F">
        <w:rPr>
          <w:rFonts w:ascii="Arial" w:hAnsi="Arial"/>
          <w:sz w:val="20"/>
          <w:szCs w:val="20"/>
        </w:rPr>
        <w:t>$250,</w:t>
      </w:r>
      <w:r w:rsidR="00B44774" w:rsidRPr="0089539F">
        <w:rPr>
          <w:rFonts w:ascii="Arial" w:hAnsi="Arial" w:cs="Arial"/>
          <w:sz w:val="20"/>
          <w:szCs w:val="20"/>
        </w:rPr>
        <w:t>450.</w:t>
      </w:r>
      <w:r w:rsidR="0089539F" w:rsidRPr="0089539F">
        <w:rPr>
          <w:rFonts w:ascii="Arial" w:hAnsi="Arial" w:cs="Arial"/>
          <w:sz w:val="20"/>
          <w:szCs w:val="20"/>
        </w:rPr>
        <w:t xml:space="preserve"> The federal government personnel estimate is based on cost of the three CDC staff and two consultants. Federal staff and consultant responsibilities include overall management and oversight of the project and provision of content matter expertise in the development of the research strategy and data collection instruments. Contractor costs include direct labor for development of instruments, data collection, analysis and reporting for both phases of the formative research. Other direct contractor costs include subcontractors, travel, and facility rental, participant recruitment and incentives; and indirect costs such as fringe, overhead, general and administrative fees.</w:t>
      </w:r>
    </w:p>
    <w:p w14:paraId="674C5CE9" w14:textId="77777777" w:rsidR="00B46F2C" w:rsidRPr="00846B36" w:rsidRDefault="00B46F2C" w:rsidP="00F06866">
      <w:pPr>
        <w:rPr>
          <w:rFonts w:ascii="Arial" w:hAnsi="Arial"/>
          <w:b/>
        </w:rPr>
      </w:pPr>
      <w:r w:rsidRPr="00846B36">
        <w:rPr>
          <w:rFonts w:ascii="Arial" w:hAnsi="Arial"/>
          <w:b/>
          <w:bCs/>
        </w:rPr>
        <w:t>If you are conducting a focus group, survey, or plan to employ statistical methods, please provide answers to the following questions:</w:t>
      </w:r>
    </w:p>
    <w:p w14:paraId="77953F2B" w14:textId="77777777" w:rsidR="00B46F2C" w:rsidRPr="00B372FB" w:rsidRDefault="00B46F2C" w:rsidP="00F06866">
      <w:pPr>
        <w:rPr>
          <w:rFonts w:ascii="Arial" w:hAnsi="Arial"/>
          <w:b/>
        </w:rPr>
      </w:pPr>
      <w:r w:rsidRPr="00B372FB">
        <w:rPr>
          <w:rFonts w:ascii="Arial" w:hAnsi="Arial"/>
          <w:b/>
        </w:rPr>
        <w:t>The selection of your targeted respondents</w:t>
      </w:r>
    </w:p>
    <w:p w14:paraId="33A53D5F" w14:textId="77777777" w:rsidR="00B46F2C" w:rsidRPr="00B372FB" w:rsidRDefault="00B46F2C" w:rsidP="0069403B">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00CC744B">
        <w:rPr>
          <w:rFonts w:ascii="Arial" w:hAnsi="Arial"/>
        </w:rPr>
        <w:t xml:space="preserve"> </w:t>
      </w:r>
      <w:r w:rsidRPr="00B372FB">
        <w:rPr>
          <w:rFonts w:ascii="Arial" w:hAnsi="Arial"/>
        </w:rPr>
        <w:t>[</w:t>
      </w:r>
      <w:r w:rsidR="00043C34">
        <w:rPr>
          <w:rFonts w:ascii="Arial" w:hAnsi="Arial"/>
        </w:rPr>
        <w:t>X</w:t>
      </w:r>
      <w:r w:rsidRPr="00B372FB">
        <w:rPr>
          <w:rFonts w:ascii="Arial" w:hAnsi="Arial"/>
        </w:rPr>
        <w:t xml:space="preserve"> ] Yes</w:t>
      </w:r>
      <w:r w:rsidR="00CC744B">
        <w:rPr>
          <w:rFonts w:ascii="Arial" w:hAnsi="Arial"/>
        </w:rPr>
        <w:t xml:space="preserve"> </w:t>
      </w:r>
      <w:r w:rsidRPr="00B372FB">
        <w:rPr>
          <w:rFonts w:ascii="Arial" w:hAnsi="Arial"/>
        </w:rPr>
        <w:t>[</w:t>
      </w:r>
      <w:r w:rsidR="00CC744B">
        <w:rPr>
          <w:rFonts w:ascii="Arial" w:hAnsi="Arial"/>
        </w:rPr>
        <w:t xml:space="preserve"> </w:t>
      </w:r>
      <w:r w:rsidRPr="00B372FB">
        <w:rPr>
          <w:rFonts w:ascii="Arial" w:hAnsi="Arial"/>
        </w:rPr>
        <w:t>] No</w:t>
      </w:r>
    </w:p>
    <w:p w14:paraId="65303CF3" w14:textId="77777777" w:rsidR="00B46F2C" w:rsidRPr="00B372FB" w:rsidRDefault="00B46F2C" w:rsidP="00A403BB">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14:paraId="0740C1E0" w14:textId="4CFBD8D9" w:rsidR="004365C8" w:rsidRPr="00ED1606" w:rsidRDefault="008F6CAC" w:rsidP="004365C8">
      <w:pPr>
        <w:pStyle w:val="BodyText"/>
        <w:rPr>
          <w:rFonts w:ascii="Arial" w:hAnsi="Arial" w:cs="Arial"/>
          <w:i w:val="0"/>
        </w:rPr>
      </w:pPr>
      <w:r w:rsidRPr="00ED1606">
        <w:rPr>
          <w:rFonts w:ascii="Arial" w:hAnsi="Arial" w:cs="Arial"/>
          <w:i w:val="0"/>
        </w:rPr>
        <w:t xml:space="preserve">The study sample will be a nonprobability-based purposeful sample. Therefore, the results are not generalizable to the general population. </w:t>
      </w:r>
      <w:r w:rsidR="00B737EE" w:rsidRPr="00ED1606">
        <w:rPr>
          <w:rFonts w:ascii="Arial" w:hAnsi="Arial" w:cs="Arial"/>
          <w:i w:val="0"/>
        </w:rPr>
        <w:t xml:space="preserve">Statistical power is not applicable because this is a qualitative study. </w:t>
      </w:r>
      <w:r w:rsidR="004365C8" w:rsidRPr="00ED1606">
        <w:rPr>
          <w:rFonts w:ascii="Arial" w:hAnsi="Arial" w:cs="Arial"/>
          <w:i w:val="0"/>
        </w:rPr>
        <w:t xml:space="preserve">The audience </w:t>
      </w:r>
      <w:r w:rsidR="00770E75">
        <w:rPr>
          <w:rFonts w:ascii="Arial" w:hAnsi="Arial" w:cs="Arial"/>
          <w:i w:val="0"/>
        </w:rPr>
        <w:t xml:space="preserve">for this research will be adults aged 21 to 55 </w:t>
      </w:r>
      <w:r w:rsidR="00ED1606" w:rsidRPr="00ED1606">
        <w:rPr>
          <w:rFonts w:ascii="Arial" w:hAnsi="Arial" w:cs="Arial"/>
          <w:i w:val="0"/>
        </w:rPr>
        <w:t>who drink alcohol</w:t>
      </w:r>
      <w:r w:rsidR="004365C8" w:rsidRPr="00ED1606">
        <w:rPr>
          <w:rFonts w:ascii="Arial" w:hAnsi="Arial" w:cs="Arial"/>
          <w:i w:val="0"/>
        </w:rPr>
        <w:t xml:space="preserve">. </w:t>
      </w:r>
      <w:r w:rsidRPr="00ED1606">
        <w:rPr>
          <w:rFonts w:ascii="Arial" w:hAnsi="Arial" w:cs="Arial"/>
          <w:i w:val="0"/>
        </w:rPr>
        <w:t xml:space="preserve">The contractor anticipates screening 300 individuals to obtain 54 consumer </w:t>
      </w:r>
      <w:r w:rsidR="00B737EE" w:rsidRPr="00ED1606">
        <w:rPr>
          <w:rFonts w:ascii="Arial" w:hAnsi="Arial" w:cs="Arial"/>
          <w:i w:val="0"/>
        </w:rPr>
        <w:t>participants</w:t>
      </w:r>
      <w:r w:rsidRPr="00ED1606">
        <w:rPr>
          <w:rFonts w:ascii="Arial" w:hAnsi="Arial" w:cs="Arial"/>
          <w:i w:val="0"/>
        </w:rPr>
        <w:t xml:space="preserve">. </w:t>
      </w:r>
      <w:r w:rsidR="00F67186" w:rsidRPr="00ED1606">
        <w:rPr>
          <w:rFonts w:ascii="Arial" w:hAnsi="Arial" w:cs="Arial"/>
          <w:i w:val="0"/>
        </w:rPr>
        <w:t xml:space="preserve">Data collection will consist of 18 individual interviews and 12 triads (36 participants). </w:t>
      </w:r>
      <w:r w:rsidR="004429D7" w:rsidRPr="00ED1606">
        <w:rPr>
          <w:rFonts w:ascii="Arial" w:hAnsi="Arial" w:cs="Arial"/>
          <w:i w:val="0"/>
        </w:rPr>
        <w:t xml:space="preserve">All in-depth interviews and triads will be conducted only one time. Participants will be recruited from Raleigh, North Carolina; Saint Louis, Missouri; and </w:t>
      </w:r>
      <w:r w:rsidR="00ED1606">
        <w:rPr>
          <w:rFonts w:ascii="Arial" w:hAnsi="Arial" w:cs="Arial"/>
          <w:i w:val="0"/>
        </w:rPr>
        <w:t xml:space="preserve">San </w:t>
      </w:r>
      <w:r w:rsidR="00ED1606">
        <w:rPr>
          <w:rFonts w:ascii="Arial" w:hAnsi="Arial" w:cs="Arial"/>
          <w:i w:val="0"/>
        </w:rPr>
        <w:lastRenderedPageBreak/>
        <w:t>Diego, California</w:t>
      </w:r>
      <w:r w:rsidR="004429D7" w:rsidRPr="00ED1606">
        <w:rPr>
          <w:rFonts w:ascii="Arial" w:hAnsi="Arial" w:cs="Arial"/>
          <w:i w:val="0"/>
        </w:rPr>
        <w:t xml:space="preserve">. </w:t>
      </w:r>
      <w:r w:rsidR="00B737EE" w:rsidRPr="00ED1606">
        <w:rPr>
          <w:rFonts w:ascii="Arial" w:hAnsi="Arial" w:cs="Arial"/>
          <w:i w:val="0"/>
        </w:rPr>
        <w:t>Participants will be recruited through local professional recruitment firms hired by the contractor. Most participants will come from an existing database (or list) of potential participants owned and maintained by each recruitment firm. In some cases</w:t>
      </w:r>
      <w:r w:rsidR="00ED1606">
        <w:rPr>
          <w:rFonts w:ascii="Arial" w:hAnsi="Arial" w:cs="Arial"/>
          <w:i w:val="0"/>
        </w:rPr>
        <w:t>,</w:t>
      </w:r>
      <w:r w:rsidR="00B737EE" w:rsidRPr="00ED1606">
        <w:rPr>
          <w:rFonts w:ascii="Arial" w:hAnsi="Arial" w:cs="Arial"/>
          <w:i w:val="0"/>
        </w:rPr>
        <w:t xml:space="preserve"> a recruiter may supplement their database with additional outreach (e.g., newspaper or internet ads). </w:t>
      </w:r>
      <w:r w:rsidR="004365C8" w:rsidRPr="00ED1606">
        <w:rPr>
          <w:rFonts w:ascii="Arial" w:hAnsi="Arial" w:cs="Arial"/>
          <w:i w:val="0"/>
        </w:rPr>
        <w:t>Screening data will be collected through a two-step process using a standardized screening instrument (</w:t>
      </w:r>
      <w:r w:rsidR="004365C8" w:rsidRPr="00ED1606">
        <w:rPr>
          <w:rFonts w:ascii="Arial" w:hAnsi="Arial" w:cs="Arial"/>
          <w:b/>
          <w:i w:val="0"/>
        </w:rPr>
        <w:t xml:space="preserve">Attachment </w:t>
      </w:r>
      <w:r w:rsidR="00996D9D">
        <w:rPr>
          <w:rFonts w:ascii="Arial" w:hAnsi="Arial" w:cs="Arial"/>
          <w:b/>
          <w:i w:val="0"/>
        </w:rPr>
        <w:t>A</w:t>
      </w:r>
      <w:r w:rsidR="004365C8" w:rsidRPr="00ED1606">
        <w:rPr>
          <w:rFonts w:ascii="Arial" w:hAnsi="Arial" w:cs="Arial"/>
          <w:i w:val="0"/>
        </w:rPr>
        <w:t>)</w:t>
      </w:r>
      <w:r w:rsidR="004429D7" w:rsidRPr="00ED1606">
        <w:rPr>
          <w:rFonts w:ascii="Arial" w:hAnsi="Arial" w:cs="Arial"/>
          <w:i w:val="0"/>
        </w:rPr>
        <w:t xml:space="preserve"> to facilitate recruitment of participants into the study</w:t>
      </w:r>
      <w:r w:rsidR="004365C8" w:rsidRPr="00ED1606">
        <w:rPr>
          <w:rFonts w:ascii="Arial" w:hAnsi="Arial" w:cs="Arial"/>
          <w:i w:val="0"/>
        </w:rPr>
        <w:t xml:space="preserve">. The first part of the screener that includes questions about alcohol use will be done by email (potential participants will receive a link to an online version of the screener). The recruiter will then contact eligible participants by phone to administer the rest of the screener which consists of mostly demographic questions such as age, race/ethnicity, gender, and education level. The recruiters will </w:t>
      </w:r>
      <w:r w:rsidR="004429D7" w:rsidRPr="00ED1606">
        <w:rPr>
          <w:rFonts w:ascii="Arial" w:hAnsi="Arial" w:cs="Arial"/>
          <w:i w:val="0"/>
        </w:rPr>
        <w:t xml:space="preserve">then </w:t>
      </w:r>
      <w:r w:rsidR="004365C8" w:rsidRPr="00ED1606">
        <w:rPr>
          <w:rFonts w:ascii="Arial" w:hAnsi="Arial" w:cs="Arial"/>
          <w:i w:val="0"/>
        </w:rPr>
        <w:t xml:space="preserve">collect and/or confirm the names, emails and physical addresses, and phone numbers of the eligible individuals who agree to participate and have been given an appointment for an interview or triad. This information will be used to send participants a confirmation of their appointment and directions to the facility (sent by either email or regular mail). The recruiters will also place reminder calls to participants one day before their appointment.  </w:t>
      </w:r>
    </w:p>
    <w:p w14:paraId="55F05651" w14:textId="77777777" w:rsidR="00B46F2C" w:rsidRPr="00B372FB" w:rsidRDefault="00B46F2C" w:rsidP="00A403BB">
      <w:pPr>
        <w:rPr>
          <w:rFonts w:ascii="Arial" w:hAnsi="Arial"/>
          <w:b/>
        </w:rPr>
      </w:pPr>
      <w:r w:rsidRPr="00B372FB">
        <w:rPr>
          <w:rFonts w:ascii="Arial" w:hAnsi="Arial"/>
          <w:b/>
        </w:rPr>
        <w:t>Administration of the Instrument</w:t>
      </w:r>
    </w:p>
    <w:p w14:paraId="002C5319" w14:textId="77777777" w:rsidR="00B46F2C" w:rsidRPr="00B372FB" w:rsidRDefault="00B46F2C" w:rsidP="00A403BB">
      <w:pPr>
        <w:pStyle w:val="ListParagraph"/>
        <w:numPr>
          <w:ilvl w:val="0"/>
          <w:numId w:val="17"/>
        </w:numPr>
        <w:rPr>
          <w:rFonts w:ascii="Arial" w:hAnsi="Arial"/>
        </w:rPr>
      </w:pPr>
      <w:r w:rsidRPr="00B372FB">
        <w:rPr>
          <w:rFonts w:ascii="Arial" w:hAnsi="Arial"/>
        </w:rPr>
        <w:t>How will you collect the information? (Check all that apply)</w:t>
      </w:r>
    </w:p>
    <w:p w14:paraId="3F7C8840" w14:textId="77777777" w:rsidR="00B46F2C" w:rsidRPr="00B372FB" w:rsidRDefault="00B46F2C" w:rsidP="001B0AAA">
      <w:pPr>
        <w:ind w:left="720"/>
        <w:rPr>
          <w:rFonts w:ascii="Arial" w:hAnsi="Arial"/>
        </w:rPr>
      </w:pPr>
      <w:r w:rsidRPr="00B372FB">
        <w:rPr>
          <w:rFonts w:ascii="Arial" w:hAnsi="Arial"/>
        </w:rPr>
        <w:t xml:space="preserve">[ </w:t>
      </w:r>
      <w:r w:rsidR="00B44774">
        <w:rPr>
          <w:rFonts w:ascii="Arial" w:hAnsi="Arial"/>
        </w:rPr>
        <w:t>X</w:t>
      </w:r>
      <w:r w:rsidRPr="00B372FB">
        <w:rPr>
          <w:rFonts w:ascii="Arial" w:hAnsi="Arial"/>
        </w:rPr>
        <w:t xml:space="preserve"> ] Web-based or other forms of Social Media </w:t>
      </w:r>
    </w:p>
    <w:p w14:paraId="2783D280" w14:textId="77777777" w:rsidR="00B46F2C" w:rsidRPr="00B372FB" w:rsidRDefault="00B46F2C" w:rsidP="001B0AAA">
      <w:pPr>
        <w:ind w:left="720"/>
        <w:rPr>
          <w:rFonts w:ascii="Arial" w:hAnsi="Arial"/>
        </w:rPr>
      </w:pPr>
      <w:r w:rsidRPr="00B372FB">
        <w:rPr>
          <w:rFonts w:ascii="Arial" w:hAnsi="Arial"/>
        </w:rPr>
        <w:t xml:space="preserve">[ </w:t>
      </w:r>
      <w:r w:rsidR="00B44774">
        <w:rPr>
          <w:rFonts w:ascii="Arial" w:hAnsi="Arial"/>
        </w:rPr>
        <w:t>X</w:t>
      </w:r>
      <w:r w:rsidRPr="00B372FB">
        <w:rPr>
          <w:rFonts w:ascii="Arial" w:hAnsi="Arial"/>
        </w:rPr>
        <w:t xml:space="preserve"> ] Telephone</w:t>
      </w:r>
      <w:r w:rsidRPr="00B372FB">
        <w:rPr>
          <w:rFonts w:ascii="Arial" w:hAnsi="Arial"/>
        </w:rPr>
        <w:tab/>
      </w:r>
    </w:p>
    <w:p w14:paraId="072F32CC" w14:textId="77777777" w:rsidR="00B46F2C" w:rsidRPr="00B372FB" w:rsidRDefault="00B46F2C" w:rsidP="001B0AAA">
      <w:pPr>
        <w:ind w:left="720"/>
        <w:rPr>
          <w:rFonts w:ascii="Arial" w:hAnsi="Arial"/>
        </w:rPr>
      </w:pPr>
      <w:r w:rsidRPr="00B372FB">
        <w:rPr>
          <w:rFonts w:ascii="Arial" w:hAnsi="Arial"/>
        </w:rPr>
        <w:t>[</w:t>
      </w:r>
      <w:r w:rsidR="00B44774">
        <w:rPr>
          <w:rFonts w:ascii="Arial" w:hAnsi="Arial"/>
        </w:rPr>
        <w:t xml:space="preserve"> X</w:t>
      </w:r>
      <w:r w:rsidRPr="00B372FB">
        <w:rPr>
          <w:rFonts w:ascii="Arial" w:hAnsi="Arial"/>
        </w:rPr>
        <w:t xml:space="preserve"> ] In-person</w:t>
      </w:r>
      <w:r w:rsidRPr="00B372FB">
        <w:rPr>
          <w:rFonts w:ascii="Arial" w:hAnsi="Arial"/>
        </w:rPr>
        <w:tab/>
      </w:r>
    </w:p>
    <w:p w14:paraId="38BC7BB9" w14:textId="77777777" w:rsidR="00B46F2C" w:rsidRPr="00B372FB" w:rsidRDefault="00B46F2C" w:rsidP="001B0AAA">
      <w:pPr>
        <w:ind w:left="720"/>
        <w:rPr>
          <w:rFonts w:ascii="Arial" w:hAnsi="Arial"/>
        </w:rPr>
      </w:pPr>
      <w:r w:rsidRPr="00B372FB">
        <w:rPr>
          <w:rFonts w:ascii="Arial" w:hAnsi="Arial"/>
        </w:rPr>
        <w:t xml:space="preserve">[  ] Mail </w:t>
      </w:r>
    </w:p>
    <w:p w14:paraId="31E34A37" w14:textId="77777777" w:rsidR="00B46F2C" w:rsidRPr="00B372FB" w:rsidRDefault="00B46F2C" w:rsidP="001B0AAA">
      <w:pPr>
        <w:ind w:left="720"/>
        <w:rPr>
          <w:rFonts w:ascii="Arial" w:hAnsi="Arial"/>
        </w:rPr>
      </w:pPr>
      <w:r w:rsidRPr="00B372FB">
        <w:rPr>
          <w:rFonts w:ascii="Arial" w:hAnsi="Arial"/>
        </w:rPr>
        <w:t>[  ] Other, Explain</w:t>
      </w:r>
    </w:p>
    <w:p w14:paraId="77A2E9EE" w14:textId="77777777" w:rsidR="00B46F2C" w:rsidRPr="00B372FB" w:rsidRDefault="00B46F2C" w:rsidP="00F24CFC">
      <w:pPr>
        <w:pStyle w:val="ListParagraph"/>
        <w:numPr>
          <w:ilvl w:val="0"/>
          <w:numId w:val="17"/>
        </w:numPr>
        <w:rPr>
          <w:rFonts w:ascii="Arial" w:hAnsi="Arial"/>
        </w:rPr>
      </w:pPr>
      <w:r w:rsidRPr="00B372FB">
        <w:rPr>
          <w:rFonts w:ascii="Arial" w:hAnsi="Arial"/>
        </w:rPr>
        <w:t xml:space="preserve">Will interviewers or facilitators be used?  [ </w:t>
      </w:r>
      <w:r w:rsidR="00B44774">
        <w:rPr>
          <w:rFonts w:ascii="Arial" w:hAnsi="Arial"/>
        </w:rPr>
        <w:t>X</w:t>
      </w:r>
      <w:r w:rsidRPr="00B372FB">
        <w:rPr>
          <w:rFonts w:ascii="Arial" w:hAnsi="Arial"/>
        </w:rPr>
        <w:t xml:space="preserve"> ] Yes [  ] No</w:t>
      </w:r>
    </w:p>
    <w:p w14:paraId="3FF55A61" w14:textId="77A14DF4" w:rsidR="0063709D" w:rsidRPr="00996D9D" w:rsidRDefault="00F51F8F" w:rsidP="0063709D">
      <w:pPr>
        <w:pStyle w:val="after-12"/>
        <w:spacing w:before="0" w:after="0"/>
        <w:ind w:firstLine="0"/>
        <w:rPr>
          <w:rFonts w:ascii="Arial" w:hAnsi="Arial" w:cs="Arial"/>
          <w:sz w:val="20"/>
          <w:szCs w:val="20"/>
        </w:rPr>
      </w:pPr>
      <w:r>
        <w:rPr>
          <w:rFonts w:ascii="Arial" w:hAnsi="Arial" w:cs="Arial"/>
          <w:sz w:val="20"/>
          <w:szCs w:val="20"/>
        </w:rPr>
        <w:tab/>
      </w:r>
      <w:r w:rsidR="0063709D" w:rsidRPr="00996D9D">
        <w:rPr>
          <w:rFonts w:ascii="Arial" w:hAnsi="Arial" w:cs="Arial"/>
          <w:sz w:val="20"/>
          <w:szCs w:val="20"/>
        </w:rPr>
        <w:t>The contractor will collect information for this study in the following ways:</w:t>
      </w:r>
    </w:p>
    <w:p w14:paraId="380A82F2" w14:textId="14D45227" w:rsidR="00996D9D" w:rsidRPr="00996D9D" w:rsidRDefault="00996D9D" w:rsidP="00996D9D">
      <w:pPr>
        <w:pStyle w:val="BodyText"/>
        <w:rPr>
          <w:rFonts w:ascii="Arial" w:hAnsi="Arial" w:cs="Arial"/>
          <w:i w:val="0"/>
        </w:rPr>
      </w:pPr>
      <w:r w:rsidRPr="00996D9D">
        <w:rPr>
          <w:rFonts w:ascii="Arial" w:hAnsi="Arial" w:cs="Arial"/>
        </w:rPr>
        <w:t>Screening</w:t>
      </w:r>
      <w:r>
        <w:rPr>
          <w:rFonts w:ascii="Arial" w:hAnsi="Arial" w:cs="Arial"/>
          <w:i w:val="0"/>
        </w:rPr>
        <w:t xml:space="preserve">: </w:t>
      </w:r>
      <w:r w:rsidRPr="00996D9D">
        <w:rPr>
          <w:rFonts w:ascii="Arial" w:hAnsi="Arial" w:cs="Arial"/>
          <w:i w:val="0"/>
        </w:rPr>
        <w:t>Screening data will be collected through a two-step process using a standardized screening instrument (</w:t>
      </w:r>
      <w:r w:rsidRPr="00996D9D">
        <w:rPr>
          <w:rFonts w:ascii="Arial" w:hAnsi="Arial" w:cs="Arial"/>
          <w:b/>
          <w:i w:val="0"/>
        </w:rPr>
        <w:t xml:space="preserve">Attachment </w:t>
      </w:r>
      <w:r>
        <w:rPr>
          <w:rFonts w:ascii="Arial" w:hAnsi="Arial" w:cs="Arial"/>
          <w:b/>
          <w:i w:val="0"/>
        </w:rPr>
        <w:t>A</w:t>
      </w:r>
      <w:r w:rsidRPr="00996D9D">
        <w:rPr>
          <w:rFonts w:ascii="Arial" w:hAnsi="Arial" w:cs="Arial"/>
          <w:i w:val="0"/>
        </w:rPr>
        <w:t xml:space="preserve">). The first part of the screener that includes questions about alcohol use (CDC, 2014) will be done by email (potential participants will receive a link to an online version of the screener). The recruiter will then contact eligible participants by phone to administer the rest of the screener which consists of mostly demographic questions such as age, race/ethnicity, gender, and education level. </w:t>
      </w:r>
    </w:p>
    <w:p w14:paraId="064E42DA" w14:textId="77777777" w:rsidR="00996D9D" w:rsidRPr="00996D9D" w:rsidRDefault="00996D9D" w:rsidP="00996D9D">
      <w:pPr>
        <w:pStyle w:val="BodyText"/>
        <w:rPr>
          <w:rFonts w:ascii="Arial" w:hAnsi="Arial" w:cs="Arial"/>
          <w:i w:val="0"/>
        </w:rPr>
      </w:pPr>
      <w:r w:rsidRPr="00996D9D">
        <w:rPr>
          <w:rFonts w:ascii="Arial" w:hAnsi="Arial" w:cs="Arial"/>
          <w:i w:val="0"/>
        </w:rPr>
        <w:t xml:space="preserve">The recruiters will collect and/or confirm the names, emails and physical addresses, and phone numbers of the eligible individuals who agree to participate and have been given an appointment for an interview or triad. This information will be used to send participants a confirmation of their appointment and directions to the facility (sent by either email or regular mail). The recruiters will also place reminder calls to participants one day before their appointment.  All personally identifiable information (PII) will be maintained by the recruiters in locked file cabinets or on secure online servers. No PII will be sent to RTI or CDC. </w:t>
      </w:r>
    </w:p>
    <w:p w14:paraId="3065007D" w14:textId="10B9155A" w:rsidR="00F51F8F" w:rsidRDefault="00996D9D" w:rsidP="00996D9D">
      <w:pPr>
        <w:pStyle w:val="BodyText"/>
        <w:spacing w:after="0"/>
      </w:pPr>
      <w:r w:rsidRPr="00996D9D">
        <w:rPr>
          <w:rFonts w:ascii="Arial" w:hAnsi="Arial" w:cs="Arial"/>
        </w:rPr>
        <w:t>Interviews and Triads</w:t>
      </w:r>
      <w:r w:rsidRPr="00996D9D">
        <w:rPr>
          <w:rFonts w:ascii="Arial" w:hAnsi="Arial" w:cs="Arial"/>
          <w:i w:val="0"/>
        </w:rPr>
        <w:t xml:space="preserve">: There will be 18 respondents for individual in-depth interviews and 36 individuals participating in triads. Data collection for this project will include participants from Raleigh, North Carolina (Phases 1 and 2); St. Louis, Missouri (Phase 1); and </w:t>
      </w:r>
      <w:r>
        <w:rPr>
          <w:rFonts w:ascii="Arial" w:hAnsi="Arial" w:cs="Arial"/>
          <w:i w:val="0"/>
        </w:rPr>
        <w:t>San Diego, California</w:t>
      </w:r>
      <w:r w:rsidRPr="00996D9D">
        <w:rPr>
          <w:rFonts w:ascii="Arial" w:hAnsi="Arial" w:cs="Arial"/>
          <w:i w:val="0"/>
        </w:rPr>
        <w:t xml:space="preserve"> (Phase 2). All data collection </w:t>
      </w:r>
      <w:r w:rsidRPr="00996D9D">
        <w:rPr>
          <w:rFonts w:ascii="Arial" w:hAnsi="Arial" w:cs="Arial"/>
          <w:i w:val="0"/>
        </w:rPr>
        <w:lastRenderedPageBreak/>
        <w:t>will take place through either 90-minute individual in-depth interviews (18 individuals) or 90-minute triads (36 individuals) split into two phases. Questions in the Phase 1 data collection instrument (</w:t>
      </w:r>
      <w:r>
        <w:rPr>
          <w:rFonts w:ascii="Arial" w:hAnsi="Arial" w:cs="Arial"/>
          <w:b/>
          <w:i w:val="0"/>
        </w:rPr>
        <w:t>Attachment B</w:t>
      </w:r>
      <w:r>
        <w:rPr>
          <w:rFonts w:ascii="Arial" w:hAnsi="Arial" w:cs="Arial"/>
          <w:i w:val="0"/>
        </w:rPr>
        <w:t xml:space="preserve">) </w:t>
      </w:r>
      <w:r w:rsidRPr="00996D9D">
        <w:rPr>
          <w:rFonts w:ascii="Arial" w:hAnsi="Arial" w:cs="Arial"/>
          <w:i w:val="0"/>
        </w:rPr>
        <w:t>will be the same for the individual</w:t>
      </w:r>
      <w:r>
        <w:rPr>
          <w:rFonts w:ascii="Arial" w:hAnsi="Arial" w:cs="Arial"/>
          <w:i w:val="0"/>
        </w:rPr>
        <w:t xml:space="preserve"> in-depth</w:t>
      </w:r>
      <w:r w:rsidRPr="00996D9D">
        <w:rPr>
          <w:rFonts w:ascii="Arial" w:hAnsi="Arial" w:cs="Arial"/>
          <w:i w:val="0"/>
        </w:rPr>
        <w:t xml:space="preserve"> interviews and triads. Between Phase 1 and Phase 2 data collection, the contractor will develop potential messages/graphical images informed by Phase 1 findings to be tested with participants during Phase 2 interviews. </w:t>
      </w:r>
      <w:r>
        <w:rPr>
          <w:rFonts w:ascii="Arial" w:hAnsi="Arial" w:cs="Arial"/>
          <w:i w:val="0"/>
        </w:rPr>
        <w:t>S</w:t>
      </w:r>
      <w:r w:rsidRPr="00996D9D">
        <w:rPr>
          <w:rFonts w:ascii="Arial" w:hAnsi="Arial" w:cs="Arial"/>
          <w:i w:val="0"/>
        </w:rPr>
        <w:t xml:space="preserve">ample messages/graphical images are located in </w:t>
      </w:r>
      <w:r w:rsidRPr="00996D9D">
        <w:rPr>
          <w:rFonts w:ascii="Arial" w:hAnsi="Arial" w:cs="Arial"/>
          <w:b/>
          <w:i w:val="0"/>
        </w:rPr>
        <w:t xml:space="preserve">Attachment </w:t>
      </w:r>
      <w:r>
        <w:rPr>
          <w:rFonts w:ascii="Arial" w:hAnsi="Arial" w:cs="Arial"/>
          <w:b/>
          <w:i w:val="0"/>
        </w:rPr>
        <w:t>C</w:t>
      </w:r>
      <w:r w:rsidRPr="00996D9D">
        <w:rPr>
          <w:rFonts w:ascii="Arial" w:hAnsi="Arial" w:cs="Arial"/>
          <w:i w:val="0"/>
        </w:rPr>
        <w:t>. Questions in the Phase 2 data collection instrument (</w:t>
      </w:r>
      <w:r w:rsidRPr="00996D9D">
        <w:rPr>
          <w:rFonts w:ascii="Arial" w:hAnsi="Arial" w:cs="Arial"/>
          <w:b/>
          <w:i w:val="0"/>
        </w:rPr>
        <w:t xml:space="preserve">Attachment </w:t>
      </w:r>
      <w:r>
        <w:rPr>
          <w:rFonts w:ascii="Arial" w:hAnsi="Arial" w:cs="Arial"/>
          <w:b/>
          <w:i w:val="0"/>
        </w:rPr>
        <w:t>D</w:t>
      </w:r>
      <w:r w:rsidRPr="00996D9D">
        <w:rPr>
          <w:rFonts w:ascii="Arial" w:hAnsi="Arial" w:cs="Arial"/>
          <w:i w:val="0"/>
        </w:rPr>
        <w:t xml:space="preserve">) will be the same for the individual interviews and triads. </w:t>
      </w:r>
    </w:p>
    <w:p w14:paraId="4B496891" w14:textId="77777777" w:rsidR="00F51F8F" w:rsidRDefault="00F51F8F" w:rsidP="00996D9D">
      <w:pPr>
        <w:pStyle w:val="BodyText"/>
        <w:spacing w:after="0"/>
      </w:pPr>
    </w:p>
    <w:p w14:paraId="568B14A8" w14:textId="3F159700" w:rsidR="00F51F8F" w:rsidRPr="00453948" w:rsidRDefault="00F51F8F" w:rsidP="00F51F8F">
      <w:pPr>
        <w:pStyle w:val="BodyText"/>
        <w:rPr>
          <w:rFonts w:ascii="Arial" w:hAnsi="Arial" w:cs="Arial"/>
          <w:i w:val="0"/>
        </w:rPr>
      </w:pPr>
      <w:r>
        <w:rPr>
          <w:rFonts w:ascii="Arial" w:hAnsi="Arial" w:cs="Arial"/>
          <w:i w:val="0"/>
        </w:rPr>
        <w:tab/>
      </w:r>
      <w:r w:rsidRPr="00453948">
        <w:rPr>
          <w:rFonts w:ascii="Arial" w:hAnsi="Arial" w:cs="Arial"/>
          <w:i w:val="0"/>
        </w:rPr>
        <w:t>Before data collection</w:t>
      </w:r>
      <w:r w:rsidR="00770E75">
        <w:rPr>
          <w:rFonts w:ascii="Arial" w:hAnsi="Arial" w:cs="Arial"/>
          <w:i w:val="0"/>
        </w:rPr>
        <w:t xml:space="preserve"> begins</w:t>
      </w:r>
      <w:r w:rsidRPr="00453948">
        <w:rPr>
          <w:rFonts w:ascii="Arial" w:hAnsi="Arial" w:cs="Arial"/>
          <w:i w:val="0"/>
        </w:rPr>
        <w:t xml:space="preserve">, participants will be given time to read the </w:t>
      </w:r>
      <w:r>
        <w:rPr>
          <w:rFonts w:ascii="Arial" w:hAnsi="Arial" w:cs="Arial"/>
          <w:i w:val="0"/>
        </w:rPr>
        <w:t xml:space="preserve">appropriate informed </w:t>
      </w:r>
      <w:r w:rsidRPr="00453948">
        <w:rPr>
          <w:rFonts w:ascii="Arial" w:hAnsi="Arial" w:cs="Arial"/>
          <w:i w:val="0"/>
        </w:rPr>
        <w:t>consent form (</w:t>
      </w:r>
      <w:r w:rsidRPr="00453948">
        <w:rPr>
          <w:rFonts w:ascii="Arial" w:hAnsi="Arial" w:cs="Arial"/>
          <w:b/>
          <w:i w:val="0"/>
        </w:rPr>
        <w:t>Attachment E</w:t>
      </w:r>
      <w:r>
        <w:rPr>
          <w:rFonts w:ascii="Arial" w:hAnsi="Arial" w:cs="Arial"/>
          <w:b/>
          <w:i w:val="0"/>
        </w:rPr>
        <w:t xml:space="preserve"> </w:t>
      </w:r>
      <w:r w:rsidRPr="00453948">
        <w:rPr>
          <w:rFonts w:ascii="Arial" w:hAnsi="Arial" w:cs="Arial"/>
          <w:i w:val="0"/>
        </w:rPr>
        <w:t>– in-depth interview)</w:t>
      </w:r>
      <w:r>
        <w:rPr>
          <w:rFonts w:ascii="Arial" w:hAnsi="Arial" w:cs="Arial"/>
          <w:b/>
          <w:i w:val="0"/>
        </w:rPr>
        <w:t xml:space="preserve"> </w:t>
      </w:r>
      <w:r w:rsidRPr="00453948">
        <w:rPr>
          <w:rFonts w:ascii="Arial" w:hAnsi="Arial" w:cs="Arial"/>
          <w:i w:val="0"/>
        </w:rPr>
        <w:t xml:space="preserve">or </w:t>
      </w:r>
      <w:r>
        <w:rPr>
          <w:rFonts w:ascii="Arial" w:hAnsi="Arial" w:cs="Arial"/>
          <w:i w:val="0"/>
        </w:rPr>
        <w:t>(</w:t>
      </w:r>
      <w:r w:rsidRPr="00453948">
        <w:rPr>
          <w:rFonts w:ascii="Arial" w:hAnsi="Arial" w:cs="Arial"/>
          <w:b/>
          <w:i w:val="0"/>
        </w:rPr>
        <w:t>Attachment F</w:t>
      </w:r>
      <w:r w:rsidRPr="00453948">
        <w:rPr>
          <w:rFonts w:ascii="Arial" w:hAnsi="Arial" w:cs="Arial"/>
          <w:i w:val="0"/>
        </w:rPr>
        <w:t xml:space="preserve"> –</w:t>
      </w:r>
      <w:r>
        <w:rPr>
          <w:rFonts w:ascii="Arial" w:hAnsi="Arial" w:cs="Arial"/>
          <w:i w:val="0"/>
        </w:rPr>
        <w:t xml:space="preserve"> triad)</w:t>
      </w:r>
      <w:r w:rsidRPr="00453948">
        <w:rPr>
          <w:rFonts w:ascii="Arial" w:hAnsi="Arial" w:cs="Arial"/>
          <w:i w:val="0"/>
        </w:rPr>
        <w:t xml:space="preserve"> and ask questions. They will be given two copies of the informed consent: one to keep and one to sign to indicate consent and return to the research team. During the introduction to the individual in-depth interview or triad sessions, the moderator will review key parts of the informed consent, which will include informing participants of the following: </w:t>
      </w:r>
    </w:p>
    <w:p w14:paraId="30A446FA" w14:textId="77777777" w:rsidR="00F51F8F" w:rsidRPr="00453948" w:rsidRDefault="00F51F8F" w:rsidP="00F51F8F">
      <w:pPr>
        <w:pStyle w:val="Bulletblank"/>
        <w:spacing w:after="160" w:line="300" w:lineRule="auto"/>
        <w:rPr>
          <w:rFonts w:ascii="Arial" w:hAnsi="Arial" w:cs="Arial"/>
          <w:sz w:val="20"/>
          <w:szCs w:val="20"/>
        </w:rPr>
      </w:pPr>
      <w:r w:rsidRPr="00453948">
        <w:rPr>
          <w:rFonts w:ascii="Arial" w:hAnsi="Arial" w:cs="Arial"/>
          <w:sz w:val="20"/>
          <w:szCs w:val="20"/>
        </w:rPr>
        <w:t xml:space="preserve">The interview is voluntary; participants may choose not to answer any question and can end participation at any time. </w:t>
      </w:r>
    </w:p>
    <w:p w14:paraId="2943A569" w14:textId="77777777" w:rsidR="00F51F8F" w:rsidRPr="00453948" w:rsidRDefault="00F51F8F" w:rsidP="00F51F8F">
      <w:pPr>
        <w:pStyle w:val="Bulletblank"/>
        <w:spacing w:after="160" w:line="300" w:lineRule="auto"/>
        <w:rPr>
          <w:rFonts w:ascii="Arial" w:hAnsi="Arial" w:cs="Arial"/>
          <w:sz w:val="20"/>
          <w:szCs w:val="20"/>
        </w:rPr>
      </w:pPr>
      <w:r w:rsidRPr="00453948">
        <w:rPr>
          <w:rFonts w:ascii="Arial" w:hAnsi="Arial" w:cs="Arial"/>
          <w:sz w:val="20"/>
          <w:szCs w:val="20"/>
        </w:rPr>
        <w:t xml:space="preserve">The contractor will report findings in summary form so that participants cannot be identified and that their identifiable information will be kept secure and separate from the interview notes and audio recordings. </w:t>
      </w:r>
    </w:p>
    <w:p w14:paraId="232D76A7" w14:textId="77777777" w:rsidR="00F51F8F" w:rsidRPr="00453948" w:rsidRDefault="00F51F8F" w:rsidP="00F51F8F">
      <w:pPr>
        <w:pStyle w:val="Bulletblank"/>
        <w:spacing w:after="160" w:line="300" w:lineRule="auto"/>
        <w:rPr>
          <w:rFonts w:ascii="Arial" w:hAnsi="Arial" w:cs="Arial"/>
          <w:sz w:val="20"/>
          <w:szCs w:val="20"/>
        </w:rPr>
      </w:pPr>
      <w:r w:rsidRPr="00453948">
        <w:rPr>
          <w:rFonts w:ascii="Arial" w:hAnsi="Arial" w:cs="Arial"/>
          <w:sz w:val="20"/>
          <w:szCs w:val="20"/>
        </w:rPr>
        <w:t xml:space="preserve">There may be a note-taker behind a one-way mirror and CDC staff may be watching in person or via a live video stream. </w:t>
      </w:r>
    </w:p>
    <w:p w14:paraId="62381BAD" w14:textId="59E5B9F6" w:rsidR="00770E75" w:rsidRPr="00770E75" w:rsidRDefault="00F51F8F" w:rsidP="00770E75">
      <w:pPr>
        <w:pStyle w:val="BodyText"/>
        <w:rPr>
          <w:rFonts w:ascii="Arial" w:hAnsi="Arial" w:cs="Arial"/>
          <w:i w:val="0"/>
        </w:rPr>
      </w:pPr>
      <w:r>
        <w:rPr>
          <w:rFonts w:ascii="Arial" w:hAnsi="Arial" w:cs="Arial"/>
          <w:i w:val="0"/>
        </w:rPr>
        <w:tab/>
      </w:r>
      <w:r w:rsidRPr="00453948">
        <w:rPr>
          <w:rFonts w:ascii="Arial" w:hAnsi="Arial" w:cs="Arial"/>
          <w:i w:val="0"/>
        </w:rPr>
        <w:t xml:space="preserve">The informed consent includes the phone numbers for both the contractor’s IRB office in case participants have questions about their rights as a study participant, and the project director, should participants have questions about the study itself. </w:t>
      </w:r>
      <w:r w:rsidRPr="00996D9D">
        <w:rPr>
          <w:rFonts w:ascii="Arial" w:hAnsi="Arial" w:cs="Arial"/>
          <w:i w:val="0"/>
        </w:rPr>
        <w:t xml:space="preserve">The </w:t>
      </w:r>
      <w:r>
        <w:rPr>
          <w:rFonts w:ascii="Arial" w:hAnsi="Arial" w:cs="Arial"/>
          <w:i w:val="0"/>
        </w:rPr>
        <w:t xml:space="preserve">individual </w:t>
      </w:r>
      <w:r w:rsidRPr="00996D9D">
        <w:rPr>
          <w:rFonts w:ascii="Arial" w:hAnsi="Arial" w:cs="Arial"/>
          <w:i w:val="0"/>
        </w:rPr>
        <w:t xml:space="preserve">in-depth interviews and triads will be audio-recorded for the purpose of completing the final reports. All audio recordings will be destroyed after notes have been verified and no links will </w:t>
      </w:r>
      <w:r>
        <w:rPr>
          <w:rFonts w:ascii="Arial" w:hAnsi="Arial" w:cs="Arial"/>
          <w:i w:val="0"/>
        </w:rPr>
        <w:t>remain</w:t>
      </w:r>
      <w:r w:rsidRPr="00996D9D">
        <w:rPr>
          <w:rFonts w:ascii="Arial" w:hAnsi="Arial" w:cs="Arial"/>
          <w:i w:val="0"/>
        </w:rPr>
        <w:t xml:space="preserve"> to any </w:t>
      </w:r>
      <w:r w:rsidRPr="00770E75">
        <w:rPr>
          <w:rFonts w:ascii="Arial" w:hAnsi="Arial" w:cs="Arial"/>
          <w:i w:val="0"/>
        </w:rPr>
        <w:t xml:space="preserve">data collected. </w:t>
      </w:r>
      <w:r w:rsidR="00770E75" w:rsidRPr="00770E75">
        <w:rPr>
          <w:rFonts w:ascii="Arial" w:hAnsi="Arial" w:cs="Arial"/>
          <w:i w:val="0"/>
        </w:rPr>
        <w:t xml:space="preserve"> This project has received IRB approval through RTI International’s IRB. IRB approval was granted on 09/30/2016 and will expire on 09/30/2017. The current IRB approval letter is included as </w:t>
      </w:r>
      <w:r w:rsidR="00770E75" w:rsidRPr="00770E75">
        <w:rPr>
          <w:rFonts w:ascii="Arial" w:hAnsi="Arial" w:cs="Arial"/>
          <w:b/>
          <w:i w:val="0"/>
        </w:rPr>
        <w:t xml:space="preserve">Attachment </w:t>
      </w:r>
      <w:r w:rsidR="00770E75">
        <w:rPr>
          <w:rFonts w:ascii="Arial" w:hAnsi="Arial" w:cs="Arial"/>
          <w:b/>
          <w:i w:val="0"/>
        </w:rPr>
        <w:t>G</w:t>
      </w:r>
      <w:r w:rsidR="00770E75" w:rsidRPr="00770E75">
        <w:rPr>
          <w:rFonts w:ascii="Arial" w:hAnsi="Arial" w:cs="Arial"/>
          <w:i w:val="0"/>
        </w:rPr>
        <w:t>.</w:t>
      </w:r>
    </w:p>
    <w:p w14:paraId="71D602B2" w14:textId="5A469E6A" w:rsidR="00F51F8F" w:rsidRPr="00770E75" w:rsidRDefault="00F51F8F" w:rsidP="00F51F8F">
      <w:pPr>
        <w:pStyle w:val="BodyText"/>
        <w:spacing w:after="0"/>
        <w:rPr>
          <w:i w:val="0"/>
        </w:rPr>
      </w:pPr>
    </w:p>
    <w:p w14:paraId="06F97EBE" w14:textId="77777777" w:rsidR="0089539F" w:rsidRPr="00B372FB" w:rsidRDefault="0089539F" w:rsidP="0089539F">
      <w:pPr>
        <w:rPr>
          <w:rFonts w:ascii="Arial" w:hAnsi="Arial"/>
          <w:b/>
        </w:rPr>
      </w:pPr>
      <w:r w:rsidRPr="00B372FB">
        <w:rPr>
          <w:rFonts w:ascii="Arial" w:hAnsi="Arial"/>
          <w:b/>
        </w:rPr>
        <w:t xml:space="preserve">Please </w:t>
      </w:r>
      <w:r>
        <w:rPr>
          <w:rFonts w:ascii="Arial" w:hAnsi="Arial"/>
          <w:b/>
        </w:rPr>
        <w:t>make</w:t>
      </w:r>
      <w:r w:rsidRPr="00B372FB">
        <w:rPr>
          <w:rFonts w:ascii="Arial" w:hAnsi="Arial"/>
          <w:b/>
        </w:rPr>
        <w:t xml:space="preserve"> sure all instruments, instructions, and scripts are submitted with the request.</w:t>
      </w:r>
    </w:p>
    <w:p w14:paraId="4494CDAE" w14:textId="67B15B59" w:rsidR="0089539F" w:rsidRPr="00770E75" w:rsidRDefault="0089539F" w:rsidP="007373B4">
      <w:pPr>
        <w:pStyle w:val="BodyText"/>
        <w:numPr>
          <w:ilvl w:val="0"/>
          <w:numId w:val="22"/>
        </w:numPr>
        <w:spacing w:after="120" w:line="240" w:lineRule="auto"/>
        <w:rPr>
          <w:rFonts w:ascii="Arial" w:hAnsi="Arial" w:cs="Arial"/>
          <w:i w:val="0"/>
        </w:rPr>
      </w:pPr>
      <w:r w:rsidRPr="0089539F">
        <w:rPr>
          <w:rFonts w:ascii="Arial" w:hAnsi="Arial" w:cs="Arial"/>
          <w:b/>
          <w:i w:val="0"/>
        </w:rPr>
        <w:t xml:space="preserve">Attachment A: </w:t>
      </w:r>
      <w:r w:rsidRPr="00770E75">
        <w:rPr>
          <w:rFonts w:ascii="Arial" w:hAnsi="Arial" w:cs="Arial"/>
          <w:i w:val="0"/>
        </w:rPr>
        <w:t>Screening Instrument</w:t>
      </w:r>
    </w:p>
    <w:p w14:paraId="5C72534A" w14:textId="53620CF1" w:rsidR="0089539F" w:rsidRPr="00770E75" w:rsidRDefault="0089539F" w:rsidP="007373B4">
      <w:pPr>
        <w:pStyle w:val="BodyText"/>
        <w:numPr>
          <w:ilvl w:val="0"/>
          <w:numId w:val="22"/>
        </w:numPr>
        <w:spacing w:after="120" w:line="240" w:lineRule="auto"/>
        <w:rPr>
          <w:rFonts w:ascii="Arial" w:hAnsi="Arial" w:cs="Arial"/>
          <w:b/>
          <w:i w:val="0"/>
        </w:rPr>
      </w:pPr>
      <w:r w:rsidRPr="0089539F">
        <w:rPr>
          <w:rFonts w:ascii="Arial" w:hAnsi="Arial" w:cs="Arial"/>
          <w:b/>
          <w:i w:val="0"/>
        </w:rPr>
        <w:t xml:space="preserve">Attachment B: </w:t>
      </w:r>
      <w:r w:rsidRPr="00770E75">
        <w:rPr>
          <w:rFonts w:ascii="Arial" w:hAnsi="Arial" w:cs="Arial"/>
          <w:i w:val="0"/>
        </w:rPr>
        <w:t>Phase 1 (Descriptive) In-depth Interview and Triad Guide</w:t>
      </w:r>
    </w:p>
    <w:p w14:paraId="7CEAFBCC" w14:textId="249D0D42" w:rsidR="0089539F" w:rsidRPr="00770E75" w:rsidRDefault="0089539F" w:rsidP="007373B4">
      <w:pPr>
        <w:pStyle w:val="BodyText"/>
        <w:numPr>
          <w:ilvl w:val="0"/>
          <w:numId w:val="22"/>
        </w:numPr>
        <w:spacing w:after="120" w:line="240" w:lineRule="auto"/>
        <w:rPr>
          <w:rFonts w:ascii="Arial" w:hAnsi="Arial" w:cs="Arial"/>
          <w:b/>
          <w:i w:val="0"/>
        </w:rPr>
      </w:pPr>
      <w:r w:rsidRPr="00770E75">
        <w:rPr>
          <w:rFonts w:ascii="Arial" w:hAnsi="Arial" w:cs="Arial"/>
          <w:b/>
          <w:i w:val="0"/>
        </w:rPr>
        <w:t>Attachment C:</w:t>
      </w:r>
      <w:r w:rsidRPr="00770E75">
        <w:rPr>
          <w:rFonts w:ascii="Arial" w:hAnsi="Arial" w:cs="Arial"/>
          <w:i w:val="0"/>
        </w:rPr>
        <w:t xml:space="preserve"> </w:t>
      </w:r>
      <w:r w:rsidR="007373B4" w:rsidRPr="007373B4">
        <w:rPr>
          <w:rFonts w:ascii="Arial" w:hAnsi="Arial" w:cs="Arial"/>
          <w:i w:val="0"/>
        </w:rPr>
        <w:t xml:space="preserve">Phase 2 Sample Messages/Graphical Images </w:t>
      </w:r>
    </w:p>
    <w:p w14:paraId="48D35409" w14:textId="3812637C" w:rsidR="0089539F" w:rsidRPr="007373B4" w:rsidRDefault="0089539F" w:rsidP="007373B4">
      <w:pPr>
        <w:pStyle w:val="ListParagraph"/>
        <w:numPr>
          <w:ilvl w:val="0"/>
          <w:numId w:val="22"/>
        </w:numPr>
        <w:spacing w:after="120" w:line="240" w:lineRule="auto"/>
        <w:rPr>
          <w:rFonts w:ascii="Arial" w:hAnsi="Arial" w:cs="Arial"/>
          <w:sz w:val="20"/>
          <w:szCs w:val="20"/>
        </w:rPr>
      </w:pPr>
      <w:r w:rsidRPr="00770E75">
        <w:rPr>
          <w:rFonts w:ascii="Arial" w:hAnsi="Arial" w:cs="Arial"/>
          <w:b/>
          <w:sz w:val="20"/>
          <w:szCs w:val="20"/>
        </w:rPr>
        <w:t>Attachment D:</w:t>
      </w:r>
      <w:r w:rsidRPr="00770E75">
        <w:rPr>
          <w:rFonts w:ascii="Arial" w:hAnsi="Arial" w:cs="Arial"/>
          <w:sz w:val="20"/>
          <w:szCs w:val="20"/>
        </w:rPr>
        <w:t xml:space="preserve"> </w:t>
      </w:r>
      <w:r w:rsidR="007373B4" w:rsidRPr="007373B4">
        <w:rPr>
          <w:rFonts w:ascii="Arial" w:hAnsi="Arial" w:cs="Arial"/>
          <w:sz w:val="20"/>
          <w:szCs w:val="20"/>
        </w:rPr>
        <w:t>Phase 2 (Prescriptive) In-depth Interview and Triad Guide</w:t>
      </w:r>
    </w:p>
    <w:p w14:paraId="05B542CA" w14:textId="77777777" w:rsidR="0089539F" w:rsidRPr="00770E75" w:rsidRDefault="0089539F" w:rsidP="007373B4">
      <w:pPr>
        <w:pStyle w:val="BodyText"/>
        <w:numPr>
          <w:ilvl w:val="0"/>
          <w:numId w:val="22"/>
        </w:numPr>
        <w:spacing w:after="120" w:line="240" w:lineRule="auto"/>
        <w:rPr>
          <w:rFonts w:ascii="Arial" w:hAnsi="Arial" w:cs="Arial"/>
          <w:i w:val="0"/>
        </w:rPr>
      </w:pPr>
      <w:r w:rsidRPr="0089539F">
        <w:rPr>
          <w:rFonts w:ascii="Arial" w:hAnsi="Arial" w:cs="Arial"/>
          <w:b/>
          <w:i w:val="0"/>
        </w:rPr>
        <w:t xml:space="preserve">Attachment E: </w:t>
      </w:r>
      <w:r w:rsidRPr="00770E75">
        <w:rPr>
          <w:rFonts w:ascii="Arial" w:hAnsi="Arial" w:cs="Arial"/>
          <w:i w:val="0"/>
        </w:rPr>
        <w:t>In-depth Interview Consent Form</w:t>
      </w:r>
    </w:p>
    <w:p w14:paraId="21EAB910" w14:textId="77777777" w:rsidR="0089539F" w:rsidRPr="00770E75" w:rsidRDefault="0089539F" w:rsidP="007373B4">
      <w:pPr>
        <w:pStyle w:val="BodyText"/>
        <w:numPr>
          <w:ilvl w:val="0"/>
          <w:numId w:val="22"/>
        </w:numPr>
        <w:spacing w:after="120" w:line="240" w:lineRule="auto"/>
        <w:rPr>
          <w:rFonts w:ascii="Arial" w:hAnsi="Arial" w:cs="Arial"/>
          <w:i w:val="0"/>
        </w:rPr>
      </w:pPr>
      <w:r w:rsidRPr="0089539F">
        <w:rPr>
          <w:rFonts w:ascii="Arial" w:hAnsi="Arial" w:cs="Arial"/>
          <w:b/>
          <w:i w:val="0"/>
        </w:rPr>
        <w:t xml:space="preserve">Attachment F: </w:t>
      </w:r>
      <w:r w:rsidRPr="00770E75">
        <w:rPr>
          <w:rFonts w:ascii="Arial" w:hAnsi="Arial" w:cs="Arial"/>
          <w:i w:val="0"/>
        </w:rPr>
        <w:t>Triad Discussion Consent Form\</w:t>
      </w:r>
    </w:p>
    <w:p w14:paraId="25D7D6E9" w14:textId="1CC0A936" w:rsidR="0089539F" w:rsidRPr="0089539F" w:rsidRDefault="0089539F" w:rsidP="007373B4">
      <w:pPr>
        <w:pStyle w:val="BodyText"/>
        <w:numPr>
          <w:ilvl w:val="0"/>
          <w:numId w:val="22"/>
        </w:numPr>
        <w:spacing w:after="120" w:line="240" w:lineRule="auto"/>
        <w:rPr>
          <w:rFonts w:ascii="Arial" w:hAnsi="Arial" w:cs="Arial"/>
          <w:b/>
          <w:i w:val="0"/>
        </w:rPr>
      </w:pPr>
      <w:r w:rsidRPr="0089539F">
        <w:rPr>
          <w:rFonts w:ascii="Arial" w:hAnsi="Arial" w:cs="Arial"/>
          <w:b/>
          <w:i w:val="0"/>
        </w:rPr>
        <w:t xml:space="preserve">Attachment G: </w:t>
      </w:r>
      <w:r w:rsidRPr="00770E75">
        <w:rPr>
          <w:rFonts w:ascii="Arial" w:hAnsi="Arial" w:cs="Arial"/>
          <w:i w:val="0"/>
        </w:rPr>
        <w:t>IRB Approval Letter</w:t>
      </w:r>
      <w:r w:rsidRPr="0089539F">
        <w:rPr>
          <w:rFonts w:ascii="Arial" w:hAnsi="Arial" w:cs="Arial"/>
          <w:b/>
          <w:i w:val="0"/>
        </w:rPr>
        <w:br/>
      </w:r>
    </w:p>
    <w:p w14:paraId="46834038" w14:textId="77777777" w:rsidR="0089539F" w:rsidRDefault="0089539F">
      <w:pPr>
        <w:rPr>
          <w:rFonts w:ascii="Arial" w:hAnsi="Arial" w:cs="Arial"/>
          <w:b/>
          <w:iCs/>
          <w:sz w:val="20"/>
          <w:szCs w:val="20"/>
        </w:rPr>
      </w:pPr>
      <w:r>
        <w:rPr>
          <w:rFonts w:ascii="Arial" w:hAnsi="Arial" w:cs="Arial"/>
          <w:b/>
          <w:i/>
        </w:rPr>
        <w:br w:type="page"/>
      </w:r>
    </w:p>
    <w:p w14:paraId="50480AB1" w14:textId="645C5DB1" w:rsidR="00996D9D" w:rsidRPr="00996D9D" w:rsidRDefault="00996D9D" w:rsidP="00996D9D">
      <w:pPr>
        <w:pStyle w:val="BodyText"/>
        <w:spacing w:after="0"/>
        <w:rPr>
          <w:rFonts w:ascii="Arial" w:hAnsi="Arial" w:cs="Arial"/>
          <w:i w:val="0"/>
        </w:rPr>
      </w:pPr>
      <w:r w:rsidRPr="00996D9D">
        <w:rPr>
          <w:rFonts w:ascii="Arial" w:hAnsi="Arial" w:cs="Arial"/>
          <w:b/>
          <w:i w:val="0"/>
        </w:rPr>
        <w:lastRenderedPageBreak/>
        <w:t>References</w:t>
      </w:r>
      <w:r w:rsidRPr="00996D9D">
        <w:rPr>
          <w:rFonts w:ascii="Arial" w:hAnsi="Arial" w:cs="Arial"/>
          <w:i w:val="0"/>
        </w:rPr>
        <w:t>:</w:t>
      </w:r>
    </w:p>
    <w:p w14:paraId="4B2A3355" w14:textId="77777777" w:rsidR="00996D9D" w:rsidRPr="00996D9D" w:rsidRDefault="00996D9D" w:rsidP="00453948">
      <w:pPr>
        <w:pStyle w:val="biblio"/>
        <w:spacing w:after="160" w:line="300" w:lineRule="auto"/>
        <w:ind w:left="0" w:firstLine="0"/>
        <w:rPr>
          <w:rFonts w:ascii="Arial" w:hAnsi="Arial" w:cs="Arial"/>
          <w:sz w:val="20"/>
          <w:szCs w:val="20"/>
        </w:rPr>
      </w:pPr>
      <w:r w:rsidRPr="00996D9D">
        <w:rPr>
          <w:rFonts w:ascii="Arial" w:hAnsi="Arial" w:cs="Arial"/>
          <w:sz w:val="20"/>
          <w:szCs w:val="20"/>
        </w:rPr>
        <w:t xml:space="preserve">Abreu, D. A., &amp; Winters, F. (1999). Using monetary incentives to reduce attrition in the survey of income and program participation. </w:t>
      </w:r>
      <w:r w:rsidRPr="00996D9D">
        <w:rPr>
          <w:rFonts w:ascii="Arial" w:hAnsi="Arial" w:cs="Arial"/>
          <w:i/>
          <w:sz w:val="20"/>
          <w:szCs w:val="20"/>
        </w:rPr>
        <w:t>Proceedings of the Survey Research Methods Section of the American Statistical Association</w:t>
      </w:r>
      <w:r w:rsidRPr="00996D9D">
        <w:rPr>
          <w:rFonts w:ascii="Arial" w:hAnsi="Arial" w:cs="Arial"/>
          <w:sz w:val="20"/>
          <w:szCs w:val="20"/>
        </w:rPr>
        <w:t>.</w:t>
      </w:r>
    </w:p>
    <w:p w14:paraId="7BDF46B7" w14:textId="77777777" w:rsidR="00996D9D" w:rsidRPr="00996D9D" w:rsidRDefault="00996D9D" w:rsidP="00453948">
      <w:pPr>
        <w:pStyle w:val="biblio"/>
        <w:spacing w:after="160" w:line="300" w:lineRule="auto"/>
        <w:ind w:left="0" w:firstLine="0"/>
        <w:rPr>
          <w:rFonts w:ascii="Arial" w:hAnsi="Arial" w:cs="Arial"/>
          <w:sz w:val="20"/>
          <w:szCs w:val="20"/>
        </w:rPr>
      </w:pPr>
      <w:r w:rsidRPr="00996D9D">
        <w:rPr>
          <w:rFonts w:ascii="Arial" w:hAnsi="Arial" w:cs="Arial"/>
          <w:sz w:val="20"/>
          <w:szCs w:val="20"/>
        </w:rPr>
        <w:t xml:space="preserve">Bureau of Labor Statistics. (2015). </w:t>
      </w:r>
      <w:r w:rsidRPr="00996D9D">
        <w:rPr>
          <w:rFonts w:ascii="Arial" w:hAnsi="Arial" w:cs="Arial"/>
          <w:i/>
          <w:iCs/>
          <w:sz w:val="20"/>
          <w:szCs w:val="20"/>
        </w:rPr>
        <w:t>National Compensation Survey</w:t>
      </w:r>
      <w:r w:rsidRPr="00996D9D">
        <w:rPr>
          <w:rFonts w:ascii="Arial" w:hAnsi="Arial" w:cs="Arial"/>
          <w:sz w:val="20"/>
          <w:szCs w:val="20"/>
        </w:rPr>
        <w:t>. U.S. Department of Labor. Retrieved July 30, 2016, from http://www.bls.gov/ncs/</w:t>
      </w:r>
    </w:p>
    <w:p w14:paraId="00E0DC7D" w14:textId="77777777" w:rsidR="00996D9D" w:rsidRPr="0089539F" w:rsidRDefault="00996D9D" w:rsidP="0089539F">
      <w:pPr>
        <w:pStyle w:val="biblio"/>
        <w:spacing w:after="160" w:line="300" w:lineRule="auto"/>
        <w:ind w:left="0" w:firstLine="0"/>
        <w:rPr>
          <w:rFonts w:ascii="Arial" w:hAnsi="Arial" w:cs="Arial"/>
          <w:sz w:val="20"/>
          <w:szCs w:val="20"/>
        </w:rPr>
      </w:pPr>
      <w:r w:rsidRPr="0089539F">
        <w:rPr>
          <w:rFonts w:ascii="Arial" w:hAnsi="Arial" w:cs="Arial"/>
          <w:sz w:val="20"/>
          <w:szCs w:val="20"/>
        </w:rPr>
        <w:t xml:space="preserve">Centers for Disease Control and Prevention. </w:t>
      </w:r>
      <w:r w:rsidRPr="0089539F">
        <w:rPr>
          <w:rFonts w:ascii="Arial" w:hAnsi="Arial" w:cs="Arial"/>
          <w:i/>
          <w:iCs/>
          <w:sz w:val="20"/>
          <w:szCs w:val="20"/>
        </w:rPr>
        <w:t>Planning and Implementing Screening and Brief Intervention for Risky Alcohol Use: A Step-by-Step Guide for Primary Care Practices</w:t>
      </w:r>
      <w:r w:rsidRPr="0089539F">
        <w:rPr>
          <w:rFonts w:ascii="Arial" w:hAnsi="Arial" w:cs="Arial"/>
          <w:sz w:val="20"/>
          <w:szCs w:val="20"/>
        </w:rPr>
        <w:t>. Atlanta, Georgia: Centers for Disease Control and Prevention, National Center on Birth Defects and Developmental Disabilities, 2014.</w:t>
      </w:r>
    </w:p>
    <w:p w14:paraId="0696F42B" w14:textId="4A669191" w:rsidR="0089539F" w:rsidRPr="0089539F" w:rsidRDefault="0089539F" w:rsidP="0089539F">
      <w:pPr>
        <w:pStyle w:val="biblio"/>
        <w:spacing w:after="160" w:line="300" w:lineRule="auto"/>
        <w:ind w:left="0" w:firstLine="0"/>
        <w:rPr>
          <w:rFonts w:ascii="Arial" w:hAnsi="Arial" w:cs="Arial"/>
          <w:sz w:val="20"/>
          <w:szCs w:val="20"/>
        </w:rPr>
      </w:pPr>
      <w:r w:rsidRPr="0089539F">
        <w:rPr>
          <w:rFonts w:ascii="Arial" w:hAnsi="Arial" w:cs="Arial"/>
          <w:sz w:val="20"/>
          <w:szCs w:val="20"/>
        </w:rPr>
        <w:t xml:space="preserve">Centers for Disease Control and Prevention (CDC). (2016). Fact Sheets – Alcohol </w:t>
      </w:r>
      <w:r>
        <w:rPr>
          <w:rFonts w:ascii="Arial" w:hAnsi="Arial" w:cs="Arial"/>
          <w:sz w:val="20"/>
          <w:szCs w:val="20"/>
        </w:rPr>
        <w:t xml:space="preserve">Use and Your Health. </w:t>
      </w:r>
      <w:r w:rsidRPr="0089539F">
        <w:rPr>
          <w:rFonts w:ascii="Arial" w:hAnsi="Arial" w:cs="Arial"/>
          <w:sz w:val="20"/>
          <w:szCs w:val="20"/>
        </w:rPr>
        <w:t>Retrieved June 18, 2016 from https://www.cdc.gov/alcohol/fact-sheets/alcohol-use.htm</w:t>
      </w:r>
    </w:p>
    <w:p w14:paraId="4D776A2C" w14:textId="77777777" w:rsidR="00996D9D" w:rsidRPr="0089539F" w:rsidRDefault="00996D9D" w:rsidP="0089539F">
      <w:pPr>
        <w:pStyle w:val="NormalWeb"/>
        <w:spacing w:before="0" w:beforeAutospacing="0" w:after="160" w:afterAutospacing="0"/>
        <w:jc w:val="both"/>
        <w:rPr>
          <w:rFonts w:ascii="Arial" w:hAnsi="Arial" w:cs="Arial"/>
          <w:sz w:val="20"/>
          <w:szCs w:val="20"/>
        </w:rPr>
      </w:pPr>
      <w:r w:rsidRPr="0089539F">
        <w:rPr>
          <w:rStyle w:val="FootnoteReference"/>
          <w:rFonts w:ascii="Arial" w:hAnsi="Arial" w:cs="Arial"/>
          <w:sz w:val="20"/>
          <w:szCs w:val="20"/>
        </w:rPr>
        <w:t xml:space="preserve">Groth, SW. </w:t>
      </w:r>
      <w:r w:rsidRPr="0089539F">
        <w:rPr>
          <w:rFonts w:ascii="Arial" w:hAnsi="Arial" w:cs="Arial"/>
          <w:sz w:val="20"/>
          <w:szCs w:val="20"/>
        </w:rPr>
        <w:t xml:space="preserve">(2010). </w:t>
      </w:r>
      <w:r w:rsidRPr="0089539F">
        <w:rPr>
          <w:rStyle w:val="FootnoteReference"/>
          <w:rFonts w:ascii="Arial" w:hAnsi="Arial" w:cs="Arial"/>
          <w:sz w:val="20"/>
          <w:szCs w:val="20"/>
        </w:rPr>
        <w:t xml:space="preserve">Honorarium or coercion: use of incentives for participants in clinical research. </w:t>
      </w:r>
      <w:r w:rsidRPr="0089539F">
        <w:rPr>
          <w:rFonts w:ascii="Arial" w:hAnsi="Arial" w:cs="Arial"/>
          <w:sz w:val="20"/>
          <w:szCs w:val="20"/>
        </w:rPr>
        <w:tab/>
      </w:r>
      <w:r w:rsidRPr="0089539F">
        <w:rPr>
          <w:rStyle w:val="FootnoteReference"/>
          <w:rFonts w:ascii="Arial" w:hAnsi="Arial" w:cs="Arial"/>
          <w:sz w:val="20"/>
          <w:szCs w:val="20"/>
        </w:rPr>
        <w:t xml:space="preserve">Journal of the New York State Nurses Association. </w:t>
      </w:r>
    </w:p>
    <w:p w14:paraId="651DED43" w14:textId="77777777" w:rsidR="00996D9D" w:rsidRPr="00996D9D" w:rsidRDefault="00996D9D" w:rsidP="0089539F">
      <w:pPr>
        <w:pStyle w:val="biblio"/>
        <w:spacing w:after="160" w:line="300" w:lineRule="auto"/>
        <w:ind w:left="0" w:firstLine="0"/>
        <w:rPr>
          <w:rFonts w:ascii="Arial" w:hAnsi="Arial" w:cs="Arial"/>
          <w:sz w:val="20"/>
          <w:szCs w:val="20"/>
        </w:rPr>
      </w:pPr>
      <w:r w:rsidRPr="0089539F">
        <w:rPr>
          <w:rFonts w:ascii="Arial" w:hAnsi="Arial" w:cs="Arial"/>
          <w:sz w:val="20"/>
          <w:szCs w:val="20"/>
        </w:rPr>
        <w:t xml:space="preserve">Shettle, C., &amp; Mooney, G. (1999). Monetary incentives in U.S. government surveys. </w:t>
      </w:r>
      <w:r w:rsidRPr="0089539F">
        <w:rPr>
          <w:rFonts w:ascii="Arial" w:hAnsi="Arial" w:cs="Arial"/>
          <w:i/>
          <w:sz w:val="20"/>
          <w:szCs w:val="20"/>
        </w:rPr>
        <w:t>Journal of Official Statistics, 15</w:t>
      </w:r>
      <w:r w:rsidRPr="0089539F">
        <w:rPr>
          <w:rFonts w:ascii="Arial" w:hAnsi="Arial" w:cs="Arial"/>
          <w:sz w:val="20"/>
          <w:szCs w:val="20"/>
        </w:rPr>
        <w:t>, 231</w:t>
      </w:r>
      <w:r w:rsidRPr="00996D9D">
        <w:rPr>
          <w:rFonts w:ascii="Arial" w:hAnsi="Arial" w:cs="Arial"/>
          <w:sz w:val="20"/>
          <w:szCs w:val="20"/>
        </w:rPr>
        <w:t>–250.</w:t>
      </w:r>
    </w:p>
    <w:p w14:paraId="03675CDF" w14:textId="786B87DC" w:rsidR="00996D9D" w:rsidRPr="00996D9D" w:rsidRDefault="00996D9D" w:rsidP="00996D9D">
      <w:pPr>
        <w:pStyle w:val="BodyText"/>
        <w:spacing w:after="0"/>
        <w:rPr>
          <w:rFonts w:ascii="Arial" w:hAnsi="Arial" w:cs="Arial"/>
          <w:b/>
          <w:bCs/>
          <w:iCs w:val="0"/>
        </w:rPr>
      </w:pPr>
    </w:p>
    <w:p w14:paraId="7F58ACA8" w14:textId="77777777" w:rsidR="00B46F2C" w:rsidRPr="00B372FB" w:rsidRDefault="00B46F2C" w:rsidP="0024521E">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14:paraId="07E49BC0" w14:textId="77777777" w:rsidR="005C0BD0" w:rsidRDefault="005C0BD0">
      <w:pPr>
        <w:rPr>
          <w:rFonts w:ascii="Arial" w:eastAsiaTheme="majorEastAsia" w:hAnsi="Arial" w:cstheme="majorBidi"/>
          <w:sz w:val="28"/>
          <w:szCs w:val="32"/>
        </w:rPr>
      </w:pPr>
      <w:r>
        <w:rPr>
          <w:rFonts w:ascii="Arial" w:hAnsi="Arial"/>
          <w:sz w:val="28"/>
        </w:rPr>
        <w:br w:type="page"/>
      </w:r>
    </w:p>
    <w:p w14:paraId="6837CBD2" w14:textId="77777777" w:rsidR="00A13253" w:rsidRDefault="00B46F2C" w:rsidP="00F24CFC">
      <w:pPr>
        <w:pStyle w:val="Heading2"/>
        <w:tabs>
          <w:tab w:val="left" w:pos="900"/>
        </w:tabs>
        <w:ind w:right="-180"/>
        <w:rPr>
          <w:rFonts w:ascii="Arial" w:hAnsi="Arial"/>
          <w:sz w:val="28"/>
        </w:rPr>
      </w:pPr>
      <w:r w:rsidRPr="00B372FB">
        <w:rPr>
          <w:rFonts w:ascii="Arial" w:hAnsi="Arial"/>
          <w:sz w:val="28"/>
        </w:rPr>
        <w:lastRenderedPageBreak/>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sidR="00A13253">
        <w:rPr>
          <w:rFonts w:ascii="Arial" w:hAnsi="Arial"/>
          <w:sz w:val="28"/>
        </w:rPr>
        <w:t>for</w:t>
      </w:r>
      <w:r w:rsidR="001E5F40">
        <w:rPr>
          <w:rFonts w:ascii="Arial" w:hAnsi="Arial"/>
          <w:sz w:val="28"/>
        </w:rPr>
        <w:t xml:space="preserve"> </w:t>
      </w:r>
    </w:p>
    <w:p w14:paraId="3F932489" w14:textId="77777777" w:rsidR="00B46F2C" w:rsidRPr="00B372FB" w:rsidRDefault="00A13253" w:rsidP="00F24CFC">
      <w:pPr>
        <w:pStyle w:val="Heading2"/>
        <w:tabs>
          <w:tab w:val="left" w:pos="900"/>
        </w:tabs>
        <w:ind w:right="-180"/>
        <w:rPr>
          <w:rFonts w:ascii="Arial" w:hAnsi="Arial"/>
        </w:rPr>
      </w:pPr>
      <w:r>
        <w:rPr>
          <w:rFonts w:ascii="Arial" w:hAnsi="Arial"/>
          <w:sz w:val="28"/>
        </w:rPr>
        <w:t>CDC/ATSDR Formative Research and Tool Development</w:t>
      </w:r>
      <w:r w:rsidR="00B46F2C" w:rsidRPr="00B372FB">
        <w:rPr>
          <w:rFonts w:ascii="Arial" w:hAnsi="Arial"/>
          <w:sz w:val="28"/>
        </w:rPr>
        <w:t xml:space="preserve"> </w:t>
      </w:r>
    </w:p>
    <w:p w14:paraId="0AED6F2B" w14:textId="77777777" w:rsidR="00B85006" w:rsidRDefault="00B85006" w:rsidP="00F24CFC">
      <w:pPr>
        <w:rPr>
          <w:rFonts w:ascii="Arial" w:hAnsi="Arial"/>
          <w:b/>
        </w:rPr>
      </w:pPr>
    </w:p>
    <w:p w14:paraId="51CE7E77" w14:textId="77777777" w:rsidR="00732A8F" w:rsidRPr="00B372FB" w:rsidRDefault="00E2594A" w:rsidP="00732A8F">
      <w:pPr>
        <w:rPr>
          <w:rFonts w:ascii="Arial" w:hAnsi="Arial"/>
          <w:b/>
        </w:rPr>
      </w:pPr>
      <w:r w:rsidRPr="00B372FB">
        <w:rPr>
          <w:rFonts w:ascii="Arial" w:hAnsi="Arial"/>
          <w:noProof/>
        </w:rPr>
        <mc:AlternateContent>
          <mc:Choice Requires="wps">
            <w:drawing>
              <wp:anchor distT="0" distB="0" distL="114300" distR="114300" simplePos="0" relativeHeight="251659264" behindDoc="0" locked="0" layoutInCell="0" allowOverlap="1" wp14:anchorId="1A7D3BC9" wp14:editId="516B4CCF">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3D619"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r w:rsidR="00B46F2C" w:rsidRPr="00B372FB">
        <w:rPr>
          <w:rFonts w:ascii="Arial" w:hAnsi="Arial"/>
          <w:b/>
        </w:rPr>
        <w:t>TITLE OF INFORMATION COLLECTION:</w:t>
      </w:r>
      <w:r w:rsidR="00B46F2C" w:rsidRPr="00B372FB">
        <w:rPr>
          <w:rFonts w:ascii="Arial" w:hAnsi="Arial"/>
        </w:rPr>
        <w:t xml:space="preserve">  </w:t>
      </w:r>
      <w:r w:rsidR="00732A8F">
        <w:rPr>
          <w:rFonts w:ascii="Arial" w:hAnsi="Arial"/>
        </w:rPr>
        <w:t>Reframing How We Talk About Alcohol: Public Perceptions of Excessive Alcohol Use and Related Harms</w:t>
      </w:r>
    </w:p>
    <w:p w14:paraId="79D67DC2" w14:textId="77777777" w:rsidR="00B46F2C" w:rsidRDefault="00B46F2C" w:rsidP="00F24CFC">
      <w:pPr>
        <w:rPr>
          <w:rFonts w:ascii="Arial" w:hAnsi="Arial"/>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14:paraId="34A37636" w14:textId="77777777" w:rsidR="008F6CAC" w:rsidRPr="008F6CAC" w:rsidRDefault="00B46F2C" w:rsidP="008F6CAC">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14:paraId="7DFABD78" w14:textId="77777777" w:rsidR="00B46F2C" w:rsidRPr="00B372FB" w:rsidRDefault="00B46F2C" w:rsidP="00F24CFC">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14:paraId="1743AC37" w14:textId="77777777" w:rsidR="00B46F2C" w:rsidRDefault="00B46F2C" w:rsidP="00F24CFC">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14:paraId="1A328B21" w14:textId="77777777" w:rsidR="00EF17AE" w:rsidRPr="00EC1A64" w:rsidRDefault="00EF17AE" w:rsidP="00F24CFC">
      <w:pPr>
        <w:rPr>
          <w:rFonts w:ascii="Arial" w:hAnsi="Arial" w:cs="Arial"/>
        </w:rPr>
      </w:pPr>
      <w:r w:rsidRPr="00EC1A64">
        <w:rPr>
          <w:rFonts w:ascii="Arial" w:hAnsi="Arial" w:cs="Arial"/>
        </w:rPr>
        <w:t>The data collection does involve collection of sensitive or identifiable personal information</w:t>
      </w:r>
      <w:r w:rsidR="00BC6DC6" w:rsidRPr="00EC1A64">
        <w:rPr>
          <w:rFonts w:ascii="Arial" w:hAnsi="Arial" w:cs="Arial"/>
        </w:rPr>
        <w:t xml:space="preserve"> (PII)</w:t>
      </w:r>
      <w:r w:rsidRPr="00EC1A64">
        <w:rPr>
          <w:rFonts w:ascii="Arial" w:hAnsi="Arial" w:cs="Arial"/>
        </w:rPr>
        <w:t>.</w:t>
      </w:r>
      <w:r w:rsidR="00BC6DC6" w:rsidRPr="00EC1A64">
        <w:rPr>
          <w:rFonts w:ascii="Arial" w:hAnsi="Arial" w:cs="Arial"/>
        </w:rPr>
        <w:t xml:space="preserve"> All PII will be kept secure in a locked file cabinet or secure online servers. </w:t>
      </w:r>
    </w:p>
    <w:p w14:paraId="20103FF7" w14:textId="77777777" w:rsidR="00B46F2C" w:rsidRPr="00B372FB" w:rsidRDefault="00B46F2C" w:rsidP="008F50D4">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14:paraId="2A72AB71" w14:textId="77777777" w:rsidR="00B46F2C" w:rsidRPr="00B372FB" w:rsidRDefault="00B46F2C" w:rsidP="00F24CFC">
      <w:pPr>
        <w:rPr>
          <w:rFonts w:ascii="Arial" w:hAnsi="Arial"/>
          <w:b/>
        </w:rPr>
      </w:pPr>
      <w:r w:rsidRPr="00B372FB">
        <w:rPr>
          <w:rFonts w:ascii="Arial" w:hAnsi="Arial"/>
          <w:b/>
        </w:rPr>
        <w:t>BURDEN HOURS:</w:t>
      </w:r>
    </w:p>
    <w:p w14:paraId="0C27D72F" w14:textId="77777777" w:rsidR="00B46F2C" w:rsidRPr="00B372FB" w:rsidRDefault="00B46F2C" w:rsidP="00F24CFC">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14:paraId="6F76E456" w14:textId="77777777" w:rsidR="001E5F40" w:rsidRDefault="001E5F40" w:rsidP="00F24CFC">
      <w:pPr>
        <w:rPr>
          <w:rFonts w:ascii="Arial" w:hAnsi="Arial"/>
        </w:rPr>
      </w:pPr>
      <w:r>
        <w:rPr>
          <w:rFonts w:ascii="Arial" w:hAnsi="Arial"/>
          <w:b/>
        </w:rPr>
        <w:t xml:space="preserve">Form: </w:t>
      </w:r>
      <w:r>
        <w:rPr>
          <w:rFonts w:ascii="Arial" w:hAnsi="Arial"/>
        </w:rPr>
        <w:t>Provide the title of the information collection form.</w:t>
      </w:r>
    </w:p>
    <w:p w14:paraId="3F22B546" w14:textId="77777777" w:rsidR="00B46F2C" w:rsidRPr="00B372FB" w:rsidRDefault="00B46F2C" w:rsidP="00F24CFC">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r w:rsidR="003B08CF">
        <w:rPr>
          <w:rFonts w:ascii="Arial" w:hAnsi="Arial"/>
        </w:rPr>
        <w:t xml:space="preserve"> </w:t>
      </w:r>
    </w:p>
    <w:p w14:paraId="319105FD" w14:textId="77777777" w:rsidR="00B46F2C" w:rsidRPr="003B08CF" w:rsidRDefault="00B46F2C" w:rsidP="00F24CFC">
      <w:pPr>
        <w:rPr>
          <w:rFonts w:ascii="Arial" w:hAnsi="Arial"/>
          <w:color w:val="FF0000"/>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14:paraId="239F804C" w14:textId="77777777" w:rsidR="0063709D" w:rsidRDefault="00B46F2C" w:rsidP="00F24CFC">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r w:rsidR="003B08CF">
        <w:rPr>
          <w:rFonts w:ascii="Arial" w:hAnsi="Arial"/>
        </w:rPr>
        <w:t xml:space="preserve"> </w:t>
      </w:r>
    </w:p>
    <w:p w14:paraId="39099EBB" w14:textId="77777777" w:rsidR="0063709D" w:rsidRDefault="00B46F2C" w:rsidP="00F24CFC">
      <w:pPr>
        <w:rPr>
          <w:rFonts w:ascii="Arial" w:hAnsi="Arial"/>
        </w:rPr>
      </w:pPr>
      <w:r w:rsidRPr="00B372FB">
        <w:rPr>
          <w:rFonts w:ascii="Arial" w:hAnsi="Arial"/>
          <w:b/>
        </w:rPr>
        <w:t xml:space="preserve">FEDERAL COST: </w:t>
      </w:r>
      <w:r w:rsidR="00C1435C" w:rsidRP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r w:rsidR="009A3A78">
        <w:rPr>
          <w:rFonts w:ascii="Arial" w:hAnsi="Arial"/>
        </w:rPr>
        <w:t xml:space="preserve"> </w:t>
      </w:r>
    </w:p>
    <w:p w14:paraId="411B2B79" w14:textId="77777777" w:rsidR="00B46F2C" w:rsidRPr="00B372FB" w:rsidRDefault="00B46F2C" w:rsidP="00F24CFC">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14:paraId="4A5F9BFF" w14:textId="77777777" w:rsidR="00B46F2C" w:rsidRDefault="00B46F2C" w:rsidP="00F24CFC">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14:paraId="2EC8514C" w14:textId="77777777" w:rsidR="00B46F2C" w:rsidRDefault="00B46F2C" w:rsidP="00F24CFC">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R="00B46F2C"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F7658" w14:textId="77777777" w:rsidR="00DA57FD" w:rsidRDefault="00DA57FD">
      <w:r>
        <w:separator/>
      </w:r>
    </w:p>
  </w:endnote>
  <w:endnote w:type="continuationSeparator" w:id="0">
    <w:p w14:paraId="1C20CA27" w14:textId="77777777" w:rsidR="00DA57FD" w:rsidRDefault="00DA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77A09" w14:textId="77777777" w:rsidR="00DA57FD" w:rsidRDefault="00DA57F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E1438">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A1446" w14:textId="77777777" w:rsidR="00DA57FD" w:rsidRDefault="00DA57FD">
      <w:r>
        <w:separator/>
      </w:r>
    </w:p>
  </w:footnote>
  <w:footnote w:type="continuationSeparator" w:id="0">
    <w:p w14:paraId="084642C0" w14:textId="77777777" w:rsidR="00DA57FD" w:rsidRDefault="00DA5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12D69" w14:textId="77777777" w:rsidR="00DA57FD" w:rsidRDefault="00DA57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B011D66"/>
    <w:multiLevelType w:val="hybridMultilevel"/>
    <w:tmpl w:val="FD3C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C7F44B9"/>
    <w:multiLevelType w:val="hybridMultilevel"/>
    <w:tmpl w:val="8280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50B190F"/>
    <w:multiLevelType w:val="hybridMultilevel"/>
    <w:tmpl w:val="E21E1F30"/>
    <w:lvl w:ilvl="0" w:tplc="EA241558">
      <w:start w:val="1"/>
      <w:numFmt w:val="decimal"/>
      <w:pStyle w:val="Bulletblank"/>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3"/>
  </w:num>
  <w:num w:numId="6">
    <w:abstractNumId w:val="1"/>
  </w:num>
  <w:num w:numId="7">
    <w:abstractNumId w:val="11"/>
  </w:num>
  <w:num w:numId="8">
    <w:abstractNumId w:val="17"/>
  </w:num>
  <w:num w:numId="9">
    <w:abstractNumId w:val="12"/>
  </w:num>
  <w:num w:numId="10">
    <w:abstractNumId w:val="2"/>
  </w:num>
  <w:num w:numId="11">
    <w:abstractNumId w:val="7"/>
  </w:num>
  <w:num w:numId="12">
    <w:abstractNumId w:val="8"/>
  </w:num>
  <w:num w:numId="13">
    <w:abstractNumId w:val="0"/>
  </w:num>
  <w:num w:numId="14">
    <w:abstractNumId w:val="18"/>
  </w:num>
  <w:num w:numId="15">
    <w:abstractNumId w:val="15"/>
  </w:num>
  <w:num w:numId="16">
    <w:abstractNumId w:val="14"/>
  </w:num>
  <w:num w:numId="17">
    <w:abstractNumId w:val="4"/>
  </w:num>
  <w:num w:numId="18">
    <w:abstractNumId w:val="5"/>
  </w:num>
  <w:num w:numId="19">
    <w:abstractNumId w:val="9"/>
  </w:num>
  <w:num w:numId="20">
    <w:abstractNumId w:val="6"/>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3C34"/>
    <w:rsid w:val="00047A64"/>
    <w:rsid w:val="00067329"/>
    <w:rsid w:val="000B2838"/>
    <w:rsid w:val="000D44CA"/>
    <w:rsid w:val="000E200B"/>
    <w:rsid w:val="000F68BE"/>
    <w:rsid w:val="001523D5"/>
    <w:rsid w:val="00153A75"/>
    <w:rsid w:val="001721AB"/>
    <w:rsid w:val="001927A4"/>
    <w:rsid w:val="00194AC6"/>
    <w:rsid w:val="001A23B0"/>
    <w:rsid w:val="001A25CC"/>
    <w:rsid w:val="001B0AAA"/>
    <w:rsid w:val="001C39F7"/>
    <w:rsid w:val="001D0776"/>
    <w:rsid w:val="001E5F40"/>
    <w:rsid w:val="001F135F"/>
    <w:rsid w:val="00202CDF"/>
    <w:rsid w:val="00215FC6"/>
    <w:rsid w:val="00217EF6"/>
    <w:rsid w:val="00237B48"/>
    <w:rsid w:val="0024521E"/>
    <w:rsid w:val="0024636D"/>
    <w:rsid w:val="00263C3D"/>
    <w:rsid w:val="00274D0B"/>
    <w:rsid w:val="002821FF"/>
    <w:rsid w:val="002B3C95"/>
    <w:rsid w:val="002D0B92"/>
    <w:rsid w:val="002F2EF9"/>
    <w:rsid w:val="00303F23"/>
    <w:rsid w:val="00342ACD"/>
    <w:rsid w:val="003675DB"/>
    <w:rsid w:val="003B08CF"/>
    <w:rsid w:val="003C0B83"/>
    <w:rsid w:val="003D5BBE"/>
    <w:rsid w:val="003E3C61"/>
    <w:rsid w:val="003F1C5B"/>
    <w:rsid w:val="0041337D"/>
    <w:rsid w:val="00434E33"/>
    <w:rsid w:val="004365C8"/>
    <w:rsid w:val="00441434"/>
    <w:rsid w:val="004429D7"/>
    <w:rsid w:val="0045264C"/>
    <w:rsid w:val="00453948"/>
    <w:rsid w:val="00466DC6"/>
    <w:rsid w:val="004876EC"/>
    <w:rsid w:val="004D6E14"/>
    <w:rsid w:val="004E30BC"/>
    <w:rsid w:val="005009B0"/>
    <w:rsid w:val="00512CA7"/>
    <w:rsid w:val="005A1006"/>
    <w:rsid w:val="005C0BD0"/>
    <w:rsid w:val="005D46C6"/>
    <w:rsid w:val="005E1438"/>
    <w:rsid w:val="005E714A"/>
    <w:rsid w:val="006140A0"/>
    <w:rsid w:val="00636621"/>
    <w:rsid w:val="0063709D"/>
    <w:rsid w:val="00642B49"/>
    <w:rsid w:val="006832D9"/>
    <w:rsid w:val="0069403B"/>
    <w:rsid w:val="006D040C"/>
    <w:rsid w:val="006E12B5"/>
    <w:rsid w:val="006F3DDE"/>
    <w:rsid w:val="00704678"/>
    <w:rsid w:val="00732A8F"/>
    <w:rsid w:val="007373B4"/>
    <w:rsid w:val="007425E7"/>
    <w:rsid w:val="00770E75"/>
    <w:rsid w:val="007755DD"/>
    <w:rsid w:val="00802607"/>
    <w:rsid w:val="008101A5"/>
    <w:rsid w:val="00822664"/>
    <w:rsid w:val="00840FCA"/>
    <w:rsid w:val="00843796"/>
    <w:rsid w:val="00846B36"/>
    <w:rsid w:val="00895229"/>
    <w:rsid w:val="0089539F"/>
    <w:rsid w:val="008F0203"/>
    <w:rsid w:val="008F358D"/>
    <w:rsid w:val="008F50D4"/>
    <w:rsid w:val="008F6CAC"/>
    <w:rsid w:val="009239AA"/>
    <w:rsid w:val="00935ADA"/>
    <w:rsid w:val="00946B6C"/>
    <w:rsid w:val="00955A71"/>
    <w:rsid w:val="0096108F"/>
    <w:rsid w:val="00996D9D"/>
    <w:rsid w:val="009A3A78"/>
    <w:rsid w:val="009C13B9"/>
    <w:rsid w:val="009D01A2"/>
    <w:rsid w:val="009F5923"/>
    <w:rsid w:val="00A13253"/>
    <w:rsid w:val="00A403BB"/>
    <w:rsid w:val="00A674DF"/>
    <w:rsid w:val="00A83AA6"/>
    <w:rsid w:val="00AB4C42"/>
    <w:rsid w:val="00AE1809"/>
    <w:rsid w:val="00B32078"/>
    <w:rsid w:val="00B372FB"/>
    <w:rsid w:val="00B44774"/>
    <w:rsid w:val="00B46F2C"/>
    <w:rsid w:val="00B737EE"/>
    <w:rsid w:val="00B80D76"/>
    <w:rsid w:val="00B85006"/>
    <w:rsid w:val="00BA2105"/>
    <w:rsid w:val="00BA7E06"/>
    <w:rsid w:val="00BB43B5"/>
    <w:rsid w:val="00BB6219"/>
    <w:rsid w:val="00BC6DC6"/>
    <w:rsid w:val="00BD290F"/>
    <w:rsid w:val="00C1435C"/>
    <w:rsid w:val="00C14CC4"/>
    <w:rsid w:val="00C33C52"/>
    <w:rsid w:val="00C40D8B"/>
    <w:rsid w:val="00C8407A"/>
    <w:rsid w:val="00C8488C"/>
    <w:rsid w:val="00C86E91"/>
    <w:rsid w:val="00CA2650"/>
    <w:rsid w:val="00CB1078"/>
    <w:rsid w:val="00CC6FAF"/>
    <w:rsid w:val="00CC744B"/>
    <w:rsid w:val="00D24698"/>
    <w:rsid w:val="00D316AF"/>
    <w:rsid w:val="00D6383F"/>
    <w:rsid w:val="00D71221"/>
    <w:rsid w:val="00D9332E"/>
    <w:rsid w:val="00D94185"/>
    <w:rsid w:val="00D97DB9"/>
    <w:rsid w:val="00DA57FD"/>
    <w:rsid w:val="00DB344C"/>
    <w:rsid w:val="00DB59D0"/>
    <w:rsid w:val="00DC33D3"/>
    <w:rsid w:val="00E2594A"/>
    <w:rsid w:val="00E26329"/>
    <w:rsid w:val="00E40B50"/>
    <w:rsid w:val="00E50293"/>
    <w:rsid w:val="00E55CAE"/>
    <w:rsid w:val="00E65FFC"/>
    <w:rsid w:val="00E749EA"/>
    <w:rsid w:val="00E80951"/>
    <w:rsid w:val="00E854FE"/>
    <w:rsid w:val="00E86CC6"/>
    <w:rsid w:val="00EA2C4C"/>
    <w:rsid w:val="00EB56B3"/>
    <w:rsid w:val="00EC1A64"/>
    <w:rsid w:val="00ED1606"/>
    <w:rsid w:val="00ED6492"/>
    <w:rsid w:val="00EF17AE"/>
    <w:rsid w:val="00EF2095"/>
    <w:rsid w:val="00F06866"/>
    <w:rsid w:val="00F15956"/>
    <w:rsid w:val="00F24CFC"/>
    <w:rsid w:val="00F3170F"/>
    <w:rsid w:val="00F4017B"/>
    <w:rsid w:val="00F45E35"/>
    <w:rsid w:val="00F51F8F"/>
    <w:rsid w:val="00F67186"/>
    <w:rsid w:val="00F976B0"/>
    <w:rsid w:val="00FA0367"/>
    <w:rsid w:val="00FA6DE7"/>
    <w:rsid w:val="00FA78BD"/>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14A4D01"/>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link w:val="ListParagraphChar"/>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paragraph" w:customStyle="1" w:styleId="ExhibitTitle">
    <w:name w:val="Exhibit Title"/>
    <w:basedOn w:val="Normal"/>
    <w:uiPriority w:val="99"/>
    <w:rsid w:val="00B44774"/>
    <w:pPr>
      <w:keepNext/>
      <w:keepLines/>
      <w:spacing w:before="80" w:after="120" w:line="240" w:lineRule="auto"/>
      <w:ind w:left="1627" w:hanging="1627"/>
    </w:pPr>
    <w:rPr>
      <w:rFonts w:ascii="Times New Roman" w:eastAsia="Times New Roman" w:hAnsi="Times New Roman" w:cs="Times New Roman"/>
      <w:b/>
      <w:color w:val="000000"/>
      <w:sz w:val="24"/>
      <w:szCs w:val="24"/>
    </w:rPr>
  </w:style>
  <w:style w:type="character" w:customStyle="1" w:styleId="ListParagraphChar">
    <w:name w:val="List Paragraph Char"/>
    <w:basedOn w:val="DefaultParagraphFont"/>
    <w:link w:val="ListParagraph"/>
    <w:uiPriority w:val="34"/>
    <w:locked/>
    <w:rsid w:val="008F6CAC"/>
  </w:style>
  <w:style w:type="paragraph" w:customStyle="1" w:styleId="after-12">
    <w:name w:val="after-12"/>
    <w:basedOn w:val="BodyText"/>
    <w:qFormat/>
    <w:rsid w:val="0063709D"/>
    <w:pPr>
      <w:widowControl/>
      <w:spacing w:before="240" w:after="240" w:line="360" w:lineRule="auto"/>
      <w:ind w:firstLine="720"/>
    </w:pPr>
    <w:rPr>
      <w:rFonts w:ascii="Times New Roman" w:eastAsia="Times New Roman" w:hAnsi="Times New Roman" w:cs="Times New Roman"/>
      <w:i w:val="0"/>
      <w:iCs w:val="0"/>
      <w:sz w:val="24"/>
      <w:szCs w:val="24"/>
    </w:rPr>
  </w:style>
  <w:style w:type="character" w:styleId="FootnoteReference">
    <w:name w:val="footnote reference"/>
    <w:aliases w:val="fr"/>
    <w:uiPriority w:val="99"/>
    <w:rsid w:val="00996D9D"/>
    <w:rPr>
      <w:rFonts w:ascii="Courier New" w:hAnsi="Courier New" w:cs="Courier New"/>
      <w:sz w:val="24"/>
      <w:szCs w:val="24"/>
    </w:rPr>
  </w:style>
  <w:style w:type="character" w:customStyle="1" w:styleId="biblioChar">
    <w:name w:val="biblio Char"/>
    <w:link w:val="biblio"/>
    <w:uiPriority w:val="99"/>
    <w:locked/>
    <w:rsid w:val="00996D9D"/>
    <w:rPr>
      <w:rFonts w:cs="Times New Roman"/>
      <w:sz w:val="24"/>
    </w:rPr>
  </w:style>
  <w:style w:type="paragraph" w:customStyle="1" w:styleId="biblio">
    <w:name w:val="biblio"/>
    <w:basedOn w:val="Normal"/>
    <w:link w:val="biblioChar"/>
    <w:uiPriority w:val="99"/>
    <w:rsid w:val="00996D9D"/>
    <w:pPr>
      <w:keepLines/>
      <w:spacing w:after="240" w:line="240" w:lineRule="auto"/>
      <w:ind w:left="720" w:hanging="720"/>
    </w:pPr>
    <w:rPr>
      <w:rFonts w:cs="Times New Roman"/>
      <w:sz w:val="24"/>
    </w:rPr>
  </w:style>
  <w:style w:type="paragraph" w:customStyle="1" w:styleId="Bulletblank">
    <w:name w:val="Bullet_blank"/>
    <w:basedOn w:val="Normal"/>
    <w:qFormat/>
    <w:rsid w:val="00453948"/>
    <w:pPr>
      <w:numPr>
        <w:numId w:val="21"/>
      </w:numPr>
      <w:spacing w:after="0" w:line="360" w:lineRule="auto"/>
      <w:ind w:left="1080"/>
    </w:pPr>
    <w:rPr>
      <w:rFonts w:ascii="Times New Roman" w:eastAsia="Times New Roman" w:hAnsi="Times New Roman" w:cs="Times New Roman"/>
      <w:sz w:val="24"/>
      <w:szCs w:val="24"/>
    </w:rPr>
  </w:style>
  <w:style w:type="paragraph" w:styleId="TOC4">
    <w:name w:val="toc 4"/>
    <w:basedOn w:val="Normal"/>
    <w:next w:val="Normal"/>
    <w:autoRedefine/>
    <w:uiPriority w:val="39"/>
    <w:semiHidden/>
    <w:unhideWhenUsed/>
    <w:rsid w:val="0089539F"/>
    <w:pPr>
      <w:spacing w:after="100"/>
      <w:ind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129">
      <w:marLeft w:val="0"/>
      <w:marRight w:val="0"/>
      <w:marTop w:val="0"/>
      <w:marBottom w:val="0"/>
      <w:divBdr>
        <w:top w:val="none" w:sz="0" w:space="0" w:color="auto"/>
        <w:left w:val="none" w:sz="0" w:space="0" w:color="auto"/>
        <w:bottom w:val="none" w:sz="0" w:space="0" w:color="auto"/>
        <w:right w:val="none" w:sz="0" w:space="0" w:color="auto"/>
      </w:divBdr>
    </w:div>
    <w:div w:id="19766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2864</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Johnson-James, Treana (CDC/ONDIEH/NCBDDD) (CTR)</cp:lastModifiedBy>
  <cp:revision>9</cp:revision>
  <cp:lastPrinted>2017-03-24T14:41:00Z</cp:lastPrinted>
  <dcterms:created xsi:type="dcterms:W3CDTF">2017-03-24T17:31:00Z</dcterms:created>
  <dcterms:modified xsi:type="dcterms:W3CDTF">2017-04-03T15:18:00Z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