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E95D9" w14:textId="77777777" w:rsidR="005F741F" w:rsidRPr="009823B7" w:rsidRDefault="005F741F" w:rsidP="005F741F">
      <w:pPr>
        <w:spacing w:line="360" w:lineRule="auto"/>
        <w:jc w:val="center"/>
      </w:pPr>
      <w:r w:rsidRPr="009823B7">
        <w:t xml:space="preserve">Submission under </w:t>
      </w:r>
    </w:p>
    <w:p w14:paraId="36377448" w14:textId="77777777" w:rsidR="005F741F" w:rsidRPr="009823B7" w:rsidRDefault="00D60D0D" w:rsidP="00D60D0D">
      <w:pPr>
        <w:spacing w:line="360" w:lineRule="auto"/>
        <w:jc w:val="center"/>
      </w:pPr>
      <w:r>
        <w:t>0920-1154</w:t>
      </w:r>
      <w:r w:rsidR="005F741F" w:rsidRPr="009823B7">
        <w:t xml:space="preserve"> </w:t>
      </w:r>
      <w:r>
        <w:t>Generic Clearance for CDC/ATSDR Formative Research and Tool Development</w:t>
      </w:r>
    </w:p>
    <w:p w14:paraId="0874CED1" w14:textId="77777777" w:rsidR="005F741F" w:rsidRDefault="005F741F" w:rsidP="005F741F">
      <w:pPr>
        <w:spacing w:line="360" w:lineRule="auto"/>
        <w:jc w:val="center"/>
      </w:pPr>
      <w:r>
        <w:t xml:space="preserve">Expiration: </w:t>
      </w:r>
      <w:r w:rsidR="00D60D0D">
        <w:t>01/31/2020</w:t>
      </w:r>
    </w:p>
    <w:p w14:paraId="042EE78B" w14:textId="77777777" w:rsidR="00F03054" w:rsidRPr="00022A54" w:rsidRDefault="00F03054" w:rsidP="00B47B1C">
      <w:pPr>
        <w:jc w:val="center"/>
        <w:rPr>
          <w:b/>
        </w:rPr>
      </w:pPr>
    </w:p>
    <w:p w14:paraId="16757B24" w14:textId="487F332C" w:rsidR="00D60D0D" w:rsidRPr="00CD27E8" w:rsidRDefault="00D60D0D" w:rsidP="00D60D0D">
      <w:pPr>
        <w:jc w:val="center"/>
        <w:rPr>
          <w:b/>
        </w:rPr>
      </w:pPr>
      <w:r w:rsidRPr="00CD27E8">
        <w:rPr>
          <w:b/>
        </w:rPr>
        <w:t>Persuasive Communication about Risks from and Response</w:t>
      </w:r>
      <w:r w:rsidR="00CC5F3A">
        <w:rPr>
          <w:b/>
        </w:rPr>
        <w:t>s</w:t>
      </w:r>
      <w:r w:rsidRPr="00CD27E8">
        <w:rPr>
          <w:b/>
        </w:rPr>
        <w:t xml:space="preserve"> to Zika </w:t>
      </w:r>
      <w:r w:rsidR="00CD27E8" w:rsidRPr="00CD27E8">
        <w:rPr>
          <w:b/>
        </w:rPr>
        <w:t>–</w:t>
      </w:r>
      <w:r w:rsidRPr="00CD27E8">
        <w:rPr>
          <w:b/>
        </w:rPr>
        <w:t xml:space="preserve"> </w:t>
      </w:r>
      <w:r w:rsidR="00CD27E8" w:rsidRPr="00CD27E8">
        <w:rPr>
          <w:b/>
        </w:rPr>
        <w:t>State, Local and Tribal Government Interviews</w:t>
      </w:r>
    </w:p>
    <w:p w14:paraId="3401DE09" w14:textId="77777777" w:rsidR="00CD27E8" w:rsidRPr="00CD27E8" w:rsidRDefault="00CD27E8" w:rsidP="00CD27E8">
      <w:pPr>
        <w:jc w:val="center"/>
        <w:rPr>
          <w:b/>
          <w:lang w:val="fr-FR"/>
        </w:rPr>
      </w:pPr>
      <w:r w:rsidRPr="00CD27E8">
        <w:rPr>
          <w:b/>
          <w:lang w:val="fr-FR"/>
        </w:rPr>
        <w:t>Supporting Statement Part A</w:t>
      </w:r>
    </w:p>
    <w:p w14:paraId="46AFBD76" w14:textId="77777777" w:rsidR="00662F81" w:rsidRPr="00022A54" w:rsidRDefault="00662F81" w:rsidP="00B47B1C"/>
    <w:p w14:paraId="5F042890" w14:textId="77777777" w:rsidR="00662F81" w:rsidRPr="00022A54" w:rsidRDefault="00662F81" w:rsidP="00662F8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14:paraId="3D950E34" w14:textId="77777777" w:rsidR="00F03054" w:rsidRPr="00022A54" w:rsidRDefault="00F03054" w:rsidP="00B47B1C">
      <w:pPr>
        <w:jc w:val="center"/>
        <w:rPr>
          <w:lang w:val="fr-FR"/>
        </w:rPr>
      </w:pPr>
    </w:p>
    <w:p w14:paraId="1A4EBE54" w14:textId="77777777" w:rsidR="00F03054" w:rsidRPr="00022A54" w:rsidRDefault="00F03054" w:rsidP="00B47B1C">
      <w:pPr>
        <w:jc w:val="center"/>
        <w:rPr>
          <w:lang w:val="fr-FR"/>
        </w:rPr>
      </w:pPr>
    </w:p>
    <w:p w14:paraId="59E86366" w14:textId="77777777" w:rsidR="00F03054" w:rsidRPr="00022A54" w:rsidRDefault="00F03054" w:rsidP="00B47B1C">
      <w:pPr>
        <w:jc w:val="center"/>
        <w:rPr>
          <w:lang w:val="fr-FR"/>
        </w:rPr>
      </w:pPr>
    </w:p>
    <w:p w14:paraId="433A1373" w14:textId="68537DB5" w:rsidR="00F03054" w:rsidRPr="00022A54" w:rsidRDefault="00FB1B34" w:rsidP="00B47B1C">
      <w:pPr>
        <w:jc w:val="center"/>
        <w:rPr>
          <w:lang w:val="fr-FR"/>
        </w:rPr>
      </w:pPr>
      <w:r>
        <w:rPr>
          <w:lang w:val="fr-FR"/>
        </w:rPr>
        <w:t>April 13</w:t>
      </w:r>
      <w:r w:rsidR="00D60D0D">
        <w:rPr>
          <w:lang w:val="fr-FR"/>
        </w:rPr>
        <w:t>, 2017</w:t>
      </w:r>
    </w:p>
    <w:p w14:paraId="260902FD" w14:textId="77777777" w:rsidR="00F03054" w:rsidRPr="00022A54" w:rsidRDefault="00F03054" w:rsidP="00B47B1C">
      <w:pPr>
        <w:jc w:val="center"/>
        <w:rPr>
          <w:lang w:val="fr-FR"/>
        </w:rPr>
      </w:pPr>
    </w:p>
    <w:p w14:paraId="42C46014" w14:textId="77777777" w:rsidR="00F03054" w:rsidRPr="00022A54" w:rsidRDefault="00F03054" w:rsidP="00B47B1C">
      <w:pPr>
        <w:jc w:val="center"/>
        <w:rPr>
          <w:lang w:val="fr-FR"/>
        </w:rPr>
      </w:pPr>
    </w:p>
    <w:p w14:paraId="02A6B3A4" w14:textId="77777777" w:rsidR="00F03054" w:rsidRPr="00022A54" w:rsidRDefault="00F03054" w:rsidP="00B47B1C">
      <w:pPr>
        <w:jc w:val="center"/>
        <w:rPr>
          <w:lang w:val="fr-FR"/>
        </w:rPr>
      </w:pPr>
    </w:p>
    <w:p w14:paraId="50463BEC" w14:textId="77777777" w:rsidR="00F03054" w:rsidRPr="00022A54" w:rsidRDefault="00F03054" w:rsidP="00B47B1C">
      <w:pPr>
        <w:jc w:val="center"/>
        <w:rPr>
          <w:lang w:val="fr-FR"/>
        </w:rPr>
      </w:pPr>
    </w:p>
    <w:p w14:paraId="3175A00F" w14:textId="77777777" w:rsidR="00662F81" w:rsidRPr="00022A54" w:rsidRDefault="00662F81" w:rsidP="00B47B1C">
      <w:pPr>
        <w:jc w:val="center"/>
        <w:rPr>
          <w:lang w:val="fr-FR"/>
        </w:rPr>
      </w:pPr>
      <w:r w:rsidRPr="00022A54">
        <w:rPr>
          <w:lang w:val="fr-FR"/>
        </w:rPr>
        <w:t>Contact Information:</w:t>
      </w:r>
    </w:p>
    <w:p w14:paraId="088A2955" w14:textId="77777777" w:rsidR="00662F81" w:rsidRPr="00022A54" w:rsidRDefault="00662F81" w:rsidP="00B47B1C">
      <w:pPr>
        <w:jc w:val="center"/>
        <w:rPr>
          <w:lang w:val="fr-FR"/>
        </w:rPr>
      </w:pPr>
    </w:p>
    <w:p w14:paraId="3760591A" w14:textId="77777777" w:rsidR="00CD27E8" w:rsidRDefault="00CD27E8" w:rsidP="00CD27E8">
      <w:pPr>
        <w:rPr>
          <w:sz w:val="22"/>
          <w:szCs w:val="22"/>
        </w:rPr>
      </w:pPr>
      <w:r>
        <w:t>Laura E. Pechta, PhD</w:t>
      </w:r>
    </w:p>
    <w:p w14:paraId="06470F45" w14:textId="77777777" w:rsidR="00CD27E8" w:rsidRDefault="00CD27E8" w:rsidP="00CD27E8">
      <w:r>
        <w:t>Health Communication Specialist, Emergency Risk Communication Branch (ERCB)</w:t>
      </w:r>
    </w:p>
    <w:p w14:paraId="6F216EDB" w14:textId="77777777" w:rsidR="00CD27E8" w:rsidRDefault="00CD27E8" w:rsidP="00CD27E8">
      <w:r>
        <w:t>Division of Emergency Operations (DEO)</w:t>
      </w:r>
    </w:p>
    <w:p w14:paraId="70A6A883" w14:textId="77777777" w:rsidR="00CD27E8" w:rsidRDefault="00CD27E8" w:rsidP="00CD27E8">
      <w:r>
        <w:t>Office of Public Health Preparedness and Response (OPHPR)</w:t>
      </w:r>
    </w:p>
    <w:p w14:paraId="449BAB97" w14:textId="77777777" w:rsidR="00CD27E8" w:rsidRDefault="00CD27E8" w:rsidP="00CD27E8">
      <w:r>
        <w:t>Centers for Disease Control and Prevention</w:t>
      </w:r>
    </w:p>
    <w:p w14:paraId="23129F64" w14:textId="77777777" w:rsidR="00CD27E8" w:rsidRDefault="00CD27E8" w:rsidP="00CD27E8">
      <w:r>
        <w:t>US Department of Health and Human Services</w:t>
      </w:r>
    </w:p>
    <w:p w14:paraId="1C798982" w14:textId="77777777" w:rsidR="00CD27E8" w:rsidRDefault="00CD27E8" w:rsidP="00CD27E8">
      <w:r>
        <w:t xml:space="preserve">Phone:  404-639-1794 </w:t>
      </w:r>
    </w:p>
    <w:p w14:paraId="7D9D1352" w14:textId="77777777" w:rsidR="00CD27E8" w:rsidRDefault="00CD27E8" w:rsidP="00CD27E8">
      <w:r>
        <w:t xml:space="preserve">E-mail: </w:t>
      </w:r>
      <w:hyperlink r:id="rId8" w:history="1">
        <w:r w:rsidRPr="00AC4666">
          <w:rPr>
            <w:rStyle w:val="Hyperlink"/>
          </w:rPr>
          <w:t>vya9@cdc.gov</w:t>
        </w:r>
      </w:hyperlink>
    </w:p>
    <w:p w14:paraId="0DFB1B7E" w14:textId="77777777" w:rsidR="000B3F98" w:rsidRPr="00FC301A" w:rsidRDefault="00CD27E8" w:rsidP="00FC301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Pr>
          <w:rFonts w:ascii="Times New Roman" w:hAnsi="Times New Roman"/>
          <w:b/>
        </w:rPr>
        <w:br w:type="page"/>
      </w:r>
      <w:r w:rsidR="000B3F98" w:rsidRPr="00FC301A">
        <w:rPr>
          <w:rFonts w:ascii="Times New Roman" w:hAnsi="Times New Roman"/>
          <w:b/>
        </w:rPr>
        <w:lastRenderedPageBreak/>
        <w:t>Table of Contents</w:t>
      </w:r>
    </w:p>
    <w:p w14:paraId="755A570F" w14:textId="77777777" w:rsidR="000B3F98" w:rsidRPr="00FC301A" w:rsidRDefault="000B3F98" w:rsidP="000B3F98">
      <w:pPr>
        <w:rPr>
          <w:b/>
        </w:rPr>
      </w:pPr>
      <w:r w:rsidRPr="00FC301A">
        <w:rPr>
          <w:b/>
        </w:rPr>
        <w:t>Section</w:t>
      </w:r>
      <w:r w:rsidRPr="00FC301A">
        <w:rPr>
          <w:b/>
        </w:rPr>
        <w:tab/>
      </w:r>
    </w:p>
    <w:p w14:paraId="25CAD3AF" w14:textId="77777777" w:rsidR="000B3F98" w:rsidRPr="00FC301A" w:rsidRDefault="000B3F98" w:rsidP="000B3F98">
      <w:pPr>
        <w:rPr>
          <w:b/>
        </w:rPr>
      </w:pPr>
      <w:r w:rsidRPr="00FC301A">
        <w:rPr>
          <w:b/>
        </w:rPr>
        <w:t>A.</w:t>
      </w:r>
      <w:r w:rsidRPr="00FC301A">
        <w:rPr>
          <w:b/>
        </w:rPr>
        <w:tab/>
        <w:t>Justification</w:t>
      </w:r>
    </w:p>
    <w:p w14:paraId="7127B684" w14:textId="77777777" w:rsidR="00AD3B70" w:rsidRPr="00951BC8" w:rsidRDefault="00AD3B70" w:rsidP="00B06EB4">
      <w:pPr>
        <w:numPr>
          <w:ilvl w:val="0"/>
          <w:numId w:val="38"/>
        </w:numPr>
        <w:spacing w:after="0"/>
        <w:rPr>
          <w:bCs/>
        </w:rPr>
      </w:pPr>
      <w:r w:rsidRPr="00951BC8">
        <w:rPr>
          <w:bCs/>
        </w:rPr>
        <w:t>Circumstances Making the Collection of Information Necessary</w:t>
      </w:r>
    </w:p>
    <w:p w14:paraId="1B91CCE8" w14:textId="77777777" w:rsidR="00AD3B70" w:rsidRPr="00951BC8" w:rsidRDefault="00AD3B70" w:rsidP="00B06EB4">
      <w:pPr>
        <w:numPr>
          <w:ilvl w:val="0"/>
          <w:numId w:val="38"/>
        </w:numPr>
        <w:spacing w:after="0"/>
        <w:rPr>
          <w:bCs/>
        </w:rPr>
      </w:pPr>
      <w:r w:rsidRPr="00951BC8">
        <w:rPr>
          <w:bCs/>
        </w:rPr>
        <w:t>Purpose and Use of the Information Collection</w:t>
      </w:r>
    </w:p>
    <w:p w14:paraId="436EA9F0" w14:textId="77777777" w:rsidR="00AD3B70" w:rsidRPr="00951BC8" w:rsidRDefault="00AD3B70" w:rsidP="00B06EB4">
      <w:pPr>
        <w:numPr>
          <w:ilvl w:val="0"/>
          <w:numId w:val="38"/>
        </w:numPr>
        <w:spacing w:after="0"/>
        <w:rPr>
          <w:bCs/>
        </w:rPr>
      </w:pPr>
      <w:r w:rsidRPr="00951BC8">
        <w:rPr>
          <w:bCs/>
        </w:rPr>
        <w:t>Use of Improved Information Technology and Burden Reduction</w:t>
      </w:r>
    </w:p>
    <w:p w14:paraId="077A24DF" w14:textId="77777777" w:rsidR="00AD3B70" w:rsidRPr="00951BC8" w:rsidRDefault="00AD3B70" w:rsidP="00B06EB4">
      <w:pPr>
        <w:numPr>
          <w:ilvl w:val="0"/>
          <w:numId w:val="38"/>
        </w:numPr>
        <w:spacing w:after="0"/>
        <w:rPr>
          <w:bCs/>
        </w:rPr>
      </w:pPr>
      <w:r w:rsidRPr="00951BC8">
        <w:rPr>
          <w:bCs/>
        </w:rPr>
        <w:t>Efforts to Identify Duplication and Use of Similar Information</w:t>
      </w:r>
    </w:p>
    <w:p w14:paraId="73E539D4" w14:textId="77777777" w:rsidR="00AD3B70" w:rsidRPr="00951BC8" w:rsidRDefault="00AD3B70" w:rsidP="00B06EB4">
      <w:pPr>
        <w:numPr>
          <w:ilvl w:val="0"/>
          <w:numId w:val="38"/>
        </w:numPr>
        <w:spacing w:after="0"/>
        <w:rPr>
          <w:bCs/>
        </w:rPr>
      </w:pPr>
      <w:r w:rsidRPr="00951BC8">
        <w:rPr>
          <w:bCs/>
        </w:rPr>
        <w:t>Impact on Small Businesses or Other Small Entities</w:t>
      </w:r>
    </w:p>
    <w:p w14:paraId="3BE86A69" w14:textId="77777777" w:rsidR="00AD3B70" w:rsidRPr="00951BC8" w:rsidRDefault="00AD3B70" w:rsidP="00B06EB4">
      <w:pPr>
        <w:numPr>
          <w:ilvl w:val="0"/>
          <w:numId w:val="38"/>
        </w:numPr>
        <w:spacing w:after="0"/>
        <w:rPr>
          <w:bCs/>
        </w:rPr>
      </w:pPr>
      <w:r w:rsidRPr="00951BC8">
        <w:rPr>
          <w:bCs/>
        </w:rPr>
        <w:t>Consequences of Collecting the Information Less Frequently</w:t>
      </w:r>
    </w:p>
    <w:p w14:paraId="5E47034D" w14:textId="77777777" w:rsidR="00AD3B70" w:rsidRPr="00951BC8" w:rsidRDefault="00AD3B70" w:rsidP="00B06EB4">
      <w:pPr>
        <w:numPr>
          <w:ilvl w:val="0"/>
          <w:numId w:val="38"/>
        </w:numPr>
        <w:spacing w:after="0"/>
        <w:rPr>
          <w:bCs/>
        </w:rPr>
      </w:pPr>
      <w:r w:rsidRPr="00951BC8">
        <w:rPr>
          <w:bCs/>
        </w:rPr>
        <w:t>Special Circumstances Relating to the Guidelines of 5 CFR 1320.5</w:t>
      </w:r>
    </w:p>
    <w:p w14:paraId="655693E9" w14:textId="77777777" w:rsidR="00AD3B70" w:rsidRPr="00951BC8" w:rsidRDefault="00AD3B70" w:rsidP="00B06EB4">
      <w:pPr>
        <w:numPr>
          <w:ilvl w:val="0"/>
          <w:numId w:val="38"/>
        </w:numPr>
        <w:spacing w:after="0"/>
        <w:rPr>
          <w:bCs/>
        </w:rPr>
      </w:pPr>
      <w:r w:rsidRPr="00951BC8">
        <w:rPr>
          <w:bCs/>
        </w:rPr>
        <w:t>Comments in Response to the Federal Register Notice and Efforts to Consult Outside the Agency</w:t>
      </w:r>
    </w:p>
    <w:p w14:paraId="457543E9" w14:textId="77777777" w:rsidR="00AD3B70" w:rsidRPr="00951BC8" w:rsidRDefault="00AD3B70" w:rsidP="00B06EB4">
      <w:pPr>
        <w:numPr>
          <w:ilvl w:val="0"/>
          <w:numId w:val="38"/>
        </w:numPr>
        <w:spacing w:after="0"/>
        <w:rPr>
          <w:bCs/>
        </w:rPr>
      </w:pPr>
      <w:r w:rsidRPr="00951BC8">
        <w:rPr>
          <w:bCs/>
        </w:rPr>
        <w:t>Explanation of Any Payment or Gift to Respondents</w:t>
      </w:r>
    </w:p>
    <w:p w14:paraId="3EBB1B8F" w14:textId="77777777" w:rsidR="00AD3B70" w:rsidRPr="00951BC8" w:rsidRDefault="00AD3B70" w:rsidP="00B06EB4">
      <w:pPr>
        <w:numPr>
          <w:ilvl w:val="0"/>
          <w:numId w:val="38"/>
        </w:numPr>
        <w:spacing w:after="0"/>
        <w:rPr>
          <w:bCs/>
        </w:rPr>
      </w:pPr>
      <w:r w:rsidRPr="00951BC8">
        <w:rPr>
          <w:bCs/>
        </w:rPr>
        <w:t xml:space="preserve">Protection of the Privacy and Confidentiality of Information Provided </w:t>
      </w:r>
      <w:r w:rsidR="00C6416D">
        <w:rPr>
          <w:bCs/>
        </w:rPr>
        <w:t>to</w:t>
      </w:r>
      <w:r w:rsidRPr="00951BC8">
        <w:rPr>
          <w:bCs/>
        </w:rPr>
        <w:t xml:space="preserve"> Respondents</w:t>
      </w:r>
    </w:p>
    <w:p w14:paraId="2B1D1597" w14:textId="77777777" w:rsidR="00AD3B70" w:rsidRPr="00951BC8" w:rsidRDefault="00AD3B70" w:rsidP="00B06EB4">
      <w:pPr>
        <w:numPr>
          <w:ilvl w:val="0"/>
          <w:numId w:val="38"/>
        </w:numPr>
        <w:spacing w:after="0"/>
        <w:rPr>
          <w:bCs/>
        </w:rPr>
      </w:pPr>
      <w:r w:rsidRPr="00951BC8">
        <w:rPr>
          <w:bCs/>
        </w:rPr>
        <w:t>Institutional Review Board (IRB) and Justification for Sensitive Questions</w:t>
      </w:r>
    </w:p>
    <w:p w14:paraId="15D21720" w14:textId="77777777" w:rsidR="00AD3B70" w:rsidRPr="00951BC8" w:rsidRDefault="00AD3B70" w:rsidP="00B06EB4">
      <w:pPr>
        <w:numPr>
          <w:ilvl w:val="0"/>
          <w:numId w:val="38"/>
        </w:numPr>
        <w:spacing w:after="0"/>
        <w:rPr>
          <w:bCs/>
        </w:rPr>
      </w:pPr>
      <w:r w:rsidRPr="00951BC8">
        <w:rPr>
          <w:bCs/>
        </w:rPr>
        <w:t>Estimates of Annualized Burden Hours and Costs</w:t>
      </w:r>
    </w:p>
    <w:p w14:paraId="37CDF53A" w14:textId="77777777" w:rsidR="00AD3B70" w:rsidRPr="00951BC8" w:rsidRDefault="00AD3B70" w:rsidP="00B06EB4">
      <w:pPr>
        <w:numPr>
          <w:ilvl w:val="0"/>
          <w:numId w:val="38"/>
        </w:numPr>
        <w:spacing w:after="0"/>
        <w:rPr>
          <w:bCs/>
        </w:rPr>
      </w:pPr>
      <w:r w:rsidRPr="00951BC8">
        <w:rPr>
          <w:bCs/>
        </w:rPr>
        <w:t>Estimates of Other Total Annual Cost Burden to Respondents and Record Keepers</w:t>
      </w:r>
    </w:p>
    <w:p w14:paraId="73457A4C" w14:textId="77777777" w:rsidR="00AD3B70" w:rsidRPr="00951BC8" w:rsidRDefault="00AD3B70" w:rsidP="00B06EB4">
      <w:pPr>
        <w:numPr>
          <w:ilvl w:val="0"/>
          <w:numId w:val="38"/>
        </w:numPr>
        <w:spacing w:after="0"/>
        <w:rPr>
          <w:bCs/>
        </w:rPr>
      </w:pPr>
      <w:r w:rsidRPr="00951BC8">
        <w:rPr>
          <w:bCs/>
        </w:rPr>
        <w:t>Annualized Cost to the Federal Government</w:t>
      </w:r>
    </w:p>
    <w:p w14:paraId="4B71B9B5" w14:textId="77777777" w:rsidR="00AD3B70" w:rsidRPr="00951BC8" w:rsidRDefault="00AD3B70" w:rsidP="00B06EB4">
      <w:pPr>
        <w:numPr>
          <w:ilvl w:val="0"/>
          <w:numId w:val="38"/>
        </w:numPr>
        <w:spacing w:after="0"/>
        <w:rPr>
          <w:bCs/>
        </w:rPr>
      </w:pPr>
      <w:r w:rsidRPr="00951BC8">
        <w:rPr>
          <w:bCs/>
        </w:rPr>
        <w:t>Explanation for Program Changes or Adjustments</w:t>
      </w:r>
    </w:p>
    <w:p w14:paraId="64EE3795" w14:textId="77777777" w:rsidR="00AD3B70" w:rsidRPr="00951BC8" w:rsidRDefault="00AD3B70" w:rsidP="00B06EB4">
      <w:pPr>
        <w:numPr>
          <w:ilvl w:val="0"/>
          <w:numId w:val="38"/>
        </w:numPr>
        <w:spacing w:after="0"/>
        <w:rPr>
          <w:bCs/>
        </w:rPr>
      </w:pPr>
      <w:r w:rsidRPr="00951BC8">
        <w:rPr>
          <w:bCs/>
        </w:rPr>
        <w:t>Plans for Tabulation and Publication and Project Time Schedule</w:t>
      </w:r>
    </w:p>
    <w:p w14:paraId="21D73F60" w14:textId="77777777" w:rsidR="00AD3B70" w:rsidRPr="00951BC8" w:rsidRDefault="00AD3B70" w:rsidP="00B06EB4">
      <w:pPr>
        <w:numPr>
          <w:ilvl w:val="0"/>
          <w:numId w:val="38"/>
        </w:numPr>
        <w:spacing w:after="0"/>
        <w:rPr>
          <w:bCs/>
        </w:rPr>
      </w:pPr>
      <w:r w:rsidRPr="00951BC8">
        <w:rPr>
          <w:bCs/>
        </w:rPr>
        <w:t>Reason(s) Display of OMB Expiration Date is Inappropriate</w:t>
      </w:r>
    </w:p>
    <w:p w14:paraId="59A6FD19" w14:textId="77777777" w:rsidR="00AD3B70" w:rsidRPr="00951BC8" w:rsidRDefault="00AD3B70" w:rsidP="00B06EB4">
      <w:pPr>
        <w:numPr>
          <w:ilvl w:val="0"/>
          <w:numId w:val="38"/>
        </w:numPr>
        <w:spacing w:after="0"/>
        <w:rPr>
          <w:bCs/>
        </w:rPr>
      </w:pPr>
      <w:r w:rsidRPr="00951BC8">
        <w:rPr>
          <w:bCs/>
        </w:rPr>
        <w:t>Exceptions to Certification for Paperwork Reduction Act Submissions</w:t>
      </w:r>
    </w:p>
    <w:p w14:paraId="76487CE6" w14:textId="77777777" w:rsidR="000B3F98" w:rsidRPr="00022A54" w:rsidRDefault="000B3F98" w:rsidP="00AD3B70">
      <w:pPr>
        <w:spacing w:after="0"/>
      </w:pPr>
      <w:r w:rsidRPr="00022A54">
        <w:fldChar w:fldCharType="begin"/>
      </w:r>
      <w:r w:rsidRPr="00022A54">
        <w:instrText xml:space="preserve"> TOC \t "Exhibit Title,5" </w:instrText>
      </w:r>
      <w:r w:rsidRPr="00022A54">
        <w:fldChar w:fldCharType="separate"/>
      </w:r>
    </w:p>
    <w:p w14:paraId="55EC7512" w14:textId="77777777" w:rsidR="00465034" w:rsidRPr="007272EC" w:rsidRDefault="007272EC" w:rsidP="00AD3B70">
      <w:pPr>
        <w:spacing w:after="0"/>
        <w:rPr>
          <w:b/>
        </w:rPr>
      </w:pPr>
      <w:r w:rsidRPr="007272EC">
        <w:rPr>
          <w:b/>
        </w:rPr>
        <w:t>Attachments</w:t>
      </w:r>
      <w:r w:rsidRPr="007272EC">
        <w:rPr>
          <w:b/>
        </w:rPr>
        <w:tab/>
      </w:r>
      <w:r w:rsidRPr="007272EC">
        <w:rPr>
          <w:b/>
        </w:rPr>
        <w:tab/>
      </w:r>
    </w:p>
    <w:p w14:paraId="6B541492" w14:textId="77777777" w:rsidR="00465034" w:rsidRPr="00022A54" w:rsidRDefault="00465034" w:rsidP="00AD3B70">
      <w:pPr>
        <w:spacing w:after="0"/>
      </w:pPr>
    </w:p>
    <w:p w14:paraId="13A6077F" w14:textId="25CBC329" w:rsidR="00465034" w:rsidRPr="00022A54" w:rsidRDefault="003421AE" w:rsidP="00AD3B70">
      <w:pPr>
        <w:spacing w:after="0"/>
      </w:pPr>
      <w:r>
        <w:t>Attachment A</w:t>
      </w:r>
      <w:r w:rsidR="00465034" w:rsidRPr="00022A54">
        <w:tab/>
        <w:t>Authorizing Legislation</w:t>
      </w:r>
    </w:p>
    <w:p w14:paraId="637A60B0" w14:textId="150AC6AD" w:rsidR="00465034" w:rsidRDefault="003421AE" w:rsidP="00AD3B70">
      <w:pPr>
        <w:spacing w:after="0"/>
      </w:pPr>
      <w:r>
        <w:t>Attachment B</w:t>
      </w:r>
      <w:r w:rsidR="00465034" w:rsidRPr="00022A54">
        <w:tab/>
        <w:t>60 D</w:t>
      </w:r>
      <w:r w:rsidR="007272EC">
        <w:t>ay Federal Register Notice</w:t>
      </w:r>
    </w:p>
    <w:p w14:paraId="597498F6" w14:textId="7679F448" w:rsidR="003421AE" w:rsidRDefault="003421AE" w:rsidP="00AD3B70">
      <w:pPr>
        <w:spacing w:after="0"/>
      </w:pPr>
      <w:r>
        <w:t>Attachment C Privacy Act Determination Email</w:t>
      </w:r>
    </w:p>
    <w:p w14:paraId="3EEBC88F" w14:textId="53CBD6D1" w:rsidR="003421AE" w:rsidRDefault="003421AE" w:rsidP="00AD3B70">
      <w:pPr>
        <w:spacing w:after="0"/>
      </w:pPr>
      <w:r>
        <w:t xml:space="preserve">Attachment D </w:t>
      </w:r>
      <w:r w:rsidR="00B5563A">
        <w:t>Interviews Recruitment Letter</w:t>
      </w:r>
    </w:p>
    <w:p w14:paraId="4B4B4674" w14:textId="52365EA4" w:rsidR="003421AE" w:rsidRDefault="003421AE" w:rsidP="00AD3B70">
      <w:pPr>
        <w:spacing w:after="0"/>
      </w:pPr>
      <w:r>
        <w:t>Attachment E ICRO Exemption Letter</w:t>
      </w:r>
    </w:p>
    <w:p w14:paraId="5C3399CE" w14:textId="60AC19FD" w:rsidR="003421AE" w:rsidRDefault="00B5563A" w:rsidP="00AD3B70">
      <w:pPr>
        <w:spacing w:after="0"/>
      </w:pPr>
      <w:r>
        <w:t>Attachment F Interview Guide Public Health Officials</w:t>
      </w:r>
    </w:p>
    <w:p w14:paraId="68DC19B3" w14:textId="77777777" w:rsidR="00465034" w:rsidRDefault="00465034" w:rsidP="00465034"/>
    <w:p w14:paraId="5ED2D918" w14:textId="77777777" w:rsidR="00F61A44" w:rsidRPr="00022A54" w:rsidRDefault="00F61A44" w:rsidP="00465034">
      <w:r>
        <w:br w:type="page"/>
      </w:r>
    </w:p>
    <w:p w14:paraId="59DF4B3A" w14:textId="77777777" w:rsidR="00465034" w:rsidRPr="00022A54" w:rsidRDefault="00465034" w:rsidP="00465034"/>
    <w:p w14:paraId="6655E448" w14:textId="77777777" w:rsidR="0092767B" w:rsidRDefault="003C4470" w:rsidP="007272EC">
      <w:pPr>
        <w:jc w:val="center"/>
        <w:rPr>
          <w:rFonts w:ascii="Courier New" w:hAnsi="Courier New" w:cs="Courier New"/>
          <w:b/>
        </w:rPr>
      </w:pPr>
      <w:r>
        <w:rPr>
          <w:noProof/>
        </w:rPr>
        <mc:AlternateContent>
          <mc:Choice Requires="wps">
            <w:drawing>
              <wp:anchor distT="0" distB="0" distL="114300" distR="114300" simplePos="0" relativeHeight="251657728" behindDoc="0" locked="0" layoutInCell="1" allowOverlap="1" wp14:anchorId="405C265D" wp14:editId="2A389F1E">
                <wp:simplePos x="0" y="0"/>
                <wp:positionH relativeFrom="column">
                  <wp:posOffset>-327660</wp:posOffset>
                </wp:positionH>
                <wp:positionV relativeFrom="paragraph">
                  <wp:posOffset>167005</wp:posOffset>
                </wp:positionV>
                <wp:extent cx="6490335" cy="6523355"/>
                <wp:effectExtent l="0" t="0" r="2476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6523355"/>
                        </a:xfrm>
                        <a:prstGeom prst="rect">
                          <a:avLst/>
                        </a:prstGeom>
                        <a:solidFill>
                          <a:srgbClr val="FFFFFF"/>
                        </a:solidFill>
                        <a:ln w="9525">
                          <a:solidFill>
                            <a:srgbClr val="000000"/>
                          </a:solidFill>
                          <a:miter lim="800000"/>
                          <a:headEnd/>
                          <a:tailEnd/>
                        </a:ln>
                      </wps:spPr>
                      <wps:txbx>
                        <w:txbxContent>
                          <w:p w14:paraId="2CE6B22E" w14:textId="6B342145" w:rsidR="00810B39" w:rsidRDefault="00810B39" w:rsidP="008C5F9F">
                            <w:pPr>
                              <w:pStyle w:val="ListParagraph"/>
                              <w:numPr>
                                <w:ilvl w:val="0"/>
                                <w:numId w:val="34"/>
                              </w:numPr>
                              <w:spacing w:before="120"/>
                              <w:contextualSpacing w:val="0"/>
                              <w:rPr>
                                <w:sz w:val="22"/>
                                <w:szCs w:val="22"/>
                              </w:rPr>
                            </w:pPr>
                            <w:r w:rsidRPr="008C5F9F">
                              <w:rPr>
                                <w:sz w:val="22"/>
                                <w:szCs w:val="22"/>
                              </w:rPr>
                              <w:t>Goal of Study: The goal of this generic informa</w:t>
                            </w:r>
                            <w:r w:rsidR="00503A1F">
                              <w:rPr>
                                <w:sz w:val="22"/>
                                <w:szCs w:val="22"/>
                              </w:rPr>
                              <w:t>tion collection request is to</w:t>
                            </w:r>
                            <w:r w:rsidRPr="008C5F9F">
                              <w:rPr>
                                <w:sz w:val="22"/>
                                <w:szCs w:val="22"/>
                              </w:rPr>
                              <w:t xml:space="preserve"> conduct in-depth, semi-structured interviews (~45 minutes) with approximately 30 state, local and tribal </w:t>
                            </w:r>
                            <w:r w:rsidR="00897372">
                              <w:rPr>
                                <w:sz w:val="22"/>
                                <w:szCs w:val="22"/>
                              </w:rPr>
                              <w:t xml:space="preserve">government </w:t>
                            </w:r>
                            <w:r w:rsidRPr="008C5F9F">
                              <w:rPr>
                                <w:sz w:val="22"/>
                                <w:szCs w:val="22"/>
                              </w:rPr>
                              <w:t>public health practitioners, mosquito control officers, public health policymakers, and public health information officers to develop a detailed understanding of both the standard and innovative communication efforts ongoing in the response to Zika</w:t>
                            </w:r>
                            <w:r w:rsidR="007E0C57">
                              <w:rPr>
                                <w:sz w:val="22"/>
                                <w:szCs w:val="22"/>
                              </w:rPr>
                              <w:t xml:space="preserve"> and perceived communication gaps</w:t>
                            </w:r>
                            <w:r w:rsidRPr="008C5F9F">
                              <w:rPr>
                                <w:sz w:val="22"/>
                                <w:szCs w:val="22"/>
                              </w:rPr>
                              <w:t>.</w:t>
                            </w:r>
                            <w:r>
                              <w:rPr>
                                <w:sz w:val="22"/>
                                <w:szCs w:val="22"/>
                              </w:rPr>
                              <w:t xml:space="preserve"> This is part of</w:t>
                            </w:r>
                            <w:r w:rsidRPr="008C5F9F">
                              <w:rPr>
                                <w:sz w:val="22"/>
                                <w:szCs w:val="22"/>
                              </w:rPr>
                              <w:t xml:space="preserve"> a larger two-year study using a novel, multifaceted approach to investigate the sending and receiving aspects of communication and the relationship of the two to understand and provide recommendations for how public health communication practices can be strengthened to improve public understanding of, acceptance of, and response to messages during this and future infectious disease outbreaks.</w:t>
                            </w:r>
                          </w:p>
                          <w:p w14:paraId="38CF9C86" w14:textId="00123A85" w:rsidR="00810B39" w:rsidRPr="0047062D" w:rsidRDefault="00810B39" w:rsidP="0047062D">
                            <w:pPr>
                              <w:pStyle w:val="ListParagraph"/>
                              <w:numPr>
                                <w:ilvl w:val="0"/>
                                <w:numId w:val="34"/>
                              </w:numPr>
                              <w:spacing w:before="120"/>
                              <w:contextualSpacing w:val="0"/>
                            </w:pPr>
                            <w:r w:rsidRPr="008C5F9F">
                              <w:rPr>
                                <w:sz w:val="22"/>
                                <w:szCs w:val="22"/>
                              </w:rPr>
                              <w:t>Intended use of resulting data: This information will help to improve Zika communication efforts with the public and with local partners. In addition, this project will develop evidence-informed recommendations intended to provide strategic input, potential language, and communication approaches for senior health officials at the state and federal level to be used in current and future public health emergency responses.</w:t>
                            </w:r>
                            <w:r w:rsidRPr="0047062D">
                              <w:t xml:space="preserve"> </w:t>
                            </w:r>
                            <w:r>
                              <w:t xml:space="preserve">Results </w:t>
                            </w:r>
                            <w:r w:rsidRPr="000B5579">
                              <w:rPr>
                                <w:sz w:val="22"/>
                                <w:szCs w:val="22"/>
                              </w:rPr>
                              <w:t xml:space="preserve">will not be generalized beyond the scope </w:t>
                            </w:r>
                            <w:r w:rsidR="00D312B7">
                              <w:rPr>
                                <w:sz w:val="22"/>
                                <w:szCs w:val="22"/>
                              </w:rPr>
                              <w:t xml:space="preserve">of </w:t>
                            </w:r>
                            <w:r>
                              <w:rPr>
                                <w:sz w:val="22"/>
                                <w:szCs w:val="22"/>
                              </w:rPr>
                              <w:t>the</w:t>
                            </w:r>
                            <w:r w:rsidRPr="000B5579">
                              <w:rPr>
                                <w:sz w:val="22"/>
                                <w:szCs w:val="22"/>
                              </w:rPr>
                              <w:t xml:space="preserve"> study</w:t>
                            </w:r>
                            <w:r w:rsidR="00D312B7">
                              <w:rPr>
                                <w:sz w:val="22"/>
                                <w:szCs w:val="22"/>
                              </w:rPr>
                              <w:t>.</w:t>
                            </w:r>
                          </w:p>
                          <w:p w14:paraId="0FB4A35D" w14:textId="7378EC5D" w:rsidR="00810B39" w:rsidRPr="00896231" w:rsidRDefault="00810B39" w:rsidP="0047062D">
                            <w:pPr>
                              <w:pStyle w:val="ListParagraph"/>
                              <w:numPr>
                                <w:ilvl w:val="0"/>
                                <w:numId w:val="34"/>
                              </w:numPr>
                              <w:spacing w:before="120"/>
                              <w:contextualSpacing w:val="0"/>
                              <w:rPr>
                                <w:sz w:val="22"/>
                                <w:szCs w:val="22"/>
                              </w:rPr>
                            </w:pPr>
                            <w:r>
                              <w:rPr>
                                <w:sz w:val="22"/>
                                <w:szCs w:val="22"/>
                              </w:rPr>
                              <w:t xml:space="preserve">Methods: </w:t>
                            </w:r>
                            <w:r w:rsidRPr="0047062D">
                              <w:rPr>
                                <w:sz w:val="22"/>
                                <w:szCs w:val="22"/>
                              </w:rPr>
                              <w:t xml:space="preserve">Conduct in-depth, semi-structured </w:t>
                            </w:r>
                            <w:r>
                              <w:rPr>
                                <w:sz w:val="22"/>
                                <w:szCs w:val="22"/>
                              </w:rPr>
                              <w:t xml:space="preserve">telephone </w:t>
                            </w:r>
                            <w:r w:rsidRPr="0047062D">
                              <w:rPr>
                                <w:sz w:val="22"/>
                                <w:szCs w:val="22"/>
                              </w:rPr>
                              <w:t>interviews (~45 minutes) with approximately 30 public health practitioners, mosquito control officers, public health policymakers, and public health information officers to develop a detailed understanding of both the standard and innovative communication efforts ongoing in the response to Zika. Purposeful and snowball sampling will be used to ensure variability across a number of key dimensions in the sample, including threat level, geographic location, urban/rural location, and disease response funding levels.</w:t>
                            </w:r>
                          </w:p>
                          <w:p w14:paraId="1FEBE2BB" w14:textId="7B2622D6" w:rsidR="00810B39" w:rsidRPr="00896231" w:rsidRDefault="00810B39" w:rsidP="00D71973">
                            <w:pPr>
                              <w:pStyle w:val="ListParagraph"/>
                              <w:numPr>
                                <w:ilvl w:val="0"/>
                                <w:numId w:val="34"/>
                              </w:numPr>
                              <w:spacing w:before="120"/>
                              <w:contextualSpacing w:val="0"/>
                              <w:rPr>
                                <w:sz w:val="22"/>
                                <w:szCs w:val="22"/>
                              </w:rPr>
                            </w:pPr>
                            <w:r>
                              <w:rPr>
                                <w:sz w:val="22"/>
                                <w:szCs w:val="22"/>
                              </w:rPr>
                              <w:t>Subpopulation: See “Methods</w:t>
                            </w:r>
                            <w:r w:rsidRPr="00D71973">
                              <w:rPr>
                                <w:sz w:val="22"/>
                                <w:szCs w:val="22"/>
                              </w:rPr>
                              <w:t xml:space="preserve">” above. </w:t>
                            </w:r>
                            <w:r w:rsidR="00D71973">
                              <w:rPr>
                                <w:sz w:val="22"/>
                                <w:szCs w:val="22"/>
                              </w:rPr>
                              <w:t xml:space="preserve"> Respondents include </w:t>
                            </w:r>
                            <w:r w:rsidR="00D71973" w:rsidRPr="00D71973">
                              <w:rPr>
                                <w:sz w:val="22"/>
                                <w:szCs w:val="22"/>
                              </w:rPr>
                              <w:t xml:space="preserve">public health practitioners, mosquito control officers, public health policymakers, and public health information officers </w:t>
                            </w:r>
                            <w:r w:rsidR="00D71973">
                              <w:rPr>
                                <w:sz w:val="22"/>
                                <w:szCs w:val="22"/>
                              </w:rPr>
                              <w:t xml:space="preserve">with knowledge of the </w:t>
                            </w:r>
                            <w:r w:rsidR="00D71973" w:rsidRPr="00D71973">
                              <w:rPr>
                                <w:sz w:val="22"/>
                                <w:szCs w:val="22"/>
                              </w:rPr>
                              <w:t>efforts ongoing in the response to Zika</w:t>
                            </w:r>
                          </w:p>
                          <w:p w14:paraId="36353DD2" w14:textId="566EDACB" w:rsidR="00810B39" w:rsidRPr="00896231" w:rsidRDefault="00810B39" w:rsidP="002C09C1">
                            <w:pPr>
                              <w:pStyle w:val="ListParagraph"/>
                              <w:numPr>
                                <w:ilvl w:val="0"/>
                                <w:numId w:val="34"/>
                              </w:numPr>
                              <w:spacing w:before="120"/>
                              <w:contextualSpacing w:val="0"/>
                            </w:pPr>
                            <w:r>
                              <w:rPr>
                                <w:sz w:val="22"/>
                                <w:szCs w:val="22"/>
                              </w:rPr>
                              <w:t xml:space="preserve">Data Analysis: </w:t>
                            </w:r>
                            <w:r w:rsidRPr="00896231">
                              <w:rPr>
                                <w:sz w:val="22"/>
                                <w:szCs w:val="22"/>
                              </w:rPr>
                              <w:t>The data will be analyzed </w:t>
                            </w:r>
                            <w:r>
                              <w:rPr>
                                <w:sz w:val="22"/>
                                <w:szCs w:val="22"/>
                              </w:rPr>
                              <w:t xml:space="preserve">using typical </w:t>
                            </w:r>
                            <w:r w:rsidRPr="002C09C1">
                              <w:rPr>
                                <w:sz w:val="22"/>
                                <w:szCs w:val="22"/>
                              </w:rPr>
                              <w:t>q</w:t>
                            </w:r>
                            <w:r>
                              <w:rPr>
                                <w:sz w:val="22"/>
                                <w:szCs w:val="22"/>
                              </w:rPr>
                              <w:t>ualitative analytic methods to</w:t>
                            </w:r>
                            <w:r w:rsidRPr="002C09C1">
                              <w:rPr>
                                <w:sz w:val="22"/>
                                <w:szCs w:val="22"/>
                              </w:rPr>
                              <w:t xml:space="preserve"> generate common and unique themes from interviews</w:t>
                            </w:r>
                            <w:r>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C265D" id="_x0000_t202" coordsize="21600,21600" o:spt="202" path="m,l,21600r21600,l21600,xe">
                <v:stroke joinstyle="miter"/>
                <v:path gradientshapeok="t" o:connecttype="rect"/>
              </v:shapetype>
              <v:shape id="Text Box 2" o:spid="_x0000_s1026" type="#_x0000_t202" style="position:absolute;left:0;text-align:left;margin-left:-25.8pt;margin-top:13.15pt;width:511.05pt;height:5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">
                <v:textbox>
                  <w:txbxContent>
                    <w:p w14:paraId="2CE6B22E" w14:textId="6B342145" w:rsidR="00810B39" w:rsidRDefault="00810B39" w:rsidP="008C5F9F">
                      <w:pPr>
                        <w:pStyle w:val="ListParagraph"/>
                        <w:numPr>
                          <w:ilvl w:val="0"/>
                          <w:numId w:val="34"/>
                        </w:numPr>
                        <w:spacing w:before="120"/>
                        <w:contextualSpacing w:val="0"/>
                        <w:rPr>
                          <w:sz w:val="22"/>
                          <w:szCs w:val="22"/>
                        </w:rPr>
                      </w:pPr>
                      <w:r w:rsidRPr="008C5F9F">
                        <w:rPr>
                          <w:sz w:val="22"/>
                          <w:szCs w:val="22"/>
                        </w:rPr>
                        <w:t>Goal of Study: The goal of this generic informa</w:t>
                      </w:r>
                      <w:r w:rsidR="00503A1F">
                        <w:rPr>
                          <w:sz w:val="22"/>
                          <w:szCs w:val="22"/>
                        </w:rPr>
                        <w:t>tion collection request is to</w:t>
                      </w:r>
                      <w:r w:rsidRPr="008C5F9F">
                        <w:rPr>
                          <w:sz w:val="22"/>
                          <w:szCs w:val="22"/>
                        </w:rPr>
                        <w:t xml:space="preserve"> conduct in-depth, semi-structured interviews (~45 minutes) with approximately 30 state, local and tribal </w:t>
                      </w:r>
                      <w:r w:rsidR="00897372">
                        <w:rPr>
                          <w:sz w:val="22"/>
                          <w:szCs w:val="22"/>
                        </w:rPr>
                        <w:t xml:space="preserve">government </w:t>
                      </w:r>
                      <w:r w:rsidRPr="008C5F9F">
                        <w:rPr>
                          <w:sz w:val="22"/>
                          <w:szCs w:val="22"/>
                        </w:rPr>
                        <w:t>public health practitioners, mosquito control officers, public health policymakers, and public health information officers to develop a detailed understanding of both the standard and innovative communication efforts ongoing in the response to Zika</w:t>
                      </w:r>
                      <w:r w:rsidR="007E0C57">
                        <w:rPr>
                          <w:sz w:val="22"/>
                          <w:szCs w:val="22"/>
                        </w:rPr>
                        <w:t xml:space="preserve"> and perceived communication gaps</w:t>
                      </w:r>
                      <w:r w:rsidRPr="008C5F9F">
                        <w:rPr>
                          <w:sz w:val="22"/>
                          <w:szCs w:val="22"/>
                        </w:rPr>
                        <w:t>.</w:t>
                      </w:r>
                      <w:r>
                        <w:rPr>
                          <w:sz w:val="22"/>
                          <w:szCs w:val="22"/>
                        </w:rPr>
                        <w:t xml:space="preserve"> This is part of</w:t>
                      </w:r>
                      <w:r w:rsidRPr="008C5F9F">
                        <w:rPr>
                          <w:sz w:val="22"/>
                          <w:szCs w:val="22"/>
                        </w:rPr>
                        <w:t xml:space="preserve"> a larger two-year study using a novel, multifaceted approach to investigate the sending and receiving aspects of communication and the relationship of the two to understand and provide recommendations for how public health communication practices can be strengthened to improve public understanding of, acceptance of, and response to messages during this and future infectious disease outbreaks.</w:t>
                      </w:r>
                    </w:p>
                    <w:p w14:paraId="38CF9C86" w14:textId="00123A85" w:rsidR="00810B39" w:rsidRPr="0047062D" w:rsidRDefault="00810B39" w:rsidP="0047062D">
                      <w:pPr>
                        <w:pStyle w:val="ListParagraph"/>
                        <w:numPr>
                          <w:ilvl w:val="0"/>
                          <w:numId w:val="34"/>
                        </w:numPr>
                        <w:spacing w:before="120"/>
                        <w:contextualSpacing w:val="0"/>
                      </w:pPr>
                      <w:r w:rsidRPr="008C5F9F">
                        <w:rPr>
                          <w:sz w:val="22"/>
                          <w:szCs w:val="22"/>
                        </w:rPr>
                        <w:t>Intended use of resulting data: This information will help to improve Zika communication efforts with the public and with local partners. In addition, this project will develop evidence-informed recommendations intended to provide strategic input, potential language, and communication approaches for senior health officials at the state and federal level to be used in current and future public health emergency responses.</w:t>
                      </w:r>
                      <w:r w:rsidRPr="0047062D">
                        <w:t xml:space="preserve"> </w:t>
                      </w:r>
                      <w:r>
                        <w:t xml:space="preserve">Results </w:t>
                      </w:r>
                      <w:r w:rsidRPr="000B5579">
                        <w:rPr>
                          <w:sz w:val="22"/>
                          <w:szCs w:val="22"/>
                        </w:rPr>
                        <w:t xml:space="preserve">will not be generalized beyond the scope </w:t>
                      </w:r>
                      <w:r w:rsidR="00D312B7">
                        <w:rPr>
                          <w:sz w:val="22"/>
                          <w:szCs w:val="22"/>
                        </w:rPr>
                        <w:t xml:space="preserve">of </w:t>
                      </w:r>
                      <w:r>
                        <w:rPr>
                          <w:sz w:val="22"/>
                          <w:szCs w:val="22"/>
                        </w:rPr>
                        <w:t>the</w:t>
                      </w:r>
                      <w:r w:rsidRPr="000B5579">
                        <w:rPr>
                          <w:sz w:val="22"/>
                          <w:szCs w:val="22"/>
                        </w:rPr>
                        <w:t xml:space="preserve"> study</w:t>
                      </w:r>
                      <w:r w:rsidR="00D312B7">
                        <w:rPr>
                          <w:sz w:val="22"/>
                          <w:szCs w:val="22"/>
                        </w:rPr>
                        <w:t>.</w:t>
                      </w:r>
                    </w:p>
                    <w:p w14:paraId="0FB4A35D" w14:textId="7378EC5D" w:rsidR="00810B39" w:rsidRPr="00896231" w:rsidRDefault="00810B39" w:rsidP="0047062D">
                      <w:pPr>
                        <w:pStyle w:val="ListParagraph"/>
                        <w:numPr>
                          <w:ilvl w:val="0"/>
                          <w:numId w:val="34"/>
                        </w:numPr>
                        <w:spacing w:before="120"/>
                        <w:contextualSpacing w:val="0"/>
                        <w:rPr>
                          <w:sz w:val="22"/>
                          <w:szCs w:val="22"/>
                        </w:rPr>
                      </w:pPr>
                      <w:r>
                        <w:rPr>
                          <w:sz w:val="22"/>
                          <w:szCs w:val="22"/>
                        </w:rPr>
                        <w:t xml:space="preserve">Methods: </w:t>
                      </w:r>
                      <w:r w:rsidRPr="0047062D">
                        <w:rPr>
                          <w:sz w:val="22"/>
                          <w:szCs w:val="22"/>
                        </w:rPr>
                        <w:t xml:space="preserve">Conduct in-depth, semi-structured </w:t>
                      </w:r>
                      <w:r>
                        <w:rPr>
                          <w:sz w:val="22"/>
                          <w:szCs w:val="22"/>
                        </w:rPr>
                        <w:t xml:space="preserve">telephone </w:t>
                      </w:r>
                      <w:r w:rsidRPr="0047062D">
                        <w:rPr>
                          <w:sz w:val="22"/>
                          <w:szCs w:val="22"/>
                        </w:rPr>
                        <w:t>interviews (~45 minutes) with approximately 30 public health practitioners, mosquito control officers, public health policymakers, and public health information officers to develop a detailed understanding of both the standard and innovative communication efforts ongoing in the response to Zika. Purposeful and snowball sampling will be used to ensure variability across a number of key dimensions in the sample, including threat level, geographic location, urban/rural location, and disease response funding levels.</w:t>
                      </w:r>
                    </w:p>
                    <w:p w14:paraId="1FEBE2BB" w14:textId="7B2622D6" w:rsidR="00810B39" w:rsidRPr="00896231" w:rsidRDefault="00810B39" w:rsidP="00D71973">
                      <w:pPr>
                        <w:pStyle w:val="ListParagraph"/>
                        <w:numPr>
                          <w:ilvl w:val="0"/>
                          <w:numId w:val="34"/>
                        </w:numPr>
                        <w:spacing w:before="120"/>
                        <w:contextualSpacing w:val="0"/>
                        <w:rPr>
                          <w:sz w:val="22"/>
                          <w:szCs w:val="22"/>
                        </w:rPr>
                      </w:pPr>
                      <w:r>
                        <w:rPr>
                          <w:sz w:val="22"/>
                          <w:szCs w:val="22"/>
                        </w:rPr>
                        <w:t>Subpopulation: See “Methods</w:t>
                      </w:r>
                      <w:r w:rsidRPr="00D71973">
                        <w:rPr>
                          <w:sz w:val="22"/>
                          <w:szCs w:val="22"/>
                        </w:rPr>
                        <w:t xml:space="preserve">” above. </w:t>
                      </w:r>
                      <w:r w:rsidR="00D71973">
                        <w:rPr>
                          <w:sz w:val="22"/>
                          <w:szCs w:val="22"/>
                        </w:rPr>
                        <w:t xml:space="preserve"> Respondents include </w:t>
                      </w:r>
                      <w:r w:rsidR="00D71973" w:rsidRPr="00D71973">
                        <w:rPr>
                          <w:sz w:val="22"/>
                          <w:szCs w:val="22"/>
                        </w:rPr>
                        <w:t xml:space="preserve">public health practitioners, mosquito control officers, public health policymakers, and public health information officers </w:t>
                      </w:r>
                      <w:r w:rsidR="00D71973">
                        <w:rPr>
                          <w:sz w:val="22"/>
                          <w:szCs w:val="22"/>
                        </w:rPr>
                        <w:t xml:space="preserve">with knowledge of the </w:t>
                      </w:r>
                      <w:r w:rsidR="00D71973" w:rsidRPr="00D71973">
                        <w:rPr>
                          <w:sz w:val="22"/>
                          <w:szCs w:val="22"/>
                        </w:rPr>
                        <w:t>efforts ongoing in the response to Zika</w:t>
                      </w:r>
                    </w:p>
                    <w:p w14:paraId="36353DD2" w14:textId="566EDACB" w:rsidR="00810B39" w:rsidRPr="00896231" w:rsidRDefault="00810B39" w:rsidP="002C09C1">
                      <w:pPr>
                        <w:pStyle w:val="ListParagraph"/>
                        <w:numPr>
                          <w:ilvl w:val="0"/>
                          <w:numId w:val="34"/>
                        </w:numPr>
                        <w:spacing w:before="120"/>
                        <w:contextualSpacing w:val="0"/>
                      </w:pPr>
                      <w:r>
                        <w:rPr>
                          <w:sz w:val="22"/>
                          <w:szCs w:val="22"/>
                        </w:rPr>
                        <w:t xml:space="preserve">Data Analysis: </w:t>
                      </w:r>
                      <w:r w:rsidRPr="00896231">
                        <w:rPr>
                          <w:sz w:val="22"/>
                          <w:szCs w:val="22"/>
                        </w:rPr>
                        <w:t>The data will be analyzed </w:t>
                      </w:r>
                      <w:r>
                        <w:rPr>
                          <w:sz w:val="22"/>
                          <w:szCs w:val="22"/>
                        </w:rPr>
                        <w:t xml:space="preserve">using typical </w:t>
                      </w:r>
                      <w:r w:rsidRPr="002C09C1">
                        <w:rPr>
                          <w:sz w:val="22"/>
                          <w:szCs w:val="22"/>
                        </w:rPr>
                        <w:t>q</w:t>
                      </w:r>
                      <w:r>
                        <w:rPr>
                          <w:sz w:val="22"/>
                          <w:szCs w:val="22"/>
                        </w:rPr>
                        <w:t>ualitative analytic methods to</w:t>
                      </w:r>
                      <w:r w:rsidRPr="002C09C1">
                        <w:rPr>
                          <w:sz w:val="22"/>
                          <w:szCs w:val="22"/>
                        </w:rPr>
                        <w:t xml:space="preserve"> generate common and unique themes from interviews</w:t>
                      </w:r>
                      <w:r>
                        <w:rPr>
                          <w:sz w:val="22"/>
                          <w:szCs w:val="22"/>
                        </w:rPr>
                        <w:t>.</w:t>
                      </w:r>
                    </w:p>
                  </w:txbxContent>
                </v:textbox>
              </v:shape>
            </w:pict>
          </mc:Fallback>
        </mc:AlternateContent>
      </w:r>
      <w:r w:rsidR="000B3F98" w:rsidRPr="00022A54">
        <w:fldChar w:fldCharType="end"/>
      </w:r>
    </w:p>
    <w:p w14:paraId="082393CC" w14:textId="77777777" w:rsidR="0092767B" w:rsidRDefault="0092767B" w:rsidP="0092767B">
      <w:pPr>
        <w:rPr>
          <w:rFonts w:ascii="Courier New" w:hAnsi="Courier New" w:cs="Courier New"/>
          <w:b/>
        </w:rPr>
      </w:pPr>
    </w:p>
    <w:p w14:paraId="57E9B354" w14:textId="77777777" w:rsidR="0092767B" w:rsidRDefault="0092767B" w:rsidP="0092767B">
      <w:pPr>
        <w:rPr>
          <w:rFonts w:ascii="Courier New" w:hAnsi="Courier New" w:cs="Courier New"/>
          <w:b/>
        </w:rPr>
      </w:pPr>
    </w:p>
    <w:p w14:paraId="3B917C86" w14:textId="77777777" w:rsidR="0092767B" w:rsidRDefault="0092767B" w:rsidP="0092767B">
      <w:pPr>
        <w:rPr>
          <w:rFonts w:ascii="Courier New" w:hAnsi="Courier New" w:cs="Courier New"/>
          <w:b/>
        </w:rPr>
      </w:pPr>
    </w:p>
    <w:p w14:paraId="576306CE" w14:textId="77777777" w:rsidR="0092767B" w:rsidRDefault="0092767B" w:rsidP="0092767B">
      <w:pPr>
        <w:rPr>
          <w:rFonts w:ascii="Courier New" w:hAnsi="Courier New" w:cs="Courier New"/>
          <w:b/>
        </w:rPr>
      </w:pPr>
    </w:p>
    <w:p w14:paraId="0D08FCC8" w14:textId="77777777" w:rsidR="0092767B" w:rsidRDefault="0092767B" w:rsidP="0092767B">
      <w:pPr>
        <w:rPr>
          <w:rFonts w:ascii="Courier New" w:hAnsi="Courier New" w:cs="Courier New"/>
          <w:b/>
        </w:rPr>
      </w:pPr>
    </w:p>
    <w:p w14:paraId="2CD6465F" w14:textId="77777777" w:rsidR="0092767B" w:rsidRDefault="0092767B" w:rsidP="0092767B">
      <w:pPr>
        <w:rPr>
          <w:rFonts w:ascii="Courier New" w:hAnsi="Courier New" w:cs="Courier New"/>
          <w:b/>
        </w:rPr>
      </w:pPr>
    </w:p>
    <w:p w14:paraId="33566974" w14:textId="77777777" w:rsidR="0092767B" w:rsidRDefault="0092767B" w:rsidP="0092767B">
      <w:pPr>
        <w:rPr>
          <w:rFonts w:ascii="Courier New" w:hAnsi="Courier New" w:cs="Courier New"/>
          <w:b/>
        </w:rPr>
      </w:pPr>
    </w:p>
    <w:p w14:paraId="151850CC" w14:textId="77777777" w:rsidR="0092767B" w:rsidRDefault="0092767B" w:rsidP="0092767B">
      <w:pPr>
        <w:rPr>
          <w:rFonts w:ascii="Courier New" w:hAnsi="Courier New" w:cs="Courier New"/>
          <w:b/>
        </w:rPr>
      </w:pPr>
    </w:p>
    <w:p w14:paraId="60E06ACA" w14:textId="77777777" w:rsidR="0092767B" w:rsidRDefault="0092767B" w:rsidP="0092767B">
      <w:pPr>
        <w:rPr>
          <w:rFonts w:ascii="Courier New" w:hAnsi="Courier New" w:cs="Courier New"/>
          <w:b/>
        </w:rPr>
      </w:pPr>
    </w:p>
    <w:p w14:paraId="1C6DA891" w14:textId="77777777" w:rsidR="00662F81" w:rsidRPr="00022A54" w:rsidRDefault="00F61A44" w:rsidP="00662F81">
      <w:pPr>
        <w:tabs>
          <w:tab w:val="left" w:pos="-1440"/>
        </w:tabs>
        <w:ind w:left="720" w:hanging="720"/>
        <w:rPr>
          <w:b/>
          <w:bCs/>
        </w:rPr>
      </w:pPr>
      <w:r>
        <w:rPr>
          <w:b/>
          <w:bCs/>
        </w:rPr>
        <w:br w:type="page"/>
      </w:r>
      <w:r w:rsidR="00662F81" w:rsidRPr="00022A54">
        <w:rPr>
          <w:b/>
          <w:bCs/>
        </w:rPr>
        <w:lastRenderedPageBreak/>
        <w:t>A.</w:t>
      </w:r>
      <w:r w:rsidR="00662F81" w:rsidRPr="00022A54">
        <w:rPr>
          <w:b/>
          <w:bCs/>
        </w:rPr>
        <w:tab/>
        <w:t>JUSTIFICATION</w:t>
      </w:r>
    </w:p>
    <w:p w14:paraId="35E88CB5" w14:textId="77777777" w:rsidR="00662F81" w:rsidRPr="00022A54" w:rsidRDefault="00662F81" w:rsidP="00662F81">
      <w:pPr>
        <w:tabs>
          <w:tab w:val="left" w:pos="-1440"/>
        </w:tabs>
        <w:ind w:left="720" w:hanging="720"/>
        <w:rPr>
          <w:b/>
          <w:bCs/>
          <w:u w:val="single"/>
        </w:rPr>
      </w:pPr>
      <w:r w:rsidRPr="00022A54">
        <w:rPr>
          <w:b/>
          <w:bCs/>
        </w:rPr>
        <w:t>1</w:t>
      </w:r>
      <w:r w:rsidR="004C5BF8">
        <w:rPr>
          <w:b/>
          <w:bCs/>
        </w:rPr>
        <w:t xml:space="preserve">. </w:t>
      </w:r>
      <w:r w:rsidRPr="00022A54">
        <w:rPr>
          <w:b/>
          <w:bCs/>
        </w:rPr>
        <w:t>Circumstances Making the Collection of Information Necessary</w:t>
      </w:r>
    </w:p>
    <w:p w14:paraId="356AC0EA" w14:textId="34889D89" w:rsidR="0052066C" w:rsidRDefault="0052066C" w:rsidP="00D357B4">
      <w:pPr>
        <w:spacing w:after="0"/>
        <w:ind w:left="0" w:firstLine="0"/>
      </w:pPr>
      <w:bookmarkStart w:id="0" w:name="OLE_LINK5"/>
      <w:bookmarkStart w:id="1" w:name="OLE_LINK6"/>
      <w:r w:rsidRPr="00022A54">
        <w:t xml:space="preserve">The Centers for Disease Control and Prevention </w:t>
      </w:r>
      <w:r w:rsidR="00C1390D" w:rsidRPr="00022A54">
        <w:t xml:space="preserve">(CDC) </w:t>
      </w:r>
      <w:r w:rsidR="00C71540">
        <w:t xml:space="preserve">in collaboration with Johns </w:t>
      </w:r>
      <w:r w:rsidR="00C71540" w:rsidRPr="00C71540">
        <w:t>Hopkins Bloomberg School of Public Heal</w:t>
      </w:r>
      <w:r w:rsidR="00C71540">
        <w:t>th Center for Health Security (CHS</w:t>
      </w:r>
      <w:r w:rsidR="00C71540" w:rsidRPr="00C71540">
        <w:t>)</w:t>
      </w:r>
      <w:r w:rsidR="00C71540">
        <w:t xml:space="preserve"> </w:t>
      </w:r>
      <w:r w:rsidRPr="00022A54">
        <w:t xml:space="preserve">requests </w:t>
      </w:r>
      <w:r w:rsidR="00BE6D94">
        <w:t>six months</w:t>
      </w:r>
      <w:r w:rsidR="00A14C7C">
        <w:t xml:space="preserve"> </w:t>
      </w:r>
      <w:bookmarkStart w:id="2" w:name="OLE_LINK1"/>
      <w:bookmarkStart w:id="3" w:name="OLE_LINK2"/>
      <w:r w:rsidR="007272EC">
        <w:t xml:space="preserve">of </w:t>
      </w:r>
      <w:r w:rsidR="00D407D4">
        <w:t xml:space="preserve">approval </w:t>
      </w:r>
      <w:r w:rsidR="00077041">
        <w:t xml:space="preserve">from the Office of Management and Budget (OMB) </w:t>
      </w:r>
      <w:r w:rsidR="002449FF">
        <w:t>under the</w:t>
      </w:r>
      <w:r w:rsidR="00D357B4">
        <w:t xml:space="preserve"> </w:t>
      </w:r>
      <w:r w:rsidR="00353925">
        <w:t>g</w:t>
      </w:r>
      <w:r w:rsidR="006A2310" w:rsidRPr="00022A54">
        <w:t>eneric information collection</w:t>
      </w:r>
      <w:r w:rsidR="00D407D4">
        <w:t xml:space="preserve"> entitled </w:t>
      </w:r>
      <w:r w:rsidR="002449FF">
        <w:t>“</w:t>
      </w:r>
      <w:r w:rsidR="002F0966">
        <w:t xml:space="preserve">Generic Clearance for CDC/ATSDR </w:t>
      </w:r>
      <w:r w:rsidRPr="00022A54">
        <w:t>Formative Research and Tool Development</w:t>
      </w:r>
      <w:r w:rsidR="002449FF">
        <w:t xml:space="preserve">” </w:t>
      </w:r>
      <w:r w:rsidR="00D74C2E">
        <w:t>to</w:t>
      </w:r>
      <w:r w:rsidR="00A14C7C">
        <w:t xml:space="preserve"> </w:t>
      </w:r>
      <w:bookmarkEnd w:id="2"/>
      <w:bookmarkEnd w:id="3"/>
      <w:r w:rsidR="00D74C2E">
        <w:t>c</w:t>
      </w:r>
      <w:r w:rsidR="00D74C2E" w:rsidRPr="00D74C2E">
        <w:t xml:space="preserve">onduct in-depth, semi-structured interviews (~45 minutes) with approximately 30 </w:t>
      </w:r>
      <w:r w:rsidR="00456D06">
        <w:t xml:space="preserve">state, local and tribal </w:t>
      </w:r>
      <w:r w:rsidR="00D74C2E" w:rsidRPr="00D74C2E">
        <w:t>public health practitioners, mosquito control officers, public health policymakers, and public health information officers to develop a detailed understanding of both the standard and innovative communication efforts ongoing in the response to Zika.</w:t>
      </w:r>
      <w:r w:rsidR="00D94CE5">
        <w:t xml:space="preserve"> </w:t>
      </w:r>
      <w:r w:rsidR="00D94CE5" w:rsidRPr="00077041">
        <w:t>During telephone interviews, t</w:t>
      </w:r>
      <w:r w:rsidR="00D94CE5">
        <w:t xml:space="preserve">he individuals </w:t>
      </w:r>
      <w:r w:rsidR="00D94CE5" w:rsidRPr="00077041">
        <w:t xml:space="preserve">will be asked open-ended questions about public health responses to the Zika outbreak. Their subjective and objective insights in their own words will be sought. Each interview will each be driven by the individual’s job, the particular stakeholder category and </w:t>
      </w:r>
      <w:r w:rsidR="004A4A38">
        <w:t>location/entity</w:t>
      </w:r>
      <w:r w:rsidR="004A4A38" w:rsidRPr="00077041">
        <w:t xml:space="preserve"> </w:t>
      </w:r>
      <w:r w:rsidR="00D94CE5" w:rsidRPr="00077041">
        <w:t>that he/she represents, role in the event response, and his/her personal experiences.</w:t>
      </w:r>
    </w:p>
    <w:p w14:paraId="5B779D95" w14:textId="77777777" w:rsidR="00800C22" w:rsidRPr="00022A54" w:rsidRDefault="00800C22" w:rsidP="00D357B4">
      <w:pPr>
        <w:spacing w:after="0"/>
        <w:ind w:left="0" w:firstLine="0"/>
      </w:pPr>
    </w:p>
    <w:p w14:paraId="16E54F66" w14:textId="7810613D" w:rsidR="002620F4" w:rsidRPr="00203844" w:rsidRDefault="002620F4" w:rsidP="002620F4">
      <w:pPr>
        <w:ind w:left="0" w:firstLine="0"/>
      </w:pPr>
      <w:r w:rsidRPr="00203844">
        <w:t>Zika virus represents a growing infectious disease threat to the US as it expands across the Americas and into the US. A critical study of current public health communication practices for Zika; communication efforts and message delivery via the news media; current knowledge and attitudes about Zika</w:t>
      </w:r>
      <w:r>
        <w:t>; public values and preferences;</w:t>
      </w:r>
      <w:r w:rsidRPr="00203844">
        <w:t xml:space="preserve"> and message effectiveness is necessary to understand the effectiveness of current efforts</w:t>
      </w:r>
      <w:r>
        <w:t xml:space="preserve"> and to improve communication in the future</w:t>
      </w:r>
      <w:r w:rsidRPr="00203844">
        <w:t>. There is also considerable debate surrounding the appropriate methods of controlling the Zika outbreak and its potential impacts, which may provide insight to potential areas of controversy</w:t>
      </w:r>
      <w:r>
        <w:t xml:space="preserve">, such as </w:t>
      </w:r>
      <w:r w:rsidRPr="00B310E5">
        <w:t>sex/reproduction, use of new technologies, and environmental concerns</w:t>
      </w:r>
      <w:r>
        <w:t>,</w:t>
      </w:r>
      <w:r w:rsidRPr="00203844">
        <w:t xml:space="preserve"> requiring a balancing of values during future outbreaks.</w:t>
      </w:r>
      <w:r>
        <w:rPr>
          <w:vertAlign w:val="superscript"/>
        </w:rPr>
        <w:t>1,2,3</w:t>
      </w:r>
      <w:r w:rsidRPr="00203844">
        <w:t xml:space="preserve"> While scientific data and judgment are important in these decisions, it is also critical to understand public values and attitudes about risk and about available options. An important opportunity exists to incorporate real-time findings that would be produced by this study, which will result in new data and valuable information to help health officials strengthen communication efforts. Use of the included methodologies has previously advanced the field of risk communication for infectious disease events.</w:t>
      </w:r>
      <w:r>
        <w:rPr>
          <w:vertAlign w:val="superscript"/>
        </w:rPr>
        <w:t>4,5,6,7,8,9</w:t>
      </w:r>
    </w:p>
    <w:p w14:paraId="7623AF9A" w14:textId="77777777" w:rsidR="00D357B4" w:rsidRDefault="00456D06" w:rsidP="00817E1F">
      <w:pPr>
        <w:ind w:left="0" w:firstLine="0"/>
      </w:pPr>
      <w:r>
        <w:t>Th</w:t>
      </w:r>
      <w:r w:rsidR="002620F4">
        <w:t xml:space="preserve">e interviews with </w:t>
      </w:r>
      <w:r>
        <w:t xml:space="preserve">state, local, and tribal </w:t>
      </w:r>
      <w:r w:rsidR="002620F4">
        <w:t>public health offi</w:t>
      </w:r>
      <w:r>
        <w:t>cials</w:t>
      </w:r>
      <w:r w:rsidR="002620F4">
        <w:t xml:space="preserve"> are</w:t>
      </w:r>
      <w:r w:rsidR="00D74C2E">
        <w:t xml:space="preserve"> part </w:t>
      </w:r>
      <w:r w:rsidR="002620F4">
        <w:t>of a larger two-year study using</w:t>
      </w:r>
      <w:r w:rsidR="002620F4" w:rsidRPr="002620F4">
        <w:t xml:space="preserve"> a novel, multifaceted approach to investigate the sending and receiving aspects of communication and the relationship of the two to understand and provide recommendations for how public health communication practices can be strengthened to improve public understanding of, acceptance of, and response to messages during this and futu</w:t>
      </w:r>
      <w:r w:rsidR="002620F4">
        <w:t xml:space="preserve">re infectious disease outbreaks. </w:t>
      </w:r>
      <w:r w:rsidR="00D74C2E" w:rsidRPr="00D74C2E">
        <w:t>As federal, state, and local public health departments conduct activities to educate the public and reduce risks, a greater understanding of the array of communication efforts, messages the public may be receiving via the news media, potential impact of these efforts, and most appropriate ways to communicate about the risks from Zika is needed to inform this and future emergency responses. The ways in which health officials inform and frame their policy positions will determine whether they are able to garner social legitimacy and public trust.</w:t>
      </w:r>
    </w:p>
    <w:p w14:paraId="5214A5F3" w14:textId="77777777" w:rsidR="00513B8B" w:rsidRDefault="002449FF" w:rsidP="00C54140">
      <w:pPr>
        <w:ind w:left="0" w:firstLine="0"/>
        <w:rPr>
          <w:bCs/>
        </w:rPr>
      </w:pPr>
      <w:r w:rsidRPr="002449FF">
        <w:t xml:space="preserve">The data collection is authorized by Section 301 of the Public Health Service Act (42 U.S.C. 241), included in this request as </w:t>
      </w:r>
      <w:r w:rsidRPr="002449FF">
        <w:rPr>
          <w:b/>
        </w:rPr>
        <w:t>Attachment A – Authorizing Legislation</w:t>
      </w:r>
      <w:r>
        <w:t>.</w:t>
      </w:r>
      <w:r w:rsidR="00662F81" w:rsidRPr="00022A54">
        <w:t xml:space="preserve"> </w:t>
      </w:r>
    </w:p>
    <w:bookmarkEnd w:id="0"/>
    <w:bookmarkEnd w:id="1"/>
    <w:p w14:paraId="7D2F309E" w14:textId="77777777" w:rsidR="00B95A61" w:rsidRDefault="00B95A61" w:rsidP="00CA1AF9">
      <w:pPr>
        <w:tabs>
          <w:tab w:val="left" w:pos="-1440"/>
        </w:tabs>
        <w:rPr>
          <w:b/>
          <w:bCs/>
        </w:rPr>
      </w:pPr>
    </w:p>
    <w:p w14:paraId="776FB919" w14:textId="77777777" w:rsidR="007114E8" w:rsidRDefault="007114E8">
      <w:pPr>
        <w:spacing w:after="0"/>
        <w:ind w:left="0" w:firstLine="0"/>
        <w:rPr>
          <w:b/>
          <w:bCs/>
        </w:rPr>
      </w:pPr>
      <w:r>
        <w:rPr>
          <w:b/>
          <w:bCs/>
        </w:rPr>
        <w:br w:type="page"/>
      </w:r>
    </w:p>
    <w:p w14:paraId="16691955" w14:textId="276F6483" w:rsidR="00CA1AF9" w:rsidRPr="00022A54" w:rsidRDefault="00662F81" w:rsidP="00CA1AF9">
      <w:pPr>
        <w:tabs>
          <w:tab w:val="left" w:pos="-1440"/>
        </w:tabs>
        <w:rPr>
          <w:b/>
          <w:bCs/>
        </w:rPr>
      </w:pPr>
      <w:r w:rsidRPr="00022A54">
        <w:rPr>
          <w:b/>
          <w:bCs/>
        </w:rPr>
        <w:t>2.</w:t>
      </w:r>
      <w:r w:rsidRPr="00022A54">
        <w:rPr>
          <w:b/>
          <w:bCs/>
        </w:rPr>
        <w:tab/>
        <w:t>Purpose and Use of Information Collection</w:t>
      </w:r>
      <w:r w:rsidR="00726F05" w:rsidRPr="00022A54">
        <w:rPr>
          <w:b/>
          <w:bCs/>
        </w:rPr>
        <w:t xml:space="preserve">  </w:t>
      </w:r>
    </w:p>
    <w:p w14:paraId="58FD9623" w14:textId="77777777" w:rsidR="00077041" w:rsidRDefault="00456D06" w:rsidP="00456D06">
      <w:pPr>
        <w:tabs>
          <w:tab w:val="left" w:pos="-1440"/>
        </w:tabs>
        <w:ind w:left="0" w:firstLine="0"/>
      </w:pPr>
      <w:r w:rsidRPr="00456D06">
        <w:t xml:space="preserve">This project will provide the CDC with information directly from state and local partners </w:t>
      </w:r>
      <w:r w:rsidR="00743782" w:rsidRPr="00743782">
        <w:t xml:space="preserve">develop a detailed understanding of both the standard and innovative communication efforts ongoing in the response to Zika. </w:t>
      </w:r>
    </w:p>
    <w:p w14:paraId="1375A8C4" w14:textId="77777777" w:rsidR="00456D06" w:rsidRDefault="00456D06" w:rsidP="00456D06">
      <w:pPr>
        <w:tabs>
          <w:tab w:val="left" w:pos="-1440"/>
        </w:tabs>
        <w:ind w:left="0" w:firstLine="0"/>
      </w:pPr>
      <w:r w:rsidRPr="00456D06">
        <w:t>This information will help to improve Zika communication efforts with the public and with local partners. In addition, this project will develop evidence-informed recommendations intended to provide strategic input, potential language, and communication approaches for senior health officials at the state and federal level to be used in current and future public health emergency responses. This project aims to advance communication and public health science, improve efforts to deliver effective public health communications, and encourage strong public adoption of public health recommendations. Specifically, this project will enable health officials to: improve communication and messaging to enhance the public understanding of risks; increase public acceptance of public health prevention strategies and interventions during future health threats; and mitigate unnecessary backlash due to poor communication during major health crises.</w:t>
      </w:r>
    </w:p>
    <w:p w14:paraId="23D817D5" w14:textId="3928138D" w:rsidR="00743782" w:rsidRDefault="00456D06" w:rsidP="00456D06">
      <w:pPr>
        <w:tabs>
          <w:tab w:val="left" w:pos="-1440"/>
        </w:tabs>
        <w:ind w:left="0" w:firstLine="0"/>
      </w:pPr>
      <w:r w:rsidRPr="00473CDF">
        <w:t xml:space="preserve">Analysis of </w:t>
      </w:r>
      <w:r>
        <w:t>interview data</w:t>
      </w:r>
      <w:r w:rsidRPr="00473CDF">
        <w:t xml:space="preserve"> </w:t>
      </w:r>
      <w:r w:rsidR="00743782">
        <w:t>is stage three of a six-stage project</w:t>
      </w:r>
      <w:r w:rsidR="00E71815">
        <w:t xml:space="preserve"> to be completed over two years</w:t>
      </w:r>
      <w:r w:rsidR="00743782">
        <w:t xml:space="preserve">. This data </w:t>
      </w:r>
      <w:r w:rsidRPr="00473CDF">
        <w:t xml:space="preserve">will be </w:t>
      </w:r>
      <w:r>
        <w:t xml:space="preserve">used to inform the next stages of the project. </w:t>
      </w:r>
      <w:r w:rsidR="008064EE">
        <w:t xml:space="preserve">In particular, information gathered from the interviews will provide more information about what public health officials are trying to communicate to the public, what actions they are trying to elicit from the public, and what gaps they have identified.  By providing more information on the initial messages, this step of the project will provide the context for later stages of the project aimed at understanding what messages people are receiving and offer key input in the instrument development process. </w:t>
      </w:r>
    </w:p>
    <w:p w14:paraId="34171BCC" w14:textId="77777777" w:rsidR="00743782" w:rsidRPr="00434D1E" w:rsidRDefault="00743782" w:rsidP="00743782">
      <w:pPr>
        <w:tabs>
          <w:tab w:val="num" w:pos="558"/>
        </w:tabs>
        <w:spacing w:after="0"/>
        <w:ind w:left="558" w:hanging="288"/>
        <w:contextualSpacing/>
        <w:rPr>
          <w:iCs/>
        </w:rPr>
      </w:pPr>
      <w:r>
        <w:rPr>
          <w:b/>
          <w:iCs/>
        </w:rPr>
        <w:t xml:space="preserve">Stage 1 </w:t>
      </w:r>
      <w:r w:rsidRPr="00434D1E">
        <w:rPr>
          <w:b/>
          <w:iCs/>
        </w:rPr>
        <w:t>Preliminary background research</w:t>
      </w:r>
      <w:r w:rsidRPr="00434D1E">
        <w:rPr>
          <w:iCs/>
        </w:rPr>
        <w:t>: Complete an environmental scan of current federal and state communication efforts in place to inform and educate the US public about Zika.</w:t>
      </w:r>
    </w:p>
    <w:p w14:paraId="75923DA5" w14:textId="77777777" w:rsidR="00743782" w:rsidRPr="00434D1E" w:rsidRDefault="00743782" w:rsidP="00743782">
      <w:pPr>
        <w:tabs>
          <w:tab w:val="num" w:pos="558"/>
        </w:tabs>
        <w:spacing w:after="0"/>
        <w:ind w:left="558" w:hanging="288"/>
        <w:contextualSpacing/>
        <w:rPr>
          <w:iCs/>
        </w:rPr>
      </w:pPr>
      <w:r>
        <w:rPr>
          <w:b/>
          <w:iCs/>
        </w:rPr>
        <w:t xml:space="preserve">Stage 2 </w:t>
      </w:r>
      <w:r w:rsidRPr="00434D1E">
        <w:rPr>
          <w:b/>
          <w:iCs/>
        </w:rPr>
        <w:t>Review of publically available news articles:</w:t>
      </w:r>
      <w:r w:rsidRPr="00434D1E">
        <w:rPr>
          <w:iCs/>
        </w:rPr>
        <w:t xml:space="preserve"> Perform a quantitative content analysis of news media coverage of the Zika outbreak including CDC and public health messages, alternative views, and their representation in the public sphere to determine how the news media has portrayed risks and responses to the public and how</w:t>
      </w:r>
      <w:r>
        <w:rPr>
          <w:iCs/>
        </w:rPr>
        <w:t xml:space="preserve"> that compares to CDC messages.</w:t>
      </w:r>
    </w:p>
    <w:p w14:paraId="0653C94C" w14:textId="77777777" w:rsidR="00743782" w:rsidRPr="00434D1E" w:rsidRDefault="00743782" w:rsidP="00743782">
      <w:pPr>
        <w:tabs>
          <w:tab w:val="num" w:pos="558"/>
        </w:tabs>
        <w:spacing w:after="0"/>
        <w:ind w:left="558" w:hanging="288"/>
        <w:contextualSpacing/>
        <w:rPr>
          <w:iCs/>
        </w:rPr>
      </w:pPr>
      <w:r>
        <w:rPr>
          <w:b/>
          <w:iCs/>
        </w:rPr>
        <w:t xml:space="preserve">Stage 3 </w:t>
      </w:r>
      <w:r w:rsidR="00E71815">
        <w:rPr>
          <w:b/>
          <w:iCs/>
        </w:rPr>
        <w:t>Public health i</w:t>
      </w:r>
      <w:r>
        <w:rPr>
          <w:b/>
          <w:iCs/>
        </w:rPr>
        <w:t>nterviews</w:t>
      </w:r>
      <w:r w:rsidRPr="00434D1E">
        <w:rPr>
          <w:iCs/>
        </w:rPr>
        <w:t xml:space="preserve">: Conduct in-depth, semi-structured interviews (~45 minutes) with approximately 30 public health practitioners, mosquito control officers, public health policymakers, and public health information officers to develop a detailed understanding of both the </w:t>
      </w:r>
      <w:r>
        <w:rPr>
          <w:iCs/>
        </w:rPr>
        <w:t>standard</w:t>
      </w:r>
      <w:r w:rsidRPr="00434D1E">
        <w:rPr>
          <w:iCs/>
        </w:rPr>
        <w:t xml:space="preserve"> and innovative communication efforts ongoing in the response to Zika. </w:t>
      </w:r>
    </w:p>
    <w:p w14:paraId="575E20E1" w14:textId="77777777" w:rsidR="00743782" w:rsidRPr="00434D1E" w:rsidRDefault="00743782" w:rsidP="00743782">
      <w:pPr>
        <w:tabs>
          <w:tab w:val="num" w:pos="558"/>
        </w:tabs>
        <w:spacing w:after="0"/>
        <w:ind w:left="558" w:hanging="288"/>
        <w:contextualSpacing/>
        <w:rPr>
          <w:iCs/>
        </w:rPr>
      </w:pPr>
      <w:r>
        <w:rPr>
          <w:b/>
          <w:iCs/>
        </w:rPr>
        <w:t>Stage 4 Public</w:t>
      </w:r>
      <w:r w:rsidR="00E71815">
        <w:rPr>
          <w:b/>
          <w:iCs/>
        </w:rPr>
        <w:t xml:space="preserve"> s</w:t>
      </w:r>
      <w:r>
        <w:rPr>
          <w:b/>
          <w:iCs/>
        </w:rPr>
        <w:t>urvey</w:t>
      </w:r>
      <w:r w:rsidRPr="0059643D">
        <w:rPr>
          <w:iCs/>
        </w:rPr>
        <w:t xml:space="preserve">: Field a nationally representative online survey, </w:t>
      </w:r>
      <w:r w:rsidRPr="0059643D">
        <w:t>with oversampling in locations with past/current local transmission of Zika,</w:t>
      </w:r>
      <w:r>
        <w:t xml:space="preserve"> </w:t>
      </w:r>
      <w:r w:rsidRPr="0059643D">
        <w:rPr>
          <w:iCs/>
        </w:rPr>
        <w:t>to determine current public views, knowledge, beliefs, and barriers around Zika-related risks and response activities.</w:t>
      </w:r>
      <w:r w:rsidRPr="00434D1E">
        <w:rPr>
          <w:iCs/>
        </w:rPr>
        <w:tab/>
      </w:r>
    </w:p>
    <w:p w14:paraId="51204163" w14:textId="4DF46139" w:rsidR="00743782" w:rsidRPr="00434D1E" w:rsidRDefault="00743782" w:rsidP="00743782">
      <w:pPr>
        <w:tabs>
          <w:tab w:val="num" w:pos="558"/>
        </w:tabs>
        <w:spacing w:after="0"/>
        <w:ind w:left="558" w:hanging="288"/>
        <w:contextualSpacing/>
        <w:rPr>
          <w:iCs/>
        </w:rPr>
      </w:pPr>
      <w:r>
        <w:rPr>
          <w:b/>
          <w:iCs/>
        </w:rPr>
        <w:t xml:space="preserve">Stage 5 </w:t>
      </w:r>
      <w:r w:rsidR="00E71815">
        <w:rPr>
          <w:b/>
          <w:iCs/>
        </w:rPr>
        <w:t>Public focus groups</w:t>
      </w:r>
      <w:r w:rsidRPr="00434D1E">
        <w:rPr>
          <w:iCs/>
        </w:rPr>
        <w:t xml:space="preserve">: Convene </w:t>
      </w:r>
      <w:r>
        <w:rPr>
          <w:iCs/>
        </w:rPr>
        <w:t>8</w:t>
      </w:r>
      <w:r w:rsidRPr="00434D1E">
        <w:rPr>
          <w:iCs/>
        </w:rPr>
        <w:t xml:space="preserve"> demographically diverse public focus groups of 7-9 participants each to deliberate relevant issues including emergent controversies</w:t>
      </w:r>
      <w:r>
        <w:rPr>
          <w:iCs/>
        </w:rPr>
        <w:t xml:space="preserve"> such as sex/reproduction, use of new technologies, and environmental concerns</w:t>
      </w:r>
      <w:r w:rsidRPr="00434D1E">
        <w:rPr>
          <w:iCs/>
        </w:rPr>
        <w:t>, using vignettes to draw out reactions and values important in Zika and future outbreak response. These focus groups will use</w:t>
      </w:r>
      <w:r>
        <w:rPr>
          <w:iCs/>
        </w:rPr>
        <w:t xml:space="preserve"> </w:t>
      </w:r>
      <w:r w:rsidRPr="00434D1E">
        <w:rPr>
          <w:iCs/>
        </w:rPr>
        <w:t xml:space="preserve">vignettes informed by </w:t>
      </w:r>
      <w:r>
        <w:rPr>
          <w:iCs/>
        </w:rPr>
        <w:t xml:space="preserve">earlier phases </w:t>
      </w:r>
      <w:r w:rsidRPr="00434D1E">
        <w:rPr>
          <w:iCs/>
        </w:rPr>
        <w:t xml:space="preserve">of the project </w:t>
      </w:r>
      <w:r>
        <w:rPr>
          <w:iCs/>
        </w:rPr>
        <w:t>and</w:t>
      </w:r>
      <w:r w:rsidRPr="00434D1E">
        <w:rPr>
          <w:iCs/>
        </w:rPr>
        <w:t xml:space="preserve"> illustrate outbreak communication and response efforts in the Zika response and a range of epidemic contexts. Focus groups will take place in a range of locations that incorporate differences in Zika threat and response, as well as geographic and urban/rural variation. </w:t>
      </w:r>
    </w:p>
    <w:p w14:paraId="5D795126" w14:textId="77777777" w:rsidR="00743782" w:rsidRPr="00434D1E" w:rsidRDefault="00E71815" w:rsidP="00743782">
      <w:pPr>
        <w:tabs>
          <w:tab w:val="num" w:pos="558"/>
        </w:tabs>
        <w:spacing w:after="0"/>
        <w:ind w:left="558" w:hanging="288"/>
        <w:contextualSpacing/>
        <w:rPr>
          <w:iCs/>
        </w:rPr>
      </w:pPr>
      <w:r>
        <w:rPr>
          <w:b/>
          <w:iCs/>
        </w:rPr>
        <w:t>Stage 6 Message Testing</w:t>
      </w:r>
      <w:r w:rsidR="00743782" w:rsidRPr="00434D1E">
        <w:rPr>
          <w:iCs/>
        </w:rPr>
        <w:t xml:space="preserve">: Conduct a message testing experiment using a nationally representative online sample to test impact of draft statements on audience understanding about the risks they may face and support for public health and personal response activities. Messages will be drafted based on thematic analysis of focus groups and information from the Zika response. This message testing experiment will be completed using the survey research firm GfK Knowledge Networks, and will focus on modified CDC messages, experimental messages informed by previous phases of the project and risk communication best practices, and messages in the news media. </w:t>
      </w:r>
    </w:p>
    <w:p w14:paraId="0F73B048" w14:textId="77777777" w:rsidR="00743782" w:rsidRDefault="00743782" w:rsidP="00456D06">
      <w:pPr>
        <w:tabs>
          <w:tab w:val="left" w:pos="-1440"/>
        </w:tabs>
        <w:ind w:left="0" w:firstLine="0"/>
      </w:pPr>
    </w:p>
    <w:p w14:paraId="643E804A" w14:textId="2EA2C10F" w:rsidR="00456D06" w:rsidRPr="007114E8" w:rsidRDefault="00456D06" w:rsidP="00456D06">
      <w:pPr>
        <w:tabs>
          <w:tab w:val="left" w:pos="-1440"/>
        </w:tabs>
        <w:ind w:left="0" w:firstLine="0"/>
      </w:pPr>
      <w:r w:rsidRPr="00D07611">
        <w:t>CDC will disse</w:t>
      </w:r>
      <w:r>
        <w:t xml:space="preserve">minate the information through </w:t>
      </w:r>
      <w:r w:rsidRPr="00D07611">
        <w:t xml:space="preserve">partners’ online resources, peer reviewed manuscripts, briefings to federal and state officials, and conferences. Interim reports will be shared within CDC to improve the Zika response at the discretion of CDC </w:t>
      </w:r>
      <w:r>
        <w:t>investigators</w:t>
      </w:r>
      <w:r w:rsidR="000A21CF">
        <w:t xml:space="preserve">. </w:t>
      </w:r>
      <w:r w:rsidR="000A21CF" w:rsidRPr="000A21CF">
        <w:rPr>
          <w:szCs w:val="22"/>
        </w:rPr>
        <w:t>All releases of information will be reviewed and approved by CDC.</w:t>
      </w:r>
      <w:r w:rsidR="00F30020">
        <w:rPr>
          <w:szCs w:val="22"/>
        </w:rPr>
        <w:t xml:space="preserve"> </w:t>
      </w:r>
      <w:r w:rsidR="00D312B7" w:rsidRPr="007114E8">
        <w:t>Results will not be generalized beyond the scope of the study.</w:t>
      </w:r>
    </w:p>
    <w:p w14:paraId="4CCC7152" w14:textId="77777777" w:rsidR="00077041" w:rsidRPr="000A21CF" w:rsidRDefault="00077041" w:rsidP="00456D06">
      <w:pPr>
        <w:tabs>
          <w:tab w:val="left" w:pos="-1440"/>
        </w:tabs>
        <w:ind w:left="0" w:firstLine="0"/>
        <w:rPr>
          <w:sz w:val="28"/>
        </w:rPr>
      </w:pPr>
      <w:r>
        <w:rPr>
          <w:szCs w:val="22"/>
        </w:rPr>
        <w:t xml:space="preserve">This project is funded </w:t>
      </w:r>
      <w:r w:rsidR="00C71540">
        <w:rPr>
          <w:szCs w:val="22"/>
        </w:rPr>
        <w:t xml:space="preserve">by </w:t>
      </w:r>
      <w:r w:rsidR="00D94CE5">
        <w:rPr>
          <w:szCs w:val="22"/>
        </w:rPr>
        <w:t xml:space="preserve">under a Broad Agency Agreement </w:t>
      </w:r>
      <w:r w:rsidR="00D94CE5" w:rsidRPr="00D94CE5">
        <w:rPr>
          <w:szCs w:val="22"/>
        </w:rPr>
        <w:t>CDC contract number 200</w:t>
      </w:r>
      <w:r w:rsidR="00D94CE5">
        <w:rPr>
          <w:szCs w:val="22"/>
        </w:rPr>
        <w:t>-2016-92378 (09/26/16-09/25/18).</w:t>
      </w:r>
    </w:p>
    <w:p w14:paraId="5A2439D8" w14:textId="77777777" w:rsidR="00456D06" w:rsidRDefault="00456D06" w:rsidP="00456D06">
      <w:pPr>
        <w:tabs>
          <w:tab w:val="left" w:pos="-1440"/>
        </w:tabs>
        <w:ind w:left="0" w:firstLine="0"/>
      </w:pPr>
    </w:p>
    <w:p w14:paraId="3ACBF241" w14:textId="77777777" w:rsidR="00662F81" w:rsidRPr="00022A54" w:rsidRDefault="00F03E79" w:rsidP="00456D06">
      <w:pPr>
        <w:tabs>
          <w:tab w:val="left" w:pos="-1440"/>
        </w:tabs>
        <w:ind w:left="0" w:firstLine="0"/>
      </w:pPr>
      <w:r>
        <w:rPr>
          <w:b/>
          <w:bCs/>
        </w:rPr>
        <w:t xml:space="preserve">3.   </w:t>
      </w:r>
      <w:r w:rsidR="00662F81" w:rsidRPr="00022A54">
        <w:rPr>
          <w:b/>
          <w:bCs/>
        </w:rPr>
        <w:t>Use of Improved Information Technology and Burden Reduction</w:t>
      </w:r>
    </w:p>
    <w:p w14:paraId="3D1978D6" w14:textId="4DDC2498" w:rsidR="00077041" w:rsidRDefault="00077041" w:rsidP="00077041">
      <w:pPr>
        <w:tabs>
          <w:tab w:val="left" w:pos="-1440"/>
        </w:tabs>
        <w:ind w:left="0" w:firstLine="0"/>
      </w:pPr>
      <w:r>
        <w:t xml:space="preserve">This information request is in compliance with the Government Paperwork Elimination Act (GPEA), Public Law 105-277, title XVII.  </w:t>
      </w:r>
      <w:r w:rsidRPr="00077041">
        <w:t>For telephone interviews, information will be coll</w:t>
      </w:r>
      <w:r w:rsidR="00C71540">
        <w:t xml:space="preserve">ected </w:t>
      </w:r>
      <w:r w:rsidRPr="00077041">
        <w:t xml:space="preserve">according to an interview guide and entered by the </w:t>
      </w:r>
      <w:r w:rsidR="00C71540">
        <w:t xml:space="preserve">CHS </w:t>
      </w:r>
      <w:r w:rsidRPr="00077041">
        <w:t>interviewer into an electronic file</w:t>
      </w:r>
      <w:r w:rsidR="00D94CE5">
        <w:t xml:space="preserve"> in terms of note-taking, audio files, and transcribed conversations in Word documents</w:t>
      </w:r>
      <w:r w:rsidRPr="00077041">
        <w:t xml:space="preserve">. </w:t>
      </w:r>
      <w:r w:rsidR="00D94CE5">
        <w:t xml:space="preserve">The number of questions posed will be held to the minimum required in order to elicit the necessary data. </w:t>
      </w:r>
      <w:r w:rsidR="00F03E79">
        <w:t xml:space="preserve">An earlier stage of this study reviewed state, local, and territorial public health department websites to limit duplicative information </w:t>
      </w:r>
      <w:r w:rsidR="00114D03">
        <w:t xml:space="preserve">and ensure appropriate questions are </w:t>
      </w:r>
      <w:r w:rsidR="00F03E79">
        <w:t xml:space="preserve">being asked of respondents. </w:t>
      </w:r>
      <w:bookmarkStart w:id="4" w:name="_GoBack"/>
      <w:r w:rsidR="00C71540">
        <w:t>CHS</w:t>
      </w:r>
      <w:bookmarkEnd w:id="4"/>
      <w:r w:rsidR="00C71540">
        <w:t xml:space="preserve"> m</w:t>
      </w:r>
      <w:r w:rsidRPr="00077041">
        <w:t>embers will use state-of-the-art computer systems to organize and analyze the information collected.</w:t>
      </w:r>
    </w:p>
    <w:p w14:paraId="153D7FB0" w14:textId="77777777" w:rsidR="00077041" w:rsidRDefault="00077041" w:rsidP="00077041">
      <w:pPr>
        <w:tabs>
          <w:tab w:val="left" w:pos="-1440"/>
        </w:tabs>
        <w:ind w:left="0" w:firstLine="0"/>
      </w:pPr>
    </w:p>
    <w:p w14:paraId="73584386" w14:textId="77777777" w:rsidR="00662F81" w:rsidRPr="00022A54" w:rsidRDefault="00F03E79" w:rsidP="00077041">
      <w:pPr>
        <w:tabs>
          <w:tab w:val="left" w:pos="-1440"/>
        </w:tabs>
        <w:ind w:left="0" w:firstLine="0"/>
      </w:pPr>
      <w:r>
        <w:rPr>
          <w:b/>
          <w:bCs/>
        </w:rPr>
        <w:t xml:space="preserve">4.   </w:t>
      </w:r>
      <w:r w:rsidR="00662F81" w:rsidRPr="00022A54">
        <w:rPr>
          <w:b/>
          <w:bCs/>
        </w:rPr>
        <w:t>Efforts to Identify Duplication and Use of Similar Information</w:t>
      </w:r>
    </w:p>
    <w:p w14:paraId="1C235B8D" w14:textId="77777777" w:rsidR="00CD7B25" w:rsidRDefault="00CD7B25" w:rsidP="00CD7B25">
      <w:pPr>
        <w:tabs>
          <w:tab w:val="left" w:pos="-1440"/>
        </w:tabs>
        <w:ind w:left="0" w:firstLine="0"/>
      </w:pPr>
      <w:r>
        <w:t xml:space="preserve">Stage 1 of this study conducted </w:t>
      </w:r>
      <w:r w:rsidRPr="00CD7B25">
        <w:t xml:space="preserve">a systematic environmental scan to identify federal, state, territorial and local </w:t>
      </w:r>
      <w:r>
        <w:t xml:space="preserve">public health departments’ </w:t>
      </w:r>
      <w:r w:rsidRPr="00CD7B25">
        <w:t>commun</w:t>
      </w:r>
      <w:r>
        <w:t xml:space="preserve">ication efforts and strategies </w:t>
      </w:r>
      <w:r w:rsidRPr="00CD7B25">
        <w:t>to understand the content and types of communication strategies and methods being used to disseminate Zika virus information to the public in 2016.</w:t>
      </w:r>
      <w:r>
        <w:t xml:space="preserve"> This information, however useful, also identified potential gaps in understanding what other standard and innovative communication efforts may be occurring. </w:t>
      </w:r>
      <w:r w:rsidRPr="00CD7B25">
        <w:t xml:space="preserve">There are no </w:t>
      </w:r>
      <w:r>
        <w:t xml:space="preserve">other </w:t>
      </w:r>
      <w:r w:rsidRPr="00CD7B25">
        <w:t xml:space="preserve">similar data </w:t>
      </w:r>
      <w:r>
        <w:t xml:space="preserve">available for use in this study based on literature search, conference attendance, and </w:t>
      </w:r>
      <w:r w:rsidR="00C71540">
        <w:t>communications with other CDC staff involved in the response.</w:t>
      </w:r>
    </w:p>
    <w:p w14:paraId="137BEB0B" w14:textId="77777777" w:rsidR="00CD7B25" w:rsidRDefault="00CD7B25" w:rsidP="00CD7B25">
      <w:pPr>
        <w:tabs>
          <w:tab w:val="left" w:pos="-1440"/>
        </w:tabs>
        <w:ind w:left="0" w:firstLine="0"/>
      </w:pPr>
    </w:p>
    <w:p w14:paraId="13F4CF07" w14:textId="77777777" w:rsidR="00662F81" w:rsidRPr="00CD7B25" w:rsidRDefault="00F03E79" w:rsidP="00CD7B25">
      <w:pPr>
        <w:tabs>
          <w:tab w:val="left" w:pos="-1440"/>
        </w:tabs>
        <w:ind w:left="0" w:firstLine="0"/>
        <w:rPr>
          <w:b/>
          <w:bCs/>
        </w:rPr>
      </w:pPr>
      <w:r>
        <w:rPr>
          <w:b/>
          <w:bCs/>
        </w:rPr>
        <w:t xml:space="preserve">5.   </w:t>
      </w:r>
      <w:r w:rsidR="00662F81" w:rsidRPr="0090285F">
        <w:rPr>
          <w:b/>
          <w:bCs/>
        </w:rPr>
        <w:t xml:space="preserve">Impact on Small Businesses </w:t>
      </w:r>
      <w:r w:rsidR="006C442F" w:rsidRPr="0090285F">
        <w:rPr>
          <w:b/>
          <w:bCs/>
        </w:rPr>
        <w:t xml:space="preserve">or </w:t>
      </w:r>
      <w:r w:rsidR="00662F81" w:rsidRPr="0090285F">
        <w:rPr>
          <w:b/>
          <w:bCs/>
        </w:rPr>
        <w:t>Other Small Entities</w:t>
      </w:r>
    </w:p>
    <w:p w14:paraId="31B704B4" w14:textId="77777777" w:rsidR="003A6373" w:rsidRPr="00022A54" w:rsidRDefault="00C71540" w:rsidP="00291FB8">
      <w:pPr>
        <w:ind w:left="0" w:firstLine="0"/>
      </w:pPr>
      <w:r w:rsidRPr="00C71540">
        <w:t>No small businesses will be involved in this data collection.</w:t>
      </w:r>
    </w:p>
    <w:p w14:paraId="553C39F7" w14:textId="77777777" w:rsidR="00C71540" w:rsidRDefault="00C71540" w:rsidP="00B95A61">
      <w:pPr>
        <w:tabs>
          <w:tab w:val="left" w:pos="-1440"/>
        </w:tabs>
        <w:rPr>
          <w:b/>
          <w:bCs/>
        </w:rPr>
      </w:pPr>
    </w:p>
    <w:p w14:paraId="51F8DE79" w14:textId="77777777" w:rsidR="00B656ED" w:rsidRDefault="00B656ED">
      <w:pPr>
        <w:spacing w:after="0"/>
        <w:ind w:left="0" w:firstLine="0"/>
        <w:rPr>
          <w:b/>
          <w:bCs/>
        </w:rPr>
      </w:pPr>
      <w:r>
        <w:rPr>
          <w:b/>
          <w:bCs/>
        </w:rPr>
        <w:br w:type="page"/>
      </w:r>
    </w:p>
    <w:p w14:paraId="0288AB00" w14:textId="58CD2B09" w:rsidR="00662F81" w:rsidRPr="00022A54" w:rsidRDefault="00662F81" w:rsidP="00B95A61">
      <w:pPr>
        <w:tabs>
          <w:tab w:val="left" w:pos="-1440"/>
        </w:tabs>
      </w:pPr>
      <w:r w:rsidRPr="00022A54">
        <w:rPr>
          <w:b/>
          <w:bCs/>
        </w:rPr>
        <w:t>6.</w:t>
      </w:r>
      <w:r w:rsidRPr="00022A54">
        <w:rPr>
          <w:b/>
          <w:bCs/>
        </w:rPr>
        <w:tab/>
      </w:r>
      <w:r w:rsidRPr="0016614F">
        <w:rPr>
          <w:b/>
          <w:bCs/>
        </w:rPr>
        <w:t>Consequences of Collecting the Information Less Frequently</w:t>
      </w:r>
    </w:p>
    <w:p w14:paraId="5014D28D" w14:textId="7E22B9A6" w:rsidR="00662F81" w:rsidRPr="00022A54" w:rsidRDefault="00F03E79" w:rsidP="005A3B06">
      <w:pPr>
        <w:ind w:left="0" w:firstLine="0"/>
      </w:pPr>
      <w:r w:rsidRPr="00F03E79">
        <w:t xml:space="preserve">This request is for a one time information collection. Not collecting this information will limit our </w:t>
      </w:r>
      <w:r>
        <w:t xml:space="preserve">complete </w:t>
      </w:r>
      <w:r w:rsidRPr="00F03E79">
        <w:t xml:space="preserve">understanding of </w:t>
      </w:r>
      <w:r>
        <w:t xml:space="preserve">standard and innovative public health </w:t>
      </w:r>
      <w:r w:rsidRPr="00F03E79">
        <w:t xml:space="preserve">efforts to </w:t>
      </w:r>
      <w:r>
        <w:t>communicate Zika virus information to the public</w:t>
      </w:r>
      <w:r w:rsidRPr="00F03E79">
        <w:t xml:space="preserve">. </w:t>
      </w:r>
      <w:r>
        <w:t>Looking at just website information does</w:t>
      </w:r>
      <w:r w:rsidR="00DC7864">
        <w:t xml:space="preserve"> </w:t>
      </w:r>
      <w:r>
        <w:t>n</w:t>
      </w:r>
      <w:r w:rsidR="00DC7864">
        <w:t>o</w:t>
      </w:r>
      <w:r>
        <w:t xml:space="preserve">t help us </w:t>
      </w:r>
      <w:r w:rsidR="00DC7864">
        <w:t xml:space="preserve">to </w:t>
      </w:r>
      <w:r>
        <w:t>understand important issues such as barriers to messaging</w:t>
      </w:r>
      <w:r w:rsidR="00DC7864">
        <w:t>,</w:t>
      </w:r>
      <w:r>
        <w:t xml:space="preserve"> and message acceptance they</w:t>
      </w:r>
      <w:r w:rsidRPr="00F03E79">
        <w:t xml:space="preserve"> have observed</w:t>
      </w:r>
      <w:r w:rsidR="00DC7864">
        <w:t>,</w:t>
      </w:r>
      <w:r w:rsidRPr="00F03E79">
        <w:t xml:space="preserve"> and how their messaging has adapted for later stages of the Zika response. </w:t>
      </w:r>
      <w:r w:rsidR="00662F81" w:rsidRPr="00022A54">
        <w:t>There are no legal obstacles to reducing the burden.</w:t>
      </w:r>
    </w:p>
    <w:p w14:paraId="49DE43DD" w14:textId="77777777" w:rsidR="00384295" w:rsidRDefault="00384295" w:rsidP="00B95A61">
      <w:pPr>
        <w:tabs>
          <w:tab w:val="left" w:pos="-1440"/>
        </w:tabs>
        <w:rPr>
          <w:b/>
          <w:bCs/>
        </w:rPr>
      </w:pPr>
    </w:p>
    <w:p w14:paraId="6EDE618E" w14:textId="77777777" w:rsidR="00662F81" w:rsidRPr="00022A54" w:rsidRDefault="00F03E79" w:rsidP="00B95A61">
      <w:pPr>
        <w:tabs>
          <w:tab w:val="left" w:pos="-1440"/>
        </w:tabs>
      </w:pPr>
      <w:r>
        <w:rPr>
          <w:b/>
          <w:bCs/>
        </w:rPr>
        <w:t xml:space="preserve">7.   </w:t>
      </w:r>
      <w:r w:rsidR="00662F81" w:rsidRPr="00DD4C2D">
        <w:rPr>
          <w:b/>
          <w:bCs/>
        </w:rPr>
        <w:t xml:space="preserve">Special Circumstances Relating to </w:t>
      </w:r>
      <w:r w:rsidR="006C442F" w:rsidRPr="00DD4C2D">
        <w:rPr>
          <w:b/>
          <w:bCs/>
        </w:rPr>
        <w:t xml:space="preserve">the </w:t>
      </w:r>
      <w:r w:rsidR="00662F81" w:rsidRPr="00DD4C2D">
        <w:rPr>
          <w:b/>
          <w:bCs/>
        </w:rPr>
        <w:t>Guidelines of 5 CFR 1320.5</w:t>
      </w:r>
    </w:p>
    <w:p w14:paraId="6451707B" w14:textId="77777777" w:rsidR="00662F81" w:rsidRPr="00022A54" w:rsidRDefault="001A278B" w:rsidP="00662F81">
      <w:r w:rsidRPr="00022A54">
        <w:t>This request fully complies with the regulation 5 CFR 1320.5.</w:t>
      </w:r>
    </w:p>
    <w:p w14:paraId="23550E1B" w14:textId="77777777" w:rsidR="00384295" w:rsidRDefault="00384295" w:rsidP="00AC132E">
      <w:pPr>
        <w:tabs>
          <w:tab w:val="left" w:pos="-1440"/>
        </w:tabs>
        <w:rPr>
          <w:b/>
          <w:bCs/>
        </w:rPr>
      </w:pPr>
    </w:p>
    <w:p w14:paraId="110AD91C" w14:textId="77777777" w:rsidR="00662F81" w:rsidRPr="00022A54" w:rsidRDefault="00662F81" w:rsidP="00AC132E">
      <w:pPr>
        <w:tabs>
          <w:tab w:val="left" w:pos="-1440"/>
        </w:tabs>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14:paraId="6837BC98" w14:textId="54FBBEA2" w:rsidR="00662F81" w:rsidRDefault="00AF3C1E" w:rsidP="00291FB8">
      <w:pPr>
        <w:tabs>
          <w:tab w:val="left" w:pos="-1440"/>
        </w:tabs>
        <w:ind w:left="0" w:firstLine="0"/>
      </w:pPr>
      <w:r w:rsidRPr="00022A54">
        <w:t>The</w:t>
      </w:r>
      <w:r w:rsidR="00400FED" w:rsidRPr="00022A54">
        <w:t xml:space="preserve"> Federal Register notice w</w:t>
      </w:r>
      <w:r w:rsidRPr="00022A54">
        <w:t xml:space="preserve">as </w:t>
      </w:r>
      <w:r w:rsidR="00400FED" w:rsidRPr="00022A54">
        <w:t>published for this collection on</w:t>
      </w:r>
      <w:r w:rsidR="000D6277">
        <w:t xml:space="preserve"> July 18, 2016</w:t>
      </w:r>
      <w:r w:rsidR="00A26E81">
        <w:t xml:space="preserve">, </w:t>
      </w:r>
      <w:r w:rsidR="00A26E81" w:rsidRPr="00A26E81">
        <w:t>Vol.</w:t>
      </w:r>
      <w:r w:rsidR="000D6277">
        <w:t xml:space="preserve"> 81</w:t>
      </w:r>
      <w:r w:rsidR="00A26E81" w:rsidRPr="00A26E81">
        <w:t xml:space="preserve">, No. </w:t>
      </w:r>
      <w:r w:rsidR="000D6277">
        <w:t>137,</w:t>
      </w:r>
      <w:r w:rsidR="00400FED" w:rsidRPr="00022A54">
        <w:t xml:space="preserve"> pp.</w:t>
      </w:r>
      <w:r w:rsidR="007B3B8F" w:rsidRPr="00022A54">
        <w:t xml:space="preserve"> </w:t>
      </w:r>
      <w:r w:rsidR="00B656ED">
        <w:t>46680 (</w:t>
      </w:r>
      <w:r w:rsidR="00400FED" w:rsidRPr="00022A54">
        <w:rPr>
          <w:b/>
        </w:rPr>
        <w:t xml:space="preserve">Attachment </w:t>
      </w:r>
      <w:r w:rsidR="00143364">
        <w:rPr>
          <w:b/>
        </w:rPr>
        <w:t>B</w:t>
      </w:r>
      <w:r w:rsidR="00400FED" w:rsidRPr="00022A54">
        <w:t>)</w:t>
      </w:r>
      <w:r w:rsidR="00B656ED">
        <w:t>.</w:t>
      </w:r>
      <w:r w:rsidR="00400FED" w:rsidRPr="00022A54">
        <w:t xml:space="preserve"> </w:t>
      </w:r>
      <w:r w:rsidR="003E5A93">
        <w:t xml:space="preserve">No </w:t>
      </w:r>
      <w:r w:rsidRPr="00022A54">
        <w:t>public</w:t>
      </w:r>
      <w:r w:rsidR="0044048D">
        <w:t xml:space="preserve"> comment</w:t>
      </w:r>
      <w:r w:rsidR="003E5A93">
        <w:t>s</w:t>
      </w:r>
      <w:r w:rsidR="0044048D">
        <w:t xml:space="preserve"> w</w:t>
      </w:r>
      <w:r w:rsidR="003E5A93">
        <w:t>ere</w:t>
      </w:r>
      <w:r w:rsidR="0044048D">
        <w:t xml:space="preserve"> received</w:t>
      </w:r>
      <w:r w:rsidRPr="00022A54">
        <w:t xml:space="preserve">. </w:t>
      </w:r>
      <w:r w:rsidR="00400FED" w:rsidRPr="00022A54">
        <w:t xml:space="preserve"> </w:t>
      </w:r>
    </w:p>
    <w:p w14:paraId="5DA7B61D" w14:textId="3945B451" w:rsidR="003E5A93" w:rsidRPr="00022A54" w:rsidRDefault="00AE45FF" w:rsidP="007114E8">
      <w:pPr>
        <w:tabs>
          <w:tab w:val="left" w:pos="-1440"/>
        </w:tabs>
        <w:ind w:left="0" w:firstLine="0"/>
      </w:pPr>
      <w:r w:rsidRPr="00AE45FF">
        <w:t>No other public contacts and op</w:t>
      </w:r>
      <w:r w:rsidR="0044048D">
        <w:t xml:space="preserve">portunities for public comments were </w:t>
      </w:r>
      <w:r w:rsidRPr="00AE45FF">
        <w:t>received</w:t>
      </w:r>
      <w:r w:rsidR="0044048D">
        <w:t xml:space="preserve">.  </w:t>
      </w:r>
    </w:p>
    <w:p w14:paraId="060259D2" w14:textId="77777777" w:rsidR="00937702" w:rsidRDefault="00937702" w:rsidP="004B3F6F">
      <w:pPr>
        <w:tabs>
          <w:tab w:val="left" w:pos="0"/>
        </w:tabs>
        <w:rPr>
          <w:b/>
          <w:bCs/>
        </w:rPr>
      </w:pPr>
    </w:p>
    <w:p w14:paraId="233C7FB8" w14:textId="77777777" w:rsidR="00662F81" w:rsidRPr="00022A54" w:rsidRDefault="00662F81" w:rsidP="004B3F6F">
      <w:pPr>
        <w:tabs>
          <w:tab w:val="left" w:pos="0"/>
        </w:tabs>
      </w:pPr>
      <w:r w:rsidRPr="00022A54">
        <w:rPr>
          <w:b/>
          <w:bCs/>
        </w:rPr>
        <w:t>9.</w:t>
      </w:r>
      <w:r w:rsidRPr="00022A54">
        <w:rPr>
          <w:b/>
          <w:bCs/>
        </w:rPr>
        <w:tab/>
      </w:r>
      <w:r w:rsidRPr="004B3F6F">
        <w:rPr>
          <w:b/>
          <w:bCs/>
        </w:rPr>
        <w:t>Explanation of Any Payment or Gift to Respondents</w:t>
      </w:r>
    </w:p>
    <w:p w14:paraId="62FC72AF" w14:textId="77777777" w:rsidR="00EA46EE" w:rsidRPr="00EA46EE" w:rsidRDefault="00EA46EE" w:rsidP="00662F81">
      <w:pPr>
        <w:tabs>
          <w:tab w:val="left" w:pos="0"/>
        </w:tabs>
        <w:ind w:left="720" w:hanging="720"/>
        <w:rPr>
          <w:bCs/>
        </w:rPr>
      </w:pPr>
      <w:r>
        <w:rPr>
          <w:bCs/>
        </w:rPr>
        <w:t>Interviews will not include any tokens of appreciation.</w:t>
      </w:r>
    </w:p>
    <w:p w14:paraId="09C8904C" w14:textId="77777777" w:rsidR="00EA46EE" w:rsidRDefault="00EA46EE" w:rsidP="00662F81">
      <w:pPr>
        <w:tabs>
          <w:tab w:val="left" w:pos="0"/>
        </w:tabs>
        <w:ind w:left="720" w:hanging="720"/>
        <w:rPr>
          <w:b/>
          <w:bCs/>
        </w:rPr>
      </w:pPr>
    </w:p>
    <w:p w14:paraId="6E547C96" w14:textId="77777777" w:rsidR="00662F81" w:rsidRPr="00022A54" w:rsidRDefault="00662F81" w:rsidP="00662F81">
      <w:pPr>
        <w:tabs>
          <w:tab w:val="left" w:pos="0"/>
        </w:tabs>
        <w:ind w:left="720" w:hanging="720"/>
      </w:pPr>
      <w:r w:rsidRPr="00022A54">
        <w:rPr>
          <w:b/>
          <w:bCs/>
        </w:rPr>
        <w:t>10.</w:t>
      </w:r>
      <w:r w:rsidR="00B07B39" w:rsidRPr="00022A54">
        <w:rPr>
          <w:b/>
          <w:bCs/>
        </w:rPr>
        <w:t xml:space="preserve"> </w:t>
      </w:r>
      <w:r w:rsidR="00880CE4" w:rsidRPr="003F4D22">
        <w:rPr>
          <w:b/>
          <w:bCs/>
        </w:rPr>
        <w:t>Protection of the Privacy and Confidentiality of Information Provided by Respondents.</w:t>
      </w:r>
    </w:p>
    <w:p w14:paraId="3A3C838C" w14:textId="370F8745" w:rsidR="00143364" w:rsidRDefault="00143364" w:rsidP="008D766F">
      <w:pPr>
        <w:spacing w:after="0"/>
        <w:ind w:left="0" w:firstLine="0"/>
        <w:rPr>
          <w:color w:val="000000"/>
        </w:rPr>
      </w:pPr>
      <w:r w:rsidRPr="00143364">
        <w:rPr>
          <w:color w:val="000000"/>
        </w:rPr>
        <w:t>This submission has been reviewed by the OPHPR Paperwork Reduction Act contact and it has been determined that the Privacy Act does not apply</w:t>
      </w:r>
      <w:r w:rsidR="002A5A84">
        <w:rPr>
          <w:color w:val="000000"/>
        </w:rPr>
        <w:t xml:space="preserve"> </w:t>
      </w:r>
      <w:r w:rsidR="002A5A84" w:rsidRPr="002A5A84">
        <w:rPr>
          <w:b/>
          <w:color w:val="000000"/>
        </w:rPr>
        <w:t>(Attachment C)</w:t>
      </w:r>
      <w:r w:rsidRPr="002A5A84">
        <w:rPr>
          <w:b/>
          <w:color w:val="000000"/>
        </w:rPr>
        <w:t>.</w:t>
      </w:r>
      <w:r w:rsidRPr="00143364">
        <w:rPr>
          <w:color w:val="000000"/>
        </w:rPr>
        <w:t xml:space="preserve"> To enable the </w:t>
      </w:r>
      <w:r>
        <w:rPr>
          <w:color w:val="000000"/>
        </w:rPr>
        <w:t>telephone interview process</w:t>
      </w:r>
      <w:r w:rsidRPr="00143364">
        <w:rPr>
          <w:color w:val="000000"/>
        </w:rPr>
        <w:t>, the following information in Identifiable Form (IIF) will be used: Names,</w:t>
      </w:r>
      <w:r w:rsidR="0056494B">
        <w:rPr>
          <w:color w:val="000000"/>
        </w:rPr>
        <w:t xml:space="preserve"> </w:t>
      </w:r>
      <w:r w:rsidRPr="00143364">
        <w:rPr>
          <w:color w:val="000000"/>
        </w:rPr>
        <w:t>email addresses, an</w:t>
      </w:r>
      <w:r w:rsidR="00CA4289">
        <w:rPr>
          <w:color w:val="000000"/>
        </w:rPr>
        <w:t>d telephone numbers. However, CHS</w:t>
      </w:r>
      <w:r w:rsidRPr="00143364">
        <w:rPr>
          <w:color w:val="000000"/>
        </w:rPr>
        <w:t xml:space="preserve"> will not be linking interview responses to this personal information.</w:t>
      </w:r>
      <w:r w:rsidR="00CA4289">
        <w:rPr>
          <w:color w:val="000000"/>
        </w:rPr>
        <w:t xml:space="preserve"> </w:t>
      </w:r>
      <w:r w:rsidR="00CA4289" w:rsidRPr="00CA4289">
        <w:rPr>
          <w:color w:val="000000"/>
        </w:rPr>
        <w:t>No CDC staff will participate in the collection of data or otherwise have contact with the participants.</w:t>
      </w:r>
      <w:r w:rsidR="00CA4289">
        <w:rPr>
          <w:color w:val="000000"/>
        </w:rPr>
        <w:t xml:space="preserve"> </w:t>
      </w:r>
    </w:p>
    <w:p w14:paraId="3E8F71D8" w14:textId="77777777" w:rsidR="00143364" w:rsidRDefault="00143364" w:rsidP="008D766F">
      <w:pPr>
        <w:spacing w:after="0"/>
        <w:ind w:left="0" w:firstLine="0"/>
        <w:rPr>
          <w:color w:val="000000"/>
        </w:rPr>
      </w:pPr>
    </w:p>
    <w:p w14:paraId="1ED761A8" w14:textId="41B21F8D" w:rsidR="00CA4289" w:rsidRDefault="00C61885" w:rsidP="006B5057">
      <w:pPr>
        <w:ind w:left="0" w:firstLine="0"/>
      </w:pPr>
      <w:r w:rsidRPr="00E050EA">
        <w:t>The collection should have no impact on privacy.</w:t>
      </w:r>
      <w:r>
        <w:t xml:space="preserve"> </w:t>
      </w:r>
      <w:r w:rsidR="003352FF" w:rsidRPr="003352FF">
        <w:t xml:space="preserve">Personally identifiable information will not be recorded in the data. </w:t>
      </w:r>
      <w:r w:rsidR="00CA4289" w:rsidRPr="003352FF">
        <w:t>Data will be coded and aggregated, so it will not be possible to link responses with any individual subjects</w:t>
      </w:r>
      <w:r w:rsidR="00E35253">
        <w:t>.</w:t>
      </w:r>
      <w:r w:rsidR="00CA4289">
        <w:t xml:space="preserve"> Respondent c</w:t>
      </w:r>
      <w:r w:rsidR="00CA4289" w:rsidRPr="00CA4289">
        <w:t xml:space="preserve">omments will not be attributed to </w:t>
      </w:r>
      <w:r w:rsidR="00CA4289">
        <w:t>specific individuals. Interview recordings will be</w:t>
      </w:r>
      <w:r w:rsidR="00CA4289" w:rsidRPr="00CA4289">
        <w:t xml:space="preserve"> archived only under numeric codes to ensure privacy. Similarly, written notes will be labeled and stored under generic descriptive names, and results will only be available to the </w:t>
      </w:r>
      <w:r w:rsidR="00CA4289">
        <w:t xml:space="preserve">CHS </w:t>
      </w:r>
      <w:r w:rsidR="00CA4289" w:rsidRPr="00CA4289">
        <w:t xml:space="preserve">project team via secured access. Furthermore, study reports will not name specific interviewees or organizations without </w:t>
      </w:r>
      <w:r w:rsidR="00CA4289">
        <w:t>their</w:t>
      </w:r>
      <w:r w:rsidR="00CA4289" w:rsidRPr="00CA4289">
        <w:t xml:space="preserve"> explicit permission.</w:t>
      </w:r>
    </w:p>
    <w:p w14:paraId="39561C1B" w14:textId="77777777" w:rsidR="00CA4289" w:rsidRDefault="00CA4289" w:rsidP="006B5057">
      <w:pPr>
        <w:ind w:left="0" w:firstLine="0"/>
      </w:pPr>
    </w:p>
    <w:p w14:paraId="200F3919" w14:textId="2E7AD550" w:rsidR="006B5057" w:rsidRPr="00CA4289" w:rsidRDefault="00E050EA" w:rsidP="006B5057">
      <w:pPr>
        <w:ind w:left="0" w:firstLine="0"/>
      </w:pPr>
      <w:r w:rsidRPr="00CA4289">
        <w:t>None of the information collected will be of a sensitive nature</w:t>
      </w:r>
      <w:r w:rsidR="00C61885" w:rsidRPr="00CA4289">
        <w:t>, yet it will be treated as private, de-identified, and stored securely at CHS</w:t>
      </w:r>
      <w:r w:rsidRPr="00CA4289">
        <w:t xml:space="preserve">. Electronic data will be stored </w:t>
      </w:r>
      <w:r w:rsidR="00C61885" w:rsidRPr="00CA4289">
        <w:t xml:space="preserve">at CHS </w:t>
      </w:r>
      <w:r w:rsidRPr="00CA4289">
        <w:t>on secure, password-protected servers with random alphanumeric</w:t>
      </w:r>
      <w:r w:rsidR="00C61885" w:rsidRPr="00CA4289">
        <w:t xml:space="preserve"> codes assigned as file names. </w:t>
      </w:r>
      <w:r w:rsidRPr="00CA4289">
        <w:t>Hard copy data will be stored under lock and key.  The recording device containing interview audio files will be stored under lock and key until the files are transferred to the secure electronic server at CHS.</w:t>
      </w:r>
      <w:r w:rsidR="00407069" w:rsidRPr="00CA4289">
        <w:t xml:space="preserve"> Data will be treated in a secure manner and will not be disclosed, unless otherwise compelled by law.</w:t>
      </w:r>
    </w:p>
    <w:p w14:paraId="5C5302DF" w14:textId="540B7208" w:rsidR="00845EE1" w:rsidRDefault="00407069" w:rsidP="006B5057">
      <w:pPr>
        <w:ind w:left="0" w:firstLine="0"/>
      </w:pPr>
      <w:r w:rsidRPr="00407069">
        <w:t>Participants will be informed that providing information is vol</w:t>
      </w:r>
      <w:r>
        <w:t xml:space="preserve">untary as shown in </w:t>
      </w:r>
      <w:r w:rsidRPr="00CA4289">
        <w:rPr>
          <w:b/>
        </w:rPr>
        <w:t xml:space="preserve">Attachment </w:t>
      </w:r>
      <w:r w:rsidR="00CA4289">
        <w:rPr>
          <w:b/>
        </w:rPr>
        <w:t>D</w:t>
      </w:r>
      <w:r>
        <w:t>.</w:t>
      </w:r>
      <w:r w:rsidRPr="00407069">
        <w:t xml:space="preserve"> Participants will be given an opportunity to consent to sharing and submitting information as shown in </w:t>
      </w:r>
      <w:r w:rsidRPr="00CA4289">
        <w:rPr>
          <w:b/>
        </w:rPr>
        <w:t xml:space="preserve">Attachment </w:t>
      </w:r>
      <w:r w:rsidR="00CA4289">
        <w:rPr>
          <w:b/>
        </w:rPr>
        <w:t>D</w:t>
      </w:r>
      <w:r>
        <w:t>.</w:t>
      </w:r>
    </w:p>
    <w:p w14:paraId="1DE8954A" w14:textId="77777777" w:rsidR="00845EE1" w:rsidRPr="00E20410" w:rsidRDefault="00845EE1" w:rsidP="00845EE1">
      <w:r>
        <w:t>A system of records is not being created for this study.</w:t>
      </w:r>
    </w:p>
    <w:p w14:paraId="030E2E75" w14:textId="77777777" w:rsidR="002D76E5" w:rsidRDefault="002D76E5" w:rsidP="00B84B3C">
      <w:pPr>
        <w:tabs>
          <w:tab w:val="left" w:pos="0"/>
        </w:tabs>
        <w:ind w:left="0" w:firstLine="0"/>
        <w:rPr>
          <w:b/>
          <w:bCs/>
        </w:rPr>
      </w:pPr>
    </w:p>
    <w:p w14:paraId="5218DEB9" w14:textId="77777777" w:rsidR="00662F81" w:rsidRPr="00C56746" w:rsidRDefault="00662F81" w:rsidP="002D76E5">
      <w:pPr>
        <w:tabs>
          <w:tab w:val="left" w:pos="0"/>
        </w:tabs>
      </w:pPr>
      <w:r w:rsidRPr="00200418">
        <w:rPr>
          <w:b/>
          <w:bCs/>
        </w:rPr>
        <w:t>11.</w:t>
      </w:r>
      <w:r w:rsidRPr="00200418">
        <w:rPr>
          <w:b/>
          <w:bCs/>
        </w:rPr>
        <w:tab/>
      </w:r>
      <w:r w:rsidR="00E306D7" w:rsidRPr="00200418">
        <w:rPr>
          <w:b/>
          <w:bCs/>
        </w:rPr>
        <w:t xml:space="preserve">Institutional Review Board (IRB) and </w:t>
      </w:r>
      <w:r w:rsidRPr="00200418">
        <w:rPr>
          <w:b/>
          <w:bCs/>
        </w:rPr>
        <w:t>Justification for Sensitive Questions</w:t>
      </w:r>
    </w:p>
    <w:p w14:paraId="1F253D19" w14:textId="77777777" w:rsidR="00963C2F" w:rsidRDefault="00963C2F" w:rsidP="00291FB8">
      <w:pPr>
        <w:ind w:left="0" w:firstLine="0"/>
      </w:pPr>
      <w:bookmarkStart w:id="5" w:name="OLE_LINK9"/>
      <w:bookmarkStart w:id="6" w:name="OLE_LINK10"/>
      <w:r>
        <w:t>IRB Approval</w:t>
      </w:r>
    </w:p>
    <w:p w14:paraId="72A5A30C" w14:textId="76E6900A" w:rsidR="00963C2F" w:rsidRDefault="00F2180B" w:rsidP="00291FB8">
      <w:pPr>
        <w:ind w:left="0" w:firstLine="0"/>
      </w:pPr>
      <w:r>
        <w:t xml:space="preserve">The study has been </w:t>
      </w:r>
      <w:r w:rsidR="00C41149" w:rsidRPr="00C41149">
        <w:t xml:space="preserve">determined to be exempt </w:t>
      </w:r>
      <w:r w:rsidR="00E34A1B">
        <w:t>from IRB</w:t>
      </w:r>
      <w:r>
        <w:t xml:space="preserve"> </w:t>
      </w:r>
      <w:r w:rsidRPr="00F2180B">
        <w:rPr>
          <w:b/>
        </w:rPr>
        <w:t>(Attachment E)</w:t>
      </w:r>
      <w:r w:rsidRPr="00F2180B">
        <w:t>.</w:t>
      </w:r>
    </w:p>
    <w:p w14:paraId="576D01B0" w14:textId="77777777" w:rsidR="00963C2F" w:rsidRDefault="00963C2F" w:rsidP="00291FB8">
      <w:pPr>
        <w:ind w:left="0" w:firstLine="0"/>
      </w:pPr>
      <w:r>
        <w:t>Sensitive Questions</w:t>
      </w:r>
    </w:p>
    <w:bookmarkEnd w:id="5"/>
    <w:bookmarkEnd w:id="6"/>
    <w:p w14:paraId="48154491" w14:textId="77777777" w:rsidR="00F2180B" w:rsidRDefault="00F2180B" w:rsidP="00E049ED">
      <w:pPr>
        <w:tabs>
          <w:tab w:val="left" w:pos="0"/>
        </w:tabs>
        <w:spacing w:before="120"/>
      </w:pPr>
      <w:r w:rsidRPr="00F2180B">
        <w:t>None of the information collected will be of a sensitive nature.</w:t>
      </w:r>
    </w:p>
    <w:p w14:paraId="228E6A9B" w14:textId="77777777" w:rsidR="00F2180B" w:rsidRDefault="00F2180B" w:rsidP="00E049ED">
      <w:pPr>
        <w:tabs>
          <w:tab w:val="left" w:pos="0"/>
        </w:tabs>
        <w:spacing w:before="120"/>
      </w:pPr>
    </w:p>
    <w:p w14:paraId="29A3116A" w14:textId="0B3EC279" w:rsidR="00E049ED" w:rsidRPr="00022A54" w:rsidRDefault="00201240" w:rsidP="00E049ED">
      <w:pPr>
        <w:tabs>
          <w:tab w:val="left" w:pos="0"/>
        </w:tabs>
        <w:spacing w:before="120"/>
        <w:rPr>
          <w:b/>
          <w:bCs/>
        </w:rPr>
      </w:pPr>
      <w:r>
        <w:rPr>
          <w:b/>
          <w:bCs/>
        </w:rPr>
        <w:t xml:space="preserve">12. </w:t>
      </w:r>
      <w:r w:rsidR="00E049ED" w:rsidRPr="00022A54">
        <w:rPr>
          <w:b/>
          <w:bCs/>
        </w:rPr>
        <w:t xml:space="preserve">Estimates of Annualized Burden Hours and Costs </w:t>
      </w:r>
    </w:p>
    <w:p w14:paraId="6FDFCC1F" w14:textId="7CB56B30" w:rsidR="00061916" w:rsidRDefault="002B49B4" w:rsidP="002B49B4">
      <w:pPr>
        <w:ind w:left="0" w:firstLine="0"/>
        <w:rPr>
          <w:snapToGrid w:val="0"/>
        </w:rPr>
      </w:pPr>
      <w:r w:rsidRPr="002B49B4">
        <w:rPr>
          <w:snapToGrid w:val="0"/>
        </w:rPr>
        <w:t xml:space="preserve">The annualized response burden is estimated at </w:t>
      </w:r>
      <w:r w:rsidR="002F091D">
        <w:rPr>
          <w:snapToGrid w:val="0"/>
        </w:rPr>
        <w:t>23 hours.</w:t>
      </w:r>
      <w:r w:rsidRPr="002B49B4">
        <w:rPr>
          <w:snapToGrid w:val="0"/>
        </w:rPr>
        <w:t xml:space="preserve"> </w:t>
      </w:r>
    </w:p>
    <w:p w14:paraId="42E04A33" w14:textId="4D868B72" w:rsidR="002F091D" w:rsidRDefault="002F091D" w:rsidP="002F091D">
      <w:pPr>
        <w:keepNext/>
        <w:keepLines/>
        <w:spacing w:before="120"/>
        <w:ind w:left="0" w:firstLine="0"/>
        <w:rPr>
          <w:snapToGrid w:val="0"/>
        </w:rPr>
      </w:pPr>
      <w:r w:rsidRPr="002F091D">
        <w:rPr>
          <w:snapToGrid w:val="0"/>
        </w:rPr>
        <w:t xml:space="preserve">Purposeful and snowball sampling will be used to recruit approximately 30 </w:t>
      </w:r>
      <w:r w:rsidR="00F9434E">
        <w:rPr>
          <w:snapToGrid w:val="0"/>
        </w:rPr>
        <w:t xml:space="preserve">state, local, and tribal government </w:t>
      </w:r>
      <w:r w:rsidRPr="002F091D">
        <w:rPr>
          <w:snapToGrid w:val="0"/>
        </w:rPr>
        <w:t>public health practitioners, mosquito control officers, public information officers and public health policymakers around the country with variation in threat level, geographic location, urban/rural location, and disease response funding levels. The desired response rate for interviews is 60%. CHS past projects using this methodology have historically achieved this response rate or better.</w:t>
      </w:r>
      <w:r w:rsidR="00F9434E">
        <w:rPr>
          <w:snapToGrid w:val="0"/>
        </w:rPr>
        <w:t xml:space="preserve"> Each interview will last approximately 45 minutes. Time estimate</w:t>
      </w:r>
      <w:r w:rsidR="002E512F">
        <w:rPr>
          <w:snapToGrid w:val="0"/>
        </w:rPr>
        <w:t xml:space="preserve">s are based on previous </w:t>
      </w:r>
      <w:r w:rsidR="00F9434E">
        <w:rPr>
          <w:snapToGrid w:val="0"/>
        </w:rPr>
        <w:t>work done by CHS with the same population.</w:t>
      </w:r>
    </w:p>
    <w:p w14:paraId="530B2765" w14:textId="7382C38F" w:rsidR="002B49B4" w:rsidRPr="002B49B4" w:rsidRDefault="00850EFA" w:rsidP="002F091D">
      <w:pPr>
        <w:keepNext/>
        <w:keepLines/>
        <w:spacing w:before="120"/>
        <w:ind w:left="0" w:firstLine="0"/>
        <w:rPr>
          <w:b/>
          <w:snapToGrid w:val="0"/>
        </w:rPr>
      </w:pPr>
      <w:r>
        <w:rPr>
          <w:b/>
          <w:snapToGrid w:val="0"/>
        </w:rPr>
        <w:t xml:space="preserve">Exhibit </w:t>
      </w:r>
      <w:r w:rsidR="002B49B4" w:rsidRPr="002B49B4">
        <w:rPr>
          <w:b/>
          <w:snapToGrid w:val="0"/>
        </w:rPr>
        <w:t>12.A</w:t>
      </w:r>
      <w:r w:rsidR="002B49B4" w:rsidRPr="002B49B4">
        <w:rPr>
          <w:b/>
          <w:snapToGrid w:val="0"/>
        </w:rPr>
        <w:tab/>
        <w:t xml:space="preserve">  Annualized Burden Hours</w:t>
      </w:r>
    </w:p>
    <w:tbl>
      <w:tblPr>
        <w:tblStyle w:val="TableGrid"/>
        <w:tblW w:w="9576" w:type="dxa"/>
        <w:tblLayout w:type="fixed"/>
        <w:tblLook w:val="04A0" w:firstRow="1" w:lastRow="0" w:firstColumn="1" w:lastColumn="0" w:noHBand="0" w:noVBand="1"/>
      </w:tblPr>
      <w:tblGrid>
        <w:gridCol w:w="2155"/>
        <w:gridCol w:w="1710"/>
        <w:gridCol w:w="1530"/>
        <w:gridCol w:w="1440"/>
        <w:gridCol w:w="1440"/>
        <w:gridCol w:w="1301"/>
      </w:tblGrid>
      <w:tr w:rsidR="001C0C8A" w14:paraId="3ABB89EF" w14:textId="77777777" w:rsidTr="001C0C8A">
        <w:trPr>
          <w:trHeight w:val="1421"/>
        </w:trPr>
        <w:tc>
          <w:tcPr>
            <w:tcW w:w="2155" w:type="dxa"/>
            <w:vAlign w:val="bottom"/>
          </w:tcPr>
          <w:p w14:paraId="79BA9A64" w14:textId="77777777" w:rsidR="001C0C8A" w:rsidRPr="001C0C8A" w:rsidRDefault="001C0C8A" w:rsidP="001C0C8A">
            <w:pPr>
              <w:ind w:left="0" w:firstLine="0"/>
              <w:rPr>
                <w:b/>
              </w:rPr>
            </w:pPr>
            <w:r w:rsidRPr="001C0C8A">
              <w:rPr>
                <w:b/>
              </w:rPr>
              <w:t>Type of Respondent</w:t>
            </w:r>
          </w:p>
        </w:tc>
        <w:tc>
          <w:tcPr>
            <w:tcW w:w="1710" w:type="dxa"/>
            <w:vAlign w:val="bottom"/>
          </w:tcPr>
          <w:p w14:paraId="06C1D715" w14:textId="77777777" w:rsidR="001C0C8A" w:rsidRPr="001C0C8A" w:rsidRDefault="001C0C8A" w:rsidP="001C0C8A">
            <w:pPr>
              <w:rPr>
                <w:b/>
              </w:rPr>
            </w:pPr>
            <w:r w:rsidRPr="001C0C8A">
              <w:rPr>
                <w:b/>
              </w:rPr>
              <w:t>Form Name</w:t>
            </w:r>
          </w:p>
        </w:tc>
        <w:tc>
          <w:tcPr>
            <w:tcW w:w="1530" w:type="dxa"/>
            <w:vAlign w:val="bottom"/>
          </w:tcPr>
          <w:p w14:paraId="5564F1B5" w14:textId="43EE4273" w:rsidR="001C0C8A" w:rsidRPr="001C0C8A" w:rsidRDefault="001C0C8A" w:rsidP="001C0C8A">
            <w:pPr>
              <w:ind w:left="0" w:firstLine="0"/>
              <w:rPr>
                <w:b/>
              </w:rPr>
            </w:pPr>
            <w:r>
              <w:rPr>
                <w:b/>
              </w:rPr>
              <w:t xml:space="preserve">Number of </w:t>
            </w:r>
            <w:r w:rsidRPr="001C0C8A">
              <w:rPr>
                <w:b/>
              </w:rPr>
              <w:t>Respondents</w:t>
            </w:r>
          </w:p>
        </w:tc>
        <w:tc>
          <w:tcPr>
            <w:tcW w:w="1440" w:type="dxa"/>
            <w:vAlign w:val="bottom"/>
          </w:tcPr>
          <w:p w14:paraId="1C99859F" w14:textId="77777777" w:rsidR="001C0C8A" w:rsidRPr="001C0C8A" w:rsidRDefault="001C0C8A" w:rsidP="001C0C8A">
            <w:pPr>
              <w:ind w:left="0" w:firstLine="0"/>
              <w:rPr>
                <w:b/>
              </w:rPr>
            </w:pPr>
            <w:r w:rsidRPr="001C0C8A">
              <w:rPr>
                <w:b/>
              </w:rPr>
              <w:t>Number of Responses per Respondent</w:t>
            </w:r>
          </w:p>
        </w:tc>
        <w:tc>
          <w:tcPr>
            <w:tcW w:w="1440" w:type="dxa"/>
            <w:vAlign w:val="bottom"/>
          </w:tcPr>
          <w:p w14:paraId="48A7E892" w14:textId="77777777" w:rsidR="001C0C8A" w:rsidRPr="001C0C8A" w:rsidRDefault="001C0C8A" w:rsidP="001C0C8A">
            <w:pPr>
              <w:ind w:left="0" w:firstLine="0"/>
              <w:rPr>
                <w:b/>
              </w:rPr>
            </w:pPr>
            <w:r w:rsidRPr="001C0C8A">
              <w:rPr>
                <w:b/>
              </w:rPr>
              <w:t>Average Burden per Response (in hours)</w:t>
            </w:r>
          </w:p>
        </w:tc>
        <w:tc>
          <w:tcPr>
            <w:tcW w:w="1301" w:type="dxa"/>
            <w:vAlign w:val="bottom"/>
          </w:tcPr>
          <w:p w14:paraId="6C9211A3" w14:textId="77777777" w:rsidR="001C0C8A" w:rsidRPr="001C0C8A" w:rsidRDefault="001C0C8A" w:rsidP="001C0C8A">
            <w:pPr>
              <w:ind w:left="0" w:firstLine="0"/>
              <w:rPr>
                <w:b/>
              </w:rPr>
            </w:pPr>
            <w:r w:rsidRPr="001C0C8A">
              <w:rPr>
                <w:b/>
              </w:rPr>
              <w:t>Total Burden Hours</w:t>
            </w:r>
          </w:p>
        </w:tc>
      </w:tr>
      <w:tr w:rsidR="001C0C8A" w:rsidRPr="007D2617" w14:paraId="53A9BC59" w14:textId="77777777" w:rsidTr="001C0C8A">
        <w:trPr>
          <w:trHeight w:val="300"/>
        </w:trPr>
        <w:tc>
          <w:tcPr>
            <w:tcW w:w="2155" w:type="dxa"/>
            <w:noWrap/>
            <w:hideMark/>
          </w:tcPr>
          <w:p w14:paraId="47A76912" w14:textId="77777777" w:rsidR="001C0C8A" w:rsidRPr="001C0C8A" w:rsidRDefault="001C0C8A" w:rsidP="001C0C8A">
            <w:pPr>
              <w:ind w:left="0" w:firstLine="0"/>
              <w:rPr>
                <w:color w:val="000000"/>
              </w:rPr>
            </w:pPr>
            <w:r w:rsidRPr="001C0C8A">
              <w:rPr>
                <w:color w:val="000000"/>
              </w:rPr>
              <w:t>State, local and tribal government public health officials</w:t>
            </w:r>
          </w:p>
        </w:tc>
        <w:tc>
          <w:tcPr>
            <w:tcW w:w="1710" w:type="dxa"/>
            <w:noWrap/>
            <w:hideMark/>
          </w:tcPr>
          <w:p w14:paraId="7C76A9CF" w14:textId="314B0605" w:rsidR="001C0C8A" w:rsidRPr="002F091D" w:rsidRDefault="001C0C8A" w:rsidP="001C0C8A">
            <w:pPr>
              <w:ind w:left="0" w:firstLine="0"/>
              <w:rPr>
                <w:b/>
                <w:color w:val="000000"/>
              </w:rPr>
            </w:pPr>
            <w:r w:rsidRPr="002F091D">
              <w:rPr>
                <w:b/>
                <w:color w:val="000000"/>
              </w:rPr>
              <w:t xml:space="preserve">Attachment </w:t>
            </w:r>
            <w:r w:rsidR="00DC4CD9">
              <w:rPr>
                <w:b/>
                <w:color w:val="000000"/>
              </w:rPr>
              <w:t>F</w:t>
            </w:r>
            <w:r w:rsidRPr="002F091D">
              <w:rPr>
                <w:b/>
                <w:color w:val="000000"/>
              </w:rPr>
              <w:t xml:space="preserve"> –Interview Guide</w:t>
            </w:r>
            <w:r w:rsidR="00785686">
              <w:rPr>
                <w:b/>
                <w:color w:val="000000"/>
              </w:rPr>
              <w:t xml:space="preserve"> Public Health Officials</w:t>
            </w:r>
          </w:p>
        </w:tc>
        <w:tc>
          <w:tcPr>
            <w:tcW w:w="1530" w:type="dxa"/>
            <w:noWrap/>
            <w:hideMark/>
          </w:tcPr>
          <w:p w14:paraId="6F5D54F8" w14:textId="77777777" w:rsidR="001C0C8A" w:rsidRPr="001C0C8A" w:rsidRDefault="001C0C8A" w:rsidP="001C0C8A">
            <w:pPr>
              <w:jc w:val="right"/>
              <w:rPr>
                <w:color w:val="000000"/>
              </w:rPr>
            </w:pPr>
            <w:r w:rsidRPr="001C0C8A">
              <w:rPr>
                <w:color w:val="000000"/>
              </w:rPr>
              <w:t>30</w:t>
            </w:r>
          </w:p>
        </w:tc>
        <w:tc>
          <w:tcPr>
            <w:tcW w:w="1440" w:type="dxa"/>
            <w:noWrap/>
            <w:hideMark/>
          </w:tcPr>
          <w:p w14:paraId="6A91A826" w14:textId="77777777" w:rsidR="001C0C8A" w:rsidRPr="001C0C8A" w:rsidRDefault="001C0C8A" w:rsidP="001C0C8A">
            <w:pPr>
              <w:jc w:val="right"/>
              <w:rPr>
                <w:color w:val="000000"/>
              </w:rPr>
            </w:pPr>
            <w:r w:rsidRPr="001C0C8A">
              <w:rPr>
                <w:color w:val="000000"/>
              </w:rPr>
              <w:t>1</w:t>
            </w:r>
          </w:p>
        </w:tc>
        <w:tc>
          <w:tcPr>
            <w:tcW w:w="1440" w:type="dxa"/>
            <w:noWrap/>
            <w:hideMark/>
          </w:tcPr>
          <w:p w14:paraId="70ECB5F5" w14:textId="77777777" w:rsidR="001C0C8A" w:rsidRPr="001C0C8A" w:rsidRDefault="001C0C8A" w:rsidP="001C0C8A">
            <w:pPr>
              <w:jc w:val="right"/>
              <w:rPr>
                <w:color w:val="000000"/>
              </w:rPr>
            </w:pPr>
            <w:r w:rsidRPr="001C0C8A">
              <w:rPr>
                <w:color w:val="000000"/>
              </w:rPr>
              <w:t>45/60</w:t>
            </w:r>
          </w:p>
        </w:tc>
        <w:tc>
          <w:tcPr>
            <w:tcW w:w="1301" w:type="dxa"/>
            <w:noWrap/>
            <w:hideMark/>
          </w:tcPr>
          <w:p w14:paraId="440D7762" w14:textId="77777777" w:rsidR="001C0C8A" w:rsidRPr="001C0C8A" w:rsidRDefault="001C0C8A" w:rsidP="001C0C8A">
            <w:pPr>
              <w:jc w:val="right"/>
              <w:rPr>
                <w:color w:val="000000"/>
              </w:rPr>
            </w:pPr>
            <w:r w:rsidRPr="001C0C8A">
              <w:rPr>
                <w:color w:val="000000"/>
              </w:rPr>
              <w:t>22.5</w:t>
            </w:r>
          </w:p>
        </w:tc>
      </w:tr>
      <w:tr w:rsidR="001C0C8A" w:rsidRPr="007D2617" w14:paraId="2FA59FDF" w14:textId="77777777" w:rsidTr="001C0C8A">
        <w:trPr>
          <w:trHeight w:val="300"/>
        </w:trPr>
        <w:tc>
          <w:tcPr>
            <w:tcW w:w="2155" w:type="dxa"/>
            <w:noWrap/>
            <w:hideMark/>
          </w:tcPr>
          <w:p w14:paraId="31AB82B1" w14:textId="77777777" w:rsidR="001C0C8A" w:rsidRPr="001C0C8A" w:rsidRDefault="001C0C8A" w:rsidP="001C0C8A">
            <w:pPr>
              <w:jc w:val="right"/>
              <w:rPr>
                <w:color w:val="000000"/>
              </w:rPr>
            </w:pPr>
            <w:r w:rsidRPr="001C0C8A">
              <w:rPr>
                <w:color w:val="000000"/>
              </w:rPr>
              <w:t>Total</w:t>
            </w:r>
          </w:p>
        </w:tc>
        <w:tc>
          <w:tcPr>
            <w:tcW w:w="1710" w:type="dxa"/>
            <w:noWrap/>
            <w:hideMark/>
          </w:tcPr>
          <w:p w14:paraId="1BC18A68" w14:textId="77777777" w:rsidR="001C0C8A" w:rsidRPr="001C0C8A" w:rsidRDefault="001C0C8A" w:rsidP="001C0C8A">
            <w:pPr>
              <w:rPr>
                <w:color w:val="000000"/>
              </w:rPr>
            </w:pPr>
            <w:r w:rsidRPr="001C0C8A">
              <w:rPr>
                <w:color w:val="000000"/>
              </w:rPr>
              <w:t> </w:t>
            </w:r>
          </w:p>
        </w:tc>
        <w:tc>
          <w:tcPr>
            <w:tcW w:w="1530" w:type="dxa"/>
            <w:noWrap/>
            <w:hideMark/>
          </w:tcPr>
          <w:p w14:paraId="6AE783E8" w14:textId="77777777" w:rsidR="001C0C8A" w:rsidRPr="001C0C8A" w:rsidRDefault="001C0C8A" w:rsidP="001C0C8A">
            <w:pPr>
              <w:jc w:val="right"/>
              <w:rPr>
                <w:color w:val="000000"/>
              </w:rPr>
            </w:pPr>
            <w:r w:rsidRPr="001C0C8A">
              <w:rPr>
                <w:color w:val="000000"/>
              </w:rPr>
              <w:t>30</w:t>
            </w:r>
          </w:p>
        </w:tc>
        <w:tc>
          <w:tcPr>
            <w:tcW w:w="1440" w:type="dxa"/>
            <w:noWrap/>
            <w:hideMark/>
          </w:tcPr>
          <w:p w14:paraId="4EBC4A1A" w14:textId="77777777" w:rsidR="001C0C8A" w:rsidRPr="001C0C8A" w:rsidRDefault="001C0C8A" w:rsidP="001C0C8A">
            <w:pPr>
              <w:rPr>
                <w:color w:val="000000"/>
              </w:rPr>
            </w:pPr>
            <w:r w:rsidRPr="001C0C8A">
              <w:rPr>
                <w:color w:val="000000"/>
              </w:rPr>
              <w:t> </w:t>
            </w:r>
          </w:p>
        </w:tc>
        <w:tc>
          <w:tcPr>
            <w:tcW w:w="1440" w:type="dxa"/>
            <w:noWrap/>
            <w:hideMark/>
          </w:tcPr>
          <w:p w14:paraId="287393CD" w14:textId="77777777" w:rsidR="001C0C8A" w:rsidRPr="001C0C8A" w:rsidRDefault="001C0C8A" w:rsidP="001C0C8A">
            <w:pPr>
              <w:rPr>
                <w:color w:val="000000"/>
              </w:rPr>
            </w:pPr>
            <w:r w:rsidRPr="001C0C8A">
              <w:rPr>
                <w:color w:val="000000"/>
              </w:rPr>
              <w:t> </w:t>
            </w:r>
          </w:p>
        </w:tc>
        <w:tc>
          <w:tcPr>
            <w:tcW w:w="1301" w:type="dxa"/>
            <w:noWrap/>
            <w:hideMark/>
          </w:tcPr>
          <w:p w14:paraId="74F9D678" w14:textId="77777777" w:rsidR="001C0C8A" w:rsidRPr="001C0C8A" w:rsidRDefault="001C0C8A" w:rsidP="001C0C8A">
            <w:pPr>
              <w:jc w:val="right"/>
              <w:rPr>
                <w:color w:val="000000"/>
              </w:rPr>
            </w:pPr>
            <w:r w:rsidRPr="001C0C8A">
              <w:rPr>
                <w:color w:val="000000"/>
              </w:rPr>
              <w:t>23</w:t>
            </w:r>
          </w:p>
        </w:tc>
      </w:tr>
    </w:tbl>
    <w:p w14:paraId="5FB3508E" w14:textId="77777777" w:rsidR="00885576" w:rsidRDefault="00885576" w:rsidP="00291FB8">
      <w:pPr>
        <w:pStyle w:val="BodyText1"/>
        <w:spacing w:line="240" w:lineRule="auto"/>
        <w:ind w:left="0" w:firstLine="0"/>
        <w:rPr>
          <w:b/>
          <w:szCs w:val="24"/>
        </w:rPr>
      </w:pPr>
    </w:p>
    <w:p w14:paraId="7D263A90" w14:textId="7A953411" w:rsidR="00E049ED" w:rsidRPr="00022A54" w:rsidRDefault="00E049ED" w:rsidP="00E049ED">
      <w:pPr>
        <w:tabs>
          <w:tab w:val="left" w:pos="0"/>
        </w:tabs>
      </w:pPr>
      <w:r w:rsidRPr="00022A54">
        <w:rPr>
          <w:b/>
          <w:bCs/>
        </w:rPr>
        <w:t xml:space="preserve">12.B Estimated Annualized Costs </w:t>
      </w:r>
    </w:p>
    <w:p w14:paraId="5A304B1E" w14:textId="419EFC5A" w:rsidR="002B49B4" w:rsidRPr="002B49B4" w:rsidRDefault="00885576" w:rsidP="00885576">
      <w:pPr>
        <w:pStyle w:val="BodyText1"/>
        <w:spacing w:line="240" w:lineRule="auto"/>
        <w:ind w:left="0" w:firstLine="0"/>
        <w:rPr>
          <w:bCs/>
        </w:rPr>
      </w:pPr>
      <w:r>
        <w:t>T</w:t>
      </w:r>
      <w:r w:rsidR="002B49B4" w:rsidRPr="002B49B4">
        <w:t xml:space="preserve">he United States Department of Labor, </w:t>
      </w:r>
      <w:r w:rsidR="00FA70E9">
        <w:t xml:space="preserve">Bureau of Labor Statistics May </w:t>
      </w:r>
      <w:r w:rsidR="002B49B4" w:rsidRPr="002B49B4">
        <w:t>20</w:t>
      </w:r>
      <w:r w:rsidR="00116596">
        <w:t>1</w:t>
      </w:r>
      <w:r w:rsidR="002B49B4" w:rsidRPr="002B49B4">
        <w:t xml:space="preserve">5 </w:t>
      </w:r>
      <w:r w:rsidR="009C50AC">
        <w:t xml:space="preserve">data </w:t>
      </w:r>
      <w:r w:rsidR="002B49B4" w:rsidRPr="002B49B4">
        <w:t>w</w:t>
      </w:r>
      <w:r w:rsidR="009C50AC">
        <w:t>ere</w:t>
      </w:r>
      <w:r w:rsidR="002B49B4" w:rsidRPr="002B49B4">
        <w:t xml:space="preserve"> used to estimate the hourly wage rate for</w:t>
      </w:r>
      <w:r w:rsidR="00544C85">
        <w:t xml:space="preserve"> state, local, and tribal government public health officials. Since there isn’t a designation for public health, we used the designation for epidemiologist as that is a common public health profession</w:t>
      </w:r>
      <w:r w:rsidR="00F53AD1">
        <w:t xml:space="preserve"> (</w:t>
      </w:r>
      <w:hyperlink r:id="rId9" w:history="1">
        <w:r w:rsidR="00F53AD1" w:rsidRPr="00707A03">
          <w:rPr>
            <w:rStyle w:val="Hyperlink"/>
          </w:rPr>
          <w:t>https://www.bls.gov/oes/current/oes191041.htm</w:t>
        </w:r>
      </w:hyperlink>
      <w:r w:rsidR="00F53AD1">
        <w:t>)</w:t>
      </w:r>
      <w:r w:rsidR="002B49B4" w:rsidRPr="002B49B4">
        <w:t xml:space="preserve">.   </w:t>
      </w:r>
    </w:p>
    <w:p w14:paraId="09BE9378" w14:textId="4E2B41DB" w:rsidR="00E049ED" w:rsidRPr="00022A54" w:rsidRDefault="00085832" w:rsidP="00E049ED">
      <w:pPr>
        <w:pStyle w:val="Exhibittitle"/>
        <w:rPr>
          <w:szCs w:val="24"/>
        </w:rPr>
      </w:pPr>
      <w:bookmarkStart w:id="7" w:name="_Toc173739005"/>
      <w:r>
        <w:rPr>
          <w:szCs w:val="24"/>
        </w:rPr>
        <w:t xml:space="preserve">Exhibit </w:t>
      </w:r>
      <w:r w:rsidR="00E049ED" w:rsidRPr="00022A54">
        <w:rPr>
          <w:szCs w:val="24"/>
        </w:rPr>
        <w:t>12.B.</w:t>
      </w:r>
      <w:r w:rsidR="00E049ED" w:rsidRPr="00022A54">
        <w:rPr>
          <w:szCs w:val="24"/>
        </w:rPr>
        <w:tab/>
        <w:t>Annualized Cost to Respondents</w:t>
      </w:r>
      <w:bookmarkEnd w:id="7"/>
    </w:p>
    <w:tbl>
      <w:tblPr>
        <w:tblW w:w="96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1763"/>
        <w:gridCol w:w="1973"/>
        <w:gridCol w:w="1569"/>
        <w:gridCol w:w="2027"/>
      </w:tblGrid>
      <w:tr w:rsidR="002E512F" w:rsidRPr="002B49B4" w14:paraId="5AEE554F" w14:textId="77777777" w:rsidTr="002E512F">
        <w:tc>
          <w:tcPr>
            <w:tcW w:w="2270" w:type="dxa"/>
          </w:tcPr>
          <w:p w14:paraId="6F2C26B3" w14:textId="3632F8C5" w:rsidR="002E512F" w:rsidRPr="002B49B4" w:rsidRDefault="002E512F" w:rsidP="00544C85">
            <w:pPr>
              <w:widowControl w:val="0"/>
              <w:autoSpaceDE w:val="0"/>
              <w:autoSpaceDN w:val="0"/>
              <w:adjustRightInd w:val="0"/>
              <w:spacing w:after="0"/>
              <w:ind w:left="0" w:firstLine="0"/>
              <w:rPr>
                <w:b/>
                <w:bCs/>
              </w:rPr>
            </w:pPr>
            <w:r>
              <w:rPr>
                <w:b/>
                <w:bCs/>
              </w:rPr>
              <w:t>Type of Respondent</w:t>
            </w:r>
          </w:p>
        </w:tc>
        <w:tc>
          <w:tcPr>
            <w:tcW w:w="1763" w:type="dxa"/>
          </w:tcPr>
          <w:p w14:paraId="43551E1B" w14:textId="5C7E74DB" w:rsidR="002E512F" w:rsidRPr="002B49B4" w:rsidRDefault="002E512F" w:rsidP="00544C85">
            <w:pPr>
              <w:widowControl w:val="0"/>
              <w:autoSpaceDE w:val="0"/>
              <w:autoSpaceDN w:val="0"/>
              <w:adjustRightInd w:val="0"/>
              <w:spacing w:after="0"/>
              <w:ind w:left="0" w:firstLine="0"/>
              <w:rPr>
                <w:b/>
                <w:bCs/>
              </w:rPr>
            </w:pPr>
            <w:r>
              <w:rPr>
                <w:b/>
                <w:bCs/>
              </w:rPr>
              <w:t>Form Name</w:t>
            </w:r>
          </w:p>
        </w:tc>
        <w:tc>
          <w:tcPr>
            <w:tcW w:w="1973" w:type="dxa"/>
          </w:tcPr>
          <w:p w14:paraId="0BD5A581" w14:textId="66E39196" w:rsidR="002E512F" w:rsidRPr="002B49B4" w:rsidRDefault="002E512F" w:rsidP="00544C85">
            <w:pPr>
              <w:widowControl w:val="0"/>
              <w:autoSpaceDE w:val="0"/>
              <w:autoSpaceDN w:val="0"/>
              <w:adjustRightInd w:val="0"/>
              <w:spacing w:after="0"/>
              <w:ind w:left="0" w:firstLine="0"/>
              <w:rPr>
                <w:b/>
                <w:bCs/>
              </w:rPr>
            </w:pPr>
            <w:r w:rsidRPr="002B49B4">
              <w:rPr>
                <w:b/>
                <w:bCs/>
              </w:rPr>
              <w:t>Total Burden Hours</w:t>
            </w:r>
          </w:p>
        </w:tc>
        <w:tc>
          <w:tcPr>
            <w:tcW w:w="1569" w:type="dxa"/>
          </w:tcPr>
          <w:p w14:paraId="1E3AFEBC" w14:textId="77777777" w:rsidR="002E512F" w:rsidRPr="002B49B4" w:rsidRDefault="002E512F" w:rsidP="00544C85">
            <w:pPr>
              <w:widowControl w:val="0"/>
              <w:autoSpaceDE w:val="0"/>
              <w:autoSpaceDN w:val="0"/>
              <w:adjustRightInd w:val="0"/>
              <w:spacing w:after="0"/>
              <w:ind w:left="0" w:firstLine="0"/>
              <w:rPr>
                <w:b/>
                <w:bCs/>
              </w:rPr>
            </w:pPr>
            <w:r w:rsidRPr="002B49B4">
              <w:rPr>
                <w:b/>
                <w:bCs/>
              </w:rPr>
              <w:t>Hourly Wage Rate</w:t>
            </w:r>
          </w:p>
        </w:tc>
        <w:tc>
          <w:tcPr>
            <w:tcW w:w="2027" w:type="dxa"/>
          </w:tcPr>
          <w:p w14:paraId="584B46F7" w14:textId="77777777" w:rsidR="002E512F" w:rsidRPr="002B49B4" w:rsidRDefault="002E512F" w:rsidP="00544C85">
            <w:pPr>
              <w:widowControl w:val="0"/>
              <w:autoSpaceDE w:val="0"/>
              <w:autoSpaceDN w:val="0"/>
              <w:adjustRightInd w:val="0"/>
              <w:spacing w:after="0"/>
              <w:ind w:left="0" w:firstLine="0"/>
              <w:rPr>
                <w:b/>
                <w:bCs/>
              </w:rPr>
            </w:pPr>
            <w:r w:rsidRPr="002B49B4">
              <w:rPr>
                <w:b/>
                <w:bCs/>
              </w:rPr>
              <w:t>Total Respondent Cost</w:t>
            </w:r>
          </w:p>
        </w:tc>
      </w:tr>
      <w:tr w:rsidR="002E512F" w:rsidRPr="002B49B4" w14:paraId="3EA11D02" w14:textId="77777777" w:rsidTr="002E512F">
        <w:trPr>
          <w:trHeight w:val="314"/>
        </w:trPr>
        <w:tc>
          <w:tcPr>
            <w:tcW w:w="2270" w:type="dxa"/>
          </w:tcPr>
          <w:p w14:paraId="044BA0E7" w14:textId="744C36CA" w:rsidR="002E512F" w:rsidRPr="002B49B4" w:rsidRDefault="002E512F" w:rsidP="005131F3">
            <w:pPr>
              <w:autoSpaceDE w:val="0"/>
              <w:autoSpaceDN w:val="0"/>
              <w:adjustRightInd w:val="0"/>
              <w:spacing w:after="58"/>
              <w:ind w:left="0" w:firstLine="0"/>
              <w:rPr>
                <w:color w:val="000000"/>
              </w:rPr>
            </w:pPr>
            <w:r w:rsidRPr="001C0C8A">
              <w:rPr>
                <w:color w:val="000000"/>
              </w:rPr>
              <w:t>State, local and tribal government public health officials</w:t>
            </w:r>
          </w:p>
        </w:tc>
        <w:tc>
          <w:tcPr>
            <w:tcW w:w="1763" w:type="dxa"/>
          </w:tcPr>
          <w:p w14:paraId="06982FA1" w14:textId="53DC3C56" w:rsidR="002E512F" w:rsidRDefault="00785686" w:rsidP="00544C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color w:val="000000"/>
              </w:rPr>
            </w:pPr>
            <w:r w:rsidRPr="002F091D">
              <w:rPr>
                <w:b/>
                <w:color w:val="000000"/>
              </w:rPr>
              <w:t xml:space="preserve">Attachment </w:t>
            </w:r>
            <w:r>
              <w:rPr>
                <w:b/>
                <w:color w:val="000000"/>
              </w:rPr>
              <w:t>F</w:t>
            </w:r>
            <w:r w:rsidRPr="002F091D">
              <w:rPr>
                <w:b/>
                <w:color w:val="000000"/>
              </w:rPr>
              <w:t xml:space="preserve"> –Interview Guide</w:t>
            </w:r>
            <w:r>
              <w:rPr>
                <w:b/>
                <w:color w:val="000000"/>
              </w:rPr>
              <w:t xml:space="preserve"> Public Health Officials</w:t>
            </w:r>
          </w:p>
        </w:tc>
        <w:tc>
          <w:tcPr>
            <w:tcW w:w="1973" w:type="dxa"/>
          </w:tcPr>
          <w:p w14:paraId="6468724A" w14:textId="61B4F0EB" w:rsidR="002E512F" w:rsidRPr="002B49B4" w:rsidRDefault="00544C85" w:rsidP="009C50A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23</w:t>
            </w:r>
          </w:p>
        </w:tc>
        <w:tc>
          <w:tcPr>
            <w:tcW w:w="1569" w:type="dxa"/>
          </w:tcPr>
          <w:p w14:paraId="15F57FD0" w14:textId="5D450C4D" w:rsidR="002E512F" w:rsidRPr="002B49B4" w:rsidRDefault="00544C85" w:rsidP="002B49B4">
            <w:pPr>
              <w:widowControl w:val="0"/>
              <w:autoSpaceDE w:val="0"/>
              <w:autoSpaceDN w:val="0"/>
              <w:adjustRightInd w:val="0"/>
              <w:spacing w:after="0"/>
              <w:ind w:left="0" w:firstLine="0"/>
              <w:jc w:val="right"/>
            </w:pPr>
            <w:r>
              <w:t>$36.97</w:t>
            </w:r>
          </w:p>
        </w:tc>
        <w:tc>
          <w:tcPr>
            <w:tcW w:w="2027" w:type="dxa"/>
          </w:tcPr>
          <w:p w14:paraId="06351CDE" w14:textId="63DD1B11" w:rsidR="002E512F" w:rsidRPr="002B49B4" w:rsidRDefault="002E512F" w:rsidP="00F53AD1">
            <w:pPr>
              <w:widowControl w:val="0"/>
              <w:autoSpaceDE w:val="0"/>
              <w:autoSpaceDN w:val="0"/>
              <w:adjustRightInd w:val="0"/>
              <w:spacing w:after="0" w:line="480" w:lineRule="auto"/>
              <w:ind w:left="0" w:firstLine="0"/>
              <w:jc w:val="right"/>
            </w:pPr>
            <w:r>
              <w:t>$</w:t>
            </w:r>
            <w:r w:rsidR="00F53AD1">
              <w:t>850.31</w:t>
            </w:r>
          </w:p>
        </w:tc>
      </w:tr>
    </w:tbl>
    <w:p w14:paraId="45E29D95" w14:textId="77777777" w:rsidR="00E049ED" w:rsidRDefault="00E049ED" w:rsidP="00E049ED">
      <w:pPr>
        <w:pStyle w:val="HTMLPreformatted"/>
        <w:rPr>
          <w:rFonts w:ascii="Times New Roman" w:hAnsi="Times New Roman" w:cs="Times New Roman"/>
          <w:sz w:val="24"/>
          <w:szCs w:val="24"/>
        </w:rPr>
      </w:pPr>
    </w:p>
    <w:p w14:paraId="21C43E63" w14:textId="39C69DCE" w:rsidR="00E049ED" w:rsidRPr="007365F1" w:rsidRDefault="00E049ED" w:rsidP="00E049E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7365F1">
        <w:rPr>
          <w:b/>
          <w:bCs/>
        </w:rPr>
        <w:t>13.</w:t>
      </w:r>
      <w:r w:rsidRPr="007365F1">
        <w:rPr>
          <w:b/>
          <w:bCs/>
        </w:rPr>
        <w:tab/>
        <w:t>Estimates of Other Total Annual Cost Burden to Respondents and Record Keepers</w:t>
      </w:r>
    </w:p>
    <w:p w14:paraId="6E146E7C" w14:textId="77777777" w:rsidR="00850EFA" w:rsidRDefault="00850EFA" w:rsidP="00E049ED">
      <w:pPr>
        <w:tabs>
          <w:tab w:val="left" w:pos="0"/>
        </w:tabs>
      </w:pPr>
      <w:r w:rsidRPr="00850EFA">
        <w:t>There are no other cost burdens to respondents and record keepers for this data collection.</w:t>
      </w:r>
    </w:p>
    <w:p w14:paraId="39D7149E" w14:textId="77777777" w:rsidR="00850EFA" w:rsidRDefault="00850EFA" w:rsidP="00E049ED">
      <w:pPr>
        <w:tabs>
          <w:tab w:val="left" w:pos="0"/>
        </w:tabs>
      </w:pPr>
    </w:p>
    <w:p w14:paraId="35BBC0C5" w14:textId="57F3A9D1" w:rsidR="00E049ED" w:rsidRPr="007365F1" w:rsidRDefault="00E049ED" w:rsidP="00E049ED">
      <w:pPr>
        <w:tabs>
          <w:tab w:val="left" w:pos="0"/>
        </w:tabs>
        <w:rPr>
          <w:b/>
        </w:rPr>
      </w:pPr>
      <w:r w:rsidRPr="007365F1">
        <w:rPr>
          <w:b/>
          <w:bCs/>
        </w:rPr>
        <w:t>14</w:t>
      </w:r>
      <w:r w:rsidRPr="007365F1">
        <w:rPr>
          <w:b/>
        </w:rPr>
        <w:t>.</w:t>
      </w:r>
      <w:r w:rsidRPr="007365F1">
        <w:rPr>
          <w:b/>
        </w:rPr>
        <w:tab/>
      </w:r>
      <w:r w:rsidRPr="007365F1">
        <w:rPr>
          <w:b/>
          <w:bCs/>
        </w:rPr>
        <w:t xml:space="preserve">Annualized Costs to the Government   </w:t>
      </w:r>
    </w:p>
    <w:p w14:paraId="768214B5" w14:textId="18D532C3" w:rsidR="00161E86" w:rsidRPr="00022A54" w:rsidRDefault="007365F1" w:rsidP="007365F1">
      <w:pPr>
        <w:tabs>
          <w:tab w:val="left" w:pos="4320"/>
          <w:tab w:val="left" w:pos="6120"/>
          <w:tab w:val="right" w:pos="8280"/>
        </w:tabs>
        <w:ind w:left="0" w:firstLine="0"/>
      </w:pPr>
      <w:r>
        <w:t xml:space="preserve">No CDC staff will be involved in recruitment of respondents or any data collection. </w:t>
      </w:r>
      <w:r w:rsidRPr="007365F1">
        <w:t xml:space="preserve">The annual total cost of data collection by the CHS contractor </w:t>
      </w:r>
      <w:r w:rsidR="005A4DAE">
        <w:t xml:space="preserve">for the interview portion of the study </w:t>
      </w:r>
      <w:r w:rsidRPr="007365F1">
        <w:t>is $</w:t>
      </w:r>
      <w:r w:rsidR="005A4DAE">
        <w:t>114,827.00</w:t>
      </w:r>
      <w:r w:rsidRPr="007365F1">
        <w:t xml:space="preserve">. </w:t>
      </w:r>
      <w:r w:rsidR="005E2A2B" w:rsidRPr="00022A54">
        <w:t xml:space="preserve"> </w:t>
      </w:r>
    </w:p>
    <w:p w14:paraId="42873471" w14:textId="77777777" w:rsidR="007365F1" w:rsidRDefault="007365F1" w:rsidP="00662F81">
      <w:pPr>
        <w:tabs>
          <w:tab w:val="left" w:pos="0"/>
        </w:tabs>
        <w:ind w:left="720" w:hanging="720"/>
        <w:rPr>
          <w:b/>
          <w:bCs/>
          <w:color w:val="000000"/>
        </w:rPr>
      </w:pPr>
    </w:p>
    <w:p w14:paraId="77616C7F" w14:textId="13A0AA60" w:rsidR="00662F81" w:rsidRPr="007365F1" w:rsidRDefault="007A0C9C" w:rsidP="00662F81">
      <w:pPr>
        <w:tabs>
          <w:tab w:val="left" w:pos="0"/>
        </w:tabs>
        <w:ind w:left="720" w:hanging="720"/>
        <w:rPr>
          <w:b/>
          <w:color w:val="000000"/>
        </w:rPr>
      </w:pPr>
      <w:r w:rsidRPr="007365F1">
        <w:rPr>
          <w:b/>
          <w:bCs/>
          <w:color w:val="000000"/>
        </w:rPr>
        <w:t>15.</w:t>
      </w:r>
      <w:r w:rsidR="00662F81" w:rsidRPr="007365F1">
        <w:rPr>
          <w:b/>
          <w:bCs/>
          <w:color w:val="000000"/>
        </w:rPr>
        <w:t xml:space="preserve"> Explanation for Program Changes or Adjustments</w:t>
      </w:r>
    </w:p>
    <w:p w14:paraId="6F8C3101" w14:textId="489C0545" w:rsidR="00662F81" w:rsidRPr="00022A54" w:rsidRDefault="00455594" w:rsidP="00662F81">
      <w:pPr>
        <w:tabs>
          <w:tab w:val="left" w:pos="0"/>
        </w:tabs>
        <w:rPr>
          <w:color w:val="000000"/>
        </w:rPr>
      </w:pPr>
      <w:r>
        <w:rPr>
          <w:color w:val="000000"/>
        </w:rPr>
        <w:t>This is a new G</w:t>
      </w:r>
      <w:r w:rsidR="003272C1">
        <w:rPr>
          <w:color w:val="000000"/>
        </w:rPr>
        <w:t>eneric information collection.</w:t>
      </w:r>
      <w:r w:rsidR="00AA4627">
        <w:rPr>
          <w:color w:val="000000"/>
        </w:rPr>
        <w:t xml:space="preserve">  </w:t>
      </w:r>
    </w:p>
    <w:p w14:paraId="15B4E3BE" w14:textId="77777777" w:rsidR="007365F1" w:rsidRDefault="007365F1" w:rsidP="00662F81">
      <w:pPr>
        <w:tabs>
          <w:tab w:val="left" w:pos="0"/>
        </w:tabs>
        <w:ind w:left="720" w:hanging="720"/>
        <w:rPr>
          <w:b/>
          <w:bCs/>
          <w:color w:val="000000"/>
        </w:rPr>
      </w:pPr>
    </w:p>
    <w:p w14:paraId="7040F0B7" w14:textId="5791B2B5" w:rsidR="00662F81" w:rsidRPr="007365F1" w:rsidRDefault="00662F81" w:rsidP="00662F81">
      <w:pPr>
        <w:tabs>
          <w:tab w:val="left" w:pos="0"/>
        </w:tabs>
        <w:ind w:left="720" w:hanging="720"/>
        <w:rPr>
          <w:b/>
          <w:color w:val="000000"/>
        </w:rPr>
      </w:pPr>
      <w:r w:rsidRPr="007365F1">
        <w:rPr>
          <w:b/>
          <w:bCs/>
          <w:color w:val="000000"/>
        </w:rPr>
        <w:t>16.</w:t>
      </w:r>
      <w:r w:rsidR="007A0C9C" w:rsidRPr="007365F1">
        <w:rPr>
          <w:b/>
          <w:bCs/>
          <w:color w:val="000000"/>
        </w:rPr>
        <w:t xml:space="preserve"> </w:t>
      </w:r>
      <w:r w:rsidRPr="007365F1">
        <w:rPr>
          <w:b/>
          <w:bCs/>
          <w:color w:val="000000"/>
        </w:rPr>
        <w:t>Plans for Tabulation and Publication and Project Time Schedule</w:t>
      </w:r>
    </w:p>
    <w:p w14:paraId="76985331" w14:textId="77777777" w:rsidR="00810B39" w:rsidRDefault="00810B39" w:rsidP="00810B39">
      <w:pPr>
        <w:ind w:left="0" w:firstLine="0"/>
      </w:pPr>
      <w:r>
        <w:t>Exhibit 3 illustrates the timeline for activities related to this collection, including recruitment of participants, data collection, data analysis, and publication.</w:t>
      </w:r>
    </w:p>
    <w:p w14:paraId="4CBC74F6" w14:textId="5E6522A2" w:rsidR="00810B39" w:rsidRPr="00266058" w:rsidRDefault="00810B39" w:rsidP="00810B39">
      <w:pPr>
        <w:spacing w:after="0"/>
        <w:rPr>
          <w:b/>
        </w:rPr>
      </w:pPr>
      <w:r>
        <w:rPr>
          <w:b/>
        </w:rPr>
        <w:t>Exhibit 3. Interviews</w:t>
      </w:r>
      <w:r w:rsidRPr="00266058">
        <w:rPr>
          <w:b/>
        </w:rPr>
        <w:t xml:space="preserve"> Timeline</w:t>
      </w:r>
    </w:p>
    <w:tbl>
      <w:tblPr>
        <w:tblStyle w:val="TableGrid"/>
        <w:tblW w:w="0" w:type="auto"/>
        <w:tblLook w:val="04A0" w:firstRow="1" w:lastRow="0" w:firstColumn="1" w:lastColumn="0" w:noHBand="0" w:noVBand="1"/>
      </w:tblPr>
      <w:tblGrid>
        <w:gridCol w:w="4788"/>
        <w:gridCol w:w="4788"/>
      </w:tblGrid>
      <w:tr w:rsidR="00810B39" w:rsidRPr="00C10A3A" w14:paraId="073BED58" w14:textId="77777777" w:rsidTr="00810B39">
        <w:tc>
          <w:tcPr>
            <w:tcW w:w="4788" w:type="dxa"/>
          </w:tcPr>
          <w:p w14:paraId="74DFEC70" w14:textId="77777777" w:rsidR="00810B39" w:rsidRPr="00C10A3A" w:rsidRDefault="00810B39" w:rsidP="00810B39">
            <w:r w:rsidRPr="00C10A3A">
              <w:br w:type="page"/>
              <w:t>Activity</w:t>
            </w:r>
          </w:p>
        </w:tc>
        <w:tc>
          <w:tcPr>
            <w:tcW w:w="4788" w:type="dxa"/>
          </w:tcPr>
          <w:p w14:paraId="4D7E742E" w14:textId="77777777" w:rsidR="00810B39" w:rsidRPr="00C10A3A" w:rsidRDefault="00810B39" w:rsidP="00810B39">
            <w:r>
              <w:t>Time Schedule</w:t>
            </w:r>
          </w:p>
        </w:tc>
      </w:tr>
      <w:tr w:rsidR="00810B39" w:rsidRPr="00C10A3A" w14:paraId="6F5AF4CA" w14:textId="77777777" w:rsidTr="00810B39">
        <w:tc>
          <w:tcPr>
            <w:tcW w:w="4788" w:type="dxa"/>
          </w:tcPr>
          <w:p w14:paraId="747AED8D" w14:textId="1A5806CB" w:rsidR="00810B39" w:rsidRPr="00C10A3A" w:rsidRDefault="00810B39" w:rsidP="00810B39">
            <w:r>
              <w:t>Recruitment</w:t>
            </w:r>
          </w:p>
        </w:tc>
        <w:tc>
          <w:tcPr>
            <w:tcW w:w="4788" w:type="dxa"/>
          </w:tcPr>
          <w:p w14:paraId="53AEAE20" w14:textId="3E0959E3" w:rsidR="00810B39" w:rsidRPr="00C10A3A" w:rsidRDefault="00810B39" w:rsidP="00810B39">
            <w:pPr>
              <w:ind w:left="0" w:firstLine="0"/>
            </w:pPr>
            <w:r>
              <w:t>1 month after OMB approval</w:t>
            </w:r>
          </w:p>
        </w:tc>
      </w:tr>
      <w:tr w:rsidR="00810B39" w:rsidRPr="00C10A3A" w14:paraId="29C1339D" w14:textId="77777777" w:rsidTr="00810B39">
        <w:tc>
          <w:tcPr>
            <w:tcW w:w="4788" w:type="dxa"/>
          </w:tcPr>
          <w:p w14:paraId="503F6175" w14:textId="603637C3" w:rsidR="00810B39" w:rsidRPr="00C10A3A" w:rsidRDefault="00810B39" w:rsidP="00810B39">
            <w:r>
              <w:t>Data Collection</w:t>
            </w:r>
          </w:p>
        </w:tc>
        <w:tc>
          <w:tcPr>
            <w:tcW w:w="4788" w:type="dxa"/>
          </w:tcPr>
          <w:p w14:paraId="3BAE535F" w14:textId="46091B1C" w:rsidR="00810B39" w:rsidRPr="00C10A3A" w:rsidRDefault="00B56F79" w:rsidP="00810B39">
            <w:pPr>
              <w:ind w:left="0" w:firstLine="0"/>
            </w:pPr>
            <w:r>
              <w:t>1-3</w:t>
            </w:r>
            <w:r w:rsidR="00810B39">
              <w:t xml:space="preserve"> months after OMB approval</w:t>
            </w:r>
          </w:p>
        </w:tc>
      </w:tr>
      <w:tr w:rsidR="00810B39" w:rsidRPr="00C10A3A" w14:paraId="68640327" w14:textId="77777777" w:rsidTr="00810B39">
        <w:tc>
          <w:tcPr>
            <w:tcW w:w="4788" w:type="dxa"/>
          </w:tcPr>
          <w:p w14:paraId="3B4F0413" w14:textId="1CDE094A" w:rsidR="00810B39" w:rsidRPr="00C10A3A" w:rsidRDefault="00810B39" w:rsidP="00810B39">
            <w:r>
              <w:t>Data Analysis</w:t>
            </w:r>
          </w:p>
        </w:tc>
        <w:tc>
          <w:tcPr>
            <w:tcW w:w="4788" w:type="dxa"/>
          </w:tcPr>
          <w:p w14:paraId="5C0FE228" w14:textId="6661EAD2" w:rsidR="00810B39" w:rsidRPr="00C10A3A" w:rsidRDefault="00B56F79" w:rsidP="00810B39">
            <w:r>
              <w:t>3-4</w:t>
            </w:r>
            <w:r w:rsidR="00810B39">
              <w:t xml:space="preserve"> months after OMB approval</w:t>
            </w:r>
          </w:p>
        </w:tc>
      </w:tr>
      <w:tr w:rsidR="00810B39" w:rsidRPr="00C10A3A" w14:paraId="108E5CE1" w14:textId="77777777" w:rsidTr="00810B39">
        <w:tc>
          <w:tcPr>
            <w:tcW w:w="4788" w:type="dxa"/>
          </w:tcPr>
          <w:p w14:paraId="5FD9DB37" w14:textId="557A5879" w:rsidR="00810B39" w:rsidRPr="00C10A3A" w:rsidRDefault="00B56F79" w:rsidP="00810B39">
            <w:r>
              <w:t>Report Results</w:t>
            </w:r>
          </w:p>
        </w:tc>
        <w:tc>
          <w:tcPr>
            <w:tcW w:w="4788" w:type="dxa"/>
          </w:tcPr>
          <w:p w14:paraId="43BBA3F9" w14:textId="51A10029" w:rsidR="00810B39" w:rsidRPr="00C10A3A" w:rsidRDefault="00B56F79" w:rsidP="00810B39">
            <w:r>
              <w:t xml:space="preserve">5 </w:t>
            </w:r>
            <w:r w:rsidR="00810B39">
              <w:t>months after OMB approval</w:t>
            </w:r>
          </w:p>
        </w:tc>
      </w:tr>
    </w:tbl>
    <w:p w14:paraId="33C50643" w14:textId="77777777" w:rsidR="00810B39" w:rsidRDefault="00810B39" w:rsidP="00662F81">
      <w:pPr>
        <w:tabs>
          <w:tab w:val="left" w:pos="0"/>
        </w:tabs>
        <w:rPr>
          <w:b/>
          <w:bCs/>
          <w:color w:val="000000"/>
        </w:rPr>
      </w:pPr>
    </w:p>
    <w:p w14:paraId="1C63FED3" w14:textId="7AB21EAE" w:rsidR="00662F81" w:rsidRPr="00022A54" w:rsidRDefault="00662F81" w:rsidP="00662F81">
      <w:pPr>
        <w:tabs>
          <w:tab w:val="left" w:pos="0"/>
        </w:tabs>
        <w:rPr>
          <w:color w:val="000000"/>
        </w:rPr>
      </w:pPr>
      <w:r w:rsidRPr="00022A54">
        <w:rPr>
          <w:b/>
          <w:bCs/>
          <w:color w:val="000000"/>
        </w:rPr>
        <w:t xml:space="preserve">17. </w:t>
      </w:r>
      <w:r w:rsidRPr="00810B39">
        <w:rPr>
          <w:b/>
          <w:bCs/>
          <w:color w:val="000000"/>
        </w:rPr>
        <w:t>Reason(s) Display of OMB Expiration Date is Inappropriate</w:t>
      </w:r>
    </w:p>
    <w:p w14:paraId="4333A77D" w14:textId="77777777" w:rsidR="00662F81" w:rsidRPr="00022A54" w:rsidRDefault="00AA4627" w:rsidP="00662F81">
      <w:pPr>
        <w:tabs>
          <w:tab w:val="left" w:pos="0"/>
        </w:tabs>
        <w:rPr>
          <w:color w:val="000000"/>
        </w:rPr>
      </w:pPr>
      <w:r>
        <w:rPr>
          <w:color w:val="000000"/>
        </w:rPr>
        <w:t xml:space="preserve">The display of the </w:t>
      </w:r>
      <w:r w:rsidR="00776240" w:rsidRPr="00022A54">
        <w:rPr>
          <w:color w:val="000000"/>
        </w:rPr>
        <w:t xml:space="preserve">OMB </w:t>
      </w:r>
      <w:r>
        <w:rPr>
          <w:color w:val="000000"/>
        </w:rPr>
        <w:t>e</w:t>
      </w:r>
      <w:r w:rsidRPr="00022A54">
        <w:rPr>
          <w:color w:val="000000"/>
        </w:rPr>
        <w:t xml:space="preserve">xpiration </w:t>
      </w:r>
      <w:r>
        <w:rPr>
          <w:color w:val="000000"/>
        </w:rPr>
        <w:t>d</w:t>
      </w:r>
      <w:r w:rsidRPr="00022A54">
        <w:rPr>
          <w:color w:val="000000"/>
        </w:rPr>
        <w:t xml:space="preserve">ate </w:t>
      </w:r>
      <w:r>
        <w:rPr>
          <w:color w:val="000000"/>
        </w:rPr>
        <w:t>is not inappropriate.</w:t>
      </w:r>
    </w:p>
    <w:p w14:paraId="1E4FF140" w14:textId="77777777" w:rsidR="00810B39" w:rsidRDefault="00810B39" w:rsidP="00662F81">
      <w:pPr>
        <w:tabs>
          <w:tab w:val="left" w:pos="0"/>
        </w:tabs>
        <w:rPr>
          <w:b/>
          <w:bCs/>
          <w:color w:val="000000"/>
        </w:rPr>
      </w:pPr>
    </w:p>
    <w:p w14:paraId="2FAD4126" w14:textId="7BE6D76C" w:rsidR="00662F81" w:rsidRPr="00022A54" w:rsidRDefault="00662F81" w:rsidP="00662F81">
      <w:pPr>
        <w:tabs>
          <w:tab w:val="left" w:pos="0"/>
        </w:tabs>
        <w:rPr>
          <w:color w:val="000000"/>
        </w:rPr>
      </w:pPr>
      <w:r w:rsidRPr="00022A54">
        <w:rPr>
          <w:b/>
          <w:bCs/>
          <w:color w:val="000000"/>
        </w:rPr>
        <w:t xml:space="preserve">18. </w:t>
      </w:r>
      <w:r w:rsidRPr="00810B39">
        <w:rPr>
          <w:b/>
          <w:bCs/>
          <w:color w:val="000000"/>
        </w:rPr>
        <w:t>Exceptions to Certification for Paperwork Reduction Act Submissions</w:t>
      </w:r>
    </w:p>
    <w:p w14:paraId="3B153F49" w14:textId="43039778" w:rsidR="000A4D5E" w:rsidRDefault="0049315A" w:rsidP="00785686">
      <w:pPr>
        <w:tabs>
          <w:tab w:val="left" w:pos="0"/>
        </w:tabs>
        <w:rPr>
          <w:color w:val="000000"/>
        </w:rPr>
      </w:pPr>
      <w:r w:rsidRPr="00022A54">
        <w:rPr>
          <w:color w:val="000000"/>
        </w:rPr>
        <w:t>There are no exceptions to the certification.</w:t>
      </w:r>
    </w:p>
    <w:p w14:paraId="39299B60" w14:textId="77777777" w:rsidR="000A4D5E" w:rsidRDefault="000A4D5E" w:rsidP="00662F81">
      <w:pPr>
        <w:tabs>
          <w:tab w:val="left" w:pos="0"/>
        </w:tabs>
        <w:rPr>
          <w:color w:val="000000"/>
        </w:rPr>
      </w:pPr>
    </w:p>
    <w:p w14:paraId="0C3A9323" w14:textId="77777777" w:rsidR="000A4D5E" w:rsidRPr="00F43E4E" w:rsidRDefault="000A4D5E" w:rsidP="00743782">
      <w:pPr>
        <w:tabs>
          <w:tab w:val="left" w:pos="0"/>
        </w:tabs>
        <w:rPr>
          <w:b/>
          <w:color w:val="000000"/>
        </w:rPr>
      </w:pPr>
      <w:r w:rsidRPr="00F43E4E">
        <w:rPr>
          <w:b/>
          <w:color w:val="000000"/>
        </w:rPr>
        <w:t>REFERENCE</w:t>
      </w:r>
      <w:r w:rsidR="00743782" w:rsidRPr="00F43E4E">
        <w:rPr>
          <w:b/>
          <w:color w:val="000000"/>
        </w:rPr>
        <w:t>S</w:t>
      </w:r>
    </w:p>
    <w:p w14:paraId="3E2B5059" w14:textId="77777777" w:rsidR="00743782" w:rsidRPr="00743782" w:rsidRDefault="00743782" w:rsidP="00743782">
      <w:pPr>
        <w:pStyle w:val="EndnoteText"/>
        <w:ind w:left="0" w:firstLine="0"/>
        <w:rPr>
          <w:color w:val="000000" w:themeColor="text1"/>
          <w:sz w:val="24"/>
          <w:szCs w:val="24"/>
        </w:rPr>
      </w:pPr>
      <w:r w:rsidRPr="00743782">
        <w:rPr>
          <w:rStyle w:val="EndnoteReference"/>
          <w:color w:val="000000" w:themeColor="text1"/>
          <w:sz w:val="24"/>
          <w:szCs w:val="24"/>
        </w:rPr>
        <w:t>1</w:t>
      </w:r>
      <w:r w:rsidRPr="00743782">
        <w:rPr>
          <w:color w:val="000000" w:themeColor="text1"/>
          <w:sz w:val="24"/>
          <w:szCs w:val="24"/>
        </w:rPr>
        <w:t xml:space="preserve"> Schlanger Z. Zika Reviving Decades-Old DDT Debate, but Here’s Why It’s Unfounded. </w:t>
      </w:r>
      <w:r w:rsidRPr="00743782">
        <w:rPr>
          <w:i/>
          <w:color w:val="000000" w:themeColor="text1"/>
          <w:sz w:val="24"/>
          <w:szCs w:val="24"/>
        </w:rPr>
        <w:t xml:space="preserve">Newsweek. </w:t>
      </w:r>
      <w:r w:rsidRPr="00743782">
        <w:rPr>
          <w:color w:val="000000" w:themeColor="text1"/>
          <w:sz w:val="24"/>
          <w:szCs w:val="24"/>
        </w:rPr>
        <w:t xml:space="preserve">February 4, 2016. </w:t>
      </w:r>
      <w:hyperlink r:id="rId10" w:history="1">
        <w:r w:rsidRPr="00743782">
          <w:rPr>
            <w:rStyle w:val="Hyperlink"/>
            <w:color w:val="000000" w:themeColor="text1"/>
            <w:sz w:val="24"/>
            <w:szCs w:val="24"/>
          </w:rPr>
          <w:t>http://www.newsweek.com/ddt-zika-mosquito-terrible-idea-422807</w:t>
        </w:r>
      </w:hyperlink>
      <w:r w:rsidRPr="00743782">
        <w:rPr>
          <w:color w:val="000000" w:themeColor="text1"/>
          <w:sz w:val="24"/>
          <w:szCs w:val="24"/>
        </w:rPr>
        <w:t xml:space="preserve">. </w:t>
      </w:r>
    </w:p>
    <w:p w14:paraId="1EB64DBC" w14:textId="77777777" w:rsidR="00743782" w:rsidRPr="00743782" w:rsidRDefault="00743782" w:rsidP="00743782">
      <w:pPr>
        <w:pStyle w:val="EndnoteText"/>
        <w:ind w:left="0" w:firstLine="0"/>
        <w:rPr>
          <w:color w:val="000000" w:themeColor="text1"/>
          <w:sz w:val="24"/>
          <w:szCs w:val="24"/>
        </w:rPr>
      </w:pPr>
      <w:r w:rsidRPr="00743782">
        <w:rPr>
          <w:rStyle w:val="EndnoteReference"/>
          <w:color w:val="000000" w:themeColor="text1"/>
          <w:sz w:val="24"/>
          <w:szCs w:val="24"/>
        </w:rPr>
        <w:t>2</w:t>
      </w:r>
      <w:r w:rsidRPr="00743782">
        <w:rPr>
          <w:color w:val="000000" w:themeColor="text1"/>
          <w:sz w:val="24"/>
          <w:szCs w:val="24"/>
        </w:rPr>
        <w:t xml:space="preserve"> McNeil DG. Health Officials Split Over Advice on Pregnancy in Zika Areas. </w:t>
      </w:r>
      <w:r w:rsidRPr="00743782">
        <w:rPr>
          <w:i/>
          <w:color w:val="000000" w:themeColor="text1"/>
          <w:sz w:val="24"/>
          <w:szCs w:val="24"/>
        </w:rPr>
        <w:t>NY Times</w:t>
      </w:r>
      <w:r w:rsidRPr="00743782">
        <w:rPr>
          <w:color w:val="000000" w:themeColor="text1"/>
          <w:sz w:val="24"/>
          <w:szCs w:val="24"/>
        </w:rPr>
        <w:t xml:space="preserve">. April 2016. </w:t>
      </w:r>
      <w:hyperlink r:id="rId11" w:history="1">
        <w:r w:rsidRPr="00743782">
          <w:rPr>
            <w:rStyle w:val="Hyperlink"/>
            <w:color w:val="000000" w:themeColor="text1"/>
            <w:sz w:val="24"/>
            <w:szCs w:val="24"/>
          </w:rPr>
          <w:t>http://www.nytimes.com/2016/04/15/health/zika-virus-pregnancy-delay-birth-defects-cdc.html</w:t>
        </w:r>
      </w:hyperlink>
      <w:r w:rsidRPr="00743782">
        <w:rPr>
          <w:color w:val="000000" w:themeColor="text1"/>
          <w:sz w:val="24"/>
          <w:szCs w:val="24"/>
        </w:rPr>
        <w:t xml:space="preserve">. </w:t>
      </w:r>
    </w:p>
    <w:p w14:paraId="52D0F23F" w14:textId="77777777" w:rsidR="00743782" w:rsidRPr="00743782" w:rsidRDefault="00743782" w:rsidP="00743782">
      <w:pPr>
        <w:pStyle w:val="EndnoteText"/>
        <w:ind w:left="0" w:firstLine="0"/>
        <w:rPr>
          <w:color w:val="000000" w:themeColor="text1"/>
          <w:sz w:val="24"/>
          <w:szCs w:val="24"/>
        </w:rPr>
      </w:pPr>
      <w:r w:rsidRPr="00743782">
        <w:rPr>
          <w:rStyle w:val="EndnoteReference"/>
          <w:color w:val="000000" w:themeColor="text1"/>
          <w:sz w:val="24"/>
          <w:szCs w:val="24"/>
        </w:rPr>
        <w:t>3</w:t>
      </w:r>
      <w:r w:rsidRPr="00743782">
        <w:rPr>
          <w:color w:val="000000" w:themeColor="text1"/>
          <w:sz w:val="24"/>
          <w:szCs w:val="24"/>
        </w:rPr>
        <w:t xml:space="preserve"> Mohney G. Genetically Modified Mosquito Study in Florida to Halt Spread of Viruses Sparks Eco Debate. ABC News. April 20</w:t>
      </w:r>
      <w:r w:rsidRPr="00743782">
        <w:rPr>
          <w:sz w:val="24"/>
          <w:szCs w:val="24"/>
        </w:rPr>
        <w:t xml:space="preserve">, 2016. </w:t>
      </w:r>
      <w:hyperlink r:id="rId12" w:history="1">
        <w:r w:rsidRPr="00743782">
          <w:rPr>
            <w:rStyle w:val="Hyperlink"/>
            <w:sz w:val="24"/>
            <w:szCs w:val="24"/>
          </w:rPr>
          <w:t>http://abcnews.go.com/Health/genetically-modified-mosquito-study-florida-halt-spread-viruses/story?id=38543361</w:t>
        </w:r>
      </w:hyperlink>
      <w:r w:rsidRPr="00743782">
        <w:rPr>
          <w:sz w:val="24"/>
          <w:szCs w:val="24"/>
        </w:rPr>
        <w:t>.</w:t>
      </w:r>
      <w:r w:rsidRPr="00743782">
        <w:rPr>
          <w:color w:val="000000" w:themeColor="text1"/>
          <w:sz w:val="24"/>
          <w:szCs w:val="24"/>
        </w:rPr>
        <w:t xml:space="preserve"> </w:t>
      </w:r>
    </w:p>
    <w:p w14:paraId="34EA49A2" w14:textId="77777777" w:rsidR="00743782" w:rsidRPr="00743782" w:rsidRDefault="00743782" w:rsidP="00743782">
      <w:pPr>
        <w:pStyle w:val="EndnoteText"/>
        <w:ind w:left="0" w:firstLine="0"/>
        <w:rPr>
          <w:sz w:val="24"/>
          <w:szCs w:val="24"/>
        </w:rPr>
      </w:pPr>
      <w:r w:rsidRPr="00743782">
        <w:rPr>
          <w:rStyle w:val="EndnoteReference"/>
          <w:color w:val="000000" w:themeColor="text1"/>
          <w:sz w:val="24"/>
          <w:szCs w:val="24"/>
        </w:rPr>
        <w:t>4</w:t>
      </w:r>
      <w:r w:rsidRPr="00743782">
        <w:rPr>
          <w:color w:val="000000" w:themeColor="text1"/>
          <w:sz w:val="24"/>
          <w:szCs w:val="24"/>
        </w:rPr>
        <w:t xml:space="preserve"> Schoch-Spana M, Bouri N, Rambhia KJ, Norwood N. Stigma, health disparities, and the 2009 H1N1 influenza pandemic: how to protect Latino farmworkers </w:t>
      </w:r>
      <w:r w:rsidRPr="00743782">
        <w:rPr>
          <w:sz w:val="24"/>
          <w:szCs w:val="24"/>
        </w:rPr>
        <w:t xml:space="preserve">in future health emergencies. </w:t>
      </w:r>
      <w:r w:rsidRPr="00743782">
        <w:rPr>
          <w:i/>
          <w:sz w:val="24"/>
          <w:szCs w:val="24"/>
        </w:rPr>
        <w:t>Biosecur Bioterror.</w:t>
      </w:r>
      <w:r w:rsidRPr="00743782">
        <w:rPr>
          <w:sz w:val="24"/>
          <w:szCs w:val="24"/>
        </w:rPr>
        <w:t xml:space="preserve"> 2010, 8(3): 243-254.</w:t>
      </w:r>
    </w:p>
    <w:p w14:paraId="1B17912A" w14:textId="77777777" w:rsidR="00743782" w:rsidRPr="00743782" w:rsidRDefault="00743782" w:rsidP="00743782">
      <w:pPr>
        <w:pStyle w:val="EndnoteText"/>
        <w:ind w:left="0" w:firstLine="0"/>
        <w:rPr>
          <w:sz w:val="24"/>
          <w:szCs w:val="24"/>
        </w:rPr>
      </w:pPr>
      <w:r w:rsidRPr="00743782">
        <w:rPr>
          <w:rStyle w:val="EndnoteReference"/>
          <w:sz w:val="24"/>
          <w:szCs w:val="24"/>
        </w:rPr>
        <w:t>5</w:t>
      </w:r>
      <w:r w:rsidRPr="00743782">
        <w:rPr>
          <w:sz w:val="24"/>
          <w:szCs w:val="24"/>
        </w:rPr>
        <w:t xml:space="preserve"> Smith KC, Rimal RN, Sandberg H, et al. Understanding newsworthiness of an emerging pandemic: international newspaper coverage of the H1N1 outbreak. </w:t>
      </w:r>
      <w:r w:rsidRPr="00743782">
        <w:rPr>
          <w:i/>
          <w:sz w:val="24"/>
          <w:szCs w:val="24"/>
        </w:rPr>
        <w:t xml:space="preserve">Influenza Other Respir Virus. </w:t>
      </w:r>
      <w:r w:rsidRPr="00743782">
        <w:rPr>
          <w:sz w:val="24"/>
          <w:szCs w:val="24"/>
        </w:rPr>
        <w:t xml:space="preserve">2013;7(5):847-53. </w:t>
      </w:r>
    </w:p>
    <w:p w14:paraId="7228AC68" w14:textId="77777777" w:rsidR="00743782" w:rsidRPr="00743782" w:rsidRDefault="00743782" w:rsidP="00743782">
      <w:pPr>
        <w:pStyle w:val="EndnoteText"/>
        <w:ind w:left="0" w:firstLine="0"/>
        <w:rPr>
          <w:sz w:val="24"/>
          <w:szCs w:val="24"/>
        </w:rPr>
      </w:pPr>
      <w:r w:rsidRPr="00743782">
        <w:rPr>
          <w:rStyle w:val="EndnoteReference"/>
          <w:sz w:val="24"/>
          <w:szCs w:val="24"/>
        </w:rPr>
        <w:t>6</w:t>
      </w:r>
      <w:r w:rsidRPr="00743782">
        <w:rPr>
          <w:sz w:val="24"/>
          <w:szCs w:val="24"/>
        </w:rPr>
        <w:t xml:space="preserve"> Rolison JJ, Hanoch Y. Knowledge and risk perceptions of the Ebola virus in the United States.</w:t>
      </w:r>
    </w:p>
    <w:p w14:paraId="1D6AFBCF" w14:textId="77777777" w:rsidR="00743782" w:rsidRPr="00743782" w:rsidRDefault="00743782" w:rsidP="00743782">
      <w:pPr>
        <w:pStyle w:val="EndnoteText"/>
        <w:ind w:left="0" w:firstLine="0"/>
        <w:rPr>
          <w:sz w:val="24"/>
          <w:szCs w:val="24"/>
        </w:rPr>
      </w:pPr>
      <w:r w:rsidRPr="00743782">
        <w:rPr>
          <w:i/>
          <w:sz w:val="24"/>
          <w:szCs w:val="24"/>
        </w:rPr>
        <w:t>Prev Med Rep</w:t>
      </w:r>
      <w:r w:rsidRPr="00743782">
        <w:rPr>
          <w:sz w:val="24"/>
          <w:szCs w:val="24"/>
        </w:rPr>
        <w:t xml:space="preserve">. 2015 Apr 16;2:262-4. </w:t>
      </w:r>
    </w:p>
    <w:p w14:paraId="2C4AE893" w14:textId="77777777" w:rsidR="00743782" w:rsidRPr="00743782" w:rsidRDefault="00743782" w:rsidP="00743782">
      <w:pPr>
        <w:pStyle w:val="EndnoteText"/>
        <w:ind w:left="0" w:firstLine="0"/>
        <w:rPr>
          <w:sz w:val="24"/>
          <w:szCs w:val="24"/>
        </w:rPr>
      </w:pPr>
      <w:r w:rsidRPr="00743782">
        <w:rPr>
          <w:rStyle w:val="EndnoteReference"/>
          <w:sz w:val="24"/>
          <w:szCs w:val="24"/>
        </w:rPr>
        <w:t>7</w:t>
      </w:r>
      <w:r w:rsidRPr="00743782">
        <w:rPr>
          <w:sz w:val="24"/>
          <w:szCs w:val="24"/>
        </w:rPr>
        <w:t xml:space="preserve"> Quinn SC, Thomas T, Kumar S. The anthrax vaccine and research: reactions from postal workers and public health professionals. </w:t>
      </w:r>
      <w:r w:rsidRPr="00743782">
        <w:rPr>
          <w:i/>
          <w:sz w:val="24"/>
          <w:szCs w:val="24"/>
        </w:rPr>
        <w:t>Biosecur Bioterror.</w:t>
      </w:r>
      <w:r w:rsidRPr="00743782">
        <w:rPr>
          <w:sz w:val="24"/>
          <w:szCs w:val="24"/>
        </w:rPr>
        <w:t xml:space="preserve"> 2008 Dec;6(4):321-33. </w:t>
      </w:r>
    </w:p>
    <w:p w14:paraId="50C927F8" w14:textId="77777777" w:rsidR="00743782" w:rsidRPr="00743782" w:rsidRDefault="00743782" w:rsidP="00743782">
      <w:pPr>
        <w:pStyle w:val="EndnoteText"/>
        <w:ind w:left="0" w:firstLine="0"/>
        <w:rPr>
          <w:sz w:val="24"/>
          <w:szCs w:val="24"/>
        </w:rPr>
      </w:pPr>
      <w:r w:rsidRPr="00743782">
        <w:rPr>
          <w:rStyle w:val="EndnoteReference"/>
          <w:sz w:val="24"/>
          <w:szCs w:val="24"/>
        </w:rPr>
        <w:t>8</w:t>
      </w:r>
      <w:r w:rsidRPr="00743782">
        <w:rPr>
          <w:sz w:val="24"/>
          <w:szCs w:val="24"/>
        </w:rPr>
        <w:t xml:space="preserve"> Quinn SC, Hilyard K, Castaneda-Angarita N, Freimuth VS. Public acceptance of peramivir during the 2009 H1N1 influenza pandemic: implications for other drugs or vaccines under emergency use authorizations. </w:t>
      </w:r>
      <w:r w:rsidRPr="00743782">
        <w:rPr>
          <w:i/>
          <w:sz w:val="24"/>
          <w:szCs w:val="24"/>
        </w:rPr>
        <w:t>Disaster Med Public Health Prep.</w:t>
      </w:r>
      <w:r w:rsidRPr="00743782">
        <w:rPr>
          <w:sz w:val="24"/>
          <w:szCs w:val="24"/>
        </w:rPr>
        <w:t xml:space="preserve"> 2015 Apr;9(2):166-74. </w:t>
      </w:r>
    </w:p>
    <w:p w14:paraId="6FCDAC69" w14:textId="2EDFB9DB" w:rsidR="000A4D5E" w:rsidRPr="00E26803" w:rsidRDefault="00743782" w:rsidP="00E26803">
      <w:pPr>
        <w:pStyle w:val="EndnoteText"/>
        <w:ind w:left="0" w:firstLine="0"/>
        <w:rPr>
          <w:sz w:val="24"/>
          <w:szCs w:val="24"/>
        </w:rPr>
      </w:pPr>
      <w:r w:rsidRPr="00743782">
        <w:rPr>
          <w:rStyle w:val="EndnoteReference"/>
          <w:sz w:val="24"/>
          <w:szCs w:val="24"/>
        </w:rPr>
        <w:t>9</w:t>
      </w:r>
      <w:r w:rsidRPr="00743782">
        <w:rPr>
          <w:sz w:val="24"/>
          <w:szCs w:val="24"/>
        </w:rPr>
        <w:t xml:space="preserve"> Teasdale E, Yardley L. Understanding responses to government health recommendations: public perceptions of government advice for managing the H1N1 (swine flu) influenza pandemic. </w:t>
      </w:r>
      <w:r w:rsidRPr="00743782">
        <w:rPr>
          <w:i/>
          <w:sz w:val="24"/>
          <w:szCs w:val="24"/>
        </w:rPr>
        <w:t xml:space="preserve">Patient Educ Couns. </w:t>
      </w:r>
      <w:r w:rsidRPr="00743782">
        <w:rPr>
          <w:sz w:val="24"/>
          <w:szCs w:val="24"/>
        </w:rPr>
        <w:t xml:space="preserve">2011 Dec;85(3):413-8 </w:t>
      </w:r>
    </w:p>
    <w:sectPr w:rsidR="000A4D5E" w:rsidRPr="00E26803" w:rsidSect="00AF71DC">
      <w:headerReference w:type="even" r:id="rId13"/>
      <w:footerReference w:type="even" r:id="rId14"/>
      <w:footerReference w:type="default" r:id="rId15"/>
      <w:endnotePr>
        <w:numFmt w:val="decimal"/>
      </w:endnotePr>
      <w:type w:val="continuous"/>
      <w:pgSz w:w="12240" w:h="15840" w:code="1"/>
      <w:pgMar w:top="1440" w:right="117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9DD4F" w14:textId="77777777" w:rsidR="00810B39" w:rsidRDefault="00810B39">
      <w:r>
        <w:separator/>
      </w:r>
    </w:p>
  </w:endnote>
  <w:endnote w:type="continuationSeparator" w:id="0">
    <w:p w14:paraId="6ABF5A4F" w14:textId="77777777" w:rsidR="00810B39" w:rsidRDefault="0081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ED9EE" w14:textId="77777777" w:rsidR="00810B39" w:rsidRDefault="00810B39"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3B581A" w14:textId="77777777" w:rsidR="00810B39" w:rsidRDefault="00810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E514" w14:textId="7A386587" w:rsidR="00810B39" w:rsidRDefault="00810B39"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864">
      <w:rPr>
        <w:rStyle w:val="PageNumber"/>
        <w:noProof/>
      </w:rPr>
      <w:t>7</w:t>
    </w:r>
    <w:r>
      <w:rPr>
        <w:rStyle w:val="PageNumber"/>
      </w:rPr>
      <w:fldChar w:fldCharType="end"/>
    </w:r>
  </w:p>
  <w:p w14:paraId="5BCC1EEF" w14:textId="77777777" w:rsidR="00810B39" w:rsidRDefault="00810B39"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E79B5" w14:textId="77777777" w:rsidR="00810B39" w:rsidRDefault="00810B39">
      <w:r>
        <w:separator/>
      </w:r>
    </w:p>
  </w:footnote>
  <w:footnote w:type="continuationSeparator" w:id="0">
    <w:p w14:paraId="48FFBF1D" w14:textId="77777777" w:rsidR="00810B39" w:rsidRDefault="0081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8107E" w14:textId="77777777" w:rsidR="00810B39" w:rsidRDefault="00810B39"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5D955B" w14:textId="77777777" w:rsidR="00810B39" w:rsidRDefault="00810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12D55B9"/>
    <w:multiLevelType w:val="hybridMultilevel"/>
    <w:tmpl w:val="1E285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5647A"/>
    <w:multiLevelType w:val="hybridMultilevel"/>
    <w:tmpl w:val="054EC7DC"/>
    <w:lvl w:ilvl="0" w:tplc="F7983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E03F7"/>
    <w:multiLevelType w:val="hybridMultilevel"/>
    <w:tmpl w:val="720A568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841DA"/>
    <w:multiLevelType w:val="hybridMultilevel"/>
    <w:tmpl w:val="1D64021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FD6C59"/>
    <w:multiLevelType w:val="hybridMultilevel"/>
    <w:tmpl w:val="CA6E5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04203D"/>
    <w:multiLevelType w:val="hybridMultilevel"/>
    <w:tmpl w:val="0784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C82795"/>
    <w:multiLevelType w:val="hybridMultilevel"/>
    <w:tmpl w:val="C316B006"/>
    <w:lvl w:ilvl="0" w:tplc="84D2FAA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18D4302F"/>
    <w:multiLevelType w:val="hybridMultilevel"/>
    <w:tmpl w:val="6064571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1AD9C14D"/>
    <w:multiLevelType w:val="hybridMultilevel"/>
    <w:tmpl w:val="177A1E5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8521205"/>
    <w:multiLevelType w:val="hybridMultilevel"/>
    <w:tmpl w:val="67B88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EA3E2E"/>
    <w:multiLevelType w:val="hybridMultilevel"/>
    <w:tmpl w:val="F2D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AF3879"/>
    <w:multiLevelType w:val="hybridMultilevel"/>
    <w:tmpl w:val="7C8C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6D55911"/>
    <w:multiLevelType w:val="hybridMultilevel"/>
    <w:tmpl w:val="E9AAD848"/>
    <w:lvl w:ilvl="0" w:tplc="B6BE188A">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4" w15:restartNumberingAfterBreak="0">
    <w:nsid w:val="38F7E86E"/>
    <w:multiLevelType w:val="hybridMultilevel"/>
    <w:tmpl w:val="A53A5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3DD2680E"/>
    <w:multiLevelType w:val="hybridMultilevel"/>
    <w:tmpl w:val="4CF4C0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1F68D0"/>
    <w:multiLevelType w:val="hybridMultilevel"/>
    <w:tmpl w:val="9F087964"/>
    <w:lvl w:ilvl="0" w:tplc="03F6519E">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15:restartNumberingAfterBreak="0">
    <w:nsid w:val="5DDA4391"/>
    <w:multiLevelType w:val="hybridMultilevel"/>
    <w:tmpl w:val="94DC2F06"/>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126F36"/>
    <w:multiLevelType w:val="hybridMultilevel"/>
    <w:tmpl w:val="78EEB42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677835A1"/>
    <w:multiLevelType w:val="hybridMultilevel"/>
    <w:tmpl w:val="2CB0A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D226D71"/>
    <w:multiLevelType w:val="hybridMultilevel"/>
    <w:tmpl w:val="B5C846C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1"/>
  </w:num>
  <w:num w:numId="8">
    <w:abstractNumId w:val="16"/>
  </w:num>
  <w:num w:numId="9">
    <w:abstractNumId w:val="38"/>
  </w:num>
  <w:num w:numId="10">
    <w:abstractNumId w:val="17"/>
  </w:num>
  <w:num w:numId="11">
    <w:abstractNumId w:val="26"/>
  </w:num>
  <w:num w:numId="12">
    <w:abstractNumId w:val="29"/>
  </w:num>
  <w:num w:numId="13">
    <w:abstractNumId w:val="30"/>
  </w:num>
  <w:num w:numId="14">
    <w:abstractNumId w:val="20"/>
  </w:num>
  <w:num w:numId="15">
    <w:abstractNumId w:val="10"/>
  </w:num>
  <w:num w:numId="16">
    <w:abstractNumId w:val="28"/>
  </w:num>
  <w:num w:numId="17">
    <w:abstractNumId w:val="21"/>
  </w:num>
  <w:num w:numId="18">
    <w:abstractNumId w:val="35"/>
  </w:num>
  <w:num w:numId="19">
    <w:abstractNumId w:val="34"/>
  </w:num>
  <w:num w:numId="20">
    <w:abstractNumId w:val="25"/>
  </w:num>
  <w:num w:numId="21">
    <w:abstractNumId w:val="18"/>
  </w:num>
  <w:num w:numId="22">
    <w:abstractNumId w:val="12"/>
  </w:num>
  <w:num w:numId="23">
    <w:abstractNumId w:val="27"/>
  </w:num>
  <w:num w:numId="24">
    <w:abstractNumId w:val="8"/>
  </w:num>
  <w:num w:numId="25">
    <w:abstractNumId w:val="39"/>
  </w:num>
  <w:num w:numId="26">
    <w:abstractNumId w:val="7"/>
  </w:num>
  <w:num w:numId="27">
    <w:abstractNumId w:val="6"/>
  </w:num>
  <w:num w:numId="28">
    <w:abstractNumId w:val="36"/>
  </w:num>
  <w:num w:numId="29">
    <w:abstractNumId w:val="14"/>
  </w:num>
  <w:num w:numId="30">
    <w:abstractNumId w:val="33"/>
  </w:num>
  <w:num w:numId="31">
    <w:abstractNumId w:val="9"/>
  </w:num>
  <w:num w:numId="32">
    <w:abstractNumId w:val="37"/>
  </w:num>
  <w:num w:numId="33">
    <w:abstractNumId w:val="5"/>
  </w:num>
  <w:num w:numId="34">
    <w:abstractNumId w:val="22"/>
  </w:num>
  <w:num w:numId="35">
    <w:abstractNumId w:val="15"/>
  </w:num>
  <w:num w:numId="36">
    <w:abstractNumId w:val="24"/>
  </w:num>
  <w:num w:numId="37">
    <w:abstractNumId w:val="11"/>
  </w:num>
  <w:num w:numId="38">
    <w:abstractNumId w:val="19"/>
  </w:num>
  <w:num w:numId="39">
    <w:abstractNumId w:val="23"/>
  </w:num>
  <w:num w:numId="40">
    <w:abstractNumId w:val="1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8B"/>
    <w:rsid w:val="000009BA"/>
    <w:rsid w:val="00000E7D"/>
    <w:rsid w:val="00001968"/>
    <w:rsid w:val="0000202D"/>
    <w:rsid w:val="00002764"/>
    <w:rsid w:val="00017B42"/>
    <w:rsid w:val="00022A54"/>
    <w:rsid w:val="000259DE"/>
    <w:rsid w:val="0002754E"/>
    <w:rsid w:val="00027ABA"/>
    <w:rsid w:val="00027B74"/>
    <w:rsid w:val="00030DA5"/>
    <w:rsid w:val="000315DB"/>
    <w:rsid w:val="00031D85"/>
    <w:rsid w:val="00032124"/>
    <w:rsid w:val="00033191"/>
    <w:rsid w:val="00035595"/>
    <w:rsid w:val="000360CC"/>
    <w:rsid w:val="00036E5B"/>
    <w:rsid w:val="000403E5"/>
    <w:rsid w:val="00043480"/>
    <w:rsid w:val="00043566"/>
    <w:rsid w:val="00044742"/>
    <w:rsid w:val="00045538"/>
    <w:rsid w:val="00045A69"/>
    <w:rsid w:val="00046FFA"/>
    <w:rsid w:val="00047045"/>
    <w:rsid w:val="00055B49"/>
    <w:rsid w:val="000616B4"/>
    <w:rsid w:val="00061916"/>
    <w:rsid w:val="000627FE"/>
    <w:rsid w:val="00066529"/>
    <w:rsid w:val="0006668D"/>
    <w:rsid w:val="000703D6"/>
    <w:rsid w:val="0007072A"/>
    <w:rsid w:val="00075916"/>
    <w:rsid w:val="00077041"/>
    <w:rsid w:val="000773D3"/>
    <w:rsid w:val="000814C1"/>
    <w:rsid w:val="00082A36"/>
    <w:rsid w:val="00085603"/>
    <w:rsid w:val="00085832"/>
    <w:rsid w:val="000901A5"/>
    <w:rsid w:val="000907F7"/>
    <w:rsid w:val="00091D70"/>
    <w:rsid w:val="000928D4"/>
    <w:rsid w:val="00093C81"/>
    <w:rsid w:val="00097D05"/>
    <w:rsid w:val="000A21CF"/>
    <w:rsid w:val="000A2FF3"/>
    <w:rsid w:val="000A3385"/>
    <w:rsid w:val="000A4D5E"/>
    <w:rsid w:val="000A689B"/>
    <w:rsid w:val="000B03B1"/>
    <w:rsid w:val="000B2411"/>
    <w:rsid w:val="000B295F"/>
    <w:rsid w:val="000B3000"/>
    <w:rsid w:val="000B3F98"/>
    <w:rsid w:val="000B5579"/>
    <w:rsid w:val="000C166E"/>
    <w:rsid w:val="000C6292"/>
    <w:rsid w:val="000C7994"/>
    <w:rsid w:val="000D6277"/>
    <w:rsid w:val="000E3FAB"/>
    <w:rsid w:val="000E5D00"/>
    <w:rsid w:val="000E79C3"/>
    <w:rsid w:val="000F5494"/>
    <w:rsid w:val="000F681D"/>
    <w:rsid w:val="001116B2"/>
    <w:rsid w:val="00111BE6"/>
    <w:rsid w:val="001121FF"/>
    <w:rsid w:val="00114D03"/>
    <w:rsid w:val="001161EE"/>
    <w:rsid w:val="00116596"/>
    <w:rsid w:val="0012089D"/>
    <w:rsid w:val="00121AC4"/>
    <w:rsid w:val="00124A5C"/>
    <w:rsid w:val="0012573B"/>
    <w:rsid w:val="0013173E"/>
    <w:rsid w:val="00132B15"/>
    <w:rsid w:val="00133117"/>
    <w:rsid w:val="001363F9"/>
    <w:rsid w:val="00142D32"/>
    <w:rsid w:val="00143364"/>
    <w:rsid w:val="00144D39"/>
    <w:rsid w:val="00151EE0"/>
    <w:rsid w:val="0015392C"/>
    <w:rsid w:val="001561E1"/>
    <w:rsid w:val="00157B85"/>
    <w:rsid w:val="00161E86"/>
    <w:rsid w:val="001623D4"/>
    <w:rsid w:val="00163BC3"/>
    <w:rsid w:val="0016614F"/>
    <w:rsid w:val="00166593"/>
    <w:rsid w:val="00166A41"/>
    <w:rsid w:val="001715FA"/>
    <w:rsid w:val="00172CA4"/>
    <w:rsid w:val="00173868"/>
    <w:rsid w:val="001747FF"/>
    <w:rsid w:val="001756C0"/>
    <w:rsid w:val="001802AD"/>
    <w:rsid w:val="0018216D"/>
    <w:rsid w:val="0018474A"/>
    <w:rsid w:val="00187C46"/>
    <w:rsid w:val="00192008"/>
    <w:rsid w:val="001929B8"/>
    <w:rsid w:val="00192F40"/>
    <w:rsid w:val="00193766"/>
    <w:rsid w:val="001A03B7"/>
    <w:rsid w:val="001A0DF0"/>
    <w:rsid w:val="001A278B"/>
    <w:rsid w:val="001A44B4"/>
    <w:rsid w:val="001A4ECC"/>
    <w:rsid w:val="001A58EA"/>
    <w:rsid w:val="001B5CC2"/>
    <w:rsid w:val="001C03C4"/>
    <w:rsid w:val="001C0AFB"/>
    <w:rsid w:val="001C0C8A"/>
    <w:rsid w:val="001C2EE3"/>
    <w:rsid w:val="001C5C15"/>
    <w:rsid w:val="001D1CE5"/>
    <w:rsid w:val="001D62A2"/>
    <w:rsid w:val="001D6452"/>
    <w:rsid w:val="001E3984"/>
    <w:rsid w:val="001E5449"/>
    <w:rsid w:val="001F244E"/>
    <w:rsid w:val="001F2663"/>
    <w:rsid w:val="001F2866"/>
    <w:rsid w:val="001F610D"/>
    <w:rsid w:val="001F772D"/>
    <w:rsid w:val="002003D7"/>
    <w:rsid w:val="00200418"/>
    <w:rsid w:val="00201240"/>
    <w:rsid w:val="00203971"/>
    <w:rsid w:val="00203E80"/>
    <w:rsid w:val="00204024"/>
    <w:rsid w:val="00204C4B"/>
    <w:rsid w:val="0020502A"/>
    <w:rsid w:val="002065ED"/>
    <w:rsid w:val="002105B9"/>
    <w:rsid w:val="00210D56"/>
    <w:rsid w:val="0021212E"/>
    <w:rsid w:val="00216D94"/>
    <w:rsid w:val="00216FB9"/>
    <w:rsid w:val="002173D4"/>
    <w:rsid w:val="0022229C"/>
    <w:rsid w:val="00223911"/>
    <w:rsid w:val="00223B66"/>
    <w:rsid w:val="002266F7"/>
    <w:rsid w:val="00226BE0"/>
    <w:rsid w:val="0022752A"/>
    <w:rsid w:val="00227BF6"/>
    <w:rsid w:val="00232D54"/>
    <w:rsid w:val="0023517B"/>
    <w:rsid w:val="00235BDB"/>
    <w:rsid w:val="00236073"/>
    <w:rsid w:val="00244187"/>
    <w:rsid w:val="002449FF"/>
    <w:rsid w:val="00246997"/>
    <w:rsid w:val="00247E74"/>
    <w:rsid w:val="00252C97"/>
    <w:rsid w:val="00253472"/>
    <w:rsid w:val="00254471"/>
    <w:rsid w:val="002567B0"/>
    <w:rsid w:val="002574A5"/>
    <w:rsid w:val="00261E27"/>
    <w:rsid w:val="002620F4"/>
    <w:rsid w:val="0026704E"/>
    <w:rsid w:val="0027142C"/>
    <w:rsid w:val="00272BA4"/>
    <w:rsid w:val="0027378A"/>
    <w:rsid w:val="0028378F"/>
    <w:rsid w:val="00286A5A"/>
    <w:rsid w:val="00287FB1"/>
    <w:rsid w:val="00290452"/>
    <w:rsid w:val="00291FB8"/>
    <w:rsid w:val="002922F0"/>
    <w:rsid w:val="002936BD"/>
    <w:rsid w:val="002971A5"/>
    <w:rsid w:val="00297834"/>
    <w:rsid w:val="00297880"/>
    <w:rsid w:val="002A0EED"/>
    <w:rsid w:val="002A1D76"/>
    <w:rsid w:val="002A2784"/>
    <w:rsid w:val="002A5A84"/>
    <w:rsid w:val="002A66E3"/>
    <w:rsid w:val="002B3674"/>
    <w:rsid w:val="002B3CA1"/>
    <w:rsid w:val="002B49B4"/>
    <w:rsid w:val="002B763E"/>
    <w:rsid w:val="002C008B"/>
    <w:rsid w:val="002C09C1"/>
    <w:rsid w:val="002C2D2E"/>
    <w:rsid w:val="002C4B79"/>
    <w:rsid w:val="002C5A3C"/>
    <w:rsid w:val="002C60A8"/>
    <w:rsid w:val="002D09B6"/>
    <w:rsid w:val="002D3DED"/>
    <w:rsid w:val="002D3EDE"/>
    <w:rsid w:val="002D4341"/>
    <w:rsid w:val="002D5EE8"/>
    <w:rsid w:val="002D69D1"/>
    <w:rsid w:val="002D7213"/>
    <w:rsid w:val="002D76E5"/>
    <w:rsid w:val="002E1517"/>
    <w:rsid w:val="002E2357"/>
    <w:rsid w:val="002E274D"/>
    <w:rsid w:val="002E28BA"/>
    <w:rsid w:val="002E3155"/>
    <w:rsid w:val="002E512F"/>
    <w:rsid w:val="002E5A05"/>
    <w:rsid w:val="002F091D"/>
    <w:rsid w:val="002F0966"/>
    <w:rsid w:val="002F4EE4"/>
    <w:rsid w:val="002F5077"/>
    <w:rsid w:val="002F58B9"/>
    <w:rsid w:val="00301939"/>
    <w:rsid w:val="00302801"/>
    <w:rsid w:val="0030685B"/>
    <w:rsid w:val="003070B6"/>
    <w:rsid w:val="00307AAF"/>
    <w:rsid w:val="00312CF4"/>
    <w:rsid w:val="00317F8B"/>
    <w:rsid w:val="0032200A"/>
    <w:rsid w:val="00322265"/>
    <w:rsid w:val="00323FDE"/>
    <w:rsid w:val="00324858"/>
    <w:rsid w:val="003272C1"/>
    <w:rsid w:val="00327D53"/>
    <w:rsid w:val="00330F92"/>
    <w:rsid w:val="00332FB2"/>
    <w:rsid w:val="00333DB0"/>
    <w:rsid w:val="003352FF"/>
    <w:rsid w:val="00335838"/>
    <w:rsid w:val="00336168"/>
    <w:rsid w:val="003369E6"/>
    <w:rsid w:val="00341C66"/>
    <w:rsid w:val="003421AE"/>
    <w:rsid w:val="00342B6C"/>
    <w:rsid w:val="0034329D"/>
    <w:rsid w:val="003479C7"/>
    <w:rsid w:val="00350BDE"/>
    <w:rsid w:val="003519FE"/>
    <w:rsid w:val="00353925"/>
    <w:rsid w:val="00353BDB"/>
    <w:rsid w:val="00356F00"/>
    <w:rsid w:val="00360CD6"/>
    <w:rsid w:val="003701D5"/>
    <w:rsid w:val="00370ADF"/>
    <w:rsid w:val="00373838"/>
    <w:rsid w:val="0037421D"/>
    <w:rsid w:val="00375E73"/>
    <w:rsid w:val="0038183C"/>
    <w:rsid w:val="00383105"/>
    <w:rsid w:val="00384295"/>
    <w:rsid w:val="0038552D"/>
    <w:rsid w:val="003878C5"/>
    <w:rsid w:val="0039102B"/>
    <w:rsid w:val="00391B2A"/>
    <w:rsid w:val="00397380"/>
    <w:rsid w:val="003A020B"/>
    <w:rsid w:val="003A09AB"/>
    <w:rsid w:val="003A4192"/>
    <w:rsid w:val="003A5A2F"/>
    <w:rsid w:val="003A5AC9"/>
    <w:rsid w:val="003A6373"/>
    <w:rsid w:val="003B042F"/>
    <w:rsid w:val="003B0855"/>
    <w:rsid w:val="003B2F57"/>
    <w:rsid w:val="003B5740"/>
    <w:rsid w:val="003C2231"/>
    <w:rsid w:val="003C40AE"/>
    <w:rsid w:val="003C4470"/>
    <w:rsid w:val="003C536F"/>
    <w:rsid w:val="003C539B"/>
    <w:rsid w:val="003C7F57"/>
    <w:rsid w:val="003D0E36"/>
    <w:rsid w:val="003D1382"/>
    <w:rsid w:val="003D1FDA"/>
    <w:rsid w:val="003D3646"/>
    <w:rsid w:val="003D4B1C"/>
    <w:rsid w:val="003D6657"/>
    <w:rsid w:val="003D6E02"/>
    <w:rsid w:val="003E2325"/>
    <w:rsid w:val="003E3A8D"/>
    <w:rsid w:val="003E5A93"/>
    <w:rsid w:val="003E6332"/>
    <w:rsid w:val="003E7A28"/>
    <w:rsid w:val="003F4D22"/>
    <w:rsid w:val="003F6CB2"/>
    <w:rsid w:val="003F716B"/>
    <w:rsid w:val="00400FED"/>
    <w:rsid w:val="004031FA"/>
    <w:rsid w:val="00403CFB"/>
    <w:rsid w:val="004049CD"/>
    <w:rsid w:val="0040694B"/>
    <w:rsid w:val="00407069"/>
    <w:rsid w:val="00412362"/>
    <w:rsid w:val="00412A3C"/>
    <w:rsid w:val="004141BE"/>
    <w:rsid w:val="00416793"/>
    <w:rsid w:val="00416C0B"/>
    <w:rsid w:val="00420156"/>
    <w:rsid w:val="00420C29"/>
    <w:rsid w:val="004217D2"/>
    <w:rsid w:val="00421A71"/>
    <w:rsid w:val="00423268"/>
    <w:rsid w:val="00430942"/>
    <w:rsid w:val="00435717"/>
    <w:rsid w:val="0043632C"/>
    <w:rsid w:val="0044048D"/>
    <w:rsid w:val="004421DC"/>
    <w:rsid w:val="00443C44"/>
    <w:rsid w:val="0044466C"/>
    <w:rsid w:val="00444F0C"/>
    <w:rsid w:val="004454E2"/>
    <w:rsid w:val="004473A8"/>
    <w:rsid w:val="00447969"/>
    <w:rsid w:val="00450E88"/>
    <w:rsid w:val="00451737"/>
    <w:rsid w:val="00452251"/>
    <w:rsid w:val="00453CE1"/>
    <w:rsid w:val="00454060"/>
    <w:rsid w:val="00455594"/>
    <w:rsid w:val="004559B5"/>
    <w:rsid w:val="00456D06"/>
    <w:rsid w:val="004578E8"/>
    <w:rsid w:val="00460A3A"/>
    <w:rsid w:val="00465034"/>
    <w:rsid w:val="0046629E"/>
    <w:rsid w:val="004703AB"/>
    <w:rsid w:val="0047062D"/>
    <w:rsid w:val="0047092D"/>
    <w:rsid w:val="00474849"/>
    <w:rsid w:val="00480A80"/>
    <w:rsid w:val="00481BD2"/>
    <w:rsid w:val="0048277E"/>
    <w:rsid w:val="00484423"/>
    <w:rsid w:val="00484684"/>
    <w:rsid w:val="0048652D"/>
    <w:rsid w:val="00490440"/>
    <w:rsid w:val="0049315A"/>
    <w:rsid w:val="00493A00"/>
    <w:rsid w:val="004943FB"/>
    <w:rsid w:val="004945F6"/>
    <w:rsid w:val="00495927"/>
    <w:rsid w:val="00495B91"/>
    <w:rsid w:val="004A1D73"/>
    <w:rsid w:val="004A1DD7"/>
    <w:rsid w:val="004A4A38"/>
    <w:rsid w:val="004A7B77"/>
    <w:rsid w:val="004A7E4D"/>
    <w:rsid w:val="004B3F6F"/>
    <w:rsid w:val="004B468F"/>
    <w:rsid w:val="004B7499"/>
    <w:rsid w:val="004C0961"/>
    <w:rsid w:val="004C2700"/>
    <w:rsid w:val="004C45EF"/>
    <w:rsid w:val="004C5BF8"/>
    <w:rsid w:val="004C67DF"/>
    <w:rsid w:val="004C7332"/>
    <w:rsid w:val="004D70E7"/>
    <w:rsid w:val="004E0BA2"/>
    <w:rsid w:val="004E4DEB"/>
    <w:rsid w:val="004E68D8"/>
    <w:rsid w:val="004E696B"/>
    <w:rsid w:val="004E741E"/>
    <w:rsid w:val="004F0B8F"/>
    <w:rsid w:val="004F3C1E"/>
    <w:rsid w:val="004F463C"/>
    <w:rsid w:val="004F4DEF"/>
    <w:rsid w:val="004F6688"/>
    <w:rsid w:val="00503A1F"/>
    <w:rsid w:val="00503BB4"/>
    <w:rsid w:val="00504858"/>
    <w:rsid w:val="00510528"/>
    <w:rsid w:val="005131F3"/>
    <w:rsid w:val="00513B8B"/>
    <w:rsid w:val="005163C3"/>
    <w:rsid w:val="0052066C"/>
    <w:rsid w:val="00521EA9"/>
    <w:rsid w:val="00522ED3"/>
    <w:rsid w:val="00524C30"/>
    <w:rsid w:val="00527974"/>
    <w:rsid w:val="005317FD"/>
    <w:rsid w:val="0053217D"/>
    <w:rsid w:val="0053314B"/>
    <w:rsid w:val="00533C10"/>
    <w:rsid w:val="00541C78"/>
    <w:rsid w:val="005431CB"/>
    <w:rsid w:val="00544C85"/>
    <w:rsid w:val="005471AF"/>
    <w:rsid w:val="005502BF"/>
    <w:rsid w:val="005538AA"/>
    <w:rsid w:val="00557E03"/>
    <w:rsid w:val="00561EE6"/>
    <w:rsid w:val="0056494B"/>
    <w:rsid w:val="0057212D"/>
    <w:rsid w:val="00572CCE"/>
    <w:rsid w:val="00573B53"/>
    <w:rsid w:val="00574489"/>
    <w:rsid w:val="00576A1E"/>
    <w:rsid w:val="005809A4"/>
    <w:rsid w:val="00585C1F"/>
    <w:rsid w:val="00586B8D"/>
    <w:rsid w:val="00587061"/>
    <w:rsid w:val="0059004E"/>
    <w:rsid w:val="00591899"/>
    <w:rsid w:val="00591927"/>
    <w:rsid w:val="00591F0C"/>
    <w:rsid w:val="005958B6"/>
    <w:rsid w:val="005A1A39"/>
    <w:rsid w:val="005A3B06"/>
    <w:rsid w:val="005A47E5"/>
    <w:rsid w:val="005A4AFD"/>
    <w:rsid w:val="005A4DAE"/>
    <w:rsid w:val="005B1667"/>
    <w:rsid w:val="005B56EE"/>
    <w:rsid w:val="005B5F63"/>
    <w:rsid w:val="005B6CC3"/>
    <w:rsid w:val="005B6F4B"/>
    <w:rsid w:val="005C07A9"/>
    <w:rsid w:val="005C4BED"/>
    <w:rsid w:val="005C4D92"/>
    <w:rsid w:val="005C6EDC"/>
    <w:rsid w:val="005C799D"/>
    <w:rsid w:val="005D14BD"/>
    <w:rsid w:val="005D5A24"/>
    <w:rsid w:val="005E02FC"/>
    <w:rsid w:val="005E0C3A"/>
    <w:rsid w:val="005E2A2B"/>
    <w:rsid w:val="005E503F"/>
    <w:rsid w:val="005F1840"/>
    <w:rsid w:val="005F1C86"/>
    <w:rsid w:val="005F2661"/>
    <w:rsid w:val="005F42B7"/>
    <w:rsid w:val="005F5456"/>
    <w:rsid w:val="005F5993"/>
    <w:rsid w:val="005F741F"/>
    <w:rsid w:val="00603514"/>
    <w:rsid w:val="00604D99"/>
    <w:rsid w:val="006053A3"/>
    <w:rsid w:val="00605919"/>
    <w:rsid w:val="00605D3B"/>
    <w:rsid w:val="0060645E"/>
    <w:rsid w:val="006074E5"/>
    <w:rsid w:val="00611F95"/>
    <w:rsid w:val="00616C66"/>
    <w:rsid w:val="00616F1C"/>
    <w:rsid w:val="00617333"/>
    <w:rsid w:val="006179E5"/>
    <w:rsid w:val="00622517"/>
    <w:rsid w:val="00623677"/>
    <w:rsid w:val="006259CB"/>
    <w:rsid w:val="00626BE8"/>
    <w:rsid w:val="00633542"/>
    <w:rsid w:val="00633F07"/>
    <w:rsid w:val="006400F9"/>
    <w:rsid w:val="00642B74"/>
    <w:rsid w:val="00642BCE"/>
    <w:rsid w:val="0064331B"/>
    <w:rsid w:val="00647037"/>
    <w:rsid w:val="00657BF3"/>
    <w:rsid w:val="00660E2D"/>
    <w:rsid w:val="00662786"/>
    <w:rsid w:val="00662F81"/>
    <w:rsid w:val="00663F64"/>
    <w:rsid w:val="00664292"/>
    <w:rsid w:val="0066668A"/>
    <w:rsid w:val="006701E9"/>
    <w:rsid w:val="00675ED7"/>
    <w:rsid w:val="006774DA"/>
    <w:rsid w:val="006901BF"/>
    <w:rsid w:val="00690F7B"/>
    <w:rsid w:val="006914BA"/>
    <w:rsid w:val="006A0701"/>
    <w:rsid w:val="006A1272"/>
    <w:rsid w:val="006A2310"/>
    <w:rsid w:val="006A53A8"/>
    <w:rsid w:val="006A76F0"/>
    <w:rsid w:val="006B0171"/>
    <w:rsid w:val="006B2967"/>
    <w:rsid w:val="006B4C5B"/>
    <w:rsid w:val="006B5057"/>
    <w:rsid w:val="006B5A32"/>
    <w:rsid w:val="006B761C"/>
    <w:rsid w:val="006B7BFD"/>
    <w:rsid w:val="006C0D1F"/>
    <w:rsid w:val="006C163B"/>
    <w:rsid w:val="006C442F"/>
    <w:rsid w:val="006C450E"/>
    <w:rsid w:val="006C6934"/>
    <w:rsid w:val="006D2E04"/>
    <w:rsid w:val="006E0BD9"/>
    <w:rsid w:val="006E3A26"/>
    <w:rsid w:val="006E50BF"/>
    <w:rsid w:val="006E68FD"/>
    <w:rsid w:val="006F6536"/>
    <w:rsid w:val="007045F7"/>
    <w:rsid w:val="007114E8"/>
    <w:rsid w:val="00712CAA"/>
    <w:rsid w:val="007149AD"/>
    <w:rsid w:val="007206CD"/>
    <w:rsid w:val="007214D8"/>
    <w:rsid w:val="0072304F"/>
    <w:rsid w:val="00726662"/>
    <w:rsid w:val="00726CCC"/>
    <w:rsid w:val="00726F05"/>
    <w:rsid w:val="007272EC"/>
    <w:rsid w:val="00727F34"/>
    <w:rsid w:val="007300AA"/>
    <w:rsid w:val="00732EC3"/>
    <w:rsid w:val="007365F1"/>
    <w:rsid w:val="00737071"/>
    <w:rsid w:val="00741E24"/>
    <w:rsid w:val="00742131"/>
    <w:rsid w:val="00742647"/>
    <w:rsid w:val="0074268C"/>
    <w:rsid w:val="00743782"/>
    <w:rsid w:val="00743FA6"/>
    <w:rsid w:val="007455D4"/>
    <w:rsid w:val="007459DF"/>
    <w:rsid w:val="007514B3"/>
    <w:rsid w:val="00751B33"/>
    <w:rsid w:val="00755D70"/>
    <w:rsid w:val="0075634D"/>
    <w:rsid w:val="00756619"/>
    <w:rsid w:val="007627F2"/>
    <w:rsid w:val="00762956"/>
    <w:rsid w:val="00771FEE"/>
    <w:rsid w:val="00773361"/>
    <w:rsid w:val="00774561"/>
    <w:rsid w:val="00776240"/>
    <w:rsid w:val="00780647"/>
    <w:rsid w:val="00782542"/>
    <w:rsid w:val="00785686"/>
    <w:rsid w:val="0078618B"/>
    <w:rsid w:val="00790D75"/>
    <w:rsid w:val="00790E6D"/>
    <w:rsid w:val="0079529C"/>
    <w:rsid w:val="00795EF3"/>
    <w:rsid w:val="007977C4"/>
    <w:rsid w:val="007A0C9C"/>
    <w:rsid w:val="007A1C5B"/>
    <w:rsid w:val="007A31F8"/>
    <w:rsid w:val="007A3CF4"/>
    <w:rsid w:val="007A43F4"/>
    <w:rsid w:val="007B0719"/>
    <w:rsid w:val="007B0A83"/>
    <w:rsid w:val="007B1B24"/>
    <w:rsid w:val="007B3B8F"/>
    <w:rsid w:val="007B50D6"/>
    <w:rsid w:val="007B546A"/>
    <w:rsid w:val="007B69A3"/>
    <w:rsid w:val="007B6C69"/>
    <w:rsid w:val="007B6EE4"/>
    <w:rsid w:val="007B763C"/>
    <w:rsid w:val="007C1577"/>
    <w:rsid w:val="007C207A"/>
    <w:rsid w:val="007C4179"/>
    <w:rsid w:val="007C77B8"/>
    <w:rsid w:val="007D19FA"/>
    <w:rsid w:val="007D383F"/>
    <w:rsid w:val="007E0C57"/>
    <w:rsid w:val="007E1F24"/>
    <w:rsid w:val="007E2EE2"/>
    <w:rsid w:val="007E4E8A"/>
    <w:rsid w:val="007E5351"/>
    <w:rsid w:val="007E7D10"/>
    <w:rsid w:val="007F3E6D"/>
    <w:rsid w:val="00800C22"/>
    <w:rsid w:val="008030BE"/>
    <w:rsid w:val="008064EE"/>
    <w:rsid w:val="00810AE5"/>
    <w:rsid w:val="00810B39"/>
    <w:rsid w:val="008135AF"/>
    <w:rsid w:val="008138AD"/>
    <w:rsid w:val="0081497D"/>
    <w:rsid w:val="0081573C"/>
    <w:rsid w:val="00817E1F"/>
    <w:rsid w:val="008214BF"/>
    <w:rsid w:val="0082274C"/>
    <w:rsid w:val="00831594"/>
    <w:rsid w:val="00831E43"/>
    <w:rsid w:val="00832AE9"/>
    <w:rsid w:val="00835D5F"/>
    <w:rsid w:val="0083743A"/>
    <w:rsid w:val="00840464"/>
    <w:rsid w:val="00843D58"/>
    <w:rsid w:val="00845EE1"/>
    <w:rsid w:val="00850EFA"/>
    <w:rsid w:val="00852CFC"/>
    <w:rsid w:val="00853B29"/>
    <w:rsid w:val="00853D19"/>
    <w:rsid w:val="008570EC"/>
    <w:rsid w:val="008616D8"/>
    <w:rsid w:val="008624DA"/>
    <w:rsid w:val="00863136"/>
    <w:rsid w:val="00865AAE"/>
    <w:rsid w:val="00866969"/>
    <w:rsid w:val="00866F07"/>
    <w:rsid w:val="00867E5F"/>
    <w:rsid w:val="00874700"/>
    <w:rsid w:val="00874CD6"/>
    <w:rsid w:val="00880CE4"/>
    <w:rsid w:val="008848B7"/>
    <w:rsid w:val="00885576"/>
    <w:rsid w:val="00885754"/>
    <w:rsid w:val="00886A38"/>
    <w:rsid w:val="00891529"/>
    <w:rsid w:val="008923D2"/>
    <w:rsid w:val="00896231"/>
    <w:rsid w:val="00896987"/>
    <w:rsid w:val="00897372"/>
    <w:rsid w:val="00897C00"/>
    <w:rsid w:val="008A2806"/>
    <w:rsid w:val="008A43EB"/>
    <w:rsid w:val="008A53E9"/>
    <w:rsid w:val="008A63B5"/>
    <w:rsid w:val="008A652E"/>
    <w:rsid w:val="008B4B55"/>
    <w:rsid w:val="008C5F9F"/>
    <w:rsid w:val="008D036E"/>
    <w:rsid w:val="008D0C53"/>
    <w:rsid w:val="008D0FDC"/>
    <w:rsid w:val="008D101E"/>
    <w:rsid w:val="008D37D9"/>
    <w:rsid w:val="008D57C0"/>
    <w:rsid w:val="008D766F"/>
    <w:rsid w:val="008E23D5"/>
    <w:rsid w:val="008E5341"/>
    <w:rsid w:val="008E56C5"/>
    <w:rsid w:val="008E59CC"/>
    <w:rsid w:val="008E6041"/>
    <w:rsid w:val="008E6691"/>
    <w:rsid w:val="008E6CBB"/>
    <w:rsid w:val="008F071F"/>
    <w:rsid w:val="008F2B85"/>
    <w:rsid w:val="008F639E"/>
    <w:rsid w:val="00900166"/>
    <w:rsid w:val="00900F2C"/>
    <w:rsid w:val="0090145A"/>
    <w:rsid w:val="00901570"/>
    <w:rsid w:val="00902671"/>
    <w:rsid w:val="0090285F"/>
    <w:rsid w:val="009032A9"/>
    <w:rsid w:val="00903ECC"/>
    <w:rsid w:val="009109FD"/>
    <w:rsid w:val="00911024"/>
    <w:rsid w:val="00911A62"/>
    <w:rsid w:val="00914C97"/>
    <w:rsid w:val="00923D16"/>
    <w:rsid w:val="00925E73"/>
    <w:rsid w:val="0092631E"/>
    <w:rsid w:val="0092723B"/>
    <w:rsid w:val="0092767B"/>
    <w:rsid w:val="00927B19"/>
    <w:rsid w:val="00931AA2"/>
    <w:rsid w:val="00932458"/>
    <w:rsid w:val="00932947"/>
    <w:rsid w:val="009339A3"/>
    <w:rsid w:val="00934EB1"/>
    <w:rsid w:val="009366C3"/>
    <w:rsid w:val="009369DB"/>
    <w:rsid w:val="0093752C"/>
    <w:rsid w:val="0093760C"/>
    <w:rsid w:val="00937702"/>
    <w:rsid w:val="00940FC5"/>
    <w:rsid w:val="00941322"/>
    <w:rsid w:val="00942142"/>
    <w:rsid w:val="00942473"/>
    <w:rsid w:val="00945476"/>
    <w:rsid w:val="009477FD"/>
    <w:rsid w:val="0095019F"/>
    <w:rsid w:val="00951BC8"/>
    <w:rsid w:val="00957BDB"/>
    <w:rsid w:val="00961E31"/>
    <w:rsid w:val="0096214D"/>
    <w:rsid w:val="00963C2F"/>
    <w:rsid w:val="00965824"/>
    <w:rsid w:val="00967294"/>
    <w:rsid w:val="00972D81"/>
    <w:rsid w:val="009742D0"/>
    <w:rsid w:val="00977108"/>
    <w:rsid w:val="00992B17"/>
    <w:rsid w:val="009940DF"/>
    <w:rsid w:val="0099547E"/>
    <w:rsid w:val="009A2F72"/>
    <w:rsid w:val="009A405E"/>
    <w:rsid w:val="009A4647"/>
    <w:rsid w:val="009A4DB7"/>
    <w:rsid w:val="009A6DF8"/>
    <w:rsid w:val="009A7031"/>
    <w:rsid w:val="009B2D75"/>
    <w:rsid w:val="009B2D82"/>
    <w:rsid w:val="009B45CC"/>
    <w:rsid w:val="009B4D83"/>
    <w:rsid w:val="009B589D"/>
    <w:rsid w:val="009B647C"/>
    <w:rsid w:val="009B7CD6"/>
    <w:rsid w:val="009C50AC"/>
    <w:rsid w:val="009D0341"/>
    <w:rsid w:val="009D3982"/>
    <w:rsid w:val="009D5DCC"/>
    <w:rsid w:val="009D60EC"/>
    <w:rsid w:val="009D7515"/>
    <w:rsid w:val="009D7744"/>
    <w:rsid w:val="009E20C3"/>
    <w:rsid w:val="009E2F8A"/>
    <w:rsid w:val="009E5980"/>
    <w:rsid w:val="009E5F11"/>
    <w:rsid w:val="009F05BD"/>
    <w:rsid w:val="009F0BDC"/>
    <w:rsid w:val="009F38D8"/>
    <w:rsid w:val="009F42DF"/>
    <w:rsid w:val="009F45E3"/>
    <w:rsid w:val="009F5E00"/>
    <w:rsid w:val="009F5FD9"/>
    <w:rsid w:val="00A00072"/>
    <w:rsid w:val="00A00BA3"/>
    <w:rsid w:val="00A0144B"/>
    <w:rsid w:val="00A04501"/>
    <w:rsid w:val="00A05118"/>
    <w:rsid w:val="00A13150"/>
    <w:rsid w:val="00A13430"/>
    <w:rsid w:val="00A143DB"/>
    <w:rsid w:val="00A148A7"/>
    <w:rsid w:val="00A14C7C"/>
    <w:rsid w:val="00A26E81"/>
    <w:rsid w:val="00A3098E"/>
    <w:rsid w:val="00A313F2"/>
    <w:rsid w:val="00A3660B"/>
    <w:rsid w:val="00A36D1E"/>
    <w:rsid w:val="00A370DA"/>
    <w:rsid w:val="00A43385"/>
    <w:rsid w:val="00A441DA"/>
    <w:rsid w:val="00A44FB7"/>
    <w:rsid w:val="00A54AB6"/>
    <w:rsid w:val="00A55400"/>
    <w:rsid w:val="00A56453"/>
    <w:rsid w:val="00A60A3A"/>
    <w:rsid w:val="00A60F67"/>
    <w:rsid w:val="00A610F9"/>
    <w:rsid w:val="00A63A7A"/>
    <w:rsid w:val="00A65636"/>
    <w:rsid w:val="00A668F3"/>
    <w:rsid w:val="00A7249E"/>
    <w:rsid w:val="00A72BB1"/>
    <w:rsid w:val="00A73821"/>
    <w:rsid w:val="00A73EE7"/>
    <w:rsid w:val="00A7798A"/>
    <w:rsid w:val="00A81414"/>
    <w:rsid w:val="00A81D78"/>
    <w:rsid w:val="00A8262E"/>
    <w:rsid w:val="00A82DA5"/>
    <w:rsid w:val="00A842EE"/>
    <w:rsid w:val="00A93282"/>
    <w:rsid w:val="00A96C90"/>
    <w:rsid w:val="00AA043E"/>
    <w:rsid w:val="00AA17C1"/>
    <w:rsid w:val="00AA19C9"/>
    <w:rsid w:val="00AA25E3"/>
    <w:rsid w:val="00AA4627"/>
    <w:rsid w:val="00AB06C5"/>
    <w:rsid w:val="00AB3EB1"/>
    <w:rsid w:val="00AB462A"/>
    <w:rsid w:val="00AB6361"/>
    <w:rsid w:val="00AB6721"/>
    <w:rsid w:val="00AC132E"/>
    <w:rsid w:val="00AC76DE"/>
    <w:rsid w:val="00AD09BA"/>
    <w:rsid w:val="00AD1077"/>
    <w:rsid w:val="00AD3B70"/>
    <w:rsid w:val="00AD3C03"/>
    <w:rsid w:val="00AD479F"/>
    <w:rsid w:val="00AE45FF"/>
    <w:rsid w:val="00AE6727"/>
    <w:rsid w:val="00AF084B"/>
    <w:rsid w:val="00AF1E5F"/>
    <w:rsid w:val="00AF3C1E"/>
    <w:rsid w:val="00AF5A4A"/>
    <w:rsid w:val="00AF71DC"/>
    <w:rsid w:val="00AF71E8"/>
    <w:rsid w:val="00B01A19"/>
    <w:rsid w:val="00B02C26"/>
    <w:rsid w:val="00B04655"/>
    <w:rsid w:val="00B06EB4"/>
    <w:rsid w:val="00B07B39"/>
    <w:rsid w:val="00B07ED2"/>
    <w:rsid w:val="00B14E17"/>
    <w:rsid w:val="00B15E1B"/>
    <w:rsid w:val="00B16D09"/>
    <w:rsid w:val="00B17494"/>
    <w:rsid w:val="00B178F7"/>
    <w:rsid w:val="00B21268"/>
    <w:rsid w:val="00B24ACE"/>
    <w:rsid w:val="00B257A4"/>
    <w:rsid w:val="00B27EF4"/>
    <w:rsid w:val="00B41712"/>
    <w:rsid w:val="00B4362E"/>
    <w:rsid w:val="00B4456D"/>
    <w:rsid w:val="00B46D34"/>
    <w:rsid w:val="00B47B1C"/>
    <w:rsid w:val="00B511F8"/>
    <w:rsid w:val="00B51C8E"/>
    <w:rsid w:val="00B5293F"/>
    <w:rsid w:val="00B53725"/>
    <w:rsid w:val="00B53AA4"/>
    <w:rsid w:val="00B5563A"/>
    <w:rsid w:val="00B55E0C"/>
    <w:rsid w:val="00B5630D"/>
    <w:rsid w:val="00B5654A"/>
    <w:rsid w:val="00B56F79"/>
    <w:rsid w:val="00B576E8"/>
    <w:rsid w:val="00B61066"/>
    <w:rsid w:val="00B62AFE"/>
    <w:rsid w:val="00B64CB4"/>
    <w:rsid w:val="00B656ED"/>
    <w:rsid w:val="00B700D6"/>
    <w:rsid w:val="00B702C2"/>
    <w:rsid w:val="00B7124A"/>
    <w:rsid w:val="00B71C1F"/>
    <w:rsid w:val="00B73675"/>
    <w:rsid w:val="00B76BE7"/>
    <w:rsid w:val="00B800E5"/>
    <w:rsid w:val="00B8154D"/>
    <w:rsid w:val="00B82A72"/>
    <w:rsid w:val="00B82C38"/>
    <w:rsid w:val="00B8394D"/>
    <w:rsid w:val="00B839F3"/>
    <w:rsid w:val="00B846DF"/>
    <w:rsid w:val="00B84B3C"/>
    <w:rsid w:val="00B86AFC"/>
    <w:rsid w:val="00B87DA7"/>
    <w:rsid w:val="00B900F0"/>
    <w:rsid w:val="00B93E4E"/>
    <w:rsid w:val="00B94682"/>
    <w:rsid w:val="00B94B8F"/>
    <w:rsid w:val="00B95264"/>
    <w:rsid w:val="00B95A61"/>
    <w:rsid w:val="00B97222"/>
    <w:rsid w:val="00BA48D5"/>
    <w:rsid w:val="00BA5D0A"/>
    <w:rsid w:val="00BB0A1A"/>
    <w:rsid w:val="00BB2DAD"/>
    <w:rsid w:val="00BB363C"/>
    <w:rsid w:val="00BB5773"/>
    <w:rsid w:val="00BC18BB"/>
    <w:rsid w:val="00BC2627"/>
    <w:rsid w:val="00BC42BC"/>
    <w:rsid w:val="00BC4B33"/>
    <w:rsid w:val="00BC5747"/>
    <w:rsid w:val="00BC66CD"/>
    <w:rsid w:val="00BD23FF"/>
    <w:rsid w:val="00BD6AF1"/>
    <w:rsid w:val="00BD7302"/>
    <w:rsid w:val="00BE0601"/>
    <w:rsid w:val="00BE0930"/>
    <w:rsid w:val="00BE1961"/>
    <w:rsid w:val="00BE3525"/>
    <w:rsid w:val="00BE36D5"/>
    <w:rsid w:val="00BE5E2A"/>
    <w:rsid w:val="00BE6D94"/>
    <w:rsid w:val="00BF6C74"/>
    <w:rsid w:val="00C0001B"/>
    <w:rsid w:val="00C0051C"/>
    <w:rsid w:val="00C05E52"/>
    <w:rsid w:val="00C06643"/>
    <w:rsid w:val="00C11B50"/>
    <w:rsid w:val="00C1390D"/>
    <w:rsid w:val="00C1588E"/>
    <w:rsid w:val="00C207FE"/>
    <w:rsid w:val="00C2124C"/>
    <w:rsid w:val="00C22500"/>
    <w:rsid w:val="00C232BC"/>
    <w:rsid w:val="00C2555C"/>
    <w:rsid w:val="00C275C6"/>
    <w:rsid w:val="00C31405"/>
    <w:rsid w:val="00C3385D"/>
    <w:rsid w:val="00C3573C"/>
    <w:rsid w:val="00C3584C"/>
    <w:rsid w:val="00C37F93"/>
    <w:rsid w:val="00C40795"/>
    <w:rsid w:val="00C41149"/>
    <w:rsid w:val="00C41189"/>
    <w:rsid w:val="00C428DD"/>
    <w:rsid w:val="00C42CD9"/>
    <w:rsid w:val="00C45881"/>
    <w:rsid w:val="00C46C52"/>
    <w:rsid w:val="00C47B45"/>
    <w:rsid w:val="00C50667"/>
    <w:rsid w:val="00C50988"/>
    <w:rsid w:val="00C52433"/>
    <w:rsid w:val="00C524E4"/>
    <w:rsid w:val="00C52553"/>
    <w:rsid w:val="00C53FC2"/>
    <w:rsid w:val="00C54140"/>
    <w:rsid w:val="00C555E4"/>
    <w:rsid w:val="00C56746"/>
    <w:rsid w:val="00C56BB4"/>
    <w:rsid w:val="00C61182"/>
    <w:rsid w:val="00C61885"/>
    <w:rsid w:val="00C62AD2"/>
    <w:rsid w:val="00C6416D"/>
    <w:rsid w:val="00C64171"/>
    <w:rsid w:val="00C651E0"/>
    <w:rsid w:val="00C65B19"/>
    <w:rsid w:val="00C71540"/>
    <w:rsid w:val="00C74FF1"/>
    <w:rsid w:val="00C7585E"/>
    <w:rsid w:val="00C76BE6"/>
    <w:rsid w:val="00C8106E"/>
    <w:rsid w:val="00C824DE"/>
    <w:rsid w:val="00C85FF1"/>
    <w:rsid w:val="00C86D2F"/>
    <w:rsid w:val="00C9228B"/>
    <w:rsid w:val="00C931FD"/>
    <w:rsid w:val="00C94C4D"/>
    <w:rsid w:val="00CA1AF9"/>
    <w:rsid w:val="00CA1DD0"/>
    <w:rsid w:val="00CA2099"/>
    <w:rsid w:val="00CA4289"/>
    <w:rsid w:val="00CB1E7A"/>
    <w:rsid w:val="00CB2290"/>
    <w:rsid w:val="00CB4E1D"/>
    <w:rsid w:val="00CC1CA1"/>
    <w:rsid w:val="00CC2588"/>
    <w:rsid w:val="00CC536E"/>
    <w:rsid w:val="00CC5D88"/>
    <w:rsid w:val="00CC5F3A"/>
    <w:rsid w:val="00CC698C"/>
    <w:rsid w:val="00CD27E8"/>
    <w:rsid w:val="00CD29B9"/>
    <w:rsid w:val="00CD3BF7"/>
    <w:rsid w:val="00CD3FB4"/>
    <w:rsid w:val="00CD4557"/>
    <w:rsid w:val="00CD7B25"/>
    <w:rsid w:val="00CE00C5"/>
    <w:rsid w:val="00CE03AC"/>
    <w:rsid w:val="00CE14B5"/>
    <w:rsid w:val="00CE2B3F"/>
    <w:rsid w:val="00CE2F84"/>
    <w:rsid w:val="00CE7BD4"/>
    <w:rsid w:val="00CF19EA"/>
    <w:rsid w:val="00D01A8C"/>
    <w:rsid w:val="00D02CA7"/>
    <w:rsid w:val="00D03328"/>
    <w:rsid w:val="00D03686"/>
    <w:rsid w:val="00D0369F"/>
    <w:rsid w:val="00D044DD"/>
    <w:rsid w:val="00D119D3"/>
    <w:rsid w:val="00D12176"/>
    <w:rsid w:val="00D15EFA"/>
    <w:rsid w:val="00D16967"/>
    <w:rsid w:val="00D20B2D"/>
    <w:rsid w:val="00D211CD"/>
    <w:rsid w:val="00D24412"/>
    <w:rsid w:val="00D2594B"/>
    <w:rsid w:val="00D27077"/>
    <w:rsid w:val="00D276C6"/>
    <w:rsid w:val="00D27D46"/>
    <w:rsid w:val="00D312B7"/>
    <w:rsid w:val="00D337DD"/>
    <w:rsid w:val="00D35071"/>
    <w:rsid w:val="00D35201"/>
    <w:rsid w:val="00D357B4"/>
    <w:rsid w:val="00D40156"/>
    <w:rsid w:val="00D4023F"/>
    <w:rsid w:val="00D407D4"/>
    <w:rsid w:val="00D41EA5"/>
    <w:rsid w:val="00D42CD9"/>
    <w:rsid w:val="00D44456"/>
    <w:rsid w:val="00D46E5A"/>
    <w:rsid w:val="00D474E7"/>
    <w:rsid w:val="00D47549"/>
    <w:rsid w:val="00D53B63"/>
    <w:rsid w:val="00D5441D"/>
    <w:rsid w:val="00D54C20"/>
    <w:rsid w:val="00D561E8"/>
    <w:rsid w:val="00D60946"/>
    <w:rsid w:val="00D60D0D"/>
    <w:rsid w:val="00D64635"/>
    <w:rsid w:val="00D70341"/>
    <w:rsid w:val="00D714A1"/>
    <w:rsid w:val="00D71973"/>
    <w:rsid w:val="00D74C2E"/>
    <w:rsid w:val="00D76A08"/>
    <w:rsid w:val="00D8296B"/>
    <w:rsid w:val="00D83545"/>
    <w:rsid w:val="00D83DA1"/>
    <w:rsid w:val="00D850E0"/>
    <w:rsid w:val="00D85FE0"/>
    <w:rsid w:val="00D867C0"/>
    <w:rsid w:val="00D87D3F"/>
    <w:rsid w:val="00D87EAD"/>
    <w:rsid w:val="00D907C1"/>
    <w:rsid w:val="00D94CE5"/>
    <w:rsid w:val="00D96313"/>
    <w:rsid w:val="00DA2426"/>
    <w:rsid w:val="00DA300D"/>
    <w:rsid w:val="00DA310E"/>
    <w:rsid w:val="00DA4FDF"/>
    <w:rsid w:val="00DA6246"/>
    <w:rsid w:val="00DB0A38"/>
    <w:rsid w:val="00DB277F"/>
    <w:rsid w:val="00DB41EA"/>
    <w:rsid w:val="00DC0585"/>
    <w:rsid w:val="00DC2724"/>
    <w:rsid w:val="00DC39F4"/>
    <w:rsid w:val="00DC407C"/>
    <w:rsid w:val="00DC4730"/>
    <w:rsid w:val="00DC4CD9"/>
    <w:rsid w:val="00DC5CE3"/>
    <w:rsid w:val="00DC7864"/>
    <w:rsid w:val="00DD087D"/>
    <w:rsid w:val="00DD2B69"/>
    <w:rsid w:val="00DD2E55"/>
    <w:rsid w:val="00DD4C2D"/>
    <w:rsid w:val="00DD60CD"/>
    <w:rsid w:val="00DE21FF"/>
    <w:rsid w:val="00DE555F"/>
    <w:rsid w:val="00DE66FC"/>
    <w:rsid w:val="00DF2560"/>
    <w:rsid w:val="00DF2A09"/>
    <w:rsid w:val="00DF47A5"/>
    <w:rsid w:val="00E00318"/>
    <w:rsid w:val="00E028BB"/>
    <w:rsid w:val="00E049ED"/>
    <w:rsid w:val="00E050EA"/>
    <w:rsid w:val="00E122BA"/>
    <w:rsid w:val="00E12805"/>
    <w:rsid w:val="00E12A4F"/>
    <w:rsid w:val="00E14CF2"/>
    <w:rsid w:val="00E1790F"/>
    <w:rsid w:val="00E1794C"/>
    <w:rsid w:val="00E20BE0"/>
    <w:rsid w:val="00E21496"/>
    <w:rsid w:val="00E23E09"/>
    <w:rsid w:val="00E25218"/>
    <w:rsid w:val="00E26803"/>
    <w:rsid w:val="00E306D7"/>
    <w:rsid w:val="00E31CD1"/>
    <w:rsid w:val="00E34A1B"/>
    <w:rsid w:val="00E34D29"/>
    <w:rsid w:val="00E351A4"/>
    <w:rsid w:val="00E35253"/>
    <w:rsid w:val="00E35EE9"/>
    <w:rsid w:val="00E365C4"/>
    <w:rsid w:val="00E37D59"/>
    <w:rsid w:val="00E4005C"/>
    <w:rsid w:val="00E401E3"/>
    <w:rsid w:val="00E41136"/>
    <w:rsid w:val="00E41BE1"/>
    <w:rsid w:val="00E41CA4"/>
    <w:rsid w:val="00E50D8D"/>
    <w:rsid w:val="00E5255A"/>
    <w:rsid w:val="00E537D9"/>
    <w:rsid w:val="00E6144D"/>
    <w:rsid w:val="00E64CA1"/>
    <w:rsid w:val="00E65030"/>
    <w:rsid w:val="00E659CE"/>
    <w:rsid w:val="00E659F3"/>
    <w:rsid w:val="00E67766"/>
    <w:rsid w:val="00E67C96"/>
    <w:rsid w:val="00E71815"/>
    <w:rsid w:val="00E71F8D"/>
    <w:rsid w:val="00E756AA"/>
    <w:rsid w:val="00E75942"/>
    <w:rsid w:val="00E7599D"/>
    <w:rsid w:val="00E8128A"/>
    <w:rsid w:val="00E8463B"/>
    <w:rsid w:val="00E85A15"/>
    <w:rsid w:val="00E87149"/>
    <w:rsid w:val="00E877A3"/>
    <w:rsid w:val="00E87FFD"/>
    <w:rsid w:val="00E9079B"/>
    <w:rsid w:val="00E91572"/>
    <w:rsid w:val="00E9533E"/>
    <w:rsid w:val="00E9696B"/>
    <w:rsid w:val="00E9699F"/>
    <w:rsid w:val="00EA46EE"/>
    <w:rsid w:val="00EA5585"/>
    <w:rsid w:val="00EA6736"/>
    <w:rsid w:val="00EB073D"/>
    <w:rsid w:val="00EB1016"/>
    <w:rsid w:val="00EB5DD9"/>
    <w:rsid w:val="00EC1EAE"/>
    <w:rsid w:val="00EC3DDE"/>
    <w:rsid w:val="00EC4F59"/>
    <w:rsid w:val="00EC5A07"/>
    <w:rsid w:val="00ED1E68"/>
    <w:rsid w:val="00ED3E26"/>
    <w:rsid w:val="00ED442E"/>
    <w:rsid w:val="00ED4984"/>
    <w:rsid w:val="00ED6C27"/>
    <w:rsid w:val="00EE5BC0"/>
    <w:rsid w:val="00EF0492"/>
    <w:rsid w:val="00EF1559"/>
    <w:rsid w:val="00EF213E"/>
    <w:rsid w:val="00EF3221"/>
    <w:rsid w:val="00EF4D3A"/>
    <w:rsid w:val="00EF72E8"/>
    <w:rsid w:val="00F00C19"/>
    <w:rsid w:val="00F0266B"/>
    <w:rsid w:val="00F03054"/>
    <w:rsid w:val="00F03E79"/>
    <w:rsid w:val="00F04F5C"/>
    <w:rsid w:val="00F1086C"/>
    <w:rsid w:val="00F10DC0"/>
    <w:rsid w:val="00F14274"/>
    <w:rsid w:val="00F15C6A"/>
    <w:rsid w:val="00F16703"/>
    <w:rsid w:val="00F1686B"/>
    <w:rsid w:val="00F17A6D"/>
    <w:rsid w:val="00F2180B"/>
    <w:rsid w:val="00F251A7"/>
    <w:rsid w:val="00F25C72"/>
    <w:rsid w:val="00F25FBD"/>
    <w:rsid w:val="00F26863"/>
    <w:rsid w:val="00F30020"/>
    <w:rsid w:val="00F3056A"/>
    <w:rsid w:val="00F3076F"/>
    <w:rsid w:val="00F33108"/>
    <w:rsid w:val="00F3598C"/>
    <w:rsid w:val="00F4050F"/>
    <w:rsid w:val="00F427CF"/>
    <w:rsid w:val="00F42EAB"/>
    <w:rsid w:val="00F43E4E"/>
    <w:rsid w:val="00F4415C"/>
    <w:rsid w:val="00F4516B"/>
    <w:rsid w:val="00F47F14"/>
    <w:rsid w:val="00F50064"/>
    <w:rsid w:val="00F51A62"/>
    <w:rsid w:val="00F53AD1"/>
    <w:rsid w:val="00F603ED"/>
    <w:rsid w:val="00F608CE"/>
    <w:rsid w:val="00F61A44"/>
    <w:rsid w:val="00F6699D"/>
    <w:rsid w:val="00F67DF5"/>
    <w:rsid w:val="00F704B7"/>
    <w:rsid w:val="00F70CE7"/>
    <w:rsid w:val="00F77A36"/>
    <w:rsid w:val="00F80FA9"/>
    <w:rsid w:val="00F81290"/>
    <w:rsid w:val="00F81BAC"/>
    <w:rsid w:val="00F8310A"/>
    <w:rsid w:val="00F83501"/>
    <w:rsid w:val="00F84227"/>
    <w:rsid w:val="00F848DE"/>
    <w:rsid w:val="00F85104"/>
    <w:rsid w:val="00F852A7"/>
    <w:rsid w:val="00F93D59"/>
    <w:rsid w:val="00F9434E"/>
    <w:rsid w:val="00F9545C"/>
    <w:rsid w:val="00F9662A"/>
    <w:rsid w:val="00F9742F"/>
    <w:rsid w:val="00F97C0D"/>
    <w:rsid w:val="00F97FBC"/>
    <w:rsid w:val="00FA11C2"/>
    <w:rsid w:val="00FA29E8"/>
    <w:rsid w:val="00FA5508"/>
    <w:rsid w:val="00FA665B"/>
    <w:rsid w:val="00FA6B94"/>
    <w:rsid w:val="00FA70E9"/>
    <w:rsid w:val="00FB1B34"/>
    <w:rsid w:val="00FB479D"/>
    <w:rsid w:val="00FB7342"/>
    <w:rsid w:val="00FC0178"/>
    <w:rsid w:val="00FC1626"/>
    <w:rsid w:val="00FC16A7"/>
    <w:rsid w:val="00FC2352"/>
    <w:rsid w:val="00FC301A"/>
    <w:rsid w:val="00FC3A8F"/>
    <w:rsid w:val="00FC5AF9"/>
    <w:rsid w:val="00FC643B"/>
    <w:rsid w:val="00FC6820"/>
    <w:rsid w:val="00FD10FB"/>
    <w:rsid w:val="00FD1EC9"/>
    <w:rsid w:val="00FD23DE"/>
    <w:rsid w:val="00FD3DE5"/>
    <w:rsid w:val="00FD7378"/>
    <w:rsid w:val="00FE3886"/>
    <w:rsid w:val="00FE3D90"/>
    <w:rsid w:val="00FE436A"/>
    <w:rsid w:val="00FE7A28"/>
    <w:rsid w:val="00FF09A7"/>
    <w:rsid w:val="00FF114B"/>
    <w:rsid w:val="00FF192D"/>
    <w:rsid w:val="00FF1D84"/>
    <w:rsid w:val="00FF2ECD"/>
    <w:rsid w:val="00FF4B08"/>
    <w:rsid w:val="00FF647D"/>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2F5F51B"/>
  <w15:chartTrackingRefBased/>
  <w15:docId w15:val="{1EB151CA-DA61-40BA-94EC-B09DE1D2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uiPriority w:val="59"/>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5B5F63"/>
    <w:rPr>
      <w:sz w:val="20"/>
      <w:szCs w:val="20"/>
    </w:rPr>
  </w:style>
  <w:style w:type="character" w:styleId="EndnoteReference">
    <w:name w:val="endnote reference"/>
    <w:uiPriority w:val="99"/>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character" w:customStyle="1" w:styleId="EndnoteTextChar">
    <w:name w:val="Endnote Text Char"/>
    <w:basedOn w:val="DefaultParagraphFont"/>
    <w:link w:val="EndnoteText"/>
    <w:uiPriority w:val="99"/>
    <w:rsid w:val="0074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1446">
      <w:bodyDiv w:val="1"/>
      <w:marLeft w:val="0"/>
      <w:marRight w:val="0"/>
      <w:marTop w:val="0"/>
      <w:marBottom w:val="0"/>
      <w:divBdr>
        <w:top w:val="none" w:sz="0" w:space="0" w:color="auto"/>
        <w:left w:val="none" w:sz="0" w:space="0" w:color="auto"/>
        <w:bottom w:val="none" w:sz="0" w:space="0" w:color="auto"/>
        <w:right w:val="none" w:sz="0" w:space="0" w:color="auto"/>
      </w:divBdr>
    </w:div>
    <w:div w:id="1540237783">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ya9@cdc.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cnews.go.com/Health/genetically-modified-mosquito-study-florida-halt-spread-viruses/story?id=385433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2016/04/15/health/zika-virus-pregnancy-delay-birth-defects-cdc.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ewsweek.com/ddt-zika-mosquito-terrible-idea-422807" TargetMode="External"/><Relationship Id="rId4" Type="http://schemas.openxmlformats.org/officeDocument/2006/relationships/settings" Target="settings.xml"/><Relationship Id="rId9" Type="http://schemas.openxmlformats.org/officeDocument/2006/relationships/hyperlink" Target="https://www.bls.gov/oes/current/oes191041.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BD60-F2A0-4D4E-8F74-04570AD0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2997</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21162</CharactersWithSpaces>
  <SharedDoc>false</SharedDoc>
  <HLinks>
    <vt:vector size="6" baseType="variant">
      <vt:variant>
        <vt:i4>1966164</vt:i4>
      </vt:variant>
      <vt:variant>
        <vt:i4>3</vt:i4>
      </vt:variant>
      <vt:variant>
        <vt:i4>0</vt:i4>
      </vt:variant>
      <vt:variant>
        <vt:i4>5</vt:i4>
      </vt:variant>
      <vt:variant>
        <vt:lpwstr>http://www.bls.gov/oes/current/oes291069.htm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subject/>
  <dc:creator>Karen Whitaker</dc:creator>
  <cp:keywords/>
  <dc:description/>
  <cp:lastModifiedBy>Zirger, Jeffrey (CDC/OD/OADS)</cp:lastModifiedBy>
  <cp:revision>5</cp:revision>
  <cp:lastPrinted>2014-04-21T15:49:00Z</cp:lastPrinted>
  <dcterms:created xsi:type="dcterms:W3CDTF">2017-04-19T19:37:00Z</dcterms:created>
  <dcterms:modified xsi:type="dcterms:W3CDTF">2017-04-20T18:33:00Z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00000000CF608C3D02CA9849B71E5C35566998CC0700867A9C56DC8D0645863E3707AF83E473003BF0158152000071822ECA16DECF4AA5154568B08F129500006E39D6840000</vt:lpwstr>
  </property>
  <property fmtid="{D5CDD505-2E9C-101B-9397-08002B2CF9AE}" pid="5" name="_EmailStoreID0">
    <vt:lpwstr>0000000038A1BB1005E5101AA1BB08002B2A56C20000454D534D44422E444C4C00000000000000001B55FA20AA6611CD9BC800AA002FC45A0C00000076796139406364632E676F76002F6F3D4344432F6F753D45786368616E67652041646D696E6973747261746976652047726F7570202846594449424F484632335350444</vt:lpwstr>
  </property>
  <property fmtid="{D5CDD505-2E9C-101B-9397-08002B2CF9AE}" pid="6" name="_EmailStoreID1">
    <vt:lpwstr>C54292F636E3D526563697069656E74732F636E3D5065636874612C204C6175726166346600E94632F42C0000000200000010000000760079006100390040006300640063002E0067006F00760000000000</vt:lpwstr>
  </property>
  <property fmtid="{D5CDD505-2E9C-101B-9397-08002B2CF9AE}" pid="7" name="_DocHome">
    <vt:i4>972146359</vt:i4>
  </property>
</Properties>
</file>