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72E039" w14:textId="77777777" w:rsidR="00596BA1" w:rsidRPr="00022A54" w:rsidRDefault="00596BA1" w:rsidP="00596BA1">
      <w:pPr>
        <w:jc w:val="center"/>
        <w:rPr>
          <w:b/>
        </w:rPr>
      </w:pPr>
      <w:bookmarkStart w:id="0" w:name="_GoBack"/>
      <w:bookmarkEnd w:id="0"/>
    </w:p>
    <w:p w14:paraId="3210E0A5" w14:textId="77777777" w:rsidR="00306FC9" w:rsidRPr="007D6681" w:rsidRDefault="00306FC9" w:rsidP="00306FC9">
      <w:pPr>
        <w:jc w:val="center"/>
        <w:rPr>
          <w:b/>
        </w:rPr>
      </w:pPr>
      <w:r w:rsidRPr="007D6681">
        <w:rPr>
          <w:b/>
        </w:rPr>
        <w:t>GenIC Clearance for CDC/ATSDR</w:t>
      </w:r>
    </w:p>
    <w:p w14:paraId="4C86F009" w14:textId="77777777" w:rsidR="00306FC9" w:rsidRPr="007D6681" w:rsidRDefault="00306FC9" w:rsidP="00306FC9">
      <w:pPr>
        <w:jc w:val="center"/>
        <w:rPr>
          <w:b/>
        </w:rPr>
      </w:pPr>
      <w:r w:rsidRPr="007D6681">
        <w:rPr>
          <w:b/>
        </w:rPr>
        <w:t>Formative Research and Tool Development</w:t>
      </w:r>
    </w:p>
    <w:p w14:paraId="6FB357CB" w14:textId="77777777" w:rsidR="00306FC9" w:rsidRPr="007D6681" w:rsidRDefault="00306FC9" w:rsidP="00306FC9">
      <w:pPr>
        <w:jc w:val="center"/>
        <w:rPr>
          <w:b/>
        </w:rPr>
      </w:pPr>
    </w:p>
    <w:p w14:paraId="4E3BEE5F" w14:textId="77777777" w:rsidR="00596BA1" w:rsidRPr="007D6681" w:rsidRDefault="00306FC9" w:rsidP="00D728D9">
      <w:pPr>
        <w:spacing w:line="360" w:lineRule="auto"/>
        <w:jc w:val="center"/>
        <w:rPr>
          <w:b/>
          <w:color w:val="000000"/>
        </w:rPr>
      </w:pPr>
      <w:r w:rsidRPr="007D6681">
        <w:rPr>
          <w:b/>
          <w:color w:val="000000"/>
        </w:rPr>
        <w:t>Supporting Statement A</w:t>
      </w:r>
    </w:p>
    <w:p w14:paraId="18C8F777" w14:textId="592924B1" w:rsidR="00D2722C" w:rsidRPr="007D6681" w:rsidRDefault="00D2722C" w:rsidP="00D2722C">
      <w:pPr>
        <w:jc w:val="center"/>
        <w:rPr>
          <w:b/>
          <w:sz w:val="22"/>
          <w:szCs w:val="22"/>
        </w:rPr>
      </w:pPr>
      <w:r w:rsidRPr="007D6681">
        <w:rPr>
          <w:b/>
        </w:rPr>
        <w:t xml:space="preserve">Formative Research with Clinicians </w:t>
      </w:r>
      <w:r w:rsidR="002C675E">
        <w:rPr>
          <w:b/>
        </w:rPr>
        <w:t xml:space="preserve">for the Development </w:t>
      </w:r>
      <w:r w:rsidRPr="007D6681">
        <w:rPr>
          <w:b/>
        </w:rPr>
        <w:t>of Quantitative Metrics to Improve Antibiotic Prescribing Behavior in the Outpatient Setting</w:t>
      </w:r>
    </w:p>
    <w:p w14:paraId="382F9C67" w14:textId="77777777" w:rsidR="00596BA1" w:rsidRPr="00D728D9" w:rsidRDefault="00306FC9" w:rsidP="00D728D9">
      <w:pPr>
        <w:spacing w:line="360" w:lineRule="auto"/>
        <w:jc w:val="center"/>
        <w:rPr>
          <w:b/>
          <w:color w:val="000000"/>
        </w:rPr>
      </w:pPr>
      <w:r w:rsidRPr="007D6681">
        <w:rPr>
          <w:b/>
          <w:color w:val="000000"/>
        </w:rPr>
        <w:t>OMB number 0920-1154</w:t>
      </w:r>
    </w:p>
    <w:p w14:paraId="4A9C2F99" w14:textId="30AF829F" w:rsidR="006F3731" w:rsidRPr="00E56A25" w:rsidRDefault="003B1556" w:rsidP="006F3731">
      <w:pPr>
        <w:jc w:val="center"/>
      </w:pPr>
      <w:r>
        <w:t xml:space="preserve">September </w:t>
      </w:r>
      <w:r w:rsidR="00D97402">
        <w:t>11</w:t>
      </w:r>
      <w:r w:rsidR="006F3731" w:rsidRPr="00E56A25">
        <w:t>, 2018</w:t>
      </w:r>
    </w:p>
    <w:p w14:paraId="64DAD71F" w14:textId="77777777" w:rsidR="006F3731" w:rsidRDefault="006F3731" w:rsidP="006F3731"/>
    <w:p w14:paraId="3A7BB899" w14:textId="77777777" w:rsidR="006F3731" w:rsidRDefault="006F3731" w:rsidP="006F3731"/>
    <w:p w14:paraId="3765947B" w14:textId="77777777" w:rsidR="006F3731" w:rsidRDefault="006F3731" w:rsidP="006F3731"/>
    <w:p w14:paraId="4EFE16CA" w14:textId="77777777" w:rsidR="006F3731" w:rsidRDefault="006F3731" w:rsidP="006F3731"/>
    <w:p w14:paraId="04BD10A3" w14:textId="77777777" w:rsidR="006F3731" w:rsidRDefault="006F3731" w:rsidP="006F3731"/>
    <w:p w14:paraId="6433FB1B" w14:textId="77777777" w:rsidR="006F3731" w:rsidRDefault="006F3731" w:rsidP="006F3731"/>
    <w:p w14:paraId="393515FF" w14:textId="77777777" w:rsidR="006F3731" w:rsidRDefault="006F3731" w:rsidP="006F3731"/>
    <w:p w14:paraId="4499B3A6" w14:textId="77777777" w:rsidR="006F3731" w:rsidRDefault="006F3731" w:rsidP="006F3731"/>
    <w:p w14:paraId="578DC33E" w14:textId="77777777" w:rsidR="006F3731" w:rsidRDefault="006F3731" w:rsidP="006F3731"/>
    <w:p w14:paraId="7487F67D" w14:textId="77777777" w:rsidR="006F3731" w:rsidRPr="006F3731" w:rsidRDefault="006F3731" w:rsidP="006F3731"/>
    <w:p w14:paraId="6579B935" w14:textId="5386D4D7" w:rsidR="006F3731" w:rsidRPr="006F3731" w:rsidRDefault="006F3731" w:rsidP="006F3731">
      <w:pPr>
        <w:pStyle w:val="Subtitle"/>
        <w:rPr>
          <w:rFonts w:ascii="Times New Roman" w:eastAsia="Times New Roman" w:hAnsi="Times New Roman" w:cs="Times New Roman"/>
          <w:color w:val="auto"/>
          <w:spacing w:val="0"/>
          <w:sz w:val="24"/>
          <w:szCs w:val="24"/>
        </w:rPr>
      </w:pPr>
      <w:r>
        <w:rPr>
          <w:rFonts w:ascii="Times New Roman" w:eastAsia="Times New Roman" w:hAnsi="Times New Roman" w:cs="Times New Roman"/>
          <w:color w:val="auto"/>
          <w:spacing w:val="0"/>
          <w:sz w:val="24"/>
          <w:szCs w:val="24"/>
        </w:rPr>
        <w:t>Contact:</w:t>
      </w:r>
      <w:r>
        <w:rPr>
          <w:rFonts w:ascii="Times New Roman" w:eastAsia="Times New Roman" w:hAnsi="Times New Roman" w:cs="Times New Roman"/>
          <w:color w:val="auto"/>
          <w:spacing w:val="0"/>
          <w:sz w:val="24"/>
          <w:szCs w:val="24"/>
        </w:rPr>
        <w:br/>
      </w:r>
      <w:r w:rsidRPr="006F3731">
        <w:rPr>
          <w:rFonts w:ascii="Times New Roman" w:eastAsia="Times New Roman" w:hAnsi="Times New Roman" w:cs="Times New Roman"/>
          <w:color w:val="auto"/>
          <w:spacing w:val="0"/>
          <w:sz w:val="24"/>
          <w:szCs w:val="24"/>
        </w:rPr>
        <w:t>Colleen Brouillette</w:t>
      </w:r>
      <w:r>
        <w:rPr>
          <w:rFonts w:ascii="Times New Roman" w:eastAsia="Times New Roman" w:hAnsi="Times New Roman" w:cs="Times New Roman"/>
          <w:color w:val="auto"/>
          <w:spacing w:val="0"/>
          <w:sz w:val="24"/>
          <w:szCs w:val="24"/>
        </w:rPr>
        <w:br/>
      </w:r>
      <w:r w:rsidRPr="006F3731">
        <w:rPr>
          <w:rFonts w:ascii="Times New Roman" w:eastAsia="Times New Roman" w:hAnsi="Times New Roman" w:cs="Times New Roman"/>
          <w:color w:val="auto"/>
          <w:spacing w:val="0"/>
          <w:sz w:val="24"/>
          <w:szCs w:val="24"/>
        </w:rPr>
        <w:t>National Center for Emerging a</w:t>
      </w:r>
      <w:r>
        <w:rPr>
          <w:rFonts w:ascii="Times New Roman" w:eastAsia="Times New Roman" w:hAnsi="Times New Roman" w:cs="Times New Roman"/>
          <w:color w:val="auto"/>
          <w:spacing w:val="0"/>
          <w:sz w:val="24"/>
          <w:szCs w:val="24"/>
        </w:rPr>
        <w:t>nd Zoonotic Infectious Diseases</w:t>
      </w:r>
      <w:r>
        <w:rPr>
          <w:rFonts w:ascii="Times New Roman" w:eastAsia="Times New Roman" w:hAnsi="Times New Roman" w:cs="Times New Roman"/>
          <w:color w:val="auto"/>
          <w:spacing w:val="0"/>
          <w:sz w:val="24"/>
          <w:szCs w:val="24"/>
        </w:rPr>
        <w:br/>
      </w:r>
      <w:r w:rsidRPr="006F3731">
        <w:rPr>
          <w:rFonts w:ascii="Times New Roman" w:eastAsia="Times New Roman" w:hAnsi="Times New Roman" w:cs="Times New Roman"/>
          <w:color w:val="auto"/>
          <w:spacing w:val="0"/>
          <w:sz w:val="24"/>
          <w:szCs w:val="24"/>
        </w:rPr>
        <w:t xml:space="preserve">Centers for Disease Control and Prevention </w:t>
      </w:r>
      <w:r>
        <w:rPr>
          <w:rFonts w:ascii="Times New Roman" w:eastAsia="Times New Roman" w:hAnsi="Times New Roman" w:cs="Times New Roman"/>
          <w:color w:val="auto"/>
          <w:spacing w:val="0"/>
          <w:sz w:val="24"/>
          <w:szCs w:val="24"/>
        </w:rPr>
        <w:br/>
      </w:r>
      <w:r w:rsidRPr="006F3731">
        <w:rPr>
          <w:rFonts w:ascii="Times New Roman" w:eastAsia="Times New Roman" w:hAnsi="Times New Roman" w:cs="Times New Roman"/>
          <w:color w:val="auto"/>
          <w:spacing w:val="0"/>
          <w:sz w:val="24"/>
          <w:szCs w:val="24"/>
        </w:rPr>
        <w:t xml:space="preserve">1600 Clifton Road, NE </w:t>
      </w:r>
      <w:r w:rsidRPr="006F3731">
        <w:rPr>
          <w:rFonts w:ascii="Times New Roman" w:eastAsia="Times New Roman" w:hAnsi="Times New Roman" w:cs="Times New Roman"/>
          <w:color w:val="auto"/>
          <w:spacing w:val="0"/>
          <w:sz w:val="24"/>
          <w:szCs w:val="24"/>
        </w:rPr>
        <w:br/>
        <w:t xml:space="preserve">Atlanta, Georgia 30333 </w:t>
      </w:r>
      <w:r w:rsidRPr="006F3731">
        <w:rPr>
          <w:rFonts w:ascii="Times New Roman" w:eastAsia="Times New Roman" w:hAnsi="Times New Roman" w:cs="Times New Roman"/>
          <w:color w:val="auto"/>
          <w:spacing w:val="0"/>
          <w:sz w:val="24"/>
          <w:szCs w:val="24"/>
        </w:rPr>
        <w:br/>
        <w:t xml:space="preserve">Phone: (404) 718-1616 </w:t>
      </w:r>
      <w:r w:rsidRPr="006F3731">
        <w:rPr>
          <w:rFonts w:ascii="Times New Roman" w:eastAsia="Times New Roman" w:hAnsi="Times New Roman" w:cs="Times New Roman"/>
          <w:color w:val="auto"/>
          <w:spacing w:val="0"/>
          <w:sz w:val="24"/>
          <w:szCs w:val="24"/>
        </w:rPr>
        <w:br/>
      </w:r>
      <w:r w:rsidRPr="006F3731">
        <w:rPr>
          <w:rFonts w:ascii="Times New Roman" w:hAnsi="Times New Roman" w:cs="Times New Roman"/>
          <w:color w:val="auto"/>
          <w:sz w:val="24"/>
          <w:szCs w:val="24"/>
        </w:rPr>
        <w:t xml:space="preserve">Email: </w:t>
      </w:r>
      <w:hyperlink r:id="rId9" w:history="1">
        <w:r w:rsidRPr="006F3731">
          <w:rPr>
            <w:rFonts w:ascii="Times New Roman" w:hAnsi="Times New Roman" w:cs="Times New Roman"/>
            <w:color w:val="auto"/>
            <w:sz w:val="24"/>
            <w:szCs w:val="24"/>
          </w:rPr>
          <w:t>mfi3@cdc.gov</w:t>
        </w:r>
      </w:hyperlink>
    </w:p>
    <w:p w14:paraId="79844E30" w14:textId="77777777" w:rsidR="001C5FB5" w:rsidRDefault="001C5FB5" w:rsidP="007D1F60">
      <w:pPr>
        <w:ind w:left="0" w:firstLine="0"/>
      </w:pPr>
    </w:p>
    <w:p w14:paraId="03C1A48B" w14:textId="77777777" w:rsidR="006F3731" w:rsidRDefault="006F3731" w:rsidP="001C5FB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rPr>
      </w:pPr>
    </w:p>
    <w:p w14:paraId="4641D07D" w14:textId="77777777" w:rsidR="006F3731" w:rsidRDefault="006F3731" w:rsidP="001C5FB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rPr>
      </w:pPr>
    </w:p>
    <w:p w14:paraId="6243F986" w14:textId="77777777" w:rsidR="006F3731" w:rsidRDefault="006F3731" w:rsidP="001C5FB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rPr>
      </w:pPr>
    </w:p>
    <w:p w14:paraId="4AFF5639" w14:textId="77777777" w:rsidR="006F3731" w:rsidRDefault="006F3731" w:rsidP="001C5FB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rPr>
      </w:pPr>
    </w:p>
    <w:p w14:paraId="517248B5" w14:textId="77777777" w:rsidR="006F3731" w:rsidRDefault="006F3731" w:rsidP="001C5FB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rPr>
      </w:pPr>
    </w:p>
    <w:p w14:paraId="069D12CE" w14:textId="77777777" w:rsidR="006F3731" w:rsidRDefault="006F3731" w:rsidP="001C5FB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rPr>
      </w:pPr>
    </w:p>
    <w:p w14:paraId="4B5DDB9A" w14:textId="77777777" w:rsidR="006F3731" w:rsidRDefault="006F3731" w:rsidP="001C5FB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rPr>
      </w:pPr>
    </w:p>
    <w:p w14:paraId="63B8847E" w14:textId="50B503C1" w:rsidR="001C5FB5" w:rsidRPr="00783359" w:rsidRDefault="001C5FB5" w:rsidP="001C5FB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783359">
        <w:rPr>
          <w:rFonts w:ascii="Times New Roman" w:hAnsi="Times New Roman"/>
          <w:b/>
        </w:rPr>
        <w:t>TABLE OF CONTENTS</w:t>
      </w:r>
    </w:p>
    <w:p w14:paraId="38BFB5C2" w14:textId="77777777" w:rsidR="001C5FB5" w:rsidRPr="001C5FB5" w:rsidRDefault="001C5FB5" w:rsidP="001C5FB5">
      <w:pPr>
        <w:rPr>
          <w:b/>
        </w:rPr>
      </w:pPr>
      <w:r w:rsidRPr="001C5FB5">
        <w:rPr>
          <w:b/>
        </w:rPr>
        <w:t>A.</w:t>
      </w:r>
      <w:r w:rsidRPr="001C5FB5">
        <w:rPr>
          <w:b/>
        </w:rPr>
        <w:tab/>
        <w:t>Justification</w:t>
      </w:r>
    </w:p>
    <w:p w14:paraId="2DACA11B" w14:textId="77777777" w:rsidR="001C5FB5" w:rsidRPr="001C5FB5" w:rsidRDefault="001C5FB5" w:rsidP="001C5FB5">
      <w:pPr>
        <w:numPr>
          <w:ilvl w:val="0"/>
          <w:numId w:val="1"/>
        </w:numPr>
        <w:spacing w:after="0"/>
        <w:rPr>
          <w:bCs/>
        </w:rPr>
      </w:pPr>
      <w:r w:rsidRPr="001C5FB5">
        <w:rPr>
          <w:bCs/>
        </w:rPr>
        <w:t>Circumstances Making the Collection of Information Necessary</w:t>
      </w:r>
    </w:p>
    <w:p w14:paraId="52AD432D" w14:textId="77777777" w:rsidR="001C5FB5" w:rsidRPr="001C5FB5" w:rsidRDefault="001C5FB5" w:rsidP="001C5FB5">
      <w:pPr>
        <w:numPr>
          <w:ilvl w:val="0"/>
          <w:numId w:val="1"/>
        </w:numPr>
        <w:spacing w:after="0"/>
        <w:rPr>
          <w:bCs/>
        </w:rPr>
      </w:pPr>
      <w:r w:rsidRPr="001C5FB5">
        <w:rPr>
          <w:bCs/>
        </w:rPr>
        <w:t>Purpose and Use of the Information Collection</w:t>
      </w:r>
    </w:p>
    <w:p w14:paraId="5BF7024B" w14:textId="77777777" w:rsidR="001C5FB5" w:rsidRPr="001C5FB5" w:rsidRDefault="001C5FB5" w:rsidP="001C5FB5">
      <w:pPr>
        <w:numPr>
          <w:ilvl w:val="0"/>
          <w:numId w:val="1"/>
        </w:numPr>
        <w:spacing w:after="0"/>
        <w:rPr>
          <w:bCs/>
        </w:rPr>
      </w:pPr>
      <w:r w:rsidRPr="001C5FB5">
        <w:rPr>
          <w:bCs/>
        </w:rPr>
        <w:t>Use of Improved Information Technology and Burden Reduction</w:t>
      </w:r>
    </w:p>
    <w:p w14:paraId="2E1FD522" w14:textId="77777777" w:rsidR="001C5FB5" w:rsidRPr="001C5FB5" w:rsidRDefault="001C5FB5" w:rsidP="001C5FB5">
      <w:pPr>
        <w:numPr>
          <w:ilvl w:val="0"/>
          <w:numId w:val="1"/>
        </w:numPr>
        <w:spacing w:after="0"/>
        <w:rPr>
          <w:bCs/>
        </w:rPr>
      </w:pPr>
      <w:r w:rsidRPr="001C5FB5">
        <w:rPr>
          <w:bCs/>
        </w:rPr>
        <w:t>Efforts to Identify Duplication and Use of Similar Information</w:t>
      </w:r>
    </w:p>
    <w:p w14:paraId="164043AF" w14:textId="77777777" w:rsidR="001C5FB5" w:rsidRPr="001C5FB5" w:rsidRDefault="001C5FB5" w:rsidP="001C5FB5">
      <w:pPr>
        <w:numPr>
          <w:ilvl w:val="0"/>
          <w:numId w:val="1"/>
        </w:numPr>
        <w:spacing w:after="0"/>
        <w:rPr>
          <w:bCs/>
        </w:rPr>
      </w:pPr>
      <w:r w:rsidRPr="001C5FB5">
        <w:rPr>
          <w:bCs/>
        </w:rPr>
        <w:t>Impact on Small Businesses or Other Small Entities</w:t>
      </w:r>
    </w:p>
    <w:p w14:paraId="3A714B3E" w14:textId="77777777" w:rsidR="001C5FB5" w:rsidRPr="001C5FB5" w:rsidRDefault="001C5FB5" w:rsidP="001C5FB5">
      <w:pPr>
        <w:numPr>
          <w:ilvl w:val="0"/>
          <w:numId w:val="1"/>
        </w:numPr>
        <w:spacing w:after="0"/>
        <w:rPr>
          <w:bCs/>
        </w:rPr>
      </w:pPr>
      <w:r w:rsidRPr="001C5FB5">
        <w:rPr>
          <w:bCs/>
        </w:rPr>
        <w:t>Consequences of Collecting the Information Less Frequently</w:t>
      </w:r>
    </w:p>
    <w:p w14:paraId="27606BFB" w14:textId="77777777" w:rsidR="001C5FB5" w:rsidRPr="001C5FB5" w:rsidRDefault="001C5FB5" w:rsidP="001C5FB5">
      <w:pPr>
        <w:numPr>
          <w:ilvl w:val="0"/>
          <w:numId w:val="1"/>
        </w:numPr>
        <w:spacing w:after="0"/>
        <w:rPr>
          <w:bCs/>
        </w:rPr>
      </w:pPr>
      <w:r w:rsidRPr="001C5FB5">
        <w:rPr>
          <w:bCs/>
        </w:rPr>
        <w:t>Special Circumstances Relating to the Guidelines of 5 CFR 1320.5</w:t>
      </w:r>
    </w:p>
    <w:p w14:paraId="391B4996" w14:textId="77777777" w:rsidR="001C5FB5" w:rsidRPr="001C5FB5" w:rsidRDefault="001C5FB5" w:rsidP="001C5FB5">
      <w:pPr>
        <w:numPr>
          <w:ilvl w:val="0"/>
          <w:numId w:val="1"/>
        </w:numPr>
        <w:spacing w:after="0"/>
        <w:rPr>
          <w:bCs/>
        </w:rPr>
      </w:pPr>
      <w:r w:rsidRPr="001C5FB5">
        <w:rPr>
          <w:bCs/>
        </w:rPr>
        <w:t>Comments in Response to the Federal Register Notice and Efforts to Consult Outside the Agency</w:t>
      </w:r>
    </w:p>
    <w:p w14:paraId="66E2CB51" w14:textId="77777777" w:rsidR="001C5FB5" w:rsidRPr="001C5FB5" w:rsidRDefault="001C5FB5" w:rsidP="001C5FB5">
      <w:pPr>
        <w:numPr>
          <w:ilvl w:val="0"/>
          <w:numId w:val="1"/>
        </w:numPr>
        <w:spacing w:after="0"/>
        <w:rPr>
          <w:bCs/>
        </w:rPr>
      </w:pPr>
      <w:r w:rsidRPr="001C5FB5">
        <w:rPr>
          <w:bCs/>
        </w:rPr>
        <w:t>Explanation of Any Payment or Gift to Respondents</w:t>
      </w:r>
    </w:p>
    <w:p w14:paraId="259EDBBD" w14:textId="77777777" w:rsidR="001C5FB5" w:rsidRPr="001C5FB5" w:rsidRDefault="001C5FB5" w:rsidP="001C5FB5">
      <w:pPr>
        <w:numPr>
          <w:ilvl w:val="0"/>
          <w:numId w:val="1"/>
        </w:numPr>
        <w:spacing w:after="0"/>
        <w:rPr>
          <w:bCs/>
        </w:rPr>
      </w:pPr>
      <w:r w:rsidRPr="001C5FB5">
        <w:rPr>
          <w:bCs/>
        </w:rPr>
        <w:t>Protection of the Privacy and Confidentiality of Information Provided to Respondents</w:t>
      </w:r>
    </w:p>
    <w:p w14:paraId="5A60980F" w14:textId="77777777" w:rsidR="001C5FB5" w:rsidRPr="001C5FB5" w:rsidRDefault="001C5FB5" w:rsidP="001C5FB5">
      <w:pPr>
        <w:numPr>
          <w:ilvl w:val="0"/>
          <w:numId w:val="1"/>
        </w:numPr>
        <w:spacing w:after="0"/>
        <w:rPr>
          <w:bCs/>
        </w:rPr>
      </w:pPr>
      <w:r w:rsidRPr="001C5FB5">
        <w:rPr>
          <w:bCs/>
        </w:rPr>
        <w:t>Institutional Review Board (IRB) and Justification for Sensitive Questions</w:t>
      </w:r>
    </w:p>
    <w:p w14:paraId="46B64C58" w14:textId="77777777" w:rsidR="001C5FB5" w:rsidRPr="001C5FB5" w:rsidRDefault="001C5FB5" w:rsidP="001C5FB5">
      <w:pPr>
        <w:numPr>
          <w:ilvl w:val="0"/>
          <w:numId w:val="1"/>
        </w:numPr>
        <w:spacing w:after="0"/>
        <w:rPr>
          <w:bCs/>
        </w:rPr>
      </w:pPr>
      <w:r w:rsidRPr="001C5FB5">
        <w:rPr>
          <w:bCs/>
        </w:rPr>
        <w:t>Estimates of Annualized Burden Hours and Costs</w:t>
      </w:r>
    </w:p>
    <w:p w14:paraId="5A9B9E17" w14:textId="77777777" w:rsidR="001C5FB5" w:rsidRPr="001C5FB5" w:rsidRDefault="001C5FB5" w:rsidP="001C5FB5">
      <w:pPr>
        <w:numPr>
          <w:ilvl w:val="0"/>
          <w:numId w:val="1"/>
        </w:numPr>
        <w:spacing w:after="0"/>
        <w:rPr>
          <w:bCs/>
        </w:rPr>
      </w:pPr>
      <w:r w:rsidRPr="001C5FB5">
        <w:rPr>
          <w:bCs/>
        </w:rPr>
        <w:t>Estimates of Other Total Annual Cost Burden to Respondents and Record Keepers</w:t>
      </w:r>
    </w:p>
    <w:p w14:paraId="1F0CB532" w14:textId="77777777" w:rsidR="001C5FB5" w:rsidRPr="001C5FB5" w:rsidRDefault="001C5FB5" w:rsidP="001C5FB5">
      <w:pPr>
        <w:numPr>
          <w:ilvl w:val="0"/>
          <w:numId w:val="1"/>
        </w:numPr>
        <w:spacing w:after="0"/>
        <w:rPr>
          <w:bCs/>
        </w:rPr>
      </w:pPr>
      <w:r w:rsidRPr="001C5FB5">
        <w:rPr>
          <w:bCs/>
        </w:rPr>
        <w:t>Annualized Cost to the Federal Government</w:t>
      </w:r>
    </w:p>
    <w:p w14:paraId="458FF4AA" w14:textId="77777777" w:rsidR="001C5FB5" w:rsidRPr="001C5FB5" w:rsidRDefault="001C5FB5" w:rsidP="001C5FB5">
      <w:pPr>
        <w:numPr>
          <w:ilvl w:val="0"/>
          <w:numId w:val="1"/>
        </w:numPr>
        <w:spacing w:after="0"/>
        <w:rPr>
          <w:bCs/>
        </w:rPr>
      </w:pPr>
      <w:r w:rsidRPr="001C5FB5">
        <w:rPr>
          <w:bCs/>
        </w:rPr>
        <w:t>Explanation for Program Changes or Adjustments</w:t>
      </w:r>
    </w:p>
    <w:p w14:paraId="3EA9EBC2" w14:textId="77777777" w:rsidR="001C5FB5" w:rsidRPr="001C5FB5" w:rsidRDefault="001C5FB5" w:rsidP="001C5FB5">
      <w:pPr>
        <w:numPr>
          <w:ilvl w:val="0"/>
          <w:numId w:val="1"/>
        </w:numPr>
        <w:spacing w:after="0"/>
        <w:rPr>
          <w:bCs/>
        </w:rPr>
      </w:pPr>
      <w:r w:rsidRPr="001C5FB5">
        <w:rPr>
          <w:bCs/>
        </w:rPr>
        <w:t>Plans for Tabulation and Publication and Project Time Schedule</w:t>
      </w:r>
    </w:p>
    <w:p w14:paraId="17C64EB1" w14:textId="77777777" w:rsidR="001C5FB5" w:rsidRPr="001C5FB5" w:rsidRDefault="001C5FB5" w:rsidP="001C5FB5">
      <w:pPr>
        <w:numPr>
          <w:ilvl w:val="0"/>
          <w:numId w:val="1"/>
        </w:numPr>
        <w:spacing w:after="0"/>
        <w:rPr>
          <w:bCs/>
        </w:rPr>
      </w:pPr>
      <w:r w:rsidRPr="001C5FB5">
        <w:rPr>
          <w:bCs/>
        </w:rPr>
        <w:t>Reason(s) Display of OMB Expiration Date is Inappropriate</w:t>
      </w:r>
    </w:p>
    <w:p w14:paraId="2DC58E48" w14:textId="77777777" w:rsidR="001C5FB5" w:rsidRPr="001C5FB5" w:rsidRDefault="001C5FB5" w:rsidP="001C5FB5">
      <w:pPr>
        <w:numPr>
          <w:ilvl w:val="0"/>
          <w:numId w:val="1"/>
        </w:numPr>
        <w:spacing w:after="0"/>
        <w:rPr>
          <w:bCs/>
        </w:rPr>
      </w:pPr>
      <w:r w:rsidRPr="001C5FB5">
        <w:rPr>
          <w:bCs/>
        </w:rPr>
        <w:t>Exceptions to Certification for Paperwork Reduction Act Submissions</w:t>
      </w:r>
    </w:p>
    <w:p w14:paraId="0EF0198E" w14:textId="77777777" w:rsidR="001C5FB5" w:rsidRPr="00022A54" w:rsidRDefault="008374AC" w:rsidP="001C5FB5">
      <w:pPr>
        <w:spacing w:after="0"/>
      </w:pPr>
      <w:r w:rsidRPr="00022A54">
        <w:fldChar w:fldCharType="begin"/>
      </w:r>
      <w:r w:rsidR="001C5FB5" w:rsidRPr="00022A54">
        <w:instrText xml:space="preserve"> TOC \t "Exhibit Title,5" </w:instrText>
      </w:r>
      <w:r w:rsidRPr="00022A54">
        <w:fldChar w:fldCharType="separate"/>
      </w:r>
    </w:p>
    <w:p w14:paraId="2C11154F" w14:textId="77777777" w:rsidR="001C5FB5" w:rsidRDefault="001C5FB5" w:rsidP="001C5FB5">
      <w:pPr>
        <w:spacing w:after="0"/>
      </w:pPr>
    </w:p>
    <w:p w14:paraId="266B3E6F" w14:textId="77777777" w:rsidR="001C5FB5" w:rsidRDefault="001C5FB5" w:rsidP="001C5FB5">
      <w:pPr>
        <w:pStyle w:val="TOC0"/>
        <w:spacing w:after="0" w:line="360" w:lineRule="auto"/>
        <w:rPr>
          <w:sz w:val="24"/>
          <w:szCs w:val="24"/>
        </w:rPr>
      </w:pPr>
    </w:p>
    <w:p w14:paraId="7B46EDC8" w14:textId="77777777" w:rsidR="001C5FB5" w:rsidRPr="00D4442D" w:rsidRDefault="001C5FB5" w:rsidP="001C5FB5">
      <w:pPr>
        <w:pStyle w:val="TOC0"/>
        <w:spacing w:after="0" w:line="360" w:lineRule="auto"/>
        <w:rPr>
          <w:sz w:val="24"/>
          <w:szCs w:val="24"/>
        </w:rPr>
      </w:pPr>
      <w:r w:rsidRPr="007B69FE">
        <w:rPr>
          <w:sz w:val="24"/>
          <w:szCs w:val="24"/>
        </w:rPr>
        <w:t>LIST of ATTACHMENTS</w:t>
      </w:r>
    </w:p>
    <w:p w14:paraId="6B1CFA1B" w14:textId="363F2A8F" w:rsidR="001C5FB5" w:rsidRPr="00D4442D" w:rsidRDefault="001C5FB5" w:rsidP="001C5FB5">
      <w:pPr>
        <w:spacing w:before="40" w:after="40" w:line="276" w:lineRule="auto"/>
      </w:pPr>
      <w:r>
        <w:t>Attachment A.</w:t>
      </w:r>
      <w:r w:rsidRPr="00D4442D">
        <w:t xml:space="preserve"> </w:t>
      </w:r>
      <w:r w:rsidRPr="00D4442D">
        <w:tab/>
      </w:r>
      <w:r w:rsidR="007632E2">
        <w:t xml:space="preserve">Focus Group </w:t>
      </w:r>
      <w:r w:rsidR="00F73C09">
        <w:t>Guide</w:t>
      </w:r>
    </w:p>
    <w:p w14:paraId="51B3BFBD" w14:textId="362181F0" w:rsidR="001C5FB5" w:rsidRDefault="001C5FB5" w:rsidP="001C5FB5">
      <w:pPr>
        <w:spacing w:before="40" w:after="40" w:line="276" w:lineRule="auto"/>
      </w:pPr>
      <w:r w:rsidRPr="00D4442D">
        <w:t xml:space="preserve">Attachment </w:t>
      </w:r>
      <w:r>
        <w:t>B</w:t>
      </w:r>
      <w:r w:rsidRPr="00D4442D">
        <w:t xml:space="preserve">. </w:t>
      </w:r>
      <w:r w:rsidRPr="00D4442D">
        <w:tab/>
      </w:r>
      <w:r>
        <w:t xml:space="preserve">IRB Determination </w:t>
      </w:r>
      <w:r w:rsidR="007632E2">
        <w:t>Letter</w:t>
      </w:r>
    </w:p>
    <w:p w14:paraId="3E82930E" w14:textId="561F2B99" w:rsidR="006F3731" w:rsidRDefault="006F3731" w:rsidP="001C5FB5">
      <w:pPr>
        <w:spacing w:before="40" w:after="40" w:line="276" w:lineRule="auto"/>
      </w:pPr>
      <w:r>
        <w:t xml:space="preserve">Attachment C. </w:t>
      </w:r>
      <w:r>
        <w:tab/>
        <w:t>Recruitment Email</w:t>
      </w:r>
    </w:p>
    <w:p w14:paraId="04D87E54" w14:textId="5CA3A2E3" w:rsidR="00652872" w:rsidRDefault="00652872" w:rsidP="001C5FB5">
      <w:pPr>
        <w:spacing w:before="40" w:after="40" w:line="276" w:lineRule="auto"/>
      </w:pPr>
      <w:r>
        <w:t>Attachment D.</w:t>
      </w:r>
      <w:r>
        <w:tab/>
      </w:r>
      <w:r>
        <w:tab/>
        <w:t>Benchmark Presentation</w:t>
      </w:r>
    </w:p>
    <w:p w14:paraId="77CF9F15" w14:textId="77777777" w:rsidR="001C5FB5" w:rsidRDefault="001C5FB5" w:rsidP="001C5FB5">
      <w:pPr>
        <w:spacing w:after="0"/>
      </w:pPr>
    </w:p>
    <w:p w14:paraId="7316D845" w14:textId="77777777" w:rsidR="001C5FB5" w:rsidRDefault="001C5FB5" w:rsidP="001C5FB5">
      <w:pPr>
        <w:spacing w:after="0"/>
      </w:pPr>
    </w:p>
    <w:p w14:paraId="4E73C1C8" w14:textId="77777777" w:rsidR="001C5FB5" w:rsidRDefault="001C5FB5" w:rsidP="001C5FB5">
      <w:pPr>
        <w:spacing w:after="0"/>
      </w:pPr>
    </w:p>
    <w:p w14:paraId="49DDF317" w14:textId="77777777" w:rsidR="001C5FB5" w:rsidRDefault="001C5FB5" w:rsidP="001C5FB5">
      <w:pPr>
        <w:spacing w:after="0"/>
      </w:pPr>
    </w:p>
    <w:p w14:paraId="62C3A699" w14:textId="77777777" w:rsidR="001C5FB5" w:rsidRDefault="001C5FB5" w:rsidP="001C5FB5">
      <w:pPr>
        <w:spacing w:after="0"/>
      </w:pPr>
    </w:p>
    <w:p w14:paraId="06DB3558" w14:textId="77777777" w:rsidR="001C5FB5" w:rsidRDefault="001C5FB5" w:rsidP="001C5FB5"/>
    <w:p w14:paraId="229A2AD1" w14:textId="77777777" w:rsidR="001C5FB5" w:rsidRDefault="001C5FB5" w:rsidP="001C5FB5">
      <w:pPr>
        <w:jc w:val="center"/>
        <w:rPr>
          <w:rFonts w:ascii="Courier New" w:hAnsi="Courier New" w:cs="Courier New"/>
          <w:b/>
        </w:rPr>
      </w:pPr>
      <w:r>
        <w:br w:type="page"/>
      </w:r>
      <w:r w:rsidR="008374AC" w:rsidRPr="00022A54">
        <w:fldChar w:fldCharType="end"/>
      </w:r>
    </w:p>
    <w:p w14:paraId="0F695019" w14:textId="3875B393" w:rsidR="00C413F5" w:rsidRDefault="00A55B93">
      <w:r>
        <w:rPr>
          <w:noProof/>
        </w:rPr>
        <w:lastRenderedPageBreak/>
        <mc:AlternateContent>
          <mc:Choice Requires="wps">
            <w:drawing>
              <wp:anchor distT="0" distB="0" distL="114300" distR="114300" simplePos="0" relativeHeight="251657728" behindDoc="1" locked="0" layoutInCell="1" allowOverlap="1" wp14:anchorId="39AFED4E" wp14:editId="6ABB8F4F">
                <wp:simplePos x="0" y="0"/>
                <wp:positionH relativeFrom="margin">
                  <wp:align>center</wp:align>
                </wp:positionH>
                <wp:positionV relativeFrom="paragraph">
                  <wp:posOffset>0</wp:posOffset>
                </wp:positionV>
                <wp:extent cx="6490335" cy="6026785"/>
                <wp:effectExtent l="0" t="0" r="24765" b="12065"/>
                <wp:wrapThrough wrapText="bothSides">
                  <wp:wrapPolygon edited="0">
                    <wp:start x="0" y="0"/>
                    <wp:lineTo x="0" y="21575"/>
                    <wp:lineTo x="21619" y="21575"/>
                    <wp:lineTo x="21619" y="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0335" cy="6026785"/>
                        </a:xfrm>
                        <a:prstGeom prst="rect">
                          <a:avLst/>
                        </a:prstGeom>
                        <a:solidFill>
                          <a:srgbClr val="FFFFFF"/>
                        </a:solidFill>
                        <a:ln w="9525">
                          <a:solidFill>
                            <a:srgbClr val="000000"/>
                          </a:solidFill>
                          <a:miter lim="800000"/>
                          <a:headEnd/>
                          <a:tailEnd/>
                        </a:ln>
                      </wps:spPr>
                      <wps:txbx>
                        <w:txbxContent>
                          <w:p w14:paraId="16DA8C24" w14:textId="5F658280" w:rsidR="000150E9" w:rsidRDefault="000150E9" w:rsidP="00C413F5">
                            <w:pPr>
                              <w:pStyle w:val="ListParagraph"/>
                              <w:numPr>
                                <w:ilvl w:val="0"/>
                                <w:numId w:val="2"/>
                              </w:numPr>
                              <w:tabs>
                                <w:tab w:val="center" w:pos="4320"/>
                                <w:tab w:val="right" w:pos="8640"/>
                              </w:tabs>
                              <w:spacing w:before="120" w:after="240" w:line="276" w:lineRule="auto"/>
                              <w:contextualSpacing w:val="0"/>
                            </w:pPr>
                            <w:r w:rsidRPr="006D733E">
                              <w:rPr>
                                <w:b/>
                                <w:bCs/>
                              </w:rPr>
                              <w:t>Goals of the study:</w:t>
                            </w:r>
                            <w:r w:rsidRPr="00705047">
                              <w:t xml:space="preserve"> </w:t>
                            </w:r>
                            <w:r>
                              <w:t xml:space="preserve"> </w:t>
                            </w:r>
                            <w:r w:rsidRPr="007D1F60">
                              <w:t xml:space="preserve">To </w:t>
                            </w:r>
                            <w:r w:rsidR="002C675E">
                              <w:t>develop quantitative metrics</w:t>
                            </w:r>
                            <w:r w:rsidRPr="007D1F60">
                              <w:t xml:space="preserve"> to improve antibiotic prescribing for </w:t>
                            </w:r>
                            <w:r>
                              <w:t>Acute Respiratory Tract Infections (</w:t>
                            </w:r>
                            <w:r w:rsidRPr="007D1F60">
                              <w:t>ARTIs</w:t>
                            </w:r>
                            <w:r>
                              <w:t>)</w:t>
                            </w:r>
                            <w:r w:rsidRPr="007D1F60">
                              <w:t xml:space="preserve"> that incorporates primary care </w:t>
                            </w:r>
                            <w:r>
                              <w:t>pediatric prescribers</w:t>
                            </w:r>
                            <w:r w:rsidRPr="007D1F60">
                              <w:t xml:space="preserve"> perceptions and preferences of s</w:t>
                            </w:r>
                            <w:r>
                              <w:t>tewardship metrics.</w:t>
                            </w:r>
                          </w:p>
                          <w:p w14:paraId="593EEEDC" w14:textId="77777777" w:rsidR="000150E9" w:rsidRPr="000A703A" w:rsidRDefault="000150E9" w:rsidP="00C413F5">
                            <w:pPr>
                              <w:pStyle w:val="ListParagraph"/>
                              <w:spacing w:before="120" w:after="240" w:line="276" w:lineRule="auto"/>
                              <w:ind w:left="0" w:firstLine="0"/>
                            </w:pPr>
                          </w:p>
                          <w:p w14:paraId="5E5E4716" w14:textId="140EA707" w:rsidR="000150E9" w:rsidRDefault="000150E9" w:rsidP="00C413F5">
                            <w:pPr>
                              <w:pStyle w:val="ListParagraph"/>
                              <w:numPr>
                                <w:ilvl w:val="0"/>
                                <w:numId w:val="2"/>
                              </w:numPr>
                              <w:tabs>
                                <w:tab w:val="center" w:pos="4320"/>
                                <w:tab w:val="right" w:pos="8640"/>
                              </w:tabs>
                              <w:spacing w:before="120" w:after="240" w:line="276" w:lineRule="auto"/>
                              <w:contextualSpacing w:val="0"/>
                            </w:pPr>
                            <w:r w:rsidRPr="00EC379D">
                              <w:rPr>
                                <w:b/>
                                <w:bCs/>
                              </w:rPr>
                              <w:t>Intended use of the resulting data:</w:t>
                            </w:r>
                            <w:r>
                              <w:t xml:space="preserve"> The data will be used to </w:t>
                            </w:r>
                            <w:r w:rsidR="002C675E">
                              <w:t>develop quantitative metrics to assess</w:t>
                            </w:r>
                            <w:r>
                              <w:t xml:space="preserve"> primary care pediatric </w:t>
                            </w:r>
                            <w:r w:rsidR="002C675E">
                              <w:t>antibiotic prescribing</w:t>
                            </w:r>
                          </w:p>
                          <w:p w14:paraId="61D9F6AD" w14:textId="77777777" w:rsidR="000150E9" w:rsidRDefault="000150E9" w:rsidP="00C413F5">
                            <w:pPr>
                              <w:pStyle w:val="ListParagraph"/>
                            </w:pPr>
                          </w:p>
                          <w:p w14:paraId="01D922F8" w14:textId="112A7510" w:rsidR="000150E9" w:rsidRPr="00783359" w:rsidRDefault="000150E9" w:rsidP="00C413F5">
                            <w:pPr>
                              <w:pStyle w:val="ListParagraph"/>
                              <w:numPr>
                                <w:ilvl w:val="0"/>
                                <w:numId w:val="2"/>
                              </w:numPr>
                              <w:tabs>
                                <w:tab w:val="center" w:pos="4320"/>
                                <w:tab w:val="right" w:pos="8640"/>
                              </w:tabs>
                              <w:spacing w:before="120" w:after="240" w:line="276" w:lineRule="auto"/>
                              <w:contextualSpacing w:val="0"/>
                              <w:rPr>
                                <w:b/>
                                <w:bCs/>
                              </w:rPr>
                            </w:pPr>
                            <w:r w:rsidRPr="00705047">
                              <w:rPr>
                                <w:b/>
                                <w:bCs/>
                              </w:rPr>
                              <w:t xml:space="preserve">Methods to be used to collect data: </w:t>
                            </w:r>
                            <w:r w:rsidRPr="00C413F5">
                              <w:t xml:space="preserve">We will conduct a qualitative study using a series of focus groups to understand prescribing clinician perceptions about the barriers to judicious prescribing for ARTIs, their thoughts </w:t>
                            </w:r>
                            <w:r w:rsidR="002C675E">
                              <w:t>stewardship metrics</w:t>
                            </w:r>
                            <w:r w:rsidRPr="00C413F5">
                              <w:t xml:space="preserve"> and benchmark</w:t>
                            </w:r>
                            <w:r w:rsidR="002C675E">
                              <w:t>s</w:t>
                            </w:r>
                            <w:r w:rsidRPr="00C413F5">
                              <w:t>, ideas for possible interventions and feedback on intervention mock-up</w:t>
                            </w:r>
                            <w:r w:rsidR="002C675E">
                              <w:t xml:space="preserve"> metric</w:t>
                            </w:r>
                            <w:r w:rsidRPr="00C413F5">
                              <w:t xml:space="preserve">s. We will conduct these focus groups in </w:t>
                            </w:r>
                            <w:r>
                              <w:t xml:space="preserve">four </w:t>
                            </w:r>
                            <w:r w:rsidRPr="00C413F5">
                              <w:t xml:space="preserve">practices in the </w:t>
                            </w:r>
                            <w:r w:rsidR="004B484A" w:rsidRPr="000206FB">
                              <w:t xml:space="preserve">Children’s Hospital of Philadelphia </w:t>
                            </w:r>
                            <w:r w:rsidR="004B484A">
                              <w:t>(</w:t>
                            </w:r>
                            <w:r w:rsidRPr="00C413F5">
                              <w:t>CHOP</w:t>
                            </w:r>
                            <w:r w:rsidR="004B484A">
                              <w:t>)</w:t>
                            </w:r>
                            <w:r w:rsidRPr="00C413F5">
                              <w:t xml:space="preserve"> primary care network: a large urban academic practice, a large suburban practice, </w:t>
                            </w:r>
                            <w:r>
                              <w:t xml:space="preserve">a shore practice, </w:t>
                            </w:r>
                            <w:r w:rsidRPr="00C413F5">
                              <w:t>and a small rural practice.</w:t>
                            </w:r>
                          </w:p>
                          <w:p w14:paraId="021F2897" w14:textId="77777777" w:rsidR="000150E9" w:rsidRPr="00705047" w:rsidRDefault="000150E9" w:rsidP="00C413F5">
                            <w:pPr>
                              <w:pStyle w:val="ListParagraph"/>
                              <w:spacing w:before="120" w:after="240" w:line="276" w:lineRule="auto"/>
                              <w:ind w:firstLine="0"/>
                              <w:rPr>
                                <w:b/>
                                <w:bCs/>
                              </w:rPr>
                            </w:pPr>
                          </w:p>
                          <w:p w14:paraId="0064C795" w14:textId="77777777" w:rsidR="000150E9" w:rsidRDefault="000150E9" w:rsidP="007632E2">
                            <w:pPr>
                              <w:pStyle w:val="ListParagraph"/>
                              <w:numPr>
                                <w:ilvl w:val="0"/>
                                <w:numId w:val="2"/>
                              </w:numPr>
                              <w:tabs>
                                <w:tab w:val="center" w:pos="4320"/>
                                <w:tab w:val="right" w:pos="8640"/>
                              </w:tabs>
                              <w:spacing w:before="120" w:after="240" w:line="276" w:lineRule="auto"/>
                              <w:contextualSpacing w:val="0"/>
                            </w:pPr>
                            <w:r w:rsidRPr="00C413F5">
                              <w:rPr>
                                <w:b/>
                                <w:bCs/>
                              </w:rPr>
                              <w:t>The subpopulation to be studied:</w:t>
                            </w:r>
                            <w:r w:rsidRPr="00705047">
                              <w:t xml:space="preserve"> </w:t>
                            </w:r>
                            <w:r w:rsidRPr="00C413F5">
                              <w:t xml:space="preserve">We will recruit </w:t>
                            </w:r>
                            <w:r>
                              <w:t xml:space="preserve">6 </w:t>
                            </w:r>
                            <w:r w:rsidRPr="00C413F5">
                              <w:t>prescribing clinicians</w:t>
                            </w:r>
                            <w:r>
                              <w:t xml:space="preserve"> (physicians and nurse practitioners) </w:t>
                            </w:r>
                            <w:r w:rsidRPr="00C413F5">
                              <w:t xml:space="preserve">to participate in each focus group and will aim to include </w:t>
                            </w:r>
                            <w:r>
                              <w:t>individuals</w:t>
                            </w:r>
                            <w:r w:rsidRPr="00C413F5">
                              <w:t xml:space="preserve"> who have been in practice for varying amounts of time.</w:t>
                            </w:r>
                          </w:p>
                          <w:p w14:paraId="35495560" w14:textId="77777777" w:rsidR="000150E9" w:rsidRDefault="000150E9" w:rsidP="00C413F5">
                            <w:pPr>
                              <w:pStyle w:val="ListParagraph"/>
                            </w:pPr>
                          </w:p>
                          <w:p w14:paraId="595D0334" w14:textId="77777777" w:rsidR="000150E9" w:rsidRDefault="000150E9" w:rsidP="00C413F5">
                            <w:pPr>
                              <w:pStyle w:val="ListParagraph"/>
                              <w:spacing w:before="120" w:after="240" w:line="276" w:lineRule="auto"/>
                              <w:ind w:firstLine="0"/>
                            </w:pPr>
                          </w:p>
                          <w:p w14:paraId="6050CD4C" w14:textId="77777777" w:rsidR="000150E9" w:rsidRDefault="000150E9" w:rsidP="00C413F5">
                            <w:pPr>
                              <w:pStyle w:val="ListParagraph"/>
                              <w:numPr>
                                <w:ilvl w:val="0"/>
                                <w:numId w:val="2"/>
                              </w:numPr>
                              <w:tabs>
                                <w:tab w:val="center" w:pos="4320"/>
                                <w:tab w:val="right" w:pos="8640"/>
                              </w:tabs>
                              <w:spacing w:after="200" w:line="276" w:lineRule="auto"/>
                              <w:contextualSpacing w:val="0"/>
                            </w:pPr>
                            <w:r w:rsidRPr="000467B8">
                              <w:rPr>
                                <w:b/>
                              </w:rPr>
                              <w:t>How data will be analyzed:</w:t>
                            </w:r>
                            <w:r w:rsidRPr="00705047">
                              <w:t xml:space="preserve"> </w:t>
                            </w:r>
                            <w:r w:rsidRPr="00C413F5">
                              <w:t>All focus group transcripts will be uploaded to NVivo 1</w:t>
                            </w:r>
                            <w:r>
                              <w:t>2</w:t>
                            </w:r>
                            <w:r w:rsidRPr="00C413F5">
                              <w:t xml:space="preserve"> data analysis software for management and coding. Dr. Szymczak will work with a qualitative study coordinator to code the transcripts using standard methods of inductive theory building and the constant comparative method to identify patterns in the 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0;width:511.05pt;height:474.55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">
                <v:textbox>
                  <w:txbxContent>
                    <w:p w14:paraId="16DA8C24" w14:textId="5F658280" w:rsidR="000150E9" w:rsidRDefault="000150E9" w:rsidP="00C413F5">
                      <w:pPr>
                        <w:pStyle w:val="ListParagraph"/>
                        <w:numPr>
                          <w:ilvl w:val="0"/>
                          <w:numId w:val="2"/>
                        </w:numPr>
                        <w:tabs>
                          <w:tab w:val="center" w:pos="4320"/>
                          <w:tab w:val="right" w:pos="8640"/>
                        </w:tabs>
                        <w:spacing w:before="120" w:after="240" w:line="276" w:lineRule="auto"/>
                        <w:contextualSpacing w:val="0"/>
                      </w:pPr>
                      <w:r w:rsidRPr="006D733E">
                        <w:rPr>
                          <w:b/>
                          <w:bCs/>
                        </w:rPr>
                        <w:t>Goals of the study:</w:t>
                      </w:r>
                      <w:r w:rsidRPr="00705047">
                        <w:t xml:space="preserve"> </w:t>
                      </w:r>
                      <w:r>
                        <w:t xml:space="preserve"> </w:t>
                      </w:r>
                      <w:r w:rsidRPr="007D1F60">
                        <w:t xml:space="preserve">To </w:t>
                      </w:r>
                      <w:r w:rsidR="002C675E">
                        <w:t>develop quantitative metrics</w:t>
                      </w:r>
                      <w:r w:rsidRPr="007D1F60">
                        <w:t xml:space="preserve"> to improve antibiotic prescribing for </w:t>
                      </w:r>
                      <w:r>
                        <w:t>Acute Respiratory Tract Infections (</w:t>
                      </w:r>
                      <w:r w:rsidRPr="007D1F60">
                        <w:t>ARTIs</w:t>
                      </w:r>
                      <w:r>
                        <w:t>)</w:t>
                      </w:r>
                      <w:r w:rsidRPr="007D1F60">
                        <w:t xml:space="preserve"> that incorporates primary care </w:t>
                      </w:r>
                      <w:r>
                        <w:t>pediatric prescribers</w:t>
                      </w:r>
                      <w:r w:rsidRPr="007D1F60">
                        <w:t xml:space="preserve"> perceptions and preferences of s</w:t>
                      </w:r>
                      <w:r>
                        <w:t>tewardship metrics.</w:t>
                      </w:r>
                    </w:p>
                    <w:p w14:paraId="593EEEDC" w14:textId="77777777" w:rsidR="000150E9" w:rsidRPr="000A703A" w:rsidRDefault="000150E9" w:rsidP="00C413F5">
                      <w:pPr>
                        <w:pStyle w:val="ListParagraph"/>
                        <w:spacing w:before="120" w:after="240" w:line="276" w:lineRule="auto"/>
                        <w:ind w:left="0" w:firstLine="0"/>
                      </w:pPr>
                    </w:p>
                    <w:p w14:paraId="5E5E4716" w14:textId="140EA707" w:rsidR="000150E9" w:rsidRDefault="000150E9" w:rsidP="00C413F5">
                      <w:pPr>
                        <w:pStyle w:val="ListParagraph"/>
                        <w:numPr>
                          <w:ilvl w:val="0"/>
                          <w:numId w:val="2"/>
                        </w:numPr>
                        <w:tabs>
                          <w:tab w:val="center" w:pos="4320"/>
                          <w:tab w:val="right" w:pos="8640"/>
                        </w:tabs>
                        <w:spacing w:before="120" w:after="240" w:line="276" w:lineRule="auto"/>
                        <w:contextualSpacing w:val="0"/>
                      </w:pPr>
                      <w:r w:rsidRPr="00EC379D">
                        <w:rPr>
                          <w:b/>
                          <w:bCs/>
                        </w:rPr>
                        <w:t>Intended use of the resulting data:</w:t>
                      </w:r>
                      <w:r>
                        <w:t xml:space="preserve"> The data will be used to </w:t>
                      </w:r>
                      <w:r w:rsidR="002C675E">
                        <w:t>develop quantitative metrics to assess</w:t>
                      </w:r>
                      <w:r>
                        <w:t xml:space="preserve"> primary care pediatric </w:t>
                      </w:r>
                      <w:r w:rsidR="002C675E">
                        <w:t>antibiotic prescribing</w:t>
                      </w:r>
                    </w:p>
                    <w:p w14:paraId="61D9F6AD" w14:textId="77777777" w:rsidR="000150E9" w:rsidRDefault="000150E9" w:rsidP="00C413F5">
                      <w:pPr>
                        <w:pStyle w:val="ListParagraph"/>
                      </w:pPr>
                    </w:p>
                    <w:p w14:paraId="01D922F8" w14:textId="112A7510" w:rsidR="000150E9" w:rsidRPr="00783359" w:rsidRDefault="000150E9" w:rsidP="00C413F5">
                      <w:pPr>
                        <w:pStyle w:val="ListParagraph"/>
                        <w:numPr>
                          <w:ilvl w:val="0"/>
                          <w:numId w:val="2"/>
                        </w:numPr>
                        <w:tabs>
                          <w:tab w:val="center" w:pos="4320"/>
                          <w:tab w:val="right" w:pos="8640"/>
                        </w:tabs>
                        <w:spacing w:before="120" w:after="240" w:line="276" w:lineRule="auto"/>
                        <w:contextualSpacing w:val="0"/>
                        <w:rPr>
                          <w:b/>
                          <w:bCs/>
                        </w:rPr>
                      </w:pPr>
                      <w:r w:rsidRPr="00705047">
                        <w:rPr>
                          <w:b/>
                          <w:bCs/>
                        </w:rPr>
                        <w:t xml:space="preserve">Methods to be used to collect data: </w:t>
                      </w:r>
                      <w:r w:rsidRPr="00C413F5">
                        <w:t xml:space="preserve">We will conduct a qualitative study using a series of focus groups to understand prescribing clinician perceptions about the barriers to judicious prescribing for ARTIs, their thoughts </w:t>
                      </w:r>
                      <w:r w:rsidR="002C675E">
                        <w:t>stewardship metrics</w:t>
                      </w:r>
                      <w:r w:rsidRPr="00C413F5">
                        <w:t xml:space="preserve"> and benchmark</w:t>
                      </w:r>
                      <w:r w:rsidR="002C675E">
                        <w:t>s</w:t>
                      </w:r>
                      <w:r w:rsidRPr="00C413F5">
                        <w:t>, ideas for possible interventions and feedback on intervention mock-up</w:t>
                      </w:r>
                      <w:r w:rsidR="002C675E">
                        <w:t xml:space="preserve"> metric</w:t>
                      </w:r>
                      <w:r w:rsidRPr="00C413F5">
                        <w:t xml:space="preserve">s. We will conduct these focus groups in </w:t>
                      </w:r>
                      <w:r>
                        <w:t xml:space="preserve">four </w:t>
                      </w:r>
                      <w:r w:rsidRPr="00C413F5">
                        <w:t xml:space="preserve">practices in the </w:t>
                      </w:r>
                      <w:r w:rsidR="004B484A" w:rsidRPr="000206FB">
                        <w:t xml:space="preserve">Children’s Hospital of Philadelphia </w:t>
                      </w:r>
                      <w:r w:rsidR="004B484A">
                        <w:t>(</w:t>
                      </w:r>
                      <w:r w:rsidRPr="00C413F5">
                        <w:t>CHOP</w:t>
                      </w:r>
                      <w:r w:rsidR="004B484A">
                        <w:t>)</w:t>
                      </w:r>
                      <w:r w:rsidRPr="00C413F5">
                        <w:t xml:space="preserve"> primary care network: a large urban academic practice, a large suburban practice, </w:t>
                      </w:r>
                      <w:r>
                        <w:t xml:space="preserve">a shore practice, </w:t>
                      </w:r>
                      <w:r w:rsidRPr="00C413F5">
                        <w:t>and a small rural practice.</w:t>
                      </w:r>
                    </w:p>
                    <w:p w14:paraId="021F2897" w14:textId="77777777" w:rsidR="000150E9" w:rsidRPr="00705047" w:rsidRDefault="000150E9" w:rsidP="00C413F5">
                      <w:pPr>
                        <w:pStyle w:val="ListParagraph"/>
                        <w:spacing w:before="120" w:after="240" w:line="276" w:lineRule="auto"/>
                        <w:ind w:firstLine="0"/>
                        <w:rPr>
                          <w:b/>
                          <w:bCs/>
                        </w:rPr>
                      </w:pPr>
                    </w:p>
                    <w:p w14:paraId="0064C795" w14:textId="77777777" w:rsidR="000150E9" w:rsidRDefault="000150E9" w:rsidP="007632E2">
                      <w:pPr>
                        <w:pStyle w:val="ListParagraph"/>
                        <w:numPr>
                          <w:ilvl w:val="0"/>
                          <w:numId w:val="2"/>
                        </w:numPr>
                        <w:tabs>
                          <w:tab w:val="center" w:pos="4320"/>
                          <w:tab w:val="right" w:pos="8640"/>
                        </w:tabs>
                        <w:spacing w:before="120" w:after="240" w:line="276" w:lineRule="auto"/>
                        <w:contextualSpacing w:val="0"/>
                      </w:pPr>
                      <w:r w:rsidRPr="00C413F5">
                        <w:rPr>
                          <w:b/>
                          <w:bCs/>
                        </w:rPr>
                        <w:t>The subpopulation to be studied:</w:t>
                      </w:r>
                      <w:r w:rsidRPr="00705047">
                        <w:t xml:space="preserve"> </w:t>
                      </w:r>
                      <w:r w:rsidRPr="00C413F5">
                        <w:t xml:space="preserve">We will recruit </w:t>
                      </w:r>
                      <w:r>
                        <w:t xml:space="preserve">6 </w:t>
                      </w:r>
                      <w:r w:rsidRPr="00C413F5">
                        <w:t>prescribing clinicians</w:t>
                      </w:r>
                      <w:r>
                        <w:t xml:space="preserve"> (physicians and nurse practitioners) </w:t>
                      </w:r>
                      <w:r w:rsidRPr="00C413F5">
                        <w:t xml:space="preserve">to participate in each focus group and will aim to include </w:t>
                      </w:r>
                      <w:r>
                        <w:t>individuals</w:t>
                      </w:r>
                      <w:r w:rsidRPr="00C413F5">
                        <w:t xml:space="preserve"> who have been in practice for varying amounts of time.</w:t>
                      </w:r>
                    </w:p>
                    <w:p w14:paraId="35495560" w14:textId="77777777" w:rsidR="000150E9" w:rsidRDefault="000150E9" w:rsidP="00C413F5">
                      <w:pPr>
                        <w:pStyle w:val="ListParagraph"/>
                      </w:pPr>
                    </w:p>
                    <w:p w14:paraId="595D0334" w14:textId="77777777" w:rsidR="000150E9" w:rsidRDefault="000150E9" w:rsidP="00C413F5">
                      <w:pPr>
                        <w:pStyle w:val="ListParagraph"/>
                        <w:spacing w:before="120" w:after="240" w:line="276" w:lineRule="auto"/>
                        <w:ind w:firstLine="0"/>
                      </w:pPr>
                    </w:p>
                    <w:p w14:paraId="6050CD4C" w14:textId="77777777" w:rsidR="000150E9" w:rsidRDefault="000150E9" w:rsidP="00C413F5">
                      <w:pPr>
                        <w:pStyle w:val="ListParagraph"/>
                        <w:numPr>
                          <w:ilvl w:val="0"/>
                          <w:numId w:val="2"/>
                        </w:numPr>
                        <w:tabs>
                          <w:tab w:val="center" w:pos="4320"/>
                          <w:tab w:val="right" w:pos="8640"/>
                        </w:tabs>
                        <w:spacing w:after="200" w:line="276" w:lineRule="auto"/>
                        <w:contextualSpacing w:val="0"/>
                      </w:pPr>
                      <w:r w:rsidRPr="000467B8">
                        <w:rPr>
                          <w:b/>
                        </w:rPr>
                        <w:t>How data will be analyzed:</w:t>
                      </w:r>
                      <w:r w:rsidRPr="00705047">
                        <w:t xml:space="preserve"> </w:t>
                      </w:r>
                      <w:r w:rsidRPr="00C413F5">
                        <w:t>All focus group transcripts will be uploaded to NVivo 1</w:t>
                      </w:r>
                      <w:r>
                        <w:t>2</w:t>
                      </w:r>
                      <w:r w:rsidRPr="00C413F5">
                        <w:t xml:space="preserve"> data analysis software for management and coding. Dr. Szymczak will work with a qualitative study coordinator to code the transcripts using standard methods of inductive theory building and the constant comparative method to identify patterns in the data.</w:t>
                      </w:r>
                    </w:p>
                  </w:txbxContent>
                </v:textbox>
                <w10:wrap type="through" anchorx="margin"/>
              </v:shape>
            </w:pict>
          </mc:Fallback>
        </mc:AlternateContent>
      </w:r>
    </w:p>
    <w:p w14:paraId="56327D16" w14:textId="77777777" w:rsidR="00C413F5" w:rsidRDefault="00C413F5"/>
    <w:p w14:paraId="69F5A30F" w14:textId="77777777" w:rsidR="00C413F5" w:rsidRDefault="00C413F5"/>
    <w:p w14:paraId="0F7D7023" w14:textId="77777777" w:rsidR="00C413F5" w:rsidRDefault="00C413F5"/>
    <w:p w14:paraId="5A43A197" w14:textId="77777777" w:rsidR="00C413F5" w:rsidRDefault="00C413F5"/>
    <w:p w14:paraId="6F9B0481" w14:textId="77777777" w:rsidR="00C413F5" w:rsidRDefault="00C413F5"/>
    <w:p w14:paraId="2908C339" w14:textId="77777777" w:rsidR="00C413F5" w:rsidRDefault="00C413F5"/>
    <w:p w14:paraId="50362D02" w14:textId="77777777" w:rsidR="00C413F5" w:rsidRDefault="00C413F5"/>
    <w:p w14:paraId="402D0A8F" w14:textId="77777777" w:rsidR="00C413F5" w:rsidRPr="00022A54" w:rsidRDefault="00C413F5" w:rsidP="00C413F5">
      <w:pPr>
        <w:tabs>
          <w:tab w:val="left" w:pos="-1440"/>
        </w:tabs>
        <w:ind w:left="720" w:hanging="720"/>
        <w:rPr>
          <w:b/>
          <w:bCs/>
        </w:rPr>
      </w:pPr>
      <w:r w:rsidRPr="00022A54">
        <w:rPr>
          <w:b/>
          <w:bCs/>
        </w:rPr>
        <w:t>A.</w:t>
      </w:r>
      <w:r w:rsidRPr="00022A54">
        <w:rPr>
          <w:b/>
          <w:bCs/>
        </w:rPr>
        <w:tab/>
        <w:t>JUSTIFICATION</w:t>
      </w:r>
    </w:p>
    <w:p w14:paraId="1AFAF182" w14:textId="77777777" w:rsidR="001C5FB5" w:rsidRPr="000206FB" w:rsidRDefault="00C413F5" w:rsidP="00C413F5">
      <w:pPr>
        <w:tabs>
          <w:tab w:val="left" w:pos="-1440"/>
        </w:tabs>
        <w:ind w:left="720" w:hanging="720"/>
        <w:rPr>
          <w:b/>
          <w:bCs/>
          <w:u w:val="single"/>
        </w:rPr>
      </w:pPr>
      <w:r w:rsidRPr="00022A54">
        <w:rPr>
          <w:b/>
          <w:bCs/>
        </w:rPr>
        <w:t>1</w:t>
      </w:r>
      <w:r>
        <w:rPr>
          <w:b/>
          <w:bCs/>
        </w:rPr>
        <w:t xml:space="preserve">. </w:t>
      </w:r>
      <w:r w:rsidRPr="000206FB">
        <w:rPr>
          <w:b/>
          <w:bCs/>
        </w:rPr>
        <w:t>Circumstances Making the Collection of Information Necessary</w:t>
      </w:r>
    </w:p>
    <w:p w14:paraId="280FCEBC" w14:textId="2C3FD85D" w:rsidR="007632E2" w:rsidRPr="000206FB" w:rsidRDefault="007632E2" w:rsidP="007632E2">
      <w:pPr>
        <w:pStyle w:val="CommentText"/>
        <w:spacing w:line="480" w:lineRule="auto"/>
        <w:ind w:firstLine="720"/>
        <w:rPr>
          <w:color w:val="auto"/>
          <w:sz w:val="24"/>
          <w:szCs w:val="24"/>
        </w:rPr>
      </w:pPr>
      <w:r w:rsidRPr="007D6681">
        <w:rPr>
          <w:color w:val="auto"/>
          <w:sz w:val="24"/>
          <w:szCs w:val="24"/>
        </w:rPr>
        <w:t>The Centers for Disease Control and Prevention (CDC) requests Office of Management and Budget (OMB) approval for a new genIC entitled</w:t>
      </w:r>
      <w:r w:rsidRPr="00D2722C">
        <w:rPr>
          <w:color w:val="auto"/>
          <w:sz w:val="24"/>
          <w:szCs w:val="24"/>
        </w:rPr>
        <w:t xml:space="preserve"> “</w:t>
      </w:r>
      <w:r w:rsidR="00D2722C" w:rsidRPr="00D2722C">
        <w:rPr>
          <w:color w:val="auto"/>
          <w:sz w:val="24"/>
          <w:szCs w:val="24"/>
        </w:rPr>
        <w:t xml:space="preserve">Formative Research with Clinicians </w:t>
      </w:r>
      <w:r w:rsidR="004B484A">
        <w:rPr>
          <w:color w:val="auto"/>
          <w:sz w:val="24"/>
          <w:szCs w:val="24"/>
        </w:rPr>
        <w:t>for the Development</w:t>
      </w:r>
      <w:r w:rsidR="00D2722C" w:rsidRPr="00D2722C">
        <w:rPr>
          <w:color w:val="auto"/>
          <w:sz w:val="24"/>
          <w:szCs w:val="24"/>
        </w:rPr>
        <w:t xml:space="preserve"> of Quantitative Metrics to Improve Antibiotic Prescribing Behavior in the Outpatient Setting</w:t>
      </w:r>
      <w:r w:rsidRPr="00D2722C">
        <w:rPr>
          <w:color w:val="auto"/>
          <w:sz w:val="24"/>
          <w:szCs w:val="24"/>
        </w:rPr>
        <w:t xml:space="preserve">.” </w:t>
      </w:r>
      <w:r w:rsidRPr="000206FB">
        <w:rPr>
          <w:color w:val="auto"/>
          <w:sz w:val="24"/>
          <w:szCs w:val="24"/>
        </w:rPr>
        <w:t>The goal of this formative research</w:t>
      </w:r>
      <w:r w:rsidR="008327E5" w:rsidRPr="000206FB">
        <w:rPr>
          <w:color w:val="auto"/>
          <w:sz w:val="24"/>
          <w:szCs w:val="24"/>
        </w:rPr>
        <w:t>, conducted through a CDC contract issued to the Children’s Hospital of Philadelphia</w:t>
      </w:r>
      <w:r w:rsidR="00C54844" w:rsidRPr="000206FB">
        <w:rPr>
          <w:color w:val="auto"/>
          <w:sz w:val="24"/>
          <w:szCs w:val="24"/>
        </w:rPr>
        <w:t xml:space="preserve"> (CHOP)</w:t>
      </w:r>
      <w:r w:rsidR="008327E5" w:rsidRPr="000206FB">
        <w:rPr>
          <w:color w:val="auto"/>
          <w:sz w:val="24"/>
          <w:szCs w:val="24"/>
        </w:rPr>
        <w:t>,</w:t>
      </w:r>
      <w:r w:rsidRPr="000206FB">
        <w:rPr>
          <w:color w:val="auto"/>
          <w:sz w:val="24"/>
          <w:szCs w:val="24"/>
        </w:rPr>
        <w:t xml:space="preserve"> is to inform the development of </w:t>
      </w:r>
      <w:r w:rsidR="004B484A">
        <w:rPr>
          <w:color w:val="auto"/>
          <w:sz w:val="24"/>
          <w:szCs w:val="24"/>
        </w:rPr>
        <w:t>quantitative metrics</w:t>
      </w:r>
      <w:r w:rsidRPr="000206FB">
        <w:rPr>
          <w:color w:val="auto"/>
          <w:sz w:val="24"/>
          <w:szCs w:val="24"/>
        </w:rPr>
        <w:t xml:space="preserve"> </w:t>
      </w:r>
      <w:r w:rsidR="004B484A">
        <w:rPr>
          <w:color w:val="auto"/>
          <w:sz w:val="24"/>
          <w:szCs w:val="24"/>
        </w:rPr>
        <w:t xml:space="preserve">as the first phase of </w:t>
      </w:r>
      <w:r w:rsidR="007D3C92" w:rsidRPr="000206FB">
        <w:rPr>
          <w:color w:val="auto"/>
          <w:sz w:val="24"/>
          <w:szCs w:val="24"/>
        </w:rPr>
        <w:t xml:space="preserve">a larger study to estimate the impact of antibiotic harms due to unnecessary antibiotic use in children with </w:t>
      </w:r>
      <w:r w:rsidR="00B25561">
        <w:rPr>
          <w:color w:val="auto"/>
          <w:sz w:val="24"/>
          <w:szCs w:val="24"/>
        </w:rPr>
        <w:t>Acute Respiratory Tract Infection (</w:t>
      </w:r>
      <w:r w:rsidR="007D3C92" w:rsidRPr="000206FB">
        <w:rPr>
          <w:color w:val="auto"/>
          <w:sz w:val="24"/>
          <w:szCs w:val="24"/>
        </w:rPr>
        <w:t>ARTIs</w:t>
      </w:r>
      <w:r w:rsidR="00B25561">
        <w:rPr>
          <w:color w:val="auto"/>
          <w:sz w:val="24"/>
          <w:szCs w:val="24"/>
        </w:rPr>
        <w:t>)</w:t>
      </w:r>
      <w:r w:rsidRPr="000206FB">
        <w:rPr>
          <w:color w:val="auto"/>
          <w:sz w:val="24"/>
          <w:szCs w:val="24"/>
        </w:rPr>
        <w:t>.</w:t>
      </w:r>
    </w:p>
    <w:p w14:paraId="017AD938" w14:textId="3AFE6116" w:rsidR="003F076B" w:rsidRPr="000206FB" w:rsidRDefault="003F076B" w:rsidP="003F076B">
      <w:pPr>
        <w:pStyle w:val="CommentText"/>
        <w:spacing w:line="480" w:lineRule="auto"/>
        <w:ind w:firstLine="720"/>
        <w:rPr>
          <w:color w:val="auto"/>
          <w:sz w:val="24"/>
          <w:szCs w:val="24"/>
        </w:rPr>
      </w:pPr>
      <w:r w:rsidRPr="000206FB">
        <w:rPr>
          <w:color w:val="auto"/>
          <w:sz w:val="24"/>
          <w:szCs w:val="24"/>
        </w:rPr>
        <w:t>Antibiotic resistance is a major global public health threat. CDC estimates that 2 million people are infected with antibiotic resistant infections each year, and at least 23,000 die as a result.</w:t>
      </w:r>
      <w:r w:rsidR="0013305F" w:rsidRPr="000206FB">
        <w:rPr>
          <w:color w:val="auto"/>
          <w:sz w:val="24"/>
          <w:szCs w:val="24"/>
          <w:vertAlign w:val="superscript"/>
        </w:rPr>
        <w:t>1</w:t>
      </w:r>
      <w:r w:rsidRPr="000206FB">
        <w:rPr>
          <w:color w:val="auto"/>
          <w:sz w:val="24"/>
          <w:szCs w:val="24"/>
        </w:rPr>
        <w:t xml:space="preserve"> The primary modifiable driver of antibiotic resistance is antibiotic use. Data from other countries suggest that an estimated </w:t>
      </w:r>
      <w:r w:rsidR="002972F2" w:rsidRPr="000206FB">
        <w:rPr>
          <w:color w:val="auto"/>
          <w:sz w:val="24"/>
          <w:szCs w:val="24"/>
        </w:rPr>
        <w:t>85-95</w:t>
      </w:r>
      <w:r w:rsidRPr="000206FB">
        <w:rPr>
          <w:color w:val="auto"/>
          <w:sz w:val="24"/>
          <w:szCs w:val="24"/>
        </w:rPr>
        <w:t>% of antibiotic use occurs in the outpatient setting</w:t>
      </w:r>
      <w:r w:rsidR="0013305F" w:rsidRPr="000206FB">
        <w:rPr>
          <w:color w:val="auto"/>
          <w:sz w:val="24"/>
          <w:szCs w:val="24"/>
          <w:vertAlign w:val="superscript"/>
        </w:rPr>
        <w:t>2</w:t>
      </w:r>
      <w:r w:rsidRPr="000206FB">
        <w:rPr>
          <w:color w:val="auto"/>
          <w:sz w:val="24"/>
          <w:szCs w:val="24"/>
        </w:rPr>
        <w:t xml:space="preserve"> and among all age groups, young children have historically had the highest rate of antibiotic use per capita</w:t>
      </w:r>
      <w:r w:rsidR="0013305F" w:rsidRPr="000206FB">
        <w:rPr>
          <w:color w:val="auto"/>
          <w:sz w:val="24"/>
          <w:szCs w:val="24"/>
        </w:rPr>
        <w:t>.</w:t>
      </w:r>
      <w:r w:rsidR="00375CF8" w:rsidRPr="000206FB">
        <w:rPr>
          <w:color w:val="auto"/>
          <w:sz w:val="24"/>
          <w:szCs w:val="24"/>
        </w:rPr>
        <w:t xml:space="preserve"> </w:t>
      </w:r>
      <w:r w:rsidR="0013305F" w:rsidRPr="000206FB">
        <w:rPr>
          <w:color w:val="auto"/>
          <w:sz w:val="24"/>
          <w:szCs w:val="24"/>
          <w:vertAlign w:val="superscript"/>
        </w:rPr>
        <w:t>3</w:t>
      </w:r>
      <w:r w:rsidRPr="000206FB">
        <w:rPr>
          <w:color w:val="auto"/>
        </w:rPr>
        <w:t xml:space="preserve"> </w:t>
      </w:r>
      <w:r w:rsidRPr="000206FB">
        <w:rPr>
          <w:color w:val="auto"/>
          <w:sz w:val="24"/>
          <w:szCs w:val="24"/>
        </w:rPr>
        <w:t xml:space="preserve">Appropriate antibiotic use in children is critical to limit the development of antibiotic resistance and prevent </w:t>
      </w:r>
      <w:r w:rsidR="009F22A4" w:rsidRPr="000206FB">
        <w:rPr>
          <w:color w:val="auto"/>
          <w:sz w:val="24"/>
          <w:szCs w:val="24"/>
        </w:rPr>
        <w:t>antibiotic-associated harms</w:t>
      </w:r>
      <w:r w:rsidRPr="000206FB">
        <w:rPr>
          <w:color w:val="auto"/>
          <w:sz w:val="24"/>
          <w:szCs w:val="24"/>
        </w:rPr>
        <w:t xml:space="preserve"> in children. CDC educational efforts have targeted improving antibiotic use for children since the mid-1990s</w:t>
      </w:r>
      <w:r w:rsidR="009F22A4" w:rsidRPr="000206FB">
        <w:rPr>
          <w:color w:val="auto"/>
          <w:sz w:val="24"/>
          <w:szCs w:val="24"/>
        </w:rPr>
        <w:t>, and</w:t>
      </w:r>
      <w:r w:rsidRPr="000206FB">
        <w:rPr>
          <w:color w:val="auto"/>
          <w:sz w:val="24"/>
          <w:szCs w:val="24"/>
        </w:rPr>
        <w:t xml:space="preserve"> </w:t>
      </w:r>
      <w:r w:rsidR="009F22A4" w:rsidRPr="000206FB">
        <w:rPr>
          <w:color w:val="auto"/>
          <w:sz w:val="24"/>
          <w:szCs w:val="24"/>
        </w:rPr>
        <w:t>o</w:t>
      </w:r>
      <w:r w:rsidRPr="000206FB">
        <w:rPr>
          <w:color w:val="auto"/>
          <w:sz w:val="24"/>
          <w:szCs w:val="24"/>
        </w:rPr>
        <w:t>utpatient pediatric antibiotic prescribing rates have declined by 13% from 2011 to 2015</w:t>
      </w:r>
      <w:r w:rsidR="0013305F" w:rsidRPr="000206FB">
        <w:rPr>
          <w:color w:val="auto"/>
          <w:sz w:val="24"/>
          <w:szCs w:val="24"/>
        </w:rPr>
        <w:t>.</w:t>
      </w:r>
      <w:r w:rsidR="0013305F" w:rsidRPr="000206FB">
        <w:rPr>
          <w:color w:val="auto"/>
          <w:sz w:val="24"/>
          <w:szCs w:val="24"/>
          <w:vertAlign w:val="superscript"/>
        </w:rPr>
        <w:t>4</w:t>
      </w:r>
      <w:r w:rsidRPr="000206FB">
        <w:rPr>
          <w:color w:val="auto"/>
          <w:sz w:val="24"/>
          <w:szCs w:val="24"/>
        </w:rPr>
        <w:t xml:space="preserve"> </w:t>
      </w:r>
      <w:r w:rsidR="009F22A4" w:rsidRPr="000206FB">
        <w:rPr>
          <w:color w:val="auto"/>
          <w:sz w:val="24"/>
          <w:szCs w:val="24"/>
        </w:rPr>
        <w:t xml:space="preserve">However, </w:t>
      </w:r>
      <w:r w:rsidR="00F172C2" w:rsidRPr="000206FB">
        <w:rPr>
          <w:color w:val="auto"/>
          <w:sz w:val="24"/>
          <w:szCs w:val="24"/>
        </w:rPr>
        <w:t>more improvements are needed, as CDC</w:t>
      </w:r>
      <w:r w:rsidR="009F22A4" w:rsidRPr="000206FB">
        <w:rPr>
          <w:color w:val="auto"/>
          <w:sz w:val="24"/>
          <w:szCs w:val="24"/>
        </w:rPr>
        <w:t xml:space="preserve"> estimate</w:t>
      </w:r>
      <w:r w:rsidR="00F172C2" w:rsidRPr="000206FB">
        <w:rPr>
          <w:color w:val="auto"/>
          <w:sz w:val="24"/>
          <w:szCs w:val="24"/>
        </w:rPr>
        <w:t>d</w:t>
      </w:r>
      <w:r w:rsidR="009F22A4" w:rsidRPr="000206FB">
        <w:rPr>
          <w:color w:val="auto"/>
          <w:sz w:val="24"/>
          <w:szCs w:val="24"/>
        </w:rPr>
        <w:t xml:space="preserve"> </w:t>
      </w:r>
      <w:r w:rsidR="00F172C2" w:rsidRPr="000206FB">
        <w:rPr>
          <w:color w:val="auto"/>
          <w:sz w:val="24"/>
          <w:szCs w:val="24"/>
        </w:rPr>
        <w:t xml:space="preserve">that in 2010-11 at least </w:t>
      </w:r>
      <w:r w:rsidR="009F22A4" w:rsidRPr="000206FB">
        <w:rPr>
          <w:color w:val="auto"/>
          <w:sz w:val="24"/>
          <w:szCs w:val="24"/>
        </w:rPr>
        <w:t>29%</w:t>
      </w:r>
      <w:r w:rsidR="00F172C2" w:rsidRPr="000206FB">
        <w:rPr>
          <w:color w:val="auto"/>
          <w:sz w:val="24"/>
          <w:szCs w:val="24"/>
        </w:rPr>
        <w:t xml:space="preserve"> of </w:t>
      </w:r>
      <w:r w:rsidR="00031E88" w:rsidRPr="000206FB">
        <w:rPr>
          <w:color w:val="auto"/>
          <w:sz w:val="24"/>
          <w:szCs w:val="24"/>
        </w:rPr>
        <w:t xml:space="preserve">outpatient </w:t>
      </w:r>
      <w:r w:rsidR="00F172C2" w:rsidRPr="000206FB">
        <w:rPr>
          <w:color w:val="auto"/>
          <w:sz w:val="24"/>
          <w:szCs w:val="24"/>
        </w:rPr>
        <w:t>antibiotic use in children wa</w:t>
      </w:r>
      <w:r w:rsidR="009F22A4" w:rsidRPr="000206FB">
        <w:rPr>
          <w:color w:val="auto"/>
          <w:sz w:val="24"/>
          <w:szCs w:val="24"/>
        </w:rPr>
        <w:t>s unnecessary</w:t>
      </w:r>
      <w:r w:rsidR="0013305F" w:rsidRPr="000206FB">
        <w:rPr>
          <w:color w:val="auto"/>
          <w:sz w:val="24"/>
          <w:szCs w:val="24"/>
        </w:rPr>
        <w:t>.</w:t>
      </w:r>
      <w:r w:rsidR="0013305F" w:rsidRPr="000206FB">
        <w:rPr>
          <w:color w:val="auto"/>
          <w:sz w:val="24"/>
          <w:szCs w:val="24"/>
          <w:vertAlign w:val="superscript"/>
        </w:rPr>
        <w:t>5</w:t>
      </w:r>
    </w:p>
    <w:p w14:paraId="5434199E" w14:textId="2F9C945D" w:rsidR="00E623B3" w:rsidRPr="00496F01" w:rsidRDefault="000206FB" w:rsidP="00496F01">
      <w:pPr>
        <w:pStyle w:val="CommentText"/>
        <w:spacing w:line="480" w:lineRule="auto"/>
        <w:ind w:firstLine="720"/>
        <w:rPr>
          <w:color w:val="auto"/>
          <w:sz w:val="24"/>
          <w:szCs w:val="24"/>
        </w:rPr>
      </w:pPr>
      <w:r w:rsidRPr="000206FB">
        <w:rPr>
          <w:rFonts w:eastAsia="Calibri"/>
          <w:b/>
          <w:color w:val="auto"/>
          <w:sz w:val="24"/>
          <w:szCs w:val="24"/>
        </w:rPr>
        <w:t>ARTIs</w:t>
      </w:r>
      <w:r w:rsidR="00E623B3" w:rsidRPr="000206FB">
        <w:rPr>
          <w:rFonts w:eastAsia="Calibri"/>
          <w:b/>
          <w:color w:val="auto"/>
          <w:sz w:val="24"/>
          <w:szCs w:val="24"/>
        </w:rPr>
        <w:t xml:space="preserve"> </w:t>
      </w:r>
      <w:r w:rsidR="00E623B3" w:rsidRPr="00806380">
        <w:rPr>
          <w:rFonts w:eastAsia="Calibri"/>
          <w:b/>
          <w:color w:val="auto"/>
          <w:sz w:val="24"/>
          <w:szCs w:val="24"/>
        </w:rPr>
        <w:t xml:space="preserve">are the most common indication for antibiotic prescribing to children, and a significant proportion are unnecessary. </w:t>
      </w:r>
      <w:r w:rsidR="00E623B3" w:rsidRPr="00496F01">
        <w:rPr>
          <w:color w:val="auto"/>
          <w:sz w:val="24"/>
          <w:szCs w:val="24"/>
        </w:rPr>
        <w:t>Diagnosis of bacterial ARTIs, which drives antibiotic prescribing, varies considerably across clinicians</w:t>
      </w:r>
      <w:r w:rsidR="00E623B3" w:rsidRPr="00496F01">
        <w:rPr>
          <w:b/>
          <w:color w:val="auto"/>
          <w:sz w:val="24"/>
          <w:szCs w:val="24"/>
        </w:rPr>
        <w:t xml:space="preserve">. </w:t>
      </w:r>
      <w:r w:rsidR="00E623B3" w:rsidRPr="00496F01">
        <w:rPr>
          <w:color w:val="auto"/>
          <w:sz w:val="24"/>
          <w:szCs w:val="24"/>
        </w:rPr>
        <w:t>In general, antibiotic treatment is recommended only for bacterial ARTIs, while viral ARTIs should not be treated with antibiotics. A major challenge for clinicians, however, is distinguishing between ARTIs of viral and bacterial etiology as they have overlapping presentations. As a result, bacterial ARTIs may be over diagnosed, which in turn leads to unnecessary antibiotic use. Identifying and quantifying unnecessary prescribing due to over diagnosis is challenging because an antibiotic prescription and a bacterial diagnosis code are usually paired. In previous work in the CHOP primary care network, antibiotic prescribing for children diagnosed with viral infections was uniformly low across 29 practices. However, the frequency with which bacterial ARTIs were diagnosed varied widely across practices and clinicians (e.g. a nearly a 20-fold differences in rates of sinusitis diagnosis), and these bacterial diagnoses nearly always received antibiotic prescriptions.</w:t>
      </w:r>
      <w:r w:rsidR="00806380">
        <w:rPr>
          <w:color w:val="auto"/>
          <w:sz w:val="24"/>
          <w:szCs w:val="24"/>
          <w:vertAlign w:val="superscript"/>
        </w:rPr>
        <w:t>6</w:t>
      </w:r>
      <w:r w:rsidR="00880C27" w:rsidRPr="00496F01">
        <w:rPr>
          <w:color w:val="auto"/>
          <w:sz w:val="24"/>
          <w:szCs w:val="24"/>
          <w:vertAlign w:val="superscript"/>
        </w:rPr>
        <w:t>-</w:t>
      </w:r>
      <w:r w:rsidR="00806380">
        <w:rPr>
          <w:color w:val="auto"/>
          <w:sz w:val="24"/>
          <w:szCs w:val="24"/>
          <w:vertAlign w:val="superscript"/>
        </w:rPr>
        <w:t>8</w:t>
      </w:r>
      <w:r w:rsidR="00E623B3" w:rsidRPr="00496F01">
        <w:rPr>
          <w:color w:val="auto"/>
          <w:sz w:val="24"/>
          <w:szCs w:val="24"/>
        </w:rPr>
        <w:t xml:space="preserve"> </w:t>
      </w:r>
      <w:r w:rsidR="00E265D5" w:rsidRPr="00496F01">
        <w:rPr>
          <w:color w:val="auto"/>
          <w:sz w:val="24"/>
          <w:szCs w:val="24"/>
        </w:rPr>
        <w:t xml:space="preserve">Thus, in order to see further improvements in antibiotic prescribing for US children, antibiotic stewardship efforts are needed to improve diagnostic practices of common bacterial ARTIs, such as acute otitis media and acute sinusitis. </w:t>
      </w:r>
    </w:p>
    <w:p w14:paraId="214B1919" w14:textId="3CF002C0" w:rsidR="00E623B3" w:rsidRPr="000206FB" w:rsidRDefault="00E623B3" w:rsidP="00E623B3">
      <w:pPr>
        <w:spacing w:after="0" w:line="480" w:lineRule="auto"/>
        <w:ind w:left="0" w:firstLine="720"/>
        <w:contextualSpacing/>
        <w:rPr>
          <w:rFonts w:eastAsia="Calibri"/>
        </w:rPr>
      </w:pPr>
      <w:r w:rsidRPr="000206FB">
        <w:rPr>
          <w:rFonts w:eastAsia="Calibri" w:cs="Arial"/>
          <w:b/>
        </w:rPr>
        <w:t>Antimicrobial stewardship programs (ASPs) promote judicious prescribing through evidence-based interventions.</w:t>
      </w:r>
      <w:r w:rsidR="00806380">
        <w:rPr>
          <w:rFonts w:eastAsia="Calibri"/>
          <w:vertAlign w:val="superscript"/>
        </w:rPr>
        <w:t>9</w:t>
      </w:r>
      <w:r w:rsidR="00386C47" w:rsidRPr="000206FB">
        <w:rPr>
          <w:rFonts w:eastAsia="Calibri"/>
          <w:vertAlign w:val="superscript"/>
        </w:rPr>
        <w:t>,1</w:t>
      </w:r>
      <w:r w:rsidR="00806380">
        <w:rPr>
          <w:rFonts w:eastAsia="Calibri"/>
          <w:vertAlign w:val="superscript"/>
        </w:rPr>
        <w:t>0</w:t>
      </w:r>
      <w:r w:rsidRPr="000206FB">
        <w:rPr>
          <w:rFonts w:eastAsia="Calibri"/>
        </w:rPr>
        <w:t xml:space="preserve"> Guidelines for the implementation of ASPs have highlighted the importance of evidence-based interventions and quantitative metrics.</w:t>
      </w:r>
      <w:r w:rsidR="00806380">
        <w:rPr>
          <w:rFonts w:eastAsia="Calibri"/>
          <w:vertAlign w:val="superscript"/>
        </w:rPr>
        <w:t>11</w:t>
      </w:r>
      <w:r w:rsidR="00386C47" w:rsidRPr="000206FB">
        <w:rPr>
          <w:rFonts w:eastAsia="Calibri"/>
          <w:vertAlign w:val="superscript"/>
        </w:rPr>
        <w:t>,</w:t>
      </w:r>
      <w:r w:rsidR="00806380">
        <w:rPr>
          <w:rFonts w:eastAsia="Calibri"/>
          <w:vertAlign w:val="superscript"/>
        </w:rPr>
        <w:t>12</w:t>
      </w:r>
      <w:r w:rsidRPr="000206FB">
        <w:rPr>
          <w:rFonts w:eastAsia="Calibri"/>
        </w:rPr>
        <w:t xml:space="preserve"> The Centers for Disease Control and Prevention (CDC) includes “tracking and reporting” as one of the four core elements of outpatient stewardship.</w:t>
      </w:r>
      <w:r w:rsidR="00806380">
        <w:rPr>
          <w:rFonts w:eastAsia="Calibri"/>
          <w:vertAlign w:val="superscript"/>
        </w:rPr>
        <w:t>13</w:t>
      </w:r>
      <w:r w:rsidRPr="000206FB">
        <w:rPr>
          <w:rFonts w:eastAsia="Calibri"/>
        </w:rPr>
        <w:t xml:space="preserve"> </w:t>
      </w:r>
      <w:r w:rsidRPr="000206FB">
        <w:rPr>
          <w:rFonts w:eastAsia="Calibri"/>
          <w:u w:val="single"/>
        </w:rPr>
        <w:t>ASP interventions have typically not addressed diagnosis rates and potential over-diagnosis of bacterial ARTIs</w:t>
      </w:r>
      <w:r w:rsidRPr="000206FB">
        <w:rPr>
          <w:rFonts w:eastAsia="Calibri"/>
        </w:rPr>
        <w:t>. Because diagnosis rates for bacterial ARTIs have been shown to vary widely across practices and clinicians,</w:t>
      </w:r>
      <w:r w:rsidR="00806380">
        <w:rPr>
          <w:rFonts w:eastAsia="Calibri"/>
          <w:vertAlign w:val="superscript"/>
        </w:rPr>
        <w:t>7</w:t>
      </w:r>
      <w:r w:rsidR="00806380" w:rsidRPr="000206FB">
        <w:rPr>
          <w:rFonts w:eastAsia="Calibri"/>
        </w:rPr>
        <w:t xml:space="preserve"> </w:t>
      </w:r>
      <w:r w:rsidRPr="000206FB">
        <w:rPr>
          <w:rFonts w:eastAsia="Calibri"/>
        </w:rPr>
        <w:t xml:space="preserve">and these diagnoses almost invariably lead to antibiotic prescriptions, reducing over-diagnosis of bacterial ARTIs might represent the most important target for outpatient antimicrobial stewardship interventions. </w:t>
      </w:r>
      <w:r w:rsidRPr="000206FB">
        <w:rPr>
          <w:rFonts w:eastAsia="Calibri"/>
          <w:u w:val="single"/>
        </w:rPr>
        <w:t xml:space="preserve">Thus, a metric for benchmarking the relative rate of bacterial diagnosis and antibiotic prescribing within the denominator of </w:t>
      </w:r>
      <w:r w:rsidRPr="000206FB">
        <w:rPr>
          <w:rFonts w:eastAsia="Calibri"/>
          <w:i/>
          <w:u w:val="single"/>
        </w:rPr>
        <w:t>all</w:t>
      </w:r>
      <w:r w:rsidRPr="000206FB">
        <w:rPr>
          <w:rFonts w:eastAsia="Calibri"/>
          <w:u w:val="single"/>
        </w:rPr>
        <w:t xml:space="preserve"> ARTIs is critical for addressing this key driver of antibiotic overuse</w:t>
      </w:r>
      <w:r w:rsidR="00EF6902" w:rsidRPr="000206FB">
        <w:rPr>
          <w:rFonts w:eastAsia="Calibri"/>
          <w:u w:val="single"/>
        </w:rPr>
        <w:t xml:space="preserve"> and would allow for </w:t>
      </w:r>
      <w:r w:rsidR="00D413E4" w:rsidRPr="000206FB">
        <w:rPr>
          <w:rFonts w:eastAsia="Calibri"/>
          <w:u w:val="single"/>
        </w:rPr>
        <w:t xml:space="preserve">a </w:t>
      </w:r>
      <w:r w:rsidR="00EF6902" w:rsidRPr="000206FB">
        <w:rPr>
          <w:rFonts w:eastAsia="Calibri"/>
          <w:u w:val="single"/>
        </w:rPr>
        <w:t xml:space="preserve">more accurate estimate of </w:t>
      </w:r>
      <w:r w:rsidR="00C503D8" w:rsidRPr="000206FB">
        <w:rPr>
          <w:rFonts w:eastAsia="Calibri"/>
          <w:u w:val="single"/>
        </w:rPr>
        <w:t xml:space="preserve">the </w:t>
      </w:r>
      <w:r w:rsidR="00EF6902" w:rsidRPr="000206FB">
        <w:rPr>
          <w:rFonts w:eastAsia="Calibri"/>
          <w:u w:val="single"/>
        </w:rPr>
        <w:t>public health impact of harms associated with unnecessary antibiotic use</w:t>
      </w:r>
      <w:r w:rsidRPr="000206FB">
        <w:rPr>
          <w:rFonts w:eastAsia="Calibri"/>
        </w:rPr>
        <w:t xml:space="preserve">. </w:t>
      </w:r>
    </w:p>
    <w:p w14:paraId="590E8D67" w14:textId="32F0C2AC" w:rsidR="00C503D8" w:rsidRPr="000206FB" w:rsidRDefault="00E623B3">
      <w:pPr>
        <w:spacing w:after="0" w:line="480" w:lineRule="auto"/>
        <w:ind w:left="0" w:firstLine="720"/>
        <w:contextualSpacing/>
        <w:rPr>
          <w:rFonts w:eastAsia="Calibri"/>
        </w:rPr>
      </w:pPr>
      <w:r w:rsidRPr="000206FB">
        <w:rPr>
          <w:rFonts w:eastAsia="Calibri"/>
          <w:b/>
        </w:rPr>
        <w:t xml:space="preserve">There is a need to increase clinician acceptability of ASP interventions. </w:t>
      </w:r>
      <w:r w:rsidRPr="000206FB">
        <w:rPr>
          <w:rFonts w:eastAsia="Calibri"/>
        </w:rPr>
        <w:t>A frequently cited barrier to the implementation of ASP interventions is prescribing clinician resistance.</w:t>
      </w:r>
      <w:r w:rsidR="00386C47" w:rsidRPr="000206FB">
        <w:rPr>
          <w:rFonts w:eastAsia="Calibri"/>
        </w:rPr>
        <w:t xml:space="preserve"> </w:t>
      </w:r>
      <w:r w:rsidR="00806380">
        <w:rPr>
          <w:rFonts w:eastAsia="Calibri"/>
          <w:vertAlign w:val="superscript"/>
        </w:rPr>
        <w:t>14</w:t>
      </w:r>
      <w:r w:rsidR="00386C47" w:rsidRPr="000206FB">
        <w:rPr>
          <w:rFonts w:eastAsia="Calibri"/>
          <w:vertAlign w:val="superscript"/>
        </w:rPr>
        <w:t>,</w:t>
      </w:r>
      <w:r w:rsidR="00806380">
        <w:rPr>
          <w:rFonts w:eastAsia="Calibri"/>
          <w:vertAlign w:val="superscript"/>
        </w:rPr>
        <w:t>1</w:t>
      </w:r>
      <w:r w:rsidR="00386C47" w:rsidRPr="000206FB">
        <w:rPr>
          <w:rFonts w:eastAsia="Calibri"/>
          <w:vertAlign w:val="superscript"/>
        </w:rPr>
        <w:t>5</w:t>
      </w:r>
      <w:r w:rsidRPr="000206FB">
        <w:rPr>
          <w:rFonts w:eastAsia="Calibri"/>
        </w:rPr>
        <w:t xml:space="preserve"> </w:t>
      </w:r>
      <w:r w:rsidR="00C503D8" w:rsidRPr="000206FB">
        <w:rPr>
          <w:rFonts w:eastAsia="Calibri"/>
        </w:rPr>
        <w:t xml:space="preserve">A study at CHOP </w:t>
      </w:r>
      <w:r w:rsidRPr="000206FB">
        <w:rPr>
          <w:rFonts w:eastAsia="Calibri"/>
        </w:rPr>
        <w:t xml:space="preserve">found, for example, that clinicians who had recently participated in an ASP intervention that utilized audit and feedback of individual prescribing data expressed skepticism and a lack of trust in the data used to generate their feedback reports. </w:t>
      </w:r>
      <w:r w:rsidR="00C503D8" w:rsidRPr="000206FB">
        <w:rPr>
          <w:rFonts w:eastAsia="Calibri"/>
        </w:rPr>
        <w:t xml:space="preserve">These </w:t>
      </w:r>
      <w:r w:rsidRPr="000206FB">
        <w:rPr>
          <w:rFonts w:eastAsia="Calibri"/>
        </w:rPr>
        <w:t xml:space="preserve">findings underscore how important it is to secure clinician confidence in the measurement system and prescribing guidelines before implementing an ASP intervention to boost credibility of audit data, increase motivation to change and reduce dysfunctional behavior. Understanding how prescribing clinicians perceive an intervention and modifying the intervention based on this feedback is critical to securing engagement. </w:t>
      </w:r>
    </w:p>
    <w:p w14:paraId="1E538089" w14:textId="22589D60" w:rsidR="00C413F5" w:rsidRPr="000206FB" w:rsidRDefault="008327E5">
      <w:pPr>
        <w:spacing w:after="0" w:line="480" w:lineRule="auto"/>
        <w:ind w:left="0" w:firstLine="720"/>
        <w:contextualSpacing/>
        <w:rPr>
          <w:rFonts w:eastAsia="Calibri"/>
        </w:rPr>
      </w:pPr>
      <w:r w:rsidRPr="000206FB">
        <w:rPr>
          <w:rFonts w:eastAsia="Calibri"/>
        </w:rPr>
        <w:t xml:space="preserve">Thus, CDC is funding this project to develop a </w:t>
      </w:r>
      <w:r w:rsidR="00B97FC1" w:rsidRPr="000206FB">
        <w:rPr>
          <w:rFonts w:eastAsia="Calibri"/>
        </w:rPr>
        <w:t xml:space="preserve">metric and a </w:t>
      </w:r>
      <w:r w:rsidRPr="000206FB">
        <w:rPr>
          <w:rFonts w:eastAsia="Calibri"/>
          <w:u w:val="single"/>
        </w:rPr>
        <w:t xml:space="preserve">benchmark for the relative rate of bacterial diagnosis and antibiotic prescribing within the denominator of </w:t>
      </w:r>
      <w:r w:rsidRPr="000206FB">
        <w:rPr>
          <w:rFonts w:eastAsia="Calibri"/>
          <w:i/>
          <w:u w:val="single"/>
        </w:rPr>
        <w:t>all</w:t>
      </w:r>
      <w:r w:rsidRPr="000206FB">
        <w:rPr>
          <w:rFonts w:eastAsia="Calibri"/>
          <w:u w:val="single"/>
        </w:rPr>
        <w:t xml:space="preserve"> ARTIs among children with the </w:t>
      </w:r>
      <w:r w:rsidR="00B54F44">
        <w:rPr>
          <w:rFonts w:eastAsia="Calibri"/>
          <w:u w:val="single"/>
        </w:rPr>
        <w:t>goal of</w:t>
      </w:r>
      <w:r w:rsidRPr="000206FB">
        <w:rPr>
          <w:rFonts w:eastAsia="Calibri"/>
          <w:u w:val="single"/>
        </w:rPr>
        <w:t xml:space="preserve"> determining how best to </w:t>
      </w:r>
      <w:r w:rsidR="00C503D8" w:rsidRPr="000206FB">
        <w:rPr>
          <w:rFonts w:eastAsia="Calibri"/>
          <w:u w:val="single"/>
        </w:rPr>
        <w:t xml:space="preserve">utilize this benchmark in clinician feedback as an intervention to improve antibiotic use. </w:t>
      </w:r>
    </w:p>
    <w:p w14:paraId="0476D2A0" w14:textId="77777777" w:rsidR="00C413F5" w:rsidRDefault="00C413F5" w:rsidP="00C413F5">
      <w:pPr>
        <w:spacing w:line="360" w:lineRule="auto"/>
        <w:ind w:left="0" w:firstLine="0"/>
        <w:rPr>
          <w:b/>
          <w:bCs/>
        </w:rPr>
      </w:pPr>
      <w:r>
        <w:rPr>
          <w:b/>
          <w:bCs/>
        </w:rPr>
        <w:t xml:space="preserve">2. </w:t>
      </w:r>
      <w:r w:rsidRPr="00022A54">
        <w:rPr>
          <w:b/>
          <w:bCs/>
        </w:rPr>
        <w:t xml:space="preserve">Purpose and Use of Information Collection  </w:t>
      </w:r>
    </w:p>
    <w:p w14:paraId="5D7B0935" w14:textId="53EBF7EE" w:rsidR="00AF7C82" w:rsidRDefault="00AF7C82" w:rsidP="00AF7C82">
      <w:pPr>
        <w:spacing w:line="480" w:lineRule="auto"/>
        <w:ind w:left="0" w:firstLine="0"/>
        <w:rPr>
          <w:bCs/>
        </w:rPr>
      </w:pPr>
      <w:r>
        <w:rPr>
          <w:bCs/>
        </w:rPr>
        <w:tab/>
        <w:t xml:space="preserve">The purpose of this </w:t>
      </w:r>
      <w:r w:rsidR="00C503D8">
        <w:rPr>
          <w:bCs/>
        </w:rPr>
        <w:t xml:space="preserve">part of the </w:t>
      </w:r>
      <w:r>
        <w:rPr>
          <w:bCs/>
        </w:rPr>
        <w:t>study is to conduct formative research to inform the development of metric</w:t>
      </w:r>
      <w:r w:rsidR="00B54F44">
        <w:rPr>
          <w:bCs/>
        </w:rPr>
        <w:t>s</w:t>
      </w:r>
      <w:r>
        <w:rPr>
          <w:bCs/>
        </w:rPr>
        <w:t xml:space="preserve"> and benchmarking</w:t>
      </w:r>
      <w:r w:rsidR="00C503D8">
        <w:rPr>
          <w:bCs/>
        </w:rPr>
        <w:t xml:space="preserve"> that will be </w:t>
      </w:r>
      <w:r w:rsidR="00B54F44">
        <w:rPr>
          <w:bCs/>
        </w:rPr>
        <w:t xml:space="preserve">used </w:t>
      </w:r>
      <w:r w:rsidR="00C503D8">
        <w:rPr>
          <w:bCs/>
        </w:rPr>
        <w:t xml:space="preserve">in </w:t>
      </w:r>
      <w:r w:rsidR="00B54F44">
        <w:rPr>
          <w:bCs/>
        </w:rPr>
        <w:t xml:space="preserve">a </w:t>
      </w:r>
      <w:r w:rsidR="00C503D8">
        <w:rPr>
          <w:bCs/>
        </w:rPr>
        <w:t>larger study</w:t>
      </w:r>
      <w:r w:rsidR="00B54F44">
        <w:rPr>
          <w:bCs/>
        </w:rPr>
        <w:t xml:space="preserve"> of </w:t>
      </w:r>
      <w:r>
        <w:rPr>
          <w:bCs/>
        </w:rPr>
        <w:t xml:space="preserve">antibiotic use in the pediatric ambulatory setting. The research results will be used to design the </w:t>
      </w:r>
      <w:r w:rsidR="00B54F44">
        <w:rPr>
          <w:bCs/>
        </w:rPr>
        <w:t xml:space="preserve">metrics and benchmarks for their future implementation </w:t>
      </w:r>
      <w:r>
        <w:rPr>
          <w:bCs/>
        </w:rPr>
        <w:t>across the CHOP ambulatory care network.</w:t>
      </w:r>
      <w:r w:rsidR="00585C51">
        <w:rPr>
          <w:bCs/>
        </w:rPr>
        <w:t xml:space="preserve"> </w:t>
      </w:r>
      <w:r>
        <w:rPr>
          <w:bCs/>
        </w:rPr>
        <w:t>This research is formative and not intended to produce generalizable knowledge that will be consumed in a scholarly context.</w:t>
      </w:r>
      <w:r w:rsidR="00C503D8" w:rsidRPr="00C503D8">
        <w:rPr>
          <w:bCs/>
        </w:rPr>
        <w:t xml:space="preserve"> </w:t>
      </w:r>
      <w:r w:rsidR="00C503D8">
        <w:rPr>
          <w:bCs/>
        </w:rPr>
        <w:t>All information collect</w:t>
      </w:r>
      <w:r w:rsidR="00C54844">
        <w:rPr>
          <w:bCs/>
        </w:rPr>
        <w:t>ed</w:t>
      </w:r>
      <w:r w:rsidR="00693900">
        <w:rPr>
          <w:bCs/>
        </w:rPr>
        <w:t xml:space="preserve"> as part of the formative research</w:t>
      </w:r>
      <w:r w:rsidR="00C503D8">
        <w:rPr>
          <w:bCs/>
        </w:rPr>
        <w:t xml:space="preserve"> will be used to inform </w:t>
      </w:r>
      <w:r w:rsidR="00B54F44">
        <w:rPr>
          <w:bCs/>
        </w:rPr>
        <w:t>metric development</w:t>
      </w:r>
      <w:r w:rsidR="00C503D8">
        <w:rPr>
          <w:bCs/>
        </w:rPr>
        <w:t xml:space="preserve"> and provide input into a dissemination and implementation strategy of the newly developed </w:t>
      </w:r>
      <w:r w:rsidR="00693900">
        <w:rPr>
          <w:bCs/>
        </w:rPr>
        <w:t>metric</w:t>
      </w:r>
      <w:r w:rsidR="00C503D8">
        <w:rPr>
          <w:bCs/>
        </w:rPr>
        <w:t xml:space="preserve"> as an antibiotic stewardship </w:t>
      </w:r>
      <w:r w:rsidR="00B016E1">
        <w:rPr>
          <w:bCs/>
        </w:rPr>
        <w:t>intervention</w:t>
      </w:r>
      <w:r w:rsidR="00C503D8">
        <w:rPr>
          <w:bCs/>
        </w:rPr>
        <w:t>.</w:t>
      </w:r>
    </w:p>
    <w:p w14:paraId="541D223A" w14:textId="77777777" w:rsidR="00AF7C82" w:rsidRDefault="00AF7C82" w:rsidP="00AF7C82">
      <w:pPr>
        <w:spacing w:line="480" w:lineRule="auto"/>
        <w:ind w:left="0" w:firstLine="0"/>
        <w:rPr>
          <w:b/>
          <w:bCs/>
        </w:rPr>
      </w:pPr>
      <w:r>
        <w:rPr>
          <w:b/>
          <w:bCs/>
        </w:rPr>
        <w:t>3. Use of Improved Information Technology and Burden Reduction</w:t>
      </w:r>
    </w:p>
    <w:p w14:paraId="7CB6DB17" w14:textId="13D0490D" w:rsidR="00AF7C82" w:rsidRDefault="00AF7C82" w:rsidP="00AF7C82">
      <w:pPr>
        <w:spacing w:line="480" w:lineRule="auto"/>
        <w:ind w:left="0" w:firstLine="0"/>
        <w:rPr>
          <w:bCs/>
        </w:rPr>
      </w:pPr>
      <w:r>
        <w:rPr>
          <w:bCs/>
        </w:rPr>
        <w:tab/>
        <w:t xml:space="preserve">The study will consist of in-person data collection through participation in a focus group. All data will be provided verbally and recorded by the study team. The focus group script was designed to include the minimum number of items required to assess prescriber perceptions of </w:t>
      </w:r>
      <w:r w:rsidR="00B54F44">
        <w:rPr>
          <w:bCs/>
        </w:rPr>
        <w:t xml:space="preserve"> </w:t>
      </w:r>
      <w:r>
        <w:rPr>
          <w:bCs/>
        </w:rPr>
        <w:t>metric</w:t>
      </w:r>
      <w:r w:rsidR="00B54F44">
        <w:rPr>
          <w:bCs/>
        </w:rPr>
        <w:t>s</w:t>
      </w:r>
      <w:r>
        <w:rPr>
          <w:bCs/>
        </w:rPr>
        <w:t xml:space="preserve"> and benchmark</w:t>
      </w:r>
      <w:r w:rsidR="00B54F44">
        <w:rPr>
          <w:bCs/>
        </w:rPr>
        <w:t>s</w:t>
      </w:r>
      <w:r>
        <w:rPr>
          <w:bCs/>
        </w:rPr>
        <w:t xml:space="preserve">. </w:t>
      </w:r>
    </w:p>
    <w:p w14:paraId="0E000143" w14:textId="77777777" w:rsidR="00AF7C82" w:rsidRDefault="00AF7C82" w:rsidP="00AF7C82">
      <w:pPr>
        <w:spacing w:line="480" w:lineRule="auto"/>
        <w:ind w:left="0" w:firstLine="0"/>
        <w:rPr>
          <w:b/>
          <w:bCs/>
        </w:rPr>
      </w:pPr>
      <w:r>
        <w:rPr>
          <w:b/>
          <w:bCs/>
        </w:rPr>
        <w:t>4. Efforts to Identify Duplication and Use of Similar Information</w:t>
      </w:r>
    </w:p>
    <w:p w14:paraId="313D1D37" w14:textId="60FA9620" w:rsidR="00AF7C82" w:rsidRDefault="00AF7C82" w:rsidP="00AF7C82">
      <w:pPr>
        <w:spacing w:line="480" w:lineRule="auto"/>
        <w:ind w:left="0" w:firstLine="0"/>
        <w:rPr>
          <w:bCs/>
        </w:rPr>
      </w:pPr>
      <w:r>
        <w:rPr>
          <w:bCs/>
        </w:rPr>
        <w:tab/>
        <w:t xml:space="preserve">No nationally recognized, standardized metrics for pediatric ambulatory prescribing for </w:t>
      </w:r>
      <w:r w:rsidR="00B90936">
        <w:rPr>
          <w:bCs/>
        </w:rPr>
        <w:t xml:space="preserve">all </w:t>
      </w:r>
      <w:r>
        <w:rPr>
          <w:bCs/>
        </w:rPr>
        <w:t>ARTIs</w:t>
      </w:r>
      <w:r w:rsidR="00B90936">
        <w:rPr>
          <w:bCs/>
        </w:rPr>
        <w:t>, including both bacterial and viral,</w:t>
      </w:r>
      <w:r>
        <w:rPr>
          <w:bCs/>
        </w:rPr>
        <w:t xml:space="preserve"> exist. The formative research described here will inform the broader use of these metrics in both education and antimicrobial stewardship efforts. </w:t>
      </w:r>
    </w:p>
    <w:p w14:paraId="10969176" w14:textId="77777777" w:rsidR="00AF7C82" w:rsidRDefault="00AF7C82" w:rsidP="00AF7C82">
      <w:pPr>
        <w:spacing w:line="480" w:lineRule="auto"/>
        <w:ind w:left="0" w:firstLine="0"/>
        <w:rPr>
          <w:b/>
          <w:bCs/>
        </w:rPr>
      </w:pPr>
      <w:r>
        <w:rPr>
          <w:b/>
          <w:bCs/>
        </w:rPr>
        <w:t>5. Impact on Small Businesses or Other Small Entities</w:t>
      </w:r>
    </w:p>
    <w:p w14:paraId="7B572478" w14:textId="77777777" w:rsidR="00AF7C82" w:rsidRDefault="00AF7C82" w:rsidP="00AF7C82">
      <w:pPr>
        <w:spacing w:line="480" w:lineRule="auto"/>
        <w:ind w:left="0" w:firstLine="0"/>
        <w:rPr>
          <w:bCs/>
        </w:rPr>
      </w:pPr>
      <w:r>
        <w:rPr>
          <w:bCs/>
        </w:rPr>
        <w:tab/>
        <w:t>No small businesses will be involved in this data collection.</w:t>
      </w:r>
    </w:p>
    <w:p w14:paraId="591F102B" w14:textId="77777777" w:rsidR="00AF7C82" w:rsidRDefault="00AF7C82" w:rsidP="00AF7C82">
      <w:pPr>
        <w:spacing w:line="480" w:lineRule="auto"/>
        <w:ind w:left="0" w:firstLine="0"/>
        <w:rPr>
          <w:b/>
          <w:bCs/>
        </w:rPr>
      </w:pPr>
      <w:r>
        <w:rPr>
          <w:b/>
          <w:bCs/>
        </w:rPr>
        <w:t>6. Consequences of Collecting the Information Less Frequently</w:t>
      </w:r>
    </w:p>
    <w:p w14:paraId="17BC3623" w14:textId="67C0F1F7" w:rsidR="00AF7C82" w:rsidRPr="00AF7C82" w:rsidRDefault="00EF0885" w:rsidP="00AF7C82">
      <w:pPr>
        <w:spacing w:line="480" w:lineRule="auto"/>
        <w:ind w:left="0" w:firstLine="0"/>
        <w:rPr>
          <w:bCs/>
        </w:rPr>
      </w:pPr>
      <w:r>
        <w:rPr>
          <w:bCs/>
        </w:rPr>
        <w:tab/>
        <w:t xml:space="preserve">This </w:t>
      </w:r>
      <w:r w:rsidR="00447B56">
        <w:rPr>
          <w:bCs/>
        </w:rPr>
        <w:t xml:space="preserve">GenIC request will be for </w:t>
      </w:r>
      <w:r>
        <w:rPr>
          <w:bCs/>
        </w:rPr>
        <w:t>a focus group. There are no legal obstacles to reduce burden. The present study will provide primary data needed to address the goals of this formative research. If the study was not conducted, information needed to inform the development of our metric in pediatric ambulatory care would not be gathered.</w:t>
      </w:r>
    </w:p>
    <w:p w14:paraId="2A75A180" w14:textId="77777777" w:rsidR="00EF0885" w:rsidRPr="00E87846" w:rsidRDefault="00EF0885" w:rsidP="00EF0885">
      <w:pPr>
        <w:tabs>
          <w:tab w:val="left" w:pos="-1440"/>
        </w:tabs>
      </w:pPr>
      <w:r w:rsidRPr="00E87846">
        <w:rPr>
          <w:b/>
          <w:bCs/>
        </w:rPr>
        <w:t>7.</w:t>
      </w:r>
      <w:r w:rsidRPr="00E87846">
        <w:rPr>
          <w:b/>
          <w:bCs/>
        </w:rPr>
        <w:tab/>
        <w:t>Special Circumstances Relating to the Guidelines of 5 CFR 1320.5</w:t>
      </w:r>
    </w:p>
    <w:p w14:paraId="7DC17B98" w14:textId="77777777" w:rsidR="00EF0885" w:rsidRPr="00E87846" w:rsidRDefault="00EF0885" w:rsidP="00EF0885">
      <w:r w:rsidRPr="00E87846">
        <w:tab/>
        <w:t>This request fully complies with the regulation 5 CFR 1320.5.</w:t>
      </w:r>
    </w:p>
    <w:p w14:paraId="02AF7D18" w14:textId="77777777" w:rsidR="00EF0885" w:rsidRPr="00E87846" w:rsidRDefault="00EF0885" w:rsidP="00EF0885">
      <w:pPr>
        <w:tabs>
          <w:tab w:val="left" w:pos="-1440"/>
        </w:tabs>
        <w:rPr>
          <w:b/>
          <w:bCs/>
        </w:rPr>
      </w:pPr>
    </w:p>
    <w:p w14:paraId="215EB366" w14:textId="77777777" w:rsidR="00EF0885" w:rsidRPr="00E87846" w:rsidRDefault="00EF0885" w:rsidP="00EF0885">
      <w:pPr>
        <w:tabs>
          <w:tab w:val="left" w:pos="-1440"/>
        </w:tabs>
      </w:pPr>
      <w:r w:rsidRPr="00E87846">
        <w:rPr>
          <w:b/>
          <w:bCs/>
        </w:rPr>
        <w:t>8.</w:t>
      </w:r>
      <w:r w:rsidRPr="00E87846">
        <w:rPr>
          <w:b/>
          <w:bCs/>
        </w:rPr>
        <w:tab/>
        <w:t xml:space="preserve">Comments in Response to the Federal Register Notice and Efforts to Consult Outside Agencies </w:t>
      </w:r>
    </w:p>
    <w:p w14:paraId="491513F1" w14:textId="5D042C39" w:rsidR="00EF0885" w:rsidRPr="00D4442D" w:rsidRDefault="00EF0885" w:rsidP="00EF0885">
      <w:pPr>
        <w:tabs>
          <w:tab w:val="left" w:pos="-1440"/>
        </w:tabs>
        <w:spacing w:line="360" w:lineRule="auto"/>
        <w:ind w:left="0" w:firstLine="0"/>
      </w:pPr>
      <w:r w:rsidRPr="00E87846">
        <w:tab/>
      </w:r>
      <w:r w:rsidR="00E87846" w:rsidRPr="00E87846">
        <w:t>CDC published a Federal Register Notice on this generic clearance on July 16, 2016 (Vol. 81, No. 137, pp. 46680-46682). No additional public comment period is required for the current submission.</w:t>
      </w:r>
    </w:p>
    <w:p w14:paraId="48AAE4C2" w14:textId="77777777" w:rsidR="00D728D9" w:rsidRDefault="00D728D9" w:rsidP="00D728D9">
      <w:pPr>
        <w:spacing w:after="0"/>
      </w:pPr>
    </w:p>
    <w:p w14:paraId="5F16C901" w14:textId="77777777" w:rsidR="00D728D9" w:rsidRDefault="00D728D9" w:rsidP="00D728D9">
      <w:pPr>
        <w:spacing w:after="0" w:line="480" w:lineRule="auto"/>
        <w:rPr>
          <w:b/>
        </w:rPr>
      </w:pPr>
      <w:r>
        <w:rPr>
          <w:b/>
        </w:rPr>
        <w:t>9. Explanation of Any Payment or Gift to Respondents</w:t>
      </w:r>
    </w:p>
    <w:p w14:paraId="082A2619" w14:textId="77777777" w:rsidR="00D728D9" w:rsidRDefault="00D728D9" w:rsidP="00D728D9">
      <w:pPr>
        <w:spacing w:after="0" w:line="480" w:lineRule="auto"/>
      </w:pPr>
      <w:r>
        <w:rPr>
          <w:b/>
        </w:rPr>
        <w:tab/>
      </w:r>
      <w:r>
        <w:rPr>
          <w:b/>
        </w:rPr>
        <w:tab/>
      </w:r>
      <w:r>
        <w:t xml:space="preserve">No incentives will be provided for participation in this study. </w:t>
      </w:r>
    </w:p>
    <w:p w14:paraId="540454CA" w14:textId="77777777" w:rsidR="00D728D9" w:rsidRDefault="00D728D9" w:rsidP="00D728D9">
      <w:pPr>
        <w:spacing w:after="0" w:line="480" w:lineRule="auto"/>
        <w:rPr>
          <w:b/>
        </w:rPr>
      </w:pPr>
      <w:r>
        <w:rPr>
          <w:b/>
        </w:rPr>
        <w:t>10. Protection of the Privacy and Confidentiality of Information Provided by Respondents</w:t>
      </w:r>
    </w:p>
    <w:p w14:paraId="45359CB4" w14:textId="0AF11AE6" w:rsidR="00D728D9" w:rsidRDefault="00D728D9" w:rsidP="00D728D9">
      <w:pPr>
        <w:spacing w:after="0" w:line="480" w:lineRule="auto"/>
        <w:ind w:left="0" w:firstLine="0"/>
      </w:pPr>
      <w:r>
        <w:tab/>
        <w:t xml:space="preserve">No personally identifiable information will be collected as part of this formative research. Respondents will provide data on their position title and the number of years they have been in practice. All focus group questions focus on </w:t>
      </w:r>
      <w:r w:rsidR="00D66D88">
        <w:t>the antibiotic prescribing metric and general perceptions of barriers and facilitators to judicious antibiotic prescribing in the ambulatory pediatric setting. These questions do not request any personally identifiable information. Data will be audio recorded and hand written notes will be tak</w:t>
      </w:r>
      <w:r w:rsidR="000206FB">
        <w:t>en</w:t>
      </w:r>
      <w:r w:rsidR="00D66D88">
        <w:t>. Audio data will be stored in an encrypted, password protected server at the University of Pennsylvania. It will be professionally transcribed by a transcriptionist who has signed a privacy agreement. Audio files will be destroyed after they have been transcribed. All data will be de-identified and used internally at CHOP to inform future research and implementation efforts.</w:t>
      </w:r>
    </w:p>
    <w:p w14:paraId="34C97EA2" w14:textId="77777777" w:rsidR="00D66D88" w:rsidRDefault="00D66D88" w:rsidP="00D728D9">
      <w:pPr>
        <w:spacing w:after="0" w:line="480" w:lineRule="auto"/>
        <w:ind w:left="0" w:firstLine="0"/>
      </w:pPr>
      <w:r>
        <w:tab/>
        <w:t>Respondents will be informed that their participation is voluntary and that data will not be analyzed or presented in such a way that their individual practice will be identifiable.</w:t>
      </w:r>
    </w:p>
    <w:p w14:paraId="310BCD24" w14:textId="77777777" w:rsidR="00D66D88" w:rsidRPr="00D66D88" w:rsidRDefault="00D66D88" w:rsidP="00D728D9">
      <w:pPr>
        <w:spacing w:after="0" w:line="480" w:lineRule="auto"/>
        <w:ind w:left="0" w:firstLine="0"/>
        <w:rPr>
          <w:b/>
        </w:rPr>
      </w:pPr>
      <w:r>
        <w:rPr>
          <w:b/>
        </w:rPr>
        <w:t>11. Institutional Review Board (IRB) and Justification for Sensitive Questions</w:t>
      </w:r>
    </w:p>
    <w:p w14:paraId="2CC9B213" w14:textId="77777777" w:rsidR="00D66D88" w:rsidRPr="00977250" w:rsidRDefault="00D66D88" w:rsidP="00D66D88">
      <w:pPr>
        <w:spacing w:line="480" w:lineRule="auto"/>
        <w:ind w:left="0" w:firstLine="0"/>
        <w:rPr>
          <w:u w:val="single"/>
        </w:rPr>
      </w:pPr>
      <w:bookmarkStart w:id="1" w:name="OLE_LINK9"/>
      <w:bookmarkStart w:id="2" w:name="OLE_LINK10"/>
      <w:r w:rsidRPr="00977250">
        <w:rPr>
          <w:u w:val="single"/>
        </w:rPr>
        <w:t>IRB Approval</w:t>
      </w:r>
    </w:p>
    <w:p w14:paraId="50C14E21" w14:textId="1F8FD70E" w:rsidR="00D66D88" w:rsidRDefault="00D66D88" w:rsidP="00D66D88">
      <w:pPr>
        <w:pStyle w:val="BodyText"/>
        <w:spacing w:line="480" w:lineRule="auto"/>
      </w:pPr>
      <w:r w:rsidRPr="002C73AB">
        <w:t xml:space="preserve">This project has been deemed </w:t>
      </w:r>
      <w:r>
        <w:t>non-research quality improvement by the CHOP IRB.</w:t>
      </w:r>
      <w:r w:rsidR="000150E9">
        <w:t xml:space="preserve"> </w:t>
      </w:r>
      <w:r w:rsidRPr="00977250">
        <w:t xml:space="preserve">The determination letter is included as Attachment </w:t>
      </w:r>
      <w:r>
        <w:t>B</w:t>
      </w:r>
      <w:r w:rsidRPr="00977250">
        <w:t>.</w:t>
      </w:r>
    </w:p>
    <w:p w14:paraId="22DF2FEA" w14:textId="77777777" w:rsidR="00D66D88" w:rsidRPr="00977250" w:rsidRDefault="00D66D88" w:rsidP="00D66D88">
      <w:pPr>
        <w:pStyle w:val="BodyText"/>
        <w:spacing w:after="0" w:line="480" w:lineRule="auto"/>
        <w:ind w:firstLine="0"/>
      </w:pPr>
      <w:r w:rsidRPr="00977250">
        <w:rPr>
          <w:u w:val="single"/>
        </w:rPr>
        <w:t>Justification for Sensitive Questions</w:t>
      </w:r>
    </w:p>
    <w:p w14:paraId="673DFB5F" w14:textId="76338F8C" w:rsidR="00D66D88" w:rsidRDefault="00D66D88" w:rsidP="00D66D88">
      <w:pPr>
        <w:pStyle w:val="BodyText"/>
        <w:spacing w:line="480" w:lineRule="auto"/>
        <w:ind w:firstLine="0"/>
      </w:pPr>
      <w:r w:rsidRPr="00977250">
        <w:tab/>
        <w:t>No sensitive questions will be asked as part of this information collection.</w:t>
      </w:r>
      <w:r>
        <w:t xml:space="preserve"> The focus group </w:t>
      </w:r>
      <w:r w:rsidR="00ED02E2">
        <w:t>guide</w:t>
      </w:r>
      <w:r>
        <w:t xml:space="preserve"> is included as Attachment A.</w:t>
      </w:r>
    </w:p>
    <w:p w14:paraId="4FE163C5" w14:textId="77777777" w:rsidR="00D66D88" w:rsidRDefault="00D66D88" w:rsidP="00D66D88">
      <w:pPr>
        <w:pStyle w:val="BodyText"/>
        <w:spacing w:line="480" w:lineRule="auto"/>
        <w:ind w:firstLine="0"/>
        <w:rPr>
          <w:b/>
        </w:rPr>
      </w:pPr>
      <w:r>
        <w:rPr>
          <w:b/>
        </w:rPr>
        <w:t>12. Estimates of Annualized Burden Hours and Costs</w:t>
      </w:r>
    </w:p>
    <w:p w14:paraId="14BD6ADD" w14:textId="77777777" w:rsidR="00D66D88" w:rsidRDefault="00D66D88" w:rsidP="00D66D88">
      <w:pPr>
        <w:pStyle w:val="BodyText"/>
        <w:spacing w:line="480" w:lineRule="auto"/>
        <w:ind w:firstLine="0"/>
      </w:pPr>
      <w:r>
        <w:tab/>
        <w:t xml:space="preserve">Exhibits 12.1 and 12.2 provide details about the estimates of annualized burden hours and costs. We anticipate conducting 4 distinct focus groups with 6 participants in each. The focus group will take 1 hour of time. Total burden hours are </w:t>
      </w:r>
      <w:r w:rsidR="00680845">
        <w:t>24</w:t>
      </w:r>
      <w:r>
        <w:t xml:space="preserve">. </w:t>
      </w:r>
    </w:p>
    <w:p w14:paraId="41B96226" w14:textId="77777777" w:rsidR="00680845" w:rsidRDefault="00680845" w:rsidP="00D66D88">
      <w:pPr>
        <w:pStyle w:val="BodyText"/>
        <w:spacing w:line="480" w:lineRule="auto"/>
        <w:ind w:firstLine="0"/>
      </w:pPr>
      <w:r>
        <w:tab/>
        <w:t>Bureau of Labor Statistics data (</w:t>
      </w:r>
      <w:hyperlink r:id="rId10" w:anchor="29-0000" w:history="1">
        <w:r w:rsidRPr="0062249E">
          <w:rPr>
            <w:rStyle w:val="Hyperlink"/>
          </w:rPr>
          <w:t>https://www.bls.gov/oes/current/oes_nat.htm#29-0000</w:t>
        </w:r>
      </w:hyperlink>
      <w:r>
        <w:t>) were used to estimate the hourly wage rate for general pediatricians and nurse practitioners for the purposes of this generic request. Total annualized cost to respondents is $1856.</w:t>
      </w:r>
    </w:p>
    <w:p w14:paraId="7FF718AD" w14:textId="77777777" w:rsidR="00680845" w:rsidRDefault="00680845" w:rsidP="00680845">
      <w:pPr>
        <w:pStyle w:val="BodyText"/>
        <w:spacing w:line="240" w:lineRule="auto"/>
        <w:ind w:firstLine="0"/>
        <w:rPr>
          <w:b/>
        </w:rPr>
      </w:pPr>
      <w:r>
        <w:rPr>
          <w:b/>
        </w:rPr>
        <w:t>Exhibit 12.1 Burden Hours</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680845" w:rsidRPr="00680845" w14:paraId="5A6BDFE9" w14:textId="77777777" w:rsidTr="00E87846">
        <w:tc>
          <w:tcPr>
            <w:tcW w:w="1558" w:type="dxa"/>
            <w:vAlign w:val="bottom"/>
          </w:tcPr>
          <w:p w14:paraId="457AB2FD" w14:textId="77777777" w:rsidR="00680845" w:rsidRPr="00680845" w:rsidRDefault="00680845" w:rsidP="00680845">
            <w:pPr>
              <w:spacing w:before="100" w:beforeAutospacing="1" w:after="100" w:afterAutospacing="1"/>
              <w:ind w:left="0" w:firstLine="0"/>
              <w:jc w:val="center"/>
              <w:rPr>
                <w:rFonts w:eastAsia="Calibri"/>
                <w:b/>
              </w:rPr>
            </w:pPr>
            <w:r w:rsidRPr="00680845">
              <w:rPr>
                <w:rFonts w:eastAsia="Calibri"/>
                <w:b/>
              </w:rPr>
              <w:t>Respondents</w:t>
            </w:r>
          </w:p>
        </w:tc>
        <w:tc>
          <w:tcPr>
            <w:tcW w:w="1558" w:type="dxa"/>
            <w:vAlign w:val="bottom"/>
          </w:tcPr>
          <w:p w14:paraId="0F315D6B" w14:textId="77777777" w:rsidR="00680845" w:rsidRPr="00680845" w:rsidRDefault="00680845" w:rsidP="00680845">
            <w:pPr>
              <w:spacing w:before="100" w:beforeAutospacing="1" w:after="100" w:afterAutospacing="1"/>
              <w:ind w:left="0" w:firstLine="0"/>
              <w:jc w:val="center"/>
              <w:rPr>
                <w:rFonts w:eastAsia="Calibri"/>
                <w:b/>
              </w:rPr>
            </w:pPr>
            <w:r w:rsidRPr="00680845">
              <w:rPr>
                <w:rFonts w:eastAsia="Calibri"/>
                <w:b/>
              </w:rPr>
              <w:t>Form Name</w:t>
            </w:r>
          </w:p>
        </w:tc>
        <w:tc>
          <w:tcPr>
            <w:tcW w:w="1558" w:type="dxa"/>
            <w:vAlign w:val="bottom"/>
          </w:tcPr>
          <w:p w14:paraId="73D98C9D" w14:textId="77777777" w:rsidR="00680845" w:rsidRPr="00680845" w:rsidRDefault="00680845" w:rsidP="00680845">
            <w:pPr>
              <w:spacing w:before="100" w:beforeAutospacing="1" w:after="100" w:afterAutospacing="1"/>
              <w:ind w:left="0" w:firstLine="0"/>
              <w:jc w:val="center"/>
              <w:rPr>
                <w:rFonts w:eastAsia="Calibri"/>
                <w:b/>
              </w:rPr>
            </w:pPr>
            <w:r w:rsidRPr="00680845">
              <w:rPr>
                <w:rFonts w:eastAsia="Calibri"/>
                <w:b/>
              </w:rPr>
              <w:t>No. of Respondents</w:t>
            </w:r>
          </w:p>
        </w:tc>
        <w:tc>
          <w:tcPr>
            <w:tcW w:w="1558" w:type="dxa"/>
            <w:vAlign w:val="bottom"/>
          </w:tcPr>
          <w:p w14:paraId="7BF44C75" w14:textId="77777777" w:rsidR="00680845" w:rsidRPr="00680845" w:rsidRDefault="00680845" w:rsidP="00680845">
            <w:pPr>
              <w:spacing w:before="100" w:beforeAutospacing="1" w:after="100" w:afterAutospacing="1"/>
              <w:ind w:left="0" w:firstLine="0"/>
              <w:jc w:val="center"/>
              <w:rPr>
                <w:rFonts w:eastAsia="Calibri"/>
                <w:b/>
              </w:rPr>
            </w:pPr>
            <w:r w:rsidRPr="00680845">
              <w:rPr>
                <w:rFonts w:eastAsia="Calibri"/>
                <w:b/>
              </w:rPr>
              <w:t>No. of Responses per Respondent</w:t>
            </w:r>
          </w:p>
        </w:tc>
        <w:tc>
          <w:tcPr>
            <w:tcW w:w="1559" w:type="dxa"/>
            <w:vAlign w:val="bottom"/>
          </w:tcPr>
          <w:p w14:paraId="66261438" w14:textId="77777777" w:rsidR="00680845" w:rsidRPr="00680845" w:rsidRDefault="00680845" w:rsidP="00680845">
            <w:pPr>
              <w:spacing w:before="100" w:beforeAutospacing="1" w:after="100" w:afterAutospacing="1"/>
              <w:ind w:left="0" w:firstLine="0"/>
              <w:jc w:val="center"/>
              <w:rPr>
                <w:rFonts w:eastAsia="Calibri"/>
                <w:b/>
              </w:rPr>
            </w:pPr>
            <w:r w:rsidRPr="00680845">
              <w:rPr>
                <w:rFonts w:eastAsia="Calibri"/>
                <w:b/>
              </w:rPr>
              <w:t xml:space="preserve">Average Burden per Response (in Hours) </w:t>
            </w:r>
          </w:p>
        </w:tc>
        <w:tc>
          <w:tcPr>
            <w:tcW w:w="1559" w:type="dxa"/>
            <w:vAlign w:val="bottom"/>
          </w:tcPr>
          <w:p w14:paraId="5DE2A1F3" w14:textId="77777777" w:rsidR="00680845" w:rsidRPr="00680845" w:rsidRDefault="00680845" w:rsidP="00680845">
            <w:pPr>
              <w:spacing w:before="100" w:beforeAutospacing="1" w:after="100" w:afterAutospacing="1"/>
              <w:ind w:left="0" w:firstLine="0"/>
              <w:jc w:val="center"/>
              <w:rPr>
                <w:rFonts w:eastAsia="Calibri"/>
                <w:b/>
              </w:rPr>
            </w:pPr>
            <w:r w:rsidRPr="00680845">
              <w:rPr>
                <w:rFonts w:eastAsia="Calibri"/>
                <w:b/>
              </w:rPr>
              <w:t>Total Burden Hours</w:t>
            </w:r>
          </w:p>
        </w:tc>
      </w:tr>
      <w:tr w:rsidR="00680845" w:rsidRPr="00680845" w14:paraId="648CC622" w14:textId="77777777" w:rsidTr="00E87846">
        <w:tc>
          <w:tcPr>
            <w:tcW w:w="1558" w:type="dxa"/>
          </w:tcPr>
          <w:p w14:paraId="7779D86A" w14:textId="77777777" w:rsidR="00680845" w:rsidRPr="00680845" w:rsidRDefault="00680845" w:rsidP="00680845">
            <w:pPr>
              <w:spacing w:after="0"/>
              <w:ind w:left="0" w:firstLine="0"/>
              <w:rPr>
                <w:rFonts w:eastAsia="Calibri"/>
              </w:rPr>
            </w:pPr>
            <w:r w:rsidRPr="00680845">
              <w:rPr>
                <w:rFonts w:eastAsia="Calibri"/>
              </w:rPr>
              <w:t>Physicians</w:t>
            </w:r>
          </w:p>
        </w:tc>
        <w:tc>
          <w:tcPr>
            <w:tcW w:w="1558" w:type="dxa"/>
          </w:tcPr>
          <w:p w14:paraId="1870547E" w14:textId="77777777" w:rsidR="00680845" w:rsidRPr="00680845" w:rsidRDefault="00680845" w:rsidP="00680845">
            <w:pPr>
              <w:spacing w:after="0"/>
              <w:ind w:left="0" w:firstLine="0"/>
              <w:rPr>
                <w:rFonts w:eastAsia="Calibri"/>
              </w:rPr>
            </w:pPr>
            <w:r w:rsidRPr="00680845">
              <w:rPr>
                <w:rFonts w:eastAsia="Calibri"/>
              </w:rPr>
              <w:t>Focus Group Script</w:t>
            </w:r>
          </w:p>
        </w:tc>
        <w:tc>
          <w:tcPr>
            <w:tcW w:w="1558" w:type="dxa"/>
          </w:tcPr>
          <w:p w14:paraId="28663486" w14:textId="77777777" w:rsidR="00680845" w:rsidRPr="00680845" w:rsidRDefault="00680845" w:rsidP="00680845">
            <w:pPr>
              <w:spacing w:after="0"/>
              <w:ind w:left="0" w:firstLine="0"/>
              <w:rPr>
                <w:rFonts w:eastAsia="Calibri"/>
              </w:rPr>
            </w:pPr>
            <w:r w:rsidRPr="00680845">
              <w:rPr>
                <w:rFonts w:eastAsia="Calibri"/>
              </w:rPr>
              <w:t>16</w:t>
            </w:r>
          </w:p>
        </w:tc>
        <w:tc>
          <w:tcPr>
            <w:tcW w:w="1558" w:type="dxa"/>
          </w:tcPr>
          <w:p w14:paraId="73F9CED8" w14:textId="77777777" w:rsidR="00680845" w:rsidRPr="00680845" w:rsidRDefault="00680845" w:rsidP="00680845">
            <w:pPr>
              <w:spacing w:after="0"/>
              <w:ind w:left="0" w:firstLine="0"/>
              <w:rPr>
                <w:rFonts w:eastAsia="Calibri"/>
              </w:rPr>
            </w:pPr>
            <w:r w:rsidRPr="00680845">
              <w:rPr>
                <w:rFonts w:eastAsia="Calibri"/>
              </w:rPr>
              <w:t>1</w:t>
            </w:r>
          </w:p>
        </w:tc>
        <w:tc>
          <w:tcPr>
            <w:tcW w:w="1559" w:type="dxa"/>
          </w:tcPr>
          <w:p w14:paraId="51813053" w14:textId="77777777" w:rsidR="00680845" w:rsidRPr="00680845" w:rsidRDefault="00680845" w:rsidP="00680845">
            <w:pPr>
              <w:spacing w:after="0"/>
              <w:ind w:left="0" w:firstLine="0"/>
              <w:rPr>
                <w:rFonts w:eastAsia="Calibri"/>
              </w:rPr>
            </w:pPr>
            <w:r w:rsidRPr="00680845">
              <w:rPr>
                <w:rFonts w:eastAsia="Calibri"/>
              </w:rPr>
              <w:t xml:space="preserve">1 </w:t>
            </w:r>
          </w:p>
        </w:tc>
        <w:tc>
          <w:tcPr>
            <w:tcW w:w="1559" w:type="dxa"/>
          </w:tcPr>
          <w:p w14:paraId="6427C3BB" w14:textId="77777777" w:rsidR="00680845" w:rsidRPr="00680845" w:rsidRDefault="00680845" w:rsidP="00680845">
            <w:pPr>
              <w:spacing w:after="0"/>
              <w:ind w:left="0" w:firstLine="0"/>
              <w:rPr>
                <w:rFonts w:eastAsia="Calibri"/>
              </w:rPr>
            </w:pPr>
            <w:r w:rsidRPr="00680845">
              <w:rPr>
                <w:rFonts w:eastAsia="Calibri"/>
              </w:rPr>
              <w:t>16</w:t>
            </w:r>
          </w:p>
        </w:tc>
      </w:tr>
      <w:tr w:rsidR="00680845" w:rsidRPr="00680845" w14:paraId="3A729EC1" w14:textId="77777777" w:rsidTr="00E87846">
        <w:tc>
          <w:tcPr>
            <w:tcW w:w="1558" w:type="dxa"/>
          </w:tcPr>
          <w:p w14:paraId="0799E118" w14:textId="77777777" w:rsidR="00680845" w:rsidRPr="00680845" w:rsidRDefault="00680845" w:rsidP="00680845">
            <w:pPr>
              <w:spacing w:after="0"/>
              <w:ind w:left="0" w:firstLine="0"/>
              <w:rPr>
                <w:rFonts w:eastAsia="Calibri"/>
              </w:rPr>
            </w:pPr>
            <w:r w:rsidRPr="00680845">
              <w:rPr>
                <w:rFonts w:eastAsia="Calibri"/>
              </w:rPr>
              <w:t>Nurse Practitioners</w:t>
            </w:r>
          </w:p>
        </w:tc>
        <w:tc>
          <w:tcPr>
            <w:tcW w:w="1558" w:type="dxa"/>
          </w:tcPr>
          <w:p w14:paraId="355D07EC" w14:textId="77777777" w:rsidR="00680845" w:rsidRPr="00680845" w:rsidRDefault="00680845" w:rsidP="00680845">
            <w:pPr>
              <w:spacing w:after="0"/>
              <w:ind w:left="0" w:firstLine="0"/>
              <w:rPr>
                <w:rFonts w:eastAsia="Calibri"/>
              </w:rPr>
            </w:pPr>
            <w:r w:rsidRPr="00680845">
              <w:rPr>
                <w:rFonts w:eastAsia="Calibri"/>
              </w:rPr>
              <w:t>Focus Group Script</w:t>
            </w:r>
          </w:p>
        </w:tc>
        <w:tc>
          <w:tcPr>
            <w:tcW w:w="1558" w:type="dxa"/>
          </w:tcPr>
          <w:p w14:paraId="4D05B709" w14:textId="77777777" w:rsidR="00680845" w:rsidRPr="00680845" w:rsidRDefault="00680845" w:rsidP="00680845">
            <w:pPr>
              <w:spacing w:after="0"/>
              <w:ind w:left="0" w:firstLine="0"/>
              <w:rPr>
                <w:rFonts w:eastAsia="Calibri"/>
              </w:rPr>
            </w:pPr>
            <w:r w:rsidRPr="00680845">
              <w:rPr>
                <w:rFonts w:eastAsia="Calibri"/>
              </w:rPr>
              <w:t>8</w:t>
            </w:r>
          </w:p>
        </w:tc>
        <w:tc>
          <w:tcPr>
            <w:tcW w:w="1558" w:type="dxa"/>
          </w:tcPr>
          <w:p w14:paraId="6F4BA6FD" w14:textId="77777777" w:rsidR="00680845" w:rsidRPr="00680845" w:rsidRDefault="00680845" w:rsidP="00680845">
            <w:pPr>
              <w:spacing w:after="0"/>
              <w:ind w:left="0" w:firstLine="0"/>
              <w:rPr>
                <w:rFonts w:eastAsia="Calibri"/>
              </w:rPr>
            </w:pPr>
            <w:r w:rsidRPr="00680845">
              <w:rPr>
                <w:rFonts w:eastAsia="Calibri"/>
              </w:rPr>
              <w:t>1</w:t>
            </w:r>
          </w:p>
        </w:tc>
        <w:tc>
          <w:tcPr>
            <w:tcW w:w="1559" w:type="dxa"/>
          </w:tcPr>
          <w:p w14:paraId="44522621" w14:textId="77777777" w:rsidR="00680845" w:rsidRPr="00680845" w:rsidRDefault="00680845" w:rsidP="00680845">
            <w:pPr>
              <w:spacing w:after="0"/>
              <w:ind w:left="0" w:firstLine="0"/>
              <w:rPr>
                <w:rFonts w:eastAsia="Calibri"/>
              </w:rPr>
            </w:pPr>
            <w:r w:rsidRPr="00680845">
              <w:rPr>
                <w:rFonts w:eastAsia="Calibri"/>
              </w:rPr>
              <w:t>1</w:t>
            </w:r>
          </w:p>
        </w:tc>
        <w:tc>
          <w:tcPr>
            <w:tcW w:w="1559" w:type="dxa"/>
          </w:tcPr>
          <w:p w14:paraId="1E8DA153" w14:textId="77777777" w:rsidR="00680845" w:rsidRPr="00680845" w:rsidRDefault="00680845" w:rsidP="00680845">
            <w:pPr>
              <w:spacing w:after="0"/>
              <w:ind w:left="0" w:firstLine="0"/>
              <w:rPr>
                <w:rFonts w:eastAsia="Calibri"/>
              </w:rPr>
            </w:pPr>
            <w:r w:rsidRPr="00680845">
              <w:rPr>
                <w:rFonts w:eastAsia="Calibri"/>
              </w:rPr>
              <w:t>8</w:t>
            </w:r>
          </w:p>
        </w:tc>
      </w:tr>
      <w:tr w:rsidR="00680845" w:rsidRPr="00680845" w14:paraId="49E12689" w14:textId="77777777" w:rsidTr="00E87846">
        <w:tc>
          <w:tcPr>
            <w:tcW w:w="1558" w:type="dxa"/>
          </w:tcPr>
          <w:p w14:paraId="5A413564" w14:textId="77777777" w:rsidR="00680845" w:rsidRPr="00680845" w:rsidRDefault="00680845" w:rsidP="00680845">
            <w:pPr>
              <w:spacing w:after="0"/>
              <w:ind w:left="0" w:firstLine="0"/>
              <w:rPr>
                <w:rFonts w:eastAsia="Calibri"/>
              </w:rPr>
            </w:pPr>
          </w:p>
        </w:tc>
        <w:tc>
          <w:tcPr>
            <w:tcW w:w="1558" w:type="dxa"/>
          </w:tcPr>
          <w:p w14:paraId="12AA3105" w14:textId="77777777" w:rsidR="00680845" w:rsidRPr="00680845" w:rsidRDefault="00680845" w:rsidP="00680845">
            <w:pPr>
              <w:spacing w:after="0"/>
              <w:ind w:left="0" w:firstLine="0"/>
              <w:rPr>
                <w:rFonts w:eastAsia="Calibri"/>
                <w:b/>
              </w:rPr>
            </w:pPr>
            <w:r w:rsidRPr="00680845">
              <w:rPr>
                <w:rFonts w:eastAsia="Calibri"/>
                <w:b/>
              </w:rPr>
              <w:t>Total</w:t>
            </w:r>
          </w:p>
        </w:tc>
        <w:tc>
          <w:tcPr>
            <w:tcW w:w="1558" w:type="dxa"/>
          </w:tcPr>
          <w:p w14:paraId="262751AD" w14:textId="77777777" w:rsidR="00680845" w:rsidRPr="00680845" w:rsidRDefault="00680845" w:rsidP="00680845">
            <w:pPr>
              <w:spacing w:after="0"/>
              <w:ind w:left="0" w:firstLine="0"/>
              <w:rPr>
                <w:rFonts w:eastAsia="Calibri"/>
                <w:b/>
              </w:rPr>
            </w:pPr>
            <w:r w:rsidRPr="00680845">
              <w:rPr>
                <w:rFonts w:eastAsia="Calibri"/>
                <w:b/>
              </w:rPr>
              <w:t>24</w:t>
            </w:r>
          </w:p>
        </w:tc>
        <w:tc>
          <w:tcPr>
            <w:tcW w:w="1558" w:type="dxa"/>
          </w:tcPr>
          <w:p w14:paraId="4D7530EA" w14:textId="77777777" w:rsidR="00680845" w:rsidRPr="00680845" w:rsidRDefault="00680845" w:rsidP="00680845">
            <w:pPr>
              <w:spacing w:after="0"/>
              <w:ind w:left="0" w:firstLine="0"/>
              <w:rPr>
                <w:rFonts w:eastAsia="Calibri"/>
              </w:rPr>
            </w:pPr>
          </w:p>
        </w:tc>
        <w:tc>
          <w:tcPr>
            <w:tcW w:w="1559" w:type="dxa"/>
          </w:tcPr>
          <w:p w14:paraId="23E25D65" w14:textId="77777777" w:rsidR="00680845" w:rsidRPr="00680845" w:rsidRDefault="00680845" w:rsidP="00680845">
            <w:pPr>
              <w:spacing w:after="0"/>
              <w:ind w:left="0" w:firstLine="0"/>
              <w:rPr>
                <w:rFonts w:eastAsia="Calibri"/>
              </w:rPr>
            </w:pPr>
          </w:p>
        </w:tc>
        <w:tc>
          <w:tcPr>
            <w:tcW w:w="1559" w:type="dxa"/>
          </w:tcPr>
          <w:p w14:paraId="3E25C41B" w14:textId="77777777" w:rsidR="00680845" w:rsidRPr="00680845" w:rsidRDefault="00680845" w:rsidP="00680845">
            <w:pPr>
              <w:spacing w:after="0"/>
              <w:ind w:left="0" w:firstLine="0"/>
              <w:rPr>
                <w:rFonts w:eastAsia="Calibri"/>
                <w:b/>
              </w:rPr>
            </w:pPr>
            <w:r w:rsidRPr="00680845">
              <w:rPr>
                <w:rFonts w:eastAsia="Calibri"/>
                <w:b/>
              </w:rPr>
              <w:t>24</w:t>
            </w:r>
          </w:p>
        </w:tc>
      </w:tr>
    </w:tbl>
    <w:p w14:paraId="5D9030BB" w14:textId="77777777" w:rsidR="00680845" w:rsidRDefault="00680845" w:rsidP="00D66D88">
      <w:pPr>
        <w:pStyle w:val="BodyText"/>
        <w:spacing w:line="480" w:lineRule="auto"/>
        <w:ind w:firstLine="0"/>
        <w:rPr>
          <w:b/>
        </w:rPr>
      </w:pPr>
    </w:p>
    <w:p w14:paraId="7FAA6366" w14:textId="77777777" w:rsidR="00680845" w:rsidRDefault="00680845" w:rsidP="00680845">
      <w:pPr>
        <w:pStyle w:val="BodyText"/>
        <w:spacing w:line="240" w:lineRule="auto"/>
        <w:ind w:firstLine="0"/>
        <w:rPr>
          <w:b/>
        </w:rPr>
      </w:pPr>
      <w:r>
        <w:rPr>
          <w:b/>
        </w:rPr>
        <w:t>Exhibit 12.2 Annualized Cost to Respondents</w:t>
      </w:r>
    </w:p>
    <w:tbl>
      <w:tblPr>
        <w:tblStyle w:val="TableGrid"/>
        <w:tblW w:w="0" w:type="auto"/>
        <w:tblLook w:val="04A0" w:firstRow="1" w:lastRow="0" w:firstColumn="1" w:lastColumn="0" w:noHBand="0" w:noVBand="1"/>
      </w:tblPr>
      <w:tblGrid>
        <w:gridCol w:w="1558"/>
        <w:gridCol w:w="1558"/>
        <w:gridCol w:w="1558"/>
        <w:gridCol w:w="1558"/>
        <w:gridCol w:w="1559"/>
      </w:tblGrid>
      <w:tr w:rsidR="00680845" w:rsidRPr="00680845" w14:paraId="35605B0D" w14:textId="77777777" w:rsidTr="00E87846">
        <w:tc>
          <w:tcPr>
            <w:tcW w:w="1558" w:type="dxa"/>
            <w:vAlign w:val="bottom"/>
          </w:tcPr>
          <w:p w14:paraId="46B44EB8" w14:textId="77777777" w:rsidR="00680845" w:rsidRPr="00680845" w:rsidRDefault="00680845" w:rsidP="00E87846">
            <w:pPr>
              <w:spacing w:before="100" w:beforeAutospacing="1" w:after="100" w:afterAutospacing="1"/>
              <w:ind w:left="0" w:firstLine="0"/>
              <w:jc w:val="center"/>
              <w:rPr>
                <w:rFonts w:eastAsia="Calibri"/>
                <w:b/>
              </w:rPr>
            </w:pPr>
            <w:r w:rsidRPr="00680845">
              <w:rPr>
                <w:rFonts w:eastAsia="Calibri"/>
                <w:b/>
              </w:rPr>
              <w:t>Respondents</w:t>
            </w:r>
          </w:p>
        </w:tc>
        <w:tc>
          <w:tcPr>
            <w:tcW w:w="1558" w:type="dxa"/>
            <w:vAlign w:val="bottom"/>
          </w:tcPr>
          <w:p w14:paraId="0E3CBCB1" w14:textId="77777777" w:rsidR="00680845" w:rsidRPr="00680845" w:rsidRDefault="00680845" w:rsidP="00E87846">
            <w:pPr>
              <w:spacing w:before="100" w:beforeAutospacing="1" w:after="100" w:afterAutospacing="1"/>
              <w:ind w:left="0" w:firstLine="0"/>
              <w:jc w:val="center"/>
              <w:rPr>
                <w:rFonts w:eastAsia="Calibri"/>
                <w:b/>
              </w:rPr>
            </w:pPr>
            <w:r w:rsidRPr="00680845">
              <w:rPr>
                <w:rFonts w:eastAsia="Calibri"/>
                <w:b/>
              </w:rPr>
              <w:t>Form Name</w:t>
            </w:r>
          </w:p>
        </w:tc>
        <w:tc>
          <w:tcPr>
            <w:tcW w:w="1558" w:type="dxa"/>
            <w:vAlign w:val="bottom"/>
          </w:tcPr>
          <w:p w14:paraId="4B1F8F97" w14:textId="77777777" w:rsidR="00680845" w:rsidRPr="00680845" w:rsidRDefault="00680845" w:rsidP="00E87846">
            <w:pPr>
              <w:spacing w:before="100" w:beforeAutospacing="1" w:after="100" w:afterAutospacing="1"/>
              <w:ind w:left="0" w:firstLine="0"/>
              <w:jc w:val="center"/>
              <w:rPr>
                <w:rFonts w:eastAsia="Calibri"/>
                <w:b/>
              </w:rPr>
            </w:pPr>
            <w:r>
              <w:rPr>
                <w:rFonts w:eastAsia="Calibri"/>
                <w:b/>
              </w:rPr>
              <w:t>Total Burden Hours</w:t>
            </w:r>
          </w:p>
        </w:tc>
        <w:tc>
          <w:tcPr>
            <w:tcW w:w="1558" w:type="dxa"/>
            <w:vAlign w:val="bottom"/>
          </w:tcPr>
          <w:p w14:paraId="14D48407" w14:textId="77777777" w:rsidR="00680845" w:rsidRPr="00680845" w:rsidRDefault="00680845" w:rsidP="00E87846">
            <w:pPr>
              <w:spacing w:before="100" w:beforeAutospacing="1" w:after="100" w:afterAutospacing="1"/>
              <w:ind w:left="0" w:firstLine="0"/>
              <w:jc w:val="center"/>
              <w:rPr>
                <w:rFonts w:eastAsia="Calibri"/>
                <w:b/>
              </w:rPr>
            </w:pPr>
            <w:r>
              <w:rPr>
                <w:rFonts w:eastAsia="Calibri"/>
                <w:b/>
              </w:rPr>
              <w:t>Hourly Wage Rate</w:t>
            </w:r>
          </w:p>
        </w:tc>
        <w:tc>
          <w:tcPr>
            <w:tcW w:w="1559" w:type="dxa"/>
            <w:vAlign w:val="bottom"/>
          </w:tcPr>
          <w:p w14:paraId="37D9B0CC" w14:textId="77777777" w:rsidR="00680845" w:rsidRPr="00680845" w:rsidRDefault="00680845" w:rsidP="00E87846">
            <w:pPr>
              <w:spacing w:before="100" w:beforeAutospacing="1" w:after="100" w:afterAutospacing="1"/>
              <w:ind w:left="0" w:firstLine="0"/>
              <w:jc w:val="center"/>
              <w:rPr>
                <w:rFonts w:eastAsia="Calibri"/>
                <w:b/>
              </w:rPr>
            </w:pPr>
            <w:r>
              <w:rPr>
                <w:rFonts w:eastAsia="Calibri"/>
                <w:b/>
              </w:rPr>
              <w:t>Total Respondent Costs</w:t>
            </w:r>
            <w:r w:rsidRPr="00680845">
              <w:rPr>
                <w:rFonts w:eastAsia="Calibri"/>
                <w:b/>
              </w:rPr>
              <w:t xml:space="preserve"> </w:t>
            </w:r>
          </w:p>
        </w:tc>
      </w:tr>
      <w:tr w:rsidR="00680845" w:rsidRPr="00680845" w14:paraId="5137711F" w14:textId="77777777" w:rsidTr="00E87846">
        <w:tc>
          <w:tcPr>
            <w:tcW w:w="1558" w:type="dxa"/>
          </w:tcPr>
          <w:p w14:paraId="4C91CC80" w14:textId="77777777" w:rsidR="00680845" w:rsidRPr="00680845" w:rsidRDefault="00680845" w:rsidP="00E87846">
            <w:pPr>
              <w:spacing w:after="0"/>
              <w:ind w:left="0" w:firstLine="0"/>
              <w:rPr>
                <w:rFonts w:eastAsia="Calibri"/>
              </w:rPr>
            </w:pPr>
            <w:r w:rsidRPr="00680845">
              <w:rPr>
                <w:rFonts w:eastAsia="Calibri"/>
              </w:rPr>
              <w:t>Physicians</w:t>
            </w:r>
          </w:p>
        </w:tc>
        <w:tc>
          <w:tcPr>
            <w:tcW w:w="1558" w:type="dxa"/>
          </w:tcPr>
          <w:p w14:paraId="105F2EFB" w14:textId="77777777" w:rsidR="00680845" w:rsidRPr="00680845" w:rsidRDefault="00680845" w:rsidP="00E87846">
            <w:pPr>
              <w:spacing w:after="0"/>
              <w:ind w:left="0" w:firstLine="0"/>
              <w:rPr>
                <w:rFonts w:eastAsia="Calibri"/>
              </w:rPr>
            </w:pPr>
            <w:r w:rsidRPr="00680845">
              <w:rPr>
                <w:rFonts w:eastAsia="Calibri"/>
              </w:rPr>
              <w:t>Focus Group Script</w:t>
            </w:r>
          </w:p>
        </w:tc>
        <w:tc>
          <w:tcPr>
            <w:tcW w:w="1558" w:type="dxa"/>
          </w:tcPr>
          <w:p w14:paraId="2E9A1CEA" w14:textId="77777777" w:rsidR="00680845" w:rsidRPr="00680845" w:rsidRDefault="00680845" w:rsidP="00E87846">
            <w:pPr>
              <w:spacing w:after="0"/>
              <w:ind w:left="0" w:firstLine="0"/>
              <w:rPr>
                <w:rFonts w:eastAsia="Calibri"/>
              </w:rPr>
            </w:pPr>
            <w:r w:rsidRPr="00680845">
              <w:rPr>
                <w:rFonts w:eastAsia="Calibri"/>
              </w:rPr>
              <w:t>16</w:t>
            </w:r>
          </w:p>
        </w:tc>
        <w:tc>
          <w:tcPr>
            <w:tcW w:w="1558" w:type="dxa"/>
          </w:tcPr>
          <w:p w14:paraId="69540CA8" w14:textId="77777777" w:rsidR="00680845" w:rsidRPr="00680845" w:rsidRDefault="00680845" w:rsidP="00E87846">
            <w:pPr>
              <w:spacing w:after="0"/>
              <w:ind w:left="0" w:firstLine="0"/>
              <w:rPr>
                <w:rFonts w:eastAsia="Calibri"/>
              </w:rPr>
            </w:pPr>
            <w:r>
              <w:rPr>
                <w:rFonts w:eastAsia="Calibri"/>
              </w:rPr>
              <w:t>$90.16</w:t>
            </w:r>
          </w:p>
        </w:tc>
        <w:tc>
          <w:tcPr>
            <w:tcW w:w="1559" w:type="dxa"/>
          </w:tcPr>
          <w:p w14:paraId="58766617" w14:textId="77777777" w:rsidR="00680845" w:rsidRPr="00680845" w:rsidRDefault="00680845" w:rsidP="00E87846">
            <w:pPr>
              <w:spacing w:after="0"/>
              <w:ind w:left="0" w:firstLine="0"/>
              <w:rPr>
                <w:rFonts w:eastAsia="Calibri"/>
              </w:rPr>
            </w:pPr>
            <w:r>
              <w:rPr>
                <w:rFonts w:eastAsia="Calibri"/>
              </w:rPr>
              <w:t>$1442.56</w:t>
            </w:r>
          </w:p>
        </w:tc>
      </w:tr>
      <w:tr w:rsidR="00680845" w:rsidRPr="00680845" w14:paraId="664B2664" w14:textId="77777777" w:rsidTr="00E87846">
        <w:tc>
          <w:tcPr>
            <w:tcW w:w="1558" w:type="dxa"/>
          </w:tcPr>
          <w:p w14:paraId="56FB9A43" w14:textId="77777777" w:rsidR="00680845" w:rsidRPr="00680845" w:rsidRDefault="00680845" w:rsidP="00E87846">
            <w:pPr>
              <w:spacing w:after="0"/>
              <w:ind w:left="0" w:firstLine="0"/>
              <w:rPr>
                <w:rFonts w:eastAsia="Calibri"/>
              </w:rPr>
            </w:pPr>
            <w:r w:rsidRPr="00680845">
              <w:rPr>
                <w:rFonts w:eastAsia="Calibri"/>
              </w:rPr>
              <w:t>Nurse Practitioners</w:t>
            </w:r>
          </w:p>
        </w:tc>
        <w:tc>
          <w:tcPr>
            <w:tcW w:w="1558" w:type="dxa"/>
          </w:tcPr>
          <w:p w14:paraId="0D59DAAE" w14:textId="77777777" w:rsidR="00680845" w:rsidRPr="00680845" w:rsidRDefault="00680845" w:rsidP="00E87846">
            <w:pPr>
              <w:spacing w:after="0"/>
              <w:ind w:left="0" w:firstLine="0"/>
              <w:rPr>
                <w:rFonts w:eastAsia="Calibri"/>
              </w:rPr>
            </w:pPr>
            <w:r w:rsidRPr="00680845">
              <w:rPr>
                <w:rFonts w:eastAsia="Calibri"/>
              </w:rPr>
              <w:t>Focus Group Script</w:t>
            </w:r>
          </w:p>
        </w:tc>
        <w:tc>
          <w:tcPr>
            <w:tcW w:w="1558" w:type="dxa"/>
          </w:tcPr>
          <w:p w14:paraId="4B26EC9F" w14:textId="77777777" w:rsidR="00680845" w:rsidRPr="00680845" w:rsidRDefault="00680845" w:rsidP="00E87846">
            <w:pPr>
              <w:spacing w:after="0"/>
              <w:ind w:left="0" w:firstLine="0"/>
              <w:rPr>
                <w:rFonts w:eastAsia="Calibri"/>
              </w:rPr>
            </w:pPr>
            <w:r w:rsidRPr="00680845">
              <w:rPr>
                <w:rFonts w:eastAsia="Calibri"/>
              </w:rPr>
              <w:t>8</w:t>
            </w:r>
          </w:p>
        </w:tc>
        <w:tc>
          <w:tcPr>
            <w:tcW w:w="1558" w:type="dxa"/>
          </w:tcPr>
          <w:p w14:paraId="2F507E6F" w14:textId="77777777" w:rsidR="00680845" w:rsidRPr="00680845" w:rsidRDefault="00680845" w:rsidP="00E87846">
            <w:pPr>
              <w:spacing w:after="0"/>
              <w:ind w:left="0" w:firstLine="0"/>
              <w:rPr>
                <w:rFonts w:eastAsia="Calibri"/>
              </w:rPr>
            </w:pPr>
            <w:r>
              <w:rPr>
                <w:rFonts w:eastAsia="Calibri"/>
              </w:rPr>
              <w:t>$51.68</w:t>
            </w:r>
          </w:p>
        </w:tc>
        <w:tc>
          <w:tcPr>
            <w:tcW w:w="1559" w:type="dxa"/>
          </w:tcPr>
          <w:p w14:paraId="3E0F26AA" w14:textId="77777777" w:rsidR="00680845" w:rsidRPr="00680845" w:rsidRDefault="00680845" w:rsidP="00E87846">
            <w:pPr>
              <w:spacing w:after="0"/>
              <w:ind w:left="0" w:firstLine="0"/>
              <w:rPr>
                <w:rFonts w:eastAsia="Calibri"/>
              </w:rPr>
            </w:pPr>
            <w:r>
              <w:rPr>
                <w:rFonts w:eastAsia="Calibri"/>
              </w:rPr>
              <w:t>$413.44</w:t>
            </w:r>
          </w:p>
        </w:tc>
      </w:tr>
      <w:tr w:rsidR="00680845" w:rsidRPr="00680845" w14:paraId="5D6EFA46" w14:textId="77777777" w:rsidTr="00E87846">
        <w:tc>
          <w:tcPr>
            <w:tcW w:w="1558" w:type="dxa"/>
          </w:tcPr>
          <w:p w14:paraId="6C0CB3FA" w14:textId="77777777" w:rsidR="00680845" w:rsidRPr="00680845" w:rsidRDefault="00680845" w:rsidP="00E87846">
            <w:pPr>
              <w:spacing w:after="0"/>
              <w:ind w:left="0" w:firstLine="0"/>
              <w:rPr>
                <w:rFonts w:eastAsia="Calibri"/>
              </w:rPr>
            </w:pPr>
          </w:p>
        </w:tc>
        <w:tc>
          <w:tcPr>
            <w:tcW w:w="1558" w:type="dxa"/>
          </w:tcPr>
          <w:p w14:paraId="3E615C01" w14:textId="77777777" w:rsidR="00680845" w:rsidRPr="00680845" w:rsidRDefault="00680845" w:rsidP="00E87846">
            <w:pPr>
              <w:spacing w:after="0"/>
              <w:ind w:left="0" w:firstLine="0"/>
              <w:rPr>
                <w:rFonts w:eastAsia="Calibri"/>
                <w:b/>
              </w:rPr>
            </w:pPr>
            <w:r w:rsidRPr="00680845">
              <w:rPr>
                <w:rFonts w:eastAsia="Calibri"/>
                <w:b/>
              </w:rPr>
              <w:t>Total</w:t>
            </w:r>
          </w:p>
        </w:tc>
        <w:tc>
          <w:tcPr>
            <w:tcW w:w="1558" w:type="dxa"/>
          </w:tcPr>
          <w:p w14:paraId="381378A4" w14:textId="77777777" w:rsidR="00680845" w:rsidRPr="00680845" w:rsidRDefault="00680845" w:rsidP="00E87846">
            <w:pPr>
              <w:spacing w:after="0"/>
              <w:ind w:left="0" w:firstLine="0"/>
              <w:rPr>
                <w:rFonts w:eastAsia="Calibri"/>
                <w:b/>
              </w:rPr>
            </w:pPr>
          </w:p>
        </w:tc>
        <w:tc>
          <w:tcPr>
            <w:tcW w:w="1558" w:type="dxa"/>
          </w:tcPr>
          <w:p w14:paraId="5E080318" w14:textId="77777777" w:rsidR="00680845" w:rsidRPr="00680845" w:rsidRDefault="00680845" w:rsidP="00E87846">
            <w:pPr>
              <w:spacing w:after="0"/>
              <w:ind w:left="0" w:firstLine="0"/>
              <w:rPr>
                <w:rFonts w:eastAsia="Calibri"/>
              </w:rPr>
            </w:pPr>
          </w:p>
        </w:tc>
        <w:tc>
          <w:tcPr>
            <w:tcW w:w="1559" w:type="dxa"/>
          </w:tcPr>
          <w:p w14:paraId="746B8F8D" w14:textId="77777777" w:rsidR="00680845" w:rsidRPr="00680845" w:rsidRDefault="00680845" w:rsidP="00E87846">
            <w:pPr>
              <w:spacing w:after="0"/>
              <w:ind w:left="0" w:firstLine="0"/>
              <w:rPr>
                <w:rFonts w:eastAsia="Calibri"/>
              </w:rPr>
            </w:pPr>
            <w:r>
              <w:rPr>
                <w:rFonts w:eastAsia="Calibri"/>
              </w:rPr>
              <w:t>$1856.00</w:t>
            </w:r>
          </w:p>
        </w:tc>
      </w:tr>
    </w:tbl>
    <w:p w14:paraId="0584388F" w14:textId="77777777" w:rsidR="00680845" w:rsidRDefault="00680845" w:rsidP="00D66D88">
      <w:pPr>
        <w:pStyle w:val="BodyText"/>
        <w:spacing w:line="480" w:lineRule="auto"/>
        <w:ind w:firstLine="0"/>
        <w:rPr>
          <w:b/>
        </w:rPr>
      </w:pPr>
    </w:p>
    <w:p w14:paraId="3C7A735B" w14:textId="77777777" w:rsidR="00680845" w:rsidRDefault="00680845" w:rsidP="00D66D88">
      <w:pPr>
        <w:pStyle w:val="BodyText"/>
        <w:spacing w:line="480" w:lineRule="auto"/>
        <w:ind w:firstLine="0"/>
        <w:rPr>
          <w:b/>
        </w:rPr>
      </w:pPr>
      <w:r>
        <w:rPr>
          <w:b/>
        </w:rPr>
        <w:t>13. Estimate of Other Total Annual Cost Burden to Respondents and Record Keepers</w:t>
      </w:r>
    </w:p>
    <w:p w14:paraId="40A846BF" w14:textId="4BD5F830" w:rsidR="00680845" w:rsidRDefault="00680845" w:rsidP="00D66D88">
      <w:pPr>
        <w:pStyle w:val="BodyText"/>
        <w:spacing w:line="480" w:lineRule="auto"/>
        <w:ind w:firstLine="0"/>
      </w:pPr>
      <w:r>
        <w:tab/>
        <w:t>There are no other costs to respondents or record keepers</w:t>
      </w:r>
      <w:r w:rsidR="000206FB">
        <w:t xml:space="preserve"> other than their time</w:t>
      </w:r>
      <w:r>
        <w:t>.</w:t>
      </w:r>
    </w:p>
    <w:p w14:paraId="12AEDB51" w14:textId="77777777" w:rsidR="00680845" w:rsidRDefault="00680845" w:rsidP="00D66D88">
      <w:pPr>
        <w:pStyle w:val="BodyText"/>
        <w:spacing w:line="480" w:lineRule="auto"/>
        <w:ind w:firstLine="0"/>
        <w:rPr>
          <w:b/>
        </w:rPr>
      </w:pPr>
      <w:r>
        <w:rPr>
          <w:b/>
        </w:rPr>
        <w:t>14. Annualized Costs to the Government</w:t>
      </w:r>
    </w:p>
    <w:p w14:paraId="5920624E" w14:textId="5633AE19" w:rsidR="00680845" w:rsidRDefault="00680845" w:rsidP="00D66D88">
      <w:pPr>
        <w:pStyle w:val="BodyText"/>
        <w:spacing w:line="480" w:lineRule="auto"/>
        <w:ind w:firstLine="0"/>
      </w:pPr>
      <w:r>
        <w:tab/>
      </w:r>
      <w:r w:rsidR="001831EB">
        <w:t xml:space="preserve">This formative research is part of a larger contract </w:t>
      </w:r>
      <w:r w:rsidR="00447B56">
        <w:t xml:space="preserve">from CDC, awarded to </w:t>
      </w:r>
      <w:r w:rsidR="001831EB">
        <w:t>CHOP, which has a total cost to the government of $</w:t>
      </w:r>
      <w:r w:rsidR="000206FB">
        <w:t>488,</w:t>
      </w:r>
      <w:r w:rsidR="001831EB">
        <w:t xml:space="preserve">971.00. Additionally, a CDC Medical Officer </w:t>
      </w:r>
      <w:r w:rsidR="00447B56">
        <w:t xml:space="preserve">SME </w:t>
      </w:r>
      <w:r w:rsidR="001831EB">
        <w:t>will be providing technical expertise at 2.5% FTE (1 hour per week) and a CDC COR at 2.5% FTE</w:t>
      </w:r>
      <w:r w:rsidR="00515BFB">
        <w:t xml:space="preserve"> for the whole contract</w:t>
      </w:r>
      <w:r w:rsidR="001831EB">
        <w:t xml:space="preserve">. </w:t>
      </w:r>
      <w:r w:rsidR="00585C51">
        <w:t>The total contract is $</w:t>
      </w:r>
      <w:r w:rsidR="00BD0FF5">
        <w:t>488,971.00</w:t>
      </w:r>
      <w:r w:rsidR="00585C51">
        <w:t xml:space="preserve">, and this formative research is </w:t>
      </w:r>
      <w:r w:rsidR="00880C27">
        <w:t>$720.00</w:t>
      </w:r>
      <w:r w:rsidR="00610885">
        <w:t>.</w:t>
      </w:r>
    </w:p>
    <w:tbl>
      <w:tblPr>
        <w:tblW w:w="0" w:type="auto"/>
        <w:tblCellMar>
          <w:left w:w="0" w:type="dxa"/>
          <w:right w:w="0" w:type="dxa"/>
        </w:tblCellMar>
        <w:tblLook w:val="04A0" w:firstRow="1" w:lastRow="0" w:firstColumn="1" w:lastColumn="0" w:noHBand="0" w:noVBand="1"/>
      </w:tblPr>
      <w:tblGrid>
        <w:gridCol w:w="4781"/>
        <w:gridCol w:w="4795"/>
      </w:tblGrid>
      <w:tr w:rsidR="00C25CEC" w14:paraId="5121A9D6" w14:textId="77777777" w:rsidTr="00C25CEC">
        <w:tc>
          <w:tcPr>
            <w:tcW w:w="957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E3F457" w14:textId="77777777" w:rsidR="00C25CEC" w:rsidRDefault="00C25CEC">
            <w:pPr>
              <w:jc w:val="center"/>
            </w:pPr>
            <w:r>
              <w:t>Estimated Annualized Cost to the Government per Activity</w:t>
            </w:r>
          </w:p>
        </w:tc>
      </w:tr>
      <w:tr w:rsidR="00C25CEC" w14:paraId="5EFC91AD" w14:textId="77777777" w:rsidTr="00C25CEC">
        <w:tc>
          <w:tcPr>
            <w:tcW w:w="47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7D56E1" w14:textId="77777777" w:rsidR="00C25CEC" w:rsidRDefault="00C25CEC">
            <w:r>
              <w:t>Cost Category</w:t>
            </w:r>
          </w:p>
        </w:tc>
        <w:tc>
          <w:tcPr>
            <w:tcW w:w="4795" w:type="dxa"/>
            <w:tcBorders>
              <w:top w:val="nil"/>
              <w:left w:val="nil"/>
              <w:bottom w:val="single" w:sz="8" w:space="0" w:color="auto"/>
              <w:right w:val="single" w:sz="8" w:space="0" w:color="auto"/>
            </w:tcBorders>
            <w:tcMar>
              <w:top w:w="0" w:type="dxa"/>
              <w:left w:w="108" w:type="dxa"/>
              <w:bottom w:w="0" w:type="dxa"/>
              <w:right w:w="108" w:type="dxa"/>
            </w:tcMar>
            <w:hideMark/>
          </w:tcPr>
          <w:p w14:paraId="4A7AAAF0" w14:textId="77777777" w:rsidR="00C25CEC" w:rsidRDefault="00C25CEC">
            <w:r>
              <w:t>Estimated Annualized Cost</w:t>
            </w:r>
          </w:p>
        </w:tc>
      </w:tr>
      <w:tr w:rsidR="00C25CEC" w14:paraId="4B60EF16" w14:textId="77777777" w:rsidTr="007D2B4C">
        <w:tc>
          <w:tcPr>
            <w:tcW w:w="4781"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1A6D878C" w14:textId="3B21484E" w:rsidR="00C25CEC" w:rsidRDefault="00C25CEC">
            <w:r>
              <w:t>GS-14 Medical Officer</w:t>
            </w:r>
          </w:p>
        </w:tc>
        <w:tc>
          <w:tcPr>
            <w:tcW w:w="4795" w:type="dxa"/>
            <w:tcBorders>
              <w:top w:val="nil"/>
              <w:left w:val="nil"/>
              <w:bottom w:val="single" w:sz="4" w:space="0" w:color="auto"/>
              <w:right w:val="single" w:sz="8" w:space="0" w:color="auto"/>
            </w:tcBorders>
            <w:tcMar>
              <w:top w:w="0" w:type="dxa"/>
              <w:left w:w="108" w:type="dxa"/>
              <w:bottom w:w="0" w:type="dxa"/>
              <w:right w:w="108" w:type="dxa"/>
            </w:tcMar>
            <w:hideMark/>
          </w:tcPr>
          <w:p w14:paraId="76F5B656" w14:textId="77777777" w:rsidR="00C25CEC" w:rsidRDefault="00C25CEC">
            <w:r>
              <w:t>$4943</w:t>
            </w:r>
          </w:p>
        </w:tc>
      </w:tr>
      <w:tr w:rsidR="00C25CEC" w14:paraId="55AD64EE" w14:textId="77777777" w:rsidTr="007D2B4C">
        <w:tc>
          <w:tcPr>
            <w:tcW w:w="47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C103EB" w14:textId="7F800A96" w:rsidR="00C25CEC" w:rsidRDefault="00C25CEC">
            <w:r>
              <w:t>GS-13 CDC COR</w:t>
            </w:r>
          </w:p>
        </w:tc>
        <w:tc>
          <w:tcPr>
            <w:tcW w:w="4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C041E9" w14:textId="77777777" w:rsidR="00C25CEC" w:rsidRDefault="00C25CEC">
            <w:r>
              <w:t>$2248</w:t>
            </w:r>
          </w:p>
        </w:tc>
      </w:tr>
      <w:tr w:rsidR="007D2B4C" w14:paraId="3FC62005" w14:textId="77777777" w:rsidTr="007D2B4C">
        <w:tc>
          <w:tcPr>
            <w:tcW w:w="47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85745" w14:textId="6A6C498B" w:rsidR="007D2B4C" w:rsidRDefault="007D2B4C">
            <w:r>
              <w:t>Federal Personnel Subtotal</w:t>
            </w:r>
          </w:p>
        </w:tc>
        <w:tc>
          <w:tcPr>
            <w:tcW w:w="4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8B2F4" w14:textId="13853AB3" w:rsidR="007D2B4C" w:rsidRDefault="007D2B4C">
            <w:r>
              <w:t>$7191</w:t>
            </w:r>
          </w:p>
        </w:tc>
      </w:tr>
      <w:tr w:rsidR="007D2B4C" w14:paraId="35C4498A" w14:textId="77777777" w:rsidTr="007D2B4C">
        <w:tc>
          <w:tcPr>
            <w:tcW w:w="47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AD3F9" w14:textId="741C52B3" w:rsidR="007D2B4C" w:rsidRDefault="001B05BB">
            <w:r>
              <w:t>Project Contract</w:t>
            </w:r>
          </w:p>
        </w:tc>
        <w:tc>
          <w:tcPr>
            <w:tcW w:w="4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12A803" w14:textId="5859AA3C" w:rsidR="007D2B4C" w:rsidRDefault="001B05BB">
            <w:r>
              <w:t>$720</w:t>
            </w:r>
          </w:p>
        </w:tc>
      </w:tr>
      <w:tr w:rsidR="001B05BB" w14:paraId="0F0F0027" w14:textId="77777777" w:rsidTr="007D2B4C">
        <w:tc>
          <w:tcPr>
            <w:tcW w:w="47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D6219" w14:textId="4F6BCDDC" w:rsidR="001B05BB" w:rsidRPr="001B05BB" w:rsidRDefault="001B05BB">
            <w:pPr>
              <w:rPr>
                <w:b/>
              </w:rPr>
            </w:pPr>
            <w:r w:rsidRPr="001B05BB">
              <w:rPr>
                <w:b/>
              </w:rPr>
              <w:t>Total</w:t>
            </w:r>
          </w:p>
        </w:tc>
        <w:tc>
          <w:tcPr>
            <w:tcW w:w="4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909EF" w14:textId="2AD5B94C" w:rsidR="001B05BB" w:rsidRPr="001B05BB" w:rsidRDefault="001B05BB">
            <w:pPr>
              <w:rPr>
                <w:b/>
              </w:rPr>
            </w:pPr>
            <w:r w:rsidRPr="001B05BB">
              <w:rPr>
                <w:b/>
              </w:rPr>
              <w:t>$7911</w:t>
            </w:r>
          </w:p>
        </w:tc>
      </w:tr>
    </w:tbl>
    <w:p w14:paraId="57F1D6ED" w14:textId="77777777" w:rsidR="00C25CEC" w:rsidRDefault="00C25CEC" w:rsidP="00D66D88">
      <w:pPr>
        <w:pStyle w:val="BodyText"/>
        <w:spacing w:line="480" w:lineRule="auto"/>
        <w:ind w:firstLine="0"/>
        <w:rPr>
          <w:b/>
        </w:rPr>
      </w:pPr>
    </w:p>
    <w:p w14:paraId="4A6826CC" w14:textId="566E1393" w:rsidR="00680845" w:rsidRDefault="00680845" w:rsidP="00D66D88">
      <w:pPr>
        <w:pStyle w:val="BodyText"/>
        <w:spacing w:line="480" w:lineRule="auto"/>
        <w:ind w:firstLine="0"/>
        <w:rPr>
          <w:b/>
        </w:rPr>
      </w:pPr>
      <w:r>
        <w:rPr>
          <w:b/>
        </w:rPr>
        <w:t>15. Explanation for Program Changes or Adjustments</w:t>
      </w:r>
    </w:p>
    <w:p w14:paraId="18A53F7F" w14:textId="77777777" w:rsidR="00680845" w:rsidRDefault="00680845" w:rsidP="00D66D88">
      <w:pPr>
        <w:pStyle w:val="BodyText"/>
        <w:spacing w:line="480" w:lineRule="auto"/>
        <w:ind w:firstLine="0"/>
      </w:pPr>
      <w:r>
        <w:rPr>
          <w:b/>
        </w:rPr>
        <w:tab/>
      </w:r>
      <w:r>
        <w:t>No change in burden is requested as this is a new information collection.</w:t>
      </w:r>
    </w:p>
    <w:p w14:paraId="1681A762" w14:textId="77777777" w:rsidR="00680845" w:rsidRDefault="00680845" w:rsidP="00D66D88">
      <w:pPr>
        <w:pStyle w:val="BodyText"/>
        <w:spacing w:line="480" w:lineRule="auto"/>
        <w:ind w:firstLine="0"/>
        <w:rPr>
          <w:b/>
        </w:rPr>
      </w:pPr>
      <w:r>
        <w:rPr>
          <w:b/>
        </w:rPr>
        <w:t>16. Plans for Tabulation and Publication and Project Time Schedule</w:t>
      </w:r>
    </w:p>
    <w:p w14:paraId="06FF0F94" w14:textId="4857A8DF" w:rsidR="00423F56" w:rsidRDefault="00680845" w:rsidP="00423F56">
      <w:pPr>
        <w:spacing w:line="480" w:lineRule="auto"/>
        <w:ind w:left="0" w:firstLine="0"/>
        <w:rPr>
          <w:bCs/>
        </w:rPr>
      </w:pPr>
      <w:r>
        <w:rPr>
          <w:b/>
        </w:rPr>
        <w:tab/>
      </w:r>
      <w:r>
        <w:t>Data from the focus groups will be transcribed within 2 weeks. The transcripts will be uploaded into NVivo 12 qualitative data analysis software</w:t>
      </w:r>
      <w:r w:rsidR="00843EA4">
        <w:t xml:space="preserve">, accessible only to project staff. Data will be analyzed </w:t>
      </w:r>
      <w:r w:rsidR="00B54F44">
        <w:t xml:space="preserve">by </w:t>
      </w:r>
      <w:r w:rsidR="00843EA4">
        <w:t xml:space="preserve">study Co-Investigator Dr. Julia Szymczak and her study coordinator Ms. Brandi Muller. We will aggregate common themes and report them back to the rest of the study team in a brief written document outlining findings and recommendations. We will not submit any manuscripts for publication arising from this formative research. The findings will be used internally to drive the creation of </w:t>
      </w:r>
      <w:r w:rsidR="00B54F44">
        <w:t>antibiotic prescribing metrics and benchmarks, which can be used in future studies of antimicrobial stewardship efforts</w:t>
      </w:r>
      <w:r w:rsidR="00843EA4">
        <w:t>.</w:t>
      </w:r>
    </w:p>
    <w:p w14:paraId="0205645B" w14:textId="77777777" w:rsidR="00843EA4" w:rsidRDefault="00843EA4" w:rsidP="00D66D88">
      <w:pPr>
        <w:pStyle w:val="BodyText"/>
        <w:spacing w:line="480" w:lineRule="auto"/>
        <w:ind w:firstLine="0"/>
      </w:pPr>
      <w:r>
        <w:t>Key events are described in Exhibit 16.1.</w:t>
      </w:r>
    </w:p>
    <w:p w14:paraId="23E7A464" w14:textId="77777777" w:rsidR="00843EA4" w:rsidRDefault="00843EA4" w:rsidP="00843EA4">
      <w:pPr>
        <w:pStyle w:val="BodyText"/>
        <w:spacing w:line="240" w:lineRule="auto"/>
        <w:ind w:firstLine="0"/>
        <w:rPr>
          <w:b/>
        </w:rPr>
      </w:pPr>
      <w:r>
        <w:rPr>
          <w:b/>
        </w:rPr>
        <w:t>Exhibit 16.1 Project Activities and Time Schedule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1"/>
        <w:gridCol w:w="3635"/>
      </w:tblGrid>
      <w:tr w:rsidR="00843EA4" w:rsidRPr="00D4442D" w14:paraId="76DA5FF1" w14:textId="77777777" w:rsidTr="00E87846">
        <w:tc>
          <w:tcPr>
            <w:tcW w:w="3102" w:type="pct"/>
            <w:shd w:val="clear" w:color="auto" w:fill="auto"/>
            <w:noWrap/>
          </w:tcPr>
          <w:p w14:paraId="089A660D" w14:textId="77777777" w:rsidR="00843EA4" w:rsidRPr="00CE30A2" w:rsidRDefault="00843EA4" w:rsidP="00843EA4">
            <w:pPr>
              <w:keepNext/>
              <w:widowControl w:val="0"/>
              <w:autoSpaceDE w:val="0"/>
              <w:autoSpaceDN w:val="0"/>
              <w:adjustRightInd w:val="0"/>
              <w:spacing w:before="40" w:after="40" w:line="480" w:lineRule="auto"/>
              <w:jc w:val="center"/>
              <w:rPr>
                <w:b/>
              </w:rPr>
            </w:pPr>
            <w:r w:rsidRPr="00CE30A2">
              <w:rPr>
                <w:b/>
              </w:rPr>
              <w:t>Activity</w:t>
            </w:r>
          </w:p>
        </w:tc>
        <w:tc>
          <w:tcPr>
            <w:tcW w:w="1898" w:type="pct"/>
            <w:shd w:val="clear" w:color="auto" w:fill="auto"/>
          </w:tcPr>
          <w:p w14:paraId="2649C369" w14:textId="77777777" w:rsidR="00843EA4" w:rsidRPr="00CE30A2" w:rsidRDefault="00843EA4" w:rsidP="00843EA4">
            <w:pPr>
              <w:keepNext/>
              <w:widowControl w:val="0"/>
              <w:autoSpaceDE w:val="0"/>
              <w:autoSpaceDN w:val="0"/>
              <w:adjustRightInd w:val="0"/>
              <w:spacing w:before="40" w:after="40" w:line="480" w:lineRule="auto"/>
              <w:jc w:val="center"/>
              <w:rPr>
                <w:b/>
              </w:rPr>
            </w:pPr>
            <w:r w:rsidRPr="00CE30A2">
              <w:rPr>
                <w:b/>
              </w:rPr>
              <w:t>Time Schedule</w:t>
            </w:r>
          </w:p>
        </w:tc>
      </w:tr>
      <w:tr w:rsidR="00843EA4" w:rsidRPr="00D4442D" w14:paraId="336BB93E" w14:textId="77777777" w:rsidTr="00E87846">
        <w:tc>
          <w:tcPr>
            <w:tcW w:w="3102" w:type="pct"/>
            <w:shd w:val="clear" w:color="auto" w:fill="auto"/>
            <w:noWrap/>
          </w:tcPr>
          <w:p w14:paraId="329FA7B9" w14:textId="77777777" w:rsidR="00843EA4" w:rsidRPr="00CE30A2" w:rsidRDefault="00843EA4" w:rsidP="00843EA4">
            <w:pPr>
              <w:keepNext/>
              <w:widowControl w:val="0"/>
              <w:autoSpaceDE w:val="0"/>
              <w:autoSpaceDN w:val="0"/>
              <w:adjustRightInd w:val="0"/>
              <w:spacing w:before="40" w:after="40" w:line="480" w:lineRule="auto"/>
              <w:rPr>
                <w:bCs/>
              </w:rPr>
            </w:pPr>
            <w:r w:rsidRPr="00CE30A2">
              <w:rPr>
                <w:bCs/>
              </w:rPr>
              <w:t>Begin recruitment</w:t>
            </w:r>
          </w:p>
        </w:tc>
        <w:tc>
          <w:tcPr>
            <w:tcW w:w="1898" w:type="pct"/>
            <w:shd w:val="clear" w:color="auto" w:fill="auto"/>
          </w:tcPr>
          <w:p w14:paraId="31F231C2" w14:textId="77777777" w:rsidR="00843EA4" w:rsidRPr="00CE30A2" w:rsidRDefault="00843EA4" w:rsidP="00843EA4">
            <w:pPr>
              <w:keepNext/>
              <w:widowControl w:val="0"/>
              <w:autoSpaceDE w:val="0"/>
              <w:autoSpaceDN w:val="0"/>
              <w:adjustRightInd w:val="0"/>
              <w:spacing w:before="40" w:after="40" w:line="480" w:lineRule="auto"/>
              <w:rPr>
                <w:bCs/>
              </w:rPr>
            </w:pPr>
            <w:r w:rsidRPr="00CE30A2">
              <w:rPr>
                <w:bCs/>
              </w:rPr>
              <w:t>1 month after OMB approval</w:t>
            </w:r>
          </w:p>
        </w:tc>
      </w:tr>
      <w:tr w:rsidR="00843EA4" w:rsidRPr="00D4442D" w14:paraId="0685D1FC" w14:textId="77777777" w:rsidTr="00E87846">
        <w:tc>
          <w:tcPr>
            <w:tcW w:w="3102" w:type="pct"/>
            <w:shd w:val="clear" w:color="auto" w:fill="auto"/>
            <w:noWrap/>
          </w:tcPr>
          <w:p w14:paraId="46AE4A3A" w14:textId="77777777" w:rsidR="00843EA4" w:rsidRPr="00CE30A2" w:rsidRDefault="00843EA4" w:rsidP="00843EA4">
            <w:pPr>
              <w:keepNext/>
              <w:widowControl w:val="0"/>
              <w:autoSpaceDE w:val="0"/>
              <w:autoSpaceDN w:val="0"/>
              <w:adjustRightInd w:val="0"/>
              <w:spacing w:before="40" w:after="40" w:line="480" w:lineRule="auto"/>
              <w:rPr>
                <w:bCs/>
              </w:rPr>
            </w:pPr>
            <w:r w:rsidRPr="00CE30A2">
              <w:rPr>
                <w:bCs/>
              </w:rPr>
              <w:t>Complete formative research</w:t>
            </w:r>
          </w:p>
        </w:tc>
        <w:tc>
          <w:tcPr>
            <w:tcW w:w="1898" w:type="pct"/>
            <w:shd w:val="clear" w:color="auto" w:fill="auto"/>
          </w:tcPr>
          <w:p w14:paraId="27627095" w14:textId="77777777" w:rsidR="00843EA4" w:rsidRPr="00CE30A2" w:rsidRDefault="00843EA4" w:rsidP="00843EA4">
            <w:pPr>
              <w:keepNext/>
              <w:widowControl w:val="0"/>
              <w:autoSpaceDE w:val="0"/>
              <w:autoSpaceDN w:val="0"/>
              <w:adjustRightInd w:val="0"/>
              <w:spacing w:before="40" w:after="40" w:line="480" w:lineRule="auto"/>
              <w:rPr>
                <w:bCs/>
              </w:rPr>
            </w:pPr>
            <w:r>
              <w:rPr>
                <w:bCs/>
              </w:rPr>
              <w:t>4</w:t>
            </w:r>
            <w:r w:rsidRPr="00CE30A2">
              <w:rPr>
                <w:bCs/>
              </w:rPr>
              <w:t xml:space="preserve"> months after OMB approval</w:t>
            </w:r>
          </w:p>
        </w:tc>
      </w:tr>
      <w:tr w:rsidR="00843EA4" w:rsidRPr="00D4442D" w14:paraId="0FEA3101" w14:textId="77777777" w:rsidTr="00E87846">
        <w:tc>
          <w:tcPr>
            <w:tcW w:w="3102" w:type="pct"/>
            <w:shd w:val="clear" w:color="auto" w:fill="auto"/>
            <w:noWrap/>
          </w:tcPr>
          <w:p w14:paraId="56D55975" w14:textId="77777777" w:rsidR="00843EA4" w:rsidRPr="00CE30A2" w:rsidRDefault="00843EA4" w:rsidP="00843EA4">
            <w:pPr>
              <w:keepNext/>
              <w:widowControl w:val="0"/>
              <w:autoSpaceDE w:val="0"/>
              <w:autoSpaceDN w:val="0"/>
              <w:adjustRightInd w:val="0"/>
              <w:spacing w:before="40" w:after="40" w:line="480" w:lineRule="auto"/>
              <w:rPr>
                <w:bCs/>
              </w:rPr>
            </w:pPr>
            <w:r>
              <w:rPr>
                <w:bCs/>
              </w:rPr>
              <w:t>Report of findings and recommendations completed</w:t>
            </w:r>
          </w:p>
        </w:tc>
        <w:tc>
          <w:tcPr>
            <w:tcW w:w="1898" w:type="pct"/>
            <w:shd w:val="clear" w:color="auto" w:fill="auto"/>
          </w:tcPr>
          <w:p w14:paraId="51D5BE16" w14:textId="77777777" w:rsidR="00843EA4" w:rsidRPr="00CE30A2" w:rsidRDefault="00843EA4" w:rsidP="00843EA4">
            <w:pPr>
              <w:keepNext/>
              <w:widowControl w:val="0"/>
              <w:autoSpaceDE w:val="0"/>
              <w:autoSpaceDN w:val="0"/>
              <w:adjustRightInd w:val="0"/>
              <w:spacing w:before="40" w:after="40" w:line="480" w:lineRule="auto"/>
              <w:rPr>
                <w:bCs/>
              </w:rPr>
            </w:pPr>
            <w:r>
              <w:rPr>
                <w:bCs/>
              </w:rPr>
              <w:t>6</w:t>
            </w:r>
            <w:r w:rsidRPr="00CE30A2">
              <w:rPr>
                <w:bCs/>
              </w:rPr>
              <w:t xml:space="preserve"> months after OMB approval</w:t>
            </w:r>
          </w:p>
        </w:tc>
      </w:tr>
    </w:tbl>
    <w:p w14:paraId="2666B321" w14:textId="77777777" w:rsidR="00843EA4" w:rsidRDefault="00843EA4" w:rsidP="00D66D88">
      <w:pPr>
        <w:pStyle w:val="BodyText"/>
        <w:spacing w:line="480" w:lineRule="auto"/>
        <w:ind w:firstLine="0"/>
        <w:rPr>
          <w:b/>
        </w:rPr>
      </w:pPr>
    </w:p>
    <w:p w14:paraId="4CF2C291" w14:textId="10FE5F14" w:rsidR="00423F56" w:rsidRPr="00423F56" w:rsidRDefault="00193A25" w:rsidP="00D66D88">
      <w:pPr>
        <w:pStyle w:val="BodyText"/>
        <w:spacing w:line="480" w:lineRule="auto"/>
        <w:ind w:firstLine="0"/>
      </w:pPr>
      <w:r w:rsidRPr="00193A25">
        <w:t>Of note, additional formative research</w:t>
      </w:r>
      <w:r w:rsidR="00423F56">
        <w:t>, in the form of one follow-up focus group,</w:t>
      </w:r>
      <w:r w:rsidRPr="00193A25">
        <w:t xml:space="preserve"> is planned as part of this larger pro</w:t>
      </w:r>
      <w:r w:rsidR="00423F56">
        <w:t>ject. The follow-up focus group</w:t>
      </w:r>
      <w:r w:rsidRPr="00193A25">
        <w:t xml:space="preserve"> will be </w:t>
      </w:r>
      <w:r w:rsidR="00423F56">
        <w:t xml:space="preserve">submitted for OMB approval as a separate service delivery package, as the purpose of that focus group will be to receive feedback on the developed metric, benchmark, and communications materials. </w:t>
      </w:r>
    </w:p>
    <w:p w14:paraId="181F1CC1" w14:textId="77777777" w:rsidR="00843EA4" w:rsidRPr="007D6681" w:rsidRDefault="00843EA4" w:rsidP="00843EA4">
      <w:pPr>
        <w:tabs>
          <w:tab w:val="left" w:pos="0"/>
        </w:tabs>
        <w:rPr>
          <w:color w:val="000000"/>
        </w:rPr>
      </w:pPr>
      <w:r w:rsidRPr="007D6681">
        <w:rPr>
          <w:b/>
          <w:bCs/>
          <w:color w:val="000000"/>
        </w:rPr>
        <w:t>A.17. Reason(s) Display of OMB Expiration Date is Inappropriate</w:t>
      </w:r>
    </w:p>
    <w:p w14:paraId="7C9ED70D" w14:textId="77777777" w:rsidR="00843EA4" w:rsidRPr="007D6681" w:rsidRDefault="00843EA4" w:rsidP="00843EA4">
      <w:pPr>
        <w:pStyle w:val="BodyText"/>
      </w:pPr>
      <w:r w:rsidRPr="007D6681">
        <w:t>The display of the OMB expiration date in not inappropriate.</w:t>
      </w:r>
    </w:p>
    <w:p w14:paraId="74ACFDBD" w14:textId="77777777" w:rsidR="00843EA4" w:rsidRPr="007D6681" w:rsidRDefault="00843EA4" w:rsidP="00843EA4">
      <w:pPr>
        <w:tabs>
          <w:tab w:val="left" w:pos="0"/>
        </w:tabs>
        <w:rPr>
          <w:color w:val="000000"/>
        </w:rPr>
      </w:pPr>
      <w:r w:rsidRPr="007D6681">
        <w:rPr>
          <w:b/>
          <w:bCs/>
          <w:color w:val="000000"/>
        </w:rPr>
        <w:t>A.18. Exceptions to Certification for Paperwork Reduction Act Submissions</w:t>
      </w:r>
    </w:p>
    <w:p w14:paraId="4EF3AD58" w14:textId="4FC09B6D" w:rsidR="0013305F" w:rsidRDefault="00843EA4" w:rsidP="00A54FC6">
      <w:pPr>
        <w:ind w:firstLine="720"/>
      </w:pPr>
      <w:r w:rsidRPr="007D6681">
        <w:t>There are no exceptions to the certification.</w:t>
      </w:r>
    </w:p>
    <w:p w14:paraId="754DF0D1" w14:textId="77777777" w:rsidR="0013305F" w:rsidRDefault="0013305F" w:rsidP="00A54FC6">
      <w:pPr>
        <w:ind w:firstLine="720"/>
      </w:pPr>
    </w:p>
    <w:p w14:paraId="4A1C78B0" w14:textId="77777777" w:rsidR="0013305F" w:rsidRDefault="0013305F" w:rsidP="00A54FC6">
      <w:pPr>
        <w:ind w:left="0" w:firstLine="720"/>
      </w:pPr>
    </w:p>
    <w:p w14:paraId="2EAB2B54" w14:textId="77777777" w:rsidR="0013305F" w:rsidRDefault="0013305F" w:rsidP="00A54FC6">
      <w:pPr>
        <w:pStyle w:val="BodyText"/>
        <w:ind w:firstLine="0"/>
      </w:pPr>
    </w:p>
    <w:p w14:paraId="414ECE08" w14:textId="2B179092" w:rsidR="0013305F" w:rsidRPr="000206FB" w:rsidRDefault="0013305F" w:rsidP="00D66D88">
      <w:pPr>
        <w:pStyle w:val="BodyText"/>
        <w:spacing w:line="480" w:lineRule="auto"/>
        <w:ind w:firstLine="0"/>
        <w:rPr>
          <w:b/>
        </w:rPr>
      </w:pPr>
      <w:r w:rsidRPr="000206FB">
        <w:rPr>
          <w:b/>
        </w:rPr>
        <w:t>References</w:t>
      </w:r>
    </w:p>
    <w:p w14:paraId="210A92B7" w14:textId="5F6C183F" w:rsidR="0013305F" w:rsidRPr="000206FB" w:rsidRDefault="0013305F" w:rsidP="00A54FC6">
      <w:pPr>
        <w:pStyle w:val="BodyText"/>
        <w:numPr>
          <w:ilvl w:val="0"/>
          <w:numId w:val="3"/>
        </w:numPr>
        <w:spacing w:line="480" w:lineRule="auto"/>
      </w:pPr>
      <w:r w:rsidRPr="000206FB">
        <w:t>Centers for Disease Control and Prevention. Antibiotic Resistance Threats in the United States, 2013.  https://www.cdc.gov/drugresistance/threat-report-2013/. Accessed 12/19/2016.</w:t>
      </w:r>
    </w:p>
    <w:p w14:paraId="50EB1F0C" w14:textId="644326CB" w:rsidR="0013305F" w:rsidRPr="000206FB" w:rsidRDefault="0013305F" w:rsidP="00A54FC6">
      <w:pPr>
        <w:pStyle w:val="BodyText"/>
        <w:numPr>
          <w:ilvl w:val="0"/>
          <w:numId w:val="3"/>
        </w:numPr>
        <w:spacing w:line="480" w:lineRule="auto"/>
      </w:pPr>
      <w:r w:rsidRPr="000206FB">
        <w:t>Duffy E, Ritchie S, Metcalfe S, et al. Antibacterials dispensed in the community comprise 85%</w:t>
      </w:r>
      <w:r w:rsidRPr="000206FB">
        <w:rPr>
          <w:rFonts w:ascii="Cambria Math" w:hAnsi="Cambria Math" w:cs="Cambria Math"/>
        </w:rPr>
        <w:t>‐</w:t>
      </w:r>
      <w:r w:rsidRPr="000206FB">
        <w:t>95% of total human antibacterial consumption</w:t>
      </w:r>
      <w:r w:rsidRPr="000206FB">
        <w:rPr>
          <w:i/>
        </w:rPr>
        <w:t>. J Clin Pharm Ther</w:t>
      </w:r>
      <w:r w:rsidRPr="000206FB">
        <w:t>. 2018;43:59–64.</w:t>
      </w:r>
    </w:p>
    <w:p w14:paraId="3BF5AB38" w14:textId="5AB6541D" w:rsidR="0013305F" w:rsidRPr="000206FB" w:rsidRDefault="0013305F" w:rsidP="00A54FC6">
      <w:pPr>
        <w:pStyle w:val="BodyText"/>
        <w:numPr>
          <w:ilvl w:val="0"/>
          <w:numId w:val="3"/>
        </w:numPr>
        <w:spacing w:line="480" w:lineRule="auto"/>
      </w:pPr>
      <w:r w:rsidRPr="000206FB">
        <w:t xml:space="preserve">Hicks LA, Bartoces MG, Roberts RM, et al. US outpatient antibiotic prescribing variation according to geography, patient population, and provider specialty in 2011. </w:t>
      </w:r>
      <w:r w:rsidRPr="000206FB">
        <w:rPr>
          <w:i/>
        </w:rPr>
        <w:t xml:space="preserve">Clin Infect Dis. </w:t>
      </w:r>
      <w:r w:rsidRPr="000206FB">
        <w:t>2015;60(9):1308-1316.</w:t>
      </w:r>
    </w:p>
    <w:p w14:paraId="7F342198" w14:textId="5A2F4DFC" w:rsidR="0013305F" w:rsidRPr="000206FB" w:rsidRDefault="0013305F" w:rsidP="00A54FC6">
      <w:pPr>
        <w:pStyle w:val="BodyText"/>
        <w:numPr>
          <w:ilvl w:val="0"/>
          <w:numId w:val="3"/>
        </w:numPr>
        <w:spacing w:line="480" w:lineRule="auto"/>
      </w:pPr>
      <w:r w:rsidRPr="000206FB">
        <w:t xml:space="preserve">Centers for Disease Control and Prevention. Antibiotic Use in the United States, 2017: Progress and Opportunities. </w:t>
      </w:r>
      <w:hyperlink r:id="rId11" w:history="1">
        <w:r w:rsidRPr="000206FB">
          <w:rPr>
            <w:rStyle w:val="Hyperlink"/>
            <w:color w:val="auto"/>
          </w:rPr>
          <w:t>https://www.cdc.gov/drugresistance/threat-report 2013/. Accessed 12/19/2016</w:t>
        </w:r>
      </w:hyperlink>
      <w:r w:rsidRPr="000206FB">
        <w:t>.</w:t>
      </w:r>
    </w:p>
    <w:p w14:paraId="491AB1BD" w14:textId="2CE1CAE0" w:rsidR="0013305F" w:rsidRPr="000206FB" w:rsidRDefault="0013305F" w:rsidP="00A54FC6">
      <w:pPr>
        <w:pStyle w:val="BodyText"/>
        <w:numPr>
          <w:ilvl w:val="0"/>
          <w:numId w:val="3"/>
        </w:numPr>
        <w:spacing w:line="480" w:lineRule="auto"/>
      </w:pPr>
      <w:r w:rsidRPr="000206FB">
        <w:t xml:space="preserve">Fleming-Dutra KE, Hersh AL, Shapiro DJ, et al. Prevalence of Inappropriate Antibiotic Prescriptions Among US Ambulatory Care Visits, 2010-2011. </w:t>
      </w:r>
      <w:r w:rsidRPr="000206FB">
        <w:rPr>
          <w:i/>
        </w:rPr>
        <w:t xml:space="preserve">JAMA. </w:t>
      </w:r>
      <w:r w:rsidRPr="000206FB">
        <w:t>2016;315(17):1864-1873.</w:t>
      </w:r>
    </w:p>
    <w:p w14:paraId="69F8808A" w14:textId="77777777" w:rsidR="00880C27" w:rsidRPr="000206FB" w:rsidRDefault="00880C27" w:rsidP="00880C27">
      <w:pPr>
        <w:pStyle w:val="BodyText"/>
        <w:numPr>
          <w:ilvl w:val="0"/>
          <w:numId w:val="3"/>
        </w:numPr>
        <w:spacing w:line="480" w:lineRule="auto"/>
      </w:pPr>
      <w:r w:rsidRPr="000206FB">
        <w:t>Fierro JL, Prasad PA, Localio AR, et al. Variability in the diagnosis and treatment of group a streptococcal pharyngitis by primary care pediatricians. Infect Control Hosp Epidemiol. 2014;35 Suppl 3:S79-85.</w:t>
      </w:r>
    </w:p>
    <w:p w14:paraId="7D681ED2" w14:textId="45E63931" w:rsidR="00880C27" w:rsidRPr="000206FB" w:rsidRDefault="00880C27" w:rsidP="00880C27">
      <w:pPr>
        <w:pStyle w:val="BodyText"/>
        <w:numPr>
          <w:ilvl w:val="0"/>
          <w:numId w:val="3"/>
        </w:numPr>
        <w:spacing w:line="480" w:lineRule="auto"/>
      </w:pPr>
      <w:r w:rsidRPr="000206FB">
        <w:t>Gerber JS, Prasad PA, Russell Localio A, et al. Variation in Antibiotic Prescribing Across a Pediatric Primary Care Network. J Pediatric Infect Dis Soc. 2015;4(4):297-304.</w:t>
      </w:r>
    </w:p>
    <w:p w14:paraId="763F57A1" w14:textId="2C2CE60B" w:rsidR="00880C27" w:rsidRPr="000206FB" w:rsidRDefault="00880C27" w:rsidP="00A54FC6">
      <w:pPr>
        <w:pStyle w:val="BodyText"/>
        <w:numPr>
          <w:ilvl w:val="0"/>
          <w:numId w:val="3"/>
        </w:numPr>
        <w:spacing w:line="480" w:lineRule="auto"/>
      </w:pPr>
      <w:r w:rsidRPr="000206FB">
        <w:t>Gerber JS, Prasad PA, Fiks AG, et al. Effect of an outpatient antimicrobial stewardship intervention on broad-spectrum antibiotic prescribing by primary care pediatricians: a randomized trial. JAMA. 2013;309(22):2345-2352.</w:t>
      </w:r>
    </w:p>
    <w:p w14:paraId="091040C4" w14:textId="665F9BB8" w:rsidR="00880C27" w:rsidRPr="000206FB" w:rsidRDefault="00880C27" w:rsidP="00880C27">
      <w:pPr>
        <w:pStyle w:val="BodyText"/>
        <w:numPr>
          <w:ilvl w:val="0"/>
          <w:numId w:val="3"/>
        </w:numPr>
        <w:spacing w:line="480" w:lineRule="auto"/>
      </w:pPr>
      <w:r w:rsidRPr="000206FB">
        <w:t>Dellit TH, Owens RC, McGowan JE, Jr., et al. Infectious Diseases Society of America and the Society for Healthcare Epidemiology of America guidelines for developing an institutional program to enhance antimicrobial stewardship. Clin Infect Dis. 2007;44(2):159-177.</w:t>
      </w:r>
    </w:p>
    <w:p w14:paraId="4F915633" w14:textId="7CE5D0E2" w:rsidR="00880C27" w:rsidRPr="000206FB" w:rsidRDefault="00880C27" w:rsidP="00880C27">
      <w:pPr>
        <w:pStyle w:val="BodyText"/>
        <w:numPr>
          <w:ilvl w:val="0"/>
          <w:numId w:val="3"/>
        </w:numPr>
        <w:spacing w:line="480" w:lineRule="auto"/>
      </w:pPr>
      <w:r w:rsidRPr="000206FB">
        <w:t>Policy statement on antimicrobial stewardship by the Society for Healthcare Epidemiology of America (SHEA), the Infectious Diseases Society of America (IDSA), and the Pediatric Infectious Diseases Society (PIDS). Infect Control Hosp Epidemiol. 2012;33(4):322-327.</w:t>
      </w:r>
    </w:p>
    <w:p w14:paraId="15A4C8CF" w14:textId="178B75A6" w:rsidR="00880C27" w:rsidRPr="000206FB" w:rsidRDefault="00880C27" w:rsidP="00880C27">
      <w:pPr>
        <w:pStyle w:val="BodyText"/>
        <w:numPr>
          <w:ilvl w:val="0"/>
          <w:numId w:val="3"/>
        </w:numPr>
        <w:spacing w:line="480" w:lineRule="auto"/>
      </w:pPr>
      <w:r w:rsidRPr="000206FB">
        <w:t>Barlam TF, Cosgrove SE, Abbo LM, et al. Implementing an Antibiotic Stewardship Program: Guidelines by the Infectious Diseases Society of America and the Society for Healthcare Epidemiology of America. Clin Infect Dis. 2016;62(10):e51-77.</w:t>
      </w:r>
    </w:p>
    <w:p w14:paraId="6DB85E5A" w14:textId="5C2D2B68" w:rsidR="00880C27" w:rsidRPr="000206FB" w:rsidRDefault="00880C27" w:rsidP="00880C27">
      <w:pPr>
        <w:pStyle w:val="BodyText"/>
        <w:numPr>
          <w:ilvl w:val="0"/>
          <w:numId w:val="3"/>
        </w:numPr>
        <w:spacing w:line="480" w:lineRule="auto"/>
      </w:pPr>
      <w:r w:rsidRPr="000206FB">
        <w:t>Moehring RW, Anderson DJ, Cochran RL, Hicks LA, Srinivasan A, Dodds Ashley ES. Expert Consensus on Metrics to Assess the Impact of Patient-Level Antimicrobial Stewardship Interventions in Acute-Care Settings. Clin Infect Dis. 2017;64(3):377-383.</w:t>
      </w:r>
    </w:p>
    <w:p w14:paraId="2E1CC163" w14:textId="4BE72745" w:rsidR="00880C27" w:rsidRPr="000206FB" w:rsidRDefault="00880C27" w:rsidP="00A54FC6">
      <w:pPr>
        <w:pStyle w:val="BodyText"/>
        <w:numPr>
          <w:ilvl w:val="0"/>
          <w:numId w:val="3"/>
        </w:numPr>
        <w:spacing w:line="480" w:lineRule="auto"/>
      </w:pPr>
      <w:r w:rsidRPr="000206FB">
        <w:t>Sanchez G, Fleming-Dutra K, Roberts R, Hicks L. Core Elements of Outpatient Antibiotic Stewardship. MMWR Recommendations and Reports. 2016;65(No. RR-6):1–12.</w:t>
      </w:r>
    </w:p>
    <w:p w14:paraId="4BEB6FC1" w14:textId="77777777" w:rsidR="00386C47" w:rsidRPr="000206FB" w:rsidRDefault="00386C47" w:rsidP="00A54FC6">
      <w:pPr>
        <w:pStyle w:val="EndNoteBibliography"/>
        <w:spacing w:line="480" w:lineRule="auto"/>
        <w:ind w:left="720"/>
        <w:contextualSpacing/>
        <w:rPr>
          <w:color w:val="auto"/>
        </w:rPr>
      </w:pPr>
    </w:p>
    <w:p w14:paraId="745CAD12" w14:textId="2A1EACBE" w:rsidR="00386C47" w:rsidRPr="000206FB" w:rsidRDefault="00386C47" w:rsidP="00A54FC6">
      <w:pPr>
        <w:pStyle w:val="EndNoteBibliography"/>
        <w:numPr>
          <w:ilvl w:val="0"/>
          <w:numId w:val="3"/>
        </w:numPr>
        <w:spacing w:line="480" w:lineRule="auto"/>
        <w:contextualSpacing/>
        <w:rPr>
          <w:color w:val="auto"/>
        </w:rPr>
      </w:pPr>
      <w:r w:rsidRPr="000206FB">
        <w:rPr>
          <w:color w:val="auto"/>
        </w:rPr>
        <w:t xml:space="preserve">Pakyz AL, Moczygemba LR, VanderWielen LM, Edmond MB, Stevens MP, Kuzel AJ. Facilitators and barriers to implementing antimicrobial stewardship strategies: Results from a qualitative study. </w:t>
      </w:r>
      <w:r w:rsidRPr="000206FB">
        <w:rPr>
          <w:i/>
          <w:color w:val="auto"/>
        </w:rPr>
        <w:t xml:space="preserve">American journal of infection control. </w:t>
      </w:r>
      <w:r w:rsidRPr="000206FB">
        <w:rPr>
          <w:color w:val="auto"/>
        </w:rPr>
        <w:t>2014;42(10 Suppl):S257-263.</w:t>
      </w:r>
    </w:p>
    <w:p w14:paraId="222B21F2" w14:textId="77777777" w:rsidR="00386C47" w:rsidRPr="000206FB" w:rsidRDefault="00386C47" w:rsidP="00A54FC6">
      <w:pPr>
        <w:pStyle w:val="EndNoteBibliography"/>
        <w:spacing w:line="480" w:lineRule="auto"/>
        <w:ind w:left="720"/>
        <w:contextualSpacing/>
        <w:rPr>
          <w:color w:val="auto"/>
        </w:rPr>
      </w:pPr>
    </w:p>
    <w:p w14:paraId="2268908A" w14:textId="75D5BFE0" w:rsidR="00386C47" w:rsidRPr="000206FB" w:rsidRDefault="00386C47" w:rsidP="00A54FC6">
      <w:pPr>
        <w:pStyle w:val="EndNoteBibliography"/>
        <w:numPr>
          <w:ilvl w:val="0"/>
          <w:numId w:val="3"/>
        </w:numPr>
        <w:spacing w:line="480" w:lineRule="auto"/>
        <w:contextualSpacing/>
        <w:rPr>
          <w:color w:val="auto"/>
        </w:rPr>
      </w:pPr>
      <w:r w:rsidRPr="000206FB">
        <w:rPr>
          <w:color w:val="auto"/>
        </w:rPr>
        <w:t xml:space="preserve">Pope SD, Dellit TH, Owens RC, Hooton TM. Results of survey on implementation of Infectious Diseases Society of America and Society for Healthcare Epidemiology of America guidelines for developing an institutional program to enhance antimicrobial stewardship. </w:t>
      </w:r>
      <w:r w:rsidRPr="000206FB">
        <w:rPr>
          <w:i/>
          <w:color w:val="auto"/>
        </w:rPr>
        <w:t xml:space="preserve">Infect Control Hosp Epidemiol. </w:t>
      </w:r>
      <w:r w:rsidRPr="000206FB">
        <w:rPr>
          <w:color w:val="auto"/>
        </w:rPr>
        <w:t>2009;30(1):97-98.</w:t>
      </w:r>
    </w:p>
    <w:p w14:paraId="7319CB2E" w14:textId="77777777" w:rsidR="00386C47" w:rsidRPr="000206FB" w:rsidRDefault="00386C47" w:rsidP="00A54FC6">
      <w:pPr>
        <w:pStyle w:val="BodyText"/>
        <w:spacing w:line="480" w:lineRule="auto"/>
        <w:ind w:left="360" w:firstLine="0"/>
      </w:pPr>
    </w:p>
    <w:bookmarkEnd w:id="1"/>
    <w:bookmarkEnd w:id="2"/>
    <w:p w14:paraId="0F869933" w14:textId="77777777" w:rsidR="00A12ABB" w:rsidRPr="00A54FC6" w:rsidRDefault="00A12ABB" w:rsidP="00EF0885"/>
    <w:sectPr w:rsidR="00A12ABB" w:rsidRPr="00A54FC6" w:rsidSect="00193A25">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10587F" w14:textId="77777777" w:rsidR="000150E9" w:rsidRDefault="000150E9" w:rsidP="00596BA1">
      <w:pPr>
        <w:spacing w:after="0"/>
      </w:pPr>
      <w:r>
        <w:separator/>
      </w:r>
    </w:p>
  </w:endnote>
  <w:endnote w:type="continuationSeparator" w:id="0">
    <w:p w14:paraId="3289D707" w14:textId="77777777" w:rsidR="000150E9" w:rsidRDefault="000150E9" w:rsidP="00596B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7304662"/>
      <w:docPartObj>
        <w:docPartGallery w:val="Page Numbers (Bottom of Page)"/>
        <w:docPartUnique/>
      </w:docPartObj>
    </w:sdtPr>
    <w:sdtEndPr>
      <w:rPr>
        <w:noProof/>
      </w:rPr>
    </w:sdtEndPr>
    <w:sdtContent>
      <w:p w14:paraId="0429673A" w14:textId="54E34A62" w:rsidR="000150E9" w:rsidRDefault="000150E9">
        <w:pPr>
          <w:pStyle w:val="Footer"/>
          <w:jc w:val="center"/>
        </w:pPr>
        <w:r>
          <w:fldChar w:fldCharType="begin"/>
        </w:r>
        <w:r>
          <w:instrText xml:space="preserve"> PAGE   \* MERGEFORMAT </w:instrText>
        </w:r>
        <w:r>
          <w:fldChar w:fldCharType="separate"/>
        </w:r>
        <w:r w:rsidR="0013530B">
          <w:rPr>
            <w:noProof/>
          </w:rPr>
          <w:t>1</w:t>
        </w:r>
        <w:r>
          <w:rPr>
            <w:noProof/>
          </w:rPr>
          <w:fldChar w:fldCharType="end"/>
        </w:r>
      </w:p>
    </w:sdtContent>
  </w:sdt>
  <w:p w14:paraId="4369C4C2" w14:textId="77777777" w:rsidR="000150E9" w:rsidRDefault="000150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03CF44" w14:textId="77777777" w:rsidR="000150E9" w:rsidRDefault="000150E9" w:rsidP="00596BA1">
      <w:pPr>
        <w:spacing w:after="0"/>
      </w:pPr>
      <w:r>
        <w:separator/>
      </w:r>
    </w:p>
  </w:footnote>
  <w:footnote w:type="continuationSeparator" w:id="0">
    <w:p w14:paraId="744A9B6F" w14:textId="77777777" w:rsidR="000150E9" w:rsidRDefault="000150E9" w:rsidP="00596BA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27E13"/>
    <w:multiLevelType w:val="hybridMultilevel"/>
    <w:tmpl w:val="272297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B011D66"/>
    <w:multiLevelType w:val="hybridMultilevel"/>
    <w:tmpl w:val="FD3C9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EA3E2E"/>
    <w:multiLevelType w:val="hybridMultilevel"/>
    <w:tmpl w:val="F2D6A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AA1D4C"/>
    <w:multiLevelType w:val="hybridMultilevel"/>
    <w:tmpl w:val="43268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586A31"/>
    <w:multiLevelType w:val="hybridMultilevel"/>
    <w:tmpl w:val="DDC43CEC"/>
    <w:lvl w:ilvl="0" w:tplc="BA6A0E0C">
      <w:start w:val="1"/>
      <w:numFmt w:val="decimal"/>
      <w:pStyle w:val="Heading1"/>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BA1"/>
    <w:rsid w:val="000150E9"/>
    <w:rsid w:val="000206FB"/>
    <w:rsid w:val="00031E88"/>
    <w:rsid w:val="000A131D"/>
    <w:rsid w:val="00116CD8"/>
    <w:rsid w:val="0013305F"/>
    <w:rsid w:val="0013530B"/>
    <w:rsid w:val="00160EA1"/>
    <w:rsid w:val="001831EB"/>
    <w:rsid w:val="00193A25"/>
    <w:rsid w:val="001B05BB"/>
    <w:rsid w:val="001C5FB5"/>
    <w:rsid w:val="002847EE"/>
    <w:rsid w:val="002972F2"/>
    <w:rsid w:val="002C675E"/>
    <w:rsid w:val="00301E3C"/>
    <w:rsid w:val="00306FC9"/>
    <w:rsid w:val="00334BA4"/>
    <w:rsid w:val="00375CF8"/>
    <w:rsid w:val="00386C47"/>
    <w:rsid w:val="00393367"/>
    <w:rsid w:val="003B1556"/>
    <w:rsid w:val="003B711C"/>
    <w:rsid w:val="003F076B"/>
    <w:rsid w:val="00406602"/>
    <w:rsid w:val="00423F56"/>
    <w:rsid w:val="00447B56"/>
    <w:rsid w:val="00475337"/>
    <w:rsid w:val="00496F01"/>
    <w:rsid w:val="004B484A"/>
    <w:rsid w:val="00515BFB"/>
    <w:rsid w:val="00585C51"/>
    <w:rsid w:val="00596BA1"/>
    <w:rsid w:val="005C7277"/>
    <w:rsid w:val="00610885"/>
    <w:rsid w:val="0062297B"/>
    <w:rsid w:val="00652872"/>
    <w:rsid w:val="00680845"/>
    <w:rsid w:val="00693900"/>
    <w:rsid w:val="006F3731"/>
    <w:rsid w:val="00757BBC"/>
    <w:rsid w:val="007632E2"/>
    <w:rsid w:val="00787E7B"/>
    <w:rsid w:val="007D1F60"/>
    <w:rsid w:val="007D2B4C"/>
    <w:rsid w:val="007D3C92"/>
    <w:rsid w:val="007D6681"/>
    <w:rsid w:val="00805F01"/>
    <w:rsid w:val="00806380"/>
    <w:rsid w:val="008327E5"/>
    <w:rsid w:val="008374AC"/>
    <w:rsid w:val="00843EA4"/>
    <w:rsid w:val="00847655"/>
    <w:rsid w:val="00853E68"/>
    <w:rsid w:val="00862062"/>
    <w:rsid w:val="00880C27"/>
    <w:rsid w:val="00880F29"/>
    <w:rsid w:val="008925AB"/>
    <w:rsid w:val="00987080"/>
    <w:rsid w:val="009D0793"/>
    <w:rsid w:val="009F22A4"/>
    <w:rsid w:val="00A12ABB"/>
    <w:rsid w:val="00A47AD3"/>
    <w:rsid w:val="00A54FC6"/>
    <w:rsid w:val="00A55B93"/>
    <w:rsid w:val="00A7675B"/>
    <w:rsid w:val="00AF7C82"/>
    <w:rsid w:val="00B016E1"/>
    <w:rsid w:val="00B25561"/>
    <w:rsid w:val="00B325D6"/>
    <w:rsid w:val="00B35ED9"/>
    <w:rsid w:val="00B54F44"/>
    <w:rsid w:val="00B90936"/>
    <w:rsid w:val="00B97FC1"/>
    <w:rsid w:val="00BA1A2E"/>
    <w:rsid w:val="00BB1FEC"/>
    <w:rsid w:val="00BD0FF5"/>
    <w:rsid w:val="00C25CEC"/>
    <w:rsid w:val="00C413F5"/>
    <w:rsid w:val="00C503D8"/>
    <w:rsid w:val="00C54844"/>
    <w:rsid w:val="00CD5027"/>
    <w:rsid w:val="00CD509B"/>
    <w:rsid w:val="00D2722C"/>
    <w:rsid w:val="00D413E4"/>
    <w:rsid w:val="00D66D88"/>
    <w:rsid w:val="00D728D9"/>
    <w:rsid w:val="00D97402"/>
    <w:rsid w:val="00E265D5"/>
    <w:rsid w:val="00E623B3"/>
    <w:rsid w:val="00E87846"/>
    <w:rsid w:val="00ED02E2"/>
    <w:rsid w:val="00EF0885"/>
    <w:rsid w:val="00EF6902"/>
    <w:rsid w:val="00F00500"/>
    <w:rsid w:val="00F172C2"/>
    <w:rsid w:val="00F73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52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8D9"/>
    <w:pPr>
      <w:spacing w:after="120" w:line="240" w:lineRule="auto"/>
      <w:ind w:left="360" w:hanging="360"/>
    </w:pPr>
    <w:rPr>
      <w:rFonts w:ascii="Times New Roman" w:eastAsia="Times New Roman" w:hAnsi="Times New Roman" w:cs="Times New Roman"/>
      <w:sz w:val="24"/>
      <w:szCs w:val="24"/>
    </w:rPr>
  </w:style>
  <w:style w:type="paragraph" w:styleId="Heading1">
    <w:name w:val="heading 1"/>
    <w:basedOn w:val="Subtitle"/>
    <w:next w:val="Normal"/>
    <w:link w:val="Heading1Char"/>
    <w:uiPriority w:val="9"/>
    <w:qFormat/>
    <w:rsid w:val="000206FB"/>
    <w:pPr>
      <w:numPr>
        <w:ilvl w:val="0"/>
        <w:numId w:val="4"/>
      </w:numPr>
      <w:spacing w:after="240"/>
      <w:ind w:left="360"/>
      <w:outlineLvl w:val="0"/>
    </w:pPr>
    <w:rPr>
      <w:rFonts w:ascii="Times New Roman" w:eastAsiaTheme="minorHAnsi" w:hAnsi="Times New Roman"/>
      <w:b/>
      <w:color w:val="auto"/>
      <w:spacing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BA1"/>
    <w:pPr>
      <w:tabs>
        <w:tab w:val="center" w:pos="4680"/>
        <w:tab w:val="right" w:pos="9360"/>
      </w:tabs>
      <w:spacing w:after="0"/>
    </w:pPr>
  </w:style>
  <w:style w:type="character" w:customStyle="1" w:styleId="HeaderChar">
    <w:name w:val="Header Char"/>
    <w:basedOn w:val="DefaultParagraphFont"/>
    <w:link w:val="Header"/>
    <w:uiPriority w:val="99"/>
    <w:rsid w:val="00596BA1"/>
  </w:style>
  <w:style w:type="paragraph" w:styleId="Footer">
    <w:name w:val="footer"/>
    <w:basedOn w:val="Normal"/>
    <w:link w:val="FooterChar"/>
    <w:uiPriority w:val="99"/>
    <w:unhideWhenUsed/>
    <w:rsid w:val="00596BA1"/>
    <w:pPr>
      <w:tabs>
        <w:tab w:val="center" w:pos="4680"/>
        <w:tab w:val="right" w:pos="9360"/>
      </w:tabs>
      <w:spacing w:after="0"/>
    </w:pPr>
  </w:style>
  <w:style w:type="character" w:customStyle="1" w:styleId="FooterChar">
    <w:name w:val="Footer Char"/>
    <w:basedOn w:val="DefaultParagraphFont"/>
    <w:link w:val="Footer"/>
    <w:uiPriority w:val="99"/>
    <w:rsid w:val="00596BA1"/>
  </w:style>
  <w:style w:type="paragraph" w:customStyle="1" w:styleId="Style0">
    <w:name w:val="Style0"/>
    <w:rsid w:val="00596BA1"/>
    <w:pPr>
      <w:autoSpaceDE w:val="0"/>
      <w:autoSpaceDN w:val="0"/>
      <w:adjustRightInd w:val="0"/>
      <w:spacing w:after="120" w:line="240" w:lineRule="auto"/>
      <w:ind w:left="360" w:hanging="360"/>
    </w:pPr>
    <w:rPr>
      <w:rFonts w:ascii="Arial" w:eastAsia="Times New Roman" w:hAnsi="Arial" w:cs="Times New Roman"/>
      <w:sz w:val="24"/>
      <w:szCs w:val="24"/>
    </w:rPr>
  </w:style>
  <w:style w:type="character" w:styleId="Hyperlink">
    <w:name w:val="Hyperlink"/>
    <w:rsid w:val="00596BA1"/>
    <w:rPr>
      <w:color w:val="0000FF"/>
      <w:u w:val="single"/>
    </w:rPr>
  </w:style>
  <w:style w:type="paragraph" w:styleId="ListParagraph">
    <w:name w:val="List Paragraph"/>
    <w:basedOn w:val="Normal"/>
    <w:link w:val="ListParagraphChar"/>
    <w:uiPriority w:val="34"/>
    <w:qFormat/>
    <w:rsid w:val="001C5FB5"/>
    <w:pPr>
      <w:ind w:left="720"/>
      <w:contextualSpacing/>
    </w:pPr>
  </w:style>
  <w:style w:type="paragraph" w:customStyle="1" w:styleId="TOC0">
    <w:name w:val="TOC 0"/>
    <w:basedOn w:val="Normal"/>
    <w:rsid w:val="001C5FB5"/>
    <w:pPr>
      <w:keepNext/>
      <w:spacing w:after="240"/>
      <w:ind w:left="0" w:firstLine="0"/>
      <w:jc w:val="center"/>
    </w:pPr>
    <w:rPr>
      <w:b/>
      <w:caps/>
      <w:sz w:val="28"/>
      <w:szCs w:val="20"/>
    </w:rPr>
  </w:style>
  <w:style w:type="character" w:customStyle="1" w:styleId="ListParagraphChar">
    <w:name w:val="List Paragraph Char"/>
    <w:link w:val="ListParagraph"/>
    <w:uiPriority w:val="34"/>
    <w:locked/>
    <w:rsid w:val="001C5FB5"/>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C413F5"/>
    <w:pPr>
      <w:spacing w:after="0"/>
      <w:ind w:left="0" w:firstLine="0"/>
    </w:pPr>
    <w:rPr>
      <w:rFonts w:eastAsiaTheme="minorHAnsi"/>
      <w:color w:val="2D2E32"/>
      <w:sz w:val="20"/>
      <w:szCs w:val="20"/>
    </w:rPr>
  </w:style>
  <w:style w:type="character" w:customStyle="1" w:styleId="CommentTextChar">
    <w:name w:val="Comment Text Char"/>
    <w:basedOn w:val="DefaultParagraphFont"/>
    <w:link w:val="CommentText"/>
    <w:uiPriority w:val="99"/>
    <w:rsid w:val="00C413F5"/>
    <w:rPr>
      <w:rFonts w:ascii="Times New Roman" w:hAnsi="Times New Roman" w:cs="Times New Roman"/>
      <w:color w:val="2D2E32"/>
      <w:sz w:val="20"/>
      <w:szCs w:val="20"/>
    </w:rPr>
  </w:style>
  <w:style w:type="character" w:styleId="CommentReference">
    <w:name w:val="annotation reference"/>
    <w:basedOn w:val="DefaultParagraphFont"/>
    <w:uiPriority w:val="99"/>
    <w:semiHidden/>
    <w:unhideWhenUsed/>
    <w:rsid w:val="00306FC9"/>
    <w:rPr>
      <w:sz w:val="16"/>
      <w:szCs w:val="16"/>
    </w:rPr>
  </w:style>
  <w:style w:type="paragraph" w:styleId="CommentSubject">
    <w:name w:val="annotation subject"/>
    <w:basedOn w:val="CommentText"/>
    <w:next w:val="CommentText"/>
    <w:link w:val="CommentSubjectChar"/>
    <w:uiPriority w:val="99"/>
    <w:semiHidden/>
    <w:unhideWhenUsed/>
    <w:rsid w:val="00306FC9"/>
    <w:pPr>
      <w:spacing w:after="120"/>
      <w:ind w:left="360" w:hanging="360"/>
    </w:pPr>
    <w:rPr>
      <w:rFonts w:eastAsia="Times New Roman"/>
      <w:b/>
      <w:bCs/>
      <w:color w:val="auto"/>
    </w:rPr>
  </w:style>
  <w:style w:type="character" w:customStyle="1" w:styleId="CommentSubjectChar">
    <w:name w:val="Comment Subject Char"/>
    <w:basedOn w:val="CommentTextChar"/>
    <w:link w:val="CommentSubject"/>
    <w:uiPriority w:val="99"/>
    <w:semiHidden/>
    <w:rsid w:val="00306FC9"/>
    <w:rPr>
      <w:rFonts w:ascii="Times New Roman" w:eastAsia="Times New Roman" w:hAnsi="Times New Roman" w:cs="Times New Roman"/>
      <w:b/>
      <w:bCs/>
      <w:color w:val="2D2E32"/>
      <w:sz w:val="20"/>
      <w:szCs w:val="20"/>
    </w:rPr>
  </w:style>
  <w:style w:type="paragraph" w:styleId="BalloonText">
    <w:name w:val="Balloon Text"/>
    <w:basedOn w:val="Normal"/>
    <w:link w:val="BalloonTextChar"/>
    <w:uiPriority w:val="99"/>
    <w:semiHidden/>
    <w:unhideWhenUsed/>
    <w:rsid w:val="00306FC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FC9"/>
    <w:rPr>
      <w:rFonts w:ascii="Tahoma" w:eastAsia="Times New Roman" w:hAnsi="Tahoma" w:cs="Tahoma"/>
      <w:sz w:val="16"/>
      <w:szCs w:val="16"/>
    </w:rPr>
  </w:style>
  <w:style w:type="paragraph" w:styleId="BodyText">
    <w:name w:val="Body Text"/>
    <w:basedOn w:val="Normal"/>
    <w:link w:val="BodyTextChar"/>
    <w:uiPriority w:val="99"/>
    <w:rsid w:val="00D66D88"/>
    <w:pPr>
      <w:spacing w:after="240" w:line="360" w:lineRule="auto"/>
      <w:ind w:left="0" w:firstLine="720"/>
    </w:pPr>
  </w:style>
  <w:style w:type="character" w:customStyle="1" w:styleId="BodyTextChar">
    <w:name w:val="Body Text Char"/>
    <w:basedOn w:val="DefaultParagraphFont"/>
    <w:link w:val="BodyText"/>
    <w:uiPriority w:val="99"/>
    <w:rsid w:val="00D66D88"/>
    <w:rPr>
      <w:rFonts w:ascii="Times New Roman" w:eastAsia="Times New Roman" w:hAnsi="Times New Roman" w:cs="Times New Roman"/>
      <w:sz w:val="24"/>
      <w:szCs w:val="24"/>
    </w:rPr>
  </w:style>
  <w:style w:type="table" w:styleId="TableGrid">
    <w:name w:val="Table Grid"/>
    <w:basedOn w:val="TableNormal"/>
    <w:uiPriority w:val="59"/>
    <w:rsid w:val="00680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972F2"/>
    <w:pPr>
      <w:spacing w:before="100" w:beforeAutospacing="1" w:after="100" w:afterAutospacing="1"/>
      <w:ind w:left="0" w:firstLine="0"/>
    </w:pPr>
    <w:rPr>
      <w:rFonts w:eastAsiaTheme="minorHAnsi"/>
    </w:rPr>
  </w:style>
  <w:style w:type="paragraph" w:customStyle="1" w:styleId="EndNoteBibliography">
    <w:name w:val="EndNote Bibliography"/>
    <w:basedOn w:val="Normal"/>
    <w:link w:val="EndNoteBibliographyChar"/>
    <w:rsid w:val="00386C47"/>
    <w:pPr>
      <w:spacing w:after="0"/>
      <w:ind w:left="0" w:firstLine="0"/>
    </w:pPr>
    <w:rPr>
      <w:rFonts w:eastAsiaTheme="minorHAnsi"/>
      <w:noProof/>
      <w:color w:val="2D2E32"/>
    </w:rPr>
  </w:style>
  <w:style w:type="character" w:customStyle="1" w:styleId="EndNoteBibliographyChar">
    <w:name w:val="EndNote Bibliography Char"/>
    <w:basedOn w:val="DefaultParagraphFont"/>
    <w:link w:val="EndNoteBibliography"/>
    <w:rsid w:val="00386C47"/>
    <w:rPr>
      <w:rFonts w:ascii="Times New Roman" w:hAnsi="Times New Roman" w:cs="Times New Roman"/>
      <w:noProof/>
      <w:color w:val="2D2E32"/>
      <w:sz w:val="24"/>
      <w:szCs w:val="24"/>
    </w:rPr>
  </w:style>
  <w:style w:type="character" w:customStyle="1" w:styleId="Heading1Char">
    <w:name w:val="Heading 1 Char"/>
    <w:basedOn w:val="DefaultParagraphFont"/>
    <w:link w:val="Heading1"/>
    <w:uiPriority w:val="9"/>
    <w:rsid w:val="000206FB"/>
    <w:rPr>
      <w:rFonts w:ascii="Times New Roman" w:hAnsi="Times New Roman"/>
      <w:b/>
      <w:sz w:val="24"/>
    </w:rPr>
  </w:style>
  <w:style w:type="paragraph" w:styleId="Subtitle">
    <w:name w:val="Subtitle"/>
    <w:basedOn w:val="Normal"/>
    <w:next w:val="Normal"/>
    <w:link w:val="SubtitleChar"/>
    <w:uiPriority w:val="11"/>
    <w:qFormat/>
    <w:rsid w:val="000206FB"/>
    <w:pPr>
      <w:numPr>
        <w:ilvl w:val="1"/>
      </w:numPr>
      <w:spacing w:after="160"/>
      <w:ind w:left="360" w:hanging="3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206FB"/>
    <w:rPr>
      <w:rFonts w:eastAsiaTheme="minorEastAsia"/>
      <w:color w:val="5A5A5A" w:themeColor="text1" w:themeTint="A5"/>
      <w:spacing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8D9"/>
    <w:pPr>
      <w:spacing w:after="120" w:line="240" w:lineRule="auto"/>
      <w:ind w:left="360" w:hanging="360"/>
    </w:pPr>
    <w:rPr>
      <w:rFonts w:ascii="Times New Roman" w:eastAsia="Times New Roman" w:hAnsi="Times New Roman" w:cs="Times New Roman"/>
      <w:sz w:val="24"/>
      <w:szCs w:val="24"/>
    </w:rPr>
  </w:style>
  <w:style w:type="paragraph" w:styleId="Heading1">
    <w:name w:val="heading 1"/>
    <w:basedOn w:val="Subtitle"/>
    <w:next w:val="Normal"/>
    <w:link w:val="Heading1Char"/>
    <w:uiPriority w:val="9"/>
    <w:qFormat/>
    <w:rsid w:val="000206FB"/>
    <w:pPr>
      <w:numPr>
        <w:ilvl w:val="0"/>
        <w:numId w:val="4"/>
      </w:numPr>
      <w:spacing w:after="240"/>
      <w:ind w:left="360"/>
      <w:outlineLvl w:val="0"/>
    </w:pPr>
    <w:rPr>
      <w:rFonts w:ascii="Times New Roman" w:eastAsiaTheme="minorHAnsi" w:hAnsi="Times New Roman"/>
      <w:b/>
      <w:color w:val="auto"/>
      <w:spacing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BA1"/>
    <w:pPr>
      <w:tabs>
        <w:tab w:val="center" w:pos="4680"/>
        <w:tab w:val="right" w:pos="9360"/>
      </w:tabs>
      <w:spacing w:after="0"/>
    </w:pPr>
  </w:style>
  <w:style w:type="character" w:customStyle="1" w:styleId="HeaderChar">
    <w:name w:val="Header Char"/>
    <w:basedOn w:val="DefaultParagraphFont"/>
    <w:link w:val="Header"/>
    <w:uiPriority w:val="99"/>
    <w:rsid w:val="00596BA1"/>
  </w:style>
  <w:style w:type="paragraph" w:styleId="Footer">
    <w:name w:val="footer"/>
    <w:basedOn w:val="Normal"/>
    <w:link w:val="FooterChar"/>
    <w:uiPriority w:val="99"/>
    <w:unhideWhenUsed/>
    <w:rsid w:val="00596BA1"/>
    <w:pPr>
      <w:tabs>
        <w:tab w:val="center" w:pos="4680"/>
        <w:tab w:val="right" w:pos="9360"/>
      </w:tabs>
      <w:spacing w:after="0"/>
    </w:pPr>
  </w:style>
  <w:style w:type="character" w:customStyle="1" w:styleId="FooterChar">
    <w:name w:val="Footer Char"/>
    <w:basedOn w:val="DefaultParagraphFont"/>
    <w:link w:val="Footer"/>
    <w:uiPriority w:val="99"/>
    <w:rsid w:val="00596BA1"/>
  </w:style>
  <w:style w:type="paragraph" w:customStyle="1" w:styleId="Style0">
    <w:name w:val="Style0"/>
    <w:rsid w:val="00596BA1"/>
    <w:pPr>
      <w:autoSpaceDE w:val="0"/>
      <w:autoSpaceDN w:val="0"/>
      <w:adjustRightInd w:val="0"/>
      <w:spacing w:after="120" w:line="240" w:lineRule="auto"/>
      <w:ind w:left="360" w:hanging="360"/>
    </w:pPr>
    <w:rPr>
      <w:rFonts w:ascii="Arial" w:eastAsia="Times New Roman" w:hAnsi="Arial" w:cs="Times New Roman"/>
      <w:sz w:val="24"/>
      <w:szCs w:val="24"/>
    </w:rPr>
  </w:style>
  <w:style w:type="character" w:styleId="Hyperlink">
    <w:name w:val="Hyperlink"/>
    <w:rsid w:val="00596BA1"/>
    <w:rPr>
      <w:color w:val="0000FF"/>
      <w:u w:val="single"/>
    </w:rPr>
  </w:style>
  <w:style w:type="paragraph" w:styleId="ListParagraph">
    <w:name w:val="List Paragraph"/>
    <w:basedOn w:val="Normal"/>
    <w:link w:val="ListParagraphChar"/>
    <w:uiPriority w:val="34"/>
    <w:qFormat/>
    <w:rsid w:val="001C5FB5"/>
    <w:pPr>
      <w:ind w:left="720"/>
      <w:contextualSpacing/>
    </w:pPr>
  </w:style>
  <w:style w:type="paragraph" w:customStyle="1" w:styleId="TOC0">
    <w:name w:val="TOC 0"/>
    <w:basedOn w:val="Normal"/>
    <w:rsid w:val="001C5FB5"/>
    <w:pPr>
      <w:keepNext/>
      <w:spacing w:after="240"/>
      <w:ind w:left="0" w:firstLine="0"/>
      <w:jc w:val="center"/>
    </w:pPr>
    <w:rPr>
      <w:b/>
      <w:caps/>
      <w:sz w:val="28"/>
      <w:szCs w:val="20"/>
    </w:rPr>
  </w:style>
  <w:style w:type="character" w:customStyle="1" w:styleId="ListParagraphChar">
    <w:name w:val="List Paragraph Char"/>
    <w:link w:val="ListParagraph"/>
    <w:uiPriority w:val="34"/>
    <w:locked/>
    <w:rsid w:val="001C5FB5"/>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C413F5"/>
    <w:pPr>
      <w:spacing w:after="0"/>
      <w:ind w:left="0" w:firstLine="0"/>
    </w:pPr>
    <w:rPr>
      <w:rFonts w:eastAsiaTheme="minorHAnsi"/>
      <w:color w:val="2D2E32"/>
      <w:sz w:val="20"/>
      <w:szCs w:val="20"/>
    </w:rPr>
  </w:style>
  <w:style w:type="character" w:customStyle="1" w:styleId="CommentTextChar">
    <w:name w:val="Comment Text Char"/>
    <w:basedOn w:val="DefaultParagraphFont"/>
    <w:link w:val="CommentText"/>
    <w:uiPriority w:val="99"/>
    <w:rsid w:val="00C413F5"/>
    <w:rPr>
      <w:rFonts w:ascii="Times New Roman" w:hAnsi="Times New Roman" w:cs="Times New Roman"/>
      <w:color w:val="2D2E32"/>
      <w:sz w:val="20"/>
      <w:szCs w:val="20"/>
    </w:rPr>
  </w:style>
  <w:style w:type="character" w:styleId="CommentReference">
    <w:name w:val="annotation reference"/>
    <w:basedOn w:val="DefaultParagraphFont"/>
    <w:uiPriority w:val="99"/>
    <w:semiHidden/>
    <w:unhideWhenUsed/>
    <w:rsid w:val="00306FC9"/>
    <w:rPr>
      <w:sz w:val="16"/>
      <w:szCs w:val="16"/>
    </w:rPr>
  </w:style>
  <w:style w:type="paragraph" w:styleId="CommentSubject">
    <w:name w:val="annotation subject"/>
    <w:basedOn w:val="CommentText"/>
    <w:next w:val="CommentText"/>
    <w:link w:val="CommentSubjectChar"/>
    <w:uiPriority w:val="99"/>
    <w:semiHidden/>
    <w:unhideWhenUsed/>
    <w:rsid w:val="00306FC9"/>
    <w:pPr>
      <w:spacing w:after="120"/>
      <w:ind w:left="360" w:hanging="360"/>
    </w:pPr>
    <w:rPr>
      <w:rFonts w:eastAsia="Times New Roman"/>
      <w:b/>
      <w:bCs/>
      <w:color w:val="auto"/>
    </w:rPr>
  </w:style>
  <w:style w:type="character" w:customStyle="1" w:styleId="CommentSubjectChar">
    <w:name w:val="Comment Subject Char"/>
    <w:basedOn w:val="CommentTextChar"/>
    <w:link w:val="CommentSubject"/>
    <w:uiPriority w:val="99"/>
    <w:semiHidden/>
    <w:rsid w:val="00306FC9"/>
    <w:rPr>
      <w:rFonts w:ascii="Times New Roman" w:eastAsia="Times New Roman" w:hAnsi="Times New Roman" w:cs="Times New Roman"/>
      <w:b/>
      <w:bCs/>
      <w:color w:val="2D2E32"/>
      <w:sz w:val="20"/>
      <w:szCs w:val="20"/>
    </w:rPr>
  </w:style>
  <w:style w:type="paragraph" w:styleId="BalloonText">
    <w:name w:val="Balloon Text"/>
    <w:basedOn w:val="Normal"/>
    <w:link w:val="BalloonTextChar"/>
    <w:uiPriority w:val="99"/>
    <w:semiHidden/>
    <w:unhideWhenUsed/>
    <w:rsid w:val="00306FC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FC9"/>
    <w:rPr>
      <w:rFonts w:ascii="Tahoma" w:eastAsia="Times New Roman" w:hAnsi="Tahoma" w:cs="Tahoma"/>
      <w:sz w:val="16"/>
      <w:szCs w:val="16"/>
    </w:rPr>
  </w:style>
  <w:style w:type="paragraph" w:styleId="BodyText">
    <w:name w:val="Body Text"/>
    <w:basedOn w:val="Normal"/>
    <w:link w:val="BodyTextChar"/>
    <w:uiPriority w:val="99"/>
    <w:rsid w:val="00D66D88"/>
    <w:pPr>
      <w:spacing w:after="240" w:line="360" w:lineRule="auto"/>
      <w:ind w:left="0" w:firstLine="720"/>
    </w:pPr>
  </w:style>
  <w:style w:type="character" w:customStyle="1" w:styleId="BodyTextChar">
    <w:name w:val="Body Text Char"/>
    <w:basedOn w:val="DefaultParagraphFont"/>
    <w:link w:val="BodyText"/>
    <w:uiPriority w:val="99"/>
    <w:rsid w:val="00D66D88"/>
    <w:rPr>
      <w:rFonts w:ascii="Times New Roman" w:eastAsia="Times New Roman" w:hAnsi="Times New Roman" w:cs="Times New Roman"/>
      <w:sz w:val="24"/>
      <w:szCs w:val="24"/>
    </w:rPr>
  </w:style>
  <w:style w:type="table" w:styleId="TableGrid">
    <w:name w:val="Table Grid"/>
    <w:basedOn w:val="TableNormal"/>
    <w:uiPriority w:val="59"/>
    <w:rsid w:val="00680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972F2"/>
    <w:pPr>
      <w:spacing w:before="100" w:beforeAutospacing="1" w:after="100" w:afterAutospacing="1"/>
      <w:ind w:left="0" w:firstLine="0"/>
    </w:pPr>
    <w:rPr>
      <w:rFonts w:eastAsiaTheme="minorHAnsi"/>
    </w:rPr>
  </w:style>
  <w:style w:type="paragraph" w:customStyle="1" w:styleId="EndNoteBibliography">
    <w:name w:val="EndNote Bibliography"/>
    <w:basedOn w:val="Normal"/>
    <w:link w:val="EndNoteBibliographyChar"/>
    <w:rsid w:val="00386C47"/>
    <w:pPr>
      <w:spacing w:after="0"/>
      <w:ind w:left="0" w:firstLine="0"/>
    </w:pPr>
    <w:rPr>
      <w:rFonts w:eastAsiaTheme="minorHAnsi"/>
      <w:noProof/>
      <w:color w:val="2D2E32"/>
    </w:rPr>
  </w:style>
  <w:style w:type="character" w:customStyle="1" w:styleId="EndNoteBibliographyChar">
    <w:name w:val="EndNote Bibliography Char"/>
    <w:basedOn w:val="DefaultParagraphFont"/>
    <w:link w:val="EndNoteBibliography"/>
    <w:rsid w:val="00386C47"/>
    <w:rPr>
      <w:rFonts w:ascii="Times New Roman" w:hAnsi="Times New Roman" w:cs="Times New Roman"/>
      <w:noProof/>
      <w:color w:val="2D2E32"/>
      <w:sz w:val="24"/>
      <w:szCs w:val="24"/>
    </w:rPr>
  </w:style>
  <w:style w:type="character" w:customStyle="1" w:styleId="Heading1Char">
    <w:name w:val="Heading 1 Char"/>
    <w:basedOn w:val="DefaultParagraphFont"/>
    <w:link w:val="Heading1"/>
    <w:uiPriority w:val="9"/>
    <w:rsid w:val="000206FB"/>
    <w:rPr>
      <w:rFonts w:ascii="Times New Roman" w:hAnsi="Times New Roman"/>
      <w:b/>
      <w:sz w:val="24"/>
    </w:rPr>
  </w:style>
  <w:style w:type="paragraph" w:styleId="Subtitle">
    <w:name w:val="Subtitle"/>
    <w:basedOn w:val="Normal"/>
    <w:next w:val="Normal"/>
    <w:link w:val="SubtitleChar"/>
    <w:uiPriority w:val="11"/>
    <w:qFormat/>
    <w:rsid w:val="000206FB"/>
    <w:pPr>
      <w:numPr>
        <w:ilvl w:val="1"/>
      </w:numPr>
      <w:spacing w:after="160"/>
      <w:ind w:left="360" w:hanging="3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206FB"/>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685290">
      <w:bodyDiv w:val="1"/>
      <w:marLeft w:val="0"/>
      <w:marRight w:val="0"/>
      <w:marTop w:val="0"/>
      <w:marBottom w:val="0"/>
      <w:divBdr>
        <w:top w:val="none" w:sz="0" w:space="0" w:color="auto"/>
        <w:left w:val="none" w:sz="0" w:space="0" w:color="auto"/>
        <w:bottom w:val="none" w:sz="0" w:space="0" w:color="auto"/>
        <w:right w:val="none" w:sz="0" w:space="0" w:color="auto"/>
      </w:divBdr>
    </w:div>
    <w:div w:id="543098189">
      <w:bodyDiv w:val="1"/>
      <w:marLeft w:val="0"/>
      <w:marRight w:val="0"/>
      <w:marTop w:val="0"/>
      <w:marBottom w:val="0"/>
      <w:divBdr>
        <w:top w:val="none" w:sz="0" w:space="0" w:color="auto"/>
        <w:left w:val="none" w:sz="0" w:space="0" w:color="auto"/>
        <w:bottom w:val="none" w:sz="0" w:space="0" w:color="auto"/>
        <w:right w:val="none" w:sz="0" w:space="0" w:color="auto"/>
      </w:divBdr>
    </w:div>
    <w:div w:id="1116026221">
      <w:bodyDiv w:val="1"/>
      <w:marLeft w:val="0"/>
      <w:marRight w:val="0"/>
      <w:marTop w:val="0"/>
      <w:marBottom w:val="0"/>
      <w:divBdr>
        <w:top w:val="none" w:sz="0" w:space="0" w:color="auto"/>
        <w:left w:val="none" w:sz="0" w:space="0" w:color="auto"/>
        <w:bottom w:val="none" w:sz="0" w:space="0" w:color="auto"/>
        <w:right w:val="none" w:sz="0" w:space="0" w:color="auto"/>
      </w:divBdr>
    </w:div>
    <w:div w:id="1284653000">
      <w:bodyDiv w:val="1"/>
      <w:marLeft w:val="0"/>
      <w:marRight w:val="0"/>
      <w:marTop w:val="0"/>
      <w:marBottom w:val="0"/>
      <w:divBdr>
        <w:top w:val="none" w:sz="0" w:space="0" w:color="auto"/>
        <w:left w:val="none" w:sz="0" w:space="0" w:color="auto"/>
        <w:bottom w:val="none" w:sz="0" w:space="0" w:color="auto"/>
        <w:right w:val="none" w:sz="0" w:space="0" w:color="auto"/>
      </w:divBdr>
    </w:div>
    <w:div w:id="1446653369">
      <w:bodyDiv w:val="1"/>
      <w:marLeft w:val="0"/>
      <w:marRight w:val="0"/>
      <w:marTop w:val="0"/>
      <w:marBottom w:val="0"/>
      <w:divBdr>
        <w:top w:val="none" w:sz="0" w:space="0" w:color="auto"/>
        <w:left w:val="none" w:sz="0" w:space="0" w:color="auto"/>
        <w:bottom w:val="none" w:sz="0" w:space="0" w:color="auto"/>
        <w:right w:val="none" w:sz="0" w:space="0" w:color="auto"/>
      </w:divBdr>
    </w:div>
    <w:div w:id="1501966658">
      <w:bodyDiv w:val="1"/>
      <w:marLeft w:val="0"/>
      <w:marRight w:val="0"/>
      <w:marTop w:val="0"/>
      <w:marBottom w:val="0"/>
      <w:divBdr>
        <w:top w:val="none" w:sz="0" w:space="0" w:color="auto"/>
        <w:left w:val="none" w:sz="0" w:space="0" w:color="auto"/>
        <w:bottom w:val="none" w:sz="0" w:space="0" w:color="auto"/>
        <w:right w:val="none" w:sz="0" w:space="0" w:color="auto"/>
      </w:divBdr>
    </w:div>
    <w:div w:id="154648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dc.gov/drugresistance/threat-report%202013/.%20Accessed%2012/19/2016" TargetMode="External"/><Relationship Id="rId5" Type="http://schemas.openxmlformats.org/officeDocument/2006/relationships/settings" Target="settings.xml"/><Relationship Id="rId10" Type="http://schemas.openxmlformats.org/officeDocument/2006/relationships/hyperlink" Target="https://www.bls.gov/oes/current/oes_nat.htm" TargetMode="External"/><Relationship Id="rId4" Type="http://schemas.microsoft.com/office/2007/relationships/stylesWithEffects" Target="stylesWithEffects.xml"/><Relationship Id="rId9" Type="http://schemas.openxmlformats.org/officeDocument/2006/relationships/hyperlink" Target="mailto:llj3@cdc.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AA076-F88E-4499-AB50-1C86AE6E4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2791</Words>
  <Characters>15912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The Children's Hospital of Philadelphia</Company>
  <LinksUpToDate>false</LinksUpToDate>
  <CharactersWithSpaces>18666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Frager, Nicole A</dc:creator>
  <cp:lastModifiedBy>SYSTEM</cp:lastModifiedBy>
  <cp:revision>2</cp:revision>
  <dcterms:created xsi:type="dcterms:W3CDTF">2018-10-09T18:37:00Z</dcterms:created>
  <dcterms:modified xsi:type="dcterms:W3CDTF">2018-10-09T18:37:00Z</dcterms:modified>
</cp:coreProperties>
</file>