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E1770" w14:textId="498D9786" w:rsidR="00304BBB" w:rsidRDefault="00304BBB" w:rsidP="009A79E1">
      <w:bookmarkStart w:id="0" w:name="_Toc473880015"/>
      <w:bookmarkStart w:id="1" w:name="_GoBack"/>
      <w:bookmarkEnd w:id="1"/>
    </w:p>
    <w:p w14:paraId="6AB0D0FD" w14:textId="77777777" w:rsidR="005F75B7" w:rsidRDefault="005F75B7" w:rsidP="005F75B7">
      <w:pPr>
        <w:jc w:val="center"/>
        <w:rPr>
          <w:b/>
        </w:rPr>
      </w:pPr>
    </w:p>
    <w:p w14:paraId="1C4E6775" w14:textId="77777777" w:rsidR="005F75B7" w:rsidRPr="005F75B7" w:rsidRDefault="005F75B7" w:rsidP="005F75B7">
      <w:pPr>
        <w:spacing w:after="0"/>
        <w:jc w:val="center"/>
        <w:rPr>
          <w:b/>
          <w:sz w:val="32"/>
          <w:szCs w:val="32"/>
        </w:rPr>
      </w:pPr>
      <w:r w:rsidRPr="005F75B7">
        <w:rPr>
          <w:b/>
          <w:sz w:val="32"/>
          <w:szCs w:val="32"/>
        </w:rPr>
        <w:t>GenIC Clearance for CDC/ATSDR</w:t>
      </w:r>
    </w:p>
    <w:p w14:paraId="06E3BC6A" w14:textId="77777777" w:rsidR="005F75B7" w:rsidRPr="005F75B7" w:rsidRDefault="005F75B7" w:rsidP="005F75B7">
      <w:pPr>
        <w:jc w:val="center"/>
        <w:rPr>
          <w:b/>
          <w:sz w:val="32"/>
          <w:szCs w:val="32"/>
        </w:rPr>
      </w:pPr>
      <w:r w:rsidRPr="005F75B7">
        <w:rPr>
          <w:b/>
          <w:sz w:val="32"/>
          <w:szCs w:val="32"/>
        </w:rPr>
        <w:t>Formative Research and Tool Development</w:t>
      </w:r>
    </w:p>
    <w:p w14:paraId="55FE1771" w14:textId="77777777" w:rsidR="00304BBB" w:rsidRDefault="00304BBB" w:rsidP="009A79E1"/>
    <w:bookmarkEnd w:id="0"/>
    <w:p w14:paraId="55FE1773" w14:textId="47CFC4F5" w:rsidR="004A13E8" w:rsidRDefault="00AA345F" w:rsidP="004A13E8">
      <w:pPr>
        <w:spacing w:after="0" w:line="240" w:lineRule="auto"/>
        <w:jc w:val="center"/>
        <w:rPr>
          <w:b/>
        </w:rPr>
      </w:pPr>
      <w:r w:rsidRPr="00AA345F">
        <w:rPr>
          <w:b/>
          <w:sz w:val="48"/>
          <w:szCs w:val="48"/>
        </w:rPr>
        <w:t>Focus Group Study of U.S. Adults’ Knowledge, Attitudes, and Practices of Foodborne Disease Outbreaks and Illness Prevention</w:t>
      </w:r>
    </w:p>
    <w:p w14:paraId="1EDFEC4A" w14:textId="77777777" w:rsidR="001A7792" w:rsidRDefault="001A7792" w:rsidP="00AA345F">
      <w:pPr>
        <w:jc w:val="center"/>
        <w:rPr>
          <w:sz w:val="28"/>
        </w:rPr>
      </w:pPr>
    </w:p>
    <w:p w14:paraId="55FE1774" w14:textId="712E78DF" w:rsidR="004A13E8" w:rsidRPr="00AA345F" w:rsidRDefault="005F75B7" w:rsidP="00AA345F">
      <w:pPr>
        <w:jc w:val="center"/>
        <w:rPr>
          <w:sz w:val="28"/>
        </w:rPr>
      </w:pPr>
      <w:r w:rsidRPr="00AA345F">
        <w:rPr>
          <w:sz w:val="28"/>
        </w:rPr>
        <w:t>OMB Control No. 0920-1154</w:t>
      </w:r>
    </w:p>
    <w:p w14:paraId="55FE1775" w14:textId="77777777" w:rsidR="004A13E8" w:rsidRDefault="004A13E8" w:rsidP="004A13E8">
      <w:pPr>
        <w:spacing w:after="0" w:line="240" w:lineRule="auto"/>
        <w:jc w:val="center"/>
        <w:rPr>
          <w:b/>
        </w:rPr>
      </w:pPr>
    </w:p>
    <w:p w14:paraId="55FE1776" w14:textId="4403DD2A" w:rsidR="004A13E8" w:rsidRPr="004A13E8" w:rsidRDefault="007D3CA6" w:rsidP="004A13E8">
      <w:pPr>
        <w:pStyle w:val="Heading4"/>
      </w:pPr>
      <w:r>
        <w:t>March 1, 2019</w:t>
      </w:r>
    </w:p>
    <w:p w14:paraId="55FE1777" w14:textId="77777777" w:rsidR="004A13E8" w:rsidRDefault="004A13E8" w:rsidP="004A13E8">
      <w:pPr>
        <w:spacing w:after="0" w:line="240" w:lineRule="auto"/>
        <w:jc w:val="center"/>
        <w:rPr>
          <w:b/>
        </w:rPr>
      </w:pPr>
    </w:p>
    <w:p w14:paraId="55FE1778" w14:textId="77777777" w:rsidR="004A13E8" w:rsidRDefault="004A13E8" w:rsidP="009A79E1"/>
    <w:p w14:paraId="55FE1779" w14:textId="77777777" w:rsidR="004A13E8" w:rsidRDefault="004A13E8" w:rsidP="009A79E1"/>
    <w:p w14:paraId="55FE177A" w14:textId="77777777" w:rsidR="004A13E8" w:rsidRDefault="004A13E8" w:rsidP="009A79E1"/>
    <w:p w14:paraId="55FE177E" w14:textId="77777777" w:rsidR="004A13E8" w:rsidRDefault="004A13E8" w:rsidP="004A13E8">
      <w:pPr>
        <w:spacing w:after="0" w:line="240" w:lineRule="auto"/>
        <w:jc w:val="center"/>
        <w:rPr>
          <w:b/>
        </w:rPr>
      </w:pPr>
    </w:p>
    <w:p w14:paraId="55FE177F" w14:textId="77777777" w:rsidR="004A13E8" w:rsidRDefault="004A13E8" w:rsidP="004A13E8">
      <w:pPr>
        <w:pStyle w:val="Heading4"/>
      </w:pPr>
      <w:r>
        <w:t>Supporting Statement A</w:t>
      </w:r>
    </w:p>
    <w:p w14:paraId="55FE1780" w14:textId="77777777" w:rsidR="004A13E8" w:rsidRDefault="004A13E8" w:rsidP="004A13E8">
      <w:pPr>
        <w:spacing w:after="0" w:line="240" w:lineRule="auto"/>
        <w:rPr>
          <w:b/>
        </w:rPr>
      </w:pPr>
    </w:p>
    <w:p w14:paraId="55FE1781" w14:textId="77777777" w:rsidR="004A13E8" w:rsidRDefault="004A13E8" w:rsidP="004A13E8">
      <w:pPr>
        <w:spacing w:after="0" w:line="240" w:lineRule="auto"/>
        <w:rPr>
          <w:b/>
        </w:rPr>
      </w:pPr>
    </w:p>
    <w:p w14:paraId="55FE1782" w14:textId="77777777" w:rsidR="004A13E8" w:rsidRDefault="004A13E8" w:rsidP="004A13E8">
      <w:pPr>
        <w:spacing w:after="0" w:line="240" w:lineRule="auto"/>
        <w:rPr>
          <w:b/>
        </w:rPr>
      </w:pPr>
    </w:p>
    <w:p w14:paraId="55FE1783" w14:textId="77777777" w:rsidR="004A13E8" w:rsidRDefault="004A13E8" w:rsidP="004A13E8">
      <w:pPr>
        <w:spacing w:after="0" w:line="240" w:lineRule="auto"/>
        <w:rPr>
          <w:b/>
        </w:rPr>
      </w:pPr>
    </w:p>
    <w:p w14:paraId="55FE1784" w14:textId="77777777" w:rsidR="004A13E8" w:rsidRDefault="004A13E8" w:rsidP="004A13E8">
      <w:pPr>
        <w:spacing w:after="0" w:line="240" w:lineRule="auto"/>
        <w:rPr>
          <w:b/>
        </w:rPr>
      </w:pPr>
    </w:p>
    <w:p w14:paraId="55FE178F" w14:textId="77777777" w:rsidR="004A13E8" w:rsidRDefault="004A13E8" w:rsidP="004A13E8">
      <w:pPr>
        <w:spacing w:after="0" w:line="240" w:lineRule="auto"/>
        <w:rPr>
          <w:b/>
        </w:rPr>
      </w:pPr>
    </w:p>
    <w:p w14:paraId="55FE1790" w14:textId="77777777" w:rsidR="004A13E8" w:rsidRDefault="004A13E8" w:rsidP="004A13E8">
      <w:pPr>
        <w:spacing w:after="0" w:line="240" w:lineRule="auto"/>
        <w:rPr>
          <w:b/>
        </w:rPr>
      </w:pPr>
    </w:p>
    <w:p w14:paraId="55FE1792" w14:textId="77777777" w:rsidR="004A13E8" w:rsidRDefault="004A13E8" w:rsidP="004A13E8">
      <w:pPr>
        <w:spacing w:after="0" w:line="240" w:lineRule="auto"/>
        <w:rPr>
          <w:b/>
        </w:rPr>
      </w:pPr>
    </w:p>
    <w:p w14:paraId="55FE1793" w14:textId="77777777" w:rsidR="004A13E8" w:rsidRPr="009A79E1" w:rsidRDefault="004A13E8" w:rsidP="009A79E1">
      <w:pPr>
        <w:pStyle w:val="NoSpacing"/>
        <w:rPr>
          <w:b/>
        </w:rPr>
      </w:pPr>
      <w:r w:rsidRPr="009A79E1">
        <w:rPr>
          <w:b/>
        </w:rPr>
        <w:t xml:space="preserve">Contact: </w:t>
      </w:r>
    </w:p>
    <w:p w14:paraId="1BED9077" w14:textId="77777777" w:rsidR="004403C8" w:rsidRPr="0073510C" w:rsidRDefault="004403C8" w:rsidP="004403C8">
      <w:pPr>
        <w:pStyle w:val="NoSpacing"/>
        <w:rPr>
          <w:iCs/>
        </w:rPr>
      </w:pPr>
      <w:r w:rsidRPr="0073510C">
        <w:rPr>
          <w:b/>
          <w:bCs/>
          <w:iCs/>
        </w:rPr>
        <w:t>Janine H. Paulauskas</w:t>
      </w:r>
      <w:r w:rsidRPr="0073510C">
        <w:t xml:space="preserve"> </w:t>
      </w:r>
      <w:r w:rsidRPr="0073510C">
        <w:br/>
      </w:r>
      <w:r w:rsidRPr="0073510C">
        <w:rPr>
          <w:iCs/>
        </w:rPr>
        <w:t xml:space="preserve">Branch Manager, </w:t>
      </w:r>
      <w:r w:rsidRPr="0073510C">
        <w:t> </w:t>
      </w:r>
      <w:r w:rsidRPr="0073510C">
        <w:rPr>
          <w:iCs/>
        </w:rPr>
        <w:t>Outbreak Response and Prevention Branch (ORPB)</w:t>
      </w:r>
    </w:p>
    <w:p w14:paraId="03CBDD95" w14:textId="77777777" w:rsidR="004403C8" w:rsidRPr="0073510C" w:rsidRDefault="004403C8" w:rsidP="004403C8">
      <w:pPr>
        <w:pStyle w:val="NoSpacing"/>
        <w:rPr>
          <w:iCs/>
        </w:rPr>
      </w:pPr>
      <w:r w:rsidRPr="0073510C">
        <w:rPr>
          <w:iCs/>
        </w:rPr>
        <w:t>Division of Foodborne, Waterborne and Environmental Diseases (DFWED)</w:t>
      </w:r>
    </w:p>
    <w:p w14:paraId="3F004105" w14:textId="77777777" w:rsidR="004403C8" w:rsidRPr="0073510C" w:rsidRDefault="004403C8" w:rsidP="004403C8">
      <w:pPr>
        <w:pStyle w:val="NoSpacing"/>
        <w:rPr>
          <w:iCs/>
        </w:rPr>
      </w:pPr>
      <w:r w:rsidRPr="0073510C">
        <w:rPr>
          <w:iCs/>
        </w:rPr>
        <w:t>National Center for Emerging and Zoonotic Infectious Diseases (NCEZID)</w:t>
      </w:r>
    </w:p>
    <w:p w14:paraId="07CB36E2" w14:textId="77777777" w:rsidR="004403C8" w:rsidRPr="0073510C" w:rsidRDefault="004403C8" w:rsidP="004403C8">
      <w:pPr>
        <w:pStyle w:val="NoSpacing"/>
      </w:pPr>
      <w:r w:rsidRPr="0073510C">
        <w:rPr>
          <w:iCs/>
        </w:rPr>
        <w:t>Centers for Disease Control and Prevention (CDC)</w:t>
      </w:r>
      <w:r w:rsidRPr="0073510C">
        <w:br/>
      </w:r>
      <w:r w:rsidRPr="0073510C">
        <w:rPr>
          <w:iCs/>
        </w:rPr>
        <w:t>1600 Clifton Road NE,  Mailstop H24-10, Atlanta, GA  30333</w:t>
      </w:r>
    </w:p>
    <w:p w14:paraId="1A053C51" w14:textId="77777777" w:rsidR="004403C8" w:rsidRPr="0073510C" w:rsidRDefault="004403C8" w:rsidP="004403C8">
      <w:pPr>
        <w:pStyle w:val="NoSpacing"/>
        <w:rPr>
          <w:iCs/>
        </w:rPr>
      </w:pPr>
      <w:r w:rsidRPr="0073510C">
        <w:rPr>
          <w:iCs/>
        </w:rPr>
        <w:t>Office: (404) 718-4887</w:t>
      </w:r>
    </w:p>
    <w:p w14:paraId="55FE179A" w14:textId="07DA9DC5" w:rsidR="004A13E8" w:rsidRDefault="004403C8" w:rsidP="009A79E1">
      <w:pPr>
        <w:pStyle w:val="NoSpacing"/>
      </w:pPr>
      <w:r w:rsidRPr="0073510C">
        <w:rPr>
          <w:iCs/>
        </w:rPr>
        <w:t>Mobile: (404) 275-3556</w:t>
      </w:r>
      <w:r w:rsidRPr="0073510C">
        <w:br/>
      </w:r>
      <w:r w:rsidRPr="0073510C">
        <w:rPr>
          <w:iCs/>
        </w:rPr>
        <w:t xml:space="preserve">Email: </w:t>
      </w:r>
      <w:hyperlink r:id="rId12" w:history="1">
        <w:r w:rsidRPr="0073510C">
          <w:rPr>
            <w:rStyle w:val="Hyperlink"/>
            <w:iCs/>
          </w:rPr>
          <w:t>azi3@cdc.gov</w:t>
        </w:r>
      </w:hyperlink>
      <w:r w:rsidRPr="0073510C">
        <w:t xml:space="preserve"> </w:t>
      </w:r>
      <w:r w:rsidR="004A13E8">
        <w:br w:type="page"/>
      </w:r>
    </w:p>
    <w:sdt>
      <w:sdtPr>
        <w:rPr>
          <w:b w:val="0"/>
          <w:sz w:val="28"/>
          <w:szCs w:val="28"/>
        </w:rPr>
        <w:id w:val="1564836290"/>
        <w:docPartObj>
          <w:docPartGallery w:val="Table of Contents"/>
          <w:docPartUnique/>
        </w:docPartObj>
      </w:sdtPr>
      <w:sdtEndPr>
        <w:rPr>
          <w:bCs/>
          <w:noProof/>
          <w:sz w:val="24"/>
          <w:szCs w:val="22"/>
        </w:rPr>
      </w:sdtEndPr>
      <w:sdtContent>
        <w:p w14:paraId="55FE179B" w14:textId="1079BFDD" w:rsidR="004A13E8" w:rsidRDefault="00C90B13" w:rsidP="004A13E8">
          <w:pPr>
            <w:pStyle w:val="Heading4"/>
            <w:rPr>
              <w:sz w:val="28"/>
              <w:szCs w:val="28"/>
            </w:rPr>
          </w:pPr>
          <w:r w:rsidRPr="00D13EA1">
            <w:rPr>
              <w:sz w:val="28"/>
              <w:szCs w:val="28"/>
            </w:rPr>
            <w:t xml:space="preserve">Table of </w:t>
          </w:r>
          <w:r w:rsidR="004A13E8" w:rsidRPr="00D13EA1">
            <w:rPr>
              <w:sz w:val="28"/>
              <w:szCs w:val="28"/>
            </w:rPr>
            <w:t>Contents</w:t>
          </w:r>
        </w:p>
        <w:p w14:paraId="29C24B77" w14:textId="77777777" w:rsidR="003546A7" w:rsidRPr="003546A7" w:rsidRDefault="003546A7" w:rsidP="003546A7"/>
        <w:p w14:paraId="29D47A51" w14:textId="301D07FC" w:rsidR="00FF1BC9" w:rsidRDefault="004A13E8">
          <w:pPr>
            <w:pStyle w:val="TOC1"/>
            <w:tabs>
              <w:tab w:val="left" w:pos="480"/>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hyperlink w:anchor="_Toc534720612" w:history="1">
            <w:r w:rsidR="00FF1BC9" w:rsidRPr="00D97246">
              <w:rPr>
                <w:rStyle w:val="Hyperlink"/>
                <w:noProof/>
              </w:rPr>
              <w:t>1.</w:t>
            </w:r>
            <w:r w:rsidR="00FF1BC9">
              <w:rPr>
                <w:rFonts w:asciiTheme="minorHAnsi" w:eastAsiaTheme="minorEastAsia" w:hAnsiTheme="minorHAnsi"/>
                <w:noProof/>
                <w:sz w:val="22"/>
              </w:rPr>
              <w:tab/>
            </w:r>
            <w:r w:rsidR="00FF1BC9" w:rsidRPr="00D97246">
              <w:rPr>
                <w:rStyle w:val="Hyperlink"/>
                <w:noProof/>
              </w:rPr>
              <w:t>Circumstances Making the Collection of Information Necessary</w:t>
            </w:r>
            <w:r w:rsidR="00FF1BC9">
              <w:rPr>
                <w:noProof/>
                <w:webHidden/>
              </w:rPr>
              <w:tab/>
            </w:r>
            <w:r w:rsidR="00FF1BC9">
              <w:rPr>
                <w:noProof/>
                <w:webHidden/>
              </w:rPr>
              <w:fldChar w:fldCharType="begin"/>
            </w:r>
            <w:r w:rsidR="00FF1BC9">
              <w:rPr>
                <w:noProof/>
                <w:webHidden/>
              </w:rPr>
              <w:instrText xml:space="preserve"> PAGEREF _Toc534720612 \h </w:instrText>
            </w:r>
            <w:r w:rsidR="00FF1BC9">
              <w:rPr>
                <w:noProof/>
                <w:webHidden/>
              </w:rPr>
            </w:r>
            <w:r w:rsidR="00FF1BC9">
              <w:rPr>
                <w:noProof/>
                <w:webHidden/>
              </w:rPr>
              <w:fldChar w:fldCharType="separate"/>
            </w:r>
            <w:r w:rsidR="003546A7">
              <w:rPr>
                <w:noProof/>
                <w:webHidden/>
              </w:rPr>
              <w:t>3</w:t>
            </w:r>
            <w:r w:rsidR="00FF1BC9">
              <w:rPr>
                <w:noProof/>
                <w:webHidden/>
              </w:rPr>
              <w:fldChar w:fldCharType="end"/>
            </w:r>
          </w:hyperlink>
        </w:p>
        <w:p w14:paraId="5765345D" w14:textId="6C3B4139" w:rsidR="00FF1BC9" w:rsidRDefault="00DC5EB0">
          <w:pPr>
            <w:pStyle w:val="TOC1"/>
            <w:tabs>
              <w:tab w:val="left" w:pos="480"/>
              <w:tab w:val="right" w:leader="dot" w:pos="10070"/>
            </w:tabs>
            <w:rPr>
              <w:rFonts w:asciiTheme="minorHAnsi" w:eastAsiaTheme="minorEastAsia" w:hAnsiTheme="minorHAnsi"/>
              <w:noProof/>
              <w:sz w:val="22"/>
            </w:rPr>
          </w:pPr>
          <w:hyperlink w:anchor="_Toc534720613" w:history="1">
            <w:r w:rsidR="00FF1BC9" w:rsidRPr="00D97246">
              <w:rPr>
                <w:rStyle w:val="Hyperlink"/>
                <w:noProof/>
              </w:rPr>
              <w:t>2.</w:t>
            </w:r>
            <w:r w:rsidR="00FF1BC9">
              <w:rPr>
                <w:rFonts w:asciiTheme="minorHAnsi" w:eastAsiaTheme="minorEastAsia" w:hAnsiTheme="minorHAnsi"/>
                <w:noProof/>
                <w:sz w:val="22"/>
              </w:rPr>
              <w:tab/>
            </w:r>
            <w:r w:rsidR="00FF1BC9" w:rsidRPr="00D97246">
              <w:rPr>
                <w:rStyle w:val="Hyperlink"/>
                <w:noProof/>
              </w:rPr>
              <w:t>Purpose and Use of Information Collection</w:t>
            </w:r>
            <w:r w:rsidR="00FF1BC9">
              <w:rPr>
                <w:noProof/>
                <w:webHidden/>
              </w:rPr>
              <w:tab/>
            </w:r>
            <w:r w:rsidR="00FF1BC9">
              <w:rPr>
                <w:noProof/>
                <w:webHidden/>
              </w:rPr>
              <w:fldChar w:fldCharType="begin"/>
            </w:r>
            <w:r w:rsidR="00FF1BC9">
              <w:rPr>
                <w:noProof/>
                <w:webHidden/>
              </w:rPr>
              <w:instrText xml:space="preserve"> PAGEREF _Toc534720613 \h </w:instrText>
            </w:r>
            <w:r w:rsidR="00FF1BC9">
              <w:rPr>
                <w:noProof/>
                <w:webHidden/>
              </w:rPr>
            </w:r>
            <w:r w:rsidR="00FF1BC9">
              <w:rPr>
                <w:noProof/>
                <w:webHidden/>
              </w:rPr>
              <w:fldChar w:fldCharType="separate"/>
            </w:r>
            <w:r w:rsidR="003546A7">
              <w:rPr>
                <w:noProof/>
                <w:webHidden/>
              </w:rPr>
              <w:t>3</w:t>
            </w:r>
            <w:r w:rsidR="00FF1BC9">
              <w:rPr>
                <w:noProof/>
                <w:webHidden/>
              </w:rPr>
              <w:fldChar w:fldCharType="end"/>
            </w:r>
          </w:hyperlink>
        </w:p>
        <w:p w14:paraId="6096C3CD" w14:textId="5AB1C208" w:rsidR="00FF1BC9" w:rsidRDefault="00DC5EB0">
          <w:pPr>
            <w:pStyle w:val="TOC1"/>
            <w:tabs>
              <w:tab w:val="left" w:pos="480"/>
              <w:tab w:val="right" w:leader="dot" w:pos="10070"/>
            </w:tabs>
            <w:rPr>
              <w:rFonts w:asciiTheme="minorHAnsi" w:eastAsiaTheme="minorEastAsia" w:hAnsiTheme="minorHAnsi"/>
              <w:noProof/>
              <w:sz w:val="22"/>
            </w:rPr>
          </w:pPr>
          <w:hyperlink w:anchor="_Toc534720614" w:history="1">
            <w:r w:rsidR="00FF1BC9" w:rsidRPr="00D97246">
              <w:rPr>
                <w:rStyle w:val="Hyperlink"/>
                <w:noProof/>
              </w:rPr>
              <w:t>3.</w:t>
            </w:r>
            <w:r w:rsidR="00FF1BC9">
              <w:rPr>
                <w:rFonts w:asciiTheme="minorHAnsi" w:eastAsiaTheme="minorEastAsia" w:hAnsiTheme="minorHAnsi"/>
                <w:noProof/>
                <w:sz w:val="22"/>
              </w:rPr>
              <w:tab/>
            </w:r>
            <w:r w:rsidR="00FF1BC9" w:rsidRPr="00D97246">
              <w:rPr>
                <w:rStyle w:val="Hyperlink"/>
                <w:noProof/>
              </w:rPr>
              <w:t>Use of Improved Information Technology and Burden Reduction</w:t>
            </w:r>
            <w:r w:rsidR="00FF1BC9">
              <w:rPr>
                <w:noProof/>
                <w:webHidden/>
              </w:rPr>
              <w:tab/>
            </w:r>
            <w:r w:rsidR="00FF1BC9">
              <w:rPr>
                <w:noProof/>
                <w:webHidden/>
              </w:rPr>
              <w:fldChar w:fldCharType="begin"/>
            </w:r>
            <w:r w:rsidR="00FF1BC9">
              <w:rPr>
                <w:noProof/>
                <w:webHidden/>
              </w:rPr>
              <w:instrText xml:space="preserve"> PAGEREF _Toc534720614 \h </w:instrText>
            </w:r>
            <w:r w:rsidR="00FF1BC9">
              <w:rPr>
                <w:noProof/>
                <w:webHidden/>
              </w:rPr>
            </w:r>
            <w:r w:rsidR="00FF1BC9">
              <w:rPr>
                <w:noProof/>
                <w:webHidden/>
              </w:rPr>
              <w:fldChar w:fldCharType="separate"/>
            </w:r>
            <w:r w:rsidR="003546A7">
              <w:rPr>
                <w:noProof/>
                <w:webHidden/>
              </w:rPr>
              <w:t>4</w:t>
            </w:r>
            <w:r w:rsidR="00FF1BC9">
              <w:rPr>
                <w:noProof/>
                <w:webHidden/>
              </w:rPr>
              <w:fldChar w:fldCharType="end"/>
            </w:r>
          </w:hyperlink>
        </w:p>
        <w:p w14:paraId="12E27E85" w14:textId="368EEB46" w:rsidR="00FF1BC9" w:rsidRDefault="00DC5EB0">
          <w:pPr>
            <w:pStyle w:val="TOC1"/>
            <w:tabs>
              <w:tab w:val="left" w:pos="480"/>
              <w:tab w:val="right" w:leader="dot" w:pos="10070"/>
            </w:tabs>
            <w:rPr>
              <w:rFonts w:asciiTheme="minorHAnsi" w:eastAsiaTheme="minorEastAsia" w:hAnsiTheme="minorHAnsi"/>
              <w:noProof/>
              <w:sz w:val="22"/>
            </w:rPr>
          </w:pPr>
          <w:hyperlink w:anchor="_Toc534720615" w:history="1">
            <w:r w:rsidR="00FF1BC9" w:rsidRPr="00D97246">
              <w:rPr>
                <w:rStyle w:val="Hyperlink"/>
                <w:noProof/>
              </w:rPr>
              <w:t>4.</w:t>
            </w:r>
            <w:r w:rsidR="00FF1BC9">
              <w:rPr>
                <w:rFonts w:asciiTheme="minorHAnsi" w:eastAsiaTheme="minorEastAsia" w:hAnsiTheme="minorHAnsi"/>
                <w:noProof/>
                <w:sz w:val="22"/>
              </w:rPr>
              <w:tab/>
            </w:r>
            <w:r w:rsidR="00FF1BC9" w:rsidRPr="00D97246">
              <w:rPr>
                <w:rStyle w:val="Hyperlink"/>
                <w:noProof/>
              </w:rPr>
              <w:t>Efforts to Identify Duplication and Use of Similar Information</w:t>
            </w:r>
            <w:r w:rsidR="00FF1BC9">
              <w:rPr>
                <w:noProof/>
                <w:webHidden/>
              </w:rPr>
              <w:tab/>
            </w:r>
            <w:r w:rsidR="00FF1BC9">
              <w:rPr>
                <w:noProof/>
                <w:webHidden/>
              </w:rPr>
              <w:fldChar w:fldCharType="begin"/>
            </w:r>
            <w:r w:rsidR="00FF1BC9">
              <w:rPr>
                <w:noProof/>
                <w:webHidden/>
              </w:rPr>
              <w:instrText xml:space="preserve"> PAGEREF _Toc534720615 \h </w:instrText>
            </w:r>
            <w:r w:rsidR="00FF1BC9">
              <w:rPr>
                <w:noProof/>
                <w:webHidden/>
              </w:rPr>
            </w:r>
            <w:r w:rsidR="00FF1BC9">
              <w:rPr>
                <w:noProof/>
                <w:webHidden/>
              </w:rPr>
              <w:fldChar w:fldCharType="separate"/>
            </w:r>
            <w:r w:rsidR="003546A7">
              <w:rPr>
                <w:noProof/>
                <w:webHidden/>
              </w:rPr>
              <w:t>4</w:t>
            </w:r>
            <w:r w:rsidR="00FF1BC9">
              <w:rPr>
                <w:noProof/>
                <w:webHidden/>
              </w:rPr>
              <w:fldChar w:fldCharType="end"/>
            </w:r>
          </w:hyperlink>
        </w:p>
        <w:p w14:paraId="161C6F23" w14:textId="15A1E43A" w:rsidR="00FF1BC9" w:rsidRDefault="00DC5EB0">
          <w:pPr>
            <w:pStyle w:val="TOC1"/>
            <w:tabs>
              <w:tab w:val="left" w:pos="480"/>
              <w:tab w:val="right" w:leader="dot" w:pos="10070"/>
            </w:tabs>
            <w:rPr>
              <w:rFonts w:asciiTheme="minorHAnsi" w:eastAsiaTheme="minorEastAsia" w:hAnsiTheme="minorHAnsi"/>
              <w:noProof/>
              <w:sz w:val="22"/>
            </w:rPr>
          </w:pPr>
          <w:hyperlink w:anchor="_Toc534720616" w:history="1">
            <w:r w:rsidR="00FF1BC9" w:rsidRPr="00D97246">
              <w:rPr>
                <w:rStyle w:val="Hyperlink"/>
                <w:noProof/>
              </w:rPr>
              <w:t>5.</w:t>
            </w:r>
            <w:r w:rsidR="00FF1BC9">
              <w:rPr>
                <w:rFonts w:asciiTheme="minorHAnsi" w:eastAsiaTheme="minorEastAsia" w:hAnsiTheme="minorHAnsi"/>
                <w:noProof/>
                <w:sz w:val="22"/>
              </w:rPr>
              <w:tab/>
            </w:r>
            <w:r w:rsidR="00FF1BC9" w:rsidRPr="00D97246">
              <w:rPr>
                <w:rStyle w:val="Hyperlink"/>
                <w:noProof/>
              </w:rPr>
              <w:t>Impact on Small Businesses or Other Small Entities</w:t>
            </w:r>
            <w:r w:rsidR="00FF1BC9">
              <w:rPr>
                <w:noProof/>
                <w:webHidden/>
              </w:rPr>
              <w:tab/>
            </w:r>
            <w:r w:rsidR="00FF1BC9">
              <w:rPr>
                <w:noProof/>
                <w:webHidden/>
              </w:rPr>
              <w:fldChar w:fldCharType="begin"/>
            </w:r>
            <w:r w:rsidR="00FF1BC9">
              <w:rPr>
                <w:noProof/>
                <w:webHidden/>
              </w:rPr>
              <w:instrText xml:space="preserve"> PAGEREF _Toc534720616 \h </w:instrText>
            </w:r>
            <w:r w:rsidR="00FF1BC9">
              <w:rPr>
                <w:noProof/>
                <w:webHidden/>
              </w:rPr>
            </w:r>
            <w:r w:rsidR="00FF1BC9">
              <w:rPr>
                <w:noProof/>
                <w:webHidden/>
              </w:rPr>
              <w:fldChar w:fldCharType="separate"/>
            </w:r>
            <w:r w:rsidR="003546A7">
              <w:rPr>
                <w:noProof/>
                <w:webHidden/>
              </w:rPr>
              <w:t>4</w:t>
            </w:r>
            <w:r w:rsidR="00FF1BC9">
              <w:rPr>
                <w:noProof/>
                <w:webHidden/>
              </w:rPr>
              <w:fldChar w:fldCharType="end"/>
            </w:r>
          </w:hyperlink>
        </w:p>
        <w:p w14:paraId="5BE05BBE" w14:textId="3EF244B8" w:rsidR="00FF1BC9" w:rsidRDefault="00DC5EB0">
          <w:pPr>
            <w:pStyle w:val="TOC1"/>
            <w:tabs>
              <w:tab w:val="left" w:pos="480"/>
              <w:tab w:val="right" w:leader="dot" w:pos="10070"/>
            </w:tabs>
            <w:rPr>
              <w:rFonts w:asciiTheme="minorHAnsi" w:eastAsiaTheme="minorEastAsia" w:hAnsiTheme="minorHAnsi"/>
              <w:noProof/>
              <w:sz w:val="22"/>
            </w:rPr>
          </w:pPr>
          <w:hyperlink w:anchor="_Toc534720617" w:history="1">
            <w:r w:rsidR="00FF1BC9" w:rsidRPr="00D97246">
              <w:rPr>
                <w:rStyle w:val="Hyperlink"/>
                <w:noProof/>
              </w:rPr>
              <w:t>6.</w:t>
            </w:r>
            <w:r w:rsidR="00FF1BC9">
              <w:rPr>
                <w:rFonts w:asciiTheme="minorHAnsi" w:eastAsiaTheme="minorEastAsia" w:hAnsiTheme="minorHAnsi"/>
                <w:noProof/>
                <w:sz w:val="22"/>
              </w:rPr>
              <w:tab/>
            </w:r>
            <w:r w:rsidR="00FF1BC9" w:rsidRPr="00D97246">
              <w:rPr>
                <w:rStyle w:val="Hyperlink"/>
                <w:noProof/>
              </w:rPr>
              <w:t>Consequences of Collecting the Information Less Frequently</w:t>
            </w:r>
            <w:r w:rsidR="00FF1BC9">
              <w:rPr>
                <w:noProof/>
                <w:webHidden/>
              </w:rPr>
              <w:tab/>
            </w:r>
            <w:r w:rsidR="00FF1BC9">
              <w:rPr>
                <w:noProof/>
                <w:webHidden/>
              </w:rPr>
              <w:fldChar w:fldCharType="begin"/>
            </w:r>
            <w:r w:rsidR="00FF1BC9">
              <w:rPr>
                <w:noProof/>
                <w:webHidden/>
              </w:rPr>
              <w:instrText xml:space="preserve"> PAGEREF _Toc534720617 \h </w:instrText>
            </w:r>
            <w:r w:rsidR="00FF1BC9">
              <w:rPr>
                <w:noProof/>
                <w:webHidden/>
              </w:rPr>
            </w:r>
            <w:r w:rsidR="00FF1BC9">
              <w:rPr>
                <w:noProof/>
                <w:webHidden/>
              </w:rPr>
              <w:fldChar w:fldCharType="separate"/>
            </w:r>
            <w:r w:rsidR="003546A7">
              <w:rPr>
                <w:noProof/>
                <w:webHidden/>
              </w:rPr>
              <w:t>4</w:t>
            </w:r>
            <w:r w:rsidR="00FF1BC9">
              <w:rPr>
                <w:noProof/>
                <w:webHidden/>
              </w:rPr>
              <w:fldChar w:fldCharType="end"/>
            </w:r>
          </w:hyperlink>
        </w:p>
        <w:p w14:paraId="492C738C" w14:textId="7AC5C836" w:rsidR="00FF1BC9" w:rsidRDefault="00DC5EB0">
          <w:pPr>
            <w:pStyle w:val="TOC1"/>
            <w:tabs>
              <w:tab w:val="left" w:pos="480"/>
              <w:tab w:val="right" w:leader="dot" w:pos="10070"/>
            </w:tabs>
            <w:rPr>
              <w:rFonts w:asciiTheme="minorHAnsi" w:eastAsiaTheme="minorEastAsia" w:hAnsiTheme="minorHAnsi"/>
              <w:noProof/>
              <w:sz w:val="22"/>
            </w:rPr>
          </w:pPr>
          <w:hyperlink w:anchor="_Toc534720618" w:history="1">
            <w:r w:rsidR="00FF1BC9" w:rsidRPr="00D97246">
              <w:rPr>
                <w:rStyle w:val="Hyperlink"/>
                <w:noProof/>
              </w:rPr>
              <w:t>7.</w:t>
            </w:r>
            <w:r w:rsidR="00FF1BC9">
              <w:rPr>
                <w:rFonts w:asciiTheme="minorHAnsi" w:eastAsiaTheme="minorEastAsia" w:hAnsiTheme="minorHAnsi"/>
                <w:noProof/>
                <w:sz w:val="22"/>
              </w:rPr>
              <w:tab/>
            </w:r>
            <w:r w:rsidR="00FF1BC9" w:rsidRPr="00D97246">
              <w:rPr>
                <w:rStyle w:val="Hyperlink"/>
                <w:noProof/>
              </w:rPr>
              <w:t>Special Circumstances Relating to the Guidelines of 5 CFR 1320.5</w:t>
            </w:r>
            <w:r w:rsidR="00FF1BC9">
              <w:rPr>
                <w:noProof/>
                <w:webHidden/>
              </w:rPr>
              <w:tab/>
            </w:r>
            <w:r w:rsidR="00FF1BC9">
              <w:rPr>
                <w:noProof/>
                <w:webHidden/>
              </w:rPr>
              <w:fldChar w:fldCharType="begin"/>
            </w:r>
            <w:r w:rsidR="00FF1BC9">
              <w:rPr>
                <w:noProof/>
                <w:webHidden/>
              </w:rPr>
              <w:instrText xml:space="preserve"> PAGEREF _Toc534720618 \h </w:instrText>
            </w:r>
            <w:r w:rsidR="00FF1BC9">
              <w:rPr>
                <w:noProof/>
                <w:webHidden/>
              </w:rPr>
            </w:r>
            <w:r w:rsidR="00FF1BC9">
              <w:rPr>
                <w:noProof/>
                <w:webHidden/>
              </w:rPr>
              <w:fldChar w:fldCharType="separate"/>
            </w:r>
            <w:r w:rsidR="003546A7">
              <w:rPr>
                <w:noProof/>
                <w:webHidden/>
              </w:rPr>
              <w:t>5</w:t>
            </w:r>
            <w:r w:rsidR="00FF1BC9">
              <w:rPr>
                <w:noProof/>
                <w:webHidden/>
              </w:rPr>
              <w:fldChar w:fldCharType="end"/>
            </w:r>
          </w:hyperlink>
        </w:p>
        <w:p w14:paraId="49598E70" w14:textId="3582296A" w:rsidR="00FF1BC9" w:rsidRDefault="00DC5EB0">
          <w:pPr>
            <w:pStyle w:val="TOC1"/>
            <w:tabs>
              <w:tab w:val="left" w:pos="480"/>
              <w:tab w:val="right" w:leader="dot" w:pos="10070"/>
            </w:tabs>
            <w:rPr>
              <w:rFonts w:asciiTheme="minorHAnsi" w:eastAsiaTheme="minorEastAsia" w:hAnsiTheme="minorHAnsi"/>
              <w:noProof/>
              <w:sz w:val="22"/>
            </w:rPr>
          </w:pPr>
          <w:hyperlink w:anchor="_Toc534720619" w:history="1">
            <w:r w:rsidR="00FF1BC9" w:rsidRPr="00D97246">
              <w:rPr>
                <w:rStyle w:val="Hyperlink"/>
                <w:noProof/>
              </w:rPr>
              <w:t>8.</w:t>
            </w:r>
            <w:r w:rsidR="00FF1BC9">
              <w:rPr>
                <w:rFonts w:asciiTheme="minorHAnsi" w:eastAsiaTheme="minorEastAsia" w:hAnsiTheme="minorHAnsi"/>
                <w:noProof/>
                <w:sz w:val="22"/>
              </w:rPr>
              <w:tab/>
            </w:r>
            <w:r w:rsidR="00FF1BC9" w:rsidRPr="00D97246">
              <w:rPr>
                <w:rStyle w:val="Hyperlink"/>
                <w:noProof/>
              </w:rPr>
              <w:t>Comments in Response to the Federal Register Notice and Efforts to Consult Outside the Agency</w:t>
            </w:r>
            <w:r w:rsidR="00FF1BC9">
              <w:rPr>
                <w:noProof/>
                <w:webHidden/>
              </w:rPr>
              <w:tab/>
            </w:r>
            <w:r w:rsidR="00FF1BC9">
              <w:rPr>
                <w:noProof/>
                <w:webHidden/>
              </w:rPr>
              <w:fldChar w:fldCharType="begin"/>
            </w:r>
            <w:r w:rsidR="00FF1BC9">
              <w:rPr>
                <w:noProof/>
                <w:webHidden/>
              </w:rPr>
              <w:instrText xml:space="preserve"> PAGEREF _Toc534720619 \h </w:instrText>
            </w:r>
            <w:r w:rsidR="00FF1BC9">
              <w:rPr>
                <w:noProof/>
                <w:webHidden/>
              </w:rPr>
            </w:r>
            <w:r w:rsidR="00FF1BC9">
              <w:rPr>
                <w:noProof/>
                <w:webHidden/>
              </w:rPr>
              <w:fldChar w:fldCharType="separate"/>
            </w:r>
            <w:r w:rsidR="003546A7">
              <w:rPr>
                <w:noProof/>
                <w:webHidden/>
              </w:rPr>
              <w:t>5</w:t>
            </w:r>
            <w:r w:rsidR="00FF1BC9">
              <w:rPr>
                <w:noProof/>
                <w:webHidden/>
              </w:rPr>
              <w:fldChar w:fldCharType="end"/>
            </w:r>
          </w:hyperlink>
        </w:p>
        <w:p w14:paraId="0BBA2A98" w14:textId="6BD83A44" w:rsidR="00FF1BC9" w:rsidRDefault="00DC5EB0">
          <w:pPr>
            <w:pStyle w:val="TOC1"/>
            <w:tabs>
              <w:tab w:val="left" w:pos="480"/>
              <w:tab w:val="right" w:leader="dot" w:pos="10070"/>
            </w:tabs>
            <w:rPr>
              <w:rFonts w:asciiTheme="minorHAnsi" w:eastAsiaTheme="minorEastAsia" w:hAnsiTheme="minorHAnsi"/>
              <w:noProof/>
              <w:sz w:val="22"/>
            </w:rPr>
          </w:pPr>
          <w:hyperlink w:anchor="_Toc534720620" w:history="1">
            <w:r w:rsidR="00FF1BC9" w:rsidRPr="00D97246">
              <w:rPr>
                <w:rStyle w:val="Hyperlink"/>
                <w:noProof/>
              </w:rPr>
              <w:t>9.</w:t>
            </w:r>
            <w:r w:rsidR="00FF1BC9">
              <w:rPr>
                <w:rFonts w:asciiTheme="minorHAnsi" w:eastAsiaTheme="minorEastAsia" w:hAnsiTheme="minorHAnsi"/>
                <w:noProof/>
                <w:sz w:val="22"/>
              </w:rPr>
              <w:tab/>
            </w:r>
            <w:r w:rsidR="00FF1BC9" w:rsidRPr="00D97246">
              <w:rPr>
                <w:rStyle w:val="Hyperlink"/>
                <w:noProof/>
              </w:rPr>
              <w:t>Explanation of Any Payment or Gift to Respondents</w:t>
            </w:r>
            <w:r w:rsidR="00FF1BC9">
              <w:rPr>
                <w:noProof/>
                <w:webHidden/>
              </w:rPr>
              <w:tab/>
            </w:r>
            <w:r w:rsidR="00FF1BC9">
              <w:rPr>
                <w:noProof/>
                <w:webHidden/>
              </w:rPr>
              <w:fldChar w:fldCharType="begin"/>
            </w:r>
            <w:r w:rsidR="00FF1BC9">
              <w:rPr>
                <w:noProof/>
                <w:webHidden/>
              </w:rPr>
              <w:instrText xml:space="preserve"> PAGEREF _Toc534720620 \h </w:instrText>
            </w:r>
            <w:r w:rsidR="00FF1BC9">
              <w:rPr>
                <w:noProof/>
                <w:webHidden/>
              </w:rPr>
            </w:r>
            <w:r w:rsidR="00FF1BC9">
              <w:rPr>
                <w:noProof/>
                <w:webHidden/>
              </w:rPr>
              <w:fldChar w:fldCharType="separate"/>
            </w:r>
            <w:r w:rsidR="003546A7">
              <w:rPr>
                <w:noProof/>
                <w:webHidden/>
              </w:rPr>
              <w:t>5</w:t>
            </w:r>
            <w:r w:rsidR="00FF1BC9">
              <w:rPr>
                <w:noProof/>
                <w:webHidden/>
              </w:rPr>
              <w:fldChar w:fldCharType="end"/>
            </w:r>
          </w:hyperlink>
        </w:p>
        <w:p w14:paraId="0000BCC6" w14:textId="79BDEB2A" w:rsidR="00FF1BC9" w:rsidRDefault="00DC5EB0">
          <w:pPr>
            <w:pStyle w:val="TOC1"/>
            <w:tabs>
              <w:tab w:val="left" w:pos="660"/>
              <w:tab w:val="right" w:leader="dot" w:pos="10070"/>
            </w:tabs>
            <w:rPr>
              <w:rFonts w:asciiTheme="minorHAnsi" w:eastAsiaTheme="minorEastAsia" w:hAnsiTheme="minorHAnsi"/>
              <w:noProof/>
              <w:sz w:val="22"/>
            </w:rPr>
          </w:pPr>
          <w:hyperlink w:anchor="_Toc534720622" w:history="1">
            <w:r w:rsidR="00FF1BC9" w:rsidRPr="00D97246">
              <w:rPr>
                <w:rStyle w:val="Hyperlink"/>
                <w:noProof/>
              </w:rPr>
              <w:t>10.</w:t>
            </w:r>
            <w:r w:rsidR="00FF1BC9">
              <w:rPr>
                <w:rFonts w:asciiTheme="minorHAnsi" w:eastAsiaTheme="minorEastAsia" w:hAnsiTheme="minorHAnsi"/>
                <w:noProof/>
                <w:sz w:val="22"/>
              </w:rPr>
              <w:tab/>
            </w:r>
            <w:r w:rsidR="00FF1BC9" w:rsidRPr="00D97246">
              <w:rPr>
                <w:rStyle w:val="Hyperlink"/>
                <w:noProof/>
              </w:rPr>
              <w:t>Protection of the Privacy and Confidentiality of Information Provided by Respondents</w:t>
            </w:r>
            <w:r w:rsidR="00FF1BC9">
              <w:rPr>
                <w:noProof/>
                <w:webHidden/>
              </w:rPr>
              <w:tab/>
            </w:r>
            <w:r w:rsidR="00FF1BC9">
              <w:rPr>
                <w:noProof/>
                <w:webHidden/>
              </w:rPr>
              <w:fldChar w:fldCharType="begin"/>
            </w:r>
            <w:r w:rsidR="00FF1BC9">
              <w:rPr>
                <w:noProof/>
                <w:webHidden/>
              </w:rPr>
              <w:instrText xml:space="preserve"> PAGEREF _Toc534720622 \h </w:instrText>
            </w:r>
            <w:r w:rsidR="00FF1BC9">
              <w:rPr>
                <w:noProof/>
                <w:webHidden/>
              </w:rPr>
            </w:r>
            <w:r w:rsidR="00FF1BC9">
              <w:rPr>
                <w:noProof/>
                <w:webHidden/>
              </w:rPr>
              <w:fldChar w:fldCharType="separate"/>
            </w:r>
            <w:r w:rsidR="003546A7">
              <w:rPr>
                <w:noProof/>
                <w:webHidden/>
              </w:rPr>
              <w:t>5</w:t>
            </w:r>
            <w:r w:rsidR="00FF1BC9">
              <w:rPr>
                <w:noProof/>
                <w:webHidden/>
              </w:rPr>
              <w:fldChar w:fldCharType="end"/>
            </w:r>
          </w:hyperlink>
        </w:p>
        <w:p w14:paraId="3756AA35" w14:textId="6FF361C8" w:rsidR="00FF1BC9" w:rsidRDefault="00DC5EB0">
          <w:pPr>
            <w:pStyle w:val="TOC1"/>
            <w:tabs>
              <w:tab w:val="left" w:pos="660"/>
              <w:tab w:val="right" w:leader="dot" w:pos="10070"/>
            </w:tabs>
            <w:rPr>
              <w:rFonts w:asciiTheme="minorHAnsi" w:eastAsiaTheme="minorEastAsia" w:hAnsiTheme="minorHAnsi"/>
              <w:noProof/>
              <w:sz w:val="22"/>
            </w:rPr>
          </w:pPr>
          <w:hyperlink w:anchor="_Toc534720623" w:history="1">
            <w:r w:rsidR="00FF1BC9" w:rsidRPr="00D97246">
              <w:rPr>
                <w:rStyle w:val="Hyperlink"/>
                <w:noProof/>
              </w:rPr>
              <w:t>11.</w:t>
            </w:r>
            <w:r w:rsidR="00FF1BC9">
              <w:rPr>
                <w:rFonts w:asciiTheme="minorHAnsi" w:eastAsiaTheme="minorEastAsia" w:hAnsiTheme="minorHAnsi"/>
                <w:noProof/>
                <w:sz w:val="22"/>
              </w:rPr>
              <w:tab/>
            </w:r>
            <w:r w:rsidR="00FF1BC9" w:rsidRPr="00D97246">
              <w:rPr>
                <w:rStyle w:val="Hyperlink"/>
                <w:noProof/>
              </w:rPr>
              <w:t>Institutional Review Board (IRB) and Justification for Sensitive Questions</w:t>
            </w:r>
            <w:r w:rsidR="00FF1BC9">
              <w:rPr>
                <w:noProof/>
                <w:webHidden/>
              </w:rPr>
              <w:tab/>
            </w:r>
            <w:r w:rsidR="00FF1BC9">
              <w:rPr>
                <w:noProof/>
                <w:webHidden/>
              </w:rPr>
              <w:fldChar w:fldCharType="begin"/>
            </w:r>
            <w:r w:rsidR="00FF1BC9">
              <w:rPr>
                <w:noProof/>
                <w:webHidden/>
              </w:rPr>
              <w:instrText xml:space="preserve"> PAGEREF _Toc534720623 \h </w:instrText>
            </w:r>
            <w:r w:rsidR="00FF1BC9">
              <w:rPr>
                <w:noProof/>
                <w:webHidden/>
              </w:rPr>
            </w:r>
            <w:r w:rsidR="00FF1BC9">
              <w:rPr>
                <w:noProof/>
                <w:webHidden/>
              </w:rPr>
              <w:fldChar w:fldCharType="separate"/>
            </w:r>
            <w:r w:rsidR="003546A7">
              <w:rPr>
                <w:noProof/>
                <w:webHidden/>
              </w:rPr>
              <w:t>6</w:t>
            </w:r>
            <w:r w:rsidR="00FF1BC9">
              <w:rPr>
                <w:noProof/>
                <w:webHidden/>
              </w:rPr>
              <w:fldChar w:fldCharType="end"/>
            </w:r>
          </w:hyperlink>
        </w:p>
        <w:p w14:paraId="12CC8887" w14:textId="4C00C541" w:rsidR="00FF1BC9" w:rsidRDefault="00DC5EB0">
          <w:pPr>
            <w:pStyle w:val="TOC1"/>
            <w:tabs>
              <w:tab w:val="left" w:pos="660"/>
              <w:tab w:val="right" w:leader="dot" w:pos="10070"/>
            </w:tabs>
            <w:rPr>
              <w:rFonts w:asciiTheme="minorHAnsi" w:eastAsiaTheme="minorEastAsia" w:hAnsiTheme="minorHAnsi"/>
              <w:noProof/>
              <w:sz w:val="22"/>
            </w:rPr>
          </w:pPr>
          <w:hyperlink w:anchor="_Toc534720624" w:history="1">
            <w:r w:rsidR="00FF1BC9" w:rsidRPr="00D97246">
              <w:rPr>
                <w:rStyle w:val="Hyperlink"/>
                <w:noProof/>
              </w:rPr>
              <w:t>12.</w:t>
            </w:r>
            <w:r w:rsidR="00FF1BC9">
              <w:rPr>
                <w:rFonts w:asciiTheme="minorHAnsi" w:eastAsiaTheme="minorEastAsia" w:hAnsiTheme="minorHAnsi"/>
                <w:noProof/>
                <w:sz w:val="22"/>
              </w:rPr>
              <w:tab/>
            </w:r>
            <w:r w:rsidR="00FF1BC9" w:rsidRPr="00D97246">
              <w:rPr>
                <w:rStyle w:val="Hyperlink"/>
                <w:noProof/>
              </w:rPr>
              <w:t>Estimates of Annualized Burden Hours and Costs</w:t>
            </w:r>
            <w:r w:rsidR="00FF1BC9">
              <w:rPr>
                <w:noProof/>
                <w:webHidden/>
              </w:rPr>
              <w:tab/>
            </w:r>
            <w:r w:rsidR="00FF1BC9">
              <w:rPr>
                <w:noProof/>
                <w:webHidden/>
              </w:rPr>
              <w:fldChar w:fldCharType="begin"/>
            </w:r>
            <w:r w:rsidR="00FF1BC9">
              <w:rPr>
                <w:noProof/>
                <w:webHidden/>
              </w:rPr>
              <w:instrText xml:space="preserve"> PAGEREF _Toc534720624 \h </w:instrText>
            </w:r>
            <w:r w:rsidR="00FF1BC9">
              <w:rPr>
                <w:noProof/>
                <w:webHidden/>
              </w:rPr>
            </w:r>
            <w:r w:rsidR="00FF1BC9">
              <w:rPr>
                <w:noProof/>
                <w:webHidden/>
              </w:rPr>
              <w:fldChar w:fldCharType="separate"/>
            </w:r>
            <w:r w:rsidR="003546A7">
              <w:rPr>
                <w:noProof/>
                <w:webHidden/>
              </w:rPr>
              <w:t>7</w:t>
            </w:r>
            <w:r w:rsidR="00FF1BC9">
              <w:rPr>
                <w:noProof/>
                <w:webHidden/>
              </w:rPr>
              <w:fldChar w:fldCharType="end"/>
            </w:r>
          </w:hyperlink>
        </w:p>
        <w:p w14:paraId="4B9E5911" w14:textId="07EDC31D" w:rsidR="00FF1BC9" w:rsidRDefault="00DC5EB0">
          <w:pPr>
            <w:pStyle w:val="TOC1"/>
            <w:tabs>
              <w:tab w:val="left" w:pos="660"/>
              <w:tab w:val="right" w:leader="dot" w:pos="10070"/>
            </w:tabs>
            <w:rPr>
              <w:rFonts w:asciiTheme="minorHAnsi" w:eastAsiaTheme="minorEastAsia" w:hAnsiTheme="minorHAnsi"/>
              <w:noProof/>
              <w:sz w:val="22"/>
            </w:rPr>
          </w:pPr>
          <w:hyperlink w:anchor="_Toc534720625" w:history="1">
            <w:r w:rsidR="00FF1BC9" w:rsidRPr="00D97246">
              <w:rPr>
                <w:rStyle w:val="Hyperlink"/>
                <w:noProof/>
              </w:rPr>
              <w:t>13.</w:t>
            </w:r>
            <w:r w:rsidR="00FF1BC9">
              <w:rPr>
                <w:rFonts w:asciiTheme="minorHAnsi" w:eastAsiaTheme="minorEastAsia" w:hAnsiTheme="minorHAnsi"/>
                <w:noProof/>
                <w:sz w:val="22"/>
              </w:rPr>
              <w:tab/>
            </w:r>
            <w:r w:rsidR="00FF1BC9" w:rsidRPr="00D97246">
              <w:rPr>
                <w:rStyle w:val="Hyperlink"/>
                <w:noProof/>
              </w:rPr>
              <w:t>Estimates of Other Total Annual Cost Burden to Respondents or Record Keepers</w:t>
            </w:r>
            <w:r w:rsidR="00FF1BC9">
              <w:rPr>
                <w:noProof/>
                <w:webHidden/>
              </w:rPr>
              <w:tab/>
            </w:r>
            <w:r w:rsidR="00FF1BC9">
              <w:rPr>
                <w:noProof/>
                <w:webHidden/>
              </w:rPr>
              <w:fldChar w:fldCharType="begin"/>
            </w:r>
            <w:r w:rsidR="00FF1BC9">
              <w:rPr>
                <w:noProof/>
                <w:webHidden/>
              </w:rPr>
              <w:instrText xml:space="preserve"> PAGEREF _Toc534720625 \h </w:instrText>
            </w:r>
            <w:r w:rsidR="00FF1BC9">
              <w:rPr>
                <w:noProof/>
                <w:webHidden/>
              </w:rPr>
            </w:r>
            <w:r w:rsidR="00FF1BC9">
              <w:rPr>
                <w:noProof/>
                <w:webHidden/>
              </w:rPr>
              <w:fldChar w:fldCharType="separate"/>
            </w:r>
            <w:r w:rsidR="003546A7">
              <w:rPr>
                <w:noProof/>
                <w:webHidden/>
              </w:rPr>
              <w:t>8</w:t>
            </w:r>
            <w:r w:rsidR="00FF1BC9">
              <w:rPr>
                <w:noProof/>
                <w:webHidden/>
              </w:rPr>
              <w:fldChar w:fldCharType="end"/>
            </w:r>
          </w:hyperlink>
        </w:p>
        <w:p w14:paraId="14CBB998" w14:textId="3A607C98" w:rsidR="00FF1BC9" w:rsidRDefault="00DC5EB0">
          <w:pPr>
            <w:pStyle w:val="TOC1"/>
            <w:tabs>
              <w:tab w:val="left" w:pos="660"/>
              <w:tab w:val="right" w:leader="dot" w:pos="10070"/>
            </w:tabs>
            <w:rPr>
              <w:rFonts w:asciiTheme="minorHAnsi" w:eastAsiaTheme="minorEastAsia" w:hAnsiTheme="minorHAnsi"/>
              <w:noProof/>
              <w:sz w:val="22"/>
            </w:rPr>
          </w:pPr>
          <w:hyperlink w:anchor="_Toc534720626" w:history="1">
            <w:r w:rsidR="00FF1BC9" w:rsidRPr="00D97246">
              <w:rPr>
                <w:rStyle w:val="Hyperlink"/>
                <w:noProof/>
              </w:rPr>
              <w:t>14.</w:t>
            </w:r>
            <w:r w:rsidR="00FF1BC9">
              <w:rPr>
                <w:rFonts w:asciiTheme="minorHAnsi" w:eastAsiaTheme="minorEastAsia" w:hAnsiTheme="minorHAnsi"/>
                <w:noProof/>
                <w:sz w:val="22"/>
              </w:rPr>
              <w:tab/>
            </w:r>
            <w:r w:rsidR="00FF1BC9" w:rsidRPr="00D97246">
              <w:rPr>
                <w:rStyle w:val="Hyperlink"/>
                <w:noProof/>
              </w:rPr>
              <w:t>Annualized Cost to the Government</w:t>
            </w:r>
            <w:r w:rsidR="00FF1BC9">
              <w:rPr>
                <w:noProof/>
                <w:webHidden/>
              </w:rPr>
              <w:tab/>
            </w:r>
            <w:r w:rsidR="00FF1BC9">
              <w:rPr>
                <w:noProof/>
                <w:webHidden/>
              </w:rPr>
              <w:fldChar w:fldCharType="begin"/>
            </w:r>
            <w:r w:rsidR="00FF1BC9">
              <w:rPr>
                <w:noProof/>
                <w:webHidden/>
              </w:rPr>
              <w:instrText xml:space="preserve"> PAGEREF _Toc534720626 \h </w:instrText>
            </w:r>
            <w:r w:rsidR="00FF1BC9">
              <w:rPr>
                <w:noProof/>
                <w:webHidden/>
              </w:rPr>
            </w:r>
            <w:r w:rsidR="00FF1BC9">
              <w:rPr>
                <w:noProof/>
                <w:webHidden/>
              </w:rPr>
              <w:fldChar w:fldCharType="separate"/>
            </w:r>
            <w:r w:rsidR="003546A7">
              <w:rPr>
                <w:noProof/>
                <w:webHidden/>
              </w:rPr>
              <w:t>8</w:t>
            </w:r>
            <w:r w:rsidR="00FF1BC9">
              <w:rPr>
                <w:noProof/>
                <w:webHidden/>
              </w:rPr>
              <w:fldChar w:fldCharType="end"/>
            </w:r>
          </w:hyperlink>
        </w:p>
        <w:p w14:paraId="669BBC95" w14:textId="56C68386" w:rsidR="00FF1BC9" w:rsidRDefault="00DC5EB0">
          <w:pPr>
            <w:pStyle w:val="TOC1"/>
            <w:tabs>
              <w:tab w:val="left" w:pos="660"/>
              <w:tab w:val="right" w:leader="dot" w:pos="10070"/>
            </w:tabs>
            <w:rPr>
              <w:rFonts w:asciiTheme="minorHAnsi" w:eastAsiaTheme="minorEastAsia" w:hAnsiTheme="minorHAnsi"/>
              <w:noProof/>
              <w:sz w:val="22"/>
            </w:rPr>
          </w:pPr>
          <w:hyperlink w:anchor="_Toc534720627" w:history="1">
            <w:r w:rsidR="00FF1BC9" w:rsidRPr="00D97246">
              <w:rPr>
                <w:rStyle w:val="Hyperlink"/>
                <w:noProof/>
              </w:rPr>
              <w:t>15.</w:t>
            </w:r>
            <w:r w:rsidR="00FF1BC9">
              <w:rPr>
                <w:rFonts w:asciiTheme="minorHAnsi" w:eastAsiaTheme="minorEastAsia" w:hAnsiTheme="minorHAnsi"/>
                <w:noProof/>
                <w:sz w:val="22"/>
              </w:rPr>
              <w:tab/>
            </w:r>
            <w:r w:rsidR="00FF1BC9" w:rsidRPr="00D97246">
              <w:rPr>
                <w:rStyle w:val="Hyperlink"/>
                <w:noProof/>
              </w:rPr>
              <w:t>Explanation for Program Changes or Adjustments</w:t>
            </w:r>
            <w:r w:rsidR="00FF1BC9">
              <w:rPr>
                <w:noProof/>
                <w:webHidden/>
              </w:rPr>
              <w:tab/>
            </w:r>
            <w:r w:rsidR="00FF1BC9">
              <w:rPr>
                <w:noProof/>
                <w:webHidden/>
              </w:rPr>
              <w:fldChar w:fldCharType="begin"/>
            </w:r>
            <w:r w:rsidR="00FF1BC9">
              <w:rPr>
                <w:noProof/>
                <w:webHidden/>
              </w:rPr>
              <w:instrText xml:space="preserve"> PAGEREF _Toc534720627 \h </w:instrText>
            </w:r>
            <w:r w:rsidR="00FF1BC9">
              <w:rPr>
                <w:noProof/>
                <w:webHidden/>
              </w:rPr>
            </w:r>
            <w:r w:rsidR="00FF1BC9">
              <w:rPr>
                <w:noProof/>
                <w:webHidden/>
              </w:rPr>
              <w:fldChar w:fldCharType="separate"/>
            </w:r>
            <w:r w:rsidR="003546A7">
              <w:rPr>
                <w:noProof/>
                <w:webHidden/>
              </w:rPr>
              <w:t>9</w:t>
            </w:r>
            <w:r w:rsidR="00FF1BC9">
              <w:rPr>
                <w:noProof/>
                <w:webHidden/>
              </w:rPr>
              <w:fldChar w:fldCharType="end"/>
            </w:r>
          </w:hyperlink>
        </w:p>
        <w:p w14:paraId="7F9E7B17" w14:textId="49ED4F3C" w:rsidR="00FF1BC9" w:rsidRDefault="00DC5EB0">
          <w:pPr>
            <w:pStyle w:val="TOC1"/>
            <w:tabs>
              <w:tab w:val="left" w:pos="660"/>
              <w:tab w:val="right" w:leader="dot" w:pos="10070"/>
            </w:tabs>
            <w:rPr>
              <w:rFonts w:asciiTheme="minorHAnsi" w:eastAsiaTheme="minorEastAsia" w:hAnsiTheme="minorHAnsi"/>
              <w:noProof/>
              <w:sz w:val="22"/>
            </w:rPr>
          </w:pPr>
          <w:hyperlink w:anchor="_Toc534720628" w:history="1">
            <w:r w:rsidR="00FF1BC9" w:rsidRPr="00D97246">
              <w:rPr>
                <w:rStyle w:val="Hyperlink"/>
                <w:noProof/>
              </w:rPr>
              <w:t>16.</w:t>
            </w:r>
            <w:r w:rsidR="00FF1BC9">
              <w:rPr>
                <w:rFonts w:asciiTheme="minorHAnsi" w:eastAsiaTheme="minorEastAsia" w:hAnsiTheme="minorHAnsi"/>
                <w:noProof/>
                <w:sz w:val="22"/>
              </w:rPr>
              <w:tab/>
            </w:r>
            <w:r w:rsidR="00FF1BC9" w:rsidRPr="00D97246">
              <w:rPr>
                <w:rStyle w:val="Hyperlink"/>
                <w:noProof/>
              </w:rPr>
              <w:t>Plans for Tabulation and Publication and Project Time Schedule</w:t>
            </w:r>
            <w:r w:rsidR="00FF1BC9">
              <w:rPr>
                <w:noProof/>
                <w:webHidden/>
              </w:rPr>
              <w:tab/>
            </w:r>
            <w:r w:rsidR="00FF1BC9">
              <w:rPr>
                <w:noProof/>
                <w:webHidden/>
              </w:rPr>
              <w:fldChar w:fldCharType="begin"/>
            </w:r>
            <w:r w:rsidR="00FF1BC9">
              <w:rPr>
                <w:noProof/>
                <w:webHidden/>
              </w:rPr>
              <w:instrText xml:space="preserve"> PAGEREF _Toc534720628 \h </w:instrText>
            </w:r>
            <w:r w:rsidR="00FF1BC9">
              <w:rPr>
                <w:noProof/>
                <w:webHidden/>
              </w:rPr>
            </w:r>
            <w:r w:rsidR="00FF1BC9">
              <w:rPr>
                <w:noProof/>
                <w:webHidden/>
              </w:rPr>
              <w:fldChar w:fldCharType="separate"/>
            </w:r>
            <w:r w:rsidR="003546A7">
              <w:rPr>
                <w:noProof/>
                <w:webHidden/>
              </w:rPr>
              <w:t>9</w:t>
            </w:r>
            <w:r w:rsidR="00FF1BC9">
              <w:rPr>
                <w:noProof/>
                <w:webHidden/>
              </w:rPr>
              <w:fldChar w:fldCharType="end"/>
            </w:r>
          </w:hyperlink>
        </w:p>
        <w:p w14:paraId="7DE50ED2" w14:textId="5F5C841E" w:rsidR="00FF1BC9" w:rsidRDefault="00DC5EB0">
          <w:pPr>
            <w:pStyle w:val="TOC1"/>
            <w:tabs>
              <w:tab w:val="left" w:pos="660"/>
              <w:tab w:val="right" w:leader="dot" w:pos="10070"/>
            </w:tabs>
            <w:rPr>
              <w:rFonts w:asciiTheme="minorHAnsi" w:eastAsiaTheme="minorEastAsia" w:hAnsiTheme="minorHAnsi"/>
              <w:noProof/>
              <w:sz w:val="22"/>
            </w:rPr>
          </w:pPr>
          <w:hyperlink w:anchor="_Toc534720629" w:history="1">
            <w:r w:rsidR="00FF1BC9" w:rsidRPr="00D97246">
              <w:rPr>
                <w:rStyle w:val="Hyperlink"/>
                <w:noProof/>
              </w:rPr>
              <w:t>17.</w:t>
            </w:r>
            <w:r w:rsidR="00FF1BC9">
              <w:rPr>
                <w:rFonts w:asciiTheme="minorHAnsi" w:eastAsiaTheme="minorEastAsia" w:hAnsiTheme="minorHAnsi"/>
                <w:noProof/>
                <w:sz w:val="22"/>
              </w:rPr>
              <w:tab/>
            </w:r>
            <w:r w:rsidR="00FF1BC9" w:rsidRPr="00D97246">
              <w:rPr>
                <w:rStyle w:val="Hyperlink"/>
                <w:noProof/>
              </w:rPr>
              <w:t>Reason(s) Display of OMB Expiration Date is Inappropriate</w:t>
            </w:r>
            <w:r w:rsidR="00FF1BC9">
              <w:rPr>
                <w:noProof/>
                <w:webHidden/>
              </w:rPr>
              <w:tab/>
            </w:r>
            <w:r w:rsidR="00FF1BC9">
              <w:rPr>
                <w:noProof/>
                <w:webHidden/>
              </w:rPr>
              <w:fldChar w:fldCharType="begin"/>
            </w:r>
            <w:r w:rsidR="00FF1BC9">
              <w:rPr>
                <w:noProof/>
                <w:webHidden/>
              </w:rPr>
              <w:instrText xml:space="preserve"> PAGEREF _Toc534720629 \h </w:instrText>
            </w:r>
            <w:r w:rsidR="00FF1BC9">
              <w:rPr>
                <w:noProof/>
                <w:webHidden/>
              </w:rPr>
            </w:r>
            <w:r w:rsidR="00FF1BC9">
              <w:rPr>
                <w:noProof/>
                <w:webHidden/>
              </w:rPr>
              <w:fldChar w:fldCharType="separate"/>
            </w:r>
            <w:r w:rsidR="003546A7">
              <w:rPr>
                <w:noProof/>
                <w:webHidden/>
              </w:rPr>
              <w:t>9</w:t>
            </w:r>
            <w:r w:rsidR="00FF1BC9">
              <w:rPr>
                <w:noProof/>
                <w:webHidden/>
              </w:rPr>
              <w:fldChar w:fldCharType="end"/>
            </w:r>
          </w:hyperlink>
        </w:p>
        <w:p w14:paraId="57769D07" w14:textId="307D73B7" w:rsidR="00FF1BC9" w:rsidRDefault="00DC5EB0">
          <w:pPr>
            <w:pStyle w:val="TOC1"/>
            <w:tabs>
              <w:tab w:val="left" w:pos="660"/>
              <w:tab w:val="right" w:leader="dot" w:pos="10070"/>
            </w:tabs>
            <w:rPr>
              <w:rFonts w:asciiTheme="minorHAnsi" w:eastAsiaTheme="minorEastAsia" w:hAnsiTheme="minorHAnsi"/>
              <w:noProof/>
              <w:sz w:val="22"/>
            </w:rPr>
          </w:pPr>
          <w:hyperlink w:anchor="_Toc534720630" w:history="1">
            <w:r w:rsidR="00FF1BC9" w:rsidRPr="00D97246">
              <w:rPr>
                <w:rStyle w:val="Hyperlink"/>
                <w:noProof/>
              </w:rPr>
              <w:t>18.</w:t>
            </w:r>
            <w:r w:rsidR="00FF1BC9">
              <w:rPr>
                <w:rFonts w:asciiTheme="minorHAnsi" w:eastAsiaTheme="minorEastAsia" w:hAnsiTheme="minorHAnsi"/>
                <w:noProof/>
                <w:sz w:val="22"/>
              </w:rPr>
              <w:tab/>
            </w:r>
            <w:r w:rsidR="00FF1BC9" w:rsidRPr="00D97246">
              <w:rPr>
                <w:rStyle w:val="Hyperlink"/>
                <w:noProof/>
              </w:rPr>
              <w:t>Exceptions to Certification for Paperwork Reduction Act Submissions</w:t>
            </w:r>
            <w:r w:rsidR="00FF1BC9">
              <w:rPr>
                <w:noProof/>
                <w:webHidden/>
              </w:rPr>
              <w:tab/>
            </w:r>
            <w:r w:rsidR="00FF1BC9">
              <w:rPr>
                <w:noProof/>
                <w:webHidden/>
              </w:rPr>
              <w:fldChar w:fldCharType="begin"/>
            </w:r>
            <w:r w:rsidR="00FF1BC9">
              <w:rPr>
                <w:noProof/>
                <w:webHidden/>
              </w:rPr>
              <w:instrText xml:space="preserve"> PAGEREF _Toc534720630 \h </w:instrText>
            </w:r>
            <w:r w:rsidR="00FF1BC9">
              <w:rPr>
                <w:noProof/>
                <w:webHidden/>
              </w:rPr>
            </w:r>
            <w:r w:rsidR="00FF1BC9">
              <w:rPr>
                <w:noProof/>
                <w:webHidden/>
              </w:rPr>
              <w:fldChar w:fldCharType="separate"/>
            </w:r>
            <w:r w:rsidR="003546A7">
              <w:rPr>
                <w:noProof/>
                <w:webHidden/>
              </w:rPr>
              <w:t>9</w:t>
            </w:r>
            <w:r w:rsidR="00FF1BC9">
              <w:rPr>
                <w:noProof/>
                <w:webHidden/>
              </w:rPr>
              <w:fldChar w:fldCharType="end"/>
            </w:r>
          </w:hyperlink>
        </w:p>
        <w:p w14:paraId="7C72F06D" w14:textId="701D591D" w:rsidR="00FF1BC9" w:rsidRDefault="00DC5EB0">
          <w:pPr>
            <w:pStyle w:val="TOC1"/>
            <w:tabs>
              <w:tab w:val="right" w:leader="dot" w:pos="10070"/>
            </w:tabs>
            <w:rPr>
              <w:rFonts w:asciiTheme="minorHAnsi" w:eastAsiaTheme="minorEastAsia" w:hAnsiTheme="minorHAnsi"/>
              <w:noProof/>
              <w:sz w:val="22"/>
            </w:rPr>
          </w:pPr>
          <w:hyperlink w:anchor="_Toc534720631" w:history="1">
            <w:r w:rsidR="00FF1BC9" w:rsidRPr="00D97246">
              <w:rPr>
                <w:rStyle w:val="Hyperlink"/>
                <w:noProof/>
              </w:rPr>
              <w:t>Attachments</w:t>
            </w:r>
            <w:r w:rsidR="00FF1BC9">
              <w:rPr>
                <w:noProof/>
                <w:webHidden/>
              </w:rPr>
              <w:tab/>
            </w:r>
            <w:r w:rsidR="00FF1BC9">
              <w:rPr>
                <w:noProof/>
                <w:webHidden/>
              </w:rPr>
              <w:fldChar w:fldCharType="begin"/>
            </w:r>
            <w:r w:rsidR="00FF1BC9">
              <w:rPr>
                <w:noProof/>
                <w:webHidden/>
              </w:rPr>
              <w:instrText xml:space="preserve"> PAGEREF _Toc534720631 \h </w:instrText>
            </w:r>
            <w:r w:rsidR="00FF1BC9">
              <w:rPr>
                <w:noProof/>
                <w:webHidden/>
              </w:rPr>
            </w:r>
            <w:r w:rsidR="00FF1BC9">
              <w:rPr>
                <w:noProof/>
                <w:webHidden/>
              </w:rPr>
              <w:fldChar w:fldCharType="separate"/>
            </w:r>
            <w:r w:rsidR="003546A7">
              <w:rPr>
                <w:noProof/>
                <w:webHidden/>
              </w:rPr>
              <w:t>10</w:t>
            </w:r>
            <w:r w:rsidR="00FF1BC9">
              <w:rPr>
                <w:noProof/>
                <w:webHidden/>
              </w:rPr>
              <w:fldChar w:fldCharType="end"/>
            </w:r>
          </w:hyperlink>
        </w:p>
        <w:p w14:paraId="55FE17B0" w14:textId="11541CCD" w:rsidR="004A13E8" w:rsidRDefault="004A13E8">
          <w:r>
            <w:rPr>
              <w:b/>
              <w:bCs/>
              <w:noProof/>
            </w:rPr>
            <w:fldChar w:fldCharType="end"/>
          </w:r>
        </w:p>
      </w:sdtContent>
    </w:sdt>
    <w:p w14:paraId="55FE17B1" w14:textId="77777777" w:rsidR="004A13E8" w:rsidRDefault="004A13E8">
      <w:r>
        <w:br w:type="page"/>
      </w:r>
    </w:p>
    <w:p w14:paraId="55FE17B2" w14:textId="50F69BDF" w:rsidR="004A13E8" w:rsidRDefault="00F548DB" w:rsidP="004A13E8">
      <w:pPr>
        <w:pStyle w:val="Subtitle"/>
      </w:pPr>
      <w:r w:rsidRPr="006E7652">
        <w:rPr>
          <w:b/>
          <w:noProof/>
        </w:rPr>
        <w:lastRenderedPageBreak/>
        <mc:AlternateContent>
          <mc:Choice Requires="wps">
            <w:drawing>
              <wp:anchor distT="0" distB="0" distL="114300" distR="114300" simplePos="0" relativeHeight="251658240" behindDoc="1" locked="0" layoutInCell="1" allowOverlap="1" wp14:anchorId="55FE182F" wp14:editId="71CE5FA5">
                <wp:simplePos x="0" y="0"/>
                <wp:positionH relativeFrom="margin">
                  <wp:align>left</wp:align>
                </wp:positionH>
                <wp:positionV relativeFrom="margin">
                  <wp:align>top</wp:align>
                </wp:positionV>
                <wp:extent cx="6477000" cy="2423795"/>
                <wp:effectExtent l="0" t="0" r="19050" b="14605"/>
                <wp:wrapTight wrapText="bothSides">
                  <wp:wrapPolygon edited="0">
                    <wp:start x="0" y="0"/>
                    <wp:lineTo x="0" y="21560"/>
                    <wp:lineTo x="21600" y="2156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423795"/>
                        </a:xfrm>
                        <a:prstGeom prst="rect">
                          <a:avLst/>
                        </a:prstGeom>
                        <a:solidFill>
                          <a:srgbClr val="FFFFFF"/>
                        </a:solidFill>
                        <a:ln w="9525">
                          <a:solidFill>
                            <a:srgbClr val="000000"/>
                          </a:solidFill>
                          <a:miter lim="800000"/>
                          <a:headEnd/>
                          <a:tailEnd/>
                        </a:ln>
                      </wps:spPr>
                      <wps:txbx>
                        <w:txbxContent>
                          <w:p w14:paraId="55FE1837" w14:textId="5C467DD2" w:rsidR="005046E5" w:rsidRPr="001A58BE" w:rsidRDefault="005046E5" w:rsidP="004A13E8">
                            <w:pPr>
                              <w:pStyle w:val="Bullets"/>
                              <w:rPr>
                                <w:b/>
                              </w:rPr>
                            </w:pPr>
                            <w:r>
                              <w:rPr>
                                <w:b/>
                              </w:rPr>
                              <w:t>Goal of the project</w:t>
                            </w:r>
                            <w:r w:rsidRPr="001A58BE">
                              <w:rPr>
                                <w:b/>
                              </w:rPr>
                              <w:t>:</w:t>
                            </w:r>
                            <w:r>
                              <w:rPr>
                                <w:b/>
                              </w:rPr>
                              <w:t xml:space="preserve"> </w:t>
                            </w:r>
                            <w:r>
                              <w:t xml:space="preserve">The purpose of this project is to conduct a formative evaluation to understand the attitudes, behaviors, knowledge, and communication channel preferences among U.S. adults regarding foodborne illness outbreaks and to evaluate the efficacy and utility of public communications from the Outbreak Response and Prevention Branch to inform the public about foodborne illness outbreaks. </w:t>
                            </w:r>
                          </w:p>
                          <w:p w14:paraId="55FE1838" w14:textId="7954DABD" w:rsidR="005046E5" w:rsidRPr="001A58BE" w:rsidRDefault="005046E5" w:rsidP="004A13E8">
                            <w:pPr>
                              <w:pStyle w:val="Bullets"/>
                              <w:rPr>
                                <w:b/>
                              </w:rPr>
                            </w:pPr>
                            <w:r w:rsidRPr="001A58BE">
                              <w:rPr>
                                <w:b/>
                              </w:rPr>
                              <w:t>Intended use of the resulting data:</w:t>
                            </w:r>
                            <w:r>
                              <w:rPr>
                                <w:b/>
                              </w:rPr>
                              <w:t xml:space="preserve"> </w:t>
                            </w:r>
                            <w:r>
                              <w:t>To improve the design and delivery of public communication efforts regarding foodborne illness outbreaks in the United States.</w:t>
                            </w:r>
                          </w:p>
                          <w:p w14:paraId="55FE1839" w14:textId="26D76786" w:rsidR="005046E5" w:rsidRPr="001A58BE" w:rsidRDefault="005046E5" w:rsidP="004A13E8">
                            <w:pPr>
                              <w:pStyle w:val="Bullets"/>
                              <w:rPr>
                                <w:b/>
                              </w:rPr>
                            </w:pPr>
                            <w:r w:rsidRPr="001A58BE">
                              <w:rPr>
                                <w:b/>
                              </w:rPr>
                              <w:t>Methods to be used to collect:</w:t>
                            </w:r>
                            <w:r>
                              <w:rPr>
                                <w:b/>
                              </w:rPr>
                              <w:t xml:space="preserve"> </w:t>
                            </w:r>
                            <w:r>
                              <w:t xml:space="preserve">Focus groups and hybrid groups involving cognitive interviewing and focus groups. </w:t>
                            </w:r>
                          </w:p>
                          <w:p w14:paraId="55FE183A" w14:textId="3C8A5A5B" w:rsidR="005046E5" w:rsidRPr="001A58BE" w:rsidRDefault="005046E5" w:rsidP="004A13E8">
                            <w:pPr>
                              <w:pStyle w:val="Bullets"/>
                              <w:rPr>
                                <w:b/>
                              </w:rPr>
                            </w:pPr>
                            <w:r w:rsidRPr="001A58BE">
                              <w:rPr>
                                <w:b/>
                              </w:rPr>
                              <w:t>The subpopulation to be studied:</w:t>
                            </w:r>
                            <w:r>
                              <w:rPr>
                                <w:b/>
                              </w:rPr>
                              <w:t xml:space="preserve"> </w:t>
                            </w:r>
                            <w:r w:rsidR="00FC5AA5">
                              <w:t>General population</w:t>
                            </w:r>
                            <w:r>
                              <w:t xml:space="preserve"> </w:t>
                            </w:r>
                          </w:p>
                          <w:p w14:paraId="55FE183C" w14:textId="6E874C4C" w:rsidR="005046E5" w:rsidRPr="001A58BE" w:rsidRDefault="005046E5" w:rsidP="004A13E8">
                            <w:pPr>
                              <w:pStyle w:val="Bullets"/>
                              <w:rPr>
                                <w:b/>
                              </w:rPr>
                            </w:pPr>
                            <w:r w:rsidRPr="001A58BE">
                              <w:rPr>
                                <w:b/>
                              </w:rPr>
                              <w:t>How data will be analyzed:</w:t>
                            </w:r>
                            <w:r>
                              <w:rPr>
                                <w:b/>
                              </w:rPr>
                              <w:t xml:space="preserve"> </w:t>
                            </w:r>
                            <w:r>
                              <w:t>Thematic or grounded theory analysis of qualitative data</w:t>
                            </w:r>
                          </w:p>
                          <w:p w14:paraId="55FE183D" w14:textId="77777777" w:rsidR="005046E5" w:rsidRDefault="005046E5" w:rsidP="004A13E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10pt;height:190.85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">
                <v:textbox>
                  <w:txbxContent>
                    <w:p w14:paraId="55FE1837" w14:textId="5C467DD2" w:rsidR="005046E5" w:rsidRPr="001A58BE" w:rsidRDefault="005046E5" w:rsidP="004A13E8">
                      <w:pPr>
                        <w:pStyle w:val="Bullets"/>
                        <w:rPr>
                          <w:b/>
                        </w:rPr>
                      </w:pPr>
                      <w:r>
                        <w:rPr>
                          <w:b/>
                        </w:rPr>
                        <w:t>Goal of the project</w:t>
                      </w:r>
                      <w:r w:rsidRPr="001A58BE">
                        <w:rPr>
                          <w:b/>
                        </w:rPr>
                        <w:t>:</w:t>
                      </w:r>
                      <w:r>
                        <w:rPr>
                          <w:b/>
                        </w:rPr>
                        <w:t xml:space="preserve"> </w:t>
                      </w:r>
                      <w:r>
                        <w:t xml:space="preserve">The purpose of this project is to conduct a formative evaluation to understand the attitudes, behaviors, knowledge, and communication channel preferences among U.S. adults regarding foodborne illness outbreaks and to evaluate the efficacy and utility of public communications from the Outbreak Response and Prevention Branch to inform the public about foodborne illness outbreaks. </w:t>
                      </w:r>
                    </w:p>
                    <w:p w14:paraId="55FE1838" w14:textId="7954DABD" w:rsidR="005046E5" w:rsidRPr="001A58BE" w:rsidRDefault="005046E5" w:rsidP="004A13E8">
                      <w:pPr>
                        <w:pStyle w:val="Bullets"/>
                        <w:rPr>
                          <w:b/>
                        </w:rPr>
                      </w:pPr>
                      <w:r w:rsidRPr="001A58BE">
                        <w:rPr>
                          <w:b/>
                        </w:rPr>
                        <w:t>Intended use of the resulting data:</w:t>
                      </w:r>
                      <w:r>
                        <w:rPr>
                          <w:b/>
                        </w:rPr>
                        <w:t xml:space="preserve"> </w:t>
                      </w:r>
                      <w:r>
                        <w:t>To improve the design and delivery of public communication efforts regarding foodborne illness outbreaks in the United States.</w:t>
                      </w:r>
                    </w:p>
                    <w:p w14:paraId="55FE1839" w14:textId="26D76786" w:rsidR="005046E5" w:rsidRPr="001A58BE" w:rsidRDefault="005046E5" w:rsidP="004A13E8">
                      <w:pPr>
                        <w:pStyle w:val="Bullets"/>
                        <w:rPr>
                          <w:b/>
                        </w:rPr>
                      </w:pPr>
                      <w:r w:rsidRPr="001A58BE">
                        <w:rPr>
                          <w:b/>
                        </w:rPr>
                        <w:t>Methods to be used to collect:</w:t>
                      </w:r>
                      <w:r>
                        <w:rPr>
                          <w:b/>
                        </w:rPr>
                        <w:t xml:space="preserve"> </w:t>
                      </w:r>
                      <w:r>
                        <w:t xml:space="preserve">Focus groups and hybrid groups involving cognitive interviewing and focus groups. </w:t>
                      </w:r>
                    </w:p>
                    <w:p w14:paraId="55FE183A" w14:textId="3C8A5A5B" w:rsidR="005046E5" w:rsidRPr="001A58BE" w:rsidRDefault="005046E5" w:rsidP="004A13E8">
                      <w:pPr>
                        <w:pStyle w:val="Bullets"/>
                        <w:rPr>
                          <w:b/>
                        </w:rPr>
                      </w:pPr>
                      <w:r w:rsidRPr="001A58BE">
                        <w:rPr>
                          <w:b/>
                        </w:rPr>
                        <w:t>The subpopulation to be studied:</w:t>
                      </w:r>
                      <w:r>
                        <w:rPr>
                          <w:b/>
                        </w:rPr>
                        <w:t xml:space="preserve"> </w:t>
                      </w:r>
                      <w:r w:rsidR="00FC5AA5">
                        <w:t>General population</w:t>
                      </w:r>
                      <w:r>
                        <w:t xml:space="preserve"> </w:t>
                      </w:r>
                    </w:p>
                    <w:p w14:paraId="55FE183C" w14:textId="6E874C4C" w:rsidR="005046E5" w:rsidRPr="001A58BE" w:rsidRDefault="005046E5" w:rsidP="004A13E8">
                      <w:pPr>
                        <w:pStyle w:val="Bullets"/>
                        <w:rPr>
                          <w:b/>
                        </w:rPr>
                      </w:pPr>
                      <w:r w:rsidRPr="001A58BE">
                        <w:rPr>
                          <w:b/>
                        </w:rPr>
                        <w:t>How data will be analyzed:</w:t>
                      </w:r>
                      <w:r>
                        <w:rPr>
                          <w:b/>
                        </w:rPr>
                        <w:t xml:space="preserve"> </w:t>
                      </w:r>
                      <w:r>
                        <w:t>Thematic or grounded theory analysis of qualitative data</w:t>
                      </w:r>
                    </w:p>
                    <w:p w14:paraId="55FE183D" w14:textId="77777777" w:rsidR="005046E5" w:rsidRDefault="005046E5" w:rsidP="004A13E8"/>
                  </w:txbxContent>
                </v:textbox>
                <w10:wrap type="tight" anchorx="margin" anchory="margin"/>
              </v:shape>
            </w:pict>
          </mc:Fallback>
        </mc:AlternateContent>
      </w:r>
    </w:p>
    <w:p w14:paraId="55FE17B3" w14:textId="77777777" w:rsidR="004A13E8" w:rsidRDefault="004A13E8" w:rsidP="004A13E8">
      <w:pPr>
        <w:pStyle w:val="Heading1"/>
      </w:pPr>
      <w:bookmarkStart w:id="2" w:name="_Toc534720612"/>
      <w:r w:rsidRPr="004A13E8">
        <w:t>Circumstances Making the Collection of Information Necessary</w:t>
      </w:r>
      <w:bookmarkEnd w:id="2"/>
    </w:p>
    <w:p w14:paraId="72E55DB5" w14:textId="6897EB7E" w:rsidR="00E21144" w:rsidRDefault="003D7222" w:rsidP="00FF1BC9">
      <w:r>
        <w:t>The Centers for Disease Control and Prevention (</w:t>
      </w:r>
      <w:r w:rsidR="00E21144">
        <w:t>CDC</w:t>
      </w:r>
      <w:r w:rsidRPr="7E675E0B">
        <w:t>)</w:t>
      </w:r>
      <w:r w:rsidR="00E21144">
        <w:t xml:space="preserve"> requests approval for a new Gen-IC </w:t>
      </w:r>
      <w:r w:rsidR="003E7DB8">
        <w:t>titled “</w:t>
      </w:r>
      <w:r w:rsidR="003E7DB8" w:rsidRPr="008E2623">
        <w:t>Focus Group Study of U.S. Adults’ Knowledge, Attitudes, and Practices of Foodborne Disease Outbreaks and Illness Prevention</w:t>
      </w:r>
      <w:r w:rsidR="003E7DB8" w:rsidRPr="7E675E0B">
        <w:t xml:space="preserve">” </w:t>
      </w:r>
      <w:r w:rsidR="00E21144">
        <w:t>under OMB Control No. 0920-1154.</w:t>
      </w:r>
      <w:r w:rsidR="005046E5">
        <w:t xml:space="preserve"> </w:t>
      </w:r>
      <w:r w:rsidR="00E21144">
        <w:t xml:space="preserve">Information collection activities are limited to formative work that will result in the development of </w:t>
      </w:r>
      <w:r w:rsidR="008E2623">
        <w:t xml:space="preserve">improved communication materials and efforts to inform the public about emerging foodborne illness outbreaks and recalls. </w:t>
      </w:r>
      <w:r w:rsidR="008E2623" w:rsidRPr="7E675E0B">
        <w:t xml:space="preserve"> </w:t>
      </w:r>
    </w:p>
    <w:p w14:paraId="1146498D" w14:textId="3F2F8C5C" w:rsidR="00DE1381" w:rsidRDefault="00DE1381" w:rsidP="00FF1BC9">
      <w:pPr>
        <w:spacing w:before="240"/>
        <w:rPr>
          <w:rFonts w:cs="Times New Roman"/>
          <w:lang w:eastAsia="x-none"/>
        </w:rPr>
      </w:pPr>
      <w:r w:rsidRPr="00624C9F">
        <w:rPr>
          <w:rFonts w:cs="Times New Roman"/>
          <w:lang w:eastAsia="x-none"/>
        </w:rPr>
        <w:t>Each year, fourteen foodborne pathogens cost the American public 61,000 quality-adjusted life years and $14 billion dollars in economic loss (Hoffmann, Batz, and Morris, 2012). Once a foodborne outbreak of enteric bacteria has</w:t>
      </w:r>
      <w:r w:rsidRPr="0023698F">
        <w:rPr>
          <w:rFonts w:cs="Times New Roman"/>
          <w:lang w:eastAsia="x-none"/>
        </w:rPr>
        <w:t xml:space="preserve"> occurred, consumers need the ability to find and understand reliable information to avoid joining one of the 48 million Americans that become sick from a foodborne illness each year (CDC, 2018).</w:t>
      </w:r>
    </w:p>
    <w:p w14:paraId="6111AA0A" w14:textId="77777777" w:rsidR="007301E3" w:rsidRPr="00180FCD" w:rsidRDefault="007301E3" w:rsidP="0015606E">
      <w:pPr>
        <w:pStyle w:val="Header"/>
        <w:spacing w:line="276" w:lineRule="auto"/>
        <w:rPr>
          <w:rFonts w:cs="Times New Roman"/>
        </w:rPr>
      </w:pPr>
      <w:r w:rsidRPr="00180FCD">
        <w:rPr>
          <w:rFonts w:cs="Times New Roman"/>
        </w:rPr>
        <w:t>The Outbreak Response and Prevention Branch (ORPB) reduces additional incidences of foodborne illnesses by educating the public via web announcements with current and accurate information on the outbreak so that consumers, retailers, media, and medical professionals can act accordingly. Though the webpage metrics indicate high viewership of these messages since their inception in 2006, the format and content of these webpages has not undergone rigorous message testing to determine the level of understanding and behavioral responses from the general public.</w:t>
      </w:r>
    </w:p>
    <w:p w14:paraId="55FE17B5" w14:textId="0EC12798" w:rsidR="007F46E9" w:rsidRDefault="009D706E" w:rsidP="0015606E">
      <w:pPr>
        <w:spacing w:before="240"/>
      </w:pPr>
      <w:r>
        <w:rPr>
          <w:rFonts w:cs="Times New Roman"/>
          <w:lang w:eastAsia="x-none"/>
        </w:rPr>
        <w:t xml:space="preserve">A contractor, </w:t>
      </w:r>
      <w:r w:rsidR="00DE1381" w:rsidRPr="0023698F">
        <w:rPr>
          <w:rFonts w:cs="Times New Roman"/>
          <w:lang w:eastAsia="x-none"/>
        </w:rPr>
        <w:t>EurekaFacts</w:t>
      </w:r>
      <w:r>
        <w:rPr>
          <w:rFonts w:cs="Times New Roman"/>
          <w:lang w:eastAsia="x-none"/>
        </w:rPr>
        <w:t>,</w:t>
      </w:r>
      <w:r w:rsidR="00DE1381" w:rsidRPr="0023698F">
        <w:rPr>
          <w:rFonts w:cs="Times New Roman"/>
          <w:lang w:eastAsia="x-none"/>
        </w:rPr>
        <w:t xml:space="preserve"> </w:t>
      </w:r>
      <w:r w:rsidR="00DE1381">
        <w:rPr>
          <w:rFonts w:cs="Times New Roman"/>
          <w:lang w:eastAsia="x-none"/>
        </w:rPr>
        <w:t xml:space="preserve">will employ </w:t>
      </w:r>
      <w:r w:rsidR="00DE1381" w:rsidRPr="0023698F">
        <w:rPr>
          <w:rFonts w:cs="Times New Roman"/>
          <w:lang w:eastAsia="x-none"/>
        </w:rPr>
        <w:t xml:space="preserve">a </w:t>
      </w:r>
      <w:r w:rsidR="00DE1381">
        <w:rPr>
          <w:rFonts w:cs="Times New Roman"/>
          <w:lang w:eastAsia="x-none"/>
        </w:rPr>
        <w:t>mixed-mode approach that combines</w:t>
      </w:r>
      <w:r w:rsidR="00DE1381" w:rsidRPr="0023698F">
        <w:rPr>
          <w:rFonts w:cs="Times New Roman"/>
          <w:lang w:eastAsia="x-none"/>
        </w:rPr>
        <w:t xml:space="preserve"> one-on-one cognitive interviewing with focus groups to </w:t>
      </w:r>
      <w:r w:rsidR="00DE1381">
        <w:rPr>
          <w:rFonts w:cs="Times New Roman"/>
          <w:lang w:eastAsia="x-none"/>
        </w:rPr>
        <w:t>derive qualitative data at the individual and group level</w:t>
      </w:r>
      <w:r w:rsidR="00DE1381" w:rsidRPr="0023698F">
        <w:rPr>
          <w:rFonts w:cs="Times New Roman"/>
          <w:lang w:eastAsia="x-none"/>
        </w:rPr>
        <w:t xml:space="preserve"> </w:t>
      </w:r>
      <w:r w:rsidR="00DE1381">
        <w:rPr>
          <w:rFonts w:cs="Times New Roman"/>
          <w:lang w:eastAsia="x-none"/>
        </w:rPr>
        <w:t xml:space="preserve">that will help </w:t>
      </w:r>
      <w:r w:rsidR="00DE1381" w:rsidRPr="0023698F">
        <w:rPr>
          <w:rFonts w:cs="Times New Roman"/>
          <w:lang w:eastAsia="x-none"/>
        </w:rPr>
        <w:t>direct ORPB’s communication efforts.</w:t>
      </w:r>
    </w:p>
    <w:p w14:paraId="55FE17B7" w14:textId="54AEB071" w:rsidR="004A13E8" w:rsidRDefault="004A13E8" w:rsidP="004A13E8">
      <w:pPr>
        <w:pStyle w:val="Heading1"/>
      </w:pPr>
      <w:bookmarkStart w:id="3" w:name="_Toc534720613"/>
      <w:r>
        <w:t>Purpose and Use of Information Collection</w:t>
      </w:r>
      <w:bookmarkEnd w:id="3"/>
    </w:p>
    <w:p w14:paraId="12FAD1C9" w14:textId="6BC422B6" w:rsidR="0079035B" w:rsidRPr="0023698F" w:rsidRDefault="00FB6BA7" w:rsidP="0079035B">
      <w:pPr>
        <w:rPr>
          <w:rFonts w:cs="Times New Roman"/>
          <w:lang w:eastAsia="x-none"/>
        </w:rPr>
      </w:pPr>
      <w:r>
        <w:t>T</w:t>
      </w:r>
      <w:r w:rsidR="0079035B">
        <w:t xml:space="preserve">he purpose of this </w:t>
      </w:r>
      <w:r w:rsidR="00A46F9A">
        <w:t>project</w:t>
      </w:r>
      <w:r w:rsidR="00FF1BC9">
        <w:t xml:space="preserve"> </w:t>
      </w:r>
      <w:r w:rsidR="0079035B">
        <w:t xml:space="preserve">is to </w:t>
      </w:r>
      <w:r w:rsidR="003D0BE2">
        <w:t xml:space="preserve">conduct a formative evaluation to </w:t>
      </w:r>
      <w:r w:rsidR="0079035B">
        <w:t xml:space="preserve">understand the knowledge, attitudes, behaviors, perceptions, and communication </w:t>
      </w:r>
      <w:r w:rsidR="00A46F9A">
        <w:t xml:space="preserve">channel </w:t>
      </w:r>
      <w:r w:rsidR="0079035B">
        <w:t xml:space="preserve">preferences </w:t>
      </w:r>
      <w:r w:rsidR="00A46F9A">
        <w:t xml:space="preserve">among U.S. adults regarding </w:t>
      </w:r>
      <w:r w:rsidR="0079035B">
        <w:t>foodborne illness outbreaks</w:t>
      </w:r>
      <w:r w:rsidR="00A46F9A">
        <w:t xml:space="preserve"> and to evaluate the efficacy and utility of public communications from ORPB to inform the public about foodborne illness outbreaks</w:t>
      </w:r>
      <w:r w:rsidR="0079035B">
        <w:t xml:space="preserve">. </w:t>
      </w:r>
    </w:p>
    <w:p w14:paraId="6079E8B3" w14:textId="77777777" w:rsidR="005046E5" w:rsidRDefault="00467B41">
      <w:r>
        <w:t xml:space="preserve">The contractor will conduct a series of focus groups and hybrid groups, combining cognitive interviewing and focus group methods, to explore these topics with both the general public and older adults, defined as age 65 years and older. </w:t>
      </w:r>
    </w:p>
    <w:p w14:paraId="7EB6D9A5" w14:textId="070FCEC1" w:rsidR="00127FA4" w:rsidRPr="00180FCD" w:rsidRDefault="00467B41">
      <w:pPr>
        <w:rPr>
          <w:rFonts w:eastAsiaTheme="minorEastAsia" w:cs="Times New Roman"/>
        </w:rPr>
      </w:pPr>
      <w:r>
        <w:t>Data collection will include a screening process to determine participant eligibility for recruitment. The contractor will recruit from the EurekaFacts panel of previous research participants in the DC-Arlington-Alexandria, Maryland, Virginia, and West Virginia metropolitan region</w:t>
      </w:r>
      <w:r w:rsidR="00127FA4">
        <w:t>.</w:t>
      </w:r>
      <w:r>
        <w:t xml:space="preserve"> </w:t>
      </w:r>
      <w:bookmarkStart w:id="4" w:name="_Hlk529959094"/>
      <w:r w:rsidR="0079035B" w:rsidRPr="000D506A">
        <w:t xml:space="preserve">The EurekaFacts participant database includes tens of thousands of individuals in the DC Metro area. </w:t>
      </w:r>
      <w:r w:rsidR="00127FA4">
        <w:t xml:space="preserve">In addition, </w:t>
      </w:r>
      <w:r w:rsidR="00127FA4" w:rsidRPr="000D506A">
        <w:t xml:space="preserve">EurekaFacts </w:t>
      </w:r>
      <w:r w:rsidR="00127FA4">
        <w:t>will employ</w:t>
      </w:r>
      <w:r w:rsidR="00127FA4" w:rsidRPr="000D506A">
        <w:t xml:space="preserve"> a recruitment strategy that integrates multiple outreach/contact methods and resources such as Internet ads, individual emails, telephone recruiting, and on-site location-based recruiting</w:t>
      </w:r>
      <w:r w:rsidR="0041577A">
        <w:t xml:space="preserve"> (attachments B and C)</w:t>
      </w:r>
      <w:r w:rsidR="00127FA4" w:rsidRPr="000D506A">
        <w:t>. Furthermore, EurekaFacts will implement s</w:t>
      </w:r>
      <w:r w:rsidR="00127FA4" w:rsidRPr="00624C9F">
        <w:rPr>
          <w:rFonts w:cs="Times New Roman"/>
        </w:rPr>
        <w:t>nowball referrals from personal and community networks during general recruitment efforts and after completing focus groups</w:t>
      </w:r>
      <w:r w:rsidR="00127FA4" w:rsidRPr="0023698F">
        <w:rPr>
          <w:rFonts w:cs="Times New Roman"/>
        </w:rPr>
        <w:t>.</w:t>
      </w:r>
    </w:p>
    <w:p w14:paraId="30686FFA" w14:textId="40921567" w:rsidR="0079035B" w:rsidRPr="00180FCD" w:rsidRDefault="004B2A04">
      <w:pPr>
        <w:rPr>
          <w:rFonts w:eastAsiaTheme="minorEastAsia" w:cs="Times New Roman"/>
        </w:rPr>
      </w:pPr>
      <w:r w:rsidRPr="19ADD18D">
        <w:rPr>
          <w:rFonts w:eastAsiaTheme="minorEastAsia" w:cs="Times New Roman"/>
        </w:rPr>
        <w:t xml:space="preserve">The evaluation results will be used to develop and redesign ORPB communication materials and to inform the </w:t>
      </w:r>
      <w:r w:rsidR="00BF0815" w:rsidRPr="19ADD18D">
        <w:rPr>
          <w:rFonts w:eastAsiaTheme="minorEastAsia" w:cs="Times New Roman"/>
        </w:rPr>
        <w:t xml:space="preserve">U.S. </w:t>
      </w:r>
      <w:r w:rsidRPr="19ADD18D">
        <w:rPr>
          <w:rFonts w:eastAsiaTheme="minorEastAsia" w:cs="Times New Roman"/>
        </w:rPr>
        <w:t>public about foodborne illness outbreaks.</w:t>
      </w:r>
    </w:p>
    <w:p w14:paraId="55FE17B9" w14:textId="77777777" w:rsidR="004A13E8" w:rsidRDefault="004A13E8" w:rsidP="004A13E8">
      <w:pPr>
        <w:pStyle w:val="Heading1"/>
      </w:pPr>
      <w:bookmarkStart w:id="5" w:name="_Toc534720614"/>
      <w:bookmarkEnd w:id="4"/>
      <w:r>
        <w:t>Use of Improved Information Technology and Burden Reduction</w:t>
      </w:r>
      <w:bookmarkEnd w:id="5"/>
    </w:p>
    <w:p w14:paraId="1F4CA2FB" w14:textId="15CC8566" w:rsidR="0041577A" w:rsidRDefault="00697CD0" w:rsidP="008D5AEA">
      <w:r w:rsidRPr="000D506A">
        <w:t xml:space="preserve">Respondents will be screened using the pre-approved screener script to be programmed into </w:t>
      </w:r>
      <w:r>
        <w:t>a computer-assisted telephone interview (</w:t>
      </w:r>
      <w:r w:rsidRPr="000D506A">
        <w:t>CATI</w:t>
      </w:r>
      <w:r>
        <w:t>) system</w:t>
      </w:r>
      <w:r w:rsidRPr="000D506A">
        <w:t xml:space="preserve"> to ensure that the screening procedure is uniformly conducted, instantly quantifiable, and may be checked and monitored throughout the recruitment effort</w:t>
      </w:r>
      <w:r w:rsidR="0041577A">
        <w:t xml:space="preserve"> (attachments B and C)</w:t>
      </w:r>
      <w:r w:rsidRPr="000D506A">
        <w:t xml:space="preserve">. </w:t>
      </w:r>
    </w:p>
    <w:p w14:paraId="65C5ABA0" w14:textId="546E1C9D" w:rsidR="005120A8" w:rsidRDefault="00697CD0" w:rsidP="008D5AEA">
      <w:r w:rsidRPr="000D506A">
        <w:t xml:space="preserve">If the respondents meet the recruitment criteria, potential participants will be provided with </w:t>
      </w:r>
      <w:r w:rsidR="00645177">
        <w:t xml:space="preserve">the project </w:t>
      </w:r>
      <w:r w:rsidRPr="000D506A">
        <w:t xml:space="preserve"> description. </w:t>
      </w:r>
      <w:r w:rsidR="00645177">
        <w:t>The</w:t>
      </w:r>
      <w:r w:rsidRPr="000D506A">
        <w:t xml:space="preserve"> screening interviewers will inform respondents about the </w:t>
      </w:r>
      <w:r w:rsidR="00645177">
        <w:t>project</w:t>
      </w:r>
      <w:r w:rsidRPr="000D506A">
        <w:t xml:space="preserve"> objectives, purpose, and participation requirements of the data collection effort, the activities that it entails, and, if applicable, any potential risks associated </w:t>
      </w:r>
      <w:r w:rsidRPr="001913D5">
        <w:t xml:space="preserve">with participation. If respondents agree to participate in the </w:t>
      </w:r>
      <w:r w:rsidR="00645177">
        <w:t>project</w:t>
      </w:r>
      <w:r w:rsidRPr="001913D5">
        <w:t>, EurekaFacts will collect all contact information, including telephone numbers, email, and postal contact information. Following the determination of eligibility, participants will be contacted by email to schedule participation in the focus group. The initial screening is short, estimated at 3 to 5 minutes. Eligible respondents will participate with informed consent and all responses will be kept private to the extent permitted by law. The briefness</w:t>
      </w:r>
      <w:r w:rsidRPr="003C31DD">
        <w:t xml:space="preserve"> of the screening will reduce the burden to non-participants.</w:t>
      </w:r>
      <w:r w:rsidRPr="00D037E8">
        <w:t xml:space="preserve"> </w:t>
      </w:r>
      <w:r w:rsidRPr="00D4442D">
        <w:t xml:space="preserve">Where possible and upon consent from the participant, </w:t>
      </w:r>
      <w:r>
        <w:t xml:space="preserve">the contractor </w:t>
      </w:r>
      <w:r w:rsidRPr="00D4442D">
        <w:t>will audio</w:t>
      </w:r>
      <w:r>
        <w:t>-</w:t>
      </w:r>
      <w:r w:rsidRPr="00D4442D">
        <w:t xml:space="preserve">record the </w:t>
      </w:r>
      <w:r>
        <w:t xml:space="preserve">groups </w:t>
      </w:r>
      <w:r w:rsidRPr="00D4442D">
        <w:t xml:space="preserve">to capture all information and </w:t>
      </w:r>
      <w:r>
        <w:t>help prepare</w:t>
      </w:r>
      <w:r w:rsidRPr="00D4442D">
        <w:t xml:space="preserve"> reports.</w:t>
      </w:r>
    </w:p>
    <w:p w14:paraId="55FE17BC" w14:textId="77777777" w:rsidR="004A13E8" w:rsidRDefault="004A13E8" w:rsidP="004A13E8">
      <w:pPr>
        <w:pStyle w:val="Heading1"/>
      </w:pPr>
      <w:bookmarkStart w:id="6" w:name="_Toc534720615"/>
      <w:r>
        <w:t>Efforts to Identify Duplication and Use of Similar Information</w:t>
      </w:r>
      <w:bookmarkEnd w:id="6"/>
    </w:p>
    <w:p w14:paraId="09FA54AE" w14:textId="05D8F983" w:rsidR="0031723C" w:rsidRDefault="00E604B2" w:rsidP="003B2FB4">
      <w:r>
        <w:t xml:space="preserve">CDC is not aware of the availability of any similar information. </w:t>
      </w:r>
      <w:r w:rsidR="0031723C">
        <w:t xml:space="preserve">The contractor </w:t>
      </w:r>
      <w:r w:rsidR="0031723C" w:rsidRPr="00D4442D">
        <w:t xml:space="preserve">searched for “gray” literature </w:t>
      </w:r>
      <w:r w:rsidR="0031723C">
        <w:t>online to identify duplication and use of similar information</w:t>
      </w:r>
      <w:r w:rsidR="0031723C" w:rsidRPr="00D4442D">
        <w:t xml:space="preserve">. </w:t>
      </w:r>
      <w:r w:rsidR="0031723C">
        <w:t xml:space="preserve">Duplication of this effort </w:t>
      </w:r>
      <w:r w:rsidR="0031723C" w:rsidRPr="00D4442D">
        <w:t>or the</w:t>
      </w:r>
      <w:r w:rsidR="0031723C">
        <w:t xml:space="preserve"> existence </w:t>
      </w:r>
      <w:r w:rsidR="0031723C" w:rsidRPr="00D4442D">
        <w:t>of similar information</w:t>
      </w:r>
      <w:r w:rsidR="0031723C">
        <w:t xml:space="preserve"> was not identified during this process</w:t>
      </w:r>
      <w:r w:rsidR="0031723C" w:rsidRPr="00D4442D">
        <w:t xml:space="preserve">. </w:t>
      </w:r>
      <w:r w:rsidR="00127FA4">
        <w:t xml:space="preserve"> </w:t>
      </w:r>
    </w:p>
    <w:p w14:paraId="55FE17BF" w14:textId="77777777" w:rsidR="00DC57CC" w:rsidRDefault="004A13E8" w:rsidP="004A13E8">
      <w:pPr>
        <w:pStyle w:val="Heading1"/>
      </w:pPr>
      <w:bookmarkStart w:id="7" w:name="_Toc534720616"/>
      <w:r>
        <w:t>Impact on Small Businesses or Other Small Entities</w:t>
      </w:r>
      <w:bookmarkEnd w:id="7"/>
    </w:p>
    <w:p w14:paraId="55FE17C2" w14:textId="6436B7C0" w:rsidR="004A13E8" w:rsidRPr="004A13E8" w:rsidRDefault="004A13E8" w:rsidP="004A13E8">
      <w:r>
        <w:t>This data collection wi</w:t>
      </w:r>
      <w:r w:rsidR="001523DF">
        <w:t>ll not involve small businesses</w:t>
      </w:r>
    </w:p>
    <w:p w14:paraId="55FE17C3" w14:textId="77777777" w:rsidR="004A13E8" w:rsidRDefault="004A13E8" w:rsidP="004A13E8">
      <w:pPr>
        <w:pStyle w:val="Heading1"/>
      </w:pPr>
      <w:bookmarkStart w:id="8" w:name="_Toc534720617"/>
      <w:r>
        <w:t>Consequences of Collecting the Information Less Frequently</w:t>
      </w:r>
      <w:bookmarkEnd w:id="8"/>
    </w:p>
    <w:p w14:paraId="450DA76B" w14:textId="321512E2" w:rsidR="00E21144" w:rsidRDefault="001523DF" w:rsidP="001523DF">
      <w:r>
        <w:t>This is a one-time information collection.</w:t>
      </w:r>
    </w:p>
    <w:p w14:paraId="55FE17C6" w14:textId="77777777" w:rsidR="004A13E8" w:rsidRDefault="004A13E8" w:rsidP="004A13E8">
      <w:pPr>
        <w:pStyle w:val="Heading1"/>
      </w:pPr>
      <w:bookmarkStart w:id="9" w:name="_Toc534720618"/>
      <w:r>
        <w:t>Special Circumstances Relating to the Guidelines of 5 CFR 1320.5</w:t>
      </w:r>
      <w:bookmarkEnd w:id="9"/>
    </w:p>
    <w:p w14:paraId="55FE17C7" w14:textId="77777777" w:rsidR="004A13E8" w:rsidRPr="001913D5" w:rsidRDefault="004A13E8" w:rsidP="004A13E8">
      <w:r>
        <w:t xml:space="preserve">This </w:t>
      </w:r>
      <w:r w:rsidRPr="001913D5">
        <w:t>request fully complies with the regulation 5 CFR 1320.5.</w:t>
      </w:r>
    </w:p>
    <w:p w14:paraId="55FE17C8" w14:textId="77777777" w:rsidR="004A13E8" w:rsidRPr="001913D5" w:rsidRDefault="004A13E8" w:rsidP="004A13E8">
      <w:pPr>
        <w:pStyle w:val="Heading1"/>
      </w:pPr>
      <w:bookmarkStart w:id="10" w:name="_Toc534720619"/>
      <w:r w:rsidRPr="001913D5">
        <w:t>Comments in Response to the Federal Register Notice and Efforts to Consult Outside the Agency</w:t>
      </w:r>
      <w:bookmarkEnd w:id="10"/>
    </w:p>
    <w:p w14:paraId="55FE17C9" w14:textId="67BE2705" w:rsidR="004A13E8" w:rsidRDefault="004A13E8" w:rsidP="004A13E8">
      <w:r w:rsidRPr="001913D5">
        <w:t xml:space="preserve">A. </w:t>
      </w:r>
      <w:r w:rsidR="00E21144" w:rsidRPr="001913D5">
        <w:t xml:space="preserve">A </w:t>
      </w:r>
      <w:r w:rsidR="00E21144" w:rsidRPr="001913D5">
        <w:rPr>
          <w:i/>
        </w:rPr>
        <w:t>Federal Register</w:t>
      </w:r>
      <w:r w:rsidR="00E21144" w:rsidRPr="00E21144">
        <w:t xml:space="preserve"> notice was published for this</w:t>
      </w:r>
      <w:r w:rsidR="00E21144">
        <w:t xml:space="preserve"> generic package</w:t>
      </w:r>
      <w:r w:rsidR="00E21144" w:rsidRPr="00E21144">
        <w:t xml:space="preserve"> on July 18, 2016, Vol. 81, No. 137, pp. 46680. No public comments were received.  </w:t>
      </w:r>
    </w:p>
    <w:p w14:paraId="55FE17CA" w14:textId="2546AE22" w:rsidR="004A13E8" w:rsidRPr="00270E51" w:rsidRDefault="004A13E8" w:rsidP="004A13E8">
      <w:r w:rsidRPr="00180FCD">
        <w:t xml:space="preserve">B. </w:t>
      </w:r>
      <w:r w:rsidR="001650DF" w:rsidRPr="00180FCD">
        <w:t xml:space="preserve">The contracting company, EurekaFacts, will be used to conduct all data collection related to the proposed evaluation. Data collection will include recruiting and screening participants into the formative  evaluation and conducting </w:t>
      </w:r>
      <w:r w:rsidR="00645177" w:rsidRPr="00180FCD">
        <w:t>four</w:t>
      </w:r>
      <w:r w:rsidR="001650DF" w:rsidRPr="00180FCD">
        <w:t xml:space="preserve"> 100-minute long in-person focus groups </w:t>
      </w:r>
      <w:r w:rsidR="00645177" w:rsidRPr="00180FCD">
        <w:t xml:space="preserve">and </w:t>
      </w:r>
      <w:r w:rsidR="00085600" w:rsidRPr="00180FCD">
        <w:t xml:space="preserve">four </w:t>
      </w:r>
      <w:r w:rsidR="00645177" w:rsidRPr="00180FCD">
        <w:t xml:space="preserve">100-minute long in-person </w:t>
      </w:r>
      <w:r w:rsidR="0017319F" w:rsidRPr="00180FCD">
        <w:t xml:space="preserve">hybrid groups </w:t>
      </w:r>
      <w:r w:rsidR="00645177" w:rsidRPr="00180FCD">
        <w:t xml:space="preserve">(combing cognitive interviews and focus groups) </w:t>
      </w:r>
      <w:r w:rsidR="001650DF" w:rsidRPr="00180FCD">
        <w:t xml:space="preserve">with adults in the United States. </w:t>
      </w:r>
    </w:p>
    <w:p w14:paraId="55FE17CB" w14:textId="77777777" w:rsidR="004A13E8" w:rsidRPr="00270E51" w:rsidRDefault="004A13E8" w:rsidP="004A13E8">
      <w:pPr>
        <w:pStyle w:val="Heading1"/>
      </w:pPr>
      <w:bookmarkStart w:id="11" w:name="_Toc534720620"/>
      <w:r w:rsidRPr="00270E51">
        <w:t>Explanation of Any Payment or Gift to Respondents</w:t>
      </w:r>
      <w:bookmarkEnd w:id="11"/>
    </w:p>
    <w:p w14:paraId="3A3FAFE6" w14:textId="2C5A360C" w:rsidR="0041577A" w:rsidRDefault="004D7CB3" w:rsidP="004A13E8">
      <w:r w:rsidRPr="00270E51">
        <w:t xml:space="preserve">Both the focus groups and hybrid groups are estimated to take </w:t>
      </w:r>
      <w:r w:rsidR="00DB530F" w:rsidRPr="00270E51">
        <w:t>10</w:t>
      </w:r>
      <w:r w:rsidRPr="00270E51">
        <w:t>0 m</w:t>
      </w:r>
      <w:r>
        <w:t>inutes. Participants will receive $75 at the end of the session</w:t>
      </w:r>
      <w:r w:rsidR="008838C0">
        <w:t xml:space="preserve"> as a </w:t>
      </w:r>
      <w:r w:rsidR="00392FCE">
        <w:t>token of appreciation for their participation</w:t>
      </w:r>
      <w:r w:rsidRPr="19ADD18D">
        <w:t xml:space="preserve">. </w:t>
      </w:r>
      <w:r w:rsidR="004A7029">
        <w:t>It is assumed that man</w:t>
      </w:r>
      <w:r w:rsidR="00ED4B7A">
        <w:t>y</w:t>
      </w:r>
      <w:r w:rsidR="004A7029">
        <w:t xml:space="preserve"> of these participant</w:t>
      </w:r>
      <w:r w:rsidR="00ED4B7A">
        <w:t>s</w:t>
      </w:r>
      <w:r w:rsidR="004A7029">
        <w:t xml:space="preserve"> will be taking time either during work hours or personal time to complete the groups, and may have children. </w:t>
      </w:r>
      <w:r w:rsidR="00DC2C94">
        <w:t xml:space="preserve">The respondents must also get to the site where the groups are taking place. </w:t>
      </w:r>
      <w:r w:rsidR="002B554A">
        <w:t xml:space="preserve">Therefore the monetary gift may serve to offset out-of-pocket expenses related to participating in the evaluation. </w:t>
      </w:r>
    </w:p>
    <w:p w14:paraId="1428B8F3" w14:textId="7AFDFEBD" w:rsidR="004D7CB3" w:rsidRPr="00270E51" w:rsidRDefault="004D7CB3" w:rsidP="004A13E8">
      <w:r w:rsidRPr="00D4442D">
        <w:t xml:space="preserve">Numerous empirical studies have shown that </w:t>
      </w:r>
      <w:r>
        <w:t>incentives</w:t>
      </w:r>
      <w:r w:rsidRPr="00D4442D">
        <w:t xml:space="preserve"> can significantly increase response rates (e.g., Abreu &amp; Winters, 1999; Shettle &amp; Mooney, 1999). The token of appreciation amounts w</w:t>
      </w:r>
      <w:r>
        <w:t>ere</w:t>
      </w:r>
      <w:r w:rsidRPr="00D4442D">
        <w:t xml:space="preserve"> determined through discussions with contract staff with expertise in conducting interviews with the study population.</w:t>
      </w:r>
      <w:r w:rsidRPr="19ADD18D">
        <w:t xml:space="preserve"> </w:t>
      </w:r>
      <w:r w:rsidRPr="00D4442D">
        <w:t>Rem</w:t>
      </w:r>
      <w:r w:rsidRPr="00270E51">
        <w:t xml:space="preserve">oving the </w:t>
      </w:r>
      <w:r w:rsidR="00CC4476">
        <w:t>token of appreciation</w:t>
      </w:r>
      <w:r w:rsidR="00CC4476" w:rsidRPr="00270E51">
        <w:t xml:space="preserve"> </w:t>
      </w:r>
      <w:r w:rsidRPr="00270E51">
        <w:t>could negatively affect recruitment, which could threaten the development of a messaging strategy resulting from this testing.</w:t>
      </w:r>
    </w:p>
    <w:p w14:paraId="55FE17CD" w14:textId="77777777" w:rsidR="004A13E8" w:rsidRPr="00270E51" w:rsidRDefault="004A13E8" w:rsidP="004A13E8">
      <w:pPr>
        <w:pStyle w:val="Heading1"/>
      </w:pPr>
      <w:bookmarkStart w:id="12" w:name="_Toc534720621"/>
      <w:bookmarkStart w:id="13" w:name="_Toc534720622"/>
      <w:bookmarkEnd w:id="12"/>
      <w:r w:rsidRPr="00270E51">
        <w:t>Protection of the Privacy and Confidentiality of Information Provided by Respondents</w:t>
      </w:r>
      <w:bookmarkEnd w:id="13"/>
    </w:p>
    <w:p w14:paraId="111CF044" w14:textId="4567C70D" w:rsidR="00CD2AA4" w:rsidRDefault="007335B2" w:rsidP="19ADD18D">
      <w:r w:rsidRPr="00180FCD">
        <w:t xml:space="preserve">The National Center for Emerging and Zoonotic Infectious Diseases (NCEZID) </w:t>
      </w:r>
      <w:r w:rsidR="00CD2AA4" w:rsidRPr="00180FCD">
        <w:t>reviewed this submission and determined that the Privacy Act does</w:t>
      </w:r>
      <w:r w:rsidR="00270E51" w:rsidRPr="00180FCD">
        <w:t xml:space="preserve"> </w:t>
      </w:r>
      <w:r w:rsidR="00CD2AA4" w:rsidRPr="00180FCD">
        <w:t>not apply.</w:t>
      </w:r>
      <w:r w:rsidR="00D91B08" w:rsidRPr="00270E51">
        <w:t xml:space="preserve"> Focus group participants will be recruited and moderated by a contracting company. </w:t>
      </w:r>
      <w:r w:rsidR="006615BD" w:rsidRPr="00270E51">
        <w:t>Personally identifiable information (</w:t>
      </w:r>
      <w:r w:rsidR="00D91B08" w:rsidRPr="00270E51">
        <w:t>PII</w:t>
      </w:r>
      <w:r w:rsidR="006615BD" w:rsidRPr="00270E51">
        <w:t>)</w:t>
      </w:r>
      <w:r w:rsidR="00D91B08" w:rsidRPr="00270E51">
        <w:t xml:space="preserve"> will not be transmitted to CDC.</w:t>
      </w:r>
      <w:r w:rsidR="00D91B08">
        <w:t xml:space="preserve"> </w:t>
      </w:r>
    </w:p>
    <w:p w14:paraId="1003EE3A" w14:textId="06D444B9" w:rsidR="00914444" w:rsidRDefault="00914444" w:rsidP="00CD2AA4">
      <w:r>
        <w:t xml:space="preserve">The screening instrument for this evaluation is provided in Attachment B. </w:t>
      </w:r>
      <w:r w:rsidR="004C03D3">
        <w:t>Before data collection, participants will be given time to read the consent form (Attachment D) and ask questions.</w:t>
      </w:r>
      <w:r w:rsidR="006174FB">
        <w:t xml:space="preserve"> </w:t>
      </w:r>
      <w:r w:rsidR="002E6ED9">
        <w:t xml:space="preserve">They will be given two copies of the informed consent: one to keep and one to sign to indicate consent and return to the research team. </w:t>
      </w:r>
      <w:r w:rsidR="006174FB">
        <w:t xml:space="preserve">The consent form includes the phone number and email for a point of contact at EurekaFacts in case participants have any questions about the focus group after participating. </w:t>
      </w:r>
      <w:r w:rsidR="004C03D3">
        <w:t xml:space="preserve"> </w:t>
      </w:r>
    </w:p>
    <w:p w14:paraId="68746892" w14:textId="46F31608" w:rsidR="00597F45" w:rsidRDefault="00597F45" w:rsidP="7E675E0B">
      <w:r>
        <w:t xml:space="preserve">The contractor will conduct the formative work in the following ways: </w:t>
      </w:r>
    </w:p>
    <w:p w14:paraId="49A840FE" w14:textId="4E7D77FD" w:rsidR="0041577A" w:rsidRDefault="00597F45" w:rsidP="7E675E0B">
      <w:r w:rsidRPr="00180FCD">
        <w:rPr>
          <w:i/>
          <w:iCs/>
        </w:rPr>
        <w:t>Screening:</w:t>
      </w:r>
      <w:r w:rsidRPr="7E675E0B">
        <w:t xml:space="preserve"> </w:t>
      </w:r>
      <w:r>
        <w:t xml:space="preserve">EurekaFacts will recruit participants </w:t>
      </w:r>
      <w:r w:rsidR="001041EE">
        <w:t xml:space="preserve">by emailing their database of </w:t>
      </w:r>
      <w:r w:rsidR="00DD65C6">
        <w:t xml:space="preserve">individuals and households, using advertisements in newspapers (print and online), and referrals from personal networks from those who have responded (Attachment B). Individuals interested in participating will use a link provided which will take them to an online screening form. Those who do not meet inclusion criteria will be notified during the screening of their ineligibility. Those that meet inclusion criteria will be notified during the screening of their potential eligibility. </w:t>
      </w:r>
      <w:r w:rsidR="00B93F67">
        <w:t>EurekaFacts will send p</w:t>
      </w:r>
      <w:r w:rsidR="00EA4036">
        <w:t>articipants a</w:t>
      </w:r>
      <w:r w:rsidR="00B93F67">
        <w:t xml:space="preserve"> confirmation</w:t>
      </w:r>
      <w:r w:rsidR="00EA4036">
        <w:t xml:space="preserve"> email </w:t>
      </w:r>
      <w:r w:rsidR="00B93F67">
        <w:t xml:space="preserve">and letter with the date, time, and location of their focus group, and provide a telephone reminder at least 24 hours prior to their appointment. </w:t>
      </w:r>
    </w:p>
    <w:p w14:paraId="12E8A93D" w14:textId="77777777" w:rsidR="0041577A" w:rsidRDefault="00EA4036" w:rsidP="7E675E0B">
      <w:r>
        <w:t xml:space="preserve">PII (e.g., name, address, e-mail address, and telephone number) will be used by the contractor to make contact with, and send reminders, to participants. All PII will be maintained by the contractor in a locked file cabinet or on secure online servers. No PII will be sent to CDC. </w:t>
      </w:r>
      <w:r w:rsidR="00B321AB">
        <w:t>T</w:t>
      </w:r>
      <w:r>
        <w:t xml:space="preserve">he de-identified screening data for recruited participants </w:t>
      </w:r>
      <w:r w:rsidR="00B321AB">
        <w:t xml:space="preserve">will be password protected and encrypted when sharing with CDC. </w:t>
      </w:r>
      <w:r>
        <w:t xml:space="preserve">CDC will keep these screening data on CDC’s secure network in a drive accessible </w:t>
      </w:r>
      <w:r w:rsidRPr="00270E51">
        <w:t xml:space="preserve">only to CDC staff involved in this project. </w:t>
      </w:r>
    </w:p>
    <w:p w14:paraId="57019D9E" w14:textId="743AE824" w:rsidR="005D31B4" w:rsidRDefault="005D31B4" w:rsidP="7E675E0B">
      <w:r w:rsidRPr="00180FCD">
        <w:rPr>
          <w:i/>
          <w:iCs/>
        </w:rPr>
        <w:t>Focus Groups:</w:t>
      </w:r>
      <w:r w:rsidRPr="7E675E0B">
        <w:t xml:space="preserve"> </w:t>
      </w:r>
      <w:r w:rsidR="00B321AB" w:rsidRPr="00270E51">
        <w:t>Four</w:t>
      </w:r>
      <w:r w:rsidRPr="00270E51">
        <w:t xml:space="preserve"> in-person focus groups </w:t>
      </w:r>
      <w:r w:rsidR="00B321AB" w:rsidRPr="00270E51">
        <w:t xml:space="preserve">and four in-person hybrid groups </w:t>
      </w:r>
      <w:r w:rsidRPr="00270E51">
        <w:t xml:space="preserve">will be conducted. Each focus group will last no more than 100 minutes. Prior to starting the focus groups, all participants will complete an informed consent form and will be provided with an additional consent form to take home (Attachment D). During the focus groups, participants </w:t>
      </w:r>
      <w:r w:rsidR="0004057F">
        <w:t xml:space="preserve">will not use their full names but </w:t>
      </w:r>
      <w:r w:rsidR="001958F4">
        <w:t>first names only to protect their identity</w:t>
      </w:r>
      <w:r w:rsidRPr="00270E51">
        <w:t>. The contracting company will keep all consent forms in locked file cabinets or on secure online servers at their facility, and they will not share these documents with CDC. Audio recordings of the focus groups, and field notes taken during the focus groups will be kept in locked file cabinets or on secure online servers at the contracting</w:t>
      </w:r>
      <w:r>
        <w:t xml:space="preserve"> company’s facility. The contracting company will</w:t>
      </w:r>
      <w:r w:rsidR="004B3514">
        <w:t xml:space="preserve"> password protect and encrypt</w:t>
      </w:r>
      <w:r w:rsidRPr="7E675E0B">
        <w:t xml:space="preserve"> </w:t>
      </w:r>
      <w:r w:rsidR="004B3514">
        <w:t xml:space="preserve">the </w:t>
      </w:r>
      <w:r>
        <w:t xml:space="preserve">audio files, field notes, and focus group transcripts </w:t>
      </w:r>
      <w:r w:rsidR="004B3514">
        <w:t xml:space="preserve">for sharing with CDC. </w:t>
      </w:r>
      <w:r>
        <w:t xml:space="preserve">CDC will keep all focus group materials on CDC’s secure network in a drive accessible only to CDC staff involved in this project. </w:t>
      </w:r>
    </w:p>
    <w:p w14:paraId="4E48CBCC" w14:textId="321D9507" w:rsidR="005D31B4" w:rsidRPr="005D31B4" w:rsidRDefault="005D31B4" w:rsidP="19ADD18D">
      <w:r>
        <w:t xml:space="preserve">All findings will be reported in aggregate only. Reports will not include PII and will be stored on a secure share drive and password-protected computers. The contracting company will be instructed to destroy their project-related records (i.e., screening data, contact logs, informed consent forms, audio files, and field notes) </w:t>
      </w:r>
      <w:r w:rsidR="008A6EE3">
        <w:t>within one year of</w:t>
      </w:r>
      <w:r>
        <w:t xml:space="preserve"> completion of the evaluation. </w:t>
      </w:r>
    </w:p>
    <w:p w14:paraId="55FE17D0" w14:textId="77777777" w:rsidR="004A13E8" w:rsidRDefault="004A13E8" w:rsidP="00DF2830">
      <w:pPr>
        <w:pStyle w:val="Heading1"/>
      </w:pPr>
      <w:bookmarkStart w:id="14" w:name="_Toc534720623"/>
      <w:r>
        <w:t>Institutional Review Board (IRB) and Justification for Sensitive Questions</w:t>
      </w:r>
      <w:bookmarkEnd w:id="14"/>
    </w:p>
    <w:p w14:paraId="55FE17D1" w14:textId="77777777" w:rsidR="004A13E8" w:rsidRDefault="004A13E8" w:rsidP="004A13E8">
      <w:pPr>
        <w:rPr>
          <w:u w:val="single"/>
        </w:rPr>
      </w:pPr>
      <w:r>
        <w:rPr>
          <w:u w:val="single"/>
        </w:rPr>
        <w:t>Institutional Review Board (IRB)</w:t>
      </w:r>
    </w:p>
    <w:p w14:paraId="55FE17D2" w14:textId="006F1E95" w:rsidR="004A13E8" w:rsidRDefault="00F62E95" w:rsidP="004A13E8">
      <w:r>
        <w:t xml:space="preserve">This project was reviewed by </w:t>
      </w:r>
      <w:r w:rsidR="004A13E8">
        <w:t xml:space="preserve">NCEZID’s </w:t>
      </w:r>
      <w:r>
        <w:t>h</w:t>
      </w:r>
      <w:r w:rsidR="004A13E8">
        <w:t xml:space="preserve">uman </w:t>
      </w:r>
      <w:r>
        <w:t>s</w:t>
      </w:r>
      <w:r w:rsidR="004A13E8">
        <w:t xml:space="preserve">ubjects </w:t>
      </w:r>
      <w:r>
        <w:t>a</w:t>
      </w:r>
      <w:r w:rsidR="004A13E8">
        <w:t xml:space="preserve">dvisor </w:t>
      </w:r>
      <w:r>
        <w:t>and</w:t>
      </w:r>
      <w:r w:rsidR="004A13E8">
        <w:t xml:space="preserve"> determined </w:t>
      </w:r>
      <w:r>
        <w:t>to not meet the definition of research under 45 CFR 46. IRB revi</w:t>
      </w:r>
      <w:r w:rsidR="003531AC">
        <w:t>ew is not required (Attachment H</w:t>
      </w:r>
      <w:r>
        <w:t xml:space="preserve">). </w:t>
      </w:r>
    </w:p>
    <w:p w14:paraId="55FE17D4" w14:textId="77777777" w:rsidR="004A13E8" w:rsidRPr="0005699B" w:rsidRDefault="004A13E8" w:rsidP="004A13E8">
      <w:r>
        <w:rPr>
          <w:u w:val="single"/>
        </w:rPr>
        <w:t>Justification for Sensitive Questions</w:t>
      </w:r>
    </w:p>
    <w:p w14:paraId="6F3B66AB" w14:textId="07F22B13" w:rsidR="00910AC3" w:rsidRPr="0023698F" w:rsidRDefault="00FB4586" w:rsidP="00910AC3">
      <w:pPr>
        <w:rPr>
          <w:rFonts w:cs="Times New Roman"/>
        </w:rPr>
      </w:pPr>
      <w:r>
        <w:t xml:space="preserve">There are </w:t>
      </w:r>
      <w:r w:rsidR="00910AC3">
        <w:t xml:space="preserve">no planned sensitive questions regarding topics such as criminal behavior, sexual behavior and attitudes, drug or alcohol use, religious beliefs, or other matters that are commonly considered private. The facilitators will ask questions to capture and explore participant understanding </w:t>
      </w:r>
      <w:r w:rsidR="00910AC3" w:rsidRPr="0023698F">
        <w:rPr>
          <w:rFonts w:cs="Times New Roman"/>
        </w:rPr>
        <w:t>and knowledge of concepts, such as disease messaging or warning communication.</w:t>
      </w:r>
      <w:r w:rsidR="00910AC3">
        <w:rPr>
          <w:rFonts w:cs="Times New Roman"/>
        </w:rPr>
        <w:t xml:space="preserve"> </w:t>
      </w:r>
      <w:r w:rsidR="00E004B3">
        <w:rPr>
          <w:rFonts w:cs="Times New Roman"/>
        </w:rPr>
        <w:t xml:space="preserve">All participants will be informed that they need not answer any question that makes them feel uncomfortable or that they simply do not wish to answer. </w:t>
      </w:r>
    </w:p>
    <w:p w14:paraId="5EF78C6E" w14:textId="56704951" w:rsidR="00CB3A96" w:rsidRPr="005046E5" w:rsidRDefault="004A13E8" w:rsidP="005046E5">
      <w:pPr>
        <w:pStyle w:val="Heading1"/>
      </w:pPr>
      <w:bookmarkStart w:id="15" w:name="_Toc534720624"/>
      <w:r w:rsidRPr="005046E5">
        <w:t>Estimates of Annualized Burden Hours and Costs</w:t>
      </w:r>
      <w:bookmarkEnd w:id="15"/>
    </w:p>
    <w:p w14:paraId="04AD95DE" w14:textId="203BF9C0" w:rsidR="0023249D" w:rsidRDefault="00B307CE" w:rsidP="000E6A79">
      <w:pPr>
        <w:pStyle w:val="ListParagraph"/>
        <w:numPr>
          <w:ilvl w:val="0"/>
          <w:numId w:val="6"/>
        </w:numPr>
        <w:ind w:left="360"/>
      </w:pPr>
      <w:r>
        <w:t xml:space="preserve">Estimated </w:t>
      </w:r>
      <w:r w:rsidR="00230B96">
        <w:t>a</w:t>
      </w:r>
      <w:r>
        <w:t>nnua</w:t>
      </w:r>
      <w:r w:rsidR="00230B96">
        <w:t>lized b</w:t>
      </w:r>
      <w:r>
        <w:t>urden</w:t>
      </w:r>
      <w:r w:rsidR="00230B96">
        <w:t xml:space="preserve"> associated with information collection</w:t>
      </w:r>
    </w:p>
    <w:p w14:paraId="37E908AD" w14:textId="472C0C43" w:rsidR="0015606E" w:rsidRDefault="0015606E" w:rsidP="000E6A79">
      <w:r>
        <w:t xml:space="preserve">The estimated burden for recruitment assumes attrition throughout the process. The contractor anticipates screening a maximum of 500 individuals from the general population, concluding with 54 participants completing the focus groups and hybrid groups, resulting in a total of 157 burden hours. </w:t>
      </w:r>
    </w:p>
    <w:p w14:paraId="178E8CC8" w14:textId="0B349DBF" w:rsidR="00B1115A" w:rsidRDefault="00B1115A" w:rsidP="000E6A79">
      <w:r>
        <w:t xml:space="preserve">Four focus groups and four hybrid groups (combination of cognitive interviews and focus group discussion) will be conducted. Two of the focus groups will explore </w:t>
      </w:r>
      <w:r w:rsidR="000D4DFD">
        <w:t>k</w:t>
      </w:r>
      <w:r w:rsidR="00692609">
        <w:t xml:space="preserve">nowledge and </w:t>
      </w:r>
      <w:r w:rsidR="000D4DFD">
        <w:t>p</w:t>
      </w:r>
      <w:r w:rsidR="00692609">
        <w:t>ractices (</w:t>
      </w:r>
      <w:r>
        <w:t>identify participant perceptions, knowledge, attitudes about foodborne illnesses, outbreaks, risks, and prevention, as well as their knowledge, attitudes, and practices about food items that pose a high risk of contamination</w:t>
      </w:r>
      <w:r w:rsidR="00692609">
        <w:t>)</w:t>
      </w:r>
      <w:r>
        <w:t xml:space="preserve">. The other two focus groups will address warning </w:t>
      </w:r>
      <w:r w:rsidR="000D4DFD">
        <w:t>c</w:t>
      </w:r>
      <w:r>
        <w:t>o</w:t>
      </w:r>
      <w:r w:rsidR="00692609">
        <w:t xml:space="preserve">mmunication </w:t>
      </w:r>
      <w:r w:rsidR="000D4DFD">
        <w:t>m</w:t>
      </w:r>
      <w:r>
        <w:t>essages with participants, especially in terms of their preferences with tone, format, and placement of risk communication messages</w:t>
      </w:r>
      <w:r w:rsidR="003C3677">
        <w:t xml:space="preserve"> </w:t>
      </w:r>
      <w:r w:rsidR="003531AC">
        <w:t>(A</w:t>
      </w:r>
      <w:r w:rsidR="003C3677">
        <w:t>ttachment G)</w:t>
      </w:r>
      <w:r>
        <w:t>.</w:t>
      </w:r>
    </w:p>
    <w:tbl>
      <w:tblPr>
        <w:tblStyle w:val="GridTable1Light"/>
        <w:tblW w:w="9461" w:type="dxa"/>
        <w:tblLayout w:type="fixed"/>
        <w:tblLook w:val="06A0" w:firstRow="1" w:lastRow="0" w:firstColumn="1" w:lastColumn="0" w:noHBand="1" w:noVBand="1"/>
      </w:tblPr>
      <w:tblGrid>
        <w:gridCol w:w="2785"/>
        <w:gridCol w:w="3338"/>
        <w:gridCol w:w="3338"/>
      </w:tblGrid>
      <w:tr w:rsidR="00692609" w:rsidRPr="00181618" w14:paraId="22638EDC" w14:textId="77777777" w:rsidTr="000E6A79">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785" w:type="dxa"/>
          </w:tcPr>
          <w:p w14:paraId="184F70A4" w14:textId="77777777" w:rsidR="00692609" w:rsidRPr="000E6A79" w:rsidRDefault="00692609" w:rsidP="00CB1364">
            <w:pPr>
              <w:rPr>
                <w:rFonts w:cs="Times New Roman"/>
                <w:sz w:val="19"/>
                <w:szCs w:val="19"/>
              </w:rPr>
            </w:pPr>
            <w:r w:rsidRPr="000E6A79">
              <w:rPr>
                <w:rFonts w:cs="Times New Roman"/>
                <w:sz w:val="19"/>
                <w:szCs w:val="19"/>
              </w:rPr>
              <w:t>Methodology</w:t>
            </w:r>
          </w:p>
        </w:tc>
        <w:tc>
          <w:tcPr>
            <w:tcW w:w="3338" w:type="dxa"/>
          </w:tcPr>
          <w:p w14:paraId="3AA104C4" w14:textId="77777777" w:rsidR="00692609" w:rsidRPr="000E6A79" w:rsidRDefault="00692609" w:rsidP="00CB1364">
            <w:pPr>
              <w:cnfStyle w:val="100000000000" w:firstRow="1" w:lastRow="0" w:firstColumn="0" w:lastColumn="0" w:oddVBand="0" w:evenVBand="0" w:oddHBand="0" w:evenHBand="0" w:firstRowFirstColumn="0" w:firstRowLastColumn="0" w:lastRowFirstColumn="0" w:lastRowLastColumn="0"/>
              <w:rPr>
                <w:rFonts w:cs="Times New Roman"/>
                <w:sz w:val="19"/>
                <w:szCs w:val="19"/>
              </w:rPr>
            </w:pPr>
            <w:r w:rsidRPr="000E6A79">
              <w:rPr>
                <w:rFonts w:cs="Times New Roman"/>
                <w:sz w:val="19"/>
                <w:szCs w:val="19"/>
              </w:rPr>
              <w:t>FG Objective – Knowledge &amp; Practices</w:t>
            </w:r>
          </w:p>
        </w:tc>
        <w:tc>
          <w:tcPr>
            <w:tcW w:w="3338" w:type="dxa"/>
          </w:tcPr>
          <w:p w14:paraId="4E40AE17" w14:textId="77777777" w:rsidR="00692609" w:rsidRPr="000E6A79" w:rsidRDefault="00692609" w:rsidP="00CB1364">
            <w:pPr>
              <w:cnfStyle w:val="100000000000" w:firstRow="1" w:lastRow="0" w:firstColumn="0" w:lastColumn="0" w:oddVBand="0" w:evenVBand="0" w:oddHBand="0" w:evenHBand="0" w:firstRowFirstColumn="0" w:firstRowLastColumn="0" w:lastRowFirstColumn="0" w:lastRowLastColumn="0"/>
              <w:rPr>
                <w:rFonts w:cs="Times New Roman"/>
                <w:sz w:val="19"/>
                <w:szCs w:val="19"/>
              </w:rPr>
            </w:pPr>
            <w:r w:rsidRPr="000E6A79">
              <w:rPr>
                <w:rFonts w:cs="Times New Roman"/>
                <w:sz w:val="19"/>
                <w:szCs w:val="19"/>
              </w:rPr>
              <w:t>FG Objective – Preferred Communication</w:t>
            </w:r>
          </w:p>
        </w:tc>
      </w:tr>
      <w:tr w:rsidR="00692609" w:rsidRPr="00181618" w14:paraId="2C61E4E1" w14:textId="77777777" w:rsidTr="000E6A79">
        <w:trPr>
          <w:trHeight w:val="609"/>
        </w:trPr>
        <w:tc>
          <w:tcPr>
            <w:cnfStyle w:val="001000000000" w:firstRow="0" w:lastRow="0" w:firstColumn="1" w:lastColumn="0" w:oddVBand="0" w:evenVBand="0" w:oddHBand="0" w:evenHBand="0" w:firstRowFirstColumn="0" w:firstRowLastColumn="0" w:lastRowFirstColumn="0" w:lastRowLastColumn="0"/>
            <w:tcW w:w="2785" w:type="dxa"/>
          </w:tcPr>
          <w:p w14:paraId="606C53FA" w14:textId="77777777" w:rsidR="00692609" w:rsidRPr="000E6A79" w:rsidRDefault="00692609" w:rsidP="00CB1364">
            <w:pPr>
              <w:rPr>
                <w:rFonts w:cs="Times New Roman"/>
                <w:sz w:val="19"/>
                <w:szCs w:val="19"/>
              </w:rPr>
            </w:pPr>
            <w:r w:rsidRPr="000E6A79">
              <w:rPr>
                <w:rFonts w:cs="Times New Roman"/>
                <w:sz w:val="19"/>
                <w:szCs w:val="19"/>
              </w:rPr>
              <w:t>Number of Standard Focus Group Sessions</w:t>
            </w:r>
          </w:p>
        </w:tc>
        <w:tc>
          <w:tcPr>
            <w:tcW w:w="3338" w:type="dxa"/>
          </w:tcPr>
          <w:p w14:paraId="36DE97A8" w14:textId="77777777" w:rsidR="00692609" w:rsidRPr="000E6A79" w:rsidRDefault="00692609" w:rsidP="00CB1364">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0E6A79">
              <w:rPr>
                <w:rFonts w:cs="Times New Roman"/>
                <w:sz w:val="19"/>
                <w:szCs w:val="19"/>
              </w:rPr>
              <w:t>2 Focus Groups (9 participants each)</w:t>
            </w:r>
          </w:p>
        </w:tc>
        <w:tc>
          <w:tcPr>
            <w:tcW w:w="3338" w:type="dxa"/>
          </w:tcPr>
          <w:p w14:paraId="146CC8D9" w14:textId="77777777" w:rsidR="00692609" w:rsidRPr="000E6A79" w:rsidRDefault="00692609" w:rsidP="00CB1364">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0E6A79">
              <w:rPr>
                <w:rFonts w:cs="Times New Roman"/>
                <w:sz w:val="19"/>
                <w:szCs w:val="19"/>
              </w:rPr>
              <w:t>2 Focus Groups (9 participants each)</w:t>
            </w:r>
          </w:p>
        </w:tc>
      </w:tr>
      <w:tr w:rsidR="00692609" w:rsidRPr="00181618" w14:paraId="6B2F89B3" w14:textId="77777777" w:rsidTr="000E6A79">
        <w:trPr>
          <w:trHeight w:val="620"/>
        </w:trPr>
        <w:tc>
          <w:tcPr>
            <w:cnfStyle w:val="001000000000" w:firstRow="0" w:lastRow="0" w:firstColumn="1" w:lastColumn="0" w:oddVBand="0" w:evenVBand="0" w:oddHBand="0" w:evenHBand="0" w:firstRowFirstColumn="0" w:firstRowLastColumn="0" w:lastRowFirstColumn="0" w:lastRowLastColumn="0"/>
            <w:tcW w:w="2785" w:type="dxa"/>
          </w:tcPr>
          <w:p w14:paraId="4296607B" w14:textId="77777777" w:rsidR="00692609" w:rsidRPr="000E6A79" w:rsidRDefault="00692609" w:rsidP="00CB1364">
            <w:pPr>
              <w:rPr>
                <w:rFonts w:cs="Times New Roman"/>
                <w:sz w:val="19"/>
                <w:szCs w:val="19"/>
              </w:rPr>
            </w:pPr>
            <w:r w:rsidRPr="000E6A79">
              <w:rPr>
                <w:rFonts w:cs="Times New Roman"/>
                <w:sz w:val="19"/>
                <w:szCs w:val="19"/>
              </w:rPr>
              <w:t>Number of Hybrid: Cognitive Interview and Focus Groups</w:t>
            </w:r>
          </w:p>
        </w:tc>
        <w:tc>
          <w:tcPr>
            <w:tcW w:w="3338" w:type="dxa"/>
          </w:tcPr>
          <w:p w14:paraId="1E00393C" w14:textId="77777777" w:rsidR="00692609" w:rsidRPr="000E6A79" w:rsidRDefault="00692609" w:rsidP="00CB1364">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0E6A79">
              <w:rPr>
                <w:rFonts w:cs="Times New Roman"/>
                <w:sz w:val="19"/>
                <w:szCs w:val="19"/>
              </w:rPr>
              <w:t>2 Hybrid groups (4 - 5 participants each)</w:t>
            </w:r>
          </w:p>
        </w:tc>
        <w:tc>
          <w:tcPr>
            <w:tcW w:w="3338" w:type="dxa"/>
          </w:tcPr>
          <w:p w14:paraId="09A07184" w14:textId="77777777" w:rsidR="00692609" w:rsidRPr="000E6A79" w:rsidRDefault="00692609" w:rsidP="00CB1364">
            <w:pPr>
              <w:cnfStyle w:val="000000000000" w:firstRow="0" w:lastRow="0" w:firstColumn="0" w:lastColumn="0" w:oddVBand="0" w:evenVBand="0" w:oddHBand="0" w:evenHBand="0" w:firstRowFirstColumn="0" w:firstRowLastColumn="0" w:lastRowFirstColumn="0" w:lastRowLastColumn="0"/>
              <w:rPr>
                <w:rFonts w:cs="Times New Roman"/>
                <w:sz w:val="19"/>
                <w:szCs w:val="19"/>
              </w:rPr>
            </w:pPr>
            <w:r w:rsidRPr="000E6A79">
              <w:rPr>
                <w:rFonts w:cs="Times New Roman"/>
                <w:sz w:val="19"/>
                <w:szCs w:val="19"/>
              </w:rPr>
              <w:t>2 Hybrid Groups (4 – 5 participants each)</w:t>
            </w:r>
          </w:p>
        </w:tc>
      </w:tr>
    </w:tbl>
    <w:p w14:paraId="7062C1D2" w14:textId="020F39DD" w:rsidR="00324FEA" w:rsidRDefault="0015606E" w:rsidP="000E6A79">
      <w:pPr>
        <w:pStyle w:val="ListParagraph"/>
        <w:numPr>
          <w:ilvl w:val="0"/>
          <w:numId w:val="9"/>
        </w:numPr>
        <w:spacing w:before="240"/>
      </w:pPr>
      <w:r>
        <w:t xml:space="preserve">The screener </w:t>
      </w:r>
      <w:r w:rsidR="003531AC">
        <w:t>(A</w:t>
      </w:r>
      <w:r>
        <w:t>ttachment C) will be completed 500 times. It is expected to take 3 minutes per response.</w:t>
      </w:r>
    </w:p>
    <w:p w14:paraId="3CEEEBB4" w14:textId="0A0DD676" w:rsidR="0015606E" w:rsidRDefault="00B824AD" w:rsidP="00DF2830">
      <w:pPr>
        <w:pStyle w:val="ListParagraph"/>
        <w:numPr>
          <w:ilvl w:val="0"/>
          <w:numId w:val="9"/>
        </w:numPr>
      </w:pPr>
      <w:r>
        <w:t>Follow-up contact with respondents who meet inclusion criteria (confirm</w:t>
      </w:r>
      <w:r w:rsidR="003531AC">
        <w:t>ation email (A</w:t>
      </w:r>
      <w:r w:rsidR="00DF2830">
        <w:t xml:space="preserve">ttachment B) </w:t>
      </w:r>
      <w:r>
        <w:t>and consent form</w:t>
      </w:r>
      <w:r w:rsidR="003531AC">
        <w:t xml:space="preserve"> (A</w:t>
      </w:r>
      <w:r w:rsidR="00DF2830">
        <w:t>ttachment D)</w:t>
      </w:r>
      <w:r>
        <w:t xml:space="preserve">) is expected to take 10 minutes per response. </w:t>
      </w:r>
    </w:p>
    <w:p w14:paraId="6BB521D8" w14:textId="360F0895" w:rsidR="00B824AD" w:rsidRDefault="00B824AD" w:rsidP="00DF2830">
      <w:pPr>
        <w:pStyle w:val="ListParagraph"/>
        <w:numPr>
          <w:ilvl w:val="0"/>
          <w:numId w:val="9"/>
        </w:numPr>
      </w:pPr>
      <w:r>
        <w:t>36 general population re</w:t>
      </w:r>
      <w:r w:rsidR="00A179C1">
        <w:t>spondents will be split into four focus groups of 9</w:t>
      </w:r>
      <w:r>
        <w:t xml:space="preserve"> participants each. </w:t>
      </w:r>
      <w:r w:rsidR="00A179C1">
        <w:t xml:space="preserve">Two of the focus groups will cover </w:t>
      </w:r>
      <w:r w:rsidR="00692609">
        <w:t>Knowledge and P</w:t>
      </w:r>
      <w:r w:rsidR="003531AC">
        <w:t>ractices (A</w:t>
      </w:r>
      <w:r w:rsidR="00A179C1">
        <w:t xml:space="preserve">ttachment E), and two will cover </w:t>
      </w:r>
      <w:r w:rsidR="00692609">
        <w:t>C</w:t>
      </w:r>
      <w:r w:rsidR="00B1115A">
        <w:t xml:space="preserve">ommunication </w:t>
      </w:r>
      <w:r w:rsidR="00692609">
        <w:t>M</w:t>
      </w:r>
      <w:r w:rsidR="003531AC">
        <w:t>essages (A</w:t>
      </w:r>
      <w:r w:rsidR="00A179C1">
        <w:t xml:space="preserve">ttachment F). </w:t>
      </w:r>
      <w:r>
        <w:t xml:space="preserve">Each focus group is estimated to take 100 minutes. </w:t>
      </w:r>
    </w:p>
    <w:p w14:paraId="65157027" w14:textId="1C442473" w:rsidR="00FF6921" w:rsidRDefault="00FF6921" w:rsidP="00DF2830">
      <w:pPr>
        <w:pStyle w:val="ListParagraph"/>
        <w:numPr>
          <w:ilvl w:val="0"/>
          <w:numId w:val="9"/>
        </w:numPr>
      </w:pPr>
      <w:r>
        <w:t>18 general population respondents will participate in hybrid focus groups which will also include cognitive interviews</w:t>
      </w:r>
      <w:r w:rsidR="001F6574">
        <w:t xml:space="preserve"> (Attachment F)</w:t>
      </w:r>
      <w:r>
        <w:t>:</w:t>
      </w:r>
    </w:p>
    <w:p w14:paraId="21A6DC5E" w14:textId="274033F1" w:rsidR="00B824AD" w:rsidRDefault="00B824AD" w:rsidP="00FF6921">
      <w:pPr>
        <w:pStyle w:val="ListParagraph"/>
        <w:numPr>
          <w:ilvl w:val="1"/>
          <w:numId w:val="9"/>
        </w:numPr>
      </w:pPr>
      <w:r>
        <w:t xml:space="preserve">9 general population respondents will </w:t>
      </w:r>
      <w:r w:rsidR="00A179C1">
        <w:t xml:space="preserve">be split into two </w:t>
      </w:r>
      <w:r>
        <w:t>hybrid group</w:t>
      </w:r>
      <w:r w:rsidR="00A179C1">
        <w:t>s (4-5 participants in each)</w:t>
      </w:r>
      <w:r>
        <w:t xml:space="preserve"> involving cognitive interviews and focus groups</w:t>
      </w:r>
      <w:r w:rsidR="003531AC">
        <w:t xml:space="preserve"> (A</w:t>
      </w:r>
      <w:r w:rsidR="00A179C1">
        <w:t>ttachments E and F)</w:t>
      </w:r>
      <w:r>
        <w:t xml:space="preserve">. The total time for the hybrid group is estimated to take 100 minutes. </w:t>
      </w:r>
    </w:p>
    <w:p w14:paraId="2A6A1494" w14:textId="2CC00777" w:rsidR="00B824AD" w:rsidRPr="00B307CE" w:rsidRDefault="00B824AD" w:rsidP="00FF6921">
      <w:pPr>
        <w:pStyle w:val="ListParagraph"/>
        <w:numPr>
          <w:ilvl w:val="1"/>
          <w:numId w:val="9"/>
        </w:numPr>
      </w:pPr>
      <w:r>
        <w:t>9 older adult respondents will be</w:t>
      </w:r>
      <w:r w:rsidR="00A179C1">
        <w:t xml:space="preserve"> split into two</w:t>
      </w:r>
      <w:r>
        <w:t xml:space="preserve"> hybrid group</w:t>
      </w:r>
      <w:r w:rsidR="00A179C1">
        <w:t>s (4-5 participants in each)</w:t>
      </w:r>
      <w:r>
        <w:t xml:space="preserve"> involving cognitive interviews and focus groups</w:t>
      </w:r>
      <w:r w:rsidR="003531AC">
        <w:t xml:space="preserve"> (A</w:t>
      </w:r>
      <w:r w:rsidR="00A179C1">
        <w:t>ttachments E and F)</w:t>
      </w:r>
      <w:r>
        <w:t xml:space="preserve">. The total time for the hybrid group is estimated to take 100 minutes.  </w:t>
      </w:r>
    </w:p>
    <w:tbl>
      <w:tblPr>
        <w:tblStyle w:val="TableGrid"/>
        <w:tblW w:w="0" w:type="auto"/>
        <w:tblInd w:w="5" w:type="dxa"/>
        <w:tblLook w:val="04A0" w:firstRow="1" w:lastRow="0" w:firstColumn="1" w:lastColumn="0" w:noHBand="0" w:noVBand="1"/>
      </w:tblPr>
      <w:tblGrid>
        <w:gridCol w:w="1677"/>
        <w:gridCol w:w="1677"/>
        <w:gridCol w:w="1678"/>
        <w:gridCol w:w="1677"/>
        <w:gridCol w:w="1678"/>
        <w:gridCol w:w="1678"/>
      </w:tblGrid>
      <w:tr w:rsidR="00CB3A96" w:rsidRPr="006D28C2" w14:paraId="47726D62" w14:textId="77777777" w:rsidTr="004403C8">
        <w:tc>
          <w:tcPr>
            <w:tcW w:w="1677" w:type="dxa"/>
          </w:tcPr>
          <w:p w14:paraId="5487C669" w14:textId="77777777" w:rsidR="00CB3A96" w:rsidRPr="004403C8" w:rsidRDefault="00CB3A96">
            <w:pPr>
              <w:rPr>
                <w:rFonts w:cs="Times New Roman"/>
                <w:b/>
                <w:bCs/>
                <w:sz w:val="22"/>
              </w:rPr>
            </w:pPr>
            <w:r w:rsidRPr="00180FCD">
              <w:rPr>
                <w:rFonts w:cs="Times New Roman"/>
                <w:b/>
                <w:bCs/>
                <w:sz w:val="22"/>
              </w:rPr>
              <w:t>Type of Respondent</w:t>
            </w:r>
          </w:p>
        </w:tc>
        <w:tc>
          <w:tcPr>
            <w:tcW w:w="1677" w:type="dxa"/>
          </w:tcPr>
          <w:p w14:paraId="77D37AB0" w14:textId="32AA93D2" w:rsidR="00CB3A96" w:rsidRPr="004403C8" w:rsidRDefault="00CB3A96">
            <w:pPr>
              <w:rPr>
                <w:rFonts w:cs="Times New Roman"/>
                <w:b/>
                <w:bCs/>
                <w:sz w:val="22"/>
              </w:rPr>
            </w:pPr>
            <w:r w:rsidRPr="00180FCD">
              <w:rPr>
                <w:rFonts w:cs="Times New Roman"/>
                <w:b/>
                <w:bCs/>
                <w:sz w:val="22"/>
              </w:rPr>
              <w:t>Form Name</w:t>
            </w:r>
          </w:p>
        </w:tc>
        <w:tc>
          <w:tcPr>
            <w:tcW w:w="1678" w:type="dxa"/>
          </w:tcPr>
          <w:p w14:paraId="0716BC42" w14:textId="77777777" w:rsidR="00CB3A96" w:rsidRPr="004403C8" w:rsidRDefault="00CB3A96">
            <w:pPr>
              <w:rPr>
                <w:rFonts w:cs="Times New Roman"/>
                <w:b/>
                <w:bCs/>
                <w:sz w:val="22"/>
              </w:rPr>
            </w:pPr>
            <w:r w:rsidRPr="00180FCD">
              <w:rPr>
                <w:rFonts w:cs="Times New Roman"/>
                <w:b/>
                <w:bCs/>
                <w:sz w:val="22"/>
              </w:rPr>
              <w:t>No. of Respondents</w:t>
            </w:r>
          </w:p>
        </w:tc>
        <w:tc>
          <w:tcPr>
            <w:tcW w:w="1677" w:type="dxa"/>
          </w:tcPr>
          <w:p w14:paraId="0E40EF72" w14:textId="77777777" w:rsidR="00CB3A96" w:rsidRPr="004403C8" w:rsidRDefault="00CB3A96">
            <w:pPr>
              <w:rPr>
                <w:rFonts w:cs="Times New Roman"/>
                <w:b/>
                <w:bCs/>
                <w:sz w:val="22"/>
              </w:rPr>
            </w:pPr>
            <w:r w:rsidRPr="00180FCD">
              <w:rPr>
                <w:rFonts w:cs="Times New Roman"/>
                <w:b/>
                <w:bCs/>
                <w:sz w:val="22"/>
              </w:rPr>
              <w:t>No. Responses per Respondent</w:t>
            </w:r>
          </w:p>
        </w:tc>
        <w:tc>
          <w:tcPr>
            <w:tcW w:w="1678" w:type="dxa"/>
          </w:tcPr>
          <w:p w14:paraId="6C2E961E" w14:textId="77777777" w:rsidR="00CB3A96" w:rsidRPr="004403C8" w:rsidRDefault="00CB3A96">
            <w:pPr>
              <w:rPr>
                <w:rFonts w:cs="Times New Roman"/>
                <w:b/>
                <w:bCs/>
                <w:sz w:val="22"/>
              </w:rPr>
            </w:pPr>
            <w:r w:rsidRPr="00180FCD">
              <w:rPr>
                <w:rFonts w:cs="Times New Roman"/>
                <w:b/>
                <w:bCs/>
                <w:sz w:val="22"/>
              </w:rPr>
              <w:t>Avg. Burden per response (in hrs.)</w:t>
            </w:r>
          </w:p>
        </w:tc>
        <w:tc>
          <w:tcPr>
            <w:tcW w:w="1678" w:type="dxa"/>
          </w:tcPr>
          <w:p w14:paraId="5241F575" w14:textId="77777777" w:rsidR="00CB3A96" w:rsidRPr="004403C8" w:rsidRDefault="00CB3A96">
            <w:pPr>
              <w:rPr>
                <w:rFonts w:cs="Times New Roman"/>
                <w:b/>
                <w:bCs/>
                <w:sz w:val="22"/>
              </w:rPr>
            </w:pPr>
            <w:r w:rsidRPr="00180FCD">
              <w:rPr>
                <w:rFonts w:cs="Times New Roman"/>
                <w:b/>
                <w:bCs/>
                <w:sz w:val="22"/>
              </w:rPr>
              <w:t>Total Burden (in hrs.)</w:t>
            </w:r>
          </w:p>
        </w:tc>
      </w:tr>
      <w:tr w:rsidR="00894458" w:rsidRPr="006D28C2" w14:paraId="3096A42A" w14:textId="77777777" w:rsidTr="007635F1">
        <w:trPr>
          <w:trHeight w:val="458"/>
        </w:trPr>
        <w:tc>
          <w:tcPr>
            <w:tcW w:w="1677" w:type="dxa"/>
            <w:vMerge w:val="restart"/>
          </w:tcPr>
          <w:p w14:paraId="547FE77D" w14:textId="751959AF" w:rsidR="00894458" w:rsidRPr="004403C8" w:rsidRDefault="00894458">
            <w:pPr>
              <w:rPr>
                <w:rFonts w:cs="Times New Roman"/>
                <w:sz w:val="22"/>
              </w:rPr>
            </w:pPr>
            <w:r w:rsidRPr="19ADD18D">
              <w:rPr>
                <w:rFonts w:cs="Times New Roman"/>
                <w:sz w:val="22"/>
              </w:rPr>
              <w:t>General population</w:t>
            </w:r>
          </w:p>
        </w:tc>
        <w:tc>
          <w:tcPr>
            <w:tcW w:w="1677" w:type="dxa"/>
          </w:tcPr>
          <w:p w14:paraId="49E08D23" w14:textId="4321892B" w:rsidR="00894458" w:rsidRPr="004403C8" w:rsidRDefault="0041577A">
            <w:pPr>
              <w:rPr>
                <w:rFonts w:cs="Times New Roman"/>
                <w:sz w:val="22"/>
              </w:rPr>
            </w:pPr>
            <w:r>
              <w:rPr>
                <w:rFonts w:cs="Times New Roman"/>
                <w:sz w:val="22"/>
              </w:rPr>
              <w:t>Screener</w:t>
            </w:r>
          </w:p>
        </w:tc>
        <w:tc>
          <w:tcPr>
            <w:tcW w:w="1678" w:type="dxa"/>
          </w:tcPr>
          <w:p w14:paraId="469352AD" w14:textId="77777777" w:rsidR="00894458" w:rsidRPr="006D28C2" w:rsidRDefault="00894458" w:rsidP="005046E5">
            <w:pPr>
              <w:rPr>
                <w:rFonts w:cs="Times New Roman"/>
                <w:sz w:val="22"/>
              </w:rPr>
            </w:pPr>
            <w:r w:rsidRPr="006D28C2">
              <w:rPr>
                <w:rFonts w:cs="Times New Roman"/>
                <w:sz w:val="22"/>
              </w:rPr>
              <w:t>500</w:t>
            </w:r>
          </w:p>
        </w:tc>
        <w:tc>
          <w:tcPr>
            <w:tcW w:w="1677" w:type="dxa"/>
          </w:tcPr>
          <w:p w14:paraId="1CD7A452" w14:textId="77777777" w:rsidR="00894458" w:rsidRPr="006D28C2" w:rsidRDefault="00894458" w:rsidP="005046E5">
            <w:pPr>
              <w:rPr>
                <w:rFonts w:cs="Times New Roman"/>
                <w:sz w:val="22"/>
              </w:rPr>
            </w:pPr>
            <w:r w:rsidRPr="006D28C2">
              <w:rPr>
                <w:rFonts w:cs="Times New Roman"/>
                <w:sz w:val="22"/>
              </w:rPr>
              <w:t>1</w:t>
            </w:r>
          </w:p>
        </w:tc>
        <w:tc>
          <w:tcPr>
            <w:tcW w:w="1678" w:type="dxa"/>
          </w:tcPr>
          <w:p w14:paraId="17C79FBB" w14:textId="547F07C8" w:rsidR="00894458" w:rsidRPr="006D28C2" w:rsidRDefault="00A916D7" w:rsidP="005046E5">
            <w:pPr>
              <w:rPr>
                <w:rFonts w:cs="Times New Roman"/>
                <w:sz w:val="22"/>
              </w:rPr>
            </w:pPr>
            <w:r>
              <w:rPr>
                <w:rFonts w:cs="Times New Roman"/>
                <w:sz w:val="22"/>
              </w:rPr>
              <w:t>3/60</w:t>
            </w:r>
          </w:p>
        </w:tc>
        <w:tc>
          <w:tcPr>
            <w:tcW w:w="1678" w:type="dxa"/>
          </w:tcPr>
          <w:p w14:paraId="6047766A" w14:textId="77777777" w:rsidR="00894458" w:rsidRPr="006D28C2" w:rsidRDefault="00894458" w:rsidP="005046E5">
            <w:pPr>
              <w:rPr>
                <w:rFonts w:cs="Times New Roman"/>
                <w:sz w:val="22"/>
              </w:rPr>
            </w:pPr>
            <w:r w:rsidRPr="006D28C2">
              <w:rPr>
                <w:rFonts w:cs="Times New Roman"/>
                <w:sz w:val="22"/>
              </w:rPr>
              <w:t>25</w:t>
            </w:r>
          </w:p>
        </w:tc>
      </w:tr>
      <w:tr w:rsidR="0041577A" w:rsidRPr="006D28C2" w14:paraId="29BE1AEA" w14:textId="77777777" w:rsidTr="007635F1">
        <w:trPr>
          <w:trHeight w:val="368"/>
        </w:trPr>
        <w:tc>
          <w:tcPr>
            <w:tcW w:w="1677" w:type="dxa"/>
            <w:vMerge/>
          </w:tcPr>
          <w:p w14:paraId="1E24A911" w14:textId="50B129D4" w:rsidR="0041577A" w:rsidRPr="006D28C2" w:rsidRDefault="0041577A" w:rsidP="005046E5">
            <w:pPr>
              <w:rPr>
                <w:rFonts w:cs="Times New Roman"/>
                <w:sz w:val="22"/>
              </w:rPr>
            </w:pPr>
          </w:p>
        </w:tc>
        <w:tc>
          <w:tcPr>
            <w:tcW w:w="1677" w:type="dxa"/>
          </w:tcPr>
          <w:p w14:paraId="7F76A16D" w14:textId="5384FBD7" w:rsidR="0041577A" w:rsidRPr="004403C8" w:rsidRDefault="0041577A" w:rsidP="0041577A">
            <w:pPr>
              <w:rPr>
                <w:rFonts w:cs="Times New Roman"/>
                <w:sz w:val="22"/>
              </w:rPr>
            </w:pPr>
            <w:r w:rsidRPr="19ADD18D">
              <w:rPr>
                <w:rFonts w:cs="Times New Roman"/>
                <w:sz w:val="22"/>
              </w:rPr>
              <w:t>Follow-up contact</w:t>
            </w:r>
          </w:p>
        </w:tc>
        <w:tc>
          <w:tcPr>
            <w:tcW w:w="1678" w:type="dxa"/>
          </w:tcPr>
          <w:p w14:paraId="17E39F01" w14:textId="77777777" w:rsidR="0041577A" w:rsidRPr="004403C8" w:rsidRDefault="0041577A">
            <w:pPr>
              <w:rPr>
                <w:rFonts w:cs="Times New Roman"/>
                <w:sz w:val="22"/>
              </w:rPr>
            </w:pPr>
            <w:r w:rsidRPr="19ADD18D">
              <w:rPr>
                <w:rFonts w:cs="Times New Roman"/>
                <w:sz w:val="22"/>
              </w:rPr>
              <w:t>250*</w:t>
            </w:r>
          </w:p>
          <w:p w14:paraId="051BD1E8" w14:textId="39B9568D" w:rsidR="0041577A" w:rsidRPr="004403C8" w:rsidRDefault="0041577A" w:rsidP="001F3177">
            <w:pPr>
              <w:rPr>
                <w:rFonts w:cs="Times New Roman"/>
                <w:sz w:val="22"/>
              </w:rPr>
            </w:pPr>
          </w:p>
        </w:tc>
        <w:tc>
          <w:tcPr>
            <w:tcW w:w="1677" w:type="dxa"/>
          </w:tcPr>
          <w:p w14:paraId="3FE7CBCB" w14:textId="77777777" w:rsidR="0041577A" w:rsidRPr="006D28C2" w:rsidRDefault="0041577A" w:rsidP="005046E5">
            <w:pPr>
              <w:rPr>
                <w:rFonts w:cs="Times New Roman"/>
                <w:sz w:val="22"/>
              </w:rPr>
            </w:pPr>
            <w:r w:rsidRPr="006D28C2">
              <w:rPr>
                <w:rFonts w:cs="Times New Roman"/>
                <w:sz w:val="22"/>
              </w:rPr>
              <w:t>1</w:t>
            </w:r>
          </w:p>
          <w:p w14:paraId="175055C6" w14:textId="069F0E30" w:rsidR="0041577A" w:rsidRPr="006D28C2" w:rsidRDefault="0041577A" w:rsidP="005046E5">
            <w:pPr>
              <w:rPr>
                <w:rFonts w:cs="Times New Roman"/>
                <w:sz w:val="22"/>
              </w:rPr>
            </w:pPr>
          </w:p>
        </w:tc>
        <w:tc>
          <w:tcPr>
            <w:tcW w:w="1678" w:type="dxa"/>
          </w:tcPr>
          <w:p w14:paraId="2752E776" w14:textId="2D8C70C8" w:rsidR="0041577A" w:rsidRPr="006D28C2" w:rsidRDefault="00A916D7" w:rsidP="005046E5">
            <w:pPr>
              <w:rPr>
                <w:rFonts w:cs="Times New Roman"/>
                <w:sz w:val="22"/>
              </w:rPr>
            </w:pPr>
            <w:r>
              <w:rPr>
                <w:rFonts w:cs="Times New Roman"/>
                <w:sz w:val="22"/>
              </w:rPr>
              <w:t>10/60</w:t>
            </w:r>
          </w:p>
          <w:p w14:paraId="7FF75203" w14:textId="4C332036" w:rsidR="0041577A" w:rsidRPr="006D28C2" w:rsidRDefault="0041577A" w:rsidP="005046E5">
            <w:pPr>
              <w:rPr>
                <w:rFonts w:cs="Times New Roman"/>
                <w:sz w:val="22"/>
              </w:rPr>
            </w:pPr>
          </w:p>
        </w:tc>
        <w:tc>
          <w:tcPr>
            <w:tcW w:w="1678" w:type="dxa"/>
          </w:tcPr>
          <w:p w14:paraId="7F08B169" w14:textId="6BDD0150" w:rsidR="0041577A" w:rsidRPr="006D28C2" w:rsidRDefault="000944B7" w:rsidP="005046E5">
            <w:pPr>
              <w:rPr>
                <w:rFonts w:cs="Times New Roman"/>
                <w:sz w:val="22"/>
              </w:rPr>
            </w:pPr>
            <w:r>
              <w:rPr>
                <w:rFonts w:cs="Times New Roman"/>
                <w:sz w:val="22"/>
              </w:rPr>
              <w:t>42</w:t>
            </w:r>
          </w:p>
          <w:p w14:paraId="4E122910" w14:textId="0FE5E6B2" w:rsidR="0041577A" w:rsidRPr="006D28C2" w:rsidRDefault="0041577A" w:rsidP="005046E5">
            <w:pPr>
              <w:rPr>
                <w:rFonts w:cs="Times New Roman"/>
                <w:sz w:val="22"/>
              </w:rPr>
            </w:pPr>
          </w:p>
        </w:tc>
      </w:tr>
      <w:tr w:rsidR="0041577A" w:rsidRPr="006D28C2" w14:paraId="08C13F63" w14:textId="77777777" w:rsidTr="007635F1">
        <w:trPr>
          <w:trHeight w:val="1025"/>
        </w:trPr>
        <w:tc>
          <w:tcPr>
            <w:tcW w:w="1677" w:type="dxa"/>
          </w:tcPr>
          <w:p w14:paraId="7F951245" w14:textId="3A1E7CBC" w:rsidR="0041577A" w:rsidRPr="004403C8" w:rsidRDefault="0041577A" w:rsidP="00897669">
            <w:pPr>
              <w:rPr>
                <w:rFonts w:cs="Times New Roman"/>
                <w:sz w:val="22"/>
              </w:rPr>
            </w:pPr>
            <w:r w:rsidRPr="2830B391">
              <w:rPr>
                <w:rFonts w:cs="Times New Roman"/>
                <w:sz w:val="22"/>
              </w:rPr>
              <w:t>General population focus group</w:t>
            </w:r>
          </w:p>
        </w:tc>
        <w:tc>
          <w:tcPr>
            <w:tcW w:w="1677" w:type="dxa"/>
          </w:tcPr>
          <w:p w14:paraId="14EAE2C5" w14:textId="673397A4" w:rsidR="0041577A" w:rsidRPr="004403C8" w:rsidRDefault="0041577A">
            <w:pPr>
              <w:rPr>
                <w:rFonts w:cs="Times New Roman"/>
                <w:sz w:val="22"/>
              </w:rPr>
            </w:pPr>
            <w:r w:rsidRPr="19ADD18D">
              <w:rPr>
                <w:rFonts w:cs="Times New Roman"/>
                <w:sz w:val="22"/>
              </w:rPr>
              <w:t>Moderator guide for focus group</w:t>
            </w:r>
          </w:p>
        </w:tc>
        <w:tc>
          <w:tcPr>
            <w:tcW w:w="1678" w:type="dxa"/>
          </w:tcPr>
          <w:p w14:paraId="120A633B" w14:textId="3EA40B3E" w:rsidR="0041577A" w:rsidRPr="006D28C2" w:rsidRDefault="0041577A" w:rsidP="005046E5">
            <w:pPr>
              <w:rPr>
                <w:rFonts w:cs="Times New Roman"/>
                <w:sz w:val="22"/>
              </w:rPr>
            </w:pPr>
            <w:r>
              <w:rPr>
                <w:rFonts w:cs="Times New Roman"/>
                <w:sz w:val="22"/>
              </w:rPr>
              <w:t>36</w:t>
            </w:r>
          </w:p>
        </w:tc>
        <w:tc>
          <w:tcPr>
            <w:tcW w:w="1677" w:type="dxa"/>
          </w:tcPr>
          <w:p w14:paraId="338D82BC" w14:textId="77777777" w:rsidR="0041577A" w:rsidRPr="006D28C2" w:rsidRDefault="0041577A" w:rsidP="005046E5">
            <w:pPr>
              <w:rPr>
                <w:rFonts w:cs="Times New Roman"/>
                <w:sz w:val="22"/>
              </w:rPr>
            </w:pPr>
            <w:r w:rsidRPr="006D28C2">
              <w:rPr>
                <w:rFonts w:cs="Times New Roman"/>
                <w:sz w:val="22"/>
              </w:rPr>
              <w:t>1</w:t>
            </w:r>
          </w:p>
        </w:tc>
        <w:tc>
          <w:tcPr>
            <w:tcW w:w="1678" w:type="dxa"/>
          </w:tcPr>
          <w:p w14:paraId="56DD37E5" w14:textId="36502649" w:rsidR="0041577A" w:rsidRPr="006D28C2" w:rsidRDefault="0041577A" w:rsidP="005046E5">
            <w:pPr>
              <w:rPr>
                <w:rFonts w:cs="Times New Roman"/>
                <w:sz w:val="22"/>
              </w:rPr>
            </w:pPr>
            <w:r>
              <w:rPr>
                <w:rFonts w:cs="Times New Roman"/>
                <w:sz w:val="22"/>
              </w:rPr>
              <w:t>100/60</w:t>
            </w:r>
          </w:p>
        </w:tc>
        <w:tc>
          <w:tcPr>
            <w:tcW w:w="1678" w:type="dxa"/>
          </w:tcPr>
          <w:p w14:paraId="7FB61E9C" w14:textId="3BD9936A" w:rsidR="0041577A" w:rsidRPr="006D28C2" w:rsidRDefault="0041577A" w:rsidP="005046E5">
            <w:pPr>
              <w:rPr>
                <w:rFonts w:cs="Times New Roman"/>
                <w:sz w:val="22"/>
              </w:rPr>
            </w:pPr>
            <w:r>
              <w:rPr>
                <w:rFonts w:cs="Times New Roman"/>
                <w:sz w:val="22"/>
              </w:rPr>
              <w:t>60</w:t>
            </w:r>
          </w:p>
        </w:tc>
      </w:tr>
      <w:tr w:rsidR="00CB3A96" w:rsidRPr="006D28C2" w14:paraId="2031F1FF" w14:textId="77777777" w:rsidTr="007635F1">
        <w:trPr>
          <w:trHeight w:val="1493"/>
        </w:trPr>
        <w:tc>
          <w:tcPr>
            <w:tcW w:w="1677" w:type="dxa"/>
          </w:tcPr>
          <w:p w14:paraId="1ED7C641" w14:textId="1010BED0" w:rsidR="00CB3A96" w:rsidRPr="004403C8" w:rsidRDefault="00CB3A96" w:rsidP="00FF6921">
            <w:pPr>
              <w:rPr>
                <w:rFonts w:cs="Times New Roman"/>
                <w:sz w:val="22"/>
              </w:rPr>
            </w:pPr>
            <w:r w:rsidRPr="19ADD18D">
              <w:rPr>
                <w:rFonts w:cs="Times New Roman"/>
                <w:sz w:val="22"/>
              </w:rPr>
              <w:t xml:space="preserve">General population </w:t>
            </w:r>
            <w:r w:rsidR="00FF6921">
              <w:rPr>
                <w:rFonts w:cs="Times New Roman"/>
                <w:sz w:val="22"/>
              </w:rPr>
              <w:t>-H</w:t>
            </w:r>
            <w:r w:rsidRPr="19ADD18D">
              <w:rPr>
                <w:rFonts w:cs="Times New Roman"/>
                <w:sz w:val="22"/>
              </w:rPr>
              <w:t>ybrid group</w:t>
            </w:r>
          </w:p>
        </w:tc>
        <w:tc>
          <w:tcPr>
            <w:tcW w:w="1677" w:type="dxa"/>
          </w:tcPr>
          <w:p w14:paraId="56DD769E" w14:textId="5F7900B4" w:rsidR="00CB3A96" w:rsidRPr="004403C8" w:rsidRDefault="00CC25AD">
            <w:pPr>
              <w:rPr>
                <w:rFonts w:cs="Times New Roman"/>
                <w:sz w:val="22"/>
              </w:rPr>
            </w:pPr>
            <w:r w:rsidRPr="19ADD18D">
              <w:rPr>
                <w:rFonts w:cs="Times New Roman"/>
                <w:sz w:val="22"/>
              </w:rPr>
              <w:t>Moderator guide for focus group and cognitive interview</w:t>
            </w:r>
          </w:p>
        </w:tc>
        <w:tc>
          <w:tcPr>
            <w:tcW w:w="1678" w:type="dxa"/>
          </w:tcPr>
          <w:p w14:paraId="091C5E6C" w14:textId="630489CF" w:rsidR="00CB3A96" w:rsidRPr="006D28C2" w:rsidRDefault="00FF6921" w:rsidP="00C97FCD">
            <w:pPr>
              <w:rPr>
                <w:rFonts w:cs="Times New Roman"/>
                <w:sz w:val="22"/>
              </w:rPr>
            </w:pPr>
            <w:r>
              <w:rPr>
                <w:rFonts w:cs="Times New Roman"/>
                <w:sz w:val="22"/>
              </w:rPr>
              <w:t>18</w:t>
            </w:r>
          </w:p>
        </w:tc>
        <w:tc>
          <w:tcPr>
            <w:tcW w:w="1677" w:type="dxa"/>
          </w:tcPr>
          <w:p w14:paraId="205F129A" w14:textId="19C4D094" w:rsidR="00CB3A96" w:rsidRPr="006D28C2" w:rsidRDefault="000944B7" w:rsidP="005046E5">
            <w:pPr>
              <w:rPr>
                <w:rFonts w:cs="Times New Roman"/>
                <w:sz w:val="22"/>
              </w:rPr>
            </w:pPr>
            <w:r>
              <w:rPr>
                <w:rFonts w:cs="Times New Roman"/>
                <w:sz w:val="22"/>
              </w:rPr>
              <w:t>1</w:t>
            </w:r>
          </w:p>
        </w:tc>
        <w:tc>
          <w:tcPr>
            <w:tcW w:w="1678" w:type="dxa"/>
          </w:tcPr>
          <w:p w14:paraId="7A596EB7" w14:textId="109177E6" w:rsidR="00CB3A96" w:rsidRPr="006D28C2" w:rsidRDefault="000944B7" w:rsidP="005046E5">
            <w:pPr>
              <w:rPr>
                <w:rFonts w:cs="Times New Roman"/>
                <w:sz w:val="22"/>
              </w:rPr>
            </w:pPr>
            <w:r>
              <w:rPr>
                <w:rFonts w:cs="Times New Roman"/>
                <w:sz w:val="22"/>
              </w:rPr>
              <w:t>10</w:t>
            </w:r>
            <w:r w:rsidR="00A916D7">
              <w:rPr>
                <w:rFonts w:cs="Times New Roman"/>
                <w:sz w:val="22"/>
              </w:rPr>
              <w:t>0/60</w:t>
            </w:r>
          </w:p>
        </w:tc>
        <w:tc>
          <w:tcPr>
            <w:tcW w:w="1678" w:type="dxa"/>
          </w:tcPr>
          <w:p w14:paraId="53F95B57" w14:textId="75287E6B" w:rsidR="00CB3A96" w:rsidRPr="006D28C2" w:rsidRDefault="00FF6921" w:rsidP="005046E5">
            <w:pPr>
              <w:rPr>
                <w:rFonts w:cs="Times New Roman"/>
                <w:sz w:val="22"/>
              </w:rPr>
            </w:pPr>
            <w:r>
              <w:rPr>
                <w:rFonts w:cs="Times New Roman"/>
                <w:sz w:val="22"/>
              </w:rPr>
              <w:t>30</w:t>
            </w:r>
          </w:p>
        </w:tc>
      </w:tr>
      <w:tr w:rsidR="00CB3A96" w:rsidRPr="006D28C2" w14:paraId="0E9CCBED" w14:textId="77777777" w:rsidTr="004403C8">
        <w:tc>
          <w:tcPr>
            <w:tcW w:w="1677" w:type="dxa"/>
          </w:tcPr>
          <w:p w14:paraId="57790B55" w14:textId="77777777" w:rsidR="00CB3A96" w:rsidRPr="004403C8" w:rsidRDefault="00CB3A96">
            <w:pPr>
              <w:rPr>
                <w:rFonts w:cs="Times New Roman"/>
                <w:b/>
                <w:bCs/>
                <w:sz w:val="22"/>
              </w:rPr>
            </w:pPr>
            <w:r w:rsidRPr="00180FCD">
              <w:rPr>
                <w:rFonts w:cs="Times New Roman"/>
                <w:b/>
                <w:bCs/>
                <w:sz w:val="22"/>
              </w:rPr>
              <w:t>Total</w:t>
            </w:r>
          </w:p>
        </w:tc>
        <w:tc>
          <w:tcPr>
            <w:tcW w:w="6710" w:type="dxa"/>
            <w:gridSpan w:val="4"/>
          </w:tcPr>
          <w:p w14:paraId="59B49B7C" w14:textId="77777777" w:rsidR="00CB3A96" w:rsidRPr="006D28C2" w:rsidRDefault="00CB3A96" w:rsidP="005046E5">
            <w:pPr>
              <w:rPr>
                <w:rFonts w:cs="Times New Roman"/>
                <w:sz w:val="22"/>
              </w:rPr>
            </w:pPr>
          </w:p>
        </w:tc>
        <w:tc>
          <w:tcPr>
            <w:tcW w:w="1678" w:type="dxa"/>
          </w:tcPr>
          <w:p w14:paraId="00BDDB90" w14:textId="32757985" w:rsidR="00CB3A96" w:rsidRPr="006D28C2" w:rsidRDefault="00E9061B" w:rsidP="005046E5">
            <w:pPr>
              <w:rPr>
                <w:rFonts w:cs="Times New Roman"/>
                <w:b/>
                <w:sz w:val="22"/>
              </w:rPr>
            </w:pPr>
            <w:r>
              <w:rPr>
                <w:rFonts w:cs="Times New Roman"/>
                <w:b/>
                <w:sz w:val="22"/>
              </w:rPr>
              <w:t>157</w:t>
            </w:r>
          </w:p>
        </w:tc>
      </w:tr>
    </w:tbl>
    <w:p w14:paraId="0A76F33D" w14:textId="77777777" w:rsidR="00B307CE" w:rsidRPr="006D28C2" w:rsidRDefault="00B307CE" w:rsidP="00B307CE">
      <w:pPr>
        <w:rPr>
          <w:rFonts w:cs="Times New Roman"/>
        </w:rPr>
      </w:pPr>
      <w:r w:rsidRPr="006D28C2">
        <w:rPr>
          <w:rStyle w:val="normaltextrun"/>
          <w:rFonts w:cs="Times New Roman"/>
          <w:color w:val="000000"/>
          <w:sz w:val="21"/>
          <w:szCs w:val="21"/>
          <w:shd w:val="clear" w:color="auto" w:fill="FFFFFF"/>
        </w:rPr>
        <w:t>* Subset of initial contact group, not double counted in the total number of respondents.</w:t>
      </w:r>
      <w:r w:rsidRPr="006D28C2">
        <w:rPr>
          <w:rStyle w:val="eop"/>
          <w:rFonts w:cs="Times New Roman"/>
          <w:color w:val="000000"/>
          <w:sz w:val="21"/>
          <w:szCs w:val="21"/>
          <w:shd w:val="clear" w:color="auto" w:fill="FFFFFF"/>
        </w:rPr>
        <w:t> </w:t>
      </w:r>
    </w:p>
    <w:p w14:paraId="505C920E" w14:textId="3CDDFA40" w:rsidR="00C553B7" w:rsidRDefault="004A13E8" w:rsidP="004A13E8">
      <w:pPr>
        <w:spacing w:before="240"/>
      </w:pPr>
      <w:r>
        <w:t>B.</w:t>
      </w:r>
      <w:r w:rsidR="00C553B7">
        <w:t xml:space="preserve"> Estimated Annualized Burden Costs</w:t>
      </w:r>
      <w:r w:rsidR="009B0947">
        <w:t xml:space="preserve"> </w:t>
      </w:r>
    </w:p>
    <w:p w14:paraId="441CD0BC" w14:textId="0A6B8820" w:rsidR="00936BAB" w:rsidRDefault="00936BAB" w:rsidP="004A13E8">
      <w:pPr>
        <w:spacing w:before="240"/>
      </w:pPr>
      <w:r>
        <w:t xml:space="preserve">The estimated burden for recruitment assumes attrition throughout the process. The contractor anticipates screening a maximum of 500 individuals </w:t>
      </w:r>
      <w:r w:rsidR="00264F56">
        <w:t>concluding with</w:t>
      </w:r>
      <w:r>
        <w:t xml:space="preserve"> 54 participants completing the focus groups and </w:t>
      </w:r>
      <w:r w:rsidR="00264F56">
        <w:t>hybrid groups, resulting in a total of 1</w:t>
      </w:r>
      <w:r w:rsidR="00D476B8">
        <w:t>57</w:t>
      </w:r>
      <w:r w:rsidR="00264F56">
        <w:t xml:space="preserve"> burden hours. </w:t>
      </w:r>
      <w:r w:rsidR="000D4DFD">
        <w:t>Total estimated cost burden is $2,844.84.</w:t>
      </w:r>
    </w:p>
    <w:tbl>
      <w:tblPr>
        <w:tblStyle w:val="GridTableLight"/>
        <w:tblW w:w="10075" w:type="dxa"/>
        <w:tblLook w:val="04A0" w:firstRow="1" w:lastRow="0" w:firstColumn="1" w:lastColumn="0" w:noHBand="0" w:noVBand="1"/>
      </w:tblPr>
      <w:tblGrid>
        <w:gridCol w:w="2015"/>
        <w:gridCol w:w="2015"/>
        <w:gridCol w:w="2015"/>
        <w:gridCol w:w="2015"/>
        <w:gridCol w:w="2015"/>
      </w:tblGrid>
      <w:tr w:rsidR="004A13E8" w14:paraId="55FE17F2" w14:textId="77777777" w:rsidTr="000E6A79">
        <w:tc>
          <w:tcPr>
            <w:tcW w:w="2015" w:type="dxa"/>
          </w:tcPr>
          <w:p w14:paraId="55FE17ED" w14:textId="77777777" w:rsidR="004A13E8" w:rsidRPr="000D4DFD" w:rsidRDefault="004A13E8" w:rsidP="00EC1C2D">
            <w:pPr>
              <w:rPr>
                <w:b/>
                <w:sz w:val="22"/>
              </w:rPr>
            </w:pPr>
            <w:r w:rsidRPr="000D4DFD">
              <w:rPr>
                <w:b/>
                <w:sz w:val="22"/>
              </w:rPr>
              <w:t>Type of Respondent</w:t>
            </w:r>
          </w:p>
        </w:tc>
        <w:tc>
          <w:tcPr>
            <w:tcW w:w="2015" w:type="dxa"/>
          </w:tcPr>
          <w:p w14:paraId="55FE17EE" w14:textId="77777777" w:rsidR="004A13E8" w:rsidRPr="000D4DFD" w:rsidRDefault="004A13E8" w:rsidP="00EC1C2D">
            <w:pPr>
              <w:rPr>
                <w:b/>
                <w:sz w:val="22"/>
              </w:rPr>
            </w:pPr>
            <w:r w:rsidRPr="000D4DFD">
              <w:rPr>
                <w:b/>
                <w:sz w:val="22"/>
              </w:rPr>
              <w:t>Form Name</w:t>
            </w:r>
          </w:p>
        </w:tc>
        <w:tc>
          <w:tcPr>
            <w:tcW w:w="2015" w:type="dxa"/>
          </w:tcPr>
          <w:p w14:paraId="55FE17EF" w14:textId="77777777" w:rsidR="004A13E8" w:rsidRPr="000D4DFD" w:rsidRDefault="004A13E8" w:rsidP="00EC1C2D">
            <w:pPr>
              <w:rPr>
                <w:rFonts w:cs="Times New Roman"/>
                <w:b/>
                <w:sz w:val="22"/>
              </w:rPr>
            </w:pPr>
            <w:r w:rsidRPr="000D4DFD">
              <w:rPr>
                <w:rFonts w:cs="Times New Roman"/>
                <w:b/>
                <w:sz w:val="22"/>
              </w:rPr>
              <w:t>Total Burden Hours</w:t>
            </w:r>
          </w:p>
        </w:tc>
        <w:tc>
          <w:tcPr>
            <w:tcW w:w="2015" w:type="dxa"/>
          </w:tcPr>
          <w:p w14:paraId="55FE17F0" w14:textId="33D3B895" w:rsidR="004A13E8" w:rsidRPr="000D4DFD" w:rsidRDefault="752B1935" w:rsidP="00EC1C2D">
            <w:pPr>
              <w:rPr>
                <w:b/>
                <w:sz w:val="22"/>
              </w:rPr>
            </w:pPr>
            <w:r w:rsidRPr="000D4DFD">
              <w:rPr>
                <w:b/>
                <w:sz w:val="22"/>
              </w:rPr>
              <w:t>Hourly Wage Rate*</w:t>
            </w:r>
          </w:p>
        </w:tc>
        <w:tc>
          <w:tcPr>
            <w:tcW w:w="2015" w:type="dxa"/>
          </w:tcPr>
          <w:p w14:paraId="55FE17F1" w14:textId="77777777" w:rsidR="004A13E8" w:rsidRPr="000D4DFD" w:rsidRDefault="004A13E8" w:rsidP="00EC1C2D">
            <w:pPr>
              <w:rPr>
                <w:b/>
                <w:sz w:val="22"/>
              </w:rPr>
            </w:pPr>
            <w:r w:rsidRPr="000D4DFD">
              <w:rPr>
                <w:b/>
                <w:sz w:val="22"/>
              </w:rPr>
              <w:t>Total Respondent Costs</w:t>
            </w:r>
          </w:p>
        </w:tc>
      </w:tr>
      <w:tr w:rsidR="00230B96" w14:paraId="073571F0" w14:textId="77777777" w:rsidTr="000E6A79">
        <w:tc>
          <w:tcPr>
            <w:tcW w:w="2015" w:type="dxa"/>
            <w:vMerge w:val="restart"/>
          </w:tcPr>
          <w:p w14:paraId="3F752FA1" w14:textId="6DF16C59" w:rsidR="00230B96" w:rsidRPr="000D4DFD" w:rsidRDefault="00230B96" w:rsidP="006041C0">
            <w:pPr>
              <w:rPr>
                <w:sz w:val="22"/>
              </w:rPr>
            </w:pPr>
            <w:r w:rsidRPr="000D4DFD">
              <w:rPr>
                <w:sz w:val="22"/>
              </w:rPr>
              <w:t>General population</w:t>
            </w:r>
          </w:p>
        </w:tc>
        <w:tc>
          <w:tcPr>
            <w:tcW w:w="2015" w:type="dxa"/>
          </w:tcPr>
          <w:p w14:paraId="0DB109CF" w14:textId="171C08B0" w:rsidR="00230B96" w:rsidRPr="000D4DFD" w:rsidRDefault="000F21CF" w:rsidP="006041C0">
            <w:pPr>
              <w:rPr>
                <w:sz w:val="22"/>
              </w:rPr>
            </w:pPr>
            <w:r w:rsidRPr="000D4DFD">
              <w:rPr>
                <w:sz w:val="22"/>
              </w:rPr>
              <w:t>Screener</w:t>
            </w:r>
          </w:p>
        </w:tc>
        <w:tc>
          <w:tcPr>
            <w:tcW w:w="2015" w:type="dxa"/>
          </w:tcPr>
          <w:p w14:paraId="5BD20744" w14:textId="557A2DFA" w:rsidR="00230B96" w:rsidRPr="000D4DFD" w:rsidRDefault="00230B96" w:rsidP="752B1935">
            <w:pPr>
              <w:jc w:val="center"/>
              <w:rPr>
                <w:rFonts w:cs="Times New Roman"/>
                <w:sz w:val="22"/>
              </w:rPr>
            </w:pPr>
            <w:r w:rsidRPr="000D4DFD">
              <w:rPr>
                <w:rFonts w:cs="Times New Roman"/>
                <w:sz w:val="22"/>
              </w:rPr>
              <w:t>25</w:t>
            </w:r>
          </w:p>
        </w:tc>
        <w:tc>
          <w:tcPr>
            <w:tcW w:w="2015" w:type="dxa"/>
          </w:tcPr>
          <w:p w14:paraId="236D96F8" w14:textId="702D3BCB" w:rsidR="00230B96" w:rsidRPr="000D4DFD" w:rsidRDefault="00230B96" w:rsidP="752B1935">
            <w:pPr>
              <w:jc w:val="center"/>
              <w:rPr>
                <w:sz w:val="22"/>
              </w:rPr>
            </w:pPr>
            <w:r w:rsidRPr="000D4DFD">
              <w:rPr>
                <w:sz w:val="22"/>
              </w:rPr>
              <w:t>$18.12</w:t>
            </w:r>
          </w:p>
        </w:tc>
        <w:tc>
          <w:tcPr>
            <w:tcW w:w="2015" w:type="dxa"/>
          </w:tcPr>
          <w:p w14:paraId="3E4564B6" w14:textId="43F04BAA" w:rsidR="00230B96" w:rsidRPr="000D4DFD" w:rsidRDefault="00230B96" w:rsidP="752B1935">
            <w:pPr>
              <w:jc w:val="center"/>
              <w:rPr>
                <w:sz w:val="22"/>
              </w:rPr>
            </w:pPr>
            <w:r w:rsidRPr="000D4DFD">
              <w:rPr>
                <w:sz w:val="22"/>
              </w:rPr>
              <w:t>$453.00</w:t>
            </w:r>
          </w:p>
        </w:tc>
      </w:tr>
      <w:tr w:rsidR="00230B96" w14:paraId="0A659CE4" w14:textId="77777777" w:rsidTr="000E6A79">
        <w:tc>
          <w:tcPr>
            <w:tcW w:w="2015" w:type="dxa"/>
            <w:vMerge/>
          </w:tcPr>
          <w:p w14:paraId="7C71AEEA" w14:textId="384279FA" w:rsidR="00230B96" w:rsidRPr="000D4DFD" w:rsidRDefault="00230B96" w:rsidP="006041C0">
            <w:pPr>
              <w:rPr>
                <w:sz w:val="22"/>
              </w:rPr>
            </w:pPr>
          </w:p>
        </w:tc>
        <w:tc>
          <w:tcPr>
            <w:tcW w:w="2015" w:type="dxa"/>
          </w:tcPr>
          <w:p w14:paraId="30504EB4" w14:textId="096AA34E" w:rsidR="00230B96" w:rsidRPr="000D4DFD" w:rsidRDefault="00230B96" w:rsidP="006041C0">
            <w:pPr>
              <w:rPr>
                <w:sz w:val="22"/>
              </w:rPr>
            </w:pPr>
            <w:r w:rsidRPr="000D4DFD">
              <w:rPr>
                <w:sz w:val="22"/>
              </w:rPr>
              <w:t>Follow-up contact</w:t>
            </w:r>
          </w:p>
        </w:tc>
        <w:tc>
          <w:tcPr>
            <w:tcW w:w="2015" w:type="dxa"/>
          </w:tcPr>
          <w:p w14:paraId="13E8276F" w14:textId="1DA8882B" w:rsidR="00230B96" w:rsidRPr="000D4DFD" w:rsidRDefault="000F21CF" w:rsidP="752B1935">
            <w:pPr>
              <w:jc w:val="center"/>
              <w:rPr>
                <w:rFonts w:cs="Times New Roman"/>
                <w:sz w:val="22"/>
              </w:rPr>
            </w:pPr>
            <w:r w:rsidRPr="000D4DFD">
              <w:rPr>
                <w:rFonts w:cs="Times New Roman"/>
                <w:sz w:val="22"/>
              </w:rPr>
              <w:t>42</w:t>
            </w:r>
          </w:p>
        </w:tc>
        <w:tc>
          <w:tcPr>
            <w:tcW w:w="2015" w:type="dxa"/>
          </w:tcPr>
          <w:p w14:paraId="4C3D9135" w14:textId="08565645" w:rsidR="00230B96" w:rsidRPr="000D4DFD" w:rsidRDefault="00230B96" w:rsidP="752B1935">
            <w:pPr>
              <w:jc w:val="center"/>
              <w:rPr>
                <w:sz w:val="22"/>
              </w:rPr>
            </w:pPr>
            <w:r w:rsidRPr="000D4DFD">
              <w:rPr>
                <w:sz w:val="22"/>
              </w:rPr>
              <w:t>$18.12</w:t>
            </w:r>
          </w:p>
        </w:tc>
        <w:tc>
          <w:tcPr>
            <w:tcW w:w="2015" w:type="dxa"/>
          </w:tcPr>
          <w:p w14:paraId="70F88DD2" w14:textId="79242A85" w:rsidR="00230B96" w:rsidRPr="000D4DFD" w:rsidRDefault="0028494F" w:rsidP="752B1935">
            <w:pPr>
              <w:jc w:val="center"/>
              <w:rPr>
                <w:sz w:val="22"/>
              </w:rPr>
            </w:pPr>
            <w:r w:rsidRPr="000D4DFD">
              <w:rPr>
                <w:sz w:val="22"/>
              </w:rPr>
              <w:t>$761.04</w:t>
            </w:r>
          </w:p>
        </w:tc>
      </w:tr>
      <w:tr w:rsidR="000E6A79" w14:paraId="2EA53BEE" w14:textId="77777777" w:rsidTr="000E6A79">
        <w:tc>
          <w:tcPr>
            <w:tcW w:w="2015" w:type="dxa"/>
          </w:tcPr>
          <w:p w14:paraId="62FD63B0" w14:textId="7AF5AC08" w:rsidR="000E6A79" w:rsidRPr="000D4DFD" w:rsidRDefault="000E6A79" w:rsidP="000E6A79">
            <w:pPr>
              <w:rPr>
                <w:sz w:val="22"/>
              </w:rPr>
            </w:pPr>
            <w:r w:rsidRPr="000D4DFD">
              <w:rPr>
                <w:sz w:val="22"/>
              </w:rPr>
              <w:t xml:space="preserve">General population focus group </w:t>
            </w:r>
          </w:p>
        </w:tc>
        <w:tc>
          <w:tcPr>
            <w:tcW w:w="2015" w:type="dxa"/>
          </w:tcPr>
          <w:p w14:paraId="2DE641A3" w14:textId="0BC3788B" w:rsidR="000E6A79" w:rsidRPr="000D4DFD" w:rsidRDefault="000E6A79" w:rsidP="000E6A79">
            <w:pPr>
              <w:rPr>
                <w:sz w:val="22"/>
              </w:rPr>
            </w:pPr>
            <w:r w:rsidRPr="000D4DFD">
              <w:rPr>
                <w:rFonts w:cs="Times New Roman"/>
                <w:sz w:val="22"/>
              </w:rPr>
              <w:t>Moderator guide for focus group</w:t>
            </w:r>
          </w:p>
        </w:tc>
        <w:tc>
          <w:tcPr>
            <w:tcW w:w="2015" w:type="dxa"/>
          </w:tcPr>
          <w:p w14:paraId="7570D6DD" w14:textId="6AD8673A" w:rsidR="000E6A79" w:rsidRPr="000D4DFD" w:rsidRDefault="000E6A79" w:rsidP="000E6A79">
            <w:pPr>
              <w:jc w:val="center"/>
              <w:rPr>
                <w:rFonts w:cs="Times New Roman"/>
                <w:sz w:val="22"/>
              </w:rPr>
            </w:pPr>
            <w:r w:rsidRPr="000D4DFD">
              <w:rPr>
                <w:rFonts w:cs="Times New Roman"/>
                <w:sz w:val="22"/>
              </w:rPr>
              <w:t>60</w:t>
            </w:r>
          </w:p>
        </w:tc>
        <w:tc>
          <w:tcPr>
            <w:tcW w:w="2015" w:type="dxa"/>
          </w:tcPr>
          <w:p w14:paraId="04EFD586" w14:textId="75F9F499" w:rsidR="000E6A79" w:rsidRPr="000D4DFD" w:rsidRDefault="000E6A79" w:rsidP="000E6A79">
            <w:pPr>
              <w:jc w:val="center"/>
              <w:rPr>
                <w:sz w:val="22"/>
              </w:rPr>
            </w:pPr>
            <w:r w:rsidRPr="000D4DFD">
              <w:rPr>
                <w:sz w:val="22"/>
              </w:rPr>
              <w:t>$18.12</w:t>
            </w:r>
          </w:p>
        </w:tc>
        <w:tc>
          <w:tcPr>
            <w:tcW w:w="2015" w:type="dxa"/>
          </w:tcPr>
          <w:p w14:paraId="7FDF2541" w14:textId="4DC64FA2" w:rsidR="000E6A79" w:rsidRPr="000D4DFD" w:rsidRDefault="000E6A79" w:rsidP="000E6A79">
            <w:pPr>
              <w:jc w:val="center"/>
              <w:rPr>
                <w:sz w:val="22"/>
              </w:rPr>
            </w:pPr>
            <w:r w:rsidRPr="000D4DFD">
              <w:rPr>
                <w:sz w:val="22"/>
              </w:rPr>
              <w:t>$1087.20</w:t>
            </w:r>
          </w:p>
        </w:tc>
      </w:tr>
      <w:tr w:rsidR="000E6A79" w14:paraId="232E8D00" w14:textId="77777777" w:rsidTr="000E6A79">
        <w:tc>
          <w:tcPr>
            <w:tcW w:w="2015" w:type="dxa"/>
          </w:tcPr>
          <w:p w14:paraId="07F8B6BA" w14:textId="60DD1FA8" w:rsidR="000E6A79" w:rsidRPr="000D4DFD" w:rsidRDefault="000E6A79" w:rsidP="000E6A79">
            <w:pPr>
              <w:rPr>
                <w:sz w:val="22"/>
              </w:rPr>
            </w:pPr>
            <w:r w:rsidRPr="000D4DFD">
              <w:rPr>
                <w:sz w:val="22"/>
              </w:rPr>
              <w:t>General population</w:t>
            </w:r>
            <w:r w:rsidR="00FF6921" w:rsidRPr="000D4DFD">
              <w:rPr>
                <w:sz w:val="22"/>
              </w:rPr>
              <w:t xml:space="preserve"> - </w:t>
            </w:r>
            <w:r w:rsidRPr="000D4DFD">
              <w:rPr>
                <w:sz w:val="22"/>
              </w:rPr>
              <w:t xml:space="preserve"> hybrid group</w:t>
            </w:r>
          </w:p>
        </w:tc>
        <w:tc>
          <w:tcPr>
            <w:tcW w:w="2015" w:type="dxa"/>
          </w:tcPr>
          <w:p w14:paraId="6B86A80D" w14:textId="64F41A6D" w:rsidR="000E6A79" w:rsidRPr="000D4DFD" w:rsidRDefault="000E6A79" w:rsidP="000E6A79">
            <w:pPr>
              <w:rPr>
                <w:sz w:val="22"/>
              </w:rPr>
            </w:pPr>
            <w:r w:rsidRPr="000D4DFD">
              <w:rPr>
                <w:rFonts w:cs="Times New Roman"/>
                <w:sz w:val="22"/>
              </w:rPr>
              <w:t>Moderator guide for focus group and cognitive interview</w:t>
            </w:r>
          </w:p>
        </w:tc>
        <w:tc>
          <w:tcPr>
            <w:tcW w:w="2015" w:type="dxa"/>
          </w:tcPr>
          <w:p w14:paraId="27E9FA8D" w14:textId="407057D8" w:rsidR="000E6A79" w:rsidRPr="000D4DFD" w:rsidRDefault="00FF6921" w:rsidP="000E6A79">
            <w:pPr>
              <w:jc w:val="center"/>
              <w:rPr>
                <w:rFonts w:cs="Times New Roman"/>
                <w:sz w:val="22"/>
              </w:rPr>
            </w:pPr>
            <w:r w:rsidRPr="000D4DFD">
              <w:rPr>
                <w:rFonts w:cs="Times New Roman"/>
                <w:sz w:val="22"/>
              </w:rPr>
              <w:t>30</w:t>
            </w:r>
          </w:p>
        </w:tc>
        <w:tc>
          <w:tcPr>
            <w:tcW w:w="2015" w:type="dxa"/>
          </w:tcPr>
          <w:p w14:paraId="563DC891" w14:textId="72931231" w:rsidR="000E6A79" w:rsidRPr="000D4DFD" w:rsidRDefault="000E6A79" w:rsidP="000E6A79">
            <w:pPr>
              <w:jc w:val="center"/>
              <w:rPr>
                <w:sz w:val="22"/>
              </w:rPr>
            </w:pPr>
            <w:r w:rsidRPr="000D4DFD">
              <w:rPr>
                <w:sz w:val="22"/>
              </w:rPr>
              <w:t>$18.12</w:t>
            </w:r>
          </w:p>
        </w:tc>
        <w:tc>
          <w:tcPr>
            <w:tcW w:w="2015" w:type="dxa"/>
          </w:tcPr>
          <w:p w14:paraId="1B44383F" w14:textId="78AB25D7" w:rsidR="000E6A79" w:rsidRPr="000D4DFD" w:rsidRDefault="00FF6921" w:rsidP="000E6A79">
            <w:pPr>
              <w:jc w:val="center"/>
              <w:rPr>
                <w:sz w:val="22"/>
              </w:rPr>
            </w:pPr>
            <w:r w:rsidRPr="000D4DFD">
              <w:rPr>
                <w:sz w:val="22"/>
              </w:rPr>
              <w:t>$543.60</w:t>
            </w:r>
          </w:p>
        </w:tc>
      </w:tr>
      <w:tr w:rsidR="004A13E8" w14:paraId="55FE17FC" w14:textId="77777777" w:rsidTr="000E6A79">
        <w:tc>
          <w:tcPr>
            <w:tcW w:w="2015" w:type="dxa"/>
          </w:tcPr>
          <w:p w14:paraId="55FE17F9" w14:textId="77777777" w:rsidR="004A13E8" w:rsidRPr="000D4DFD" w:rsidRDefault="004A13E8" w:rsidP="00EC1C2D">
            <w:pPr>
              <w:rPr>
                <w:b/>
                <w:sz w:val="22"/>
              </w:rPr>
            </w:pPr>
            <w:r w:rsidRPr="000D4DFD">
              <w:rPr>
                <w:b/>
                <w:sz w:val="22"/>
              </w:rPr>
              <w:t>Total</w:t>
            </w:r>
          </w:p>
        </w:tc>
        <w:tc>
          <w:tcPr>
            <w:tcW w:w="6045" w:type="dxa"/>
            <w:gridSpan w:val="3"/>
          </w:tcPr>
          <w:p w14:paraId="55FE17FA" w14:textId="77777777" w:rsidR="004A13E8" w:rsidRPr="000D4DFD" w:rsidRDefault="004A13E8" w:rsidP="00EC1C2D">
            <w:pPr>
              <w:rPr>
                <w:sz w:val="22"/>
              </w:rPr>
            </w:pPr>
          </w:p>
        </w:tc>
        <w:tc>
          <w:tcPr>
            <w:tcW w:w="2015" w:type="dxa"/>
          </w:tcPr>
          <w:p w14:paraId="55FE17FB" w14:textId="03AEC76D" w:rsidR="004A13E8" w:rsidRPr="000D4DFD" w:rsidRDefault="2838269F" w:rsidP="2838269F">
            <w:pPr>
              <w:jc w:val="center"/>
              <w:rPr>
                <w:sz w:val="22"/>
              </w:rPr>
            </w:pPr>
            <w:r w:rsidRPr="000D4DFD">
              <w:rPr>
                <w:sz w:val="22"/>
              </w:rPr>
              <w:t>$</w:t>
            </w:r>
            <w:r w:rsidR="002B317B" w:rsidRPr="000D4DFD">
              <w:rPr>
                <w:sz w:val="22"/>
              </w:rPr>
              <w:t>2,844.84</w:t>
            </w:r>
          </w:p>
        </w:tc>
      </w:tr>
    </w:tbl>
    <w:p w14:paraId="36FFE62D" w14:textId="21928552" w:rsidR="752B1935" w:rsidRPr="00B22702" w:rsidRDefault="752B1935" w:rsidP="00B22702">
      <w:pPr>
        <w:rPr>
          <w:sz w:val="22"/>
        </w:rPr>
      </w:pPr>
      <w:r w:rsidRPr="00B22702">
        <w:rPr>
          <w:sz w:val="22"/>
        </w:rPr>
        <w:t>*</w:t>
      </w:r>
      <w:r w:rsidR="006C6BBA" w:rsidRPr="00B22702">
        <w:rPr>
          <w:sz w:val="22"/>
        </w:rPr>
        <w:t xml:space="preserve">Hourly Wage data obtained from </w:t>
      </w:r>
      <w:hyperlink r:id="rId13" w:history="1">
        <w:r w:rsidR="00E54E74" w:rsidRPr="00B22702">
          <w:rPr>
            <w:rStyle w:val="Hyperlink"/>
            <w:sz w:val="22"/>
          </w:rPr>
          <w:t>https://www.bls.gov/oes/current/oes_nat.htm</w:t>
        </w:r>
      </w:hyperlink>
      <w:r w:rsidR="00E54E74" w:rsidRPr="00B22702">
        <w:rPr>
          <w:sz w:val="22"/>
        </w:rPr>
        <w:t xml:space="preserve"> using Median Wage for All Occupations.  Accessed on November 15, 2018.</w:t>
      </w:r>
    </w:p>
    <w:p w14:paraId="55FE17FE" w14:textId="77777777" w:rsidR="004A13E8" w:rsidRPr="00270E51" w:rsidRDefault="752B1935" w:rsidP="0025156B">
      <w:pPr>
        <w:pStyle w:val="Heading1"/>
        <w:spacing w:before="240"/>
      </w:pPr>
      <w:bookmarkStart w:id="16" w:name="_Toc534720625"/>
      <w:r>
        <w:t xml:space="preserve">Estimates of Other Total Annual </w:t>
      </w:r>
      <w:r w:rsidRPr="00270E51">
        <w:t>Cost Burden to Respondents or Record Keepers</w:t>
      </w:r>
      <w:bookmarkEnd w:id="16"/>
    </w:p>
    <w:p w14:paraId="55FE1800" w14:textId="00A2EF09" w:rsidR="004A13E8" w:rsidRPr="00270E51" w:rsidRDefault="004A13E8" w:rsidP="004A13E8">
      <w:r w:rsidRPr="00270E51">
        <w:t>There are no costs to respondents other than their time to participate.</w:t>
      </w:r>
    </w:p>
    <w:p w14:paraId="55FE1801" w14:textId="77777777" w:rsidR="004A13E8" w:rsidRPr="004403C8" w:rsidRDefault="752B1935" w:rsidP="004A13E8">
      <w:pPr>
        <w:pStyle w:val="Heading1"/>
      </w:pPr>
      <w:bookmarkStart w:id="17" w:name="_Toc534720626"/>
      <w:r w:rsidRPr="004403C8">
        <w:t>Annualized Cost to the Government</w:t>
      </w:r>
      <w:bookmarkEnd w:id="17"/>
    </w:p>
    <w:p w14:paraId="6772C37E" w14:textId="1C4DF082" w:rsidR="00F44A27" w:rsidRDefault="00F44A27" w:rsidP="19ADD18D">
      <w:r w:rsidRPr="00270E51">
        <w:t>The average annualized cost to the Federal Government</w:t>
      </w:r>
      <w:r>
        <w:t xml:space="preserve"> to collect this information is </w:t>
      </w:r>
      <w:r w:rsidR="00401838" w:rsidRPr="00401838">
        <w:t>$40,197.48</w:t>
      </w:r>
      <w:r>
        <w:t xml:space="preserve">. The federal government personnel estimate is based on cost of </w:t>
      </w:r>
      <w:r w:rsidR="009C0D7B">
        <w:t>five</w:t>
      </w:r>
      <w:r>
        <w:t xml:space="preserve"> CDC staff. Federal staff responsibilities include overall management and oversight of the project, provision of content matter expertise in the development of the research strategy and data collection instruments, oversight of focus group composition, and overseeing all data analyses and dissemination activities. </w:t>
      </w:r>
    </w:p>
    <w:p w14:paraId="28E061FC" w14:textId="6692210B" w:rsidR="00CC5357" w:rsidRDefault="00CC5357" w:rsidP="19ADD18D">
      <w:r>
        <w:t>Costs for the contractor, EurekaFacts, include direct labor for recruiting and screening participants, conducting focus groups, transcribing focus group audio recordings</w:t>
      </w:r>
      <w:r w:rsidR="00350901">
        <w:t xml:space="preserve">, analyzing qualitative data, and preparing and presenting the summary report. </w:t>
      </w:r>
    </w:p>
    <w:tbl>
      <w:tblPr>
        <w:tblW w:w="99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1"/>
        <w:gridCol w:w="4907"/>
        <w:gridCol w:w="1262"/>
        <w:gridCol w:w="1698"/>
      </w:tblGrid>
      <w:tr w:rsidR="002E69DE" w:rsidRPr="00755001" w14:paraId="489549F5" w14:textId="77777777" w:rsidTr="004403C8">
        <w:trPr>
          <w:trHeight w:val="546"/>
        </w:trPr>
        <w:tc>
          <w:tcPr>
            <w:tcW w:w="7018" w:type="dxa"/>
            <w:gridSpan w:val="2"/>
          </w:tcPr>
          <w:p w14:paraId="57FE8E51" w14:textId="77777777" w:rsidR="002E69DE" w:rsidRPr="00755001" w:rsidRDefault="002E69DE" w:rsidP="005046E5">
            <w:pPr>
              <w:spacing w:after="0" w:line="240" w:lineRule="auto"/>
              <w:jc w:val="both"/>
              <w:rPr>
                <w:rFonts w:cs="Times New Roman"/>
              </w:rPr>
            </w:pPr>
          </w:p>
        </w:tc>
        <w:tc>
          <w:tcPr>
            <w:tcW w:w="1262" w:type="dxa"/>
          </w:tcPr>
          <w:p w14:paraId="5BA69DC1" w14:textId="77777777" w:rsidR="002E69DE" w:rsidRPr="004403C8" w:rsidRDefault="002E69DE" w:rsidP="004403C8">
            <w:pPr>
              <w:spacing w:after="0" w:line="240" w:lineRule="auto"/>
              <w:jc w:val="both"/>
              <w:rPr>
                <w:rFonts w:cs="Times New Roman"/>
                <w:b/>
                <w:bCs/>
              </w:rPr>
            </w:pPr>
            <w:r w:rsidRPr="00180FCD">
              <w:rPr>
                <w:rFonts w:cs="Times New Roman"/>
                <w:b/>
                <w:bCs/>
              </w:rPr>
              <w:t>Percent Time</w:t>
            </w:r>
          </w:p>
        </w:tc>
        <w:tc>
          <w:tcPr>
            <w:tcW w:w="1698" w:type="dxa"/>
          </w:tcPr>
          <w:p w14:paraId="21FED746" w14:textId="77777777" w:rsidR="002E69DE" w:rsidRPr="004403C8" w:rsidRDefault="002E69DE" w:rsidP="004403C8">
            <w:pPr>
              <w:spacing w:after="0" w:line="240" w:lineRule="auto"/>
              <w:jc w:val="both"/>
              <w:rPr>
                <w:rFonts w:cs="Times New Roman"/>
                <w:b/>
                <w:bCs/>
              </w:rPr>
            </w:pPr>
            <w:r w:rsidRPr="00180FCD">
              <w:rPr>
                <w:rFonts w:cs="Times New Roman"/>
                <w:b/>
                <w:bCs/>
              </w:rPr>
              <w:t>Total ($)</w:t>
            </w:r>
          </w:p>
        </w:tc>
      </w:tr>
      <w:tr w:rsidR="002E69DE" w:rsidRPr="00755001" w14:paraId="62F2E642" w14:textId="77777777" w:rsidTr="004403C8">
        <w:trPr>
          <w:trHeight w:val="269"/>
        </w:trPr>
        <w:tc>
          <w:tcPr>
            <w:tcW w:w="2111" w:type="dxa"/>
            <w:vMerge w:val="restart"/>
          </w:tcPr>
          <w:p w14:paraId="22431851" w14:textId="77777777" w:rsidR="002E69DE" w:rsidRPr="004403C8" w:rsidRDefault="002E69DE" w:rsidP="004403C8">
            <w:pPr>
              <w:spacing w:after="0" w:line="240" w:lineRule="auto"/>
              <w:jc w:val="both"/>
              <w:rPr>
                <w:rFonts w:cs="Times New Roman"/>
                <w:b/>
                <w:bCs/>
              </w:rPr>
            </w:pPr>
            <w:r w:rsidRPr="00180FCD">
              <w:rPr>
                <w:rFonts w:cs="Times New Roman"/>
                <w:b/>
                <w:bCs/>
              </w:rPr>
              <w:t>Federal Government</w:t>
            </w:r>
          </w:p>
          <w:p w14:paraId="0308ACE0" w14:textId="77777777" w:rsidR="002E69DE" w:rsidRPr="004403C8" w:rsidRDefault="002E69DE" w:rsidP="004403C8">
            <w:pPr>
              <w:spacing w:after="0" w:line="240" w:lineRule="auto"/>
              <w:jc w:val="both"/>
              <w:rPr>
                <w:rFonts w:cs="Times New Roman"/>
                <w:b/>
                <w:bCs/>
              </w:rPr>
            </w:pPr>
            <w:r w:rsidRPr="00180FCD">
              <w:rPr>
                <w:rFonts w:cs="Times New Roman"/>
                <w:b/>
                <w:bCs/>
              </w:rPr>
              <w:t>Personnel Costs</w:t>
            </w:r>
          </w:p>
        </w:tc>
        <w:tc>
          <w:tcPr>
            <w:tcW w:w="4907" w:type="dxa"/>
          </w:tcPr>
          <w:p w14:paraId="7EDCD1DB" w14:textId="09D7060F" w:rsidR="002E69DE" w:rsidRPr="00755001" w:rsidRDefault="00860135" w:rsidP="005046E5">
            <w:pPr>
              <w:spacing w:after="0" w:line="240" w:lineRule="auto"/>
              <w:jc w:val="both"/>
              <w:rPr>
                <w:rFonts w:cs="Times New Roman"/>
              </w:rPr>
            </w:pPr>
            <w:r>
              <w:rPr>
                <w:rFonts w:cs="Times New Roman"/>
              </w:rPr>
              <w:t>CDC Epidemiologist (GS-13</w:t>
            </w:r>
            <w:r w:rsidR="002E69DE" w:rsidRPr="00755001">
              <w:rPr>
                <w:rFonts w:cs="Times New Roman"/>
              </w:rPr>
              <w:t>)</w:t>
            </w:r>
          </w:p>
        </w:tc>
        <w:tc>
          <w:tcPr>
            <w:tcW w:w="1262" w:type="dxa"/>
          </w:tcPr>
          <w:p w14:paraId="786BBF82" w14:textId="757521DA" w:rsidR="002E69DE" w:rsidRPr="00755001" w:rsidRDefault="008C09EF" w:rsidP="005046E5">
            <w:pPr>
              <w:spacing w:after="0" w:line="240" w:lineRule="auto"/>
              <w:jc w:val="both"/>
              <w:rPr>
                <w:rFonts w:cs="Times New Roman"/>
              </w:rPr>
            </w:pPr>
            <w:r>
              <w:rPr>
                <w:rFonts w:cs="Times New Roman"/>
              </w:rPr>
              <w:t>5</w:t>
            </w:r>
            <w:r w:rsidR="002E69DE" w:rsidRPr="00755001">
              <w:rPr>
                <w:rFonts w:cs="Times New Roman"/>
              </w:rPr>
              <w:t>%</w:t>
            </w:r>
          </w:p>
        </w:tc>
        <w:tc>
          <w:tcPr>
            <w:tcW w:w="1698" w:type="dxa"/>
          </w:tcPr>
          <w:p w14:paraId="589EE638" w14:textId="6D723897" w:rsidR="002E69DE" w:rsidRPr="00755001" w:rsidRDefault="00860135" w:rsidP="005046E5">
            <w:pPr>
              <w:spacing w:after="0" w:line="240" w:lineRule="auto"/>
              <w:jc w:val="both"/>
              <w:rPr>
                <w:rFonts w:cs="Times New Roman"/>
              </w:rPr>
            </w:pPr>
            <w:r>
              <w:rPr>
                <w:rFonts w:cs="Times New Roman"/>
              </w:rPr>
              <w:t>$</w:t>
            </w:r>
            <w:r w:rsidR="00931140">
              <w:rPr>
                <w:rFonts w:cs="Times New Roman"/>
              </w:rPr>
              <w:t>6,726.12</w:t>
            </w:r>
          </w:p>
        </w:tc>
      </w:tr>
      <w:tr w:rsidR="002E69DE" w:rsidRPr="00755001" w14:paraId="680A7408" w14:textId="77777777" w:rsidTr="004403C8">
        <w:trPr>
          <w:trHeight w:val="207"/>
        </w:trPr>
        <w:tc>
          <w:tcPr>
            <w:tcW w:w="2111" w:type="dxa"/>
            <w:vMerge/>
          </w:tcPr>
          <w:p w14:paraId="1B784BBE" w14:textId="77777777" w:rsidR="002E69DE" w:rsidRPr="00755001" w:rsidRDefault="002E69DE" w:rsidP="005046E5">
            <w:pPr>
              <w:spacing w:after="0" w:line="240" w:lineRule="auto"/>
              <w:jc w:val="both"/>
              <w:rPr>
                <w:rFonts w:cs="Times New Roman"/>
                <w:b/>
              </w:rPr>
            </w:pPr>
          </w:p>
        </w:tc>
        <w:tc>
          <w:tcPr>
            <w:tcW w:w="4907" w:type="dxa"/>
          </w:tcPr>
          <w:p w14:paraId="70FE82B9" w14:textId="4316B161" w:rsidR="002E69DE" w:rsidRPr="00755001" w:rsidRDefault="00860135" w:rsidP="005046E5">
            <w:pPr>
              <w:spacing w:after="0" w:line="240" w:lineRule="auto"/>
              <w:jc w:val="both"/>
              <w:rPr>
                <w:rFonts w:cs="Times New Roman"/>
              </w:rPr>
            </w:pPr>
            <w:r>
              <w:rPr>
                <w:rFonts w:cs="Times New Roman"/>
              </w:rPr>
              <w:t>CDC Branch Manager (GS-</w:t>
            </w:r>
            <w:r w:rsidR="00931140">
              <w:rPr>
                <w:rFonts w:cs="Times New Roman"/>
              </w:rPr>
              <w:t>13</w:t>
            </w:r>
            <w:r w:rsidR="002E69DE" w:rsidRPr="00755001">
              <w:rPr>
                <w:rFonts w:cs="Times New Roman"/>
              </w:rPr>
              <w:t xml:space="preserve">) </w:t>
            </w:r>
          </w:p>
        </w:tc>
        <w:tc>
          <w:tcPr>
            <w:tcW w:w="1262" w:type="dxa"/>
          </w:tcPr>
          <w:p w14:paraId="6EE9F714" w14:textId="3039E85E" w:rsidR="002E69DE" w:rsidRPr="00755001" w:rsidRDefault="00860135" w:rsidP="005046E5">
            <w:pPr>
              <w:spacing w:after="0" w:line="240" w:lineRule="auto"/>
              <w:jc w:val="both"/>
              <w:rPr>
                <w:rFonts w:cs="Times New Roman"/>
              </w:rPr>
            </w:pPr>
            <w:r>
              <w:rPr>
                <w:rFonts w:cs="Times New Roman"/>
              </w:rPr>
              <w:t>5</w:t>
            </w:r>
            <w:r w:rsidR="002E69DE" w:rsidRPr="00755001">
              <w:rPr>
                <w:rFonts w:cs="Times New Roman"/>
              </w:rPr>
              <w:t>%</w:t>
            </w:r>
          </w:p>
        </w:tc>
        <w:tc>
          <w:tcPr>
            <w:tcW w:w="1698" w:type="dxa"/>
          </w:tcPr>
          <w:p w14:paraId="20B8AE7B" w14:textId="305273D9" w:rsidR="002E69DE" w:rsidRPr="00755001" w:rsidRDefault="00860135" w:rsidP="005046E5">
            <w:pPr>
              <w:spacing w:after="0" w:line="240" w:lineRule="auto"/>
              <w:jc w:val="both"/>
              <w:rPr>
                <w:rFonts w:cs="Times New Roman"/>
              </w:rPr>
            </w:pPr>
            <w:r>
              <w:rPr>
                <w:rFonts w:cs="Times New Roman"/>
              </w:rPr>
              <w:t>$</w:t>
            </w:r>
            <w:r w:rsidR="00931140">
              <w:rPr>
                <w:rFonts w:cs="Times New Roman"/>
              </w:rPr>
              <w:t>7,893.92</w:t>
            </w:r>
          </w:p>
        </w:tc>
      </w:tr>
      <w:tr w:rsidR="002E69DE" w:rsidRPr="00755001" w14:paraId="3F6E31EB" w14:textId="77777777" w:rsidTr="004403C8">
        <w:trPr>
          <w:trHeight w:val="207"/>
        </w:trPr>
        <w:tc>
          <w:tcPr>
            <w:tcW w:w="2111" w:type="dxa"/>
            <w:vMerge/>
          </w:tcPr>
          <w:p w14:paraId="74123E74" w14:textId="77777777" w:rsidR="002E69DE" w:rsidRPr="00755001" w:rsidRDefault="002E69DE" w:rsidP="005046E5">
            <w:pPr>
              <w:spacing w:after="0" w:line="240" w:lineRule="auto"/>
              <w:jc w:val="both"/>
              <w:rPr>
                <w:rFonts w:cs="Times New Roman"/>
                <w:b/>
              </w:rPr>
            </w:pPr>
          </w:p>
        </w:tc>
        <w:tc>
          <w:tcPr>
            <w:tcW w:w="4907" w:type="dxa"/>
          </w:tcPr>
          <w:p w14:paraId="7AF2E963" w14:textId="08D68B1C" w:rsidR="002E69DE" w:rsidRPr="00755001" w:rsidRDefault="002E69DE" w:rsidP="005046E5">
            <w:pPr>
              <w:spacing w:after="0" w:line="240" w:lineRule="auto"/>
              <w:jc w:val="both"/>
              <w:rPr>
                <w:rFonts w:cs="Times New Roman"/>
              </w:rPr>
            </w:pPr>
            <w:r w:rsidRPr="00755001">
              <w:rPr>
                <w:rFonts w:cs="Times New Roman"/>
              </w:rPr>
              <w:t>CDC Health</w:t>
            </w:r>
            <w:r w:rsidR="00860135">
              <w:rPr>
                <w:rFonts w:cs="Times New Roman"/>
              </w:rPr>
              <w:t xml:space="preserve"> Communication Specialist (GS-</w:t>
            </w:r>
            <w:r w:rsidR="00931140">
              <w:rPr>
                <w:rFonts w:cs="Times New Roman"/>
              </w:rPr>
              <w:t>11</w:t>
            </w:r>
            <w:r w:rsidRPr="00755001">
              <w:rPr>
                <w:rFonts w:cs="Times New Roman"/>
              </w:rPr>
              <w:t>)</w:t>
            </w:r>
          </w:p>
        </w:tc>
        <w:tc>
          <w:tcPr>
            <w:tcW w:w="1262" w:type="dxa"/>
          </w:tcPr>
          <w:p w14:paraId="53F087E7" w14:textId="60006D7D" w:rsidR="002E69DE" w:rsidRPr="00755001" w:rsidRDefault="008C09EF" w:rsidP="005046E5">
            <w:pPr>
              <w:spacing w:after="0" w:line="240" w:lineRule="auto"/>
              <w:jc w:val="both"/>
              <w:rPr>
                <w:rFonts w:cs="Times New Roman"/>
              </w:rPr>
            </w:pPr>
            <w:r>
              <w:rPr>
                <w:rFonts w:cs="Times New Roman"/>
              </w:rPr>
              <w:t>5</w:t>
            </w:r>
            <w:r w:rsidR="002E69DE" w:rsidRPr="00755001">
              <w:rPr>
                <w:rFonts w:cs="Times New Roman"/>
              </w:rPr>
              <w:t>%</w:t>
            </w:r>
          </w:p>
        </w:tc>
        <w:tc>
          <w:tcPr>
            <w:tcW w:w="1698" w:type="dxa"/>
          </w:tcPr>
          <w:p w14:paraId="4D9A9C62" w14:textId="4C70EF26" w:rsidR="002E69DE" w:rsidRPr="00755001" w:rsidRDefault="002E69DE" w:rsidP="005046E5">
            <w:pPr>
              <w:spacing w:after="0" w:line="240" w:lineRule="auto"/>
              <w:jc w:val="both"/>
              <w:rPr>
                <w:rFonts w:cs="Times New Roman"/>
              </w:rPr>
            </w:pPr>
            <w:r>
              <w:rPr>
                <w:rFonts w:cs="Times New Roman"/>
              </w:rPr>
              <w:t>$</w:t>
            </w:r>
            <w:r w:rsidR="00931140">
              <w:rPr>
                <w:rFonts w:cs="Times New Roman"/>
              </w:rPr>
              <w:t>6,182.40</w:t>
            </w:r>
          </w:p>
        </w:tc>
      </w:tr>
      <w:tr w:rsidR="002E69DE" w:rsidRPr="00E77B05" w14:paraId="4061EE3B" w14:textId="77777777" w:rsidTr="004403C8">
        <w:trPr>
          <w:trHeight w:val="207"/>
        </w:trPr>
        <w:tc>
          <w:tcPr>
            <w:tcW w:w="2111" w:type="dxa"/>
            <w:vMerge/>
          </w:tcPr>
          <w:p w14:paraId="017DE7CE" w14:textId="77777777" w:rsidR="002E69DE" w:rsidRPr="00755001" w:rsidRDefault="002E69DE" w:rsidP="005046E5">
            <w:pPr>
              <w:spacing w:after="0" w:line="240" w:lineRule="auto"/>
              <w:jc w:val="both"/>
              <w:rPr>
                <w:rFonts w:cs="Times New Roman"/>
                <w:b/>
              </w:rPr>
            </w:pPr>
          </w:p>
        </w:tc>
        <w:tc>
          <w:tcPr>
            <w:tcW w:w="4907" w:type="dxa"/>
          </w:tcPr>
          <w:p w14:paraId="56327EBC" w14:textId="271056B5" w:rsidR="002E69DE" w:rsidRPr="00E77B05" w:rsidRDefault="002E69DE" w:rsidP="005046E5">
            <w:pPr>
              <w:spacing w:after="0" w:line="240" w:lineRule="auto"/>
              <w:jc w:val="both"/>
              <w:rPr>
                <w:rFonts w:cs="Times New Roman"/>
              </w:rPr>
            </w:pPr>
            <w:r w:rsidRPr="00E77B05">
              <w:rPr>
                <w:rFonts w:cs="Times New Roman"/>
              </w:rPr>
              <w:t xml:space="preserve">CDC </w:t>
            </w:r>
            <w:r w:rsidR="00860135">
              <w:rPr>
                <w:rFonts w:cs="Times New Roman"/>
              </w:rPr>
              <w:t>Supervisory Medical Officer (GS-</w:t>
            </w:r>
            <w:r w:rsidR="00931140">
              <w:rPr>
                <w:rFonts w:cs="Times New Roman"/>
              </w:rPr>
              <w:t>15</w:t>
            </w:r>
            <w:r w:rsidRPr="00E77B05">
              <w:rPr>
                <w:rFonts w:cs="Times New Roman"/>
              </w:rPr>
              <w:t>)</w:t>
            </w:r>
          </w:p>
        </w:tc>
        <w:tc>
          <w:tcPr>
            <w:tcW w:w="1262" w:type="dxa"/>
          </w:tcPr>
          <w:p w14:paraId="6A34D547" w14:textId="764FEF46" w:rsidR="002E69DE" w:rsidRPr="00E77B05" w:rsidRDefault="00860135" w:rsidP="005046E5">
            <w:pPr>
              <w:spacing w:after="0" w:line="240" w:lineRule="auto"/>
              <w:jc w:val="both"/>
              <w:rPr>
                <w:rFonts w:cs="Times New Roman"/>
              </w:rPr>
            </w:pPr>
            <w:r>
              <w:rPr>
                <w:rFonts w:cs="Times New Roman"/>
              </w:rPr>
              <w:t>5</w:t>
            </w:r>
            <w:r w:rsidR="002E69DE" w:rsidRPr="00E77B05">
              <w:rPr>
                <w:rFonts w:cs="Times New Roman"/>
              </w:rPr>
              <w:t>%</w:t>
            </w:r>
          </w:p>
        </w:tc>
        <w:tc>
          <w:tcPr>
            <w:tcW w:w="1698" w:type="dxa"/>
          </w:tcPr>
          <w:p w14:paraId="07E6E814" w14:textId="26597A92" w:rsidR="002E69DE" w:rsidRPr="00E77B05" w:rsidRDefault="00860135" w:rsidP="005046E5">
            <w:pPr>
              <w:spacing w:after="0" w:line="240" w:lineRule="auto"/>
              <w:jc w:val="both"/>
              <w:rPr>
                <w:rFonts w:cs="Times New Roman"/>
              </w:rPr>
            </w:pPr>
            <w:r>
              <w:rPr>
                <w:rFonts w:cs="Times New Roman"/>
              </w:rPr>
              <w:t>$</w:t>
            </w:r>
            <w:r w:rsidR="00931140">
              <w:rPr>
                <w:rFonts w:cs="Times New Roman"/>
              </w:rPr>
              <w:t>11,068.37</w:t>
            </w:r>
          </w:p>
        </w:tc>
      </w:tr>
      <w:tr w:rsidR="002E69DE" w:rsidRPr="00E77B05" w14:paraId="5CA2F987" w14:textId="77777777" w:rsidTr="004403C8">
        <w:trPr>
          <w:trHeight w:val="207"/>
        </w:trPr>
        <w:tc>
          <w:tcPr>
            <w:tcW w:w="2111" w:type="dxa"/>
            <w:vMerge/>
          </w:tcPr>
          <w:p w14:paraId="07FD124C" w14:textId="77777777" w:rsidR="002E69DE" w:rsidRPr="00755001" w:rsidRDefault="002E69DE" w:rsidP="005046E5">
            <w:pPr>
              <w:spacing w:after="0" w:line="240" w:lineRule="auto"/>
              <w:jc w:val="both"/>
              <w:rPr>
                <w:rFonts w:cs="Times New Roman"/>
                <w:b/>
              </w:rPr>
            </w:pPr>
          </w:p>
        </w:tc>
        <w:tc>
          <w:tcPr>
            <w:tcW w:w="4907" w:type="dxa"/>
          </w:tcPr>
          <w:p w14:paraId="12B39E51" w14:textId="452E6C76" w:rsidR="002E69DE" w:rsidRPr="00E77B05" w:rsidRDefault="008C09EF" w:rsidP="005046E5">
            <w:pPr>
              <w:spacing w:after="0" w:line="240" w:lineRule="auto"/>
              <w:jc w:val="both"/>
              <w:rPr>
                <w:rFonts w:cs="Times New Roman"/>
              </w:rPr>
            </w:pPr>
            <w:r>
              <w:rPr>
                <w:rFonts w:cs="Times New Roman"/>
              </w:rPr>
              <w:t>ORISE Fellow (GS-9</w:t>
            </w:r>
            <w:r w:rsidR="002E69DE" w:rsidRPr="00E77B05">
              <w:rPr>
                <w:rFonts w:cs="Times New Roman"/>
              </w:rPr>
              <w:t>)</w:t>
            </w:r>
          </w:p>
        </w:tc>
        <w:tc>
          <w:tcPr>
            <w:tcW w:w="1262" w:type="dxa"/>
          </w:tcPr>
          <w:p w14:paraId="0FCD3F74" w14:textId="27F6A998" w:rsidR="002E69DE" w:rsidRPr="00E77B05" w:rsidRDefault="008C09EF" w:rsidP="005046E5">
            <w:pPr>
              <w:spacing w:after="0" w:line="240" w:lineRule="auto"/>
              <w:jc w:val="both"/>
              <w:rPr>
                <w:rFonts w:cs="Times New Roman"/>
              </w:rPr>
            </w:pPr>
            <w:r>
              <w:rPr>
                <w:rFonts w:cs="Times New Roman"/>
              </w:rPr>
              <w:t>1</w:t>
            </w:r>
            <w:r w:rsidR="002E69DE">
              <w:rPr>
                <w:rFonts w:cs="Times New Roman"/>
              </w:rPr>
              <w:t>0</w:t>
            </w:r>
            <w:r w:rsidR="002E69DE" w:rsidRPr="00E77B05">
              <w:rPr>
                <w:rFonts w:cs="Times New Roman"/>
              </w:rPr>
              <w:t>%</w:t>
            </w:r>
          </w:p>
        </w:tc>
        <w:tc>
          <w:tcPr>
            <w:tcW w:w="1698" w:type="dxa"/>
          </w:tcPr>
          <w:p w14:paraId="5007F731" w14:textId="188030FB" w:rsidR="002E69DE" w:rsidRPr="00E77B05" w:rsidRDefault="0076287E" w:rsidP="005046E5">
            <w:pPr>
              <w:spacing w:after="0" w:line="240" w:lineRule="auto"/>
              <w:jc w:val="both"/>
              <w:rPr>
                <w:rFonts w:cs="Times New Roman"/>
              </w:rPr>
            </w:pPr>
            <w:r>
              <w:rPr>
                <w:rFonts w:cs="Times New Roman"/>
              </w:rPr>
              <w:t>$</w:t>
            </w:r>
            <w:r w:rsidR="00931140">
              <w:rPr>
                <w:rFonts w:cs="Times New Roman"/>
              </w:rPr>
              <w:t>8,326.67</w:t>
            </w:r>
          </w:p>
        </w:tc>
      </w:tr>
      <w:tr w:rsidR="002E69DE" w:rsidRPr="00E77B05" w14:paraId="60ADDDC1" w14:textId="77777777" w:rsidTr="004403C8">
        <w:trPr>
          <w:trHeight w:val="331"/>
        </w:trPr>
        <w:tc>
          <w:tcPr>
            <w:tcW w:w="8280" w:type="dxa"/>
            <w:gridSpan w:val="3"/>
          </w:tcPr>
          <w:p w14:paraId="734B8B01" w14:textId="77777777" w:rsidR="002E69DE" w:rsidRPr="00E77B05" w:rsidRDefault="002E69DE" w:rsidP="005046E5">
            <w:pPr>
              <w:spacing w:after="0" w:line="240" w:lineRule="auto"/>
              <w:jc w:val="both"/>
              <w:rPr>
                <w:rFonts w:cs="Times New Roman"/>
              </w:rPr>
            </w:pPr>
            <w:r w:rsidRPr="00180FCD">
              <w:rPr>
                <w:rFonts w:cs="Times New Roman"/>
                <w:b/>
                <w:bCs/>
              </w:rPr>
              <w:t>Total Annualized Cost to Government</w:t>
            </w:r>
          </w:p>
        </w:tc>
        <w:tc>
          <w:tcPr>
            <w:tcW w:w="1698" w:type="dxa"/>
          </w:tcPr>
          <w:p w14:paraId="342092D6" w14:textId="49C8BC71" w:rsidR="002E69DE" w:rsidRPr="00E77B05" w:rsidRDefault="00931140" w:rsidP="005046E5">
            <w:pPr>
              <w:spacing w:after="0" w:line="240" w:lineRule="auto"/>
              <w:jc w:val="both"/>
              <w:rPr>
                <w:rFonts w:eastAsia="Times New Roman" w:cs="Times New Roman"/>
                <w:color w:val="000000"/>
              </w:rPr>
            </w:pPr>
            <w:r>
              <w:rPr>
                <w:rFonts w:eastAsia="Times New Roman" w:cs="Times New Roman"/>
                <w:color w:val="000000"/>
              </w:rPr>
              <w:t>$40,197.48</w:t>
            </w:r>
          </w:p>
        </w:tc>
      </w:tr>
    </w:tbl>
    <w:p w14:paraId="55FE1810" w14:textId="77777777" w:rsidR="004A13E8" w:rsidRDefault="752B1935" w:rsidP="0025156B">
      <w:pPr>
        <w:pStyle w:val="Heading1"/>
        <w:spacing w:before="240"/>
      </w:pPr>
      <w:bookmarkStart w:id="18" w:name="_Toc534720627"/>
      <w:r>
        <w:t>Explanation for Program Changes or Adjustments</w:t>
      </w:r>
      <w:bookmarkEnd w:id="18"/>
    </w:p>
    <w:p w14:paraId="5E28B83B" w14:textId="02B12B83" w:rsidR="00F2121E" w:rsidRPr="00F2121E" w:rsidRDefault="00F2121E" w:rsidP="00B22702">
      <w:r w:rsidRPr="00F2121E">
        <w:t>No change</w:t>
      </w:r>
      <w:r w:rsidR="00A916D7">
        <w:t>s are</w:t>
      </w:r>
      <w:r w:rsidRPr="00F2121E">
        <w:t xml:space="preserve"> requested as this is a new information collection.</w:t>
      </w:r>
    </w:p>
    <w:p w14:paraId="69AF2F0C" w14:textId="06E224B3" w:rsidR="00EE4891" w:rsidRPr="00EE4891" w:rsidRDefault="752B1935" w:rsidP="00EE4891">
      <w:pPr>
        <w:pStyle w:val="Heading1"/>
      </w:pPr>
      <w:bookmarkStart w:id="19" w:name="_Toc534720628"/>
      <w:r>
        <w:t>Plans for Tabulation and Publication and Project Time Schedule</w:t>
      </w:r>
      <w:bookmarkEnd w:id="19"/>
    </w:p>
    <w:tbl>
      <w:tblPr>
        <w:tblStyle w:val="TableGrid"/>
        <w:tblW w:w="0" w:type="auto"/>
        <w:tblLook w:val="04A0" w:firstRow="1" w:lastRow="0" w:firstColumn="1" w:lastColumn="0" w:noHBand="0" w:noVBand="1"/>
      </w:tblPr>
      <w:tblGrid>
        <w:gridCol w:w="5035"/>
        <w:gridCol w:w="5035"/>
      </w:tblGrid>
      <w:tr w:rsidR="004A13E8" w14:paraId="55FE1815" w14:textId="77777777" w:rsidTr="004A13E8">
        <w:tc>
          <w:tcPr>
            <w:tcW w:w="10070" w:type="dxa"/>
            <w:gridSpan w:val="2"/>
            <w:vAlign w:val="center"/>
          </w:tcPr>
          <w:p w14:paraId="55FE1814" w14:textId="77777777" w:rsidR="004A13E8" w:rsidRDefault="004A13E8" w:rsidP="004A13E8">
            <w:pPr>
              <w:jc w:val="center"/>
            </w:pPr>
            <w:r>
              <w:t>Project Time Schedule</w:t>
            </w:r>
          </w:p>
        </w:tc>
      </w:tr>
      <w:tr w:rsidR="004A13E8" w14:paraId="55FE1818" w14:textId="77777777" w:rsidTr="004A13E8">
        <w:tc>
          <w:tcPr>
            <w:tcW w:w="5035" w:type="dxa"/>
            <w:vAlign w:val="center"/>
          </w:tcPr>
          <w:p w14:paraId="55FE1816" w14:textId="77777777" w:rsidR="004A13E8" w:rsidRDefault="004A13E8" w:rsidP="004A13E8">
            <w:pPr>
              <w:jc w:val="center"/>
            </w:pPr>
            <w:r>
              <w:t>Activity</w:t>
            </w:r>
          </w:p>
        </w:tc>
        <w:tc>
          <w:tcPr>
            <w:tcW w:w="5035" w:type="dxa"/>
            <w:vAlign w:val="center"/>
          </w:tcPr>
          <w:p w14:paraId="55FE1817" w14:textId="77777777" w:rsidR="004A13E8" w:rsidRDefault="004A13E8" w:rsidP="004A13E8">
            <w:pPr>
              <w:jc w:val="center"/>
            </w:pPr>
            <w:r>
              <w:t>Time Schedule</w:t>
            </w:r>
          </w:p>
        </w:tc>
      </w:tr>
      <w:tr w:rsidR="004A13E8" w14:paraId="55FE181B" w14:textId="77777777" w:rsidTr="004A13E8">
        <w:tc>
          <w:tcPr>
            <w:tcW w:w="5035" w:type="dxa"/>
          </w:tcPr>
          <w:p w14:paraId="55FE1819" w14:textId="43B3B6F7" w:rsidR="004A13E8" w:rsidRDefault="00785937" w:rsidP="004A13E8">
            <w:r>
              <w:t>Begin recruitment of participants</w:t>
            </w:r>
          </w:p>
        </w:tc>
        <w:tc>
          <w:tcPr>
            <w:tcW w:w="5035" w:type="dxa"/>
          </w:tcPr>
          <w:p w14:paraId="55FE181A" w14:textId="607EF92C" w:rsidR="004A13E8" w:rsidRDefault="00785937" w:rsidP="004A13E8">
            <w:r>
              <w:t>1 week after OMB approval</w:t>
            </w:r>
          </w:p>
        </w:tc>
      </w:tr>
      <w:tr w:rsidR="004A13E8" w14:paraId="55FE181E" w14:textId="77777777" w:rsidTr="004A13E8">
        <w:tc>
          <w:tcPr>
            <w:tcW w:w="5035" w:type="dxa"/>
          </w:tcPr>
          <w:p w14:paraId="55FE181C" w14:textId="6C4506AC" w:rsidR="004A13E8" w:rsidRDefault="00785937" w:rsidP="004A13E8">
            <w:r>
              <w:t>Conduct focus groups</w:t>
            </w:r>
          </w:p>
        </w:tc>
        <w:tc>
          <w:tcPr>
            <w:tcW w:w="5035" w:type="dxa"/>
          </w:tcPr>
          <w:p w14:paraId="55FE181D" w14:textId="165053C8" w:rsidR="004A13E8" w:rsidRDefault="00785937" w:rsidP="004A13E8">
            <w:r>
              <w:t>3 months after OMB approval</w:t>
            </w:r>
          </w:p>
        </w:tc>
      </w:tr>
      <w:tr w:rsidR="00785937" w14:paraId="3379FDFB" w14:textId="77777777" w:rsidTr="004A13E8">
        <w:tc>
          <w:tcPr>
            <w:tcW w:w="5035" w:type="dxa"/>
          </w:tcPr>
          <w:p w14:paraId="2318C502" w14:textId="531D792D" w:rsidR="00785937" w:rsidRDefault="00785937" w:rsidP="004A13E8">
            <w:r>
              <w:t>Final report due</w:t>
            </w:r>
          </w:p>
        </w:tc>
        <w:tc>
          <w:tcPr>
            <w:tcW w:w="5035" w:type="dxa"/>
          </w:tcPr>
          <w:p w14:paraId="084AAA75" w14:textId="0554CB0C" w:rsidR="00785937" w:rsidRDefault="00785937" w:rsidP="004A13E8">
            <w:r>
              <w:t>4 months after OMB approval</w:t>
            </w:r>
          </w:p>
        </w:tc>
      </w:tr>
      <w:tr w:rsidR="00785937" w14:paraId="315E80F6" w14:textId="77777777" w:rsidTr="004A13E8">
        <w:tc>
          <w:tcPr>
            <w:tcW w:w="5035" w:type="dxa"/>
          </w:tcPr>
          <w:p w14:paraId="7D75DE8D" w14:textId="540CD27D" w:rsidR="00785937" w:rsidRDefault="00785937" w:rsidP="004A13E8">
            <w:r>
              <w:t>In-person presentation</w:t>
            </w:r>
          </w:p>
        </w:tc>
        <w:tc>
          <w:tcPr>
            <w:tcW w:w="5035" w:type="dxa"/>
          </w:tcPr>
          <w:p w14:paraId="2DE7D18B" w14:textId="68384FB4" w:rsidR="00785937" w:rsidRDefault="00785937" w:rsidP="004A13E8">
            <w:r>
              <w:t>5 months after OMB approval</w:t>
            </w:r>
          </w:p>
        </w:tc>
      </w:tr>
    </w:tbl>
    <w:p w14:paraId="68539389" w14:textId="2917F607" w:rsidR="00E20011" w:rsidRPr="00EC281D" w:rsidRDefault="00E20011" w:rsidP="00EC281D">
      <w:r>
        <w:br/>
      </w:r>
      <w:r w:rsidRPr="00EC281D">
        <w:t xml:space="preserve">The main reporting mechanism will be in the form of a final formative research report submitted to CDC. The final report will include the following information: an executive summary, overview of background literature to provide contextual information about the purpose of the research, a detailed summary of the formative research methods and results, a discussion of findings, strengths and limitations of the research, and future directions regarding message strategy. </w:t>
      </w:r>
    </w:p>
    <w:p w14:paraId="1C5F6D38" w14:textId="55E15DE8" w:rsidR="00EC281D" w:rsidRPr="00EC281D" w:rsidRDefault="00EC281D" w:rsidP="00EC281D">
      <w:r w:rsidRPr="00EC281D">
        <w:t xml:space="preserve">In addition, EurekaFacts will schedule and conduct in-person briefings for the CDC team and staff with a visual display materials and handouts in PowerPoint. Comments on draft presentations will be incorporated into final presentations. Each briefing and presentation will include an overview of the </w:t>
      </w:r>
      <w:r w:rsidR="009C0D7B">
        <w:t>project</w:t>
      </w:r>
      <w:r w:rsidRPr="00EC281D">
        <w:t xml:space="preserve">, key findings from the focus groups, and recommendations. </w:t>
      </w:r>
    </w:p>
    <w:p w14:paraId="55FE1826" w14:textId="37365F46" w:rsidR="004A13E8" w:rsidRDefault="752B1935" w:rsidP="0025156B">
      <w:pPr>
        <w:pStyle w:val="Heading1"/>
        <w:spacing w:before="240"/>
      </w:pPr>
      <w:bookmarkStart w:id="20" w:name="_Toc534720629"/>
      <w:r>
        <w:t>Reason(s) Display of OMB Expiration Date is Inappropriate</w:t>
      </w:r>
      <w:bookmarkEnd w:id="20"/>
    </w:p>
    <w:p w14:paraId="55FE1827" w14:textId="77777777" w:rsidR="004A13E8" w:rsidRPr="004A13E8" w:rsidRDefault="004A13E8" w:rsidP="004A13E8">
      <w:r>
        <w:t>The display of the OMB Expiration date is not inappropriate.</w:t>
      </w:r>
    </w:p>
    <w:p w14:paraId="55FE1828" w14:textId="77777777" w:rsidR="004A13E8" w:rsidRDefault="752B1935" w:rsidP="004A13E8">
      <w:pPr>
        <w:pStyle w:val="Heading1"/>
      </w:pPr>
      <w:bookmarkStart w:id="21" w:name="_Toc534720630"/>
      <w:r>
        <w:t>Exceptions to Certification for Paperwork Reduction Act Submissions</w:t>
      </w:r>
      <w:bookmarkEnd w:id="21"/>
    </w:p>
    <w:p w14:paraId="55FE1829" w14:textId="2753E1BF" w:rsidR="004A13E8" w:rsidRDefault="004A13E8" w:rsidP="004A13E8">
      <w:r>
        <w:t>There are no exceptions to the certification.</w:t>
      </w:r>
    </w:p>
    <w:p w14:paraId="58083566" w14:textId="241C193F" w:rsidR="001232C3" w:rsidRDefault="001232C3" w:rsidP="004A13E8">
      <w:r>
        <w:rPr>
          <w:b/>
        </w:rPr>
        <w:t>References</w:t>
      </w:r>
    </w:p>
    <w:p w14:paraId="2E6EFCEA" w14:textId="77777777" w:rsidR="001232C3" w:rsidRPr="001232C3" w:rsidRDefault="001232C3" w:rsidP="001232C3">
      <w:pPr>
        <w:pStyle w:val="biblio"/>
        <w:spacing w:after="0"/>
        <w:rPr>
          <w:rFonts w:ascii="Times New Roman" w:hAnsi="Times New Roman" w:cs="Times New Roman"/>
          <w:szCs w:val="24"/>
        </w:rPr>
      </w:pPr>
      <w:r w:rsidRPr="001232C3">
        <w:rPr>
          <w:rFonts w:ascii="Times New Roman" w:hAnsi="Times New Roman" w:cs="Times New Roman"/>
          <w:szCs w:val="24"/>
        </w:rPr>
        <w:t xml:space="preserve">Abreu, D. A., &amp; Winters, F. (1999). Using monetary incentives to reduce attrition in the survey of income and program participation. </w:t>
      </w:r>
      <w:r w:rsidRPr="001232C3">
        <w:rPr>
          <w:rFonts w:ascii="Times New Roman" w:hAnsi="Times New Roman" w:cs="Times New Roman"/>
          <w:i/>
          <w:szCs w:val="24"/>
        </w:rPr>
        <w:t>Proceedings of the Survey Research Methods Section of the American Statistical Association</w:t>
      </w:r>
      <w:r w:rsidRPr="001232C3">
        <w:rPr>
          <w:rFonts w:ascii="Times New Roman" w:hAnsi="Times New Roman" w:cs="Times New Roman"/>
          <w:szCs w:val="24"/>
        </w:rPr>
        <w:t>.</w:t>
      </w:r>
    </w:p>
    <w:p w14:paraId="702E4273" w14:textId="77777777" w:rsidR="001232C3" w:rsidRPr="001232C3" w:rsidRDefault="001232C3" w:rsidP="001232C3">
      <w:pPr>
        <w:ind w:left="720" w:hanging="720"/>
        <w:rPr>
          <w:rFonts w:cs="Times New Roman"/>
          <w:lang w:eastAsia="x-none"/>
        </w:rPr>
      </w:pPr>
      <w:r w:rsidRPr="001232C3">
        <w:rPr>
          <w:rFonts w:cs="Times New Roman"/>
          <w:lang w:eastAsia="x-none"/>
        </w:rPr>
        <w:t>Centers for Disease Control and Prevention (</w:t>
      </w:r>
      <w:bookmarkStart w:id="22" w:name="_Hlk529983181"/>
      <w:r w:rsidRPr="001232C3">
        <w:rPr>
          <w:rFonts w:cs="Times New Roman"/>
          <w:lang w:eastAsia="x-none"/>
        </w:rPr>
        <w:t>2018</w:t>
      </w:r>
      <w:bookmarkEnd w:id="22"/>
      <w:r w:rsidRPr="001232C3">
        <w:rPr>
          <w:rFonts w:cs="Times New Roman"/>
          <w:lang w:eastAsia="x-none"/>
        </w:rPr>
        <w:t>, February 16). Foodborne Illnesses and Germs. Retrieved from</w:t>
      </w:r>
      <w:r w:rsidRPr="001232C3">
        <w:rPr>
          <w:rFonts w:cs="Times New Roman"/>
        </w:rPr>
        <w:t xml:space="preserve"> </w:t>
      </w:r>
      <w:hyperlink r:id="rId14" w:history="1">
        <w:r w:rsidRPr="001232C3">
          <w:rPr>
            <w:rStyle w:val="Hyperlink"/>
            <w:rFonts w:cs="Times New Roman"/>
            <w:lang w:eastAsia="x-none"/>
          </w:rPr>
          <w:t>https://www.cdc.gov/foodsafety/foodborne-germs.html</w:t>
        </w:r>
      </w:hyperlink>
    </w:p>
    <w:p w14:paraId="682D1042" w14:textId="77777777" w:rsidR="001232C3" w:rsidRPr="001232C3" w:rsidRDefault="001232C3" w:rsidP="001232C3">
      <w:pPr>
        <w:ind w:left="720" w:hanging="720"/>
        <w:rPr>
          <w:rFonts w:cs="Times New Roman"/>
          <w:lang w:eastAsia="x-none"/>
        </w:rPr>
      </w:pPr>
      <w:r w:rsidRPr="001232C3">
        <w:rPr>
          <w:rFonts w:cs="Times New Roman"/>
          <w:lang w:eastAsia="x-none"/>
        </w:rPr>
        <w:t xml:space="preserve">Hoffmann, Sandra, Michael B. Batz, and J. G. Morris. (2012). Annual cost of illness and quality-adjusted life year losses in the united states due to 14 foodborne pathogens. </w:t>
      </w:r>
      <w:r w:rsidRPr="001232C3">
        <w:rPr>
          <w:rFonts w:cs="Times New Roman"/>
          <w:i/>
          <w:lang w:eastAsia="x-none"/>
        </w:rPr>
        <w:t>Journal of food protection 75</w:t>
      </w:r>
      <w:r w:rsidRPr="001232C3">
        <w:rPr>
          <w:rFonts w:cs="Times New Roman"/>
          <w:lang w:eastAsia="x-none"/>
        </w:rPr>
        <w:t>(7) (07), 1292-302. Retrieved from http://proxygw.wrlc.org/login?url=https://search-proquest-com.proxygw.wrlc.org/docview/1024158105?accountid=11243 (accessed August 14, 2018).</w:t>
      </w:r>
    </w:p>
    <w:p w14:paraId="589378B3" w14:textId="77777777" w:rsidR="001232C3" w:rsidRPr="001232C3" w:rsidRDefault="001232C3" w:rsidP="001232C3">
      <w:pPr>
        <w:pStyle w:val="biblio"/>
        <w:spacing w:after="0"/>
        <w:rPr>
          <w:rFonts w:ascii="Times New Roman" w:hAnsi="Times New Roman" w:cs="Times New Roman"/>
          <w:szCs w:val="24"/>
        </w:rPr>
      </w:pPr>
      <w:r w:rsidRPr="001232C3">
        <w:rPr>
          <w:rFonts w:ascii="Times New Roman" w:hAnsi="Times New Roman" w:cs="Times New Roman"/>
          <w:szCs w:val="24"/>
        </w:rPr>
        <w:t xml:space="preserve">Shettle, C., &amp; Mooney, G. (1999). Monetary incentives in U.S. government surveys. </w:t>
      </w:r>
      <w:r w:rsidRPr="001232C3">
        <w:rPr>
          <w:rFonts w:ascii="Times New Roman" w:hAnsi="Times New Roman" w:cs="Times New Roman"/>
          <w:i/>
          <w:szCs w:val="24"/>
        </w:rPr>
        <w:t>Journal of Official Statistics, 15</w:t>
      </w:r>
      <w:r w:rsidRPr="001232C3">
        <w:rPr>
          <w:rFonts w:ascii="Times New Roman" w:hAnsi="Times New Roman" w:cs="Times New Roman"/>
          <w:szCs w:val="24"/>
        </w:rPr>
        <w:t>, 231–250.</w:t>
      </w:r>
      <w:r w:rsidRPr="001232C3">
        <w:rPr>
          <w:rFonts w:ascii="Times New Roman" w:hAnsi="Times New Roman" w:cs="Times New Roman"/>
          <w:szCs w:val="24"/>
        </w:rPr>
        <w:br/>
      </w:r>
    </w:p>
    <w:p w14:paraId="55FE182A" w14:textId="77777777" w:rsidR="004A13E8" w:rsidRPr="004A13E8" w:rsidRDefault="004A13E8" w:rsidP="004A13E8">
      <w:pPr>
        <w:pStyle w:val="Heading1"/>
        <w:numPr>
          <w:ilvl w:val="0"/>
          <w:numId w:val="0"/>
        </w:numPr>
      </w:pPr>
      <w:bookmarkStart w:id="23" w:name="_Toc534720631"/>
      <w:r>
        <w:t>Attachments</w:t>
      </w:r>
      <w:bookmarkEnd w:id="23"/>
    </w:p>
    <w:p w14:paraId="6E6D329C" w14:textId="40CBCAC6" w:rsidR="005D799C" w:rsidRDefault="005D799C" w:rsidP="00DF2830">
      <w:pPr>
        <w:pStyle w:val="ListParagraph"/>
        <w:numPr>
          <w:ilvl w:val="0"/>
          <w:numId w:val="7"/>
        </w:numPr>
      </w:pPr>
      <w:r>
        <w:t>Sampling Plan</w:t>
      </w:r>
    </w:p>
    <w:p w14:paraId="6E3B7285" w14:textId="10F2F3F9" w:rsidR="005D799C" w:rsidRDefault="005D799C" w:rsidP="00DF2830">
      <w:pPr>
        <w:pStyle w:val="ListParagraph"/>
        <w:numPr>
          <w:ilvl w:val="0"/>
          <w:numId w:val="7"/>
        </w:numPr>
      </w:pPr>
      <w:r>
        <w:t>Recruitment Materials</w:t>
      </w:r>
    </w:p>
    <w:p w14:paraId="79A54F39" w14:textId="0F4FF364" w:rsidR="005D799C" w:rsidRDefault="005D799C" w:rsidP="00DF2830">
      <w:pPr>
        <w:pStyle w:val="ListParagraph"/>
        <w:numPr>
          <w:ilvl w:val="0"/>
          <w:numId w:val="7"/>
        </w:numPr>
      </w:pPr>
      <w:r>
        <w:t>Screener</w:t>
      </w:r>
    </w:p>
    <w:p w14:paraId="55DD4819" w14:textId="62D790EF" w:rsidR="005D799C" w:rsidRDefault="005D799C" w:rsidP="00DF2830">
      <w:pPr>
        <w:pStyle w:val="ListParagraph"/>
        <w:numPr>
          <w:ilvl w:val="0"/>
          <w:numId w:val="7"/>
        </w:numPr>
      </w:pPr>
      <w:r>
        <w:t>Consent forms</w:t>
      </w:r>
    </w:p>
    <w:p w14:paraId="2523D3CE" w14:textId="3817A8F4" w:rsidR="005D799C" w:rsidRDefault="005D799C" w:rsidP="00DF2830">
      <w:pPr>
        <w:pStyle w:val="ListParagraph"/>
        <w:numPr>
          <w:ilvl w:val="0"/>
          <w:numId w:val="7"/>
        </w:numPr>
      </w:pPr>
      <w:r>
        <w:t xml:space="preserve">CDC Foodborne Outbreak Knowledge and Practices </w:t>
      </w:r>
      <w:r w:rsidR="00393EB4">
        <w:t>FG Moderator Guide</w:t>
      </w:r>
    </w:p>
    <w:p w14:paraId="55FE182E" w14:textId="18FED6CA" w:rsidR="00AD2F36" w:rsidRDefault="005D799C" w:rsidP="00DF2830">
      <w:pPr>
        <w:pStyle w:val="ListParagraph"/>
        <w:numPr>
          <w:ilvl w:val="0"/>
          <w:numId w:val="7"/>
        </w:numPr>
      </w:pPr>
      <w:r>
        <w:t>CDC Foodborne Message Test</w:t>
      </w:r>
      <w:r w:rsidR="00393EB4">
        <w:t xml:space="preserve"> FG Guide &amp; Cognitive Interview</w:t>
      </w:r>
    </w:p>
    <w:p w14:paraId="0B9F7009" w14:textId="3F669FF2" w:rsidR="003C3677" w:rsidRDefault="003C3677" w:rsidP="00DF2830">
      <w:pPr>
        <w:pStyle w:val="ListParagraph"/>
        <w:numPr>
          <w:ilvl w:val="0"/>
          <w:numId w:val="7"/>
        </w:numPr>
      </w:pPr>
      <w:r>
        <w:t>Messages to Test</w:t>
      </w:r>
    </w:p>
    <w:p w14:paraId="16305267" w14:textId="1EF15C0C" w:rsidR="00CD4CAD" w:rsidRPr="004A13E8" w:rsidRDefault="00CD4CAD" w:rsidP="00DF2830">
      <w:pPr>
        <w:pStyle w:val="ListParagraph"/>
        <w:numPr>
          <w:ilvl w:val="0"/>
          <w:numId w:val="7"/>
        </w:numPr>
      </w:pPr>
      <w:r>
        <w:t>CDC non-research determination</w:t>
      </w:r>
    </w:p>
    <w:sectPr w:rsidR="00CD4CAD" w:rsidRPr="004A13E8" w:rsidSect="00180FCD">
      <w:footerReference w:type="defaul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E70D8" w14:textId="77777777" w:rsidR="00163686" w:rsidRDefault="00163686" w:rsidP="008B5D54">
      <w:pPr>
        <w:spacing w:after="0" w:line="240" w:lineRule="auto"/>
      </w:pPr>
      <w:r>
        <w:separator/>
      </w:r>
    </w:p>
  </w:endnote>
  <w:endnote w:type="continuationSeparator" w:id="0">
    <w:p w14:paraId="289E7B20" w14:textId="77777777" w:rsidR="00163686" w:rsidRDefault="00163686" w:rsidP="008B5D54">
      <w:pPr>
        <w:spacing w:after="0" w:line="240" w:lineRule="auto"/>
      </w:pPr>
      <w:r>
        <w:continuationSeparator/>
      </w:r>
    </w:p>
  </w:endnote>
  <w:endnote w:type="continuationNotice" w:id="1">
    <w:p w14:paraId="33F667F2" w14:textId="77777777" w:rsidR="00163686" w:rsidRDefault="00163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075931"/>
      <w:docPartObj>
        <w:docPartGallery w:val="Page Numbers (Bottom of Page)"/>
        <w:docPartUnique/>
      </w:docPartObj>
    </w:sdtPr>
    <w:sdtEndPr>
      <w:rPr>
        <w:noProof/>
      </w:rPr>
    </w:sdtEndPr>
    <w:sdtContent>
      <w:p w14:paraId="55FE1835" w14:textId="159CF744" w:rsidR="005046E5" w:rsidRDefault="005046E5">
        <w:pPr>
          <w:pStyle w:val="Footer"/>
          <w:jc w:val="center"/>
        </w:pPr>
        <w:r>
          <w:fldChar w:fldCharType="begin"/>
        </w:r>
        <w:r>
          <w:instrText xml:space="preserve"> PAGE   \* MERGEFORMAT </w:instrText>
        </w:r>
        <w:r>
          <w:fldChar w:fldCharType="separate"/>
        </w:r>
        <w:r w:rsidR="00DC5EB0">
          <w:rPr>
            <w:noProof/>
          </w:rPr>
          <w:t>1</w:t>
        </w:r>
        <w:r>
          <w:rPr>
            <w:noProof/>
          </w:rPr>
          <w:fldChar w:fldCharType="end"/>
        </w:r>
      </w:p>
    </w:sdtContent>
  </w:sdt>
  <w:p w14:paraId="55FE1836" w14:textId="77777777" w:rsidR="005046E5" w:rsidRDefault="005046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55BB6" w14:textId="77777777" w:rsidR="00163686" w:rsidRDefault="00163686" w:rsidP="008B5D54">
      <w:pPr>
        <w:spacing w:after="0" w:line="240" w:lineRule="auto"/>
      </w:pPr>
      <w:r>
        <w:separator/>
      </w:r>
    </w:p>
  </w:footnote>
  <w:footnote w:type="continuationSeparator" w:id="0">
    <w:p w14:paraId="05D63244" w14:textId="77777777" w:rsidR="00163686" w:rsidRDefault="00163686" w:rsidP="008B5D54">
      <w:pPr>
        <w:spacing w:after="0" w:line="240" w:lineRule="auto"/>
      </w:pPr>
      <w:r>
        <w:continuationSeparator/>
      </w:r>
    </w:p>
  </w:footnote>
  <w:footnote w:type="continuationNotice" w:id="1">
    <w:p w14:paraId="5C76A1D9" w14:textId="77777777" w:rsidR="00163686" w:rsidRDefault="0016368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F7E22"/>
    <w:multiLevelType w:val="hybridMultilevel"/>
    <w:tmpl w:val="48704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F2E0E"/>
    <w:multiLevelType w:val="hybridMultilevel"/>
    <w:tmpl w:val="663A3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F4493B"/>
    <w:multiLevelType w:val="hybridMultilevel"/>
    <w:tmpl w:val="A0A20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A34E8"/>
    <w:multiLevelType w:val="hybridMultilevel"/>
    <w:tmpl w:val="E372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8356B"/>
    <w:multiLevelType w:val="hybridMultilevel"/>
    <w:tmpl w:val="241A8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76AF4"/>
    <w:multiLevelType w:val="hybridMultilevel"/>
    <w:tmpl w:val="B6CA1C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
  </w:num>
  <w:num w:numId="5">
    <w:abstractNumId w:val="0"/>
  </w:num>
  <w:num w:numId="6">
    <w:abstractNumId w:val="2"/>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E8"/>
    <w:rsid w:val="00003BBD"/>
    <w:rsid w:val="000042EA"/>
    <w:rsid w:val="00013E28"/>
    <w:rsid w:val="00015654"/>
    <w:rsid w:val="00015C1E"/>
    <w:rsid w:val="00030CC9"/>
    <w:rsid w:val="0004057F"/>
    <w:rsid w:val="00042B7E"/>
    <w:rsid w:val="0005699B"/>
    <w:rsid w:val="00057C92"/>
    <w:rsid w:val="00077A77"/>
    <w:rsid w:val="0008535E"/>
    <w:rsid w:val="00085600"/>
    <w:rsid w:val="00091A4F"/>
    <w:rsid w:val="000944B7"/>
    <w:rsid w:val="000978DA"/>
    <w:rsid w:val="000B07B9"/>
    <w:rsid w:val="000C1760"/>
    <w:rsid w:val="000C2EAF"/>
    <w:rsid w:val="000D4DFD"/>
    <w:rsid w:val="000E6A79"/>
    <w:rsid w:val="000F21CF"/>
    <w:rsid w:val="001041EE"/>
    <w:rsid w:val="00121211"/>
    <w:rsid w:val="001232C3"/>
    <w:rsid w:val="00124128"/>
    <w:rsid w:val="00127FA4"/>
    <w:rsid w:val="00140E2A"/>
    <w:rsid w:val="001523DF"/>
    <w:rsid w:val="0015606E"/>
    <w:rsid w:val="0016287F"/>
    <w:rsid w:val="00163686"/>
    <w:rsid w:val="001650DF"/>
    <w:rsid w:val="0017319F"/>
    <w:rsid w:val="00180FCD"/>
    <w:rsid w:val="00181DB5"/>
    <w:rsid w:val="001913D5"/>
    <w:rsid w:val="001933F0"/>
    <w:rsid w:val="001958F4"/>
    <w:rsid w:val="001A58BE"/>
    <w:rsid w:val="001A7792"/>
    <w:rsid w:val="001D2B23"/>
    <w:rsid w:val="001E08A8"/>
    <w:rsid w:val="001F6574"/>
    <w:rsid w:val="00205AD4"/>
    <w:rsid w:val="00230B96"/>
    <w:rsid w:val="0023249D"/>
    <w:rsid w:val="00237BB7"/>
    <w:rsid w:val="002441B9"/>
    <w:rsid w:val="00246167"/>
    <w:rsid w:val="0025156B"/>
    <w:rsid w:val="00252E6F"/>
    <w:rsid w:val="00253E2A"/>
    <w:rsid w:val="00264F56"/>
    <w:rsid w:val="00270E51"/>
    <w:rsid w:val="0028494F"/>
    <w:rsid w:val="002A15BE"/>
    <w:rsid w:val="002B317B"/>
    <w:rsid w:val="002B554A"/>
    <w:rsid w:val="002C755B"/>
    <w:rsid w:val="002D791E"/>
    <w:rsid w:val="002E239F"/>
    <w:rsid w:val="002E69DE"/>
    <w:rsid w:val="002E6ED9"/>
    <w:rsid w:val="002F1B39"/>
    <w:rsid w:val="002F5C12"/>
    <w:rsid w:val="00304BBB"/>
    <w:rsid w:val="003079CE"/>
    <w:rsid w:val="00312E78"/>
    <w:rsid w:val="0031723C"/>
    <w:rsid w:val="00324FEA"/>
    <w:rsid w:val="00325F4F"/>
    <w:rsid w:val="003419B3"/>
    <w:rsid w:val="00350901"/>
    <w:rsid w:val="003531AC"/>
    <w:rsid w:val="003546A7"/>
    <w:rsid w:val="0036748D"/>
    <w:rsid w:val="00375DF5"/>
    <w:rsid w:val="00382EFF"/>
    <w:rsid w:val="00392FCE"/>
    <w:rsid w:val="00393EB4"/>
    <w:rsid w:val="003B2FB4"/>
    <w:rsid w:val="003B5CCF"/>
    <w:rsid w:val="003C3677"/>
    <w:rsid w:val="003C6093"/>
    <w:rsid w:val="003D0BE2"/>
    <w:rsid w:val="003D7222"/>
    <w:rsid w:val="003E1B8A"/>
    <w:rsid w:val="003E3AFE"/>
    <w:rsid w:val="003E7DB8"/>
    <w:rsid w:val="003F36E9"/>
    <w:rsid w:val="003F60CF"/>
    <w:rsid w:val="00401838"/>
    <w:rsid w:val="0041577A"/>
    <w:rsid w:val="00416833"/>
    <w:rsid w:val="0043440D"/>
    <w:rsid w:val="004403C8"/>
    <w:rsid w:val="00446A7C"/>
    <w:rsid w:val="00467B41"/>
    <w:rsid w:val="00474B4E"/>
    <w:rsid w:val="004841D1"/>
    <w:rsid w:val="0049314D"/>
    <w:rsid w:val="004A0034"/>
    <w:rsid w:val="004A13E8"/>
    <w:rsid w:val="004A1FB0"/>
    <w:rsid w:val="004A7029"/>
    <w:rsid w:val="004B2A04"/>
    <w:rsid w:val="004B3514"/>
    <w:rsid w:val="004B66F3"/>
    <w:rsid w:val="004B6B4F"/>
    <w:rsid w:val="004C03D3"/>
    <w:rsid w:val="004C24FD"/>
    <w:rsid w:val="004D0CD2"/>
    <w:rsid w:val="004D7CB3"/>
    <w:rsid w:val="005046E5"/>
    <w:rsid w:val="00510E37"/>
    <w:rsid w:val="005120A8"/>
    <w:rsid w:val="00540E6A"/>
    <w:rsid w:val="00587C6E"/>
    <w:rsid w:val="00597F45"/>
    <w:rsid w:val="005B1FC9"/>
    <w:rsid w:val="005D31B4"/>
    <w:rsid w:val="005D799C"/>
    <w:rsid w:val="005E5075"/>
    <w:rsid w:val="005F75B7"/>
    <w:rsid w:val="006041C0"/>
    <w:rsid w:val="006174FB"/>
    <w:rsid w:val="00630FAA"/>
    <w:rsid w:val="00635902"/>
    <w:rsid w:val="00637AB9"/>
    <w:rsid w:val="00645177"/>
    <w:rsid w:val="006615BD"/>
    <w:rsid w:val="00674026"/>
    <w:rsid w:val="00692609"/>
    <w:rsid w:val="00697CD0"/>
    <w:rsid w:val="006C6578"/>
    <w:rsid w:val="006C6BBA"/>
    <w:rsid w:val="006D28C2"/>
    <w:rsid w:val="006D4E4B"/>
    <w:rsid w:val="0070100D"/>
    <w:rsid w:val="007010FF"/>
    <w:rsid w:val="00713C81"/>
    <w:rsid w:val="0072220A"/>
    <w:rsid w:val="007301E3"/>
    <w:rsid w:val="007335B2"/>
    <w:rsid w:val="00751AE1"/>
    <w:rsid w:val="007615F7"/>
    <w:rsid w:val="0076287E"/>
    <w:rsid w:val="007635F1"/>
    <w:rsid w:val="00765300"/>
    <w:rsid w:val="00766B83"/>
    <w:rsid w:val="00780DC1"/>
    <w:rsid w:val="00785937"/>
    <w:rsid w:val="0079035B"/>
    <w:rsid w:val="007A3087"/>
    <w:rsid w:val="007D3CA6"/>
    <w:rsid w:val="007F46E9"/>
    <w:rsid w:val="00800D10"/>
    <w:rsid w:val="00827F0C"/>
    <w:rsid w:val="008377CF"/>
    <w:rsid w:val="00860135"/>
    <w:rsid w:val="00863006"/>
    <w:rsid w:val="008741A3"/>
    <w:rsid w:val="008838C0"/>
    <w:rsid w:val="00894458"/>
    <w:rsid w:val="008A13D5"/>
    <w:rsid w:val="008A6EE3"/>
    <w:rsid w:val="008B5D54"/>
    <w:rsid w:val="008B766B"/>
    <w:rsid w:val="008C09EF"/>
    <w:rsid w:val="008C2A1E"/>
    <w:rsid w:val="008C3314"/>
    <w:rsid w:val="008C5D05"/>
    <w:rsid w:val="008D5AEA"/>
    <w:rsid w:val="008E2623"/>
    <w:rsid w:val="008E4427"/>
    <w:rsid w:val="008F1415"/>
    <w:rsid w:val="00910AC3"/>
    <w:rsid w:val="00914444"/>
    <w:rsid w:val="00914F3A"/>
    <w:rsid w:val="009179FA"/>
    <w:rsid w:val="00931140"/>
    <w:rsid w:val="00936BAB"/>
    <w:rsid w:val="00937D6B"/>
    <w:rsid w:val="0095124B"/>
    <w:rsid w:val="00963E7C"/>
    <w:rsid w:val="009673BD"/>
    <w:rsid w:val="00967537"/>
    <w:rsid w:val="00984FE5"/>
    <w:rsid w:val="00997D0E"/>
    <w:rsid w:val="009A42B2"/>
    <w:rsid w:val="009A79E1"/>
    <w:rsid w:val="009B0947"/>
    <w:rsid w:val="009C0D7B"/>
    <w:rsid w:val="009D3E67"/>
    <w:rsid w:val="009D706E"/>
    <w:rsid w:val="00A01CD0"/>
    <w:rsid w:val="00A15E2B"/>
    <w:rsid w:val="00A179C1"/>
    <w:rsid w:val="00A46F9A"/>
    <w:rsid w:val="00A67086"/>
    <w:rsid w:val="00A916D7"/>
    <w:rsid w:val="00AA345F"/>
    <w:rsid w:val="00AA6A7B"/>
    <w:rsid w:val="00AB24CD"/>
    <w:rsid w:val="00AC3627"/>
    <w:rsid w:val="00AD2F36"/>
    <w:rsid w:val="00AE43EF"/>
    <w:rsid w:val="00AF0843"/>
    <w:rsid w:val="00B1115A"/>
    <w:rsid w:val="00B22702"/>
    <w:rsid w:val="00B264E3"/>
    <w:rsid w:val="00B307CE"/>
    <w:rsid w:val="00B321AB"/>
    <w:rsid w:val="00B32DA8"/>
    <w:rsid w:val="00B544CF"/>
    <w:rsid w:val="00B55735"/>
    <w:rsid w:val="00B608AC"/>
    <w:rsid w:val="00B64B9E"/>
    <w:rsid w:val="00B824AD"/>
    <w:rsid w:val="00B90B41"/>
    <w:rsid w:val="00B91400"/>
    <w:rsid w:val="00B93F67"/>
    <w:rsid w:val="00BA6B1A"/>
    <w:rsid w:val="00BC7BBC"/>
    <w:rsid w:val="00BF0815"/>
    <w:rsid w:val="00C31FAD"/>
    <w:rsid w:val="00C32380"/>
    <w:rsid w:val="00C45924"/>
    <w:rsid w:val="00C553B7"/>
    <w:rsid w:val="00C83A2C"/>
    <w:rsid w:val="00C90B13"/>
    <w:rsid w:val="00C97FCD"/>
    <w:rsid w:val="00CB3A96"/>
    <w:rsid w:val="00CB6BB7"/>
    <w:rsid w:val="00CC25AD"/>
    <w:rsid w:val="00CC2D76"/>
    <w:rsid w:val="00CC4476"/>
    <w:rsid w:val="00CC5357"/>
    <w:rsid w:val="00CD2AA4"/>
    <w:rsid w:val="00CD4CAD"/>
    <w:rsid w:val="00D13EA1"/>
    <w:rsid w:val="00D34940"/>
    <w:rsid w:val="00D42969"/>
    <w:rsid w:val="00D476B8"/>
    <w:rsid w:val="00D76A36"/>
    <w:rsid w:val="00D7787E"/>
    <w:rsid w:val="00D91B08"/>
    <w:rsid w:val="00D92EAE"/>
    <w:rsid w:val="00D952DF"/>
    <w:rsid w:val="00DB530F"/>
    <w:rsid w:val="00DC2C94"/>
    <w:rsid w:val="00DC57CC"/>
    <w:rsid w:val="00DC5EB0"/>
    <w:rsid w:val="00DC74EE"/>
    <w:rsid w:val="00DD65C6"/>
    <w:rsid w:val="00DE1381"/>
    <w:rsid w:val="00DF2830"/>
    <w:rsid w:val="00E004B3"/>
    <w:rsid w:val="00E120BD"/>
    <w:rsid w:val="00E20011"/>
    <w:rsid w:val="00E2092E"/>
    <w:rsid w:val="00E21144"/>
    <w:rsid w:val="00E54E74"/>
    <w:rsid w:val="00E604B2"/>
    <w:rsid w:val="00E80D2C"/>
    <w:rsid w:val="00E9061B"/>
    <w:rsid w:val="00EA4036"/>
    <w:rsid w:val="00EB527F"/>
    <w:rsid w:val="00EC1C2D"/>
    <w:rsid w:val="00EC281D"/>
    <w:rsid w:val="00EC309D"/>
    <w:rsid w:val="00EC5288"/>
    <w:rsid w:val="00ED4B7A"/>
    <w:rsid w:val="00ED7142"/>
    <w:rsid w:val="00ED72A5"/>
    <w:rsid w:val="00ED730B"/>
    <w:rsid w:val="00EE4891"/>
    <w:rsid w:val="00F00226"/>
    <w:rsid w:val="00F10E66"/>
    <w:rsid w:val="00F16EA6"/>
    <w:rsid w:val="00F20465"/>
    <w:rsid w:val="00F2121E"/>
    <w:rsid w:val="00F347D7"/>
    <w:rsid w:val="00F44A27"/>
    <w:rsid w:val="00F548DB"/>
    <w:rsid w:val="00F56C86"/>
    <w:rsid w:val="00F62E95"/>
    <w:rsid w:val="00FA1A25"/>
    <w:rsid w:val="00FB4586"/>
    <w:rsid w:val="00FB6BA7"/>
    <w:rsid w:val="00FB7003"/>
    <w:rsid w:val="00FC5AA5"/>
    <w:rsid w:val="00FE0398"/>
    <w:rsid w:val="00FE3F5A"/>
    <w:rsid w:val="00FF1BC9"/>
    <w:rsid w:val="00FF40BC"/>
    <w:rsid w:val="00FF5C3D"/>
    <w:rsid w:val="00FF6921"/>
    <w:rsid w:val="053E4CA7"/>
    <w:rsid w:val="19450C4B"/>
    <w:rsid w:val="19ADD18D"/>
    <w:rsid w:val="2830B391"/>
    <w:rsid w:val="2838269F"/>
    <w:rsid w:val="486E86C5"/>
    <w:rsid w:val="752B1935"/>
    <w:rsid w:val="7E675E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E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6D4E4B"/>
    <w:rPr>
      <w:sz w:val="16"/>
      <w:szCs w:val="16"/>
    </w:rPr>
  </w:style>
  <w:style w:type="paragraph" w:styleId="CommentText">
    <w:name w:val="annotation text"/>
    <w:basedOn w:val="Normal"/>
    <w:link w:val="CommentTextChar"/>
    <w:uiPriority w:val="99"/>
    <w:semiHidden/>
    <w:unhideWhenUsed/>
    <w:rsid w:val="006D4E4B"/>
    <w:pPr>
      <w:spacing w:line="240" w:lineRule="auto"/>
    </w:pPr>
    <w:rPr>
      <w:sz w:val="20"/>
      <w:szCs w:val="20"/>
    </w:rPr>
  </w:style>
  <w:style w:type="character" w:customStyle="1" w:styleId="CommentTextChar">
    <w:name w:val="Comment Text Char"/>
    <w:basedOn w:val="DefaultParagraphFont"/>
    <w:link w:val="CommentText"/>
    <w:uiPriority w:val="99"/>
    <w:semiHidden/>
    <w:rsid w:val="006D4E4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4E4B"/>
    <w:rPr>
      <w:b/>
      <w:bCs/>
    </w:rPr>
  </w:style>
  <w:style w:type="character" w:customStyle="1" w:styleId="CommentSubjectChar">
    <w:name w:val="Comment Subject Char"/>
    <w:basedOn w:val="CommentTextChar"/>
    <w:link w:val="CommentSubject"/>
    <w:uiPriority w:val="99"/>
    <w:semiHidden/>
    <w:rsid w:val="006D4E4B"/>
    <w:rPr>
      <w:rFonts w:ascii="Times New Roman" w:hAnsi="Times New Roman"/>
      <w:b/>
      <w:bCs/>
      <w:sz w:val="20"/>
      <w:szCs w:val="20"/>
    </w:rPr>
  </w:style>
  <w:style w:type="paragraph" w:styleId="BalloonText">
    <w:name w:val="Balloon Text"/>
    <w:basedOn w:val="Normal"/>
    <w:link w:val="BalloonTextChar"/>
    <w:uiPriority w:val="99"/>
    <w:semiHidden/>
    <w:unhideWhenUsed/>
    <w:rsid w:val="006D4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E4B"/>
    <w:rPr>
      <w:rFonts w:ascii="Segoe UI" w:hAnsi="Segoe UI" w:cs="Segoe UI"/>
      <w:sz w:val="18"/>
      <w:szCs w:val="18"/>
    </w:rPr>
  </w:style>
  <w:style w:type="paragraph" w:styleId="BodyText">
    <w:name w:val="Body Text"/>
    <w:basedOn w:val="Normal"/>
    <w:link w:val="BodyTextChar"/>
    <w:uiPriority w:val="99"/>
    <w:rsid w:val="00E20011"/>
    <w:pPr>
      <w:spacing w:after="240" w:line="360" w:lineRule="auto"/>
      <w:ind w:firstLine="720"/>
    </w:pPr>
    <w:rPr>
      <w:rFonts w:eastAsia="Times New Roman" w:cs="Times New Roman"/>
      <w:szCs w:val="24"/>
    </w:rPr>
  </w:style>
  <w:style w:type="character" w:customStyle="1" w:styleId="BodyTextChar">
    <w:name w:val="Body Text Char"/>
    <w:basedOn w:val="DefaultParagraphFont"/>
    <w:link w:val="BodyText"/>
    <w:uiPriority w:val="99"/>
    <w:rsid w:val="00E20011"/>
    <w:rPr>
      <w:rFonts w:ascii="Times New Roman" w:eastAsia="Times New Roman" w:hAnsi="Times New Roman" w:cs="Times New Roman"/>
      <w:sz w:val="24"/>
      <w:szCs w:val="24"/>
    </w:rPr>
  </w:style>
  <w:style w:type="character" w:customStyle="1" w:styleId="biblioChar">
    <w:name w:val="biblio Char"/>
    <w:link w:val="biblio"/>
    <w:uiPriority w:val="99"/>
    <w:locked/>
    <w:rsid w:val="001232C3"/>
    <w:rPr>
      <w:sz w:val="24"/>
    </w:rPr>
  </w:style>
  <w:style w:type="paragraph" w:customStyle="1" w:styleId="biblio">
    <w:name w:val="biblio"/>
    <w:basedOn w:val="Normal"/>
    <w:link w:val="biblioChar"/>
    <w:uiPriority w:val="99"/>
    <w:rsid w:val="001232C3"/>
    <w:pPr>
      <w:keepLines/>
      <w:spacing w:after="240" w:line="240" w:lineRule="auto"/>
      <w:ind w:left="720" w:hanging="720"/>
    </w:pPr>
    <w:rPr>
      <w:rFonts w:asciiTheme="minorHAnsi" w:hAnsiTheme="minorHAnsi"/>
    </w:rPr>
  </w:style>
  <w:style w:type="character" w:customStyle="1" w:styleId="UnresolvedMention1">
    <w:name w:val="Unresolved Mention1"/>
    <w:basedOn w:val="DefaultParagraphFont"/>
    <w:uiPriority w:val="99"/>
    <w:semiHidden/>
    <w:unhideWhenUsed/>
    <w:rsid w:val="00E54E74"/>
    <w:rPr>
      <w:color w:val="605E5C"/>
      <w:shd w:val="clear" w:color="auto" w:fill="E1DFDD"/>
    </w:rPr>
  </w:style>
  <w:style w:type="character" w:customStyle="1" w:styleId="normaltextrun">
    <w:name w:val="normaltextrun"/>
    <w:basedOn w:val="DefaultParagraphFont"/>
    <w:rsid w:val="00914F3A"/>
  </w:style>
  <w:style w:type="character" w:customStyle="1" w:styleId="eop">
    <w:name w:val="eop"/>
    <w:basedOn w:val="DefaultParagraphFont"/>
    <w:rsid w:val="00914F3A"/>
  </w:style>
  <w:style w:type="paragraph" w:styleId="Revision">
    <w:name w:val="Revision"/>
    <w:hidden/>
    <w:uiPriority w:val="99"/>
    <w:semiHidden/>
    <w:rsid w:val="00180FCD"/>
    <w:pPr>
      <w:spacing w:after="0" w:line="240" w:lineRule="auto"/>
    </w:pPr>
    <w:rPr>
      <w:rFonts w:ascii="Times New Roman" w:hAnsi="Times New Roman"/>
      <w:sz w:val="24"/>
    </w:rPr>
  </w:style>
  <w:style w:type="table" w:customStyle="1" w:styleId="GridTable1LightAccent1">
    <w:name w:val="Grid Table 1 Light Accent 1"/>
    <w:basedOn w:val="TableNormal"/>
    <w:uiPriority w:val="46"/>
    <w:rsid w:val="0069260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0E6A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
    <w:name w:val="Grid Table 1 Light"/>
    <w:basedOn w:val="TableNormal"/>
    <w:uiPriority w:val="46"/>
    <w:rsid w:val="000E6A7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6D4E4B"/>
    <w:rPr>
      <w:sz w:val="16"/>
      <w:szCs w:val="16"/>
    </w:rPr>
  </w:style>
  <w:style w:type="paragraph" w:styleId="CommentText">
    <w:name w:val="annotation text"/>
    <w:basedOn w:val="Normal"/>
    <w:link w:val="CommentTextChar"/>
    <w:uiPriority w:val="99"/>
    <w:semiHidden/>
    <w:unhideWhenUsed/>
    <w:rsid w:val="006D4E4B"/>
    <w:pPr>
      <w:spacing w:line="240" w:lineRule="auto"/>
    </w:pPr>
    <w:rPr>
      <w:sz w:val="20"/>
      <w:szCs w:val="20"/>
    </w:rPr>
  </w:style>
  <w:style w:type="character" w:customStyle="1" w:styleId="CommentTextChar">
    <w:name w:val="Comment Text Char"/>
    <w:basedOn w:val="DefaultParagraphFont"/>
    <w:link w:val="CommentText"/>
    <w:uiPriority w:val="99"/>
    <w:semiHidden/>
    <w:rsid w:val="006D4E4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4E4B"/>
    <w:rPr>
      <w:b/>
      <w:bCs/>
    </w:rPr>
  </w:style>
  <w:style w:type="character" w:customStyle="1" w:styleId="CommentSubjectChar">
    <w:name w:val="Comment Subject Char"/>
    <w:basedOn w:val="CommentTextChar"/>
    <w:link w:val="CommentSubject"/>
    <w:uiPriority w:val="99"/>
    <w:semiHidden/>
    <w:rsid w:val="006D4E4B"/>
    <w:rPr>
      <w:rFonts w:ascii="Times New Roman" w:hAnsi="Times New Roman"/>
      <w:b/>
      <w:bCs/>
      <w:sz w:val="20"/>
      <w:szCs w:val="20"/>
    </w:rPr>
  </w:style>
  <w:style w:type="paragraph" w:styleId="BalloonText">
    <w:name w:val="Balloon Text"/>
    <w:basedOn w:val="Normal"/>
    <w:link w:val="BalloonTextChar"/>
    <w:uiPriority w:val="99"/>
    <w:semiHidden/>
    <w:unhideWhenUsed/>
    <w:rsid w:val="006D4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E4B"/>
    <w:rPr>
      <w:rFonts w:ascii="Segoe UI" w:hAnsi="Segoe UI" w:cs="Segoe UI"/>
      <w:sz w:val="18"/>
      <w:szCs w:val="18"/>
    </w:rPr>
  </w:style>
  <w:style w:type="paragraph" w:styleId="BodyText">
    <w:name w:val="Body Text"/>
    <w:basedOn w:val="Normal"/>
    <w:link w:val="BodyTextChar"/>
    <w:uiPriority w:val="99"/>
    <w:rsid w:val="00E20011"/>
    <w:pPr>
      <w:spacing w:after="240" w:line="360" w:lineRule="auto"/>
      <w:ind w:firstLine="720"/>
    </w:pPr>
    <w:rPr>
      <w:rFonts w:eastAsia="Times New Roman" w:cs="Times New Roman"/>
      <w:szCs w:val="24"/>
    </w:rPr>
  </w:style>
  <w:style w:type="character" w:customStyle="1" w:styleId="BodyTextChar">
    <w:name w:val="Body Text Char"/>
    <w:basedOn w:val="DefaultParagraphFont"/>
    <w:link w:val="BodyText"/>
    <w:uiPriority w:val="99"/>
    <w:rsid w:val="00E20011"/>
    <w:rPr>
      <w:rFonts w:ascii="Times New Roman" w:eastAsia="Times New Roman" w:hAnsi="Times New Roman" w:cs="Times New Roman"/>
      <w:sz w:val="24"/>
      <w:szCs w:val="24"/>
    </w:rPr>
  </w:style>
  <w:style w:type="character" w:customStyle="1" w:styleId="biblioChar">
    <w:name w:val="biblio Char"/>
    <w:link w:val="biblio"/>
    <w:uiPriority w:val="99"/>
    <w:locked/>
    <w:rsid w:val="001232C3"/>
    <w:rPr>
      <w:sz w:val="24"/>
    </w:rPr>
  </w:style>
  <w:style w:type="paragraph" w:customStyle="1" w:styleId="biblio">
    <w:name w:val="biblio"/>
    <w:basedOn w:val="Normal"/>
    <w:link w:val="biblioChar"/>
    <w:uiPriority w:val="99"/>
    <w:rsid w:val="001232C3"/>
    <w:pPr>
      <w:keepLines/>
      <w:spacing w:after="240" w:line="240" w:lineRule="auto"/>
      <w:ind w:left="720" w:hanging="720"/>
    </w:pPr>
    <w:rPr>
      <w:rFonts w:asciiTheme="minorHAnsi" w:hAnsiTheme="minorHAnsi"/>
    </w:rPr>
  </w:style>
  <w:style w:type="character" w:customStyle="1" w:styleId="UnresolvedMention1">
    <w:name w:val="Unresolved Mention1"/>
    <w:basedOn w:val="DefaultParagraphFont"/>
    <w:uiPriority w:val="99"/>
    <w:semiHidden/>
    <w:unhideWhenUsed/>
    <w:rsid w:val="00E54E74"/>
    <w:rPr>
      <w:color w:val="605E5C"/>
      <w:shd w:val="clear" w:color="auto" w:fill="E1DFDD"/>
    </w:rPr>
  </w:style>
  <w:style w:type="character" w:customStyle="1" w:styleId="normaltextrun">
    <w:name w:val="normaltextrun"/>
    <w:basedOn w:val="DefaultParagraphFont"/>
    <w:rsid w:val="00914F3A"/>
  </w:style>
  <w:style w:type="character" w:customStyle="1" w:styleId="eop">
    <w:name w:val="eop"/>
    <w:basedOn w:val="DefaultParagraphFont"/>
    <w:rsid w:val="00914F3A"/>
  </w:style>
  <w:style w:type="paragraph" w:styleId="Revision">
    <w:name w:val="Revision"/>
    <w:hidden/>
    <w:uiPriority w:val="99"/>
    <w:semiHidden/>
    <w:rsid w:val="00180FCD"/>
    <w:pPr>
      <w:spacing w:after="0" w:line="240" w:lineRule="auto"/>
    </w:pPr>
    <w:rPr>
      <w:rFonts w:ascii="Times New Roman" w:hAnsi="Times New Roman"/>
      <w:sz w:val="24"/>
    </w:rPr>
  </w:style>
  <w:style w:type="table" w:customStyle="1" w:styleId="GridTable1LightAccent1">
    <w:name w:val="Grid Table 1 Light Accent 1"/>
    <w:basedOn w:val="TableNormal"/>
    <w:uiPriority w:val="46"/>
    <w:rsid w:val="0069260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0E6A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
    <w:name w:val="Grid Table 1 Light"/>
    <w:basedOn w:val="TableNormal"/>
    <w:uiPriority w:val="46"/>
    <w:rsid w:val="000E6A7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1960">
      <w:bodyDiv w:val="1"/>
      <w:marLeft w:val="0"/>
      <w:marRight w:val="0"/>
      <w:marTop w:val="0"/>
      <w:marBottom w:val="0"/>
      <w:divBdr>
        <w:top w:val="none" w:sz="0" w:space="0" w:color="auto"/>
        <w:left w:val="none" w:sz="0" w:space="0" w:color="auto"/>
        <w:bottom w:val="none" w:sz="0" w:space="0" w:color="auto"/>
        <w:right w:val="none" w:sz="0" w:space="0" w:color="auto"/>
      </w:divBdr>
    </w:div>
    <w:div w:id="565653056">
      <w:bodyDiv w:val="1"/>
      <w:marLeft w:val="0"/>
      <w:marRight w:val="0"/>
      <w:marTop w:val="0"/>
      <w:marBottom w:val="0"/>
      <w:divBdr>
        <w:top w:val="none" w:sz="0" w:space="0" w:color="auto"/>
        <w:left w:val="none" w:sz="0" w:space="0" w:color="auto"/>
        <w:bottom w:val="none" w:sz="0" w:space="0" w:color="auto"/>
        <w:right w:val="none" w:sz="0" w:space="0" w:color="auto"/>
      </w:divBdr>
    </w:div>
    <w:div w:id="10292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_nat.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zi3@cdc.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c.gov/foodsafety/foodborne-ge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hor xmlns="http://schemas.microsoft.com/sharepoint/v3">
      <UserInfo>
        <DisplayName/>
        <AccountId xsi:nil="true"/>
        <AccountType/>
      </UserInfo>
    </Author>
    <ProjectStatus xmlns="46a72db5-e3f1-4035-b125-519a4329281d">Active</ProjectStatus>
    <BusinessType xmlns="46a72db5-e3f1-4035-b125-519a4329281d">-</BusinessType>
    <EurekaFactsDepartment xmlns="46a72db5-e3f1-4035-b125-519a4329281d" xsi:nil="true"/>
    <Clients xmlns="46a72db5-e3f1-4035-b125-519a432928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ma:contentTypeID="0x0101004F5B36D944A006478242D60C7B7D27AE005D336A5E49A01C459F8D5B49E8706415" ma:contentTypeVersion="22" ma:contentTypeDescription="" ma:contentTypeScope="" ma:versionID="e8f07b561e4a639594cd7b093b0b1e92">
  <xsd:schema xmlns:xsd="http://www.w3.org/2001/XMLSchema" xmlns:xs="http://www.w3.org/2001/XMLSchema" xmlns:p="http://schemas.microsoft.com/office/2006/metadata/properties" xmlns:ns1="http://schemas.microsoft.com/sharepoint/v3" xmlns:ns2="46a72db5-e3f1-4035-b125-519a4329281d" xmlns:ns3="9210772e-d512-4d22-8fc0-f3b7c13dd852" targetNamespace="http://schemas.microsoft.com/office/2006/metadata/properties" ma:root="true" ma:fieldsID="c115cfd1f5f9fa4a3187d5931c21b40a" ns1:_="" ns2:_="" ns3:_="">
    <xsd:import namespace="http://schemas.microsoft.com/sharepoint/v3"/>
    <xsd:import namespace="46a72db5-e3f1-4035-b125-519a4329281d"/>
    <xsd:import namespace="9210772e-d512-4d22-8fc0-f3b7c13dd852"/>
    <xsd:element name="properties">
      <xsd:complexType>
        <xsd:sequence>
          <xsd:element name="documentManagement">
            <xsd:complexType>
              <xsd:all>
                <xsd:element ref="ns2:EurekaFactsDepartment" minOccurs="0"/>
                <xsd:element ref="ns2:Clients" minOccurs="0"/>
                <xsd:element ref="ns2:BusinessType" minOccurs="0"/>
                <xsd:element ref="ns2:ProjectStatus" minOccurs="0"/>
                <xsd:element ref="ns2:SharedWithUsers" minOccurs="0"/>
                <xsd:element ref="ns2:SharedWithDetails" minOccurs="0"/>
                <xsd:element ref="ns3:MediaServiceMetadata" minOccurs="0"/>
                <xsd:element ref="ns3:MediaServiceFastMetadata" minOccurs="0"/>
                <xsd:element ref="ns1:Author"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16" nillable="true" ma:displayName="Created By"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a72db5-e3f1-4035-b125-519a4329281d" elementFormDefault="qualified">
    <xsd:import namespace="http://schemas.microsoft.com/office/2006/documentManagement/types"/>
    <xsd:import namespace="http://schemas.microsoft.com/office/infopath/2007/PartnerControls"/>
    <xsd:element name="EurekaFactsDepartment" ma:index="8" nillable="true" ma:displayName="EurekaFacts Department" ma:format="Dropdown" ma:internalName="EurekaFactsDepartment">
      <xsd:simpleType>
        <xsd:restriction base="dms:Choice">
          <xsd:enumeration value="Administration"/>
          <xsd:enumeration value="Analytics"/>
          <xsd:enumeration value="Business Development"/>
          <xsd:enumeration value="Customer Insights"/>
          <xsd:enumeration value="Public Affairs"/>
          <xsd:enumeration value="Marketing"/>
          <xsd:enumeration value="Transportation"/>
          <xsd:enumeration value="-"/>
        </xsd:restriction>
      </xsd:simpleType>
    </xsd:element>
    <xsd:element name="Clients" ma:index="9" nillable="true" ma:displayName="Client" ma:list="{0fcaa9ae-ae61-43ca-864f-29003a1b338a}" ma:internalName="Clients" ma:showField="Title" ma:web="46a72db5-e3f1-4035-b125-519a4329281d">
      <xsd:simpleType>
        <xsd:restriction base="dms:Lookup"/>
      </xsd:simpleType>
    </xsd:element>
    <xsd:element name="BusinessType" ma:index="10" nillable="true" ma:displayName="Project Type" ma:default="-" ma:format="Dropdown" ma:internalName="BusinessType">
      <xsd:simpleType>
        <xsd:restriction base="dms:Choice">
          <xsd:enumeration value="State"/>
          <xsd:enumeration value="8a"/>
          <xsd:enumeration value="Non- profit"/>
          <xsd:enumeration value="Commercial"/>
          <xsd:enumeration value="Federal Sub Contractor"/>
          <xsd:enumeration value="Federal Prime"/>
          <xsd:enumeration value="Pro bono"/>
          <xsd:enumeration value="GSA"/>
          <xsd:enumeration value="-"/>
        </xsd:restriction>
      </xsd:simpleType>
    </xsd:element>
    <xsd:element name="ProjectStatus" ma:index="11" nillable="true" ma:displayName="Project Status" ma:default="Active" ma:format="Dropdown" ma:internalName="ProjectStatus">
      <xsd:simpleType>
        <xsd:restriction base="dms:Choice">
          <xsd:enumeration value="Active"/>
          <xsd:enumeration value="Completed"/>
          <xsd:enumeration value="On Hold"/>
          <xsd:enumeration value="-"/>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0772e-d512-4d22-8fc0-f3b7c13dd852"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http://schemas.microsoft.com/sharepoint/v3"/>
    <ds:schemaRef ds:uri="46a72db5-e3f1-4035-b125-519a4329281d"/>
  </ds:schemaRefs>
</ds:datastoreItem>
</file>

<file path=customXml/itemProps2.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3.xml><?xml version="1.0" encoding="utf-8"?>
<ds:datastoreItem xmlns:ds="http://schemas.openxmlformats.org/officeDocument/2006/customXml" ds:itemID="{18A70F7E-F0AC-4D9C-B199-9B326CFED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a72db5-e3f1-4035-b125-519a4329281d"/>
    <ds:schemaRef ds:uri="9210772e-d512-4d22-8fc0-f3b7c13dd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DF3DB-8DBC-4089-8FD8-8C71FBEB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SYSTEM</cp:lastModifiedBy>
  <cp:revision>2</cp:revision>
  <dcterms:created xsi:type="dcterms:W3CDTF">2019-03-14T15:01:00Z</dcterms:created>
  <dcterms:modified xsi:type="dcterms:W3CDTF">2019-03-14T15:01:00Z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0x0101004F5B36D944A006478242D60C7B7D27AE005D336A5E49A01C459F8D5B49E8706415</vt:lpwstr>
  </property>
  <property fmtid="{D5CDD505-2E9C-101B-9397-08002B2CF9AE}" pid="3" name="_dlc_DocIdItemGuid">
    <vt:lpwstr>e28d4fa4-bae3-4cdf-93ea-0dd5dc1c0e99</vt:lpwstr>
  </property>
</Properties>
</file>