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38471" w14:textId="77777777" w:rsidR="00716F94" w:rsidRPr="00AE22F7" w:rsidRDefault="00716F94" w:rsidP="00716F94">
      <w:pPr>
        <w:spacing w:after="0"/>
        <w:rPr>
          <w:rFonts w:asciiTheme="majorHAnsi" w:hAnsiTheme="majorHAnsi"/>
          <w:b/>
          <w:sz w:val="24"/>
          <w:szCs w:val="24"/>
        </w:rPr>
      </w:pPr>
    </w:p>
    <w:p w14:paraId="0A3C9CF9" w14:textId="77777777" w:rsidR="009B4A51" w:rsidRPr="00AE22F7" w:rsidRDefault="009B4A51" w:rsidP="00716F94">
      <w:pPr>
        <w:spacing w:after="0"/>
        <w:rPr>
          <w:rFonts w:asciiTheme="majorHAnsi" w:hAnsiTheme="majorHAnsi"/>
          <w:b/>
          <w:sz w:val="24"/>
          <w:szCs w:val="24"/>
        </w:rPr>
      </w:pPr>
    </w:p>
    <w:p w14:paraId="525EBF98" w14:textId="77777777" w:rsidR="009B4A51" w:rsidRPr="00AE22F7" w:rsidRDefault="009B4A51" w:rsidP="009B4A51">
      <w:pPr>
        <w:spacing w:after="0"/>
        <w:jc w:val="center"/>
        <w:rPr>
          <w:rFonts w:asciiTheme="majorHAnsi" w:hAnsiTheme="majorHAnsi"/>
          <w:b/>
          <w:sz w:val="24"/>
          <w:szCs w:val="24"/>
        </w:rPr>
      </w:pPr>
    </w:p>
    <w:p w14:paraId="17E8FA78" w14:textId="77777777" w:rsidR="009B4A51" w:rsidRPr="00AE22F7" w:rsidRDefault="009B4A51" w:rsidP="009B4A51">
      <w:pPr>
        <w:spacing w:after="0"/>
        <w:jc w:val="center"/>
        <w:rPr>
          <w:rFonts w:asciiTheme="majorHAnsi" w:hAnsiTheme="majorHAnsi"/>
          <w:b/>
          <w:sz w:val="24"/>
          <w:szCs w:val="24"/>
        </w:rPr>
      </w:pPr>
    </w:p>
    <w:p w14:paraId="5FDD95AC" w14:textId="77777777" w:rsidR="009B4A51" w:rsidRPr="00AE22F7" w:rsidRDefault="009B4A51" w:rsidP="009B4A51">
      <w:pPr>
        <w:spacing w:after="0"/>
        <w:jc w:val="center"/>
        <w:rPr>
          <w:rFonts w:asciiTheme="majorHAnsi" w:hAnsiTheme="majorHAnsi"/>
          <w:color w:val="0033CC"/>
          <w:sz w:val="24"/>
          <w:szCs w:val="24"/>
        </w:rPr>
      </w:pPr>
    </w:p>
    <w:p w14:paraId="44481D57" w14:textId="77777777" w:rsidR="00FC4A42" w:rsidRDefault="00FC4A42" w:rsidP="00FC4A42">
      <w:pPr>
        <w:spacing w:after="0"/>
        <w:jc w:val="center"/>
        <w:rPr>
          <w:rFonts w:asciiTheme="majorHAnsi" w:hAnsiTheme="majorHAnsi"/>
          <w:b/>
          <w:sz w:val="24"/>
          <w:szCs w:val="24"/>
        </w:rPr>
      </w:pPr>
      <w:r>
        <w:rPr>
          <w:rFonts w:asciiTheme="majorHAnsi" w:hAnsiTheme="majorHAnsi"/>
          <w:b/>
          <w:sz w:val="24"/>
          <w:szCs w:val="24"/>
        </w:rPr>
        <w:t>Formative Assessment of Barriers to Transition from Adolescent to Adult for Individuals with Congenital Heart Defects</w:t>
      </w:r>
    </w:p>
    <w:p w14:paraId="1D9A78F6" w14:textId="77777777" w:rsidR="00FC4A42" w:rsidRPr="00516C54" w:rsidRDefault="00FC4A42" w:rsidP="00FC4A42">
      <w:pPr>
        <w:spacing w:after="0"/>
        <w:rPr>
          <w:rFonts w:asciiTheme="majorHAnsi" w:hAnsiTheme="majorHAnsi"/>
          <w:b/>
          <w:sz w:val="24"/>
          <w:szCs w:val="24"/>
        </w:rPr>
      </w:pPr>
    </w:p>
    <w:p w14:paraId="4A1F2D7D" w14:textId="77777777" w:rsidR="00FC4A42" w:rsidRPr="00516C54" w:rsidRDefault="00FC4A42" w:rsidP="00FC4A42">
      <w:pPr>
        <w:spacing w:after="0"/>
        <w:rPr>
          <w:rFonts w:asciiTheme="majorHAnsi" w:hAnsiTheme="majorHAnsi"/>
          <w:b/>
          <w:sz w:val="24"/>
          <w:szCs w:val="24"/>
        </w:rPr>
      </w:pPr>
    </w:p>
    <w:p w14:paraId="2920F020" w14:textId="77777777" w:rsidR="00FC4A42" w:rsidRPr="00516C54" w:rsidRDefault="00FC4A42" w:rsidP="00FC4A42">
      <w:pPr>
        <w:spacing w:after="0"/>
        <w:rPr>
          <w:rFonts w:asciiTheme="majorHAnsi" w:hAnsiTheme="majorHAnsi"/>
          <w:b/>
          <w:sz w:val="24"/>
          <w:szCs w:val="24"/>
        </w:rPr>
      </w:pPr>
    </w:p>
    <w:p w14:paraId="6FA8BBB0" w14:textId="77777777" w:rsidR="00FC4A42" w:rsidRPr="00516C54" w:rsidRDefault="00FC4A42" w:rsidP="00FC4A42">
      <w:pPr>
        <w:spacing w:after="0"/>
        <w:rPr>
          <w:rFonts w:asciiTheme="majorHAnsi" w:hAnsiTheme="majorHAnsi"/>
          <w:b/>
          <w:sz w:val="24"/>
          <w:szCs w:val="24"/>
        </w:rPr>
      </w:pPr>
    </w:p>
    <w:p w14:paraId="37353464" w14:textId="27431DF7" w:rsidR="00FC4A42" w:rsidRPr="00516C54" w:rsidRDefault="00FC4A42" w:rsidP="00FC4A42">
      <w:pPr>
        <w:spacing w:after="0"/>
        <w:jc w:val="center"/>
        <w:rPr>
          <w:rFonts w:asciiTheme="majorHAnsi" w:hAnsiTheme="majorHAnsi"/>
          <w:sz w:val="24"/>
          <w:szCs w:val="24"/>
        </w:rPr>
      </w:pPr>
      <w:r w:rsidRPr="00516C54">
        <w:rPr>
          <w:rFonts w:asciiTheme="majorHAnsi" w:hAnsiTheme="majorHAnsi"/>
          <w:b/>
          <w:sz w:val="24"/>
          <w:szCs w:val="24"/>
        </w:rPr>
        <w:t xml:space="preserve">Supporting Statement – Section </w:t>
      </w:r>
      <w:r w:rsidR="00783F0F">
        <w:rPr>
          <w:rFonts w:asciiTheme="majorHAnsi" w:hAnsiTheme="majorHAnsi"/>
          <w:b/>
          <w:sz w:val="24"/>
          <w:szCs w:val="24"/>
        </w:rPr>
        <w:t>B</w:t>
      </w:r>
      <w:bookmarkStart w:id="0" w:name="_GoBack"/>
      <w:bookmarkEnd w:id="0"/>
    </w:p>
    <w:p w14:paraId="0F27B813" w14:textId="77777777" w:rsidR="00FC4A42" w:rsidRPr="00516C54" w:rsidRDefault="00FC4A42" w:rsidP="00FC4A42">
      <w:pPr>
        <w:spacing w:after="0"/>
        <w:rPr>
          <w:rFonts w:asciiTheme="majorHAnsi" w:hAnsiTheme="majorHAnsi"/>
          <w:b/>
          <w:sz w:val="24"/>
          <w:szCs w:val="24"/>
        </w:rPr>
      </w:pPr>
    </w:p>
    <w:p w14:paraId="01CD58EB" w14:textId="77777777" w:rsidR="00FC4A42" w:rsidRPr="00516C54" w:rsidRDefault="00FC4A42" w:rsidP="00FC4A42">
      <w:pPr>
        <w:spacing w:after="0"/>
        <w:rPr>
          <w:rFonts w:asciiTheme="majorHAnsi" w:hAnsiTheme="majorHAnsi"/>
          <w:b/>
          <w:sz w:val="24"/>
          <w:szCs w:val="24"/>
        </w:rPr>
      </w:pPr>
    </w:p>
    <w:p w14:paraId="3DD8E2B3" w14:textId="77777777" w:rsidR="00FC4A42" w:rsidRPr="00516C54" w:rsidRDefault="00FC4A42" w:rsidP="00FC4A42">
      <w:pPr>
        <w:spacing w:after="0"/>
        <w:rPr>
          <w:rFonts w:asciiTheme="majorHAnsi" w:hAnsiTheme="majorHAnsi"/>
          <w:b/>
          <w:sz w:val="24"/>
          <w:szCs w:val="24"/>
        </w:rPr>
      </w:pPr>
    </w:p>
    <w:p w14:paraId="447DB0C4" w14:textId="77777777" w:rsidR="00FC4A42" w:rsidRPr="00153CD1" w:rsidRDefault="00FC4A42" w:rsidP="00FC4A42">
      <w:pPr>
        <w:spacing w:after="0"/>
        <w:jc w:val="center"/>
        <w:rPr>
          <w:rFonts w:asciiTheme="majorHAnsi" w:hAnsiTheme="majorHAnsi"/>
          <w:b/>
          <w:sz w:val="24"/>
          <w:szCs w:val="24"/>
        </w:rPr>
      </w:pPr>
    </w:p>
    <w:p w14:paraId="24F3217A" w14:textId="77777777" w:rsidR="00FC4A42" w:rsidRPr="00516C54" w:rsidRDefault="00FC4A42" w:rsidP="00FC4A42">
      <w:pPr>
        <w:pStyle w:val="Header"/>
        <w:tabs>
          <w:tab w:val="clear" w:pos="4680"/>
        </w:tabs>
        <w:jc w:val="center"/>
        <w:rPr>
          <w:rFonts w:asciiTheme="majorHAnsi" w:hAnsiTheme="majorHAnsi"/>
          <w:sz w:val="24"/>
          <w:szCs w:val="24"/>
        </w:rPr>
      </w:pPr>
      <w:r w:rsidRPr="00153CD1">
        <w:rPr>
          <w:rFonts w:asciiTheme="majorHAnsi" w:hAnsiTheme="majorHAnsi"/>
          <w:b/>
          <w:sz w:val="24"/>
          <w:szCs w:val="24"/>
        </w:rPr>
        <w:t>OMB No. 0920-1154</w:t>
      </w:r>
    </w:p>
    <w:p w14:paraId="1E5809BB" w14:textId="77777777" w:rsidR="00FC4A42" w:rsidRPr="00516C54" w:rsidRDefault="00FC4A42" w:rsidP="00FC4A42">
      <w:pPr>
        <w:spacing w:after="0"/>
        <w:rPr>
          <w:rFonts w:asciiTheme="majorHAnsi" w:hAnsiTheme="majorHAnsi"/>
          <w:b/>
          <w:sz w:val="24"/>
          <w:szCs w:val="24"/>
        </w:rPr>
      </w:pPr>
    </w:p>
    <w:p w14:paraId="327A1E8E" w14:textId="77777777" w:rsidR="00FC4A42" w:rsidRPr="00516C54" w:rsidRDefault="00FC4A42" w:rsidP="00FC4A42">
      <w:pPr>
        <w:spacing w:after="0"/>
        <w:rPr>
          <w:rFonts w:asciiTheme="majorHAnsi" w:hAnsiTheme="majorHAnsi"/>
          <w:b/>
          <w:sz w:val="24"/>
          <w:szCs w:val="24"/>
        </w:rPr>
      </w:pPr>
    </w:p>
    <w:p w14:paraId="11F2FC57" w14:textId="77777777" w:rsidR="00FC4A42" w:rsidRPr="00516C54" w:rsidRDefault="00FC4A42" w:rsidP="00FC4A42">
      <w:pPr>
        <w:spacing w:after="0"/>
        <w:rPr>
          <w:rFonts w:asciiTheme="majorHAnsi" w:hAnsiTheme="majorHAnsi"/>
          <w:b/>
          <w:sz w:val="24"/>
          <w:szCs w:val="24"/>
        </w:rPr>
      </w:pPr>
    </w:p>
    <w:p w14:paraId="31C74569" w14:textId="61EDD5F4" w:rsidR="00FC4A42" w:rsidRPr="00516C54" w:rsidRDefault="00FC4A42" w:rsidP="00FC4A42">
      <w:pPr>
        <w:spacing w:after="0"/>
        <w:jc w:val="center"/>
        <w:rPr>
          <w:rFonts w:asciiTheme="majorHAnsi" w:hAnsiTheme="majorHAnsi"/>
          <w:sz w:val="24"/>
          <w:szCs w:val="24"/>
        </w:rPr>
      </w:pPr>
      <w:r w:rsidRPr="00516C54">
        <w:rPr>
          <w:rFonts w:asciiTheme="majorHAnsi" w:hAnsiTheme="majorHAnsi"/>
          <w:b/>
          <w:sz w:val="24"/>
          <w:szCs w:val="24"/>
        </w:rPr>
        <w:t>Submitted:</w:t>
      </w:r>
      <w:r w:rsidRPr="00516C54">
        <w:rPr>
          <w:rFonts w:asciiTheme="majorHAnsi" w:hAnsiTheme="majorHAnsi"/>
          <w:sz w:val="24"/>
          <w:szCs w:val="24"/>
        </w:rPr>
        <w:t xml:space="preserve"> </w:t>
      </w:r>
      <w:r>
        <w:rPr>
          <w:rFonts w:asciiTheme="majorHAnsi" w:hAnsiTheme="majorHAnsi"/>
          <w:sz w:val="24"/>
          <w:szCs w:val="24"/>
        </w:rPr>
        <w:t xml:space="preserve">April </w:t>
      </w:r>
      <w:r w:rsidR="00E300A0">
        <w:rPr>
          <w:rFonts w:asciiTheme="majorHAnsi" w:hAnsiTheme="majorHAnsi"/>
          <w:sz w:val="24"/>
          <w:szCs w:val="24"/>
        </w:rPr>
        <w:t>12</w:t>
      </w:r>
      <w:r>
        <w:rPr>
          <w:rFonts w:asciiTheme="majorHAnsi" w:hAnsiTheme="majorHAnsi"/>
          <w:sz w:val="24"/>
          <w:szCs w:val="24"/>
        </w:rPr>
        <w:t>, 2017</w:t>
      </w:r>
    </w:p>
    <w:p w14:paraId="44BEA2A3" w14:textId="77777777" w:rsidR="00FC4A42" w:rsidRPr="00516C54" w:rsidRDefault="00FC4A42" w:rsidP="00FC4A42">
      <w:pPr>
        <w:spacing w:after="0"/>
        <w:rPr>
          <w:rFonts w:asciiTheme="majorHAnsi" w:hAnsiTheme="majorHAnsi"/>
          <w:b/>
          <w:sz w:val="24"/>
          <w:szCs w:val="24"/>
        </w:rPr>
      </w:pPr>
    </w:p>
    <w:p w14:paraId="60722AB8" w14:textId="77777777" w:rsidR="00FC4A42" w:rsidRPr="00516C54" w:rsidRDefault="00FC4A42" w:rsidP="00FC4A42">
      <w:pPr>
        <w:spacing w:after="0"/>
        <w:rPr>
          <w:rFonts w:asciiTheme="majorHAnsi" w:hAnsiTheme="majorHAnsi"/>
          <w:b/>
          <w:sz w:val="24"/>
          <w:szCs w:val="24"/>
        </w:rPr>
      </w:pPr>
    </w:p>
    <w:p w14:paraId="5862555B" w14:textId="77777777" w:rsidR="009B4A51" w:rsidRPr="00AE22F7" w:rsidRDefault="009B4A51" w:rsidP="00716F94">
      <w:pPr>
        <w:spacing w:after="0"/>
        <w:rPr>
          <w:rFonts w:asciiTheme="majorHAnsi" w:hAnsiTheme="majorHAnsi"/>
          <w:b/>
          <w:sz w:val="24"/>
          <w:szCs w:val="24"/>
        </w:rPr>
      </w:pPr>
    </w:p>
    <w:p w14:paraId="4F716265" w14:textId="77777777" w:rsidR="009B4A51" w:rsidRPr="00AE22F7" w:rsidRDefault="009B4A51" w:rsidP="00716F94">
      <w:pPr>
        <w:spacing w:after="0"/>
        <w:rPr>
          <w:rFonts w:asciiTheme="majorHAnsi" w:hAnsiTheme="majorHAnsi"/>
          <w:b/>
          <w:sz w:val="24"/>
          <w:szCs w:val="24"/>
        </w:rPr>
      </w:pPr>
    </w:p>
    <w:p w14:paraId="4BD88A77" w14:textId="77777777" w:rsidR="009B4A51" w:rsidRPr="00AE22F7" w:rsidRDefault="009B4A51" w:rsidP="00716F94">
      <w:pPr>
        <w:spacing w:after="0"/>
        <w:rPr>
          <w:rFonts w:asciiTheme="majorHAnsi" w:hAnsiTheme="majorHAnsi"/>
          <w:b/>
          <w:sz w:val="24"/>
          <w:szCs w:val="24"/>
        </w:rPr>
      </w:pPr>
    </w:p>
    <w:p w14:paraId="4D44E5E6" w14:textId="77777777" w:rsidR="00AA3192" w:rsidRPr="00AE22F7" w:rsidRDefault="00AA3192" w:rsidP="00716F94">
      <w:pPr>
        <w:spacing w:after="0"/>
        <w:rPr>
          <w:rFonts w:asciiTheme="majorHAnsi" w:hAnsiTheme="majorHAnsi"/>
          <w:b/>
          <w:sz w:val="24"/>
          <w:szCs w:val="24"/>
        </w:rPr>
      </w:pPr>
    </w:p>
    <w:p w14:paraId="67348D42" w14:textId="77777777" w:rsidR="00AA3192" w:rsidRPr="00AE22F7" w:rsidRDefault="00AA3192" w:rsidP="00716F94">
      <w:pPr>
        <w:spacing w:after="0"/>
        <w:rPr>
          <w:rFonts w:asciiTheme="majorHAnsi" w:hAnsiTheme="majorHAnsi"/>
          <w:b/>
          <w:sz w:val="24"/>
          <w:szCs w:val="24"/>
        </w:rPr>
      </w:pPr>
    </w:p>
    <w:p w14:paraId="661BFB9C" w14:textId="77777777" w:rsidR="009B4A51" w:rsidRPr="00AE22F7" w:rsidRDefault="009B4A51" w:rsidP="00716F94">
      <w:pPr>
        <w:spacing w:after="0"/>
        <w:rPr>
          <w:rFonts w:asciiTheme="majorHAnsi" w:hAnsiTheme="majorHAnsi"/>
          <w:b/>
          <w:sz w:val="24"/>
          <w:szCs w:val="24"/>
        </w:rPr>
      </w:pPr>
    </w:p>
    <w:p w14:paraId="21624F00" w14:textId="77777777" w:rsidR="00B96FDA" w:rsidRPr="00C16DD7" w:rsidRDefault="00B96FDA" w:rsidP="00B96FDA">
      <w:pPr>
        <w:spacing w:after="0"/>
        <w:rPr>
          <w:rFonts w:asciiTheme="majorHAnsi" w:hAnsiTheme="majorHAnsi"/>
          <w:sz w:val="24"/>
          <w:szCs w:val="24"/>
        </w:rPr>
      </w:pPr>
      <w:r w:rsidRPr="00C16DD7">
        <w:rPr>
          <w:rFonts w:asciiTheme="majorHAnsi" w:hAnsiTheme="majorHAnsi"/>
          <w:b/>
          <w:sz w:val="24"/>
          <w:szCs w:val="24"/>
          <w:u w:val="single"/>
        </w:rPr>
        <w:t>Program Official/Project Officer</w:t>
      </w:r>
      <w:r w:rsidRPr="00C16DD7">
        <w:rPr>
          <w:rFonts w:asciiTheme="majorHAnsi" w:hAnsiTheme="majorHAnsi"/>
          <w:sz w:val="24"/>
          <w:szCs w:val="24"/>
        </w:rPr>
        <w:tab/>
      </w:r>
    </w:p>
    <w:p w14:paraId="537D68F3" w14:textId="77777777" w:rsidR="00B96FDA" w:rsidRPr="00584A0B" w:rsidRDefault="00B96FDA" w:rsidP="00B96FDA">
      <w:pPr>
        <w:spacing w:after="0" w:line="240" w:lineRule="auto"/>
        <w:rPr>
          <w:rFonts w:asciiTheme="majorHAnsi" w:hAnsiTheme="majorHAnsi" w:cs="Times New Roman"/>
          <w:bCs/>
          <w:sz w:val="24"/>
          <w:szCs w:val="24"/>
        </w:rPr>
      </w:pPr>
      <w:r w:rsidRPr="00584A0B">
        <w:rPr>
          <w:rFonts w:asciiTheme="majorHAnsi" w:hAnsiTheme="majorHAnsi" w:cs="Times New Roman"/>
          <w:bCs/>
          <w:sz w:val="24"/>
          <w:szCs w:val="24"/>
        </w:rPr>
        <w:t>Jill Glidewell</w:t>
      </w:r>
      <w:r w:rsidRPr="00584A0B">
        <w:rPr>
          <w:rFonts w:asciiTheme="majorHAnsi" w:hAnsiTheme="majorHAnsi" w:cs="Times New Roman"/>
          <w:bCs/>
          <w:sz w:val="24"/>
          <w:szCs w:val="24"/>
        </w:rPr>
        <w:tab/>
      </w:r>
    </w:p>
    <w:p w14:paraId="0D3003BA" w14:textId="77777777" w:rsidR="00B96FDA" w:rsidRPr="00584A0B" w:rsidRDefault="00B96FDA" w:rsidP="00B96FDA">
      <w:pPr>
        <w:spacing w:after="0" w:line="240" w:lineRule="auto"/>
        <w:rPr>
          <w:rFonts w:asciiTheme="majorHAnsi" w:hAnsiTheme="majorHAnsi" w:cs="Times New Roman"/>
          <w:sz w:val="24"/>
          <w:szCs w:val="24"/>
        </w:rPr>
      </w:pPr>
      <w:r w:rsidRPr="00584A0B">
        <w:rPr>
          <w:rFonts w:asciiTheme="majorHAnsi" w:hAnsiTheme="majorHAnsi" w:cs="Times New Roman"/>
          <w:sz w:val="24"/>
          <w:szCs w:val="24"/>
        </w:rPr>
        <w:t>Health Scientist</w:t>
      </w:r>
    </w:p>
    <w:p w14:paraId="060BBB0F" w14:textId="77777777" w:rsidR="00B96FDA" w:rsidRPr="00584A0B" w:rsidRDefault="00B96FDA" w:rsidP="00B96FDA">
      <w:pPr>
        <w:spacing w:after="0" w:line="240" w:lineRule="auto"/>
        <w:rPr>
          <w:rFonts w:asciiTheme="majorHAnsi" w:hAnsiTheme="majorHAnsi" w:cs="Times New Roman"/>
          <w:sz w:val="24"/>
          <w:szCs w:val="24"/>
        </w:rPr>
      </w:pPr>
      <w:r w:rsidRPr="00584A0B">
        <w:rPr>
          <w:rFonts w:asciiTheme="majorHAnsi" w:hAnsiTheme="majorHAnsi" w:cs="Times New Roman"/>
          <w:sz w:val="24"/>
          <w:szCs w:val="24"/>
        </w:rPr>
        <w:t>National Center on Birth Defects and Developmental Disabilities</w:t>
      </w:r>
    </w:p>
    <w:p w14:paraId="0B13E2AE" w14:textId="77777777" w:rsidR="00B96FDA" w:rsidRPr="00584A0B" w:rsidRDefault="00B96FDA" w:rsidP="00B96FDA">
      <w:pPr>
        <w:spacing w:after="0" w:line="240" w:lineRule="auto"/>
        <w:rPr>
          <w:rFonts w:asciiTheme="majorHAnsi" w:hAnsiTheme="majorHAnsi" w:cs="Times New Roman"/>
          <w:sz w:val="24"/>
          <w:szCs w:val="24"/>
        </w:rPr>
      </w:pPr>
      <w:r w:rsidRPr="00584A0B">
        <w:rPr>
          <w:rFonts w:asciiTheme="majorHAnsi" w:hAnsiTheme="majorHAnsi" w:cs="Times New Roman"/>
          <w:sz w:val="24"/>
          <w:szCs w:val="24"/>
        </w:rPr>
        <w:t>4770 Buford Highway, Chamblee, GA 30341</w:t>
      </w:r>
    </w:p>
    <w:p w14:paraId="14EBD17B" w14:textId="77777777" w:rsidR="00B96FDA" w:rsidRPr="00584A0B" w:rsidRDefault="00B96FDA" w:rsidP="00B96FDA">
      <w:pPr>
        <w:spacing w:after="0" w:line="240" w:lineRule="auto"/>
        <w:rPr>
          <w:rFonts w:asciiTheme="majorHAnsi" w:hAnsiTheme="majorHAnsi" w:cs="Times New Roman"/>
          <w:sz w:val="24"/>
          <w:szCs w:val="24"/>
        </w:rPr>
      </w:pPr>
      <w:r w:rsidRPr="00584A0B">
        <w:rPr>
          <w:rFonts w:asciiTheme="majorHAnsi" w:hAnsiTheme="majorHAnsi" w:cs="Times New Roman"/>
          <w:sz w:val="24"/>
          <w:szCs w:val="24"/>
        </w:rPr>
        <w:t>404-498-3538</w:t>
      </w:r>
    </w:p>
    <w:p w14:paraId="35D00BDD" w14:textId="77777777" w:rsidR="00B96FDA" w:rsidRPr="00584A0B" w:rsidRDefault="00B96FDA" w:rsidP="00B96FDA">
      <w:pPr>
        <w:spacing w:after="0" w:line="240" w:lineRule="auto"/>
        <w:rPr>
          <w:rFonts w:asciiTheme="majorHAnsi" w:hAnsiTheme="majorHAnsi" w:cs="Times New Roman"/>
          <w:sz w:val="24"/>
          <w:szCs w:val="24"/>
        </w:rPr>
      </w:pPr>
      <w:r w:rsidRPr="00584A0B">
        <w:rPr>
          <w:rFonts w:asciiTheme="majorHAnsi" w:hAnsiTheme="majorHAnsi"/>
          <w:noProof/>
          <w:sz w:val="24"/>
          <w:szCs w:val="24"/>
        </w:rPr>
        <w:t>770-488-3266</w:t>
      </w:r>
    </w:p>
    <w:p w14:paraId="0963EF43" w14:textId="77777777" w:rsidR="00B96FDA" w:rsidRPr="00C16DD7" w:rsidRDefault="00783F0F" w:rsidP="00B96FDA">
      <w:pPr>
        <w:spacing w:after="0" w:line="240" w:lineRule="auto"/>
        <w:rPr>
          <w:rFonts w:asciiTheme="majorHAnsi" w:hAnsiTheme="majorHAnsi" w:cs="Times New Roman"/>
          <w:color w:val="FF0000"/>
          <w:sz w:val="24"/>
          <w:szCs w:val="24"/>
        </w:rPr>
      </w:pPr>
      <w:hyperlink r:id="rId8" w:history="1">
        <w:r w:rsidR="00B96FDA" w:rsidRPr="00B850D8">
          <w:rPr>
            <w:rStyle w:val="Hyperlink"/>
            <w:rFonts w:asciiTheme="majorHAnsi" w:hAnsiTheme="majorHAnsi" w:cs="Times New Roman"/>
            <w:sz w:val="24"/>
            <w:szCs w:val="24"/>
          </w:rPr>
          <w:t>Iyp0@cdc.gov</w:t>
        </w:r>
      </w:hyperlink>
      <w:r w:rsidR="00B96FDA">
        <w:rPr>
          <w:rFonts w:asciiTheme="majorHAnsi" w:hAnsiTheme="majorHAnsi" w:cs="Times New Roman"/>
          <w:color w:val="FF0000"/>
          <w:sz w:val="24"/>
          <w:szCs w:val="24"/>
        </w:rPr>
        <w:t xml:space="preserve"> </w:t>
      </w:r>
    </w:p>
    <w:p w14:paraId="5C000F27" w14:textId="77777777" w:rsidR="00F725B5" w:rsidRPr="00AE22F7" w:rsidRDefault="00F725B5" w:rsidP="00B12F51">
      <w:pPr>
        <w:spacing w:after="0"/>
        <w:rPr>
          <w:rFonts w:asciiTheme="majorHAnsi" w:hAnsiTheme="majorHAnsi"/>
          <w:sz w:val="24"/>
          <w:szCs w:val="24"/>
        </w:rPr>
      </w:pPr>
    </w:p>
    <w:p w14:paraId="0952357F" w14:textId="77777777" w:rsidR="00F725B5" w:rsidRPr="00AE22F7" w:rsidRDefault="00F725B5" w:rsidP="00B12F51">
      <w:pPr>
        <w:spacing w:after="0"/>
        <w:rPr>
          <w:rFonts w:asciiTheme="majorHAnsi" w:hAnsiTheme="majorHAnsi"/>
          <w:sz w:val="24"/>
          <w:szCs w:val="24"/>
        </w:rPr>
      </w:pPr>
    </w:p>
    <w:p w14:paraId="31DAF2F3" w14:textId="77777777" w:rsidR="00F725B5" w:rsidRPr="00AE22F7" w:rsidRDefault="00F725B5" w:rsidP="00B12F51">
      <w:pPr>
        <w:spacing w:after="0"/>
        <w:rPr>
          <w:rFonts w:asciiTheme="majorHAnsi" w:hAnsiTheme="majorHAnsi"/>
          <w:b/>
          <w:sz w:val="24"/>
          <w:szCs w:val="24"/>
        </w:rPr>
      </w:pPr>
    </w:p>
    <w:p w14:paraId="57FB0DF1" w14:textId="77777777" w:rsidR="00E300A0" w:rsidRDefault="00E300A0" w:rsidP="00B12F51">
      <w:pPr>
        <w:spacing w:after="0"/>
        <w:rPr>
          <w:rFonts w:asciiTheme="majorHAnsi" w:hAnsiTheme="majorHAnsi"/>
          <w:b/>
          <w:sz w:val="24"/>
          <w:szCs w:val="24"/>
        </w:rPr>
      </w:pPr>
    </w:p>
    <w:p w14:paraId="37A71564" w14:textId="77777777" w:rsidR="00B12F51" w:rsidRPr="003A0CD5" w:rsidRDefault="00B12F51" w:rsidP="00B12F51">
      <w:pPr>
        <w:spacing w:after="0"/>
        <w:rPr>
          <w:rFonts w:asciiTheme="majorHAnsi" w:hAnsiTheme="majorHAnsi"/>
          <w:sz w:val="24"/>
          <w:szCs w:val="24"/>
        </w:rPr>
      </w:pPr>
      <w:r w:rsidRPr="003A0CD5">
        <w:rPr>
          <w:rFonts w:asciiTheme="majorHAnsi" w:hAnsiTheme="majorHAnsi"/>
          <w:b/>
          <w:sz w:val="24"/>
          <w:szCs w:val="24"/>
        </w:rPr>
        <w:lastRenderedPageBreak/>
        <w:t xml:space="preserve">Section B – </w:t>
      </w:r>
      <w:r w:rsidR="00287E2F" w:rsidRPr="003A0CD5">
        <w:rPr>
          <w:rFonts w:asciiTheme="majorHAnsi" w:hAnsiTheme="majorHAnsi"/>
          <w:b/>
          <w:sz w:val="24"/>
          <w:szCs w:val="24"/>
        </w:rPr>
        <w:t>Data Collection Procedures</w:t>
      </w:r>
    </w:p>
    <w:p w14:paraId="1FEC7140" w14:textId="77777777" w:rsidR="00287E2F" w:rsidRPr="003A0CD5" w:rsidRDefault="00287E2F" w:rsidP="00B12F51">
      <w:pPr>
        <w:spacing w:after="0"/>
        <w:rPr>
          <w:rFonts w:asciiTheme="majorHAnsi" w:hAnsiTheme="majorHAnsi"/>
          <w:sz w:val="24"/>
          <w:szCs w:val="24"/>
        </w:rPr>
      </w:pPr>
    </w:p>
    <w:p w14:paraId="4CC16882" w14:textId="77777777" w:rsidR="00B12F51" w:rsidRPr="003A0CD5" w:rsidRDefault="00AE22F7" w:rsidP="00B12F51">
      <w:pPr>
        <w:pStyle w:val="ListParagraph"/>
        <w:numPr>
          <w:ilvl w:val="0"/>
          <w:numId w:val="3"/>
        </w:numPr>
        <w:spacing w:after="0"/>
        <w:rPr>
          <w:rFonts w:asciiTheme="majorHAnsi" w:hAnsiTheme="majorHAnsi"/>
          <w:b/>
          <w:sz w:val="24"/>
          <w:szCs w:val="24"/>
        </w:rPr>
      </w:pPr>
      <w:r w:rsidRPr="003A0CD5">
        <w:rPr>
          <w:rFonts w:asciiTheme="majorHAnsi" w:hAnsiTheme="majorHAnsi"/>
          <w:b/>
          <w:sz w:val="24"/>
          <w:szCs w:val="24"/>
        </w:rPr>
        <w:t>Respondent Universe and Sampling Methods</w:t>
      </w:r>
      <w:r w:rsidR="00F725B5" w:rsidRPr="003A0CD5">
        <w:rPr>
          <w:rFonts w:asciiTheme="majorHAnsi" w:hAnsiTheme="majorHAnsi"/>
          <w:b/>
          <w:sz w:val="24"/>
          <w:szCs w:val="24"/>
        </w:rPr>
        <w:t xml:space="preserve">  </w:t>
      </w:r>
    </w:p>
    <w:p w14:paraId="32D32F46" w14:textId="77777777" w:rsidR="00BC5BB2" w:rsidRPr="003A0CD5" w:rsidRDefault="00BC5BB2" w:rsidP="00F52BCC">
      <w:pPr>
        <w:pStyle w:val="ListParagraph"/>
        <w:spacing w:after="0"/>
        <w:rPr>
          <w:rFonts w:asciiTheme="majorHAnsi" w:hAnsiTheme="majorHAnsi"/>
          <w:sz w:val="24"/>
          <w:szCs w:val="24"/>
        </w:rPr>
      </w:pPr>
    </w:p>
    <w:p w14:paraId="6AC9676B" w14:textId="77777777" w:rsidR="00A75D1C" w:rsidRPr="00103882" w:rsidRDefault="003B1C80" w:rsidP="003B1C80">
      <w:pPr>
        <w:pStyle w:val="ListParagraph"/>
        <w:spacing w:after="0"/>
        <w:rPr>
          <w:rFonts w:asciiTheme="majorHAnsi" w:hAnsiTheme="majorHAnsi"/>
          <w:b/>
          <w:sz w:val="24"/>
          <w:szCs w:val="24"/>
          <w:u w:val="single"/>
        </w:rPr>
      </w:pPr>
      <w:r w:rsidRPr="00103882">
        <w:rPr>
          <w:rFonts w:asciiTheme="majorHAnsi" w:hAnsiTheme="majorHAnsi"/>
          <w:b/>
          <w:sz w:val="24"/>
          <w:szCs w:val="24"/>
          <w:u w:val="single"/>
        </w:rPr>
        <w:t xml:space="preserve">Emory University: </w:t>
      </w:r>
      <w:r w:rsidR="00A305CE" w:rsidRPr="00103882">
        <w:rPr>
          <w:rFonts w:asciiTheme="majorHAnsi" w:hAnsiTheme="majorHAnsi"/>
          <w:b/>
          <w:sz w:val="24"/>
          <w:szCs w:val="24"/>
          <w:u w:val="single"/>
        </w:rPr>
        <w:t xml:space="preserve"> </w:t>
      </w:r>
    </w:p>
    <w:p w14:paraId="4B916FA7" w14:textId="2FFDABA1" w:rsidR="003B1C80" w:rsidRPr="003A0CD5" w:rsidRDefault="003B1C80" w:rsidP="003B1C80">
      <w:pPr>
        <w:pStyle w:val="ListParagraph"/>
        <w:spacing w:beforeLines="20" w:before="48" w:afterLines="200" w:after="480"/>
        <w:rPr>
          <w:rFonts w:asciiTheme="majorHAnsi" w:hAnsiTheme="majorHAnsi" w:cs="Arial"/>
          <w:sz w:val="24"/>
          <w:szCs w:val="24"/>
        </w:rPr>
      </w:pPr>
      <w:r w:rsidRPr="003A0CD5">
        <w:rPr>
          <w:rFonts w:asciiTheme="majorHAnsi" w:hAnsiTheme="majorHAnsi" w:cs="Arial"/>
          <w:sz w:val="24"/>
          <w:szCs w:val="24"/>
        </w:rPr>
        <w:t xml:space="preserve">Participants in this </w:t>
      </w:r>
      <w:r w:rsidR="00AB3B9A">
        <w:rPr>
          <w:rFonts w:asciiTheme="majorHAnsi" w:hAnsiTheme="majorHAnsi" w:cs="Arial"/>
          <w:sz w:val="24"/>
          <w:szCs w:val="24"/>
        </w:rPr>
        <w:t>formative survey</w:t>
      </w:r>
      <w:r w:rsidR="00AB3B9A" w:rsidRPr="003A0CD5">
        <w:rPr>
          <w:rFonts w:asciiTheme="majorHAnsi" w:hAnsiTheme="majorHAnsi" w:cs="Arial"/>
          <w:sz w:val="24"/>
          <w:szCs w:val="24"/>
        </w:rPr>
        <w:t xml:space="preserve"> </w:t>
      </w:r>
      <w:r w:rsidRPr="003A0CD5">
        <w:rPr>
          <w:rFonts w:asciiTheme="majorHAnsi" w:hAnsiTheme="majorHAnsi" w:cs="Arial"/>
          <w:sz w:val="24"/>
          <w:szCs w:val="24"/>
        </w:rPr>
        <w:t>will include parents</w:t>
      </w:r>
      <w:r w:rsidR="00721F95">
        <w:rPr>
          <w:rFonts w:asciiTheme="majorHAnsi" w:hAnsiTheme="majorHAnsi" w:cs="Arial"/>
          <w:sz w:val="24"/>
          <w:szCs w:val="24"/>
        </w:rPr>
        <w:t>/guardians</w:t>
      </w:r>
      <w:r w:rsidRPr="003A0CD5">
        <w:rPr>
          <w:rFonts w:asciiTheme="majorHAnsi" w:hAnsiTheme="majorHAnsi" w:cs="Arial"/>
          <w:sz w:val="24"/>
          <w:szCs w:val="24"/>
        </w:rPr>
        <w:t xml:space="preserve"> of adolescents (ages 11-17 as of July 1, 2017) with </w:t>
      </w:r>
      <w:r w:rsidR="002C6871">
        <w:rPr>
          <w:rFonts w:asciiTheme="majorHAnsi" w:hAnsiTheme="majorHAnsi" w:cs="Arial"/>
          <w:sz w:val="24"/>
          <w:szCs w:val="24"/>
        </w:rPr>
        <w:t>a congenital heart defect (</w:t>
      </w:r>
      <w:r w:rsidRPr="003A0CD5">
        <w:rPr>
          <w:rFonts w:asciiTheme="majorHAnsi" w:hAnsiTheme="majorHAnsi" w:cs="Arial"/>
          <w:sz w:val="24"/>
          <w:szCs w:val="24"/>
        </w:rPr>
        <w:t>CHD</w:t>
      </w:r>
      <w:r w:rsidR="002C6871">
        <w:rPr>
          <w:rFonts w:asciiTheme="majorHAnsi" w:hAnsiTheme="majorHAnsi" w:cs="Arial"/>
          <w:sz w:val="24"/>
          <w:szCs w:val="24"/>
        </w:rPr>
        <w:t>)</w:t>
      </w:r>
      <w:r w:rsidRPr="003A0CD5">
        <w:rPr>
          <w:rFonts w:asciiTheme="majorHAnsi" w:hAnsiTheme="majorHAnsi" w:cs="Arial"/>
          <w:sz w:val="24"/>
          <w:szCs w:val="24"/>
        </w:rPr>
        <w:t>.  Participants must be able to consent and complete the survey in English or Spanish.  Parents</w:t>
      </w:r>
      <w:r w:rsidR="00721F95">
        <w:rPr>
          <w:rFonts w:asciiTheme="majorHAnsi" w:hAnsiTheme="majorHAnsi" w:cs="Arial"/>
          <w:sz w:val="24"/>
          <w:szCs w:val="24"/>
        </w:rPr>
        <w:t>/guardians</w:t>
      </w:r>
      <w:r w:rsidRPr="003A0CD5">
        <w:rPr>
          <w:rFonts w:asciiTheme="majorHAnsi" w:hAnsiTheme="majorHAnsi" w:cs="Arial"/>
          <w:sz w:val="24"/>
          <w:szCs w:val="24"/>
        </w:rPr>
        <w:t xml:space="preserve"> may participate regardless of whether their child has maintained regular care intervals as recommended by the provider or is receiving only “intermittent” care.</w:t>
      </w:r>
    </w:p>
    <w:p w14:paraId="25753635" w14:textId="77777777" w:rsidR="003B1C80" w:rsidRPr="003A0CD5" w:rsidRDefault="003B1C80" w:rsidP="003B1C80">
      <w:pPr>
        <w:pStyle w:val="ListParagraph"/>
        <w:spacing w:beforeLines="20" w:before="48" w:afterLines="200" w:after="480"/>
        <w:rPr>
          <w:rFonts w:asciiTheme="majorHAnsi" w:hAnsiTheme="majorHAnsi" w:cs="Arial"/>
          <w:sz w:val="24"/>
          <w:szCs w:val="24"/>
        </w:rPr>
      </w:pPr>
    </w:p>
    <w:p w14:paraId="1CAD4F3F" w14:textId="77777777" w:rsidR="003B1C80" w:rsidRPr="003A0CD5" w:rsidRDefault="003B1C80" w:rsidP="003B1C80">
      <w:pPr>
        <w:pStyle w:val="ListParagraph"/>
        <w:spacing w:beforeLines="20" w:before="48" w:afterLines="200" w:after="480"/>
        <w:rPr>
          <w:rFonts w:asciiTheme="majorHAnsi" w:hAnsiTheme="majorHAnsi" w:cs="Arial"/>
          <w:sz w:val="24"/>
          <w:szCs w:val="24"/>
        </w:rPr>
      </w:pPr>
      <w:r w:rsidRPr="003A0CD5">
        <w:rPr>
          <w:rFonts w:asciiTheme="majorHAnsi" w:hAnsiTheme="majorHAnsi" w:cs="Arial"/>
          <w:sz w:val="24"/>
          <w:szCs w:val="24"/>
        </w:rPr>
        <w:t>Individuals will NOT be eligible for study participation if they are:</w:t>
      </w:r>
    </w:p>
    <w:p w14:paraId="3FC5DC02" w14:textId="77777777" w:rsidR="003B1C80" w:rsidRPr="003A0CD5" w:rsidRDefault="003B1C80" w:rsidP="003B1C80">
      <w:pPr>
        <w:pStyle w:val="ListParagraph"/>
        <w:numPr>
          <w:ilvl w:val="0"/>
          <w:numId w:val="21"/>
        </w:numPr>
        <w:spacing w:beforeLines="20" w:before="48" w:afterLines="200" w:after="480"/>
        <w:rPr>
          <w:rFonts w:asciiTheme="majorHAnsi" w:hAnsiTheme="majorHAnsi" w:cs="Arial"/>
          <w:sz w:val="24"/>
          <w:szCs w:val="24"/>
        </w:rPr>
      </w:pPr>
      <w:r w:rsidRPr="003A0CD5">
        <w:rPr>
          <w:rFonts w:asciiTheme="majorHAnsi" w:hAnsiTheme="majorHAnsi" w:cs="Arial"/>
          <w:sz w:val="24"/>
          <w:szCs w:val="24"/>
        </w:rPr>
        <w:t>Younger than age 18</w:t>
      </w:r>
    </w:p>
    <w:p w14:paraId="24961471" w14:textId="66763896" w:rsidR="003B1C80" w:rsidRPr="003A0CD5" w:rsidRDefault="003B1C80" w:rsidP="003B1C80">
      <w:pPr>
        <w:pStyle w:val="ListParagraph"/>
        <w:numPr>
          <w:ilvl w:val="0"/>
          <w:numId w:val="21"/>
        </w:numPr>
        <w:spacing w:beforeLines="20" w:before="48" w:afterLines="200" w:after="480"/>
        <w:rPr>
          <w:rFonts w:asciiTheme="majorHAnsi" w:hAnsiTheme="majorHAnsi" w:cs="Arial"/>
          <w:sz w:val="24"/>
          <w:szCs w:val="24"/>
        </w:rPr>
      </w:pPr>
      <w:r w:rsidRPr="003A0CD5">
        <w:rPr>
          <w:rFonts w:asciiTheme="majorHAnsi" w:hAnsiTheme="majorHAnsi" w:cs="Arial"/>
          <w:sz w:val="24"/>
          <w:szCs w:val="24"/>
        </w:rPr>
        <w:t>Not the parents</w:t>
      </w:r>
      <w:r w:rsidR="00721F95">
        <w:rPr>
          <w:rFonts w:asciiTheme="majorHAnsi" w:hAnsiTheme="majorHAnsi" w:cs="Arial"/>
          <w:sz w:val="24"/>
          <w:szCs w:val="24"/>
        </w:rPr>
        <w:t>/guardians</w:t>
      </w:r>
      <w:r w:rsidRPr="003A0CD5">
        <w:rPr>
          <w:rFonts w:asciiTheme="majorHAnsi" w:hAnsiTheme="majorHAnsi" w:cs="Arial"/>
          <w:sz w:val="24"/>
          <w:szCs w:val="24"/>
        </w:rPr>
        <w:t xml:space="preserve"> of an adolescent (ages 11-17) with CHD</w:t>
      </w:r>
    </w:p>
    <w:p w14:paraId="2C9AF31E" w14:textId="77777777" w:rsidR="003B1C80" w:rsidRPr="003A0CD5" w:rsidRDefault="003B1C80" w:rsidP="003B1C80">
      <w:pPr>
        <w:pStyle w:val="ListParagraph"/>
        <w:numPr>
          <w:ilvl w:val="0"/>
          <w:numId w:val="21"/>
        </w:numPr>
        <w:spacing w:beforeLines="20" w:before="48" w:afterLines="200" w:after="480"/>
        <w:rPr>
          <w:rFonts w:asciiTheme="majorHAnsi" w:hAnsiTheme="majorHAnsi" w:cs="Arial"/>
          <w:sz w:val="24"/>
          <w:szCs w:val="24"/>
        </w:rPr>
      </w:pPr>
      <w:r w:rsidRPr="003A0CD5">
        <w:rPr>
          <w:rFonts w:asciiTheme="majorHAnsi" w:hAnsiTheme="majorHAnsi" w:cs="Arial"/>
          <w:sz w:val="24"/>
          <w:szCs w:val="24"/>
        </w:rPr>
        <w:t>Unable to consent to participation in the study</w:t>
      </w:r>
    </w:p>
    <w:p w14:paraId="4F6D84FD" w14:textId="77777777" w:rsidR="003B1C80" w:rsidRPr="003A0CD5" w:rsidRDefault="003B1C80" w:rsidP="003B1C80">
      <w:pPr>
        <w:pStyle w:val="ListParagraph"/>
        <w:numPr>
          <w:ilvl w:val="0"/>
          <w:numId w:val="21"/>
        </w:numPr>
        <w:spacing w:beforeLines="20" w:before="48" w:afterLines="200" w:after="480"/>
        <w:rPr>
          <w:rFonts w:asciiTheme="majorHAnsi" w:hAnsiTheme="majorHAnsi" w:cs="Arial"/>
          <w:sz w:val="24"/>
          <w:szCs w:val="24"/>
        </w:rPr>
      </w:pPr>
      <w:r w:rsidRPr="003A0CD5">
        <w:rPr>
          <w:rFonts w:asciiTheme="majorHAnsi" w:hAnsiTheme="majorHAnsi" w:cs="Arial"/>
          <w:sz w:val="24"/>
          <w:szCs w:val="24"/>
        </w:rPr>
        <w:t>Unable to complete the survey in English or Spanish</w:t>
      </w:r>
    </w:p>
    <w:p w14:paraId="3F633639" w14:textId="34C9D499" w:rsidR="00CF169A" w:rsidRPr="00CF169A" w:rsidRDefault="002C6871" w:rsidP="00CF169A">
      <w:pPr>
        <w:spacing w:afterLines="150" w:after="360"/>
        <w:ind w:left="720"/>
        <w:rPr>
          <w:rFonts w:asciiTheme="majorHAnsi" w:hAnsiTheme="majorHAnsi" w:cs="Arial"/>
          <w:sz w:val="24"/>
          <w:szCs w:val="24"/>
        </w:rPr>
      </w:pPr>
      <w:r w:rsidRPr="00CF169A">
        <w:rPr>
          <w:rFonts w:asciiTheme="majorHAnsi" w:hAnsiTheme="majorHAnsi" w:cs="Arial"/>
          <w:sz w:val="24"/>
          <w:szCs w:val="24"/>
        </w:rPr>
        <w:t>Data will be collected from parents</w:t>
      </w:r>
      <w:r w:rsidR="00721F95">
        <w:rPr>
          <w:rFonts w:asciiTheme="majorHAnsi" w:hAnsiTheme="majorHAnsi" w:cs="Arial"/>
          <w:sz w:val="24"/>
          <w:szCs w:val="24"/>
        </w:rPr>
        <w:t>/guardians</w:t>
      </w:r>
      <w:r w:rsidRPr="00CF169A">
        <w:rPr>
          <w:rFonts w:asciiTheme="majorHAnsi" w:hAnsiTheme="majorHAnsi" w:cs="Arial"/>
          <w:sz w:val="24"/>
          <w:szCs w:val="24"/>
        </w:rPr>
        <w:t xml:space="preserve"> of adolescent CHD patients attending any of the 22 Sibley Heart Center clinics in Georgia.  Parents</w:t>
      </w:r>
      <w:r w:rsidR="00721F95">
        <w:rPr>
          <w:rFonts w:asciiTheme="majorHAnsi" w:hAnsiTheme="majorHAnsi" w:cs="Arial"/>
          <w:sz w:val="24"/>
          <w:szCs w:val="24"/>
        </w:rPr>
        <w:t>/guardians</w:t>
      </w:r>
      <w:r w:rsidRPr="00CF169A">
        <w:rPr>
          <w:rFonts w:asciiTheme="majorHAnsi" w:hAnsiTheme="majorHAnsi" w:cs="Arial"/>
          <w:sz w:val="24"/>
          <w:szCs w:val="24"/>
        </w:rPr>
        <w:t xml:space="preserve"> will be recruited based on the appointment logs of the Sibley clinic locations.  Each week, a member of the </w:t>
      </w:r>
      <w:r w:rsidR="00C4491F">
        <w:rPr>
          <w:rFonts w:asciiTheme="majorHAnsi" w:hAnsiTheme="majorHAnsi" w:cs="Arial"/>
          <w:sz w:val="24"/>
          <w:szCs w:val="24"/>
        </w:rPr>
        <w:t xml:space="preserve">Emory University </w:t>
      </w:r>
      <w:r w:rsidRPr="00CF169A">
        <w:rPr>
          <w:rFonts w:asciiTheme="majorHAnsi" w:hAnsiTheme="majorHAnsi" w:cs="Arial"/>
          <w:sz w:val="24"/>
          <w:szCs w:val="24"/>
        </w:rPr>
        <w:t>project team will review the patient appointment logs for the participating clinics.  Adolescent patients on the log (ages 11-17) with a diagnosis of CHD will be identified and contact information for the patient’s parent</w:t>
      </w:r>
      <w:r w:rsidR="00721F95">
        <w:rPr>
          <w:rFonts w:asciiTheme="majorHAnsi" w:hAnsiTheme="majorHAnsi" w:cs="Arial"/>
          <w:sz w:val="24"/>
          <w:szCs w:val="24"/>
        </w:rPr>
        <w:t>/guardian</w:t>
      </w:r>
      <w:r w:rsidRPr="00CF169A">
        <w:rPr>
          <w:rFonts w:asciiTheme="majorHAnsi" w:hAnsiTheme="majorHAnsi" w:cs="Arial"/>
          <w:sz w:val="24"/>
          <w:szCs w:val="24"/>
        </w:rPr>
        <w:t xml:space="preserve">(s) will be collected from the medical records database.  A member of the </w:t>
      </w:r>
      <w:r w:rsidR="00C4491F">
        <w:rPr>
          <w:rFonts w:asciiTheme="majorHAnsi" w:hAnsiTheme="majorHAnsi" w:cs="Arial"/>
          <w:sz w:val="24"/>
          <w:szCs w:val="24"/>
        </w:rPr>
        <w:t xml:space="preserve">Emory University </w:t>
      </w:r>
      <w:r w:rsidRPr="00CF169A">
        <w:rPr>
          <w:rFonts w:asciiTheme="majorHAnsi" w:hAnsiTheme="majorHAnsi" w:cs="Arial"/>
          <w:sz w:val="24"/>
          <w:szCs w:val="24"/>
        </w:rPr>
        <w:t>project team will contact the parent</w:t>
      </w:r>
      <w:r w:rsidR="00721F95">
        <w:rPr>
          <w:rFonts w:asciiTheme="majorHAnsi" w:hAnsiTheme="majorHAnsi" w:cs="Arial"/>
          <w:sz w:val="24"/>
          <w:szCs w:val="24"/>
        </w:rPr>
        <w:t>/guardian</w:t>
      </w:r>
      <w:r w:rsidRPr="00CF169A">
        <w:rPr>
          <w:rFonts w:asciiTheme="majorHAnsi" w:hAnsiTheme="majorHAnsi" w:cs="Arial"/>
          <w:sz w:val="24"/>
          <w:szCs w:val="24"/>
        </w:rPr>
        <w:t xml:space="preserve"> via telephone to inquire whether he/she would be willing to participate in the survey.  Each parent</w:t>
      </w:r>
      <w:r w:rsidR="00721F95">
        <w:rPr>
          <w:rFonts w:asciiTheme="majorHAnsi" w:hAnsiTheme="majorHAnsi" w:cs="Arial"/>
          <w:sz w:val="24"/>
          <w:szCs w:val="24"/>
        </w:rPr>
        <w:t>/guardian</w:t>
      </w:r>
      <w:r w:rsidRPr="00CF169A">
        <w:rPr>
          <w:rFonts w:asciiTheme="majorHAnsi" w:hAnsiTheme="majorHAnsi" w:cs="Arial"/>
          <w:sz w:val="24"/>
          <w:szCs w:val="24"/>
        </w:rPr>
        <w:t xml:space="preserve"> will be contacted three times.  </w:t>
      </w:r>
      <w:r w:rsidR="00CF169A" w:rsidRPr="00CF169A">
        <w:rPr>
          <w:rFonts w:asciiTheme="majorHAnsi" w:hAnsiTheme="majorHAnsi" w:cs="Arial"/>
          <w:sz w:val="24"/>
          <w:szCs w:val="24"/>
        </w:rPr>
        <w:t>If the parent</w:t>
      </w:r>
      <w:r w:rsidR="00721F95">
        <w:rPr>
          <w:rFonts w:asciiTheme="majorHAnsi" w:hAnsiTheme="majorHAnsi" w:cs="Arial"/>
          <w:sz w:val="24"/>
          <w:szCs w:val="24"/>
        </w:rPr>
        <w:t>/guardian</w:t>
      </w:r>
      <w:r w:rsidR="00CF169A" w:rsidRPr="00CF169A">
        <w:rPr>
          <w:rFonts w:asciiTheme="majorHAnsi" w:hAnsiTheme="majorHAnsi" w:cs="Arial"/>
          <w:sz w:val="24"/>
          <w:szCs w:val="24"/>
        </w:rPr>
        <w:t xml:space="preserve"> is outside of metro-Atlanta, they will be given the opportunity to complete the survey on the internet. If the parent</w:t>
      </w:r>
      <w:r w:rsidR="00721F95">
        <w:rPr>
          <w:rFonts w:asciiTheme="majorHAnsi" w:hAnsiTheme="majorHAnsi" w:cs="Arial"/>
          <w:sz w:val="24"/>
          <w:szCs w:val="24"/>
        </w:rPr>
        <w:t>/guardian</w:t>
      </w:r>
      <w:r w:rsidR="00CF169A" w:rsidRPr="00CF169A">
        <w:rPr>
          <w:rFonts w:asciiTheme="majorHAnsi" w:hAnsiTheme="majorHAnsi" w:cs="Arial"/>
          <w:sz w:val="24"/>
          <w:szCs w:val="24"/>
        </w:rPr>
        <w:t xml:space="preserve"> is in metro Atlanta, they will be given the opportunity to complete the survey remotely via the internet or in-person in the clinic on an electronic tablet. </w:t>
      </w:r>
      <w:r w:rsidRPr="00CF169A">
        <w:rPr>
          <w:rFonts w:asciiTheme="majorHAnsi" w:hAnsiTheme="majorHAnsi" w:cs="Arial"/>
          <w:sz w:val="24"/>
          <w:szCs w:val="24"/>
        </w:rPr>
        <w:t>If a parent</w:t>
      </w:r>
      <w:r w:rsidR="00721F95">
        <w:rPr>
          <w:rFonts w:asciiTheme="majorHAnsi" w:hAnsiTheme="majorHAnsi" w:cs="Arial"/>
          <w:sz w:val="24"/>
          <w:szCs w:val="24"/>
        </w:rPr>
        <w:t>/guardian</w:t>
      </w:r>
      <w:r w:rsidRPr="00CF169A">
        <w:rPr>
          <w:rFonts w:asciiTheme="majorHAnsi" w:hAnsiTheme="majorHAnsi" w:cs="Arial"/>
          <w:sz w:val="24"/>
          <w:szCs w:val="24"/>
        </w:rPr>
        <w:t xml:space="preserve"> cannot be reached after 3 tries, he/she will be removed from the initial contact list (he/she may still be approached in-person in the clinical setting).</w:t>
      </w:r>
    </w:p>
    <w:p w14:paraId="3793B581" w14:textId="3C59B17F" w:rsidR="003B1C80" w:rsidRPr="00CF169A" w:rsidRDefault="003B1C80" w:rsidP="00CF169A">
      <w:pPr>
        <w:spacing w:afterLines="150" w:after="360"/>
        <w:ind w:left="720"/>
        <w:rPr>
          <w:rFonts w:asciiTheme="majorHAnsi" w:hAnsiTheme="majorHAnsi" w:cs="Arial"/>
          <w:sz w:val="24"/>
          <w:szCs w:val="24"/>
        </w:rPr>
      </w:pPr>
      <w:r w:rsidRPr="00CF169A">
        <w:rPr>
          <w:rFonts w:asciiTheme="majorHAnsi" w:hAnsiTheme="majorHAnsi" w:cs="Arial"/>
          <w:sz w:val="24"/>
          <w:szCs w:val="24"/>
        </w:rPr>
        <w:t>Because these parents</w:t>
      </w:r>
      <w:r w:rsidR="00721F95">
        <w:rPr>
          <w:rFonts w:asciiTheme="majorHAnsi" w:hAnsiTheme="majorHAnsi" w:cs="Arial"/>
          <w:sz w:val="24"/>
          <w:szCs w:val="24"/>
        </w:rPr>
        <w:t>/guardians</w:t>
      </w:r>
      <w:r w:rsidRPr="00CF169A">
        <w:rPr>
          <w:rFonts w:asciiTheme="majorHAnsi" w:hAnsiTheme="majorHAnsi" w:cs="Arial"/>
          <w:sz w:val="24"/>
          <w:szCs w:val="24"/>
        </w:rPr>
        <w:t xml:space="preserve"> are currently engaged in obtaining care for their adolescent child and will be approached in the clinic while obtaining care, we expect a high participation rate of approximately 60%.  Similar studies using pre-survey </w:t>
      </w:r>
      <w:r w:rsidRPr="00CF169A">
        <w:rPr>
          <w:rFonts w:asciiTheme="majorHAnsi" w:hAnsiTheme="majorHAnsi" w:cs="Arial"/>
          <w:sz w:val="24"/>
          <w:szCs w:val="24"/>
        </w:rPr>
        <w:lastRenderedPageBreak/>
        <w:t>invitations among targeted patient populations have seen response rates ranging from 25 to 75 percent.</w:t>
      </w:r>
      <w:r w:rsidRPr="00CF169A">
        <w:rPr>
          <w:rStyle w:val="EndnoteReference"/>
          <w:rFonts w:asciiTheme="majorHAnsi" w:hAnsiTheme="majorHAnsi" w:cs="Arial"/>
          <w:sz w:val="24"/>
          <w:szCs w:val="24"/>
        </w:rPr>
        <w:endnoteReference w:id="1"/>
      </w:r>
      <w:r w:rsidRPr="00CF169A">
        <w:rPr>
          <w:rFonts w:asciiTheme="majorHAnsi" w:hAnsiTheme="majorHAnsi" w:cs="Arial"/>
          <w:sz w:val="24"/>
          <w:szCs w:val="24"/>
        </w:rPr>
        <w:t xml:space="preserve"> </w:t>
      </w:r>
      <w:r w:rsidRPr="00CF169A">
        <w:rPr>
          <w:rStyle w:val="EndnoteReference"/>
          <w:rFonts w:asciiTheme="majorHAnsi" w:hAnsiTheme="majorHAnsi" w:cs="Arial"/>
          <w:sz w:val="24"/>
          <w:szCs w:val="24"/>
        </w:rPr>
        <w:endnoteReference w:id="2"/>
      </w:r>
      <w:r w:rsidRPr="00CF169A">
        <w:rPr>
          <w:rFonts w:asciiTheme="majorHAnsi" w:hAnsiTheme="majorHAnsi" w:cs="Arial"/>
          <w:sz w:val="24"/>
          <w:szCs w:val="24"/>
        </w:rPr>
        <w:t xml:space="preserve"> </w:t>
      </w:r>
      <w:r w:rsidRPr="00CF169A">
        <w:rPr>
          <w:rStyle w:val="EndnoteReference"/>
          <w:rFonts w:asciiTheme="majorHAnsi" w:hAnsiTheme="majorHAnsi" w:cs="Arial"/>
          <w:sz w:val="24"/>
          <w:szCs w:val="24"/>
        </w:rPr>
        <w:endnoteReference w:id="3"/>
      </w:r>
      <w:r w:rsidRPr="00CF169A">
        <w:rPr>
          <w:rFonts w:asciiTheme="majorHAnsi" w:hAnsiTheme="majorHAnsi" w:cs="Arial"/>
          <w:sz w:val="24"/>
          <w:szCs w:val="24"/>
        </w:rPr>
        <w:t xml:space="preserve"> </w:t>
      </w:r>
    </w:p>
    <w:p w14:paraId="05B70696" w14:textId="77777777" w:rsidR="00103882" w:rsidRPr="00103882" w:rsidRDefault="00103882" w:rsidP="00103882">
      <w:pPr>
        <w:pStyle w:val="xmsolistparagraph"/>
        <w:spacing w:before="0" w:beforeAutospacing="0" w:after="0" w:afterAutospacing="0"/>
        <w:ind w:left="720"/>
        <w:rPr>
          <w:rFonts w:asciiTheme="majorHAnsi" w:hAnsiTheme="majorHAnsi" w:cs="Arial"/>
          <w:b/>
          <w:u w:val="single"/>
        </w:rPr>
      </w:pPr>
      <w:r w:rsidRPr="00103882">
        <w:rPr>
          <w:rFonts w:asciiTheme="majorHAnsi" w:hAnsiTheme="majorHAnsi" w:cs="Arial"/>
          <w:b/>
          <w:u w:val="single"/>
        </w:rPr>
        <w:t xml:space="preserve">NYS DOH: </w:t>
      </w:r>
    </w:p>
    <w:p w14:paraId="4962E926" w14:textId="396474EC" w:rsidR="00103882" w:rsidRPr="00103882" w:rsidRDefault="00103882" w:rsidP="00103882">
      <w:pPr>
        <w:pStyle w:val="xmsolistparagraph"/>
        <w:spacing w:before="0" w:beforeAutospacing="0" w:after="0" w:afterAutospacing="0"/>
        <w:ind w:left="720"/>
        <w:rPr>
          <w:rFonts w:asciiTheme="majorHAnsi" w:hAnsiTheme="majorHAnsi"/>
        </w:rPr>
      </w:pPr>
      <w:r w:rsidRPr="00103882">
        <w:rPr>
          <w:rFonts w:asciiTheme="majorHAnsi" w:hAnsiTheme="majorHAnsi"/>
        </w:rPr>
        <w:t>The target population includes parents (or guardians) of adolescents</w:t>
      </w:r>
      <w:r>
        <w:rPr>
          <w:rFonts w:asciiTheme="majorHAnsi" w:hAnsiTheme="majorHAnsi"/>
        </w:rPr>
        <w:t xml:space="preserve"> with CHD</w:t>
      </w:r>
      <w:r w:rsidRPr="00103882">
        <w:rPr>
          <w:rFonts w:asciiTheme="majorHAnsi" w:hAnsiTheme="majorHAnsi"/>
        </w:rPr>
        <w:t xml:space="preserve"> aged 11-17 whose residence at birth was in </w:t>
      </w:r>
      <w:r w:rsidR="002C6871">
        <w:rPr>
          <w:rFonts w:asciiTheme="majorHAnsi" w:hAnsiTheme="majorHAnsi"/>
        </w:rPr>
        <w:t>an</w:t>
      </w:r>
      <w:r w:rsidRPr="00103882">
        <w:rPr>
          <w:rFonts w:asciiTheme="majorHAnsi" w:hAnsiTheme="majorHAnsi"/>
        </w:rPr>
        <w:t xml:space="preserve"> 11-county surveillance region (Alleghany, Bronx, Cattaraugus, Chautauqua, Erie, Genesee, Monroe, Niagara, Orleans Westchester, Wyoming). We will use simple random sampling to select 1000 individuals from this cohort in order to obtain a sample that is representative of our population overall. We have limited our survey sample size to 1000 due to budgetary considerations. We will mail survey packets to be completed by one parent/guardian for each of the randomly selected adolescents. The surveys will be addressed to “Parent or guardian of *insert adolescent name*” rather than using the name of the parent. We anticipate a response rate of 80%, or 800 surveys. </w:t>
      </w:r>
    </w:p>
    <w:p w14:paraId="63EC6C44" w14:textId="77777777" w:rsidR="00F52BCC" w:rsidRPr="003A0CD5" w:rsidRDefault="00F52BCC" w:rsidP="00F52BCC">
      <w:pPr>
        <w:pStyle w:val="ListParagraph"/>
        <w:spacing w:after="0"/>
        <w:rPr>
          <w:rFonts w:asciiTheme="majorHAnsi" w:hAnsiTheme="majorHAnsi"/>
          <w:sz w:val="24"/>
          <w:szCs w:val="24"/>
        </w:rPr>
      </w:pPr>
    </w:p>
    <w:p w14:paraId="00025588" w14:textId="77777777" w:rsidR="00287E2F" w:rsidRPr="003A0CD5" w:rsidRDefault="00287E2F" w:rsidP="00B12F51">
      <w:pPr>
        <w:pStyle w:val="ListParagraph"/>
        <w:numPr>
          <w:ilvl w:val="0"/>
          <w:numId w:val="3"/>
        </w:numPr>
        <w:spacing w:after="0"/>
        <w:rPr>
          <w:rFonts w:asciiTheme="majorHAnsi" w:hAnsiTheme="majorHAnsi"/>
          <w:b/>
          <w:sz w:val="24"/>
          <w:szCs w:val="24"/>
        </w:rPr>
      </w:pPr>
      <w:r w:rsidRPr="003A0CD5">
        <w:rPr>
          <w:rFonts w:asciiTheme="majorHAnsi" w:hAnsiTheme="majorHAnsi"/>
          <w:b/>
          <w:sz w:val="24"/>
          <w:szCs w:val="24"/>
        </w:rPr>
        <w:t xml:space="preserve">Procedures for </w:t>
      </w:r>
      <w:r w:rsidR="00AE22F7" w:rsidRPr="003A0CD5">
        <w:rPr>
          <w:rFonts w:asciiTheme="majorHAnsi" w:hAnsiTheme="majorHAnsi"/>
          <w:b/>
          <w:sz w:val="24"/>
          <w:szCs w:val="24"/>
        </w:rPr>
        <w:t xml:space="preserve">the </w:t>
      </w:r>
      <w:r w:rsidRPr="003A0CD5">
        <w:rPr>
          <w:rFonts w:asciiTheme="majorHAnsi" w:hAnsiTheme="majorHAnsi"/>
          <w:b/>
          <w:sz w:val="24"/>
          <w:szCs w:val="24"/>
        </w:rPr>
        <w:t>Collecti</w:t>
      </w:r>
      <w:r w:rsidR="00AE22F7" w:rsidRPr="003A0CD5">
        <w:rPr>
          <w:rFonts w:asciiTheme="majorHAnsi" w:hAnsiTheme="majorHAnsi"/>
          <w:b/>
          <w:sz w:val="24"/>
          <w:szCs w:val="24"/>
        </w:rPr>
        <w:t>on</w:t>
      </w:r>
      <w:r w:rsidRPr="003A0CD5">
        <w:rPr>
          <w:rFonts w:asciiTheme="majorHAnsi" w:hAnsiTheme="majorHAnsi"/>
          <w:b/>
          <w:sz w:val="24"/>
          <w:szCs w:val="24"/>
        </w:rPr>
        <w:t xml:space="preserve"> of Information</w:t>
      </w:r>
      <w:r w:rsidR="00F725B5" w:rsidRPr="003A0CD5">
        <w:rPr>
          <w:rFonts w:asciiTheme="majorHAnsi" w:hAnsiTheme="majorHAnsi"/>
          <w:b/>
          <w:sz w:val="24"/>
          <w:szCs w:val="24"/>
        </w:rPr>
        <w:t xml:space="preserve"> </w:t>
      </w:r>
    </w:p>
    <w:p w14:paraId="26C2D612" w14:textId="77777777" w:rsidR="00103882" w:rsidRDefault="00103882" w:rsidP="002F2069">
      <w:pPr>
        <w:pStyle w:val="ListParagraph"/>
        <w:spacing w:after="0"/>
        <w:rPr>
          <w:rFonts w:asciiTheme="majorHAnsi" w:hAnsiTheme="majorHAnsi"/>
          <w:sz w:val="24"/>
          <w:szCs w:val="24"/>
        </w:rPr>
      </w:pPr>
    </w:p>
    <w:p w14:paraId="7497FA4D" w14:textId="2CCF5BF3" w:rsidR="002F2069" w:rsidRPr="003A0CD5" w:rsidRDefault="00103882" w:rsidP="00103882">
      <w:pPr>
        <w:pStyle w:val="ListParagraph"/>
        <w:spacing w:after="0"/>
        <w:ind w:left="360"/>
        <w:rPr>
          <w:rFonts w:asciiTheme="majorHAnsi" w:hAnsiTheme="majorHAnsi"/>
          <w:sz w:val="24"/>
          <w:szCs w:val="24"/>
        </w:rPr>
      </w:pPr>
      <w:r w:rsidRPr="00103882">
        <w:rPr>
          <w:rFonts w:asciiTheme="majorHAnsi" w:hAnsiTheme="majorHAnsi"/>
          <w:b/>
          <w:sz w:val="24"/>
          <w:szCs w:val="24"/>
          <w:u w:val="single"/>
        </w:rPr>
        <w:t>Emory University</w:t>
      </w:r>
      <w:r>
        <w:rPr>
          <w:rFonts w:asciiTheme="majorHAnsi" w:hAnsiTheme="majorHAnsi"/>
          <w:sz w:val="24"/>
          <w:szCs w:val="24"/>
        </w:rPr>
        <w:t xml:space="preserve">: </w:t>
      </w:r>
    </w:p>
    <w:p w14:paraId="1C6A8C7A" w14:textId="17F58CDD" w:rsidR="003A0CD5" w:rsidRPr="00103882" w:rsidRDefault="003A0CD5" w:rsidP="00103882">
      <w:pPr>
        <w:pStyle w:val="ListParagraph"/>
        <w:numPr>
          <w:ilvl w:val="0"/>
          <w:numId w:val="22"/>
        </w:numPr>
        <w:spacing w:beforeLines="20" w:before="48" w:afterLines="200" w:after="480"/>
        <w:rPr>
          <w:rFonts w:asciiTheme="majorHAnsi" w:hAnsiTheme="majorHAnsi" w:cs="Arial"/>
          <w:sz w:val="24"/>
          <w:szCs w:val="24"/>
        </w:rPr>
      </w:pPr>
      <w:r w:rsidRPr="00103882">
        <w:rPr>
          <w:rFonts w:asciiTheme="majorHAnsi" w:hAnsiTheme="majorHAnsi" w:cs="Arial"/>
          <w:sz w:val="24"/>
          <w:szCs w:val="24"/>
        </w:rPr>
        <w:t xml:space="preserve">Data for the </w:t>
      </w:r>
      <w:r w:rsidR="00AB3B9A">
        <w:rPr>
          <w:rFonts w:asciiTheme="majorHAnsi" w:hAnsiTheme="majorHAnsi" w:cs="Arial"/>
          <w:sz w:val="24"/>
          <w:szCs w:val="24"/>
        </w:rPr>
        <w:t xml:space="preserve">formative </w:t>
      </w:r>
      <w:r w:rsidRPr="00103882">
        <w:rPr>
          <w:rFonts w:asciiTheme="majorHAnsi" w:hAnsiTheme="majorHAnsi" w:cs="Arial"/>
          <w:sz w:val="24"/>
          <w:szCs w:val="24"/>
        </w:rPr>
        <w:t xml:space="preserve">survey will be collected via REDCap online (either remotely via web link or on a tablet/Ipad in the clinic setting).  </w:t>
      </w:r>
    </w:p>
    <w:p w14:paraId="3E9BD8D8" w14:textId="57FB181F" w:rsidR="003A0CD5" w:rsidRPr="00103882" w:rsidRDefault="003A0CD5" w:rsidP="00103882">
      <w:pPr>
        <w:pStyle w:val="ListParagraph"/>
        <w:numPr>
          <w:ilvl w:val="0"/>
          <w:numId w:val="22"/>
        </w:numPr>
        <w:spacing w:beforeLines="20" w:before="48" w:afterLines="200" w:after="480"/>
        <w:rPr>
          <w:rFonts w:asciiTheme="majorHAnsi" w:hAnsiTheme="majorHAnsi" w:cs="Arial"/>
          <w:sz w:val="24"/>
          <w:szCs w:val="24"/>
        </w:rPr>
      </w:pPr>
      <w:r w:rsidRPr="00103882">
        <w:rPr>
          <w:rFonts w:asciiTheme="majorHAnsi" w:hAnsiTheme="majorHAnsi" w:cs="Arial"/>
          <w:sz w:val="24"/>
          <w:szCs w:val="24"/>
        </w:rPr>
        <w:t>Upon signing the informed consent, the parent</w:t>
      </w:r>
      <w:r w:rsidR="00721F95">
        <w:rPr>
          <w:rFonts w:asciiTheme="majorHAnsi" w:hAnsiTheme="majorHAnsi" w:cs="Arial"/>
          <w:sz w:val="24"/>
          <w:szCs w:val="24"/>
        </w:rPr>
        <w:t>/guardian</w:t>
      </w:r>
      <w:r w:rsidRPr="00103882">
        <w:rPr>
          <w:rFonts w:asciiTheme="majorHAnsi" w:hAnsiTheme="majorHAnsi" w:cs="Arial"/>
          <w:sz w:val="24"/>
          <w:szCs w:val="24"/>
        </w:rPr>
        <w:t xml:space="preserve"> will complete </w:t>
      </w:r>
      <w:r w:rsidR="008C504A">
        <w:rPr>
          <w:rFonts w:asciiTheme="majorHAnsi" w:hAnsiTheme="majorHAnsi" w:cs="Arial"/>
          <w:sz w:val="24"/>
          <w:szCs w:val="24"/>
        </w:rPr>
        <w:t xml:space="preserve">the survey in the clinic setting on an electronic </w:t>
      </w:r>
      <w:r w:rsidRPr="00103882">
        <w:rPr>
          <w:rFonts w:asciiTheme="majorHAnsi" w:hAnsiTheme="majorHAnsi" w:cs="Arial"/>
          <w:sz w:val="24"/>
          <w:szCs w:val="24"/>
        </w:rPr>
        <w:t xml:space="preserve">tablet </w:t>
      </w:r>
      <w:r w:rsidR="008C504A">
        <w:rPr>
          <w:rFonts w:asciiTheme="majorHAnsi" w:hAnsiTheme="majorHAnsi" w:cs="Arial"/>
          <w:sz w:val="24"/>
          <w:szCs w:val="24"/>
        </w:rPr>
        <w:t>(or remotely via the internet)</w:t>
      </w:r>
      <w:r w:rsidRPr="00103882">
        <w:rPr>
          <w:rFonts w:asciiTheme="majorHAnsi" w:hAnsiTheme="majorHAnsi" w:cs="Arial"/>
          <w:sz w:val="24"/>
          <w:szCs w:val="24"/>
        </w:rPr>
        <w:t>.  It is estimated that completion of the consent form and the survey will take approximately 15-20 minutes.</w:t>
      </w:r>
    </w:p>
    <w:p w14:paraId="11906285" w14:textId="21CDD9CC" w:rsidR="003A0CD5" w:rsidRDefault="003A0CD5" w:rsidP="00E300A0">
      <w:pPr>
        <w:pStyle w:val="ListParagraph"/>
        <w:numPr>
          <w:ilvl w:val="0"/>
          <w:numId w:val="22"/>
        </w:numPr>
        <w:spacing w:after="0" w:line="240" w:lineRule="auto"/>
        <w:rPr>
          <w:rFonts w:asciiTheme="majorHAnsi" w:eastAsia="Times New Roman" w:hAnsiTheme="majorHAnsi" w:cs="Arial"/>
          <w:sz w:val="24"/>
          <w:szCs w:val="24"/>
        </w:rPr>
      </w:pPr>
      <w:r w:rsidRPr="00103882">
        <w:rPr>
          <w:rFonts w:asciiTheme="majorHAnsi" w:eastAsia="Times New Roman" w:hAnsiTheme="majorHAnsi" w:cs="Arial"/>
          <w:sz w:val="24"/>
          <w:szCs w:val="24"/>
        </w:rPr>
        <w:t xml:space="preserve">All electronic data captured for this study will be automatically uploaded to the secure Emory University REDCap system. REDCap is a mature, secure web application for building and managing online </w:t>
      </w:r>
      <w:r w:rsidR="008C504A">
        <w:rPr>
          <w:rFonts w:asciiTheme="majorHAnsi" w:eastAsia="Times New Roman" w:hAnsiTheme="majorHAnsi" w:cs="Arial"/>
          <w:sz w:val="24"/>
          <w:szCs w:val="24"/>
        </w:rPr>
        <w:t>surveys and databases.  REDCap p</w:t>
      </w:r>
      <w:r w:rsidRPr="00103882">
        <w:rPr>
          <w:rFonts w:asciiTheme="majorHAnsi" w:eastAsia="Times New Roman" w:hAnsiTheme="majorHAnsi" w:cs="Arial"/>
          <w:sz w:val="24"/>
          <w:szCs w:val="24"/>
        </w:rPr>
        <w:t>rovides an encrypted, backed-up place to store the data and facilitates compliancy with Emory's HIPAA policies and procedures.</w:t>
      </w:r>
    </w:p>
    <w:p w14:paraId="3EDCCD0F" w14:textId="041B1D40" w:rsidR="00070C82" w:rsidRDefault="008C504A" w:rsidP="00070C82">
      <w:pPr>
        <w:pStyle w:val="ListParagraph"/>
        <w:numPr>
          <w:ilvl w:val="0"/>
          <w:numId w:val="22"/>
        </w:numPr>
        <w:spacing w:after="0" w:line="240" w:lineRule="auto"/>
        <w:rPr>
          <w:rFonts w:asciiTheme="majorHAnsi" w:eastAsia="Times New Roman" w:hAnsiTheme="majorHAnsi" w:cs="Arial"/>
          <w:sz w:val="24"/>
          <w:szCs w:val="24"/>
        </w:rPr>
      </w:pPr>
      <w:r>
        <w:rPr>
          <w:rFonts w:asciiTheme="majorHAnsi" w:eastAsia="Times New Roman" w:hAnsiTheme="majorHAnsi" w:cs="Arial"/>
          <w:sz w:val="24"/>
          <w:szCs w:val="24"/>
        </w:rPr>
        <w:t xml:space="preserve">If the participant is completing the survey in-person in the clinic setting, Emory University rules require the informed consent to be completed on paper. </w:t>
      </w:r>
      <w:r w:rsidR="00070C82" w:rsidRPr="00103882">
        <w:rPr>
          <w:rFonts w:asciiTheme="majorHAnsi" w:eastAsia="Times New Roman" w:hAnsiTheme="majorHAnsi" w:cs="Arial"/>
          <w:sz w:val="24"/>
          <w:szCs w:val="24"/>
        </w:rPr>
        <w:t>Paper consent forms collected in the clinic will be kept in locked file cabinets to which only members of the study staff have access.</w:t>
      </w:r>
      <w:r>
        <w:rPr>
          <w:rFonts w:asciiTheme="majorHAnsi" w:eastAsia="Times New Roman" w:hAnsiTheme="majorHAnsi" w:cs="Arial"/>
          <w:sz w:val="24"/>
          <w:szCs w:val="24"/>
        </w:rPr>
        <w:t xml:space="preserve"> Participants that complete the survey remotely via the internet will complete an electronic informed consent form. </w:t>
      </w:r>
    </w:p>
    <w:p w14:paraId="6B20357F" w14:textId="6115962A" w:rsidR="003A0CD5" w:rsidRDefault="003A0CD5" w:rsidP="00103882">
      <w:pPr>
        <w:pStyle w:val="ListParagraph"/>
        <w:numPr>
          <w:ilvl w:val="0"/>
          <w:numId w:val="22"/>
        </w:numPr>
        <w:spacing w:after="0" w:line="240" w:lineRule="auto"/>
        <w:rPr>
          <w:rFonts w:asciiTheme="majorHAnsi" w:eastAsia="Times New Roman" w:hAnsiTheme="majorHAnsi" w:cs="Arial"/>
          <w:sz w:val="24"/>
          <w:szCs w:val="24"/>
        </w:rPr>
      </w:pPr>
      <w:r w:rsidRPr="00103882">
        <w:rPr>
          <w:rFonts w:asciiTheme="majorHAnsi" w:eastAsia="Times New Roman" w:hAnsiTheme="majorHAnsi" w:cs="Arial"/>
          <w:sz w:val="24"/>
          <w:szCs w:val="24"/>
        </w:rPr>
        <w:t>For the purposes of analysis, data will be downloaded out of the REDCap database for use with statistical packages (SAS, STATA, SPSS).  Only de</w:t>
      </w:r>
      <w:r w:rsidR="00F31D72">
        <w:rPr>
          <w:rFonts w:asciiTheme="majorHAnsi" w:eastAsia="Times New Roman" w:hAnsiTheme="majorHAnsi" w:cs="Arial"/>
          <w:sz w:val="24"/>
          <w:szCs w:val="24"/>
        </w:rPr>
        <w:t>-</w:t>
      </w:r>
      <w:r w:rsidRPr="00103882">
        <w:rPr>
          <w:rFonts w:asciiTheme="majorHAnsi" w:eastAsia="Times New Roman" w:hAnsiTheme="majorHAnsi" w:cs="Arial"/>
          <w:sz w:val="24"/>
          <w:szCs w:val="24"/>
        </w:rPr>
        <w:t>identified data will be downloaded out of the REDCap system and all data files will be kept in password-protected electronic files on the secure research drives of Emory University.</w:t>
      </w:r>
    </w:p>
    <w:p w14:paraId="56D945EF" w14:textId="4CEAE8A4" w:rsidR="00721F95" w:rsidRPr="00103882" w:rsidRDefault="00721F95" w:rsidP="00103882">
      <w:pPr>
        <w:pStyle w:val="ListParagraph"/>
        <w:numPr>
          <w:ilvl w:val="0"/>
          <w:numId w:val="22"/>
        </w:numPr>
        <w:spacing w:after="0" w:line="240" w:lineRule="auto"/>
        <w:rPr>
          <w:rFonts w:asciiTheme="majorHAnsi" w:eastAsia="Times New Roman" w:hAnsiTheme="majorHAnsi" w:cs="Arial"/>
          <w:sz w:val="24"/>
          <w:szCs w:val="24"/>
        </w:rPr>
      </w:pPr>
      <w:r>
        <w:rPr>
          <w:rFonts w:asciiTheme="majorHAnsi" w:eastAsia="Times New Roman" w:hAnsiTheme="majorHAnsi" w:cs="Arial"/>
          <w:sz w:val="24"/>
          <w:szCs w:val="24"/>
        </w:rPr>
        <w:t xml:space="preserve">Emory will provide a $10 e-gift card electronically upon completion of the survey.  </w:t>
      </w:r>
    </w:p>
    <w:p w14:paraId="5156FAF4" w14:textId="77777777" w:rsidR="00103882" w:rsidRDefault="00103882" w:rsidP="00103882">
      <w:pPr>
        <w:spacing w:after="0" w:line="240" w:lineRule="auto"/>
        <w:rPr>
          <w:rFonts w:asciiTheme="majorHAnsi" w:eastAsia="Times New Roman" w:hAnsiTheme="majorHAnsi" w:cs="Arial"/>
          <w:sz w:val="24"/>
          <w:szCs w:val="24"/>
        </w:rPr>
      </w:pPr>
    </w:p>
    <w:p w14:paraId="215ECDB7" w14:textId="15EC69B7" w:rsidR="00103882" w:rsidRPr="00103882" w:rsidRDefault="00103882" w:rsidP="00103882">
      <w:pPr>
        <w:spacing w:after="0" w:line="240" w:lineRule="auto"/>
        <w:ind w:firstLine="360"/>
        <w:rPr>
          <w:rFonts w:asciiTheme="majorHAnsi" w:eastAsia="Times New Roman" w:hAnsiTheme="majorHAnsi" w:cs="Arial"/>
          <w:b/>
          <w:sz w:val="24"/>
          <w:szCs w:val="24"/>
          <w:u w:val="single"/>
        </w:rPr>
      </w:pPr>
      <w:r w:rsidRPr="00103882">
        <w:rPr>
          <w:rFonts w:asciiTheme="majorHAnsi" w:eastAsia="Times New Roman" w:hAnsiTheme="majorHAnsi" w:cs="Arial"/>
          <w:b/>
          <w:sz w:val="24"/>
          <w:szCs w:val="24"/>
          <w:u w:val="single"/>
        </w:rPr>
        <w:t xml:space="preserve">NYS DOH: </w:t>
      </w:r>
    </w:p>
    <w:p w14:paraId="7EA2D6BB" w14:textId="593477B2" w:rsidR="00103882" w:rsidRDefault="00103882" w:rsidP="00103882">
      <w:pPr>
        <w:pStyle w:val="ListParagraph"/>
        <w:rPr>
          <w:rFonts w:asciiTheme="majorHAnsi" w:hAnsiTheme="majorHAnsi"/>
          <w:sz w:val="24"/>
          <w:szCs w:val="24"/>
        </w:rPr>
      </w:pPr>
      <w:r w:rsidRPr="00103882">
        <w:rPr>
          <w:rFonts w:asciiTheme="majorHAnsi" w:hAnsiTheme="majorHAnsi"/>
          <w:sz w:val="24"/>
          <w:szCs w:val="24"/>
        </w:rPr>
        <w:t xml:space="preserve">Current mailing addresses will be obtained for each randomly selected adolescent with a CHD using records provided by the New York State Immunization </w:t>
      </w:r>
      <w:r w:rsidRPr="00103882">
        <w:rPr>
          <w:rFonts w:asciiTheme="majorHAnsi" w:hAnsiTheme="majorHAnsi"/>
          <w:sz w:val="24"/>
          <w:szCs w:val="24"/>
        </w:rPr>
        <w:lastRenderedPageBreak/>
        <w:t xml:space="preserve">Information Service (NYSIIS), a registry containing immunization history and accompanying contact information for individuals under the age of 19 in New York. In cases where an updated address for the adolescent cannot be found using NYSIIS, we will use the LexisNexis® Accurint® tracing tool. We will trace adolescents directly if they are between the ages of 13 and 17 and we will trace the mothers of the adolescents if the adolescents are between the ages of 11 and 12 because Accurint does not store any information for individuals under the age of 13. We will also trace the mother in cases where there is no information in Accurint about an adolescent aged 13 or older. If the mother is determined to be deceased, we will trace the father. Parent information to be used for tracing will be obtained using the </w:t>
      </w:r>
      <w:r w:rsidR="00070C82">
        <w:rPr>
          <w:rFonts w:asciiTheme="majorHAnsi" w:hAnsiTheme="majorHAnsi"/>
          <w:sz w:val="24"/>
          <w:szCs w:val="24"/>
        </w:rPr>
        <w:t xml:space="preserve">NY State Department of Health’s </w:t>
      </w:r>
      <w:r w:rsidRPr="00103882">
        <w:rPr>
          <w:rFonts w:asciiTheme="majorHAnsi" w:hAnsiTheme="majorHAnsi"/>
          <w:sz w:val="24"/>
          <w:szCs w:val="24"/>
        </w:rPr>
        <w:t>Congenital Malformations Registry</w:t>
      </w:r>
      <w:r w:rsidR="00070C82">
        <w:rPr>
          <w:rFonts w:asciiTheme="majorHAnsi" w:hAnsiTheme="majorHAnsi"/>
          <w:sz w:val="24"/>
          <w:szCs w:val="24"/>
        </w:rPr>
        <w:t xml:space="preserve"> (CMR)</w:t>
      </w:r>
      <w:r w:rsidRPr="00103882">
        <w:rPr>
          <w:rFonts w:asciiTheme="majorHAnsi" w:hAnsiTheme="majorHAnsi"/>
          <w:sz w:val="24"/>
          <w:szCs w:val="24"/>
        </w:rPr>
        <w:t xml:space="preserve">.  </w:t>
      </w:r>
    </w:p>
    <w:p w14:paraId="5D3CE0E9" w14:textId="77777777" w:rsidR="00103882" w:rsidRDefault="00103882" w:rsidP="00103882">
      <w:pPr>
        <w:pStyle w:val="ListParagraph"/>
        <w:rPr>
          <w:rFonts w:asciiTheme="majorHAnsi" w:hAnsiTheme="majorHAnsi"/>
          <w:sz w:val="24"/>
          <w:szCs w:val="24"/>
        </w:rPr>
      </w:pPr>
    </w:p>
    <w:p w14:paraId="146F5023" w14:textId="77777777" w:rsidR="00103882" w:rsidRDefault="00103882" w:rsidP="00103882">
      <w:pPr>
        <w:pStyle w:val="ListParagraph"/>
        <w:rPr>
          <w:rFonts w:asciiTheme="majorHAnsi" w:hAnsiTheme="majorHAnsi"/>
          <w:sz w:val="24"/>
          <w:szCs w:val="24"/>
        </w:rPr>
      </w:pPr>
      <w:r w:rsidRPr="00103882">
        <w:rPr>
          <w:rFonts w:asciiTheme="majorHAnsi" w:hAnsiTheme="majorHAnsi"/>
          <w:sz w:val="24"/>
          <w:szCs w:val="24"/>
        </w:rPr>
        <w:t xml:space="preserve">We are making the assumption that adolescents with CHDs aged 11-17 are still living at home, therefore the most recent address on file for the adolescent in NYSIIS/Accurint should be the address for their parent or guardian as well. Surveys will be addressed to the parent/guardian of the identified adolescent to obtain one response for each adolescent with a CHD. </w:t>
      </w:r>
    </w:p>
    <w:p w14:paraId="055C7392" w14:textId="77777777" w:rsidR="00103882" w:rsidRDefault="00103882" w:rsidP="00103882">
      <w:pPr>
        <w:pStyle w:val="ListParagraph"/>
        <w:rPr>
          <w:rFonts w:asciiTheme="majorHAnsi" w:hAnsiTheme="majorHAnsi"/>
          <w:sz w:val="24"/>
          <w:szCs w:val="24"/>
        </w:rPr>
      </w:pPr>
    </w:p>
    <w:p w14:paraId="167B09D2" w14:textId="53DA038D" w:rsidR="00103882" w:rsidRPr="00103882" w:rsidRDefault="00103882" w:rsidP="00103882">
      <w:pPr>
        <w:pStyle w:val="ListParagraph"/>
        <w:rPr>
          <w:rFonts w:asciiTheme="majorHAnsi" w:hAnsiTheme="majorHAnsi"/>
          <w:sz w:val="24"/>
          <w:szCs w:val="24"/>
        </w:rPr>
      </w:pPr>
      <w:r w:rsidRPr="00103882">
        <w:rPr>
          <w:rFonts w:asciiTheme="majorHAnsi" w:hAnsiTheme="majorHAnsi"/>
          <w:sz w:val="24"/>
          <w:szCs w:val="24"/>
        </w:rPr>
        <w:t>We will send a pre-notification letter to potential respondents using the most recent address we have on file one week prior to the initial survey mailing. One week later, the survey instrument will be mailed to the parents/guardians of the randomly selected adolescents with CHDs with a cover letter explai</w:t>
      </w:r>
      <w:r w:rsidR="00973C20">
        <w:rPr>
          <w:rFonts w:asciiTheme="majorHAnsi" w:hAnsiTheme="majorHAnsi"/>
          <w:sz w:val="24"/>
          <w:szCs w:val="24"/>
        </w:rPr>
        <w:t>ning the purpose of the survey</w:t>
      </w:r>
      <w:r w:rsidRPr="00103882">
        <w:rPr>
          <w:rFonts w:asciiTheme="majorHAnsi" w:hAnsiTheme="majorHAnsi"/>
          <w:sz w:val="24"/>
          <w:szCs w:val="24"/>
        </w:rPr>
        <w:t xml:space="preserve"> and a pre-paid, pre-addressed envelope for returning the completed survey. One week after the initial survey mailing, we will send a reminder postcard to all participants. A month after the initial mailings have gone out, a second survey packet will be mailed to each non-respondent including a cover letter, another copy of the survey instrument and another pre-paid, pre-addressed envelope. Thank you letters will be mailed to respondents after the survey administration period has ended with accompanying $</w:t>
      </w:r>
      <w:r w:rsidR="00E300A0">
        <w:rPr>
          <w:rFonts w:asciiTheme="majorHAnsi" w:hAnsiTheme="majorHAnsi"/>
          <w:sz w:val="24"/>
          <w:szCs w:val="24"/>
        </w:rPr>
        <w:t>10 pre-</w:t>
      </w:r>
      <w:r w:rsidRPr="00103882">
        <w:rPr>
          <w:rFonts w:asciiTheme="majorHAnsi" w:hAnsiTheme="majorHAnsi"/>
          <w:sz w:val="24"/>
          <w:szCs w:val="24"/>
        </w:rPr>
        <w:t>paid gift cards. As hardcopy surveys are returned, the responses will be manually entered into a Microsoft Access database.  Survey data will ultimately be exported from Access to SAS for analysis. A timetable for our mailings is below.</w:t>
      </w:r>
    </w:p>
    <w:p w14:paraId="093468D3" w14:textId="77777777" w:rsidR="00103882" w:rsidRPr="00103882" w:rsidRDefault="00103882" w:rsidP="00103882">
      <w:pPr>
        <w:pStyle w:val="ListParagraph"/>
        <w:ind w:left="1080"/>
        <w:rPr>
          <w:rFonts w:asciiTheme="majorHAnsi" w:hAnsiTheme="majorHAnsi"/>
          <w:sz w:val="24"/>
          <w:szCs w:val="24"/>
        </w:rPr>
      </w:pPr>
    </w:p>
    <w:tbl>
      <w:tblPr>
        <w:tblStyle w:val="TableGrid"/>
        <w:tblW w:w="0" w:type="auto"/>
        <w:tblInd w:w="1080" w:type="dxa"/>
        <w:tblLook w:val="04A0" w:firstRow="1" w:lastRow="0" w:firstColumn="1" w:lastColumn="0" w:noHBand="0" w:noVBand="1"/>
      </w:tblPr>
      <w:tblGrid>
        <w:gridCol w:w="4105"/>
        <w:gridCol w:w="4165"/>
      </w:tblGrid>
      <w:tr w:rsidR="00103882" w:rsidRPr="00103882" w14:paraId="403F59EF" w14:textId="77777777" w:rsidTr="00E300A0">
        <w:tc>
          <w:tcPr>
            <w:tcW w:w="4105" w:type="dxa"/>
            <w:shd w:val="clear" w:color="auto" w:fill="BFBFBF" w:themeFill="background1" w:themeFillShade="BF"/>
          </w:tcPr>
          <w:p w14:paraId="3AA62E96" w14:textId="77777777" w:rsidR="00103882" w:rsidRPr="00103882" w:rsidRDefault="00103882" w:rsidP="00E300A0">
            <w:pPr>
              <w:pStyle w:val="ListParagraph"/>
              <w:ind w:left="0"/>
              <w:jc w:val="center"/>
              <w:rPr>
                <w:rFonts w:asciiTheme="majorHAnsi" w:hAnsiTheme="majorHAnsi"/>
                <w:b/>
                <w:sz w:val="24"/>
                <w:szCs w:val="24"/>
              </w:rPr>
            </w:pPr>
            <w:r w:rsidRPr="00103882">
              <w:rPr>
                <w:rFonts w:asciiTheme="majorHAnsi" w:hAnsiTheme="majorHAnsi"/>
                <w:b/>
                <w:sz w:val="24"/>
                <w:szCs w:val="24"/>
              </w:rPr>
              <w:t>Date</w:t>
            </w:r>
          </w:p>
        </w:tc>
        <w:tc>
          <w:tcPr>
            <w:tcW w:w="4165" w:type="dxa"/>
            <w:shd w:val="clear" w:color="auto" w:fill="BFBFBF" w:themeFill="background1" w:themeFillShade="BF"/>
          </w:tcPr>
          <w:p w14:paraId="1455F25B" w14:textId="77777777" w:rsidR="00103882" w:rsidRPr="00103882" w:rsidRDefault="00103882" w:rsidP="00E300A0">
            <w:pPr>
              <w:pStyle w:val="ListParagraph"/>
              <w:ind w:left="0"/>
              <w:jc w:val="center"/>
              <w:rPr>
                <w:rFonts w:asciiTheme="majorHAnsi" w:hAnsiTheme="majorHAnsi"/>
                <w:b/>
                <w:sz w:val="24"/>
                <w:szCs w:val="24"/>
              </w:rPr>
            </w:pPr>
            <w:r w:rsidRPr="00103882">
              <w:rPr>
                <w:rFonts w:asciiTheme="majorHAnsi" w:hAnsiTheme="majorHAnsi"/>
                <w:b/>
                <w:sz w:val="24"/>
                <w:szCs w:val="24"/>
              </w:rPr>
              <w:t>Mailing</w:t>
            </w:r>
          </w:p>
        </w:tc>
      </w:tr>
      <w:tr w:rsidR="00103882" w:rsidRPr="00103882" w14:paraId="7CCDBB03" w14:textId="77777777" w:rsidTr="00E300A0">
        <w:tc>
          <w:tcPr>
            <w:tcW w:w="4105" w:type="dxa"/>
          </w:tcPr>
          <w:p w14:paraId="596A0D99"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June 24, 2017</w:t>
            </w:r>
          </w:p>
        </w:tc>
        <w:tc>
          <w:tcPr>
            <w:tcW w:w="4165" w:type="dxa"/>
          </w:tcPr>
          <w:p w14:paraId="54989660"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Pre-notification letter</w:t>
            </w:r>
          </w:p>
        </w:tc>
      </w:tr>
      <w:tr w:rsidR="00103882" w:rsidRPr="00103882" w14:paraId="061CD9CE" w14:textId="77777777" w:rsidTr="00E300A0">
        <w:tc>
          <w:tcPr>
            <w:tcW w:w="4105" w:type="dxa"/>
          </w:tcPr>
          <w:p w14:paraId="7B8C4FA2"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June 30, 2017</w:t>
            </w:r>
          </w:p>
        </w:tc>
        <w:tc>
          <w:tcPr>
            <w:tcW w:w="4165" w:type="dxa"/>
          </w:tcPr>
          <w:p w14:paraId="50D7E945"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First survey mailing*</w:t>
            </w:r>
          </w:p>
        </w:tc>
      </w:tr>
      <w:tr w:rsidR="00103882" w:rsidRPr="00103882" w14:paraId="5592F3AD" w14:textId="77777777" w:rsidTr="00E300A0">
        <w:tc>
          <w:tcPr>
            <w:tcW w:w="4105" w:type="dxa"/>
          </w:tcPr>
          <w:p w14:paraId="1BDC703B"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July 7, 2017</w:t>
            </w:r>
          </w:p>
        </w:tc>
        <w:tc>
          <w:tcPr>
            <w:tcW w:w="4165" w:type="dxa"/>
          </w:tcPr>
          <w:p w14:paraId="72CA4A57"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Reminder postcard</w:t>
            </w:r>
          </w:p>
        </w:tc>
      </w:tr>
      <w:tr w:rsidR="00103882" w:rsidRPr="00103882" w14:paraId="342F73F0" w14:textId="77777777" w:rsidTr="00E300A0">
        <w:tc>
          <w:tcPr>
            <w:tcW w:w="4105" w:type="dxa"/>
          </w:tcPr>
          <w:p w14:paraId="019B084C"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July 31, 2017</w:t>
            </w:r>
          </w:p>
        </w:tc>
        <w:tc>
          <w:tcPr>
            <w:tcW w:w="4165" w:type="dxa"/>
          </w:tcPr>
          <w:p w14:paraId="3399F3EC"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Second survey mailing**</w:t>
            </w:r>
          </w:p>
        </w:tc>
      </w:tr>
      <w:tr w:rsidR="00103882" w:rsidRPr="00103882" w14:paraId="780A8DE4" w14:textId="77777777" w:rsidTr="00E300A0">
        <w:tc>
          <w:tcPr>
            <w:tcW w:w="4105" w:type="dxa"/>
          </w:tcPr>
          <w:p w14:paraId="1B7F7CF1"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August 30, 2017</w:t>
            </w:r>
          </w:p>
        </w:tc>
        <w:tc>
          <w:tcPr>
            <w:tcW w:w="4165" w:type="dxa"/>
          </w:tcPr>
          <w:p w14:paraId="04E8F4F8" w14:textId="77777777" w:rsidR="00103882" w:rsidRPr="00103882" w:rsidRDefault="00103882" w:rsidP="00E300A0">
            <w:pPr>
              <w:pStyle w:val="ListParagraph"/>
              <w:ind w:left="0"/>
              <w:jc w:val="center"/>
              <w:rPr>
                <w:rFonts w:asciiTheme="majorHAnsi" w:hAnsiTheme="majorHAnsi"/>
                <w:sz w:val="24"/>
                <w:szCs w:val="24"/>
              </w:rPr>
            </w:pPr>
            <w:r w:rsidRPr="00103882">
              <w:rPr>
                <w:rFonts w:asciiTheme="majorHAnsi" w:hAnsiTheme="majorHAnsi"/>
                <w:sz w:val="24"/>
                <w:szCs w:val="24"/>
              </w:rPr>
              <w:t>Thank you letters***</w:t>
            </w:r>
          </w:p>
        </w:tc>
      </w:tr>
    </w:tbl>
    <w:p w14:paraId="47F26A70" w14:textId="36189E4E" w:rsidR="00103882" w:rsidRPr="00103882" w:rsidRDefault="00103882" w:rsidP="00103882">
      <w:pPr>
        <w:pStyle w:val="ListParagraph"/>
        <w:ind w:left="1080"/>
        <w:rPr>
          <w:rFonts w:asciiTheme="majorHAnsi" w:hAnsiTheme="majorHAnsi"/>
          <w:sz w:val="24"/>
          <w:szCs w:val="24"/>
        </w:rPr>
      </w:pPr>
      <w:r w:rsidRPr="00103882">
        <w:rPr>
          <w:rFonts w:asciiTheme="majorHAnsi" w:hAnsiTheme="majorHAnsi"/>
          <w:sz w:val="24"/>
          <w:szCs w:val="24"/>
        </w:rPr>
        <w:t>*Mailing includes a cover l</w:t>
      </w:r>
      <w:r w:rsidR="00E300A0">
        <w:rPr>
          <w:rFonts w:asciiTheme="majorHAnsi" w:hAnsiTheme="majorHAnsi"/>
          <w:sz w:val="24"/>
          <w:szCs w:val="24"/>
        </w:rPr>
        <w:t>etter, the survey instrument a</w:t>
      </w:r>
      <w:r w:rsidRPr="00103882">
        <w:rPr>
          <w:rFonts w:asciiTheme="majorHAnsi" w:hAnsiTheme="majorHAnsi"/>
          <w:sz w:val="24"/>
          <w:szCs w:val="24"/>
        </w:rPr>
        <w:t>nd a pre-paid, pre-addressed return envelope</w:t>
      </w:r>
    </w:p>
    <w:p w14:paraId="39EA1DA2" w14:textId="77777777" w:rsidR="00103882" w:rsidRPr="00103882" w:rsidRDefault="00103882" w:rsidP="00103882">
      <w:pPr>
        <w:pStyle w:val="ListParagraph"/>
        <w:ind w:left="1080"/>
        <w:rPr>
          <w:rFonts w:asciiTheme="majorHAnsi" w:hAnsiTheme="majorHAnsi"/>
          <w:sz w:val="24"/>
          <w:szCs w:val="24"/>
        </w:rPr>
      </w:pPr>
      <w:r w:rsidRPr="00103882">
        <w:rPr>
          <w:rFonts w:asciiTheme="majorHAnsi" w:hAnsiTheme="majorHAnsi"/>
          <w:sz w:val="24"/>
          <w:szCs w:val="24"/>
        </w:rPr>
        <w:t>**Mailing includes a cover letter, the survey instrument, and a pre-paid, pre-addressed return envelope</w:t>
      </w:r>
    </w:p>
    <w:p w14:paraId="657FAC9C" w14:textId="5864DB93" w:rsidR="00103882" w:rsidRPr="00103882" w:rsidRDefault="00103882" w:rsidP="00103882">
      <w:pPr>
        <w:pStyle w:val="ListParagraph"/>
        <w:ind w:left="1080"/>
        <w:rPr>
          <w:rFonts w:asciiTheme="majorHAnsi" w:hAnsiTheme="majorHAnsi"/>
          <w:sz w:val="24"/>
          <w:szCs w:val="24"/>
        </w:rPr>
      </w:pPr>
      <w:r w:rsidRPr="00103882">
        <w:rPr>
          <w:rFonts w:asciiTheme="majorHAnsi" w:hAnsiTheme="majorHAnsi"/>
          <w:sz w:val="24"/>
          <w:szCs w:val="24"/>
        </w:rPr>
        <w:t>***Mailing includes a thank you letter and a $</w:t>
      </w:r>
      <w:r w:rsidR="00E300A0">
        <w:rPr>
          <w:rFonts w:asciiTheme="majorHAnsi" w:hAnsiTheme="majorHAnsi"/>
          <w:sz w:val="24"/>
          <w:szCs w:val="24"/>
        </w:rPr>
        <w:t xml:space="preserve">10 </w:t>
      </w:r>
      <w:r w:rsidRPr="00103882">
        <w:rPr>
          <w:rFonts w:asciiTheme="majorHAnsi" w:hAnsiTheme="majorHAnsi"/>
          <w:sz w:val="24"/>
          <w:szCs w:val="24"/>
        </w:rPr>
        <w:t>pre-paid gift card</w:t>
      </w:r>
    </w:p>
    <w:p w14:paraId="6E0DD7ED" w14:textId="77777777" w:rsidR="00103882" w:rsidRPr="00103882" w:rsidRDefault="00103882" w:rsidP="00103882">
      <w:pPr>
        <w:pStyle w:val="ListParagraph"/>
        <w:ind w:left="1080"/>
        <w:rPr>
          <w:rFonts w:asciiTheme="majorHAnsi" w:hAnsiTheme="majorHAnsi"/>
          <w:sz w:val="24"/>
          <w:szCs w:val="24"/>
        </w:rPr>
      </w:pPr>
    </w:p>
    <w:p w14:paraId="24219796" w14:textId="5744D5F4" w:rsidR="00103882" w:rsidRPr="00103882" w:rsidRDefault="00103882" w:rsidP="00103882">
      <w:pPr>
        <w:pStyle w:val="ListParagraph"/>
        <w:ind w:left="1080"/>
        <w:rPr>
          <w:rFonts w:asciiTheme="majorHAnsi" w:hAnsiTheme="majorHAnsi"/>
          <w:sz w:val="24"/>
          <w:szCs w:val="24"/>
        </w:rPr>
      </w:pPr>
      <w:r w:rsidRPr="00070C82">
        <w:rPr>
          <w:rFonts w:asciiTheme="majorHAnsi" w:hAnsiTheme="majorHAnsi"/>
          <w:sz w:val="24"/>
          <w:szCs w:val="24"/>
        </w:rPr>
        <w:t xml:space="preserve">No identifiable data will be collected on the survey instrument itself, though we will be accessing identifiable data from CMR, </w:t>
      </w:r>
      <w:r w:rsidR="00070C82" w:rsidRPr="00070C82">
        <w:rPr>
          <w:rFonts w:asciiTheme="majorHAnsi" w:hAnsiTheme="majorHAnsi"/>
          <w:sz w:val="24"/>
          <w:szCs w:val="24"/>
        </w:rPr>
        <w:t xml:space="preserve">the </w:t>
      </w:r>
      <w:r w:rsidR="00070C82" w:rsidRPr="00070C82">
        <w:rPr>
          <w:rStyle w:val="Emphasis"/>
          <w:rFonts w:asciiTheme="majorHAnsi" w:hAnsiTheme="majorHAnsi" w:cs="Arial"/>
          <w:b w:val="0"/>
          <w:sz w:val="24"/>
          <w:szCs w:val="24"/>
          <w:lang w:val="en"/>
        </w:rPr>
        <w:t>Statewide Planning and Research Cooperative System hospital discharge database</w:t>
      </w:r>
      <w:r w:rsidR="00070C82" w:rsidRPr="00070C82">
        <w:rPr>
          <w:rStyle w:val="Emphasis"/>
          <w:rFonts w:asciiTheme="majorHAnsi" w:hAnsiTheme="majorHAnsi" w:cs="Arial"/>
          <w:sz w:val="24"/>
          <w:szCs w:val="24"/>
          <w:lang w:val="en"/>
        </w:rPr>
        <w:t xml:space="preserve"> </w:t>
      </w:r>
      <w:r w:rsidR="00070C82" w:rsidRPr="00070C82">
        <w:rPr>
          <w:rStyle w:val="Emphasis"/>
          <w:rFonts w:asciiTheme="majorHAnsi" w:hAnsiTheme="majorHAnsi" w:cs="Arial"/>
          <w:b w:val="0"/>
          <w:sz w:val="24"/>
          <w:szCs w:val="24"/>
          <w:lang w:val="en"/>
        </w:rPr>
        <w:t>(</w:t>
      </w:r>
      <w:r w:rsidRPr="00070C82">
        <w:rPr>
          <w:rFonts w:asciiTheme="majorHAnsi" w:hAnsiTheme="majorHAnsi"/>
          <w:sz w:val="24"/>
          <w:szCs w:val="24"/>
        </w:rPr>
        <w:t>SPARCS</w:t>
      </w:r>
      <w:r w:rsidR="00070C82" w:rsidRPr="00070C82">
        <w:rPr>
          <w:rFonts w:asciiTheme="majorHAnsi" w:hAnsiTheme="majorHAnsi"/>
          <w:sz w:val="24"/>
          <w:szCs w:val="24"/>
        </w:rPr>
        <w:t>)</w:t>
      </w:r>
      <w:r w:rsidRPr="00070C82">
        <w:rPr>
          <w:rFonts w:asciiTheme="majorHAnsi" w:hAnsiTheme="majorHAnsi"/>
          <w:sz w:val="24"/>
          <w:szCs w:val="24"/>
        </w:rPr>
        <w:t>, NYSIIS, and Accurint in order to identify our cohort and prepare the survey mailings. Specifically, we will be identifying each adolescent’s name, date of birth, residential address at birth, updated residential address</w:t>
      </w:r>
      <w:r w:rsidR="00070C82">
        <w:rPr>
          <w:rFonts w:asciiTheme="majorHAnsi" w:hAnsiTheme="majorHAnsi"/>
          <w:sz w:val="24"/>
          <w:szCs w:val="24"/>
        </w:rPr>
        <w:t>, CHD</w:t>
      </w:r>
      <w:r w:rsidRPr="00103882">
        <w:rPr>
          <w:rFonts w:asciiTheme="majorHAnsi" w:hAnsiTheme="majorHAnsi"/>
          <w:sz w:val="24"/>
          <w:szCs w:val="24"/>
        </w:rPr>
        <w:t xml:space="preserve"> ICD-9-CM diagnosis codes, parent names and parent dates of birth. Parent names and parent dates of birth will only be used in instances where address tracing cannot be performed for the adolescent directly.  </w:t>
      </w:r>
    </w:p>
    <w:p w14:paraId="37C10BF7" w14:textId="77777777" w:rsidR="00103882" w:rsidRPr="00103882" w:rsidRDefault="00103882" w:rsidP="00103882">
      <w:pPr>
        <w:pStyle w:val="ListParagraph"/>
        <w:ind w:left="1080"/>
        <w:rPr>
          <w:rFonts w:asciiTheme="majorHAnsi" w:hAnsiTheme="majorHAnsi"/>
          <w:sz w:val="24"/>
          <w:szCs w:val="24"/>
        </w:rPr>
      </w:pPr>
    </w:p>
    <w:p w14:paraId="03F4DE99" w14:textId="75E07880" w:rsidR="00103882" w:rsidRPr="00103882" w:rsidRDefault="00103882" w:rsidP="00103882">
      <w:pPr>
        <w:pStyle w:val="ListParagraph"/>
        <w:ind w:left="1080"/>
        <w:rPr>
          <w:rFonts w:asciiTheme="majorHAnsi" w:hAnsiTheme="majorHAnsi"/>
          <w:sz w:val="24"/>
          <w:szCs w:val="24"/>
        </w:rPr>
      </w:pPr>
      <w:r w:rsidRPr="00103882">
        <w:rPr>
          <w:rFonts w:asciiTheme="majorHAnsi" w:hAnsiTheme="majorHAnsi"/>
          <w:sz w:val="24"/>
          <w:szCs w:val="24"/>
        </w:rPr>
        <w:t xml:space="preserve">Each selected adolescent will be assigned a corresponding ID number that will be used on the survey instrument to track which of their parents have responded. The crosswalk between ID numbers and personally identifiable information will be stored as a table in a password-protected Access database accessible only to members of the </w:t>
      </w:r>
      <w:r w:rsidR="00C4491F">
        <w:rPr>
          <w:rFonts w:asciiTheme="majorHAnsi" w:hAnsiTheme="majorHAnsi"/>
          <w:sz w:val="24"/>
          <w:szCs w:val="24"/>
        </w:rPr>
        <w:t xml:space="preserve">NYS DOH </w:t>
      </w:r>
      <w:r w:rsidRPr="00103882">
        <w:rPr>
          <w:rFonts w:asciiTheme="majorHAnsi" w:hAnsiTheme="majorHAnsi"/>
          <w:sz w:val="24"/>
          <w:szCs w:val="24"/>
        </w:rPr>
        <w:t xml:space="preserve">Congenital Heart Defects Surveillance team. Survey responses along with the corresponding ID numbers will be entered into a separate table in the Access database by members of the </w:t>
      </w:r>
      <w:r w:rsidR="00C4491F">
        <w:rPr>
          <w:rFonts w:asciiTheme="majorHAnsi" w:hAnsiTheme="majorHAnsi"/>
          <w:sz w:val="24"/>
          <w:szCs w:val="24"/>
        </w:rPr>
        <w:t xml:space="preserve">NYS DOH </w:t>
      </w:r>
      <w:r w:rsidRPr="00103882">
        <w:rPr>
          <w:rFonts w:asciiTheme="majorHAnsi" w:hAnsiTheme="majorHAnsi"/>
          <w:sz w:val="24"/>
          <w:szCs w:val="24"/>
        </w:rPr>
        <w:t xml:space="preserve">Congenital Heart Defects Surveillance Team as completed surveys are returned. The returned hardcopy surveys will be kept in a locked filing cabinet accessible only to members of the </w:t>
      </w:r>
      <w:r w:rsidR="00C4491F">
        <w:rPr>
          <w:rFonts w:asciiTheme="majorHAnsi" w:hAnsiTheme="majorHAnsi"/>
          <w:sz w:val="24"/>
          <w:szCs w:val="24"/>
        </w:rPr>
        <w:t xml:space="preserve">NYS DOH </w:t>
      </w:r>
      <w:r w:rsidRPr="00103882">
        <w:rPr>
          <w:rFonts w:asciiTheme="majorHAnsi" w:hAnsiTheme="majorHAnsi"/>
          <w:sz w:val="24"/>
          <w:szCs w:val="24"/>
        </w:rPr>
        <w:t xml:space="preserve">Congenital Heart Defects Surveillance Team. We will not </w:t>
      </w:r>
      <w:r w:rsidR="00070C82" w:rsidRPr="00103882">
        <w:rPr>
          <w:rFonts w:asciiTheme="majorHAnsi" w:hAnsiTheme="majorHAnsi"/>
          <w:sz w:val="24"/>
          <w:szCs w:val="24"/>
        </w:rPr>
        <w:t xml:space="preserve">use </w:t>
      </w:r>
      <w:r w:rsidR="00070C82">
        <w:rPr>
          <w:rFonts w:asciiTheme="majorHAnsi" w:hAnsiTheme="majorHAnsi"/>
          <w:sz w:val="24"/>
          <w:szCs w:val="24"/>
        </w:rPr>
        <w:t xml:space="preserve">nor report </w:t>
      </w:r>
      <w:r w:rsidRPr="00103882">
        <w:rPr>
          <w:rFonts w:asciiTheme="majorHAnsi" w:hAnsiTheme="majorHAnsi"/>
          <w:sz w:val="24"/>
          <w:szCs w:val="24"/>
        </w:rPr>
        <w:t xml:space="preserve">any identifiable data in our analyses. </w:t>
      </w:r>
    </w:p>
    <w:p w14:paraId="53D16D46" w14:textId="77777777" w:rsidR="003A0CD5" w:rsidRPr="003A0CD5" w:rsidRDefault="003A0CD5" w:rsidP="003A0CD5">
      <w:pPr>
        <w:spacing w:after="0" w:line="240" w:lineRule="auto"/>
        <w:rPr>
          <w:rFonts w:asciiTheme="majorHAnsi" w:eastAsia="Times New Roman" w:hAnsiTheme="majorHAnsi" w:cs="Arial"/>
          <w:sz w:val="24"/>
          <w:szCs w:val="24"/>
        </w:rPr>
      </w:pPr>
    </w:p>
    <w:p w14:paraId="5984EABB" w14:textId="22C6820B" w:rsidR="002F2069" w:rsidRPr="003A0CD5" w:rsidRDefault="003A0CD5" w:rsidP="00E13B85">
      <w:pPr>
        <w:tabs>
          <w:tab w:val="left" w:pos="720"/>
        </w:tabs>
        <w:spacing w:after="0"/>
        <w:contextualSpacing/>
        <w:rPr>
          <w:rFonts w:asciiTheme="majorHAnsi" w:hAnsiTheme="majorHAnsi"/>
          <w:sz w:val="24"/>
          <w:szCs w:val="24"/>
        </w:rPr>
      </w:pPr>
      <w:r>
        <w:rPr>
          <w:rFonts w:asciiTheme="majorHAnsi" w:eastAsia="Times New Roman" w:hAnsiTheme="majorHAnsi" w:cs="Arial"/>
          <w:b/>
          <w:sz w:val="24"/>
          <w:szCs w:val="24"/>
        </w:rPr>
        <w:t xml:space="preserve">       </w:t>
      </w:r>
    </w:p>
    <w:p w14:paraId="5B2DDD0D" w14:textId="77777777" w:rsidR="00287E2F" w:rsidRPr="003A0CD5" w:rsidRDefault="00287E2F" w:rsidP="00B12F51">
      <w:pPr>
        <w:pStyle w:val="ListParagraph"/>
        <w:numPr>
          <w:ilvl w:val="0"/>
          <w:numId w:val="3"/>
        </w:numPr>
        <w:spacing w:after="0"/>
        <w:rPr>
          <w:rFonts w:asciiTheme="majorHAnsi" w:hAnsiTheme="majorHAnsi"/>
          <w:b/>
          <w:sz w:val="24"/>
          <w:szCs w:val="24"/>
        </w:rPr>
      </w:pPr>
      <w:r w:rsidRPr="003A0CD5">
        <w:rPr>
          <w:rFonts w:asciiTheme="majorHAnsi" w:hAnsiTheme="majorHAnsi"/>
          <w:b/>
          <w:sz w:val="24"/>
          <w:szCs w:val="24"/>
        </w:rPr>
        <w:t>Methods to Maximize Response Rates</w:t>
      </w:r>
      <w:r w:rsidR="00F725B5" w:rsidRPr="003A0CD5">
        <w:rPr>
          <w:rFonts w:asciiTheme="majorHAnsi" w:hAnsiTheme="majorHAnsi"/>
          <w:b/>
          <w:sz w:val="24"/>
          <w:szCs w:val="24"/>
        </w:rPr>
        <w:t xml:space="preserve"> </w:t>
      </w:r>
      <w:r w:rsidRPr="003A0CD5">
        <w:rPr>
          <w:rFonts w:asciiTheme="majorHAnsi" w:hAnsiTheme="majorHAnsi"/>
          <w:b/>
          <w:sz w:val="24"/>
          <w:szCs w:val="24"/>
        </w:rPr>
        <w:t xml:space="preserve"> </w:t>
      </w:r>
      <w:r w:rsidR="00AE22F7" w:rsidRPr="003A0CD5">
        <w:rPr>
          <w:rFonts w:asciiTheme="majorHAnsi" w:hAnsiTheme="majorHAnsi"/>
          <w:b/>
          <w:sz w:val="24"/>
          <w:szCs w:val="24"/>
        </w:rPr>
        <w:t>and Deal with No Response</w:t>
      </w:r>
    </w:p>
    <w:p w14:paraId="57F107B8" w14:textId="54C1FB21" w:rsidR="00F545A4" w:rsidRPr="00F545A4" w:rsidRDefault="00F545A4" w:rsidP="003A0CD5">
      <w:pPr>
        <w:pStyle w:val="xmsolistparagraph"/>
        <w:ind w:firstLine="360"/>
        <w:rPr>
          <w:rFonts w:asciiTheme="majorHAnsi" w:hAnsiTheme="majorHAnsi" w:cs="Arial"/>
          <w:b/>
          <w:u w:val="single"/>
        </w:rPr>
      </w:pPr>
      <w:r w:rsidRPr="00F545A4">
        <w:rPr>
          <w:rFonts w:asciiTheme="majorHAnsi" w:hAnsiTheme="majorHAnsi" w:cs="Arial"/>
          <w:b/>
          <w:u w:val="single"/>
        </w:rPr>
        <w:t xml:space="preserve">Emory University: </w:t>
      </w:r>
    </w:p>
    <w:p w14:paraId="2B0E0C43" w14:textId="77777777" w:rsidR="003A0CD5" w:rsidRPr="003A0CD5" w:rsidRDefault="003A0CD5" w:rsidP="003A0CD5">
      <w:pPr>
        <w:pStyle w:val="xmsolistparagraph"/>
        <w:ind w:firstLine="360"/>
        <w:rPr>
          <w:rFonts w:asciiTheme="majorHAnsi" w:hAnsiTheme="majorHAnsi" w:cs="Arial"/>
        </w:rPr>
      </w:pPr>
      <w:r w:rsidRPr="003A0CD5">
        <w:rPr>
          <w:rFonts w:asciiTheme="majorHAnsi" w:hAnsiTheme="majorHAnsi" w:cs="Arial"/>
        </w:rPr>
        <w:t>We will maximize response rates through several measures:</w:t>
      </w:r>
    </w:p>
    <w:p w14:paraId="54F938E9" w14:textId="55AECFA0" w:rsidR="003A0CD5" w:rsidRPr="003A0CD5" w:rsidRDefault="003A0CD5" w:rsidP="003A0CD5">
      <w:pPr>
        <w:pStyle w:val="xmsolistparagraph"/>
        <w:ind w:left="360"/>
        <w:rPr>
          <w:rFonts w:asciiTheme="majorHAnsi" w:hAnsiTheme="majorHAnsi" w:cs="Arial"/>
        </w:rPr>
      </w:pPr>
      <w:r w:rsidRPr="003A0CD5">
        <w:rPr>
          <w:rFonts w:asciiTheme="majorHAnsi" w:hAnsiTheme="majorHAnsi" w:cs="Arial"/>
        </w:rPr>
        <w:t>a) Pre-screening of patient/parent dyads to ensure that only parents</w:t>
      </w:r>
      <w:r w:rsidR="00721F95">
        <w:rPr>
          <w:rFonts w:asciiTheme="majorHAnsi" w:hAnsiTheme="majorHAnsi" w:cs="Arial"/>
        </w:rPr>
        <w:t>/guardians</w:t>
      </w:r>
      <w:r w:rsidRPr="003A0CD5">
        <w:rPr>
          <w:rFonts w:asciiTheme="majorHAnsi" w:hAnsiTheme="majorHAnsi" w:cs="Arial"/>
        </w:rPr>
        <w:t xml:space="preserve"> of eligible adolescent patients are contacted for the study.</w:t>
      </w:r>
    </w:p>
    <w:p w14:paraId="780922ED" w14:textId="6AEBA741" w:rsidR="003A0CD5" w:rsidRPr="003A0CD5" w:rsidRDefault="003A0CD5" w:rsidP="003A0CD5">
      <w:pPr>
        <w:pStyle w:val="xmsolistparagraph"/>
        <w:ind w:left="360"/>
        <w:rPr>
          <w:rFonts w:asciiTheme="majorHAnsi" w:hAnsiTheme="majorHAnsi" w:cs="Arial"/>
        </w:rPr>
      </w:pPr>
      <w:r w:rsidRPr="003A0CD5">
        <w:rPr>
          <w:rFonts w:asciiTheme="majorHAnsi" w:hAnsiTheme="majorHAnsi" w:cs="Arial"/>
        </w:rPr>
        <w:t>b) Recruiting parents</w:t>
      </w:r>
      <w:r w:rsidR="00721F95">
        <w:rPr>
          <w:rFonts w:asciiTheme="majorHAnsi" w:hAnsiTheme="majorHAnsi" w:cs="Arial"/>
        </w:rPr>
        <w:t>/guardians</w:t>
      </w:r>
      <w:r w:rsidRPr="003A0CD5">
        <w:rPr>
          <w:rFonts w:asciiTheme="majorHAnsi" w:hAnsiTheme="majorHAnsi" w:cs="Arial"/>
        </w:rPr>
        <w:t xml:space="preserve"> who are already engaged in obtaining care for their adolescent child with CHD at the clinic location;</w:t>
      </w:r>
    </w:p>
    <w:p w14:paraId="118DC79A" w14:textId="77777777" w:rsidR="003A0CD5" w:rsidRPr="003A0CD5" w:rsidRDefault="003A0CD5" w:rsidP="003A0CD5">
      <w:pPr>
        <w:pStyle w:val="xmsolistparagraph"/>
        <w:ind w:left="360"/>
        <w:rPr>
          <w:rFonts w:asciiTheme="majorHAnsi" w:hAnsiTheme="majorHAnsi" w:cs="Arial"/>
        </w:rPr>
      </w:pPr>
      <w:r w:rsidRPr="003A0CD5">
        <w:rPr>
          <w:rFonts w:asciiTheme="majorHAnsi" w:hAnsiTheme="majorHAnsi" w:cs="Arial"/>
        </w:rPr>
        <w:t>c) Recruiting via two methods – telephone recruiting (with up to 3 calls) and in-clinic recruitment.</w:t>
      </w:r>
    </w:p>
    <w:p w14:paraId="072F08D6" w14:textId="6D7C53FC" w:rsidR="003A0CD5" w:rsidRDefault="003A0CD5" w:rsidP="003A0CD5">
      <w:pPr>
        <w:pStyle w:val="xmsolistparagraph"/>
        <w:ind w:left="360"/>
        <w:rPr>
          <w:rFonts w:asciiTheme="majorHAnsi" w:hAnsiTheme="majorHAnsi" w:cs="Arial"/>
        </w:rPr>
      </w:pPr>
      <w:r w:rsidRPr="003A0CD5">
        <w:rPr>
          <w:rFonts w:asciiTheme="majorHAnsi" w:hAnsiTheme="majorHAnsi" w:cs="Arial"/>
        </w:rPr>
        <w:t>Parents</w:t>
      </w:r>
      <w:r w:rsidR="00721F95">
        <w:rPr>
          <w:rFonts w:asciiTheme="majorHAnsi" w:hAnsiTheme="majorHAnsi" w:cs="Arial"/>
        </w:rPr>
        <w:t>/guardians</w:t>
      </w:r>
      <w:r w:rsidRPr="003A0CD5">
        <w:rPr>
          <w:rFonts w:asciiTheme="majorHAnsi" w:hAnsiTheme="majorHAnsi" w:cs="Arial"/>
        </w:rPr>
        <w:t xml:space="preserve"> who do not respond (or are not reached) after three tries via telephone, will be dropped from the call list.  However, for those in metro-Atlanta clinics, they will again be approached in-person during the upcoming clinic visit for their child.  Given the opportunity to reach these parents in two ways and during a time period when they are focused on securing care for their child with CHD, we anticipate a high response rate of approximately 60%.</w:t>
      </w:r>
    </w:p>
    <w:p w14:paraId="30CC004C" w14:textId="1D343F40" w:rsidR="00F545A4" w:rsidRDefault="00F545A4" w:rsidP="003A0CD5">
      <w:pPr>
        <w:pStyle w:val="xmsolistparagraph"/>
        <w:ind w:left="360"/>
        <w:rPr>
          <w:rFonts w:asciiTheme="majorHAnsi" w:hAnsiTheme="majorHAnsi" w:cs="Arial"/>
          <w:b/>
          <w:u w:val="single"/>
        </w:rPr>
      </w:pPr>
      <w:r w:rsidRPr="00F545A4">
        <w:rPr>
          <w:rFonts w:asciiTheme="majorHAnsi" w:hAnsiTheme="majorHAnsi" w:cs="Arial"/>
          <w:b/>
          <w:u w:val="single"/>
        </w:rPr>
        <w:t xml:space="preserve">NYS DOH: </w:t>
      </w:r>
    </w:p>
    <w:p w14:paraId="72DFFC1D" w14:textId="5DE65FEB" w:rsidR="00F545A4" w:rsidRPr="00F545A4" w:rsidRDefault="00F545A4" w:rsidP="00F545A4">
      <w:pPr>
        <w:pStyle w:val="ListParagraph"/>
        <w:ind w:left="360"/>
        <w:rPr>
          <w:rFonts w:asciiTheme="majorHAnsi" w:hAnsiTheme="majorHAnsi"/>
          <w:sz w:val="24"/>
          <w:szCs w:val="24"/>
        </w:rPr>
      </w:pPr>
      <w:r w:rsidRPr="00F545A4">
        <w:rPr>
          <w:rFonts w:asciiTheme="majorHAnsi" w:hAnsiTheme="majorHAnsi"/>
          <w:sz w:val="24"/>
          <w:szCs w:val="24"/>
        </w:rPr>
        <w:t>We will employ a variety of methods to increase response rates in our sample, including incentives, promised incentives, pre-notification letters</w:t>
      </w:r>
      <w:r w:rsidR="00FC4A42">
        <w:rPr>
          <w:rFonts w:asciiTheme="majorHAnsi" w:hAnsiTheme="majorHAnsi"/>
          <w:sz w:val="24"/>
          <w:szCs w:val="24"/>
        </w:rPr>
        <w:t xml:space="preserve"> (Attachment 3)</w:t>
      </w:r>
      <w:r w:rsidRPr="00F545A4">
        <w:rPr>
          <w:rFonts w:asciiTheme="majorHAnsi" w:hAnsiTheme="majorHAnsi"/>
          <w:sz w:val="24"/>
          <w:szCs w:val="24"/>
        </w:rPr>
        <w:t>, reminder postcards</w:t>
      </w:r>
      <w:r w:rsidR="00FC4A42">
        <w:rPr>
          <w:rFonts w:asciiTheme="majorHAnsi" w:hAnsiTheme="majorHAnsi"/>
          <w:sz w:val="24"/>
          <w:szCs w:val="24"/>
        </w:rPr>
        <w:t xml:space="preserve"> (Attachment 6)</w:t>
      </w:r>
      <w:r w:rsidRPr="00F545A4">
        <w:rPr>
          <w:rFonts w:asciiTheme="majorHAnsi" w:hAnsiTheme="majorHAnsi"/>
          <w:sz w:val="24"/>
          <w:szCs w:val="24"/>
        </w:rPr>
        <w:t>, two survey mailings</w:t>
      </w:r>
      <w:r w:rsidR="00FC4A42">
        <w:rPr>
          <w:rFonts w:asciiTheme="majorHAnsi" w:hAnsiTheme="majorHAnsi"/>
          <w:sz w:val="24"/>
          <w:szCs w:val="24"/>
        </w:rPr>
        <w:t xml:space="preserve"> (Attachment 1)</w:t>
      </w:r>
      <w:r w:rsidRPr="00F545A4">
        <w:rPr>
          <w:rFonts w:asciiTheme="majorHAnsi" w:hAnsiTheme="majorHAnsi"/>
          <w:sz w:val="24"/>
          <w:szCs w:val="24"/>
        </w:rPr>
        <w:t xml:space="preserve">, pre-paid return envelopes, thoughtful formatting, personalization, and the exclusion of questions that ask for personally identifiable information. We also believe that the survey topic </w:t>
      </w:r>
      <w:r w:rsidR="00574D01">
        <w:rPr>
          <w:rFonts w:asciiTheme="majorHAnsi" w:hAnsiTheme="majorHAnsi"/>
          <w:sz w:val="24"/>
          <w:szCs w:val="24"/>
        </w:rPr>
        <w:t>is</w:t>
      </w:r>
      <w:r w:rsidRPr="00F545A4">
        <w:rPr>
          <w:rFonts w:asciiTheme="majorHAnsi" w:hAnsiTheme="majorHAnsi"/>
          <w:sz w:val="24"/>
          <w:szCs w:val="24"/>
        </w:rPr>
        <w:t xml:space="preserve"> of interest to this population which should encourage participation. </w:t>
      </w:r>
    </w:p>
    <w:p w14:paraId="15D7CC64" w14:textId="77777777" w:rsidR="00F545A4" w:rsidRPr="00F545A4" w:rsidRDefault="00F545A4" w:rsidP="00F545A4">
      <w:pPr>
        <w:pStyle w:val="ListParagraph"/>
        <w:ind w:left="360"/>
        <w:rPr>
          <w:rFonts w:asciiTheme="majorHAnsi" w:hAnsiTheme="majorHAnsi"/>
          <w:sz w:val="24"/>
          <w:szCs w:val="24"/>
        </w:rPr>
      </w:pPr>
    </w:p>
    <w:p w14:paraId="12C8C284" w14:textId="6EF3D8AA" w:rsidR="00F545A4" w:rsidRPr="00F545A4" w:rsidRDefault="00F545A4" w:rsidP="00F545A4">
      <w:pPr>
        <w:pStyle w:val="ListParagraph"/>
        <w:ind w:left="360"/>
        <w:rPr>
          <w:rFonts w:asciiTheme="majorHAnsi" w:hAnsiTheme="majorHAnsi"/>
          <w:color w:val="FF0000"/>
          <w:sz w:val="24"/>
          <w:szCs w:val="24"/>
        </w:rPr>
      </w:pPr>
      <w:r w:rsidRPr="00F545A4">
        <w:rPr>
          <w:rFonts w:asciiTheme="majorHAnsi" w:hAnsiTheme="majorHAnsi"/>
          <w:sz w:val="24"/>
          <w:szCs w:val="24"/>
        </w:rPr>
        <w:t>A personalized pre-notification letter will be sent to potential participants one week prior to the initial survey mailing. The letter will explain the purpose of the survey</w:t>
      </w:r>
      <w:r w:rsidR="00FC4A42">
        <w:rPr>
          <w:rFonts w:asciiTheme="majorHAnsi" w:hAnsiTheme="majorHAnsi"/>
          <w:sz w:val="24"/>
          <w:szCs w:val="24"/>
        </w:rPr>
        <w:t xml:space="preserve"> (Attachment 4)</w:t>
      </w:r>
      <w:r w:rsidRPr="00F545A4">
        <w:rPr>
          <w:rFonts w:asciiTheme="majorHAnsi" w:hAnsiTheme="majorHAnsi"/>
          <w:sz w:val="24"/>
          <w:szCs w:val="24"/>
        </w:rPr>
        <w:t xml:space="preserve"> and request the reader’s participation. In the first survey mailing, we will include a cover letter</w:t>
      </w:r>
      <w:r w:rsidR="00FC4A42">
        <w:rPr>
          <w:rFonts w:asciiTheme="majorHAnsi" w:hAnsiTheme="majorHAnsi"/>
          <w:sz w:val="24"/>
          <w:szCs w:val="24"/>
        </w:rPr>
        <w:t xml:space="preserve"> (Attachment 4)</w:t>
      </w:r>
      <w:r w:rsidRPr="00F545A4">
        <w:rPr>
          <w:rFonts w:asciiTheme="majorHAnsi" w:hAnsiTheme="majorHAnsi"/>
          <w:sz w:val="24"/>
          <w:szCs w:val="24"/>
        </w:rPr>
        <w:t>, the survey instrument</w:t>
      </w:r>
      <w:r w:rsidR="00FC4A42">
        <w:rPr>
          <w:rFonts w:asciiTheme="majorHAnsi" w:hAnsiTheme="majorHAnsi"/>
          <w:sz w:val="24"/>
          <w:szCs w:val="24"/>
        </w:rPr>
        <w:t xml:space="preserve"> (Attachment 1)</w:t>
      </w:r>
      <w:r w:rsidRPr="00F545A4">
        <w:rPr>
          <w:rFonts w:asciiTheme="majorHAnsi" w:hAnsiTheme="majorHAnsi"/>
          <w:sz w:val="24"/>
          <w:szCs w:val="24"/>
        </w:rPr>
        <w:t>, and a pre-paid, pre-addressed envelope for returning the completed survey. We will also inform potential participants that they will receive a</w:t>
      </w:r>
      <w:r w:rsidR="00FC4A42">
        <w:rPr>
          <w:rFonts w:asciiTheme="majorHAnsi" w:hAnsiTheme="majorHAnsi"/>
          <w:sz w:val="24"/>
          <w:szCs w:val="24"/>
        </w:rPr>
        <w:t xml:space="preserve"> </w:t>
      </w:r>
      <w:r w:rsidRPr="00F545A4">
        <w:rPr>
          <w:rFonts w:asciiTheme="majorHAnsi" w:hAnsiTheme="majorHAnsi"/>
          <w:sz w:val="24"/>
          <w:szCs w:val="24"/>
        </w:rPr>
        <w:t>$</w:t>
      </w:r>
      <w:r w:rsidR="00FC4A42">
        <w:rPr>
          <w:rFonts w:asciiTheme="majorHAnsi" w:hAnsiTheme="majorHAnsi"/>
          <w:sz w:val="24"/>
          <w:szCs w:val="24"/>
        </w:rPr>
        <w:t>10</w:t>
      </w:r>
      <w:r w:rsidRPr="00F545A4">
        <w:rPr>
          <w:rFonts w:asciiTheme="majorHAnsi" w:hAnsiTheme="majorHAnsi"/>
          <w:sz w:val="24"/>
          <w:szCs w:val="24"/>
        </w:rPr>
        <w:t xml:space="preserve"> gift card for returning the survey to us. A month after the first mailing, we will follow up with a second mailing </w:t>
      </w:r>
      <w:r w:rsidR="00574D01">
        <w:rPr>
          <w:rFonts w:asciiTheme="majorHAnsi" w:hAnsiTheme="majorHAnsi"/>
          <w:sz w:val="24"/>
          <w:szCs w:val="24"/>
        </w:rPr>
        <w:t xml:space="preserve">to non-responders </w:t>
      </w:r>
      <w:r w:rsidRPr="00F545A4">
        <w:rPr>
          <w:rFonts w:asciiTheme="majorHAnsi" w:hAnsiTheme="majorHAnsi"/>
          <w:sz w:val="24"/>
          <w:szCs w:val="24"/>
        </w:rPr>
        <w:t>that contains a cover letter</w:t>
      </w:r>
      <w:r w:rsidR="00FC4A42">
        <w:rPr>
          <w:rFonts w:asciiTheme="majorHAnsi" w:hAnsiTheme="majorHAnsi"/>
          <w:sz w:val="24"/>
          <w:szCs w:val="24"/>
        </w:rPr>
        <w:t xml:space="preserve"> with instructions. </w:t>
      </w:r>
      <w:r w:rsidRPr="00F545A4">
        <w:rPr>
          <w:rFonts w:asciiTheme="majorHAnsi" w:hAnsiTheme="majorHAnsi"/>
          <w:sz w:val="24"/>
          <w:szCs w:val="24"/>
        </w:rPr>
        <w:t xml:space="preserve">  Again we will enclose a pre-paid, pre-addressed envelope for returning the survey. We believe the survey topic will motivate parents of adolescents with CHDs to respond. We also elected to exclude questions asking for identifiable information in an effort to reduce survey abandonment. New York State Department of Health letterheads will be included on all survey documentation to lend legitimacy to the survey. The envelopes used in mailings will mention the adolescent with a CHD by name to personalize the survey mailing, as will the pre-notification letter, reminder postcard, and the cover letters in the survey mailings. </w:t>
      </w:r>
    </w:p>
    <w:p w14:paraId="10CB4B2D" w14:textId="77777777" w:rsidR="00AE22F7" w:rsidRPr="003A0CD5" w:rsidRDefault="00AE22F7" w:rsidP="00F52BCC">
      <w:pPr>
        <w:pStyle w:val="ListParagraph"/>
        <w:spacing w:after="0"/>
        <w:rPr>
          <w:rFonts w:asciiTheme="majorHAnsi" w:hAnsiTheme="majorHAnsi"/>
          <w:sz w:val="24"/>
          <w:szCs w:val="24"/>
        </w:rPr>
      </w:pPr>
    </w:p>
    <w:p w14:paraId="620FCA13" w14:textId="77777777" w:rsidR="00287E2F" w:rsidRPr="003A0CD5" w:rsidRDefault="00287E2F" w:rsidP="00B12F51">
      <w:pPr>
        <w:pStyle w:val="ListParagraph"/>
        <w:numPr>
          <w:ilvl w:val="0"/>
          <w:numId w:val="3"/>
        </w:numPr>
        <w:spacing w:after="0"/>
        <w:rPr>
          <w:rFonts w:asciiTheme="majorHAnsi" w:hAnsiTheme="majorHAnsi"/>
          <w:b/>
          <w:sz w:val="24"/>
          <w:szCs w:val="24"/>
        </w:rPr>
      </w:pPr>
      <w:r w:rsidRPr="003A0CD5">
        <w:rPr>
          <w:rFonts w:asciiTheme="majorHAnsi" w:hAnsiTheme="majorHAnsi"/>
          <w:b/>
          <w:sz w:val="24"/>
          <w:szCs w:val="24"/>
        </w:rPr>
        <w:t xml:space="preserve">Test of Procedures </w:t>
      </w:r>
      <w:r w:rsidR="00AE22F7" w:rsidRPr="003A0CD5">
        <w:rPr>
          <w:rFonts w:asciiTheme="majorHAnsi" w:hAnsiTheme="majorHAnsi"/>
          <w:b/>
          <w:sz w:val="24"/>
          <w:szCs w:val="24"/>
        </w:rPr>
        <w:t>or Methods to be Undertaken</w:t>
      </w:r>
    </w:p>
    <w:p w14:paraId="2220DEF8" w14:textId="2A3075D2" w:rsidR="003A0CD5" w:rsidRPr="003A0CD5" w:rsidRDefault="003A0CD5" w:rsidP="00F545A4">
      <w:pPr>
        <w:pStyle w:val="xmsolistparagraph"/>
        <w:spacing w:after="0" w:afterAutospacing="0"/>
        <w:ind w:left="360"/>
        <w:rPr>
          <w:rFonts w:asciiTheme="majorHAnsi" w:hAnsiTheme="majorHAnsi" w:cs="Arial"/>
        </w:rPr>
      </w:pPr>
      <w:r w:rsidRPr="003A0CD5">
        <w:rPr>
          <w:rFonts w:asciiTheme="majorHAnsi" w:hAnsiTheme="majorHAnsi" w:cs="Arial"/>
        </w:rPr>
        <w:t xml:space="preserve">The survey instrument and procedures were developed through extensive conversation with experts – clinicians, researchers, and community partners/advocates at both the Emory and New York locations - and include components, such as the Barriers to Care Questionnaire (BCQ), which has been previously validated for adolescents with chronic </w:t>
      </w:r>
      <w:r w:rsidRPr="0014438D">
        <w:rPr>
          <w:rFonts w:asciiTheme="majorHAnsi" w:hAnsiTheme="majorHAnsi" w:cs="Arial"/>
        </w:rPr>
        <w:t>diseases.</w:t>
      </w:r>
      <w:r w:rsidR="00F545A4" w:rsidRPr="0014438D">
        <w:rPr>
          <w:rFonts w:asciiTheme="majorHAnsi" w:hAnsiTheme="majorHAnsi" w:cs="Arial"/>
        </w:rPr>
        <w:t xml:space="preserve"> Given these are previously validated components, we are not planning a pilot test prior to OMB review.</w:t>
      </w:r>
      <w:r w:rsidR="00AE687B">
        <w:rPr>
          <w:rFonts w:asciiTheme="majorHAnsi" w:hAnsiTheme="majorHAnsi" w:cs="Arial"/>
        </w:rPr>
        <w:t xml:space="preserve"> We plan to pilot test the survey with public health professionals and parents simultaneously with OMB review. </w:t>
      </w:r>
      <w:r w:rsidR="00F545A4">
        <w:rPr>
          <w:rFonts w:asciiTheme="majorHAnsi" w:hAnsiTheme="majorHAnsi" w:cs="Arial"/>
        </w:rPr>
        <w:t xml:space="preserve"> </w:t>
      </w:r>
    </w:p>
    <w:p w14:paraId="6FC082FD" w14:textId="40683E0A" w:rsidR="00287E2F" w:rsidRPr="003A0CD5" w:rsidRDefault="00AE22F7" w:rsidP="003A0CD5">
      <w:pPr>
        <w:pStyle w:val="xmsocommenttext"/>
        <w:numPr>
          <w:ilvl w:val="0"/>
          <w:numId w:val="3"/>
        </w:numPr>
        <w:rPr>
          <w:rFonts w:asciiTheme="majorHAnsi" w:hAnsiTheme="majorHAnsi"/>
          <w:b/>
        </w:rPr>
      </w:pPr>
      <w:r w:rsidRPr="003A0CD5">
        <w:rPr>
          <w:rFonts w:asciiTheme="majorHAnsi" w:hAnsiTheme="majorHAnsi"/>
          <w:b/>
        </w:rPr>
        <w:t>Individuals Consulted on Statistical Aspects and Individuals Collecting and/or Analyzing Data</w:t>
      </w:r>
    </w:p>
    <w:p w14:paraId="0F5943BD" w14:textId="264D0E90" w:rsidR="00F545A4" w:rsidRPr="00F545A4" w:rsidRDefault="00F545A4" w:rsidP="00F545A4">
      <w:pPr>
        <w:rPr>
          <w:rFonts w:asciiTheme="majorHAnsi" w:hAnsiTheme="majorHAnsi"/>
          <w:sz w:val="24"/>
          <w:szCs w:val="24"/>
        </w:rPr>
      </w:pPr>
      <w:r w:rsidRPr="00F545A4">
        <w:rPr>
          <w:rFonts w:asciiTheme="majorHAnsi" w:hAnsiTheme="majorHAnsi"/>
          <w:sz w:val="24"/>
          <w:szCs w:val="24"/>
        </w:rPr>
        <w:t>Statistical consult</w:t>
      </w:r>
      <w:r w:rsidR="00F31D72">
        <w:rPr>
          <w:rFonts w:asciiTheme="majorHAnsi" w:hAnsiTheme="majorHAnsi"/>
          <w:sz w:val="24"/>
          <w:szCs w:val="24"/>
        </w:rPr>
        <w:t>ation</w:t>
      </w:r>
      <w:r w:rsidRPr="00F545A4">
        <w:rPr>
          <w:rFonts w:asciiTheme="majorHAnsi" w:hAnsiTheme="majorHAnsi"/>
          <w:sz w:val="24"/>
          <w:szCs w:val="24"/>
        </w:rPr>
        <w:t xml:space="preserve"> was provided by the following individuals currently employed at </w:t>
      </w:r>
      <w:r w:rsidR="00F31D72">
        <w:rPr>
          <w:rFonts w:asciiTheme="majorHAnsi" w:hAnsiTheme="majorHAnsi"/>
          <w:sz w:val="24"/>
          <w:szCs w:val="24"/>
        </w:rPr>
        <w:t>Emory University</w:t>
      </w:r>
      <w:r w:rsidRPr="00F545A4">
        <w:rPr>
          <w:rFonts w:asciiTheme="majorHAnsi" w:hAnsiTheme="majorHAnsi"/>
          <w:sz w:val="24"/>
          <w:szCs w:val="24"/>
        </w:rPr>
        <w:t>.</w:t>
      </w:r>
    </w:p>
    <w:p w14:paraId="4DBAC63C" w14:textId="77777777" w:rsidR="003A0CD5" w:rsidRPr="003A0CD5" w:rsidRDefault="003A0CD5" w:rsidP="00F545A4">
      <w:pPr>
        <w:pStyle w:val="xmsolistparagraph"/>
        <w:spacing w:after="0" w:afterAutospacing="0"/>
        <w:ind w:left="720"/>
        <w:rPr>
          <w:rFonts w:asciiTheme="majorHAnsi" w:hAnsiTheme="majorHAnsi" w:cs="Arial"/>
        </w:rPr>
      </w:pPr>
      <w:r w:rsidRPr="003A0CD5">
        <w:rPr>
          <w:rFonts w:asciiTheme="majorHAnsi" w:hAnsiTheme="majorHAnsi" w:cs="Arial"/>
        </w:rPr>
        <w:t xml:space="preserve">Wendy Book, M.D. </w:t>
      </w:r>
      <w:r w:rsidRPr="003A0CD5">
        <w:rPr>
          <w:rFonts w:asciiTheme="majorHAnsi" w:hAnsiTheme="majorHAnsi"/>
        </w:rPr>
        <w:t xml:space="preserve">404-778-5545; </w:t>
      </w:r>
      <w:hyperlink r:id="rId9" w:history="1">
        <w:r w:rsidRPr="003A0CD5">
          <w:rPr>
            <w:rStyle w:val="Hyperlink"/>
            <w:rFonts w:asciiTheme="majorHAnsi" w:hAnsiTheme="majorHAnsi"/>
          </w:rPr>
          <w:t>wbook@emory.edu</w:t>
        </w:r>
      </w:hyperlink>
    </w:p>
    <w:p w14:paraId="1153C87D" w14:textId="77777777" w:rsidR="003A0CD5" w:rsidRPr="003A0CD5" w:rsidRDefault="003A0CD5" w:rsidP="00F545A4">
      <w:pPr>
        <w:pStyle w:val="xmsolistparagraph"/>
        <w:spacing w:after="0" w:afterAutospacing="0"/>
        <w:ind w:left="1080" w:hanging="360"/>
        <w:rPr>
          <w:rFonts w:asciiTheme="majorHAnsi" w:hAnsiTheme="majorHAnsi" w:cs="Arial"/>
        </w:rPr>
      </w:pPr>
      <w:r w:rsidRPr="003A0CD5">
        <w:rPr>
          <w:rFonts w:asciiTheme="majorHAnsi" w:hAnsiTheme="majorHAnsi" w:cs="Arial"/>
        </w:rPr>
        <w:t xml:space="preserve">Laura Gaydos, PhD 404-727-6554; </w:t>
      </w:r>
      <w:hyperlink r:id="rId10" w:history="1">
        <w:r w:rsidRPr="003A0CD5">
          <w:rPr>
            <w:rStyle w:val="Hyperlink"/>
            <w:rFonts w:asciiTheme="majorHAnsi" w:hAnsiTheme="majorHAnsi" w:cs="Arial"/>
          </w:rPr>
          <w:t>Lgaydos@emory.edu</w:t>
        </w:r>
      </w:hyperlink>
    </w:p>
    <w:p w14:paraId="563F0AF9" w14:textId="77777777" w:rsidR="003A0CD5" w:rsidRPr="003A0CD5" w:rsidRDefault="003A0CD5" w:rsidP="00F545A4">
      <w:pPr>
        <w:pStyle w:val="xmsolistparagraph"/>
        <w:spacing w:after="0" w:afterAutospacing="0"/>
        <w:ind w:left="360" w:firstLine="360"/>
        <w:rPr>
          <w:rFonts w:asciiTheme="majorHAnsi" w:hAnsiTheme="majorHAnsi" w:cs="Arial"/>
        </w:rPr>
      </w:pPr>
      <w:r w:rsidRPr="003A0CD5">
        <w:rPr>
          <w:rFonts w:asciiTheme="majorHAnsi" w:hAnsiTheme="majorHAnsi" w:cs="Arial"/>
        </w:rPr>
        <w:t xml:space="preserve">Hoffman, Trenton </w:t>
      </w:r>
      <w:r w:rsidRPr="003A0CD5">
        <w:rPr>
          <w:rFonts w:asciiTheme="majorHAnsi" w:hAnsiTheme="majorHAnsi"/>
        </w:rPr>
        <w:t xml:space="preserve">404-727-5741; </w:t>
      </w:r>
      <w:hyperlink r:id="rId11" w:history="1">
        <w:r w:rsidRPr="003A0CD5">
          <w:rPr>
            <w:rStyle w:val="Hyperlink"/>
            <w:rFonts w:asciiTheme="majorHAnsi" w:hAnsiTheme="majorHAnsi"/>
          </w:rPr>
          <w:t>trenton.cole.hoffman@emory.edu</w:t>
        </w:r>
      </w:hyperlink>
    </w:p>
    <w:p w14:paraId="4B94C8B3" w14:textId="77777777" w:rsidR="003A0CD5" w:rsidRPr="003A0CD5" w:rsidRDefault="003A0CD5" w:rsidP="00F545A4">
      <w:pPr>
        <w:pStyle w:val="xmsolistparagraph"/>
        <w:spacing w:after="0" w:afterAutospacing="0"/>
        <w:ind w:left="1080" w:hanging="360"/>
        <w:rPr>
          <w:rFonts w:asciiTheme="majorHAnsi" w:hAnsiTheme="majorHAnsi"/>
        </w:rPr>
      </w:pPr>
      <w:r w:rsidRPr="003A0CD5">
        <w:rPr>
          <w:rFonts w:asciiTheme="majorHAnsi" w:hAnsiTheme="majorHAnsi" w:cs="Arial"/>
        </w:rPr>
        <w:t xml:space="preserve">Carol Hogue, PhD, MPH </w:t>
      </w:r>
      <w:r w:rsidRPr="003A0CD5">
        <w:rPr>
          <w:rFonts w:asciiTheme="majorHAnsi" w:hAnsiTheme="majorHAnsi"/>
        </w:rPr>
        <w:t xml:space="preserve">404-727-8736; </w:t>
      </w:r>
      <w:hyperlink r:id="rId12" w:history="1">
        <w:r w:rsidRPr="003A0CD5">
          <w:rPr>
            <w:rStyle w:val="Hyperlink"/>
            <w:rFonts w:asciiTheme="majorHAnsi" w:hAnsiTheme="majorHAnsi"/>
          </w:rPr>
          <w:t>chogue@emory.edu</w:t>
        </w:r>
      </w:hyperlink>
    </w:p>
    <w:p w14:paraId="25E4577E" w14:textId="74F2FC1B" w:rsidR="003A0CD5" w:rsidRPr="003A0CD5" w:rsidRDefault="003A0CD5" w:rsidP="00F545A4">
      <w:pPr>
        <w:pStyle w:val="xmsolistparagraph"/>
        <w:spacing w:after="0" w:afterAutospacing="0"/>
        <w:ind w:left="1080" w:hanging="360"/>
        <w:rPr>
          <w:rFonts w:asciiTheme="majorHAnsi" w:hAnsiTheme="majorHAnsi" w:cs="Arial"/>
        </w:rPr>
      </w:pPr>
      <w:r w:rsidRPr="003A0CD5">
        <w:rPr>
          <w:rFonts w:asciiTheme="majorHAnsi" w:hAnsiTheme="majorHAnsi" w:cs="Arial"/>
        </w:rPr>
        <w:t>Agasha Katarbawa</w:t>
      </w:r>
      <w:r w:rsidR="006B0D5F" w:rsidRPr="003A0CD5">
        <w:rPr>
          <w:rFonts w:asciiTheme="majorHAnsi" w:hAnsiTheme="majorHAnsi" w:cs="Arial"/>
        </w:rPr>
        <w:t>, 404</w:t>
      </w:r>
      <w:r w:rsidRPr="003A0CD5">
        <w:rPr>
          <w:rFonts w:asciiTheme="majorHAnsi" w:hAnsiTheme="majorHAnsi" w:cs="Arial"/>
          <w:color w:val="000000"/>
        </w:rPr>
        <w:t xml:space="preserve">-712-8692 </w:t>
      </w:r>
      <w:hyperlink r:id="rId13" w:history="1">
        <w:r w:rsidRPr="003A0CD5">
          <w:rPr>
            <w:rStyle w:val="Hyperlink"/>
            <w:rFonts w:asciiTheme="majorHAnsi" w:hAnsiTheme="majorHAnsi"/>
          </w:rPr>
          <w:t>akkatab@emory.edu</w:t>
        </w:r>
      </w:hyperlink>
    </w:p>
    <w:p w14:paraId="43FD35CB" w14:textId="77777777" w:rsidR="003A0CD5" w:rsidRPr="003A0CD5" w:rsidRDefault="003A0CD5" w:rsidP="00F545A4">
      <w:pPr>
        <w:pStyle w:val="xmsolistparagraph"/>
        <w:spacing w:after="0" w:afterAutospacing="0"/>
        <w:ind w:left="1080" w:hanging="360"/>
        <w:rPr>
          <w:rFonts w:asciiTheme="majorHAnsi" w:hAnsiTheme="majorHAnsi" w:cs="Arial"/>
        </w:rPr>
      </w:pPr>
      <w:r w:rsidRPr="003A0CD5">
        <w:rPr>
          <w:rFonts w:asciiTheme="majorHAnsi" w:hAnsiTheme="majorHAnsi" w:cs="Arial"/>
        </w:rPr>
        <w:t xml:space="preserve">Cheryl Raskind-Hood, MS, MPH 404-727-9490; </w:t>
      </w:r>
      <w:hyperlink r:id="rId14" w:history="1">
        <w:r w:rsidRPr="003A0CD5">
          <w:rPr>
            <w:rStyle w:val="Hyperlink"/>
            <w:rFonts w:asciiTheme="majorHAnsi" w:hAnsiTheme="majorHAnsi"/>
          </w:rPr>
          <w:t>craskin@emory.edu</w:t>
        </w:r>
      </w:hyperlink>
    </w:p>
    <w:p w14:paraId="66CB4586" w14:textId="77777777" w:rsidR="003F5913" w:rsidRPr="00AE22F7" w:rsidRDefault="003F5913">
      <w:pPr>
        <w:rPr>
          <w:rFonts w:asciiTheme="majorHAnsi" w:hAnsiTheme="majorHAnsi"/>
          <w:b/>
          <w:sz w:val="24"/>
          <w:szCs w:val="24"/>
        </w:rPr>
      </w:pPr>
    </w:p>
    <w:p w14:paraId="2890BBEC" w14:textId="0FF1E5CD" w:rsidR="00F545A4" w:rsidRDefault="00F545A4" w:rsidP="00F545A4">
      <w:pPr>
        <w:rPr>
          <w:rFonts w:asciiTheme="majorHAnsi" w:hAnsiTheme="majorHAnsi"/>
          <w:sz w:val="24"/>
          <w:szCs w:val="24"/>
        </w:rPr>
      </w:pPr>
      <w:r w:rsidRPr="00F545A4">
        <w:rPr>
          <w:rFonts w:asciiTheme="majorHAnsi" w:hAnsiTheme="majorHAnsi"/>
          <w:sz w:val="24"/>
          <w:szCs w:val="24"/>
        </w:rPr>
        <w:t>Statistical consult</w:t>
      </w:r>
      <w:r w:rsidR="00F31D72">
        <w:rPr>
          <w:rFonts w:asciiTheme="majorHAnsi" w:hAnsiTheme="majorHAnsi"/>
          <w:sz w:val="24"/>
          <w:szCs w:val="24"/>
        </w:rPr>
        <w:t>ation</w:t>
      </w:r>
      <w:r w:rsidRPr="00F545A4">
        <w:rPr>
          <w:rFonts w:asciiTheme="majorHAnsi" w:hAnsiTheme="majorHAnsi"/>
          <w:sz w:val="24"/>
          <w:szCs w:val="24"/>
        </w:rPr>
        <w:t xml:space="preserve"> was provided by the following individuals currently employed at the New York State Department of Health.</w:t>
      </w:r>
    </w:p>
    <w:p w14:paraId="2F1BEDA8" w14:textId="0297A9C4" w:rsidR="00F545A4" w:rsidRDefault="00F545A4" w:rsidP="00F545A4">
      <w:pPr>
        <w:ind w:left="720"/>
        <w:rPr>
          <w:rFonts w:asciiTheme="majorHAnsi" w:hAnsiTheme="majorHAnsi"/>
          <w:sz w:val="24"/>
          <w:szCs w:val="24"/>
        </w:rPr>
      </w:pPr>
      <w:r w:rsidRPr="00F545A4">
        <w:rPr>
          <w:rFonts w:asciiTheme="majorHAnsi" w:hAnsiTheme="majorHAnsi"/>
          <w:sz w:val="24"/>
          <w:szCs w:val="24"/>
        </w:rPr>
        <w:t>Tugba Akkaya-Hocagil</w:t>
      </w:r>
      <w:r>
        <w:rPr>
          <w:rFonts w:asciiTheme="majorHAnsi" w:hAnsiTheme="majorHAnsi"/>
          <w:sz w:val="24"/>
          <w:szCs w:val="24"/>
        </w:rPr>
        <w:t xml:space="preserve">, </w:t>
      </w:r>
      <w:r w:rsidRPr="00F545A4">
        <w:rPr>
          <w:rFonts w:asciiTheme="majorHAnsi" w:hAnsiTheme="majorHAnsi"/>
          <w:sz w:val="24"/>
          <w:szCs w:val="24"/>
        </w:rPr>
        <w:t>518-474-7356</w:t>
      </w:r>
      <w:r>
        <w:rPr>
          <w:rFonts w:asciiTheme="majorHAnsi" w:hAnsiTheme="majorHAnsi"/>
          <w:sz w:val="24"/>
          <w:szCs w:val="24"/>
        </w:rPr>
        <w:t xml:space="preserve">; </w:t>
      </w:r>
      <w:hyperlink r:id="rId15" w:history="1">
        <w:r w:rsidRPr="00B257D2">
          <w:rPr>
            <w:rStyle w:val="Hyperlink"/>
            <w:rFonts w:asciiTheme="majorHAnsi" w:hAnsiTheme="majorHAnsi"/>
            <w:sz w:val="24"/>
            <w:szCs w:val="24"/>
          </w:rPr>
          <w:t>Tugba.hocagil@health.ny.gov</w:t>
        </w:r>
      </w:hyperlink>
    </w:p>
    <w:p w14:paraId="424920A9" w14:textId="627B0CBA" w:rsidR="00F545A4" w:rsidRDefault="00F545A4" w:rsidP="00F545A4">
      <w:pPr>
        <w:ind w:left="720"/>
        <w:rPr>
          <w:rFonts w:asciiTheme="majorHAnsi" w:hAnsiTheme="majorHAnsi"/>
          <w:sz w:val="24"/>
          <w:szCs w:val="24"/>
        </w:rPr>
      </w:pPr>
      <w:r w:rsidRPr="00F545A4">
        <w:rPr>
          <w:rFonts w:asciiTheme="majorHAnsi" w:hAnsiTheme="majorHAnsi"/>
          <w:sz w:val="24"/>
          <w:szCs w:val="24"/>
        </w:rPr>
        <w:t>Wan-Hsiang Hsu</w:t>
      </w:r>
      <w:r>
        <w:rPr>
          <w:rFonts w:asciiTheme="majorHAnsi" w:hAnsiTheme="majorHAnsi"/>
          <w:sz w:val="24"/>
          <w:szCs w:val="24"/>
        </w:rPr>
        <w:t xml:space="preserve">, </w:t>
      </w:r>
      <w:r w:rsidRPr="00F545A4">
        <w:rPr>
          <w:rFonts w:asciiTheme="majorHAnsi" w:hAnsiTheme="majorHAnsi"/>
          <w:sz w:val="24"/>
          <w:szCs w:val="24"/>
        </w:rPr>
        <w:t>518-473-7922</w:t>
      </w:r>
      <w:r>
        <w:rPr>
          <w:rFonts w:asciiTheme="majorHAnsi" w:hAnsiTheme="majorHAnsi"/>
          <w:sz w:val="24"/>
          <w:szCs w:val="24"/>
        </w:rPr>
        <w:t xml:space="preserve">; </w:t>
      </w:r>
      <w:hyperlink r:id="rId16" w:history="1">
        <w:r w:rsidRPr="00B257D2">
          <w:rPr>
            <w:rStyle w:val="Hyperlink"/>
            <w:rFonts w:asciiTheme="majorHAnsi" w:hAnsiTheme="majorHAnsi"/>
            <w:sz w:val="24"/>
            <w:szCs w:val="24"/>
          </w:rPr>
          <w:t>Wan-Hsiang.Hsu@health.ny.gov</w:t>
        </w:r>
      </w:hyperlink>
      <w:r>
        <w:rPr>
          <w:rFonts w:asciiTheme="majorHAnsi" w:hAnsiTheme="majorHAnsi"/>
          <w:sz w:val="24"/>
          <w:szCs w:val="24"/>
        </w:rPr>
        <w:t xml:space="preserve"> </w:t>
      </w:r>
    </w:p>
    <w:p w14:paraId="25A43435" w14:textId="2AED519A" w:rsidR="00F545A4" w:rsidRDefault="00F545A4" w:rsidP="00F545A4">
      <w:pPr>
        <w:ind w:left="720"/>
        <w:rPr>
          <w:rFonts w:asciiTheme="majorHAnsi" w:hAnsiTheme="majorHAnsi"/>
          <w:sz w:val="24"/>
          <w:szCs w:val="24"/>
        </w:rPr>
      </w:pPr>
      <w:r w:rsidRPr="00F545A4">
        <w:rPr>
          <w:rFonts w:asciiTheme="majorHAnsi" w:hAnsiTheme="majorHAnsi"/>
          <w:sz w:val="24"/>
          <w:szCs w:val="24"/>
        </w:rPr>
        <w:t>Tabassum Insaf</w:t>
      </w:r>
      <w:r>
        <w:rPr>
          <w:rFonts w:asciiTheme="majorHAnsi" w:hAnsiTheme="majorHAnsi"/>
          <w:sz w:val="24"/>
          <w:szCs w:val="24"/>
        </w:rPr>
        <w:t xml:space="preserve">, </w:t>
      </w:r>
      <w:r w:rsidRPr="00F545A4">
        <w:rPr>
          <w:rFonts w:asciiTheme="majorHAnsi" w:hAnsiTheme="majorHAnsi"/>
          <w:sz w:val="24"/>
          <w:szCs w:val="24"/>
        </w:rPr>
        <w:t>518-402-7950</w:t>
      </w:r>
      <w:r>
        <w:rPr>
          <w:rFonts w:asciiTheme="majorHAnsi" w:hAnsiTheme="majorHAnsi"/>
          <w:sz w:val="24"/>
          <w:szCs w:val="24"/>
        </w:rPr>
        <w:t xml:space="preserve">; </w:t>
      </w:r>
      <w:hyperlink r:id="rId17" w:history="1">
        <w:r w:rsidRPr="00B257D2">
          <w:rPr>
            <w:rStyle w:val="Hyperlink"/>
            <w:rFonts w:asciiTheme="majorHAnsi" w:hAnsiTheme="majorHAnsi"/>
            <w:sz w:val="24"/>
            <w:szCs w:val="24"/>
          </w:rPr>
          <w:t>Tabassum.insaf@health.ny.gov</w:t>
        </w:r>
      </w:hyperlink>
      <w:r>
        <w:rPr>
          <w:rFonts w:asciiTheme="majorHAnsi" w:hAnsiTheme="majorHAnsi"/>
          <w:sz w:val="24"/>
          <w:szCs w:val="24"/>
        </w:rPr>
        <w:t xml:space="preserve"> </w:t>
      </w:r>
    </w:p>
    <w:p w14:paraId="6D603937" w14:textId="1DF3234A" w:rsidR="00F545A4" w:rsidRPr="00F31D72" w:rsidRDefault="00F545A4" w:rsidP="00F545A4">
      <w:pPr>
        <w:ind w:left="720"/>
        <w:rPr>
          <w:rFonts w:asciiTheme="majorHAnsi" w:hAnsiTheme="majorHAnsi"/>
          <w:sz w:val="24"/>
          <w:szCs w:val="24"/>
          <w:lang w:val="nl-NL"/>
        </w:rPr>
      </w:pPr>
      <w:r w:rsidRPr="00F31D72">
        <w:rPr>
          <w:rFonts w:asciiTheme="majorHAnsi" w:hAnsiTheme="majorHAnsi"/>
          <w:sz w:val="24"/>
          <w:szCs w:val="24"/>
          <w:lang w:val="nl-NL"/>
        </w:rPr>
        <w:t xml:space="preserve">Kristin Sommerhalter, 518-402-7985; </w:t>
      </w:r>
      <w:hyperlink r:id="rId18" w:history="1">
        <w:r w:rsidRPr="00F31D72">
          <w:rPr>
            <w:rStyle w:val="Hyperlink"/>
            <w:rFonts w:asciiTheme="majorHAnsi" w:hAnsiTheme="majorHAnsi"/>
            <w:sz w:val="24"/>
            <w:szCs w:val="24"/>
            <w:lang w:val="nl-NL"/>
          </w:rPr>
          <w:t>Kristin.sommerhalter@health.ny.gov</w:t>
        </w:r>
      </w:hyperlink>
      <w:r w:rsidRPr="00F31D72">
        <w:rPr>
          <w:rFonts w:asciiTheme="majorHAnsi" w:hAnsiTheme="majorHAnsi"/>
          <w:sz w:val="24"/>
          <w:szCs w:val="24"/>
          <w:lang w:val="nl-NL"/>
        </w:rPr>
        <w:t xml:space="preserve"> </w:t>
      </w:r>
    </w:p>
    <w:p w14:paraId="04B7784B" w14:textId="0F7DE0A1" w:rsidR="00F545A4" w:rsidRPr="00F545A4" w:rsidRDefault="00F545A4" w:rsidP="00F545A4">
      <w:pPr>
        <w:rPr>
          <w:rFonts w:asciiTheme="majorHAnsi" w:hAnsiTheme="majorHAnsi"/>
          <w:sz w:val="24"/>
          <w:szCs w:val="24"/>
        </w:rPr>
      </w:pPr>
      <w:r w:rsidRPr="00F545A4">
        <w:rPr>
          <w:rFonts w:asciiTheme="majorHAnsi" w:hAnsiTheme="majorHAnsi"/>
          <w:sz w:val="24"/>
          <w:szCs w:val="24"/>
        </w:rPr>
        <w:t xml:space="preserve">The </w:t>
      </w:r>
      <w:r w:rsidR="00C4491F">
        <w:rPr>
          <w:rFonts w:asciiTheme="majorHAnsi" w:hAnsiTheme="majorHAnsi"/>
          <w:sz w:val="24"/>
          <w:szCs w:val="24"/>
        </w:rPr>
        <w:t xml:space="preserve">NYS DOH </w:t>
      </w:r>
      <w:r w:rsidRPr="00F545A4">
        <w:rPr>
          <w:rFonts w:asciiTheme="majorHAnsi" w:hAnsiTheme="majorHAnsi"/>
          <w:sz w:val="24"/>
          <w:szCs w:val="24"/>
        </w:rPr>
        <w:t>Congenital Heart Defects Surveillance Team within the Bureau of Environmental and Occupational Epidemiology at the New York State Department of Health will be responsible for all collection and analysis of survey data. In addition to the individuals mentioned above, data collection and analysis may be performed by:</w:t>
      </w:r>
    </w:p>
    <w:p w14:paraId="0D8E9A1C" w14:textId="26B7312F" w:rsidR="00F545A4" w:rsidRDefault="00F545A4" w:rsidP="00F545A4">
      <w:pPr>
        <w:ind w:left="720"/>
        <w:rPr>
          <w:rFonts w:asciiTheme="majorHAnsi" w:hAnsiTheme="majorHAnsi"/>
          <w:sz w:val="24"/>
          <w:szCs w:val="24"/>
        </w:rPr>
      </w:pPr>
      <w:r>
        <w:rPr>
          <w:rFonts w:asciiTheme="majorHAnsi" w:hAnsiTheme="majorHAnsi"/>
          <w:sz w:val="24"/>
          <w:szCs w:val="24"/>
        </w:rPr>
        <w:t xml:space="preserve">Claire McGarry, 518-402-7765; </w:t>
      </w:r>
      <w:hyperlink r:id="rId19" w:history="1">
        <w:r w:rsidRPr="00B257D2">
          <w:rPr>
            <w:rStyle w:val="Hyperlink"/>
            <w:rFonts w:asciiTheme="majorHAnsi" w:hAnsiTheme="majorHAnsi"/>
            <w:sz w:val="24"/>
            <w:szCs w:val="24"/>
          </w:rPr>
          <w:t>Claire.mcgarry@health.ny.gov</w:t>
        </w:r>
      </w:hyperlink>
    </w:p>
    <w:p w14:paraId="5CE6A1A7" w14:textId="40AE8CD0" w:rsidR="00F545A4" w:rsidRPr="00F545A4" w:rsidRDefault="00F545A4" w:rsidP="00F545A4">
      <w:pPr>
        <w:ind w:left="720"/>
        <w:rPr>
          <w:rFonts w:asciiTheme="majorHAnsi" w:hAnsiTheme="majorHAnsi"/>
          <w:sz w:val="24"/>
          <w:szCs w:val="24"/>
        </w:rPr>
      </w:pPr>
      <w:r>
        <w:rPr>
          <w:rFonts w:asciiTheme="majorHAnsi" w:hAnsiTheme="majorHAnsi"/>
          <w:sz w:val="24"/>
          <w:szCs w:val="24"/>
        </w:rPr>
        <w:t xml:space="preserve">Erin Dauerer, 518-402-7950; </w:t>
      </w:r>
      <w:hyperlink r:id="rId20" w:history="1">
        <w:r w:rsidRPr="00B257D2">
          <w:rPr>
            <w:rStyle w:val="Hyperlink"/>
            <w:rFonts w:asciiTheme="majorHAnsi" w:hAnsiTheme="majorHAnsi"/>
            <w:sz w:val="24"/>
            <w:szCs w:val="24"/>
          </w:rPr>
          <w:t>erin.dauerer@health.ny.gov</w:t>
        </w:r>
      </w:hyperlink>
      <w:r>
        <w:rPr>
          <w:rFonts w:asciiTheme="majorHAnsi" w:hAnsiTheme="majorHAnsi"/>
          <w:sz w:val="24"/>
          <w:szCs w:val="24"/>
        </w:rPr>
        <w:t xml:space="preserve"> </w:t>
      </w:r>
    </w:p>
    <w:sectPr w:rsidR="00F545A4" w:rsidRPr="00F545A4" w:rsidSect="003E5D57">
      <w:headerReference w:type="default" r:id="rId21"/>
      <w:footerReference w:type="defaul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A026A" w14:textId="77777777" w:rsidR="00E300A0" w:rsidRDefault="00E300A0" w:rsidP="00716F94">
      <w:pPr>
        <w:spacing w:after="0" w:line="240" w:lineRule="auto"/>
      </w:pPr>
      <w:r>
        <w:separator/>
      </w:r>
    </w:p>
  </w:endnote>
  <w:endnote w:type="continuationSeparator" w:id="0">
    <w:p w14:paraId="6EF4FA9F" w14:textId="77777777" w:rsidR="00E300A0" w:rsidRDefault="00E300A0" w:rsidP="00716F94">
      <w:pPr>
        <w:spacing w:after="0" w:line="240" w:lineRule="auto"/>
      </w:pPr>
      <w:r>
        <w:continuationSeparator/>
      </w:r>
    </w:p>
  </w:endnote>
  <w:endnote w:id="1">
    <w:p w14:paraId="36C308B5" w14:textId="77777777" w:rsidR="00E300A0" w:rsidRPr="003A0CD5" w:rsidRDefault="00E300A0" w:rsidP="003B1C80">
      <w:pPr>
        <w:pStyle w:val="EndnoteText"/>
      </w:pPr>
      <w:r w:rsidRPr="003A0CD5">
        <w:rPr>
          <w:rStyle w:val="EndnoteReference"/>
        </w:rPr>
        <w:endnoteRef/>
      </w:r>
      <w:r w:rsidRPr="003A0CD5">
        <w:t xml:space="preserve"> Bulkley J, Stoneburner A, Leo M, Clark A, Beadle K, Vesco KK. Design, implementation, and response rates from an online patient survey to assess genitourinary symptoms and related health care experiences of postmenopausal women. J Patient Cent Res Rev. 2016;3:225.</w:t>
      </w:r>
    </w:p>
  </w:endnote>
  <w:endnote w:id="2">
    <w:p w14:paraId="7331E736" w14:textId="77777777" w:rsidR="00E300A0" w:rsidRPr="003A0CD5" w:rsidRDefault="00E300A0" w:rsidP="003B1C80">
      <w:pPr>
        <w:rPr>
          <w:rFonts w:ascii="Times New Roman" w:eastAsia="Times New Roman" w:hAnsi="Times New Roman" w:cs="Times New Roman"/>
          <w:sz w:val="24"/>
          <w:szCs w:val="24"/>
        </w:rPr>
      </w:pPr>
      <w:r w:rsidRPr="003A0CD5">
        <w:rPr>
          <w:rStyle w:val="EndnoteReference"/>
          <w:sz w:val="20"/>
          <w:szCs w:val="20"/>
        </w:rPr>
        <w:endnoteRef/>
      </w:r>
      <w:r w:rsidRPr="003A0CD5">
        <w:rPr>
          <w:sz w:val="20"/>
          <w:szCs w:val="20"/>
        </w:rPr>
        <w:t xml:space="preserve"> </w:t>
      </w:r>
      <w:r w:rsidRPr="003A0CD5">
        <w:rPr>
          <w:rFonts w:eastAsia="Times New Roman" w:cs="Times New Roman"/>
          <w:sz w:val="20"/>
          <w:szCs w:val="20"/>
        </w:rPr>
        <w:t xml:space="preserve">Horevoorts NJ, Vissers PA, Mols F, Thong MS, van de Poll-Franse LV. Response Rates for Patient-Reported Outcomes Using Web-Based Versus Paper Questionnaires: Comparison of Two Invitational Methods in Older Colorectal Cancer Patients. Eysenbach G, ed. </w:t>
      </w:r>
      <w:r w:rsidRPr="003A0CD5">
        <w:rPr>
          <w:rFonts w:eastAsia="Times New Roman" w:cs="Times New Roman"/>
          <w:i/>
          <w:iCs/>
          <w:sz w:val="20"/>
          <w:szCs w:val="20"/>
        </w:rPr>
        <w:t>Journal of Medical Internet Research</w:t>
      </w:r>
      <w:r w:rsidRPr="003A0CD5">
        <w:rPr>
          <w:rFonts w:eastAsia="Times New Roman" w:cs="Times New Roman"/>
          <w:sz w:val="20"/>
          <w:szCs w:val="20"/>
        </w:rPr>
        <w:t>. 2015;17(5):e111. doi:10.2196/jmir.3741.</w:t>
      </w:r>
    </w:p>
  </w:endnote>
  <w:endnote w:id="3">
    <w:p w14:paraId="5C7FEC31" w14:textId="77777777" w:rsidR="00E300A0" w:rsidRPr="003A0CD5" w:rsidRDefault="00E300A0" w:rsidP="003B1C80">
      <w:pPr>
        <w:pStyle w:val="Heading2"/>
        <w:rPr>
          <w:rFonts w:asciiTheme="minorHAnsi" w:hAnsiTheme="minorHAnsi"/>
          <w:b w:val="0"/>
          <w:color w:val="auto"/>
          <w:sz w:val="20"/>
          <w:szCs w:val="20"/>
        </w:rPr>
      </w:pPr>
      <w:r w:rsidRPr="003A0CD5">
        <w:rPr>
          <w:rStyle w:val="EndnoteReference"/>
          <w:rFonts w:asciiTheme="minorHAnsi" w:hAnsiTheme="minorHAnsi"/>
          <w:b w:val="0"/>
          <w:color w:val="auto"/>
          <w:sz w:val="20"/>
          <w:szCs w:val="20"/>
        </w:rPr>
        <w:endnoteRef/>
      </w:r>
      <w:r w:rsidRPr="003A0CD5">
        <w:rPr>
          <w:rFonts w:asciiTheme="minorHAnsi" w:hAnsiTheme="minorHAnsi"/>
          <w:b w:val="0"/>
          <w:color w:val="auto"/>
          <w:sz w:val="20"/>
          <w:szCs w:val="20"/>
        </w:rPr>
        <w:t xml:space="preserve"> Kosinski L, et al. P-208 Project Sonar: Improvement in Patient Engagement Rates Using a Mobile Application Platform. Inflammatory Bowel Diseases. 22. March 2016. </w:t>
      </w:r>
    </w:p>
    <w:p w14:paraId="3294EB18" w14:textId="77777777" w:rsidR="00E300A0" w:rsidRPr="007E34A5" w:rsidRDefault="00E300A0" w:rsidP="003B1C80">
      <w:pPr>
        <w:pStyle w:val="Heading3"/>
      </w:pPr>
    </w:p>
    <w:p w14:paraId="160BC2A6" w14:textId="77777777" w:rsidR="00E300A0" w:rsidRDefault="00E300A0" w:rsidP="003B1C8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226452"/>
      <w:docPartObj>
        <w:docPartGallery w:val="Page Numbers (Bottom of Page)"/>
        <w:docPartUnique/>
      </w:docPartObj>
    </w:sdtPr>
    <w:sdtEndPr>
      <w:rPr>
        <w:noProof/>
      </w:rPr>
    </w:sdtEndPr>
    <w:sdtContent>
      <w:p w14:paraId="33087A56" w14:textId="1DE1196F" w:rsidR="00E300A0" w:rsidRDefault="00E300A0">
        <w:pPr>
          <w:pStyle w:val="Footer"/>
          <w:jc w:val="right"/>
        </w:pPr>
        <w:r>
          <w:fldChar w:fldCharType="begin"/>
        </w:r>
        <w:r>
          <w:instrText xml:space="preserve"> PAGE   \* MERGEFORMAT </w:instrText>
        </w:r>
        <w:r>
          <w:fldChar w:fldCharType="separate"/>
        </w:r>
        <w:r w:rsidR="00783F0F">
          <w:rPr>
            <w:noProof/>
          </w:rPr>
          <w:t>8</w:t>
        </w:r>
        <w:r>
          <w:rPr>
            <w:noProof/>
          </w:rPr>
          <w:fldChar w:fldCharType="end"/>
        </w:r>
      </w:p>
    </w:sdtContent>
  </w:sdt>
  <w:p w14:paraId="307CB336" w14:textId="77777777" w:rsidR="00E300A0" w:rsidRDefault="00E30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391D1" w14:textId="77777777" w:rsidR="00E300A0" w:rsidRDefault="00E300A0" w:rsidP="00716F94">
      <w:pPr>
        <w:spacing w:after="0" w:line="240" w:lineRule="auto"/>
      </w:pPr>
      <w:r>
        <w:separator/>
      </w:r>
    </w:p>
  </w:footnote>
  <w:footnote w:type="continuationSeparator" w:id="0">
    <w:p w14:paraId="5D530D75" w14:textId="77777777" w:rsidR="00E300A0" w:rsidRDefault="00E300A0"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864FF" w14:textId="77777777" w:rsidR="00E300A0" w:rsidRPr="00716F94" w:rsidRDefault="00E300A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58272228"/>
    <w:multiLevelType w:val="hybridMultilevel"/>
    <w:tmpl w:val="85AA4D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091EA1"/>
    <w:multiLevelType w:val="hybridMultilevel"/>
    <w:tmpl w:val="6E787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802DF"/>
    <w:multiLevelType w:val="hybridMultilevel"/>
    <w:tmpl w:val="8B9A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21"/>
  </w:num>
  <w:num w:numId="4">
    <w:abstractNumId w:val="10"/>
  </w:num>
  <w:num w:numId="5">
    <w:abstractNumId w:val="14"/>
  </w:num>
  <w:num w:numId="6">
    <w:abstractNumId w:val="7"/>
  </w:num>
  <w:num w:numId="7">
    <w:abstractNumId w:val="0"/>
  </w:num>
  <w:num w:numId="8">
    <w:abstractNumId w:val="5"/>
  </w:num>
  <w:num w:numId="9">
    <w:abstractNumId w:val="9"/>
  </w:num>
  <w:num w:numId="10">
    <w:abstractNumId w:val="16"/>
  </w:num>
  <w:num w:numId="11">
    <w:abstractNumId w:val="2"/>
  </w:num>
  <w:num w:numId="12">
    <w:abstractNumId w:val="20"/>
  </w:num>
  <w:num w:numId="13">
    <w:abstractNumId w:val="6"/>
  </w:num>
  <w:num w:numId="14">
    <w:abstractNumId w:val="3"/>
  </w:num>
  <w:num w:numId="15">
    <w:abstractNumId w:val="18"/>
  </w:num>
  <w:num w:numId="16">
    <w:abstractNumId w:val="22"/>
  </w:num>
  <w:num w:numId="17">
    <w:abstractNumId w:val="8"/>
  </w:num>
  <w:num w:numId="18">
    <w:abstractNumId w:val="11"/>
  </w:num>
  <w:num w:numId="19">
    <w:abstractNumId w:val="4"/>
  </w:num>
  <w:num w:numId="20">
    <w:abstractNumId w:val="12"/>
  </w:num>
  <w:num w:numId="21">
    <w:abstractNumId w:val="15"/>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F8D"/>
    <w:rsid w:val="000130B4"/>
    <w:rsid w:val="00014361"/>
    <w:rsid w:val="000474FB"/>
    <w:rsid w:val="00053A92"/>
    <w:rsid w:val="0005605E"/>
    <w:rsid w:val="00057F36"/>
    <w:rsid w:val="00070C82"/>
    <w:rsid w:val="000A1F30"/>
    <w:rsid w:val="000A2927"/>
    <w:rsid w:val="000D5E9D"/>
    <w:rsid w:val="000E6577"/>
    <w:rsid w:val="000E7A19"/>
    <w:rsid w:val="00103882"/>
    <w:rsid w:val="00104A1B"/>
    <w:rsid w:val="001177DD"/>
    <w:rsid w:val="001308EB"/>
    <w:rsid w:val="001412D4"/>
    <w:rsid w:val="0014438D"/>
    <w:rsid w:val="00144F64"/>
    <w:rsid w:val="00151567"/>
    <w:rsid w:val="00163E17"/>
    <w:rsid w:val="00166F9E"/>
    <w:rsid w:val="00187D5A"/>
    <w:rsid w:val="001972D7"/>
    <w:rsid w:val="001A28F6"/>
    <w:rsid w:val="001B2831"/>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A1948"/>
    <w:rsid w:val="002C0877"/>
    <w:rsid w:val="002C2AE2"/>
    <w:rsid w:val="002C6871"/>
    <w:rsid w:val="002D0DCE"/>
    <w:rsid w:val="002E2B10"/>
    <w:rsid w:val="002F1502"/>
    <w:rsid w:val="002F169D"/>
    <w:rsid w:val="002F2069"/>
    <w:rsid w:val="002F6F92"/>
    <w:rsid w:val="003041AD"/>
    <w:rsid w:val="0031279F"/>
    <w:rsid w:val="00336D96"/>
    <w:rsid w:val="00344F07"/>
    <w:rsid w:val="003469C8"/>
    <w:rsid w:val="00355EA4"/>
    <w:rsid w:val="003635BE"/>
    <w:rsid w:val="00366B5E"/>
    <w:rsid w:val="00372844"/>
    <w:rsid w:val="003A0CD5"/>
    <w:rsid w:val="003B1C80"/>
    <w:rsid w:val="003C31C9"/>
    <w:rsid w:val="003C4961"/>
    <w:rsid w:val="003C7C5D"/>
    <w:rsid w:val="003D0AD2"/>
    <w:rsid w:val="003E4E7D"/>
    <w:rsid w:val="003E5D57"/>
    <w:rsid w:val="003F5913"/>
    <w:rsid w:val="004024F8"/>
    <w:rsid w:val="0041159A"/>
    <w:rsid w:val="004305A8"/>
    <w:rsid w:val="00443CA0"/>
    <w:rsid w:val="00450E14"/>
    <w:rsid w:val="00462C65"/>
    <w:rsid w:val="00467B14"/>
    <w:rsid w:val="00472720"/>
    <w:rsid w:val="00474EDA"/>
    <w:rsid w:val="0047536D"/>
    <w:rsid w:val="004824FA"/>
    <w:rsid w:val="00484011"/>
    <w:rsid w:val="004841F1"/>
    <w:rsid w:val="00486659"/>
    <w:rsid w:val="004A1E3A"/>
    <w:rsid w:val="004C4AEA"/>
    <w:rsid w:val="004E003C"/>
    <w:rsid w:val="004E16EB"/>
    <w:rsid w:val="004E6665"/>
    <w:rsid w:val="004F634E"/>
    <w:rsid w:val="004F67A8"/>
    <w:rsid w:val="005107C3"/>
    <w:rsid w:val="00522A50"/>
    <w:rsid w:val="00527225"/>
    <w:rsid w:val="0053557D"/>
    <w:rsid w:val="005463DE"/>
    <w:rsid w:val="00546DC2"/>
    <w:rsid w:val="005542E8"/>
    <w:rsid w:val="00556630"/>
    <w:rsid w:val="0055686D"/>
    <w:rsid w:val="00573184"/>
    <w:rsid w:val="00574D01"/>
    <w:rsid w:val="005800EE"/>
    <w:rsid w:val="005869D6"/>
    <w:rsid w:val="005A33F6"/>
    <w:rsid w:val="005A59E5"/>
    <w:rsid w:val="005B7440"/>
    <w:rsid w:val="005C6E9D"/>
    <w:rsid w:val="005E2150"/>
    <w:rsid w:val="005E2995"/>
    <w:rsid w:val="005F3FEF"/>
    <w:rsid w:val="00601392"/>
    <w:rsid w:val="00607F7C"/>
    <w:rsid w:val="006102DA"/>
    <w:rsid w:val="00613F49"/>
    <w:rsid w:val="00621F93"/>
    <w:rsid w:val="006301A0"/>
    <w:rsid w:val="006315A3"/>
    <w:rsid w:val="00637CC1"/>
    <w:rsid w:val="006579A2"/>
    <w:rsid w:val="00667C89"/>
    <w:rsid w:val="006711EE"/>
    <w:rsid w:val="006809BB"/>
    <w:rsid w:val="006809FD"/>
    <w:rsid w:val="00691D1F"/>
    <w:rsid w:val="00697BAE"/>
    <w:rsid w:val="006B0D5F"/>
    <w:rsid w:val="006B4DDC"/>
    <w:rsid w:val="006B5E55"/>
    <w:rsid w:val="006D25A1"/>
    <w:rsid w:val="006F6856"/>
    <w:rsid w:val="007145D0"/>
    <w:rsid w:val="00716F94"/>
    <w:rsid w:val="00721F95"/>
    <w:rsid w:val="00760E12"/>
    <w:rsid w:val="00763CF3"/>
    <w:rsid w:val="00772293"/>
    <w:rsid w:val="00783C75"/>
    <w:rsid w:val="00783F0F"/>
    <w:rsid w:val="00784619"/>
    <w:rsid w:val="0078627B"/>
    <w:rsid w:val="00794E32"/>
    <w:rsid w:val="007B305A"/>
    <w:rsid w:val="007E0B3D"/>
    <w:rsid w:val="00800993"/>
    <w:rsid w:val="00815C7D"/>
    <w:rsid w:val="00817941"/>
    <w:rsid w:val="008261AB"/>
    <w:rsid w:val="00835CA7"/>
    <w:rsid w:val="008370D4"/>
    <w:rsid w:val="008414AD"/>
    <w:rsid w:val="008428D9"/>
    <w:rsid w:val="00884DB9"/>
    <w:rsid w:val="0089676F"/>
    <w:rsid w:val="008C504A"/>
    <w:rsid w:val="008C67D2"/>
    <w:rsid w:val="008E0683"/>
    <w:rsid w:val="00902DD9"/>
    <w:rsid w:val="00911486"/>
    <w:rsid w:val="009129CA"/>
    <w:rsid w:val="009206B6"/>
    <w:rsid w:val="00923DE6"/>
    <w:rsid w:val="009263C1"/>
    <w:rsid w:val="00931C02"/>
    <w:rsid w:val="00941B4F"/>
    <w:rsid w:val="00957876"/>
    <w:rsid w:val="00963CE3"/>
    <w:rsid w:val="00964F18"/>
    <w:rsid w:val="00973C20"/>
    <w:rsid w:val="00974424"/>
    <w:rsid w:val="00987F76"/>
    <w:rsid w:val="00993088"/>
    <w:rsid w:val="0099664F"/>
    <w:rsid w:val="00997D5D"/>
    <w:rsid w:val="009A0447"/>
    <w:rsid w:val="009B034F"/>
    <w:rsid w:val="009B4A51"/>
    <w:rsid w:val="009C28B1"/>
    <w:rsid w:val="009C61AD"/>
    <w:rsid w:val="009D373D"/>
    <w:rsid w:val="009E1D05"/>
    <w:rsid w:val="00A11B0C"/>
    <w:rsid w:val="00A305CE"/>
    <w:rsid w:val="00A33B35"/>
    <w:rsid w:val="00A36419"/>
    <w:rsid w:val="00A578C2"/>
    <w:rsid w:val="00A72652"/>
    <w:rsid w:val="00A75D1C"/>
    <w:rsid w:val="00A809AA"/>
    <w:rsid w:val="00A849B3"/>
    <w:rsid w:val="00A8510D"/>
    <w:rsid w:val="00A86AF3"/>
    <w:rsid w:val="00A90BDC"/>
    <w:rsid w:val="00A95477"/>
    <w:rsid w:val="00A975A9"/>
    <w:rsid w:val="00AA3192"/>
    <w:rsid w:val="00AB3608"/>
    <w:rsid w:val="00AB3B9A"/>
    <w:rsid w:val="00AC5C48"/>
    <w:rsid w:val="00AE22F7"/>
    <w:rsid w:val="00AE687B"/>
    <w:rsid w:val="00AF0CF4"/>
    <w:rsid w:val="00AF2252"/>
    <w:rsid w:val="00B1129F"/>
    <w:rsid w:val="00B11D61"/>
    <w:rsid w:val="00B12F51"/>
    <w:rsid w:val="00B26EB5"/>
    <w:rsid w:val="00B2751E"/>
    <w:rsid w:val="00B3650C"/>
    <w:rsid w:val="00B64BFA"/>
    <w:rsid w:val="00B85DE4"/>
    <w:rsid w:val="00B91A31"/>
    <w:rsid w:val="00B96FDA"/>
    <w:rsid w:val="00BA6DB4"/>
    <w:rsid w:val="00BC3F3C"/>
    <w:rsid w:val="00BC5BB2"/>
    <w:rsid w:val="00BF3F54"/>
    <w:rsid w:val="00C00697"/>
    <w:rsid w:val="00C0376C"/>
    <w:rsid w:val="00C06D77"/>
    <w:rsid w:val="00C14BA6"/>
    <w:rsid w:val="00C347E7"/>
    <w:rsid w:val="00C3485C"/>
    <w:rsid w:val="00C4491F"/>
    <w:rsid w:val="00CA2004"/>
    <w:rsid w:val="00CB334D"/>
    <w:rsid w:val="00CB56D5"/>
    <w:rsid w:val="00CD0771"/>
    <w:rsid w:val="00CD1EA8"/>
    <w:rsid w:val="00CF169A"/>
    <w:rsid w:val="00CF5ABD"/>
    <w:rsid w:val="00CF63CE"/>
    <w:rsid w:val="00D067C1"/>
    <w:rsid w:val="00D13B13"/>
    <w:rsid w:val="00D16E78"/>
    <w:rsid w:val="00D201D3"/>
    <w:rsid w:val="00D26A64"/>
    <w:rsid w:val="00D4221A"/>
    <w:rsid w:val="00D52B9A"/>
    <w:rsid w:val="00D5367E"/>
    <w:rsid w:val="00D7285C"/>
    <w:rsid w:val="00D861ED"/>
    <w:rsid w:val="00D873E0"/>
    <w:rsid w:val="00D94F8B"/>
    <w:rsid w:val="00DA4EA9"/>
    <w:rsid w:val="00DA5988"/>
    <w:rsid w:val="00DC317C"/>
    <w:rsid w:val="00DC4FF2"/>
    <w:rsid w:val="00DC79CC"/>
    <w:rsid w:val="00E01017"/>
    <w:rsid w:val="00E134F4"/>
    <w:rsid w:val="00E13B85"/>
    <w:rsid w:val="00E23568"/>
    <w:rsid w:val="00E245B5"/>
    <w:rsid w:val="00E24C20"/>
    <w:rsid w:val="00E300A0"/>
    <w:rsid w:val="00E33041"/>
    <w:rsid w:val="00E33E1B"/>
    <w:rsid w:val="00E34D3E"/>
    <w:rsid w:val="00E81C5E"/>
    <w:rsid w:val="00E83B3C"/>
    <w:rsid w:val="00E8736B"/>
    <w:rsid w:val="00E90275"/>
    <w:rsid w:val="00E925D4"/>
    <w:rsid w:val="00E96881"/>
    <w:rsid w:val="00E97226"/>
    <w:rsid w:val="00EA6488"/>
    <w:rsid w:val="00EB63B3"/>
    <w:rsid w:val="00ED6878"/>
    <w:rsid w:val="00EF0EC8"/>
    <w:rsid w:val="00EF33CD"/>
    <w:rsid w:val="00F300CB"/>
    <w:rsid w:val="00F31D72"/>
    <w:rsid w:val="00F42C3A"/>
    <w:rsid w:val="00F52BCC"/>
    <w:rsid w:val="00F5313F"/>
    <w:rsid w:val="00F545A4"/>
    <w:rsid w:val="00F57581"/>
    <w:rsid w:val="00F725B5"/>
    <w:rsid w:val="00F81A48"/>
    <w:rsid w:val="00FC4A42"/>
    <w:rsid w:val="00FD17C9"/>
    <w:rsid w:val="00FD1EF0"/>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3BB0"/>
  <w15:docId w15:val="{5A12F1D1-0A09-4300-9361-47DFD59A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3B1C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Revision">
    <w:name w:val="Revision"/>
    <w:hidden/>
    <w:uiPriority w:val="99"/>
    <w:semiHidden/>
    <w:rsid w:val="00AE22F7"/>
    <w:pPr>
      <w:spacing w:after="0" w:line="240" w:lineRule="auto"/>
    </w:pPr>
  </w:style>
  <w:style w:type="character" w:customStyle="1" w:styleId="Heading3Char">
    <w:name w:val="Heading 3 Char"/>
    <w:basedOn w:val="DefaultParagraphFont"/>
    <w:link w:val="Heading3"/>
    <w:uiPriority w:val="9"/>
    <w:semiHidden/>
    <w:rsid w:val="003B1C80"/>
    <w:rPr>
      <w:rFonts w:asciiTheme="majorHAnsi" w:eastAsiaTheme="majorEastAsia" w:hAnsiTheme="majorHAnsi" w:cstheme="majorBidi"/>
      <w:color w:val="243F60" w:themeColor="accent1" w:themeShade="7F"/>
      <w:sz w:val="24"/>
      <w:szCs w:val="24"/>
    </w:rPr>
  </w:style>
  <w:style w:type="paragraph" w:customStyle="1" w:styleId="xmsolistparagraph">
    <w:name w:val="x_msolistparagraph"/>
    <w:basedOn w:val="Normal"/>
    <w:rsid w:val="003B1C8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B1C8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3B1C80"/>
    <w:rPr>
      <w:rFonts w:eastAsiaTheme="minorHAnsi"/>
      <w:sz w:val="20"/>
      <w:szCs w:val="20"/>
    </w:rPr>
  </w:style>
  <w:style w:type="character" w:styleId="EndnoteReference">
    <w:name w:val="endnote reference"/>
    <w:basedOn w:val="DefaultParagraphFont"/>
    <w:uiPriority w:val="99"/>
    <w:semiHidden/>
    <w:unhideWhenUsed/>
    <w:rsid w:val="003B1C80"/>
    <w:rPr>
      <w:vertAlign w:val="superscript"/>
    </w:rPr>
  </w:style>
  <w:style w:type="paragraph" w:customStyle="1" w:styleId="xmsocommenttext">
    <w:name w:val="x_msocommenttext"/>
    <w:basedOn w:val="Normal"/>
    <w:rsid w:val="003A0C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0C8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yp0@cdc.gov" TargetMode="External"/><Relationship Id="rId13" Type="http://schemas.openxmlformats.org/officeDocument/2006/relationships/hyperlink" Target="mailto:akkatab@emory.edu" TargetMode="External"/><Relationship Id="rId18" Type="http://schemas.openxmlformats.org/officeDocument/2006/relationships/hyperlink" Target="mailto:Kristin.sommerhalter@health.ny.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hogue@emory.edu" TargetMode="External"/><Relationship Id="rId17" Type="http://schemas.openxmlformats.org/officeDocument/2006/relationships/hyperlink" Target="mailto:Tabassum.insaf@health.ny.gov" TargetMode="External"/><Relationship Id="rId2" Type="http://schemas.openxmlformats.org/officeDocument/2006/relationships/numbering" Target="numbering.xml"/><Relationship Id="rId16" Type="http://schemas.openxmlformats.org/officeDocument/2006/relationships/hyperlink" Target="mailto:Wan-Hsiang.Hsu@health.ny.gov" TargetMode="External"/><Relationship Id="rId20" Type="http://schemas.openxmlformats.org/officeDocument/2006/relationships/hyperlink" Target="mailto:erin.dauerer@health.ny.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nton.cole.hoffman@emory.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ugba.hocagil@health.ny.gov" TargetMode="External"/><Relationship Id="rId23" Type="http://schemas.openxmlformats.org/officeDocument/2006/relationships/fontTable" Target="fontTable.xml"/><Relationship Id="rId10" Type="http://schemas.openxmlformats.org/officeDocument/2006/relationships/hyperlink" Target="mailto:Lgaydos@emory.edu" TargetMode="External"/><Relationship Id="rId19" Type="http://schemas.openxmlformats.org/officeDocument/2006/relationships/hyperlink" Target="mailto:Claire.mcgarry@health.ny.gov" TargetMode="External"/><Relationship Id="rId4" Type="http://schemas.openxmlformats.org/officeDocument/2006/relationships/settings" Target="settings.xml"/><Relationship Id="rId9" Type="http://schemas.openxmlformats.org/officeDocument/2006/relationships/hyperlink" Target="mailto:wbook@emory.edu" TargetMode="External"/><Relationship Id="rId14" Type="http://schemas.openxmlformats.org/officeDocument/2006/relationships/hyperlink" Target="mailto:craskin@emory.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7EAE-C901-431B-8161-2EB7E677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Steinberg, Shari (CDC/OD/OADS)</cp:lastModifiedBy>
  <cp:revision>3</cp:revision>
  <cp:lastPrinted>2011-06-07T15:53:00Z</cp:lastPrinted>
  <dcterms:created xsi:type="dcterms:W3CDTF">2017-04-12T17:47:00Z</dcterms:created>
  <dcterms:modified xsi:type="dcterms:W3CDTF">2017-04-13T14:09:00Z</dcterms:modified>
</cp:coreProperties>
</file>