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917ED" w14:textId="77777777" w:rsidR="00587E8F" w:rsidRDefault="00587E8F" w:rsidP="00587E8F">
      <w:bookmarkStart w:id="0" w:name="_Toc473880015"/>
      <w:bookmarkStart w:id="1" w:name="_GoBack"/>
      <w:bookmarkEnd w:id="1"/>
    </w:p>
    <w:p w14:paraId="11D790C7" w14:textId="77777777" w:rsidR="00587E8F" w:rsidRDefault="00587E8F" w:rsidP="00587E8F">
      <w:pPr>
        <w:jc w:val="center"/>
        <w:rPr>
          <w:b/>
        </w:rPr>
      </w:pPr>
    </w:p>
    <w:p w14:paraId="15D9E62F" w14:textId="77777777" w:rsidR="00587E8F" w:rsidRPr="005F75B7" w:rsidRDefault="00587E8F" w:rsidP="00587E8F">
      <w:pPr>
        <w:spacing w:after="0"/>
        <w:jc w:val="center"/>
        <w:rPr>
          <w:b/>
          <w:sz w:val="32"/>
          <w:szCs w:val="32"/>
        </w:rPr>
      </w:pPr>
      <w:r w:rsidRPr="005F75B7">
        <w:rPr>
          <w:b/>
          <w:sz w:val="32"/>
          <w:szCs w:val="32"/>
        </w:rPr>
        <w:t>GenIC Clearance for CDC/ATSDR</w:t>
      </w:r>
    </w:p>
    <w:p w14:paraId="636052EB" w14:textId="77777777" w:rsidR="00587E8F" w:rsidRPr="005F75B7" w:rsidRDefault="00587E8F" w:rsidP="00587E8F">
      <w:pPr>
        <w:jc w:val="center"/>
        <w:rPr>
          <w:b/>
          <w:sz w:val="32"/>
          <w:szCs w:val="32"/>
        </w:rPr>
      </w:pPr>
      <w:r w:rsidRPr="005F75B7">
        <w:rPr>
          <w:b/>
          <w:sz w:val="32"/>
          <w:szCs w:val="32"/>
        </w:rPr>
        <w:t>Formative Research and Tool Development</w:t>
      </w:r>
    </w:p>
    <w:p w14:paraId="0159E3E8" w14:textId="77777777" w:rsidR="00587E8F" w:rsidRDefault="00587E8F" w:rsidP="00587E8F"/>
    <w:bookmarkEnd w:id="0"/>
    <w:p w14:paraId="4F6A8397" w14:textId="17E79319" w:rsidR="00587E8F" w:rsidRDefault="00122A95" w:rsidP="00587E8F">
      <w:pPr>
        <w:spacing w:after="0" w:line="240" w:lineRule="auto"/>
        <w:jc w:val="center"/>
        <w:rPr>
          <w:b/>
        </w:rPr>
      </w:pPr>
      <w:r w:rsidRPr="00122A95">
        <w:rPr>
          <w:b/>
          <w:sz w:val="48"/>
          <w:szCs w:val="48"/>
        </w:rPr>
        <w:t>Focus Group Study of U.S. Adults’ Knowledge, Attitudes, and Practices of Foodborne Disease Outbreaks and Illness Prevention</w:t>
      </w:r>
    </w:p>
    <w:p w14:paraId="444716CA" w14:textId="77777777" w:rsidR="00587E8F" w:rsidRPr="00185A61" w:rsidRDefault="00587E8F" w:rsidP="00185A61">
      <w:pPr>
        <w:jc w:val="center"/>
        <w:rPr>
          <w:sz w:val="32"/>
        </w:rPr>
      </w:pPr>
      <w:r w:rsidRPr="00185A61">
        <w:rPr>
          <w:sz w:val="32"/>
        </w:rPr>
        <w:t>OMB Control No. 0920-1154</w:t>
      </w:r>
    </w:p>
    <w:p w14:paraId="7642228A" w14:textId="77777777" w:rsidR="00587E8F" w:rsidRDefault="00587E8F" w:rsidP="00587E8F">
      <w:pPr>
        <w:spacing w:after="0" w:line="240" w:lineRule="auto"/>
        <w:jc w:val="center"/>
        <w:rPr>
          <w:b/>
        </w:rPr>
      </w:pPr>
    </w:p>
    <w:p w14:paraId="62638160" w14:textId="7D715384" w:rsidR="609DC946" w:rsidRDefault="00036755" w:rsidP="609DC946">
      <w:pPr>
        <w:pStyle w:val="Heading4"/>
      </w:pPr>
      <w:r>
        <w:t>March 1, 2019</w:t>
      </w:r>
    </w:p>
    <w:p w14:paraId="7F5EF1F0" w14:textId="77777777" w:rsidR="00587E8F" w:rsidRDefault="00587E8F" w:rsidP="00587E8F">
      <w:pPr>
        <w:spacing w:after="0" w:line="240" w:lineRule="auto"/>
        <w:jc w:val="center"/>
        <w:rPr>
          <w:b/>
        </w:rPr>
      </w:pPr>
    </w:p>
    <w:p w14:paraId="536DBD69" w14:textId="77777777" w:rsidR="00587E8F" w:rsidRDefault="00587E8F" w:rsidP="00587E8F"/>
    <w:p w14:paraId="34083505" w14:textId="77777777" w:rsidR="00587E8F" w:rsidRDefault="00587E8F" w:rsidP="00587E8F">
      <w:pPr>
        <w:spacing w:after="0" w:line="240" w:lineRule="auto"/>
        <w:jc w:val="center"/>
        <w:rPr>
          <w:b/>
        </w:rPr>
      </w:pPr>
    </w:p>
    <w:p w14:paraId="39E6CC6B" w14:textId="78280503" w:rsidR="00587E8F" w:rsidRDefault="609DC946" w:rsidP="00587E8F">
      <w:pPr>
        <w:pStyle w:val="Heading4"/>
      </w:pPr>
      <w:r>
        <w:t>Supporting Statement B</w:t>
      </w:r>
    </w:p>
    <w:p w14:paraId="663D0946" w14:textId="77777777" w:rsidR="00587E8F" w:rsidRDefault="00587E8F" w:rsidP="00587E8F">
      <w:pPr>
        <w:spacing w:after="0" w:line="240" w:lineRule="auto"/>
        <w:rPr>
          <w:b/>
        </w:rPr>
      </w:pPr>
    </w:p>
    <w:p w14:paraId="4E99AB8E" w14:textId="77777777" w:rsidR="00587E8F" w:rsidRDefault="00587E8F" w:rsidP="00587E8F">
      <w:pPr>
        <w:spacing w:after="0" w:line="240" w:lineRule="auto"/>
        <w:rPr>
          <w:b/>
        </w:rPr>
      </w:pPr>
    </w:p>
    <w:p w14:paraId="78573A5A" w14:textId="77777777" w:rsidR="00587E8F" w:rsidRDefault="00587E8F" w:rsidP="00587E8F">
      <w:pPr>
        <w:spacing w:after="0" w:line="240" w:lineRule="auto"/>
        <w:rPr>
          <w:b/>
        </w:rPr>
      </w:pPr>
    </w:p>
    <w:p w14:paraId="0AF21A64" w14:textId="77777777" w:rsidR="00587E8F" w:rsidRDefault="00587E8F" w:rsidP="00587E8F">
      <w:pPr>
        <w:spacing w:after="0" w:line="240" w:lineRule="auto"/>
        <w:rPr>
          <w:b/>
        </w:rPr>
      </w:pPr>
    </w:p>
    <w:p w14:paraId="04EB252E" w14:textId="77777777" w:rsidR="00587E8F" w:rsidRDefault="00587E8F" w:rsidP="00587E8F">
      <w:pPr>
        <w:spacing w:after="0" w:line="240" w:lineRule="auto"/>
        <w:rPr>
          <w:b/>
        </w:rPr>
      </w:pPr>
    </w:p>
    <w:p w14:paraId="4BFE07B0" w14:textId="77777777" w:rsidR="00587E8F" w:rsidRDefault="00587E8F" w:rsidP="00587E8F">
      <w:pPr>
        <w:spacing w:after="0" w:line="240" w:lineRule="auto"/>
        <w:rPr>
          <w:b/>
        </w:rPr>
      </w:pPr>
    </w:p>
    <w:p w14:paraId="6B79CAB2" w14:textId="77777777" w:rsidR="00587E8F" w:rsidRDefault="00587E8F" w:rsidP="00587E8F">
      <w:pPr>
        <w:spacing w:after="0" w:line="240" w:lineRule="auto"/>
        <w:rPr>
          <w:b/>
        </w:rPr>
      </w:pPr>
    </w:p>
    <w:p w14:paraId="3A61EDC0" w14:textId="77777777" w:rsidR="00587E8F" w:rsidRDefault="00587E8F" w:rsidP="00587E8F">
      <w:pPr>
        <w:spacing w:after="0" w:line="240" w:lineRule="auto"/>
        <w:rPr>
          <w:b/>
        </w:rPr>
      </w:pPr>
    </w:p>
    <w:p w14:paraId="59EAA58E" w14:textId="77777777" w:rsidR="00587E8F" w:rsidRDefault="00587E8F" w:rsidP="00587E8F">
      <w:pPr>
        <w:spacing w:after="0" w:line="240" w:lineRule="auto"/>
        <w:rPr>
          <w:b/>
        </w:rPr>
      </w:pPr>
    </w:p>
    <w:p w14:paraId="6C041366" w14:textId="77777777" w:rsidR="00587E8F" w:rsidRDefault="00587E8F" w:rsidP="00587E8F">
      <w:pPr>
        <w:spacing w:after="0" w:line="240" w:lineRule="auto"/>
        <w:rPr>
          <w:b/>
        </w:rPr>
      </w:pPr>
    </w:p>
    <w:p w14:paraId="73691A4D" w14:textId="77777777" w:rsidR="00587E8F" w:rsidRDefault="00587E8F" w:rsidP="00587E8F">
      <w:pPr>
        <w:spacing w:after="0" w:line="240" w:lineRule="auto"/>
        <w:rPr>
          <w:b/>
        </w:rPr>
      </w:pPr>
    </w:p>
    <w:p w14:paraId="2222EBB1" w14:textId="77777777" w:rsidR="00587E8F" w:rsidRDefault="00587E8F" w:rsidP="00587E8F">
      <w:pPr>
        <w:spacing w:after="0" w:line="240" w:lineRule="auto"/>
        <w:rPr>
          <w:b/>
        </w:rPr>
      </w:pPr>
    </w:p>
    <w:p w14:paraId="30B8B88C" w14:textId="77777777" w:rsidR="00587E8F" w:rsidRPr="009A79E1" w:rsidRDefault="00587E8F" w:rsidP="00587E8F">
      <w:pPr>
        <w:pStyle w:val="NoSpacing"/>
        <w:rPr>
          <w:b/>
        </w:rPr>
      </w:pPr>
      <w:r w:rsidRPr="009A79E1">
        <w:rPr>
          <w:b/>
        </w:rPr>
        <w:t xml:space="preserve">Contact: </w:t>
      </w:r>
    </w:p>
    <w:p w14:paraId="4AEDC793" w14:textId="77777777" w:rsidR="0073510C" w:rsidRPr="0073510C" w:rsidRDefault="0073510C" w:rsidP="0073510C">
      <w:pPr>
        <w:pStyle w:val="NoSpacing"/>
        <w:rPr>
          <w:iCs/>
        </w:rPr>
      </w:pPr>
      <w:bookmarkStart w:id="2" w:name="_Hlk532810315"/>
      <w:r w:rsidRPr="0073510C">
        <w:rPr>
          <w:b/>
          <w:bCs/>
          <w:iCs/>
        </w:rPr>
        <w:t>Janine H. Paulauskas</w:t>
      </w:r>
      <w:r w:rsidRPr="0073510C">
        <w:t xml:space="preserve"> </w:t>
      </w:r>
      <w:r w:rsidRPr="0073510C">
        <w:br/>
      </w:r>
      <w:r w:rsidRPr="0073510C">
        <w:rPr>
          <w:iCs/>
        </w:rPr>
        <w:t xml:space="preserve">Branch Manager, </w:t>
      </w:r>
      <w:r w:rsidRPr="0073510C">
        <w:t> </w:t>
      </w:r>
      <w:r w:rsidRPr="0073510C">
        <w:rPr>
          <w:iCs/>
        </w:rPr>
        <w:t>Outbreak Response and Prevention Branch (ORPB)</w:t>
      </w:r>
    </w:p>
    <w:p w14:paraId="1F0E281F" w14:textId="77777777" w:rsidR="0073510C" w:rsidRPr="0073510C" w:rsidRDefault="0073510C" w:rsidP="0073510C">
      <w:pPr>
        <w:pStyle w:val="NoSpacing"/>
        <w:rPr>
          <w:iCs/>
        </w:rPr>
      </w:pPr>
      <w:r w:rsidRPr="0073510C">
        <w:rPr>
          <w:iCs/>
        </w:rPr>
        <w:t>Division of Foodborne, Waterborne and Environmental Diseases (DFWED)</w:t>
      </w:r>
    </w:p>
    <w:p w14:paraId="7D25FF4E" w14:textId="77777777" w:rsidR="0073510C" w:rsidRPr="0073510C" w:rsidRDefault="0073510C" w:rsidP="0073510C">
      <w:pPr>
        <w:pStyle w:val="NoSpacing"/>
        <w:rPr>
          <w:iCs/>
        </w:rPr>
      </w:pPr>
      <w:r w:rsidRPr="0073510C">
        <w:rPr>
          <w:iCs/>
        </w:rPr>
        <w:t>National Center for Emerging and Zoonotic Infectious Diseases (NCEZID)</w:t>
      </w:r>
    </w:p>
    <w:p w14:paraId="35C04F91" w14:textId="77777777" w:rsidR="0073510C" w:rsidRPr="0073510C" w:rsidRDefault="0073510C" w:rsidP="0073510C">
      <w:pPr>
        <w:pStyle w:val="NoSpacing"/>
      </w:pPr>
      <w:r w:rsidRPr="0073510C">
        <w:rPr>
          <w:iCs/>
        </w:rPr>
        <w:t>Centers for Disease Control and Prevention (CDC)</w:t>
      </w:r>
      <w:r w:rsidRPr="0073510C">
        <w:br/>
      </w:r>
      <w:r w:rsidRPr="0073510C">
        <w:rPr>
          <w:iCs/>
        </w:rPr>
        <w:t>1600 Clifton Road NE,  Mailstop H24-10, Atlanta, GA  30333</w:t>
      </w:r>
    </w:p>
    <w:p w14:paraId="2DB94DCF" w14:textId="77777777" w:rsidR="0073510C" w:rsidRPr="0073510C" w:rsidRDefault="0073510C" w:rsidP="0073510C">
      <w:pPr>
        <w:pStyle w:val="NoSpacing"/>
        <w:rPr>
          <w:iCs/>
        </w:rPr>
      </w:pPr>
      <w:r w:rsidRPr="0073510C">
        <w:rPr>
          <w:iCs/>
        </w:rPr>
        <w:t>Office: (404) 718-4887</w:t>
      </w:r>
    </w:p>
    <w:p w14:paraId="38EAD9C3" w14:textId="77777777" w:rsidR="0073510C" w:rsidRPr="0073510C" w:rsidRDefault="0073510C" w:rsidP="0073510C">
      <w:pPr>
        <w:pStyle w:val="NoSpacing"/>
      </w:pPr>
      <w:r w:rsidRPr="0073510C">
        <w:rPr>
          <w:iCs/>
        </w:rPr>
        <w:t>Mobile: (404) 275-3556</w:t>
      </w:r>
      <w:r w:rsidRPr="0073510C">
        <w:br/>
      </w:r>
      <w:r w:rsidRPr="0073510C">
        <w:rPr>
          <w:iCs/>
        </w:rPr>
        <w:t xml:space="preserve">Email: </w:t>
      </w:r>
      <w:hyperlink r:id="rId12" w:history="1">
        <w:r w:rsidRPr="0073510C">
          <w:rPr>
            <w:rStyle w:val="Hyperlink"/>
            <w:iCs/>
          </w:rPr>
          <w:t>azi3@cdc.gov</w:t>
        </w:r>
      </w:hyperlink>
      <w:r w:rsidRPr="0073510C">
        <w:t xml:space="preserve"> </w:t>
      </w:r>
    </w:p>
    <w:bookmarkEnd w:id="2"/>
    <w:p w14:paraId="436980C5" w14:textId="77777777" w:rsidR="0073510C" w:rsidRDefault="0073510C" w:rsidP="00587E8F">
      <w:pPr>
        <w:pStyle w:val="NoSpacing"/>
      </w:pPr>
    </w:p>
    <w:p w14:paraId="64B08620" w14:textId="0F550B90" w:rsidR="00587E8F" w:rsidRDefault="00587E8F" w:rsidP="00587E8F">
      <w:pPr>
        <w:pStyle w:val="NoSpacing"/>
      </w:pPr>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57E1DE36" w:rsidR="00352CEE" w:rsidRDefault="00352CEE" w:rsidP="00352CEE">
          <w:pPr>
            <w:pStyle w:val="Heading4"/>
            <w:rPr>
              <w:sz w:val="28"/>
              <w:szCs w:val="28"/>
            </w:rPr>
          </w:pPr>
          <w:r w:rsidRPr="00F97F2F">
            <w:rPr>
              <w:sz w:val="28"/>
              <w:szCs w:val="28"/>
            </w:rPr>
            <w:t>Table of Contents</w:t>
          </w:r>
        </w:p>
        <w:p w14:paraId="0F16A433" w14:textId="77777777" w:rsidR="00FE5FB1" w:rsidRPr="00FE5FB1" w:rsidRDefault="00FE5FB1" w:rsidP="00FE5FB1"/>
        <w:p w14:paraId="0CD2A253" w14:textId="5E8D16BC" w:rsidR="00160519" w:rsidRDefault="00352CEE">
          <w:pPr>
            <w:pStyle w:val="TOC1"/>
            <w:tabs>
              <w:tab w:val="left" w:pos="48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532906291" w:history="1">
            <w:r w:rsidR="00160519" w:rsidRPr="00A742E9">
              <w:rPr>
                <w:rStyle w:val="Hyperlink"/>
                <w:noProof/>
              </w:rPr>
              <w:t>1.</w:t>
            </w:r>
            <w:r w:rsidR="00160519">
              <w:rPr>
                <w:rFonts w:asciiTheme="minorHAnsi" w:eastAsiaTheme="minorEastAsia" w:hAnsiTheme="minorHAnsi"/>
                <w:noProof/>
                <w:sz w:val="22"/>
              </w:rPr>
              <w:tab/>
            </w:r>
            <w:r w:rsidR="00160519" w:rsidRPr="00A742E9">
              <w:rPr>
                <w:rStyle w:val="Hyperlink"/>
                <w:noProof/>
              </w:rPr>
              <w:t>Respondent Universe and Sampling Methods</w:t>
            </w:r>
            <w:r w:rsidR="00160519">
              <w:rPr>
                <w:noProof/>
                <w:webHidden/>
              </w:rPr>
              <w:tab/>
            </w:r>
            <w:r w:rsidR="00160519">
              <w:rPr>
                <w:noProof/>
                <w:webHidden/>
              </w:rPr>
              <w:fldChar w:fldCharType="begin"/>
            </w:r>
            <w:r w:rsidR="00160519">
              <w:rPr>
                <w:noProof/>
                <w:webHidden/>
              </w:rPr>
              <w:instrText xml:space="preserve"> PAGEREF _Toc532906291 \h </w:instrText>
            </w:r>
            <w:r w:rsidR="00160519">
              <w:rPr>
                <w:noProof/>
                <w:webHidden/>
              </w:rPr>
            </w:r>
            <w:r w:rsidR="00160519">
              <w:rPr>
                <w:noProof/>
                <w:webHidden/>
              </w:rPr>
              <w:fldChar w:fldCharType="separate"/>
            </w:r>
            <w:r w:rsidR="00FE5FB1">
              <w:rPr>
                <w:noProof/>
                <w:webHidden/>
              </w:rPr>
              <w:t>2</w:t>
            </w:r>
            <w:r w:rsidR="00160519">
              <w:rPr>
                <w:noProof/>
                <w:webHidden/>
              </w:rPr>
              <w:fldChar w:fldCharType="end"/>
            </w:r>
          </w:hyperlink>
        </w:p>
        <w:p w14:paraId="07A9FFCE" w14:textId="45D01FD1" w:rsidR="00160519" w:rsidRDefault="00C8599B">
          <w:pPr>
            <w:pStyle w:val="TOC1"/>
            <w:tabs>
              <w:tab w:val="left" w:pos="480"/>
              <w:tab w:val="right" w:leader="dot" w:pos="10070"/>
            </w:tabs>
            <w:rPr>
              <w:rFonts w:asciiTheme="minorHAnsi" w:eastAsiaTheme="minorEastAsia" w:hAnsiTheme="minorHAnsi"/>
              <w:noProof/>
              <w:sz w:val="22"/>
            </w:rPr>
          </w:pPr>
          <w:hyperlink w:anchor="_Toc532906292" w:history="1">
            <w:r w:rsidR="00160519" w:rsidRPr="00A742E9">
              <w:rPr>
                <w:rStyle w:val="Hyperlink"/>
                <w:noProof/>
              </w:rPr>
              <w:t>2.</w:t>
            </w:r>
            <w:r w:rsidR="00160519">
              <w:rPr>
                <w:rFonts w:asciiTheme="minorHAnsi" w:eastAsiaTheme="minorEastAsia" w:hAnsiTheme="minorHAnsi"/>
                <w:noProof/>
                <w:sz w:val="22"/>
              </w:rPr>
              <w:tab/>
            </w:r>
            <w:r w:rsidR="00160519" w:rsidRPr="00A742E9">
              <w:rPr>
                <w:rStyle w:val="Hyperlink"/>
                <w:noProof/>
              </w:rPr>
              <w:t>Procedures for the Collection of Information</w:t>
            </w:r>
            <w:r w:rsidR="00160519">
              <w:rPr>
                <w:noProof/>
                <w:webHidden/>
              </w:rPr>
              <w:tab/>
            </w:r>
            <w:r w:rsidR="00160519">
              <w:rPr>
                <w:noProof/>
                <w:webHidden/>
              </w:rPr>
              <w:fldChar w:fldCharType="begin"/>
            </w:r>
            <w:r w:rsidR="00160519">
              <w:rPr>
                <w:noProof/>
                <w:webHidden/>
              </w:rPr>
              <w:instrText xml:space="preserve"> PAGEREF _Toc532906292 \h </w:instrText>
            </w:r>
            <w:r w:rsidR="00160519">
              <w:rPr>
                <w:noProof/>
                <w:webHidden/>
              </w:rPr>
            </w:r>
            <w:r w:rsidR="00160519">
              <w:rPr>
                <w:noProof/>
                <w:webHidden/>
              </w:rPr>
              <w:fldChar w:fldCharType="separate"/>
            </w:r>
            <w:r w:rsidR="00FE5FB1">
              <w:rPr>
                <w:noProof/>
                <w:webHidden/>
              </w:rPr>
              <w:t>3</w:t>
            </w:r>
            <w:r w:rsidR="00160519">
              <w:rPr>
                <w:noProof/>
                <w:webHidden/>
              </w:rPr>
              <w:fldChar w:fldCharType="end"/>
            </w:r>
          </w:hyperlink>
        </w:p>
        <w:p w14:paraId="1FC73769" w14:textId="33FAF9FA" w:rsidR="00160519" w:rsidRDefault="00C8599B">
          <w:pPr>
            <w:pStyle w:val="TOC1"/>
            <w:tabs>
              <w:tab w:val="left" w:pos="480"/>
              <w:tab w:val="right" w:leader="dot" w:pos="10070"/>
            </w:tabs>
            <w:rPr>
              <w:rFonts w:asciiTheme="minorHAnsi" w:eastAsiaTheme="minorEastAsia" w:hAnsiTheme="minorHAnsi"/>
              <w:noProof/>
              <w:sz w:val="22"/>
            </w:rPr>
          </w:pPr>
          <w:hyperlink w:anchor="_Toc532906293" w:history="1">
            <w:r w:rsidR="00160519" w:rsidRPr="00A742E9">
              <w:rPr>
                <w:rStyle w:val="Hyperlink"/>
                <w:noProof/>
              </w:rPr>
              <w:t>3.</w:t>
            </w:r>
            <w:r w:rsidR="00160519">
              <w:rPr>
                <w:rFonts w:asciiTheme="minorHAnsi" w:eastAsiaTheme="minorEastAsia" w:hAnsiTheme="minorHAnsi"/>
                <w:noProof/>
                <w:sz w:val="22"/>
              </w:rPr>
              <w:tab/>
            </w:r>
            <w:r w:rsidR="00160519" w:rsidRPr="00A742E9">
              <w:rPr>
                <w:rStyle w:val="Hyperlink"/>
                <w:noProof/>
              </w:rPr>
              <w:t>Methods to maximize Response Rates and Deal with No Response</w:t>
            </w:r>
            <w:r w:rsidR="00160519">
              <w:rPr>
                <w:noProof/>
                <w:webHidden/>
              </w:rPr>
              <w:tab/>
            </w:r>
            <w:r w:rsidR="00160519">
              <w:rPr>
                <w:noProof/>
                <w:webHidden/>
              </w:rPr>
              <w:fldChar w:fldCharType="begin"/>
            </w:r>
            <w:r w:rsidR="00160519">
              <w:rPr>
                <w:noProof/>
                <w:webHidden/>
              </w:rPr>
              <w:instrText xml:space="preserve"> PAGEREF _Toc532906293 \h </w:instrText>
            </w:r>
            <w:r w:rsidR="00160519">
              <w:rPr>
                <w:noProof/>
                <w:webHidden/>
              </w:rPr>
            </w:r>
            <w:r w:rsidR="00160519">
              <w:rPr>
                <w:noProof/>
                <w:webHidden/>
              </w:rPr>
              <w:fldChar w:fldCharType="separate"/>
            </w:r>
            <w:r w:rsidR="00FE5FB1">
              <w:rPr>
                <w:noProof/>
                <w:webHidden/>
              </w:rPr>
              <w:t>4</w:t>
            </w:r>
            <w:r w:rsidR="00160519">
              <w:rPr>
                <w:noProof/>
                <w:webHidden/>
              </w:rPr>
              <w:fldChar w:fldCharType="end"/>
            </w:r>
          </w:hyperlink>
        </w:p>
        <w:p w14:paraId="38A58C1D" w14:textId="20A0BC9C" w:rsidR="00160519" w:rsidRDefault="00C8599B">
          <w:pPr>
            <w:pStyle w:val="TOC1"/>
            <w:tabs>
              <w:tab w:val="left" w:pos="480"/>
              <w:tab w:val="right" w:leader="dot" w:pos="10070"/>
            </w:tabs>
            <w:rPr>
              <w:rFonts w:asciiTheme="minorHAnsi" w:eastAsiaTheme="minorEastAsia" w:hAnsiTheme="minorHAnsi"/>
              <w:noProof/>
              <w:sz w:val="22"/>
            </w:rPr>
          </w:pPr>
          <w:hyperlink w:anchor="_Toc532906294" w:history="1">
            <w:r w:rsidR="00160519" w:rsidRPr="00A742E9">
              <w:rPr>
                <w:rStyle w:val="Hyperlink"/>
                <w:noProof/>
              </w:rPr>
              <w:t>4.</w:t>
            </w:r>
            <w:r w:rsidR="00160519">
              <w:rPr>
                <w:rFonts w:asciiTheme="minorHAnsi" w:eastAsiaTheme="minorEastAsia" w:hAnsiTheme="minorHAnsi"/>
                <w:noProof/>
                <w:sz w:val="22"/>
              </w:rPr>
              <w:tab/>
            </w:r>
            <w:r w:rsidR="00160519" w:rsidRPr="00A742E9">
              <w:rPr>
                <w:rStyle w:val="Hyperlink"/>
                <w:noProof/>
              </w:rPr>
              <w:t>Tests of Procedures or Methods to be undertaken</w:t>
            </w:r>
            <w:r w:rsidR="00160519">
              <w:rPr>
                <w:noProof/>
                <w:webHidden/>
              </w:rPr>
              <w:tab/>
            </w:r>
            <w:r w:rsidR="00160519">
              <w:rPr>
                <w:noProof/>
                <w:webHidden/>
              </w:rPr>
              <w:fldChar w:fldCharType="begin"/>
            </w:r>
            <w:r w:rsidR="00160519">
              <w:rPr>
                <w:noProof/>
                <w:webHidden/>
              </w:rPr>
              <w:instrText xml:space="preserve"> PAGEREF _Toc532906294 \h </w:instrText>
            </w:r>
            <w:r w:rsidR="00160519">
              <w:rPr>
                <w:noProof/>
                <w:webHidden/>
              </w:rPr>
            </w:r>
            <w:r w:rsidR="00160519">
              <w:rPr>
                <w:noProof/>
                <w:webHidden/>
              </w:rPr>
              <w:fldChar w:fldCharType="separate"/>
            </w:r>
            <w:r w:rsidR="00FE5FB1">
              <w:rPr>
                <w:noProof/>
                <w:webHidden/>
              </w:rPr>
              <w:t>5</w:t>
            </w:r>
            <w:r w:rsidR="00160519">
              <w:rPr>
                <w:noProof/>
                <w:webHidden/>
              </w:rPr>
              <w:fldChar w:fldCharType="end"/>
            </w:r>
          </w:hyperlink>
        </w:p>
        <w:p w14:paraId="41FD0DA0" w14:textId="0484A8EA" w:rsidR="00160519" w:rsidRDefault="00C8599B">
          <w:pPr>
            <w:pStyle w:val="TOC1"/>
            <w:tabs>
              <w:tab w:val="left" w:pos="480"/>
              <w:tab w:val="right" w:leader="dot" w:pos="10070"/>
            </w:tabs>
            <w:rPr>
              <w:rFonts w:asciiTheme="minorHAnsi" w:eastAsiaTheme="minorEastAsia" w:hAnsiTheme="minorHAnsi"/>
              <w:noProof/>
              <w:sz w:val="22"/>
            </w:rPr>
          </w:pPr>
          <w:hyperlink w:anchor="_Toc532906295" w:history="1">
            <w:r w:rsidR="00160519" w:rsidRPr="00A742E9">
              <w:rPr>
                <w:rStyle w:val="Hyperlink"/>
                <w:noProof/>
              </w:rPr>
              <w:t>5.</w:t>
            </w:r>
            <w:r w:rsidR="00160519">
              <w:rPr>
                <w:rFonts w:asciiTheme="minorHAnsi" w:eastAsiaTheme="minorEastAsia" w:hAnsiTheme="minorHAnsi"/>
                <w:noProof/>
                <w:sz w:val="22"/>
              </w:rPr>
              <w:tab/>
            </w:r>
            <w:r w:rsidR="00160519" w:rsidRPr="00A742E9">
              <w:rPr>
                <w:rStyle w:val="Hyperlink"/>
                <w:noProof/>
              </w:rPr>
              <w:t>Individuals Consulted on Statistical Aspects and Individuals Collecting and/or Analyzing Data</w:t>
            </w:r>
            <w:r w:rsidR="00160519">
              <w:rPr>
                <w:noProof/>
                <w:webHidden/>
              </w:rPr>
              <w:tab/>
            </w:r>
            <w:r w:rsidR="00160519">
              <w:rPr>
                <w:noProof/>
                <w:webHidden/>
              </w:rPr>
              <w:fldChar w:fldCharType="begin"/>
            </w:r>
            <w:r w:rsidR="00160519">
              <w:rPr>
                <w:noProof/>
                <w:webHidden/>
              </w:rPr>
              <w:instrText xml:space="preserve"> PAGEREF _Toc532906295 \h </w:instrText>
            </w:r>
            <w:r w:rsidR="00160519">
              <w:rPr>
                <w:noProof/>
                <w:webHidden/>
              </w:rPr>
            </w:r>
            <w:r w:rsidR="00160519">
              <w:rPr>
                <w:noProof/>
                <w:webHidden/>
              </w:rPr>
              <w:fldChar w:fldCharType="separate"/>
            </w:r>
            <w:r w:rsidR="00FE5FB1">
              <w:rPr>
                <w:noProof/>
                <w:webHidden/>
              </w:rPr>
              <w:t>5</w:t>
            </w:r>
            <w:r w:rsidR="00160519">
              <w:rPr>
                <w:noProof/>
                <w:webHidden/>
              </w:rPr>
              <w:fldChar w:fldCharType="end"/>
            </w:r>
          </w:hyperlink>
        </w:p>
        <w:p w14:paraId="383B4AD2" w14:textId="2A11ED8A" w:rsidR="00A12917" w:rsidRDefault="00352CEE" w:rsidP="00A12917">
          <w:pPr>
            <w:rPr>
              <w:bCs/>
              <w:noProof/>
            </w:rPr>
          </w:pPr>
          <w:r>
            <w:rPr>
              <w:b/>
              <w:bCs/>
              <w:noProof/>
            </w:rPr>
            <w:fldChar w:fldCharType="end"/>
          </w:r>
        </w:p>
      </w:sdtContent>
    </w:sdt>
    <w:p w14:paraId="634E2DD1" w14:textId="77777777" w:rsidR="009B5C81" w:rsidRDefault="009B5C81" w:rsidP="009B5C81">
      <w:bookmarkStart w:id="3" w:name="_Toc532906291"/>
      <w:r>
        <w:t>The information collection targeting consumers will involve only qualitative methods, cognitive interviews and focus groups, which are not intended to yield results which can be generalized to the overall population. Results of this research will not be used to make statements representative of the universe of study, to produce statistical descriptions, or to generalize the information beyond the scope of the sample.</w:t>
      </w:r>
    </w:p>
    <w:p w14:paraId="214C4364" w14:textId="776222D7" w:rsidR="00352CEE" w:rsidRDefault="00352CEE" w:rsidP="00352CEE">
      <w:pPr>
        <w:pStyle w:val="Heading1"/>
      </w:pPr>
      <w:r>
        <w:t>Respondent Universe and Sampling Methods</w:t>
      </w:r>
      <w:bookmarkEnd w:id="3"/>
    </w:p>
    <w:p w14:paraId="4906386B" w14:textId="75AA48FA" w:rsidR="00603A17" w:rsidRPr="00603A17" w:rsidRDefault="00603A17" w:rsidP="00603A17">
      <w:pPr>
        <w:rPr>
          <w:szCs w:val="24"/>
        </w:rPr>
      </w:pPr>
      <w:r w:rsidRPr="00E277AE">
        <w:rPr>
          <w:szCs w:val="24"/>
        </w:rPr>
        <w:t>Th</w:t>
      </w:r>
      <w:r>
        <w:rPr>
          <w:szCs w:val="24"/>
        </w:rPr>
        <w:t>is information collection</w:t>
      </w:r>
      <w:r w:rsidRPr="00E277AE">
        <w:rPr>
          <w:szCs w:val="24"/>
        </w:rPr>
        <w:t xml:space="preserve"> will employ </w:t>
      </w:r>
      <w:r>
        <w:rPr>
          <w:szCs w:val="24"/>
        </w:rPr>
        <w:t xml:space="preserve">a </w:t>
      </w:r>
      <w:r w:rsidRPr="00E277AE">
        <w:rPr>
          <w:szCs w:val="24"/>
        </w:rPr>
        <w:t>non</w:t>
      </w:r>
      <w:r>
        <w:rPr>
          <w:szCs w:val="24"/>
        </w:rPr>
        <w:t>-</w:t>
      </w:r>
      <w:r w:rsidRPr="00E277AE">
        <w:rPr>
          <w:szCs w:val="24"/>
        </w:rPr>
        <w:t>probability sample</w:t>
      </w:r>
      <w:r>
        <w:rPr>
          <w:szCs w:val="24"/>
        </w:rPr>
        <w:t xml:space="preserve">. The participants will be selected using quota </w:t>
      </w:r>
      <w:r w:rsidRPr="00E277AE">
        <w:rPr>
          <w:szCs w:val="24"/>
        </w:rPr>
        <w:t>sampling</w:t>
      </w:r>
      <w:r>
        <w:rPr>
          <w:szCs w:val="24"/>
        </w:rPr>
        <w:t xml:space="preserve"> to ensure that the </w:t>
      </w:r>
      <w:r w:rsidRPr="00E277AE">
        <w:rPr>
          <w:szCs w:val="24"/>
        </w:rPr>
        <w:t xml:space="preserve">sample includes enough </w:t>
      </w:r>
      <w:r>
        <w:rPr>
          <w:szCs w:val="24"/>
        </w:rPr>
        <w:t>individuals</w:t>
      </w:r>
      <w:r w:rsidRPr="00E277AE">
        <w:rPr>
          <w:szCs w:val="24"/>
        </w:rPr>
        <w:t xml:space="preserve"> with particular characteristics to </w:t>
      </w:r>
      <w:r>
        <w:rPr>
          <w:szCs w:val="24"/>
        </w:rPr>
        <w:t>e</w:t>
      </w:r>
      <w:r w:rsidRPr="00E277AE">
        <w:rPr>
          <w:szCs w:val="24"/>
        </w:rPr>
        <w:t>nsure repres</w:t>
      </w:r>
      <w:r>
        <w:rPr>
          <w:szCs w:val="24"/>
        </w:rPr>
        <w:t>entation of the target audience.</w:t>
      </w:r>
    </w:p>
    <w:p w14:paraId="20985C59" w14:textId="0E35FDD4" w:rsidR="00603A17" w:rsidRDefault="00603A17" w:rsidP="00603A17">
      <w:r w:rsidRPr="00040383">
        <w:t xml:space="preserve">In the </w:t>
      </w:r>
      <w:r>
        <w:t xml:space="preserve">United States, 2017 census data estimates indicate </w:t>
      </w:r>
      <w:r w:rsidRPr="00E90E91">
        <w:t>6,216,589</w:t>
      </w:r>
      <w:r>
        <w:t xml:space="preserve"> people living in the Washington-Arlington-Alexandria, DC-Virginia-Maryland-West Virginia Metro Area</w:t>
      </w:r>
      <w:r w:rsidR="00B57E43">
        <w:t xml:space="preserve"> (US Census Bureau</w:t>
      </w:r>
      <w:r w:rsidR="00026B41">
        <w:t>, 2017</w:t>
      </w:r>
      <w:r w:rsidR="00B57E43">
        <w:t>)</w:t>
      </w:r>
      <w:r>
        <w:t xml:space="preserve">. </w:t>
      </w:r>
      <w:r w:rsidRPr="00E90E91">
        <w:t xml:space="preserve"> </w:t>
      </w:r>
      <w:r w:rsidRPr="000D506A">
        <w:t xml:space="preserve">The EurekaFacts participant database includes tens of thousands of individuals in the DC Metro area and is constantly refreshed and updated through independent participant outreach methods in both English and Spanish. These efforts ensure that the research participants recruited by EurekaFacts are not “professional focus group respondents,” instead they are individuals with limited to no experience with qualitative research. </w:t>
      </w:r>
      <w:r>
        <w:t>For this effort, EurekaFacts will recruit an array of diverse adults of all ages, including a mix of:</w:t>
      </w:r>
    </w:p>
    <w:p w14:paraId="101B8B2A" w14:textId="2EFC0323" w:rsidR="00603A17" w:rsidRDefault="00603A17" w:rsidP="00A90D6D">
      <w:pPr>
        <w:pStyle w:val="ListParagraph"/>
        <w:numPr>
          <w:ilvl w:val="0"/>
          <w:numId w:val="6"/>
        </w:numPr>
      </w:pPr>
      <w:r>
        <w:t>Socioeconomic status (Low, Medium, High SES)</w:t>
      </w:r>
    </w:p>
    <w:p w14:paraId="0BB69304" w14:textId="15113241" w:rsidR="00603A17" w:rsidRDefault="00603A17" w:rsidP="00A90D6D">
      <w:pPr>
        <w:pStyle w:val="ListParagraph"/>
        <w:numPr>
          <w:ilvl w:val="0"/>
          <w:numId w:val="6"/>
        </w:numPr>
      </w:pPr>
      <w:r>
        <w:t>Educational attainment levels</w:t>
      </w:r>
    </w:p>
    <w:p w14:paraId="7632C23D" w14:textId="4FC1A79A" w:rsidR="00603A17" w:rsidRDefault="00603A17" w:rsidP="00A90D6D">
      <w:pPr>
        <w:pStyle w:val="ListParagraph"/>
        <w:numPr>
          <w:ilvl w:val="0"/>
          <w:numId w:val="6"/>
        </w:numPr>
      </w:pPr>
      <w:r>
        <w:t>Gender</w:t>
      </w:r>
    </w:p>
    <w:p w14:paraId="14528A6F" w14:textId="53479D6E" w:rsidR="00603A17" w:rsidRDefault="00603A17" w:rsidP="00A90D6D">
      <w:pPr>
        <w:pStyle w:val="ListParagraph"/>
        <w:numPr>
          <w:ilvl w:val="0"/>
          <w:numId w:val="6"/>
        </w:numPr>
      </w:pPr>
      <w:r>
        <w:t>Ages (18-75 years old)</w:t>
      </w:r>
    </w:p>
    <w:p w14:paraId="3D9589EF" w14:textId="7D6F60AB" w:rsidR="00603A17" w:rsidRDefault="00603A17" w:rsidP="00A90D6D">
      <w:pPr>
        <w:pStyle w:val="ListParagraph"/>
        <w:numPr>
          <w:ilvl w:val="0"/>
          <w:numId w:val="6"/>
        </w:numPr>
      </w:pPr>
      <w:r>
        <w:t>Urbanicity (urban, rural, suburban residency)</w:t>
      </w:r>
    </w:p>
    <w:p w14:paraId="2CD965D9" w14:textId="34DC8CEA" w:rsidR="00603A17" w:rsidRDefault="00603A17" w:rsidP="00A90D6D">
      <w:pPr>
        <w:pStyle w:val="ListParagraph"/>
        <w:numPr>
          <w:ilvl w:val="0"/>
          <w:numId w:val="6"/>
        </w:numPr>
      </w:pPr>
      <w:r>
        <w:t>Adults with and without children</w:t>
      </w:r>
    </w:p>
    <w:p w14:paraId="0EAF41D5" w14:textId="2B250F5F" w:rsidR="00603A17" w:rsidRPr="00624C9F" w:rsidRDefault="00603A17" w:rsidP="00603A17">
      <w:pPr>
        <w:rPr>
          <w:rFonts w:cs="Times New Roman"/>
        </w:rPr>
      </w:pPr>
      <w:r>
        <w:t>EurekaFacts will employ a recruitment strategy that integrates multiple outreach/contact methods and resources such as Internet ads, individual emails, telephone recruiting, and on-site location-based recruiting. Furthermore, EurekaFacts will implement snowball referrals from personal and community networks during general recruitment efforts and after completing focus groups.</w:t>
      </w:r>
    </w:p>
    <w:p w14:paraId="381B7A38" w14:textId="7B20DB9E" w:rsidR="00603A17" w:rsidRDefault="00603A17" w:rsidP="00603A17">
      <w:r w:rsidRPr="00040383">
        <w:lastRenderedPageBreak/>
        <w:t xml:space="preserve">The </w:t>
      </w:r>
      <w:r>
        <w:t>four focus groups and four hybrid groups</w:t>
      </w:r>
      <w:r w:rsidR="0089066C">
        <w:t xml:space="preserve"> (combination of cognitive interviews and focus groups)</w:t>
      </w:r>
      <w:r>
        <w:t xml:space="preserve"> will include participants from the general population as well as older adults. The 54 participants will be divided into these groups such that general population and older adults will be included in both the focus groups and the hybrid groups. </w:t>
      </w:r>
    </w:p>
    <w:p w14:paraId="36963F00" w14:textId="2408ABE6" w:rsidR="00FE5FB1" w:rsidRDefault="00FE5FB1" w:rsidP="00603A17">
      <w:r>
        <w:t>Attachment A describes the complete sampling plan.</w:t>
      </w:r>
    </w:p>
    <w:p w14:paraId="214C4366" w14:textId="77777777" w:rsidR="00352CEE" w:rsidRDefault="00352CEE" w:rsidP="00352CEE">
      <w:pPr>
        <w:pStyle w:val="Heading1"/>
      </w:pPr>
      <w:bookmarkStart w:id="4" w:name="_Toc532906292"/>
      <w:r>
        <w:t>Procedures for the Collection of Information</w:t>
      </w:r>
      <w:bookmarkEnd w:id="4"/>
    </w:p>
    <w:p w14:paraId="2E54BCEB" w14:textId="237CF313" w:rsidR="00603A17" w:rsidRDefault="00603A17" w:rsidP="00352CEE">
      <w:r w:rsidRPr="00603A17">
        <w:t xml:space="preserve">Respondents will be screened using the pre-approved screener script to be programmed into </w:t>
      </w:r>
      <w:r w:rsidR="00DE5048">
        <w:t>a computer-assisted telephone interview (</w:t>
      </w:r>
      <w:r w:rsidRPr="00603A17">
        <w:t>CATI</w:t>
      </w:r>
      <w:r w:rsidR="00DE5048">
        <w:t>)</w:t>
      </w:r>
      <w:r w:rsidRPr="00603A17">
        <w:t xml:space="preserve"> </w:t>
      </w:r>
      <w:r w:rsidR="00DE5048">
        <w:t xml:space="preserve">system </w:t>
      </w:r>
      <w:r w:rsidRPr="00603A17">
        <w:t xml:space="preserve">to ensure that the screening procedure is uniformly conducted, instantly quantifiable, and may be checked and monitored throughout the recruitment effort. If the respondents meet the recruitment criteria, potential participants will be provided with a study description. </w:t>
      </w:r>
      <w:r w:rsidR="00FC569D">
        <w:t>S</w:t>
      </w:r>
      <w:r w:rsidRPr="00603A17">
        <w:t>creening interviewers will inform respondents about the study objectives, purpose, and participation requirements of the data collection effort, the activities that it entails, and, if applicable, any potential risks associated with participation. If respondents agree to participate in the study, EurekaFacts will collect all contact information, including telephone numbers, email, and postal contact information.</w:t>
      </w:r>
    </w:p>
    <w:p w14:paraId="45C05D42" w14:textId="3FD71251" w:rsidR="00FC569D" w:rsidRDefault="00DE5048" w:rsidP="00603A17">
      <w:r>
        <w:t>Four</w:t>
      </w:r>
      <w:r w:rsidR="00FC569D">
        <w:t xml:space="preserve"> focus groups </w:t>
      </w:r>
      <w:r>
        <w:t xml:space="preserve">and four hybrid groups (combination of cognitive interviews and focus group discussion) </w:t>
      </w:r>
      <w:r w:rsidR="00FC569D">
        <w:t xml:space="preserve">will be conducted. </w:t>
      </w:r>
    </w:p>
    <w:p w14:paraId="62C14311" w14:textId="38701F6D" w:rsidR="00603A17" w:rsidRDefault="00603A17" w:rsidP="00A90D6D">
      <w:pPr>
        <w:pStyle w:val="ListParagraph"/>
        <w:numPr>
          <w:ilvl w:val="0"/>
          <w:numId w:val="7"/>
        </w:numPr>
      </w:pPr>
      <w:r>
        <w:t>Cognitive interviews will assess the effectiveness of the CDC warning message, particularly in terms of consumer understanding of the message and likelihood of behavioral change; explore causes for any ineffectiveness; as well as assess the usability of web-based messaging.</w:t>
      </w:r>
    </w:p>
    <w:p w14:paraId="2B36E062" w14:textId="69E45411" w:rsidR="00603A17" w:rsidRDefault="00603A17" w:rsidP="00A90D6D">
      <w:pPr>
        <w:pStyle w:val="ListParagraph"/>
        <w:numPr>
          <w:ilvl w:val="0"/>
          <w:numId w:val="7"/>
        </w:numPr>
      </w:pPr>
      <w:r>
        <w:t xml:space="preserve">Focus group discussions will further examine effectiveness of the warning messages as well as help generate ideas for CDC warning communications that meet the needs of different audiences. </w:t>
      </w:r>
    </w:p>
    <w:p w14:paraId="734AD715" w14:textId="753B4271" w:rsidR="00603A17" w:rsidRDefault="00603A17" w:rsidP="00603A17">
      <w:r>
        <w:t xml:space="preserve">Two of the focus groups will explore and identify participant </w:t>
      </w:r>
      <w:r w:rsidR="00512B54">
        <w:t xml:space="preserve">perceptions, </w:t>
      </w:r>
      <w:r>
        <w:t>knowledge</w:t>
      </w:r>
      <w:r w:rsidR="00512B54">
        <w:t>,</w:t>
      </w:r>
      <w:r>
        <w:t xml:space="preserve"> attitudes about foodborne illnesses, outbreaks, risks, and prevention, as well as their knowledge, attitudes, and practices about food items that pose a high risk of contamination. The other two focus groups will address warning communication messages with participants, especially in terms of their preferences with tone, format, and placement of risk communication messages. Separate groups will allow, if needed, the organization of participants into different subgroups based on any socio-demographic criteria that may affect their understanding, behavioral impacts, or perception of the messaging. Separation of participants into homogenous groups may help avoid distortion and bias of their opinions which may occur if there is a socio-demographic mix. The focus group moderator will encourage participants to relate to each other, share attitudes, and provide candid opinions regarding their understanding of foodborne disease and the CDC warning communication.</w:t>
      </w:r>
    </w:p>
    <w:p w14:paraId="00E9EC77" w14:textId="1722DD50" w:rsidR="00603A17" w:rsidRDefault="00603A17" w:rsidP="00603A17">
      <w:r>
        <w:t>The cognitive interviewing method is a common technique used to test comprehension of communication materials and surveys. This method allows us to explore how respondents understand, process and act upon information presented in the communication materials, targeting the same cognitive processes involved in processing warnings: comprehension, recall, and judgment. Thus, cognitive interviewing seems to be especially appropriate to evaluate effectiveness of the messages and help understand and identify the reasons for their ineffectiveness. This method was proven reliable and useful during assessments of warning effectiveness in several studies (Wolf et al., 2007, Davis et al., 2006). Past research conducted by EurekaFacts staff compared the effectiveness of cognitive interviewing versus focus groups, and demonstrated that cognitive interviews yielded more detailed, relevant and useful data as compared to data gathered from a focus group (Sugovic, Nooraddini, and Sherehiy, 2016).</w:t>
      </w:r>
    </w:p>
    <w:p w14:paraId="29213100" w14:textId="2256778A" w:rsidR="00603A17" w:rsidRDefault="00954A6A" w:rsidP="00603A17">
      <w:r>
        <w:t>The contractors will conduct</w:t>
      </w:r>
      <w:r w:rsidR="00603A17">
        <w:t xml:space="preserve"> two </w:t>
      </w:r>
      <w:r w:rsidR="00505DF4">
        <w:t>h</w:t>
      </w:r>
      <w:r>
        <w:t>ybrid</w:t>
      </w:r>
      <w:r w:rsidR="00505DF4">
        <w:t xml:space="preserve"> </w:t>
      </w:r>
      <w:r w:rsidR="00603A17">
        <w:t xml:space="preserve">group sessions with 4 to 5 participants in each group for each project objective; knowledge &amp; practices (n = 9) and preferred communication strategies (n = 9), resulting in a total of 18 participants in the </w:t>
      </w:r>
      <w:r w:rsidR="00505DF4">
        <w:t>h</w:t>
      </w:r>
      <w:r w:rsidR="00603A17">
        <w:t xml:space="preserve">ybrid </w:t>
      </w:r>
      <w:r w:rsidR="00505DF4">
        <w:t>g</w:t>
      </w:r>
      <w:r w:rsidR="00603A17">
        <w:t xml:space="preserve">roup. </w:t>
      </w:r>
      <w:r>
        <w:t xml:space="preserve">The </w:t>
      </w:r>
      <w:r w:rsidR="00505DF4">
        <w:t>h</w:t>
      </w:r>
      <w:r>
        <w:t xml:space="preserve">ybrid </w:t>
      </w:r>
      <w:r w:rsidR="00505DF4">
        <w:t>g</w:t>
      </w:r>
      <w:r>
        <w:t>roup will consist of two parts. In the first part, the contractor will conduct short one-on-one structured “cognitive” interviews that will evaluate participants’ understanding of the warning message presented on the CDC website, along with assessing usability of the website. The second part will follow focus group methodology and will explore the participants’ knowledge about foodborne illness and participant practices and participants’ preferred design and understandability of the foodborne illness warning messaging. The contractor will also</w:t>
      </w:r>
      <w:r w:rsidR="00603A17">
        <w:t xml:space="preserve"> conduct 2 standard focus groups with 9 participants in each group for each project objective; knowledge &amp; practices (n = 18) and preferred communication strategies (n = 18), resulting in a total of 36 participants in the </w:t>
      </w:r>
      <w:r w:rsidR="00B0751D">
        <w:t>s</w:t>
      </w:r>
      <w:r w:rsidR="00603A17">
        <w:t xml:space="preserve">tandard </w:t>
      </w:r>
      <w:r w:rsidR="00B0751D">
        <w:t>f</w:t>
      </w:r>
      <w:r w:rsidR="00603A17">
        <w:t xml:space="preserve">ocus </w:t>
      </w:r>
      <w:r w:rsidR="00B0751D">
        <w:t>g</w:t>
      </w:r>
      <w:r w:rsidR="00603A17">
        <w:t xml:space="preserve">roup. See Table 1: </w:t>
      </w:r>
    </w:p>
    <w:p w14:paraId="7961A770" w14:textId="77777777" w:rsidR="00603A17" w:rsidRDefault="00603A17" w:rsidP="00603A17">
      <w:r>
        <w:t>Table 1 – Organization of Focus Group Methodology</w:t>
      </w:r>
    </w:p>
    <w:tbl>
      <w:tblPr>
        <w:tblStyle w:val="GridTable1Light"/>
        <w:tblW w:w="9461" w:type="dxa"/>
        <w:tblLayout w:type="fixed"/>
        <w:tblLook w:val="06A0" w:firstRow="1" w:lastRow="0" w:firstColumn="1" w:lastColumn="0" w:noHBand="1" w:noVBand="1"/>
      </w:tblPr>
      <w:tblGrid>
        <w:gridCol w:w="1710"/>
        <w:gridCol w:w="3555"/>
        <w:gridCol w:w="4196"/>
      </w:tblGrid>
      <w:tr w:rsidR="00603A17" w:rsidRPr="00181618" w14:paraId="3AD42DAF" w14:textId="77777777" w:rsidTr="00036755">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710" w:type="dxa"/>
          </w:tcPr>
          <w:p w14:paraId="32AAB1A2" w14:textId="77777777" w:rsidR="00603A17" w:rsidRPr="00036755" w:rsidRDefault="656112EB" w:rsidP="005366A8">
            <w:pPr>
              <w:rPr>
                <w:rFonts w:cs="Times New Roman"/>
                <w:sz w:val="19"/>
                <w:szCs w:val="19"/>
              </w:rPr>
            </w:pPr>
            <w:r w:rsidRPr="00036755">
              <w:rPr>
                <w:rFonts w:cs="Times New Roman"/>
                <w:sz w:val="19"/>
                <w:szCs w:val="19"/>
              </w:rPr>
              <w:t>Methodology</w:t>
            </w:r>
          </w:p>
        </w:tc>
        <w:tc>
          <w:tcPr>
            <w:tcW w:w="3555" w:type="dxa"/>
          </w:tcPr>
          <w:p w14:paraId="596D5D5B" w14:textId="77777777" w:rsidR="00603A17" w:rsidRPr="00036755" w:rsidRDefault="656112EB" w:rsidP="005366A8">
            <w:pPr>
              <w:cnfStyle w:val="100000000000" w:firstRow="1" w:lastRow="0" w:firstColumn="0" w:lastColumn="0" w:oddVBand="0" w:evenVBand="0" w:oddHBand="0" w:evenHBand="0" w:firstRowFirstColumn="0" w:firstRowLastColumn="0" w:lastRowFirstColumn="0" w:lastRowLastColumn="0"/>
              <w:rPr>
                <w:rFonts w:cs="Times New Roman"/>
                <w:sz w:val="19"/>
                <w:szCs w:val="19"/>
              </w:rPr>
            </w:pPr>
            <w:r w:rsidRPr="00036755">
              <w:rPr>
                <w:rFonts w:cs="Times New Roman"/>
                <w:sz w:val="19"/>
                <w:szCs w:val="19"/>
              </w:rPr>
              <w:t>FG Objective – Knowledge &amp; Practices</w:t>
            </w:r>
          </w:p>
        </w:tc>
        <w:tc>
          <w:tcPr>
            <w:tcW w:w="4196" w:type="dxa"/>
          </w:tcPr>
          <w:p w14:paraId="53A34D2A" w14:textId="77777777" w:rsidR="00603A17" w:rsidRPr="00036755" w:rsidRDefault="656112EB" w:rsidP="005366A8">
            <w:pPr>
              <w:cnfStyle w:val="100000000000" w:firstRow="1" w:lastRow="0" w:firstColumn="0" w:lastColumn="0" w:oddVBand="0" w:evenVBand="0" w:oddHBand="0" w:evenHBand="0" w:firstRowFirstColumn="0" w:firstRowLastColumn="0" w:lastRowFirstColumn="0" w:lastRowLastColumn="0"/>
              <w:rPr>
                <w:rFonts w:cs="Times New Roman"/>
                <w:sz w:val="19"/>
                <w:szCs w:val="19"/>
              </w:rPr>
            </w:pPr>
            <w:r w:rsidRPr="00036755">
              <w:rPr>
                <w:rFonts w:cs="Times New Roman"/>
                <w:sz w:val="19"/>
                <w:szCs w:val="19"/>
              </w:rPr>
              <w:t>FG Objective – Preferred Communication</w:t>
            </w:r>
          </w:p>
        </w:tc>
      </w:tr>
      <w:tr w:rsidR="00603A17" w:rsidRPr="00181618" w14:paraId="09EECCBC" w14:textId="77777777" w:rsidTr="00036755">
        <w:trPr>
          <w:trHeight w:val="195"/>
        </w:trPr>
        <w:tc>
          <w:tcPr>
            <w:cnfStyle w:val="001000000000" w:firstRow="0" w:lastRow="0" w:firstColumn="1" w:lastColumn="0" w:oddVBand="0" w:evenVBand="0" w:oddHBand="0" w:evenHBand="0" w:firstRowFirstColumn="0" w:firstRowLastColumn="0" w:lastRowFirstColumn="0" w:lastRowLastColumn="0"/>
            <w:tcW w:w="1710" w:type="dxa"/>
          </w:tcPr>
          <w:p w14:paraId="78E95BDA" w14:textId="77777777" w:rsidR="00603A17" w:rsidRPr="00036755" w:rsidRDefault="656112EB" w:rsidP="005366A8">
            <w:pPr>
              <w:rPr>
                <w:rFonts w:cs="Times New Roman"/>
                <w:sz w:val="19"/>
                <w:szCs w:val="19"/>
              </w:rPr>
            </w:pPr>
            <w:r w:rsidRPr="00036755">
              <w:rPr>
                <w:rFonts w:cs="Times New Roman"/>
                <w:sz w:val="19"/>
                <w:szCs w:val="19"/>
              </w:rPr>
              <w:t>Number of Standard Focus Group Sessions</w:t>
            </w:r>
          </w:p>
        </w:tc>
        <w:tc>
          <w:tcPr>
            <w:tcW w:w="3555" w:type="dxa"/>
          </w:tcPr>
          <w:p w14:paraId="2B75ACC3" w14:textId="77777777" w:rsidR="00603A17" w:rsidRPr="00036755" w:rsidRDefault="00603A17" w:rsidP="005366A8">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036755">
              <w:rPr>
                <w:rFonts w:cs="Times New Roman"/>
                <w:sz w:val="19"/>
                <w:szCs w:val="19"/>
              </w:rPr>
              <w:t>2 Focus Groups (9 participants each)</w:t>
            </w:r>
          </w:p>
        </w:tc>
        <w:tc>
          <w:tcPr>
            <w:tcW w:w="4196" w:type="dxa"/>
          </w:tcPr>
          <w:p w14:paraId="5C718456" w14:textId="77777777" w:rsidR="00603A17" w:rsidRPr="00036755" w:rsidRDefault="00603A17" w:rsidP="005366A8">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036755">
              <w:rPr>
                <w:rFonts w:cs="Times New Roman"/>
                <w:sz w:val="19"/>
                <w:szCs w:val="19"/>
              </w:rPr>
              <w:t>2 Focus Groups (9 participants each)</w:t>
            </w:r>
          </w:p>
        </w:tc>
      </w:tr>
      <w:tr w:rsidR="00603A17" w:rsidRPr="00181618" w14:paraId="7868C300" w14:textId="77777777" w:rsidTr="00036755">
        <w:trPr>
          <w:trHeight w:val="195"/>
        </w:trPr>
        <w:tc>
          <w:tcPr>
            <w:cnfStyle w:val="001000000000" w:firstRow="0" w:lastRow="0" w:firstColumn="1" w:lastColumn="0" w:oddVBand="0" w:evenVBand="0" w:oddHBand="0" w:evenHBand="0" w:firstRowFirstColumn="0" w:firstRowLastColumn="0" w:lastRowFirstColumn="0" w:lastRowLastColumn="0"/>
            <w:tcW w:w="1710" w:type="dxa"/>
          </w:tcPr>
          <w:p w14:paraId="2930F495" w14:textId="77777777" w:rsidR="00603A17" w:rsidRPr="00036755" w:rsidRDefault="656112EB" w:rsidP="005366A8">
            <w:pPr>
              <w:rPr>
                <w:rFonts w:cs="Times New Roman"/>
                <w:sz w:val="19"/>
                <w:szCs w:val="19"/>
              </w:rPr>
            </w:pPr>
            <w:r w:rsidRPr="00036755">
              <w:rPr>
                <w:rFonts w:cs="Times New Roman"/>
                <w:sz w:val="19"/>
                <w:szCs w:val="19"/>
              </w:rPr>
              <w:t>Number of Hybrid: Cognitive Interview and Focus Groups</w:t>
            </w:r>
          </w:p>
        </w:tc>
        <w:tc>
          <w:tcPr>
            <w:tcW w:w="3555" w:type="dxa"/>
          </w:tcPr>
          <w:p w14:paraId="5623B904" w14:textId="77777777" w:rsidR="00603A17" w:rsidRPr="00036755" w:rsidRDefault="00603A17" w:rsidP="005366A8">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036755">
              <w:rPr>
                <w:rFonts w:cs="Times New Roman"/>
                <w:sz w:val="19"/>
                <w:szCs w:val="19"/>
              </w:rPr>
              <w:t>2 Hybrid groups (4 - 5 participants each)</w:t>
            </w:r>
          </w:p>
        </w:tc>
        <w:tc>
          <w:tcPr>
            <w:tcW w:w="4196" w:type="dxa"/>
          </w:tcPr>
          <w:p w14:paraId="337DB3D5" w14:textId="77777777" w:rsidR="00603A17" w:rsidRPr="00036755" w:rsidRDefault="00603A17" w:rsidP="005366A8">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036755">
              <w:rPr>
                <w:rFonts w:cs="Times New Roman"/>
                <w:sz w:val="19"/>
                <w:szCs w:val="19"/>
              </w:rPr>
              <w:t>2 Hybrid Groups (4 – 5 participants each)</w:t>
            </w:r>
          </w:p>
        </w:tc>
      </w:tr>
    </w:tbl>
    <w:p w14:paraId="17FA0C40" w14:textId="6F746178" w:rsidR="00603A17" w:rsidRDefault="00603A17" w:rsidP="00603A17"/>
    <w:p w14:paraId="267D227E" w14:textId="77777777" w:rsidR="009A0C7E" w:rsidRDefault="00CD4C72" w:rsidP="00B47A62">
      <w:r w:rsidDel="00CD4C72">
        <w:t xml:space="preserve"> </w:t>
      </w:r>
      <w:r w:rsidR="00603A17">
        <w:t xml:space="preserve">During the first part of the evaluation session all one-one one interviews will be conducted simultaneously to prevent overburdening participants with a long wait until the focus group discussion. </w:t>
      </w:r>
    </w:p>
    <w:p w14:paraId="4663C5EC" w14:textId="5E560EA8" w:rsidR="00B47A62" w:rsidRDefault="00603A17" w:rsidP="00B47A62">
      <w:r>
        <w:t xml:space="preserve">The interview session will last for </w:t>
      </w:r>
      <w:r w:rsidR="00F23B15">
        <w:t>4</w:t>
      </w:r>
      <w:r>
        <w:t xml:space="preserve">0 minutes and the focus group will last for 45 minutes, with a 15-minute break in between. Thus, the total length of the evaluation session will not exceed the </w:t>
      </w:r>
      <w:r w:rsidR="00F23B15">
        <w:t>10</w:t>
      </w:r>
      <w:r>
        <w:t>0-minute timeframe.</w:t>
      </w:r>
    </w:p>
    <w:p w14:paraId="214C4368" w14:textId="77777777" w:rsidR="00352CEE" w:rsidRDefault="00352CEE" w:rsidP="00352CEE">
      <w:pPr>
        <w:pStyle w:val="Heading1"/>
      </w:pPr>
      <w:bookmarkStart w:id="5" w:name="_Toc532906293"/>
      <w:r>
        <w:t>Methods to maximize Response Rates and Deal with No Response</w:t>
      </w:r>
      <w:bookmarkEnd w:id="5"/>
    </w:p>
    <w:p w14:paraId="30A169F9" w14:textId="115980D5" w:rsidR="00012A6D" w:rsidRPr="0085374D" w:rsidRDefault="00012A6D" w:rsidP="00EC307C">
      <w:pPr>
        <w:pStyle w:val="BodyText"/>
        <w:ind w:firstLine="0"/>
      </w:pPr>
      <w:r w:rsidRPr="0085374D">
        <w:t xml:space="preserve">The following procedures will be used for the </w:t>
      </w:r>
      <w:r>
        <w:t xml:space="preserve">focus groups and hybrid groups </w:t>
      </w:r>
      <w:r w:rsidRPr="0085374D">
        <w:t>to maximize cooperation and achieve the desired participation rates:</w:t>
      </w:r>
    </w:p>
    <w:p w14:paraId="3B6B4269" w14:textId="77777777" w:rsidR="00012A6D" w:rsidRPr="0085374D" w:rsidRDefault="00012A6D" w:rsidP="00012A6D">
      <w:pPr>
        <w:pStyle w:val="bullets"/>
        <w:numPr>
          <w:ilvl w:val="0"/>
          <w:numId w:val="5"/>
        </w:numPr>
        <w:tabs>
          <w:tab w:val="clear" w:pos="1800"/>
        </w:tabs>
        <w:spacing w:after="0" w:line="360" w:lineRule="auto"/>
        <w:ind w:left="1080"/>
        <w:rPr>
          <w:rStyle w:val="Strong"/>
          <w:b w:val="0"/>
        </w:rPr>
      </w:pPr>
      <w:r>
        <w:t>EurekaFacts p</w:t>
      </w:r>
      <w:r w:rsidRPr="0085374D">
        <w:t>rofessional recruitment staff</w:t>
      </w:r>
      <w:r w:rsidRPr="0085374D" w:rsidDel="00287D1A">
        <w:t xml:space="preserve"> </w:t>
      </w:r>
      <w:r w:rsidRPr="0085374D">
        <w:t>will recruit participants</w:t>
      </w:r>
      <w:r w:rsidRPr="0085374D">
        <w:rPr>
          <w:rStyle w:val="Strong"/>
        </w:rPr>
        <w:t>.</w:t>
      </w:r>
    </w:p>
    <w:p w14:paraId="6CC6305A" w14:textId="77777777" w:rsidR="00012A6D" w:rsidRDefault="00012A6D" w:rsidP="00012A6D">
      <w:pPr>
        <w:pStyle w:val="bullets"/>
        <w:numPr>
          <w:ilvl w:val="0"/>
          <w:numId w:val="5"/>
        </w:numPr>
        <w:tabs>
          <w:tab w:val="clear" w:pos="1800"/>
        </w:tabs>
        <w:spacing w:after="0" w:line="360" w:lineRule="auto"/>
        <w:ind w:left="1080"/>
      </w:pPr>
      <w:r w:rsidRPr="0085374D">
        <w:t xml:space="preserve">Reminder letters/e-mails will be sent to participants with directions to the research site and reminder phone calls placed 1 to 2 days prior to the scheduled data collection. </w:t>
      </w:r>
    </w:p>
    <w:p w14:paraId="742AFFBA" w14:textId="29E7B141" w:rsidR="00012A6D" w:rsidRDefault="00012A6D" w:rsidP="00012A6D">
      <w:pPr>
        <w:pStyle w:val="bullets"/>
        <w:numPr>
          <w:ilvl w:val="0"/>
          <w:numId w:val="5"/>
        </w:numPr>
        <w:tabs>
          <w:tab w:val="clear" w:pos="1800"/>
        </w:tabs>
        <w:spacing w:after="0" w:line="360" w:lineRule="auto"/>
        <w:ind w:left="1080"/>
      </w:pPr>
      <w:r w:rsidRPr="0085374D">
        <w:t>A token of appreciation will be provided to thank participants for their time and participation in the study</w:t>
      </w:r>
    </w:p>
    <w:p w14:paraId="3887CC67" w14:textId="2ED2F177" w:rsidR="00DF1274" w:rsidRDefault="009E7637" w:rsidP="00012A6D">
      <w:pPr>
        <w:pStyle w:val="bullets"/>
        <w:numPr>
          <w:ilvl w:val="0"/>
          <w:numId w:val="5"/>
        </w:numPr>
        <w:tabs>
          <w:tab w:val="clear" w:pos="1800"/>
        </w:tabs>
        <w:spacing w:after="0" w:line="360" w:lineRule="auto"/>
        <w:ind w:left="1080"/>
      </w:pPr>
      <w:r>
        <w:t xml:space="preserve">If a participant declines to participate, a replacement will be selected from the pool of eligible participants </w:t>
      </w:r>
    </w:p>
    <w:p w14:paraId="214C436A" w14:textId="22BFBA7E" w:rsidR="00352CEE" w:rsidRDefault="00352CEE" w:rsidP="00352CEE">
      <w:pPr>
        <w:pStyle w:val="Heading1"/>
      </w:pPr>
      <w:bookmarkStart w:id="6" w:name="_Toc532906294"/>
      <w:r>
        <w:t xml:space="preserve">Tests </w:t>
      </w:r>
      <w:r w:rsidR="00DE48C7">
        <w:t>of Procedures or Methods to be u</w:t>
      </w:r>
      <w:r>
        <w:t>ndertaken</w:t>
      </w:r>
      <w:bookmarkEnd w:id="6"/>
    </w:p>
    <w:p w14:paraId="34292413" w14:textId="412F6FA6" w:rsidR="00A96044" w:rsidRDefault="656112EB" w:rsidP="00985CCD">
      <w:r>
        <w:t>No pre-tests are planned for this effort.</w:t>
      </w:r>
    </w:p>
    <w:p w14:paraId="214C436D" w14:textId="77777777" w:rsidR="00352CEE" w:rsidRDefault="00352CEE" w:rsidP="00352CEE">
      <w:pPr>
        <w:pStyle w:val="Heading1"/>
      </w:pPr>
      <w:bookmarkStart w:id="7" w:name="_Toc532906295"/>
      <w:r>
        <w:t>Individuals Consulted on Statistical Aspects and Individuals Collecting and/or Analyzing Data</w:t>
      </w:r>
      <w:bookmarkEnd w:id="7"/>
    </w:p>
    <w:p w14:paraId="4AF7B184" w14:textId="2C4B8478" w:rsidR="005B6930" w:rsidRDefault="005B6930" w:rsidP="00985CCD">
      <w:pPr>
        <w:rPr>
          <w:rFonts w:cs="Times New Roman"/>
          <w:szCs w:val="24"/>
        </w:rPr>
      </w:pPr>
      <w:r w:rsidRPr="0085374D">
        <w:rPr>
          <w:rFonts w:cs="Times New Roman"/>
          <w:szCs w:val="24"/>
        </w:rPr>
        <w:t xml:space="preserve">The individuals consulted on technical and statistical issues related to data collection are listed below. The data will be collected </w:t>
      </w:r>
      <w:r>
        <w:rPr>
          <w:rFonts w:cs="Times New Roman"/>
          <w:szCs w:val="24"/>
        </w:rPr>
        <w:t xml:space="preserve">by EurekaFacts </w:t>
      </w:r>
      <w:r w:rsidRPr="0085374D">
        <w:rPr>
          <w:rFonts w:cs="Times New Roman"/>
          <w:szCs w:val="24"/>
        </w:rPr>
        <w:t xml:space="preserve">and analyzed by the </w:t>
      </w:r>
      <w:r>
        <w:rPr>
          <w:rFonts w:cs="Times New Roman"/>
          <w:szCs w:val="24"/>
        </w:rPr>
        <w:t>EurekaFacts team.</w:t>
      </w:r>
    </w:p>
    <w:tbl>
      <w:tblPr>
        <w:tblStyle w:val="TableGrid"/>
        <w:tblW w:w="0" w:type="auto"/>
        <w:tblLook w:val="04A0" w:firstRow="1" w:lastRow="0" w:firstColumn="1" w:lastColumn="0" w:noHBand="0" w:noVBand="1"/>
      </w:tblPr>
      <w:tblGrid>
        <w:gridCol w:w="3356"/>
        <w:gridCol w:w="3357"/>
        <w:gridCol w:w="3357"/>
      </w:tblGrid>
      <w:tr w:rsidR="00E716DB" w:rsidRPr="0026166B" w14:paraId="61364D35" w14:textId="77777777" w:rsidTr="00E716DB">
        <w:tc>
          <w:tcPr>
            <w:tcW w:w="3356" w:type="dxa"/>
          </w:tcPr>
          <w:p w14:paraId="03C54AA6" w14:textId="0D1CE460" w:rsidR="00E716DB" w:rsidRPr="0026166B" w:rsidRDefault="00E716DB" w:rsidP="00985CCD">
            <w:pPr>
              <w:rPr>
                <w:rFonts w:cs="Times New Roman"/>
                <w:b/>
                <w:szCs w:val="24"/>
              </w:rPr>
            </w:pPr>
            <w:r w:rsidRPr="0026166B">
              <w:rPr>
                <w:rFonts w:cs="Times New Roman"/>
                <w:b/>
                <w:szCs w:val="24"/>
              </w:rPr>
              <w:t>Name</w:t>
            </w:r>
          </w:p>
        </w:tc>
        <w:tc>
          <w:tcPr>
            <w:tcW w:w="3357" w:type="dxa"/>
          </w:tcPr>
          <w:p w14:paraId="42CD667F" w14:textId="6D52E149" w:rsidR="00E716DB" w:rsidRPr="0026166B" w:rsidRDefault="00E716DB" w:rsidP="00985CCD">
            <w:pPr>
              <w:rPr>
                <w:rFonts w:cs="Times New Roman"/>
                <w:b/>
                <w:szCs w:val="24"/>
              </w:rPr>
            </w:pPr>
            <w:r w:rsidRPr="0026166B">
              <w:rPr>
                <w:rFonts w:cs="Times New Roman"/>
                <w:b/>
                <w:szCs w:val="24"/>
              </w:rPr>
              <w:t>Phone</w:t>
            </w:r>
          </w:p>
        </w:tc>
        <w:tc>
          <w:tcPr>
            <w:tcW w:w="3357" w:type="dxa"/>
          </w:tcPr>
          <w:p w14:paraId="5CE1E5B6" w14:textId="01634695" w:rsidR="00E716DB" w:rsidRPr="0026166B" w:rsidRDefault="00E716DB" w:rsidP="00985CCD">
            <w:pPr>
              <w:rPr>
                <w:rFonts w:cs="Times New Roman"/>
                <w:b/>
                <w:szCs w:val="24"/>
              </w:rPr>
            </w:pPr>
            <w:r w:rsidRPr="0026166B">
              <w:rPr>
                <w:rFonts w:cs="Times New Roman"/>
                <w:b/>
                <w:szCs w:val="24"/>
              </w:rPr>
              <w:t>Email</w:t>
            </w:r>
          </w:p>
        </w:tc>
      </w:tr>
      <w:tr w:rsidR="00E716DB" w14:paraId="1DF7C924" w14:textId="77777777" w:rsidTr="00E716DB">
        <w:tc>
          <w:tcPr>
            <w:tcW w:w="3356" w:type="dxa"/>
          </w:tcPr>
          <w:p w14:paraId="7B3CDF24" w14:textId="3869E77B" w:rsidR="00E716DB" w:rsidRPr="0026166B" w:rsidRDefault="0026166B" w:rsidP="00985CCD">
            <w:pPr>
              <w:rPr>
                <w:rFonts w:cs="Times New Roman"/>
                <w:szCs w:val="24"/>
              </w:rPr>
            </w:pPr>
            <w:r>
              <w:rPr>
                <w:rFonts w:cs="Times New Roman"/>
                <w:szCs w:val="24"/>
              </w:rPr>
              <w:t>Paul Schroeder</w:t>
            </w:r>
          </w:p>
        </w:tc>
        <w:tc>
          <w:tcPr>
            <w:tcW w:w="3357" w:type="dxa"/>
          </w:tcPr>
          <w:p w14:paraId="69494FB4" w14:textId="305262C5" w:rsidR="00E716DB" w:rsidRPr="0026166B" w:rsidRDefault="00653125" w:rsidP="00985CCD">
            <w:pPr>
              <w:rPr>
                <w:rFonts w:cs="Times New Roman"/>
                <w:szCs w:val="24"/>
              </w:rPr>
            </w:pPr>
            <w:r>
              <w:rPr>
                <w:rFonts w:cs="Times New Roman"/>
                <w:szCs w:val="24"/>
              </w:rPr>
              <w:t>240.403.1645</w:t>
            </w:r>
          </w:p>
        </w:tc>
        <w:tc>
          <w:tcPr>
            <w:tcW w:w="3357" w:type="dxa"/>
          </w:tcPr>
          <w:p w14:paraId="3C838E53" w14:textId="0FFFFA39" w:rsidR="00E716DB" w:rsidRPr="0026166B" w:rsidRDefault="00C8599B" w:rsidP="00985CCD">
            <w:pPr>
              <w:rPr>
                <w:rFonts w:cs="Times New Roman"/>
                <w:szCs w:val="24"/>
              </w:rPr>
            </w:pPr>
            <w:hyperlink r:id="rId13" w:history="1">
              <w:r w:rsidR="00036755" w:rsidRPr="00972A21">
                <w:rPr>
                  <w:rStyle w:val="Hyperlink"/>
                  <w:rFonts w:cs="Times New Roman"/>
                  <w:szCs w:val="24"/>
                </w:rPr>
                <w:t>schroederp@eurekafacts.com</w:t>
              </w:r>
            </w:hyperlink>
            <w:r w:rsidR="00036755">
              <w:rPr>
                <w:rFonts w:cs="Times New Roman"/>
                <w:szCs w:val="24"/>
              </w:rPr>
              <w:t xml:space="preserve"> </w:t>
            </w:r>
          </w:p>
        </w:tc>
      </w:tr>
      <w:tr w:rsidR="00E716DB" w14:paraId="3BF0C786" w14:textId="77777777" w:rsidTr="00E716DB">
        <w:tc>
          <w:tcPr>
            <w:tcW w:w="3356" w:type="dxa"/>
          </w:tcPr>
          <w:p w14:paraId="45EC2C64" w14:textId="7A616967" w:rsidR="00E716DB" w:rsidRPr="0026166B" w:rsidRDefault="0026166B" w:rsidP="00985CCD">
            <w:pPr>
              <w:rPr>
                <w:rFonts w:cs="Times New Roman"/>
                <w:szCs w:val="24"/>
              </w:rPr>
            </w:pPr>
            <w:r>
              <w:rPr>
                <w:rFonts w:cs="Times New Roman"/>
                <w:szCs w:val="24"/>
              </w:rPr>
              <w:t>Mila Sugovic</w:t>
            </w:r>
          </w:p>
        </w:tc>
        <w:tc>
          <w:tcPr>
            <w:tcW w:w="3357" w:type="dxa"/>
          </w:tcPr>
          <w:p w14:paraId="106FC8A8" w14:textId="60D935C0" w:rsidR="00E716DB" w:rsidRPr="0026166B" w:rsidRDefault="00685764" w:rsidP="00985CCD">
            <w:pPr>
              <w:rPr>
                <w:rFonts w:cs="Times New Roman"/>
                <w:szCs w:val="24"/>
              </w:rPr>
            </w:pPr>
            <w:r>
              <w:rPr>
                <w:rFonts w:cs="Times New Roman"/>
                <w:szCs w:val="24"/>
              </w:rPr>
              <w:t>240.403.4800 x</w:t>
            </w:r>
            <w:r w:rsidR="007C20BF">
              <w:rPr>
                <w:rFonts w:cs="Times New Roman"/>
                <w:szCs w:val="24"/>
              </w:rPr>
              <w:t>218</w:t>
            </w:r>
          </w:p>
        </w:tc>
        <w:tc>
          <w:tcPr>
            <w:tcW w:w="3357" w:type="dxa"/>
          </w:tcPr>
          <w:p w14:paraId="2B717DB8" w14:textId="313A9E9E" w:rsidR="00E716DB" w:rsidRPr="0026166B" w:rsidRDefault="0014441A" w:rsidP="00985CCD">
            <w:pPr>
              <w:rPr>
                <w:rFonts w:cs="Times New Roman"/>
                <w:szCs w:val="24"/>
              </w:rPr>
            </w:pPr>
            <w:r>
              <w:rPr>
                <w:rStyle w:val="Hyperlink"/>
                <w:rFonts w:cs="Times New Roman"/>
                <w:szCs w:val="24"/>
              </w:rPr>
              <w:t>sugovicm</w:t>
            </w:r>
            <w:hyperlink r:id="rId14" w:history="1">
              <w:r w:rsidR="00653125" w:rsidRPr="00C30E7F">
                <w:rPr>
                  <w:rStyle w:val="Hyperlink"/>
                  <w:rFonts w:cs="Times New Roman"/>
                  <w:szCs w:val="24"/>
                </w:rPr>
                <w:t>@eurekafacts.com</w:t>
              </w:r>
            </w:hyperlink>
          </w:p>
        </w:tc>
      </w:tr>
      <w:tr w:rsidR="00E716DB" w14:paraId="068D2AD5" w14:textId="77777777" w:rsidTr="00E716DB">
        <w:tc>
          <w:tcPr>
            <w:tcW w:w="3356" w:type="dxa"/>
          </w:tcPr>
          <w:p w14:paraId="1F2324B1" w14:textId="68A16726" w:rsidR="00E716DB" w:rsidRPr="0026166B" w:rsidRDefault="0026166B" w:rsidP="00985CCD">
            <w:pPr>
              <w:rPr>
                <w:rFonts w:cs="Times New Roman"/>
                <w:szCs w:val="24"/>
              </w:rPr>
            </w:pPr>
            <w:r>
              <w:rPr>
                <w:rFonts w:cs="Times New Roman"/>
                <w:szCs w:val="24"/>
              </w:rPr>
              <w:t>Lani Steff</w:t>
            </w:r>
            <w:r w:rsidR="00653125">
              <w:rPr>
                <w:rFonts w:cs="Times New Roman"/>
                <w:szCs w:val="24"/>
              </w:rPr>
              <w:t>e</w:t>
            </w:r>
            <w:r>
              <w:rPr>
                <w:rFonts w:cs="Times New Roman"/>
                <w:szCs w:val="24"/>
              </w:rPr>
              <w:t>ns</w:t>
            </w:r>
          </w:p>
        </w:tc>
        <w:tc>
          <w:tcPr>
            <w:tcW w:w="3357" w:type="dxa"/>
          </w:tcPr>
          <w:p w14:paraId="224358F1" w14:textId="76A3F794" w:rsidR="00E716DB" w:rsidRPr="0026166B" w:rsidRDefault="00653125" w:rsidP="00985CCD">
            <w:pPr>
              <w:rPr>
                <w:rFonts w:cs="Times New Roman"/>
                <w:szCs w:val="24"/>
              </w:rPr>
            </w:pPr>
            <w:r>
              <w:rPr>
                <w:rFonts w:cs="Times New Roman"/>
                <w:szCs w:val="24"/>
              </w:rPr>
              <w:t>240.</w:t>
            </w:r>
            <w:r w:rsidR="00D16A19">
              <w:rPr>
                <w:rFonts w:cs="Times New Roman"/>
                <w:szCs w:val="24"/>
              </w:rPr>
              <w:t>403.4800 x212</w:t>
            </w:r>
          </w:p>
        </w:tc>
        <w:tc>
          <w:tcPr>
            <w:tcW w:w="3357" w:type="dxa"/>
          </w:tcPr>
          <w:p w14:paraId="0CB7E9B3" w14:textId="3DB3F6B2" w:rsidR="00E716DB" w:rsidRPr="0026166B" w:rsidRDefault="00C8599B" w:rsidP="00985CCD">
            <w:pPr>
              <w:rPr>
                <w:rFonts w:cs="Times New Roman"/>
                <w:szCs w:val="24"/>
              </w:rPr>
            </w:pPr>
            <w:hyperlink r:id="rId15" w:history="1">
              <w:r w:rsidR="00D16A19" w:rsidRPr="00C30E7F">
                <w:rPr>
                  <w:rStyle w:val="Hyperlink"/>
                  <w:rFonts w:cs="Times New Roman"/>
                  <w:szCs w:val="24"/>
                </w:rPr>
                <w:t>steffensl@eurekafacts.com</w:t>
              </w:r>
            </w:hyperlink>
          </w:p>
        </w:tc>
      </w:tr>
    </w:tbl>
    <w:p w14:paraId="377EF69D" w14:textId="77777777" w:rsidR="00752DFF" w:rsidRDefault="00752DFF" w:rsidP="00985CCD"/>
    <w:p w14:paraId="3CE773D0" w14:textId="6DC62BD3" w:rsidR="00B57E43" w:rsidRDefault="00B57E43" w:rsidP="00985CCD">
      <w:pPr>
        <w:rPr>
          <w:b/>
        </w:rPr>
      </w:pPr>
      <w:r w:rsidRPr="00B57E43">
        <w:rPr>
          <w:b/>
        </w:rPr>
        <w:t>References</w:t>
      </w:r>
    </w:p>
    <w:p w14:paraId="4CB6D9FA" w14:textId="77777777" w:rsidR="00854FBF" w:rsidRPr="00854FBF" w:rsidRDefault="00854FBF" w:rsidP="00854FBF">
      <w:pPr>
        <w:ind w:left="720" w:hanging="720"/>
        <w:rPr>
          <w:rFonts w:eastAsia="Arial" w:cs="Times New Roman"/>
          <w:bCs/>
        </w:rPr>
      </w:pPr>
      <w:r w:rsidRPr="00854FBF">
        <w:rPr>
          <w:rFonts w:eastAsia="Arial" w:cs="Times New Roman"/>
          <w:bCs/>
        </w:rPr>
        <w:t xml:space="preserve">Abreu, D. A., &amp; Winters, F. (1999). Using monetary incentives to reduce attrition in the survey of income and program participation. Proceedings of the Survey Research Methods Section of the American Statistical Association. </w:t>
      </w:r>
    </w:p>
    <w:p w14:paraId="1DD5279C" w14:textId="77777777" w:rsidR="00854FBF" w:rsidRPr="00854FBF" w:rsidRDefault="00854FBF" w:rsidP="00854FBF">
      <w:pPr>
        <w:ind w:left="720" w:hanging="720"/>
        <w:rPr>
          <w:rFonts w:eastAsia="Arial" w:cs="Times New Roman"/>
          <w:bCs/>
        </w:rPr>
      </w:pPr>
      <w:r w:rsidRPr="00854FBF">
        <w:rPr>
          <w:rFonts w:eastAsia="Arial" w:cs="Times New Roman"/>
          <w:bCs/>
        </w:rPr>
        <w:t xml:space="preserve">Centers for Disease Control and Prevention (2018, February 16). Foodborne Illnesses and Germs. Retrieved from https://www.cdc.gov/foodsafety/foodborne-germs.html </w:t>
      </w:r>
    </w:p>
    <w:p w14:paraId="155D52B5" w14:textId="77777777" w:rsidR="00854FBF" w:rsidRPr="00854FBF" w:rsidRDefault="00854FBF" w:rsidP="00854FBF">
      <w:pPr>
        <w:ind w:left="720" w:hanging="720"/>
        <w:rPr>
          <w:rFonts w:eastAsia="Arial" w:cs="Times New Roman"/>
          <w:bCs/>
        </w:rPr>
      </w:pPr>
      <w:r w:rsidRPr="00854FBF">
        <w:rPr>
          <w:rFonts w:eastAsia="Arial" w:cs="Times New Roman"/>
          <w:bCs/>
        </w:rPr>
        <w:t xml:space="preserve">Hoffmann, Sandra, Michael B. Batz, and J. G. Morris. (2012). Annual cost of illness and quality-adjusted life year losses in the united states due to 14 foodborne pathogens. Journal of food protection 75(7) (07), 1292-302. Retrieved from http://proxygw.wrlc.org/login?url=https://search-proquest-com.proxygw.wrlc.org/docview/1024158105?accountid=11243 (accessed August 14, 2018). </w:t>
      </w:r>
    </w:p>
    <w:p w14:paraId="383AA4B9" w14:textId="77777777" w:rsidR="00854FBF" w:rsidRPr="00854FBF" w:rsidRDefault="00854FBF" w:rsidP="00854FBF">
      <w:pPr>
        <w:ind w:left="720" w:hanging="720"/>
        <w:rPr>
          <w:rFonts w:eastAsia="Arial" w:cs="Times New Roman"/>
          <w:bCs/>
        </w:rPr>
      </w:pPr>
      <w:r w:rsidRPr="00854FBF">
        <w:rPr>
          <w:rFonts w:eastAsia="Arial" w:cs="Times New Roman"/>
          <w:bCs/>
        </w:rPr>
        <w:t>Shettle, C., &amp; Mooney, G. (1999). Monetary incentives in U.S. government surveys. Journal of Official Statistics, 15, 231–250.</w:t>
      </w:r>
    </w:p>
    <w:p w14:paraId="668C2739" w14:textId="33F50018" w:rsidR="00B57E43" w:rsidRPr="00854FBF" w:rsidRDefault="00685764" w:rsidP="00854FBF">
      <w:pPr>
        <w:ind w:left="720" w:hanging="720"/>
        <w:rPr>
          <w:rFonts w:cs="Times New Roman"/>
        </w:rPr>
      </w:pPr>
      <w:r w:rsidRPr="00854FBF">
        <w:rPr>
          <w:rFonts w:cs="Times New Roman"/>
        </w:rPr>
        <w:t xml:space="preserve">U.S. Census Bureau (2017). American Community Survey 1-year estimates. Retrieved from Census Reporter Profile page for United States </w:t>
      </w:r>
      <w:hyperlink r:id="rId16" w:history="1">
        <w:r w:rsidRPr="00854FBF">
          <w:rPr>
            <w:rStyle w:val="Hyperlink"/>
            <w:rFonts w:cs="Times New Roman"/>
          </w:rPr>
          <w:t>https://censusreporter.org/profiles/01000US-united-states/</w:t>
        </w:r>
      </w:hyperlink>
      <w:r w:rsidRPr="00854FBF">
        <w:rPr>
          <w:rFonts w:cs="Times New Roman"/>
        </w:rPr>
        <w:t>. Retrieved on November 14, 2018.</w:t>
      </w:r>
    </w:p>
    <w:sectPr w:rsidR="00B57E43" w:rsidRPr="00854FBF" w:rsidSect="00512B54">
      <w:footerReference w:type="defaul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5269E" w14:textId="77777777" w:rsidR="00CF062A" w:rsidRDefault="00CF062A" w:rsidP="008B5D54">
      <w:pPr>
        <w:spacing w:after="0" w:line="240" w:lineRule="auto"/>
      </w:pPr>
      <w:r>
        <w:separator/>
      </w:r>
    </w:p>
  </w:endnote>
  <w:endnote w:type="continuationSeparator" w:id="0">
    <w:p w14:paraId="3E160EDF" w14:textId="77777777" w:rsidR="00CF062A" w:rsidRDefault="00CF062A" w:rsidP="008B5D54">
      <w:pPr>
        <w:spacing w:after="0" w:line="240" w:lineRule="auto"/>
      </w:pPr>
      <w:r>
        <w:continuationSeparator/>
      </w:r>
    </w:p>
  </w:endnote>
  <w:endnote w:type="continuationNotice" w:id="1">
    <w:p w14:paraId="518D5C72" w14:textId="77777777" w:rsidR="00CF062A" w:rsidRDefault="00CF0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120369"/>
      <w:docPartObj>
        <w:docPartGallery w:val="Page Numbers (Bottom of Page)"/>
        <w:docPartUnique/>
      </w:docPartObj>
    </w:sdtPr>
    <w:sdtEndPr>
      <w:rPr>
        <w:noProof/>
      </w:rPr>
    </w:sdtEndPr>
    <w:sdtContent>
      <w:p w14:paraId="2600BB54" w14:textId="126AD2EB" w:rsidR="006D1386" w:rsidRDefault="006D1386">
        <w:pPr>
          <w:pStyle w:val="Footer"/>
          <w:jc w:val="center"/>
        </w:pPr>
        <w:r>
          <w:fldChar w:fldCharType="begin"/>
        </w:r>
        <w:r>
          <w:instrText xml:space="preserve"> PAGE   \* MERGEFORMAT </w:instrText>
        </w:r>
        <w:r>
          <w:fldChar w:fldCharType="separate"/>
        </w:r>
        <w:r w:rsidR="00C8599B">
          <w:rPr>
            <w:noProof/>
          </w:rPr>
          <w:t>1</w:t>
        </w:r>
        <w:r>
          <w:rPr>
            <w:noProof/>
          </w:rPr>
          <w:fldChar w:fldCharType="end"/>
        </w:r>
      </w:p>
    </w:sdtContent>
  </w:sdt>
  <w:p w14:paraId="214C4376" w14:textId="77777777" w:rsidR="006D1386" w:rsidRDefault="006D1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B713D" w14:textId="77777777" w:rsidR="00CF062A" w:rsidRDefault="00CF062A" w:rsidP="008B5D54">
      <w:pPr>
        <w:spacing w:after="0" w:line="240" w:lineRule="auto"/>
      </w:pPr>
      <w:r>
        <w:separator/>
      </w:r>
    </w:p>
  </w:footnote>
  <w:footnote w:type="continuationSeparator" w:id="0">
    <w:p w14:paraId="2905E252" w14:textId="77777777" w:rsidR="00CF062A" w:rsidRDefault="00CF062A" w:rsidP="008B5D54">
      <w:pPr>
        <w:spacing w:after="0" w:line="240" w:lineRule="auto"/>
      </w:pPr>
      <w:r>
        <w:continuationSeparator/>
      </w:r>
    </w:p>
  </w:footnote>
  <w:footnote w:type="continuationNotice" w:id="1">
    <w:p w14:paraId="5490391B" w14:textId="77777777" w:rsidR="00CF062A" w:rsidRDefault="00CF062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A32BA0"/>
    <w:multiLevelType w:val="hybridMultilevel"/>
    <w:tmpl w:val="8B3A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42398"/>
    <w:multiLevelType w:val="hybridMultilevel"/>
    <w:tmpl w:val="562E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9C121E0"/>
    <w:multiLevelType w:val="hybridMultilevel"/>
    <w:tmpl w:val="CDF010D8"/>
    <w:lvl w:ilvl="0" w:tplc="9B6AB68A">
      <w:start w:val="1"/>
      <w:numFmt w:val="bullet"/>
      <w:pStyle w:val="Bullets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12A6D"/>
    <w:rsid w:val="00026B41"/>
    <w:rsid w:val="00036755"/>
    <w:rsid w:val="00083ABF"/>
    <w:rsid w:val="000A7C83"/>
    <w:rsid w:val="000B4326"/>
    <w:rsid w:val="00102B0A"/>
    <w:rsid w:val="00122A95"/>
    <w:rsid w:val="001430CD"/>
    <w:rsid w:val="0014441A"/>
    <w:rsid w:val="00155DCA"/>
    <w:rsid w:val="00160519"/>
    <w:rsid w:val="00176F07"/>
    <w:rsid w:val="00185A61"/>
    <w:rsid w:val="001D0A92"/>
    <w:rsid w:val="001E4252"/>
    <w:rsid w:val="00227277"/>
    <w:rsid w:val="00242614"/>
    <w:rsid w:val="00250906"/>
    <w:rsid w:val="0026166B"/>
    <w:rsid w:val="00262AC1"/>
    <w:rsid w:val="002A7300"/>
    <w:rsid w:val="002D6167"/>
    <w:rsid w:val="002D7E48"/>
    <w:rsid w:val="003526B1"/>
    <w:rsid w:val="00352CEE"/>
    <w:rsid w:val="004D0CD2"/>
    <w:rsid w:val="004F2A9D"/>
    <w:rsid w:val="00505DF4"/>
    <w:rsid w:val="00512B54"/>
    <w:rsid w:val="005366A8"/>
    <w:rsid w:val="005421D1"/>
    <w:rsid w:val="00554033"/>
    <w:rsid w:val="005548D5"/>
    <w:rsid w:val="00577D26"/>
    <w:rsid w:val="00585504"/>
    <w:rsid w:val="00587E8F"/>
    <w:rsid w:val="005B6930"/>
    <w:rsid w:val="005C4D59"/>
    <w:rsid w:val="00603A17"/>
    <w:rsid w:val="006130C4"/>
    <w:rsid w:val="00653125"/>
    <w:rsid w:val="00685764"/>
    <w:rsid w:val="006C6578"/>
    <w:rsid w:val="006D1386"/>
    <w:rsid w:val="006D16F5"/>
    <w:rsid w:val="006F12C6"/>
    <w:rsid w:val="007336BE"/>
    <w:rsid w:val="0073510C"/>
    <w:rsid w:val="007359AC"/>
    <w:rsid w:val="00752DFF"/>
    <w:rsid w:val="007C20BF"/>
    <w:rsid w:val="007E07CC"/>
    <w:rsid w:val="007E6753"/>
    <w:rsid w:val="008341AE"/>
    <w:rsid w:val="00854FBF"/>
    <w:rsid w:val="0089066C"/>
    <w:rsid w:val="008A743D"/>
    <w:rsid w:val="008B0B6E"/>
    <w:rsid w:val="008B5D54"/>
    <w:rsid w:val="008D155D"/>
    <w:rsid w:val="008F0862"/>
    <w:rsid w:val="009050E9"/>
    <w:rsid w:val="009251B7"/>
    <w:rsid w:val="00927BD0"/>
    <w:rsid w:val="00936D08"/>
    <w:rsid w:val="009423B9"/>
    <w:rsid w:val="009526E6"/>
    <w:rsid w:val="00954A6A"/>
    <w:rsid w:val="00955B11"/>
    <w:rsid w:val="00976269"/>
    <w:rsid w:val="00985CCD"/>
    <w:rsid w:val="00997D0E"/>
    <w:rsid w:val="009A0C7E"/>
    <w:rsid w:val="009B280F"/>
    <w:rsid w:val="009B5C81"/>
    <w:rsid w:val="009E7637"/>
    <w:rsid w:val="009F58FA"/>
    <w:rsid w:val="00A12917"/>
    <w:rsid w:val="00A725D6"/>
    <w:rsid w:val="00A879AE"/>
    <w:rsid w:val="00A90D6D"/>
    <w:rsid w:val="00A96044"/>
    <w:rsid w:val="00AC6C66"/>
    <w:rsid w:val="00AE27D7"/>
    <w:rsid w:val="00B0751D"/>
    <w:rsid w:val="00B216FB"/>
    <w:rsid w:val="00B22037"/>
    <w:rsid w:val="00B47A62"/>
    <w:rsid w:val="00B55735"/>
    <w:rsid w:val="00B57E43"/>
    <w:rsid w:val="00B608AC"/>
    <w:rsid w:val="00BC5E90"/>
    <w:rsid w:val="00BE41A3"/>
    <w:rsid w:val="00C252DB"/>
    <w:rsid w:val="00C71E10"/>
    <w:rsid w:val="00C740C3"/>
    <w:rsid w:val="00C8599B"/>
    <w:rsid w:val="00CD4C72"/>
    <w:rsid w:val="00CE67BE"/>
    <w:rsid w:val="00CF062A"/>
    <w:rsid w:val="00D16A19"/>
    <w:rsid w:val="00D65E31"/>
    <w:rsid w:val="00DC57CC"/>
    <w:rsid w:val="00DC760B"/>
    <w:rsid w:val="00DE48C7"/>
    <w:rsid w:val="00DE5048"/>
    <w:rsid w:val="00DF1274"/>
    <w:rsid w:val="00E019E9"/>
    <w:rsid w:val="00E12CF5"/>
    <w:rsid w:val="00E42499"/>
    <w:rsid w:val="00E66821"/>
    <w:rsid w:val="00E716DB"/>
    <w:rsid w:val="00E868B3"/>
    <w:rsid w:val="00E874F7"/>
    <w:rsid w:val="00EA6D4A"/>
    <w:rsid w:val="00EC307C"/>
    <w:rsid w:val="00F234AD"/>
    <w:rsid w:val="00F23B15"/>
    <w:rsid w:val="00F858E4"/>
    <w:rsid w:val="00F97F2F"/>
    <w:rsid w:val="00FB52D9"/>
    <w:rsid w:val="00FC569D"/>
    <w:rsid w:val="00FC75D4"/>
    <w:rsid w:val="00FE5FB1"/>
    <w:rsid w:val="21EAD625"/>
    <w:rsid w:val="51B6F846"/>
    <w:rsid w:val="609DC946"/>
    <w:rsid w:val="656112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0">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0"/>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603A17"/>
    <w:rPr>
      <w:sz w:val="16"/>
      <w:szCs w:val="16"/>
    </w:rPr>
  </w:style>
  <w:style w:type="paragraph" w:styleId="CommentText">
    <w:name w:val="annotation text"/>
    <w:basedOn w:val="Normal"/>
    <w:link w:val="CommentTextChar"/>
    <w:uiPriority w:val="99"/>
    <w:semiHidden/>
    <w:unhideWhenUsed/>
    <w:rsid w:val="00603A17"/>
    <w:pPr>
      <w:spacing w:line="240" w:lineRule="auto"/>
    </w:pPr>
    <w:rPr>
      <w:sz w:val="20"/>
      <w:szCs w:val="20"/>
    </w:rPr>
  </w:style>
  <w:style w:type="character" w:customStyle="1" w:styleId="CommentTextChar">
    <w:name w:val="Comment Text Char"/>
    <w:basedOn w:val="DefaultParagraphFont"/>
    <w:link w:val="CommentText"/>
    <w:uiPriority w:val="99"/>
    <w:semiHidden/>
    <w:rsid w:val="00603A1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03A17"/>
    <w:rPr>
      <w:b/>
      <w:bCs/>
    </w:rPr>
  </w:style>
  <w:style w:type="character" w:customStyle="1" w:styleId="CommentSubjectChar">
    <w:name w:val="Comment Subject Char"/>
    <w:basedOn w:val="CommentTextChar"/>
    <w:link w:val="CommentSubject"/>
    <w:uiPriority w:val="99"/>
    <w:semiHidden/>
    <w:rsid w:val="00603A17"/>
    <w:rPr>
      <w:rFonts w:ascii="Times New Roman" w:hAnsi="Times New Roman"/>
      <w:b/>
      <w:bCs/>
      <w:sz w:val="20"/>
      <w:szCs w:val="20"/>
    </w:rPr>
  </w:style>
  <w:style w:type="paragraph" w:styleId="BalloonText">
    <w:name w:val="Balloon Text"/>
    <w:basedOn w:val="Normal"/>
    <w:link w:val="BalloonTextChar"/>
    <w:uiPriority w:val="99"/>
    <w:semiHidden/>
    <w:unhideWhenUsed/>
    <w:rsid w:val="00603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A17"/>
    <w:rPr>
      <w:rFonts w:ascii="Segoe UI" w:hAnsi="Segoe UI" w:cs="Segoe UI"/>
      <w:sz w:val="18"/>
      <w:szCs w:val="18"/>
    </w:rPr>
  </w:style>
  <w:style w:type="table" w:customStyle="1" w:styleId="GridTable1LightAccent1">
    <w:name w:val="Grid Table 1 Light Accent 1"/>
    <w:basedOn w:val="TableNormal"/>
    <w:uiPriority w:val="46"/>
    <w:rsid w:val="00603A1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rsid w:val="00012A6D"/>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012A6D"/>
    <w:rPr>
      <w:rFonts w:ascii="Times New Roman" w:eastAsia="Times New Roman" w:hAnsi="Times New Roman" w:cs="Times New Roman"/>
      <w:sz w:val="24"/>
      <w:szCs w:val="24"/>
    </w:rPr>
  </w:style>
  <w:style w:type="paragraph" w:customStyle="1" w:styleId="bullets">
    <w:name w:val="bullets"/>
    <w:basedOn w:val="Normal"/>
    <w:rsid w:val="00012A6D"/>
    <w:pPr>
      <w:numPr>
        <w:numId w:val="4"/>
      </w:numPr>
      <w:spacing w:after="120" w:line="240" w:lineRule="exact"/>
    </w:pPr>
    <w:rPr>
      <w:rFonts w:eastAsia="Times New Roman" w:cs="Times New Roman"/>
      <w:color w:val="000000"/>
      <w:szCs w:val="24"/>
    </w:rPr>
  </w:style>
  <w:style w:type="character" w:styleId="Strong">
    <w:name w:val="Strong"/>
    <w:qFormat/>
    <w:rsid w:val="00012A6D"/>
    <w:rPr>
      <w:rFonts w:cs="Times New Roman"/>
      <w:b/>
      <w:bCs/>
    </w:rPr>
  </w:style>
  <w:style w:type="character" w:customStyle="1" w:styleId="UnresolvedMention1">
    <w:name w:val="Unresolved Mention1"/>
    <w:basedOn w:val="DefaultParagraphFont"/>
    <w:uiPriority w:val="99"/>
    <w:semiHidden/>
    <w:unhideWhenUsed/>
    <w:rsid w:val="00653125"/>
    <w:rPr>
      <w:color w:val="605E5C"/>
      <w:shd w:val="clear" w:color="auto" w:fill="E1DFDD"/>
    </w:rPr>
  </w:style>
  <w:style w:type="character" w:customStyle="1" w:styleId="UnresolvedMention">
    <w:name w:val="Unresolved Mention"/>
    <w:basedOn w:val="DefaultParagraphFont"/>
    <w:uiPriority w:val="99"/>
    <w:semiHidden/>
    <w:unhideWhenUsed/>
    <w:rsid w:val="0073510C"/>
    <w:rPr>
      <w:color w:val="605E5C"/>
      <w:shd w:val="clear" w:color="auto" w:fill="E1DFDD"/>
    </w:rPr>
  </w:style>
  <w:style w:type="table" w:customStyle="1" w:styleId="GridTable1Light">
    <w:name w:val="Grid Table 1 Light"/>
    <w:basedOn w:val="TableNormal"/>
    <w:uiPriority w:val="46"/>
    <w:rsid w:val="000367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0">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0"/>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603A17"/>
    <w:rPr>
      <w:sz w:val="16"/>
      <w:szCs w:val="16"/>
    </w:rPr>
  </w:style>
  <w:style w:type="paragraph" w:styleId="CommentText">
    <w:name w:val="annotation text"/>
    <w:basedOn w:val="Normal"/>
    <w:link w:val="CommentTextChar"/>
    <w:uiPriority w:val="99"/>
    <w:semiHidden/>
    <w:unhideWhenUsed/>
    <w:rsid w:val="00603A17"/>
    <w:pPr>
      <w:spacing w:line="240" w:lineRule="auto"/>
    </w:pPr>
    <w:rPr>
      <w:sz w:val="20"/>
      <w:szCs w:val="20"/>
    </w:rPr>
  </w:style>
  <w:style w:type="character" w:customStyle="1" w:styleId="CommentTextChar">
    <w:name w:val="Comment Text Char"/>
    <w:basedOn w:val="DefaultParagraphFont"/>
    <w:link w:val="CommentText"/>
    <w:uiPriority w:val="99"/>
    <w:semiHidden/>
    <w:rsid w:val="00603A1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03A17"/>
    <w:rPr>
      <w:b/>
      <w:bCs/>
    </w:rPr>
  </w:style>
  <w:style w:type="character" w:customStyle="1" w:styleId="CommentSubjectChar">
    <w:name w:val="Comment Subject Char"/>
    <w:basedOn w:val="CommentTextChar"/>
    <w:link w:val="CommentSubject"/>
    <w:uiPriority w:val="99"/>
    <w:semiHidden/>
    <w:rsid w:val="00603A17"/>
    <w:rPr>
      <w:rFonts w:ascii="Times New Roman" w:hAnsi="Times New Roman"/>
      <w:b/>
      <w:bCs/>
      <w:sz w:val="20"/>
      <w:szCs w:val="20"/>
    </w:rPr>
  </w:style>
  <w:style w:type="paragraph" w:styleId="BalloonText">
    <w:name w:val="Balloon Text"/>
    <w:basedOn w:val="Normal"/>
    <w:link w:val="BalloonTextChar"/>
    <w:uiPriority w:val="99"/>
    <w:semiHidden/>
    <w:unhideWhenUsed/>
    <w:rsid w:val="00603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A17"/>
    <w:rPr>
      <w:rFonts w:ascii="Segoe UI" w:hAnsi="Segoe UI" w:cs="Segoe UI"/>
      <w:sz w:val="18"/>
      <w:szCs w:val="18"/>
    </w:rPr>
  </w:style>
  <w:style w:type="table" w:customStyle="1" w:styleId="GridTable1LightAccent1">
    <w:name w:val="Grid Table 1 Light Accent 1"/>
    <w:basedOn w:val="TableNormal"/>
    <w:uiPriority w:val="46"/>
    <w:rsid w:val="00603A1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rsid w:val="00012A6D"/>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012A6D"/>
    <w:rPr>
      <w:rFonts w:ascii="Times New Roman" w:eastAsia="Times New Roman" w:hAnsi="Times New Roman" w:cs="Times New Roman"/>
      <w:sz w:val="24"/>
      <w:szCs w:val="24"/>
    </w:rPr>
  </w:style>
  <w:style w:type="paragraph" w:customStyle="1" w:styleId="bullets">
    <w:name w:val="bullets"/>
    <w:basedOn w:val="Normal"/>
    <w:rsid w:val="00012A6D"/>
    <w:pPr>
      <w:numPr>
        <w:numId w:val="4"/>
      </w:numPr>
      <w:spacing w:after="120" w:line="240" w:lineRule="exact"/>
    </w:pPr>
    <w:rPr>
      <w:rFonts w:eastAsia="Times New Roman" w:cs="Times New Roman"/>
      <w:color w:val="000000"/>
      <w:szCs w:val="24"/>
    </w:rPr>
  </w:style>
  <w:style w:type="character" w:styleId="Strong">
    <w:name w:val="Strong"/>
    <w:qFormat/>
    <w:rsid w:val="00012A6D"/>
    <w:rPr>
      <w:rFonts w:cs="Times New Roman"/>
      <w:b/>
      <w:bCs/>
    </w:rPr>
  </w:style>
  <w:style w:type="character" w:customStyle="1" w:styleId="UnresolvedMention1">
    <w:name w:val="Unresolved Mention1"/>
    <w:basedOn w:val="DefaultParagraphFont"/>
    <w:uiPriority w:val="99"/>
    <w:semiHidden/>
    <w:unhideWhenUsed/>
    <w:rsid w:val="00653125"/>
    <w:rPr>
      <w:color w:val="605E5C"/>
      <w:shd w:val="clear" w:color="auto" w:fill="E1DFDD"/>
    </w:rPr>
  </w:style>
  <w:style w:type="character" w:customStyle="1" w:styleId="UnresolvedMention">
    <w:name w:val="Unresolved Mention"/>
    <w:basedOn w:val="DefaultParagraphFont"/>
    <w:uiPriority w:val="99"/>
    <w:semiHidden/>
    <w:unhideWhenUsed/>
    <w:rsid w:val="0073510C"/>
    <w:rPr>
      <w:color w:val="605E5C"/>
      <w:shd w:val="clear" w:color="auto" w:fill="E1DFDD"/>
    </w:rPr>
  </w:style>
  <w:style w:type="table" w:customStyle="1" w:styleId="GridTable1Light">
    <w:name w:val="Grid Table 1 Light"/>
    <w:basedOn w:val="TableNormal"/>
    <w:uiPriority w:val="46"/>
    <w:rsid w:val="000367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hroederp@eurekafact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zi3@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ensusreporter.org/profiles/01000US-united-st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teffensl@eurekafact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roederp@eureka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
        <AccountId xsi:nil="true"/>
        <AccountType/>
      </UserInfo>
    </Author>
    <ProjectStatus xmlns="46a72db5-e3f1-4035-b125-519a4329281d">Active</ProjectStatus>
    <BusinessType xmlns="46a72db5-e3f1-4035-b125-519a4329281d">-</BusinessType>
    <EurekaFactsDepartment xmlns="46a72db5-e3f1-4035-b125-519a4329281d" xsi:nil="true"/>
    <Clients xmlns="46a72db5-e3f1-4035-b125-519a432928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 ma:contentTypeID="0x0101004F5B36D944A006478242D60C7B7D27AE005D336A5E49A01C459F8D5B49E8706415" ma:contentTypeVersion="22" ma:contentTypeDescription="" ma:contentTypeScope="" ma:versionID="e8f07b561e4a639594cd7b093b0b1e92">
  <xsd:schema xmlns:xsd="http://www.w3.org/2001/XMLSchema" xmlns:xs="http://www.w3.org/2001/XMLSchema" xmlns:p="http://schemas.microsoft.com/office/2006/metadata/properties" xmlns:ns1="http://schemas.microsoft.com/sharepoint/v3" xmlns:ns2="46a72db5-e3f1-4035-b125-519a4329281d" xmlns:ns3="9210772e-d512-4d22-8fc0-f3b7c13dd852" targetNamespace="http://schemas.microsoft.com/office/2006/metadata/properties" ma:root="true" ma:fieldsID="c115cfd1f5f9fa4a3187d5931c21b40a" ns1:_="" ns2:_="" ns3:_="">
    <xsd:import namespace="http://schemas.microsoft.com/sharepoint/v3"/>
    <xsd:import namespace="46a72db5-e3f1-4035-b125-519a4329281d"/>
    <xsd:import namespace="9210772e-d512-4d22-8fc0-f3b7c13dd852"/>
    <xsd:element name="properties">
      <xsd:complexType>
        <xsd:sequence>
          <xsd:element name="documentManagement">
            <xsd:complexType>
              <xsd:all>
                <xsd:element ref="ns2:EurekaFactsDepartment" minOccurs="0"/>
                <xsd:element ref="ns2:Clients" minOccurs="0"/>
                <xsd:element ref="ns2:BusinessType" minOccurs="0"/>
                <xsd:element ref="ns2:ProjectStatus" minOccurs="0"/>
                <xsd:element ref="ns2:SharedWithUsers" minOccurs="0"/>
                <xsd:element ref="ns2:SharedWithDetails" minOccurs="0"/>
                <xsd:element ref="ns3:MediaServiceMetadata" minOccurs="0"/>
                <xsd:element ref="ns3:MediaServiceFastMetadata" minOccurs="0"/>
                <xsd:element ref="ns1:Author"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6"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72db5-e3f1-4035-b125-519a4329281d" elementFormDefault="qualified">
    <xsd:import namespace="http://schemas.microsoft.com/office/2006/documentManagement/types"/>
    <xsd:import namespace="http://schemas.microsoft.com/office/infopath/2007/PartnerControls"/>
    <xsd:element name="EurekaFactsDepartment" ma:index="8" nillable="true" ma:displayName="EurekaFacts Department" ma:format="Dropdown" ma:internalName="EurekaFactsDepartment">
      <xsd:simpleType>
        <xsd:restriction base="dms:Choice">
          <xsd:enumeration value="Administration"/>
          <xsd:enumeration value="Analytics"/>
          <xsd:enumeration value="Business Development"/>
          <xsd:enumeration value="Customer Insights"/>
          <xsd:enumeration value="Public Affairs"/>
          <xsd:enumeration value="Marketing"/>
          <xsd:enumeration value="Transportation"/>
          <xsd:enumeration value="-"/>
        </xsd:restriction>
      </xsd:simpleType>
    </xsd:element>
    <xsd:element name="Clients" ma:index="9" nillable="true" ma:displayName="Client" ma:list="{0fcaa9ae-ae61-43ca-864f-29003a1b338a}" ma:internalName="Clients" ma:showField="Title" ma:web="46a72db5-e3f1-4035-b125-519a4329281d">
      <xsd:simpleType>
        <xsd:restriction base="dms:Lookup"/>
      </xsd:simpleType>
    </xsd:element>
    <xsd:element name="BusinessType" ma:index="10" nillable="true" ma:displayName="Project Type" ma:default="-" ma:format="Dropdown" ma:internalName="BusinessType">
      <xsd:simpleType>
        <xsd:restriction base="dms:Choice">
          <xsd:enumeration value="State"/>
          <xsd:enumeration value="8a"/>
          <xsd:enumeration value="Non- profit"/>
          <xsd:enumeration value="Commercial"/>
          <xsd:enumeration value="Federal Sub Contractor"/>
          <xsd:enumeration value="Federal Prime"/>
          <xsd:enumeration value="Pro bono"/>
          <xsd:enumeration value="GSA"/>
          <xsd:enumeration value="-"/>
        </xsd:restriction>
      </xsd:simpleType>
    </xsd:element>
    <xsd:element name="ProjectStatus" ma:index="11" nillable="true" ma:displayName="Project Status" ma:default="Active" ma:format="Dropdown" ma:internalName="ProjectStatus">
      <xsd:simpleType>
        <xsd:restriction base="dms:Choice">
          <xsd:enumeration value="Active"/>
          <xsd:enumeration value="Completed"/>
          <xsd:enumeration value="On Hold"/>
          <xsd:enumeration value="-"/>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10772e-d512-4d22-8fc0-f3b7c13dd85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http://schemas.microsoft.com/sharepoint/v3"/>
    <ds:schemaRef ds:uri="46a72db5-e3f1-4035-b125-519a4329281d"/>
  </ds:schemaRefs>
</ds:datastoreItem>
</file>

<file path=customXml/itemProps2.xml><?xml version="1.0" encoding="utf-8"?>
<ds:datastoreItem xmlns:ds="http://schemas.openxmlformats.org/officeDocument/2006/customXml" ds:itemID="{DF30B1BF-B928-4114-9F26-77D561C73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72db5-e3f1-4035-b125-519a4329281d"/>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F540D118-D71C-4744-B504-8D95C844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2019-03-14T15:02:00Z</dcterms:created>
  <dcterms:modified xsi:type="dcterms:W3CDTF">2019-03-14T15:02:00Z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0x0101004F5B36D944A006478242D60C7B7D27AE005D336A5E49A01C459F8D5B49E8706415</vt:lpwstr>
  </property>
  <property fmtid="{D5CDD505-2E9C-101B-9397-08002B2CF9AE}" pid="3" name="_dlc_DocIdItemGuid">
    <vt:lpwstr>2f65c5a5-b25d-4476-bf18-54d2b4c4f1e7</vt:lpwstr>
  </property>
</Properties>
</file>