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4CECD" w14:textId="77777777" w:rsidR="009B4C64" w:rsidRPr="00BA17BA" w:rsidRDefault="009B4C64" w:rsidP="009B4C64">
      <w:pPr>
        <w:tabs>
          <w:tab w:val="center" w:pos="46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BA17BA">
        <w:rPr>
          <w:rFonts w:asciiTheme="minorHAnsi" w:hAnsiTheme="minorHAnsi" w:cstheme="minorHAnsi"/>
          <w:b/>
          <w:sz w:val="24"/>
        </w:rPr>
        <w:t>Information Collection Request</w:t>
      </w:r>
    </w:p>
    <w:p w14:paraId="272E4699" w14:textId="77777777" w:rsidR="009B4C64" w:rsidRPr="00BA17BA" w:rsidRDefault="009B4C64" w:rsidP="009B4C64">
      <w:pPr>
        <w:tabs>
          <w:tab w:val="center" w:pos="46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</w:p>
    <w:p w14:paraId="355710EF" w14:textId="5B5FBB8B" w:rsidR="009B4C64" w:rsidRPr="00BA17BA" w:rsidRDefault="002C6A4A" w:rsidP="009B4C64">
      <w:pPr>
        <w:tabs>
          <w:tab w:val="center" w:pos="46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GenIC</w:t>
      </w:r>
      <w:r w:rsidR="009B4C64" w:rsidRPr="00BA17BA">
        <w:rPr>
          <w:rFonts w:asciiTheme="minorHAnsi" w:hAnsiTheme="minorHAnsi" w:cstheme="minorHAnsi"/>
          <w:b/>
          <w:sz w:val="24"/>
        </w:rPr>
        <w:t xml:space="preserve"> </w:t>
      </w:r>
    </w:p>
    <w:p w14:paraId="683160E3" w14:textId="77777777" w:rsidR="009B4C64" w:rsidRPr="00BA17BA" w:rsidRDefault="009B4C64" w:rsidP="009B4C64">
      <w:pPr>
        <w:tabs>
          <w:tab w:val="center" w:pos="4680"/>
        </w:tabs>
        <w:spacing w:before="120"/>
        <w:jc w:val="center"/>
        <w:rPr>
          <w:rFonts w:asciiTheme="minorHAnsi" w:hAnsiTheme="minorHAnsi" w:cstheme="minorHAnsi"/>
          <w:sz w:val="24"/>
        </w:rPr>
      </w:pPr>
    </w:p>
    <w:p w14:paraId="495EC9EB" w14:textId="77777777" w:rsidR="009B4C64" w:rsidRPr="00BA17BA" w:rsidRDefault="009B4C64" w:rsidP="009B4C64">
      <w:pPr>
        <w:tabs>
          <w:tab w:val="center" w:pos="4680"/>
        </w:tabs>
        <w:spacing w:before="120"/>
        <w:jc w:val="center"/>
        <w:rPr>
          <w:rFonts w:asciiTheme="minorHAnsi" w:hAnsiTheme="minorHAnsi" w:cstheme="minorHAnsi"/>
          <w:b/>
          <w:bCs/>
          <w:sz w:val="24"/>
        </w:rPr>
      </w:pPr>
      <w:r w:rsidRPr="00BA17BA">
        <w:rPr>
          <w:rFonts w:asciiTheme="minorHAnsi" w:hAnsiTheme="minorHAnsi" w:cstheme="minorHAnsi"/>
          <w:b/>
          <w:sz w:val="24"/>
        </w:rPr>
        <w:t>BRFSS Feasibility Experiment for State-specific Module Data Collection in Cell Phone Samples For</w:t>
      </w:r>
      <w:r w:rsidRPr="00BA17BA">
        <w:rPr>
          <w:rFonts w:asciiTheme="minorHAnsi" w:hAnsiTheme="minorHAnsi" w:cstheme="minorHAnsi"/>
          <w:b/>
          <w:bCs/>
          <w:sz w:val="24"/>
        </w:rPr>
        <w:t xml:space="preserve"> the National Center for Chronic Disease Prevention and Health Promotion</w:t>
      </w:r>
    </w:p>
    <w:p w14:paraId="547513F6" w14:textId="77777777" w:rsidR="009B4C64" w:rsidRPr="00BA17BA" w:rsidRDefault="009B4C64" w:rsidP="009B4C64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4"/>
        </w:rPr>
      </w:pPr>
    </w:p>
    <w:p w14:paraId="2A8BAB2C" w14:textId="77777777" w:rsidR="009B4C64" w:rsidRPr="00BA17BA" w:rsidRDefault="009B4C64" w:rsidP="009B4C64">
      <w:pPr>
        <w:widowControl/>
        <w:autoSpaceDE/>
        <w:autoSpaceDN/>
        <w:adjustRightInd/>
        <w:jc w:val="center"/>
        <w:rPr>
          <w:rFonts w:asciiTheme="minorHAnsi" w:hAnsiTheme="minorHAnsi" w:cstheme="minorHAnsi"/>
          <w:bCs/>
          <w:sz w:val="24"/>
        </w:rPr>
      </w:pPr>
      <w:r w:rsidRPr="00BA17BA">
        <w:rPr>
          <w:rFonts w:asciiTheme="minorHAnsi" w:hAnsiTheme="minorHAnsi" w:cstheme="minorHAnsi"/>
          <w:bCs/>
          <w:sz w:val="24"/>
        </w:rPr>
        <w:t>Submitted under</w:t>
      </w:r>
    </w:p>
    <w:p w14:paraId="4B32728D" w14:textId="77777777" w:rsidR="009B4C64" w:rsidRPr="00BA17BA" w:rsidRDefault="009B4C64" w:rsidP="009B4C64">
      <w:pPr>
        <w:widowControl/>
        <w:autoSpaceDE/>
        <w:autoSpaceDN/>
        <w:adjustRightInd/>
        <w:jc w:val="center"/>
        <w:rPr>
          <w:rFonts w:asciiTheme="minorHAnsi" w:hAnsiTheme="minorHAnsi" w:cstheme="minorHAnsi"/>
          <w:bCs/>
          <w:sz w:val="24"/>
        </w:rPr>
      </w:pPr>
    </w:p>
    <w:p w14:paraId="69617492" w14:textId="77777777" w:rsidR="009B4C64" w:rsidRPr="00BA17BA" w:rsidRDefault="009B4C64" w:rsidP="009B4C64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4"/>
        </w:rPr>
      </w:pPr>
      <w:r w:rsidRPr="00BA17BA">
        <w:rPr>
          <w:rFonts w:asciiTheme="minorHAnsi" w:hAnsiTheme="minorHAnsi" w:cstheme="minorHAnsi"/>
          <w:b/>
          <w:bCs/>
          <w:sz w:val="24"/>
        </w:rPr>
        <w:t xml:space="preserve">CDC/ATSDR Formative Research and Tool Development </w:t>
      </w:r>
    </w:p>
    <w:p w14:paraId="5AC1EDB6" w14:textId="77777777" w:rsidR="009B4C64" w:rsidRPr="00BA17BA" w:rsidRDefault="009B4C64" w:rsidP="009B4C64">
      <w:pPr>
        <w:widowControl/>
        <w:autoSpaceDE/>
        <w:autoSpaceDN/>
        <w:adjustRightInd/>
        <w:jc w:val="center"/>
        <w:rPr>
          <w:rFonts w:asciiTheme="minorHAnsi" w:hAnsiTheme="minorHAnsi" w:cstheme="minorHAnsi"/>
          <w:bCs/>
          <w:sz w:val="24"/>
        </w:rPr>
      </w:pPr>
    </w:p>
    <w:p w14:paraId="5CC955CD" w14:textId="77777777" w:rsidR="009B4C64" w:rsidRPr="00BA17BA" w:rsidRDefault="009B4C64" w:rsidP="009B4C64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4"/>
        </w:rPr>
      </w:pPr>
      <w:r w:rsidRPr="00BA17BA">
        <w:rPr>
          <w:rFonts w:asciiTheme="minorHAnsi" w:hAnsiTheme="minorHAnsi" w:cstheme="minorHAnsi"/>
          <w:b/>
          <w:bCs/>
          <w:sz w:val="24"/>
        </w:rPr>
        <w:t>(OMB #0920-1154)</w:t>
      </w:r>
    </w:p>
    <w:p w14:paraId="32ED8EE3" w14:textId="77777777" w:rsidR="009B4C64" w:rsidRPr="00BA17BA" w:rsidRDefault="009B4C64" w:rsidP="009B4C64">
      <w:pPr>
        <w:widowControl/>
        <w:autoSpaceDE/>
        <w:autoSpaceDN/>
        <w:adjustRightInd/>
        <w:jc w:val="center"/>
        <w:rPr>
          <w:rFonts w:asciiTheme="minorHAnsi" w:hAnsiTheme="minorHAnsi" w:cstheme="minorHAnsi"/>
          <w:bCs/>
          <w:sz w:val="24"/>
        </w:rPr>
      </w:pPr>
    </w:p>
    <w:p w14:paraId="5E8F6624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3E4E5E73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5F8A46C7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BA17BA">
        <w:rPr>
          <w:rFonts w:asciiTheme="minorHAnsi" w:hAnsiTheme="minorHAnsi" w:cstheme="minorHAnsi"/>
          <w:b/>
          <w:bCs/>
          <w:sz w:val="24"/>
        </w:rPr>
        <w:t>Supporting Statement: Part A</w:t>
      </w:r>
    </w:p>
    <w:p w14:paraId="56CA3ACD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273EA3A4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291883E6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b/>
          <w:bCs/>
          <w:sz w:val="24"/>
          <w:u w:val="single"/>
        </w:rPr>
      </w:pPr>
      <w:r w:rsidRPr="00BA17BA">
        <w:rPr>
          <w:rFonts w:asciiTheme="minorHAnsi" w:hAnsiTheme="minorHAnsi" w:cstheme="minorHAnsi"/>
          <w:b/>
          <w:bCs/>
          <w:sz w:val="24"/>
          <w:u w:val="single"/>
        </w:rPr>
        <w:t>Program Official/ Contact</w:t>
      </w:r>
    </w:p>
    <w:p w14:paraId="2C88E6AC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bCs/>
          <w:sz w:val="24"/>
        </w:rPr>
      </w:pPr>
      <w:r w:rsidRPr="00BA17BA">
        <w:rPr>
          <w:rFonts w:asciiTheme="minorHAnsi" w:hAnsiTheme="minorHAnsi" w:cstheme="minorHAnsi"/>
          <w:bCs/>
          <w:sz w:val="24"/>
        </w:rPr>
        <w:t>Carol Pierannunzi, PhD</w:t>
      </w:r>
    </w:p>
    <w:p w14:paraId="1B061F57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sz w:val="24"/>
        </w:rPr>
      </w:pPr>
      <w:r w:rsidRPr="00BA17BA">
        <w:rPr>
          <w:rFonts w:asciiTheme="minorHAnsi" w:hAnsiTheme="minorHAnsi" w:cstheme="minorHAnsi"/>
          <w:sz w:val="24"/>
        </w:rPr>
        <w:t>Division of Population Health</w:t>
      </w:r>
    </w:p>
    <w:p w14:paraId="54ED11B0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sz w:val="24"/>
        </w:rPr>
      </w:pPr>
      <w:r w:rsidRPr="00BA17BA">
        <w:rPr>
          <w:rFonts w:asciiTheme="minorHAnsi" w:hAnsiTheme="minorHAnsi" w:cstheme="minorHAnsi"/>
          <w:sz w:val="24"/>
        </w:rPr>
        <w:t>National Center for Chronic Disease Prevention and Health Promotion</w:t>
      </w:r>
    </w:p>
    <w:p w14:paraId="25CC78E9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sz w:val="24"/>
        </w:rPr>
      </w:pPr>
      <w:r w:rsidRPr="00BA17BA">
        <w:rPr>
          <w:rFonts w:asciiTheme="minorHAnsi" w:hAnsiTheme="minorHAnsi" w:cstheme="minorHAnsi"/>
          <w:sz w:val="24"/>
        </w:rPr>
        <w:t>Centers for Disease Control and Prevention</w:t>
      </w:r>
    </w:p>
    <w:p w14:paraId="304752AB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sz w:val="24"/>
        </w:rPr>
      </w:pPr>
      <w:r w:rsidRPr="00BA17BA">
        <w:rPr>
          <w:rFonts w:asciiTheme="minorHAnsi" w:hAnsiTheme="minorHAnsi" w:cstheme="minorHAnsi"/>
          <w:sz w:val="24"/>
        </w:rPr>
        <w:t>Atlanta, Georgia</w:t>
      </w:r>
    </w:p>
    <w:p w14:paraId="3B3B43A9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sz w:val="24"/>
        </w:rPr>
      </w:pPr>
      <w:r w:rsidRPr="00BA17BA">
        <w:rPr>
          <w:rFonts w:asciiTheme="minorHAnsi" w:hAnsiTheme="minorHAnsi" w:cstheme="minorHAnsi"/>
          <w:sz w:val="24"/>
        </w:rPr>
        <w:t>Phone 770-488-4609</w:t>
      </w:r>
    </w:p>
    <w:p w14:paraId="6B9F868E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sz w:val="24"/>
        </w:rPr>
      </w:pPr>
      <w:r w:rsidRPr="00BA17BA">
        <w:rPr>
          <w:rFonts w:asciiTheme="minorHAnsi" w:hAnsiTheme="minorHAnsi" w:cstheme="minorHAnsi"/>
          <w:sz w:val="24"/>
        </w:rPr>
        <w:t>Fax 770-488-5965</w:t>
      </w:r>
    </w:p>
    <w:p w14:paraId="61F9DF75" w14:textId="77777777" w:rsidR="009B4C64" w:rsidRPr="00BA17BA" w:rsidRDefault="009B4C64" w:rsidP="009B4C64">
      <w:pPr>
        <w:jc w:val="center"/>
        <w:rPr>
          <w:rFonts w:asciiTheme="minorHAnsi" w:hAnsiTheme="minorHAnsi" w:cstheme="minorHAnsi"/>
          <w:sz w:val="24"/>
        </w:rPr>
      </w:pPr>
      <w:r w:rsidRPr="00BA17BA">
        <w:rPr>
          <w:rFonts w:asciiTheme="minorHAnsi" w:hAnsiTheme="minorHAnsi" w:cstheme="minorHAnsi"/>
          <w:sz w:val="24"/>
        </w:rPr>
        <w:t>Email: ivk@cdc.gov</w:t>
      </w:r>
    </w:p>
    <w:p w14:paraId="49FE7EAB" w14:textId="77777777" w:rsidR="009B4C64" w:rsidRPr="00BA17BA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  <w:lang w:val="pt-BR"/>
        </w:rPr>
      </w:pPr>
    </w:p>
    <w:p w14:paraId="434E46EE" w14:textId="77777777" w:rsidR="009B4C64" w:rsidRPr="00BA17BA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  <w:lang w:val="pt-BR"/>
        </w:rPr>
      </w:pPr>
    </w:p>
    <w:p w14:paraId="2D03E603" w14:textId="77777777" w:rsidR="009B4C64" w:rsidRPr="00BA17BA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  <w:lang w:val="pt-BR"/>
        </w:rPr>
      </w:pPr>
    </w:p>
    <w:p w14:paraId="099BDADC" w14:textId="77777777" w:rsidR="009B4C64" w:rsidRPr="00BA17BA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  <w:lang w:val="pt-BR"/>
        </w:rPr>
      </w:pPr>
    </w:p>
    <w:p w14:paraId="3B27CE43" w14:textId="02AABB3C" w:rsidR="009B4C64" w:rsidRPr="00BA17BA" w:rsidRDefault="002C6A4A" w:rsidP="009B4C64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March 5</w:t>
      </w:r>
      <w:r w:rsidR="009B4C64" w:rsidRPr="00BA17BA">
        <w:rPr>
          <w:rFonts w:asciiTheme="minorHAnsi" w:hAnsiTheme="minorHAnsi" w:cstheme="minorHAnsi"/>
          <w:sz w:val="24"/>
        </w:rPr>
        <w:t>, 2019</w:t>
      </w:r>
    </w:p>
    <w:p w14:paraId="7F4A6E9B" w14:textId="36090714" w:rsidR="001568CA" w:rsidRPr="00BA054B" w:rsidRDefault="006451FF" w:rsidP="00BA054B">
      <w:pPr>
        <w:jc w:val="center"/>
        <w:rPr>
          <w:rFonts w:asciiTheme="minorHAnsi" w:hAnsiTheme="minorHAnsi" w:cstheme="minorHAnsi"/>
        </w:rPr>
      </w:pPr>
      <w:r w:rsidRPr="00BA054B">
        <w:rPr>
          <w:rFonts w:asciiTheme="minorHAnsi" w:hAnsiTheme="minorHAnsi" w:cstheme="minorHAnsi"/>
        </w:rPr>
        <w:br w:type="page"/>
      </w:r>
    </w:p>
    <w:p w14:paraId="75D51433" w14:textId="77777777" w:rsidR="00BA054B" w:rsidRPr="00BA054B" w:rsidRDefault="00BA054B" w:rsidP="00BA054B">
      <w:pPr>
        <w:rPr>
          <w:rFonts w:asciiTheme="minorHAnsi" w:hAnsiTheme="minorHAnsi" w:cstheme="minorHAnsi"/>
          <w:b/>
          <w:sz w:val="24"/>
        </w:rPr>
      </w:pPr>
    </w:p>
    <w:p w14:paraId="43E131BE" w14:textId="77777777" w:rsidR="00BA054B" w:rsidRDefault="00BA054B" w:rsidP="00BA054B">
      <w:pPr>
        <w:rPr>
          <w:rFonts w:asciiTheme="minorHAnsi" w:hAnsiTheme="minorHAnsi" w:cstheme="minorHAnsi"/>
          <w:b/>
          <w:sz w:val="24"/>
        </w:rPr>
      </w:pPr>
      <w:r w:rsidRPr="00BA054B">
        <w:rPr>
          <w:rFonts w:asciiTheme="minorHAnsi" w:hAnsiTheme="minorHAnsi" w:cstheme="minorHAnsi"/>
          <w:b/>
          <w:sz w:val="24"/>
        </w:rPr>
        <w:t>TABLE OF CONTENTS</w:t>
      </w:r>
    </w:p>
    <w:p w14:paraId="5AFDBC1F" w14:textId="77777777" w:rsidR="00BA054B" w:rsidRDefault="00BA054B" w:rsidP="00BA054B">
      <w:pPr>
        <w:rPr>
          <w:rFonts w:asciiTheme="minorHAnsi" w:hAnsiTheme="minorHAnsi" w:cstheme="minorHAnsi"/>
          <w:b/>
          <w:sz w:val="24"/>
        </w:rPr>
      </w:pPr>
    </w:p>
    <w:p w14:paraId="638782F0" w14:textId="6AA1C489" w:rsidR="00BA054B" w:rsidRPr="00BA054B" w:rsidRDefault="00BA054B" w:rsidP="00BA054B">
      <w:pPr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1. Respondent universe and sampling methods</w:t>
      </w:r>
    </w:p>
    <w:p w14:paraId="6404E433" w14:textId="68E4BDC3" w:rsidR="00BA054B" w:rsidRPr="00BA054B" w:rsidRDefault="00BA054B" w:rsidP="00BA054B">
      <w:pPr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 xml:space="preserve">2. Information Collection Procedures </w:t>
      </w:r>
    </w:p>
    <w:p w14:paraId="65BFA94C" w14:textId="5BAF11A4" w:rsidR="00BA054B" w:rsidRPr="00BA054B" w:rsidRDefault="00BA054B" w:rsidP="00BA054B">
      <w:pPr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3. Methods to Maximize Participation Rates</w:t>
      </w:r>
    </w:p>
    <w:p w14:paraId="23119758" w14:textId="79BD268D" w:rsidR="00BA054B" w:rsidRPr="00BA054B" w:rsidRDefault="00BA054B" w:rsidP="00BA054B">
      <w:pPr>
        <w:pStyle w:val="Heading2"/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A054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4. Tests of Procedures </w:t>
      </w:r>
    </w:p>
    <w:p w14:paraId="74E7C81C" w14:textId="77777777" w:rsidR="00BA054B" w:rsidRPr="00BA054B" w:rsidRDefault="00BA054B" w:rsidP="00BA054B">
      <w:pPr>
        <w:pStyle w:val="Heading2"/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A054B">
        <w:rPr>
          <w:rFonts w:asciiTheme="minorHAnsi" w:hAnsiTheme="minorHAnsi" w:cstheme="minorHAnsi"/>
          <w:b w:val="0"/>
          <w:i w:val="0"/>
          <w:sz w:val="24"/>
          <w:szCs w:val="24"/>
        </w:rPr>
        <w:t>5. Statistical Consultants</w:t>
      </w:r>
    </w:p>
    <w:p w14:paraId="66449FF6" w14:textId="77777777" w:rsidR="00BA054B" w:rsidRPr="00BA054B" w:rsidRDefault="00BA054B" w:rsidP="00BA054B">
      <w:pPr>
        <w:rPr>
          <w:rFonts w:asciiTheme="minorHAnsi" w:hAnsiTheme="minorHAnsi" w:cstheme="minorHAnsi"/>
          <w:b/>
          <w:sz w:val="24"/>
        </w:rPr>
      </w:pPr>
    </w:p>
    <w:p w14:paraId="09D34C8B" w14:textId="77777777" w:rsidR="00BA054B" w:rsidRPr="00BA054B" w:rsidRDefault="00BA054B" w:rsidP="00BA054B">
      <w:pPr>
        <w:rPr>
          <w:rFonts w:asciiTheme="minorHAnsi" w:hAnsiTheme="minorHAnsi" w:cstheme="minorHAnsi"/>
          <w:b/>
          <w:sz w:val="24"/>
        </w:rPr>
      </w:pPr>
    </w:p>
    <w:p w14:paraId="354ABCFE" w14:textId="2D5AA75C" w:rsidR="00BA054B" w:rsidRPr="00BA054B" w:rsidRDefault="00BA054B" w:rsidP="00BA054B">
      <w:pPr>
        <w:rPr>
          <w:rFonts w:asciiTheme="minorHAnsi" w:hAnsiTheme="minorHAnsi" w:cstheme="minorHAnsi"/>
          <w:b/>
          <w:sz w:val="24"/>
        </w:rPr>
      </w:pPr>
      <w:r w:rsidRPr="00BA054B">
        <w:rPr>
          <w:rFonts w:asciiTheme="minorHAnsi" w:hAnsiTheme="minorHAnsi" w:cstheme="minorHAnsi"/>
          <w:b/>
          <w:sz w:val="24"/>
        </w:rPr>
        <w:t>LIST OF ATTACHMENTS</w:t>
      </w:r>
    </w:p>
    <w:p w14:paraId="10F997F6" w14:textId="77777777" w:rsidR="00BA054B" w:rsidRPr="00BA054B" w:rsidRDefault="00BA054B" w:rsidP="00BA054B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</w:p>
    <w:p w14:paraId="0F411C31" w14:textId="70D31B2F" w:rsidR="00BA054B" w:rsidRPr="00BA054B" w:rsidRDefault="00BA054B" w:rsidP="00BA054B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Attachment 1: BRFSS Data Collection Protocols</w:t>
      </w:r>
      <w:r w:rsidRPr="00BA054B">
        <w:rPr>
          <w:rFonts w:asciiTheme="minorHAnsi" w:hAnsiTheme="minorHAnsi" w:cstheme="minorHAnsi"/>
          <w:sz w:val="24"/>
        </w:rPr>
        <w:tab/>
      </w:r>
    </w:p>
    <w:p w14:paraId="4FE334F4" w14:textId="77777777" w:rsidR="00BA054B" w:rsidRPr="00BA054B" w:rsidRDefault="00BA054B" w:rsidP="00BA054B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Attachment 2: Recruitment Text for Respondents to Participate in the BRFSS Feasibility Experiment</w:t>
      </w:r>
    </w:p>
    <w:p w14:paraId="5A735479" w14:textId="77777777" w:rsidR="00BA054B" w:rsidRPr="00BA054B" w:rsidRDefault="00BA054B" w:rsidP="00BA054B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Attachment 3: Invitation Scripts for Text, Email and Mail</w:t>
      </w:r>
    </w:p>
    <w:p w14:paraId="157C8C03" w14:textId="25274D57" w:rsidR="009B4C64" w:rsidRDefault="00BA054B" w:rsidP="00BA054B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Attachment 4: Questionnaire Content of the BRFSS Feasibility Experiment</w:t>
      </w:r>
    </w:p>
    <w:p w14:paraId="6FCECD4E" w14:textId="77777777" w:rsidR="009B4C64" w:rsidRDefault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7045B8DB" w14:textId="77777777" w:rsidR="009B4C64" w:rsidRPr="00BA17BA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Supporting Statement: Summary</w:t>
      </w:r>
    </w:p>
    <w:p w14:paraId="3DD1A138" w14:textId="77777777" w:rsidR="009B4C64" w:rsidRPr="00BA17BA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</w:p>
    <w:p w14:paraId="2E22BE55" w14:textId="77777777" w:rsidR="009B4C64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inline distT="0" distB="0" distL="0" distR="0" wp14:anchorId="6559C408" wp14:editId="3FC25E91">
                <wp:extent cx="5619750" cy="681037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810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F5F32" w14:textId="77777777" w:rsidR="009B4C64" w:rsidRPr="00311F22" w:rsidRDefault="009B4C64" w:rsidP="009B4C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11F2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Goal of the Proposed Project: The purpose of the BRFSS Feasibility Experiment for State-specific Module Data Collection in Cell Phone Samples will be to assess whether out-of-state cell phone respondents for the Behavioral Risk Factor Surveillance System (BRFSS) will complete state-specific modules after completion of the common core questionnaire. Results will be used to inform future data collection methodologies of the BRFSS</w:t>
                            </w:r>
                          </w:p>
                          <w:p w14:paraId="65B3D7A1" w14:textId="77777777" w:rsidR="009B4C64" w:rsidRPr="00311F22" w:rsidRDefault="009B4C64" w:rsidP="009B4C6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3F642CDB" w14:textId="77777777" w:rsidR="009B4C64" w:rsidRPr="00311F22" w:rsidRDefault="009B4C64" w:rsidP="009B4C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11F2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Intended use of the resulting data:  Data may be used to determine whether changes can be made to telephone survey methods to divert some respondents to a web-based portion of a questionnaire, currently in use.</w:t>
                            </w:r>
                          </w:p>
                          <w:p w14:paraId="0119A095" w14:textId="77777777" w:rsidR="009B4C64" w:rsidRPr="00311F22" w:rsidRDefault="009B4C64" w:rsidP="009B4C6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4F32317F" w14:textId="77777777" w:rsidR="009B4C64" w:rsidRPr="00311F22" w:rsidRDefault="009B4C64" w:rsidP="009B4C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11F2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Methods to be used to collect data: Currently, cooperating respondents who appear in the sample, but live in other states are interviewed using the common core questions only. They are not included in state-specific modules, resulting in the loss of information for the state of residence. This feasibility experiment will assess three methods for inviting respondents to complete state-specific modules. The respondents who complete the core will be randomly assigned to one of three invitation methods to complete modules: (1) an SMS text link, (2) a URL link within an email, or (3) a postal mail of the URL for the state-specific modules. Based on their randomized condition, the invitation to the state-specific module survey will be sent via SMS text link, email, or mail to each of the recruited participants.</w:t>
                            </w:r>
                          </w:p>
                          <w:p w14:paraId="53A1A5E9" w14:textId="77777777" w:rsidR="009B4C64" w:rsidRPr="00311F22" w:rsidRDefault="009B4C64" w:rsidP="009B4C64">
                            <w:pPr>
                              <w:pStyle w:val="ListParagraph"/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11F2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 CDC will track responses, cooperation and completion rates and characteristics of both respondents and nonrespondents to the state-specific modules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to determine whether it is feasible to move respondents from telephone based data collection to web-based questionnaires</w:t>
                            </w:r>
                            <w:r w:rsidRPr="00311F2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</w:t>
                            </w:r>
                          </w:p>
                          <w:p w14:paraId="7B66B99A" w14:textId="77777777" w:rsidR="009B4C64" w:rsidRPr="00311F22" w:rsidRDefault="009B4C64" w:rsidP="009B4C6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2EEB409B" w14:textId="77777777" w:rsidR="009B4C64" w:rsidRPr="00311F22" w:rsidRDefault="009B4C64" w:rsidP="009B4C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11F2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Populations to be studied: Adult residents of 10 US states who are part of the BRFSS sample.</w:t>
                            </w:r>
                          </w:p>
                          <w:p w14:paraId="121A574C" w14:textId="77777777" w:rsidR="009B4C64" w:rsidRPr="00311F22" w:rsidRDefault="009B4C64" w:rsidP="009B4C64">
                            <w:pPr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1793C20C" w14:textId="77777777" w:rsidR="009B4C64" w:rsidRPr="00311F22" w:rsidRDefault="009B4C64" w:rsidP="009B4C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11F2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How data will be analyzed:  The resulting data will be used to test whether a follow-up for cooperating respondents could result in an approach for collecting state-specific data that is currently not collected.  If data indicate that it is cost effective to implement a procedure for new methods to achieve module data, changes may be made in future BRFSS data collection methods.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42.5pt;height:5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" fillcolor="window" strokeweight=".5pt">
                <v:textbox>
                  <w:txbxContent>
                    <w:p w14:paraId="41BF5F32" w14:textId="77777777" w:rsidR="009B4C64" w:rsidRPr="00311F22" w:rsidRDefault="009B4C64" w:rsidP="009B4C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311F22">
                        <w:rPr>
                          <w:rFonts w:asciiTheme="minorHAnsi" w:hAnsiTheme="minorHAnsi" w:cstheme="minorHAnsi"/>
                          <w:sz w:val="24"/>
                        </w:rPr>
                        <w:t>Goal of the Proposed Project: The purpose of the BRFSS Feasibility Experiment for State-specific Module Data Collection in Cell Phone Samples will be to assess whether out-of-state cell phone respondents for the Behavioral Risk Factor Surveillance System (BRFSS) will complete state-specific modules after completion of the common core questionnaire. Results will be used to inform future data collection methodologies of the BRFSS</w:t>
                      </w:r>
                    </w:p>
                    <w:p w14:paraId="65B3D7A1" w14:textId="77777777" w:rsidR="009B4C64" w:rsidRPr="00311F22" w:rsidRDefault="009B4C64" w:rsidP="009B4C6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3F642CDB" w14:textId="77777777" w:rsidR="009B4C64" w:rsidRPr="00311F22" w:rsidRDefault="009B4C64" w:rsidP="009B4C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311F22">
                        <w:rPr>
                          <w:rFonts w:asciiTheme="minorHAnsi" w:hAnsiTheme="minorHAnsi" w:cstheme="minorHAnsi"/>
                          <w:sz w:val="24"/>
                        </w:rPr>
                        <w:t>Intended use of the resulting data:  Data may be used to determine whether changes can be made to telephone survey methods to divert some respondents to a web-based portion of a questionnaire, currently in use.</w:t>
                      </w:r>
                    </w:p>
                    <w:p w14:paraId="0119A095" w14:textId="77777777" w:rsidR="009B4C64" w:rsidRPr="00311F22" w:rsidRDefault="009B4C64" w:rsidP="009B4C6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4F32317F" w14:textId="77777777" w:rsidR="009B4C64" w:rsidRPr="00311F22" w:rsidRDefault="009B4C64" w:rsidP="009B4C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311F22">
                        <w:rPr>
                          <w:rFonts w:asciiTheme="minorHAnsi" w:hAnsiTheme="minorHAnsi" w:cstheme="minorHAnsi"/>
                          <w:sz w:val="24"/>
                        </w:rPr>
                        <w:t>Methods to be used to collect data: Currently, cooperating respondents who appear in the sample, but live in other states are interviewed using the common core questions only. They are not included in state-specific modules, resulting in the loss of information for the state of residence. This feasibility experiment will assess three methods for inviting respondents to complete state-specific modules. The respondents who complete the core will be randomly assigned to one of three invitation methods to complete modules: (1) an SMS text link, (2) a URL link within an email, or (3) a postal mail of the URL for the state-specific modules. Based on their randomized condition, the invitation to the state-specific module survey will be sent via SMS text link, email, or mail to each of the recruited participants.</w:t>
                      </w:r>
                    </w:p>
                    <w:p w14:paraId="53A1A5E9" w14:textId="77777777" w:rsidR="009B4C64" w:rsidRPr="00311F22" w:rsidRDefault="009B4C64" w:rsidP="009B4C64">
                      <w:pPr>
                        <w:pStyle w:val="ListParagraph"/>
                        <w:ind w:left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311F22">
                        <w:rPr>
                          <w:rFonts w:asciiTheme="minorHAnsi" w:hAnsiTheme="minorHAnsi" w:cstheme="minorHAnsi"/>
                          <w:sz w:val="24"/>
                        </w:rPr>
                        <w:t>The CDC will track responses, cooperation and completion rates and characteristics of both respondents and nonrespondents to the state-specific modules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to determine whether it is feasible to move respondents from telephone based data collection to web-based questionnaires</w:t>
                      </w:r>
                      <w:r w:rsidRPr="00311F22">
                        <w:rPr>
                          <w:rFonts w:asciiTheme="minorHAnsi" w:hAnsiTheme="minorHAnsi" w:cstheme="minorHAnsi"/>
                          <w:sz w:val="24"/>
                        </w:rPr>
                        <w:t>.</w:t>
                      </w:r>
                    </w:p>
                    <w:p w14:paraId="7B66B99A" w14:textId="77777777" w:rsidR="009B4C64" w:rsidRPr="00311F22" w:rsidRDefault="009B4C64" w:rsidP="009B4C6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2EEB409B" w14:textId="77777777" w:rsidR="009B4C64" w:rsidRPr="00311F22" w:rsidRDefault="009B4C64" w:rsidP="009B4C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311F22">
                        <w:rPr>
                          <w:rFonts w:asciiTheme="minorHAnsi" w:hAnsiTheme="minorHAnsi" w:cstheme="minorHAnsi"/>
                          <w:sz w:val="24"/>
                        </w:rPr>
                        <w:t>Populations to be studied: Adult residents of 10 US states who are part of the BRFSS sample.</w:t>
                      </w:r>
                    </w:p>
                    <w:p w14:paraId="121A574C" w14:textId="77777777" w:rsidR="009B4C64" w:rsidRPr="00311F22" w:rsidRDefault="009B4C64" w:rsidP="009B4C64">
                      <w:pPr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1793C20C" w14:textId="77777777" w:rsidR="009B4C64" w:rsidRPr="00311F22" w:rsidRDefault="009B4C64" w:rsidP="009B4C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311F22">
                        <w:rPr>
                          <w:rFonts w:asciiTheme="minorHAnsi" w:hAnsiTheme="minorHAnsi" w:cstheme="minorHAnsi"/>
                          <w:sz w:val="24"/>
                        </w:rPr>
                        <w:t xml:space="preserve">How data will be analyzed:  The resulting data will be used to test whether a follow-up for cooperating respondents could result in an approach for collecting state-specific data that is currently not collected.  If data indicate that it is cost effective to implement a procedure for new methods to achieve module data, changes may be made in future BRFSS data collection methods.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EC8651" w14:textId="77777777" w:rsidR="009B4C64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</w:p>
    <w:p w14:paraId="5DE9972F" w14:textId="77777777" w:rsidR="009B4C64" w:rsidRDefault="009B4C64" w:rsidP="009B4C64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14:paraId="5D05D60F" w14:textId="77777777" w:rsidR="00844607" w:rsidRPr="00BA054B" w:rsidRDefault="00844607" w:rsidP="00844607">
      <w:pPr>
        <w:pStyle w:val="Heading1"/>
        <w:spacing w:before="120" w:after="120"/>
        <w:rPr>
          <w:rFonts w:asciiTheme="minorHAnsi" w:hAnsiTheme="minorHAnsi" w:cstheme="minorHAnsi"/>
        </w:rPr>
      </w:pPr>
      <w:r w:rsidRPr="00BA054B">
        <w:rPr>
          <w:rFonts w:asciiTheme="minorHAnsi" w:hAnsiTheme="minorHAnsi" w:cstheme="minorHAnsi"/>
        </w:rPr>
        <w:t>B. Collections of Information Employing Statistical Methods</w:t>
      </w:r>
    </w:p>
    <w:p w14:paraId="43F1E321" w14:textId="77777777" w:rsidR="00844607" w:rsidRPr="00BA054B" w:rsidRDefault="00844607" w:rsidP="00844607">
      <w:pPr>
        <w:pStyle w:val="Heading2"/>
        <w:numPr>
          <w:ilvl w:val="0"/>
          <w:numId w:val="3"/>
        </w:numPr>
        <w:spacing w:before="120" w:after="120"/>
        <w:rPr>
          <w:rFonts w:asciiTheme="minorHAnsi" w:hAnsiTheme="minorHAnsi" w:cstheme="minorHAnsi"/>
          <w:i w:val="0"/>
          <w:sz w:val="24"/>
          <w:szCs w:val="24"/>
        </w:rPr>
      </w:pPr>
      <w:bookmarkStart w:id="1" w:name="_Toc151782199"/>
      <w:bookmarkStart w:id="2" w:name="_Toc158526235"/>
      <w:r w:rsidRPr="00BA054B">
        <w:rPr>
          <w:rFonts w:asciiTheme="minorHAnsi" w:hAnsiTheme="minorHAnsi" w:cstheme="minorHAnsi"/>
          <w:i w:val="0"/>
          <w:sz w:val="24"/>
          <w:szCs w:val="24"/>
        </w:rPr>
        <w:t>Respondent universe and sampling methods</w:t>
      </w:r>
      <w:bookmarkEnd w:id="1"/>
      <w:bookmarkEnd w:id="2"/>
      <w:r w:rsidR="007259A8" w:rsidRPr="00BA054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31A32F1F" w14:textId="2F4DA64C" w:rsidR="00AA32BB" w:rsidRPr="00BA054B" w:rsidRDefault="00E36A6E" w:rsidP="00AA32BB">
      <w:pPr>
        <w:spacing w:before="120" w:after="120"/>
        <w:ind w:left="360"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 xml:space="preserve">The purpose of the </w:t>
      </w:r>
      <w:r w:rsidR="00AA32BB" w:rsidRPr="00BA054B">
        <w:rPr>
          <w:rFonts w:asciiTheme="minorHAnsi" w:hAnsiTheme="minorHAnsi" w:cstheme="minorHAnsi"/>
          <w:sz w:val="24"/>
        </w:rPr>
        <w:t>BRFSS Feasibility Experiment for State-specific Module Data Collection in Cell Phone Samples</w:t>
      </w:r>
      <w:r w:rsidRPr="00BA054B">
        <w:rPr>
          <w:rFonts w:asciiTheme="minorHAnsi" w:hAnsiTheme="minorHAnsi" w:cstheme="minorHAnsi"/>
          <w:sz w:val="24"/>
        </w:rPr>
        <w:t xml:space="preserve"> is to </w:t>
      </w:r>
      <w:r w:rsidR="00AA32BB" w:rsidRPr="00BA054B">
        <w:rPr>
          <w:rFonts w:asciiTheme="minorHAnsi" w:hAnsiTheme="minorHAnsi" w:cstheme="minorHAnsi"/>
          <w:sz w:val="24"/>
        </w:rPr>
        <w:t>determine whether it is possible to follow-up with out-of-state cell phone respondents to collect state-specific data.  Currently cell phone respondents whose phone numbers place them in the incorrect state sample, are interviewed using only the common core questionnaires.  State-specific modules are not includ</w:t>
      </w:r>
      <w:r w:rsidR="00F601B7" w:rsidRPr="00BA054B">
        <w:rPr>
          <w:rFonts w:asciiTheme="minorHAnsi" w:hAnsiTheme="minorHAnsi" w:cstheme="minorHAnsi"/>
          <w:sz w:val="24"/>
        </w:rPr>
        <w:t>ed</w:t>
      </w:r>
      <w:r w:rsidR="00AA32BB" w:rsidRPr="00BA054B">
        <w:rPr>
          <w:rFonts w:asciiTheme="minorHAnsi" w:hAnsiTheme="minorHAnsi" w:cstheme="minorHAnsi"/>
          <w:sz w:val="24"/>
        </w:rPr>
        <w:t xml:space="preserve"> in the interviews of these persons who have moved from the state where they first purchased their cell phone. This has resulted in loss of state-specific data for a portion of the cell phone interviews in each state. </w:t>
      </w:r>
    </w:p>
    <w:p w14:paraId="5C5392B3" w14:textId="54DB9DC6" w:rsidR="00AA32BB" w:rsidRPr="00BA054B" w:rsidRDefault="007E68A1" w:rsidP="00AA32BB">
      <w:pPr>
        <w:spacing w:before="120" w:after="120"/>
        <w:ind w:left="360"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Ten state health departments</w:t>
      </w:r>
      <w:r w:rsidR="00AA32BB" w:rsidRPr="00BA054B">
        <w:rPr>
          <w:rFonts w:asciiTheme="minorHAnsi" w:hAnsiTheme="minorHAnsi" w:cstheme="minorHAnsi"/>
          <w:sz w:val="24"/>
        </w:rPr>
        <w:t xml:space="preserve"> </w:t>
      </w:r>
      <w:r w:rsidR="0000383F" w:rsidRPr="00BA054B">
        <w:rPr>
          <w:rFonts w:asciiTheme="minorHAnsi" w:hAnsiTheme="minorHAnsi" w:cstheme="minorHAnsi"/>
          <w:sz w:val="24"/>
        </w:rPr>
        <w:t xml:space="preserve">(TX, AK, FL, WV, MO, WA, NY, KY, CT, </w:t>
      </w:r>
      <w:r w:rsidR="00876040" w:rsidRPr="00BA054B">
        <w:rPr>
          <w:rFonts w:asciiTheme="minorHAnsi" w:hAnsiTheme="minorHAnsi" w:cstheme="minorHAnsi"/>
          <w:sz w:val="24"/>
        </w:rPr>
        <w:t xml:space="preserve">and </w:t>
      </w:r>
      <w:r w:rsidR="0000383F" w:rsidRPr="00BA054B">
        <w:rPr>
          <w:rFonts w:asciiTheme="minorHAnsi" w:hAnsiTheme="minorHAnsi" w:cstheme="minorHAnsi"/>
          <w:sz w:val="24"/>
        </w:rPr>
        <w:t xml:space="preserve">ND) have volunteered to </w:t>
      </w:r>
      <w:r w:rsidR="00AA32BB" w:rsidRPr="00BA054B">
        <w:rPr>
          <w:rFonts w:asciiTheme="minorHAnsi" w:hAnsiTheme="minorHAnsi" w:cstheme="minorHAnsi"/>
          <w:sz w:val="24"/>
        </w:rPr>
        <w:t xml:space="preserve">participate in the BRFSS Feasibility Experiment for State-specific Module Data Collection in Cell Phone Samples.  Currently approximately 56% of all BRFSS interviews are completed by cell phone.  Of those interviews, up to 20% may be conducted by state health departments where the area code of the phone number </w:t>
      </w:r>
      <w:r w:rsidR="00F601B7" w:rsidRPr="00BA054B">
        <w:rPr>
          <w:rFonts w:asciiTheme="minorHAnsi" w:hAnsiTheme="minorHAnsi" w:cstheme="minorHAnsi"/>
          <w:sz w:val="24"/>
        </w:rPr>
        <w:t xml:space="preserve">indicates </w:t>
      </w:r>
      <w:r w:rsidR="00AA32BB" w:rsidRPr="00BA054B">
        <w:rPr>
          <w:rFonts w:asciiTheme="minorHAnsi" w:hAnsiTheme="minorHAnsi" w:cstheme="minorHAnsi"/>
          <w:sz w:val="24"/>
        </w:rPr>
        <w:t>that the respondent resides</w:t>
      </w:r>
      <w:r w:rsidR="00F601B7" w:rsidRPr="00BA054B">
        <w:rPr>
          <w:rFonts w:asciiTheme="minorHAnsi" w:hAnsiTheme="minorHAnsi" w:cstheme="minorHAnsi"/>
          <w:sz w:val="24"/>
        </w:rPr>
        <w:t xml:space="preserve"> outside of the state sample frame</w:t>
      </w:r>
      <w:r w:rsidR="00AA32BB" w:rsidRPr="00BA054B">
        <w:rPr>
          <w:rFonts w:asciiTheme="minorHAnsi" w:hAnsiTheme="minorHAnsi" w:cstheme="minorHAnsi"/>
          <w:sz w:val="24"/>
        </w:rPr>
        <w:t xml:space="preserve">. </w:t>
      </w:r>
      <w:r w:rsidR="0000383F" w:rsidRPr="00BA054B">
        <w:rPr>
          <w:rFonts w:asciiTheme="minorHAnsi" w:hAnsiTheme="minorHAnsi" w:cstheme="minorHAnsi"/>
          <w:sz w:val="24"/>
        </w:rPr>
        <w:t xml:space="preserve">The percentage of cell phone interviews varies by state, and the percentage of contacted respondents who live in other states also varies. </w:t>
      </w:r>
      <w:r w:rsidRPr="00BA054B">
        <w:rPr>
          <w:rFonts w:asciiTheme="minorHAnsi" w:hAnsiTheme="minorHAnsi" w:cstheme="minorHAnsi"/>
          <w:sz w:val="24"/>
        </w:rPr>
        <w:t xml:space="preserve">Although it is not known whether respondents will 1) agree to participate and 2) complete the online questionnaire after being recruited, a maximum of </w:t>
      </w:r>
      <w:r w:rsidR="00146F82">
        <w:rPr>
          <w:rFonts w:asciiTheme="minorHAnsi" w:hAnsiTheme="minorHAnsi" w:cstheme="minorHAnsi"/>
          <w:sz w:val="24"/>
        </w:rPr>
        <w:t xml:space="preserve">450 </w:t>
      </w:r>
      <w:r w:rsidRPr="00BA054B">
        <w:rPr>
          <w:rFonts w:asciiTheme="minorHAnsi" w:hAnsiTheme="minorHAnsi" w:cstheme="minorHAnsi"/>
          <w:sz w:val="24"/>
        </w:rPr>
        <w:t xml:space="preserve">participants will be set for each state.  The actual number of participants may be much lower. </w:t>
      </w:r>
    </w:p>
    <w:p w14:paraId="0D2FC016" w14:textId="7CFC5EAC" w:rsidR="00AA32BB" w:rsidRPr="00BA054B" w:rsidRDefault="00AA32BB" w:rsidP="00AA32BB">
      <w:pPr>
        <w:spacing w:before="120" w:after="120"/>
        <w:ind w:left="360"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>As is currently standard protocol for BRFSS data collection, the state contacting the respondents will complete the interview for all cell phone respondents.  Those respondents reporting that they reside in the state</w:t>
      </w:r>
      <w:r w:rsidR="00F601B7" w:rsidRPr="00BA054B">
        <w:rPr>
          <w:rFonts w:asciiTheme="minorHAnsi" w:hAnsiTheme="minorHAnsi" w:cstheme="minorHAnsi"/>
          <w:sz w:val="24"/>
        </w:rPr>
        <w:t>’s sample frame</w:t>
      </w:r>
      <w:r w:rsidRPr="00BA054B">
        <w:rPr>
          <w:rFonts w:asciiTheme="minorHAnsi" w:hAnsiTheme="minorHAnsi" w:cstheme="minorHAnsi"/>
          <w:sz w:val="24"/>
        </w:rPr>
        <w:t xml:space="preserve"> will complete the core questionnaire and state-specific modules.  Those who report that they live in other states will complete </w:t>
      </w:r>
      <w:r w:rsidR="00F601B7" w:rsidRPr="00BA054B">
        <w:rPr>
          <w:rFonts w:asciiTheme="minorHAnsi" w:hAnsiTheme="minorHAnsi" w:cstheme="minorHAnsi"/>
          <w:sz w:val="24"/>
        </w:rPr>
        <w:t xml:space="preserve">only </w:t>
      </w:r>
      <w:r w:rsidRPr="00BA054B">
        <w:rPr>
          <w:rFonts w:asciiTheme="minorHAnsi" w:hAnsiTheme="minorHAnsi" w:cstheme="minorHAnsi"/>
          <w:sz w:val="24"/>
        </w:rPr>
        <w:t>the core questionnaire</w:t>
      </w:r>
      <w:r w:rsidR="00F601B7" w:rsidRPr="00BA054B">
        <w:rPr>
          <w:rFonts w:asciiTheme="minorHAnsi" w:hAnsiTheme="minorHAnsi" w:cstheme="minorHAnsi"/>
          <w:sz w:val="24"/>
        </w:rPr>
        <w:t xml:space="preserve"> on the telephone</w:t>
      </w:r>
      <w:r w:rsidRPr="00BA054B">
        <w:rPr>
          <w:rFonts w:asciiTheme="minorHAnsi" w:hAnsiTheme="minorHAnsi" w:cstheme="minorHAnsi"/>
          <w:sz w:val="24"/>
        </w:rPr>
        <w:t>.  They will the</w:t>
      </w:r>
      <w:r w:rsidR="00F601B7" w:rsidRPr="00BA054B">
        <w:rPr>
          <w:rFonts w:asciiTheme="minorHAnsi" w:hAnsiTheme="minorHAnsi" w:cstheme="minorHAnsi"/>
          <w:sz w:val="24"/>
        </w:rPr>
        <w:t>n</w:t>
      </w:r>
      <w:r w:rsidRPr="00BA054B">
        <w:rPr>
          <w:rFonts w:asciiTheme="minorHAnsi" w:hAnsiTheme="minorHAnsi" w:cstheme="minorHAnsi"/>
          <w:sz w:val="24"/>
        </w:rPr>
        <w:t xml:space="preserve"> be asked if they would complete state-specific modules </w:t>
      </w:r>
      <w:r w:rsidR="00F601B7" w:rsidRPr="00BA054B">
        <w:rPr>
          <w:rFonts w:asciiTheme="minorHAnsi" w:hAnsiTheme="minorHAnsi" w:cstheme="minorHAnsi"/>
          <w:sz w:val="24"/>
        </w:rPr>
        <w:t>through</w:t>
      </w:r>
      <w:r w:rsidRPr="00BA054B">
        <w:rPr>
          <w:rFonts w:asciiTheme="minorHAnsi" w:hAnsiTheme="minorHAnsi" w:cstheme="minorHAnsi"/>
          <w:sz w:val="24"/>
        </w:rPr>
        <w:t xml:space="preserve"> an online questionnaire</w:t>
      </w:r>
      <w:r w:rsidR="009B4FD6" w:rsidRPr="00BA054B">
        <w:rPr>
          <w:rFonts w:asciiTheme="minorHAnsi" w:hAnsiTheme="minorHAnsi" w:cstheme="minorHAnsi"/>
          <w:sz w:val="24"/>
        </w:rPr>
        <w:t>.</w:t>
      </w:r>
      <w:r w:rsidRPr="00BA054B">
        <w:rPr>
          <w:rFonts w:asciiTheme="minorHAnsi" w:hAnsiTheme="minorHAnsi" w:cstheme="minorHAnsi"/>
          <w:sz w:val="24"/>
        </w:rPr>
        <w:t xml:space="preserve"> </w:t>
      </w:r>
      <w:r w:rsidR="009B4FD6" w:rsidRPr="00BA054B">
        <w:rPr>
          <w:rFonts w:asciiTheme="minorHAnsi" w:hAnsiTheme="minorHAnsi" w:cstheme="minorHAnsi"/>
          <w:sz w:val="24"/>
        </w:rPr>
        <w:t xml:space="preserve">The mode for connecting or inviting out-of-state core respondents </w:t>
      </w:r>
      <w:r w:rsidR="00747443" w:rsidRPr="00BA054B">
        <w:rPr>
          <w:rFonts w:asciiTheme="minorHAnsi" w:hAnsiTheme="minorHAnsi" w:cstheme="minorHAnsi"/>
          <w:sz w:val="24"/>
        </w:rPr>
        <w:t xml:space="preserve">to the online modules </w:t>
      </w:r>
      <w:r w:rsidR="009B4FD6" w:rsidRPr="00BA054B">
        <w:rPr>
          <w:rFonts w:asciiTheme="minorHAnsi" w:hAnsiTheme="minorHAnsi" w:cstheme="minorHAnsi"/>
          <w:sz w:val="24"/>
        </w:rPr>
        <w:t>will be experimentally tested. These respondents will be randomly assigned to one of three groups</w:t>
      </w:r>
      <w:r w:rsidR="0068157A" w:rsidRPr="00BA054B">
        <w:rPr>
          <w:rFonts w:asciiTheme="minorHAnsi" w:hAnsiTheme="minorHAnsi" w:cstheme="minorHAnsi"/>
          <w:sz w:val="24"/>
        </w:rPr>
        <w:t xml:space="preserve"> to receive the invitation and link to complete the online questionnaire: </w:t>
      </w:r>
      <w:r w:rsidR="009B4FD6" w:rsidRPr="00BA054B">
        <w:rPr>
          <w:rFonts w:asciiTheme="minorHAnsi" w:hAnsiTheme="minorHAnsi" w:cstheme="minorHAnsi"/>
          <w:sz w:val="24"/>
        </w:rPr>
        <w:t xml:space="preserve"> </w:t>
      </w:r>
      <w:r w:rsidR="0068157A" w:rsidRPr="00BA054B">
        <w:rPr>
          <w:rFonts w:asciiTheme="minorHAnsi" w:hAnsiTheme="minorHAnsi" w:cstheme="minorHAnsi"/>
          <w:sz w:val="24"/>
        </w:rPr>
        <w:t>(</w:t>
      </w:r>
      <w:r w:rsidR="009B4FD6" w:rsidRPr="00BA054B">
        <w:rPr>
          <w:rFonts w:asciiTheme="minorHAnsi" w:hAnsiTheme="minorHAnsi" w:cstheme="minorHAnsi"/>
          <w:sz w:val="24"/>
        </w:rPr>
        <w:t xml:space="preserve">1) </w:t>
      </w:r>
      <w:r w:rsidRPr="00BA054B">
        <w:rPr>
          <w:rFonts w:asciiTheme="minorHAnsi" w:hAnsiTheme="minorHAnsi" w:cstheme="minorHAnsi"/>
          <w:sz w:val="24"/>
        </w:rPr>
        <w:t xml:space="preserve">a link texted to the </w:t>
      </w:r>
      <w:r w:rsidR="00747443" w:rsidRPr="00BA054B">
        <w:rPr>
          <w:rFonts w:asciiTheme="minorHAnsi" w:hAnsiTheme="minorHAnsi" w:cstheme="minorHAnsi"/>
          <w:sz w:val="24"/>
        </w:rPr>
        <w:t xml:space="preserve">respondent’s </w:t>
      </w:r>
      <w:r w:rsidRPr="00BA054B">
        <w:rPr>
          <w:rFonts w:asciiTheme="minorHAnsi" w:hAnsiTheme="minorHAnsi" w:cstheme="minorHAnsi"/>
          <w:sz w:val="24"/>
        </w:rPr>
        <w:t>cell phone number</w:t>
      </w:r>
      <w:r w:rsidR="009B4FD6" w:rsidRPr="00BA054B">
        <w:rPr>
          <w:rFonts w:asciiTheme="minorHAnsi" w:hAnsiTheme="minorHAnsi" w:cstheme="minorHAnsi"/>
          <w:sz w:val="24"/>
        </w:rPr>
        <w:t xml:space="preserve">; </w:t>
      </w:r>
      <w:r w:rsidR="0068157A" w:rsidRPr="00BA054B">
        <w:rPr>
          <w:rFonts w:asciiTheme="minorHAnsi" w:hAnsiTheme="minorHAnsi" w:cstheme="minorHAnsi"/>
          <w:sz w:val="24"/>
        </w:rPr>
        <w:t>(</w:t>
      </w:r>
      <w:r w:rsidR="009B4FD6" w:rsidRPr="00BA054B">
        <w:rPr>
          <w:rFonts w:asciiTheme="minorHAnsi" w:hAnsiTheme="minorHAnsi" w:cstheme="minorHAnsi"/>
          <w:sz w:val="24"/>
        </w:rPr>
        <w:t>2)</w:t>
      </w:r>
      <w:r w:rsidRPr="00BA054B">
        <w:rPr>
          <w:rFonts w:asciiTheme="minorHAnsi" w:hAnsiTheme="minorHAnsi" w:cstheme="minorHAnsi"/>
          <w:sz w:val="24"/>
        </w:rPr>
        <w:t xml:space="preserve"> by an email sent to an </w:t>
      </w:r>
      <w:r w:rsidR="0068157A" w:rsidRPr="00BA054B">
        <w:rPr>
          <w:rFonts w:asciiTheme="minorHAnsi" w:hAnsiTheme="minorHAnsi" w:cstheme="minorHAnsi"/>
          <w:sz w:val="24"/>
        </w:rPr>
        <w:t xml:space="preserve">email </w:t>
      </w:r>
      <w:r w:rsidRPr="00BA054B">
        <w:rPr>
          <w:rFonts w:asciiTheme="minorHAnsi" w:hAnsiTheme="minorHAnsi" w:cstheme="minorHAnsi"/>
          <w:sz w:val="24"/>
        </w:rPr>
        <w:t>address provided by the respondent</w:t>
      </w:r>
      <w:r w:rsidR="009B4FD6" w:rsidRPr="00BA054B">
        <w:rPr>
          <w:rFonts w:asciiTheme="minorHAnsi" w:hAnsiTheme="minorHAnsi" w:cstheme="minorHAnsi"/>
          <w:sz w:val="24"/>
        </w:rPr>
        <w:t xml:space="preserve">; or </w:t>
      </w:r>
      <w:r w:rsidR="0068157A" w:rsidRPr="00BA054B">
        <w:rPr>
          <w:rFonts w:asciiTheme="minorHAnsi" w:hAnsiTheme="minorHAnsi" w:cstheme="minorHAnsi"/>
          <w:sz w:val="24"/>
        </w:rPr>
        <w:t>(</w:t>
      </w:r>
      <w:r w:rsidR="009B4FD6" w:rsidRPr="00BA054B">
        <w:rPr>
          <w:rFonts w:asciiTheme="minorHAnsi" w:hAnsiTheme="minorHAnsi" w:cstheme="minorHAnsi"/>
          <w:sz w:val="24"/>
        </w:rPr>
        <w:t>3) by postal mail</w:t>
      </w:r>
      <w:r w:rsidR="00747443" w:rsidRPr="00BA054B">
        <w:rPr>
          <w:rFonts w:asciiTheme="minorHAnsi" w:hAnsiTheme="minorHAnsi" w:cstheme="minorHAnsi"/>
          <w:sz w:val="24"/>
        </w:rPr>
        <w:t xml:space="preserve"> to the respondent’s home address</w:t>
      </w:r>
      <w:r w:rsidRPr="00BA054B">
        <w:rPr>
          <w:rFonts w:asciiTheme="minorHAnsi" w:hAnsiTheme="minorHAnsi" w:cstheme="minorHAnsi"/>
          <w:sz w:val="24"/>
        </w:rPr>
        <w:t xml:space="preserve">.  Please see Attachment </w:t>
      </w:r>
      <w:r w:rsidR="0000383F" w:rsidRPr="00BA054B">
        <w:rPr>
          <w:rFonts w:asciiTheme="minorHAnsi" w:hAnsiTheme="minorHAnsi" w:cstheme="minorHAnsi"/>
          <w:sz w:val="24"/>
        </w:rPr>
        <w:t>2</w:t>
      </w:r>
      <w:r w:rsidRPr="00BA054B">
        <w:rPr>
          <w:rFonts w:asciiTheme="minorHAnsi" w:hAnsiTheme="minorHAnsi" w:cstheme="minorHAnsi"/>
          <w:sz w:val="24"/>
        </w:rPr>
        <w:t xml:space="preserve"> for script to be used to recruit respondents</w:t>
      </w:r>
      <w:r w:rsidR="0000383F" w:rsidRPr="00BA054B">
        <w:rPr>
          <w:rFonts w:asciiTheme="minorHAnsi" w:hAnsiTheme="minorHAnsi" w:cstheme="minorHAnsi"/>
          <w:sz w:val="24"/>
        </w:rPr>
        <w:t xml:space="preserve"> at the conclusion of the core BRFSS questionnaire</w:t>
      </w:r>
      <w:r w:rsidRPr="00BA054B">
        <w:rPr>
          <w:rFonts w:asciiTheme="minorHAnsi" w:hAnsiTheme="minorHAnsi" w:cstheme="minorHAnsi"/>
          <w:sz w:val="24"/>
        </w:rPr>
        <w:t xml:space="preserve">.  Attachment </w:t>
      </w:r>
      <w:r w:rsidR="0000383F" w:rsidRPr="00BA054B">
        <w:rPr>
          <w:rFonts w:asciiTheme="minorHAnsi" w:hAnsiTheme="minorHAnsi" w:cstheme="minorHAnsi"/>
          <w:sz w:val="24"/>
        </w:rPr>
        <w:t>4 pr</w:t>
      </w:r>
      <w:r w:rsidRPr="00BA054B">
        <w:rPr>
          <w:rFonts w:asciiTheme="minorHAnsi" w:hAnsiTheme="minorHAnsi" w:cstheme="minorHAnsi"/>
          <w:sz w:val="24"/>
        </w:rPr>
        <w:t>ovides a copy questionnaire.</w:t>
      </w:r>
    </w:p>
    <w:p w14:paraId="159DC6E1" w14:textId="1132A6E4" w:rsidR="00167268" w:rsidRPr="00BA054B" w:rsidRDefault="00432974" w:rsidP="00C4776B">
      <w:pPr>
        <w:spacing w:before="120" w:after="120"/>
        <w:ind w:left="360"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 xml:space="preserve">The table below illustrates </w:t>
      </w:r>
      <w:r w:rsidR="00DC44F6" w:rsidRPr="00BA054B">
        <w:rPr>
          <w:rFonts w:asciiTheme="minorHAnsi" w:hAnsiTheme="minorHAnsi" w:cstheme="minorHAnsi"/>
          <w:sz w:val="24"/>
        </w:rPr>
        <w:t xml:space="preserve">the estimated respondent universe and burden hours </w:t>
      </w:r>
      <w:r w:rsidR="00C4776B" w:rsidRPr="00BA054B">
        <w:rPr>
          <w:rFonts w:asciiTheme="minorHAnsi" w:hAnsiTheme="minorHAnsi" w:cstheme="minorHAnsi"/>
          <w:sz w:val="24"/>
        </w:rPr>
        <w:t xml:space="preserve">for the single administration of the BRFSS </w:t>
      </w:r>
      <w:r w:rsidR="004247B9" w:rsidRPr="00BA054B">
        <w:rPr>
          <w:rFonts w:asciiTheme="minorHAnsi" w:hAnsiTheme="minorHAnsi" w:cstheme="minorHAnsi"/>
          <w:sz w:val="24"/>
        </w:rPr>
        <w:t>Feasibility</w:t>
      </w:r>
      <w:r w:rsidR="00AA1DDD" w:rsidRPr="00BA054B">
        <w:rPr>
          <w:rFonts w:asciiTheme="minorHAnsi" w:hAnsiTheme="minorHAnsi" w:cstheme="minorHAnsi"/>
          <w:sz w:val="24"/>
        </w:rPr>
        <w:t xml:space="preserve"> Experiment</w:t>
      </w:r>
      <w:r w:rsidR="004247B9" w:rsidRPr="00BA054B">
        <w:rPr>
          <w:rFonts w:asciiTheme="minorHAnsi" w:hAnsiTheme="minorHAnsi" w:cstheme="minorHAnsi"/>
          <w:sz w:val="24"/>
        </w:rPr>
        <w:t xml:space="preserve"> for collecting state specific modules online</w:t>
      </w:r>
      <w:r w:rsidR="00DC44F6" w:rsidRPr="00BA054B">
        <w:rPr>
          <w:rFonts w:asciiTheme="minorHAnsi" w:hAnsiTheme="minorHAnsi" w:cstheme="minorHAnsi"/>
          <w:sz w:val="24"/>
        </w:rPr>
        <w:t>.</w:t>
      </w:r>
    </w:p>
    <w:p w14:paraId="60E36653" w14:textId="77777777" w:rsidR="00747443" w:rsidRPr="00BA054B" w:rsidRDefault="00747443">
      <w:pPr>
        <w:widowControl/>
        <w:autoSpaceDE/>
        <w:autoSpaceDN/>
        <w:adjustRightInd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br w:type="page"/>
      </w:r>
    </w:p>
    <w:p w14:paraId="0ED96E06" w14:textId="77777777" w:rsidR="00C30945" w:rsidRPr="00BA054B" w:rsidRDefault="00C30945" w:rsidP="00A568E7">
      <w:pPr>
        <w:spacing w:before="120" w:after="120"/>
        <w:ind w:left="360"/>
        <w:rPr>
          <w:rFonts w:asciiTheme="minorHAnsi" w:hAnsiTheme="minorHAnsi" w:cstheme="minorHAnsi"/>
          <w:sz w:val="24"/>
        </w:rPr>
      </w:pPr>
    </w:p>
    <w:p w14:paraId="17879AA1" w14:textId="3415639C" w:rsidR="00432974" w:rsidRPr="00BA054B" w:rsidRDefault="00432974" w:rsidP="00DC44F6">
      <w:pPr>
        <w:spacing w:before="120" w:after="120"/>
        <w:ind w:left="360"/>
        <w:rPr>
          <w:rFonts w:asciiTheme="minorHAnsi" w:hAnsiTheme="minorHAnsi" w:cstheme="minorHAnsi"/>
          <w:sz w:val="24"/>
        </w:rPr>
      </w:pPr>
    </w:p>
    <w:tbl>
      <w:tblPr>
        <w:tblStyle w:val="TableGrid"/>
        <w:tblW w:w="89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350"/>
        <w:gridCol w:w="2700"/>
        <w:gridCol w:w="1260"/>
        <w:gridCol w:w="1260"/>
        <w:gridCol w:w="1170"/>
        <w:gridCol w:w="1170"/>
      </w:tblGrid>
      <w:tr w:rsidR="00876040" w:rsidRPr="00BA054B" w14:paraId="48DF5D0A" w14:textId="77777777" w:rsidTr="00720A5F">
        <w:tc>
          <w:tcPr>
            <w:tcW w:w="8910" w:type="dxa"/>
            <w:gridSpan w:val="6"/>
          </w:tcPr>
          <w:p w14:paraId="4B0639AC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Table 1. Respondent Burden by Type of Information Collected</w:t>
            </w:r>
          </w:p>
        </w:tc>
      </w:tr>
      <w:tr w:rsidR="00876040" w:rsidRPr="00BA054B" w14:paraId="67655D4B" w14:textId="77777777" w:rsidTr="00720A5F">
        <w:tc>
          <w:tcPr>
            <w:tcW w:w="1350" w:type="dxa"/>
          </w:tcPr>
          <w:p w14:paraId="3C013581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BA054B">
              <w:rPr>
                <w:rFonts w:asciiTheme="minorHAnsi" w:hAnsiTheme="minorHAnsi" w:cstheme="minorHAnsi"/>
                <w:bCs/>
              </w:rPr>
              <w:t>Type of Respondents</w:t>
            </w:r>
          </w:p>
        </w:tc>
        <w:tc>
          <w:tcPr>
            <w:tcW w:w="2700" w:type="dxa"/>
          </w:tcPr>
          <w:p w14:paraId="156E6CC8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Type of Information Collection</w:t>
            </w:r>
          </w:p>
        </w:tc>
        <w:tc>
          <w:tcPr>
            <w:tcW w:w="1260" w:type="dxa"/>
          </w:tcPr>
          <w:p w14:paraId="4850031B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Number of respondents per IC</w:t>
            </w:r>
          </w:p>
        </w:tc>
        <w:tc>
          <w:tcPr>
            <w:tcW w:w="1260" w:type="dxa"/>
          </w:tcPr>
          <w:p w14:paraId="40940377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Annualized number of respondents</w:t>
            </w:r>
          </w:p>
        </w:tc>
        <w:tc>
          <w:tcPr>
            <w:tcW w:w="1170" w:type="dxa"/>
          </w:tcPr>
          <w:p w14:paraId="0955D236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Average burden per response (in hours)</w:t>
            </w:r>
          </w:p>
        </w:tc>
        <w:tc>
          <w:tcPr>
            <w:tcW w:w="1170" w:type="dxa"/>
          </w:tcPr>
          <w:p w14:paraId="3C6E1D43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Total annualized burden hours</w:t>
            </w:r>
          </w:p>
        </w:tc>
      </w:tr>
      <w:tr w:rsidR="00876040" w:rsidRPr="00BA054B" w14:paraId="716A98C7" w14:textId="77777777" w:rsidTr="00720A5F">
        <w:tc>
          <w:tcPr>
            <w:tcW w:w="1350" w:type="dxa"/>
            <w:vMerge w:val="restart"/>
            <w:vAlign w:val="center"/>
          </w:tcPr>
          <w:p w14:paraId="36B8EACD" w14:textId="77777777" w:rsidR="00876040" w:rsidRPr="00BA054B" w:rsidRDefault="00876040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BA054B">
              <w:rPr>
                <w:rFonts w:asciiTheme="minorHAnsi" w:hAnsiTheme="minorHAnsi" w:cstheme="minorHAnsi"/>
                <w:bCs/>
                <w:sz w:val="24"/>
              </w:rPr>
              <w:t>General U.S. Adult Population</w:t>
            </w:r>
          </w:p>
        </w:tc>
        <w:tc>
          <w:tcPr>
            <w:tcW w:w="2700" w:type="dxa"/>
          </w:tcPr>
          <w:p w14:paraId="6F148B2B" w14:textId="77777777" w:rsidR="00876040" w:rsidRPr="00BA054B" w:rsidRDefault="00876040" w:rsidP="00720A5F">
            <w:pPr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  <w:szCs w:val="20"/>
              </w:rPr>
              <w:t xml:space="preserve">State-specific modules using SMS (text) invitation </w:t>
            </w:r>
          </w:p>
        </w:tc>
        <w:tc>
          <w:tcPr>
            <w:tcW w:w="1260" w:type="dxa"/>
            <w:vAlign w:val="center"/>
          </w:tcPr>
          <w:p w14:paraId="022BE284" w14:textId="77777777" w:rsidR="00876040" w:rsidRPr="00BA054B" w:rsidRDefault="00876040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1,500</w:t>
            </w:r>
          </w:p>
        </w:tc>
        <w:tc>
          <w:tcPr>
            <w:tcW w:w="1260" w:type="dxa"/>
            <w:vAlign w:val="center"/>
          </w:tcPr>
          <w:p w14:paraId="689D9906" w14:textId="77777777" w:rsidR="00876040" w:rsidRPr="00BA054B" w:rsidRDefault="00876040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</w:rPr>
              <w:t>1,500</w:t>
            </w:r>
          </w:p>
        </w:tc>
        <w:tc>
          <w:tcPr>
            <w:tcW w:w="1170" w:type="dxa"/>
            <w:vAlign w:val="center"/>
          </w:tcPr>
          <w:p w14:paraId="0104686F" w14:textId="08409644" w:rsidR="00876040" w:rsidRPr="00BA054B" w:rsidRDefault="008439EC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20/6</w:t>
            </w:r>
            <w:r w:rsidR="00876040" w:rsidRPr="00BA054B">
              <w:rPr>
                <w:rFonts w:asciiTheme="minorHAnsi" w:hAnsiTheme="minorHAnsi" w:cstheme="minorHAnsi"/>
                <w:bCs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12707FF" w14:textId="30D1604F" w:rsidR="00876040" w:rsidRPr="00BA054B" w:rsidRDefault="008439EC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500</w:t>
            </w:r>
          </w:p>
        </w:tc>
      </w:tr>
      <w:tr w:rsidR="00876040" w:rsidRPr="00BA054B" w14:paraId="37999C58" w14:textId="77777777" w:rsidTr="00720A5F">
        <w:tc>
          <w:tcPr>
            <w:tcW w:w="1350" w:type="dxa"/>
            <w:vMerge/>
            <w:vAlign w:val="center"/>
          </w:tcPr>
          <w:p w14:paraId="2173F927" w14:textId="77777777" w:rsidR="00876040" w:rsidRPr="00BA054B" w:rsidRDefault="00876040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2700" w:type="dxa"/>
          </w:tcPr>
          <w:p w14:paraId="792A09C8" w14:textId="77777777" w:rsidR="00876040" w:rsidRPr="00BA054B" w:rsidDel="00747443" w:rsidRDefault="00876040" w:rsidP="00720A5F">
            <w:pPr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  <w:szCs w:val="20"/>
              </w:rPr>
              <w:t>State-specific modules using email invitation</w:t>
            </w:r>
          </w:p>
        </w:tc>
        <w:tc>
          <w:tcPr>
            <w:tcW w:w="1260" w:type="dxa"/>
          </w:tcPr>
          <w:p w14:paraId="5CC63BD6" w14:textId="77777777" w:rsidR="00876040" w:rsidRPr="00BA054B" w:rsidRDefault="00876040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</w:rPr>
              <w:t>1,500</w:t>
            </w:r>
          </w:p>
        </w:tc>
        <w:tc>
          <w:tcPr>
            <w:tcW w:w="1260" w:type="dxa"/>
            <w:vAlign w:val="center"/>
          </w:tcPr>
          <w:p w14:paraId="3BF25616" w14:textId="77777777" w:rsidR="00876040" w:rsidRPr="00BA054B" w:rsidRDefault="00876040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</w:rPr>
              <w:t>1,500</w:t>
            </w:r>
          </w:p>
        </w:tc>
        <w:tc>
          <w:tcPr>
            <w:tcW w:w="1170" w:type="dxa"/>
            <w:vAlign w:val="center"/>
          </w:tcPr>
          <w:p w14:paraId="5ADD5F8F" w14:textId="6B68739D" w:rsidR="00876040" w:rsidRPr="00BA054B" w:rsidRDefault="008439EC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20/6</w:t>
            </w:r>
            <w:r w:rsidR="00876040" w:rsidRPr="00BA054B">
              <w:rPr>
                <w:rFonts w:asciiTheme="minorHAnsi" w:hAnsiTheme="minorHAnsi" w:cstheme="minorHAnsi"/>
                <w:bCs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9A7DB6B" w14:textId="212841BA" w:rsidR="00876040" w:rsidRPr="00BA054B" w:rsidRDefault="008439EC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500</w:t>
            </w:r>
          </w:p>
        </w:tc>
      </w:tr>
      <w:tr w:rsidR="00876040" w:rsidRPr="00BA054B" w14:paraId="1A7504BC" w14:textId="77777777" w:rsidTr="00720A5F">
        <w:tc>
          <w:tcPr>
            <w:tcW w:w="1350" w:type="dxa"/>
            <w:vMerge/>
          </w:tcPr>
          <w:p w14:paraId="1B0FBB35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2700" w:type="dxa"/>
          </w:tcPr>
          <w:p w14:paraId="458D8E8F" w14:textId="77777777" w:rsidR="00876040" w:rsidRPr="00BA054B" w:rsidRDefault="00876040" w:rsidP="00720A5F">
            <w:pPr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  <w:szCs w:val="20"/>
              </w:rPr>
              <w:t>Modules using USPS Mailed  invitation</w:t>
            </w:r>
          </w:p>
        </w:tc>
        <w:tc>
          <w:tcPr>
            <w:tcW w:w="1260" w:type="dxa"/>
          </w:tcPr>
          <w:p w14:paraId="62A2E787" w14:textId="77777777" w:rsidR="00876040" w:rsidRPr="00BA054B" w:rsidRDefault="00876040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</w:rPr>
              <w:t>1,500</w:t>
            </w:r>
          </w:p>
        </w:tc>
        <w:tc>
          <w:tcPr>
            <w:tcW w:w="1260" w:type="dxa"/>
            <w:vAlign w:val="center"/>
          </w:tcPr>
          <w:p w14:paraId="1E990F3F" w14:textId="77777777" w:rsidR="00876040" w:rsidRPr="00BA054B" w:rsidRDefault="00876040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</w:rPr>
              <w:t>1,500</w:t>
            </w:r>
          </w:p>
        </w:tc>
        <w:tc>
          <w:tcPr>
            <w:tcW w:w="1170" w:type="dxa"/>
            <w:vAlign w:val="center"/>
          </w:tcPr>
          <w:p w14:paraId="70EA9842" w14:textId="206E416F" w:rsidR="00876040" w:rsidRPr="00BA054B" w:rsidRDefault="008439EC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20/6</w:t>
            </w:r>
            <w:r w:rsidR="00876040" w:rsidRPr="00BA054B"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2E01AE7" w14:textId="40D0F007" w:rsidR="00876040" w:rsidRPr="00BA054B" w:rsidRDefault="008439EC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500</w:t>
            </w:r>
          </w:p>
        </w:tc>
      </w:tr>
      <w:tr w:rsidR="00876040" w:rsidRPr="00BA054B" w14:paraId="15CA24CB" w14:textId="77777777" w:rsidTr="00720A5F">
        <w:tc>
          <w:tcPr>
            <w:tcW w:w="1350" w:type="dxa"/>
          </w:tcPr>
          <w:p w14:paraId="16435AAB" w14:textId="77777777" w:rsidR="00876040" w:rsidRPr="00BA054B" w:rsidRDefault="00876040" w:rsidP="00720A5F">
            <w:pPr>
              <w:spacing w:before="120" w:after="120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 xml:space="preserve">Total </w:t>
            </w:r>
          </w:p>
        </w:tc>
        <w:tc>
          <w:tcPr>
            <w:tcW w:w="2700" w:type="dxa"/>
          </w:tcPr>
          <w:p w14:paraId="30FA18B4" w14:textId="77777777" w:rsidR="00876040" w:rsidRPr="00BA054B" w:rsidRDefault="00876040" w:rsidP="00720A5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928F48" w14:textId="77777777" w:rsidR="00876040" w:rsidRPr="00BA054B" w:rsidRDefault="00876040" w:rsidP="00720A5F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BA054B">
              <w:rPr>
                <w:rFonts w:asciiTheme="minorHAnsi" w:hAnsiTheme="minorHAnsi" w:cstheme="minorHAnsi"/>
                <w:bCs/>
                <w:szCs w:val="20"/>
              </w:rPr>
              <w:t>4,500</w:t>
            </w:r>
          </w:p>
        </w:tc>
        <w:tc>
          <w:tcPr>
            <w:tcW w:w="1260" w:type="dxa"/>
            <w:vAlign w:val="center"/>
          </w:tcPr>
          <w:p w14:paraId="628F611F" w14:textId="77777777" w:rsidR="00876040" w:rsidRPr="00BA054B" w:rsidRDefault="00876040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  <w:szCs w:val="20"/>
              </w:rPr>
              <w:t>4,500</w:t>
            </w:r>
          </w:p>
        </w:tc>
        <w:tc>
          <w:tcPr>
            <w:tcW w:w="1170" w:type="dxa"/>
            <w:vAlign w:val="center"/>
          </w:tcPr>
          <w:p w14:paraId="318DC34C" w14:textId="2A9518EE" w:rsidR="00876040" w:rsidRPr="00BA054B" w:rsidRDefault="008439EC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20/6</w:t>
            </w:r>
            <w:r w:rsidR="00876040" w:rsidRPr="00BA054B"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689F6B4" w14:textId="34EA3AE1" w:rsidR="00876040" w:rsidRPr="00BA054B" w:rsidRDefault="00876040" w:rsidP="00720A5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A054B">
              <w:rPr>
                <w:rFonts w:asciiTheme="minorHAnsi" w:hAnsiTheme="minorHAnsi" w:cstheme="minorHAnsi"/>
                <w:szCs w:val="20"/>
              </w:rPr>
              <w:t>1</w:t>
            </w:r>
            <w:r w:rsidR="008439EC">
              <w:rPr>
                <w:rFonts w:asciiTheme="minorHAnsi" w:hAnsiTheme="minorHAnsi" w:cstheme="minorHAnsi"/>
                <w:szCs w:val="20"/>
              </w:rPr>
              <w:t>500</w:t>
            </w:r>
          </w:p>
        </w:tc>
      </w:tr>
    </w:tbl>
    <w:p w14:paraId="339B297F" w14:textId="54D86948" w:rsidR="00876040" w:rsidRPr="00BA054B" w:rsidRDefault="00876040" w:rsidP="00DC44F6">
      <w:pPr>
        <w:spacing w:before="120" w:after="120"/>
        <w:ind w:left="360"/>
        <w:rPr>
          <w:rFonts w:asciiTheme="minorHAnsi" w:hAnsiTheme="minorHAnsi" w:cstheme="minorHAnsi"/>
          <w:sz w:val="24"/>
        </w:rPr>
      </w:pPr>
    </w:p>
    <w:p w14:paraId="0D4BC314" w14:textId="77777777" w:rsidR="00876040" w:rsidRPr="00BA054B" w:rsidRDefault="00876040" w:rsidP="00DC44F6">
      <w:pPr>
        <w:spacing w:before="120" w:after="120"/>
        <w:ind w:left="360"/>
        <w:rPr>
          <w:rFonts w:asciiTheme="minorHAnsi" w:hAnsiTheme="minorHAnsi" w:cstheme="minorHAnsi"/>
          <w:sz w:val="24"/>
        </w:rPr>
      </w:pPr>
    </w:p>
    <w:p w14:paraId="6B6D4222" w14:textId="77777777" w:rsidR="00844607" w:rsidRPr="00BA054B" w:rsidRDefault="00844607" w:rsidP="00A568E7">
      <w:pPr>
        <w:pStyle w:val="Heading2"/>
        <w:numPr>
          <w:ilvl w:val="0"/>
          <w:numId w:val="3"/>
        </w:numPr>
        <w:spacing w:before="120" w:after="120"/>
        <w:rPr>
          <w:rFonts w:asciiTheme="minorHAnsi" w:hAnsiTheme="minorHAnsi" w:cstheme="minorHAnsi"/>
          <w:i w:val="0"/>
          <w:sz w:val="24"/>
          <w:szCs w:val="24"/>
        </w:rPr>
      </w:pPr>
      <w:bookmarkStart w:id="3" w:name="_Toc151782200"/>
      <w:bookmarkStart w:id="4" w:name="_Toc158526236"/>
      <w:r w:rsidRPr="00BA054B">
        <w:rPr>
          <w:rFonts w:asciiTheme="minorHAnsi" w:hAnsiTheme="minorHAnsi" w:cstheme="minorHAnsi"/>
          <w:i w:val="0"/>
          <w:sz w:val="24"/>
          <w:szCs w:val="24"/>
        </w:rPr>
        <w:t>Information Collection Procedures</w:t>
      </w:r>
      <w:bookmarkEnd w:id="3"/>
      <w:bookmarkEnd w:id="4"/>
      <w:r w:rsidR="007259A8" w:rsidRPr="00BA054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598EFD33" w14:textId="77777777" w:rsidR="00DD74CE" w:rsidRPr="00BA054B" w:rsidRDefault="00DD74CE" w:rsidP="009B0511">
      <w:pPr>
        <w:spacing w:before="120" w:after="120"/>
        <w:ind w:left="360"/>
        <w:rPr>
          <w:rFonts w:asciiTheme="minorHAnsi" w:hAnsiTheme="minorHAnsi" w:cstheme="minorHAnsi"/>
          <w:bCs/>
          <w:iCs/>
          <w:sz w:val="24"/>
        </w:rPr>
      </w:pPr>
      <w:r w:rsidRPr="00BA054B">
        <w:rPr>
          <w:rFonts w:asciiTheme="minorHAnsi" w:hAnsiTheme="minorHAnsi" w:cstheme="minorHAnsi"/>
          <w:bCs/>
          <w:iCs/>
          <w:sz w:val="24"/>
        </w:rPr>
        <w:t xml:space="preserve">Information collection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from cell phone respondents who do not reside in state where they are included in sample </w:t>
      </w:r>
      <w:r w:rsidRPr="00BA054B">
        <w:rPr>
          <w:rFonts w:asciiTheme="minorHAnsi" w:hAnsiTheme="minorHAnsi" w:cstheme="minorHAnsi"/>
          <w:bCs/>
          <w:iCs/>
          <w:sz w:val="24"/>
        </w:rPr>
        <w:t>will proceed in the following way:</w:t>
      </w:r>
    </w:p>
    <w:p w14:paraId="5D946844" w14:textId="77777777" w:rsidR="00DD74CE" w:rsidRPr="00BA054B" w:rsidRDefault="00AA32BB" w:rsidP="00AA32BB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bCs/>
          <w:iCs/>
          <w:sz w:val="24"/>
        </w:rPr>
      </w:pPr>
      <w:r w:rsidRPr="00BA054B">
        <w:rPr>
          <w:rFonts w:asciiTheme="minorHAnsi" w:hAnsiTheme="minorHAnsi" w:cstheme="minorHAnsi"/>
          <w:bCs/>
          <w:iCs/>
          <w:sz w:val="24"/>
        </w:rPr>
        <w:t>Online questionnaire</w:t>
      </w:r>
    </w:p>
    <w:p w14:paraId="2170D145" w14:textId="3BADDB45" w:rsidR="00DD74CE" w:rsidRPr="00BA054B" w:rsidRDefault="0068157A" w:rsidP="00AA32BB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bCs/>
          <w:iCs/>
          <w:sz w:val="24"/>
        </w:rPr>
      </w:pPr>
      <w:r w:rsidRPr="00BA054B">
        <w:rPr>
          <w:rFonts w:asciiTheme="minorHAnsi" w:hAnsiTheme="minorHAnsi" w:cstheme="minorHAnsi"/>
          <w:bCs/>
          <w:iCs/>
          <w:sz w:val="24"/>
        </w:rPr>
        <w:t xml:space="preserve">Send a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link to cell phone number after </w:t>
      </w:r>
      <w:r w:rsidRPr="00BA054B">
        <w:rPr>
          <w:rFonts w:asciiTheme="minorHAnsi" w:hAnsiTheme="minorHAnsi" w:cstheme="minorHAnsi"/>
          <w:bCs/>
          <w:iCs/>
          <w:sz w:val="24"/>
        </w:rPr>
        <w:t xml:space="preserve">respondent provides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permission to </w:t>
      </w:r>
      <w:r w:rsidRPr="00BA054B">
        <w:rPr>
          <w:rFonts w:asciiTheme="minorHAnsi" w:hAnsiTheme="minorHAnsi" w:cstheme="minorHAnsi"/>
          <w:bCs/>
          <w:iCs/>
          <w:sz w:val="24"/>
        </w:rPr>
        <w:t>receive an invitation vi</w:t>
      </w:r>
      <w:r w:rsidR="00C23199" w:rsidRPr="00BA054B">
        <w:rPr>
          <w:rFonts w:asciiTheme="minorHAnsi" w:hAnsiTheme="minorHAnsi" w:cstheme="minorHAnsi"/>
          <w:bCs/>
          <w:iCs/>
          <w:sz w:val="24"/>
        </w:rPr>
        <w:t>a</w:t>
      </w:r>
      <w:r w:rsidRPr="00BA054B">
        <w:rPr>
          <w:rFonts w:asciiTheme="minorHAnsi" w:hAnsiTheme="minorHAnsi" w:cstheme="minorHAnsi"/>
          <w:bCs/>
          <w:iCs/>
          <w:sz w:val="24"/>
        </w:rPr>
        <w:t xml:space="preserve">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text </w:t>
      </w:r>
      <w:r w:rsidRPr="00BA054B">
        <w:rPr>
          <w:rFonts w:asciiTheme="minorHAnsi" w:hAnsiTheme="minorHAnsi" w:cstheme="minorHAnsi"/>
          <w:bCs/>
          <w:iCs/>
          <w:sz w:val="24"/>
        </w:rPr>
        <w:t>(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>to number provided by respondent</w:t>
      </w:r>
      <w:r w:rsidRPr="00BA054B">
        <w:rPr>
          <w:rFonts w:asciiTheme="minorHAnsi" w:hAnsiTheme="minorHAnsi" w:cstheme="minorHAnsi"/>
          <w:bCs/>
          <w:iCs/>
          <w:sz w:val="24"/>
        </w:rPr>
        <w:t>)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>.</w:t>
      </w:r>
    </w:p>
    <w:p w14:paraId="0019125F" w14:textId="32197BF2" w:rsidR="00DD74CE" w:rsidRPr="00BA054B" w:rsidRDefault="0068157A" w:rsidP="00AA32BB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bCs/>
          <w:iCs/>
          <w:sz w:val="24"/>
        </w:rPr>
      </w:pPr>
      <w:r w:rsidRPr="00BA054B">
        <w:rPr>
          <w:rFonts w:asciiTheme="minorHAnsi" w:hAnsiTheme="minorHAnsi" w:cstheme="minorHAnsi"/>
          <w:bCs/>
          <w:iCs/>
          <w:sz w:val="24"/>
        </w:rPr>
        <w:t xml:space="preserve">Send a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link embedded </w:t>
      </w:r>
      <w:r w:rsidRPr="00BA054B">
        <w:rPr>
          <w:rFonts w:asciiTheme="minorHAnsi" w:hAnsiTheme="minorHAnsi" w:cstheme="minorHAnsi"/>
          <w:bCs/>
          <w:iCs/>
          <w:sz w:val="24"/>
        </w:rPr>
        <w:t>within an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 email after </w:t>
      </w:r>
      <w:r w:rsidRPr="00BA054B">
        <w:rPr>
          <w:rFonts w:asciiTheme="minorHAnsi" w:hAnsiTheme="minorHAnsi" w:cstheme="minorHAnsi"/>
          <w:bCs/>
          <w:iCs/>
          <w:sz w:val="24"/>
        </w:rPr>
        <w:t xml:space="preserve">respondent provides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permission to </w:t>
      </w:r>
      <w:r w:rsidRPr="00BA054B">
        <w:rPr>
          <w:rFonts w:asciiTheme="minorHAnsi" w:hAnsiTheme="minorHAnsi" w:cstheme="minorHAnsi"/>
          <w:bCs/>
          <w:iCs/>
          <w:sz w:val="24"/>
        </w:rPr>
        <w:t>receive an invitation via email (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>email address provided by respondent</w:t>
      </w:r>
      <w:r w:rsidRPr="00BA054B">
        <w:rPr>
          <w:rFonts w:asciiTheme="minorHAnsi" w:hAnsiTheme="minorHAnsi" w:cstheme="minorHAnsi"/>
          <w:bCs/>
          <w:iCs/>
          <w:sz w:val="24"/>
        </w:rPr>
        <w:t>)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. </w:t>
      </w:r>
    </w:p>
    <w:p w14:paraId="5CE272DE" w14:textId="3E939ACC" w:rsidR="00DD74CE" w:rsidRPr="00BA054B" w:rsidRDefault="0068157A" w:rsidP="0068157A">
      <w:pPr>
        <w:pStyle w:val="ListParagraph"/>
        <w:numPr>
          <w:ilvl w:val="1"/>
          <w:numId w:val="9"/>
        </w:numPr>
        <w:spacing w:before="120" w:after="120"/>
        <w:rPr>
          <w:rFonts w:asciiTheme="minorHAnsi" w:hAnsiTheme="minorHAnsi" w:cstheme="minorHAnsi"/>
          <w:bCs/>
          <w:iCs/>
          <w:sz w:val="24"/>
        </w:rPr>
      </w:pPr>
      <w:r w:rsidRPr="00BA054B">
        <w:rPr>
          <w:rFonts w:asciiTheme="minorHAnsi" w:hAnsiTheme="minorHAnsi" w:cstheme="minorHAnsi"/>
          <w:bCs/>
          <w:iCs/>
          <w:sz w:val="24"/>
        </w:rPr>
        <w:t xml:space="preserve">Send a link within a mail invitation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after </w:t>
      </w:r>
      <w:r w:rsidRPr="00BA054B">
        <w:rPr>
          <w:rFonts w:asciiTheme="minorHAnsi" w:hAnsiTheme="minorHAnsi" w:cstheme="minorHAnsi"/>
          <w:bCs/>
          <w:iCs/>
          <w:sz w:val="24"/>
        </w:rPr>
        <w:t xml:space="preserve">respondent provides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permission to </w:t>
      </w:r>
      <w:r w:rsidRPr="00BA054B">
        <w:rPr>
          <w:rFonts w:asciiTheme="minorHAnsi" w:hAnsiTheme="minorHAnsi" w:cstheme="minorHAnsi"/>
          <w:bCs/>
          <w:iCs/>
          <w:sz w:val="24"/>
        </w:rPr>
        <w:t xml:space="preserve">receive an invitation via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 xml:space="preserve">mail </w:t>
      </w:r>
      <w:r w:rsidRPr="00BA054B">
        <w:rPr>
          <w:rFonts w:asciiTheme="minorHAnsi" w:hAnsiTheme="minorHAnsi" w:cstheme="minorHAnsi"/>
          <w:bCs/>
          <w:iCs/>
          <w:sz w:val="24"/>
        </w:rPr>
        <w:t xml:space="preserve">(physical 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>address provided by respondent</w:t>
      </w:r>
      <w:r w:rsidRPr="00BA054B">
        <w:rPr>
          <w:rFonts w:asciiTheme="minorHAnsi" w:hAnsiTheme="minorHAnsi" w:cstheme="minorHAnsi"/>
          <w:bCs/>
          <w:iCs/>
          <w:sz w:val="24"/>
        </w:rPr>
        <w:t>)</w:t>
      </w:r>
      <w:r w:rsidR="00AA32BB" w:rsidRPr="00BA054B">
        <w:rPr>
          <w:rFonts w:asciiTheme="minorHAnsi" w:hAnsiTheme="minorHAnsi" w:cstheme="minorHAnsi"/>
          <w:bCs/>
          <w:iCs/>
          <w:sz w:val="24"/>
        </w:rPr>
        <w:t>.</w:t>
      </w:r>
      <w:r w:rsidR="00DD74CE" w:rsidRPr="00BA054B">
        <w:rPr>
          <w:rFonts w:asciiTheme="minorHAnsi" w:hAnsiTheme="minorHAnsi" w:cstheme="minorHAnsi"/>
          <w:bCs/>
          <w:iCs/>
          <w:sz w:val="24"/>
        </w:rPr>
        <w:tab/>
      </w:r>
    </w:p>
    <w:p w14:paraId="765D9CDE" w14:textId="77777777" w:rsidR="00A568E7" w:rsidRPr="00BA054B" w:rsidRDefault="00A568E7" w:rsidP="00A568E7">
      <w:pPr>
        <w:pStyle w:val="ListParagraph"/>
        <w:ind w:left="360"/>
        <w:rPr>
          <w:rFonts w:asciiTheme="minorHAnsi" w:hAnsiTheme="minorHAnsi" w:cstheme="minorHAnsi"/>
          <w:sz w:val="24"/>
        </w:rPr>
      </w:pPr>
    </w:p>
    <w:p w14:paraId="0057DF8C" w14:textId="77777777" w:rsidR="00844607" w:rsidRPr="00BA054B" w:rsidRDefault="00844607" w:rsidP="002B0DDB">
      <w:pPr>
        <w:pStyle w:val="Heading2"/>
        <w:spacing w:before="120" w:after="120"/>
        <w:ind w:left="360"/>
        <w:rPr>
          <w:rFonts w:asciiTheme="minorHAnsi" w:hAnsiTheme="minorHAnsi" w:cstheme="minorHAnsi"/>
          <w:i w:val="0"/>
          <w:sz w:val="24"/>
          <w:szCs w:val="24"/>
        </w:rPr>
      </w:pPr>
      <w:bookmarkStart w:id="5" w:name="_Toc151782201"/>
      <w:bookmarkStart w:id="6" w:name="_Toc158526237"/>
      <w:r w:rsidRPr="00BA054B">
        <w:rPr>
          <w:rFonts w:asciiTheme="minorHAnsi" w:hAnsiTheme="minorHAnsi" w:cstheme="minorHAnsi"/>
          <w:i w:val="0"/>
          <w:sz w:val="24"/>
          <w:szCs w:val="24"/>
        </w:rPr>
        <w:t xml:space="preserve">3. Methods to Maximize </w:t>
      </w:r>
      <w:r w:rsidR="0017502A" w:rsidRPr="00BA054B">
        <w:rPr>
          <w:rFonts w:asciiTheme="minorHAnsi" w:hAnsiTheme="minorHAnsi" w:cstheme="minorHAnsi"/>
          <w:i w:val="0"/>
          <w:sz w:val="24"/>
          <w:szCs w:val="24"/>
        </w:rPr>
        <w:t xml:space="preserve">Participation </w:t>
      </w:r>
      <w:r w:rsidRPr="00BA054B">
        <w:rPr>
          <w:rFonts w:asciiTheme="minorHAnsi" w:hAnsiTheme="minorHAnsi" w:cstheme="minorHAnsi"/>
          <w:i w:val="0"/>
          <w:sz w:val="24"/>
          <w:szCs w:val="24"/>
        </w:rPr>
        <w:t>Rates</w:t>
      </w:r>
      <w:bookmarkEnd w:id="5"/>
      <w:bookmarkEnd w:id="6"/>
    </w:p>
    <w:p w14:paraId="4627AABE" w14:textId="4222C921" w:rsidR="00844607" w:rsidRPr="00BA054B" w:rsidRDefault="0080000B" w:rsidP="002B0DDB">
      <w:pPr>
        <w:spacing w:before="120" w:after="120"/>
        <w:ind w:left="360"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 xml:space="preserve">Since the purpose of </w:t>
      </w:r>
      <w:r w:rsidR="00AA32BB" w:rsidRPr="00BA054B">
        <w:rPr>
          <w:rFonts w:asciiTheme="minorHAnsi" w:hAnsiTheme="minorHAnsi" w:cstheme="minorHAnsi"/>
          <w:sz w:val="24"/>
        </w:rPr>
        <w:t>BRFSS Feasibility Experiment for State-specific Module Data Collection in Cell Phone Samples</w:t>
      </w:r>
      <w:r w:rsidRPr="00BA054B">
        <w:rPr>
          <w:rFonts w:asciiTheme="minorHAnsi" w:hAnsiTheme="minorHAnsi" w:cstheme="minorHAnsi"/>
          <w:sz w:val="24"/>
        </w:rPr>
        <w:t xml:space="preserve"> is to assess whether </w:t>
      </w:r>
      <w:r w:rsidR="00AA32BB" w:rsidRPr="00BA054B">
        <w:rPr>
          <w:rFonts w:asciiTheme="minorHAnsi" w:hAnsiTheme="minorHAnsi" w:cstheme="minorHAnsi"/>
          <w:sz w:val="24"/>
        </w:rPr>
        <w:t>state-specific data may be collected using follow-up with cell phone respondents who reside in states other than the sample state,</w:t>
      </w:r>
      <w:r w:rsidRPr="00BA054B">
        <w:rPr>
          <w:rFonts w:asciiTheme="minorHAnsi" w:hAnsiTheme="minorHAnsi" w:cstheme="minorHAnsi"/>
          <w:sz w:val="24"/>
        </w:rPr>
        <w:t xml:space="preserve"> standard methods to achieve the highest response rate will be adhered to.  The BRFSS Data Collection Protocol (Attachment </w:t>
      </w:r>
      <w:r w:rsidR="00A3772C" w:rsidRPr="00BA054B">
        <w:rPr>
          <w:rFonts w:asciiTheme="minorHAnsi" w:hAnsiTheme="minorHAnsi" w:cstheme="minorHAnsi"/>
          <w:sz w:val="24"/>
        </w:rPr>
        <w:t>1</w:t>
      </w:r>
      <w:r w:rsidRPr="00BA054B">
        <w:rPr>
          <w:rFonts w:asciiTheme="minorHAnsi" w:hAnsiTheme="minorHAnsi" w:cstheme="minorHAnsi"/>
          <w:sz w:val="24"/>
        </w:rPr>
        <w:t>) provi</w:t>
      </w:r>
      <w:r w:rsidR="00876040" w:rsidRPr="00BA054B">
        <w:rPr>
          <w:rFonts w:asciiTheme="minorHAnsi" w:hAnsiTheme="minorHAnsi" w:cstheme="minorHAnsi"/>
          <w:sz w:val="24"/>
        </w:rPr>
        <w:t>des information on calling time</w:t>
      </w:r>
      <w:r w:rsidRPr="00BA054B">
        <w:rPr>
          <w:rFonts w:asciiTheme="minorHAnsi" w:hAnsiTheme="minorHAnsi" w:cstheme="minorHAnsi"/>
          <w:sz w:val="24"/>
        </w:rPr>
        <w:t xml:space="preserve">, number of attempts and introductory scripts designed to recruit participants. </w:t>
      </w:r>
      <w:r w:rsidR="00876040" w:rsidRPr="00BA054B">
        <w:rPr>
          <w:rFonts w:asciiTheme="minorHAnsi" w:hAnsiTheme="minorHAnsi" w:cstheme="minorHAnsi"/>
          <w:sz w:val="24"/>
        </w:rPr>
        <w:t xml:space="preserve">Additional information on recruitment (such as recruitment text) is provided in Attachment 3. </w:t>
      </w:r>
    </w:p>
    <w:p w14:paraId="7ACE0D4B" w14:textId="77777777" w:rsidR="00844607" w:rsidRPr="00BA054B" w:rsidRDefault="00844607" w:rsidP="002B0DDB">
      <w:pPr>
        <w:pStyle w:val="Heading2"/>
        <w:spacing w:before="120" w:after="120"/>
        <w:ind w:left="360"/>
        <w:rPr>
          <w:rFonts w:asciiTheme="minorHAnsi" w:hAnsiTheme="minorHAnsi" w:cstheme="minorHAnsi"/>
          <w:i w:val="0"/>
          <w:sz w:val="24"/>
          <w:szCs w:val="24"/>
        </w:rPr>
      </w:pPr>
      <w:bookmarkStart w:id="7" w:name="_Toc151782202"/>
      <w:bookmarkStart w:id="8" w:name="_Toc158526238"/>
      <w:r w:rsidRPr="00BA054B">
        <w:rPr>
          <w:rFonts w:asciiTheme="minorHAnsi" w:hAnsiTheme="minorHAnsi" w:cstheme="minorHAnsi"/>
          <w:i w:val="0"/>
          <w:sz w:val="24"/>
          <w:szCs w:val="24"/>
        </w:rPr>
        <w:t>4. Tests of Procedures</w:t>
      </w:r>
      <w:bookmarkStart w:id="9" w:name="_Toc151782203"/>
      <w:bookmarkStart w:id="10" w:name="_Toc158526239"/>
      <w:bookmarkEnd w:id="7"/>
      <w:bookmarkEnd w:id="8"/>
    </w:p>
    <w:p w14:paraId="4DE0EF68" w14:textId="572E47BF" w:rsidR="0080000B" w:rsidRPr="00BA054B" w:rsidRDefault="0080000B" w:rsidP="002B0DDB">
      <w:pPr>
        <w:pStyle w:val="Heading2"/>
        <w:spacing w:before="120" w:after="120"/>
        <w:ind w:left="360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BA054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The </w:t>
      </w:r>
      <w:r w:rsidR="002C1494" w:rsidRPr="00BA054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online </w:t>
      </w:r>
      <w:r w:rsidRPr="00BA054B">
        <w:rPr>
          <w:rFonts w:asciiTheme="minorHAnsi" w:hAnsiTheme="minorHAnsi" w:cstheme="minorHAnsi"/>
          <w:b w:val="0"/>
          <w:i w:val="0"/>
          <w:sz w:val="24"/>
          <w:szCs w:val="24"/>
        </w:rPr>
        <w:t>questionnaire</w:t>
      </w:r>
      <w:r w:rsidR="0068157A" w:rsidRPr="00BA054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BA054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will be tested prior to implementation by staff members at the CDC and at participating states.  The BRFSS </w:t>
      </w:r>
      <w:r w:rsidR="002C1494" w:rsidRPr="00BA054B">
        <w:rPr>
          <w:rFonts w:asciiTheme="minorHAnsi" w:hAnsiTheme="minorHAnsi" w:cstheme="minorHAnsi"/>
          <w:b w:val="0"/>
          <w:i w:val="0"/>
          <w:sz w:val="24"/>
          <w:szCs w:val="24"/>
        </w:rPr>
        <w:t>module questions have already undergone cognitive testing and have been used in many cases for years in</w:t>
      </w:r>
      <w:r w:rsidRPr="00BA054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telephone interview</w:t>
      </w:r>
      <w:r w:rsidR="002C1494" w:rsidRPr="00BA054B">
        <w:rPr>
          <w:rFonts w:asciiTheme="minorHAnsi" w:hAnsiTheme="minorHAnsi" w:cstheme="minorHAnsi"/>
          <w:b w:val="0"/>
          <w:i w:val="0"/>
          <w:sz w:val="24"/>
          <w:szCs w:val="24"/>
        </w:rPr>
        <w:t>s</w:t>
      </w:r>
      <w:r w:rsidRPr="00BA054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and will not require further testing. </w:t>
      </w:r>
    </w:p>
    <w:p w14:paraId="494D37AE" w14:textId="77777777" w:rsidR="00844607" w:rsidRPr="00BA054B" w:rsidRDefault="00844607" w:rsidP="002B0DDB">
      <w:pPr>
        <w:pStyle w:val="Heading2"/>
        <w:spacing w:before="120" w:after="120"/>
        <w:ind w:left="360"/>
        <w:rPr>
          <w:rFonts w:asciiTheme="minorHAnsi" w:hAnsiTheme="minorHAnsi" w:cstheme="minorHAnsi"/>
          <w:i w:val="0"/>
          <w:sz w:val="24"/>
          <w:szCs w:val="24"/>
        </w:rPr>
      </w:pPr>
      <w:r w:rsidRPr="00BA054B">
        <w:rPr>
          <w:rFonts w:asciiTheme="minorHAnsi" w:hAnsiTheme="minorHAnsi" w:cstheme="minorHAnsi"/>
          <w:i w:val="0"/>
          <w:sz w:val="24"/>
          <w:szCs w:val="24"/>
        </w:rPr>
        <w:t>5. Statistical Consultants</w:t>
      </w:r>
      <w:bookmarkEnd w:id="9"/>
      <w:bookmarkEnd w:id="10"/>
    </w:p>
    <w:p w14:paraId="325DF251" w14:textId="409B7E35" w:rsidR="00E56983" w:rsidRPr="00BA054B" w:rsidRDefault="002C1494" w:rsidP="002B0DDB">
      <w:pPr>
        <w:spacing w:before="120" w:after="120"/>
        <w:ind w:left="360"/>
        <w:rPr>
          <w:rFonts w:asciiTheme="minorHAnsi" w:hAnsiTheme="minorHAnsi" w:cstheme="minorHAnsi"/>
          <w:sz w:val="24"/>
        </w:rPr>
      </w:pPr>
      <w:r w:rsidRPr="00BA054B">
        <w:rPr>
          <w:rFonts w:asciiTheme="minorHAnsi" w:hAnsiTheme="minorHAnsi" w:cstheme="minorHAnsi"/>
          <w:sz w:val="24"/>
        </w:rPr>
        <w:t xml:space="preserve">CDC will contract with Westat, Inc. </w:t>
      </w:r>
      <w:r w:rsidR="003B582D" w:rsidRPr="00BA054B">
        <w:rPr>
          <w:rFonts w:asciiTheme="minorHAnsi" w:hAnsiTheme="minorHAnsi" w:cstheme="minorHAnsi"/>
          <w:sz w:val="24"/>
        </w:rPr>
        <w:t xml:space="preserve">to </w:t>
      </w:r>
      <w:r w:rsidRPr="00BA054B">
        <w:rPr>
          <w:rFonts w:asciiTheme="minorHAnsi" w:hAnsiTheme="minorHAnsi" w:cstheme="minorHAnsi"/>
          <w:sz w:val="24"/>
        </w:rPr>
        <w:t xml:space="preserve">create the website, conduct </w:t>
      </w:r>
      <w:r w:rsidR="003B582D" w:rsidRPr="00BA054B">
        <w:rPr>
          <w:rFonts w:asciiTheme="minorHAnsi" w:hAnsiTheme="minorHAnsi" w:cstheme="minorHAnsi"/>
          <w:sz w:val="24"/>
        </w:rPr>
        <w:t xml:space="preserve">texting, emailing, or </w:t>
      </w:r>
      <w:r w:rsidRPr="00BA054B">
        <w:rPr>
          <w:rFonts w:asciiTheme="minorHAnsi" w:hAnsiTheme="minorHAnsi" w:cstheme="minorHAnsi"/>
          <w:sz w:val="24"/>
        </w:rPr>
        <w:t>mailing</w:t>
      </w:r>
      <w:r w:rsidR="0068157A" w:rsidRPr="00BA054B">
        <w:rPr>
          <w:rFonts w:asciiTheme="minorHAnsi" w:hAnsiTheme="minorHAnsi" w:cstheme="minorHAnsi"/>
          <w:sz w:val="24"/>
        </w:rPr>
        <w:t xml:space="preserve"> of the link to </w:t>
      </w:r>
      <w:r w:rsidR="003B582D" w:rsidRPr="00BA054B">
        <w:rPr>
          <w:rFonts w:asciiTheme="minorHAnsi" w:hAnsiTheme="minorHAnsi" w:cstheme="minorHAnsi"/>
          <w:sz w:val="24"/>
        </w:rPr>
        <w:t xml:space="preserve">each participant invited to </w:t>
      </w:r>
      <w:r w:rsidR="0068157A" w:rsidRPr="00BA054B">
        <w:rPr>
          <w:rFonts w:asciiTheme="minorHAnsi" w:hAnsiTheme="minorHAnsi" w:cstheme="minorHAnsi"/>
          <w:sz w:val="24"/>
        </w:rPr>
        <w:t xml:space="preserve">the online survey, </w:t>
      </w:r>
      <w:r w:rsidRPr="00BA054B">
        <w:rPr>
          <w:rFonts w:asciiTheme="minorHAnsi" w:hAnsiTheme="minorHAnsi" w:cstheme="minorHAnsi"/>
          <w:sz w:val="24"/>
        </w:rPr>
        <w:t xml:space="preserve">and </w:t>
      </w:r>
      <w:r w:rsidR="00103734" w:rsidRPr="00BA054B">
        <w:rPr>
          <w:rFonts w:asciiTheme="minorHAnsi" w:hAnsiTheme="minorHAnsi" w:cstheme="minorHAnsi"/>
          <w:sz w:val="24"/>
        </w:rPr>
        <w:t xml:space="preserve">collect </w:t>
      </w:r>
      <w:r w:rsidRPr="00BA054B">
        <w:rPr>
          <w:rFonts w:asciiTheme="minorHAnsi" w:hAnsiTheme="minorHAnsi" w:cstheme="minorHAnsi"/>
          <w:sz w:val="24"/>
        </w:rPr>
        <w:t xml:space="preserve">paradata.  </w:t>
      </w:r>
      <w:r w:rsidR="009C6C71" w:rsidRPr="00BA054B">
        <w:rPr>
          <w:rFonts w:asciiTheme="minorHAnsi" w:hAnsiTheme="minorHAnsi" w:cstheme="minorHAnsi"/>
          <w:sz w:val="24"/>
        </w:rPr>
        <w:t xml:space="preserve"> </w:t>
      </w:r>
      <w:r w:rsidR="00844607" w:rsidRPr="00BA054B">
        <w:rPr>
          <w:rFonts w:asciiTheme="minorHAnsi" w:hAnsiTheme="minorHAnsi" w:cstheme="minorHAnsi"/>
          <w:sz w:val="24"/>
        </w:rPr>
        <w:t xml:space="preserve">  </w:t>
      </w:r>
    </w:p>
    <w:sectPr w:rsidR="00E56983" w:rsidRPr="00BA054B" w:rsidSect="00BA1757"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7D9E3" w14:textId="77777777" w:rsidR="00CB26FE" w:rsidRDefault="00CB26FE">
      <w:r>
        <w:separator/>
      </w:r>
    </w:p>
  </w:endnote>
  <w:endnote w:type="continuationSeparator" w:id="0">
    <w:p w14:paraId="29BE32E9" w14:textId="77777777" w:rsidR="00CB26FE" w:rsidRDefault="00CB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39134" w14:textId="77777777" w:rsidR="009F1C44" w:rsidRDefault="009F1C44">
    <w:pPr>
      <w:spacing w:line="240" w:lineRule="exact"/>
    </w:pPr>
  </w:p>
  <w:p w14:paraId="7D066D99" w14:textId="5462FA90" w:rsidR="009F1C44" w:rsidRDefault="009F1C44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2E2233">
      <w:rPr>
        <w:noProof/>
        <w:sz w:val="24"/>
      </w:rPr>
      <w:t>1</w:t>
    </w:r>
    <w:r>
      <w:rPr>
        <w:sz w:val="24"/>
      </w:rPr>
      <w:fldChar w:fldCharType="end"/>
    </w:r>
  </w:p>
  <w:p w14:paraId="7AA79491" w14:textId="77777777" w:rsidR="009F1C44" w:rsidRDefault="009F1C44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87E17" w14:textId="77777777" w:rsidR="00CB26FE" w:rsidRDefault="00CB26FE">
      <w:r>
        <w:separator/>
      </w:r>
    </w:p>
  </w:footnote>
  <w:footnote w:type="continuationSeparator" w:id="0">
    <w:p w14:paraId="3E58BFD4" w14:textId="77777777" w:rsidR="00CB26FE" w:rsidRDefault="00CB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8F9"/>
    <w:multiLevelType w:val="hybridMultilevel"/>
    <w:tmpl w:val="C62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12A08"/>
    <w:multiLevelType w:val="hybridMultilevel"/>
    <w:tmpl w:val="2B5C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6D10"/>
    <w:multiLevelType w:val="hybridMultilevel"/>
    <w:tmpl w:val="8F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114AD"/>
    <w:multiLevelType w:val="hybridMultilevel"/>
    <w:tmpl w:val="1D58394E"/>
    <w:lvl w:ilvl="0" w:tplc="9B464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B81637"/>
    <w:multiLevelType w:val="hybridMultilevel"/>
    <w:tmpl w:val="3788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E276A"/>
    <w:multiLevelType w:val="hybridMultilevel"/>
    <w:tmpl w:val="889A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C5439"/>
    <w:multiLevelType w:val="hybridMultilevel"/>
    <w:tmpl w:val="B020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649E6"/>
    <w:multiLevelType w:val="hybridMultilevel"/>
    <w:tmpl w:val="7F30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E162E"/>
    <w:multiLevelType w:val="hybridMultilevel"/>
    <w:tmpl w:val="1DD8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57"/>
    <w:rsid w:val="0000383F"/>
    <w:rsid w:val="00022D7C"/>
    <w:rsid w:val="0003335E"/>
    <w:rsid w:val="0005679A"/>
    <w:rsid w:val="00093C74"/>
    <w:rsid w:val="000A0B63"/>
    <w:rsid w:val="000C1D0E"/>
    <w:rsid w:val="000C5CC6"/>
    <w:rsid w:val="000D5CCF"/>
    <w:rsid w:val="000E1AD0"/>
    <w:rsid w:val="000E2E05"/>
    <w:rsid w:val="000E3D74"/>
    <w:rsid w:val="000E479F"/>
    <w:rsid w:val="000F76AB"/>
    <w:rsid w:val="00103734"/>
    <w:rsid w:val="0010438F"/>
    <w:rsid w:val="00105517"/>
    <w:rsid w:val="00106AE2"/>
    <w:rsid w:val="001127FC"/>
    <w:rsid w:val="001131FA"/>
    <w:rsid w:val="001145A4"/>
    <w:rsid w:val="00134689"/>
    <w:rsid w:val="00146F82"/>
    <w:rsid w:val="001568CA"/>
    <w:rsid w:val="001611AC"/>
    <w:rsid w:val="00167268"/>
    <w:rsid w:val="00170CE8"/>
    <w:rsid w:val="00174003"/>
    <w:rsid w:val="001746F8"/>
    <w:rsid w:val="0017502A"/>
    <w:rsid w:val="00176417"/>
    <w:rsid w:val="001A57CF"/>
    <w:rsid w:val="001B548D"/>
    <w:rsid w:val="00201694"/>
    <w:rsid w:val="00220E6B"/>
    <w:rsid w:val="0025382E"/>
    <w:rsid w:val="0026419E"/>
    <w:rsid w:val="00285E37"/>
    <w:rsid w:val="00290C06"/>
    <w:rsid w:val="0029424A"/>
    <w:rsid w:val="002A1266"/>
    <w:rsid w:val="002B0DDB"/>
    <w:rsid w:val="002B53AC"/>
    <w:rsid w:val="002C1494"/>
    <w:rsid w:val="002C6A4A"/>
    <w:rsid w:val="002E2233"/>
    <w:rsid w:val="002E4E41"/>
    <w:rsid w:val="00371885"/>
    <w:rsid w:val="00372C49"/>
    <w:rsid w:val="00373526"/>
    <w:rsid w:val="00377F9C"/>
    <w:rsid w:val="00390624"/>
    <w:rsid w:val="003A2544"/>
    <w:rsid w:val="003B2960"/>
    <w:rsid w:val="003B582D"/>
    <w:rsid w:val="003C2E34"/>
    <w:rsid w:val="003E23E6"/>
    <w:rsid w:val="004247B9"/>
    <w:rsid w:val="00432974"/>
    <w:rsid w:val="00465F16"/>
    <w:rsid w:val="00475189"/>
    <w:rsid w:val="004762DB"/>
    <w:rsid w:val="00484EFD"/>
    <w:rsid w:val="00485C70"/>
    <w:rsid w:val="0049691A"/>
    <w:rsid w:val="004A42C3"/>
    <w:rsid w:val="004B229D"/>
    <w:rsid w:val="004D2C66"/>
    <w:rsid w:val="004D3ACD"/>
    <w:rsid w:val="005406BF"/>
    <w:rsid w:val="00542A85"/>
    <w:rsid w:val="00572278"/>
    <w:rsid w:val="00574941"/>
    <w:rsid w:val="00581026"/>
    <w:rsid w:val="005A153E"/>
    <w:rsid w:val="005A6AAD"/>
    <w:rsid w:val="005C74FE"/>
    <w:rsid w:val="005E22EB"/>
    <w:rsid w:val="005E5DFA"/>
    <w:rsid w:val="006451FF"/>
    <w:rsid w:val="00653514"/>
    <w:rsid w:val="0068157A"/>
    <w:rsid w:val="006963CA"/>
    <w:rsid w:val="006A72BC"/>
    <w:rsid w:val="006B1FCF"/>
    <w:rsid w:val="006B45E6"/>
    <w:rsid w:val="006B7A3A"/>
    <w:rsid w:val="006E20C9"/>
    <w:rsid w:val="006F0CD5"/>
    <w:rsid w:val="006F2D7E"/>
    <w:rsid w:val="007259A8"/>
    <w:rsid w:val="00737304"/>
    <w:rsid w:val="00742150"/>
    <w:rsid w:val="007443C9"/>
    <w:rsid w:val="00747443"/>
    <w:rsid w:val="00774D76"/>
    <w:rsid w:val="00781206"/>
    <w:rsid w:val="007A3159"/>
    <w:rsid w:val="007B1778"/>
    <w:rsid w:val="007C38B7"/>
    <w:rsid w:val="007E68A1"/>
    <w:rsid w:val="0080000B"/>
    <w:rsid w:val="00802387"/>
    <w:rsid w:val="00816B75"/>
    <w:rsid w:val="00824C3E"/>
    <w:rsid w:val="00831A35"/>
    <w:rsid w:val="0084396C"/>
    <w:rsid w:val="008439EC"/>
    <w:rsid w:val="00844607"/>
    <w:rsid w:val="00876040"/>
    <w:rsid w:val="008902AE"/>
    <w:rsid w:val="008A1BCB"/>
    <w:rsid w:val="008C1D7C"/>
    <w:rsid w:val="008D1854"/>
    <w:rsid w:val="008E07F4"/>
    <w:rsid w:val="008E5600"/>
    <w:rsid w:val="0091189F"/>
    <w:rsid w:val="009165B7"/>
    <w:rsid w:val="009248CA"/>
    <w:rsid w:val="00961BCD"/>
    <w:rsid w:val="00964426"/>
    <w:rsid w:val="00973104"/>
    <w:rsid w:val="009B0511"/>
    <w:rsid w:val="009B4C64"/>
    <w:rsid w:val="009B4FD6"/>
    <w:rsid w:val="009C6C71"/>
    <w:rsid w:val="009E2ED2"/>
    <w:rsid w:val="009F1C44"/>
    <w:rsid w:val="00A00408"/>
    <w:rsid w:val="00A14706"/>
    <w:rsid w:val="00A21662"/>
    <w:rsid w:val="00A34D14"/>
    <w:rsid w:val="00A3772C"/>
    <w:rsid w:val="00A568E7"/>
    <w:rsid w:val="00A61EA2"/>
    <w:rsid w:val="00A64FA5"/>
    <w:rsid w:val="00A74E40"/>
    <w:rsid w:val="00A75053"/>
    <w:rsid w:val="00A76D85"/>
    <w:rsid w:val="00A84729"/>
    <w:rsid w:val="00AA1DDD"/>
    <w:rsid w:val="00AA32BB"/>
    <w:rsid w:val="00AD4F1A"/>
    <w:rsid w:val="00B055E2"/>
    <w:rsid w:val="00B3463C"/>
    <w:rsid w:val="00B401FF"/>
    <w:rsid w:val="00B508AB"/>
    <w:rsid w:val="00B63A4F"/>
    <w:rsid w:val="00B63C11"/>
    <w:rsid w:val="00B677BD"/>
    <w:rsid w:val="00B72FFE"/>
    <w:rsid w:val="00B87BB0"/>
    <w:rsid w:val="00BA054B"/>
    <w:rsid w:val="00BA1757"/>
    <w:rsid w:val="00BA58CA"/>
    <w:rsid w:val="00BD60E9"/>
    <w:rsid w:val="00BE07F8"/>
    <w:rsid w:val="00BF4DB7"/>
    <w:rsid w:val="00C23199"/>
    <w:rsid w:val="00C30945"/>
    <w:rsid w:val="00C4776B"/>
    <w:rsid w:val="00C73C8E"/>
    <w:rsid w:val="00C85281"/>
    <w:rsid w:val="00CB26FE"/>
    <w:rsid w:val="00CB6AD0"/>
    <w:rsid w:val="00CD40A2"/>
    <w:rsid w:val="00CE35CB"/>
    <w:rsid w:val="00CF7AB3"/>
    <w:rsid w:val="00D052DE"/>
    <w:rsid w:val="00D22FA5"/>
    <w:rsid w:val="00D515A4"/>
    <w:rsid w:val="00D57D49"/>
    <w:rsid w:val="00DC44F6"/>
    <w:rsid w:val="00DD74CE"/>
    <w:rsid w:val="00DD7678"/>
    <w:rsid w:val="00DF26B8"/>
    <w:rsid w:val="00E01023"/>
    <w:rsid w:val="00E315D9"/>
    <w:rsid w:val="00E31CDF"/>
    <w:rsid w:val="00E36A6E"/>
    <w:rsid w:val="00E52A87"/>
    <w:rsid w:val="00E56983"/>
    <w:rsid w:val="00E60151"/>
    <w:rsid w:val="00E63A84"/>
    <w:rsid w:val="00E83BA6"/>
    <w:rsid w:val="00E91599"/>
    <w:rsid w:val="00EA18E4"/>
    <w:rsid w:val="00EB254D"/>
    <w:rsid w:val="00EB491D"/>
    <w:rsid w:val="00F00654"/>
    <w:rsid w:val="00F104A9"/>
    <w:rsid w:val="00F22DC5"/>
    <w:rsid w:val="00F24A2F"/>
    <w:rsid w:val="00F266B8"/>
    <w:rsid w:val="00F326EA"/>
    <w:rsid w:val="00F41CA9"/>
    <w:rsid w:val="00F46EBF"/>
    <w:rsid w:val="00F5276E"/>
    <w:rsid w:val="00F601B7"/>
    <w:rsid w:val="00F73269"/>
    <w:rsid w:val="00F817B2"/>
    <w:rsid w:val="00FA0B30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1B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BA1757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84460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44607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7421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1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42150"/>
  </w:style>
  <w:style w:type="paragraph" w:styleId="CommentSubject">
    <w:name w:val="annotation subject"/>
    <w:basedOn w:val="CommentText"/>
    <w:next w:val="CommentText"/>
    <w:link w:val="CommentSubjectChar"/>
    <w:rsid w:val="0074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15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84729"/>
    <w:pPr>
      <w:ind w:left="720"/>
    </w:pPr>
  </w:style>
  <w:style w:type="table" w:styleId="TableGrid">
    <w:name w:val="Table Grid"/>
    <w:basedOn w:val="TableNormal"/>
    <w:rsid w:val="00432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FA5"/>
    <w:rPr>
      <w:szCs w:val="24"/>
    </w:rPr>
  </w:style>
  <w:style w:type="paragraph" w:styleId="Footer">
    <w:name w:val="footer"/>
    <w:basedOn w:val="Normal"/>
    <w:link w:val="FooterChar"/>
    <w:unhideWhenUsed/>
    <w:rsid w:val="00A64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4FA5"/>
    <w:rPr>
      <w:szCs w:val="24"/>
    </w:rPr>
  </w:style>
  <w:style w:type="character" w:customStyle="1" w:styleId="Heading1Char">
    <w:name w:val="Heading 1 Char"/>
    <w:basedOn w:val="DefaultParagraphFont"/>
    <w:link w:val="Heading1"/>
    <w:rsid w:val="0000383F"/>
    <w:rPr>
      <w:b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B4C6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BA1757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84460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44607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7421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1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42150"/>
  </w:style>
  <w:style w:type="paragraph" w:styleId="CommentSubject">
    <w:name w:val="annotation subject"/>
    <w:basedOn w:val="CommentText"/>
    <w:next w:val="CommentText"/>
    <w:link w:val="CommentSubjectChar"/>
    <w:rsid w:val="0074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15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84729"/>
    <w:pPr>
      <w:ind w:left="720"/>
    </w:pPr>
  </w:style>
  <w:style w:type="table" w:styleId="TableGrid">
    <w:name w:val="Table Grid"/>
    <w:basedOn w:val="TableNormal"/>
    <w:rsid w:val="00432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FA5"/>
    <w:rPr>
      <w:szCs w:val="24"/>
    </w:rPr>
  </w:style>
  <w:style w:type="paragraph" w:styleId="Footer">
    <w:name w:val="footer"/>
    <w:basedOn w:val="Normal"/>
    <w:link w:val="FooterChar"/>
    <w:unhideWhenUsed/>
    <w:rsid w:val="00A64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4FA5"/>
    <w:rPr>
      <w:szCs w:val="24"/>
    </w:rPr>
  </w:style>
  <w:style w:type="character" w:customStyle="1" w:styleId="Heading1Char">
    <w:name w:val="Heading 1 Char"/>
    <w:basedOn w:val="DefaultParagraphFont"/>
    <w:link w:val="Heading1"/>
    <w:rsid w:val="0000383F"/>
    <w:rPr>
      <w:b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B4C6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7D2F-31FE-45A1-870B-ABFA0AE1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B</vt:lpstr>
    </vt:vector>
  </TitlesOfParts>
  <Company>DHHS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B</dc:title>
  <dc:creator>Jodi.Duckhorn</dc:creator>
  <cp:lastModifiedBy>SYSTEM</cp:lastModifiedBy>
  <cp:revision>2</cp:revision>
  <cp:lastPrinted>2019-02-25T12:08:00Z</cp:lastPrinted>
  <dcterms:created xsi:type="dcterms:W3CDTF">2019-03-18T12:10:00Z</dcterms:created>
  <dcterms:modified xsi:type="dcterms:W3CDTF">2019-03-18T12:10:00Z</dcterms:modified>
</cp:coreProperties>
</file>