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CD580" w14:textId="77777777" w:rsidR="00B46F2C" w:rsidRPr="00B60979" w:rsidRDefault="00B46F2C" w:rsidP="00F06866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B60979">
        <w:rPr>
          <w:rFonts w:asciiTheme="minorHAnsi" w:hAnsiTheme="minorHAnsi" w:cstheme="minorHAnsi"/>
          <w:b/>
          <w:sz w:val="24"/>
          <w:szCs w:val="24"/>
        </w:rPr>
        <w:t xml:space="preserve">Request for </w:t>
      </w:r>
      <w:r w:rsidR="00F45E35" w:rsidRPr="00B60979">
        <w:rPr>
          <w:rFonts w:asciiTheme="minorHAnsi" w:hAnsiTheme="minorHAnsi" w:cstheme="minorHAnsi"/>
          <w:b/>
          <w:sz w:val="24"/>
          <w:szCs w:val="24"/>
        </w:rPr>
        <w:t xml:space="preserve">genIC </w:t>
      </w:r>
      <w:r w:rsidRPr="00B60979">
        <w:rPr>
          <w:rFonts w:asciiTheme="minorHAnsi" w:hAnsiTheme="minorHAnsi" w:cstheme="minorHAnsi"/>
          <w:b/>
          <w:sz w:val="24"/>
          <w:szCs w:val="24"/>
        </w:rPr>
        <w:t xml:space="preserve">Approval </w:t>
      </w:r>
    </w:p>
    <w:p w14:paraId="17A76F7C" w14:textId="77777777" w:rsidR="00EA2C4C" w:rsidRPr="00B60979" w:rsidRDefault="00EA2C4C" w:rsidP="00EA2C4C">
      <w:pPr>
        <w:ind w:left="187"/>
        <w:jc w:val="center"/>
        <w:rPr>
          <w:rFonts w:cstheme="minorHAnsi"/>
          <w:b/>
          <w:sz w:val="24"/>
          <w:szCs w:val="24"/>
        </w:rPr>
      </w:pPr>
      <w:r w:rsidRPr="00B60979">
        <w:rPr>
          <w:rFonts w:cstheme="minorHAnsi"/>
          <w:b/>
          <w:sz w:val="24"/>
          <w:szCs w:val="24"/>
        </w:rPr>
        <w:t xml:space="preserve">CDC/ATSDR Formative Research and Tool Development </w:t>
      </w:r>
    </w:p>
    <w:p w14:paraId="0D6CB5AD" w14:textId="77777777" w:rsidR="00EA2C4C" w:rsidRPr="00B60979" w:rsidRDefault="00EA2C4C" w:rsidP="00EA2C4C">
      <w:pPr>
        <w:jc w:val="center"/>
        <w:rPr>
          <w:rFonts w:cstheme="minorHAnsi"/>
          <w:b/>
          <w:sz w:val="24"/>
          <w:szCs w:val="24"/>
        </w:rPr>
      </w:pPr>
      <w:r w:rsidRPr="00B60979">
        <w:rPr>
          <w:rFonts w:cstheme="minorHAnsi"/>
          <w:b/>
          <w:sz w:val="24"/>
          <w:szCs w:val="24"/>
        </w:rPr>
        <w:t>0920-</w:t>
      </w:r>
      <w:r w:rsidR="00473F43" w:rsidRPr="00B60979">
        <w:rPr>
          <w:rFonts w:cstheme="minorHAnsi"/>
          <w:b/>
          <w:sz w:val="24"/>
          <w:szCs w:val="24"/>
        </w:rPr>
        <w:t>1154</w:t>
      </w:r>
    </w:p>
    <w:p w14:paraId="1E826838" w14:textId="5005CEF3" w:rsidR="00B372FB" w:rsidRPr="00621A53" w:rsidRDefault="00E2594A" w:rsidP="00434E33">
      <w:pPr>
        <w:rPr>
          <w:rFonts w:cstheme="minorHAnsi"/>
          <w:b/>
          <w:sz w:val="22"/>
          <w:szCs w:val="22"/>
        </w:rPr>
      </w:pPr>
      <w:r w:rsidRPr="00621A53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432F5EF" wp14:editId="2211AA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5B82D8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372FB" w:rsidRPr="00621A53">
        <w:rPr>
          <w:rFonts w:cstheme="minorHAnsi"/>
          <w:b/>
          <w:sz w:val="22"/>
          <w:szCs w:val="22"/>
        </w:rPr>
        <w:t>CIO:</w:t>
      </w:r>
      <w:r w:rsidR="00B60979" w:rsidRPr="00621A53">
        <w:rPr>
          <w:rFonts w:cstheme="minorHAnsi"/>
          <w:b/>
          <w:sz w:val="22"/>
          <w:szCs w:val="22"/>
        </w:rPr>
        <w:t xml:space="preserve"> </w:t>
      </w:r>
      <w:r w:rsidR="003B0E08" w:rsidRPr="00621A53">
        <w:rPr>
          <w:rFonts w:cstheme="minorHAnsi"/>
          <w:sz w:val="22"/>
          <w:szCs w:val="22"/>
        </w:rPr>
        <w:t>N</w:t>
      </w:r>
      <w:r w:rsidR="003B0E08">
        <w:rPr>
          <w:rFonts w:cstheme="minorHAnsi"/>
          <w:sz w:val="22"/>
          <w:szCs w:val="22"/>
        </w:rPr>
        <w:t>ational Center for Environmental Health</w:t>
      </w:r>
    </w:p>
    <w:p w14:paraId="0BE4F2EE" w14:textId="6F112B97" w:rsidR="00B46F2C" w:rsidRPr="00621A53" w:rsidRDefault="00B372FB" w:rsidP="00434E33">
      <w:pPr>
        <w:rPr>
          <w:rFonts w:cstheme="minorHAnsi"/>
          <w:b/>
          <w:sz w:val="22"/>
          <w:szCs w:val="22"/>
        </w:rPr>
      </w:pPr>
      <w:r w:rsidRPr="00621A53">
        <w:rPr>
          <w:rFonts w:cstheme="minorHAnsi"/>
          <w:b/>
          <w:sz w:val="22"/>
          <w:szCs w:val="22"/>
        </w:rPr>
        <w:t>PROJECT TITLE:</w:t>
      </w:r>
      <w:r w:rsidR="00B46F2C" w:rsidRPr="00621A53">
        <w:rPr>
          <w:rFonts w:cstheme="minorHAnsi"/>
          <w:sz w:val="22"/>
          <w:szCs w:val="22"/>
        </w:rPr>
        <w:t xml:space="preserve"> </w:t>
      </w:r>
      <w:r w:rsidR="00B60979" w:rsidRPr="00621A53">
        <w:rPr>
          <w:rFonts w:cstheme="minorHAnsi"/>
          <w:sz w:val="22"/>
          <w:szCs w:val="22"/>
        </w:rPr>
        <w:t>Formative Research to Develop an Open Data Standard for Reporting Environmental Health Data</w:t>
      </w:r>
    </w:p>
    <w:p w14:paraId="69484BFB" w14:textId="77777777" w:rsidR="00B46F2C" w:rsidRPr="00621A53" w:rsidRDefault="00B46F2C" w:rsidP="00840FCA">
      <w:pPr>
        <w:rPr>
          <w:rFonts w:cstheme="minorHAnsi"/>
          <w:b/>
          <w:sz w:val="22"/>
          <w:szCs w:val="22"/>
        </w:rPr>
      </w:pPr>
      <w:r w:rsidRPr="00621A53">
        <w:rPr>
          <w:rFonts w:cstheme="minorHAnsi"/>
          <w:b/>
          <w:sz w:val="22"/>
          <w:szCs w:val="22"/>
        </w:rPr>
        <w:t>PURPOSE</w:t>
      </w:r>
      <w:r w:rsidR="00A13253" w:rsidRPr="00621A53">
        <w:rPr>
          <w:rFonts w:cstheme="minorHAnsi"/>
          <w:b/>
          <w:sz w:val="22"/>
          <w:szCs w:val="22"/>
        </w:rPr>
        <w:t xml:space="preserve"> AND USE OF COLLECTION</w:t>
      </w:r>
      <w:r w:rsidRPr="00621A53">
        <w:rPr>
          <w:rFonts w:cstheme="minorHAnsi"/>
          <w:b/>
          <w:sz w:val="22"/>
          <w:szCs w:val="22"/>
        </w:rPr>
        <w:t>:</w:t>
      </w:r>
    </w:p>
    <w:p w14:paraId="1597CCE1" w14:textId="6F57E25F" w:rsidR="00FA4096" w:rsidRPr="00621A53" w:rsidRDefault="00B60979" w:rsidP="00434E33">
      <w:pPr>
        <w:pStyle w:val="Header"/>
        <w:tabs>
          <w:tab w:val="clear" w:pos="4320"/>
          <w:tab w:val="clear" w:pos="8640"/>
        </w:tabs>
        <w:rPr>
          <w:rFonts w:cstheme="minorHAnsi"/>
          <w:sz w:val="22"/>
          <w:szCs w:val="22"/>
        </w:rPr>
      </w:pPr>
      <w:r w:rsidRPr="00621A53">
        <w:rPr>
          <w:rFonts w:cstheme="minorHAnsi"/>
          <w:sz w:val="22"/>
          <w:szCs w:val="22"/>
        </w:rPr>
        <w:t xml:space="preserve">Environmental </w:t>
      </w:r>
      <w:r w:rsidR="002078B6" w:rsidRPr="00621A53">
        <w:rPr>
          <w:rFonts w:cstheme="minorHAnsi"/>
          <w:sz w:val="22"/>
          <w:szCs w:val="22"/>
        </w:rPr>
        <w:t>h</w:t>
      </w:r>
      <w:r w:rsidRPr="00621A53">
        <w:rPr>
          <w:rFonts w:cstheme="minorHAnsi"/>
          <w:sz w:val="22"/>
          <w:szCs w:val="22"/>
        </w:rPr>
        <w:t xml:space="preserve">ealth inspectors from local health departments conduct thousands of </w:t>
      </w:r>
      <w:r w:rsidR="002078B6" w:rsidRPr="00621A53">
        <w:rPr>
          <w:rFonts w:cstheme="minorHAnsi"/>
          <w:sz w:val="22"/>
          <w:szCs w:val="22"/>
        </w:rPr>
        <w:t>facility</w:t>
      </w:r>
      <w:r w:rsidRPr="00621A53">
        <w:rPr>
          <w:rFonts w:cstheme="minorHAnsi"/>
          <w:sz w:val="22"/>
          <w:szCs w:val="22"/>
        </w:rPr>
        <w:t xml:space="preserve"> inspections around the country </w:t>
      </w:r>
      <w:r w:rsidR="002078B6" w:rsidRPr="00621A53">
        <w:rPr>
          <w:rFonts w:cstheme="minorHAnsi"/>
          <w:sz w:val="22"/>
          <w:szCs w:val="22"/>
        </w:rPr>
        <w:t xml:space="preserve">each year. There is a wide range in the type of facilities inspected including </w:t>
      </w:r>
      <w:r w:rsidR="007C5EEE" w:rsidRPr="00621A53">
        <w:rPr>
          <w:rFonts w:cstheme="minorHAnsi"/>
          <w:sz w:val="22"/>
          <w:szCs w:val="22"/>
        </w:rPr>
        <w:t xml:space="preserve">restaurants, </w:t>
      </w:r>
      <w:r w:rsidR="00FA4096" w:rsidRPr="00621A53">
        <w:rPr>
          <w:rFonts w:cstheme="minorHAnsi"/>
          <w:sz w:val="22"/>
          <w:szCs w:val="22"/>
        </w:rPr>
        <w:t>salons</w:t>
      </w:r>
      <w:r w:rsidR="002078B6" w:rsidRPr="00621A53">
        <w:rPr>
          <w:rFonts w:cstheme="minorHAnsi"/>
          <w:sz w:val="22"/>
          <w:szCs w:val="22"/>
        </w:rPr>
        <w:t>, child</w:t>
      </w:r>
      <w:r w:rsidR="007C5EEE" w:rsidRPr="00621A53">
        <w:rPr>
          <w:rFonts w:cstheme="minorHAnsi"/>
          <w:sz w:val="22"/>
          <w:szCs w:val="22"/>
        </w:rPr>
        <w:t xml:space="preserve"> </w:t>
      </w:r>
      <w:r w:rsidR="002078B6" w:rsidRPr="00621A53">
        <w:rPr>
          <w:rFonts w:cstheme="minorHAnsi"/>
          <w:sz w:val="22"/>
          <w:szCs w:val="22"/>
        </w:rPr>
        <w:t xml:space="preserve">care centers, hotels, and aquatic facilities. </w:t>
      </w:r>
      <w:r w:rsidR="00CD76C8" w:rsidRPr="00621A53">
        <w:rPr>
          <w:rFonts w:cstheme="minorHAnsi"/>
          <w:sz w:val="22"/>
          <w:szCs w:val="22"/>
        </w:rPr>
        <w:t xml:space="preserve">Environmental health inspectors </w:t>
      </w:r>
      <w:r w:rsidR="002078B6" w:rsidRPr="00621A53">
        <w:rPr>
          <w:rFonts w:cstheme="minorHAnsi"/>
          <w:sz w:val="22"/>
          <w:szCs w:val="22"/>
        </w:rPr>
        <w:t>generate tremendous amount</w:t>
      </w:r>
      <w:r w:rsidR="00CD76C8" w:rsidRPr="00621A53">
        <w:rPr>
          <w:rFonts w:cstheme="minorHAnsi"/>
          <w:sz w:val="22"/>
          <w:szCs w:val="22"/>
        </w:rPr>
        <w:t>s</w:t>
      </w:r>
      <w:r w:rsidR="002078B6" w:rsidRPr="00621A53">
        <w:rPr>
          <w:rFonts w:cstheme="minorHAnsi"/>
          <w:sz w:val="22"/>
          <w:szCs w:val="22"/>
        </w:rPr>
        <w:t xml:space="preserve"> of environmental health data</w:t>
      </w:r>
      <w:r w:rsidR="00F03218" w:rsidRPr="00621A53">
        <w:rPr>
          <w:rFonts w:cstheme="minorHAnsi"/>
          <w:sz w:val="22"/>
          <w:szCs w:val="22"/>
        </w:rPr>
        <w:t xml:space="preserve">. </w:t>
      </w:r>
      <w:r w:rsidR="00A730F2" w:rsidRPr="00621A53">
        <w:rPr>
          <w:rFonts w:cstheme="minorHAnsi"/>
          <w:sz w:val="22"/>
          <w:szCs w:val="22"/>
        </w:rPr>
        <w:t>Unfortunately, the inspectors do not always make this information available</w:t>
      </w:r>
      <w:r w:rsidR="002078B6" w:rsidRPr="00621A53">
        <w:rPr>
          <w:rFonts w:cstheme="minorHAnsi"/>
          <w:sz w:val="22"/>
          <w:szCs w:val="22"/>
        </w:rPr>
        <w:t xml:space="preserve"> to the </w:t>
      </w:r>
      <w:r w:rsidR="00A730F2" w:rsidRPr="00621A53">
        <w:rPr>
          <w:rFonts w:cstheme="minorHAnsi"/>
          <w:sz w:val="22"/>
          <w:szCs w:val="22"/>
        </w:rPr>
        <w:t xml:space="preserve">public </w:t>
      </w:r>
      <w:r w:rsidR="00377C17" w:rsidRPr="00621A53">
        <w:rPr>
          <w:rFonts w:cstheme="minorHAnsi"/>
          <w:sz w:val="22"/>
          <w:szCs w:val="22"/>
        </w:rPr>
        <w:t>that make</w:t>
      </w:r>
      <w:r w:rsidR="004700E3" w:rsidRPr="00621A53">
        <w:rPr>
          <w:rFonts w:cstheme="minorHAnsi"/>
          <w:sz w:val="22"/>
          <w:szCs w:val="22"/>
        </w:rPr>
        <w:t>s</w:t>
      </w:r>
      <w:r w:rsidR="00377C17" w:rsidRPr="00621A53">
        <w:rPr>
          <w:rFonts w:cstheme="minorHAnsi"/>
          <w:sz w:val="22"/>
          <w:szCs w:val="22"/>
        </w:rPr>
        <w:t xml:space="preserve"> </w:t>
      </w:r>
      <w:r w:rsidR="00A730F2" w:rsidRPr="00621A53">
        <w:rPr>
          <w:rFonts w:cstheme="minorHAnsi"/>
          <w:sz w:val="22"/>
          <w:szCs w:val="22"/>
        </w:rPr>
        <w:t xml:space="preserve">health decisions </w:t>
      </w:r>
      <w:r w:rsidR="002078B6" w:rsidRPr="00621A53">
        <w:rPr>
          <w:rFonts w:cstheme="minorHAnsi"/>
          <w:sz w:val="22"/>
          <w:szCs w:val="22"/>
        </w:rPr>
        <w:t>or to researchers hoping to improve surveillance and reduce</w:t>
      </w:r>
      <w:r w:rsidR="00FA4096" w:rsidRPr="00621A53">
        <w:rPr>
          <w:rFonts w:cstheme="minorHAnsi"/>
          <w:sz w:val="22"/>
          <w:szCs w:val="22"/>
        </w:rPr>
        <w:t xml:space="preserve"> risk to patrons</w:t>
      </w:r>
      <w:r w:rsidR="002078B6" w:rsidRPr="00621A53">
        <w:rPr>
          <w:rFonts w:cstheme="minorHAnsi"/>
          <w:sz w:val="22"/>
          <w:szCs w:val="22"/>
        </w:rPr>
        <w:t xml:space="preserve">. </w:t>
      </w:r>
    </w:p>
    <w:p w14:paraId="7B9B8E67" w14:textId="7BDD950E" w:rsidR="0013712B" w:rsidRPr="00621A53" w:rsidRDefault="004700E3" w:rsidP="00B643A8">
      <w:pPr>
        <w:pStyle w:val="Header"/>
        <w:tabs>
          <w:tab w:val="clear" w:pos="4320"/>
          <w:tab w:val="clear" w:pos="8640"/>
        </w:tabs>
        <w:rPr>
          <w:rFonts w:cstheme="minorHAnsi"/>
          <w:sz w:val="22"/>
          <w:szCs w:val="22"/>
        </w:rPr>
      </w:pPr>
      <w:r w:rsidRPr="00621A53">
        <w:rPr>
          <w:rFonts w:cstheme="minorHAnsi"/>
          <w:sz w:val="22"/>
          <w:szCs w:val="22"/>
        </w:rPr>
        <w:t xml:space="preserve">CDC is working with </w:t>
      </w:r>
      <w:r w:rsidR="00DF64A3" w:rsidRPr="00621A53">
        <w:rPr>
          <w:rFonts w:cstheme="minorHAnsi"/>
          <w:sz w:val="22"/>
          <w:szCs w:val="22"/>
        </w:rPr>
        <w:t xml:space="preserve">the National Environmental Health Association (NEHA) through cooperative agreement (CDC-RFA-OT18-1802) </w:t>
      </w:r>
      <w:r w:rsidRPr="00621A53">
        <w:rPr>
          <w:rFonts w:cstheme="minorHAnsi"/>
          <w:sz w:val="22"/>
          <w:szCs w:val="22"/>
        </w:rPr>
        <w:t xml:space="preserve">to demonstrate how existing, taxpayer funded environmental health data can be made open, accessible, and usable by anyone. </w:t>
      </w:r>
      <w:r w:rsidR="00084941" w:rsidRPr="00621A53">
        <w:rPr>
          <w:rFonts w:cstheme="minorHAnsi"/>
          <w:sz w:val="22"/>
          <w:szCs w:val="22"/>
        </w:rPr>
        <w:t>The European Commission defines o</w:t>
      </w:r>
      <w:r w:rsidR="00F03218" w:rsidRPr="00621A53">
        <w:rPr>
          <w:rFonts w:cstheme="minorHAnsi"/>
          <w:sz w:val="22"/>
          <w:szCs w:val="22"/>
        </w:rPr>
        <w:t>pen data a</w:t>
      </w:r>
      <w:r w:rsidR="00F11DCF" w:rsidRPr="00621A53">
        <w:rPr>
          <w:rFonts w:cstheme="minorHAnsi"/>
          <w:sz w:val="22"/>
          <w:szCs w:val="22"/>
        </w:rPr>
        <w:t xml:space="preserve">s accessible data that </w:t>
      </w:r>
      <w:r w:rsidR="00F03218" w:rsidRPr="00621A53">
        <w:rPr>
          <w:rFonts w:cstheme="minorHAnsi"/>
          <w:sz w:val="22"/>
          <w:szCs w:val="22"/>
        </w:rPr>
        <w:t xml:space="preserve">anyone </w:t>
      </w:r>
      <w:r w:rsidR="00F11DCF" w:rsidRPr="00621A53">
        <w:rPr>
          <w:rFonts w:cstheme="minorHAnsi"/>
          <w:sz w:val="22"/>
          <w:szCs w:val="22"/>
        </w:rPr>
        <w:t xml:space="preserve">can </w:t>
      </w:r>
      <w:r w:rsidR="00F03218" w:rsidRPr="00621A53">
        <w:rPr>
          <w:rFonts w:cstheme="minorHAnsi"/>
          <w:sz w:val="22"/>
          <w:szCs w:val="22"/>
        </w:rPr>
        <w:t>use and share</w:t>
      </w:r>
      <w:r w:rsidR="00084941" w:rsidRPr="00621A53">
        <w:rPr>
          <w:rFonts w:cstheme="minorHAnsi"/>
          <w:sz w:val="22"/>
          <w:szCs w:val="22"/>
        </w:rPr>
        <w:t xml:space="preserve"> (European Commission 2019)</w:t>
      </w:r>
      <w:r w:rsidR="00F11DCF" w:rsidRPr="00621A53">
        <w:rPr>
          <w:rFonts w:cstheme="minorHAnsi"/>
          <w:sz w:val="22"/>
          <w:szCs w:val="22"/>
        </w:rPr>
        <w:t xml:space="preserve">. </w:t>
      </w:r>
      <w:r w:rsidR="00084941" w:rsidRPr="00621A53">
        <w:rPr>
          <w:rFonts w:cstheme="minorHAnsi"/>
          <w:sz w:val="22"/>
          <w:szCs w:val="22"/>
        </w:rPr>
        <w:t xml:space="preserve">The </w:t>
      </w:r>
      <w:r w:rsidR="00853257" w:rsidRPr="00621A53">
        <w:rPr>
          <w:rFonts w:cstheme="minorHAnsi"/>
          <w:sz w:val="22"/>
          <w:szCs w:val="22"/>
        </w:rPr>
        <w:t xml:space="preserve">U.S. </w:t>
      </w:r>
      <w:r w:rsidR="00084941" w:rsidRPr="00621A53">
        <w:rPr>
          <w:rFonts w:cstheme="minorHAnsi"/>
          <w:sz w:val="22"/>
          <w:szCs w:val="22"/>
        </w:rPr>
        <w:t>website Opendata.gov asserts that open data increases citizen participation in government, creates economic opportunities</w:t>
      </w:r>
      <w:r w:rsidR="00CD76C8" w:rsidRPr="00621A53">
        <w:rPr>
          <w:rFonts w:cstheme="minorHAnsi"/>
          <w:sz w:val="22"/>
          <w:szCs w:val="22"/>
        </w:rPr>
        <w:t xml:space="preserve"> and informs </w:t>
      </w:r>
      <w:r w:rsidR="00A730F2" w:rsidRPr="00621A53">
        <w:rPr>
          <w:rFonts w:cstheme="minorHAnsi"/>
          <w:sz w:val="22"/>
          <w:szCs w:val="22"/>
        </w:rPr>
        <w:t xml:space="preserve">public and private sector </w:t>
      </w:r>
      <w:r w:rsidR="00CD76C8" w:rsidRPr="00621A53">
        <w:rPr>
          <w:rFonts w:cstheme="minorHAnsi"/>
          <w:sz w:val="22"/>
          <w:szCs w:val="22"/>
        </w:rPr>
        <w:t>decision-making (</w:t>
      </w:r>
      <w:r w:rsidR="00007D8C" w:rsidRPr="00621A53">
        <w:rPr>
          <w:rFonts w:cstheme="minorHAnsi"/>
          <w:sz w:val="22"/>
          <w:szCs w:val="22"/>
        </w:rPr>
        <w:t>GSA</w:t>
      </w:r>
      <w:r w:rsidR="00CD76C8" w:rsidRPr="00621A53">
        <w:rPr>
          <w:rFonts w:cstheme="minorHAnsi"/>
          <w:sz w:val="22"/>
          <w:szCs w:val="22"/>
        </w:rPr>
        <w:t xml:space="preserve"> 2019).</w:t>
      </w:r>
      <w:r w:rsidR="00007D8C" w:rsidRPr="00621A53">
        <w:rPr>
          <w:rFonts w:cstheme="minorHAnsi"/>
          <w:sz w:val="22"/>
          <w:szCs w:val="22"/>
        </w:rPr>
        <w:t xml:space="preserve"> </w:t>
      </w:r>
      <w:r w:rsidR="00B9193D" w:rsidRPr="00621A53">
        <w:rPr>
          <w:rFonts w:cstheme="minorHAnsi"/>
          <w:sz w:val="22"/>
          <w:szCs w:val="22"/>
        </w:rPr>
        <w:t>A potential outcome</w:t>
      </w:r>
      <w:r w:rsidR="00007D8C" w:rsidRPr="00621A53">
        <w:rPr>
          <w:rFonts w:cstheme="minorHAnsi"/>
          <w:sz w:val="22"/>
          <w:szCs w:val="22"/>
        </w:rPr>
        <w:t xml:space="preserve"> of this partnership effort is to elevate the quality of environmental health data collection, and to a</w:t>
      </w:r>
      <w:r w:rsidR="00B70069" w:rsidRPr="00621A53">
        <w:rPr>
          <w:rFonts w:cstheme="minorHAnsi"/>
          <w:sz w:val="22"/>
          <w:szCs w:val="22"/>
        </w:rPr>
        <w:t>ssure that collected data</w:t>
      </w:r>
      <w:r w:rsidR="00007D8C" w:rsidRPr="00621A53">
        <w:rPr>
          <w:rFonts w:cstheme="minorHAnsi"/>
          <w:sz w:val="22"/>
          <w:szCs w:val="22"/>
        </w:rPr>
        <w:t xml:space="preserve"> is accessible and usable by the public. </w:t>
      </w:r>
      <w:r w:rsidR="0013712B" w:rsidRPr="00621A53">
        <w:rPr>
          <w:rFonts w:cstheme="minorHAnsi"/>
          <w:sz w:val="22"/>
          <w:szCs w:val="22"/>
        </w:rPr>
        <w:t xml:space="preserve">The environmental health information targeted </w:t>
      </w:r>
      <w:r w:rsidR="007A69E7" w:rsidRPr="00621A53">
        <w:rPr>
          <w:rFonts w:cstheme="minorHAnsi"/>
          <w:sz w:val="22"/>
          <w:szCs w:val="22"/>
        </w:rPr>
        <w:t xml:space="preserve">for </w:t>
      </w:r>
      <w:r w:rsidR="00B9193D" w:rsidRPr="00621A53">
        <w:rPr>
          <w:rFonts w:cstheme="minorHAnsi"/>
          <w:sz w:val="22"/>
          <w:szCs w:val="22"/>
        </w:rPr>
        <w:t xml:space="preserve">use </w:t>
      </w:r>
      <w:r w:rsidR="0013712B" w:rsidRPr="00621A53">
        <w:rPr>
          <w:rFonts w:cstheme="minorHAnsi"/>
          <w:sz w:val="22"/>
          <w:szCs w:val="22"/>
        </w:rPr>
        <w:t xml:space="preserve">by this project is aquatic facility </w:t>
      </w:r>
      <w:r w:rsidR="007A69E7" w:rsidRPr="00621A53">
        <w:rPr>
          <w:rFonts w:cstheme="minorHAnsi"/>
          <w:sz w:val="22"/>
          <w:szCs w:val="22"/>
        </w:rPr>
        <w:t>inspection data</w:t>
      </w:r>
      <w:r w:rsidRPr="00621A53">
        <w:rPr>
          <w:rFonts w:cstheme="minorHAnsi"/>
          <w:sz w:val="22"/>
          <w:szCs w:val="22"/>
        </w:rPr>
        <w:t>.</w:t>
      </w:r>
      <w:r w:rsidR="007A69E7" w:rsidRPr="00621A53">
        <w:rPr>
          <w:rFonts w:cstheme="minorHAnsi"/>
          <w:sz w:val="22"/>
          <w:szCs w:val="22"/>
        </w:rPr>
        <w:t xml:space="preserve"> </w:t>
      </w:r>
      <w:r w:rsidRPr="00621A53">
        <w:rPr>
          <w:rFonts w:cstheme="minorHAnsi"/>
          <w:sz w:val="22"/>
          <w:szCs w:val="22"/>
        </w:rPr>
        <w:t>H</w:t>
      </w:r>
      <w:r w:rsidR="007A69E7" w:rsidRPr="00621A53">
        <w:rPr>
          <w:rFonts w:cstheme="minorHAnsi"/>
          <w:sz w:val="22"/>
          <w:szCs w:val="22"/>
        </w:rPr>
        <w:t xml:space="preserve">owever, if successful, the open data platform would be </w:t>
      </w:r>
      <w:r w:rsidR="007A2CE2" w:rsidRPr="00621A53">
        <w:rPr>
          <w:rFonts w:cstheme="minorHAnsi"/>
          <w:sz w:val="22"/>
          <w:szCs w:val="22"/>
        </w:rPr>
        <w:t xml:space="preserve">an </w:t>
      </w:r>
      <w:r w:rsidR="007A69E7" w:rsidRPr="00621A53">
        <w:rPr>
          <w:rFonts w:cstheme="minorHAnsi"/>
          <w:sz w:val="22"/>
          <w:szCs w:val="22"/>
        </w:rPr>
        <w:t xml:space="preserve">appropriate </w:t>
      </w:r>
      <w:r w:rsidR="007A2CE2" w:rsidRPr="00621A53">
        <w:rPr>
          <w:rFonts w:cstheme="minorHAnsi"/>
          <w:sz w:val="22"/>
          <w:szCs w:val="22"/>
        </w:rPr>
        <w:t xml:space="preserve">tool </w:t>
      </w:r>
      <w:r w:rsidR="007A69E7" w:rsidRPr="00621A53">
        <w:rPr>
          <w:rFonts w:cstheme="minorHAnsi"/>
          <w:sz w:val="22"/>
          <w:szCs w:val="22"/>
        </w:rPr>
        <w:t>for reporting environmental health data from any</w:t>
      </w:r>
      <w:r w:rsidR="0013712B" w:rsidRPr="00621A53">
        <w:rPr>
          <w:rFonts w:cstheme="minorHAnsi"/>
          <w:sz w:val="22"/>
          <w:szCs w:val="22"/>
        </w:rPr>
        <w:t xml:space="preserve"> </w:t>
      </w:r>
      <w:r w:rsidR="007A69E7" w:rsidRPr="00621A53">
        <w:rPr>
          <w:rFonts w:cstheme="minorHAnsi"/>
          <w:sz w:val="22"/>
          <w:szCs w:val="22"/>
        </w:rPr>
        <w:t>type of facility inspection in the future.</w:t>
      </w:r>
    </w:p>
    <w:p w14:paraId="19B30E3D" w14:textId="40CB8764" w:rsidR="007A69E7" w:rsidRPr="00621A53" w:rsidRDefault="001576D9" w:rsidP="00434E33">
      <w:pPr>
        <w:pStyle w:val="Header"/>
        <w:tabs>
          <w:tab w:val="clear" w:pos="4320"/>
          <w:tab w:val="clear" w:pos="8640"/>
        </w:tabs>
        <w:rPr>
          <w:rFonts w:cstheme="minorHAnsi"/>
          <w:sz w:val="22"/>
          <w:szCs w:val="22"/>
        </w:rPr>
      </w:pPr>
      <w:r w:rsidRPr="00621A53">
        <w:rPr>
          <w:rFonts w:cstheme="minorHAnsi"/>
          <w:sz w:val="22"/>
          <w:szCs w:val="22"/>
        </w:rPr>
        <w:t xml:space="preserve">NEHA will </w:t>
      </w:r>
      <w:r w:rsidR="00377C17" w:rsidRPr="00621A53">
        <w:rPr>
          <w:rFonts w:cstheme="minorHAnsi"/>
          <w:sz w:val="22"/>
          <w:szCs w:val="22"/>
        </w:rPr>
        <w:t xml:space="preserve">conduct </w:t>
      </w:r>
      <w:r w:rsidRPr="00621A53">
        <w:rPr>
          <w:rFonts w:cstheme="minorHAnsi"/>
          <w:sz w:val="22"/>
          <w:szCs w:val="22"/>
        </w:rPr>
        <w:t xml:space="preserve">key informant interviews to </w:t>
      </w:r>
      <w:r w:rsidR="00DC5E72" w:rsidRPr="00621A53">
        <w:rPr>
          <w:rFonts w:cstheme="minorHAnsi"/>
          <w:sz w:val="22"/>
          <w:szCs w:val="22"/>
        </w:rPr>
        <w:t xml:space="preserve">inform the </w:t>
      </w:r>
      <w:r w:rsidR="00377C17" w:rsidRPr="00621A53">
        <w:rPr>
          <w:rFonts w:cstheme="minorHAnsi"/>
          <w:sz w:val="22"/>
          <w:szCs w:val="22"/>
        </w:rPr>
        <w:t xml:space="preserve">development </w:t>
      </w:r>
      <w:r w:rsidR="007A69E7" w:rsidRPr="00621A53">
        <w:rPr>
          <w:rFonts w:cstheme="minorHAnsi"/>
          <w:sz w:val="22"/>
          <w:szCs w:val="22"/>
        </w:rPr>
        <w:t xml:space="preserve">an open data standard that </w:t>
      </w:r>
      <w:r w:rsidR="007A2CE2" w:rsidRPr="00621A53">
        <w:rPr>
          <w:rFonts w:cstheme="minorHAnsi"/>
          <w:sz w:val="22"/>
          <w:szCs w:val="22"/>
        </w:rPr>
        <w:t>will be</w:t>
      </w:r>
      <w:r w:rsidR="007A69E7" w:rsidRPr="00621A53">
        <w:rPr>
          <w:rFonts w:cstheme="minorHAnsi"/>
          <w:sz w:val="22"/>
          <w:szCs w:val="22"/>
        </w:rPr>
        <w:t xml:space="preserve"> useful to stakeholders, adaptable to all types of environmental health inspection data, and acceptable to facility </w:t>
      </w:r>
      <w:r w:rsidR="00B33760" w:rsidRPr="00621A53">
        <w:rPr>
          <w:rFonts w:cstheme="minorHAnsi"/>
          <w:sz w:val="22"/>
          <w:szCs w:val="22"/>
        </w:rPr>
        <w:t xml:space="preserve">owners and </w:t>
      </w:r>
      <w:r w:rsidR="007A69E7" w:rsidRPr="00621A53">
        <w:rPr>
          <w:rFonts w:cstheme="minorHAnsi"/>
          <w:sz w:val="22"/>
          <w:szCs w:val="22"/>
        </w:rPr>
        <w:t xml:space="preserve">operators. The interviews will </w:t>
      </w:r>
      <w:r w:rsidR="00377C17" w:rsidRPr="00621A53">
        <w:rPr>
          <w:rFonts w:cstheme="minorHAnsi"/>
          <w:sz w:val="22"/>
          <w:szCs w:val="22"/>
        </w:rPr>
        <w:t xml:space="preserve">generate the data needed to help </w:t>
      </w:r>
      <w:r w:rsidR="007A69E7" w:rsidRPr="00621A53">
        <w:rPr>
          <w:rFonts w:cstheme="minorHAnsi"/>
          <w:sz w:val="22"/>
          <w:szCs w:val="22"/>
        </w:rPr>
        <w:t xml:space="preserve">the development team </w:t>
      </w:r>
      <w:r w:rsidR="00377C17" w:rsidRPr="00621A53">
        <w:rPr>
          <w:rFonts w:cstheme="minorHAnsi"/>
          <w:sz w:val="22"/>
          <w:szCs w:val="22"/>
        </w:rPr>
        <w:t>describe</w:t>
      </w:r>
      <w:r w:rsidR="007A69E7" w:rsidRPr="00621A53">
        <w:rPr>
          <w:rFonts w:cstheme="minorHAnsi"/>
          <w:sz w:val="22"/>
          <w:szCs w:val="22"/>
        </w:rPr>
        <w:t xml:space="preserve"> the </w:t>
      </w:r>
      <w:r w:rsidR="00B33760" w:rsidRPr="00621A53">
        <w:rPr>
          <w:rFonts w:cstheme="minorHAnsi"/>
          <w:sz w:val="22"/>
          <w:szCs w:val="22"/>
        </w:rPr>
        <w:t>current</w:t>
      </w:r>
      <w:r w:rsidR="007A69E7" w:rsidRPr="00621A53">
        <w:rPr>
          <w:rFonts w:cstheme="minorHAnsi"/>
          <w:sz w:val="22"/>
          <w:szCs w:val="22"/>
        </w:rPr>
        <w:t xml:space="preserve"> open data</w:t>
      </w:r>
      <w:r w:rsidR="00B33760" w:rsidRPr="00621A53">
        <w:rPr>
          <w:rFonts w:cstheme="minorHAnsi"/>
          <w:sz w:val="22"/>
          <w:szCs w:val="22"/>
        </w:rPr>
        <w:t xml:space="preserve"> reporting</w:t>
      </w:r>
      <w:r w:rsidR="007A69E7" w:rsidRPr="00621A53">
        <w:rPr>
          <w:rFonts w:cstheme="minorHAnsi"/>
          <w:sz w:val="22"/>
          <w:szCs w:val="22"/>
        </w:rPr>
        <w:t xml:space="preserve"> landscape, </w:t>
      </w:r>
      <w:r w:rsidR="00377C17" w:rsidRPr="00621A53">
        <w:rPr>
          <w:rFonts w:cstheme="minorHAnsi"/>
          <w:sz w:val="22"/>
          <w:szCs w:val="22"/>
        </w:rPr>
        <w:t xml:space="preserve">determine </w:t>
      </w:r>
      <w:r w:rsidR="00B33760" w:rsidRPr="00621A53">
        <w:rPr>
          <w:rFonts w:cstheme="minorHAnsi"/>
          <w:sz w:val="22"/>
          <w:szCs w:val="22"/>
        </w:rPr>
        <w:t xml:space="preserve">the information technology </w:t>
      </w:r>
      <w:r w:rsidR="00DF7713" w:rsidRPr="00621A53">
        <w:rPr>
          <w:rFonts w:cstheme="minorHAnsi"/>
          <w:sz w:val="22"/>
          <w:szCs w:val="22"/>
        </w:rPr>
        <w:t xml:space="preserve">(IT) </w:t>
      </w:r>
      <w:r w:rsidR="00B33760" w:rsidRPr="00621A53">
        <w:rPr>
          <w:rFonts w:cstheme="minorHAnsi"/>
          <w:sz w:val="22"/>
          <w:szCs w:val="22"/>
        </w:rPr>
        <w:t>infrastructure required to implement open data reporting</w:t>
      </w:r>
      <w:r w:rsidR="007A2CE2" w:rsidRPr="00621A53">
        <w:rPr>
          <w:rFonts w:cstheme="minorHAnsi"/>
          <w:sz w:val="22"/>
          <w:szCs w:val="22"/>
        </w:rPr>
        <w:t xml:space="preserve"> in local jurisdictions</w:t>
      </w:r>
      <w:r w:rsidR="00B33760" w:rsidRPr="00621A53">
        <w:rPr>
          <w:rFonts w:cstheme="minorHAnsi"/>
          <w:sz w:val="22"/>
          <w:szCs w:val="22"/>
        </w:rPr>
        <w:t xml:space="preserve">, and </w:t>
      </w:r>
      <w:r w:rsidR="00377C17" w:rsidRPr="00621A53">
        <w:rPr>
          <w:rFonts w:cstheme="minorHAnsi"/>
          <w:sz w:val="22"/>
          <w:szCs w:val="22"/>
        </w:rPr>
        <w:t xml:space="preserve">understand the </w:t>
      </w:r>
      <w:r w:rsidR="00B33760" w:rsidRPr="00621A53">
        <w:rPr>
          <w:rFonts w:cstheme="minorHAnsi"/>
          <w:sz w:val="22"/>
          <w:szCs w:val="22"/>
        </w:rPr>
        <w:t>critical challenges faced by similar efforts.</w:t>
      </w:r>
      <w:r w:rsidR="007A2CE2" w:rsidRPr="00621A53">
        <w:rPr>
          <w:rFonts w:cstheme="minorHAnsi"/>
          <w:sz w:val="22"/>
          <w:szCs w:val="22"/>
        </w:rPr>
        <w:t xml:space="preserve"> </w:t>
      </w:r>
    </w:p>
    <w:p w14:paraId="053607B7" w14:textId="77777777" w:rsidR="00840FCA" w:rsidRPr="00621A53" w:rsidRDefault="00B46F2C" w:rsidP="00840FCA">
      <w:pPr>
        <w:pStyle w:val="Header"/>
        <w:tabs>
          <w:tab w:val="clear" w:pos="4320"/>
          <w:tab w:val="clear" w:pos="8640"/>
        </w:tabs>
        <w:rPr>
          <w:rFonts w:cstheme="minorHAnsi"/>
          <w:sz w:val="22"/>
        </w:rPr>
      </w:pPr>
      <w:r w:rsidRPr="00621A53">
        <w:rPr>
          <w:rFonts w:cstheme="minorHAnsi"/>
          <w:b/>
          <w:sz w:val="22"/>
        </w:rPr>
        <w:t>DESCRIPTION OF RESPONDENTS</w:t>
      </w:r>
      <w:r w:rsidRPr="00621A53">
        <w:rPr>
          <w:rFonts w:cstheme="minorHAnsi"/>
          <w:sz w:val="22"/>
        </w:rPr>
        <w:t>:</w:t>
      </w:r>
    </w:p>
    <w:p w14:paraId="04D2AAE3" w14:textId="1F19DED1" w:rsidR="00B46F2C" w:rsidRPr="00621A53" w:rsidRDefault="00305F55">
      <w:pPr>
        <w:rPr>
          <w:rFonts w:cstheme="minorHAnsi"/>
          <w:b/>
          <w:sz w:val="22"/>
        </w:rPr>
      </w:pPr>
      <w:r w:rsidRPr="00621A53">
        <w:rPr>
          <w:rFonts w:cstheme="minorHAnsi"/>
          <w:sz w:val="22"/>
        </w:rPr>
        <w:t>To inform the development of our open data standard we intend to conduct a limited number of interviews (</w:t>
      </w:r>
      <w:r w:rsidR="003B0E08">
        <w:rPr>
          <w:rFonts w:cstheme="minorHAnsi"/>
          <w:sz w:val="22"/>
        </w:rPr>
        <w:t>43</w:t>
      </w:r>
      <w:r w:rsidR="003852A3" w:rsidRPr="003852A3">
        <w:rPr>
          <w:rFonts w:cstheme="minorHAnsi"/>
          <w:sz w:val="22"/>
        </w:rPr>
        <w:t xml:space="preserve"> </w:t>
      </w:r>
      <w:r w:rsidR="003852A3">
        <w:rPr>
          <w:rFonts w:cstheme="minorHAnsi"/>
          <w:sz w:val="22"/>
        </w:rPr>
        <w:t xml:space="preserve">or </w:t>
      </w:r>
      <w:r w:rsidR="003852A3" w:rsidRPr="00621A53">
        <w:rPr>
          <w:rFonts w:cstheme="minorHAnsi"/>
          <w:sz w:val="22"/>
        </w:rPr>
        <w:t>fewer</w:t>
      </w:r>
      <w:r w:rsidRPr="00621A53">
        <w:rPr>
          <w:rFonts w:cstheme="minorHAnsi"/>
          <w:sz w:val="22"/>
        </w:rPr>
        <w:t>) with open data standard experts, municipal government IT administrators, environmental health personnel, and technology providers.</w:t>
      </w:r>
      <w:r w:rsidR="00734FB2" w:rsidRPr="00621A53">
        <w:rPr>
          <w:rFonts w:cstheme="minorHAnsi"/>
          <w:sz w:val="22"/>
        </w:rPr>
        <w:t xml:space="preserve"> Snowball sampling will be used to identify interviewees.</w:t>
      </w:r>
    </w:p>
    <w:p w14:paraId="20F26ACF" w14:textId="77777777" w:rsidR="002F2EF9" w:rsidRPr="00621A53" w:rsidRDefault="00B46F2C" w:rsidP="008101A5">
      <w:pPr>
        <w:rPr>
          <w:rFonts w:cstheme="minorHAnsi"/>
          <w:b/>
          <w:sz w:val="22"/>
        </w:rPr>
      </w:pPr>
      <w:r w:rsidRPr="00621A53">
        <w:rPr>
          <w:rFonts w:cstheme="minorHAnsi"/>
          <w:b/>
          <w:sz w:val="22"/>
        </w:rPr>
        <w:lastRenderedPageBreak/>
        <w:t>CERTIFICATION:</w:t>
      </w:r>
      <w:r w:rsidR="002F2EF9" w:rsidRPr="00621A53">
        <w:rPr>
          <w:rFonts w:cstheme="minorHAnsi"/>
          <w:b/>
          <w:sz w:val="22"/>
        </w:rPr>
        <w:t xml:space="preserve"> </w:t>
      </w:r>
    </w:p>
    <w:p w14:paraId="0EF83E5A" w14:textId="77777777" w:rsidR="00B46F2C" w:rsidRPr="00621A53" w:rsidRDefault="00B46F2C" w:rsidP="008101A5">
      <w:pPr>
        <w:rPr>
          <w:rFonts w:cstheme="minorHAnsi"/>
          <w:sz w:val="22"/>
        </w:rPr>
      </w:pPr>
      <w:r w:rsidRPr="00621A53">
        <w:rPr>
          <w:rFonts w:cstheme="minorHAnsi"/>
          <w:sz w:val="22"/>
        </w:rPr>
        <w:t xml:space="preserve">I certify the following to be true: </w:t>
      </w:r>
    </w:p>
    <w:p w14:paraId="647CAA2E" w14:textId="77777777" w:rsidR="00B46F2C" w:rsidRPr="00621A53" w:rsidRDefault="00B46F2C" w:rsidP="008101A5">
      <w:pPr>
        <w:pStyle w:val="ListParagraph"/>
        <w:numPr>
          <w:ilvl w:val="0"/>
          <w:numId w:val="14"/>
        </w:numPr>
        <w:rPr>
          <w:rFonts w:cstheme="minorHAnsi"/>
          <w:sz w:val="22"/>
        </w:rPr>
      </w:pPr>
      <w:r w:rsidRPr="00621A53">
        <w:rPr>
          <w:rFonts w:cstheme="minorHAnsi"/>
          <w:sz w:val="22"/>
        </w:rPr>
        <w:t xml:space="preserve">The collection is voluntary. </w:t>
      </w:r>
    </w:p>
    <w:p w14:paraId="1D999C5A" w14:textId="77777777" w:rsidR="00B46F2C" w:rsidRPr="00621A53" w:rsidRDefault="00B46F2C" w:rsidP="008101A5">
      <w:pPr>
        <w:pStyle w:val="ListParagraph"/>
        <w:numPr>
          <w:ilvl w:val="0"/>
          <w:numId w:val="14"/>
        </w:numPr>
        <w:rPr>
          <w:rFonts w:cstheme="minorHAnsi"/>
          <w:sz w:val="22"/>
        </w:rPr>
      </w:pPr>
      <w:r w:rsidRPr="00621A53">
        <w:rPr>
          <w:rFonts w:cstheme="minorHAnsi"/>
          <w:sz w:val="22"/>
        </w:rPr>
        <w:t>The collection is low-burden for respondents and low-cost for the Federal Government.</w:t>
      </w:r>
    </w:p>
    <w:p w14:paraId="290FE2EB" w14:textId="77777777" w:rsidR="00B46F2C" w:rsidRPr="00621A53" w:rsidRDefault="00B46F2C" w:rsidP="00A07294">
      <w:pPr>
        <w:pStyle w:val="ListParagraph"/>
        <w:numPr>
          <w:ilvl w:val="0"/>
          <w:numId w:val="14"/>
        </w:numPr>
        <w:rPr>
          <w:rFonts w:cstheme="minorHAnsi"/>
          <w:sz w:val="22"/>
        </w:rPr>
      </w:pPr>
      <w:r w:rsidRPr="00621A53">
        <w:rPr>
          <w:rFonts w:cstheme="minorHAnsi"/>
          <w:sz w:val="22"/>
        </w:rPr>
        <w:t xml:space="preserve">The collection is non-controversial and does </w:t>
      </w:r>
      <w:r w:rsidRPr="00621A53">
        <w:rPr>
          <w:rFonts w:cstheme="minorHAnsi"/>
          <w:sz w:val="22"/>
          <w:u w:val="single"/>
        </w:rPr>
        <w:t>not</w:t>
      </w:r>
      <w:r w:rsidRPr="00621A53">
        <w:rPr>
          <w:rFonts w:cstheme="minorHAnsi"/>
          <w:sz w:val="22"/>
        </w:rPr>
        <w:t xml:space="preserve"> raise issues of concern to other federal agencies.</w:t>
      </w:r>
    </w:p>
    <w:p w14:paraId="61810A04" w14:textId="77777777" w:rsidR="00B46F2C" w:rsidRPr="00621A53" w:rsidRDefault="00B46F2C" w:rsidP="008101A5">
      <w:pPr>
        <w:pStyle w:val="ListParagraph"/>
        <w:numPr>
          <w:ilvl w:val="0"/>
          <w:numId w:val="14"/>
        </w:numPr>
        <w:rPr>
          <w:rFonts w:cstheme="minorHAnsi"/>
          <w:sz w:val="22"/>
        </w:rPr>
      </w:pPr>
      <w:r w:rsidRPr="00621A53">
        <w:rPr>
          <w:rFonts w:cstheme="minorHAnsi"/>
          <w:sz w:val="22"/>
        </w:rPr>
        <w:t xml:space="preserve">Information gathered will not be used </w:t>
      </w:r>
      <w:r w:rsidR="00B372FB" w:rsidRPr="00621A53">
        <w:rPr>
          <w:rFonts w:cstheme="minorHAnsi"/>
          <w:sz w:val="22"/>
        </w:rPr>
        <w:t>to</w:t>
      </w:r>
      <w:r w:rsidRPr="00621A53">
        <w:rPr>
          <w:rFonts w:cstheme="minorHAnsi"/>
          <w:sz w:val="22"/>
        </w:rPr>
        <w:t xml:space="preserve"> substantially inform influential</w:t>
      </w:r>
      <w:r w:rsidR="00B372FB" w:rsidRPr="00621A53">
        <w:rPr>
          <w:rFonts w:cstheme="minorHAnsi"/>
          <w:sz w:val="22"/>
        </w:rPr>
        <w:t xml:space="preserve"> </w:t>
      </w:r>
      <w:r w:rsidRPr="00621A53">
        <w:rPr>
          <w:rFonts w:cstheme="minorHAnsi"/>
          <w:sz w:val="22"/>
        </w:rPr>
        <w:t xml:space="preserve">policy decisions. </w:t>
      </w:r>
    </w:p>
    <w:p w14:paraId="2E6A2195" w14:textId="6520EB68" w:rsidR="00B46F2C" w:rsidRPr="00621A53" w:rsidRDefault="00B372FB" w:rsidP="008101A5">
      <w:pPr>
        <w:pStyle w:val="ListParagraph"/>
        <w:numPr>
          <w:ilvl w:val="0"/>
          <w:numId w:val="14"/>
        </w:numPr>
        <w:rPr>
          <w:rFonts w:cstheme="minorHAnsi"/>
          <w:sz w:val="22"/>
        </w:rPr>
      </w:pPr>
      <w:r w:rsidRPr="00621A53">
        <w:rPr>
          <w:rFonts w:cstheme="minorHAnsi"/>
          <w:sz w:val="22"/>
        </w:rPr>
        <w:t xml:space="preserve">The study is not intended to produce results that can be generalized beyond </w:t>
      </w:r>
      <w:r w:rsidR="002F2EF9" w:rsidRPr="00621A53">
        <w:rPr>
          <w:rFonts w:cstheme="minorHAnsi"/>
          <w:sz w:val="22"/>
        </w:rPr>
        <w:t xml:space="preserve">its </w:t>
      </w:r>
      <w:r w:rsidRPr="00621A53">
        <w:rPr>
          <w:rFonts w:cstheme="minorHAnsi"/>
          <w:sz w:val="22"/>
        </w:rPr>
        <w:t>scope</w:t>
      </w:r>
      <w:r w:rsidR="002F2EF9" w:rsidRPr="00621A53">
        <w:rPr>
          <w:rFonts w:cstheme="minorHAnsi"/>
          <w:sz w:val="22"/>
        </w:rPr>
        <w:t>.</w:t>
      </w:r>
    </w:p>
    <w:p w14:paraId="3AF3E0D4" w14:textId="4B653820" w:rsidR="007C5EEE" w:rsidRPr="00621A53" w:rsidRDefault="007C5EEE" w:rsidP="008101A5">
      <w:pPr>
        <w:pStyle w:val="ListParagraph"/>
        <w:numPr>
          <w:ilvl w:val="0"/>
          <w:numId w:val="14"/>
        </w:numPr>
        <w:rPr>
          <w:rFonts w:cstheme="minorHAnsi"/>
          <w:sz w:val="22"/>
        </w:rPr>
      </w:pPr>
      <w:r w:rsidRPr="00621A53">
        <w:rPr>
          <w:rFonts w:cstheme="minorHAnsi"/>
          <w:sz w:val="22"/>
        </w:rPr>
        <w:t>The information gathered will inform ongoing practices.</w:t>
      </w:r>
    </w:p>
    <w:p w14:paraId="38971AB6" w14:textId="2CC2806B" w:rsidR="00B46F2C" w:rsidRPr="00621A53" w:rsidRDefault="00B46F2C" w:rsidP="009C13B9">
      <w:pPr>
        <w:rPr>
          <w:rFonts w:cstheme="minorHAnsi"/>
          <w:sz w:val="22"/>
        </w:rPr>
      </w:pPr>
      <w:r w:rsidRPr="00621A53">
        <w:rPr>
          <w:rFonts w:cstheme="minorHAnsi"/>
          <w:sz w:val="22"/>
        </w:rPr>
        <w:t>Name:</w:t>
      </w:r>
      <w:r w:rsidR="00B32078" w:rsidRPr="00621A53">
        <w:rPr>
          <w:rFonts w:cstheme="minorHAnsi"/>
          <w:sz w:val="22"/>
        </w:rPr>
        <w:t xml:space="preserve"> </w:t>
      </w:r>
      <w:r w:rsidR="00811898" w:rsidRPr="00621A53">
        <w:rPr>
          <w:rFonts w:cstheme="minorHAnsi"/>
          <w:sz w:val="22"/>
        </w:rPr>
        <w:t>Brian Hubbard, MPH</w:t>
      </w:r>
    </w:p>
    <w:p w14:paraId="17E879D5" w14:textId="77777777" w:rsidR="00B46F2C" w:rsidRPr="00621A53" w:rsidRDefault="00B46F2C" w:rsidP="009C13B9">
      <w:pPr>
        <w:rPr>
          <w:rFonts w:cstheme="minorHAnsi"/>
          <w:sz w:val="22"/>
        </w:rPr>
      </w:pPr>
      <w:r w:rsidRPr="00621A53">
        <w:rPr>
          <w:rFonts w:cstheme="minorHAnsi"/>
          <w:sz w:val="22"/>
        </w:rPr>
        <w:t>To assist review, please answer the following question</w:t>
      </w:r>
      <w:r w:rsidR="00E55CAE" w:rsidRPr="00621A53">
        <w:rPr>
          <w:rFonts w:cstheme="minorHAnsi"/>
          <w:sz w:val="22"/>
        </w:rPr>
        <w:t>s</w:t>
      </w:r>
      <w:r w:rsidRPr="00621A53">
        <w:rPr>
          <w:rFonts w:cstheme="minorHAnsi"/>
          <w:sz w:val="22"/>
        </w:rPr>
        <w:t>:</w:t>
      </w:r>
    </w:p>
    <w:p w14:paraId="4C969F51" w14:textId="77777777" w:rsidR="00B46F2C" w:rsidRPr="00621A53" w:rsidRDefault="00B46F2C" w:rsidP="00C86E91">
      <w:pPr>
        <w:rPr>
          <w:rFonts w:cstheme="minorHAnsi"/>
          <w:b/>
          <w:sz w:val="22"/>
        </w:rPr>
      </w:pPr>
      <w:r w:rsidRPr="00621A53">
        <w:rPr>
          <w:rFonts w:cstheme="minorHAnsi"/>
          <w:b/>
          <w:sz w:val="22"/>
        </w:rPr>
        <w:t>Personally Identifiable Information:</w:t>
      </w:r>
    </w:p>
    <w:p w14:paraId="496AD671" w14:textId="7B269D9D" w:rsidR="00B46F2C" w:rsidRDefault="00B46F2C" w:rsidP="00C86E91">
      <w:pPr>
        <w:pStyle w:val="ListParagraph"/>
        <w:numPr>
          <w:ilvl w:val="0"/>
          <w:numId w:val="18"/>
        </w:numPr>
        <w:rPr>
          <w:rFonts w:cstheme="minorHAnsi"/>
          <w:sz w:val="22"/>
        </w:rPr>
      </w:pPr>
      <w:r w:rsidRPr="00621A53">
        <w:rPr>
          <w:rFonts w:cstheme="minorHAnsi"/>
          <w:sz w:val="22"/>
        </w:rPr>
        <w:t xml:space="preserve">Is personally identifiable information (PII) collected?  </w:t>
      </w:r>
      <w:r w:rsidRPr="004140E8">
        <w:rPr>
          <w:rFonts w:cstheme="minorHAnsi"/>
          <w:sz w:val="22"/>
        </w:rPr>
        <w:t xml:space="preserve">[ </w:t>
      </w:r>
      <w:r w:rsidR="00B70069" w:rsidRPr="004140E8">
        <w:rPr>
          <w:rFonts w:cstheme="minorHAnsi"/>
          <w:sz w:val="22"/>
        </w:rPr>
        <w:t>X</w:t>
      </w:r>
      <w:r w:rsidRPr="00621A53">
        <w:rPr>
          <w:rFonts w:cstheme="minorHAnsi"/>
          <w:sz w:val="22"/>
        </w:rPr>
        <w:t xml:space="preserve"> ] Yes  [ </w:t>
      </w:r>
      <w:r w:rsidR="00303F23" w:rsidRPr="00621A53">
        <w:rPr>
          <w:rFonts w:cstheme="minorHAnsi"/>
          <w:sz w:val="22"/>
        </w:rPr>
        <w:t xml:space="preserve"> </w:t>
      </w:r>
      <w:r w:rsidRPr="00621A53">
        <w:rPr>
          <w:rFonts w:cstheme="minorHAnsi"/>
          <w:sz w:val="22"/>
        </w:rPr>
        <w:t xml:space="preserve">]  No </w:t>
      </w:r>
    </w:p>
    <w:p w14:paraId="13798035" w14:textId="2024282C" w:rsidR="009D0850" w:rsidRPr="00621A53" w:rsidRDefault="009D0850" w:rsidP="00A722DD">
      <w:pPr>
        <w:pStyle w:val="ListParagraph"/>
        <w:ind w:left="360"/>
        <w:rPr>
          <w:rFonts w:cstheme="minorHAnsi"/>
          <w:sz w:val="22"/>
        </w:rPr>
      </w:pPr>
      <w:r w:rsidRPr="00A722DD">
        <w:rPr>
          <w:rFonts w:cstheme="minorHAnsi"/>
          <w:b/>
          <w:sz w:val="22"/>
        </w:rPr>
        <w:t>Note:</w:t>
      </w:r>
      <w:r>
        <w:rPr>
          <w:rFonts w:cstheme="minorHAnsi"/>
          <w:sz w:val="22"/>
        </w:rPr>
        <w:t xml:space="preserve"> Only the minimum amount of PII necessary to conduct interviews will be collected by NEHA. No PII will be shared with or provided to CDC.</w:t>
      </w:r>
    </w:p>
    <w:p w14:paraId="22B19C19" w14:textId="54F351B0" w:rsidR="00B46F2C" w:rsidRPr="00621A53" w:rsidRDefault="00B46F2C" w:rsidP="00C86E91">
      <w:pPr>
        <w:pStyle w:val="ListParagraph"/>
        <w:numPr>
          <w:ilvl w:val="0"/>
          <w:numId w:val="18"/>
        </w:numPr>
        <w:rPr>
          <w:rFonts w:cstheme="minorHAnsi"/>
          <w:sz w:val="22"/>
        </w:rPr>
      </w:pPr>
      <w:r w:rsidRPr="00621A53">
        <w:rPr>
          <w:rFonts w:cstheme="minorHAnsi"/>
          <w:sz w:val="22"/>
        </w:rPr>
        <w:t xml:space="preserve">If Yes, is the information that will be collected included in records that are subject to the Privacy Act of 1974?   [  ] Yes [ </w:t>
      </w:r>
      <w:r w:rsidR="00B70069" w:rsidRPr="00621A53">
        <w:rPr>
          <w:rFonts w:cstheme="minorHAnsi"/>
          <w:sz w:val="22"/>
        </w:rPr>
        <w:t>X</w:t>
      </w:r>
      <w:r w:rsidRPr="00621A53">
        <w:rPr>
          <w:rFonts w:cstheme="minorHAnsi"/>
          <w:sz w:val="22"/>
        </w:rPr>
        <w:t xml:space="preserve"> ] No  </w:t>
      </w:r>
    </w:p>
    <w:p w14:paraId="12BE25E7" w14:textId="77777777" w:rsidR="00B46F2C" w:rsidRPr="00621A53" w:rsidRDefault="00B46F2C" w:rsidP="00C86E91">
      <w:pPr>
        <w:pStyle w:val="ListParagraph"/>
        <w:numPr>
          <w:ilvl w:val="0"/>
          <w:numId w:val="18"/>
        </w:numPr>
        <w:rPr>
          <w:rFonts w:cstheme="minorHAnsi"/>
          <w:sz w:val="22"/>
        </w:rPr>
      </w:pPr>
      <w:r w:rsidRPr="00621A53">
        <w:rPr>
          <w:rFonts w:cstheme="minorHAnsi"/>
          <w:sz w:val="22"/>
        </w:rPr>
        <w:t>If Applicable, has a System or Records Notice been published?  [  ] Yes  [  ] No</w:t>
      </w:r>
    </w:p>
    <w:p w14:paraId="23C0D8F3" w14:textId="77777777" w:rsidR="00E55CAE" w:rsidRPr="00621A53" w:rsidRDefault="00E55CAE" w:rsidP="00C86E91">
      <w:pPr>
        <w:pStyle w:val="ListParagraph"/>
        <w:ind w:left="0"/>
        <w:rPr>
          <w:rFonts w:cstheme="minorHAnsi"/>
          <w:b/>
          <w:sz w:val="22"/>
        </w:rPr>
      </w:pPr>
    </w:p>
    <w:p w14:paraId="384FA770" w14:textId="77777777" w:rsidR="00B46F2C" w:rsidRPr="00621A53" w:rsidRDefault="00B46F2C" w:rsidP="00C86E91">
      <w:pPr>
        <w:pStyle w:val="ListParagraph"/>
        <w:ind w:left="0"/>
        <w:rPr>
          <w:rFonts w:cstheme="minorHAnsi"/>
          <w:b/>
          <w:sz w:val="22"/>
        </w:rPr>
      </w:pPr>
      <w:r w:rsidRPr="00621A53">
        <w:rPr>
          <w:rFonts w:cstheme="minorHAnsi"/>
          <w:b/>
          <w:sz w:val="22"/>
        </w:rPr>
        <w:t>Gifts or Payments:</w:t>
      </w:r>
    </w:p>
    <w:p w14:paraId="2E6A3C99" w14:textId="77777777" w:rsidR="0087143A" w:rsidRPr="00621A53" w:rsidRDefault="00B46F2C">
      <w:pPr>
        <w:rPr>
          <w:rFonts w:cstheme="minorHAnsi"/>
          <w:sz w:val="22"/>
        </w:rPr>
      </w:pPr>
      <w:r w:rsidRPr="00621A53">
        <w:rPr>
          <w:rFonts w:cstheme="minorHAnsi"/>
          <w:sz w:val="22"/>
        </w:rPr>
        <w:t xml:space="preserve">Is an incentive (e.g., money or reimbursement of expenses, token of appreciation) provided to participants?  </w:t>
      </w:r>
    </w:p>
    <w:p w14:paraId="62D74043" w14:textId="281B8087" w:rsidR="001D0776" w:rsidRPr="00B60979" w:rsidRDefault="00B46F2C">
      <w:pPr>
        <w:rPr>
          <w:rFonts w:cstheme="minorHAnsi"/>
        </w:rPr>
        <w:sectPr w:rsidR="001D0776" w:rsidRPr="00B60979" w:rsidSect="00194AC6">
          <w:footerReference w:type="default" r:id="rId8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 w:rsidRPr="00621A53">
        <w:rPr>
          <w:rFonts w:cstheme="minorHAnsi"/>
          <w:sz w:val="22"/>
        </w:rPr>
        <w:t xml:space="preserve">[ </w:t>
      </w:r>
      <w:r w:rsidR="0057103E" w:rsidRPr="00621A53">
        <w:rPr>
          <w:rFonts w:cstheme="minorHAnsi"/>
          <w:sz w:val="22"/>
        </w:rPr>
        <w:t xml:space="preserve"> </w:t>
      </w:r>
      <w:r w:rsidRPr="00621A53">
        <w:rPr>
          <w:rFonts w:cstheme="minorHAnsi"/>
          <w:sz w:val="22"/>
        </w:rPr>
        <w:t xml:space="preserve"> ] Yes [ </w:t>
      </w:r>
      <w:r w:rsidR="0057103E" w:rsidRPr="00621A53">
        <w:rPr>
          <w:rFonts w:cstheme="minorHAnsi"/>
          <w:sz w:val="22"/>
        </w:rPr>
        <w:t>X</w:t>
      </w:r>
      <w:r w:rsidRPr="00621A53">
        <w:rPr>
          <w:rFonts w:cstheme="minorHAnsi"/>
          <w:sz w:val="22"/>
        </w:rPr>
        <w:t xml:space="preserve"> ] No</w:t>
      </w:r>
    </w:p>
    <w:p w14:paraId="6342FA05" w14:textId="77777777" w:rsidR="00A344D2" w:rsidRDefault="00A344D2" w:rsidP="00C86E91">
      <w:pPr>
        <w:rPr>
          <w:rFonts w:cstheme="minorHAnsi"/>
          <w:b/>
        </w:rPr>
      </w:pPr>
    </w:p>
    <w:p w14:paraId="2126E03A" w14:textId="62736C95" w:rsidR="00B46F2C" w:rsidRDefault="00B46F2C" w:rsidP="00B9193D">
      <w:pPr>
        <w:rPr>
          <w:rFonts w:cstheme="minorHAnsi"/>
        </w:rPr>
      </w:pPr>
      <w:r w:rsidRPr="00B60979">
        <w:rPr>
          <w:rFonts w:cstheme="minorHAnsi"/>
          <w:b/>
        </w:rPr>
        <w:t>BURDEN HOURS</w:t>
      </w:r>
      <w:r w:rsidRPr="00B60979">
        <w:rPr>
          <w:rFonts w:cstheme="minorHAnsi"/>
        </w:rPr>
        <w:t xml:space="preserve"> </w:t>
      </w:r>
    </w:p>
    <w:tbl>
      <w:tblPr>
        <w:tblW w:w="98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2700"/>
        <w:gridCol w:w="1350"/>
        <w:gridCol w:w="1350"/>
        <w:gridCol w:w="1080"/>
        <w:gridCol w:w="1080"/>
      </w:tblGrid>
      <w:tr w:rsidR="00C37497" w:rsidRPr="00B60979" w14:paraId="632754F4" w14:textId="77777777" w:rsidTr="00D41F7A">
        <w:trPr>
          <w:trHeight w:val="253"/>
          <w:tblHeader/>
        </w:trPr>
        <w:tc>
          <w:tcPr>
            <w:tcW w:w="2250" w:type="dxa"/>
            <w:vAlign w:val="center"/>
          </w:tcPr>
          <w:p w14:paraId="51250DDF" w14:textId="77777777" w:rsidR="00C37497" w:rsidRPr="00B60979" w:rsidRDefault="00C37497" w:rsidP="00154079">
            <w:pPr>
              <w:spacing w:after="0"/>
              <w:jc w:val="center"/>
              <w:rPr>
                <w:rFonts w:cstheme="minorHAnsi"/>
                <w:b/>
              </w:rPr>
            </w:pPr>
            <w:r w:rsidRPr="00B60979">
              <w:rPr>
                <w:rFonts w:cstheme="minorHAnsi"/>
                <w:b/>
              </w:rPr>
              <w:t>Category of Respondent</w:t>
            </w:r>
          </w:p>
        </w:tc>
        <w:tc>
          <w:tcPr>
            <w:tcW w:w="2700" w:type="dxa"/>
            <w:vAlign w:val="center"/>
          </w:tcPr>
          <w:p w14:paraId="1592136F" w14:textId="77777777" w:rsidR="00C37497" w:rsidRPr="00B60979" w:rsidRDefault="00C37497" w:rsidP="00154079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BLS Classification</w:t>
            </w:r>
          </w:p>
        </w:tc>
        <w:tc>
          <w:tcPr>
            <w:tcW w:w="1350" w:type="dxa"/>
            <w:vAlign w:val="center"/>
          </w:tcPr>
          <w:p w14:paraId="200040A0" w14:textId="77777777" w:rsidR="00C37497" w:rsidRPr="00B60979" w:rsidRDefault="00C37497" w:rsidP="00154079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BLS Mean Hourly Rate</w:t>
            </w:r>
          </w:p>
        </w:tc>
        <w:tc>
          <w:tcPr>
            <w:tcW w:w="1350" w:type="dxa"/>
            <w:vAlign w:val="center"/>
          </w:tcPr>
          <w:p w14:paraId="44BBEF8D" w14:textId="77777777" w:rsidR="00C37497" w:rsidRPr="00B60979" w:rsidRDefault="00C37497" w:rsidP="00154079">
            <w:pPr>
              <w:spacing w:after="0"/>
              <w:jc w:val="center"/>
              <w:rPr>
                <w:rFonts w:cstheme="minorHAnsi"/>
                <w:b/>
              </w:rPr>
            </w:pPr>
            <w:r w:rsidRPr="00B60979">
              <w:rPr>
                <w:rFonts w:cstheme="minorHAnsi"/>
                <w:b/>
              </w:rPr>
              <w:t>No. of Respondents</w:t>
            </w:r>
          </w:p>
        </w:tc>
        <w:tc>
          <w:tcPr>
            <w:tcW w:w="1080" w:type="dxa"/>
            <w:vAlign w:val="center"/>
          </w:tcPr>
          <w:p w14:paraId="78E1BB40" w14:textId="77777777" w:rsidR="00C37497" w:rsidRPr="00B60979" w:rsidRDefault="00C37497" w:rsidP="00154079">
            <w:pPr>
              <w:spacing w:after="0"/>
              <w:jc w:val="center"/>
              <w:rPr>
                <w:rFonts w:cstheme="minorHAnsi"/>
                <w:b/>
              </w:rPr>
            </w:pPr>
            <w:r w:rsidRPr="00B60979">
              <w:rPr>
                <w:rFonts w:cstheme="minorHAnsi"/>
                <w:b/>
              </w:rPr>
              <w:t>Burden in Hours</w:t>
            </w:r>
          </w:p>
        </w:tc>
        <w:tc>
          <w:tcPr>
            <w:tcW w:w="1080" w:type="dxa"/>
            <w:vAlign w:val="center"/>
          </w:tcPr>
          <w:p w14:paraId="06D98DF3" w14:textId="77777777" w:rsidR="00C37497" w:rsidRPr="00B60979" w:rsidRDefault="00C37497" w:rsidP="00154079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Burden in Dollars</w:t>
            </w:r>
          </w:p>
        </w:tc>
      </w:tr>
      <w:tr w:rsidR="00C37497" w:rsidRPr="00B60979" w14:paraId="66987B73" w14:textId="77777777" w:rsidTr="00D41F7A">
        <w:trPr>
          <w:trHeight w:val="253"/>
        </w:trPr>
        <w:tc>
          <w:tcPr>
            <w:tcW w:w="2250" w:type="dxa"/>
          </w:tcPr>
          <w:p w14:paraId="76F2FEE3" w14:textId="77777777" w:rsidR="00C37497" w:rsidRPr="00B60979" w:rsidRDefault="00C37497" w:rsidP="0015407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Open Data Standard Expert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3293A08" w14:textId="77777777" w:rsidR="00C37497" w:rsidRPr="00B60979" w:rsidRDefault="00C37497" w:rsidP="0015407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Computer and Information Research Scientists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FA43094" w14:textId="77777777" w:rsidR="00C37497" w:rsidRPr="00B60979" w:rsidRDefault="00C37497" w:rsidP="001540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$57.49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8E87848" w14:textId="77777777" w:rsidR="00C37497" w:rsidRPr="004140E8" w:rsidRDefault="00C37497" w:rsidP="00154079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EF12DE">
              <w:rPr>
                <w:rFonts w:cstheme="minorHAnsi"/>
              </w:rPr>
              <w:t>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95B25D1" w14:textId="2D96ABD8" w:rsidR="00C37497" w:rsidRPr="004B7254" w:rsidRDefault="00C3749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4B7254">
              <w:rPr>
                <w:rFonts w:cstheme="minorHAnsi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8C69D97" w14:textId="77777777" w:rsidR="00C37497" w:rsidRPr="004B7254" w:rsidRDefault="00C37497" w:rsidP="00154079">
            <w:pPr>
              <w:spacing w:after="0"/>
              <w:jc w:val="center"/>
              <w:rPr>
                <w:rFonts w:cstheme="minorHAnsi"/>
              </w:rPr>
            </w:pPr>
            <w:r w:rsidRPr="004B7254">
              <w:rPr>
                <w:rFonts w:cstheme="minorHAnsi"/>
              </w:rPr>
              <w:t>$</w:t>
            </w:r>
            <w:r>
              <w:rPr>
                <w:rFonts w:cstheme="minorHAnsi"/>
              </w:rPr>
              <w:t>344.94</w:t>
            </w:r>
          </w:p>
        </w:tc>
      </w:tr>
      <w:tr w:rsidR="00C37497" w:rsidRPr="00B60979" w14:paraId="63DEC9DD" w14:textId="77777777" w:rsidTr="00D41F7A">
        <w:trPr>
          <w:trHeight w:val="253"/>
        </w:trPr>
        <w:tc>
          <w:tcPr>
            <w:tcW w:w="2250" w:type="dxa"/>
          </w:tcPr>
          <w:p w14:paraId="02C4E391" w14:textId="77777777" w:rsidR="00C37497" w:rsidRDefault="00C37497" w:rsidP="0015407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Municipal Government IT Administrator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65ADDA8" w14:textId="77777777" w:rsidR="00C37497" w:rsidRDefault="00C37497" w:rsidP="0015407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Computer/IT System Managers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6F667C6" w14:textId="77777777" w:rsidR="00C37497" w:rsidRDefault="00C37497" w:rsidP="001540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$71.99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5F7FD6E" w14:textId="3ADD7C9F" w:rsidR="00C37497" w:rsidRPr="004140E8" w:rsidRDefault="00EF12DE" w:rsidP="00154079">
            <w:pPr>
              <w:spacing w:after="0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5C25161" w14:textId="084B4794" w:rsidR="00C37497" w:rsidRPr="006F5E2C" w:rsidRDefault="00EF12D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6F5E2C">
              <w:rPr>
                <w:rFonts w:cstheme="minorHAnsi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AB8F013" w14:textId="026BB28C" w:rsidR="00C37497" w:rsidRPr="006F5E2C" w:rsidRDefault="00C37497">
            <w:pPr>
              <w:spacing w:after="0"/>
              <w:jc w:val="center"/>
              <w:rPr>
                <w:rFonts w:cstheme="minorHAnsi"/>
              </w:rPr>
            </w:pPr>
            <w:r w:rsidRPr="006F5E2C">
              <w:rPr>
                <w:rFonts w:cstheme="minorHAnsi"/>
              </w:rPr>
              <w:t>$</w:t>
            </w:r>
            <w:r w:rsidR="00EF12DE">
              <w:rPr>
                <w:rFonts w:cstheme="minorHAnsi"/>
              </w:rPr>
              <w:t>719.90</w:t>
            </w:r>
          </w:p>
        </w:tc>
      </w:tr>
      <w:tr w:rsidR="00C37497" w:rsidRPr="00B60979" w14:paraId="4E7DFDE4" w14:textId="77777777" w:rsidTr="004140E8">
        <w:trPr>
          <w:trHeight w:val="253"/>
        </w:trPr>
        <w:tc>
          <w:tcPr>
            <w:tcW w:w="2250" w:type="dxa"/>
          </w:tcPr>
          <w:p w14:paraId="74F30FA1" w14:textId="77777777" w:rsidR="00C37497" w:rsidRDefault="00C37497" w:rsidP="0015407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Environmental Health Personnel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BAB865B" w14:textId="77777777" w:rsidR="00C37497" w:rsidRDefault="00C37497" w:rsidP="0015407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Environmental Science and Protection Technicians, Including Health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E4E1611" w14:textId="77777777" w:rsidR="00C37497" w:rsidRDefault="00C37497" w:rsidP="001540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$23.71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16F2E" w14:textId="304B8EE0" w:rsidR="00C37497" w:rsidRPr="004140E8" w:rsidRDefault="00EF12DE" w:rsidP="00154079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4140E8">
              <w:rPr>
                <w:rFonts w:cstheme="minorHAnsi"/>
              </w:rPr>
              <w:t>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6030BDA" w14:textId="4B059E87" w:rsidR="00C37497" w:rsidRPr="006F5E2C" w:rsidRDefault="00EF12D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6F5E2C">
              <w:rPr>
                <w:rFonts w:cstheme="minorHAnsi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DEAA9BA" w14:textId="4A044F73" w:rsidR="00C37497" w:rsidRPr="006F5E2C" w:rsidRDefault="00C37497">
            <w:pPr>
              <w:spacing w:after="0"/>
              <w:jc w:val="center"/>
              <w:rPr>
                <w:rFonts w:cstheme="minorHAnsi"/>
              </w:rPr>
            </w:pPr>
            <w:r w:rsidRPr="006F5E2C">
              <w:rPr>
                <w:rFonts w:cstheme="minorHAnsi"/>
              </w:rPr>
              <w:t>$</w:t>
            </w:r>
            <w:r w:rsidR="00EF12DE">
              <w:rPr>
                <w:rFonts w:cstheme="minorHAnsi"/>
              </w:rPr>
              <w:t>474.20</w:t>
            </w:r>
          </w:p>
        </w:tc>
      </w:tr>
      <w:tr w:rsidR="00C37497" w:rsidRPr="00B60979" w14:paraId="7A97EA64" w14:textId="77777777" w:rsidTr="00D41F7A">
        <w:trPr>
          <w:trHeight w:val="253"/>
        </w:trPr>
        <w:tc>
          <w:tcPr>
            <w:tcW w:w="2250" w:type="dxa"/>
          </w:tcPr>
          <w:p w14:paraId="5281EBF1" w14:textId="77777777" w:rsidR="00C37497" w:rsidRPr="00B60979" w:rsidRDefault="00C37497" w:rsidP="0015407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Technology Providers</w:t>
            </w:r>
          </w:p>
        </w:tc>
        <w:tc>
          <w:tcPr>
            <w:tcW w:w="2700" w:type="dxa"/>
          </w:tcPr>
          <w:p w14:paraId="5D456DC4" w14:textId="77777777" w:rsidR="00C37497" w:rsidRPr="00B60979" w:rsidRDefault="00C37497" w:rsidP="0015407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Network and Computer Systems Administrators</w:t>
            </w:r>
          </w:p>
        </w:tc>
        <w:tc>
          <w:tcPr>
            <w:tcW w:w="1350" w:type="dxa"/>
            <w:vAlign w:val="center"/>
          </w:tcPr>
          <w:p w14:paraId="4B90E3A6" w14:textId="77777777" w:rsidR="00C37497" w:rsidRPr="00B60979" w:rsidRDefault="00C37497" w:rsidP="001540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$41.51</w:t>
            </w:r>
          </w:p>
        </w:tc>
        <w:tc>
          <w:tcPr>
            <w:tcW w:w="1350" w:type="dxa"/>
            <w:vAlign w:val="center"/>
          </w:tcPr>
          <w:p w14:paraId="107A4348" w14:textId="77777777" w:rsidR="00C37497" w:rsidRPr="004140E8" w:rsidRDefault="00C37497" w:rsidP="00154079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EF12DE">
              <w:rPr>
                <w:rFonts w:cstheme="minorHAnsi"/>
              </w:rPr>
              <w:t>7</w:t>
            </w:r>
          </w:p>
        </w:tc>
        <w:tc>
          <w:tcPr>
            <w:tcW w:w="1080" w:type="dxa"/>
            <w:vAlign w:val="center"/>
          </w:tcPr>
          <w:p w14:paraId="3D73CAD1" w14:textId="319F8FDD" w:rsidR="00C37497" w:rsidRPr="006F5E2C" w:rsidRDefault="00C37497">
            <w:pPr>
              <w:spacing w:after="0"/>
              <w:jc w:val="center"/>
              <w:rPr>
                <w:rFonts w:cstheme="minorHAnsi"/>
              </w:rPr>
            </w:pPr>
            <w:r w:rsidRPr="006F5E2C">
              <w:rPr>
                <w:rFonts w:cstheme="minorHAnsi"/>
              </w:rPr>
              <w:t xml:space="preserve">7 </w:t>
            </w:r>
          </w:p>
        </w:tc>
        <w:tc>
          <w:tcPr>
            <w:tcW w:w="1080" w:type="dxa"/>
            <w:vAlign w:val="center"/>
          </w:tcPr>
          <w:p w14:paraId="1E388D78" w14:textId="77777777" w:rsidR="00C37497" w:rsidRPr="006F5E2C" w:rsidRDefault="00C37497" w:rsidP="00154079">
            <w:pPr>
              <w:spacing w:after="0"/>
              <w:jc w:val="center"/>
              <w:rPr>
                <w:rFonts w:cstheme="minorHAnsi"/>
              </w:rPr>
            </w:pPr>
            <w:r w:rsidRPr="006F5E2C">
              <w:rPr>
                <w:rFonts w:cstheme="minorHAnsi"/>
              </w:rPr>
              <w:t>$290.57</w:t>
            </w:r>
          </w:p>
        </w:tc>
      </w:tr>
      <w:tr w:rsidR="00C37497" w:rsidRPr="00B60979" w14:paraId="0196624D" w14:textId="77777777" w:rsidTr="00D41F7A">
        <w:trPr>
          <w:trHeight w:val="267"/>
        </w:trPr>
        <w:tc>
          <w:tcPr>
            <w:tcW w:w="2250" w:type="dxa"/>
            <w:vAlign w:val="center"/>
          </w:tcPr>
          <w:p w14:paraId="3107E834" w14:textId="77777777" w:rsidR="00C37497" w:rsidRPr="00B60979" w:rsidRDefault="00C37497" w:rsidP="00D41F7A">
            <w:pPr>
              <w:spacing w:after="0"/>
              <w:jc w:val="center"/>
              <w:rPr>
                <w:rFonts w:cstheme="minorHAnsi"/>
                <w:b/>
              </w:rPr>
            </w:pPr>
            <w:r w:rsidRPr="00B60979">
              <w:rPr>
                <w:rFonts w:cstheme="minorHAnsi"/>
                <w:b/>
              </w:rPr>
              <w:t>Totals</w:t>
            </w:r>
          </w:p>
        </w:tc>
        <w:tc>
          <w:tcPr>
            <w:tcW w:w="2700" w:type="dxa"/>
          </w:tcPr>
          <w:p w14:paraId="1763DFB2" w14:textId="77777777" w:rsidR="00C37497" w:rsidRPr="00B60979" w:rsidRDefault="00C37497" w:rsidP="00154079">
            <w:pPr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6D896A1B" w14:textId="77777777" w:rsidR="00C37497" w:rsidRPr="00811898" w:rsidRDefault="00C37497" w:rsidP="0015407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4BB881B9" w14:textId="079D5FE3" w:rsidR="00C37497" w:rsidRPr="004140E8" w:rsidRDefault="00354B31" w:rsidP="00354B31">
            <w:pPr>
              <w:spacing w:after="0"/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43</w:t>
            </w:r>
          </w:p>
        </w:tc>
        <w:tc>
          <w:tcPr>
            <w:tcW w:w="1080" w:type="dxa"/>
            <w:vAlign w:val="center"/>
          </w:tcPr>
          <w:p w14:paraId="0055700D" w14:textId="515EDD90" w:rsidR="00C37497" w:rsidRPr="004B7254" w:rsidRDefault="00EF12DE">
            <w:pPr>
              <w:spacing w:after="0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</w:rPr>
              <w:t>4</w:t>
            </w:r>
            <w:r w:rsidR="003852A3">
              <w:rPr>
                <w:rFonts w:cstheme="minorHAnsi"/>
                <w:b/>
              </w:rPr>
              <w:t>3</w:t>
            </w:r>
            <w:r w:rsidRPr="006F5E2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68B84E07" w14:textId="1773E3C9" w:rsidR="00C37497" w:rsidRPr="004B7254" w:rsidRDefault="00C37497">
            <w:pPr>
              <w:spacing w:after="0"/>
              <w:jc w:val="center"/>
              <w:rPr>
                <w:rFonts w:cstheme="minorHAnsi"/>
                <w:b/>
                <w:color w:val="FF0000"/>
              </w:rPr>
            </w:pPr>
            <w:r w:rsidRPr="006F5E2C">
              <w:rPr>
                <w:rFonts w:cstheme="minorHAnsi"/>
                <w:b/>
              </w:rPr>
              <w:t>$1</w:t>
            </w:r>
            <w:r w:rsidR="00EF12DE">
              <w:rPr>
                <w:rFonts w:cstheme="minorHAnsi"/>
                <w:b/>
              </w:rPr>
              <w:t>,829</w:t>
            </w:r>
            <w:r w:rsidRPr="006F5E2C">
              <w:rPr>
                <w:rFonts w:cstheme="minorHAnsi"/>
                <w:b/>
              </w:rPr>
              <w:t>.</w:t>
            </w:r>
            <w:r w:rsidR="00EF12DE">
              <w:rPr>
                <w:rFonts w:cstheme="minorHAnsi"/>
                <w:b/>
              </w:rPr>
              <w:t>61</w:t>
            </w:r>
          </w:p>
        </w:tc>
      </w:tr>
      <w:tr w:rsidR="00906DCC" w:rsidRPr="00B60979" w14:paraId="74D202F5" w14:textId="77777777" w:rsidTr="00D41F7A">
        <w:trPr>
          <w:trHeight w:val="267"/>
        </w:trPr>
        <w:tc>
          <w:tcPr>
            <w:tcW w:w="9810" w:type="dxa"/>
            <w:gridSpan w:val="6"/>
          </w:tcPr>
          <w:p w14:paraId="5AD33CD8" w14:textId="6899D046" w:rsidR="00906DCC" w:rsidRPr="00906DCC" w:rsidRDefault="00906DCC" w:rsidP="00906DCC">
            <w:pPr>
              <w:pStyle w:val="CommentText"/>
            </w:pPr>
            <w:r>
              <w:t xml:space="preserve">Source for pay data: </w:t>
            </w:r>
            <w:hyperlink r:id="rId9" w:anchor="45-0000" w:history="1">
              <w:r w:rsidRPr="009476A2">
                <w:rPr>
                  <w:rStyle w:val="Hyperlink"/>
                </w:rPr>
                <w:t>https://www.bls.gov/oes/current/oes_nat.htm#45-0000</w:t>
              </w:r>
            </w:hyperlink>
          </w:p>
        </w:tc>
      </w:tr>
    </w:tbl>
    <w:p w14:paraId="11423F2E" w14:textId="77777777" w:rsidR="00B46F2C" w:rsidRPr="00B60979" w:rsidRDefault="00B46F2C" w:rsidP="00F3170F">
      <w:pPr>
        <w:rPr>
          <w:rFonts w:cstheme="minorHAnsi"/>
        </w:rPr>
      </w:pPr>
    </w:p>
    <w:p w14:paraId="357E6F6D" w14:textId="15A1F0A8" w:rsidR="00B46F2C" w:rsidRPr="00621A53" w:rsidRDefault="00B46F2C">
      <w:pPr>
        <w:rPr>
          <w:rFonts w:cstheme="minorHAnsi"/>
          <w:b/>
          <w:sz w:val="22"/>
        </w:rPr>
      </w:pPr>
      <w:r w:rsidRPr="00621A53">
        <w:rPr>
          <w:rFonts w:cstheme="minorHAnsi"/>
          <w:b/>
          <w:sz w:val="22"/>
        </w:rPr>
        <w:t xml:space="preserve">FEDERAL COST:  </w:t>
      </w:r>
      <w:r w:rsidRPr="00621A53">
        <w:rPr>
          <w:rFonts w:cstheme="minorHAnsi"/>
          <w:sz w:val="22"/>
        </w:rPr>
        <w:t>The estimated annual cost to the Federal government is</w:t>
      </w:r>
      <w:r w:rsidR="00303F23" w:rsidRPr="00621A53">
        <w:rPr>
          <w:rFonts w:cstheme="minorHAnsi"/>
          <w:sz w:val="22"/>
        </w:rPr>
        <w:t xml:space="preserve"> </w:t>
      </w:r>
      <w:r w:rsidR="00EC2206" w:rsidRPr="00621A53">
        <w:rPr>
          <w:rFonts w:cstheme="minorHAnsi"/>
          <w:sz w:val="22"/>
        </w:rPr>
        <w:t>$</w:t>
      </w:r>
      <w:r w:rsidR="008E383E" w:rsidRPr="00621A53">
        <w:rPr>
          <w:rFonts w:cstheme="minorHAnsi"/>
          <w:sz w:val="22"/>
        </w:rPr>
        <w:t>3,803.81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2250"/>
        <w:gridCol w:w="2437"/>
        <w:gridCol w:w="2045"/>
        <w:gridCol w:w="1414"/>
        <w:gridCol w:w="1483"/>
      </w:tblGrid>
      <w:tr w:rsidR="008E383E" w:rsidRPr="008E383E" w14:paraId="07B96582" w14:textId="77777777" w:rsidTr="000F4C06">
        <w:trPr>
          <w:trHeight w:val="283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637C6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Salaries and Wages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68437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B114A" w14:textId="77777777" w:rsidR="008E383E" w:rsidRPr="008E383E" w:rsidRDefault="008E383E" w:rsidP="008E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31F86" w14:textId="77777777" w:rsidR="008E383E" w:rsidRPr="008E383E" w:rsidRDefault="008E383E" w:rsidP="008E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D10C6" w14:textId="77777777" w:rsidR="008E383E" w:rsidRPr="008E383E" w:rsidRDefault="008E383E" w:rsidP="008E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383E" w:rsidRPr="008E383E" w14:paraId="4D615BD3" w14:textId="77777777" w:rsidTr="000F4C06">
        <w:trPr>
          <w:trHeight w:val="567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77DD27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Position, Title and Name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6C1277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Annual Salary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0D04EB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Rate/hr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82933A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Hours Required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56C21B" w14:textId="09B125D8" w:rsidR="008E383E" w:rsidRPr="008E383E" w:rsidRDefault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Amount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Budget</w:t>
            </w: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</w:t>
            </w:r>
          </w:p>
        </w:tc>
      </w:tr>
      <w:tr w:rsidR="008E383E" w:rsidRPr="008E383E" w14:paraId="4C27F795" w14:textId="77777777" w:rsidTr="000F4C06">
        <w:trPr>
          <w:trHeight w:val="567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C9B93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Director, PPD Sandra Whitehead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91BCA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$116,610 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BCF80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$58.31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44768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41575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$728.81 </w:t>
            </w:r>
          </w:p>
        </w:tc>
      </w:tr>
      <w:tr w:rsidR="008E383E" w:rsidRPr="008E383E" w14:paraId="51575D48" w14:textId="77777777" w:rsidTr="000F4C06">
        <w:trPr>
          <w:trHeight w:val="567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1DACF" w14:textId="1B0B0C23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Project Coordinator, Ayana Jones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3FC35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sz w:val="22"/>
                <w:szCs w:val="22"/>
              </w:rPr>
              <w:t xml:space="preserve">$46,000 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F6242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$23.00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95220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25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0486D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$575.00 </w:t>
            </w:r>
          </w:p>
        </w:tc>
      </w:tr>
      <w:tr w:rsidR="008E383E" w:rsidRPr="008E383E" w14:paraId="41EAFE1A" w14:textId="77777777" w:rsidTr="000F4C06">
        <w:trPr>
          <w:trHeight w:val="283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26B46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Consultant, Sarah Schacht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A2749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1E09A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$100.00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25FEA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68A78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$2,500.00 </w:t>
            </w:r>
          </w:p>
        </w:tc>
      </w:tr>
      <w:tr w:rsidR="008E383E" w:rsidRPr="008E383E" w14:paraId="564F8FFA" w14:textId="77777777" w:rsidTr="000F4C06">
        <w:trPr>
          <w:trHeight w:val="283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3037C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9964C" w14:textId="77777777" w:rsidR="008E383E" w:rsidRPr="008E383E" w:rsidRDefault="008E383E" w:rsidP="008E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7AAF6" w14:textId="77777777" w:rsidR="008E383E" w:rsidRPr="008E383E" w:rsidRDefault="008E383E" w:rsidP="008E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698E6" w14:textId="77777777" w:rsidR="008E383E" w:rsidRPr="008E383E" w:rsidRDefault="008E383E" w:rsidP="008E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4A15F" w14:textId="77777777" w:rsidR="008E383E" w:rsidRPr="008E383E" w:rsidRDefault="008E383E" w:rsidP="008E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383E" w:rsidRPr="008E383E" w14:paraId="646DC528" w14:textId="77777777" w:rsidTr="000F4C06">
        <w:trPr>
          <w:trHeight w:val="582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35B30" w14:textId="77777777" w:rsidR="008E383E" w:rsidRPr="008E383E" w:rsidRDefault="008E383E" w:rsidP="008E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E1376" w14:textId="77777777" w:rsidR="008E383E" w:rsidRPr="008E383E" w:rsidRDefault="008E383E" w:rsidP="008E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D533C" w14:textId="77777777" w:rsidR="008E383E" w:rsidRPr="008E383E" w:rsidRDefault="008E383E" w:rsidP="008E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98EF591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 Budget Calculated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C6FB488" w14:textId="77777777" w:rsidR="008E383E" w:rsidRPr="008E383E" w:rsidRDefault="008E383E" w:rsidP="008E3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E38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$3,803.81 </w:t>
            </w:r>
          </w:p>
        </w:tc>
      </w:tr>
    </w:tbl>
    <w:p w14:paraId="4E85666A" w14:textId="77777777" w:rsidR="00B46F2C" w:rsidRPr="00B60979" w:rsidRDefault="00B46F2C">
      <w:pPr>
        <w:rPr>
          <w:rFonts w:cstheme="minorHAnsi"/>
          <w:b/>
          <w:bCs/>
          <w:u w:val="single"/>
        </w:rPr>
      </w:pPr>
    </w:p>
    <w:p w14:paraId="6EB6C4BA" w14:textId="77777777" w:rsidR="00B46F2C" w:rsidRPr="00621A53" w:rsidRDefault="00B46F2C" w:rsidP="00F06866">
      <w:pPr>
        <w:rPr>
          <w:rFonts w:cstheme="minorHAnsi"/>
          <w:b/>
          <w:sz w:val="22"/>
        </w:rPr>
      </w:pPr>
      <w:r w:rsidRPr="00621A53">
        <w:rPr>
          <w:rFonts w:cstheme="minorHAnsi"/>
          <w:b/>
          <w:bCs/>
          <w:sz w:val="22"/>
        </w:rPr>
        <w:t>If you are conducting a focus group, survey, or plan to employ statistical methods, please provide answers to the following questions:</w:t>
      </w:r>
    </w:p>
    <w:p w14:paraId="74A5F3B3" w14:textId="77777777" w:rsidR="00B46F2C" w:rsidRPr="00621A53" w:rsidRDefault="00B46F2C" w:rsidP="00F06866">
      <w:pPr>
        <w:rPr>
          <w:rFonts w:cstheme="minorHAnsi"/>
          <w:b/>
          <w:sz w:val="22"/>
        </w:rPr>
      </w:pPr>
      <w:r w:rsidRPr="00621A53">
        <w:rPr>
          <w:rFonts w:cstheme="minorHAnsi"/>
          <w:b/>
          <w:sz w:val="22"/>
        </w:rPr>
        <w:t>The selection of your targeted respondents</w:t>
      </w:r>
    </w:p>
    <w:p w14:paraId="1D831C08" w14:textId="396174C9" w:rsidR="00B46F2C" w:rsidRPr="00621A53" w:rsidRDefault="00B46F2C" w:rsidP="0069403B">
      <w:pPr>
        <w:pStyle w:val="ListParagraph"/>
        <w:numPr>
          <w:ilvl w:val="0"/>
          <w:numId w:val="15"/>
        </w:numPr>
        <w:rPr>
          <w:rFonts w:cstheme="minorHAnsi"/>
          <w:sz w:val="22"/>
        </w:rPr>
      </w:pPr>
      <w:r w:rsidRPr="00621A53">
        <w:rPr>
          <w:rFonts w:cstheme="minorHAnsi"/>
          <w:sz w:val="22"/>
        </w:rPr>
        <w:t>Do you have a customer list or something similar that defines the universe of potential respondents and do you have a sampling plan for selecting from this universe?</w:t>
      </w:r>
      <w:r w:rsidRPr="00621A53">
        <w:rPr>
          <w:rFonts w:cstheme="minorHAnsi"/>
          <w:sz w:val="22"/>
        </w:rPr>
        <w:tab/>
        <w:t>[</w:t>
      </w:r>
      <w:r w:rsidR="00A344D2" w:rsidRPr="00621A53">
        <w:rPr>
          <w:rFonts w:cstheme="minorHAnsi"/>
          <w:sz w:val="22"/>
        </w:rPr>
        <w:t>x</w:t>
      </w:r>
      <w:r w:rsidRPr="00621A53">
        <w:rPr>
          <w:rFonts w:cstheme="minorHAnsi"/>
          <w:sz w:val="22"/>
        </w:rPr>
        <w:t xml:space="preserve"> ] Yes</w:t>
      </w:r>
      <w:r w:rsidRPr="00621A53">
        <w:rPr>
          <w:rFonts w:cstheme="minorHAnsi"/>
          <w:sz w:val="22"/>
        </w:rPr>
        <w:tab/>
        <w:t>[</w:t>
      </w:r>
      <w:r w:rsidR="00B013AC" w:rsidRPr="00621A53">
        <w:rPr>
          <w:rFonts w:cstheme="minorHAnsi"/>
          <w:sz w:val="22"/>
        </w:rPr>
        <w:t xml:space="preserve"> </w:t>
      </w:r>
      <w:r w:rsidRPr="00621A53">
        <w:rPr>
          <w:rFonts w:cstheme="minorHAnsi"/>
          <w:sz w:val="22"/>
        </w:rPr>
        <w:t>] No</w:t>
      </w:r>
    </w:p>
    <w:p w14:paraId="49D71814" w14:textId="77777777" w:rsidR="00B46F2C" w:rsidRPr="00621A53" w:rsidRDefault="00B46F2C" w:rsidP="00636621">
      <w:pPr>
        <w:pStyle w:val="ListParagraph"/>
        <w:rPr>
          <w:rFonts w:cstheme="minorHAnsi"/>
          <w:sz w:val="22"/>
        </w:rPr>
      </w:pPr>
    </w:p>
    <w:p w14:paraId="5BC38171" w14:textId="77777777" w:rsidR="00B46F2C" w:rsidRPr="00621A53" w:rsidRDefault="00B46F2C" w:rsidP="00A403BB">
      <w:pPr>
        <w:rPr>
          <w:rFonts w:cstheme="minorHAnsi"/>
          <w:sz w:val="22"/>
        </w:rPr>
      </w:pPr>
      <w:r w:rsidRPr="00621A53">
        <w:rPr>
          <w:rFonts w:cstheme="minorHAnsi"/>
          <w:sz w:val="22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7649C582" w14:textId="70ED007A" w:rsidR="00B46F2C" w:rsidRPr="00621A53" w:rsidRDefault="00790393" w:rsidP="00A403BB">
      <w:pPr>
        <w:rPr>
          <w:rFonts w:cstheme="minorHAnsi"/>
          <w:sz w:val="22"/>
        </w:rPr>
      </w:pPr>
      <w:r w:rsidRPr="00621A53">
        <w:rPr>
          <w:rFonts w:cstheme="minorHAnsi"/>
          <w:b/>
          <w:sz w:val="22"/>
        </w:rPr>
        <w:t xml:space="preserve">Sampling </w:t>
      </w:r>
      <w:r w:rsidR="00C45319" w:rsidRPr="00621A53">
        <w:rPr>
          <w:rFonts w:cstheme="minorHAnsi"/>
          <w:b/>
          <w:sz w:val="22"/>
        </w:rPr>
        <w:t xml:space="preserve">and Interview </w:t>
      </w:r>
      <w:r w:rsidRPr="00621A53">
        <w:rPr>
          <w:rFonts w:cstheme="minorHAnsi"/>
          <w:b/>
          <w:sz w:val="22"/>
        </w:rPr>
        <w:t>Plan</w:t>
      </w:r>
      <w:r w:rsidRPr="00621A53">
        <w:rPr>
          <w:rFonts w:cstheme="minorHAnsi"/>
          <w:sz w:val="22"/>
        </w:rPr>
        <w:t xml:space="preserve">: NEHA contracted with an open data subject matter expert (SME). This SME </w:t>
      </w:r>
      <w:r w:rsidR="00A344D2" w:rsidRPr="00621A53">
        <w:rPr>
          <w:rFonts w:cstheme="minorHAnsi"/>
          <w:sz w:val="22"/>
        </w:rPr>
        <w:t xml:space="preserve">has completed an </w:t>
      </w:r>
      <w:r w:rsidR="00B013AC" w:rsidRPr="00621A53">
        <w:rPr>
          <w:rFonts w:cstheme="minorHAnsi"/>
          <w:sz w:val="22"/>
        </w:rPr>
        <w:t>ecosystem</w:t>
      </w:r>
      <w:r w:rsidR="00A344D2" w:rsidRPr="00621A53">
        <w:rPr>
          <w:rFonts w:cstheme="minorHAnsi"/>
          <w:sz w:val="22"/>
        </w:rPr>
        <w:t xml:space="preserve"> scan </w:t>
      </w:r>
      <w:r w:rsidR="00B013AC" w:rsidRPr="00621A53">
        <w:rPr>
          <w:rFonts w:cstheme="minorHAnsi"/>
          <w:sz w:val="22"/>
        </w:rPr>
        <w:t xml:space="preserve">that included the identification of online resources for aquatic facility inspection data. The SME developed a list of jurisdictions (state and local) with open </w:t>
      </w:r>
      <w:r w:rsidR="008F5AB4" w:rsidRPr="00621A53">
        <w:rPr>
          <w:rFonts w:cstheme="minorHAnsi"/>
          <w:sz w:val="22"/>
        </w:rPr>
        <w:t xml:space="preserve">environmental health </w:t>
      </w:r>
      <w:r w:rsidR="00B013AC" w:rsidRPr="00621A53">
        <w:rPr>
          <w:rFonts w:cstheme="minorHAnsi"/>
          <w:sz w:val="22"/>
        </w:rPr>
        <w:t xml:space="preserve">data </w:t>
      </w:r>
      <w:r w:rsidR="00A22715" w:rsidRPr="00621A53">
        <w:rPr>
          <w:rFonts w:cstheme="minorHAnsi"/>
          <w:sz w:val="22"/>
        </w:rPr>
        <w:t xml:space="preserve">(including aquatic facility inspection data) </w:t>
      </w:r>
      <w:r w:rsidR="00B013AC" w:rsidRPr="00621A53">
        <w:rPr>
          <w:rFonts w:cstheme="minorHAnsi"/>
          <w:sz w:val="22"/>
        </w:rPr>
        <w:t xml:space="preserve">and they developed a list of the most commonly used inspection database providers used by </w:t>
      </w:r>
      <w:r w:rsidR="00055D26" w:rsidRPr="00621A53">
        <w:rPr>
          <w:rFonts w:cstheme="minorHAnsi"/>
          <w:sz w:val="22"/>
        </w:rPr>
        <w:t xml:space="preserve">U.S. </w:t>
      </w:r>
      <w:r w:rsidR="00B013AC" w:rsidRPr="00621A53">
        <w:rPr>
          <w:rFonts w:cstheme="minorHAnsi"/>
          <w:sz w:val="22"/>
        </w:rPr>
        <w:t xml:space="preserve">environmental health </w:t>
      </w:r>
      <w:r w:rsidR="004079EB" w:rsidRPr="00621A53">
        <w:rPr>
          <w:rFonts w:cstheme="minorHAnsi"/>
          <w:sz w:val="22"/>
        </w:rPr>
        <w:t>departments</w:t>
      </w:r>
      <w:r w:rsidR="00B013AC" w:rsidRPr="00621A53">
        <w:rPr>
          <w:rFonts w:cstheme="minorHAnsi"/>
          <w:sz w:val="22"/>
        </w:rPr>
        <w:t xml:space="preserve">. These database providers </w:t>
      </w:r>
      <w:r w:rsidR="004079EB" w:rsidRPr="00621A53">
        <w:rPr>
          <w:rFonts w:cstheme="minorHAnsi"/>
          <w:sz w:val="22"/>
        </w:rPr>
        <w:t>provide services to large numbers of environmental health departments to help them maintain inspection data.</w:t>
      </w:r>
      <w:r w:rsidR="006F34AE" w:rsidRPr="00621A53">
        <w:rPr>
          <w:rFonts w:cstheme="minorHAnsi"/>
          <w:sz w:val="22"/>
        </w:rPr>
        <w:t xml:space="preserve"> Additionally</w:t>
      </w:r>
      <w:r w:rsidR="00C45319" w:rsidRPr="00621A53">
        <w:rPr>
          <w:rFonts w:cstheme="minorHAnsi"/>
          <w:sz w:val="22"/>
        </w:rPr>
        <w:t>,</w:t>
      </w:r>
      <w:r w:rsidR="006F34AE" w:rsidRPr="00621A53">
        <w:rPr>
          <w:rFonts w:cstheme="minorHAnsi"/>
          <w:sz w:val="22"/>
        </w:rPr>
        <w:t xml:space="preserve"> the SME identified points of contact </w:t>
      </w:r>
      <w:r w:rsidR="00A22715" w:rsidRPr="00621A53">
        <w:rPr>
          <w:rFonts w:cstheme="minorHAnsi"/>
          <w:sz w:val="22"/>
        </w:rPr>
        <w:t xml:space="preserve">for </w:t>
      </w:r>
      <w:r w:rsidR="006F34AE" w:rsidRPr="00621A53">
        <w:rPr>
          <w:rFonts w:cstheme="minorHAnsi"/>
          <w:sz w:val="22"/>
        </w:rPr>
        <w:t>data standard experts from the UK’s head of data standards, the European Union’</w:t>
      </w:r>
      <w:r w:rsidR="00A22715" w:rsidRPr="00621A53">
        <w:rPr>
          <w:rFonts w:cstheme="minorHAnsi"/>
          <w:sz w:val="22"/>
        </w:rPr>
        <w:t>s lead agency</w:t>
      </w:r>
      <w:r w:rsidR="006F34AE" w:rsidRPr="00621A53">
        <w:rPr>
          <w:rFonts w:cstheme="minorHAnsi"/>
          <w:sz w:val="22"/>
        </w:rPr>
        <w:t xml:space="preserve"> on data standards, </w:t>
      </w:r>
      <w:r w:rsidR="00A22715" w:rsidRPr="00621A53">
        <w:rPr>
          <w:rFonts w:cstheme="minorHAnsi"/>
          <w:sz w:val="22"/>
        </w:rPr>
        <w:t xml:space="preserve">and </w:t>
      </w:r>
      <w:r w:rsidR="00055D26" w:rsidRPr="00621A53">
        <w:rPr>
          <w:rFonts w:cstheme="minorHAnsi"/>
          <w:sz w:val="22"/>
        </w:rPr>
        <w:t xml:space="preserve">experts from </w:t>
      </w:r>
      <w:r w:rsidR="00A22715" w:rsidRPr="00621A53">
        <w:rPr>
          <w:rFonts w:cstheme="minorHAnsi"/>
          <w:sz w:val="22"/>
        </w:rPr>
        <w:t>the United States</w:t>
      </w:r>
      <w:r w:rsidR="00055D26" w:rsidRPr="00621A53">
        <w:rPr>
          <w:rFonts w:cstheme="minorHAnsi"/>
          <w:sz w:val="22"/>
        </w:rPr>
        <w:t xml:space="preserve"> that create standard terminology for data standards used by U.S governmental agencies</w:t>
      </w:r>
      <w:r w:rsidR="00A22715" w:rsidRPr="00621A53">
        <w:rPr>
          <w:rFonts w:cstheme="minorHAnsi"/>
          <w:sz w:val="22"/>
        </w:rPr>
        <w:t xml:space="preserve">. The SME will </w:t>
      </w:r>
      <w:r w:rsidR="008F5AB4" w:rsidRPr="00621A53">
        <w:rPr>
          <w:rFonts w:cstheme="minorHAnsi"/>
          <w:sz w:val="22"/>
        </w:rPr>
        <w:t>conduct</w:t>
      </w:r>
      <w:r w:rsidR="00A22715" w:rsidRPr="00621A53">
        <w:rPr>
          <w:rFonts w:cstheme="minorHAnsi"/>
          <w:sz w:val="22"/>
        </w:rPr>
        <w:t xml:space="preserve"> targeted key informant interviews with the identified points of contacts</w:t>
      </w:r>
      <w:r w:rsidR="00055D26" w:rsidRPr="00621A53">
        <w:rPr>
          <w:rFonts w:cstheme="minorHAnsi"/>
          <w:sz w:val="22"/>
        </w:rPr>
        <w:t xml:space="preserve"> from each respondent category. </w:t>
      </w:r>
      <w:r w:rsidR="00C45319" w:rsidRPr="00621A53">
        <w:rPr>
          <w:rFonts w:cstheme="minorHAnsi"/>
          <w:sz w:val="22"/>
        </w:rPr>
        <w:t xml:space="preserve">The SME will collect the key informant information by taking hard copy notes on their discussions. Afterward, the information will be logged into a spreadsheet, de-identified, organized, and will be provided to the CDC in a summary of results. At no time will CDC have access to any key informant interview transcripts. </w:t>
      </w:r>
      <w:r w:rsidR="00055D26" w:rsidRPr="00621A53">
        <w:rPr>
          <w:rFonts w:cstheme="minorHAnsi"/>
          <w:sz w:val="22"/>
        </w:rPr>
        <w:t>As needed, the SME</w:t>
      </w:r>
      <w:r w:rsidR="00A22715" w:rsidRPr="00621A53">
        <w:rPr>
          <w:rFonts w:cstheme="minorHAnsi"/>
          <w:sz w:val="22"/>
        </w:rPr>
        <w:t xml:space="preserve"> </w:t>
      </w:r>
      <w:r w:rsidR="00055D26" w:rsidRPr="00621A53">
        <w:rPr>
          <w:rFonts w:cstheme="minorHAnsi"/>
          <w:sz w:val="22"/>
        </w:rPr>
        <w:t xml:space="preserve">will use a </w:t>
      </w:r>
      <w:r w:rsidRPr="00621A53">
        <w:rPr>
          <w:rFonts w:cstheme="minorHAnsi"/>
          <w:sz w:val="22"/>
        </w:rPr>
        <w:t xml:space="preserve">snowball sampling </w:t>
      </w:r>
      <w:r w:rsidR="00055D26" w:rsidRPr="00621A53">
        <w:rPr>
          <w:rFonts w:cstheme="minorHAnsi"/>
          <w:sz w:val="22"/>
        </w:rPr>
        <w:t xml:space="preserve">technique to </w:t>
      </w:r>
      <w:r w:rsidR="008F5AB4" w:rsidRPr="00621A53">
        <w:rPr>
          <w:rFonts w:cstheme="minorHAnsi"/>
          <w:sz w:val="22"/>
        </w:rPr>
        <w:t>recruit</w:t>
      </w:r>
      <w:r w:rsidR="00055D26" w:rsidRPr="00621A53">
        <w:rPr>
          <w:rFonts w:cstheme="minorHAnsi"/>
          <w:sz w:val="22"/>
        </w:rPr>
        <w:t xml:space="preserve"> future interview</w:t>
      </w:r>
      <w:r w:rsidR="008F5AB4" w:rsidRPr="00621A53">
        <w:rPr>
          <w:rFonts w:cstheme="minorHAnsi"/>
          <w:sz w:val="22"/>
        </w:rPr>
        <w:t>ee</w:t>
      </w:r>
      <w:r w:rsidR="00055D26" w:rsidRPr="00621A53">
        <w:rPr>
          <w:rFonts w:cstheme="minorHAnsi"/>
          <w:sz w:val="22"/>
        </w:rPr>
        <w:t xml:space="preserve">s </w:t>
      </w:r>
      <w:r w:rsidR="008F5AB4" w:rsidRPr="00621A53">
        <w:rPr>
          <w:rFonts w:cstheme="minorHAnsi"/>
          <w:sz w:val="22"/>
        </w:rPr>
        <w:t xml:space="preserve">that may hold valuable information related to open data portals and open data standards used by U.S jurisdictions. </w:t>
      </w:r>
    </w:p>
    <w:p w14:paraId="072AF6EE" w14:textId="77777777" w:rsidR="00B46F2C" w:rsidRPr="00621A53" w:rsidRDefault="00B46F2C" w:rsidP="00A403BB">
      <w:pPr>
        <w:rPr>
          <w:rFonts w:cstheme="minorHAnsi"/>
          <w:b/>
          <w:sz w:val="22"/>
        </w:rPr>
      </w:pPr>
    </w:p>
    <w:p w14:paraId="164FAEC1" w14:textId="77777777" w:rsidR="00B46F2C" w:rsidRPr="00621A53" w:rsidRDefault="00B46F2C" w:rsidP="00A403BB">
      <w:pPr>
        <w:rPr>
          <w:rFonts w:cstheme="minorHAnsi"/>
          <w:b/>
          <w:sz w:val="22"/>
        </w:rPr>
      </w:pPr>
      <w:r w:rsidRPr="00621A53">
        <w:rPr>
          <w:rFonts w:cstheme="minorHAnsi"/>
          <w:b/>
          <w:sz w:val="22"/>
        </w:rPr>
        <w:t>Administration of the Instrument</w:t>
      </w:r>
    </w:p>
    <w:p w14:paraId="09EFCEA0" w14:textId="77777777" w:rsidR="00B46F2C" w:rsidRPr="00621A53" w:rsidRDefault="00B46F2C" w:rsidP="00A403BB">
      <w:pPr>
        <w:pStyle w:val="ListParagraph"/>
        <w:numPr>
          <w:ilvl w:val="0"/>
          <w:numId w:val="17"/>
        </w:numPr>
        <w:rPr>
          <w:rFonts w:cstheme="minorHAnsi"/>
          <w:sz w:val="22"/>
        </w:rPr>
      </w:pPr>
      <w:r w:rsidRPr="00621A53">
        <w:rPr>
          <w:rFonts w:cstheme="minorHAnsi"/>
          <w:sz w:val="22"/>
        </w:rPr>
        <w:t>How will you collect the information? (Check all that apply)</w:t>
      </w:r>
    </w:p>
    <w:p w14:paraId="4FD67F8E" w14:textId="77777777" w:rsidR="00B46F2C" w:rsidRPr="00621A53" w:rsidRDefault="00B46F2C" w:rsidP="001B0AAA">
      <w:pPr>
        <w:ind w:left="720"/>
        <w:rPr>
          <w:rFonts w:cstheme="minorHAnsi"/>
          <w:sz w:val="22"/>
        </w:rPr>
      </w:pPr>
      <w:r w:rsidRPr="00621A53">
        <w:rPr>
          <w:rFonts w:cstheme="minorHAnsi"/>
          <w:sz w:val="22"/>
        </w:rPr>
        <w:t xml:space="preserve">[  ] Web-based or other forms of Social Media </w:t>
      </w:r>
    </w:p>
    <w:p w14:paraId="72E84399" w14:textId="77777777" w:rsidR="00B46F2C" w:rsidRPr="00621A53" w:rsidRDefault="00B46F2C" w:rsidP="001B0AAA">
      <w:pPr>
        <w:ind w:left="720"/>
        <w:rPr>
          <w:rFonts w:cstheme="minorHAnsi"/>
          <w:sz w:val="22"/>
        </w:rPr>
      </w:pPr>
      <w:r w:rsidRPr="00621A53">
        <w:rPr>
          <w:rFonts w:cstheme="minorHAnsi"/>
          <w:sz w:val="22"/>
        </w:rPr>
        <w:t xml:space="preserve">[ </w:t>
      </w:r>
      <w:r w:rsidR="00305F55" w:rsidRPr="00621A53">
        <w:rPr>
          <w:rFonts w:cstheme="minorHAnsi"/>
          <w:sz w:val="22"/>
        </w:rPr>
        <w:t>X</w:t>
      </w:r>
      <w:r w:rsidRPr="00621A53">
        <w:rPr>
          <w:rFonts w:cstheme="minorHAnsi"/>
          <w:sz w:val="22"/>
        </w:rPr>
        <w:t xml:space="preserve"> ] Telephone</w:t>
      </w:r>
      <w:r w:rsidRPr="00621A53">
        <w:rPr>
          <w:rFonts w:cstheme="minorHAnsi"/>
          <w:sz w:val="22"/>
        </w:rPr>
        <w:tab/>
      </w:r>
    </w:p>
    <w:p w14:paraId="53763CB1" w14:textId="77777777" w:rsidR="00B46F2C" w:rsidRPr="00621A53" w:rsidRDefault="00B46F2C" w:rsidP="001B0AAA">
      <w:pPr>
        <w:ind w:left="720"/>
        <w:rPr>
          <w:rFonts w:cstheme="minorHAnsi"/>
          <w:sz w:val="22"/>
        </w:rPr>
      </w:pPr>
      <w:r w:rsidRPr="00621A53">
        <w:rPr>
          <w:rFonts w:cstheme="minorHAnsi"/>
          <w:sz w:val="22"/>
        </w:rPr>
        <w:t xml:space="preserve">[ </w:t>
      </w:r>
      <w:r w:rsidR="00305F55" w:rsidRPr="00621A53">
        <w:rPr>
          <w:rFonts w:cstheme="minorHAnsi"/>
          <w:sz w:val="22"/>
        </w:rPr>
        <w:t>X</w:t>
      </w:r>
      <w:r w:rsidRPr="00621A53">
        <w:rPr>
          <w:rFonts w:cstheme="minorHAnsi"/>
          <w:sz w:val="22"/>
        </w:rPr>
        <w:t xml:space="preserve"> ] In-person</w:t>
      </w:r>
      <w:r w:rsidRPr="00621A53">
        <w:rPr>
          <w:rFonts w:cstheme="minorHAnsi"/>
          <w:sz w:val="22"/>
        </w:rPr>
        <w:tab/>
      </w:r>
    </w:p>
    <w:p w14:paraId="7A0332BB" w14:textId="77777777" w:rsidR="00B46F2C" w:rsidRPr="00621A53" w:rsidRDefault="00B46F2C" w:rsidP="001B0AAA">
      <w:pPr>
        <w:ind w:left="720"/>
        <w:rPr>
          <w:rFonts w:cstheme="minorHAnsi"/>
          <w:sz w:val="22"/>
        </w:rPr>
      </w:pPr>
      <w:r w:rsidRPr="00621A53">
        <w:rPr>
          <w:rFonts w:cstheme="minorHAnsi"/>
          <w:sz w:val="22"/>
        </w:rPr>
        <w:t xml:space="preserve">[  ] Mail </w:t>
      </w:r>
    </w:p>
    <w:p w14:paraId="67BE275E" w14:textId="77777777" w:rsidR="00B46F2C" w:rsidRPr="00621A53" w:rsidRDefault="00B46F2C" w:rsidP="001B0AAA">
      <w:pPr>
        <w:ind w:left="720"/>
        <w:rPr>
          <w:rFonts w:cstheme="minorHAnsi"/>
          <w:sz w:val="22"/>
        </w:rPr>
      </w:pPr>
      <w:r w:rsidRPr="00621A53">
        <w:rPr>
          <w:rFonts w:cstheme="minorHAnsi"/>
          <w:sz w:val="22"/>
        </w:rPr>
        <w:t>[  ] Other, Explain</w:t>
      </w:r>
    </w:p>
    <w:p w14:paraId="04F92FAC" w14:textId="77777777" w:rsidR="00B46F2C" w:rsidRPr="00621A53" w:rsidRDefault="00B46F2C" w:rsidP="00F24CFC">
      <w:pPr>
        <w:pStyle w:val="ListParagraph"/>
        <w:numPr>
          <w:ilvl w:val="0"/>
          <w:numId w:val="17"/>
        </w:numPr>
        <w:rPr>
          <w:rFonts w:cstheme="minorHAnsi"/>
          <w:sz w:val="22"/>
        </w:rPr>
      </w:pPr>
      <w:r w:rsidRPr="00621A53">
        <w:rPr>
          <w:rFonts w:cstheme="minorHAnsi"/>
          <w:sz w:val="22"/>
        </w:rPr>
        <w:t xml:space="preserve">Will interviewers or facilitators be used?  [ </w:t>
      </w:r>
      <w:r w:rsidR="00305F55" w:rsidRPr="00621A53">
        <w:rPr>
          <w:rFonts w:cstheme="minorHAnsi"/>
          <w:sz w:val="22"/>
        </w:rPr>
        <w:t>X</w:t>
      </w:r>
      <w:r w:rsidRPr="00621A53">
        <w:rPr>
          <w:rFonts w:cstheme="minorHAnsi"/>
          <w:sz w:val="22"/>
        </w:rPr>
        <w:t xml:space="preserve"> ] Yes [  ] No</w:t>
      </w:r>
    </w:p>
    <w:p w14:paraId="66A689E3" w14:textId="77777777" w:rsidR="00B46F2C" w:rsidRPr="00B60979" w:rsidRDefault="00B46F2C" w:rsidP="00F24CFC">
      <w:pPr>
        <w:pStyle w:val="ListParagraph"/>
        <w:ind w:left="360"/>
        <w:rPr>
          <w:rFonts w:cstheme="minorHAnsi"/>
        </w:rPr>
      </w:pPr>
      <w:r w:rsidRPr="00B60979">
        <w:rPr>
          <w:rFonts w:cstheme="minorHAnsi"/>
        </w:rPr>
        <w:t xml:space="preserve"> </w:t>
      </w:r>
    </w:p>
    <w:p w14:paraId="662A7713" w14:textId="77777777" w:rsidR="00084941" w:rsidRDefault="00084941" w:rsidP="00F24CFC">
      <w:pPr>
        <w:rPr>
          <w:rFonts w:cstheme="minorHAnsi"/>
        </w:rPr>
        <w:sectPr w:rsidR="00084941" w:rsidSect="00194AC6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4086802B" w14:textId="2BD527A7" w:rsidR="00084941" w:rsidRPr="00621A53" w:rsidRDefault="00084941" w:rsidP="00F24CFC">
      <w:pPr>
        <w:rPr>
          <w:rFonts w:cstheme="minorHAnsi"/>
          <w:b/>
          <w:sz w:val="22"/>
          <w:szCs w:val="22"/>
        </w:rPr>
      </w:pPr>
      <w:r w:rsidRPr="00621A53">
        <w:rPr>
          <w:rFonts w:cstheme="minorHAnsi"/>
          <w:b/>
          <w:sz w:val="22"/>
          <w:szCs w:val="22"/>
        </w:rPr>
        <w:t>References</w:t>
      </w:r>
    </w:p>
    <w:p w14:paraId="2B5F07D6" w14:textId="4816EC8E" w:rsidR="00084941" w:rsidRPr="00621A53" w:rsidRDefault="00084941" w:rsidP="00F24CFC">
      <w:pPr>
        <w:rPr>
          <w:rFonts w:cstheme="minorHAnsi"/>
          <w:sz w:val="22"/>
          <w:szCs w:val="22"/>
        </w:rPr>
      </w:pPr>
      <w:r w:rsidRPr="00621A53">
        <w:rPr>
          <w:rFonts w:cstheme="minorHAnsi"/>
          <w:sz w:val="22"/>
          <w:szCs w:val="22"/>
        </w:rPr>
        <w:t xml:space="preserve">European Commission. What is open data? [online]. 2019. [cited 2019 march 19]. Available from URL: </w:t>
      </w:r>
      <w:hyperlink r:id="rId10" w:anchor="/id/co-01" w:history="1">
        <w:r w:rsidRPr="00621A53">
          <w:rPr>
            <w:rStyle w:val="Hyperlink"/>
            <w:rFonts w:cstheme="minorHAnsi"/>
            <w:sz w:val="22"/>
            <w:szCs w:val="22"/>
          </w:rPr>
          <w:t>https://www.europeandataportal.eu/elearning/en/module1/#/id/co-01</w:t>
        </w:r>
      </w:hyperlink>
      <w:r w:rsidRPr="00621A53">
        <w:rPr>
          <w:rFonts w:cstheme="minorHAnsi"/>
          <w:sz w:val="22"/>
          <w:szCs w:val="22"/>
        </w:rPr>
        <w:t xml:space="preserve"> </w:t>
      </w:r>
    </w:p>
    <w:p w14:paraId="7CAB16BD" w14:textId="23BD2653" w:rsidR="0018559B" w:rsidRPr="00621A53" w:rsidRDefault="0018559B" w:rsidP="00F24CFC">
      <w:pPr>
        <w:rPr>
          <w:rFonts w:cstheme="minorHAnsi"/>
          <w:sz w:val="22"/>
          <w:szCs w:val="22"/>
        </w:rPr>
      </w:pPr>
      <w:r w:rsidRPr="00621A53">
        <w:rPr>
          <w:sz w:val="22"/>
          <w:szCs w:val="22"/>
        </w:rPr>
        <w:t xml:space="preserve">United States Bureau of Labor Statistics. May 2017 National Occupational Employment Statistics. [online] 2019. [cited 2019 March 18]. Available from URL: </w:t>
      </w:r>
      <w:hyperlink r:id="rId11" w:anchor="45-0000/" w:history="1">
        <w:r w:rsidRPr="00621A53">
          <w:rPr>
            <w:rStyle w:val="Hyperlink"/>
            <w:sz w:val="22"/>
            <w:szCs w:val="22"/>
          </w:rPr>
          <w:t>https://www.bls.gov/oes/current/oes_nat.htm#45-0000/</w:t>
        </w:r>
      </w:hyperlink>
      <w:r w:rsidRPr="00621A53">
        <w:rPr>
          <w:rStyle w:val="Hyperlink"/>
          <w:color w:val="auto"/>
          <w:sz w:val="22"/>
          <w:szCs w:val="22"/>
          <w:u w:val="none"/>
        </w:rPr>
        <w:t>.</w:t>
      </w:r>
      <w:r w:rsidRPr="00621A53">
        <w:rPr>
          <w:rStyle w:val="Hyperlink"/>
          <w:sz w:val="22"/>
          <w:szCs w:val="22"/>
          <w:u w:val="none"/>
        </w:rPr>
        <w:t xml:space="preserve"> </w:t>
      </w:r>
    </w:p>
    <w:p w14:paraId="327DD482" w14:textId="7B440CC7" w:rsidR="00CD76C8" w:rsidRPr="00621A53" w:rsidRDefault="00CD76C8" w:rsidP="00F24CFC">
      <w:pPr>
        <w:rPr>
          <w:rFonts w:cstheme="minorHAnsi"/>
          <w:sz w:val="22"/>
          <w:szCs w:val="22"/>
        </w:rPr>
      </w:pPr>
      <w:r w:rsidRPr="00621A53">
        <w:rPr>
          <w:rFonts w:cstheme="minorHAnsi"/>
          <w:sz w:val="22"/>
          <w:szCs w:val="22"/>
        </w:rPr>
        <w:t>U.S. General Services Administration</w:t>
      </w:r>
      <w:r w:rsidR="00007D8C" w:rsidRPr="00621A53">
        <w:rPr>
          <w:rFonts w:cstheme="minorHAnsi"/>
          <w:sz w:val="22"/>
          <w:szCs w:val="22"/>
        </w:rPr>
        <w:t xml:space="preserve"> (GSA)</w:t>
      </w:r>
      <w:r w:rsidRPr="00621A53">
        <w:rPr>
          <w:rFonts w:cstheme="minorHAnsi"/>
          <w:sz w:val="22"/>
          <w:szCs w:val="22"/>
        </w:rPr>
        <w:t>. Open Government. [online]. 2019. [cited 2019 March 19]. Available from URL: https://www.data.gov/open-gov/</w:t>
      </w:r>
    </w:p>
    <w:sectPr w:rsidR="00CD76C8" w:rsidRPr="00621A53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5E511" w14:textId="77777777" w:rsidR="0053417B" w:rsidRDefault="0053417B">
      <w:r>
        <w:separator/>
      </w:r>
    </w:p>
  </w:endnote>
  <w:endnote w:type="continuationSeparator" w:id="0">
    <w:p w14:paraId="7FEBBC59" w14:textId="77777777" w:rsidR="0053417B" w:rsidRDefault="0053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6945E" w14:textId="3A1714D4" w:rsidR="001E5F40" w:rsidRDefault="001E5F4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8526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CD08C" w14:textId="77777777" w:rsidR="0053417B" w:rsidRDefault="0053417B">
      <w:r>
        <w:separator/>
      </w:r>
    </w:p>
  </w:footnote>
  <w:footnote w:type="continuationSeparator" w:id="0">
    <w:p w14:paraId="354BFDEE" w14:textId="77777777" w:rsidR="0053417B" w:rsidRDefault="0053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4E536B"/>
    <w:multiLevelType w:val="hybridMultilevel"/>
    <w:tmpl w:val="CC38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544873"/>
    <w:multiLevelType w:val="hybridMultilevel"/>
    <w:tmpl w:val="36A00A2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7D8C"/>
    <w:rsid w:val="00023A57"/>
    <w:rsid w:val="00047A64"/>
    <w:rsid w:val="00055D26"/>
    <w:rsid w:val="00063E81"/>
    <w:rsid w:val="00067329"/>
    <w:rsid w:val="00084941"/>
    <w:rsid w:val="000A0239"/>
    <w:rsid w:val="000B2838"/>
    <w:rsid w:val="000D44CA"/>
    <w:rsid w:val="000E200B"/>
    <w:rsid w:val="000F4C06"/>
    <w:rsid w:val="000F68BE"/>
    <w:rsid w:val="00130FFE"/>
    <w:rsid w:val="0013712B"/>
    <w:rsid w:val="001576D9"/>
    <w:rsid w:val="00185268"/>
    <w:rsid w:val="0018559B"/>
    <w:rsid w:val="001927A4"/>
    <w:rsid w:val="00194AC6"/>
    <w:rsid w:val="001A23B0"/>
    <w:rsid w:val="001A25CC"/>
    <w:rsid w:val="001B0AAA"/>
    <w:rsid w:val="001C39F7"/>
    <w:rsid w:val="001D0776"/>
    <w:rsid w:val="001E5F40"/>
    <w:rsid w:val="001F135F"/>
    <w:rsid w:val="002078B6"/>
    <w:rsid w:val="00217BB0"/>
    <w:rsid w:val="00237B48"/>
    <w:rsid w:val="0024521E"/>
    <w:rsid w:val="00254851"/>
    <w:rsid w:val="00263C3D"/>
    <w:rsid w:val="00274D0B"/>
    <w:rsid w:val="002821FF"/>
    <w:rsid w:val="00287A99"/>
    <w:rsid w:val="00295044"/>
    <w:rsid w:val="002A241E"/>
    <w:rsid w:val="002B3C95"/>
    <w:rsid w:val="002D0B92"/>
    <w:rsid w:val="002D34D0"/>
    <w:rsid w:val="002F2EF9"/>
    <w:rsid w:val="00303F23"/>
    <w:rsid w:val="00305F55"/>
    <w:rsid w:val="00336DB3"/>
    <w:rsid w:val="00354B31"/>
    <w:rsid w:val="003675DB"/>
    <w:rsid w:val="00377C17"/>
    <w:rsid w:val="003852A3"/>
    <w:rsid w:val="003A74D1"/>
    <w:rsid w:val="003B0E08"/>
    <w:rsid w:val="003C0B83"/>
    <w:rsid w:val="003D5BBE"/>
    <w:rsid w:val="003E3C61"/>
    <w:rsid w:val="003F1C5B"/>
    <w:rsid w:val="004079EB"/>
    <w:rsid w:val="0041337D"/>
    <w:rsid w:val="004140E8"/>
    <w:rsid w:val="00434E33"/>
    <w:rsid w:val="00441434"/>
    <w:rsid w:val="0045264C"/>
    <w:rsid w:val="004700E3"/>
    <w:rsid w:val="00473F43"/>
    <w:rsid w:val="004876EC"/>
    <w:rsid w:val="004C5C7C"/>
    <w:rsid w:val="004D6E14"/>
    <w:rsid w:val="005009B0"/>
    <w:rsid w:val="00512CA7"/>
    <w:rsid w:val="0053417B"/>
    <w:rsid w:val="00560CB6"/>
    <w:rsid w:val="0057103E"/>
    <w:rsid w:val="005A1006"/>
    <w:rsid w:val="005C6059"/>
    <w:rsid w:val="005D46C6"/>
    <w:rsid w:val="005E714A"/>
    <w:rsid w:val="00602AE4"/>
    <w:rsid w:val="006140A0"/>
    <w:rsid w:val="00621A53"/>
    <w:rsid w:val="00636621"/>
    <w:rsid w:val="00642B49"/>
    <w:rsid w:val="006752D4"/>
    <w:rsid w:val="006832D9"/>
    <w:rsid w:val="0069403B"/>
    <w:rsid w:val="006E12B5"/>
    <w:rsid w:val="006F34AE"/>
    <w:rsid w:val="006F3DDE"/>
    <w:rsid w:val="00704678"/>
    <w:rsid w:val="00734FB2"/>
    <w:rsid w:val="007425E7"/>
    <w:rsid w:val="00790393"/>
    <w:rsid w:val="007A0BC4"/>
    <w:rsid w:val="007A2CE2"/>
    <w:rsid w:val="007A69E7"/>
    <w:rsid w:val="007C5EEE"/>
    <w:rsid w:val="00802607"/>
    <w:rsid w:val="008101A5"/>
    <w:rsid w:val="00811898"/>
    <w:rsid w:val="00822664"/>
    <w:rsid w:val="00840FCA"/>
    <w:rsid w:val="00843796"/>
    <w:rsid w:val="00846B36"/>
    <w:rsid w:val="00852577"/>
    <w:rsid w:val="00853257"/>
    <w:rsid w:val="00856324"/>
    <w:rsid w:val="008635DD"/>
    <w:rsid w:val="0087143A"/>
    <w:rsid w:val="00895229"/>
    <w:rsid w:val="008D5A53"/>
    <w:rsid w:val="008E383E"/>
    <w:rsid w:val="008F0203"/>
    <w:rsid w:val="008F50D4"/>
    <w:rsid w:val="008F5AB4"/>
    <w:rsid w:val="00906DCC"/>
    <w:rsid w:val="009239AA"/>
    <w:rsid w:val="00935ADA"/>
    <w:rsid w:val="00946B6C"/>
    <w:rsid w:val="00955A71"/>
    <w:rsid w:val="0096108F"/>
    <w:rsid w:val="009A3390"/>
    <w:rsid w:val="009C13B9"/>
    <w:rsid w:val="009C2645"/>
    <w:rsid w:val="009D01A2"/>
    <w:rsid w:val="009D0850"/>
    <w:rsid w:val="009F5923"/>
    <w:rsid w:val="00A13253"/>
    <w:rsid w:val="00A22715"/>
    <w:rsid w:val="00A344D2"/>
    <w:rsid w:val="00A403BB"/>
    <w:rsid w:val="00A674DF"/>
    <w:rsid w:val="00A722DD"/>
    <w:rsid w:val="00A730F2"/>
    <w:rsid w:val="00A83AA6"/>
    <w:rsid w:val="00AC47AC"/>
    <w:rsid w:val="00AE1809"/>
    <w:rsid w:val="00B013AC"/>
    <w:rsid w:val="00B32078"/>
    <w:rsid w:val="00B33760"/>
    <w:rsid w:val="00B372FB"/>
    <w:rsid w:val="00B46F2C"/>
    <w:rsid w:val="00B60979"/>
    <w:rsid w:val="00B643A8"/>
    <w:rsid w:val="00B70069"/>
    <w:rsid w:val="00B80D76"/>
    <w:rsid w:val="00B85006"/>
    <w:rsid w:val="00B9193D"/>
    <w:rsid w:val="00BA2105"/>
    <w:rsid w:val="00BA294A"/>
    <w:rsid w:val="00BA7E06"/>
    <w:rsid w:val="00BB43B5"/>
    <w:rsid w:val="00BB6219"/>
    <w:rsid w:val="00BD290F"/>
    <w:rsid w:val="00C1435C"/>
    <w:rsid w:val="00C14CC4"/>
    <w:rsid w:val="00C33C52"/>
    <w:rsid w:val="00C37497"/>
    <w:rsid w:val="00C40D8B"/>
    <w:rsid w:val="00C45319"/>
    <w:rsid w:val="00C8407A"/>
    <w:rsid w:val="00C8488C"/>
    <w:rsid w:val="00C86E91"/>
    <w:rsid w:val="00C87E2D"/>
    <w:rsid w:val="00CA2650"/>
    <w:rsid w:val="00CA5402"/>
    <w:rsid w:val="00CB1078"/>
    <w:rsid w:val="00CC6FAF"/>
    <w:rsid w:val="00CD76C8"/>
    <w:rsid w:val="00CE09B8"/>
    <w:rsid w:val="00D24698"/>
    <w:rsid w:val="00D41F7A"/>
    <w:rsid w:val="00D5359E"/>
    <w:rsid w:val="00D6383F"/>
    <w:rsid w:val="00D63B26"/>
    <w:rsid w:val="00D71221"/>
    <w:rsid w:val="00D97DB9"/>
    <w:rsid w:val="00DB344C"/>
    <w:rsid w:val="00DB59D0"/>
    <w:rsid w:val="00DC33D3"/>
    <w:rsid w:val="00DC5E72"/>
    <w:rsid w:val="00DF64A3"/>
    <w:rsid w:val="00DF7713"/>
    <w:rsid w:val="00E2594A"/>
    <w:rsid w:val="00E26329"/>
    <w:rsid w:val="00E3133F"/>
    <w:rsid w:val="00E40B50"/>
    <w:rsid w:val="00E50293"/>
    <w:rsid w:val="00E55CAE"/>
    <w:rsid w:val="00E658BE"/>
    <w:rsid w:val="00E65FFC"/>
    <w:rsid w:val="00E749EA"/>
    <w:rsid w:val="00E80951"/>
    <w:rsid w:val="00E854FE"/>
    <w:rsid w:val="00E86CC6"/>
    <w:rsid w:val="00EA2C4C"/>
    <w:rsid w:val="00EB56B3"/>
    <w:rsid w:val="00EC2206"/>
    <w:rsid w:val="00ED6492"/>
    <w:rsid w:val="00EE7F84"/>
    <w:rsid w:val="00EF12DE"/>
    <w:rsid w:val="00EF2095"/>
    <w:rsid w:val="00EF394F"/>
    <w:rsid w:val="00F03218"/>
    <w:rsid w:val="00F06866"/>
    <w:rsid w:val="00F11DCF"/>
    <w:rsid w:val="00F15956"/>
    <w:rsid w:val="00F205B7"/>
    <w:rsid w:val="00F24CFC"/>
    <w:rsid w:val="00F3170F"/>
    <w:rsid w:val="00F32409"/>
    <w:rsid w:val="00F4017B"/>
    <w:rsid w:val="00F45E35"/>
    <w:rsid w:val="00F976B0"/>
    <w:rsid w:val="00FA4096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12AC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4C"/>
  </w:style>
  <w:style w:type="paragraph" w:styleId="Heading1">
    <w:name w:val="heading 1"/>
    <w:basedOn w:val="Normal"/>
    <w:next w:val="Normal"/>
    <w:link w:val="Heading1Char"/>
    <w:uiPriority w:val="9"/>
    <w:qFormat/>
    <w:rsid w:val="00EA2C4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C4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C4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C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2C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A2C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A2C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A2C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A2C4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C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A2C4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A2C4C"/>
    <w:rPr>
      <w:rFonts w:asciiTheme="majorHAnsi" w:eastAsiaTheme="majorEastAsia" w:hAnsiTheme="majorHAnsi" w:cstheme="majorBidi"/>
      <w:sz w:val="28"/>
      <w:szCs w:val="28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4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4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4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A2C4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A2C4C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A2C4C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A2C4C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C4C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locked/>
    <w:rsid w:val="00EA2C4C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A2C4C"/>
    <w:rPr>
      <w:i/>
      <w:iCs/>
      <w:color w:val="000000" w:themeColor="text1"/>
    </w:rPr>
  </w:style>
  <w:style w:type="paragraph" w:styleId="NoSpacing">
    <w:name w:val="No Spacing"/>
    <w:uiPriority w:val="1"/>
    <w:qFormat/>
    <w:rsid w:val="00EA2C4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2C4C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2C4C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4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4C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A2C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2C4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A2C4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A2C4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A2C4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C4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87A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25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4C"/>
  </w:style>
  <w:style w:type="paragraph" w:styleId="Heading1">
    <w:name w:val="heading 1"/>
    <w:basedOn w:val="Normal"/>
    <w:next w:val="Normal"/>
    <w:link w:val="Heading1Char"/>
    <w:uiPriority w:val="9"/>
    <w:qFormat/>
    <w:rsid w:val="00EA2C4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C4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C4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C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2C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A2C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A2C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A2C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A2C4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C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A2C4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A2C4C"/>
    <w:rPr>
      <w:rFonts w:asciiTheme="majorHAnsi" w:eastAsiaTheme="majorEastAsia" w:hAnsiTheme="majorHAnsi" w:cstheme="majorBidi"/>
      <w:sz w:val="28"/>
      <w:szCs w:val="28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4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4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4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A2C4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A2C4C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A2C4C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A2C4C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C4C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locked/>
    <w:rsid w:val="00EA2C4C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A2C4C"/>
    <w:rPr>
      <w:i/>
      <w:iCs/>
      <w:color w:val="000000" w:themeColor="text1"/>
    </w:rPr>
  </w:style>
  <w:style w:type="paragraph" w:styleId="NoSpacing">
    <w:name w:val="No Spacing"/>
    <w:uiPriority w:val="1"/>
    <w:qFormat/>
    <w:rsid w:val="00EA2C4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2C4C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2C4C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4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4C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A2C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2C4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A2C4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A2C4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A2C4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C4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87A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25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ls.gov/oes/current/oes_na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uropeandataportal.eu/elearning/en/module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2012-08-06T16:52:00Z</cp:lastPrinted>
  <dcterms:created xsi:type="dcterms:W3CDTF">2019-05-30T12:36:00Z</dcterms:created>
  <dcterms:modified xsi:type="dcterms:W3CDTF">2019-05-30T12:36:00Z</dcterms:modified>
</cp:coreProperties>
</file>