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7E5" w:rsidRDefault="009747E5">
      <w:pPr>
        <w:rPr>
          <w:rFonts w:ascii="Arial" w:eastAsia="Arial" w:hAnsi="Arial" w:cs="Arial"/>
        </w:rPr>
      </w:pPr>
      <w:bookmarkStart w:id="0" w:name="_gjdgxs" w:colFirst="0" w:colLast="0"/>
      <w:bookmarkStart w:id="1" w:name="_GoBack"/>
      <w:bookmarkEnd w:id="0"/>
      <w:bookmarkEnd w:id="1"/>
    </w:p>
    <w:p w:rsidR="009747E5" w:rsidRDefault="009747E5">
      <w:pPr>
        <w:rPr>
          <w:rFonts w:ascii="Arial" w:eastAsia="Arial" w:hAnsi="Arial" w:cs="Arial"/>
        </w:rPr>
      </w:pPr>
    </w:p>
    <w:p w:rsidR="009747E5" w:rsidRDefault="009747E5">
      <w:pPr>
        <w:rPr>
          <w:rFonts w:ascii="Arial" w:eastAsia="Arial" w:hAnsi="Arial" w:cs="Arial"/>
        </w:rPr>
      </w:pPr>
    </w:p>
    <w:p w:rsidR="009747E5" w:rsidRDefault="009747E5">
      <w:pPr>
        <w:rPr>
          <w:rFonts w:ascii="Arial" w:eastAsia="Arial" w:hAnsi="Arial" w:cs="Arial"/>
        </w:rPr>
      </w:pPr>
    </w:p>
    <w:p w:rsidR="009747E5" w:rsidRPr="0019737B" w:rsidRDefault="009747E5">
      <w:pPr>
        <w:rPr>
          <w:rFonts w:ascii="Arial" w:eastAsia="Arial" w:hAnsi="Arial" w:cs="Arial"/>
        </w:rPr>
      </w:pPr>
    </w:p>
    <w:p w:rsidR="009747E5" w:rsidRPr="00CD7480" w:rsidRDefault="00BC0E7C">
      <w:pPr>
        <w:pStyle w:val="Title"/>
        <w:rPr>
          <w:color w:val="auto"/>
          <w:sz w:val="44"/>
          <w:szCs w:val="44"/>
        </w:rPr>
      </w:pPr>
      <w:r w:rsidRPr="00CD7480">
        <w:rPr>
          <w:color w:val="auto"/>
          <w:sz w:val="44"/>
          <w:szCs w:val="44"/>
        </w:rPr>
        <w:t>Formative Research to Develop an Open Data Standard for Reporting Environmental Health Data</w:t>
      </w:r>
    </w:p>
    <w:p w:rsidR="0019737B" w:rsidRPr="00CD7480" w:rsidRDefault="0019737B" w:rsidP="00CD7480"/>
    <w:p w:rsidR="009747E5" w:rsidRDefault="00BC0E7C">
      <w:pPr>
        <w:pStyle w:val="Subtitle"/>
        <w:rPr>
          <w:color w:val="000000"/>
        </w:rPr>
      </w:pPr>
      <w:r>
        <w:rPr>
          <w:color w:val="000000"/>
        </w:rPr>
        <w:t>OMB Control No. 0920-1154</w:t>
      </w:r>
    </w:p>
    <w:p w:rsidR="009747E5" w:rsidRDefault="009747E5">
      <w:pPr>
        <w:pStyle w:val="Subtitle"/>
        <w:rPr>
          <w:color w:val="000000"/>
        </w:rPr>
      </w:pPr>
    </w:p>
    <w:p w:rsidR="009747E5" w:rsidRDefault="00BC0E7C">
      <w:pPr>
        <w:pStyle w:val="Subtitle"/>
        <w:rPr>
          <w:color w:val="000000"/>
        </w:rPr>
      </w:pPr>
      <w:r>
        <w:rPr>
          <w:color w:val="000000"/>
        </w:rPr>
        <w:t xml:space="preserve">Supporting Statement Part A – </w:t>
      </w:r>
    </w:p>
    <w:p w:rsidR="009747E5" w:rsidRDefault="00BC0E7C">
      <w:pPr>
        <w:pStyle w:val="Subtitle"/>
        <w:rPr>
          <w:color w:val="000000"/>
        </w:rPr>
      </w:pPr>
      <w:r>
        <w:rPr>
          <w:color w:val="000000"/>
        </w:rPr>
        <w:t>Justification</w:t>
      </w:r>
    </w:p>
    <w:p w:rsidR="009747E5" w:rsidRDefault="009747E5"/>
    <w:p w:rsidR="009747E5" w:rsidRDefault="009747E5">
      <w:pPr>
        <w:spacing w:after="200" w:line="276" w:lineRule="auto"/>
        <w:rPr>
          <w:rFonts w:ascii="Cambria" w:eastAsia="Cambria" w:hAnsi="Cambria" w:cs="Cambria"/>
          <w:sz w:val="36"/>
          <w:szCs w:val="36"/>
        </w:rPr>
      </w:pPr>
    </w:p>
    <w:p w:rsidR="009747E5" w:rsidRDefault="009747E5">
      <w:pPr>
        <w:spacing w:after="200" w:line="276" w:lineRule="auto"/>
        <w:rPr>
          <w:rFonts w:ascii="Cambria" w:eastAsia="Cambria" w:hAnsi="Cambria" w:cs="Cambria"/>
          <w:sz w:val="36"/>
          <w:szCs w:val="36"/>
        </w:rPr>
      </w:pPr>
    </w:p>
    <w:p w:rsidR="009747E5" w:rsidRDefault="009747E5">
      <w:pPr>
        <w:spacing w:after="200" w:line="276" w:lineRule="auto"/>
        <w:rPr>
          <w:rFonts w:ascii="Cambria" w:eastAsia="Cambria" w:hAnsi="Cambria" w:cs="Cambria"/>
          <w:sz w:val="36"/>
          <w:szCs w:val="36"/>
        </w:rPr>
      </w:pPr>
    </w:p>
    <w:p w:rsidR="009747E5" w:rsidRDefault="009747E5">
      <w:pPr>
        <w:spacing w:after="200" w:line="276" w:lineRule="auto"/>
        <w:rPr>
          <w:rFonts w:ascii="Cambria" w:eastAsia="Cambria" w:hAnsi="Cambria" w:cs="Cambria"/>
          <w:sz w:val="36"/>
          <w:szCs w:val="36"/>
        </w:rPr>
      </w:pPr>
    </w:p>
    <w:p w:rsidR="009747E5" w:rsidRDefault="00BC0E7C">
      <w:pPr>
        <w:pStyle w:val="Subtitle"/>
        <w:spacing w:after="0"/>
        <w:rPr>
          <w:color w:val="000000"/>
        </w:rPr>
      </w:pPr>
      <w:r>
        <w:rPr>
          <w:color w:val="000000"/>
        </w:rPr>
        <w:t>Brian Hubbard, MPH</w:t>
      </w:r>
    </w:p>
    <w:p w:rsidR="00C85920" w:rsidRDefault="00BC0E7C">
      <w:pPr>
        <w:pStyle w:val="Subtitle"/>
        <w:spacing w:after="0"/>
        <w:rPr>
          <w:color w:val="000000"/>
        </w:rPr>
      </w:pPr>
      <w:r>
        <w:rPr>
          <w:color w:val="000000"/>
        </w:rPr>
        <w:t>Health Scientist</w:t>
      </w:r>
    </w:p>
    <w:p w:rsidR="00C85920" w:rsidRDefault="00C85920">
      <w:pPr>
        <w:pStyle w:val="Subtitle"/>
        <w:spacing w:after="0"/>
        <w:rPr>
          <w:color w:val="000000"/>
        </w:rPr>
      </w:pPr>
      <w:r>
        <w:rPr>
          <w:color w:val="000000"/>
        </w:rPr>
        <w:t xml:space="preserve">National Center for Environmental Health </w:t>
      </w:r>
    </w:p>
    <w:p w:rsidR="00C85920" w:rsidRDefault="00C85920">
      <w:pPr>
        <w:pStyle w:val="Subtitle"/>
        <w:spacing w:after="0"/>
        <w:rPr>
          <w:color w:val="000000"/>
        </w:rPr>
      </w:pPr>
      <w:r>
        <w:rPr>
          <w:color w:val="000000"/>
        </w:rPr>
        <w:t xml:space="preserve">Division of Environmental Health Science and Practice </w:t>
      </w:r>
    </w:p>
    <w:p w:rsidR="009747E5" w:rsidRDefault="00C85920">
      <w:pPr>
        <w:pStyle w:val="Subtitle"/>
        <w:spacing w:after="0"/>
        <w:rPr>
          <w:color w:val="000000"/>
        </w:rPr>
      </w:pPr>
      <w:r>
        <w:rPr>
          <w:color w:val="000000"/>
        </w:rPr>
        <w:t xml:space="preserve">Water, Food, and Environmental Health Services Branch </w:t>
      </w:r>
    </w:p>
    <w:p w:rsidR="009747E5" w:rsidRDefault="00BC0E7C">
      <w:pPr>
        <w:pStyle w:val="Subtitle"/>
        <w:spacing w:after="0"/>
        <w:rPr>
          <w:color w:val="000000"/>
        </w:rPr>
      </w:pPr>
      <w:r>
        <w:rPr>
          <w:color w:val="000000"/>
        </w:rPr>
        <w:t>Phone: (770) 488-7098</w:t>
      </w:r>
    </w:p>
    <w:p w:rsidR="009747E5" w:rsidRDefault="00BC0E7C">
      <w:pPr>
        <w:pStyle w:val="Subtitle"/>
        <w:spacing w:after="0"/>
        <w:rPr>
          <w:color w:val="000000"/>
        </w:rPr>
      </w:pPr>
      <w:r>
        <w:rPr>
          <w:color w:val="000000"/>
        </w:rPr>
        <w:t>Email: bnh5@cdc.gov</w:t>
      </w:r>
    </w:p>
    <w:p w:rsidR="009747E5" w:rsidRDefault="00BC0E7C">
      <w:pPr>
        <w:pStyle w:val="Subtitle"/>
        <w:spacing w:after="0"/>
        <w:rPr>
          <w:color w:val="000000"/>
        </w:rPr>
      </w:pPr>
      <w:r>
        <w:rPr>
          <w:color w:val="000000"/>
        </w:rPr>
        <w:t>Fax: (770) 488-7310</w:t>
      </w:r>
    </w:p>
    <w:p w:rsidR="009747E5" w:rsidRDefault="009747E5">
      <w:pPr>
        <w:pStyle w:val="Subtitle"/>
        <w:spacing w:after="0"/>
        <w:rPr>
          <w:color w:val="000000"/>
        </w:rPr>
      </w:pPr>
    </w:p>
    <w:p w:rsidR="009747E5" w:rsidRDefault="00BC0E7C">
      <w:pPr>
        <w:pStyle w:val="Subtitle"/>
        <w:spacing w:after="0"/>
        <w:rPr>
          <w:rFonts w:ascii="Arial" w:eastAsia="Arial" w:hAnsi="Arial" w:cs="Arial"/>
          <w:color w:val="000000"/>
        </w:rPr>
      </w:pPr>
      <w:r>
        <w:rPr>
          <w:color w:val="000000"/>
        </w:rPr>
        <w:t xml:space="preserve">Date: </w:t>
      </w:r>
      <w:r w:rsidR="005D197C">
        <w:rPr>
          <w:color w:val="000000"/>
        </w:rPr>
        <w:t xml:space="preserve">May </w:t>
      </w:r>
      <w:r w:rsidR="00C85920">
        <w:rPr>
          <w:color w:val="000000"/>
        </w:rPr>
        <w:t>23</w:t>
      </w:r>
      <w:r>
        <w:rPr>
          <w:color w:val="000000"/>
        </w:rPr>
        <w:t>, 2019</w:t>
      </w:r>
      <w:r>
        <w:br w:type="page"/>
      </w:r>
    </w:p>
    <w:p w:rsidR="009747E5" w:rsidRDefault="00BC0E7C">
      <w:pPr>
        <w:keepNext/>
        <w:keepLines/>
        <w:pBdr>
          <w:top w:val="nil"/>
          <w:left w:val="nil"/>
          <w:bottom w:val="single" w:sz="4" w:space="1" w:color="4F81BD"/>
          <w:right w:val="nil"/>
          <w:between w:val="nil"/>
        </w:pBdr>
        <w:spacing w:before="400" w:after="480" w:line="240" w:lineRule="auto"/>
        <w:jc w:val="center"/>
        <w:rPr>
          <w:rFonts w:ascii="Cambria" w:eastAsia="Cambria" w:hAnsi="Cambria" w:cs="Cambria"/>
          <w:color w:val="000000"/>
          <w:sz w:val="36"/>
          <w:szCs w:val="36"/>
        </w:rPr>
      </w:pPr>
      <w:r>
        <w:rPr>
          <w:rFonts w:ascii="Cambria" w:eastAsia="Cambria" w:hAnsi="Cambria" w:cs="Cambria"/>
          <w:color w:val="000000"/>
          <w:sz w:val="36"/>
          <w:szCs w:val="36"/>
        </w:rPr>
        <w:lastRenderedPageBreak/>
        <w:t>Table of Contents</w:t>
      </w:r>
    </w:p>
    <w:sdt>
      <w:sdtPr>
        <w:id w:val="-568268924"/>
        <w:docPartObj>
          <w:docPartGallery w:val="Table of Contents"/>
          <w:docPartUnique/>
        </w:docPartObj>
      </w:sdtPr>
      <w:sdtEndPr/>
      <w:sdtContent>
        <w:p w:rsidR="00BA016B" w:rsidRDefault="00BC0E7C">
          <w:pPr>
            <w:pStyle w:val="TOC1"/>
            <w:tabs>
              <w:tab w:val="right" w:pos="9350"/>
            </w:tabs>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9521693" w:history="1">
            <w:r w:rsidR="00BA016B" w:rsidRPr="00787265">
              <w:rPr>
                <w:rStyle w:val="Hyperlink"/>
                <w:noProof/>
              </w:rPr>
              <w:t>A.1. Circumstances Making the Collection of Information Necessary</w:t>
            </w:r>
            <w:r w:rsidR="00BA016B">
              <w:rPr>
                <w:noProof/>
                <w:webHidden/>
              </w:rPr>
              <w:tab/>
            </w:r>
            <w:r w:rsidR="00BA016B">
              <w:rPr>
                <w:noProof/>
                <w:webHidden/>
              </w:rPr>
              <w:fldChar w:fldCharType="begin"/>
            </w:r>
            <w:r w:rsidR="00BA016B">
              <w:rPr>
                <w:noProof/>
                <w:webHidden/>
              </w:rPr>
              <w:instrText xml:space="preserve"> PAGEREF _Toc9521693 \h </w:instrText>
            </w:r>
            <w:r w:rsidR="00BA016B">
              <w:rPr>
                <w:noProof/>
                <w:webHidden/>
              </w:rPr>
            </w:r>
            <w:r w:rsidR="00BA016B">
              <w:rPr>
                <w:noProof/>
                <w:webHidden/>
              </w:rPr>
              <w:fldChar w:fldCharType="separate"/>
            </w:r>
            <w:r w:rsidR="00BA016B">
              <w:rPr>
                <w:noProof/>
                <w:webHidden/>
              </w:rPr>
              <w:t>5</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694" w:history="1">
            <w:r w:rsidR="00BA016B" w:rsidRPr="00787265">
              <w:rPr>
                <w:rStyle w:val="Hyperlink"/>
                <w:noProof/>
              </w:rPr>
              <w:t>A.2. Purpose and Use of the Information Collection</w:t>
            </w:r>
            <w:r w:rsidR="00BA016B">
              <w:rPr>
                <w:noProof/>
                <w:webHidden/>
              </w:rPr>
              <w:tab/>
            </w:r>
            <w:r w:rsidR="00BA016B">
              <w:rPr>
                <w:noProof/>
                <w:webHidden/>
              </w:rPr>
              <w:fldChar w:fldCharType="begin"/>
            </w:r>
            <w:r w:rsidR="00BA016B">
              <w:rPr>
                <w:noProof/>
                <w:webHidden/>
              </w:rPr>
              <w:instrText xml:space="preserve"> PAGEREF _Toc9521694 \h </w:instrText>
            </w:r>
            <w:r w:rsidR="00BA016B">
              <w:rPr>
                <w:noProof/>
                <w:webHidden/>
              </w:rPr>
            </w:r>
            <w:r w:rsidR="00BA016B">
              <w:rPr>
                <w:noProof/>
                <w:webHidden/>
              </w:rPr>
              <w:fldChar w:fldCharType="separate"/>
            </w:r>
            <w:r w:rsidR="00BA016B">
              <w:rPr>
                <w:noProof/>
                <w:webHidden/>
              </w:rPr>
              <w:t>6</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695" w:history="1">
            <w:r w:rsidR="00BA016B" w:rsidRPr="00787265">
              <w:rPr>
                <w:rStyle w:val="Hyperlink"/>
                <w:noProof/>
              </w:rPr>
              <w:t>A.3. Use of Improved Information Technology and Burden Reduction</w:t>
            </w:r>
            <w:r w:rsidR="00BA016B">
              <w:rPr>
                <w:noProof/>
                <w:webHidden/>
              </w:rPr>
              <w:tab/>
            </w:r>
            <w:r w:rsidR="00BA016B">
              <w:rPr>
                <w:noProof/>
                <w:webHidden/>
              </w:rPr>
              <w:fldChar w:fldCharType="begin"/>
            </w:r>
            <w:r w:rsidR="00BA016B">
              <w:rPr>
                <w:noProof/>
                <w:webHidden/>
              </w:rPr>
              <w:instrText xml:space="preserve"> PAGEREF _Toc9521695 \h </w:instrText>
            </w:r>
            <w:r w:rsidR="00BA016B">
              <w:rPr>
                <w:noProof/>
                <w:webHidden/>
              </w:rPr>
            </w:r>
            <w:r w:rsidR="00BA016B">
              <w:rPr>
                <w:noProof/>
                <w:webHidden/>
              </w:rPr>
              <w:fldChar w:fldCharType="separate"/>
            </w:r>
            <w:r w:rsidR="00BA016B">
              <w:rPr>
                <w:noProof/>
                <w:webHidden/>
              </w:rPr>
              <w:t>7</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696" w:history="1">
            <w:r w:rsidR="00BA016B" w:rsidRPr="00787265">
              <w:rPr>
                <w:rStyle w:val="Hyperlink"/>
                <w:noProof/>
              </w:rPr>
              <w:t>A.4. Efforts to Identify Duplication and Use of Similar Information</w:t>
            </w:r>
            <w:r w:rsidR="00BA016B">
              <w:rPr>
                <w:noProof/>
                <w:webHidden/>
              </w:rPr>
              <w:tab/>
            </w:r>
            <w:r w:rsidR="00BA016B">
              <w:rPr>
                <w:noProof/>
                <w:webHidden/>
              </w:rPr>
              <w:fldChar w:fldCharType="begin"/>
            </w:r>
            <w:r w:rsidR="00BA016B">
              <w:rPr>
                <w:noProof/>
                <w:webHidden/>
              </w:rPr>
              <w:instrText xml:space="preserve"> PAGEREF _Toc9521696 \h </w:instrText>
            </w:r>
            <w:r w:rsidR="00BA016B">
              <w:rPr>
                <w:noProof/>
                <w:webHidden/>
              </w:rPr>
            </w:r>
            <w:r w:rsidR="00BA016B">
              <w:rPr>
                <w:noProof/>
                <w:webHidden/>
              </w:rPr>
              <w:fldChar w:fldCharType="separate"/>
            </w:r>
            <w:r w:rsidR="00BA016B">
              <w:rPr>
                <w:noProof/>
                <w:webHidden/>
              </w:rPr>
              <w:t>8</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697" w:history="1">
            <w:r w:rsidR="00BA016B" w:rsidRPr="00787265">
              <w:rPr>
                <w:rStyle w:val="Hyperlink"/>
                <w:noProof/>
              </w:rPr>
              <w:t>A.5. Impact on Small Businesses or Other Small Entities</w:t>
            </w:r>
            <w:r w:rsidR="00BA016B">
              <w:rPr>
                <w:noProof/>
                <w:webHidden/>
              </w:rPr>
              <w:tab/>
            </w:r>
            <w:r w:rsidR="00BA016B">
              <w:rPr>
                <w:noProof/>
                <w:webHidden/>
              </w:rPr>
              <w:fldChar w:fldCharType="begin"/>
            </w:r>
            <w:r w:rsidR="00BA016B">
              <w:rPr>
                <w:noProof/>
                <w:webHidden/>
              </w:rPr>
              <w:instrText xml:space="preserve"> PAGEREF _Toc9521697 \h </w:instrText>
            </w:r>
            <w:r w:rsidR="00BA016B">
              <w:rPr>
                <w:noProof/>
                <w:webHidden/>
              </w:rPr>
            </w:r>
            <w:r w:rsidR="00BA016B">
              <w:rPr>
                <w:noProof/>
                <w:webHidden/>
              </w:rPr>
              <w:fldChar w:fldCharType="separate"/>
            </w:r>
            <w:r w:rsidR="00BA016B">
              <w:rPr>
                <w:noProof/>
                <w:webHidden/>
              </w:rPr>
              <w:t>8</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698" w:history="1">
            <w:r w:rsidR="00BA016B" w:rsidRPr="00787265">
              <w:rPr>
                <w:rStyle w:val="Hyperlink"/>
                <w:noProof/>
              </w:rPr>
              <w:t>A.6. Consequences of Collecting the Information Less Frequently</w:t>
            </w:r>
            <w:r w:rsidR="00BA016B">
              <w:rPr>
                <w:noProof/>
                <w:webHidden/>
              </w:rPr>
              <w:tab/>
            </w:r>
            <w:r w:rsidR="00BA016B">
              <w:rPr>
                <w:noProof/>
                <w:webHidden/>
              </w:rPr>
              <w:fldChar w:fldCharType="begin"/>
            </w:r>
            <w:r w:rsidR="00BA016B">
              <w:rPr>
                <w:noProof/>
                <w:webHidden/>
              </w:rPr>
              <w:instrText xml:space="preserve"> PAGEREF _Toc9521698 \h </w:instrText>
            </w:r>
            <w:r w:rsidR="00BA016B">
              <w:rPr>
                <w:noProof/>
                <w:webHidden/>
              </w:rPr>
            </w:r>
            <w:r w:rsidR="00BA016B">
              <w:rPr>
                <w:noProof/>
                <w:webHidden/>
              </w:rPr>
              <w:fldChar w:fldCharType="separate"/>
            </w:r>
            <w:r w:rsidR="00BA016B">
              <w:rPr>
                <w:noProof/>
                <w:webHidden/>
              </w:rPr>
              <w:t>9</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699" w:history="1">
            <w:r w:rsidR="00BA016B" w:rsidRPr="00787265">
              <w:rPr>
                <w:rStyle w:val="Hyperlink"/>
                <w:noProof/>
              </w:rPr>
              <w:t>A.7. Special Circumstances Relating to the Guidelines of 5 CFR 1320.5</w:t>
            </w:r>
            <w:r w:rsidR="00BA016B">
              <w:rPr>
                <w:noProof/>
                <w:webHidden/>
              </w:rPr>
              <w:tab/>
            </w:r>
            <w:r w:rsidR="00BA016B">
              <w:rPr>
                <w:noProof/>
                <w:webHidden/>
              </w:rPr>
              <w:fldChar w:fldCharType="begin"/>
            </w:r>
            <w:r w:rsidR="00BA016B">
              <w:rPr>
                <w:noProof/>
                <w:webHidden/>
              </w:rPr>
              <w:instrText xml:space="preserve"> PAGEREF _Toc9521699 \h </w:instrText>
            </w:r>
            <w:r w:rsidR="00BA016B">
              <w:rPr>
                <w:noProof/>
                <w:webHidden/>
              </w:rPr>
            </w:r>
            <w:r w:rsidR="00BA016B">
              <w:rPr>
                <w:noProof/>
                <w:webHidden/>
              </w:rPr>
              <w:fldChar w:fldCharType="separate"/>
            </w:r>
            <w:r w:rsidR="00BA016B">
              <w:rPr>
                <w:noProof/>
                <w:webHidden/>
              </w:rPr>
              <w:t>9</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00" w:history="1">
            <w:r w:rsidR="00BA016B" w:rsidRPr="00787265">
              <w:rPr>
                <w:rStyle w:val="Hyperlink"/>
                <w:noProof/>
              </w:rPr>
              <w:t>A.8. Comments in Response to the Federal Register Notice and Efforts to Consult Outside the Agency</w:t>
            </w:r>
            <w:r w:rsidR="00BA016B">
              <w:rPr>
                <w:noProof/>
                <w:webHidden/>
              </w:rPr>
              <w:tab/>
            </w:r>
            <w:r w:rsidR="00BA016B">
              <w:rPr>
                <w:noProof/>
                <w:webHidden/>
              </w:rPr>
              <w:fldChar w:fldCharType="begin"/>
            </w:r>
            <w:r w:rsidR="00BA016B">
              <w:rPr>
                <w:noProof/>
                <w:webHidden/>
              </w:rPr>
              <w:instrText xml:space="preserve"> PAGEREF _Toc9521700 \h </w:instrText>
            </w:r>
            <w:r w:rsidR="00BA016B">
              <w:rPr>
                <w:noProof/>
                <w:webHidden/>
              </w:rPr>
            </w:r>
            <w:r w:rsidR="00BA016B">
              <w:rPr>
                <w:noProof/>
                <w:webHidden/>
              </w:rPr>
              <w:fldChar w:fldCharType="separate"/>
            </w:r>
            <w:r w:rsidR="00BA016B">
              <w:rPr>
                <w:noProof/>
                <w:webHidden/>
              </w:rPr>
              <w:t>9</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01" w:history="1">
            <w:r w:rsidR="00BA016B" w:rsidRPr="00787265">
              <w:rPr>
                <w:rStyle w:val="Hyperlink"/>
                <w:noProof/>
              </w:rPr>
              <w:t>A.9. Explanation of Any Payment or Gift to Respondents</w:t>
            </w:r>
            <w:r w:rsidR="00BA016B">
              <w:rPr>
                <w:noProof/>
                <w:webHidden/>
              </w:rPr>
              <w:tab/>
            </w:r>
            <w:r w:rsidR="00BA016B">
              <w:rPr>
                <w:noProof/>
                <w:webHidden/>
              </w:rPr>
              <w:fldChar w:fldCharType="begin"/>
            </w:r>
            <w:r w:rsidR="00BA016B">
              <w:rPr>
                <w:noProof/>
                <w:webHidden/>
              </w:rPr>
              <w:instrText xml:space="preserve"> PAGEREF _Toc9521701 \h </w:instrText>
            </w:r>
            <w:r w:rsidR="00BA016B">
              <w:rPr>
                <w:noProof/>
                <w:webHidden/>
              </w:rPr>
            </w:r>
            <w:r w:rsidR="00BA016B">
              <w:rPr>
                <w:noProof/>
                <w:webHidden/>
              </w:rPr>
              <w:fldChar w:fldCharType="separate"/>
            </w:r>
            <w:r w:rsidR="00BA016B">
              <w:rPr>
                <w:noProof/>
                <w:webHidden/>
              </w:rPr>
              <w:t>9</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02" w:history="1">
            <w:r w:rsidR="00BA016B" w:rsidRPr="00787265">
              <w:rPr>
                <w:rStyle w:val="Hyperlink"/>
                <w:noProof/>
              </w:rPr>
              <w:t>A.10. Protection of the Privacy and Confidentiality of Information Provided by Respondents</w:t>
            </w:r>
            <w:r w:rsidR="00BA016B">
              <w:rPr>
                <w:noProof/>
                <w:webHidden/>
              </w:rPr>
              <w:tab/>
            </w:r>
            <w:r w:rsidR="00BA016B">
              <w:rPr>
                <w:noProof/>
                <w:webHidden/>
              </w:rPr>
              <w:fldChar w:fldCharType="begin"/>
            </w:r>
            <w:r w:rsidR="00BA016B">
              <w:rPr>
                <w:noProof/>
                <w:webHidden/>
              </w:rPr>
              <w:instrText xml:space="preserve"> PAGEREF _Toc9521702 \h </w:instrText>
            </w:r>
            <w:r w:rsidR="00BA016B">
              <w:rPr>
                <w:noProof/>
                <w:webHidden/>
              </w:rPr>
            </w:r>
            <w:r w:rsidR="00BA016B">
              <w:rPr>
                <w:noProof/>
                <w:webHidden/>
              </w:rPr>
              <w:fldChar w:fldCharType="separate"/>
            </w:r>
            <w:r w:rsidR="00BA016B">
              <w:rPr>
                <w:noProof/>
                <w:webHidden/>
              </w:rPr>
              <w:t>10</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03" w:history="1">
            <w:r w:rsidR="00BA016B" w:rsidRPr="00787265">
              <w:rPr>
                <w:rStyle w:val="Hyperlink"/>
                <w:noProof/>
              </w:rPr>
              <w:t>A.11. Institutional Review Board (IRB) and Justification for Sensitive Questions</w:t>
            </w:r>
            <w:r w:rsidR="00BA016B">
              <w:rPr>
                <w:noProof/>
                <w:webHidden/>
              </w:rPr>
              <w:tab/>
            </w:r>
            <w:r w:rsidR="00BA016B">
              <w:rPr>
                <w:noProof/>
                <w:webHidden/>
              </w:rPr>
              <w:fldChar w:fldCharType="begin"/>
            </w:r>
            <w:r w:rsidR="00BA016B">
              <w:rPr>
                <w:noProof/>
                <w:webHidden/>
              </w:rPr>
              <w:instrText xml:space="preserve"> PAGEREF _Toc9521703 \h </w:instrText>
            </w:r>
            <w:r w:rsidR="00BA016B">
              <w:rPr>
                <w:noProof/>
                <w:webHidden/>
              </w:rPr>
            </w:r>
            <w:r w:rsidR="00BA016B">
              <w:rPr>
                <w:noProof/>
                <w:webHidden/>
              </w:rPr>
              <w:fldChar w:fldCharType="separate"/>
            </w:r>
            <w:r w:rsidR="00BA016B">
              <w:rPr>
                <w:noProof/>
                <w:webHidden/>
              </w:rPr>
              <w:t>10</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04" w:history="1">
            <w:r w:rsidR="00BA016B" w:rsidRPr="00787265">
              <w:rPr>
                <w:rStyle w:val="Hyperlink"/>
                <w:noProof/>
              </w:rPr>
              <w:t>A.12. Estimates of Annualized Burden Hours and Costs</w:t>
            </w:r>
            <w:r w:rsidR="00BA016B">
              <w:rPr>
                <w:noProof/>
                <w:webHidden/>
              </w:rPr>
              <w:tab/>
            </w:r>
            <w:r w:rsidR="00BA016B">
              <w:rPr>
                <w:noProof/>
                <w:webHidden/>
              </w:rPr>
              <w:fldChar w:fldCharType="begin"/>
            </w:r>
            <w:r w:rsidR="00BA016B">
              <w:rPr>
                <w:noProof/>
                <w:webHidden/>
              </w:rPr>
              <w:instrText xml:space="preserve"> PAGEREF _Toc9521704 \h </w:instrText>
            </w:r>
            <w:r w:rsidR="00BA016B">
              <w:rPr>
                <w:noProof/>
                <w:webHidden/>
              </w:rPr>
            </w:r>
            <w:r w:rsidR="00BA016B">
              <w:rPr>
                <w:noProof/>
                <w:webHidden/>
              </w:rPr>
              <w:fldChar w:fldCharType="separate"/>
            </w:r>
            <w:r w:rsidR="00BA016B">
              <w:rPr>
                <w:noProof/>
                <w:webHidden/>
              </w:rPr>
              <w:t>10</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05" w:history="1">
            <w:r w:rsidR="00BA016B" w:rsidRPr="00787265">
              <w:rPr>
                <w:rStyle w:val="Hyperlink"/>
                <w:noProof/>
              </w:rPr>
              <w:t>A.13. Estimates of Other Total Annual Cost Burden to Respondents and Record Keepers</w:t>
            </w:r>
            <w:r w:rsidR="00BA016B">
              <w:rPr>
                <w:noProof/>
                <w:webHidden/>
              </w:rPr>
              <w:tab/>
            </w:r>
            <w:r w:rsidR="00BA016B">
              <w:rPr>
                <w:noProof/>
                <w:webHidden/>
              </w:rPr>
              <w:fldChar w:fldCharType="begin"/>
            </w:r>
            <w:r w:rsidR="00BA016B">
              <w:rPr>
                <w:noProof/>
                <w:webHidden/>
              </w:rPr>
              <w:instrText xml:space="preserve"> PAGEREF _Toc9521705 \h </w:instrText>
            </w:r>
            <w:r w:rsidR="00BA016B">
              <w:rPr>
                <w:noProof/>
                <w:webHidden/>
              </w:rPr>
            </w:r>
            <w:r w:rsidR="00BA016B">
              <w:rPr>
                <w:noProof/>
                <w:webHidden/>
              </w:rPr>
              <w:fldChar w:fldCharType="separate"/>
            </w:r>
            <w:r w:rsidR="00BA016B">
              <w:rPr>
                <w:noProof/>
                <w:webHidden/>
              </w:rPr>
              <w:t>11</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06" w:history="1">
            <w:r w:rsidR="00BA016B" w:rsidRPr="00787265">
              <w:rPr>
                <w:rStyle w:val="Hyperlink"/>
                <w:noProof/>
              </w:rPr>
              <w:t>A.14. Annualized Cost to the Federal Government</w:t>
            </w:r>
            <w:r w:rsidR="00BA016B">
              <w:rPr>
                <w:noProof/>
                <w:webHidden/>
              </w:rPr>
              <w:tab/>
            </w:r>
            <w:r w:rsidR="00BA016B">
              <w:rPr>
                <w:noProof/>
                <w:webHidden/>
              </w:rPr>
              <w:fldChar w:fldCharType="begin"/>
            </w:r>
            <w:r w:rsidR="00BA016B">
              <w:rPr>
                <w:noProof/>
                <w:webHidden/>
              </w:rPr>
              <w:instrText xml:space="preserve"> PAGEREF _Toc9521706 \h </w:instrText>
            </w:r>
            <w:r w:rsidR="00BA016B">
              <w:rPr>
                <w:noProof/>
                <w:webHidden/>
              </w:rPr>
            </w:r>
            <w:r w:rsidR="00BA016B">
              <w:rPr>
                <w:noProof/>
                <w:webHidden/>
              </w:rPr>
              <w:fldChar w:fldCharType="separate"/>
            </w:r>
            <w:r w:rsidR="00BA016B">
              <w:rPr>
                <w:noProof/>
                <w:webHidden/>
              </w:rPr>
              <w:t>11</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07" w:history="1">
            <w:r w:rsidR="00BA016B" w:rsidRPr="00787265">
              <w:rPr>
                <w:rStyle w:val="Hyperlink"/>
                <w:noProof/>
              </w:rPr>
              <w:t>A.15. Explanation for Program Changes or Adjustments</w:t>
            </w:r>
            <w:r w:rsidR="00BA016B">
              <w:rPr>
                <w:noProof/>
                <w:webHidden/>
              </w:rPr>
              <w:tab/>
            </w:r>
            <w:r w:rsidR="00BA016B">
              <w:rPr>
                <w:noProof/>
                <w:webHidden/>
              </w:rPr>
              <w:fldChar w:fldCharType="begin"/>
            </w:r>
            <w:r w:rsidR="00BA016B">
              <w:rPr>
                <w:noProof/>
                <w:webHidden/>
              </w:rPr>
              <w:instrText xml:space="preserve"> PAGEREF _Toc9521707 \h </w:instrText>
            </w:r>
            <w:r w:rsidR="00BA016B">
              <w:rPr>
                <w:noProof/>
                <w:webHidden/>
              </w:rPr>
            </w:r>
            <w:r w:rsidR="00BA016B">
              <w:rPr>
                <w:noProof/>
                <w:webHidden/>
              </w:rPr>
              <w:fldChar w:fldCharType="separate"/>
            </w:r>
            <w:r w:rsidR="00BA016B">
              <w:rPr>
                <w:noProof/>
                <w:webHidden/>
              </w:rPr>
              <w:t>11</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08" w:history="1">
            <w:r w:rsidR="00BA016B" w:rsidRPr="00787265">
              <w:rPr>
                <w:rStyle w:val="Hyperlink"/>
                <w:noProof/>
              </w:rPr>
              <w:t>A.16. Plans for Tabulation and Publication and Project Time Schedule</w:t>
            </w:r>
            <w:r w:rsidR="00BA016B">
              <w:rPr>
                <w:noProof/>
                <w:webHidden/>
              </w:rPr>
              <w:tab/>
            </w:r>
            <w:r w:rsidR="00BA016B">
              <w:rPr>
                <w:noProof/>
                <w:webHidden/>
              </w:rPr>
              <w:fldChar w:fldCharType="begin"/>
            </w:r>
            <w:r w:rsidR="00BA016B">
              <w:rPr>
                <w:noProof/>
                <w:webHidden/>
              </w:rPr>
              <w:instrText xml:space="preserve"> PAGEREF _Toc9521708 \h </w:instrText>
            </w:r>
            <w:r w:rsidR="00BA016B">
              <w:rPr>
                <w:noProof/>
                <w:webHidden/>
              </w:rPr>
            </w:r>
            <w:r w:rsidR="00BA016B">
              <w:rPr>
                <w:noProof/>
                <w:webHidden/>
              </w:rPr>
              <w:fldChar w:fldCharType="separate"/>
            </w:r>
            <w:r w:rsidR="00BA016B">
              <w:rPr>
                <w:noProof/>
                <w:webHidden/>
              </w:rPr>
              <w:t>11</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09" w:history="1">
            <w:r w:rsidR="00BA016B" w:rsidRPr="00787265">
              <w:rPr>
                <w:rStyle w:val="Hyperlink"/>
                <w:noProof/>
              </w:rPr>
              <w:t>A.17. Reason(s) Display of OMB Expiration Date is Inappropriate</w:t>
            </w:r>
            <w:r w:rsidR="00BA016B">
              <w:rPr>
                <w:noProof/>
                <w:webHidden/>
              </w:rPr>
              <w:tab/>
            </w:r>
            <w:r w:rsidR="00BA016B">
              <w:rPr>
                <w:noProof/>
                <w:webHidden/>
              </w:rPr>
              <w:fldChar w:fldCharType="begin"/>
            </w:r>
            <w:r w:rsidR="00BA016B">
              <w:rPr>
                <w:noProof/>
                <w:webHidden/>
              </w:rPr>
              <w:instrText xml:space="preserve"> PAGEREF _Toc9521709 \h </w:instrText>
            </w:r>
            <w:r w:rsidR="00BA016B">
              <w:rPr>
                <w:noProof/>
                <w:webHidden/>
              </w:rPr>
            </w:r>
            <w:r w:rsidR="00BA016B">
              <w:rPr>
                <w:noProof/>
                <w:webHidden/>
              </w:rPr>
              <w:fldChar w:fldCharType="separate"/>
            </w:r>
            <w:r w:rsidR="00BA016B">
              <w:rPr>
                <w:noProof/>
                <w:webHidden/>
              </w:rPr>
              <w:t>12</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10" w:history="1">
            <w:r w:rsidR="00BA016B" w:rsidRPr="00787265">
              <w:rPr>
                <w:rStyle w:val="Hyperlink"/>
                <w:noProof/>
              </w:rPr>
              <w:t>A.18. Exceptions to Certification for Paperwork Reduction Act Submissions</w:t>
            </w:r>
            <w:r w:rsidR="00BA016B">
              <w:rPr>
                <w:noProof/>
                <w:webHidden/>
              </w:rPr>
              <w:tab/>
            </w:r>
            <w:r w:rsidR="00BA016B">
              <w:rPr>
                <w:noProof/>
                <w:webHidden/>
              </w:rPr>
              <w:fldChar w:fldCharType="begin"/>
            </w:r>
            <w:r w:rsidR="00BA016B">
              <w:rPr>
                <w:noProof/>
                <w:webHidden/>
              </w:rPr>
              <w:instrText xml:space="preserve"> PAGEREF _Toc9521710 \h </w:instrText>
            </w:r>
            <w:r w:rsidR="00BA016B">
              <w:rPr>
                <w:noProof/>
                <w:webHidden/>
              </w:rPr>
            </w:r>
            <w:r w:rsidR="00BA016B">
              <w:rPr>
                <w:noProof/>
                <w:webHidden/>
              </w:rPr>
              <w:fldChar w:fldCharType="separate"/>
            </w:r>
            <w:r w:rsidR="00BA016B">
              <w:rPr>
                <w:noProof/>
                <w:webHidden/>
              </w:rPr>
              <w:t>12</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11" w:history="1">
            <w:r w:rsidR="00BA016B" w:rsidRPr="00787265">
              <w:rPr>
                <w:rStyle w:val="Hyperlink"/>
                <w:noProof/>
              </w:rPr>
              <w:t>References</w:t>
            </w:r>
            <w:r w:rsidR="00BA016B">
              <w:rPr>
                <w:noProof/>
                <w:webHidden/>
              </w:rPr>
              <w:tab/>
            </w:r>
            <w:r w:rsidR="00BA016B">
              <w:rPr>
                <w:noProof/>
                <w:webHidden/>
              </w:rPr>
              <w:fldChar w:fldCharType="begin"/>
            </w:r>
            <w:r w:rsidR="00BA016B">
              <w:rPr>
                <w:noProof/>
                <w:webHidden/>
              </w:rPr>
              <w:instrText xml:space="preserve"> PAGEREF _Toc9521711 \h </w:instrText>
            </w:r>
            <w:r w:rsidR="00BA016B">
              <w:rPr>
                <w:noProof/>
                <w:webHidden/>
              </w:rPr>
            </w:r>
            <w:r w:rsidR="00BA016B">
              <w:rPr>
                <w:noProof/>
                <w:webHidden/>
              </w:rPr>
              <w:fldChar w:fldCharType="separate"/>
            </w:r>
            <w:r w:rsidR="00BA016B">
              <w:rPr>
                <w:noProof/>
                <w:webHidden/>
              </w:rPr>
              <w:t>12</w:t>
            </w:r>
            <w:r w:rsidR="00BA016B">
              <w:rPr>
                <w:noProof/>
                <w:webHidden/>
              </w:rPr>
              <w:fldChar w:fldCharType="end"/>
            </w:r>
          </w:hyperlink>
        </w:p>
        <w:p w:rsidR="00BA016B" w:rsidRDefault="00DE3F82">
          <w:pPr>
            <w:pStyle w:val="TOC1"/>
            <w:tabs>
              <w:tab w:val="right" w:pos="9350"/>
            </w:tabs>
            <w:rPr>
              <w:rFonts w:asciiTheme="minorHAnsi" w:eastAsiaTheme="minorEastAsia" w:hAnsiTheme="minorHAnsi" w:cstheme="minorBidi"/>
              <w:noProof/>
              <w:sz w:val="22"/>
              <w:szCs w:val="22"/>
            </w:rPr>
          </w:pPr>
          <w:hyperlink w:anchor="_Toc9521712" w:history="1">
            <w:r w:rsidR="00BA016B" w:rsidRPr="00787265">
              <w:rPr>
                <w:rStyle w:val="Hyperlink"/>
                <w:noProof/>
              </w:rPr>
              <w:t>List of Attachments</w:t>
            </w:r>
            <w:r w:rsidR="00BA016B">
              <w:rPr>
                <w:noProof/>
                <w:webHidden/>
              </w:rPr>
              <w:tab/>
            </w:r>
            <w:r w:rsidR="00BA016B">
              <w:rPr>
                <w:noProof/>
                <w:webHidden/>
              </w:rPr>
              <w:fldChar w:fldCharType="begin"/>
            </w:r>
            <w:r w:rsidR="00BA016B">
              <w:rPr>
                <w:noProof/>
                <w:webHidden/>
              </w:rPr>
              <w:instrText xml:space="preserve"> PAGEREF _Toc9521712 \h </w:instrText>
            </w:r>
            <w:r w:rsidR="00BA016B">
              <w:rPr>
                <w:noProof/>
                <w:webHidden/>
              </w:rPr>
            </w:r>
            <w:r w:rsidR="00BA016B">
              <w:rPr>
                <w:noProof/>
                <w:webHidden/>
              </w:rPr>
              <w:fldChar w:fldCharType="separate"/>
            </w:r>
            <w:r w:rsidR="00BA016B">
              <w:rPr>
                <w:noProof/>
                <w:webHidden/>
              </w:rPr>
              <w:t>13</w:t>
            </w:r>
            <w:r w:rsidR="00BA016B">
              <w:rPr>
                <w:noProof/>
                <w:webHidden/>
              </w:rPr>
              <w:fldChar w:fldCharType="end"/>
            </w:r>
          </w:hyperlink>
        </w:p>
        <w:p w:rsidR="009747E5" w:rsidRDefault="00BC0E7C">
          <w:r>
            <w:fldChar w:fldCharType="end"/>
          </w:r>
        </w:p>
      </w:sdtContent>
    </w:sdt>
    <w:p w:rsidR="009747E5" w:rsidRDefault="009747E5">
      <w:pPr>
        <w:spacing w:after="200" w:line="276" w:lineRule="auto"/>
        <w:rPr>
          <w:b/>
          <w:sz w:val="26"/>
          <w:szCs w:val="26"/>
        </w:rPr>
      </w:pPr>
    </w:p>
    <w:p w:rsidR="009747E5" w:rsidRDefault="00BC0E7C">
      <w:r>
        <w:br w:type="page"/>
      </w:r>
    </w:p>
    <w:p w:rsidR="009747E5" w:rsidRDefault="00C85920">
      <w:pPr>
        <w:pBdr>
          <w:bottom w:val="single" w:sz="4" w:space="1" w:color="000000"/>
        </w:pBdr>
        <w:rPr>
          <w:rFonts w:ascii="Cambria" w:eastAsia="Cambria" w:hAnsi="Cambria" w:cs="Cambria"/>
          <w:sz w:val="36"/>
          <w:szCs w:val="36"/>
        </w:rPr>
      </w:pPr>
      <w:r>
        <w:rPr>
          <w:noProof/>
        </w:rPr>
        <w:lastRenderedPageBreak/>
        <mc:AlternateContent>
          <mc:Choice Requires="wps">
            <w:drawing>
              <wp:anchor distT="45720" distB="45720" distL="114300" distR="114300" simplePos="0" relativeHeight="251658240" behindDoc="0" locked="0" layoutInCell="1" hidden="0" allowOverlap="1" wp14:anchorId="03BAA990" wp14:editId="2B07B5B5">
                <wp:simplePos x="0" y="0"/>
                <wp:positionH relativeFrom="column">
                  <wp:posOffset>7620</wp:posOffset>
                </wp:positionH>
                <wp:positionV relativeFrom="paragraph">
                  <wp:posOffset>480060</wp:posOffset>
                </wp:positionV>
                <wp:extent cx="5930900" cy="3215640"/>
                <wp:effectExtent l="0" t="0" r="12700" b="2286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5930900" cy="32156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747E5" w:rsidRDefault="00BC0E7C">
                            <w:pPr>
                              <w:spacing w:before="240" w:line="240" w:lineRule="auto"/>
                              <w:textDirection w:val="btLr"/>
                            </w:pPr>
                            <w:r>
                              <w:rPr>
                                <w:b/>
                                <w:color w:val="000000"/>
                                <w:sz w:val="24"/>
                              </w:rPr>
                              <w:t xml:space="preserve">Goal of the study: </w:t>
                            </w:r>
                            <w:r>
                              <w:rPr>
                                <w:color w:val="000000"/>
                                <w:sz w:val="24"/>
                              </w:rPr>
                              <w:t xml:space="preserve">The goal of this information collection request is to conduct formative research to </w:t>
                            </w:r>
                            <w:r w:rsidR="00C85920">
                              <w:rPr>
                                <w:sz w:val="24"/>
                                <w:szCs w:val="24"/>
                              </w:rPr>
                              <w:t xml:space="preserve">identify barriers and strengths associated with making aquatic facilities’ environmental health data usable and more easily accessible to the public.  </w:t>
                            </w:r>
                          </w:p>
                          <w:p w:rsidR="009747E5" w:rsidRDefault="00BC0E7C">
                            <w:pPr>
                              <w:spacing w:before="240" w:line="240" w:lineRule="auto"/>
                              <w:textDirection w:val="btLr"/>
                            </w:pPr>
                            <w:r>
                              <w:rPr>
                                <w:b/>
                                <w:color w:val="000000"/>
                                <w:sz w:val="24"/>
                              </w:rPr>
                              <w:t xml:space="preserve">Intended use of the resulting data: </w:t>
                            </w:r>
                            <w:r>
                              <w:rPr>
                                <w:color w:val="000000"/>
                                <w:sz w:val="24"/>
                              </w:rPr>
                              <w:t>The information collected through this GenIC will inform the development of an open data standard</w:t>
                            </w:r>
                            <w:r w:rsidR="00C85920">
                              <w:rPr>
                                <w:color w:val="000000"/>
                                <w:sz w:val="24"/>
                              </w:rPr>
                              <w:t xml:space="preserve"> for existing, taxpayer funded environmental health data</w:t>
                            </w:r>
                            <w:r>
                              <w:rPr>
                                <w:color w:val="000000"/>
                                <w:sz w:val="24"/>
                              </w:rPr>
                              <w:t xml:space="preserve">, including the </w:t>
                            </w:r>
                            <w:r w:rsidR="00475563">
                              <w:rPr>
                                <w:color w:val="000000"/>
                                <w:sz w:val="24"/>
                              </w:rPr>
                              <w:t xml:space="preserve">standard’s </w:t>
                            </w:r>
                            <w:r>
                              <w:rPr>
                                <w:color w:val="000000"/>
                                <w:sz w:val="24"/>
                              </w:rPr>
                              <w:t>content, implementation, and adoption.</w:t>
                            </w:r>
                            <w:r w:rsidR="00C85920">
                              <w:rPr>
                                <w:color w:val="000000"/>
                                <w:sz w:val="24"/>
                              </w:rPr>
                              <w:t xml:space="preserve">  </w:t>
                            </w:r>
                          </w:p>
                          <w:p w:rsidR="009747E5" w:rsidRDefault="00BC0E7C">
                            <w:pPr>
                              <w:spacing w:before="240" w:line="240" w:lineRule="auto"/>
                              <w:textDirection w:val="btLr"/>
                            </w:pPr>
                            <w:r>
                              <w:rPr>
                                <w:b/>
                                <w:color w:val="000000"/>
                                <w:sz w:val="24"/>
                              </w:rPr>
                              <w:t xml:space="preserve">Methods to be used to collect: </w:t>
                            </w:r>
                            <w:r>
                              <w:rPr>
                                <w:color w:val="000000"/>
                                <w:sz w:val="24"/>
                              </w:rPr>
                              <w:t>Individual in-depth interviews.</w:t>
                            </w:r>
                          </w:p>
                          <w:p w:rsidR="009747E5" w:rsidRDefault="00BC0E7C">
                            <w:pPr>
                              <w:spacing w:before="240" w:line="240" w:lineRule="auto"/>
                              <w:textDirection w:val="btLr"/>
                            </w:pPr>
                            <w:r>
                              <w:rPr>
                                <w:b/>
                                <w:color w:val="000000"/>
                                <w:sz w:val="24"/>
                              </w:rPr>
                              <w:t xml:space="preserve">Subpopulation to be studied: </w:t>
                            </w:r>
                            <w:r>
                              <w:rPr>
                                <w:color w:val="000000"/>
                                <w:sz w:val="24"/>
                              </w:rPr>
                              <w:t>Respondents include open data standards experts, municipal government information technology administrators, environmental health personnel, and technology providers.</w:t>
                            </w:r>
                          </w:p>
                          <w:p w:rsidR="009747E5" w:rsidRDefault="00BC0E7C">
                            <w:pPr>
                              <w:spacing w:before="240" w:line="240" w:lineRule="auto"/>
                              <w:textDirection w:val="btLr"/>
                            </w:pPr>
                            <w:r>
                              <w:rPr>
                                <w:b/>
                                <w:color w:val="000000"/>
                                <w:sz w:val="24"/>
                              </w:rPr>
                              <w:t xml:space="preserve">How data will be analyzed: </w:t>
                            </w:r>
                            <w:r>
                              <w:rPr>
                                <w:color w:val="000000"/>
                                <w:sz w:val="24"/>
                              </w:rPr>
                              <w:t>Descriptive analyses and thematic or grounded theory analysis of qualitative data.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pt;margin-top:37.8pt;width:467pt;height:25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">
                <v:stroke startarrowwidth="narrow" startarrowlength="short" endarrowwidth="narrow" endarrowlength="short"/>
                <v:textbox inset="2.53958mm,1.2694mm,2.53958mm,1.2694mm">
                  <w:txbxContent>
                    <w:p w:rsidR="009747E5" w:rsidRDefault="00BC0E7C">
                      <w:pPr>
                        <w:spacing w:before="240" w:line="240" w:lineRule="auto"/>
                        <w:textDirection w:val="btLr"/>
                      </w:pPr>
                      <w:r>
                        <w:rPr>
                          <w:b/>
                          <w:color w:val="000000"/>
                          <w:sz w:val="24"/>
                        </w:rPr>
                        <w:t xml:space="preserve">Goal of the study: </w:t>
                      </w:r>
                      <w:r>
                        <w:rPr>
                          <w:color w:val="000000"/>
                          <w:sz w:val="24"/>
                        </w:rPr>
                        <w:t xml:space="preserve">The goal of this information collection request is to conduct formative research to </w:t>
                      </w:r>
                      <w:r w:rsidR="00C85920">
                        <w:rPr>
                          <w:sz w:val="24"/>
                          <w:szCs w:val="24"/>
                        </w:rPr>
                        <w:t xml:space="preserve">identify barriers and strengths associated with making aquatic facilities’ environmental health data usable and more easily accessible to the public.  </w:t>
                      </w:r>
                    </w:p>
                    <w:p w:rsidR="009747E5" w:rsidRDefault="00BC0E7C">
                      <w:pPr>
                        <w:spacing w:before="240" w:line="240" w:lineRule="auto"/>
                        <w:textDirection w:val="btLr"/>
                      </w:pPr>
                      <w:r>
                        <w:rPr>
                          <w:b/>
                          <w:color w:val="000000"/>
                          <w:sz w:val="24"/>
                        </w:rPr>
                        <w:t xml:space="preserve">Intended use of the resulting data: </w:t>
                      </w:r>
                      <w:r>
                        <w:rPr>
                          <w:color w:val="000000"/>
                          <w:sz w:val="24"/>
                        </w:rPr>
                        <w:t>The information collected through this GenIC will inform the development of an open data standard</w:t>
                      </w:r>
                      <w:r w:rsidR="00C85920">
                        <w:rPr>
                          <w:color w:val="000000"/>
                          <w:sz w:val="24"/>
                        </w:rPr>
                        <w:t xml:space="preserve"> for existing, taxpayer funded environmental health data</w:t>
                      </w:r>
                      <w:r>
                        <w:rPr>
                          <w:color w:val="000000"/>
                          <w:sz w:val="24"/>
                        </w:rPr>
                        <w:t xml:space="preserve">, including the </w:t>
                      </w:r>
                      <w:r w:rsidR="00475563">
                        <w:rPr>
                          <w:color w:val="000000"/>
                          <w:sz w:val="24"/>
                        </w:rPr>
                        <w:t xml:space="preserve">standard’s </w:t>
                      </w:r>
                      <w:r>
                        <w:rPr>
                          <w:color w:val="000000"/>
                          <w:sz w:val="24"/>
                        </w:rPr>
                        <w:t>content, implementation, and adoption.</w:t>
                      </w:r>
                      <w:r w:rsidR="00C85920">
                        <w:rPr>
                          <w:color w:val="000000"/>
                          <w:sz w:val="24"/>
                        </w:rPr>
                        <w:t xml:space="preserve">  </w:t>
                      </w:r>
                    </w:p>
                    <w:p w:rsidR="009747E5" w:rsidRDefault="00BC0E7C">
                      <w:pPr>
                        <w:spacing w:before="240" w:line="240" w:lineRule="auto"/>
                        <w:textDirection w:val="btLr"/>
                      </w:pPr>
                      <w:r>
                        <w:rPr>
                          <w:b/>
                          <w:color w:val="000000"/>
                          <w:sz w:val="24"/>
                        </w:rPr>
                        <w:t xml:space="preserve">Methods to be used to collect: </w:t>
                      </w:r>
                      <w:r>
                        <w:rPr>
                          <w:color w:val="000000"/>
                          <w:sz w:val="24"/>
                        </w:rPr>
                        <w:t>Individual in-depth interviews.</w:t>
                      </w:r>
                    </w:p>
                    <w:p w:rsidR="009747E5" w:rsidRDefault="00BC0E7C">
                      <w:pPr>
                        <w:spacing w:before="240" w:line="240" w:lineRule="auto"/>
                        <w:textDirection w:val="btLr"/>
                      </w:pPr>
                      <w:r>
                        <w:rPr>
                          <w:b/>
                          <w:color w:val="000000"/>
                          <w:sz w:val="24"/>
                        </w:rPr>
                        <w:t xml:space="preserve">Subpopulation to be studied: </w:t>
                      </w:r>
                      <w:r>
                        <w:rPr>
                          <w:color w:val="000000"/>
                          <w:sz w:val="24"/>
                        </w:rPr>
                        <w:t>Respondents include open data standards experts, municipal government information technology administrators, environmental health personnel, and technology providers.</w:t>
                      </w:r>
                    </w:p>
                    <w:p w:rsidR="009747E5" w:rsidRDefault="00BC0E7C">
                      <w:pPr>
                        <w:spacing w:before="240" w:line="240" w:lineRule="auto"/>
                        <w:textDirection w:val="btLr"/>
                      </w:pPr>
                      <w:r>
                        <w:rPr>
                          <w:b/>
                          <w:color w:val="000000"/>
                          <w:sz w:val="24"/>
                        </w:rPr>
                        <w:t xml:space="preserve">How data will be analyzed: </w:t>
                      </w:r>
                      <w:r>
                        <w:rPr>
                          <w:color w:val="000000"/>
                          <w:sz w:val="24"/>
                        </w:rPr>
                        <w:t>Descriptive analyses and thematic or grounded theory analysis of qualitative data.</w:t>
                      </w:r>
                    </w:p>
                  </w:txbxContent>
                </v:textbox>
                <w10:wrap type="square"/>
              </v:rect>
            </w:pict>
          </mc:Fallback>
        </mc:AlternateContent>
      </w:r>
      <w:r w:rsidR="00BC0E7C">
        <w:rPr>
          <w:rFonts w:ascii="Cambria" w:eastAsia="Cambria" w:hAnsi="Cambria" w:cs="Cambria"/>
          <w:sz w:val="36"/>
          <w:szCs w:val="36"/>
        </w:rPr>
        <w:t>Part A. Justification</w:t>
      </w:r>
    </w:p>
    <w:p w:rsidR="009747E5" w:rsidRDefault="00BC0E7C">
      <w:pPr>
        <w:pStyle w:val="Heading1"/>
        <w:pBdr>
          <w:bottom w:val="none" w:sz="0" w:space="0" w:color="000000"/>
        </w:pBdr>
        <w:rPr>
          <w:color w:val="000000"/>
        </w:rPr>
      </w:pPr>
      <w:bookmarkStart w:id="2" w:name="_Toc9521693"/>
      <w:r>
        <w:rPr>
          <w:color w:val="000000"/>
        </w:rPr>
        <w:t>A.1. Circumstances Making the Collection of Information Necessary</w:t>
      </w:r>
      <w:bookmarkEnd w:id="2"/>
    </w:p>
    <w:p w:rsidR="009747E5" w:rsidRDefault="009747E5"/>
    <w:p w:rsidR="009747E5" w:rsidRDefault="00BC0E7C">
      <w:pPr>
        <w:rPr>
          <w:sz w:val="24"/>
          <w:szCs w:val="24"/>
        </w:rPr>
      </w:pPr>
      <w:r>
        <w:rPr>
          <w:sz w:val="24"/>
          <w:szCs w:val="24"/>
        </w:rPr>
        <w:t xml:space="preserve">The purpose of this new GenIC is to conduct up to </w:t>
      </w:r>
      <w:r w:rsidR="00EF18C5">
        <w:rPr>
          <w:sz w:val="24"/>
          <w:szCs w:val="24"/>
        </w:rPr>
        <w:t>4</w:t>
      </w:r>
      <w:r w:rsidR="005254A0">
        <w:rPr>
          <w:sz w:val="24"/>
          <w:szCs w:val="24"/>
        </w:rPr>
        <w:t>3</w:t>
      </w:r>
      <w:r w:rsidR="00EF18C5">
        <w:rPr>
          <w:sz w:val="24"/>
          <w:szCs w:val="24"/>
        </w:rPr>
        <w:t xml:space="preserve"> </w:t>
      </w:r>
      <w:r w:rsidR="00030B16">
        <w:rPr>
          <w:sz w:val="24"/>
          <w:szCs w:val="24"/>
        </w:rPr>
        <w:t xml:space="preserve">key </w:t>
      </w:r>
      <w:r>
        <w:rPr>
          <w:sz w:val="24"/>
          <w:szCs w:val="24"/>
        </w:rPr>
        <w:t xml:space="preserve">informant interviews to collect information that will </w:t>
      </w:r>
      <w:r w:rsidR="00030B16">
        <w:rPr>
          <w:sz w:val="24"/>
          <w:szCs w:val="24"/>
        </w:rPr>
        <w:t xml:space="preserve">support </w:t>
      </w:r>
      <w:r>
        <w:rPr>
          <w:sz w:val="24"/>
          <w:szCs w:val="24"/>
        </w:rPr>
        <w:t>decision-making for sharing environmental health inspection data through an open data standard. The European Commission website describes open data as accessible data that anyone can use and share in any way they want (European Commission 2019). Open data has been used to report restaurant inspection scores in conjunction with for-profit entities (e.g., Yelp) and in other governmental settings (e.g., Louisville, Kentucky and San Francisco, California) to influence the health decision making of the public</w:t>
      </w:r>
      <w:r>
        <w:rPr>
          <w:sz w:val="24"/>
          <w:szCs w:val="24"/>
          <w:vertAlign w:val="superscript"/>
        </w:rPr>
        <w:footnoteReference w:id="1"/>
      </w:r>
      <w:r>
        <w:rPr>
          <w:sz w:val="24"/>
          <w:szCs w:val="24"/>
          <w:vertAlign w:val="superscript"/>
        </w:rPr>
        <w:t>,</w:t>
      </w:r>
      <w:r>
        <w:rPr>
          <w:sz w:val="24"/>
          <w:szCs w:val="24"/>
          <w:vertAlign w:val="superscript"/>
        </w:rPr>
        <w:footnoteReference w:id="2"/>
      </w:r>
      <w:r>
        <w:rPr>
          <w:sz w:val="24"/>
          <w:szCs w:val="24"/>
          <w:vertAlign w:val="superscript"/>
        </w:rPr>
        <w:t>,</w:t>
      </w:r>
      <w:r>
        <w:rPr>
          <w:sz w:val="24"/>
          <w:szCs w:val="24"/>
          <w:vertAlign w:val="superscript"/>
        </w:rPr>
        <w:footnoteReference w:id="3"/>
      </w:r>
      <w:r>
        <w:rPr>
          <w:sz w:val="24"/>
          <w:szCs w:val="24"/>
        </w:rPr>
        <w:t xml:space="preserve">.  Open data portals and open data standards have not been widely used as a method for publicly sharing environmental health inspection data. Currently, most environmental health inspection data remains inaccessible after collection </w:t>
      </w:r>
      <w:r w:rsidRPr="00912B12">
        <w:rPr>
          <w:sz w:val="24"/>
          <w:szCs w:val="24"/>
        </w:rPr>
        <w:t>due</w:t>
      </w:r>
      <w:r w:rsidR="00475563">
        <w:rPr>
          <w:sz w:val="24"/>
          <w:szCs w:val="24"/>
        </w:rPr>
        <w:t>, in part,</w:t>
      </w:r>
      <w:r w:rsidRPr="00912B12">
        <w:rPr>
          <w:sz w:val="24"/>
          <w:szCs w:val="24"/>
        </w:rPr>
        <w:t xml:space="preserve"> to significant variability in which the information is formatted</w:t>
      </w:r>
      <w:r>
        <w:rPr>
          <w:sz w:val="24"/>
          <w:szCs w:val="24"/>
        </w:rPr>
        <w:t xml:space="preserve">. Developing best practices and examples of how environmental public health programs use open data standards has the potential to make inspection data more accessible and usable by the public and researchers, alike. </w:t>
      </w:r>
    </w:p>
    <w:p w:rsidR="009747E5" w:rsidRDefault="00BC0E7C">
      <w:pPr>
        <w:rPr>
          <w:sz w:val="24"/>
          <w:szCs w:val="24"/>
        </w:rPr>
      </w:pPr>
      <w:r>
        <w:rPr>
          <w:sz w:val="24"/>
          <w:szCs w:val="24"/>
        </w:rPr>
        <w:t xml:space="preserve">The CDC has awarded funding to the National Environmental Health Agency (NEHA) (CDC-RFA-OT18-1802) to support the development of an open data standard for aquatic facilities. This project includes conducting individual interviews with open data standards experts, municipal government information technology administrators, environmental health personnel, and technology providers to identify barriers and strengths associated with making facilities’ environmental health data usable and more easily accessible to the public.  For this reason, the Centers for Disease Control and Prevention (CDC) requests approval for a new GenIC, “Formative Research to Develop an Open Data Standard for Reporting Environmental Health Data” under OMB Control No. 0920-1154.  </w:t>
      </w:r>
    </w:p>
    <w:p w:rsidR="009747E5" w:rsidRDefault="00BC0E7C">
      <w:pPr>
        <w:pStyle w:val="Heading1"/>
        <w:pBdr>
          <w:bottom w:val="none" w:sz="0" w:space="0" w:color="000000"/>
        </w:pBdr>
        <w:rPr>
          <w:color w:val="000000"/>
        </w:rPr>
      </w:pPr>
      <w:bookmarkStart w:id="3" w:name="_Toc9521694"/>
      <w:r>
        <w:rPr>
          <w:color w:val="000000"/>
        </w:rPr>
        <w:t>A.2. Purpose and Use of the Information Collection</w:t>
      </w:r>
      <w:bookmarkEnd w:id="3"/>
    </w:p>
    <w:p w:rsidR="009747E5" w:rsidRDefault="009747E5">
      <w:pPr>
        <w:spacing w:after="0" w:line="240" w:lineRule="auto"/>
        <w:rPr>
          <w:sz w:val="24"/>
          <w:szCs w:val="24"/>
        </w:rPr>
      </w:pPr>
    </w:p>
    <w:p w:rsidR="009747E5" w:rsidRDefault="00BC0E7C">
      <w:pPr>
        <w:spacing w:line="240" w:lineRule="auto"/>
        <w:rPr>
          <w:sz w:val="24"/>
          <w:szCs w:val="24"/>
        </w:rPr>
      </w:pPr>
      <w:r>
        <w:rPr>
          <w:sz w:val="24"/>
          <w:szCs w:val="24"/>
        </w:rPr>
        <w:t xml:space="preserve">The purpose of this information collection is to conduct formative research to inform the development of an environmental </w:t>
      </w:r>
      <w:r w:rsidRPr="00912B12">
        <w:rPr>
          <w:sz w:val="24"/>
          <w:szCs w:val="24"/>
        </w:rPr>
        <w:t>health open data standard</w:t>
      </w:r>
      <w:r w:rsidR="0019737B">
        <w:rPr>
          <w:sz w:val="24"/>
          <w:szCs w:val="24"/>
        </w:rPr>
        <w:t xml:space="preserve"> (Attachment 1)</w:t>
      </w:r>
      <w:r w:rsidRPr="00475563">
        <w:rPr>
          <w:sz w:val="24"/>
          <w:szCs w:val="24"/>
        </w:rPr>
        <w:t xml:space="preserve">. </w:t>
      </w:r>
      <w:r w:rsidRPr="00912B12">
        <w:rPr>
          <w:sz w:val="24"/>
          <w:szCs w:val="24"/>
        </w:rPr>
        <w:t xml:space="preserve">This open data standard </w:t>
      </w:r>
      <w:r>
        <w:rPr>
          <w:sz w:val="24"/>
          <w:szCs w:val="24"/>
        </w:rPr>
        <w:t>will serve as an organizational model for aggregating and publishing environmental health inspection data in</w:t>
      </w:r>
      <w:r w:rsidR="0003429C">
        <w:rPr>
          <w:sz w:val="24"/>
          <w:szCs w:val="24"/>
        </w:rPr>
        <w:t xml:space="preserve"> a</w:t>
      </w:r>
      <w:r>
        <w:rPr>
          <w:sz w:val="24"/>
          <w:szCs w:val="24"/>
        </w:rPr>
        <w:t xml:space="preserve"> manner that allows </w:t>
      </w:r>
      <w:r w:rsidR="00030B16">
        <w:rPr>
          <w:sz w:val="24"/>
          <w:szCs w:val="24"/>
        </w:rPr>
        <w:t>free</w:t>
      </w:r>
      <w:r>
        <w:rPr>
          <w:sz w:val="24"/>
          <w:szCs w:val="24"/>
        </w:rPr>
        <w:t xml:space="preserve"> use, distribution, and analysis. The data standard that will be developed is a defined set of variables (i.e., environmental health information) that must be provided by a facility that wishes to publish its data through the open data portal, and for that data to have meaningful utility for external stakeholders.</w:t>
      </w:r>
    </w:p>
    <w:p w:rsidR="009747E5" w:rsidRDefault="00BC0E7C">
      <w:pPr>
        <w:spacing w:line="240" w:lineRule="auto"/>
        <w:rPr>
          <w:sz w:val="24"/>
          <w:szCs w:val="24"/>
        </w:rPr>
      </w:pPr>
      <w:r>
        <w:rPr>
          <w:sz w:val="24"/>
          <w:szCs w:val="24"/>
        </w:rPr>
        <w:t xml:space="preserve">Information resulting from key informant interviews will potentially reveal how open data experts use other data standards related to aquatic facility inspection data. NEHA’s subject matter expert (SME) will conduct up to </w:t>
      </w:r>
      <w:r w:rsidR="00030B16" w:rsidRPr="00EF18C5">
        <w:rPr>
          <w:sz w:val="24"/>
          <w:szCs w:val="24"/>
        </w:rPr>
        <w:t>six</w:t>
      </w:r>
      <w:r w:rsidR="00030B16">
        <w:rPr>
          <w:sz w:val="24"/>
          <w:szCs w:val="24"/>
        </w:rPr>
        <w:t xml:space="preserve"> </w:t>
      </w:r>
      <w:r>
        <w:rPr>
          <w:sz w:val="24"/>
          <w:szCs w:val="24"/>
        </w:rPr>
        <w:t xml:space="preserve">key informant interviews with open data experts from both Europe, </w:t>
      </w:r>
      <w:r w:rsidRPr="00912B12">
        <w:rPr>
          <w:sz w:val="24"/>
          <w:szCs w:val="24"/>
        </w:rPr>
        <w:t>Canada,</w:t>
      </w:r>
      <w:r>
        <w:rPr>
          <w:sz w:val="24"/>
          <w:szCs w:val="24"/>
        </w:rPr>
        <w:t xml:space="preserve"> and the United States. Key informant information may also provide valuable insight into how similar efforts have succeeded and identify actions that yielded maximum results for other open data efforts. The possibility exists to identify standard terminology for data standards used by offices or agencies of the U.S. government </w:t>
      </w:r>
      <w:r w:rsidR="00030B16">
        <w:rPr>
          <w:sz w:val="24"/>
          <w:szCs w:val="24"/>
        </w:rPr>
        <w:t xml:space="preserve">that </w:t>
      </w:r>
      <w:r>
        <w:rPr>
          <w:sz w:val="24"/>
          <w:szCs w:val="24"/>
        </w:rPr>
        <w:t>will make the long</w:t>
      </w:r>
      <w:r w:rsidR="00030B16">
        <w:rPr>
          <w:sz w:val="24"/>
          <w:szCs w:val="24"/>
        </w:rPr>
        <w:t>-</w:t>
      </w:r>
      <w:r>
        <w:rPr>
          <w:sz w:val="24"/>
          <w:szCs w:val="24"/>
        </w:rPr>
        <w:t xml:space="preserve">term adoption and success of the standard much more likely. </w:t>
      </w:r>
    </w:p>
    <w:p w:rsidR="009747E5" w:rsidRDefault="00BC0E7C">
      <w:pPr>
        <w:spacing w:after="0" w:line="240" w:lineRule="auto"/>
        <w:rPr>
          <w:sz w:val="24"/>
          <w:szCs w:val="24"/>
        </w:rPr>
      </w:pPr>
      <w:r w:rsidRPr="00912B12">
        <w:rPr>
          <w:sz w:val="24"/>
          <w:szCs w:val="24"/>
        </w:rPr>
        <w:t>As a part of these interviews, governments will be asked how much they</w:t>
      </w:r>
      <w:r w:rsidR="00030B16">
        <w:rPr>
          <w:sz w:val="24"/>
          <w:szCs w:val="24"/>
        </w:rPr>
        <w:t xml:space="preserve"> ha</w:t>
      </w:r>
      <w:r w:rsidRPr="00912B12">
        <w:rPr>
          <w:sz w:val="24"/>
          <w:szCs w:val="24"/>
        </w:rPr>
        <w:t>ve been told exporting their data might cost. Typically, they</w:t>
      </w:r>
      <w:r w:rsidR="00C6523D">
        <w:rPr>
          <w:sz w:val="24"/>
          <w:szCs w:val="24"/>
        </w:rPr>
        <w:t xml:space="preserve"> ha</w:t>
      </w:r>
      <w:r w:rsidRPr="00912B12">
        <w:rPr>
          <w:sz w:val="24"/>
          <w:szCs w:val="24"/>
        </w:rPr>
        <w:t>ve engaged with their database providers to explore costs.</w:t>
      </w:r>
      <w:r>
        <w:rPr>
          <w:sz w:val="24"/>
          <w:szCs w:val="24"/>
        </w:rPr>
        <w:t xml:space="preserve"> Cost estimates are important considerations when working with extraction, transformation, and load tool providers that enable jurisdictions to share inspection data in a standardized format. </w:t>
      </w:r>
      <w:r w:rsidRPr="00EF18C5">
        <w:rPr>
          <w:sz w:val="24"/>
          <w:szCs w:val="24"/>
        </w:rPr>
        <w:t xml:space="preserve">NEHA’s SME will conduct up to </w:t>
      </w:r>
      <w:r w:rsidR="00C6523D" w:rsidRPr="00EF18C5">
        <w:rPr>
          <w:sz w:val="24"/>
          <w:szCs w:val="24"/>
        </w:rPr>
        <w:t xml:space="preserve">seven </w:t>
      </w:r>
      <w:r w:rsidRPr="00EF18C5">
        <w:rPr>
          <w:sz w:val="24"/>
          <w:szCs w:val="24"/>
        </w:rPr>
        <w:t>key informant interviews with technology providers.</w:t>
      </w:r>
      <w:r>
        <w:rPr>
          <w:sz w:val="24"/>
          <w:szCs w:val="24"/>
        </w:rPr>
        <w:t xml:space="preserve"> Likewise, NEHA will need cost estimates to contract open data portal providers in the event a municipal pilot site would need an open data portal tool. All cost estimates and information about pricing will assist NEHA and CDC in </w:t>
      </w:r>
      <w:r w:rsidR="00F629C1">
        <w:rPr>
          <w:sz w:val="24"/>
          <w:szCs w:val="24"/>
        </w:rPr>
        <w:t>an</w:t>
      </w:r>
      <w:r>
        <w:rPr>
          <w:sz w:val="24"/>
          <w:szCs w:val="24"/>
        </w:rPr>
        <w:t xml:space="preserve"> evaluation process for selecting pilot sites to implement open data platforms and use open data standards.</w:t>
      </w:r>
    </w:p>
    <w:p w:rsidR="009747E5" w:rsidRDefault="009747E5">
      <w:pPr>
        <w:spacing w:after="0" w:line="240" w:lineRule="auto"/>
        <w:rPr>
          <w:sz w:val="24"/>
          <w:szCs w:val="24"/>
        </w:rPr>
      </w:pPr>
    </w:p>
    <w:p w:rsidR="009747E5" w:rsidRDefault="00BC0E7C">
      <w:pPr>
        <w:spacing w:after="0" w:line="240" w:lineRule="auto"/>
        <w:rPr>
          <w:sz w:val="24"/>
          <w:szCs w:val="24"/>
        </w:rPr>
      </w:pPr>
      <w:r>
        <w:rPr>
          <w:sz w:val="24"/>
          <w:szCs w:val="24"/>
        </w:rPr>
        <w:t xml:space="preserve">The NEHA SME will also conduct key informant interviews with up to </w:t>
      </w:r>
      <w:r w:rsidR="0003429C">
        <w:rPr>
          <w:sz w:val="24"/>
          <w:szCs w:val="24"/>
        </w:rPr>
        <w:t xml:space="preserve">20 </w:t>
      </w:r>
      <w:r>
        <w:rPr>
          <w:sz w:val="24"/>
          <w:szCs w:val="24"/>
        </w:rPr>
        <w:t>environmental health personnel (managers and practitioners) that manage jurisdictional inspection database tools. These interviews will identify barriers for sharing data in open data portal tools. Barriers might include</w:t>
      </w:r>
    </w:p>
    <w:p w:rsidR="009747E5" w:rsidRDefault="00BC0E7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Restrictions imposed by data vendors that prohibit sharing data in machine-readable formats.</w:t>
      </w:r>
    </w:p>
    <w:p w:rsidR="009747E5" w:rsidRDefault="00BC0E7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Frequency and staff hours required to organize inspection data for use in an open data portal.</w:t>
      </w:r>
    </w:p>
    <w:p w:rsidR="009747E5" w:rsidRDefault="00BC0E7C">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Efficiency of tools used to manage and share aquatic facility inspection data. </w:t>
      </w:r>
    </w:p>
    <w:p w:rsidR="009747E5" w:rsidRDefault="009747E5">
      <w:pPr>
        <w:spacing w:after="0" w:line="240" w:lineRule="auto"/>
        <w:rPr>
          <w:sz w:val="24"/>
          <w:szCs w:val="24"/>
        </w:rPr>
      </w:pPr>
    </w:p>
    <w:p w:rsidR="00DE2B65" w:rsidRDefault="00DE2B65" w:rsidP="00DE2B65">
      <w:pPr>
        <w:rPr>
          <w:sz w:val="24"/>
          <w:szCs w:val="24"/>
          <w:highlight w:val="cyan"/>
        </w:rPr>
      </w:pPr>
      <w:r w:rsidRPr="002C1640">
        <w:rPr>
          <w:sz w:val="24"/>
          <w:szCs w:val="24"/>
        </w:rPr>
        <w:t>Interviews will be initiated through direct contact to an individual key informant via email, phone, or Twitter direct message (similar to email), depending on how the key informant is publicly (or through existing contacts) known to be reachable</w:t>
      </w:r>
      <w:r>
        <w:rPr>
          <w:sz w:val="24"/>
          <w:szCs w:val="24"/>
        </w:rPr>
        <w:t xml:space="preserve"> (Attachment 2)</w:t>
      </w:r>
      <w:r w:rsidRPr="002C1640">
        <w:rPr>
          <w:sz w:val="24"/>
          <w:szCs w:val="24"/>
        </w:rPr>
        <w:t>.</w:t>
      </w:r>
      <w:r>
        <w:rPr>
          <w:sz w:val="24"/>
          <w:szCs w:val="24"/>
        </w:rPr>
        <w:t xml:space="preserve">  One to two days before the scheduled interview, a reminder email will be sent to the respondent (Attachment 3).</w:t>
      </w:r>
    </w:p>
    <w:p w:rsidR="009747E5" w:rsidRDefault="00BC0E7C">
      <w:pPr>
        <w:spacing w:line="240" w:lineRule="auto"/>
        <w:rPr>
          <w:sz w:val="24"/>
          <w:szCs w:val="24"/>
        </w:rPr>
      </w:pPr>
      <w:r>
        <w:rPr>
          <w:sz w:val="24"/>
          <w:szCs w:val="24"/>
        </w:rPr>
        <w:t>CDC works with 25 local jurisdictions conducting surveillance to systematically collect, analyze, and interpret data on the results of routine inspections of public aquatic venues. In the past, environmental health practitioners from these jurisdictions sent their inspection data to CDC annually. The periodicity of data collection is less frequent now because the burden of collecting and organizing the data has grown.  This current data collection will inform the development of a new way of accessing, sharing, and using aquatic facility inspection data. Environmental health inspection data made available through open data portals and data standards will not only be available for government researchers, but more importantly, these data have the potential to increase citizen participation in government, create opportunities for economic development, and inform decision making in both the private and public sector</w:t>
      </w:r>
      <w:r w:rsidRPr="00074967">
        <w:rPr>
          <w:sz w:val="24"/>
          <w:szCs w:val="24"/>
        </w:rPr>
        <w:t>s</w:t>
      </w:r>
      <w:r w:rsidRPr="00DB5575">
        <w:rPr>
          <w:sz w:val="24"/>
          <w:szCs w:val="24"/>
        </w:rPr>
        <w:t>.</w:t>
      </w:r>
      <w:r w:rsidR="00074967" w:rsidRPr="00DB5575">
        <w:rPr>
          <w:rStyle w:val="FootnoteReference"/>
          <w:sz w:val="24"/>
          <w:szCs w:val="24"/>
        </w:rPr>
        <w:footnoteReference w:id="4"/>
      </w:r>
    </w:p>
    <w:p w:rsidR="009747E5" w:rsidRDefault="00BC0E7C">
      <w:pPr>
        <w:spacing w:line="240" w:lineRule="auto"/>
        <w:rPr>
          <w:sz w:val="24"/>
          <w:szCs w:val="24"/>
        </w:rPr>
      </w:pPr>
      <w:r>
        <w:rPr>
          <w:sz w:val="24"/>
          <w:szCs w:val="24"/>
        </w:rPr>
        <w:t>CDC’s Water, Food, and Environmental Health Services Branch will use the information collected during key informant interviews to describe how environmental health agencies that are considering the use of open data standards can make their inspection data sharable and usable by anyone. CDC and NEHA will share information and lessons gathered from key informant interviews in webinars and practice-based journals to support the practice of environmental public health.</w:t>
      </w:r>
    </w:p>
    <w:p w:rsidR="009747E5" w:rsidRDefault="00BC0E7C">
      <w:pPr>
        <w:pStyle w:val="Heading1"/>
        <w:pBdr>
          <w:bottom w:val="none" w:sz="0" w:space="0" w:color="000000"/>
        </w:pBdr>
        <w:rPr>
          <w:color w:val="000000"/>
        </w:rPr>
      </w:pPr>
      <w:bookmarkStart w:id="4" w:name="_Toc9521695"/>
      <w:r>
        <w:rPr>
          <w:color w:val="000000"/>
        </w:rPr>
        <w:t>A.3. Use of Improved Information Technology and Burden Reduction</w:t>
      </w:r>
      <w:bookmarkEnd w:id="4"/>
    </w:p>
    <w:p w:rsidR="009747E5" w:rsidRDefault="009747E5"/>
    <w:p w:rsidR="009747E5" w:rsidRDefault="00BC0E7C">
      <w:pPr>
        <w:rPr>
          <w:sz w:val="24"/>
          <w:szCs w:val="24"/>
        </w:rPr>
      </w:pPr>
      <w:r>
        <w:rPr>
          <w:sz w:val="24"/>
          <w:szCs w:val="24"/>
        </w:rPr>
        <w:t>The National Environmental Health Association contracted an open data SME to identify key informants with high value information. The SME will conduct one-on-one interviews by phone, or in person when feasible.</w:t>
      </w:r>
    </w:p>
    <w:p w:rsidR="009747E5" w:rsidRDefault="00BC0E7C">
      <w:pPr>
        <w:rPr>
          <w:sz w:val="24"/>
          <w:szCs w:val="24"/>
        </w:rPr>
      </w:pPr>
      <w:r>
        <w:rPr>
          <w:sz w:val="24"/>
          <w:szCs w:val="24"/>
        </w:rPr>
        <w:t xml:space="preserve">The NEHA SME designed the unstructured interview questions to address information needed from each respondent category and the number of questions are seven or fewer for each respondent category. </w:t>
      </w:r>
    </w:p>
    <w:p w:rsidR="009747E5" w:rsidRDefault="00BC0E7C">
      <w:pPr>
        <w:pStyle w:val="Heading1"/>
        <w:pBdr>
          <w:bottom w:val="none" w:sz="0" w:space="0" w:color="000000"/>
        </w:pBdr>
        <w:rPr>
          <w:color w:val="000000"/>
        </w:rPr>
      </w:pPr>
      <w:bookmarkStart w:id="5" w:name="_Toc9521696"/>
      <w:r>
        <w:rPr>
          <w:color w:val="000000"/>
        </w:rPr>
        <w:t>A.4. Efforts to Identify Duplication and Use of Similar Information</w:t>
      </w:r>
      <w:bookmarkEnd w:id="5"/>
    </w:p>
    <w:p w:rsidR="009747E5" w:rsidRDefault="009747E5"/>
    <w:p w:rsidR="009747E5" w:rsidRDefault="00BC0E7C">
      <w:pPr>
        <w:rPr>
          <w:sz w:val="24"/>
          <w:szCs w:val="24"/>
        </w:rPr>
      </w:pPr>
      <w:r>
        <w:rPr>
          <w:sz w:val="24"/>
          <w:szCs w:val="24"/>
        </w:rPr>
        <w:t xml:space="preserve">NEHA’s open data SME conducted an ecosystem scan to assess the current open data environment and identify jurisdictions and vendors that are involved in open data reporting. Part of the data collection strategy will be to identify informants that have direct experience in establishing open data standards in other sectors and countries. By defining the open data environment, CDC and NEHA are hoping to build on the strength of past open data efforts at state and county environmental and public health agencies and avoid any barriers that prevent data from being usable and shareable without restrictions. </w:t>
      </w:r>
    </w:p>
    <w:p w:rsidR="009747E5" w:rsidRDefault="00BC0E7C">
      <w:pPr>
        <w:rPr>
          <w:sz w:val="24"/>
          <w:szCs w:val="24"/>
        </w:rPr>
      </w:pPr>
      <w:r>
        <w:rPr>
          <w:sz w:val="24"/>
          <w:szCs w:val="24"/>
        </w:rPr>
        <w:t>The ecosystem scan included literature searches to pull together an open standards reading list with guidance for collaborating across government agencies. NEHA conducted an online scan for aquatic facility inspection data. The data searches helped NEHA to develop a list of the most commonly used data and inspection vendors, and a list of 14 jurisdictions that use open data. More importantly, the scan identified six states that post aquatic inspection data through open data portals.</w:t>
      </w:r>
    </w:p>
    <w:p w:rsidR="009747E5" w:rsidRDefault="00BC0E7C">
      <w:pPr>
        <w:rPr>
          <w:sz w:val="24"/>
          <w:szCs w:val="24"/>
        </w:rPr>
      </w:pPr>
      <w:r>
        <w:rPr>
          <w:sz w:val="24"/>
          <w:szCs w:val="24"/>
        </w:rPr>
        <w:t xml:space="preserve">Although the ecosystem scan produced meaningful and immediately useful links to existing open data sources, the scan did not identify some of the most commonly encountered barriers faced by jurisdictions that </w:t>
      </w:r>
      <w:r w:rsidR="00ED423C">
        <w:rPr>
          <w:sz w:val="24"/>
          <w:szCs w:val="24"/>
        </w:rPr>
        <w:t xml:space="preserve">are </w:t>
      </w:r>
      <w:r>
        <w:rPr>
          <w:sz w:val="24"/>
          <w:szCs w:val="24"/>
        </w:rPr>
        <w:t>trying to make their data open and accessible. In certain instances, data vendors or jurisdictions describe data and an open data source, but data use restrictions prevent the data from meeting the definition of truly open data. For example, data may not be machine-readable</w:t>
      </w:r>
      <w:r w:rsidR="00ED423C">
        <w:rPr>
          <w:sz w:val="24"/>
          <w:szCs w:val="24"/>
        </w:rPr>
        <w:t>,</w:t>
      </w:r>
      <w:r>
        <w:rPr>
          <w:sz w:val="24"/>
          <w:szCs w:val="24"/>
        </w:rPr>
        <w:t xml:space="preserve"> which limits how the public and private sectors can use the data. Duplication of this effort or the existence of similar information was not identified during the ecosystem scan process.</w:t>
      </w:r>
    </w:p>
    <w:p w:rsidR="009747E5" w:rsidRDefault="00BC0E7C">
      <w:pPr>
        <w:pStyle w:val="Heading1"/>
        <w:pBdr>
          <w:bottom w:val="none" w:sz="0" w:space="0" w:color="000000"/>
        </w:pBdr>
        <w:rPr>
          <w:color w:val="000000"/>
        </w:rPr>
      </w:pPr>
      <w:bookmarkStart w:id="6" w:name="_Toc9521697"/>
      <w:r>
        <w:rPr>
          <w:color w:val="000000"/>
        </w:rPr>
        <w:t>A.5. Impact on Small Businesses or Other Small Entities</w:t>
      </w:r>
      <w:bookmarkEnd w:id="6"/>
    </w:p>
    <w:p w:rsidR="009747E5" w:rsidRDefault="009747E5">
      <w:pPr>
        <w:spacing w:after="0" w:line="240" w:lineRule="auto"/>
        <w:rPr>
          <w:sz w:val="24"/>
          <w:szCs w:val="24"/>
        </w:rPr>
      </w:pPr>
    </w:p>
    <w:p w:rsidR="009747E5" w:rsidRDefault="00BC0E7C">
      <w:pPr>
        <w:spacing w:line="240" w:lineRule="auto"/>
        <w:rPr>
          <w:sz w:val="24"/>
          <w:szCs w:val="24"/>
        </w:rPr>
      </w:pPr>
      <w:r>
        <w:rPr>
          <w:sz w:val="24"/>
          <w:szCs w:val="24"/>
        </w:rPr>
        <w:t xml:space="preserve">The NEHA SME will contact technology vendors that may meet the definition of a small business. However, the key informant interview questions will be limited to </w:t>
      </w:r>
      <w:r w:rsidRPr="00EF18C5">
        <w:rPr>
          <w:sz w:val="24"/>
          <w:szCs w:val="24"/>
        </w:rPr>
        <w:t xml:space="preserve">fewer than </w:t>
      </w:r>
      <w:r w:rsidR="00DB5575">
        <w:rPr>
          <w:sz w:val="24"/>
          <w:szCs w:val="24"/>
        </w:rPr>
        <w:t>ten</w:t>
      </w:r>
      <w:r w:rsidR="00EF18C5" w:rsidRPr="00EF18C5">
        <w:rPr>
          <w:sz w:val="24"/>
          <w:szCs w:val="24"/>
        </w:rPr>
        <w:t xml:space="preserve"> </w:t>
      </w:r>
      <w:r w:rsidRPr="00EF18C5">
        <w:rPr>
          <w:sz w:val="24"/>
          <w:szCs w:val="24"/>
        </w:rPr>
        <w:t>questions</w:t>
      </w:r>
      <w:r>
        <w:rPr>
          <w:sz w:val="24"/>
          <w:szCs w:val="24"/>
        </w:rPr>
        <w:t xml:space="preserve"> and focus on obtaining pricing information and service descriptions because many of these vendors do not publicly list their prices. </w:t>
      </w:r>
    </w:p>
    <w:p w:rsidR="009747E5" w:rsidRDefault="00BC0E7C">
      <w:pPr>
        <w:spacing w:line="240" w:lineRule="auto"/>
        <w:rPr>
          <w:sz w:val="24"/>
          <w:szCs w:val="24"/>
        </w:rPr>
      </w:pPr>
      <w:r>
        <w:rPr>
          <w:sz w:val="24"/>
          <w:szCs w:val="24"/>
        </w:rPr>
        <w:t xml:space="preserve">The collection of information that could affect small businesses will be limited to at most </w:t>
      </w:r>
      <w:r w:rsidR="00EF18C5">
        <w:rPr>
          <w:sz w:val="24"/>
          <w:szCs w:val="24"/>
        </w:rPr>
        <w:t xml:space="preserve">seven </w:t>
      </w:r>
      <w:r>
        <w:rPr>
          <w:sz w:val="24"/>
          <w:szCs w:val="24"/>
        </w:rPr>
        <w:t xml:space="preserve">hours of time burden. However, the limited number of questions and focus on cost estimates will likely require less than the total </w:t>
      </w:r>
      <w:r w:rsidR="00EF18C5">
        <w:rPr>
          <w:sz w:val="24"/>
          <w:szCs w:val="24"/>
        </w:rPr>
        <w:t xml:space="preserve">seven </w:t>
      </w:r>
      <w:r>
        <w:rPr>
          <w:sz w:val="24"/>
          <w:szCs w:val="24"/>
        </w:rPr>
        <w:t xml:space="preserve">hours of project time burden. </w:t>
      </w:r>
    </w:p>
    <w:p w:rsidR="009747E5" w:rsidRDefault="00BC0E7C">
      <w:pPr>
        <w:pStyle w:val="Heading1"/>
        <w:pBdr>
          <w:bottom w:val="none" w:sz="0" w:space="0" w:color="000000"/>
        </w:pBdr>
        <w:rPr>
          <w:color w:val="000000"/>
        </w:rPr>
      </w:pPr>
      <w:bookmarkStart w:id="7" w:name="_Toc9521698"/>
      <w:r>
        <w:rPr>
          <w:color w:val="000000"/>
        </w:rPr>
        <w:t>A.6. Consequences of Collecting the Information Less Frequently</w:t>
      </w:r>
      <w:bookmarkEnd w:id="7"/>
    </w:p>
    <w:p w:rsidR="009747E5" w:rsidRDefault="009747E5">
      <w:pPr>
        <w:spacing w:after="0" w:line="240" w:lineRule="auto"/>
        <w:rPr>
          <w:sz w:val="24"/>
          <w:szCs w:val="24"/>
        </w:rPr>
      </w:pPr>
    </w:p>
    <w:p w:rsidR="009747E5" w:rsidRDefault="00BC0E7C">
      <w:pPr>
        <w:spacing w:after="0" w:line="240" w:lineRule="auto"/>
        <w:rPr>
          <w:sz w:val="24"/>
          <w:szCs w:val="24"/>
        </w:rPr>
      </w:pPr>
      <w:r>
        <w:rPr>
          <w:sz w:val="24"/>
          <w:szCs w:val="24"/>
        </w:rPr>
        <w:t xml:space="preserve">The NEHA SME will contact key informants for one interview each. This request is for a one-time data collection. If NEHA does not conduct the key informant interviews, CDC and NEHA will not have the information available to make decisions for how to work with public health jurisdictions to develop the open data platform and standard. If the key informant interviews are not conducted, the open data platform would have little chance at meeting the needs of the stakeholders it aims to serve. </w:t>
      </w:r>
    </w:p>
    <w:p w:rsidR="009747E5" w:rsidRDefault="009747E5">
      <w:pPr>
        <w:spacing w:after="0" w:line="240" w:lineRule="auto"/>
        <w:rPr>
          <w:sz w:val="24"/>
          <w:szCs w:val="24"/>
        </w:rPr>
      </w:pPr>
    </w:p>
    <w:p w:rsidR="009747E5" w:rsidRDefault="00BC0E7C">
      <w:pPr>
        <w:spacing w:after="0" w:line="240" w:lineRule="auto"/>
        <w:rPr>
          <w:sz w:val="24"/>
          <w:szCs w:val="24"/>
        </w:rPr>
      </w:pPr>
      <w:r>
        <w:rPr>
          <w:sz w:val="24"/>
          <w:szCs w:val="24"/>
        </w:rPr>
        <w:t>There are no technical or legal obstacles to reducing burden.</w:t>
      </w:r>
    </w:p>
    <w:p w:rsidR="009747E5" w:rsidRDefault="00BC0E7C">
      <w:pPr>
        <w:pStyle w:val="Heading1"/>
        <w:pBdr>
          <w:bottom w:val="none" w:sz="0" w:space="0" w:color="000000"/>
        </w:pBdr>
        <w:rPr>
          <w:color w:val="000000"/>
        </w:rPr>
      </w:pPr>
      <w:bookmarkStart w:id="8" w:name="_Toc9521699"/>
      <w:r>
        <w:rPr>
          <w:color w:val="000000"/>
        </w:rPr>
        <w:t>A.7. Special Circumstances Relating to the Guidelines of 5 CFR 1320.5</w:t>
      </w:r>
      <w:bookmarkEnd w:id="8"/>
    </w:p>
    <w:p w:rsidR="009747E5" w:rsidRDefault="009747E5">
      <w:pPr>
        <w:spacing w:line="240" w:lineRule="auto"/>
        <w:rPr>
          <w:sz w:val="24"/>
          <w:szCs w:val="24"/>
        </w:rPr>
      </w:pPr>
    </w:p>
    <w:p w:rsidR="009747E5" w:rsidRDefault="00BC0E7C">
      <w:pPr>
        <w:spacing w:line="240" w:lineRule="auto"/>
        <w:rPr>
          <w:sz w:val="28"/>
          <w:szCs w:val="28"/>
        </w:rPr>
      </w:pPr>
      <w:r>
        <w:rPr>
          <w:sz w:val="24"/>
          <w:szCs w:val="24"/>
        </w:rPr>
        <w:t>This request complies with the guidelines of 5 CFR 1320.5.</w:t>
      </w:r>
    </w:p>
    <w:p w:rsidR="009747E5" w:rsidRDefault="00BC0E7C">
      <w:pPr>
        <w:pStyle w:val="Heading1"/>
        <w:pBdr>
          <w:bottom w:val="none" w:sz="0" w:space="0" w:color="000000"/>
        </w:pBdr>
        <w:rPr>
          <w:color w:val="000000"/>
        </w:rPr>
      </w:pPr>
      <w:bookmarkStart w:id="9" w:name="_Toc9521700"/>
      <w:r>
        <w:rPr>
          <w:color w:val="000000"/>
        </w:rPr>
        <w:t>A.8. Comments in Response to the Federal Register Notice and Efforts to Consult Outside the Agency</w:t>
      </w:r>
      <w:bookmarkEnd w:id="9"/>
    </w:p>
    <w:p w:rsidR="009747E5" w:rsidRDefault="009747E5">
      <w:pPr>
        <w:spacing w:after="0" w:line="240" w:lineRule="auto"/>
        <w:rPr>
          <w:sz w:val="24"/>
          <w:szCs w:val="24"/>
        </w:rPr>
      </w:pPr>
    </w:p>
    <w:p w:rsidR="009747E5" w:rsidRDefault="00BC0E7C">
      <w:pPr>
        <w:spacing w:after="0" w:line="240" w:lineRule="auto"/>
        <w:rPr>
          <w:sz w:val="24"/>
          <w:szCs w:val="24"/>
        </w:rPr>
      </w:pPr>
      <w:r>
        <w:rPr>
          <w:sz w:val="24"/>
          <w:szCs w:val="24"/>
        </w:rPr>
        <w:t xml:space="preserve">The </w:t>
      </w:r>
      <w:r>
        <w:rPr>
          <w:i/>
          <w:sz w:val="24"/>
          <w:szCs w:val="24"/>
        </w:rPr>
        <w:t>Federal Register</w:t>
      </w:r>
      <w:r>
        <w:rPr>
          <w:sz w:val="24"/>
          <w:szCs w:val="24"/>
        </w:rPr>
        <w:t xml:space="preserve"> notice was published for this collection on July 18, 2016, Vol. 81, No. 137, pp. 44680.  No public comments were received.</w:t>
      </w:r>
    </w:p>
    <w:p w:rsidR="009747E5" w:rsidRDefault="009747E5">
      <w:pPr>
        <w:spacing w:after="0" w:line="240" w:lineRule="auto"/>
        <w:rPr>
          <w:sz w:val="22"/>
          <w:szCs w:val="22"/>
        </w:rPr>
      </w:pPr>
    </w:p>
    <w:p w:rsidR="009747E5" w:rsidRDefault="00BC0E7C">
      <w:pPr>
        <w:spacing w:after="0" w:line="240" w:lineRule="auto"/>
        <w:rPr>
          <w:sz w:val="24"/>
          <w:szCs w:val="24"/>
        </w:rPr>
      </w:pPr>
      <w:r>
        <w:rPr>
          <w:sz w:val="24"/>
          <w:szCs w:val="24"/>
        </w:rPr>
        <w:t xml:space="preserve">CDC project staff are working with NEHA on the study design, screening instruments, and data collection instruments. NEHA has contracted with a SME in open data, Sarah Schacht, to conduct the key information interview.  </w:t>
      </w:r>
    </w:p>
    <w:p w:rsidR="009747E5" w:rsidRDefault="00BC0E7C">
      <w:pPr>
        <w:pStyle w:val="Heading1"/>
        <w:pBdr>
          <w:bottom w:val="none" w:sz="0" w:space="0" w:color="000000"/>
        </w:pBdr>
        <w:rPr>
          <w:color w:val="000000"/>
        </w:rPr>
      </w:pPr>
      <w:bookmarkStart w:id="10" w:name="_Toc9521701"/>
      <w:r>
        <w:rPr>
          <w:color w:val="000000"/>
        </w:rPr>
        <w:t>A.9. Explanation of Any Payment or Gift to Respondents</w:t>
      </w:r>
      <w:bookmarkEnd w:id="10"/>
    </w:p>
    <w:p w:rsidR="009747E5" w:rsidRDefault="009747E5">
      <w:pPr>
        <w:spacing w:after="0" w:line="240" w:lineRule="auto"/>
        <w:rPr>
          <w:sz w:val="24"/>
          <w:szCs w:val="24"/>
        </w:rPr>
      </w:pPr>
    </w:p>
    <w:p w:rsidR="009747E5" w:rsidRDefault="00BC0E7C">
      <w:pPr>
        <w:spacing w:after="0" w:line="240" w:lineRule="auto"/>
        <w:rPr>
          <w:sz w:val="24"/>
          <w:szCs w:val="24"/>
        </w:rPr>
      </w:pPr>
      <w:r>
        <w:rPr>
          <w:sz w:val="24"/>
          <w:szCs w:val="24"/>
        </w:rPr>
        <w:t xml:space="preserve">NEHA will not compensate the respondents. </w:t>
      </w:r>
    </w:p>
    <w:p w:rsidR="009747E5" w:rsidRDefault="00BC0E7C">
      <w:pPr>
        <w:pStyle w:val="Heading1"/>
        <w:pBdr>
          <w:bottom w:val="none" w:sz="0" w:space="0" w:color="000000"/>
        </w:pBdr>
        <w:rPr>
          <w:color w:val="000000"/>
        </w:rPr>
      </w:pPr>
      <w:bookmarkStart w:id="11" w:name="_Toc9521702"/>
      <w:r>
        <w:rPr>
          <w:color w:val="000000"/>
        </w:rPr>
        <w:t>A.10. Protection of the Privacy and Confidentiality of Information Provided by Respondents</w:t>
      </w:r>
      <w:bookmarkEnd w:id="11"/>
    </w:p>
    <w:p w:rsidR="009747E5" w:rsidRDefault="009747E5">
      <w:pPr>
        <w:spacing w:line="240" w:lineRule="auto"/>
        <w:rPr>
          <w:sz w:val="24"/>
          <w:szCs w:val="24"/>
          <w:u w:val="single"/>
        </w:rPr>
      </w:pPr>
    </w:p>
    <w:p w:rsidR="00AF740E" w:rsidRPr="00BC0E7C" w:rsidRDefault="00BC0E7C">
      <w:pPr>
        <w:spacing w:line="240" w:lineRule="auto"/>
        <w:rPr>
          <w:sz w:val="24"/>
          <w:szCs w:val="24"/>
        </w:rPr>
      </w:pPr>
      <w:r w:rsidRPr="00912B12">
        <w:rPr>
          <w:sz w:val="24"/>
          <w:szCs w:val="24"/>
        </w:rPr>
        <w:t>The semi-structured key informant interview instruments do not require respondents to provide identifying information.</w:t>
      </w:r>
      <w:r w:rsidR="005A0EB4">
        <w:rPr>
          <w:sz w:val="24"/>
          <w:szCs w:val="24"/>
        </w:rPr>
        <w:t xml:space="preserve"> </w:t>
      </w:r>
      <w:r w:rsidR="00EE2F90" w:rsidRPr="00BC0E7C">
        <w:rPr>
          <w:sz w:val="24"/>
          <w:szCs w:val="24"/>
        </w:rPr>
        <w:t xml:space="preserve">NEHA </w:t>
      </w:r>
      <w:r w:rsidR="00EE2F90">
        <w:rPr>
          <w:sz w:val="24"/>
          <w:szCs w:val="24"/>
        </w:rPr>
        <w:t>knows m</w:t>
      </w:r>
      <w:r w:rsidR="00ED423C" w:rsidRPr="00BC0E7C">
        <w:rPr>
          <w:sz w:val="24"/>
          <w:szCs w:val="24"/>
        </w:rPr>
        <w:t xml:space="preserve">ost of the key informants </w:t>
      </w:r>
      <w:r w:rsidR="00AF740E" w:rsidRPr="00BC0E7C">
        <w:rPr>
          <w:sz w:val="24"/>
          <w:szCs w:val="24"/>
        </w:rPr>
        <w:t xml:space="preserve">through </w:t>
      </w:r>
      <w:r w:rsidR="005A0EB4">
        <w:rPr>
          <w:sz w:val="24"/>
          <w:szCs w:val="24"/>
        </w:rPr>
        <w:t>t</w:t>
      </w:r>
      <w:r w:rsidR="00AF740E" w:rsidRPr="00BC0E7C">
        <w:rPr>
          <w:sz w:val="24"/>
          <w:szCs w:val="24"/>
        </w:rPr>
        <w:t>he</w:t>
      </w:r>
      <w:r w:rsidR="005A0EB4">
        <w:rPr>
          <w:sz w:val="24"/>
          <w:szCs w:val="24"/>
        </w:rPr>
        <w:t>i</w:t>
      </w:r>
      <w:r w:rsidR="00AF740E" w:rsidRPr="00BC0E7C">
        <w:rPr>
          <w:sz w:val="24"/>
          <w:szCs w:val="24"/>
        </w:rPr>
        <w:t>r professional network.</w:t>
      </w:r>
      <w:r w:rsidR="00ED423C" w:rsidRPr="00BC0E7C">
        <w:rPr>
          <w:sz w:val="24"/>
          <w:szCs w:val="24"/>
        </w:rPr>
        <w:t xml:space="preserve"> </w:t>
      </w:r>
      <w:r w:rsidR="006F105C">
        <w:rPr>
          <w:sz w:val="24"/>
          <w:szCs w:val="24"/>
        </w:rPr>
        <w:t>I</w:t>
      </w:r>
      <w:r w:rsidR="00AF740E" w:rsidRPr="00BC0E7C">
        <w:rPr>
          <w:sz w:val="24"/>
          <w:szCs w:val="24"/>
        </w:rPr>
        <w:t xml:space="preserve">nformation </w:t>
      </w:r>
      <w:r w:rsidR="006F105C">
        <w:rPr>
          <w:sz w:val="24"/>
          <w:szCs w:val="24"/>
        </w:rPr>
        <w:t xml:space="preserve">such as </w:t>
      </w:r>
      <w:r w:rsidR="006F105C" w:rsidRPr="00912B12">
        <w:rPr>
          <w:sz w:val="24"/>
          <w:szCs w:val="24"/>
        </w:rPr>
        <w:t>name, occupation, and contact information</w:t>
      </w:r>
      <w:r w:rsidR="00593C7A">
        <w:rPr>
          <w:sz w:val="24"/>
          <w:szCs w:val="24"/>
        </w:rPr>
        <w:t xml:space="preserve"> will be used and </w:t>
      </w:r>
      <w:r w:rsidR="00AF740E" w:rsidRPr="00BC0E7C">
        <w:rPr>
          <w:sz w:val="24"/>
          <w:szCs w:val="24"/>
        </w:rPr>
        <w:t>is publicly listed as they are either a) public employees</w:t>
      </w:r>
      <w:r w:rsidR="00EE2F90">
        <w:rPr>
          <w:sz w:val="24"/>
          <w:szCs w:val="24"/>
        </w:rPr>
        <w:t>,</w:t>
      </w:r>
      <w:r w:rsidR="00AF740E" w:rsidRPr="00BC0E7C">
        <w:rPr>
          <w:sz w:val="24"/>
          <w:szCs w:val="24"/>
        </w:rPr>
        <w:t xml:space="preserve"> or b) employees of well-known and documented civil society organizations who specialize in open data. Finally, </w:t>
      </w:r>
      <w:r w:rsidR="00EE2F90">
        <w:rPr>
          <w:sz w:val="24"/>
          <w:szCs w:val="24"/>
        </w:rPr>
        <w:t>NEHA</w:t>
      </w:r>
      <w:r w:rsidR="00AF740E" w:rsidRPr="00BC0E7C">
        <w:rPr>
          <w:sz w:val="24"/>
          <w:szCs w:val="24"/>
        </w:rPr>
        <w:t xml:space="preserve"> </w:t>
      </w:r>
      <w:r w:rsidR="00EE2F90">
        <w:rPr>
          <w:sz w:val="24"/>
          <w:szCs w:val="24"/>
        </w:rPr>
        <w:t>will</w:t>
      </w:r>
      <w:r w:rsidR="00AF740E" w:rsidRPr="00BC0E7C">
        <w:rPr>
          <w:sz w:val="24"/>
          <w:szCs w:val="24"/>
        </w:rPr>
        <w:t xml:space="preserve"> contact </w:t>
      </w:r>
      <w:r w:rsidR="00EE2F90">
        <w:rPr>
          <w:sz w:val="24"/>
          <w:szCs w:val="24"/>
        </w:rPr>
        <w:t xml:space="preserve">informants </w:t>
      </w:r>
      <w:r w:rsidR="00AF740E" w:rsidRPr="00BC0E7C">
        <w:rPr>
          <w:sz w:val="24"/>
          <w:szCs w:val="24"/>
        </w:rPr>
        <w:t>directly via email and through Twitter's Direct Message feature (similar to email).</w:t>
      </w:r>
    </w:p>
    <w:p w:rsidR="00B54739" w:rsidRDefault="005A0EB4" w:rsidP="00DB5575">
      <w:pPr>
        <w:spacing w:line="240" w:lineRule="auto"/>
        <w:rPr>
          <w:sz w:val="24"/>
          <w:szCs w:val="24"/>
        </w:rPr>
      </w:pPr>
      <w:r>
        <w:rPr>
          <w:sz w:val="24"/>
          <w:szCs w:val="24"/>
        </w:rPr>
        <w:t>NEHA</w:t>
      </w:r>
      <w:r w:rsidR="00BC0E7C" w:rsidRPr="00912B12">
        <w:rPr>
          <w:sz w:val="24"/>
          <w:szCs w:val="24"/>
        </w:rPr>
        <w:t xml:space="preserve"> will </w:t>
      </w:r>
      <w:r w:rsidR="00AF740E" w:rsidRPr="00912B12">
        <w:rPr>
          <w:sz w:val="24"/>
          <w:szCs w:val="24"/>
        </w:rPr>
        <w:t xml:space="preserve">collect the key informant information by taking hard copy notes on their discussions. Afterward, the information will be logged into a spreadsheet, de-identified, </w:t>
      </w:r>
      <w:r w:rsidR="00BC0E7C" w:rsidRPr="00912B12">
        <w:rPr>
          <w:sz w:val="24"/>
          <w:szCs w:val="24"/>
        </w:rPr>
        <w:t>organize</w:t>
      </w:r>
      <w:r w:rsidR="00AF740E" w:rsidRPr="00912B12">
        <w:rPr>
          <w:sz w:val="24"/>
          <w:szCs w:val="24"/>
        </w:rPr>
        <w:t>d</w:t>
      </w:r>
      <w:r w:rsidR="00BC0E7C" w:rsidRPr="00912B12">
        <w:rPr>
          <w:sz w:val="24"/>
          <w:szCs w:val="24"/>
        </w:rPr>
        <w:t xml:space="preserve">, and will </w:t>
      </w:r>
      <w:r w:rsidR="00AF740E" w:rsidRPr="00912B12">
        <w:rPr>
          <w:sz w:val="24"/>
          <w:szCs w:val="24"/>
        </w:rPr>
        <w:t xml:space="preserve">be </w:t>
      </w:r>
      <w:r w:rsidR="00BC0E7C" w:rsidRPr="00912B12">
        <w:rPr>
          <w:sz w:val="24"/>
          <w:szCs w:val="24"/>
        </w:rPr>
        <w:t>provide</w:t>
      </w:r>
      <w:r w:rsidR="00AF740E" w:rsidRPr="00912B12">
        <w:rPr>
          <w:sz w:val="24"/>
          <w:szCs w:val="24"/>
        </w:rPr>
        <w:t>d to</w:t>
      </w:r>
      <w:r w:rsidR="00BC0E7C" w:rsidRPr="00912B12">
        <w:rPr>
          <w:sz w:val="24"/>
          <w:szCs w:val="24"/>
        </w:rPr>
        <w:t xml:space="preserve"> the CDC </w:t>
      </w:r>
      <w:r w:rsidR="00AF740E" w:rsidRPr="00912B12">
        <w:rPr>
          <w:sz w:val="24"/>
          <w:szCs w:val="24"/>
        </w:rPr>
        <w:t xml:space="preserve">in </w:t>
      </w:r>
      <w:r w:rsidR="00BC0E7C" w:rsidRPr="00912B12">
        <w:rPr>
          <w:sz w:val="24"/>
          <w:szCs w:val="24"/>
        </w:rPr>
        <w:t xml:space="preserve">a summary of results. At no time will CDC have access to any key informant </w:t>
      </w:r>
      <w:r w:rsidR="00912B12">
        <w:rPr>
          <w:sz w:val="24"/>
          <w:szCs w:val="24"/>
        </w:rPr>
        <w:t xml:space="preserve">interview </w:t>
      </w:r>
      <w:r w:rsidR="00BC0E7C" w:rsidRPr="00912B12">
        <w:rPr>
          <w:sz w:val="24"/>
          <w:szCs w:val="24"/>
        </w:rPr>
        <w:t>transcripts.</w:t>
      </w:r>
    </w:p>
    <w:p w:rsidR="00ED423C" w:rsidRPr="00912B12" w:rsidRDefault="00B54739" w:rsidP="00DB5575">
      <w:pPr>
        <w:spacing w:line="240" w:lineRule="auto"/>
        <w:rPr>
          <w:sz w:val="24"/>
          <w:szCs w:val="24"/>
        </w:rPr>
      </w:pPr>
      <w:r>
        <w:rPr>
          <w:sz w:val="24"/>
          <w:szCs w:val="24"/>
        </w:rPr>
        <w:t>NEHA will use physical and procedural safeguards to protect the integrity of key informants’ information. These safeguards include storing notes and notebooks in locked cabinets in locked rooms, and safeguarding electronic data using password protection and anti-virus software. Only NEHA will have access to the raw data.</w:t>
      </w:r>
    </w:p>
    <w:p w:rsidR="009747E5" w:rsidRDefault="00BC0E7C">
      <w:pPr>
        <w:pStyle w:val="Heading1"/>
        <w:pBdr>
          <w:bottom w:val="none" w:sz="0" w:space="0" w:color="000000"/>
        </w:pBdr>
        <w:rPr>
          <w:color w:val="000000"/>
        </w:rPr>
      </w:pPr>
      <w:bookmarkStart w:id="12" w:name="_Toc9521703"/>
      <w:r>
        <w:rPr>
          <w:color w:val="000000"/>
        </w:rPr>
        <w:t>A.11. Institutional Review Board (IRB) and Justification for Sensitive Questions</w:t>
      </w:r>
      <w:bookmarkEnd w:id="12"/>
    </w:p>
    <w:p w:rsidR="009747E5" w:rsidRDefault="009747E5">
      <w:pPr>
        <w:spacing w:line="240" w:lineRule="auto"/>
      </w:pPr>
    </w:p>
    <w:p w:rsidR="0019737B" w:rsidRDefault="0019737B">
      <w:pPr>
        <w:spacing w:line="240" w:lineRule="auto"/>
        <w:rPr>
          <w:sz w:val="24"/>
        </w:rPr>
      </w:pPr>
      <w:r>
        <w:rPr>
          <w:sz w:val="24"/>
        </w:rPr>
        <w:t>The NCEH/ATSDR Human Subjects Advisor has reviewed this project and determined that it does not meet the definition of research under 45 CFR §46.102(l) (Attachment 4).</w:t>
      </w:r>
    </w:p>
    <w:p w:rsidR="009747E5" w:rsidRDefault="0019737B">
      <w:pPr>
        <w:spacing w:line="240" w:lineRule="auto"/>
        <w:rPr>
          <w:sz w:val="24"/>
          <w:szCs w:val="24"/>
        </w:rPr>
      </w:pPr>
      <w:r>
        <w:rPr>
          <w:sz w:val="24"/>
        </w:rPr>
        <w:t xml:space="preserve">No information will be collected that are of personal or sensitive nature.  </w:t>
      </w:r>
    </w:p>
    <w:p w:rsidR="009747E5" w:rsidRDefault="00BC0E7C">
      <w:pPr>
        <w:pStyle w:val="Heading1"/>
        <w:pBdr>
          <w:bottom w:val="none" w:sz="0" w:space="0" w:color="000000"/>
        </w:pBdr>
        <w:rPr>
          <w:color w:val="000000"/>
        </w:rPr>
      </w:pPr>
      <w:bookmarkStart w:id="13" w:name="_Toc9521704"/>
      <w:r>
        <w:rPr>
          <w:color w:val="000000"/>
        </w:rPr>
        <w:t>A.12. Estimates of Annualized Burden Hours and Costs</w:t>
      </w:r>
      <w:bookmarkEnd w:id="13"/>
    </w:p>
    <w:p w:rsidR="009747E5" w:rsidRDefault="009747E5">
      <w:pPr>
        <w:spacing w:line="240" w:lineRule="auto"/>
        <w:rPr>
          <w:sz w:val="24"/>
          <w:szCs w:val="24"/>
        </w:rPr>
      </w:pPr>
    </w:p>
    <w:p w:rsidR="00093D25" w:rsidRDefault="00BC0E7C" w:rsidP="00093D25">
      <w:pPr>
        <w:spacing w:line="240" w:lineRule="auto"/>
        <w:rPr>
          <w:sz w:val="24"/>
          <w:szCs w:val="24"/>
        </w:rPr>
      </w:pPr>
      <w:r>
        <w:rPr>
          <w:sz w:val="24"/>
          <w:szCs w:val="24"/>
        </w:rPr>
        <w:t>Burden estimates were calculated using the mean hourly rate of the respondent type from the Bureau of Labor Statistics’ May 2017 Occupational Employment Statistics</w:t>
      </w:r>
      <w:r>
        <w:rPr>
          <w:sz w:val="24"/>
          <w:szCs w:val="24"/>
          <w:vertAlign w:val="superscript"/>
        </w:rPr>
        <w:footnoteReference w:id="5"/>
      </w:r>
      <w:r>
        <w:rPr>
          <w:sz w:val="24"/>
          <w:szCs w:val="24"/>
        </w:rPr>
        <w:t xml:space="preserve">, the number of interviews planned, and a one-hour length of interview. Each interview will occur one time, for a total burden of </w:t>
      </w:r>
      <w:r w:rsidR="00093D25">
        <w:rPr>
          <w:sz w:val="24"/>
          <w:szCs w:val="24"/>
        </w:rPr>
        <w:t>43</w:t>
      </w:r>
      <w:r>
        <w:rPr>
          <w:sz w:val="24"/>
          <w:szCs w:val="24"/>
        </w:rPr>
        <w:t xml:space="preserve"> hours.</w:t>
      </w:r>
    </w:p>
    <w:p w:rsidR="009747E5" w:rsidRDefault="00BC0E7C" w:rsidP="00093D25">
      <w:pPr>
        <w:spacing w:line="240" w:lineRule="auto"/>
        <w:rPr>
          <w:b/>
          <w:sz w:val="22"/>
          <w:szCs w:val="22"/>
        </w:rPr>
      </w:pPr>
      <w:r w:rsidRPr="00B37A61">
        <w:rPr>
          <w:b/>
          <w:sz w:val="22"/>
          <w:szCs w:val="22"/>
        </w:rPr>
        <w:t xml:space="preserve">Table </w:t>
      </w:r>
      <w:r w:rsidR="0019737B">
        <w:rPr>
          <w:b/>
          <w:sz w:val="22"/>
          <w:szCs w:val="22"/>
        </w:rPr>
        <w:t>A.12.</w:t>
      </w:r>
      <w:r w:rsidRPr="00B37A61">
        <w:rPr>
          <w:b/>
          <w:sz w:val="22"/>
          <w:szCs w:val="22"/>
        </w:rPr>
        <w:t xml:space="preserve">1. Estimate of Annualized Burden Hours </w:t>
      </w:r>
    </w:p>
    <w:tbl>
      <w:tblPr>
        <w:tblStyle w:val="TableGrid"/>
        <w:tblW w:w="0" w:type="auto"/>
        <w:tblLook w:val="04A0" w:firstRow="1" w:lastRow="0" w:firstColumn="1" w:lastColumn="0" w:noHBand="0" w:noVBand="1"/>
      </w:tblPr>
      <w:tblGrid>
        <w:gridCol w:w="2875"/>
        <w:gridCol w:w="1668"/>
        <w:gridCol w:w="1404"/>
        <w:gridCol w:w="1316"/>
        <w:gridCol w:w="1204"/>
        <w:gridCol w:w="883"/>
      </w:tblGrid>
      <w:tr w:rsidR="00093D25" w:rsidTr="00093D25">
        <w:tc>
          <w:tcPr>
            <w:tcW w:w="2875" w:type="dxa"/>
          </w:tcPr>
          <w:p w:rsidR="00093D25" w:rsidRDefault="00093D25" w:rsidP="00093D25">
            <w:pPr>
              <w:jc w:val="center"/>
              <w:rPr>
                <w:b/>
                <w:sz w:val="22"/>
                <w:szCs w:val="22"/>
              </w:rPr>
            </w:pPr>
            <w:r>
              <w:rPr>
                <w:b/>
                <w:sz w:val="22"/>
                <w:szCs w:val="22"/>
              </w:rPr>
              <w:t>Type of Respondents</w:t>
            </w:r>
          </w:p>
        </w:tc>
        <w:tc>
          <w:tcPr>
            <w:tcW w:w="1668" w:type="dxa"/>
          </w:tcPr>
          <w:p w:rsidR="00093D25" w:rsidRDefault="00093D25" w:rsidP="00093D25">
            <w:pPr>
              <w:jc w:val="center"/>
              <w:rPr>
                <w:b/>
                <w:sz w:val="22"/>
                <w:szCs w:val="22"/>
              </w:rPr>
            </w:pPr>
            <w:r>
              <w:rPr>
                <w:b/>
                <w:sz w:val="22"/>
                <w:szCs w:val="22"/>
              </w:rPr>
              <w:t>Form Name</w:t>
            </w:r>
          </w:p>
        </w:tc>
        <w:tc>
          <w:tcPr>
            <w:tcW w:w="1404" w:type="dxa"/>
          </w:tcPr>
          <w:p w:rsidR="00093D25" w:rsidRDefault="00093D25" w:rsidP="00093D25">
            <w:pPr>
              <w:jc w:val="center"/>
              <w:rPr>
                <w:b/>
                <w:sz w:val="22"/>
                <w:szCs w:val="22"/>
              </w:rPr>
            </w:pPr>
            <w:r>
              <w:rPr>
                <w:b/>
                <w:sz w:val="22"/>
                <w:szCs w:val="22"/>
              </w:rPr>
              <w:t>Number of Respondents</w:t>
            </w:r>
          </w:p>
        </w:tc>
        <w:tc>
          <w:tcPr>
            <w:tcW w:w="1316" w:type="dxa"/>
          </w:tcPr>
          <w:p w:rsidR="00093D25" w:rsidRDefault="00093D25" w:rsidP="00093D25">
            <w:pPr>
              <w:jc w:val="center"/>
              <w:rPr>
                <w:b/>
                <w:sz w:val="22"/>
                <w:szCs w:val="22"/>
              </w:rPr>
            </w:pPr>
            <w:r>
              <w:rPr>
                <w:b/>
                <w:sz w:val="22"/>
                <w:szCs w:val="22"/>
              </w:rPr>
              <w:t>Number of Responses per Respondent</w:t>
            </w:r>
          </w:p>
        </w:tc>
        <w:tc>
          <w:tcPr>
            <w:tcW w:w="1204" w:type="dxa"/>
          </w:tcPr>
          <w:p w:rsidR="00093D25" w:rsidRDefault="00093D25" w:rsidP="00093D25">
            <w:pPr>
              <w:jc w:val="center"/>
              <w:rPr>
                <w:b/>
                <w:sz w:val="22"/>
                <w:szCs w:val="22"/>
              </w:rPr>
            </w:pPr>
            <w:r>
              <w:rPr>
                <w:b/>
                <w:sz w:val="22"/>
                <w:szCs w:val="22"/>
              </w:rPr>
              <w:t>Average Burden per Response (in Hours)</w:t>
            </w:r>
          </w:p>
        </w:tc>
        <w:tc>
          <w:tcPr>
            <w:tcW w:w="883" w:type="dxa"/>
          </w:tcPr>
          <w:p w:rsidR="00093D25" w:rsidRDefault="00093D25" w:rsidP="00093D25">
            <w:pPr>
              <w:jc w:val="center"/>
              <w:rPr>
                <w:b/>
                <w:sz w:val="22"/>
                <w:szCs w:val="22"/>
              </w:rPr>
            </w:pPr>
            <w:r>
              <w:rPr>
                <w:b/>
                <w:sz w:val="22"/>
                <w:szCs w:val="22"/>
              </w:rPr>
              <w:t>Total Burden Hours</w:t>
            </w:r>
          </w:p>
        </w:tc>
      </w:tr>
      <w:tr w:rsidR="00093D25" w:rsidTr="00093D25">
        <w:tc>
          <w:tcPr>
            <w:tcW w:w="2875" w:type="dxa"/>
          </w:tcPr>
          <w:p w:rsidR="00093D25" w:rsidRDefault="00093D25" w:rsidP="00093D25">
            <w:pPr>
              <w:rPr>
                <w:b/>
                <w:sz w:val="22"/>
                <w:szCs w:val="22"/>
              </w:rPr>
            </w:pPr>
            <w:r>
              <w:t>Open Data Standard Expert</w:t>
            </w:r>
          </w:p>
        </w:tc>
        <w:tc>
          <w:tcPr>
            <w:tcW w:w="1668" w:type="dxa"/>
          </w:tcPr>
          <w:p w:rsidR="00093D25" w:rsidRPr="00093D25" w:rsidRDefault="00093D25" w:rsidP="00093D25">
            <w:pPr>
              <w:rPr>
                <w:sz w:val="22"/>
                <w:szCs w:val="22"/>
              </w:rPr>
            </w:pPr>
            <w:r w:rsidRPr="00093D25">
              <w:rPr>
                <w:sz w:val="22"/>
                <w:szCs w:val="22"/>
              </w:rPr>
              <w:t>Key Informant Interview Plan</w:t>
            </w:r>
          </w:p>
        </w:tc>
        <w:tc>
          <w:tcPr>
            <w:tcW w:w="1404" w:type="dxa"/>
          </w:tcPr>
          <w:p w:rsidR="00093D25" w:rsidRDefault="00093D25" w:rsidP="00093D25">
            <w:pPr>
              <w:jc w:val="center"/>
              <w:rPr>
                <w:b/>
                <w:sz w:val="22"/>
                <w:szCs w:val="22"/>
              </w:rPr>
            </w:pPr>
            <w:r>
              <w:rPr>
                <w:b/>
                <w:sz w:val="22"/>
                <w:szCs w:val="22"/>
              </w:rPr>
              <w:t>6</w:t>
            </w:r>
          </w:p>
        </w:tc>
        <w:tc>
          <w:tcPr>
            <w:tcW w:w="1316" w:type="dxa"/>
          </w:tcPr>
          <w:p w:rsidR="00093D25" w:rsidRDefault="00093D25" w:rsidP="00093D25">
            <w:pPr>
              <w:jc w:val="center"/>
              <w:rPr>
                <w:b/>
                <w:sz w:val="22"/>
                <w:szCs w:val="22"/>
              </w:rPr>
            </w:pPr>
            <w:r>
              <w:rPr>
                <w:b/>
                <w:sz w:val="22"/>
                <w:szCs w:val="22"/>
              </w:rPr>
              <w:t>1</w:t>
            </w:r>
          </w:p>
        </w:tc>
        <w:tc>
          <w:tcPr>
            <w:tcW w:w="1204" w:type="dxa"/>
          </w:tcPr>
          <w:p w:rsidR="00093D25" w:rsidRDefault="00093D25" w:rsidP="00093D25">
            <w:pPr>
              <w:jc w:val="center"/>
              <w:rPr>
                <w:b/>
                <w:sz w:val="22"/>
                <w:szCs w:val="22"/>
              </w:rPr>
            </w:pPr>
            <w:r>
              <w:rPr>
                <w:b/>
                <w:sz w:val="22"/>
                <w:szCs w:val="22"/>
              </w:rPr>
              <w:t>1</w:t>
            </w:r>
          </w:p>
        </w:tc>
        <w:tc>
          <w:tcPr>
            <w:tcW w:w="883" w:type="dxa"/>
          </w:tcPr>
          <w:p w:rsidR="00093D25" w:rsidRDefault="00093D25" w:rsidP="00093D25">
            <w:pPr>
              <w:jc w:val="center"/>
              <w:rPr>
                <w:b/>
                <w:sz w:val="22"/>
                <w:szCs w:val="22"/>
              </w:rPr>
            </w:pPr>
            <w:r>
              <w:rPr>
                <w:b/>
                <w:sz w:val="22"/>
                <w:szCs w:val="22"/>
              </w:rPr>
              <w:t>6</w:t>
            </w:r>
          </w:p>
        </w:tc>
      </w:tr>
      <w:tr w:rsidR="00093D25" w:rsidTr="00093D25">
        <w:tc>
          <w:tcPr>
            <w:tcW w:w="2875" w:type="dxa"/>
          </w:tcPr>
          <w:p w:rsidR="00093D25" w:rsidRDefault="00093D25" w:rsidP="00093D25">
            <w:r>
              <w:t>Municipal Government IT Administrator</w:t>
            </w:r>
          </w:p>
        </w:tc>
        <w:tc>
          <w:tcPr>
            <w:tcW w:w="1668" w:type="dxa"/>
          </w:tcPr>
          <w:p w:rsidR="00093D25" w:rsidRPr="00093D25" w:rsidRDefault="00093D25" w:rsidP="00093D25">
            <w:pPr>
              <w:rPr>
                <w:sz w:val="22"/>
                <w:szCs w:val="22"/>
              </w:rPr>
            </w:pPr>
            <w:r w:rsidRPr="00093D25">
              <w:rPr>
                <w:sz w:val="22"/>
                <w:szCs w:val="22"/>
              </w:rPr>
              <w:t>Key Informant Interview Plan</w:t>
            </w:r>
          </w:p>
        </w:tc>
        <w:tc>
          <w:tcPr>
            <w:tcW w:w="1404" w:type="dxa"/>
          </w:tcPr>
          <w:p w:rsidR="00093D25" w:rsidRDefault="00093D25" w:rsidP="00093D25">
            <w:pPr>
              <w:jc w:val="center"/>
              <w:rPr>
                <w:b/>
                <w:sz w:val="22"/>
                <w:szCs w:val="22"/>
              </w:rPr>
            </w:pPr>
            <w:r>
              <w:rPr>
                <w:b/>
                <w:sz w:val="22"/>
                <w:szCs w:val="22"/>
              </w:rPr>
              <w:t>10</w:t>
            </w:r>
          </w:p>
        </w:tc>
        <w:tc>
          <w:tcPr>
            <w:tcW w:w="1316" w:type="dxa"/>
          </w:tcPr>
          <w:p w:rsidR="00093D25" w:rsidRDefault="00093D25" w:rsidP="00093D25">
            <w:pPr>
              <w:jc w:val="center"/>
              <w:rPr>
                <w:b/>
                <w:sz w:val="22"/>
                <w:szCs w:val="22"/>
              </w:rPr>
            </w:pPr>
            <w:r>
              <w:rPr>
                <w:b/>
                <w:sz w:val="22"/>
                <w:szCs w:val="22"/>
              </w:rPr>
              <w:t>1</w:t>
            </w:r>
          </w:p>
        </w:tc>
        <w:tc>
          <w:tcPr>
            <w:tcW w:w="1204" w:type="dxa"/>
          </w:tcPr>
          <w:p w:rsidR="00093D25" w:rsidRDefault="00093D25" w:rsidP="00093D25">
            <w:pPr>
              <w:jc w:val="center"/>
              <w:rPr>
                <w:b/>
                <w:sz w:val="22"/>
                <w:szCs w:val="22"/>
              </w:rPr>
            </w:pPr>
            <w:r>
              <w:rPr>
                <w:b/>
                <w:sz w:val="22"/>
                <w:szCs w:val="22"/>
              </w:rPr>
              <w:t>1</w:t>
            </w:r>
          </w:p>
        </w:tc>
        <w:tc>
          <w:tcPr>
            <w:tcW w:w="883" w:type="dxa"/>
          </w:tcPr>
          <w:p w:rsidR="00093D25" w:rsidRDefault="00093D25" w:rsidP="00093D25">
            <w:pPr>
              <w:jc w:val="center"/>
              <w:rPr>
                <w:b/>
                <w:sz w:val="22"/>
                <w:szCs w:val="22"/>
              </w:rPr>
            </w:pPr>
            <w:r>
              <w:rPr>
                <w:b/>
                <w:sz w:val="22"/>
                <w:szCs w:val="22"/>
              </w:rPr>
              <w:t>10</w:t>
            </w:r>
          </w:p>
        </w:tc>
      </w:tr>
      <w:tr w:rsidR="00093D25" w:rsidTr="00093D25">
        <w:tc>
          <w:tcPr>
            <w:tcW w:w="2875" w:type="dxa"/>
          </w:tcPr>
          <w:p w:rsidR="00093D25" w:rsidRDefault="00093D25" w:rsidP="00093D25">
            <w:r>
              <w:t>Environmental Health Personnel</w:t>
            </w:r>
          </w:p>
        </w:tc>
        <w:tc>
          <w:tcPr>
            <w:tcW w:w="1668" w:type="dxa"/>
          </w:tcPr>
          <w:p w:rsidR="00093D25" w:rsidRPr="00093D25" w:rsidRDefault="00093D25" w:rsidP="00093D25">
            <w:pPr>
              <w:rPr>
                <w:sz w:val="22"/>
                <w:szCs w:val="22"/>
              </w:rPr>
            </w:pPr>
            <w:r w:rsidRPr="00093D25">
              <w:rPr>
                <w:sz w:val="22"/>
                <w:szCs w:val="22"/>
              </w:rPr>
              <w:t>Key Informant Interview Plan</w:t>
            </w:r>
          </w:p>
        </w:tc>
        <w:tc>
          <w:tcPr>
            <w:tcW w:w="1404" w:type="dxa"/>
          </w:tcPr>
          <w:p w:rsidR="00093D25" w:rsidRDefault="00093D25" w:rsidP="00093D25">
            <w:pPr>
              <w:jc w:val="center"/>
              <w:rPr>
                <w:b/>
                <w:sz w:val="22"/>
                <w:szCs w:val="22"/>
              </w:rPr>
            </w:pPr>
            <w:r>
              <w:rPr>
                <w:b/>
                <w:sz w:val="22"/>
                <w:szCs w:val="22"/>
              </w:rPr>
              <w:t>20</w:t>
            </w:r>
          </w:p>
        </w:tc>
        <w:tc>
          <w:tcPr>
            <w:tcW w:w="1316" w:type="dxa"/>
          </w:tcPr>
          <w:p w:rsidR="00093D25" w:rsidRDefault="00093D25" w:rsidP="00093D25">
            <w:pPr>
              <w:jc w:val="center"/>
              <w:rPr>
                <w:b/>
                <w:sz w:val="22"/>
                <w:szCs w:val="22"/>
              </w:rPr>
            </w:pPr>
            <w:r>
              <w:rPr>
                <w:b/>
                <w:sz w:val="22"/>
                <w:szCs w:val="22"/>
              </w:rPr>
              <w:t>1</w:t>
            </w:r>
          </w:p>
        </w:tc>
        <w:tc>
          <w:tcPr>
            <w:tcW w:w="1204" w:type="dxa"/>
          </w:tcPr>
          <w:p w:rsidR="00093D25" w:rsidRDefault="00093D25" w:rsidP="00093D25">
            <w:pPr>
              <w:jc w:val="center"/>
              <w:rPr>
                <w:b/>
                <w:sz w:val="22"/>
                <w:szCs w:val="22"/>
              </w:rPr>
            </w:pPr>
            <w:r>
              <w:rPr>
                <w:b/>
                <w:sz w:val="22"/>
                <w:szCs w:val="22"/>
              </w:rPr>
              <w:t>1</w:t>
            </w:r>
          </w:p>
        </w:tc>
        <w:tc>
          <w:tcPr>
            <w:tcW w:w="883" w:type="dxa"/>
          </w:tcPr>
          <w:p w:rsidR="00093D25" w:rsidRDefault="00093D25" w:rsidP="00093D25">
            <w:pPr>
              <w:jc w:val="center"/>
              <w:rPr>
                <w:b/>
                <w:sz w:val="22"/>
                <w:szCs w:val="22"/>
              </w:rPr>
            </w:pPr>
            <w:r>
              <w:rPr>
                <w:b/>
                <w:sz w:val="22"/>
                <w:szCs w:val="22"/>
              </w:rPr>
              <w:t>20</w:t>
            </w:r>
          </w:p>
        </w:tc>
      </w:tr>
      <w:tr w:rsidR="00093D25" w:rsidTr="00093D25">
        <w:tc>
          <w:tcPr>
            <w:tcW w:w="2875" w:type="dxa"/>
          </w:tcPr>
          <w:p w:rsidR="00093D25" w:rsidRDefault="00093D25" w:rsidP="00093D25">
            <w:r>
              <w:t>Technology Providers</w:t>
            </w:r>
          </w:p>
        </w:tc>
        <w:tc>
          <w:tcPr>
            <w:tcW w:w="1668" w:type="dxa"/>
          </w:tcPr>
          <w:p w:rsidR="00093D25" w:rsidRPr="00093D25" w:rsidRDefault="00093D25" w:rsidP="00093D25">
            <w:pPr>
              <w:rPr>
                <w:sz w:val="22"/>
                <w:szCs w:val="22"/>
              </w:rPr>
            </w:pPr>
            <w:r w:rsidRPr="00093D25">
              <w:rPr>
                <w:sz w:val="22"/>
                <w:szCs w:val="22"/>
              </w:rPr>
              <w:t>Key Informant Interview Plan</w:t>
            </w:r>
          </w:p>
        </w:tc>
        <w:tc>
          <w:tcPr>
            <w:tcW w:w="1404" w:type="dxa"/>
          </w:tcPr>
          <w:p w:rsidR="00093D25" w:rsidRDefault="00093D25" w:rsidP="00093D25">
            <w:pPr>
              <w:jc w:val="center"/>
              <w:rPr>
                <w:b/>
                <w:sz w:val="22"/>
                <w:szCs w:val="22"/>
              </w:rPr>
            </w:pPr>
            <w:r>
              <w:rPr>
                <w:b/>
                <w:sz w:val="22"/>
                <w:szCs w:val="22"/>
              </w:rPr>
              <w:t>7</w:t>
            </w:r>
          </w:p>
        </w:tc>
        <w:tc>
          <w:tcPr>
            <w:tcW w:w="1316" w:type="dxa"/>
          </w:tcPr>
          <w:p w:rsidR="00093D25" w:rsidRDefault="00093D25" w:rsidP="00093D25">
            <w:pPr>
              <w:jc w:val="center"/>
              <w:rPr>
                <w:b/>
                <w:sz w:val="22"/>
                <w:szCs w:val="22"/>
              </w:rPr>
            </w:pPr>
            <w:r>
              <w:rPr>
                <w:b/>
                <w:sz w:val="22"/>
                <w:szCs w:val="22"/>
              </w:rPr>
              <w:t>1</w:t>
            </w:r>
          </w:p>
        </w:tc>
        <w:tc>
          <w:tcPr>
            <w:tcW w:w="1204" w:type="dxa"/>
          </w:tcPr>
          <w:p w:rsidR="00093D25" w:rsidRDefault="00093D25" w:rsidP="00093D25">
            <w:pPr>
              <w:jc w:val="center"/>
              <w:rPr>
                <w:b/>
                <w:sz w:val="22"/>
                <w:szCs w:val="22"/>
              </w:rPr>
            </w:pPr>
            <w:r>
              <w:rPr>
                <w:b/>
                <w:sz w:val="22"/>
                <w:szCs w:val="22"/>
              </w:rPr>
              <w:t>1</w:t>
            </w:r>
          </w:p>
        </w:tc>
        <w:tc>
          <w:tcPr>
            <w:tcW w:w="883" w:type="dxa"/>
          </w:tcPr>
          <w:p w:rsidR="00093D25" w:rsidRDefault="00093D25" w:rsidP="00093D25">
            <w:pPr>
              <w:jc w:val="center"/>
              <w:rPr>
                <w:b/>
                <w:sz w:val="22"/>
                <w:szCs w:val="22"/>
              </w:rPr>
            </w:pPr>
            <w:r>
              <w:rPr>
                <w:b/>
                <w:sz w:val="22"/>
                <w:szCs w:val="22"/>
              </w:rPr>
              <w:t>7</w:t>
            </w:r>
          </w:p>
        </w:tc>
      </w:tr>
      <w:tr w:rsidR="00093D25" w:rsidTr="009E5681">
        <w:tc>
          <w:tcPr>
            <w:tcW w:w="8467" w:type="dxa"/>
            <w:gridSpan w:val="5"/>
          </w:tcPr>
          <w:p w:rsidR="00093D25" w:rsidRDefault="00093D25" w:rsidP="00093D25">
            <w:pPr>
              <w:rPr>
                <w:b/>
                <w:sz w:val="22"/>
                <w:szCs w:val="22"/>
              </w:rPr>
            </w:pPr>
            <w:r>
              <w:rPr>
                <w:b/>
              </w:rPr>
              <w:t>Totals</w:t>
            </w:r>
          </w:p>
        </w:tc>
        <w:tc>
          <w:tcPr>
            <w:tcW w:w="883" w:type="dxa"/>
          </w:tcPr>
          <w:p w:rsidR="00093D25" w:rsidRDefault="00093D25" w:rsidP="00093D25">
            <w:pPr>
              <w:jc w:val="center"/>
              <w:rPr>
                <w:b/>
                <w:sz w:val="22"/>
                <w:szCs w:val="22"/>
              </w:rPr>
            </w:pPr>
            <w:r>
              <w:rPr>
                <w:b/>
                <w:sz w:val="22"/>
                <w:szCs w:val="22"/>
              </w:rPr>
              <w:t>43</w:t>
            </w:r>
          </w:p>
        </w:tc>
      </w:tr>
    </w:tbl>
    <w:p w:rsidR="00093D25" w:rsidRDefault="00093D25" w:rsidP="00093D25">
      <w:pPr>
        <w:spacing w:line="240" w:lineRule="auto"/>
        <w:rPr>
          <w:b/>
          <w:sz w:val="22"/>
          <w:szCs w:val="22"/>
        </w:rPr>
      </w:pPr>
    </w:p>
    <w:p w:rsidR="00966375" w:rsidRPr="00966375" w:rsidRDefault="00966375" w:rsidP="00093D25">
      <w:pPr>
        <w:spacing w:line="240" w:lineRule="auto"/>
        <w:rPr>
          <w:sz w:val="24"/>
          <w:szCs w:val="22"/>
        </w:rPr>
      </w:pPr>
      <w:r w:rsidRPr="00966375">
        <w:rPr>
          <w:sz w:val="24"/>
          <w:szCs w:val="22"/>
        </w:rPr>
        <w:t xml:space="preserve">Table A.12.2. presents the calculations for respondents’ time using average hourly wage information from the U.S. Department of Labor, Bureau of Labor Statistics website for May 2017.  The total estimated annualized respondent cost is $1829.61.  </w:t>
      </w:r>
    </w:p>
    <w:p w:rsidR="00093D25" w:rsidRDefault="00093D25" w:rsidP="00093D25">
      <w:pPr>
        <w:spacing w:line="240" w:lineRule="auto"/>
        <w:rPr>
          <w:b/>
          <w:sz w:val="22"/>
          <w:szCs w:val="22"/>
        </w:rPr>
      </w:pPr>
      <w:r w:rsidRPr="00B37A61">
        <w:rPr>
          <w:b/>
          <w:sz w:val="22"/>
          <w:szCs w:val="22"/>
        </w:rPr>
        <w:t xml:space="preserve">Table </w:t>
      </w:r>
      <w:r>
        <w:rPr>
          <w:b/>
          <w:sz w:val="22"/>
          <w:szCs w:val="22"/>
        </w:rPr>
        <w:t>A.12.2</w:t>
      </w:r>
      <w:r w:rsidRPr="00B37A61">
        <w:rPr>
          <w:b/>
          <w:sz w:val="22"/>
          <w:szCs w:val="22"/>
        </w:rPr>
        <w:t xml:space="preserve">. Estimate of Annualized Burden </w:t>
      </w:r>
      <w:r>
        <w:rPr>
          <w:b/>
          <w:sz w:val="22"/>
          <w:szCs w:val="22"/>
        </w:rPr>
        <w:t>Costs</w:t>
      </w:r>
      <w:r w:rsidRPr="00B37A61">
        <w:rPr>
          <w:b/>
          <w:sz w:val="22"/>
          <w:szCs w:val="22"/>
        </w:rPr>
        <w:t xml:space="preserve"> </w:t>
      </w:r>
    </w:p>
    <w:p w:rsidR="00093D25" w:rsidRDefault="00093D25">
      <w:pPr>
        <w:keepNext/>
        <w:pBdr>
          <w:top w:val="nil"/>
          <w:left w:val="nil"/>
          <w:bottom w:val="nil"/>
          <w:right w:val="nil"/>
          <w:between w:val="nil"/>
        </w:pBdr>
        <w:spacing w:line="240" w:lineRule="auto"/>
        <w:ind w:left="-360"/>
        <w:rPr>
          <w:b/>
          <w:sz w:val="22"/>
          <w:szCs w:val="22"/>
        </w:rPr>
      </w:pPr>
    </w:p>
    <w:tbl>
      <w:tblPr>
        <w:tblStyle w:val="TableGrid"/>
        <w:tblW w:w="0" w:type="auto"/>
        <w:tblLook w:val="04A0" w:firstRow="1" w:lastRow="0" w:firstColumn="1" w:lastColumn="0" w:noHBand="0" w:noVBand="1"/>
      </w:tblPr>
      <w:tblGrid>
        <w:gridCol w:w="2782"/>
        <w:gridCol w:w="1617"/>
        <w:gridCol w:w="1404"/>
        <w:gridCol w:w="1287"/>
        <w:gridCol w:w="1188"/>
        <w:gridCol w:w="1072"/>
      </w:tblGrid>
      <w:tr w:rsidR="00093D25" w:rsidTr="00966375">
        <w:tc>
          <w:tcPr>
            <w:tcW w:w="2782" w:type="dxa"/>
          </w:tcPr>
          <w:p w:rsidR="00093D25" w:rsidRDefault="00093D25" w:rsidP="00093D25">
            <w:pPr>
              <w:jc w:val="center"/>
              <w:rPr>
                <w:b/>
                <w:sz w:val="22"/>
                <w:szCs w:val="22"/>
              </w:rPr>
            </w:pPr>
            <w:r>
              <w:rPr>
                <w:b/>
                <w:sz w:val="22"/>
                <w:szCs w:val="22"/>
              </w:rPr>
              <w:t>Type of Respondents</w:t>
            </w:r>
          </w:p>
        </w:tc>
        <w:tc>
          <w:tcPr>
            <w:tcW w:w="1617" w:type="dxa"/>
          </w:tcPr>
          <w:p w:rsidR="00093D25" w:rsidRDefault="00093D25" w:rsidP="00093D25">
            <w:pPr>
              <w:jc w:val="center"/>
              <w:rPr>
                <w:b/>
                <w:sz w:val="22"/>
                <w:szCs w:val="22"/>
              </w:rPr>
            </w:pPr>
            <w:r>
              <w:rPr>
                <w:b/>
                <w:sz w:val="22"/>
                <w:szCs w:val="22"/>
              </w:rPr>
              <w:t>Form Name</w:t>
            </w:r>
          </w:p>
        </w:tc>
        <w:tc>
          <w:tcPr>
            <w:tcW w:w="1404" w:type="dxa"/>
          </w:tcPr>
          <w:p w:rsidR="00093D25" w:rsidRDefault="00093D25" w:rsidP="00093D25">
            <w:pPr>
              <w:jc w:val="center"/>
              <w:rPr>
                <w:b/>
                <w:sz w:val="22"/>
                <w:szCs w:val="22"/>
              </w:rPr>
            </w:pPr>
            <w:r>
              <w:rPr>
                <w:b/>
                <w:sz w:val="22"/>
                <w:szCs w:val="22"/>
              </w:rPr>
              <w:t>Number of Respondents</w:t>
            </w:r>
          </w:p>
        </w:tc>
        <w:tc>
          <w:tcPr>
            <w:tcW w:w="1287" w:type="dxa"/>
          </w:tcPr>
          <w:p w:rsidR="00093D25" w:rsidRDefault="00093D25" w:rsidP="00093D25">
            <w:pPr>
              <w:jc w:val="center"/>
              <w:rPr>
                <w:b/>
                <w:sz w:val="22"/>
                <w:szCs w:val="22"/>
              </w:rPr>
            </w:pPr>
            <w:r>
              <w:rPr>
                <w:b/>
                <w:sz w:val="22"/>
                <w:szCs w:val="22"/>
              </w:rPr>
              <w:t>Total Burden (in Hours)</w:t>
            </w:r>
          </w:p>
        </w:tc>
        <w:tc>
          <w:tcPr>
            <w:tcW w:w="1188" w:type="dxa"/>
          </w:tcPr>
          <w:p w:rsidR="00093D25" w:rsidRDefault="00093D25" w:rsidP="00093D25">
            <w:pPr>
              <w:jc w:val="center"/>
              <w:rPr>
                <w:b/>
                <w:sz w:val="22"/>
                <w:szCs w:val="22"/>
              </w:rPr>
            </w:pPr>
            <w:r>
              <w:rPr>
                <w:b/>
                <w:sz w:val="22"/>
                <w:szCs w:val="22"/>
              </w:rPr>
              <w:t>Average Hourly Wage</w:t>
            </w:r>
          </w:p>
        </w:tc>
        <w:tc>
          <w:tcPr>
            <w:tcW w:w="1072" w:type="dxa"/>
          </w:tcPr>
          <w:p w:rsidR="00093D25" w:rsidRDefault="00093D25" w:rsidP="00093D25">
            <w:pPr>
              <w:jc w:val="center"/>
              <w:rPr>
                <w:b/>
                <w:sz w:val="22"/>
                <w:szCs w:val="22"/>
              </w:rPr>
            </w:pPr>
            <w:r>
              <w:rPr>
                <w:b/>
                <w:sz w:val="22"/>
                <w:szCs w:val="22"/>
              </w:rPr>
              <w:t>Total Cost</w:t>
            </w:r>
          </w:p>
        </w:tc>
      </w:tr>
      <w:tr w:rsidR="00966375" w:rsidTr="004E329E">
        <w:tc>
          <w:tcPr>
            <w:tcW w:w="2782" w:type="dxa"/>
          </w:tcPr>
          <w:p w:rsidR="00966375" w:rsidRDefault="00966375" w:rsidP="00966375">
            <w:pPr>
              <w:rPr>
                <w:b/>
                <w:sz w:val="22"/>
                <w:szCs w:val="22"/>
              </w:rPr>
            </w:pPr>
            <w:r>
              <w:t>Open Data Standard Expert</w:t>
            </w:r>
          </w:p>
        </w:tc>
        <w:tc>
          <w:tcPr>
            <w:tcW w:w="1617" w:type="dxa"/>
          </w:tcPr>
          <w:p w:rsidR="00966375" w:rsidRPr="00093D25" w:rsidRDefault="00966375" w:rsidP="00966375">
            <w:pPr>
              <w:rPr>
                <w:sz w:val="22"/>
                <w:szCs w:val="22"/>
              </w:rPr>
            </w:pPr>
            <w:r w:rsidRPr="00BD6C6B">
              <w:rPr>
                <w:sz w:val="22"/>
                <w:szCs w:val="22"/>
              </w:rPr>
              <w:t>Key Informant Interview Plan</w:t>
            </w:r>
          </w:p>
        </w:tc>
        <w:tc>
          <w:tcPr>
            <w:tcW w:w="1404" w:type="dxa"/>
          </w:tcPr>
          <w:p w:rsidR="00966375" w:rsidRDefault="00966375" w:rsidP="00966375">
            <w:pPr>
              <w:jc w:val="center"/>
              <w:rPr>
                <w:b/>
                <w:sz w:val="22"/>
                <w:szCs w:val="22"/>
              </w:rPr>
            </w:pPr>
            <w:r>
              <w:rPr>
                <w:b/>
                <w:sz w:val="22"/>
                <w:szCs w:val="22"/>
              </w:rPr>
              <w:t>6</w:t>
            </w:r>
          </w:p>
        </w:tc>
        <w:tc>
          <w:tcPr>
            <w:tcW w:w="1287" w:type="dxa"/>
          </w:tcPr>
          <w:p w:rsidR="00966375" w:rsidRDefault="00966375" w:rsidP="00966375">
            <w:pPr>
              <w:jc w:val="center"/>
              <w:rPr>
                <w:b/>
                <w:sz w:val="22"/>
                <w:szCs w:val="22"/>
              </w:rPr>
            </w:pPr>
            <w:r>
              <w:rPr>
                <w:b/>
                <w:sz w:val="22"/>
                <w:szCs w:val="22"/>
              </w:rPr>
              <w:t>1</w:t>
            </w:r>
          </w:p>
        </w:tc>
        <w:tc>
          <w:tcPr>
            <w:tcW w:w="1188" w:type="dxa"/>
            <w:vAlign w:val="center"/>
          </w:tcPr>
          <w:p w:rsidR="00966375" w:rsidRDefault="00966375" w:rsidP="00966375">
            <w:pPr>
              <w:jc w:val="center"/>
              <w:rPr>
                <w:b/>
                <w:sz w:val="22"/>
                <w:szCs w:val="22"/>
              </w:rPr>
            </w:pPr>
            <w:r>
              <w:t>$57.49</w:t>
            </w:r>
          </w:p>
        </w:tc>
        <w:tc>
          <w:tcPr>
            <w:tcW w:w="1072" w:type="dxa"/>
            <w:vAlign w:val="center"/>
          </w:tcPr>
          <w:p w:rsidR="00966375" w:rsidRDefault="00966375" w:rsidP="00966375">
            <w:pPr>
              <w:jc w:val="center"/>
              <w:rPr>
                <w:b/>
                <w:sz w:val="22"/>
                <w:szCs w:val="22"/>
              </w:rPr>
            </w:pPr>
            <w:r w:rsidRPr="004B7254">
              <w:rPr>
                <w:rFonts w:cstheme="minorHAnsi"/>
              </w:rPr>
              <w:t>$</w:t>
            </w:r>
            <w:r>
              <w:rPr>
                <w:rFonts w:cstheme="minorHAnsi"/>
              </w:rPr>
              <w:t>344.94</w:t>
            </w:r>
          </w:p>
        </w:tc>
      </w:tr>
      <w:tr w:rsidR="00966375" w:rsidTr="004E329E">
        <w:tc>
          <w:tcPr>
            <w:tcW w:w="2782" w:type="dxa"/>
          </w:tcPr>
          <w:p w:rsidR="00966375" w:rsidRDefault="00966375" w:rsidP="00966375">
            <w:r>
              <w:t>Municipal Government IT Administrator</w:t>
            </w:r>
          </w:p>
        </w:tc>
        <w:tc>
          <w:tcPr>
            <w:tcW w:w="1617" w:type="dxa"/>
          </w:tcPr>
          <w:p w:rsidR="00966375" w:rsidRPr="00093D25" w:rsidRDefault="00966375" w:rsidP="00966375">
            <w:pPr>
              <w:rPr>
                <w:sz w:val="22"/>
                <w:szCs w:val="22"/>
              </w:rPr>
            </w:pPr>
            <w:r w:rsidRPr="00BD6C6B">
              <w:rPr>
                <w:sz w:val="22"/>
                <w:szCs w:val="22"/>
              </w:rPr>
              <w:t>Key Informant Interview Plan</w:t>
            </w:r>
          </w:p>
        </w:tc>
        <w:tc>
          <w:tcPr>
            <w:tcW w:w="1404" w:type="dxa"/>
          </w:tcPr>
          <w:p w:rsidR="00966375" w:rsidRDefault="00966375" w:rsidP="00966375">
            <w:pPr>
              <w:jc w:val="center"/>
              <w:rPr>
                <w:b/>
                <w:sz w:val="22"/>
                <w:szCs w:val="22"/>
              </w:rPr>
            </w:pPr>
            <w:r>
              <w:rPr>
                <w:b/>
                <w:sz w:val="22"/>
                <w:szCs w:val="22"/>
              </w:rPr>
              <w:t>10</w:t>
            </w:r>
          </w:p>
        </w:tc>
        <w:tc>
          <w:tcPr>
            <w:tcW w:w="1287" w:type="dxa"/>
          </w:tcPr>
          <w:p w:rsidR="00966375" w:rsidRDefault="00966375" w:rsidP="00966375">
            <w:pPr>
              <w:jc w:val="center"/>
              <w:rPr>
                <w:b/>
                <w:sz w:val="22"/>
                <w:szCs w:val="22"/>
              </w:rPr>
            </w:pPr>
            <w:r>
              <w:rPr>
                <w:b/>
                <w:sz w:val="22"/>
                <w:szCs w:val="22"/>
              </w:rPr>
              <w:t>1</w:t>
            </w:r>
          </w:p>
        </w:tc>
        <w:tc>
          <w:tcPr>
            <w:tcW w:w="1188" w:type="dxa"/>
            <w:vAlign w:val="center"/>
          </w:tcPr>
          <w:p w:rsidR="00966375" w:rsidRDefault="00966375" w:rsidP="00966375">
            <w:pPr>
              <w:jc w:val="center"/>
              <w:rPr>
                <w:b/>
                <w:sz w:val="22"/>
                <w:szCs w:val="22"/>
              </w:rPr>
            </w:pPr>
            <w:r>
              <w:t>$71.99</w:t>
            </w:r>
          </w:p>
        </w:tc>
        <w:tc>
          <w:tcPr>
            <w:tcW w:w="1072" w:type="dxa"/>
            <w:vAlign w:val="center"/>
          </w:tcPr>
          <w:p w:rsidR="00966375" w:rsidRDefault="00966375" w:rsidP="00966375">
            <w:pPr>
              <w:jc w:val="center"/>
              <w:rPr>
                <w:b/>
                <w:sz w:val="22"/>
                <w:szCs w:val="22"/>
              </w:rPr>
            </w:pPr>
            <w:r w:rsidRPr="006F5E2C">
              <w:rPr>
                <w:rFonts w:cstheme="minorHAnsi"/>
              </w:rPr>
              <w:t>$</w:t>
            </w:r>
            <w:r>
              <w:rPr>
                <w:rFonts w:cstheme="minorHAnsi"/>
              </w:rPr>
              <w:t>719.90</w:t>
            </w:r>
          </w:p>
        </w:tc>
      </w:tr>
      <w:tr w:rsidR="00966375" w:rsidTr="004E329E">
        <w:tc>
          <w:tcPr>
            <w:tcW w:w="2782" w:type="dxa"/>
          </w:tcPr>
          <w:p w:rsidR="00966375" w:rsidRDefault="00966375" w:rsidP="00966375">
            <w:r>
              <w:t>Environmental Health Personnel</w:t>
            </w:r>
          </w:p>
        </w:tc>
        <w:tc>
          <w:tcPr>
            <w:tcW w:w="1617" w:type="dxa"/>
          </w:tcPr>
          <w:p w:rsidR="00966375" w:rsidRPr="00093D25" w:rsidRDefault="00966375" w:rsidP="00966375">
            <w:pPr>
              <w:rPr>
                <w:sz w:val="22"/>
                <w:szCs w:val="22"/>
              </w:rPr>
            </w:pPr>
            <w:r w:rsidRPr="00BD6C6B">
              <w:rPr>
                <w:sz w:val="22"/>
                <w:szCs w:val="22"/>
              </w:rPr>
              <w:t>Key Informant Interview Plan</w:t>
            </w:r>
          </w:p>
        </w:tc>
        <w:tc>
          <w:tcPr>
            <w:tcW w:w="1404" w:type="dxa"/>
          </w:tcPr>
          <w:p w:rsidR="00966375" w:rsidRDefault="00966375" w:rsidP="00966375">
            <w:pPr>
              <w:jc w:val="center"/>
              <w:rPr>
                <w:b/>
                <w:sz w:val="22"/>
                <w:szCs w:val="22"/>
              </w:rPr>
            </w:pPr>
            <w:r>
              <w:rPr>
                <w:b/>
                <w:sz w:val="22"/>
                <w:szCs w:val="22"/>
              </w:rPr>
              <w:t>20</w:t>
            </w:r>
          </w:p>
        </w:tc>
        <w:tc>
          <w:tcPr>
            <w:tcW w:w="1287" w:type="dxa"/>
          </w:tcPr>
          <w:p w:rsidR="00966375" w:rsidRDefault="00966375" w:rsidP="00966375">
            <w:pPr>
              <w:jc w:val="center"/>
              <w:rPr>
                <w:b/>
                <w:sz w:val="22"/>
                <w:szCs w:val="22"/>
              </w:rPr>
            </w:pPr>
            <w:r>
              <w:rPr>
                <w:b/>
                <w:sz w:val="22"/>
                <w:szCs w:val="22"/>
              </w:rPr>
              <w:t>1</w:t>
            </w:r>
          </w:p>
        </w:tc>
        <w:tc>
          <w:tcPr>
            <w:tcW w:w="1188" w:type="dxa"/>
            <w:vAlign w:val="center"/>
          </w:tcPr>
          <w:p w:rsidR="00966375" w:rsidRDefault="00966375" w:rsidP="00966375">
            <w:pPr>
              <w:jc w:val="center"/>
              <w:rPr>
                <w:b/>
                <w:sz w:val="22"/>
                <w:szCs w:val="22"/>
              </w:rPr>
            </w:pPr>
            <w:r>
              <w:t>$23.71</w:t>
            </w:r>
          </w:p>
        </w:tc>
        <w:tc>
          <w:tcPr>
            <w:tcW w:w="1072" w:type="dxa"/>
            <w:vAlign w:val="center"/>
          </w:tcPr>
          <w:p w:rsidR="00966375" w:rsidRDefault="00966375" w:rsidP="00966375">
            <w:pPr>
              <w:jc w:val="center"/>
              <w:rPr>
                <w:b/>
                <w:sz w:val="22"/>
                <w:szCs w:val="22"/>
              </w:rPr>
            </w:pPr>
            <w:r w:rsidRPr="006F5E2C">
              <w:rPr>
                <w:rFonts w:cstheme="minorHAnsi"/>
              </w:rPr>
              <w:t>$</w:t>
            </w:r>
            <w:r>
              <w:rPr>
                <w:rFonts w:cstheme="minorHAnsi"/>
              </w:rPr>
              <w:t>474.20</w:t>
            </w:r>
          </w:p>
        </w:tc>
      </w:tr>
      <w:tr w:rsidR="00966375" w:rsidTr="004E329E">
        <w:tc>
          <w:tcPr>
            <w:tcW w:w="2782" w:type="dxa"/>
          </w:tcPr>
          <w:p w:rsidR="00966375" w:rsidRDefault="00966375" w:rsidP="00966375">
            <w:r>
              <w:t>Technology Providers</w:t>
            </w:r>
          </w:p>
        </w:tc>
        <w:tc>
          <w:tcPr>
            <w:tcW w:w="1617" w:type="dxa"/>
          </w:tcPr>
          <w:p w:rsidR="00966375" w:rsidRPr="00093D25" w:rsidRDefault="00966375" w:rsidP="00966375">
            <w:pPr>
              <w:rPr>
                <w:sz w:val="22"/>
                <w:szCs w:val="22"/>
              </w:rPr>
            </w:pPr>
            <w:r w:rsidRPr="00BD6C6B">
              <w:rPr>
                <w:sz w:val="22"/>
                <w:szCs w:val="22"/>
              </w:rPr>
              <w:t>Key Informant Interview Plan</w:t>
            </w:r>
          </w:p>
        </w:tc>
        <w:tc>
          <w:tcPr>
            <w:tcW w:w="1404" w:type="dxa"/>
          </w:tcPr>
          <w:p w:rsidR="00966375" w:rsidRDefault="00966375" w:rsidP="00966375">
            <w:pPr>
              <w:jc w:val="center"/>
              <w:rPr>
                <w:b/>
                <w:sz w:val="22"/>
                <w:szCs w:val="22"/>
              </w:rPr>
            </w:pPr>
            <w:r>
              <w:rPr>
                <w:b/>
                <w:sz w:val="22"/>
                <w:szCs w:val="22"/>
              </w:rPr>
              <w:t>7</w:t>
            </w:r>
          </w:p>
        </w:tc>
        <w:tc>
          <w:tcPr>
            <w:tcW w:w="1287" w:type="dxa"/>
          </w:tcPr>
          <w:p w:rsidR="00966375" w:rsidRDefault="00966375" w:rsidP="00966375">
            <w:pPr>
              <w:jc w:val="center"/>
              <w:rPr>
                <w:b/>
                <w:sz w:val="22"/>
                <w:szCs w:val="22"/>
              </w:rPr>
            </w:pPr>
            <w:r>
              <w:rPr>
                <w:b/>
                <w:sz w:val="22"/>
                <w:szCs w:val="22"/>
              </w:rPr>
              <w:t>1</w:t>
            </w:r>
          </w:p>
        </w:tc>
        <w:tc>
          <w:tcPr>
            <w:tcW w:w="1188" w:type="dxa"/>
            <w:vAlign w:val="center"/>
          </w:tcPr>
          <w:p w:rsidR="00966375" w:rsidRDefault="00966375" w:rsidP="00966375">
            <w:pPr>
              <w:jc w:val="center"/>
              <w:rPr>
                <w:b/>
                <w:sz w:val="22"/>
                <w:szCs w:val="22"/>
              </w:rPr>
            </w:pPr>
            <w:r>
              <w:t>$41.51</w:t>
            </w:r>
          </w:p>
        </w:tc>
        <w:tc>
          <w:tcPr>
            <w:tcW w:w="1072" w:type="dxa"/>
            <w:vAlign w:val="center"/>
          </w:tcPr>
          <w:p w:rsidR="00966375" w:rsidRDefault="00966375" w:rsidP="00966375">
            <w:pPr>
              <w:jc w:val="center"/>
              <w:rPr>
                <w:b/>
                <w:sz w:val="22"/>
                <w:szCs w:val="22"/>
              </w:rPr>
            </w:pPr>
            <w:r w:rsidRPr="006F5E2C">
              <w:rPr>
                <w:rFonts w:cstheme="minorHAnsi"/>
              </w:rPr>
              <w:t>$290.57</w:t>
            </w:r>
          </w:p>
        </w:tc>
      </w:tr>
      <w:tr w:rsidR="00093D25" w:rsidTr="00966375">
        <w:tc>
          <w:tcPr>
            <w:tcW w:w="8278" w:type="dxa"/>
            <w:gridSpan w:val="5"/>
          </w:tcPr>
          <w:p w:rsidR="00093D25" w:rsidRDefault="00093D25" w:rsidP="00093D25">
            <w:pPr>
              <w:rPr>
                <w:b/>
                <w:sz w:val="22"/>
                <w:szCs w:val="22"/>
              </w:rPr>
            </w:pPr>
            <w:r>
              <w:rPr>
                <w:b/>
              </w:rPr>
              <w:t>Totals</w:t>
            </w:r>
          </w:p>
        </w:tc>
        <w:tc>
          <w:tcPr>
            <w:tcW w:w="1072" w:type="dxa"/>
            <w:vAlign w:val="center"/>
          </w:tcPr>
          <w:p w:rsidR="00093D25" w:rsidRPr="00966375" w:rsidRDefault="00093D25" w:rsidP="00093D25">
            <w:pPr>
              <w:jc w:val="center"/>
              <w:rPr>
                <w:b/>
                <w:sz w:val="22"/>
                <w:szCs w:val="22"/>
              </w:rPr>
            </w:pPr>
            <w:r w:rsidRPr="00966375">
              <w:rPr>
                <w:rFonts w:cstheme="minorHAnsi"/>
                <w:b/>
              </w:rPr>
              <w:t>$1,829.61</w:t>
            </w:r>
          </w:p>
        </w:tc>
      </w:tr>
      <w:tr w:rsidR="00093D25" w:rsidTr="009D21A6">
        <w:tc>
          <w:tcPr>
            <w:tcW w:w="9350" w:type="dxa"/>
            <w:gridSpan w:val="6"/>
          </w:tcPr>
          <w:p w:rsidR="00093D25" w:rsidRDefault="00093D25" w:rsidP="009D21A6">
            <w:pPr>
              <w:rPr>
                <w:b/>
                <w:sz w:val="22"/>
                <w:szCs w:val="22"/>
              </w:rPr>
            </w:pPr>
            <w:r w:rsidRPr="00DB5575">
              <w:rPr>
                <w:sz w:val="20"/>
              </w:rPr>
              <w:t xml:space="preserve">Source for pay data: </w:t>
            </w:r>
            <w:hyperlink r:id="rId9" w:anchor="45-0000" w:history="1">
              <w:r w:rsidRPr="00DB5575">
                <w:rPr>
                  <w:rStyle w:val="Hyperlink"/>
                  <w:sz w:val="20"/>
                </w:rPr>
                <w:t>https://www.bls.gov/oes/current/oes_nat.htm#45-0000</w:t>
              </w:r>
            </w:hyperlink>
          </w:p>
        </w:tc>
      </w:tr>
    </w:tbl>
    <w:p w:rsidR="00093D25" w:rsidRDefault="00093D25">
      <w:pPr>
        <w:keepNext/>
        <w:pBdr>
          <w:top w:val="nil"/>
          <w:left w:val="nil"/>
          <w:bottom w:val="nil"/>
          <w:right w:val="nil"/>
          <w:between w:val="nil"/>
        </w:pBdr>
        <w:spacing w:line="240" w:lineRule="auto"/>
        <w:ind w:left="-360"/>
        <w:rPr>
          <w:b/>
          <w:sz w:val="22"/>
          <w:szCs w:val="22"/>
        </w:rPr>
      </w:pPr>
    </w:p>
    <w:p w:rsidR="009747E5" w:rsidRDefault="00BC0E7C">
      <w:pPr>
        <w:pStyle w:val="Heading1"/>
        <w:pBdr>
          <w:bottom w:val="none" w:sz="0" w:space="0" w:color="000000"/>
        </w:pBdr>
        <w:rPr>
          <w:color w:val="000000"/>
        </w:rPr>
      </w:pPr>
      <w:bookmarkStart w:id="14" w:name="_Toc9521705"/>
      <w:r>
        <w:rPr>
          <w:color w:val="000000"/>
        </w:rPr>
        <w:t>A.13. Estimates of Other Total Annual Cost Burden to Respondents and Record Keepers</w:t>
      </w:r>
      <w:bookmarkEnd w:id="14"/>
    </w:p>
    <w:p w:rsidR="009747E5" w:rsidRDefault="009747E5">
      <w:pPr>
        <w:spacing w:after="0" w:line="240" w:lineRule="auto"/>
        <w:rPr>
          <w:sz w:val="28"/>
          <w:szCs w:val="28"/>
        </w:rPr>
      </w:pPr>
    </w:p>
    <w:p w:rsidR="009747E5" w:rsidRDefault="00BC0E7C">
      <w:pPr>
        <w:spacing w:after="0" w:line="240" w:lineRule="auto"/>
        <w:rPr>
          <w:sz w:val="24"/>
          <w:szCs w:val="24"/>
        </w:rPr>
      </w:pPr>
      <w:r>
        <w:rPr>
          <w:sz w:val="24"/>
          <w:szCs w:val="24"/>
        </w:rPr>
        <w:t>There are no other costs to respondents other than their time.</w:t>
      </w:r>
    </w:p>
    <w:p w:rsidR="009747E5" w:rsidRDefault="00BC0E7C">
      <w:pPr>
        <w:pStyle w:val="Heading1"/>
        <w:pBdr>
          <w:bottom w:val="none" w:sz="0" w:space="0" w:color="000000"/>
        </w:pBdr>
        <w:rPr>
          <w:color w:val="000000"/>
        </w:rPr>
      </w:pPr>
      <w:bookmarkStart w:id="15" w:name="_Toc9521706"/>
      <w:r>
        <w:rPr>
          <w:color w:val="000000"/>
        </w:rPr>
        <w:t xml:space="preserve">A.14. Annualized Cost to the Federal </w:t>
      </w:r>
      <w:r w:rsidRPr="00BC0E7C">
        <w:rPr>
          <w:color w:val="000000"/>
        </w:rPr>
        <w:t>Government</w:t>
      </w:r>
      <w:bookmarkEnd w:id="15"/>
    </w:p>
    <w:p w:rsidR="009747E5" w:rsidRDefault="009747E5"/>
    <w:p w:rsidR="009747E5" w:rsidRDefault="00BC0E7C">
      <w:pPr>
        <w:rPr>
          <w:sz w:val="24"/>
          <w:szCs w:val="24"/>
        </w:rPr>
      </w:pPr>
      <w:bookmarkStart w:id="16" w:name="_1ksv4uv" w:colFirst="0" w:colLast="0"/>
      <w:bookmarkEnd w:id="16"/>
      <w:r>
        <w:rPr>
          <w:sz w:val="24"/>
          <w:szCs w:val="24"/>
        </w:rPr>
        <w:t xml:space="preserve">CDC </w:t>
      </w:r>
      <w:r w:rsidR="00EE2F90">
        <w:rPr>
          <w:sz w:val="24"/>
          <w:szCs w:val="24"/>
        </w:rPr>
        <w:t>works</w:t>
      </w:r>
      <w:r>
        <w:rPr>
          <w:sz w:val="24"/>
          <w:szCs w:val="24"/>
        </w:rPr>
        <w:t xml:space="preserve"> with NEHA through cooperative agreement #CDC-RFA-OT18-1802 to </w:t>
      </w:r>
      <w:r w:rsidR="00EE2F90">
        <w:rPr>
          <w:sz w:val="24"/>
          <w:szCs w:val="24"/>
        </w:rPr>
        <w:t>develop</w:t>
      </w:r>
      <w:r>
        <w:rPr>
          <w:sz w:val="24"/>
          <w:szCs w:val="24"/>
        </w:rPr>
        <w:t xml:space="preserve"> open data standard for aquatic facilities. The annualized cost to the government for this contract is </w:t>
      </w:r>
      <w:r w:rsidR="0019737B">
        <w:rPr>
          <w:sz w:val="24"/>
          <w:szCs w:val="24"/>
        </w:rPr>
        <w:t xml:space="preserve">$3803.81.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4320"/>
        <w:gridCol w:w="2245"/>
      </w:tblGrid>
      <w:tr w:rsidR="009747E5" w:rsidTr="00912B12">
        <w:tc>
          <w:tcPr>
            <w:tcW w:w="2785" w:type="dxa"/>
          </w:tcPr>
          <w:p w:rsidR="009747E5" w:rsidRDefault="00BC0E7C">
            <w:pPr>
              <w:rPr>
                <w:b/>
                <w:sz w:val="22"/>
                <w:szCs w:val="22"/>
              </w:rPr>
            </w:pPr>
            <w:r>
              <w:rPr>
                <w:b/>
                <w:sz w:val="22"/>
                <w:szCs w:val="22"/>
              </w:rPr>
              <w:t>Expense Type</w:t>
            </w:r>
          </w:p>
        </w:tc>
        <w:tc>
          <w:tcPr>
            <w:tcW w:w="4320" w:type="dxa"/>
          </w:tcPr>
          <w:p w:rsidR="009747E5" w:rsidRDefault="00BC0E7C">
            <w:pPr>
              <w:rPr>
                <w:b/>
                <w:sz w:val="22"/>
                <w:szCs w:val="22"/>
              </w:rPr>
            </w:pPr>
            <w:r>
              <w:rPr>
                <w:b/>
                <w:sz w:val="22"/>
                <w:szCs w:val="22"/>
              </w:rPr>
              <w:t>Expense Explanation</w:t>
            </w:r>
          </w:p>
        </w:tc>
        <w:tc>
          <w:tcPr>
            <w:tcW w:w="2245" w:type="dxa"/>
          </w:tcPr>
          <w:p w:rsidR="009747E5" w:rsidRDefault="00BC0E7C">
            <w:pPr>
              <w:rPr>
                <w:b/>
                <w:sz w:val="22"/>
                <w:szCs w:val="22"/>
              </w:rPr>
            </w:pPr>
            <w:r>
              <w:rPr>
                <w:b/>
                <w:sz w:val="22"/>
                <w:szCs w:val="22"/>
              </w:rPr>
              <w:t>Annual Costs (dollars)</w:t>
            </w:r>
          </w:p>
        </w:tc>
      </w:tr>
      <w:tr w:rsidR="00AF740E" w:rsidTr="00912B12">
        <w:tc>
          <w:tcPr>
            <w:tcW w:w="2785" w:type="dxa"/>
            <w:vMerge w:val="restart"/>
          </w:tcPr>
          <w:p w:rsidR="00AF740E" w:rsidRDefault="00AF740E" w:rsidP="00AF740E">
            <w:pPr>
              <w:rPr>
                <w:sz w:val="22"/>
                <w:szCs w:val="22"/>
              </w:rPr>
            </w:pPr>
            <w:r>
              <w:rPr>
                <w:sz w:val="22"/>
                <w:szCs w:val="22"/>
              </w:rPr>
              <w:t>Costs to the Federal Government</w:t>
            </w:r>
          </w:p>
        </w:tc>
        <w:tc>
          <w:tcPr>
            <w:tcW w:w="4320" w:type="dxa"/>
          </w:tcPr>
          <w:p w:rsidR="00AF740E" w:rsidRDefault="00AF740E" w:rsidP="00AF740E">
            <w:pPr>
              <w:rPr>
                <w:sz w:val="22"/>
                <w:szCs w:val="22"/>
              </w:rPr>
            </w:pPr>
            <w:r>
              <w:rPr>
                <w:sz w:val="22"/>
                <w:szCs w:val="22"/>
              </w:rPr>
              <w:t>NEHA Project Director: 12.5 hours</w:t>
            </w:r>
          </w:p>
        </w:tc>
        <w:tc>
          <w:tcPr>
            <w:tcW w:w="2245" w:type="dxa"/>
          </w:tcPr>
          <w:p w:rsidR="00AF740E" w:rsidRDefault="00AF740E" w:rsidP="00966375">
            <w:pPr>
              <w:jc w:val="center"/>
              <w:rPr>
                <w:sz w:val="22"/>
                <w:szCs w:val="22"/>
              </w:rPr>
            </w:pPr>
            <w:r>
              <w:rPr>
                <w:sz w:val="22"/>
                <w:szCs w:val="22"/>
              </w:rPr>
              <w:t>$728.81</w:t>
            </w:r>
          </w:p>
        </w:tc>
      </w:tr>
      <w:tr w:rsidR="00AF740E" w:rsidTr="00912B12">
        <w:tc>
          <w:tcPr>
            <w:tcW w:w="2785" w:type="dxa"/>
            <w:vMerge/>
          </w:tcPr>
          <w:p w:rsidR="00AF740E" w:rsidRDefault="00AF740E" w:rsidP="00AF740E">
            <w:pPr>
              <w:widowControl w:val="0"/>
              <w:pBdr>
                <w:top w:val="nil"/>
                <w:left w:val="nil"/>
                <w:bottom w:val="nil"/>
                <w:right w:val="nil"/>
                <w:between w:val="nil"/>
              </w:pBdr>
              <w:spacing w:line="276" w:lineRule="auto"/>
              <w:rPr>
                <w:sz w:val="22"/>
                <w:szCs w:val="22"/>
              </w:rPr>
            </w:pPr>
          </w:p>
        </w:tc>
        <w:tc>
          <w:tcPr>
            <w:tcW w:w="4320" w:type="dxa"/>
          </w:tcPr>
          <w:p w:rsidR="00AF740E" w:rsidRDefault="00AF740E" w:rsidP="00AF740E">
            <w:pPr>
              <w:rPr>
                <w:sz w:val="22"/>
                <w:szCs w:val="22"/>
              </w:rPr>
            </w:pPr>
            <w:r>
              <w:rPr>
                <w:sz w:val="22"/>
                <w:szCs w:val="22"/>
              </w:rPr>
              <w:t>NEHA Project Coordinator: 25.0 hours</w:t>
            </w:r>
          </w:p>
        </w:tc>
        <w:tc>
          <w:tcPr>
            <w:tcW w:w="2245" w:type="dxa"/>
          </w:tcPr>
          <w:p w:rsidR="00AF740E" w:rsidRDefault="00AF740E" w:rsidP="00966375">
            <w:pPr>
              <w:jc w:val="center"/>
              <w:rPr>
                <w:sz w:val="22"/>
                <w:szCs w:val="22"/>
              </w:rPr>
            </w:pPr>
            <w:r>
              <w:rPr>
                <w:sz w:val="22"/>
                <w:szCs w:val="22"/>
              </w:rPr>
              <w:t>$575.00</w:t>
            </w:r>
          </w:p>
        </w:tc>
      </w:tr>
      <w:tr w:rsidR="00AF740E" w:rsidTr="00912B12">
        <w:tc>
          <w:tcPr>
            <w:tcW w:w="2785" w:type="dxa"/>
            <w:vMerge/>
          </w:tcPr>
          <w:p w:rsidR="00AF740E" w:rsidRDefault="00AF740E" w:rsidP="00AF740E">
            <w:pPr>
              <w:widowControl w:val="0"/>
              <w:pBdr>
                <w:top w:val="nil"/>
                <w:left w:val="nil"/>
                <w:bottom w:val="nil"/>
                <w:right w:val="nil"/>
                <w:between w:val="nil"/>
              </w:pBdr>
              <w:spacing w:line="276" w:lineRule="auto"/>
              <w:rPr>
                <w:sz w:val="22"/>
                <w:szCs w:val="22"/>
              </w:rPr>
            </w:pPr>
          </w:p>
        </w:tc>
        <w:tc>
          <w:tcPr>
            <w:tcW w:w="4320" w:type="dxa"/>
          </w:tcPr>
          <w:p w:rsidR="00AF740E" w:rsidRDefault="00AF740E" w:rsidP="00AF740E">
            <w:pPr>
              <w:rPr>
                <w:sz w:val="22"/>
                <w:szCs w:val="22"/>
              </w:rPr>
            </w:pPr>
            <w:r>
              <w:rPr>
                <w:sz w:val="22"/>
                <w:szCs w:val="22"/>
              </w:rPr>
              <w:t>NEHA Open Data Contractor SME: 25.0 hours</w:t>
            </w:r>
          </w:p>
        </w:tc>
        <w:tc>
          <w:tcPr>
            <w:tcW w:w="2245" w:type="dxa"/>
          </w:tcPr>
          <w:p w:rsidR="00AF740E" w:rsidRDefault="00AF740E" w:rsidP="00966375">
            <w:pPr>
              <w:jc w:val="center"/>
              <w:rPr>
                <w:sz w:val="22"/>
                <w:szCs w:val="22"/>
              </w:rPr>
            </w:pPr>
            <w:r>
              <w:rPr>
                <w:sz w:val="22"/>
                <w:szCs w:val="22"/>
              </w:rPr>
              <w:t>$2,500.00</w:t>
            </w:r>
          </w:p>
        </w:tc>
      </w:tr>
      <w:tr w:rsidR="00966375" w:rsidTr="00665612">
        <w:tc>
          <w:tcPr>
            <w:tcW w:w="7105" w:type="dxa"/>
            <w:gridSpan w:val="2"/>
          </w:tcPr>
          <w:p w:rsidR="00966375" w:rsidRDefault="00966375">
            <w:pPr>
              <w:rPr>
                <w:sz w:val="22"/>
                <w:szCs w:val="22"/>
              </w:rPr>
            </w:pPr>
            <w:r>
              <w:rPr>
                <w:sz w:val="22"/>
                <w:szCs w:val="22"/>
              </w:rPr>
              <w:t>TOTAL COST TO THE GOVERNMENT</w:t>
            </w:r>
          </w:p>
        </w:tc>
        <w:tc>
          <w:tcPr>
            <w:tcW w:w="2245" w:type="dxa"/>
          </w:tcPr>
          <w:p w:rsidR="00966375" w:rsidRDefault="00966375" w:rsidP="00966375">
            <w:pPr>
              <w:jc w:val="center"/>
              <w:rPr>
                <w:sz w:val="22"/>
                <w:szCs w:val="22"/>
              </w:rPr>
            </w:pPr>
            <w:r>
              <w:rPr>
                <w:sz w:val="22"/>
                <w:szCs w:val="22"/>
              </w:rPr>
              <w:t>$3,803.81</w:t>
            </w:r>
          </w:p>
        </w:tc>
      </w:tr>
    </w:tbl>
    <w:p w:rsidR="009747E5" w:rsidRDefault="009747E5">
      <w:pPr>
        <w:rPr>
          <w:sz w:val="24"/>
          <w:szCs w:val="24"/>
        </w:rPr>
      </w:pPr>
    </w:p>
    <w:p w:rsidR="009747E5" w:rsidRDefault="00BC0E7C">
      <w:pPr>
        <w:pStyle w:val="Heading1"/>
        <w:rPr>
          <w:color w:val="000000"/>
          <w:sz w:val="24"/>
          <w:szCs w:val="24"/>
        </w:rPr>
      </w:pPr>
      <w:bookmarkStart w:id="17" w:name="_Toc9521707"/>
      <w:r>
        <w:rPr>
          <w:color w:val="000000"/>
        </w:rPr>
        <w:t>A.15. Explanation for Program Changes or Adjustments</w:t>
      </w:r>
      <w:bookmarkEnd w:id="17"/>
    </w:p>
    <w:p w:rsidR="009747E5" w:rsidRDefault="009747E5">
      <w:pPr>
        <w:spacing w:line="240" w:lineRule="auto"/>
        <w:rPr>
          <w:sz w:val="24"/>
          <w:szCs w:val="24"/>
        </w:rPr>
      </w:pPr>
    </w:p>
    <w:p w:rsidR="009747E5" w:rsidRDefault="00BC0E7C">
      <w:pPr>
        <w:spacing w:line="240" w:lineRule="auto"/>
        <w:rPr>
          <w:sz w:val="24"/>
          <w:szCs w:val="24"/>
        </w:rPr>
      </w:pPr>
      <w:r>
        <w:rPr>
          <w:sz w:val="24"/>
          <w:szCs w:val="24"/>
        </w:rPr>
        <w:t>This is a new generic Information collection.</w:t>
      </w:r>
    </w:p>
    <w:p w:rsidR="009747E5" w:rsidRDefault="00BC0E7C">
      <w:pPr>
        <w:pStyle w:val="Heading1"/>
        <w:pBdr>
          <w:bottom w:val="none" w:sz="0" w:space="0" w:color="000000"/>
        </w:pBdr>
        <w:rPr>
          <w:color w:val="000000"/>
        </w:rPr>
      </w:pPr>
      <w:bookmarkStart w:id="18" w:name="_Toc9521708"/>
      <w:r>
        <w:rPr>
          <w:color w:val="000000"/>
        </w:rPr>
        <w:t>A.16. Plans for Tabulation and Publication and Project Time Schedule</w:t>
      </w:r>
      <w:bookmarkEnd w:id="18"/>
    </w:p>
    <w:p w:rsidR="009747E5" w:rsidRDefault="009747E5"/>
    <w:p w:rsidR="009747E5" w:rsidRDefault="00BC0E7C">
      <w:pPr>
        <w:rPr>
          <w:sz w:val="24"/>
          <w:szCs w:val="24"/>
        </w:rPr>
      </w:pPr>
      <w:r>
        <w:rPr>
          <w:sz w:val="24"/>
          <w:szCs w:val="24"/>
        </w:rPr>
        <w:t xml:space="preserve">Data collection will begin in April or May 2019, immediately after CDC receives PRA clearance to conduct the key informant interviews. </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747E5">
        <w:tc>
          <w:tcPr>
            <w:tcW w:w="9350" w:type="dxa"/>
            <w:gridSpan w:val="2"/>
          </w:tcPr>
          <w:p w:rsidR="009747E5" w:rsidRDefault="00BC0E7C">
            <w:pPr>
              <w:jc w:val="center"/>
              <w:rPr>
                <w:b/>
                <w:sz w:val="22"/>
                <w:szCs w:val="22"/>
              </w:rPr>
            </w:pPr>
            <w:r>
              <w:rPr>
                <w:b/>
                <w:sz w:val="22"/>
                <w:szCs w:val="22"/>
              </w:rPr>
              <w:t>Project Time Schedule</w:t>
            </w:r>
          </w:p>
        </w:tc>
      </w:tr>
      <w:tr w:rsidR="009747E5">
        <w:tc>
          <w:tcPr>
            <w:tcW w:w="4675" w:type="dxa"/>
          </w:tcPr>
          <w:p w:rsidR="009747E5" w:rsidRDefault="00BC0E7C">
            <w:pPr>
              <w:jc w:val="center"/>
              <w:rPr>
                <w:b/>
                <w:sz w:val="22"/>
                <w:szCs w:val="22"/>
              </w:rPr>
            </w:pPr>
            <w:r>
              <w:rPr>
                <w:b/>
                <w:sz w:val="22"/>
                <w:szCs w:val="22"/>
              </w:rPr>
              <w:t>Activity</w:t>
            </w:r>
          </w:p>
        </w:tc>
        <w:tc>
          <w:tcPr>
            <w:tcW w:w="4675" w:type="dxa"/>
          </w:tcPr>
          <w:p w:rsidR="009747E5" w:rsidRDefault="00BC0E7C">
            <w:pPr>
              <w:jc w:val="center"/>
              <w:rPr>
                <w:b/>
                <w:sz w:val="22"/>
                <w:szCs w:val="22"/>
              </w:rPr>
            </w:pPr>
            <w:r>
              <w:rPr>
                <w:b/>
                <w:sz w:val="22"/>
                <w:szCs w:val="22"/>
              </w:rPr>
              <w:t>Time Schedule</w:t>
            </w:r>
          </w:p>
        </w:tc>
      </w:tr>
      <w:tr w:rsidR="009747E5">
        <w:tc>
          <w:tcPr>
            <w:tcW w:w="4675" w:type="dxa"/>
          </w:tcPr>
          <w:p w:rsidR="009747E5" w:rsidRDefault="00BC0E7C">
            <w:pPr>
              <w:jc w:val="center"/>
              <w:rPr>
                <w:sz w:val="22"/>
                <w:szCs w:val="22"/>
              </w:rPr>
            </w:pPr>
            <w:r>
              <w:rPr>
                <w:sz w:val="22"/>
                <w:szCs w:val="22"/>
              </w:rPr>
              <w:t>Begin recruitment</w:t>
            </w:r>
          </w:p>
        </w:tc>
        <w:tc>
          <w:tcPr>
            <w:tcW w:w="4675" w:type="dxa"/>
          </w:tcPr>
          <w:p w:rsidR="009747E5" w:rsidRDefault="00BC0E7C">
            <w:pPr>
              <w:jc w:val="center"/>
              <w:rPr>
                <w:sz w:val="22"/>
                <w:szCs w:val="22"/>
              </w:rPr>
            </w:pPr>
            <w:r>
              <w:rPr>
                <w:sz w:val="22"/>
                <w:szCs w:val="22"/>
              </w:rPr>
              <w:t>Immediately after OMB approval</w:t>
            </w:r>
          </w:p>
        </w:tc>
      </w:tr>
      <w:tr w:rsidR="009747E5">
        <w:tc>
          <w:tcPr>
            <w:tcW w:w="4675" w:type="dxa"/>
          </w:tcPr>
          <w:p w:rsidR="009747E5" w:rsidRDefault="00BC0E7C">
            <w:pPr>
              <w:jc w:val="center"/>
              <w:rPr>
                <w:sz w:val="22"/>
                <w:szCs w:val="22"/>
              </w:rPr>
            </w:pPr>
            <w:r>
              <w:rPr>
                <w:sz w:val="22"/>
                <w:szCs w:val="22"/>
              </w:rPr>
              <w:t>Interviews commence</w:t>
            </w:r>
          </w:p>
        </w:tc>
        <w:tc>
          <w:tcPr>
            <w:tcW w:w="4675" w:type="dxa"/>
          </w:tcPr>
          <w:p w:rsidR="009747E5" w:rsidRDefault="00BC0E7C">
            <w:pPr>
              <w:jc w:val="center"/>
              <w:rPr>
                <w:sz w:val="22"/>
                <w:szCs w:val="22"/>
              </w:rPr>
            </w:pPr>
            <w:r>
              <w:rPr>
                <w:sz w:val="22"/>
                <w:szCs w:val="22"/>
              </w:rPr>
              <w:t>1 month after OMB approval</w:t>
            </w:r>
          </w:p>
        </w:tc>
      </w:tr>
      <w:tr w:rsidR="009747E5">
        <w:tc>
          <w:tcPr>
            <w:tcW w:w="4675" w:type="dxa"/>
          </w:tcPr>
          <w:p w:rsidR="009747E5" w:rsidRDefault="00BC0E7C">
            <w:pPr>
              <w:jc w:val="center"/>
              <w:rPr>
                <w:sz w:val="22"/>
                <w:szCs w:val="22"/>
              </w:rPr>
            </w:pPr>
            <w:r>
              <w:rPr>
                <w:sz w:val="22"/>
                <w:szCs w:val="22"/>
              </w:rPr>
              <w:t>Draft final report</w:t>
            </w:r>
          </w:p>
        </w:tc>
        <w:tc>
          <w:tcPr>
            <w:tcW w:w="4675" w:type="dxa"/>
          </w:tcPr>
          <w:p w:rsidR="009747E5" w:rsidRDefault="00BC0E7C">
            <w:pPr>
              <w:jc w:val="center"/>
              <w:rPr>
                <w:sz w:val="22"/>
                <w:szCs w:val="22"/>
              </w:rPr>
            </w:pPr>
            <w:r>
              <w:rPr>
                <w:sz w:val="22"/>
                <w:szCs w:val="22"/>
              </w:rPr>
              <w:t>12 months after OMB approval</w:t>
            </w:r>
          </w:p>
        </w:tc>
      </w:tr>
    </w:tbl>
    <w:p w:rsidR="009747E5" w:rsidRDefault="009747E5">
      <w:pPr>
        <w:spacing w:line="240" w:lineRule="auto"/>
        <w:rPr>
          <w:sz w:val="24"/>
          <w:szCs w:val="24"/>
        </w:rPr>
      </w:pPr>
    </w:p>
    <w:p w:rsidR="009747E5" w:rsidRDefault="00BC0E7C">
      <w:pPr>
        <w:pStyle w:val="Heading1"/>
        <w:pBdr>
          <w:bottom w:val="none" w:sz="0" w:space="0" w:color="000000"/>
        </w:pBdr>
        <w:rPr>
          <w:color w:val="000000"/>
        </w:rPr>
      </w:pPr>
      <w:bookmarkStart w:id="19" w:name="_Toc9521709"/>
      <w:r>
        <w:rPr>
          <w:color w:val="000000"/>
        </w:rPr>
        <w:t>A.17. Reason(s) Display of OMB Expiration Date is Inappropriate</w:t>
      </w:r>
      <w:bookmarkEnd w:id="19"/>
    </w:p>
    <w:p w:rsidR="009747E5" w:rsidRDefault="009747E5"/>
    <w:p w:rsidR="009747E5" w:rsidRDefault="00BC0E7C">
      <w:pPr>
        <w:rPr>
          <w:sz w:val="22"/>
          <w:szCs w:val="22"/>
        </w:rPr>
      </w:pPr>
      <w:r>
        <w:rPr>
          <w:sz w:val="24"/>
          <w:szCs w:val="24"/>
        </w:rPr>
        <w:t>The display of the OMB expiration date is appropriate.</w:t>
      </w:r>
    </w:p>
    <w:p w:rsidR="009747E5" w:rsidRDefault="00BC0E7C">
      <w:pPr>
        <w:pStyle w:val="Heading1"/>
        <w:pBdr>
          <w:bottom w:val="none" w:sz="0" w:space="0" w:color="000000"/>
        </w:pBdr>
        <w:rPr>
          <w:color w:val="000000"/>
        </w:rPr>
      </w:pPr>
      <w:bookmarkStart w:id="20" w:name="_Toc9521710"/>
      <w:r>
        <w:rPr>
          <w:color w:val="000000"/>
        </w:rPr>
        <w:t>A.18. Exceptions to Certification for Paperwork Reduction Act Submissions</w:t>
      </w:r>
      <w:bookmarkEnd w:id="20"/>
    </w:p>
    <w:p w:rsidR="009747E5" w:rsidRDefault="009747E5">
      <w:pPr>
        <w:spacing w:line="240" w:lineRule="auto"/>
        <w:rPr>
          <w:sz w:val="24"/>
          <w:szCs w:val="24"/>
        </w:rPr>
      </w:pPr>
    </w:p>
    <w:p w:rsidR="009747E5" w:rsidRDefault="00BC0E7C">
      <w:pPr>
        <w:spacing w:line="240" w:lineRule="auto"/>
        <w:rPr>
          <w:sz w:val="22"/>
          <w:szCs w:val="22"/>
        </w:rPr>
      </w:pPr>
      <w:r>
        <w:rPr>
          <w:sz w:val="24"/>
          <w:szCs w:val="24"/>
        </w:rPr>
        <w:t>There are no exceptions to the certification. These activities comply with the requirements in 5 CFR 1320.9.</w:t>
      </w:r>
    </w:p>
    <w:p w:rsidR="009747E5" w:rsidRDefault="00BC0E7C">
      <w:pPr>
        <w:pStyle w:val="Heading1"/>
        <w:pBdr>
          <w:bottom w:val="none" w:sz="0" w:space="0" w:color="000000"/>
        </w:pBdr>
        <w:rPr>
          <w:color w:val="000000"/>
        </w:rPr>
      </w:pPr>
      <w:bookmarkStart w:id="21" w:name="_Toc9521711"/>
      <w:r>
        <w:rPr>
          <w:color w:val="000000"/>
        </w:rPr>
        <w:t>References</w:t>
      </w:r>
      <w:bookmarkEnd w:id="21"/>
    </w:p>
    <w:p w:rsidR="009747E5" w:rsidRDefault="009747E5">
      <w:pPr>
        <w:rPr>
          <w:sz w:val="22"/>
          <w:szCs w:val="22"/>
        </w:rPr>
      </w:pPr>
    </w:p>
    <w:p w:rsidR="009747E5" w:rsidRDefault="00BC0E7C">
      <w:pPr>
        <w:pBdr>
          <w:top w:val="nil"/>
          <w:left w:val="nil"/>
          <w:bottom w:val="nil"/>
          <w:right w:val="nil"/>
          <w:between w:val="nil"/>
        </w:pBdr>
        <w:ind w:left="360" w:hanging="360"/>
        <w:rPr>
          <w:color w:val="000000"/>
          <w:sz w:val="24"/>
          <w:szCs w:val="24"/>
        </w:rPr>
      </w:pPr>
      <w:r>
        <w:rPr>
          <w:color w:val="000000"/>
          <w:sz w:val="24"/>
          <w:szCs w:val="24"/>
        </w:rPr>
        <w:t xml:space="preserve">City of Louisville, KY. Louisville Metro Open Data Portal. </w:t>
      </w:r>
      <w:hyperlink r:id="rId10">
        <w:r>
          <w:rPr>
            <w:color w:val="0000FF"/>
            <w:sz w:val="24"/>
            <w:szCs w:val="24"/>
            <w:u w:val="single"/>
          </w:rPr>
          <w:t>https://data.louisvilleky.gov/</w:t>
        </w:r>
      </w:hyperlink>
      <w:r>
        <w:rPr>
          <w:color w:val="000000"/>
          <w:sz w:val="24"/>
          <w:szCs w:val="24"/>
        </w:rPr>
        <w:t>. Accessed: March 26, 2019.</w:t>
      </w:r>
    </w:p>
    <w:p w:rsidR="009747E5" w:rsidRDefault="00BC0E7C">
      <w:pPr>
        <w:ind w:left="360" w:hanging="360"/>
        <w:rPr>
          <w:sz w:val="24"/>
          <w:szCs w:val="24"/>
        </w:rPr>
      </w:pPr>
      <w:r>
        <w:rPr>
          <w:sz w:val="24"/>
          <w:szCs w:val="24"/>
        </w:rPr>
        <w:t xml:space="preserve">City of San Francisco, CA. DataSF. </w:t>
      </w:r>
      <w:hyperlink r:id="rId11">
        <w:r>
          <w:rPr>
            <w:color w:val="0000FF"/>
            <w:sz w:val="24"/>
            <w:szCs w:val="24"/>
            <w:u w:val="single"/>
          </w:rPr>
          <w:t>https://datasf.org/opendata/</w:t>
        </w:r>
      </w:hyperlink>
      <w:r>
        <w:rPr>
          <w:sz w:val="24"/>
          <w:szCs w:val="24"/>
        </w:rPr>
        <w:t>. Accessed: March 26, 2019.</w:t>
      </w:r>
    </w:p>
    <w:p w:rsidR="009747E5" w:rsidRDefault="00BC0E7C">
      <w:pPr>
        <w:pBdr>
          <w:top w:val="nil"/>
          <w:left w:val="nil"/>
          <w:bottom w:val="nil"/>
          <w:right w:val="nil"/>
          <w:between w:val="nil"/>
        </w:pBdr>
        <w:ind w:left="360" w:hanging="360"/>
        <w:rPr>
          <w:color w:val="000000"/>
          <w:sz w:val="24"/>
          <w:szCs w:val="24"/>
        </w:rPr>
      </w:pPr>
      <w:r>
        <w:rPr>
          <w:color w:val="000000"/>
          <w:sz w:val="24"/>
          <w:szCs w:val="24"/>
        </w:rPr>
        <w:t xml:space="preserve">O’Reilly T. Open Data and Algorithmic Regulation. In: Goldstein B, Dyson L, ed. </w:t>
      </w:r>
      <w:r>
        <w:rPr>
          <w:i/>
          <w:color w:val="000000"/>
          <w:sz w:val="24"/>
          <w:szCs w:val="24"/>
        </w:rPr>
        <w:t>Beyond Transparency: Open Data and the Future of Civic Innovation</w:t>
      </w:r>
      <w:r>
        <w:rPr>
          <w:color w:val="000000"/>
          <w:sz w:val="24"/>
          <w:szCs w:val="24"/>
        </w:rPr>
        <w:t xml:space="preserve">. San Francisco: Code for America Press; 2013: </w:t>
      </w:r>
      <w:hyperlink r:id="rId12">
        <w:r>
          <w:rPr>
            <w:color w:val="0000FF"/>
            <w:sz w:val="24"/>
            <w:szCs w:val="24"/>
            <w:u w:val="single"/>
          </w:rPr>
          <w:t>https://s3.amazonaws.com/academia.edu.documents/34686172/BeyondTransparency.pdf?AWSAccessKeyId=AKIAIWOWYYGZ2Y53UL3A&amp;Expires=1553633287&amp;Signature=%2FY97V%2BCmJFV%2F8SxIXJCGC5xGkEw%3D&amp;response-content-disposition=inline%3B%20filename%3DTable_of_Contents_Preface.pdf</w:t>
        </w:r>
      </w:hyperlink>
      <w:r>
        <w:rPr>
          <w:color w:val="000000"/>
          <w:sz w:val="24"/>
          <w:szCs w:val="24"/>
        </w:rPr>
        <w:t>. Accessed: March 26, 2019. p.294</w:t>
      </w:r>
    </w:p>
    <w:p w:rsidR="009747E5" w:rsidRDefault="00BC0E7C">
      <w:pPr>
        <w:ind w:left="360" w:hanging="360"/>
        <w:rPr>
          <w:sz w:val="24"/>
          <w:szCs w:val="24"/>
        </w:rPr>
      </w:pPr>
      <w:r>
        <w:rPr>
          <w:sz w:val="24"/>
          <w:szCs w:val="24"/>
        </w:rPr>
        <w:t xml:space="preserve">United States Bureau of Labor Statistics. May 2017 National Occupational Employment Statistics. </w:t>
      </w:r>
      <w:hyperlink r:id="rId13" w:anchor="45-0000/">
        <w:r>
          <w:rPr>
            <w:color w:val="0000FF"/>
            <w:sz w:val="24"/>
            <w:szCs w:val="24"/>
            <w:u w:val="single"/>
          </w:rPr>
          <w:t>https://www.bls.gov/oes/current/oes_nat.htm#45-0000/</w:t>
        </w:r>
      </w:hyperlink>
      <w:r>
        <w:rPr>
          <w:color w:val="000000"/>
          <w:sz w:val="24"/>
          <w:szCs w:val="24"/>
        </w:rPr>
        <w:t>. Accessed: March 18, 2019.</w:t>
      </w:r>
    </w:p>
    <w:p w:rsidR="009747E5" w:rsidRDefault="00BC0E7C">
      <w:pPr>
        <w:pStyle w:val="Heading1"/>
        <w:pBdr>
          <w:bottom w:val="none" w:sz="0" w:space="0" w:color="000000"/>
        </w:pBdr>
        <w:rPr>
          <w:color w:val="000000"/>
        </w:rPr>
      </w:pPr>
      <w:bookmarkStart w:id="22" w:name="_Toc9521712"/>
      <w:r>
        <w:rPr>
          <w:color w:val="000000"/>
        </w:rPr>
        <w:t xml:space="preserve">List of </w:t>
      </w:r>
      <w:r w:rsidRPr="00BC0E7C">
        <w:rPr>
          <w:color w:val="000000"/>
        </w:rPr>
        <w:t>Attachments</w:t>
      </w:r>
      <w:bookmarkEnd w:id="22"/>
    </w:p>
    <w:p w:rsidR="009747E5" w:rsidRDefault="009747E5"/>
    <w:p w:rsidR="009747E5" w:rsidRDefault="00BC0E7C">
      <w:pPr>
        <w:rPr>
          <w:sz w:val="24"/>
          <w:szCs w:val="24"/>
        </w:rPr>
      </w:pPr>
      <w:r>
        <w:rPr>
          <w:sz w:val="24"/>
          <w:szCs w:val="24"/>
        </w:rPr>
        <w:t xml:space="preserve">Attachment 1. </w:t>
      </w:r>
      <w:r w:rsidR="00C95704">
        <w:rPr>
          <w:sz w:val="24"/>
          <w:szCs w:val="24"/>
        </w:rPr>
        <w:t>Key Informant Interview Plan</w:t>
      </w:r>
    </w:p>
    <w:p w:rsidR="009747E5" w:rsidRDefault="00BC0E7C">
      <w:pPr>
        <w:rPr>
          <w:sz w:val="24"/>
          <w:szCs w:val="24"/>
        </w:rPr>
      </w:pPr>
      <w:r>
        <w:rPr>
          <w:sz w:val="24"/>
          <w:szCs w:val="24"/>
        </w:rPr>
        <w:t xml:space="preserve">Attachment 2. </w:t>
      </w:r>
      <w:r w:rsidR="00C95704">
        <w:rPr>
          <w:sz w:val="24"/>
          <w:szCs w:val="24"/>
        </w:rPr>
        <w:t>Key Informant Interview Request Letter</w:t>
      </w:r>
    </w:p>
    <w:p w:rsidR="009747E5" w:rsidRDefault="00BC0E7C">
      <w:pPr>
        <w:rPr>
          <w:sz w:val="24"/>
          <w:szCs w:val="24"/>
        </w:rPr>
      </w:pPr>
      <w:r>
        <w:rPr>
          <w:sz w:val="24"/>
          <w:szCs w:val="24"/>
        </w:rPr>
        <w:t xml:space="preserve">Attachment 3. </w:t>
      </w:r>
      <w:r w:rsidR="00C95704">
        <w:rPr>
          <w:sz w:val="24"/>
          <w:szCs w:val="24"/>
        </w:rPr>
        <w:t>Key Informant Interview Reminder Letter</w:t>
      </w:r>
    </w:p>
    <w:p w:rsidR="008E5BA6" w:rsidRDefault="00BC0E7C">
      <w:pPr>
        <w:rPr>
          <w:sz w:val="24"/>
          <w:szCs w:val="24"/>
        </w:rPr>
      </w:pPr>
      <w:r>
        <w:rPr>
          <w:sz w:val="24"/>
          <w:szCs w:val="24"/>
        </w:rPr>
        <w:t xml:space="preserve">Attachment 4. </w:t>
      </w:r>
      <w:r w:rsidR="0019737B">
        <w:rPr>
          <w:sz w:val="24"/>
          <w:szCs w:val="24"/>
        </w:rPr>
        <w:t>NCEH/ATSDR Research Determination Form</w:t>
      </w:r>
    </w:p>
    <w:p w:rsidR="009747E5" w:rsidRDefault="009747E5">
      <w:pPr>
        <w:rPr>
          <w:sz w:val="24"/>
          <w:szCs w:val="24"/>
        </w:rPr>
      </w:pPr>
    </w:p>
    <w:sectPr w:rsidR="009747E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06" w:rsidRDefault="00DA1606">
      <w:pPr>
        <w:spacing w:after="0" w:line="240" w:lineRule="auto"/>
      </w:pPr>
      <w:r>
        <w:separator/>
      </w:r>
    </w:p>
  </w:endnote>
  <w:endnote w:type="continuationSeparator" w:id="0">
    <w:p w:rsidR="00DA1606" w:rsidRDefault="00DA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06" w:rsidRDefault="00DA1606">
      <w:pPr>
        <w:spacing w:after="0" w:line="240" w:lineRule="auto"/>
      </w:pPr>
      <w:r>
        <w:separator/>
      </w:r>
    </w:p>
  </w:footnote>
  <w:footnote w:type="continuationSeparator" w:id="0">
    <w:p w:rsidR="00DA1606" w:rsidRDefault="00DA1606">
      <w:pPr>
        <w:spacing w:after="0" w:line="240" w:lineRule="auto"/>
      </w:pPr>
      <w:r>
        <w:continuationSeparator/>
      </w:r>
    </w:p>
  </w:footnote>
  <w:footnote w:id="1">
    <w:p w:rsidR="009747E5" w:rsidRDefault="00BC0E7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O’Reilly T. Open Data and Algorithmic Regulation. In: Goldstein B, Dyson L, ed. </w:t>
      </w:r>
      <w:r>
        <w:rPr>
          <w:i/>
          <w:color w:val="000000"/>
          <w:sz w:val="20"/>
          <w:szCs w:val="20"/>
        </w:rPr>
        <w:t>Beyond Transparency: Open Data and the Future of Civic Innovation</w:t>
      </w:r>
      <w:r>
        <w:rPr>
          <w:color w:val="000000"/>
          <w:sz w:val="20"/>
          <w:szCs w:val="20"/>
        </w:rPr>
        <w:t xml:space="preserve">. San Francisco: Code for America Press; 2013: </w:t>
      </w:r>
      <w:hyperlink r:id="rId1">
        <w:r>
          <w:rPr>
            <w:color w:val="0000FF"/>
            <w:sz w:val="20"/>
            <w:szCs w:val="20"/>
            <w:u w:val="single"/>
          </w:rPr>
          <w:t>https://s3.amazonaws.com/academia.edu.documents/34686172/BeyondTransparency.pdf?AWSAccessKeyId=AKIAIWOWYYGZ2Y53UL3A&amp;Expires=1553633287&amp;Signature=%2FY97V%2BCmJFV%2F8SxIXJCGC5xGkEw%3D&amp;response-content-disposition=inline%3B%20filename%3DTable_of_Contents_Preface.pdf</w:t>
        </w:r>
      </w:hyperlink>
      <w:r>
        <w:rPr>
          <w:color w:val="000000"/>
          <w:sz w:val="20"/>
          <w:szCs w:val="20"/>
        </w:rPr>
        <w:t>. Accessed: 03/26/19 p.294</w:t>
      </w:r>
    </w:p>
  </w:footnote>
  <w:footnote w:id="2">
    <w:p w:rsidR="009747E5" w:rsidRDefault="00BC0E7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City of Louisville, KY. Louisville Metro Open Data Portal. </w:t>
      </w:r>
      <w:hyperlink r:id="rId2">
        <w:r>
          <w:rPr>
            <w:color w:val="0000FF"/>
            <w:sz w:val="20"/>
            <w:szCs w:val="20"/>
            <w:u w:val="single"/>
          </w:rPr>
          <w:t>https://data.louisvilleky.gov/</w:t>
        </w:r>
      </w:hyperlink>
      <w:r>
        <w:rPr>
          <w:color w:val="000000"/>
          <w:sz w:val="20"/>
          <w:szCs w:val="20"/>
        </w:rPr>
        <w:t>. Accessed: 03/26/19</w:t>
      </w:r>
    </w:p>
  </w:footnote>
  <w:footnote w:id="3">
    <w:p w:rsidR="009747E5" w:rsidRDefault="00BC0E7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City of San Francisco, CA. DataSF. </w:t>
      </w:r>
      <w:hyperlink r:id="rId3">
        <w:r>
          <w:rPr>
            <w:color w:val="0000FF"/>
            <w:sz w:val="20"/>
            <w:szCs w:val="20"/>
            <w:u w:val="single"/>
          </w:rPr>
          <w:t>https://datasf.org/opendata/</w:t>
        </w:r>
      </w:hyperlink>
      <w:r>
        <w:rPr>
          <w:color w:val="000000"/>
          <w:sz w:val="20"/>
          <w:szCs w:val="20"/>
        </w:rPr>
        <w:t>. Accessed: 03/26/19</w:t>
      </w:r>
    </w:p>
  </w:footnote>
  <w:footnote w:id="4">
    <w:p w:rsidR="00074967" w:rsidRDefault="00074967" w:rsidP="00DB5575">
      <w:r>
        <w:rPr>
          <w:rStyle w:val="FootnoteReference"/>
        </w:rPr>
        <w:footnoteRef/>
      </w:r>
      <w:r w:rsidRPr="00DB5575">
        <w:rPr>
          <w:sz w:val="20"/>
        </w:rPr>
        <w:t xml:space="preserve"> </w:t>
      </w:r>
      <w:r w:rsidRPr="00DB5575">
        <w:rPr>
          <w:rFonts w:cstheme="minorHAnsi"/>
          <w:sz w:val="20"/>
        </w:rPr>
        <w:t xml:space="preserve">U.S. General Services Administration (GSA). Open Government. </w:t>
      </w:r>
      <w:hyperlink r:id="rId4" w:history="1">
        <w:r w:rsidRPr="00DB5575">
          <w:rPr>
            <w:rStyle w:val="Hyperlink"/>
            <w:rFonts w:cstheme="minorHAnsi"/>
            <w:sz w:val="20"/>
          </w:rPr>
          <w:t>https://www.data.gov/open-gov/</w:t>
        </w:r>
      </w:hyperlink>
      <w:r w:rsidRPr="00DB5575">
        <w:rPr>
          <w:rFonts w:cstheme="minorHAnsi"/>
          <w:sz w:val="20"/>
        </w:rPr>
        <w:t xml:space="preserve">. Accessed 03/19/19 </w:t>
      </w:r>
    </w:p>
  </w:footnote>
  <w:footnote w:id="5">
    <w:p w:rsidR="009747E5" w:rsidRDefault="00BC0E7C">
      <w:pPr>
        <w:rPr>
          <w:sz w:val="22"/>
          <w:szCs w:val="22"/>
        </w:rPr>
      </w:pPr>
      <w:r>
        <w:rPr>
          <w:vertAlign w:val="superscript"/>
        </w:rPr>
        <w:footnoteRef/>
      </w:r>
      <w:r>
        <w:t xml:space="preserve"> </w:t>
      </w:r>
      <w:r>
        <w:rPr>
          <w:sz w:val="20"/>
          <w:szCs w:val="20"/>
        </w:rPr>
        <w:t xml:space="preserve">United States Bureau of Labor Statistics. May 2017 National Occupational Employment Statistics. </w:t>
      </w:r>
      <w:hyperlink r:id="rId5" w:anchor="45-0000/">
        <w:r>
          <w:rPr>
            <w:color w:val="0000FF"/>
            <w:sz w:val="20"/>
            <w:szCs w:val="20"/>
            <w:u w:val="single"/>
          </w:rPr>
          <w:t>https://www.bls.gov/oes/current/oes_nat.htm#45-0000/</w:t>
        </w:r>
      </w:hyperlink>
      <w:r>
        <w:rPr>
          <w:color w:val="000000"/>
          <w:sz w:val="20"/>
          <w:szCs w:val="20"/>
        </w:rPr>
        <w:t>. Accessed: March 18,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4232"/>
    <w:multiLevelType w:val="multilevel"/>
    <w:tmpl w:val="8188D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7E5"/>
    <w:rsid w:val="00030B16"/>
    <w:rsid w:val="0003429C"/>
    <w:rsid w:val="00074967"/>
    <w:rsid w:val="00093D25"/>
    <w:rsid w:val="000C6C18"/>
    <w:rsid w:val="000E49E8"/>
    <w:rsid w:val="0019737B"/>
    <w:rsid w:val="001C3947"/>
    <w:rsid w:val="002205FC"/>
    <w:rsid w:val="00370BB4"/>
    <w:rsid w:val="003B7B1F"/>
    <w:rsid w:val="00475563"/>
    <w:rsid w:val="005254A0"/>
    <w:rsid w:val="00584B41"/>
    <w:rsid w:val="00593C7A"/>
    <w:rsid w:val="005A0EB4"/>
    <w:rsid w:val="005D197C"/>
    <w:rsid w:val="006D6672"/>
    <w:rsid w:val="006F105C"/>
    <w:rsid w:val="00840C34"/>
    <w:rsid w:val="00882A71"/>
    <w:rsid w:val="008E2736"/>
    <w:rsid w:val="008E5BA6"/>
    <w:rsid w:val="00900D12"/>
    <w:rsid w:val="00912B12"/>
    <w:rsid w:val="00966375"/>
    <w:rsid w:val="009747E5"/>
    <w:rsid w:val="00986DA0"/>
    <w:rsid w:val="00A2348D"/>
    <w:rsid w:val="00A84515"/>
    <w:rsid w:val="00AF740E"/>
    <w:rsid w:val="00B37A61"/>
    <w:rsid w:val="00B44D02"/>
    <w:rsid w:val="00B54739"/>
    <w:rsid w:val="00BA016B"/>
    <w:rsid w:val="00BC0E7C"/>
    <w:rsid w:val="00C328B7"/>
    <w:rsid w:val="00C6523D"/>
    <w:rsid w:val="00C80984"/>
    <w:rsid w:val="00C85920"/>
    <w:rsid w:val="00C95704"/>
    <w:rsid w:val="00CD7480"/>
    <w:rsid w:val="00CF0051"/>
    <w:rsid w:val="00DA1606"/>
    <w:rsid w:val="00DB5575"/>
    <w:rsid w:val="00DE2B65"/>
    <w:rsid w:val="00DE3F82"/>
    <w:rsid w:val="00ED26A0"/>
    <w:rsid w:val="00ED423C"/>
    <w:rsid w:val="00ED5F5C"/>
    <w:rsid w:val="00EE2F90"/>
    <w:rsid w:val="00EF18C5"/>
    <w:rsid w:val="00F629C1"/>
    <w:rsid w:val="00FB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bottom w:val="single" w:sz="4" w:space="1" w:color="4F81BD"/>
      </w:pBdr>
      <w:spacing w:before="400" w:after="40" w:line="240" w:lineRule="auto"/>
      <w:outlineLvl w:val="0"/>
    </w:pPr>
    <w:rPr>
      <w:rFonts w:ascii="Cambria" w:eastAsia="Cambria" w:hAnsi="Cambria" w:cs="Cambria"/>
      <w:color w:val="366091"/>
      <w:sz w:val="36"/>
      <w:szCs w:val="36"/>
    </w:rPr>
  </w:style>
  <w:style w:type="paragraph" w:styleId="Heading2">
    <w:name w:val="heading 2"/>
    <w:basedOn w:val="Normal"/>
    <w:next w:val="Normal"/>
    <w:pPr>
      <w:keepNext/>
      <w:keepLines/>
      <w:spacing w:before="160" w:after="0" w:line="240" w:lineRule="auto"/>
      <w:outlineLvl w:val="1"/>
    </w:pPr>
    <w:rPr>
      <w:rFonts w:ascii="Cambria" w:eastAsia="Cambria" w:hAnsi="Cambria" w:cs="Cambria"/>
      <w:color w:val="366091"/>
      <w:sz w:val="28"/>
      <w:szCs w:val="28"/>
    </w:rPr>
  </w:style>
  <w:style w:type="paragraph" w:styleId="Heading3">
    <w:name w:val="heading 3"/>
    <w:basedOn w:val="Normal"/>
    <w:next w:val="Normal"/>
    <w:pPr>
      <w:keepNext/>
      <w:keepLines/>
      <w:spacing w:before="80" w:after="0" w:line="240" w:lineRule="auto"/>
      <w:outlineLvl w:val="2"/>
    </w:pPr>
    <w:rPr>
      <w:rFonts w:ascii="Cambria" w:eastAsia="Cambria" w:hAnsi="Cambria" w:cs="Cambria"/>
      <w:color w:val="404040"/>
      <w:sz w:val="26"/>
      <w:szCs w:val="26"/>
    </w:rPr>
  </w:style>
  <w:style w:type="paragraph" w:styleId="Heading4">
    <w:name w:val="heading 4"/>
    <w:basedOn w:val="Normal"/>
    <w:next w:val="Normal"/>
    <w:pPr>
      <w:keepNext/>
      <w:keepLines/>
      <w:spacing w:before="80" w:after="0"/>
      <w:outlineLvl w:val="3"/>
    </w:pPr>
    <w:rPr>
      <w:rFonts w:ascii="Cambria" w:eastAsia="Cambria" w:hAnsi="Cambria" w:cs="Cambria"/>
      <w:sz w:val="24"/>
      <w:szCs w:val="24"/>
    </w:rPr>
  </w:style>
  <w:style w:type="paragraph" w:styleId="Heading5">
    <w:name w:val="heading 5"/>
    <w:basedOn w:val="Normal"/>
    <w:next w:val="Normal"/>
    <w:pPr>
      <w:keepNext/>
      <w:keepLines/>
      <w:spacing w:before="80" w:after="0"/>
      <w:outlineLvl w:val="4"/>
    </w:pPr>
    <w:rPr>
      <w:rFonts w:ascii="Cambria" w:eastAsia="Cambria" w:hAnsi="Cambria" w:cs="Cambria"/>
      <w:i/>
      <w:sz w:val="22"/>
      <w:szCs w:val="22"/>
    </w:rPr>
  </w:style>
  <w:style w:type="paragraph" w:styleId="Heading6">
    <w:name w:val="heading 6"/>
    <w:basedOn w:val="Normal"/>
    <w:next w:val="Normal"/>
    <w:pPr>
      <w:keepNext/>
      <w:keepLines/>
      <w:spacing w:before="80" w:after="0"/>
      <w:outlineLvl w:val="5"/>
    </w:pPr>
    <w:rPr>
      <w:rFonts w:ascii="Cambria" w:eastAsia="Cambria" w:hAnsi="Cambria" w:cs="Cambria"/>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rFonts w:ascii="Cambria" w:eastAsia="Cambria" w:hAnsi="Cambria" w:cs="Cambria"/>
      <w:color w:val="366091"/>
      <w:sz w:val="80"/>
      <w:szCs w:val="80"/>
    </w:rPr>
  </w:style>
  <w:style w:type="paragraph" w:styleId="Subtitle">
    <w:name w:val="Subtitle"/>
    <w:basedOn w:val="Normal"/>
    <w:next w:val="Normal"/>
    <w:pPr>
      <w:spacing w:after="240" w:line="240" w:lineRule="auto"/>
    </w:pPr>
    <w:rPr>
      <w:rFonts w:ascii="Cambria" w:eastAsia="Cambria" w:hAnsi="Cambria" w:cs="Cambria"/>
      <w:color w:val="404040"/>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5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5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5563"/>
    <w:rPr>
      <w:b/>
      <w:bCs/>
    </w:rPr>
  </w:style>
  <w:style w:type="character" w:customStyle="1" w:styleId="CommentSubjectChar">
    <w:name w:val="Comment Subject Char"/>
    <w:basedOn w:val="CommentTextChar"/>
    <w:link w:val="CommentSubject"/>
    <w:uiPriority w:val="99"/>
    <w:semiHidden/>
    <w:rsid w:val="00475563"/>
    <w:rPr>
      <w:b/>
      <w:bCs/>
      <w:sz w:val="20"/>
      <w:szCs w:val="20"/>
    </w:rPr>
  </w:style>
  <w:style w:type="paragraph" w:styleId="FootnoteText">
    <w:name w:val="footnote text"/>
    <w:basedOn w:val="Normal"/>
    <w:link w:val="FootnoteTextChar"/>
    <w:uiPriority w:val="99"/>
    <w:semiHidden/>
    <w:unhideWhenUsed/>
    <w:rsid w:val="000749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4967"/>
    <w:rPr>
      <w:sz w:val="20"/>
      <w:szCs w:val="20"/>
    </w:rPr>
  </w:style>
  <w:style w:type="character" w:styleId="FootnoteReference">
    <w:name w:val="footnote reference"/>
    <w:basedOn w:val="DefaultParagraphFont"/>
    <w:uiPriority w:val="99"/>
    <w:semiHidden/>
    <w:unhideWhenUsed/>
    <w:rsid w:val="00074967"/>
    <w:rPr>
      <w:vertAlign w:val="superscript"/>
    </w:rPr>
  </w:style>
  <w:style w:type="character" w:styleId="Hyperlink">
    <w:name w:val="Hyperlink"/>
    <w:basedOn w:val="DefaultParagraphFont"/>
    <w:uiPriority w:val="99"/>
    <w:unhideWhenUsed/>
    <w:rsid w:val="00074967"/>
    <w:rPr>
      <w:color w:val="0000FF" w:themeColor="hyperlink"/>
      <w:u w:val="single"/>
    </w:rPr>
  </w:style>
  <w:style w:type="paragraph" w:styleId="TOC1">
    <w:name w:val="toc 1"/>
    <w:basedOn w:val="Normal"/>
    <w:next w:val="Normal"/>
    <w:autoRedefine/>
    <w:uiPriority w:val="39"/>
    <w:unhideWhenUsed/>
    <w:rsid w:val="005254A0"/>
    <w:pPr>
      <w:spacing w:after="100"/>
    </w:pPr>
  </w:style>
  <w:style w:type="table" w:styleId="TableGrid">
    <w:name w:val="Table Grid"/>
    <w:basedOn w:val="TableNormal"/>
    <w:uiPriority w:val="39"/>
    <w:rsid w:val="0009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bottom w:val="single" w:sz="4" w:space="1" w:color="4F81BD"/>
      </w:pBdr>
      <w:spacing w:before="400" w:after="40" w:line="240" w:lineRule="auto"/>
      <w:outlineLvl w:val="0"/>
    </w:pPr>
    <w:rPr>
      <w:rFonts w:ascii="Cambria" w:eastAsia="Cambria" w:hAnsi="Cambria" w:cs="Cambria"/>
      <w:color w:val="366091"/>
      <w:sz w:val="36"/>
      <w:szCs w:val="36"/>
    </w:rPr>
  </w:style>
  <w:style w:type="paragraph" w:styleId="Heading2">
    <w:name w:val="heading 2"/>
    <w:basedOn w:val="Normal"/>
    <w:next w:val="Normal"/>
    <w:pPr>
      <w:keepNext/>
      <w:keepLines/>
      <w:spacing w:before="160" w:after="0" w:line="240" w:lineRule="auto"/>
      <w:outlineLvl w:val="1"/>
    </w:pPr>
    <w:rPr>
      <w:rFonts w:ascii="Cambria" w:eastAsia="Cambria" w:hAnsi="Cambria" w:cs="Cambria"/>
      <w:color w:val="366091"/>
      <w:sz w:val="28"/>
      <w:szCs w:val="28"/>
    </w:rPr>
  </w:style>
  <w:style w:type="paragraph" w:styleId="Heading3">
    <w:name w:val="heading 3"/>
    <w:basedOn w:val="Normal"/>
    <w:next w:val="Normal"/>
    <w:pPr>
      <w:keepNext/>
      <w:keepLines/>
      <w:spacing w:before="80" w:after="0" w:line="240" w:lineRule="auto"/>
      <w:outlineLvl w:val="2"/>
    </w:pPr>
    <w:rPr>
      <w:rFonts w:ascii="Cambria" w:eastAsia="Cambria" w:hAnsi="Cambria" w:cs="Cambria"/>
      <w:color w:val="404040"/>
      <w:sz w:val="26"/>
      <w:szCs w:val="26"/>
    </w:rPr>
  </w:style>
  <w:style w:type="paragraph" w:styleId="Heading4">
    <w:name w:val="heading 4"/>
    <w:basedOn w:val="Normal"/>
    <w:next w:val="Normal"/>
    <w:pPr>
      <w:keepNext/>
      <w:keepLines/>
      <w:spacing w:before="80" w:after="0"/>
      <w:outlineLvl w:val="3"/>
    </w:pPr>
    <w:rPr>
      <w:rFonts w:ascii="Cambria" w:eastAsia="Cambria" w:hAnsi="Cambria" w:cs="Cambria"/>
      <w:sz w:val="24"/>
      <w:szCs w:val="24"/>
    </w:rPr>
  </w:style>
  <w:style w:type="paragraph" w:styleId="Heading5">
    <w:name w:val="heading 5"/>
    <w:basedOn w:val="Normal"/>
    <w:next w:val="Normal"/>
    <w:pPr>
      <w:keepNext/>
      <w:keepLines/>
      <w:spacing w:before="80" w:after="0"/>
      <w:outlineLvl w:val="4"/>
    </w:pPr>
    <w:rPr>
      <w:rFonts w:ascii="Cambria" w:eastAsia="Cambria" w:hAnsi="Cambria" w:cs="Cambria"/>
      <w:i/>
      <w:sz w:val="22"/>
      <w:szCs w:val="22"/>
    </w:rPr>
  </w:style>
  <w:style w:type="paragraph" w:styleId="Heading6">
    <w:name w:val="heading 6"/>
    <w:basedOn w:val="Normal"/>
    <w:next w:val="Normal"/>
    <w:pPr>
      <w:keepNext/>
      <w:keepLines/>
      <w:spacing w:before="80" w:after="0"/>
      <w:outlineLvl w:val="5"/>
    </w:pPr>
    <w:rPr>
      <w:rFonts w:ascii="Cambria" w:eastAsia="Cambria" w:hAnsi="Cambria" w:cs="Cambria"/>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rFonts w:ascii="Cambria" w:eastAsia="Cambria" w:hAnsi="Cambria" w:cs="Cambria"/>
      <w:color w:val="366091"/>
      <w:sz w:val="80"/>
      <w:szCs w:val="80"/>
    </w:rPr>
  </w:style>
  <w:style w:type="paragraph" w:styleId="Subtitle">
    <w:name w:val="Subtitle"/>
    <w:basedOn w:val="Normal"/>
    <w:next w:val="Normal"/>
    <w:pPr>
      <w:spacing w:after="240" w:line="240" w:lineRule="auto"/>
    </w:pPr>
    <w:rPr>
      <w:rFonts w:ascii="Cambria" w:eastAsia="Cambria" w:hAnsi="Cambria" w:cs="Cambria"/>
      <w:color w:val="404040"/>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5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5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5563"/>
    <w:rPr>
      <w:b/>
      <w:bCs/>
    </w:rPr>
  </w:style>
  <w:style w:type="character" w:customStyle="1" w:styleId="CommentSubjectChar">
    <w:name w:val="Comment Subject Char"/>
    <w:basedOn w:val="CommentTextChar"/>
    <w:link w:val="CommentSubject"/>
    <w:uiPriority w:val="99"/>
    <w:semiHidden/>
    <w:rsid w:val="00475563"/>
    <w:rPr>
      <w:b/>
      <w:bCs/>
      <w:sz w:val="20"/>
      <w:szCs w:val="20"/>
    </w:rPr>
  </w:style>
  <w:style w:type="paragraph" w:styleId="FootnoteText">
    <w:name w:val="footnote text"/>
    <w:basedOn w:val="Normal"/>
    <w:link w:val="FootnoteTextChar"/>
    <w:uiPriority w:val="99"/>
    <w:semiHidden/>
    <w:unhideWhenUsed/>
    <w:rsid w:val="000749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4967"/>
    <w:rPr>
      <w:sz w:val="20"/>
      <w:szCs w:val="20"/>
    </w:rPr>
  </w:style>
  <w:style w:type="character" w:styleId="FootnoteReference">
    <w:name w:val="footnote reference"/>
    <w:basedOn w:val="DefaultParagraphFont"/>
    <w:uiPriority w:val="99"/>
    <w:semiHidden/>
    <w:unhideWhenUsed/>
    <w:rsid w:val="00074967"/>
    <w:rPr>
      <w:vertAlign w:val="superscript"/>
    </w:rPr>
  </w:style>
  <w:style w:type="character" w:styleId="Hyperlink">
    <w:name w:val="Hyperlink"/>
    <w:basedOn w:val="DefaultParagraphFont"/>
    <w:uiPriority w:val="99"/>
    <w:unhideWhenUsed/>
    <w:rsid w:val="00074967"/>
    <w:rPr>
      <w:color w:val="0000FF" w:themeColor="hyperlink"/>
      <w:u w:val="single"/>
    </w:rPr>
  </w:style>
  <w:style w:type="paragraph" w:styleId="TOC1">
    <w:name w:val="toc 1"/>
    <w:basedOn w:val="Normal"/>
    <w:next w:val="Normal"/>
    <w:autoRedefine/>
    <w:uiPriority w:val="39"/>
    <w:unhideWhenUsed/>
    <w:rsid w:val="005254A0"/>
    <w:pPr>
      <w:spacing w:after="100"/>
    </w:pPr>
  </w:style>
  <w:style w:type="table" w:styleId="TableGrid">
    <w:name w:val="Table Grid"/>
    <w:basedOn w:val="TableNormal"/>
    <w:uiPriority w:val="39"/>
    <w:rsid w:val="0009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3.amazonaws.com/academia.edu.documents/34686172/BeyondTransparency.pdf?AWSAccessKeyId=AKIAIWOWYYGZ2Y53UL3A&amp;Expires=1553633287&amp;Signature=%2FY97V%2BCmJFV%2F8SxIXJCGC5xGkEw%3D&amp;response-content-disposition=inline%3B%20filename%3DTable_of_Contents_Prefa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sf.org/opendat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ata.louisvilleky.gov/"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sf.org/opendata/" TargetMode="External"/><Relationship Id="rId2" Type="http://schemas.openxmlformats.org/officeDocument/2006/relationships/hyperlink" Target="https://data.louisvilleky.gov/" TargetMode="External"/><Relationship Id="rId1" Type="http://schemas.openxmlformats.org/officeDocument/2006/relationships/hyperlink" Target="https://s3.amazonaws.com/academia.edu.documents/34686172/BeyondTransparency.pdf?AWSAccessKeyId=AKIAIWOWYYGZ2Y53UL3A&amp;Expires=1553633287&amp;Signature=%2FY97V%2BCmJFV%2F8SxIXJCGC5xGkEw%3D&amp;response-content-disposition=inline%3B%20filename%3DTable_of_Contents_Preface.pdf" TargetMode="External"/><Relationship Id="rId5" Type="http://schemas.openxmlformats.org/officeDocument/2006/relationships/hyperlink" Target="https://www.bls.gov/oes/current/oes_nat.htm" TargetMode="External"/><Relationship Id="rId4" Type="http://schemas.openxmlformats.org/officeDocument/2006/relationships/hyperlink" Target="https://www.data.gov/ope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F4BF-B51D-4EBF-BD37-BB100C2D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Clopper, Benjamin (CDC/DDNID/NCEH/DEHSP)</dc:creator>
  <cp:lastModifiedBy>SYSTEM</cp:lastModifiedBy>
  <cp:revision>2</cp:revision>
  <dcterms:created xsi:type="dcterms:W3CDTF">2019-05-30T15:56:00Z</dcterms:created>
  <dcterms:modified xsi:type="dcterms:W3CDTF">2019-05-30T15:56:00Z</dcterms:modified>
</cp:coreProperties>
</file>