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47" w:rsidRDefault="00D22D47" w:rsidP="00D22D47">
      <w:pPr>
        <w:jc w:val="center"/>
        <w:rPr>
          <w:rFonts w:ascii="Times New Roman" w:hAnsi="Times New Roman" w:cs="Times New Roman"/>
          <w:sz w:val="24"/>
        </w:rPr>
      </w:pPr>
      <w:bookmarkStart w:id="0" w:name="_GoBack"/>
      <w:bookmarkEnd w:id="0"/>
      <w:r w:rsidRPr="00547E43">
        <w:rPr>
          <w:rFonts w:ascii="Times New Roman" w:hAnsi="Times New Roman" w:cs="Times New Roman"/>
          <w:sz w:val="24"/>
        </w:rPr>
        <w:t xml:space="preserve">Appendix </w:t>
      </w:r>
      <w:r>
        <w:rPr>
          <w:rFonts w:ascii="Times New Roman" w:hAnsi="Times New Roman" w:cs="Times New Roman"/>
          <w:sz w:val="24"/>
        </w:rPr>
        <w:t>K</w:t>
      </w:r>
    </w:p>
    <w:p w:rsidR="00D22D47" w:rsidRDefault="00D22D47" w:rsidP="00D22D47">
      <w:pPr>
        <w:spacing w:line="240" w:lineRule="auto"/>
      </w:pPr>
      <w:r>
        <w:rPr>
          <w:noProof/>
        </w:rPr>
        <w:drawing>
          <wp:inline distT="0" distB="0" distL="0" distR="0" wp14:anchorId="077F3E59" wp14:editId="37878FBC">
            <wp:extent cx="923544" cy="530352"/>
            <wp:effectExtent l="0" t="0" r="0" b="317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23544" cy="530352"/>
                    </a:xfrm>
                    <a:prstGeom prst="rect">
                      <a:avLst/>
                    </a:prstGeom>
                  </pic:spPr>
                </pic:pic>
              </a:graphicData>
            </a:graphic>
          </wp:inline>
        </w:drawing>
      </w:r>
      <w:r>
        <w:rPr>
          <w:noProof/>
        </w:rPr>
        <w:drawing>
          <wp:inline distT="0" distB="0" distL="0" distR="0" wp14:anchorId="66A1EA00" wp14:editId="6C9ADF82">
            <wp:extent cx="5394960" cy="521208"/>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601" w:type="dxa"/>
        <w:tblCellSpacing w:w="7" w:type="dxa"/>
        <w:tblInd w:w="-18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893"/>
        <w:gridCol w:w="2700"/>
        <w:gridCol w:w="7008"/>
      </w:tblGrid>
      <w:tr w:rsidR="00D22D47" w:rsidTr="00AF77C2">
        <w:trPr>
          <w:cantSplit/>
          <w:tblHeader/>
          <w:tblCellSpacing w:w="7" w:type="dxa"/>
        </w:trPr>
        <w:tc>
          <w:tcPr>
            <w:tcW w:w="10573" w:type="dxa"/>
            <w:gridSpan w:val="3"/>
          </w:tcPr>
          <w:p w:rsidR="00D22D47" w:rsidRPr="00D6362A" w:rsidRDefault="00D22D47" w:rsidP="00AF77C2">
            <w:pPr>
              <w:autoSpaceDE w:val="0"/>
              <w:autoSpaceDN w:val="0"/>
              <w:adjustRightInd w:val="0"/>
              <w:spacing w:before="100" w:after="100"/>
              <w:jc w:val="center"/>
              <w:rPr>
                <w:rFonts w:ascii="Arial" w:eastAsia="Times New Roman" w:hAnsi="Arial" w:cs="Arial"/>
                <w:b/>
                <w:bCs/>
                <w:color w:val="000000" w:themeColor="text1"/>
              </w:rPr>
            </w:pPr>
            <w:r w:rsidRPr="00D6362A">
              <w:rPr>
                <w:rFonts w:ascii="Arial" w:eastAsia="Times New Roman" w:hAnsi="Arial" w:cs="Arial"/>
                <w:b/>
                <w:bCs/>
                <w:color w:val="000000" w:themeColor="text1"/>
                <w:sz w:val="28"/>
                <w:szCs w:val="28"/>
              </w:rPr>
              <w:t>Consent to be in a Research Study</w:t>
            </w:r>
          </w:p>
          <w:p w:rsidR="00D22D47" w:rsidRPr="00AE18C3" w:rsidRDefault="00D22D47" w:rsidP="00AF77C2">
            <w:pPr>
              <w:autoSpaceDE w:val="0"/>
              <w:autoSpaceDN w:val="0"/>
              <w:adjustRightInd w:val="0"/>
              <w:spacing w:before="100" w:after="100"/>
              <w:jc w:val="center"/>
              <w:rPr>
                <w:rFonts w:ascii="Times New Roman" w:hAnsi="Times New Roman" w:cs="Times New Roman"/>
                <w:b/>
                <w:bCs/>
                <w:color w:val="000000" w:themeColor="text1"/>
                <w:sz w:val="28"/>
                <w:szCs w:val="28"/>
              </w:rPr>
            </w:pPr>
            <w:r w:rsidRPr="00991A07">
              <w:rPr>
                <w:rFonts w:ascii="Arial" w:hAnsi="Arial" w:cs="Arial"/>
                <w:color w:val="000000" w:themeColor="text1"/>
                <w:sz w:val="24"/>
              </w:rPr>
              <w:t>Formative Research to Inform an Intervention to Improve the Early Detection and Surveillance of Pneumoconiosis in U.S. Coal Miners</w:t>
            </w:r>
          </w:p>
        </w:tc>
      </w:tr>
      <w:tr w:rsidR="00D22D47" w:rsidRPr="00174B75" w:rsidTr="00AF77C2">
        <w:trPr>
          <w:cantSplit/>
          <w:tblCellSpacing w:w="7" w:type="dxa"/>
        </w:trPr>
        <w:tc>
          <w:tcPr>
            <w:tcW w:w="872" w:type="dxa"/>
          </w:tcPr>
          <w:p w:rsidR="00D22D47" w:rsidRPr="00AE18C3" w:rsidRDefault="00D22D47" w:rsidP="00D22D4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Who is conducting the study?</w:t>
            </w:r>
          </w:p>
        </w:tc>
        <w:tc>
          <w:tcPr>
            <w:tcW w:w="6987" w:type="dxa"/>
          </w:tcPr>
          <w:p w:rsidR="00D22D47" w:rsidRPr="008F3A5D" w:rsidRDefault="00D22D47" w:rsidP="00AF77C2">
            <w:pPr>
              <w:autoSpaceDE w:val="0"/>
              <w:autoSpaceDN w:val="0"/>
              <w:adjustRightInd w:val="0"/>
              <w:rPr>
                <w:rFonts w:ascii="Arial" w:hAnsi="Arial" w:cs="Arial"/>
                <w:color w:val="000000" w:themeColor="text1"/>
                <w:sz w:val="20"/>
                <w:szCs w:val="20"/>
              </w:rPr>
            </w:pPr>
            <w:r w:rsidRPr="00993EFE">
              <w:rPr>
                <w:rFonts w:ascii="Arial" w:hAnsi="Arial" w:cs="Arial"/>
                <w:color w:val="000000" w:themeColor="text1"/>
                <w:sz w:val="20"/>
                <w:szCs w:val="20"/>
              </w:rPr>
              <w:t>NIOSH is a federal agency that studies worker safety and health. We are part of the Centers for Disease Control and Prevention (CDC).</w:t>
            </w:r>
            <w:r w:rsidRPr="008F3A5D">
              <w:rPr>
                <w:rFonts w:ascii="Arial" w:hAnsi="Arial" w:cs="Arial"/>
                <w:b/>
                <w:color w:val="000000" w:themeColor="text1"/>
                <w:sz w:val="20"/>
                <w:szCs w:val="20"/>
              </w:rPr>
              <w:t xml:space="preserve"> </w:t>
            </w:r>
          </w:p>
        </w:tc>
      </w:tr>
      <w:tr w:rsidR="00D22D47" w:rsidRPr="00174B75" w:rsidTr="00AF77C2">
        <w:trPr>
          <w:cantSplit/>
          <w:trHeight w:val="802"/>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What is the purpose?</w:t>
            </w:r>
          </w:p>
        </w:tc>
        <w:tc>
          <w:tcPr>
            <w:tcW w:w="6987" w:type="dxa"/>
          </w:tcPr>
          <w:p w:rsidR="00D22D47" w:rsidRPr="008F3A5D" w:rsidRDefault="00D22D47" w:rsidP="00AF77C2">
            <w:pPr>
              <w:autoSpaceDE w:val="0"/>
              <w:autoSpaceDN w:val="0"/>
              <w:adjustRightInd w:val="0"/>
              <w:rPr>
                <w:rFonts w:ascii="Arial" w:hAnsi="Arial" w:cs="Arial"/>
                <w:color w:val="000000" w:themeColor="text1"/>
                <w:sz w:val="20"/>
                <w:szCs w:val="20"/>
              </w:rPr>
            </w:pPr>
            <w:r w:rsidRPr="00993EFE">
              <w:rPr>
                <w:rFonts w:ascii="Arial" w:hAnsi="Arial" w:cs="Arial"/>
                <w:color w:val="000000" w:themeColor="text1"/>
                <w:sz w:val="20"/>
                <w:szCs w:val="20"/>
              </w:rPr>
              <w:t xml:space="preserve">I am currently conducting research to better </w:t>
            </w:r>
            <w:r w:rsidRPr="008F3A5D">
              <w:rPr>
                <w:rFonts w:ascii="Arial" w:hAnsi="Arial" w:cs="Arial"/>
                <w:color w:val="000000" w:themeColor="text1"/>
                <w:sz w:val="20"/>
                <w:szCs w:val="20"/>
              </w:rPr>
              <w:t>understand why miners do or do not get voluntary black lung screenings. The research will be used to inform an intervention to improve early detection and medical surveillance programs.</w:t>
            </w:r>
          </w:p>
        </w:tc>
      </w:tr>
      <w:tr w:rsidR="00D22D47" w:rsidRPr="00174B75" w:rsidTr="00AF77C2">
        <w:trPr>
          <w:cantSplit/>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rPr>
                <w:rFonts w:ascii="Arial" w:eastAsia="Times New Roman" w:hAnsi="Arial" w:cs="Arial"/>
                <w:b/>
                <w:bCs/>
                <w:color w:val="000000" w:themeColor="text1"/>
                <w:sz w:val="28"/>
                <w:szCs w:val="28"/>
              </w:rPr>
            </w:pPr>
            <w:r w:rsidRPr="00AE18C3">
              <w:rPr>
                <w:rFonts w:ascii="Arial" w:hAnsi="Arial" w:cs="Arial"/>
                <w:b/>
                <w:bCs/>
                <w:iCs/>
                <w:color w:val="000000" w:themeColor="text1"/>
                <w:sz w:val="28"/>
                <w:szCs w:val="28"/>
              </w:rPr>
              <w:t xml:space="preserve">What will I do? </w:t>
            </w:r>
          </w:p>
        </w:tc>
        <w:tc>
          <w:tcPr>
            <w:tcW w:w="6987" w:type="dxa"/>
          </w:tcPr>
          <w:p w:rsidR="00D22D47" w:rsidRPr="008F3A5D" w:rsidRDefault="00D22D47" w:rsidP="00AF77C2">
            <w:pPr>
              <w:autoSpaceDE w:val="0"/>
              <w:autoSpaceDN w:val="0"/>
              <w:adjustRightInd w:val="0"/>
              <w:rPr>
                <w:rFonts w:ascii="Arial" w:hAnsi="Arial" w:cs="Arial"/>
                <w:color w:val="000000" w:themeColor="text1"/>
                <w:sz w:val="20"/>
                <w:szCs w:val="20"/>
              </w:rPr>
            </w:pPr>
            <w:r w:rsidRPr="00993EFE">
              <w:rPr>
                <w:rFonts w:ascii="Arial" w:hAnsi="Arial" w:cs="Arial"/>
                <w:color w:val="000000" w:themeColor="text1"/>
                <w:sz w:val="20"/>
                <w:szCs w:val="20"/>
              </w:rPr>
              <w:t xml:space="preserve">You will participate in an interview and share your </w:t>
            </w:r>
            <w:r w:rsidRPr="008F3A5D">
              <w:rPr>
                <w:rFonts w:ascii="Arial" w:hAnsi="Arial" w:cs="Arial"/>
                <w:color w:val="000000" w:themeColor="text1"/>
                <w:sz w:val="20"/>
                <w:szCs w:val="20"/>
              </w:rPr>
              <w:t xml:space="preserve">thoughts on black lung screenings. With your permission, the interview will be recorded with an audio device. You will also complete a survey to give us information about you and your experiences. </w:t>
            </w:r>
          </w:p>
        </w:tc>
      </w:tr>
      <w:tr w:rsidR="00D22D47" w:rsidRPr="00174B75" w:rsidTr="00AF77C2">
        <w:trPr>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When, where, for how long will I be needed?</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The intervie</w:t>
            </w:r>
            <w:r w:rsidRPr="008F3A5D">
              <w:rPr>
                <w:rFonts w:ascii="Arial" w:hAnsi="Arial" w:cs="Arial"/>
                <w:color w:val="000000" w:themeColor="text1"/>
                <w:sz w:val="20"/>
                <w:szCs w:val="20"/>
              </w:rPr>
              <w:t xml:space="preserve">w will be conducted during </w:t>
            </w:r>
            <w:r>
              <w:rPr>
                <w:rFonts w:ascii="Arial" w:hAnsi="Arial" w:cs="Arial"/>
                <w:color w:val="000000" w:themeColor="text1"/>
                <w:sz w:val="20"/>
                <w:szCs w:val="20"/>
              </w:rPr>
              <w:t xml:space="preserve">the conference, meeting, or event </w:t>
            </w:r>
            <w:r w:rsidRPr="008F3A5D">
              <w:rPr>
                <w:rFonts w:ascii="Arial" w:hAnsi="Arial" w:cs="Arial"/>
                <w:color w:val="000000" w:themeColor="text1"/>
                <w:sz w:val="20"/>
                <w:szCs w:val="20"/>
              </w:rPr>
              <w:t xml:space="preserve">in a location such as a classroom, </w:t>
            </w:r>
            <w:r>
              <w:rPr>
                <w:rFonts w:ascii="Arial" w:hAnsi="Arial" w:cs="Arial"/>
                <w:color w:val="000000" w:themeColor="text1"/>
                <w:sz w:val="20"/>
                <w:szCs w:val="20"/>
              </w:rPr>
              <w:t>private</w:t>
            </w:r>
            <w:r w:rsidRPr="00993EFE">
              <w:rPr>
                <w:rFonts w:ascii="Arial" w:hAnsi="Arial" w:cs="Arial"/>
                <w:color w:val="000000" w:themeColor="text1"/>
                <w:sz w:val="20"/>
                <w:szCs w:val="20"/>
              </w:rPr>
              <w:t xml:space="preserve"> </w:t>
            </w:r>
            <w:r w:rsidRPr="008F3A5D">
              <w:rPr>
                <w:rFonts w:ascii="Arial" w:hAnsi="Arial" w:cs="Arial"/>
                <w:color w:val="000000" w:themeColor="text1"/>
                <w:sz w:val="20"/>
                <w:szCs w:val="20"/>
              </w:rPr>
              <w:t xml:space="preserve">area, or conference room in the </w:t>
            </w:r>
            <w:r>
              <w:rPr>
                <w:rFonts w:ascii="Arial" w:hAnsi="Arial" w:cs="Arial"/>
                <w:color w:val="000000" w:themeColor="text1"/>
                <w:sz w:val="20"/>
                <w:szCs w:val="20"/>
              </w:rPr>
              <w:t>event venue</w:t>
            </w:r>
            <w:r w:rsidRPr="00993EFE">
              <w:rPr>
                <w:rFonts w:ascii="Arial" w:hAnsi="Arial" w:cs="Arial"/>
                <w:color w:val="000000" w:themeColor="text1"/>
                <w:sz w:val="20"/>
                <w:szCs w:val="20"/>
              </w:rPr>
              <w:t xml:space="preserve">. The interview will take </w:t>
            </w:r>
            <w:r w:rsidRPr="008F3A5D">
              <w:rPr>
                <w:rFonts w:ascii="Arial" w:hAnsi="Arial" w:cs="Arial"/>
                <w:color w:val="000000" w:themeColor="text1"/>
                <w:sz w:val="20"/>
                <w:szCs w:val="20"/>
              </w:rPr>
              <w:t xml:space="preserve">45 to 60 minutes. </w:t>
            </w:r>
          </w:p>
        </w:tc>
      </w:tr>
      <w:tr w:rsidR="00D22D47" w:rsidRPr="00174B75" w:rsidTr="00AF77C2">
        <w:trPr>
          <w:trHeight w:val="892"/>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Are there any risks?</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This study presents minimal risks. Some participants may choose to share thoughts or experiences that create negative feelings or stress. If this occurs during your interview, you are welcome to take a break or end the interview at any time. </w:t>
            </w:r>
          </w:p>
        </w:tc>
      </w:tr>
      <w:tr w:rsidR="00D22D47" w:rsidRPr="00174B75" w:rsidTr="00AF77C2">
        <w:trPr>
          <w:trHeight w:val="1261"/>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Is my participation voluntary?</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The study is voluntary. You may choose to be in the study or not.  You may choose to answer any or all questions.  You may drop out any time for any reason without consequences to you.  </w:t>
            </w: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p>
        </w:tc>
      </w:tr>
      <w:tr w:rsidR="00D22D47" w:rsidRPr="00174B75" w:rsidTr="00AF77C2">
        <w:trPr>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 xml:space="preserve">What if I am injured or harmed at a NIOSH research facility or at another location where the NIOSH research project is being conducted?  </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NIOSH will summon emergency medical aid by calling 911. </w:t>
            </w:r>
            <w:r w:rsidRPr="008F3A5D">
              <w:rPr>
                <w:rFonts w:ascii="Arial" w:hAnsi="Arial" w:cs="Arial"/>
                <w:color w:val="000000" w:themeColor="text1"/>
                <w:sz w:val="20"/>
                <w:szCs w:val="20"/>
              </w:rPr>
              <w:t xml:space="preserve">If 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8" w:history="1">
              <w:r w:rsidRPr="008F3A5D">
                <w:rPr>
                  <w:rStyle w:val="Hyperlink"/>
                  <w:rFonts w:ascii="Arial" w:hAnsi="Arial" w:cs="Arial"/>
                  <w:color w:val="000000" w:themeColor="text1"/>
                  <w:sz w:val="20"/>
                  <w:szCs w:val="20"/>
                </w:rPr>
                <w:t>https://www.hhs.gov/about/agencies/ogc/key-personnel/general-law-division/index.html</w:t>
              </w:r>
            </w:hyperlink>
            <w:r w:rsidRPr="00993EFE">
              <w:rPr>
                <w:rFonts w:ascii="Arial" w:hAnsi="Arial" w:cs="Arial"/>
                <w:color w:val="000000" w:themeColor="text1"/>
                <w:sz w:val="20"/>
                <w:szCs w:val="20"/>
              </w:rPr>
              <w:t>.</w:t>
            </w:r>
          </w:p>
        </w:tc>
      </w:tr>
      <w:tr w:rsidR="00D22D47" w:rsidRPr="00174B75" w:rsidTr="00AF77C2">
        <w:trPr>
          <w:trHeight w:val="1162"/>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Will I be reimbursed or paid?</w:t>
            </w:r>
          </w:p>
        </w:tc>
        <w:tc>
          <w:tcPr>
            <w:tcW w:w="6987" w:type="dxa"/>
          </w:tcPr>
          <w:p w:rsidR="00D22D47" w:rsidRPr="008F3A5D" w:rsidRDefault="00D22D47" w:rsidP="00AF77C2">
            <w:pPr>
              <w:rPr>
                <w:rFonts w:ascii="Arial" w:hAnsi="Arial" w:cs="Arial"/>
                <w:b/>
                <w:color w:val="000000" w:themeColor="text1"/>
                <w:sz w:val="20"/>
                <w:szCs w:val="20"/>
              </w:rPr>
            </w:pPr>
            <w:r w:rsidRPr="00993EFE">
              <w:rPr>
                <w:rFonts w:ascii="Arial" w:hAnsi="Arial" w:cs="Arial"/>
                <w:color w:val="000000" w:themeColor="text1"/>
                <w:sz w:val="20"/>
                <w:szCs w:val="20"/>
              </w:rPr>
              <w:t xml:space="preserve">You will not be paid or </w:t>
            </w:r>
            <w:r w:rsidRPr="008F3A5D">
              <w:rPr>
                <w:rFonts w:ascii="Arial" w:hAnsi="Arial" w:cs="Arial"/>
                <w:color w:val="000000" w:themeColor="text1"/>
                <w:sz w:val="20"/>
                <w:szCs w:val="20"/>
              </w:rPr>
              <w:t>reimbursed for participating.</w:t>
            </w:r>
            <w:r w:rsidRPr="008F3A5D">
              <w:rPr>
                <w:rFonts w:ascii="Arial" w:hAnsi="Arial" w:cs="Arial"/>
                <w:b/>
                <w:color w:val="000000" w:themeColor="text1"/>
                <w:sz w:val="20"/>
                <w:szCs w:val="20"/>
              </w:rPr>
              <w:t xml:space="preserve"> </w:t>
            </w:r>
          </w:p>
        </w:tc>
      </w:tr>
      <w:tr w:rsidR="00D22D47" w:rsidRPr="00174B75" w:rsidTr="00AF77C2">
        <w:trPr>
          <w:cantSplit/>
          <w:trHeight w:val="838"/>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Are there other benefits?</w:t>
            </w:r>
          </w:p>
        </w:tc>
        <w:tc>
          <w:tcPr>
            <w:tcW w:w="6987" w:type="dxa"/>
          </w:tcPr>
          <w:p w:rsidR="00D22D47" w:rsidRPr="008F3A5D" w:rsidRDefault="00D22D47" w:rsidP="00AF77C2">
            <w:pPr>
              <w:rPr>
                <w:rFonts w:ascii="Arial" w:eastAsia="Times New Roman" w:hAnsi="Arial" w:cs="Arial"/>
                <w:color w:val="000000" w:themeColor="text1"/>
                <w:sz w:val="20"/>
                <w:szCs w:val="20"/>
              </w:rPr>
            </w:pPr>
            <w:r w:rsidRPr="00993EFE">
              <w:rPr>
                <w:rFonts w:ascii="Arial" w:eastAsia="Times New Roman" w:hAnsi="Arial" w:cs="Arial"/>
                <w:color w:val="000000" w:themeColor="text1"/>
                <w:sz w:val="20"/>
                <w:szCs w:val="20"/>
              </w:rPr>
              <w:t xml:space="preserve">You will not receive any direct benefits for participating in this study. Your participation will help to inform research that may help others. </w:t>
            </w:r>
          </w:p>
        </w:tc>
      </w:tr>
      <w:tr w:rsidR="00D22D47" w:rsidRPr="00174B75" w:rsidTr="00AF77C2">
        <w:trPr>
          <w:cantSplit/>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Will my personal information be kept private?</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The study is anonymous. We will not be collecting</w:t>
            </w:r>
            <w:r w:rsidRPr="008F3A5D">
              <w:rPr>
                <w:rFonts w:ascii="Arial" w:hAnsi="Arial" w:cs="Arial"/>
                <w:color w:val="000000" w:themeColor="text1"/>
                <w:sz w:val="20"/>
                <w:szCs w:val="20"/>
              </w:rPr>
              <w:t xml:space="preserve"> or recording any personal identifiable information.  </w:t>
            </w: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r w:rsidRPr="008F3A5D">
              <w:rPr>
                <w:rFonts w:ascii="Arial" w:hAnsi="Arial" w:cs="Arial"/>
                <w:color w:val="000000" w:themeColor="text1"/>
                <w:sz w:val="20"/>
                <w:szCs w:val="20"/>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tc>
      </w:tr>
      <w:tr w:rsidR="00D22D47" w:rsidRPr="00174B75" w:rsidTr="00AF77C2">
        <w:trPr>
          <w:trHeight w:val="964"/>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Will I or anyone else receive study results?</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Results from this study may be presented in final reports, publications, and presentations. The results will be presented as summarized themes, aggregate </w:t>
            </w:r>
            <w:r w:rsidRPr="008F3A5D">
              <w:rPr>
                <w:rFonts w:ascii="Arial" w:hAnsi="Arial" w:cs="Arial"/>
                <w:color w:val="000000" w:themeColor="text1"/>
                <w:sz w:val="20"/>
                <w:szCs w:val="20"/>
              </w:rPr>
              <w:t xml:space="preserve">data, or anonymous quotes. </w:t>
            </w:r>
          </w:p>
        </w:tc>
      </w:tr>
      <w:tr w:rsidR="00D22D47" w:rsidRPr="00174B75" w:rsidTr="00AF77C2">
        <w:trPr>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 xml:space="preserve">Who can I talk to if I have more questions?  </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For questions about the research study, contact the principal investigator, Dr. Emily Haas at WCQ3@cdc.gov or (412) 386-4627.</w:t>
            </w: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r w:rsidRPr="008F3A5D">
              <w:rPr>
                <w:rFonts w:ascii="Arial" w:hAnsi="Arial" w:cs="Arial"/>
                <w:color w:val="000000" w:themeColor="text1"/>
                <w:sz w:val="20"/>
                <w:szCs w:val="20"/>
              </w:rPr>
              <w:t>For questions about your rights, your privacy, or harm to you, contact the Chair of the NIOSH Institutional Review Board (IRB) in the Human Research Protection Program at 513-533-8591.</w:t>
            </w:r>
          </w:p>
        </w:tc>
      </w:tr>
      <w:tr w:rsidR="00D22D47" w:rsidRPr="00174B75" w:rsidTr="00AF77C2">
        <w:trPr>
          <w:trHeight w:val="892"/>
          <w:tblCellSpacing w:w="7" w:type="dxa"/>
        </w:trPr>
        <w:tc>
          <w:tcPr>
            <w:tcW w:w="872" w:type="dxa"/>
          </w:tcPr>
          <w:p w:rsidR="00D22D47" w:rsidRPr="00AE18C3" w:rsidRDefault="00D22D47" w:rsidP="00D22D47">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D22D47" w:rsidRPr="00AE18C3" w:rsidRDefault="00D22D47"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 xml:space="preserve">Your </w:t>
            </w:r>
            <w:r>
              <w:rPr>
                <w:rFonts w:ascii="Arial" w:eastAsia="Times New Roman" w:hAnsi="Arial" w:cs="Arial"/>
                <w:b/>
                <w:bCs/>
                <w:color w:val="000000" w:themeColor="text1"/>
                <w:sz w:val="28"/>
                <w:szCs w:val="28"/>
              </w:rPr>
              <w:t>verbal consent</w:t>
            </w:r>
          </w:p>
        </w:tc>
        <w:tc>
          <w:tcPr>
            <w:tcW w:w="6987" w:type="dxa"/>
          </w:tcPr>
          <w:p w:rsidR="00D22D47" w:rsidRPr="008F3A5D" w:rsidRDefault="00D22D47"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Please verbally give your consent by saying “Yes” </w:t>
            </w:r>
            <w:r w:rsidRPr="008F3A5D">
              <w:rPr>
                <w:rFonts w:ascii="Arial" w:hAnsi="Arial" w:cs="Arial"/>
                <w:color w:val="000000" w:themeColor="text1"/>
                <w:sz w:val="20"/>
                <w:szCs w:val="20"/>
              </w:rPr>
              <w:t>if (1) the study has been explained to you, (2) your questions have been answered, and (3) you agree to participate in the study.</w:t>
            </w: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r w:rsidRPr="008F3A5D">
              <w:rPr>
                <w:rFonts w:ascii="Arial" w:hAnsi="Arial" w:cs="Arial"/>
                <w:color w:val="000000" w:themeColor="text1"/>
                <w:sz w:val="20"/>
                <w:szCs w:val="20"/>
              </w:rPr>
              <w:t xml:space="preserve">I understand that audio of the discussion may be recorded by the researcher to assist with the accuracy of your responses. These recordings will be kept by the researcher in a password protected file. I understand that only the research team will have access to these recordings and that they will be transcribed and destroyed within 12 months. </w:t>
            </w:r>
          </w:p>
          <w:p w:rsidR="00D22D47" w:rsidRPr="008F3A5D" w:rsidRDefault="00D22D47" w:rsidP="00AF77C2">
            <w:pPr>
              <w:rPr>
                <w:rFonts w:ascii="Arial" w:hAnsi="Arial" w:cs="Arial"/>
                <w:color w:val="000000" w:themeColor="text1"/>
                <w:sz w:val="20"/>
                <w:szCs w:val="20"/>
              </w:rPr>
            </w:pPr>
          </w:p>
          <w:p w:rsidR="00D22D47" w:rsidRPr="008F3A5D" w:rsidRDefault="00D22D47" w:rsidP="00AF77C2">
            <w:pPr>
              <w:rPr>
                <w:rFonts w:ascii="Arial" w:hAnsi="Arial" w:cs="Arial"/>
                <w:color w:val="000000" w:themeColor="text1"/>
                <w:sz w:val="20"/>
                <w:szCs w:val="20"/>
              </w:rPr>
            </w:pPr>
            <w:r w:rsidRPr="008F3A5D">
              <w:rPr>
                <w:rFonts w:ascii="Arial" w:hAnsi="Arial" w:cs="Arial"/>
                <w:color w:val="000000" w:themeColor="text1"/>
                <w:sz w:val="20"/>
                <w:szCs w:val="20"/>
              </w:rPr>
              <w:t xml:space="preserve">You have the right to refuse the audio recording. Please state “Yes” to consent to the audio recording or “No” to refuse.   </w:t>
            </w:r>
          </w:p>
        </w:tc>
      </w:tr>
    </w:tbl>
    <w:p w:rsidR="00D22D47" w:rsidRPr="00174B75" w:rsidRDefault="00D22D47" w:rsidP="00D22D47">
      <w:pPr>
        <w:autoSpaceDE w:val="0"/>
        <w:autoSpaceDN w:val="0"/>
        <w:adjustRightInd w:val="0"/>
        <w:spacing w:before="100" w:after="100" w:line="240" w:lineRule="auto"/>
        <w:rPr>
          <w:rFonts w:ascii="Arial" w:eastAsia="Times New Roman" w:hAnsi="Arial" w:cs="Arial"/>
          <w:b/>
          <w:bCs/>
          <w:color w:val="2F5496" w:themeColor="accent1" w:themeShade="BF"/>
          <w:sz w:val="20"/>
          <w:szCs w:val="20"/>
        </w:rPr>
      </w:pPr>
      <w:r>
        <w:rPr>
          <w:rFonts w:ascii="Arial" w:eastAsia="Times New Roman" w:hAnsi="Arial" w:cs="Arial"/>
          <w:b/>
          <w:bCs/>
          <w:color w:val="2F5496" w:themeColor="accent1" w:themeShade="BF"/>
          <w:sz w:val="20"/>
          <w:szCs w:val="20"/>
        </w:rPr>
        <w:t>Updated June 3, 2019</w:t>
      </w:r>
    </w:p>
    <w:p w:rsidR="00D22D47" w:rsidRDefault="00D22D47" w:rsidP="00D22D47">
      <w:pPr>
        <w:jc w:val="center"/>
        <w:rPr>
          <w:rFonts w:ascii="Times New Roman" w:hAnsi="Times New Roman" w:cs="Times New Roman"/>
          <w:sz w:val="24"/>
        </w:rPr>
      </w:pPr>
    </w:p>
    <w:p w:rsidR="00D22D47" w:rsidRDefault="00D22D47" w:rsidP="00D22D47">
      <w:pPr>
        <w:rPr>
          <w:rFonts w:ascii="Times New Roman" w:hAnsi="Times New Roman" w:cs="Times New Roman"/>
        </w:rPr>
      </w:pPr>
    </w:p>
    <w:p w:rsidR="00FC70C6" w:rsidRDefault="00FC70C6"/>
    <w:sectPr w:rsidR="00FC70C6" w:rsidSect="0043506D">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785"/>
    <w:multiLevelType w:val="hybridMultilevel"/>
    <w:tmpl w:val="92380DE8"/>
    <w:lvl w:ilvl="0" w:tplc="8C44B970">
      <w:start w:val="1"/>
      <w:numFmt w:val="decimal"/>
      <w:lvlText w:val="%1"/>
      <w:lvlJc w:val="center"/>
      <w:pPr>
        <w:ind w:left="77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47"/>
    <w:rsid w:val="008D4FE2"/>
    <w:rsid w:val="00D22D4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D47"/>
    <w:rPr>
      <w:color w:val="0563C1" w:themeColor="hyperlink"/>
      <w:u w:val="single"/>
    </w:rPr>
  </w:style>
  <w:style w:type="table" w:styleId="TableGrid">
    <w:name w:val="Table Grid"/>
    <w:basedOn w:val="TableNormal"/>
    <w:uiPriority w:val="59"/>
    <w:rsid w:val="00D2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D47"/>
    <w:pPr>
      <w:ind w:left="720"/>
      <w:contextualSpacing/>
    </w:pPr>
  </w:style>
  <w:style w:type="paragraph" w:styleId="BalloonText">
    <w:name w:val="Balloon Text"/>
    <w:basedOn w:val="Normal"/>
    <w:link w:val="BalloonTextChar"/>
    <w:uiPriority w:val="99"/>
    <w:semiHidden/>
    <w:unhideWhenUsed/>
    <w:rsid w:val="00D22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D47"/>
    <w:rPr>
      <w:color w:val="0563C1" w:themeColor="hyperlink"/>
      <w:u w:val="single"/>
    </w:rPr>
  </w:style>
  <w:style w:type="table" w:styleId="TableGrid">
    <w:name w:val="Table Grid"/>
    <w:basedOn w:val="TableNormal"/>
    <w:uiPriority w:val="59"/>
    <w:rsid w:val="00D2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D47"/>
    <w:pPr>
      <w:ind w:left="720"/>
      <w:contextualSpacing/>
    </w:pPr>
  </w:style>
  <w:style w:type="paragraph" w:styleId="BalloonText">
    <w:name w:val="Balloon Text"/>
    <w:basedOn w:val="Normal"/>
    <w:link w:val="BalloonTextChar"/>
    <w:uiPriority w:val="99"/>
    <w:semiHidden/>
    <w:unhideWhenUsed/>
    <w:rsid w:val="00D22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about/agencies/ogc/key-personnel/general-law-division/index.html"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2019-11-07T16:22:00Z</dcterms:created>
  <dcterms:modified xsi:type="dcterms:W3CDTF">2019-11-07T16:22:00Z</dcterms:modified>
</cp:coreProperties>
</file>