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08765F" w14:textId="77777777" w:rsidR="00B46F2C" w:rsidRPr="00B372FB" w:rsidRDefault="00B46F2C" w:rsidP="00F06866">
      <w:pPr>
        <w:pStyle w:val="Heading2"/>
        <w:tabs>
          <w:tab w:val="left" w:pos="900"/>
        </w:tabs>
        <w:ind w:right="-180"/>
        <w:rPr>
          <w:rFonts w:ascii="Arial" w:hAnsi="Arial" w:cs="Arial"/>
          <w:b/>
          <w:sz w:val="24"/>
          <w:szCs w:val="24"/>
        </w:rPr>
      </w:pPr>
      <w:bookmarkStart w:id="0" w:name="_GoBack"/>
      <w:bookmarkEnd w:id="0"/>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14:paraId="11B206DC" w14:textId="77777777" w:rsidR="00EA2C4C" w:rsidRPr="00B372FB" w:rsidRDefault="00EA2C4C" w:rsidP="00EA2C4C">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14:paraId="75BDF26C" w14:textId="5FFE6CD4" w:rsidR="00EA2C4C" w:rsidRPr="00B372FB" w:rsidRDefault="00EA2C4C" w:rsidP="00EA2C4C">
      <w:pPr>
        <w:jc w:val="center"/>
        <w:rPr>
          <w:rFonts w:ascii="Arial" w:hAnsi="Arial" w:cs="Arial"/>
          <w:b/>
          <w:sz w:val="24"/>
          <w:szCs w:val="24"/>
        </w:rPr>
      </w:pPr>
      <w:r w:rsidRPr="00B372FB">
        <w:rPr>
          <w:rFonts w:ascii="Arial" w:hAnsi="Arial" w:cs="Arial"/>
          <w:b/>
          <w:sz w:val="24"/>
          <w:szCs w:val="24"/>
        </w:rPr>
        <w:t>0920-</w:t>
      </w:r>
      <w:r w:rsidR="001667D2">
        <w:rPr>
          <w:rFonts w:ascii="Arial" w:hAnsi="Arial" w:cs="Arial"/>
          <w:b/>
          <w:sz w:val="24"/>
          <w:szCs w:val="24"/>
        </w:rPr>
        <w:t>1154</w:t>
      </w:r>
    </w:p>
    <w:p w14:paraId="130A0489" w14:textId="7399C29F" w:rsidR="00B372FB" w:rsidRDefault="00E2594A" w:rsidP="00434E33">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14:anchorId="4ED96CD5" wp14:editId="0631009F">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85F7248"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372FB">
        <w:rPr>
          <w:rFonts w:ascii="Arial" w:hAnsi="Arial"/>
          <w:b/>
        </w:rPr>
        <w:t>CIO:</w:t>
      </w:r>
      <w:r w:rsidR="00170AC8">
        <w:rPr>
          <w:rFonts w:ascii="Arial" w:hAnsi="Arial"/>
          <w:b/>
        </w:rPr>
        <w:t xml:space="preserve"> CDC/NIOSH/</w:t>
      </w:r>
      <w:r w:rsidR="005552BE">
        <w:rPr>
          <w:rFonts w:ascii="Arial" w:hAnsi="Arial"/>
          <w:b/>
        </w:rPr>
        <w:t>DFSE</w:t>
      </w:r>
    </w:p>
    <w:p w14:paraId="025CB372" w14:textId="664565EC" w:rsidR="00B46F2C" w:rsidRPr="00B372FB" w:rsidRDefault="00B372FB" w:rsidP="00434E33">
      <w:pPr>
        <w:rPr>
          <w:rFonts w:ascii="Arial" w:hAnsi="Arial"/>
          <w:b/>
        </w:rPr>
      </w:pPr>
      <w:r>
        <w:rPr>
          <w:rFonts w:ascii="Arial" w:hAnsi="Arial"/>
          <w:b/>
        </w:rPr>
        <w:t>PROJECT TITLE:</w:t>
      </w:r>
      <w:r w:rsidR="00B46F2C" w:rsidRPr="00B372FB">
        <w:rPr>
          <w:rFonts w:ascii="Arial" w:hAnsi="Arial"/>
        </w:rPr>
        <w:t xml:space="preserve"> </w:t>
      </w:r>
      <w:r w:rsidR="005552BE" w:rsidRPr="005552BE">
        <w:rPr>
          <w:rFonts w:ascii="Arial" w:hAnsi="Arial"/>
        </w:rPr>
        <w:t>Determination of Attitudes Regarding Noise in Construction</w:t>
      </w:r>
    </w:p>
    <w:p w14:paraId="31C1DFE5" w14:textId="106A0C54" w:rsidR="00E22C5A" w:rsidRPr="00DD0C0A" w:rsidRDefault="00B46F2C" w:rsidP="00E22C5A">
      <w:r w:rsidRPr="00B372FB">
        <w:rPr>
          <w:rFonts w:ascii="Arial" w:hAnsi="Arial"/>
          <w:b/>
        </w:rPr>
        <w:t>PURPOSE</w:t>
      </w:r>
      <w:r w:rsidR="00A13253">
        <w:rPr>
          <w:rFonts w:ascii="Arial" w:hAnsi="Arial"/>
          <w:b/>
        </w:rPr>
        <w:t xml:space="preserve"> AND USE OF COLLECTION</w:t>
      </w:r>
      <w:r w:rsidRPr="00B372FB">
        <w:rPr>
          <w:rFonts w:ascii="Arial" w:hAnsi="Arial"/>
          <w:b/>
        </w:rPr>
        <w:t>:</w:t>
      </w:r>
      <w:r w:rsidR="00170AC8">
        <w:rPr>
          <w:rFonts w:ascii="Arial" w:hAnsi="Arial"/>
          <w:b/>
        </w:rPr>
        <w:t xml:space="preserve"> </w:t>
      </w:r>
      <w:r w:rsidR="00E22C5A">
        <w:t xml:space="preserve">National Institute for Occupational Safety and Health (NIOSH) </w:t>
      </w:r>
      <w:r w:rsidR="00E22C5A" w:rsidRPr="00022A54">
        <w:t xml:space="preserve">requests </w:t>
      </w:r>
      <w:r w:rsidR="00E22C5A">
        <w:t xml:space="preserve">a 1-year approval for </w:t>
      </w:r>
      <w:bookmarkStart w:id="1" w:name="OLE_LINK1"/>
      <w:bookmarkStart w:id="2" w:name="OLE_LINK2"/>
      <w:r w:rsidR="00E22C5A">
        <w:t>a g</w:t>
      </w:r>
      <w:r w:rsidR="00E22C5A" w:rsidRPr="00022A54">
        <w:t>eneric information collection</w:t>
      </w:r>
      <w:r w:rsidR="00E22C5A">
        <w:t xml:space="preserve"> titled</w:t>
      </w:r>
      <w:r w:rsidR="00E22C5A" w:rsidRPr="00945B8E">
        <w:t xml:space="preserve"> </w:t>
      </w:r>
      <w:r w:rsidR="00E22C5A" w:rsidRPr="00EF2F9E">
        <w:t>Determination of Attitudes Regarding Noise in Construction</w:t>
      </w:r>
      <w:r w:rsidR="00E22C5A">
        <w:t>. The information collection</w:t>
      </w:r>
      <w:r w:rsidR="00E22C5A" w:rsidRPr="00022A54">
        <w:t xml:space="preserve"> support</w:t>
      </w:r>
      <w:r w:rsidR="00E22C5A">
        <w:t>s</w:t>
      </w:r>
      <w:r w:rsidR="00E22C5A" w:rsidRPr="00022A54">
        <w:t xml:space="preserve"> </w:t>
      </w:r>
      <w:bookmarkEnd w:id="1"/>
      <w:bookmarkEnd w:id="2"/>
      <w:r w:rsidR="00E22C5A">
        <w:t>an already-awarded contract with Hannon Group, LLC to conduct a marketing study aimed at improving attitudes about workplace noise on construction sites.  This project will ultimately encourage the use of noise controls and other best practices to protect workers from workplace noise.</w:t>
      </w:r>
      <w:r w:rsidR="00E22C5A" w:rsidRPr="00E22C5A">
        <w:t xml:space="preserve"> </w:t>
      </w:r>
      <w:r w:rsidR="00E22C5A" w:rsidRPr="00DD0C0A">
        <w:t xml:space="preserve">The purpose and use of </w:t>
      </w:r>
      <w:r w:rsidR="00E22C5A">
        <w:t xml:space="preserve">this </w:t>
      </w:r>
      <w:r w:rsidR="00E22C5A" w:rsidRPr="00DD0C0A">
        <w:t>information collection are for the contractor</w:t>
      </w:r>
      <w:r w:rsidR="00E22C5A">
        <w:t>, Hannon Group, LLC</w:t>
      </w:r>
      <w:r w:rsidR="00E22C5A" w:rsidRPr="00DD0C0A">
        <w:t xml:space="preserve"> to assist and advise NIOSH project officers in:</w:t>
      </w:r>
    </w:p>
    <w:p w14:paraId="75B72543" w14:textId="77777777" w:rsidR="00E22C5A" w:rsidRPr="00DD0C0A" w:rsidRDefault="00E22C5A" w:rsidP="00E22C5A">
      <w:pPr>
        <w:numPr>
          <w:ilvl w:val="0"/>
          <w:numId w:val="21"/>
        </w:numPr>
        <w:spacing w:after="120" w:line="240" w:lineRule="auto"/>
        <w:ind w:left="720"/>
      </w:pPr>
      <w:r w:rsidRPr="00DD0C0A">
        <w:t>Enhancing awareness of construction site noise as a worker health issue (the primary goal)</w:t>
      </w:r>
    </w:p>
    <w:p w14:paraId="0E1D69B6" w14:textId="77777777" w:rsidR="00E22C5A" w:rsidRPr="00DD0C0A" w:rsidRDefault="00E22C5A" w:rsidP="00E22C5A">
      <w:pPr>
        <w:numPr>
          <w:ilvl w:val="0"/>
          <w:numId w:val="21"/>
        </w:numPr>
        <w:spacing w:after="120" w:line="240" w:lineRule="auto"/>
        <w:ind w:left="720"/>
      </w:pPr>
      <w:r w:rsidRPr="00DD0C0A">
        <w:t>Increasing concern about, and commitment to protecting, worker hearing health</w:t>
      </w:r>
    </w:p>
    <w:p w14:paraId="196D3406" w14:textId="77777777" w:rsidR="00E22C5A" w:rsidRPr="00DD0C0A" w:rsidRDefault="00E22C5A" w:rsidP="00E22C5A">
      <w:pPr>
        <w:numPr>
          <w:ilvl w:val="0"/>
          <w:numId w:val="21"/>
        </w:numPr>
        <w:spacing w:after="120" w:line="240" w:lineRule="auto"/>
        <w:ind w:left="720"/>
      </w:pPr>
      <w:r w:rsidRPr="00DD0C0A">
        <w:t>Improving regular and correct use of hearing protection by construction workers</w:t>
      </w:r>
    </w:p>
    <w:p w14:paraId="5A2A16F2" w14:textId="0653E449" w:rsidR="00E22C5A" w:rsidRPr="00DD0C0A" w:rsidRDefault="00E22C5A" w:rsidP="00E22C5A">
      <w:pPr>
        <w:numPr>
          <w:ilvl w:val="0"/>
          <w:numId w:val="21"/>
        </w:numPr>
        <w:spacing w:after="120" w:line="240" w:lineRule="auto"/>
        <w:ind w:left="720"/>
      </w:pPr>
      <w:r w:rsidRPr="00DD0C0A">
        <w:t>Facilitating greater interest in and action around “engineering out” noise in the construction</w:t>
      </w:r>
      <w:r>
        <w:t xml:space="preserve"> </w:t>
      </w:r>
      <w:r w:rsidRPr="00DD0C0A">
        <w:t>environment</w:t>
      </w:r>
    </w:p>
    <w:p w14:paraId="1BBF2E90" w14:textId="77777777" w:rsidR="00E22C5A" w:rsidRDefault="00E22C5A" w:rsidP="00E22C5A">
      <w:pPr>
        <w:numPr>
          <w:ilvl w:val="0"/>
          <w:numId w:val="21"/>
        </w:numPr>
        <w:spacing w:after="120" w:line="240" w:lineRule="auto"/>
        <w:ind w:left="720"/>
      </w:pPr>
      <w:r w:rsidRPr="00DD0C0A">
        <w:t>Facilitating greater interest in and action around buying and using quieter construction equipment/tools</w:t>
      </w:r>
    </w:p>
    <w:p w14:paraId="1052355F" w14:textId="77777777" w:rsidR="00E22C5A" w:rsidRDefault="00E22C5A" w:rsidP="00E22C5A">
      <w:pPr>
        <w:spacing w:after="0"/>
      </w:pPr>
    </w:p>
    <w:p w14:paraId="395CCE51" w14:textId="454C046A" w:rsidR="00B46F2C" w:rsidRPr="00170AC8" w:rsidRDefault="00B46F2C" w:rsidP="00E22C5A">
      <w:pPr>
        <w:rPr>
          <w:rFonts w:ascii="Arial" w:hAnsi="Arial"/>
        </w:rPr>
      </w:pPr>
    </w:p>
    <w:p w14:paraId="3863D238" w14:textId="1C112C1C" w:rsidR="00840FCA" w:rsidRDefault="00B46F2C" w:rsidP="00840FCA">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14:paraId="493ADFCD" w14:textId="77777777" w:rsidR="00E22C5A" w:rsidRPr="00E22C5A" w:rsidRDefault="00E22C5A" w:rsidP="00E22C5A">
      <w:pPr>
        <w:pStyle w:val="Header"/>
        <w:rPr>
          <w:rFonts w:ascii="Arial" w:hAnsi="Arial"/>
        </w:rPr>
      </w:pPr>
      <w:r w:rsidRPr="00E22C5A">
        <w:rPr>
          <w:rFonts w:ascii="Arial" w:hAnsi="Arial"/>
        </w:rPr>
        <w:t xml:space="preserve">The respondent universe </w:t>
      </w:r>
      <w:r w:rsidRPr="00E22C5A">
        <w:rPr>
          <w:rFonts w:ascii="Arial" w:hAnsi="Arial"/>
          <w:i/>
        </w:rPr>
        <w:t>Group A</w:t>
      </w:r>
      <w:r w:rsidRPr="00E22C5A">
        <w:rPr>
          <w:rFonts w:ascii="Arial" w:hAnsi="Arial"/>
        </w:rPr>
        <w:t xml:space="preserve">:  Construction Company Owners/Senior Executives and Equipment Purchasing Decision-Makers; </w:t>
      </w:r>
      <w:r w:rsidRPr="00E22C5A">
        <w:rPr>
          <w:rFonts w:ascii="Arial" w:hAnsi="Arial"/>
          <w:i/>
        </w:rPr>
        <w:t>Group B</w:t>
      </w:r>
      <w:r w:rsidRPr="00E22C5A">
        <w:rPr>
          <w:rFonts w:ascii="Arial" w:hAnsi="Arial"/>
        </w:rPr>
        <w:t xml:space="preserve">:  Construction Supervisor/Foremen; and </w:t>
      </w:r>
      <w:r w:rsidRPr="00E22C5A">
        <w:rPr>
          <w:rFonts w:ascii="Arial" w:hAnsi="Arial"/>
          <w:i/>
        </w:rPr>
        <w:t>Group C</w:t>
      </w:r>
      <w:r w:rsidRPr="00E22C5A">
        <w:rPr>
          <w:rFonts w:ascii="Arial" w:hAnsi="Arial"/>
        </w:rPr>
        <w:t xml:space="preserve">: Construction Workers. </w:t>
      </w:r>
    </w:p>
    <w:p w14:paraId="1B2F6593" w14:textId="77777777" w:rsidR="00E22C5A" w:rsidRPr="00E22C5A" w:rsidRDefault="00E22C5A" w:rsidP="00E22C5A">
      <w:pPr>
        <w:pStyle w:val="Header"/>
        <w:rPr>
          <w:rFonts w:ascii="Arial" w:hAnsi="Arial"/>
        </w:rPr>
      </w:pPr>
      <w:r w:rsidRPr="00E22C5A">
        <w:rPr>
          <w:rFonts w:ascii="Arial" w:hAnsi="Arial"/>
        </w:rPr>
        <w:t xml:space="preserve">In total, there will be four focus group transcripts developed by The Hannon Group.  The two English-language focus groups (one Supervisor/Foremen focus group and one Construction worker focus group) will be in English.  For the two Spanish-language focus groups with Construction Workers, those Spanish-language transcripts will be back-translated into English.  </w:t>
      </w:r>
    </w:p>
    <w:p w14:paraId="0458746D" w14:textId="77777777" w:rsidR="00E22C5A" w:rsidRPr="00E22C5A" w:rsidRDefault="00E22C5A" w:rsidP="00E22C5A">
      <w:pPr>
        <w:pStyle w:val="Header"/>
        <w:rPr>
          <w:rFonts w:ascii="Arial" w:hAnsi="Arial"/>
        </w:rPr>
      </w:pPr>
      <w:r w:rsidRPr="00E22C5A">
        <w:rPr>
          <w:rFonts w:ascii="Arial" w:hAnsi="Arial"/>
        </w:rPr>
        <w:t>There will be a total of 20 In-Depth Interview transcripts, 10 with Construction Company Owners/Senior Executives and 10 with Construction Company Equipment Purchasing Decision-Makers.  All of these transcripts will be in English.</w:t>
      </w:r>
    </w:p>
    <w:p w14:paraId="507719AB" w14:textId="533CE0FD" w:rsidR="00E22C5A" w:rsidRPr="00E22C5A" w:rsidRDefault="00E22C5A" w:rsidP="00E22C5A">
      <w:pPr>
        <w:pStyle w:val="Header"/>
        <w:rPr>
          <w:rFonts w:ascii="Arial" w:hAnsi="Arial"/>
        </w:rPr>
      </w:pPr>
      <w:r w:rsidRPr="00E22C5A">
        <w:rPr>
          <w:rFonts w:ascii="Arial" w:hAnsi="Arial"/>
        </w:rPr>
        <w:t>The information collected by The Hannon Group will be delivered to NIOSH in the form of the written focus group and In-Depth Interview transcripts as well as a written final report and via verbal teleconferences.</w:t>
      </w:r>
    </w:p>
    <w:p w14:paraId="59D5F2E1" w14:textId="7FD3913A" w:rsidR="00E22C5A" w:rsidRDefault="00E22C5A" w:rsidP="00840FCA">
      <w:pPr>
        <w:pStyle w:val="Header"/>
        <w:tabs>
          <w:tab w:val="clear" w:pos="4320"/>
          <w:tab w:val="clear" w:pos="8640"/>
        </w:tabs>
        <w:rPr>
          <w:rFonts w:ascii="Arial" w:hAnsi="Arial"/>
        </w:rPr>
      </w:pPr>
    </w:p>
    <w:p w14:paraId="7277690F" w14:textId="77777777" w:rsidR="00E22C5A" w:rsidRPr="00B372FB" w:rsidRDefault="00E22C5A" w:rsidP="00840FCA">
      <w:pPr>
        <w:pStyle w:val="Header"/>
        <w:tabs>
          <w:tab w:val="clear" w:pos="4320"/>
          <w:tab w:val="clear" w:pos="8640"/>
        </w:tabs>
        <w:rPr>
          <w:rFonts w:ascii="Arial" w:hAnsi="Arial"/>
        </w:rPr>
      </w:pPr>
    </w:p>
    <w:p w14:paraId="3E834F18" w14:textId="77777777" w:rsidR="002F2EF9" w:rsidRDefault="00B46F2C" w:rsidP="008101A5">
      <w:pPr>
        <w:rPr>
          <w:rFonts w:ascii="Arial" w:hAnsi="Arial"/>
          <w:b/>
        </w:rPr>
      </w:pPr>
      <w:r w:rsidRPr="00B372FB">
        <w:rPr>
          <w:rFonts w:ascii="Arial" w:hAnsi="Arial"/>
          <w:b/>
        </w:rPr>
        <w:t>CERTIFICATION:</w:t>
      </w:r>
      <w:r w:rsidR="002F2EF9">
        <w:rPr>
          <w:rFonts w:ascii="Arial" w:hAnsi="Arial"/>
          <w:b/>
        </w:rPr>
        <w:t xml:space="preserve"> </w:t>
      </w:r>
    </w:p>
    <w:p w14:paraId="4E7E1586" w14:textId="77777777" w:rsidR="00B46F2C" w:rsidRPr="00B372FB" w:rsidRDefault="00B46F2C" w:rsidP="008101A5">
      <w:pPr>
        <w:rPr>
          <w:rFonts w:ascii="Arial" w:hAnsi="Arial"/>
        </w:rPr>
      </w:pPr>
      <w:r w:rsidRPr="00B372FB">
        <w:rPr>
          <w:rFonts w:ascii="Arial" w:hAnsi="Arial"/>
        </w:rPr>
        <w:t xml:space="preserve">I certify the following to be true: </w:t>
      </w:r>
    </w:p>
    <w:p w14:paraId="560C8C4C" w14:textId="77777777" w:rsidR="00B46F2C" w:rsidRPr="00B372FB" w:rsidRDefault="00B46F2C" w:rsidP="008101A5">
      <w:pPr>
        <w:pStyle w:val="ListParagraph"/>
        <w:numPr>
          <w:ilvl w:val="0"/>
          <w:numId w:val="14"/>
        </w:numPr>
        <w:rPr>
          <w:rFonts w:ascii="Arial" w:hAnsi="Arial"/>
        </w:rPr>
      </w:pPr>
      <w:r w:rsidRPr="00B372FB">
        <w:rPr>
          <w:rFonts w:ascii="Arial" w:hAnsi="Arial"/>
        </w:rPr>
        <w:t xml:space="preserve">The collection is voluntary. </w:t>
      </w:r>
    </w:p>
    <w:p w14:paraId="3A6F188D" w14:textId="77777777" w:rsidR="00B46F2C" w:rsidRPr="00B372FB" w:rsidRDefault="00B46F2C" w:rsidP="008101A5">
      <w:pPr>
        <w:pStyle w:val="ListParagraph"/>
        <w:numPr>
          <w:ilvl w:val="0"/>
          <w:numId w:val="14"/>
        </w:numPr>
        <w:rPr>
          <w:rFonts w:ascii="Arial" w:hAnsi="Arial"/>
        </w:rPr>
      </w:pPr>
      <w:r w:rsidRPr="00B372FB">
        <w:rPr>
          <w:rFonts w:ascii="Arial" w:hAnsi="Arial"/>
        </w:rPr>
        <w:t>The collection is low-burden for respondents and low-cost for the Federal Government.</w:t>
      </w:r>
    </w:p>
    <w:p w14:paraId="530DA400" w14:textId="77777777" w:rsidR="00B46F2C" w:rsidRPr="00846B36" w:rsidRDefault="00B46F2C" w:rsidP="00A07294">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14:paraId="4D59787A" w14:textId="77777777" w:rsidR="00B46F2C" w:rsidRPr="00B372FB" w:rsidRDefault="00B46F2C" w:rsidP="008101A5">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00B372FB" w:rsidRPr="002F2EF9">
        <w:rPr>
          <w:rFonts w:ascii="Arial" w:hAnsi="Arial"/>
        </w:rPr>
        <w:t xml:space="preserve"> </w:t>
      </w:r>
      <w:r w:rsidRPr="002F2EF9">
        <w:rPr>
          <w:rFonts w:ascii="Arial" w:hAnsi="Arial"/>
        </w:rPr>
        <w:t>policy d</w:t>
      </w:r>
      <w:r w:rsidRPr="00B372FB">
        <w:rPr>
          <w:rFonts w:ascii="Arial" w:hAnsi="Arial"/>
        </w:rPr>
        <w:t xml:space="preserve">ecisions. </w:t>
      </w:r>
    </w:p>
    <w:p w14:paraId="7C6FD069" w14:textId="77777777" w:rsidR="00B46F2C" w:rsidRPr="00B372FB" w:rsidRDefault="00B372FB" w:rsidP="008101A5">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14:paraId="689B4228" w14:textId="44CDF183" w:rsidR="00B46F2C" w:rsidRPr="00B372FB" w:rsidRDefault="00B46F2C" w:rsidP="009C13B9">
      <w:pPr>
        <w:rPr>
          <w:rFonts w:ascii="Arial" w:hAnsi="Arial"/>
        </w:rPr>
      </w:pPr>
      <w:r w:rsidRPr="00B372FB">
        <w:rPr>
          <w:rFonts w:ascii="Arial" w:hAnsi="Arial"/>
        </w:rPr>
        <w:t>Name:</w:t>
      </w:r>
      <w:r w:rsidR="00B32078">
        <w:rPr>
          <w:rFonts w:ascii="Arial" w:hAnsi="Arial"/>
        </w:rPr>
        <w:t xml:space="preserve"> </w:t>
      </w:r>
      <w:r w:rsidRPr="00B372FB">
        <w:rPr>
          <w:rFonts w:ascii="Arial" w:hAnsi="Arial"/>
        </w:rPr>
        <w:t>_</w:t>
      </w:r>
      <w:r w:rsidR="00EA3CC3" w:rsidRPr="00EA3CC3">
        <w:t xml:space="preserve"> </w:t>
      </w:r>
      <w:r w:rsidR="00E22C5A">
        <w:rPr>
          <w:rFonts w:ascii="Arial" w:hAnsi="Arial"/>
        </w:rPr>
        <w:t>Bryan Beamer</w:t>
      </w:r>
      <w:r w:rsidR="00EA3CC3" w:rsidRPr="00EA3CC3">
        <w:rPr>
          <w:rFonts w:ascii="Arial" w:hAnsi="Arial"/>
        </w:rPr>
        <w:t xml:space="preserve"> </w:t>
      </w:r>
      <w:r w:rsidRPr="00B372FB">
        <w:rPr>
          <w:rFonts w:ascii="Arial" w:hAnsi="Arial"/>
        </w:rPr>
        <w:t>___________________</w:t>
      </w:r>
    </w:p>
    <w:p w14:paraId="2745D5AB" w14:textId="77777777" w:rsidR="00B46F2C" w:rsidRPr="00B372FB" w:rsidRDefault="00B46F2C" w:rsidP="009C13B9">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14:paraId="3D22D27E" w14:textId="77777777" w:rsidR="00B46F2C" w:rsidRPr="00B372FB" w:rsidRDefault="00B46F2C" w:rsidP="00C86E91">
      <w:pPr>
        <w:rPr>
          <w:rFonts w:ascii="Arial" w:hAnsi="Arial"/>
          <w:b/>
        </w:rPr>
      </w:pPr>
      <w:r w:rsidRPr="00B372FB">
        <w:rPr>
          <w:rFonts w:ascii="Arial" w:hAnsi="Arial"/>
          <w:b/>
        </w:rPr>
        <w:t>Personally Identifiable Information:</w:t>
      </w:r>
    </w:p>
    <w:p w14:paraId="7BF20FA6" w14:textId="3BD64163" w:rsidR="00B46F2C" w:rsidRPr="00B372FB" w:rsidRDefault="00B46F2C" w:rsidP="00C86E91">
      <w:pPr>
        <w:pStyle w:val="ListParagraph"/>
        <w:numPr>
          <w:ilvl w:val="0"/>
          <w:numId w:val="18"/>
        </w:numPr>
        <w:rPr>
          <w:rFonts w:ascii="Arial" w:hAnsi="Arial"/>
        </w:rPr>
      </w:pPr>
      <w:r w:rsidRPr="00B372FB">
        <w:rPr>
          <w:rFonts w:ascii="Arial" w:hAnsi="Arial"/>
        </w:rPr>
        <w:t xml:space="preserve">Is personally identifiable information (PII) collected?  [  ] Yes  [ </w:t>
      </w:r>
      <w:r w:rsidR="00EA3CC3">
        <w:rPr>
          <w:rFonts w:ascii="Arial" w:hAnsi="Arial"/>
        </w:rPr>
        <w:t>X</w:t>
      </w:r>
      <w:r w:rsidR="00303F23">
        <w:rPr>
          <w:rFonts w:ascii="Arial" w:hAnsi="Arial"/>
        </w:rPr>
        <w:t xml:space="preserve"> </w:t>
      </w:r>
      <w:r w:rsidRPr="00B372FB">
        <w:rPr>
          <w:rFonts w:ascii="Arial" w:hAnsi="Arial"/>
        </w:rPr>
        <w:t xml:space="preserve">]  No </w:t>
      </w:r>
    </w:p>
    <w:p w14:paraId="104F5861" w14:textId="524C5055" w:rsidR="00B46F2C" w:rsidRPr="00B372FB" w:rsidRDefault="00B46F2C" w:rsidP="00C86E91">
      <w:pPr>
        <w:pStyle w:val="ListParagraph"/>
        <w:numPr>
          <w:ilvl w:val="0"/>
          <w:numId w:val="18"/>
        </w:numPr>
        <w:rPr>
          <w:rFonts w:ascii="Arial" w:hAnsi="Arial"/>
        </w:rPr>
      </w:pPr>
      <w:r w:rsidRPr="00B372FB">
        <w:rPr>
          <w:rFonts w:ascii="Arial" w:hAnsi="Arial"/>
        </w:rPr>
        <w:t>If Yes, is the information that will be collected included in records that are subject to the Privacy Act of 1974?   [</w:t>
      </w:r>
      <w:r w:rsidR="003263B4">
        <w:rPr>
          <w:rFonts w:ascii="Arial" w:hAnsi="Arial"/>
        </w:rPr>
        <w:t xml:space="preserve">  </w:t>
      </w:r>
      <w:r w:rsidRPr="00B372FB">
        <w:rPr>
          <w:rFonts w:ascii="Arial" w:hAnsi="Arial"/>
        </w:rPr>
        <w:t xml:space="preserve">] Yes [  ] No  </w:t>
      </w:r>
    </w:p>
    <w:p w14:paraId="4EFE4B7E" w14:textId="2C95C9C8" w:rsidR="00B46F2C" w:rsidRPr="00B372FB" w:rsidRDefault="00B46F2C" w:rsidP="00C86E91">
      <w:pPr>
        <w:pStyle w:val="ListParagraph"/>
        <w:numPr>
          <w:ilvl w:val="0"/>
          <w:numId w:val="18"/>
        </w:numPr>
        <w:rPr>
          <w:rFonts w:ascii="Arial" w:hAnsi="Arial"/>
        </w:rPr>
      </w:pPr>
      <w:r w:rsidRPr="00B372FB">
        <w:rPr>
          <w:rFonts w:ascii="Arial" w:hAnsi="Arial"/>
        </w:rPr>
        <w:t>If Applicable, has a System or Records Notice been published?  [  ] Yes  [  ] No</w:t>
      </w:r>
    </w:p>
    <w:p w14:paraId="0CA2FAD7" w14:textId="77777777" w:rsidR="00E55CAE" w:rsidRDefault="00E55CAE" w:rsidP="00C86E91">
      <w:pPr>
        <w:pStyle w:val="ListParagraph"/>
        <w:ind w:left="0"/>
        <w:rPr>
          <w:rFonts w:ascii="Arial" w:hAnsi="Arial"/>
          <w:b/>
        </w:rPr>
      </w:pPr>
    </w:p>
    <w:p w14:paraId="637DCA51" w14:textId="77777777" w:rsidR="00B46F2C" w:rsidRPr="00B372FB" w:rsidRDefault="00B46F2C" w:rsidP="00C86E91">
      <w:pPr>
        <w:pStyle w:val="ListParagraph"/>
        <w:ind w:left="0"/>
        <w:rPr>
          <w:rFonts w:ascii="Arial" w:hAnsi="Arial"/>
          <w:b/>
        </w:rPr>
      </w:pPr>
      <w:r w:rsidRPr="00B372FB">
        <w:rPr>
          <w:rFonts w:ascii="Arial" w:hAnsi="Arial"/>
          <w:b/>
        </w:rPr>
        <w:t>Gifts or Payments:</w:t>
      </w:r>
    </w:p>
    <w:p w14:paraId="516081C7" w14:textId="1E2E5589" w:rsidR="00F4158F" w:rsidRDefault="00B46F2C" w:rsidP="00C86E91">
      <w:pPr>
        <w:rPr>
          <w:rFonts w:ascii="Arial" w:hAnsi="Arial"/>
        </w:rPr>
      </w:pPr>
      <w:r w:rsidRPr="00B372FB">
        <w:rPr>
          <w:rFonts w:ascii="Arial" w:hAnsi="Arial"/>
        </w:rPr>
        <w:t>Is an incentive (e.g., money or reimbursement of expenses, token of appreciation) provided to participants?  [</w:t>
      </w:r>
      <w:r w:rsidR="004861A1">
        <w:rPr>
          <w:rFonts w:ascii="Arial" w:hAnsi="Arial"/>
        </w:rPr>
        <w:t>X</w:t>
      </w:r>
      <w:r w:rsidRPr="00B372FB">
        <w:rPr>
          <w:rFonts w:ascii="Arial" w:hAnsi="Arial"/>
        </w:rPr>
        <w:t xml:space="preserve"> ] Yes [  ] No</w:t>
      </w:r>
    </w:p>
    <w:p w14:paraId="6E86D694" w14:textId="0FC0A493" w:rsidR="00177BC6" w:rsidRPr="00177BC6" w:rsidRDefault="00177BC6" w:rsidP="00177BC6">
      <w:pPr>
        <w:rPr>
          <w:rFonts w:ascii="Arial" w:hAnsi="Arial"/>
        </w:rPr>
      </w:pPr>
      <w:r w:rsidRPr="00177BC6">
        <w:rPr>
          <w:rFonts w:ascii="Arial" w:hAnsi="Arial"/>
        </w:rPr>
        <w:t>•</w:t>
      </w:r>
      <w:r w:rsidRPr="00177BC6">
        <w:rPr>
          <w:rFonts w:ascii="Arial" w:hAnsi="Arial"/>
        </w:rPr>
        <w:tab/>
        <w:t xml:space="preserve">In-Depth Interview Participants $75 </w:t>
      </w:r>
      <w:r>
        <w:rPr>
          <w:rFonts w:ascii="Arial" w:hAnsi="Arial"/>
        </w:rPr>
        <w:t>giftcard (</w:t>
      </w:r>
      <w:r w:rsidRPr="00177BC6">
        <w:rPr>
          <w:rFonts w:ascii="Arial" w:hAnsi="Arial"/>
        </w:rPr>
        <w:t>per person</w:t>
      </w:r>
      <w:r>
        <w:rPr>
          <w:rFonts w:ascii="Arial" w:hAnsi="Arial"/>
        </w:rPr>
        <w:t>)</w:t>
      </w:r>
    </w:p>
    <w:p w14:paraId="7A7D4DC3" w14:textId="247456B0" w:rsidR="004861A1" w:rsidRDefault="00177BC6" w:rsidP="00177BC6">
      <w:pPr>
        <w:rPr>
          <w:rFonts w:ascii="Arial" w:hAnsi="Arial"/>
        </w:rPr>
      </w:pPr>
      <w:r w:rsidRPr="00177BC6">
        <w:rPr>
          <w:rFonts w:ascii="Arial" w:hAnsi="Arial"/>
        </w:rPr>
        <w:t>•</w:t>
      </w:r>
      <w:r w:rsidRPr="00177BC6">
        <w:rPr>
          <w:rFonts w:ascii="Arial" w:hAnsi="Arial"/>
        </w:rPr>
        <w:tab/>
        <w:t xml:space="preserve">Focus Group Participants $75 </w:t>
      </w:r>
      <w:r>
        <w:rPr>
          <w:rFonts w:ascii="Arial" w:hAnsi="Arial"/>
        </w:rPr>
        <w:t>giftcard (per person)</w:t>
      </w:r>
    </w:p>
    <w:p w14:paraId="5E72B946" w14:textId="7C9215FB" w:rsidR="00B46F2C" w:rsidRDefault="00B46F2C" w:rsidP="00C86E91">
      <w:pPr>
        <w:rPr>
          <w:rFonts w:ascii="Arial" w:hAnsi="Arial"/>
        </w:rPr>
      </w:pPr>
      <w:bookmarkStart w:id="3" w:name="_Hlk27721218"/>
      <w:r w:rsidRPr="00B372FB">
        <w:rPr>
          <w:rFonts w:ascii="Arial" w:hAnsi="Arial"/>
          <w:b/>
        </w:rPr>
        <w:t>BURDEN HOURS</w:t>
      </w:r>
      <w:r w:rsidRPr="00B372FB">
        <w:rPr>
          <w:rFonts w:ascii="Arial" w:hAnsi="Arial"/>
        </w:rPr>
        <w:t xml:space="preserve"> </w:t>
      </w:r>
    </w:p>
    <w:tbl>
      <w:tblPr>
        <w:tblW w:w="9660" w:type="dxa"/>
        <w:tblLayout w:type="fixed"/>
        <w:tblCellMar>
          <w:left w:w="120" w:type="dxa"/>
          <w:right w:w="120" w:type="dxa"/>
        </w:tblCellMar>
        <w:tblLook w:val="0000" w:firstRow="0" w:lastRow="0" w:firstColumn="0" w:lastColumn="0" w:noHBand="0" w:noVBand="0"/>
      </w:tblPr>
      <w:tblGrid>
        <w:gridCol w:w="1650"/>
        <w:gridCol w:w="1620"/>
        <w:gridCol w:w="1530"/>
        <w:gridCol w:w="1440"/>
        <w:gridCol w:w="1350"/>
        <w:gridCol w:w="2070"/>
      </w:tblGrid>
      <w:tr w:rsidR="004861A1" w:rsidRPr="002B49B4" w14:paraId="0CCA2672" w14:textId="77777777" w:rsidTr="00AE41D3">
        <w:trPr>
          <w:tblHeader/>
        </w:trPr>
        <w:tc>
          <w:tcPr>
            <w:tcW w:w="1650" w:type="dxa"/>
            <w:tcBorders>
              <w:top w:val="single" w:sz="7" w:space="0" w:color="000000"/>
              <w:left w:val="single" w:sz="7" w:space="0" w:color="000000"/>
              <w:bottom w:val="single" w:sz="7" w:space="0" w:color="000000"/>
              <w:right w:val="single" w:sz="7" w:space="0" w:color="000000"/>
            </w:tcBorders>
            <w:vAlign w:val="center"/>
          </w:tcPr>
          <w:bookmarkEnd w:id="3"/>
          <w:p w14:paraId="2A1913FE" w14:textId="77777777" w:rsidR="004861A1" w:rsidRPr="00BB0153" w:rsidRDefault="004861A1"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bCs/>
                <w:color w:val="000000"/>
              </w:rPr>
            </w:pPr>
            <w:r w:rsidRPr="00BB0153">
              <w:rPr>
                <w:bCs/>
                <w:color w:val="000000"/>
              </w:rPr>
              <w:t>Type of Respondent</w:t>
            </w:r>
          </w:p>
        </w:tc>
        <w:tc>
          <w:tcPr>
            <w:tcW w:w="1620" w:type="dxa"/>
            <w:tcBorders>
              <w:top w:val="single" w:sz="7" w:space="0" w:color="000000"/>
              <w:left w:val="single" w:sz="7" w:space="0" w:color="000000"/>
              <w:bottom w:val="single" w:sz="7" w:space="0" w:color="000000"/>
              <w:right w:val="single" w:sz="7" w:space="0" w:color="000000"/>
            </w:tcBorders>
            <w:vAlign w:val="center"/>
          </w:tcPr>
          <w:p w14:paraId="1F20CC78" w14:textId="77777777" w:rsidR="004861A1" w:rsidRPr="00BB0153" w:rsidRDefault="004861A1"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center"/>
              <w:rPr>
                <w:bCs/>
                <w:color w:val="000000"/>
              </w:rPr>
            </w:pPr>
            <w:r w:rsidRPr="00BB0153">
              <w:rPr>
                <w:bCs/>
                <w:color w:val="000000"/>
              </w:rPr>
              <w:t>Form Name</w:t>
            </w:r>
          </w:p>
        </w:tc>
        <w:tc>
          <w:tcPr>
            <w:tcW w:w="1530" w:type="dxa"/>
            <w:tcBorders>
              <w:top w:val="single" w:sz="7" w:space="0" w:color="000000"/>
              <w:left w:val="single" w:sz="7" w:space="0" w:color="000000"/>
              <w:bottom w:val="single" w:sz="7" w:space="0" w:color="000000"/>
              <w:right w:val="single" w:sz="7" w:space="0" w:color="000000"/>
            </w:tcBorders>
          </w:tcPr>
          <w:p w14:paraId="4850DF3A" w14:textId="77777777" w:rsidR="004861A1" w:rsidRPr="00BB0153" w:rsidRDefault="004861A1" w:rsidP="00AE41D3">
            <w:pPr>
              <w:widowControl w:val="0"/>
              <w:autoSpaceDE w:val="0"/>
              <w:autoSpaceDN w:val="0"/>
              <w:adjustRightInd w:val="0"/>
              <w:spacing w:after="0" w:line="120" w:lineRule="exact"/>
              <w:rPr>
                <w:bCs/>
                <w:color w:val="000000"/>
              </w:rPr>
            </w:pPr>
          </w:p>
          <w:p w14:paraId="6190806C" w14:textId="77777777" w:rsidR="004861A1" w:rsidRPr="00BB0153" w:rsidRDefault="004861A1"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bCs/>
                <w:color w:val="000000"/>
              </w:rPr>
            </w:pPr>
            <w:r w:rsidRPr="00BB0153">
              <w:rPr>
                <w:bCs/>
                <w:color w:val="000000"/>
              </w:rPr>
              <w:t>Number of</w:t>
            </w:r>
          </w:p>
          <w:p w14:paraId="7F9B8C97" w14:textId="77777777" w:rsidR="004861A1" w:rsidRPr="00BB0153" w:rsidRDefault="004861A1"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bCs/>
                <w:color w:val="000000"/>
              </w:rPr>
            </w:pPr>
            <w:r w:rsidRPr="00BB0153">
              <w:rPr>
                <w:bCs/>
                <w:color w:val="000000"/>
              </w:rPr>
              <w:t>Participants</w:t>
            </w:r>
          </w:p>
        </w:tc>
        <w:tc>
          <w:tcPr>
            <w:tcW w:w="1440" w:type="dxa"/>
            <w:tcBorders>
              <w:top w:val="single" w:sz="7" w:space="0" w:color="000000"/>
              <w:left w:val="single" w:sz="7" w:space="0" w:color="000000"/>
              <w:bottom w:val="single" w:sz="7" w:space="0" w:color="000000"/>
              <w:right w:val="single" w:sz="7" w:space="0" w:color="000000"/>
            </w:tcBorders>
          </w:tcPr>
          <w:p w14:paraId="0D6D8980" w14:textId="77777777" w:rsidR="004861A1" w:rsidRPr="00BB0153" w:rsidRDefault="004861A1" w:rsidP="00AE41D3">
            <w:pPr>
              <w:widowControl w:val="0"/>
              <w:autoSpaceDE w:val="0"/>
              <w:autoSpaceDN w:val="0"/>
              <w:adjustRightInd w:val="0"/>
              <w:spacing w:after="0" w:line="120" w:lineRule="exact"/>
              <w:rPr>
                <w:bCs/>
                <w:color w:val="000000"/>
              </w:rPr>
            </w:pPr>
          </w:p>
          <w:p w14:paraId="3E40A4BA" w14:textId="77777777" w:rsidR="004861A1" w:rsidRPr="00BB0153" w:rsidRDefault="004861A1"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bCs/>
                <w:color w:val="000000"/>
              </w:rPr>
            </w:pPr>
            <w:r w:rsidRPr="00BB0153">
              <w:rPr>
                <w:bCs/>
                <w:color w:val="000000"/>
              </w:rPr>
              <w:t>Number of</w:t>
            </w:r>
          </w:p>
          <w:p w14:paraId="50FC5A5F" w14:textId="77777777" w:rsidR="004861A1" w:rsidRPr="00BB0153" w:rsidRDefault="004861A1"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bCs/>
                <w:color w:val="000000"/>
              </w:rPr>
            </w:pPr>
            <w:r w:rsidRPr="00BB0153">
              <w:rPr>
                <w:bCs/>
                <w:color w:val="000000"/>
              </w:rPr>
              <w:t>Responses per</w:t>
            </w:r>
          </w:p>
          <w:p w14:paraId="7C23D071" w14:textId="77777777" w:rsidR="004861A1" w:rsidRPr="00BB0153" w:rsidRDefault="004861A1"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bCs/>
                <w:color w:val="000000"/>
              </w:rPr>
            </w:pPr>
            <w:r w:rsidRPr="00BB0153">
              <w:rPr>
                <w:bCs/>
                <w:color w:val="000000"/>
              </w:rPr>
              <w:t>Respondent</w:t>
            </w:r>
          </w:p>
        </w:tc>
        <w:tc>
          <w:tcPr>
            <w:tcW w:w="1350" w:type="dxa"/>
            <w:tcBorders>
              <w:top w:val="single" w:sz="7" w:space="0" w:color="000000"/>
              <w:left w:val="single" w:sz="7" w:space="0" w:color="000000"/>
              <w:bottom w:val="single" w:sz="7" w:space="0" w:color="000000"/>
              <w:right w:val="single" w:sz="7" w:space="0" w:color="000000"/>
            </w:tcBorders>
          </w:tcPr>
          <w:p w14:paraId="05006867" w14:textId="77777777" w:rsidR="004861A1" w:rsidRPr="00BB0153" w:rsidRDefault="004861A1" w:rsidP="00AE41D3">
            <w:pPr>
              <w:widowControl w:val="0"/>
              <w:autoSpaceDE w:val="0"/>
              <w:autoSpaceDN w:val="0"/>
              <w:adjustRightInd w:val="0"/>
              <w:spacing w:after="0" w:line="120" w:lineRule="exact"/>
              <w:rPr>
                <w:bCs/>
                <w:color w:val="000000"/>
              </w:rPr>
            </w:pPr>
          </w:p>
          <w:p w14:paraId="7BB1F9E0" w14:textId="77777777" w:rsidR="004861A1" w:rsidRPr="00BB0153" w:rsidRDefault="004861A1"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bCs/>
                <w:color w:val="000000"/>
              </w:rPr>
            </w:pPr>
            <w:r w:rsidRPr="00BB0153">
              <w:rPr>
                <w:bCs/>
                <w:color w:val="000000"/>
              </w:rPr>
              <w:t>Average Hours</w:t>
            </w:r>
          </w:p>
          <w:p w14:paraId="75CC0AFF" w14:textId="77777777" w:rsidR="004861A1" w:rsidRPr="00BB0153" w:rsidRDefault="004861A1"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bCs/>
                <w:color w:val="000000"/>
              </w:rPr>
            </w:pPr>
            <w:r w:rsidRPr="00BB0153">
              <w:rPr>
                <w:bCs/>
                <w:color w:val="000000"/>
              </w:rPr>
              <w:t>Per Response</w:t>
            </w:r>
          </w:p>
        </w:tc>
        <w:tc>
          <w:tcPr>
            <w:tcW w:w="2070" w:type="dxa"/>
            <w:tcBorders>
              <w:top w:val="single" w:sz="7" w:space="0" w:color="000000"/>
              <w:left w:val="single" w:sz="7" w:space="0" w:color="000000"/>
              <w:bottom w:val="single" w:sz="7" w:space="0" w:color="000000"/>
              <w:right w:val="single" w:sz="7" w:space="0" w:color="000000"/>
            </w:tcBorders>
          </w:tcPr>
          <w:p w14:paraId="2FCEC5F5" w14:textId="77777777" w:rsidR="004861A1" w:rsidRPr="00BB0153" w:rsidRDefault="004861A1" w:rsidP="00AE41D3">
            <w:pPr>
              <w:widowControl w:val="0"/>
              <w:autoSpaceDE w:val="0"/>
              <w:autoSpaceDN w:val="0"/>
              <w:adjustRightInd w:val="0"/>
              <w:spacing w:after="0" w:line="120" w:lineRule="exact"/>
              <w:rPr>
                <w:bCs/>
                <w:color w:val="000000"/>
              </w:rPr>
            </w:pPr>
          </w:p>
          <w:p w14:paraId="2A8D2272" w14:textId="77777777" w:rsidR="004861A1" w:rsidRPr="00BB0153" w:rsidRDefault="004861A1"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rPr>
                <w:bCs/>
                <w:color w:val="000000"/>
              </w:rPr>
            </w:pPr>
            <w:r w:rsidRPr="00BB0153">
              <w:rPr>
                <w:bCs/>
                <w:color w:val="000000"/>
              </w:rPr>
              <w:t>Total Response</w:t>
            </w:r>
          </w:p>
          <w:p w14:paraId="036F2C1C" w14:textId="77777777" w:rsidR="004861A1" w:rsidRPr="00BB0153" w:rsidRDefault="004861A1"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bCs/>
                <w:color w:val="000000"/>
              </w:rPr>
            </w:pPr>
            <w:r w:rsidRPr="00BB0153">
              <w:rPr>
                <w:bCs/>
                <w:color w:val="000000"/>
              </w:rPr>
              <w:t>Burden</w:t>
            </w:r>
          </w:p>
          <w:p w14:paraId="5AFBE697" w14:textId="77777777" w:rsidR="004861A1" w:rsidRPr="00BB0153" w:rsidRDefault="004861A1"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bCs/>
                <w:color w:val="000000"/>
              </w:rPr>
            </w:pPr>
            <w:r w:rsidRPr="00BB0153">
              <w:rPr>
                <w:bCs/>
                <w:color w:val="000000"/>
              </w:rPr>
              <w:t>(Hours)</w:t>
            </w:r>
          </w:p>
        </w:tc>
      </w:tr>
      <w:tr w:rsidR="004861A1" w:rsidRPr="00103EC4" w14:paraId="322817CD" w14:textId="77777777" w:rsidTr="00AE41D3">
        <w:tc>
          <w:tcPr>
            <w:tcW w:w="1650" w:type="dxa"/>
            <w:tcBorders>
              <w:top w:val="single" w:sz="7" w:space="0" w:color="000000"/>
              <w:left w:val="single" w:sz="7" w:space="0" w:color="000000"/>
              <w:right w:val="single" w:sz="7" w:space="0" w:color="000000"/>
            </w:tcBorders>
          </w:tcPr>
          <w:p w14:paraId="423192FE" w14:textId="77777777" w:rsidR="004861A1" w:rsidRPr="00BB0153" w:rsidRDefault="004861A1" w:rsidP="00AE41D3">
            <w:pPr>
              <w:rPr>
                <w:sz w:val="22"/>
                <w:szCs w:val="22"/>
              </w:rPr>
            </w:pPr>
            <w:r w:rsidRPr="00BB0153">
              <w:rPr>
                <w:b/>
                <w:sz w:val="22"/>
                <w:szCs w:val="22"/>
              </w:rPr>
              <w:t>Group A:</w:t>
            </w:r>
            <w:r w:rsidRPr="00BB0153">
              <w:rPr>
                <w:sz w:val="22"/>
                <w:szCs w:val="22"/>
              </w:rPr>
              <w:t xml:space="preserve">  Construction Company Owners/Senior Executives and Equipment Purchasing Decision-Makers</w:t>
            </w:r>
          </w:p>
        </w:tc>
        <w:tc>
          <w:tcPr>
            <w:tcW w:w="1620" w:type="dxa"/>
            <w:tcBorders>
              <w:top w:val="single" w:sz="7" w:space="0" w:color="000000"/>
              <w:left w:val="single" w:sz="7" w:space="0" w:color="000000"/>
              <w:bottom w:val="single" w:sz="7" w:space="0" w:color="000000"/>
              <w:right w:val="single" w:sz="7" w:space="0" w:color="000000"/>
            </w:tcBorders>
          </w:tcPr>
          <w:p w14:paraId="02E1013B" w14:textId="77777777" w:rsidR="004861A1" w:rsidRPr="00BB0153" w:rsidRDefault="004861A1" w:rsidP="00AE41D3">
            <w:pPr>
              <w:rPr>
                <w:sz w:val="22"/>
                <w:szCs w:val="22"/>
              </w:rPr>
            </w:pPr>
            <w:r w:rsidRPr="00BB0153">
              <w:rPr>
                <w:sz w:val="22"/>
                <w:szCs w:val="22"/>
              </w:rPr>
              <w:t>In-Depth Interviews</w:t>
            </w:r>
          </w:p>
        </w:tc>
        <w:tc>
          <w:tcPr>
            <w:tcW w:w="1530" w:type="dxa"/>
            <w:tcBorders>
              <w:top w:val="single" w:sz="7" w:space="0" w:color="000000"/>
              <w:left w:val="single" w:sz="7" w:space="0" w:color="000000"/>
              <w:bottom w:val="single" w:sz="7" w:space="0" w:color="000000"/>
              <w:right w:val="single" w:sz="7" w:space="0" w:color="000000"/>
            </w:tcBorders>
          </w:tcPr>
          <w:p w14:paraId="0CF8D794" w14:textId="77777777" w:rsidR="004861A1" w:rsidRPr="00BB0153" w:rsidRDefault="004861A1" w:rsidP="00AE41D3">
            <w:pPr>
              <w:rPr>
                <w:sz w:val="22"/>
                <w:szCs w:val="22"/>
              </w:rPr>
            </w:pPr>
            <w:r w:rsidRPr="00BB0153">
              <w:rPr>
                <w:sz w:val="22"/>
                <w:szCs w:val="22"/>
              </w:rPr>
              <w:t>20</w:t>
            </w:r>
          </w:p>
        </w:tc>
        <w:tc>
          <w:tcPr>
            <w:tcW w:w="1440" w:type="dxa"/>
            <w:tcBorders>
              <w:top w:val="single" w:sz="7" w:space="0" w:color="000000"/>
              <w:left w:val="single" w:sz="7" w:space="0" w:color="000000"/>
              <w:bottom w:val="single" w:sz="7" w:space="0" w:color="000000"/>
              <w:right w:val="single" w:sz="7" w:space="0" w:color="000000"/>
            </w:tcBorders>
          </w:tcPr>
          <w:p w14:paraId="41730383" w14:textId="77777777" w:rsidR="004861A1" w:rsidRPr="00BB0153" w:rsidRDefault="004861A1" w:rsidP="00AE41D3">
            <w:pPr>
              <w:rPr>
                <w:sz w:val="22"/>
                <w:szCs w:val="22"/>
              </w:rPr>
            </w:pPr>
            <w:r w:rsidRPr="00BB0153">
              <w:rPr>
                <w:sz w:val="22"/>
                <w:szCs w:val="22"/>
              </w:rPr>
              <w:t>1</w:t>
            </w:r>
          </w:p>
        </w:tc>
        <w:tc>
          <w:tcPr>
            <w:tcW w:w="1350" w:type="dxa"/>
            <w:tcBorders>
              <w:top w:val="single" w:sz="7" w:space="0" w:color="000000"/>
              <w:left w:val="single" w:sz="7" w:space="0" w:color="000000"/>
              <w:bottom w:val="single" w:sz="7" w:space="0" w:color="000000"/>
              <w:right w:val="single" w:sz="7" w:space="0" w:color="000000"/>
            </w:tcBorders>
          </w:tcPr>
          <w:p w14:paraId="745A92A4" w14:textId="77777777" w:rsidR="004861A1" w:rsidRPr="00BB0153" w:rsidRDefault="004861A1" w:rsidP="00AE41D3">
            <w:pPr>
              <w:rPr>
                <w:sz w:val="22"/>
                <w:szCs w:val="22"/>
              </w:rPr>
            </w:pPr>
            <w:r>
              <w:rPr>
                <w:sz w:val="22"/>
                <w:szCs w:val="22"/>
              </w:rPr>
              <w:t>30/60</w:t>
            </w:r>
          </w:p>
        </w:tc>
        <w:tc>
          <w:tcPr>
            <w:tcW w:w="2070" w:type="dxa"/>
            <w:tcBorders>
              <w:top w:val="single" w:sz="7" w:space="0" w:color="000000"/>
              <w:left w:val="single" w:sz="7" w:space="0" w:color="000000"/>
              <w:bottom w:val="single" w:sz="7" w:space="0" w:color="000000"/>
              <w:right w:val="single" w:sz="7" w:space="0" w:color="000000"/>
            </w:tcBorders>
          </w:tcPr>
          <w:p w14:paraId="51B89B3B" w14:textId="77777777" w:rsidR="004861A1" w:rsidRPr="00BB0153" w:rsidRDefault="004861A1"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color w:val="000000"/>
                <w:sz w:val="22"/>
                <w:szCs w:val="22"/>
              </w:rPr>
            </w:pPr>
            <w:r w:rsidRPr="00BB0153">
              <w:rPr>
                <w:color w:val="000000"/>
                <w:sz w:val="22"/>
                <w:szCs w:val="22"/>
              </w:rPr>
              <w:t>10</w:t>
            </w:r>
          </w:p>
        </w:tc>
      </w:tr>
      <w:tr w:rsidR="004861A1" w:rsidRPr="00103EC4" w14:paraId="3987E714" w14:textId="77777777" w:rsidTr="00AE41D3">
        <w:tc>
          <w:tcPr>
            <w:tcW w:w="1650" w:type="dxa"/>
            <w:tcBorders>
              <w:top w:val="single" w:sz="7" w:space="0" w:color="000000"/>
              <w:left w:val="single" w:sz="7" w:space="0" w:color="000000"/>
              <w:right w:val="single" w:sz="7" w:space="0" w:color="000000"/>
            </w:tcBorders>
          </w:tcPr>
          <w:p w14:paraId="4725E67E" w14:textId="77777777" w:rsidR="004861A1" w:rsidRPr="00BB0153" w:rsidRDefault="004861A1" w:rsidP="00AE41D3">
            <w:pPr>
              <w:rPr>
                <w:sz w:val="22"/>
                <w:szCs w:val="22"/>
              </w:rPr>
            </w:pPr>
            <w:r w:rsidRPr="00BB0153">
              <w:rPr>
                <w:b/>
                <w:sz w:val="22"/>
                <w:szCs w:val="22"/>
              </w:rPr>
              <w:t>Group B:</w:t>
            </w:r>
            <w:r w:rsidRPr="00BB0153">
              <w:rPr>
                <w:sz w:val="22"/>
                <w:szCs w:val="22"/>
              </w:rPr>
              <w:t xml:space="preserve">  Construction Supervisor/ Foremen</w:t>
            </w:r>
          </w:p>
        </w:tc>
        <w:tc>
          <w:tcPr>
            <w:tcW w:w="1620" w:type="dxa"/>
            <w:tcBorders>
              <w:top w:val="single" w:sz="7" w:space="0" w:color="000000"/>
              <w:left w:val="single" w:sz="7" w:space="0" w:color="000000"/>
              <w:bottom w:val="single" w:sz="7" w:space="0" w:color="000000"/>
              <w:right w:val="single" w:sz="7" w:space="0" w:color="000000"/>
            </w:tcBorders>
          </w:tcPr>
          <w:p w14:paraId="14085382" w14:textId="77777777" w:rsidR="004861A1" w:rsidRPr="00BB0153" w:rsidRDefault="004861A1" w:rsidP="00AE41D3">
            <w:pPr>
              <w:rPr>
                <w:sz w:val="22"/>
                <w:szCs w:val="22"/>
              </w:rPr>
            </w:pPr>
            <w:r w:rsidRPr="00BB0153">
              <w:rPr>
                <w:sz w:val="22"/>
                <w:szCs w:val="22"/>
              </w:rPr>
              <w:t>Focus Group</w:t>
            </w:r>
          </w:p>
        </w:tc>
        <w:tc>
          <w:tcPr>
            <w:tcW w:w="1530" w:type="dxa"/>
            <w:tcBorders>
              <w:top w:val="single" w:sz="7" w:space="0" w:color="000000"/>
              <w:left w:val="single" w:sz="7" w:space="0" w:color="000000"/>
              <w:bottom w:val="single" w:sz="7" w:space="0" w:color="000000"/>
              <w:right w:val="single" w:sz="7" w:space="0" w:color="000000"/>
            </w:tcBorders>
          </w:tcPr>
          <w:p w14:paraId="1E784CA3" w14:textId="77777777" w:rsidR="004861A1" w:rsidRPr="00BB0153" w:rsidRDefault="004861A1" w:rsidP="00AE41D3">
            <w:pPr>
              <w:rPr>
                <w:sz w:val="22"/>
                <w:szCs w:val="22"/>
              </w:rPr>
            </w:pPr>
            <w:r w:rsidRPr="00BB0153">
              <w:rPr>
                <w:sz w:val="22"/>
                <w:szCs w:val="22"/>
              </w:rPr>
              <w:t>12</w:t>
            </w:r>
            <w:r>
              <w:rPr>
                <w:sz w:val="22"/>
                <w:szCs w:val="22"/>
              </w:rPr>
              <w:t xml:space="preserve"> </w:t>
            </w:r>
          </w:p>
        </w:tc>
        <w:tc>
          <w:tcPr>
            <w:tcW w:w="1440" w:type="dxa"/>
            <w:tcBorders>
              <w:top w:val="single" w:sz="7" w:space="0" w:color="000000"/>
              <w:left w:val="single" w:sz="7" w:space="0" w:color="000000"/>
              <w:bottom w:val="single" w:sz="7" w:space="0" w:color="000000"/>
              <w:right w:val="single" w:sz="7" w:space="0" w:color="000000"/>
            </w:tcBorders>
          </w:tcPr>
          <w:p w14:paraId="0820DBB7" w14:textId="77777777" w:rsidR="004861A1" w:rsidRPr="00BB0153" w:rsidRDefault="004861A1" w:rsidP="00AE41D3">
            <w:pPr>
              <w:rPr>
                <w:sz w:val="22"/>
                <w:szCs w:val="22"/>
              </w:rPr>
            </w:pPr>
            <w:r w:rsidRPr="00BB0153">
              <w:rPr>
                <w:sz w:val="22"/>
                <w:szCs w:val="22"/>
              </w:rPr>
              <w:t>1</w:t>
            </w:r>
          </w:p>
        </w:tc>
        <w:tc>
          <w:tcPr>
            <w:tcW w:w="1350" w:type="dxa"/>
            <w:tcBorders>
              <w:top w:val="single" w:sz="7" w:space="0" w:color="000000"/>
              <w:left w:val="single" w:sz="7" w:space="0" w:color="000000"/>
              <w:bottom w:val="single" w:sz="7" w:space="0" w:color="000000"/>
              <w:right w:val="single" w:sz="7" w:space="0" w:color="000000"/>
            </w:tcBorders>
          </w:tcPr>
          <w:p w14:paraId="6F99AE6E" w14:textId="77777777" w:rsidR="004861A1" w:rsidRPr="00BB0153" w:rsidRDefault="004861A1" w:rsidP="00AE41D3">
            <w:pPr>
              <w:rPr>
                <w:sz w:val="22"/>
                <w:szCs w:val="22"/>
              </w:rPr>
            </w:pPr>
            <w:r w:rsidRPr="00BB0153">
              <w:rPr>
                <w:sz w:val="22"/>
                <w:szCs w:val="22"/>
              </w:rPr>
              <w:t>1.5</w:t>
            </w:r>
          </w:p>
        </w:tc>
        <w:tc>
          <w:tcPr>
            <w:tcW w:w="2070" w:type="dxa"/>
            <w:tcBorders>
              <w:top w:val="single" w:sz="7" w:space="0" w:color="000000"/>
              <w:left w:val="single" w:sz="7" w:space="0" w:color="000000"/>
              <w:bottom w:val="single" w:sz="7" w:space="0" w:color="000000"/>
              <w:right w:val="single" w:sz="7" w:space="0" w:color="000000"/>
            </w:tcBorders>
          </w:tcPr>
          <w:p w14:paraId="75C59F94" w14:textId="77777777" w:rsidR="004861A1" w:rsidRPr="00BB0153" w:rsidRDefault="004861A1"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color w:val="000000"/>
                <w:sz w:val="22"/>
                <w:szCs w:val="22"/>
              </w:rPr>
            </w:pPr>
            <w:r w:rsidRPr="00BB0153">
              <w:rPr>
                <w:color w:val="000000"/>
                <w:sz w:val="22"/>
                <w:szCs w:val="22"/>
              </w:rPr>
              <w:t>18</w:t>
            </w:r>
          </w:p>
        </w:tc>
      </w:tr>
      <w:tr w:rsidR="004861A1" w:rsidRPr="00103EC4" w14:paraId="0073100F" w14:textId="77777777" w:rsidTr="00AE41D3">
        <w:tc>
          <w:tcPr>
            <w:tcW w:w="1650" w:type="dxa"/>
            <w:tcBorders>
              <w:top w:val="single" w:sz="7" w:space="0" w:color="000000"/>
              <w:left w:val="single" w:sz="7" w:space="0" w:color="000000"/>
              <w:right w:val="single" w:sz="7" w:space="0" w:color="000000"/>
            </w:tcBorders>
          </w:tcPr>
          <w:p w14:paraId="2DB8BCEA" w14:textId="77777777" w:rsidR="004861A1" w:rsidRPr="00BB0153" w:rsidRDefault="004861A1" w:rsidP="00AE41D3">
            <w:pPr>
              <w:rPr>
                <w:b/>
                <w:sz w:val="22"/>
                <w:szCs w:val="22"/>
              </w:rPr>
            </w:pPr>
            <w:r w:rsidRPr="00BB0153">
              <w:rPr>
                <w:b/>
                <w:sz w:val="22"/>
                <w:szCs w:val="22"/>
              </w:rPr>
              <w:t xml:space="preserve">Group C: </w:t>
            </w:r>
            <w:r w:rsidRPr="00BB0153">
              <w:rPr>
                <w:sz w:val="22"/>
                <w:szCs w:val="22"/>
              </w:rPr>
              <w:t>Construction Workers</w:t>
            </w:r>
          </w:p>
        </w:tc>
        <w:tc>
          <w:tcPr>
            <w:tcW w:w="1620" w:type="dxa"/>
            <w:tcBorders>
              <w:top w:val="single" w:sz="7" w:space="0" w:color="000000"/>
              <w:left w:val="single" w:sz="7" w:space="0" w:color="000000"/>
              <w:bottom w:val="single" w:sz="7" w:space="0" w:color="000000"/>
              <w:right w:val="single" w:sz="7" w:space="0" w:color="000000"/>
            </w:tcBorders>
          </w:tcPr>
          <w:p w14:paraId="23341DE6" w14:textId="77777777" w:rsidR="004861A1" w:rsidRPr="00BB0153" w:rsidRDefault="004861A1" w:rsidP="00AE41D3">
            <w:pPr>
              <w:rPr>
                <w:sz w:val="22"/>
                <w:szCs w:val="22"/>
              </w:rPr>
            </w:pPr>
            <w:r w:rsidRPr="00BB0153">
              <w:rPr>
                <w:sz w:val="22"/>
                <w:szCs w:val="22"/>
              </w:rPr>
              <w:t>Focus Group</w:t>
            </w:r>
          </w:p>
        </w:tc>
        <w:tc>
          <w:tcPr>
            <w:tcW w:w="1530" w:type="dxa"/>
            <w:tcBorders>
              <w:top w:val="single" w:sz="7" w:space="0" w:color="000000"/>
              <w:left w:val="single" w:sz="7" w:space="0" w:color="000000"/>
              <w:bottom w:val="single" w:sz="7" w:space="0" w:color="000000"/>
              <w:right w:val="single" w:sz="7" w:space="0" w:color="000000"/>
            </w:tcBorders>
          </w:tcPr>
          <w:p w14:paraId="216BBF92" w14:textId="77777777" w:rsidR="004861A1" w:rsidRPr="00BB0153" w:rsidRDefault="004861A1" w:rsidP="00AE41D3">
            <w:pPr>
              <w:ind w:hanging="36"/>
              <w:rPr>
                <w:sz w:val="22"/>
                <w:szCs w:val="22"/>
              </w:rPr>
            </w:pPr>
            <w:r w:rsidRPr="00BB0153">
              <w:rPr>
                <w:sz w:val="22"/>
                <w:szCs w:val="22"/>
              </w:rPr>
              <w:t xml:space="preserve">36 </w:t>
            </w:r>
          </w:p>
        </w:tc>
        <w:tc>
          <w:tcPr>
            <w:tcW w:w="1440" w:type="dxa"/>
            <w:tcBorders>
              <w:top w:val="single" w:sz="7" w:space="0" w:color="000000"/>
              <w:left w:val="single" w:sz="7" w:space="0" w:color="000000"/>
              <w:bottom w:val="single" w:sz="7" w:space="0" w:color="000000"/>
              <w:right w:val="single" w:sz="7" w:space="0" w:color="000000"/>
            </w:tcBorders>
          </w:tcPr>
          <w:p w14:paraId="3DA114AA" w14:textId="77777777" w:rsidR="004861A1" w:rsidRPr="00BB0153" w:rsidRDefault="004861A1" w:rsidP="00AE41D3">
            <w:pPr>
              <w:rPr>
                <w:sz w:val="22"/>
                <w:szCs w:val="22"/>
              </w:rPr>
            </w:pPr>
            <w:r w:rsidRPr="00BB0153">
              <w:rPr>
                <w:sz w:val="22"/>
                <w:szCs w:val="22"/>
              </w:rPr>
              <w:t>1</w:t>
            </w:r>
          </w:p>
        </w:tc>
        <w:tc>
          <w:tcPr>
            <w:tcW w:w="1350" w:type="dxa"/>
            <w:tcBorders>
              <w:top w:val="single" w:sz="7" w:space="0" w:color="000000"/>
              <w:left w:val="single" w:sz="7" w:space="0" w:color="000000"/>
              <w:bottom w:val="single" w:sz="7" w:space="0" w:color="000000"/>
              <w:right w:val="single" w:sz="7" w:space="0" w:color="000000"/>
            </w:tcBorders>
          </w:tcPr>
          <w:p w14:paraId="67A28251" w14:textId="77777777" w:rsidR="004861A1" w:rsidRPr="00BB0153" w:rsidRDefault="004861A1" w:rsidP="00AE41D3">
            <w:pPr>
              <w:rPr>
                <w:sz w:val="22"/>
                <w:szCs w:val="22"/>
              </w:rPr>
            </w:pPr>
            <w:r w:rsidRPr="00BB0153">
              <w:rPr>
                <w:sz w:val="22"/>
                <w:szCs w:val="22"/>
              </w:rPr>
              <w:t>1.5</w:t>
            </w:r>
          </w:p>
        </w:tc>
        <w:tc>
          <w:tcPr>
            <w:tcW w:w="2070" w:type="dxa"/>
            <w:tcBorders>
              <w:top w:val="single" w:sz="7" w:space="0" w:color="000000"/>
              <w:left w:val="single" w:sz="7" w:space="0" w:color="000000"/>
              <w:bottom w:val="single" w:sz="7" w:space="0" w:color="000000"/>
              <w:right w:val="single" w:sz="7" w:space="0" w:color="000000"/>
            </w:tcBorders>
          </w:tcPr>
          <w:p w14:paraId="606E3EFB" w14:textId="77777777" w:rsidR="004861A1" w:rsidRPr="00BB0153" w:rsidRDefault="004861A1"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color w:val="000000"/>
                <w:sz w:val="22"/>
                <w:szCs w:val="22"/>
              </w:rPr>
            </w:pPr>
            <w:r w:rsidRPr="00BB0153">
              <w:rPr>
                <w:color w:val="000000"/>
                <w:sz w:val="22"/>
                <w:szCs w:val="22"/>
              </w:rPr>
              <w:t>54</w:t>
            </w:r>
          </w:p>
        </w:tc>
      </w:tr>
      <w:tr w:rsidR="004861A1" w:rsidRPr="002B49B4" w14:paraId="482212D3" w14:textId="77777777" w:rsidTr="00AE41D3">
        <w:tc>
          <w:tcPr>
            <w:tcW w:w="1650" w:type="dxa"/>
            <w:tcBorders>
              <w:top w:val="single" w:sz="8" w:space="0" w:color="000000"/>
              <w:left w:val="single" w:sz="7" w:space="0" w:color="000000"/>
              <w:bottom w:val="single" w:sz="7" w:space="0" w:color="000000"/>
              <w:right w:val="single" w:sz="7" w:space="0" w:color="000000"/>
            </w:tcBorders>
          </w:tcPr>
          <w:p w14:paraId="593BC000" w14:textId="77777777" w:rsidR="004861A1" w:rsidRPr="00BB0153" w:rsidRDefault="004861A1"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b/>
                <w:color w:val="000000"/>
              </w:rPr>
            </w:pPr>
            <w:r w:rsidRPr="00BB0153">
              <w:rPr>
                <w:b/>
                <w:color w:val="000000"/>
              </w:rPr>
              <w:t>Total</w:t>
            </w:r>
          </w:p>
        </w:tc>
        <w:tc>
          <w:tcPr>
            <w:tcW w:w="1620" w:type="dxa"/>
            <w:tcBorders>
              <w:top w:val="single" w:sz="8" w:space="0" w:color="000000"/>
              <w:left w:val="single" w:sz="7" w:space="0" w:color="000000"/>
              <w:bottom w:val="single" w:sz="7" w:space="0" w:color="000000"/>
              <w:right w:val="single" w:sz="7" w:space="0" w:color="000000"/>
            </w:tcBorders>
          </w:tcPr>
          <w:p w14:paraId="6441B4D0" w14:textId="77777777" w:rsidR="004861A1" w:rsidRPr="00BB0153" w:rsidRDefault="004861A1"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rPr>
                <w:b/>
                <w:color w:val="000000"/>
              </w:rPr>
            </w:pPr>
          </w:p>
        </w:tc>
        <w:tc>
          <w:tcPr>
            <w:tcW w:w="1530" w:type="dxa"/>
            <w:tcBorders>
              <w:top w:val="single" w:sz="8" w:space="0" w:color="000000"/>
              <w:left w:val="single" w:sz="7" w:space="0" w:color="000000"/>
              <w:bottom w:val="single" w:sz="7" w:space="0" w:color="000000"/>
              <w:right w:val="single" w:sz="7" w:space="0" w:color="000000"/>
            </w:tcBorders>
          </w:tcPr>
          <w:p w14:paraId="47C27BAF" w14:textId="77777777" w:rsidR="004861A1" w:rsidRPr="00BB0153" w:rsidRDefault="004861A1"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b/>
                <w:color w:val="000000"/>
              </w:rPr>
            </w:pPr>
          </w:p>
        </w:tc>
        <w:tc>
          <w:tcPr>
            <w:tcW w:w="1440" w:type="dxa"/>
            <w:tcBorders>
              <w:top w:val="single" w:sz="8" w:space="0" w:color="000000"/>
              <w:left w:val="single" w:sz="7" w:space="0" w:color="000000"/>
              <w:bottom w:val="single" w:sz="7" w:space="0" w:color="000000"/>
              <w:right w:val="single" w:sz="7" w:space="0" w:color="000000"/>
            </w:tcBorders>
          </w:tcPr>
          <w:p w14:paraId="0B0FC68A" w14:textId="77777777" w:rsidR="004861A1" w:rsidRPr="00BB0153" w:rsidRDefault="004861A1"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color w:val="000000"/>
              </w:rPr>
            </w:pPr>
          </w:p>
        </w:tc>
        <w:tc>
          <w:tcPr>
            <w:tcW w:w="1350" w:type="dxa"/>
            <w:tcBorders>
              <w:top w:val="single" w:sz="8" w:space="0" w:color="000000"/>
              <w:left w:val="single" w:sz="7" w:space="0" w:color="000000"/>
              <w:bottom w:val="single" w:sz="7" w:space="0" w:color="000000"/>
              <w:right w:val="single" w:sz="7" w:space="0" w:color="000000"/>
            </w:tcBorders>
          </w:tcPr>
          <w:p w14:paraId="77404710" w14:textId="77777777" w:rsidR="004861A1" w:rsidRPr="00BB0153" w:rsidRDefault="004861A1"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color w:val="000000"/>
              </w:rPr>
            </w:pPr>
          </w:p>
        </w:tc>
        <w:tc>
          <w:tcPr>
            <w:tcW w:w="2070" w:type="dxa"/>
            <w:tcBorders>
              <w:top w:val="single" w:sz="8" w:space="0" w:color="000000"/>
              <w:left w:val="single" w:sz="7" w:space="0" w:color="000000"/>
              <w:bottom w:val="single" w:sz="7" w:space="0" w:color="000000"/>
              <w:right w:val="single" w:sz="7" w:space="0" w:color="000000"/>
            </w:tcBorders>
          </w:tcPr>
          <w:p w14:paraId="77F33415" w14:textId="77777777" w:rsidR="004861A1" w:rsidRPr="00BB0153" w:rsidRDefault="004861A1" w:rsidP="00AE41D3">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58"/>
              <w:jc w:val="right"/>
              <w:rPr>
                <w:b/>
                <w:color w:val="000000"/>
              </w:rPr>
            </w:pPr>
            <w:r w:rsidRPr="00BB0153">
              <w:rPr>
                <w:b/>
                <w:color w:val="000000"/>
              </w:rPr>
              <w:t>82</w:t>
            </w:r>
          </w:p>
        </w:tc>
      </w:tr>
    </w:tbl>
    <w:p w14:paraId="3D68A830" w14:textId="77777777" w:rsidR="00792862" w:rsidRDefault="00792862" w:rsidP="00792862">
      <w:pPr>
        <w:rPr>
          <w:rFonts w:ascii="Arial" w:hAnsi="Arial"/>
          <w:b/>
        </w:rPr>
      </w:pPr>
    </w:p>
    <w:p w14:paraId="66786116" w14:textId="0B30FB14" w:rsidR="00792862" w:rsidRPr="00792862" w:rsidRDefault="00792862" w:rsidP="00792862">
      <w:pPr>
        <w:rPr>
          <w:rFonts w:ascii="Arial" w:hAnsi="Arial"/>
        </w:rPr>
      </w:pPr>
      <w:r w:rsidRPr="00792862">
        <w:rPr>
          <w:rFonts w:ascii="Arial" w:hAnsi="Arial"/>
          <w:b/>
        </w:rPr>
        <w:t xml:space="preserve">BURDEN </w:t>
      </w:r>
      <w:r>
        <w:rPr>
          <w:rFonts w:ascii="Arial" w:hAnsi="Arial"/>
          <w:b/>
        </w:rPr>
        <w:t>COST</w:t>
      </w:r>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2340"/>
        <w:gridCol w:w="1800"/>
        <w:gridCol w:w="2250"/>
      </w:tblGrid>
      <w:tr w:rsidR="00792862" w:rsidRPr="00792862" w14:paraId="17AF58D9" w14:textId="77777777" w:rsidTr="007B230E">
        <w:tc>
          <w:tcPr>
            <w:tcW w:w="2610" w:type="dxa"/>
          </w:tcPr>
          <w:p w14:paraId="0D06C8D6" w14:textId="77777777" w:rsidR="00792862" w:rsidRPr="00792862" w:rsidRDefault="00792862" w:rsidP="00792862">
            <w:pPr>
              <w:rPr>
                <w:rFonts w:ascii="Arial" w:hAnsi="Arial"/>
                <w:b/>
                <w:bCs/>
              </w:rPr>
            </w:pPr>
            <w:r w:rsidRPr="00792862">
              <w:rPr>
                <w:rFonts w:ascii="Arial" w:hAnsi="Arial"/>
                <w:b/>
                <w:bCs/>
              </w:rPr>
              <w:t>Activity – Data Collection</w:t>
            </w:r>
          </w:p>
        </w:tc>
        <w:tc>
          <w:tcPr>
            <w:tcW w:w="2340" w:type="dxa"/>
          </w:tcPr>
          <w:p w14:paraId="58537156" w14:textId="77777777" w:rsidR="00792862" w:rsidRPr="00792862" w:rsidRDefault="00792862" w:rsidP="00792862">
            <w:pPr>
              <w:rPr>
                <w:rFonts w:ascii="Arial" w:hAnsi="Arial"/>
                <w:b/>
                <w:bCs/>
              </w:rPr>
            </w:pPr>
            <w:r w:rsidRPr="00792862">
              <w:rPr>
                <w:rFonts w:ascii="Arial" w:hAnsi="Arial"/>
                <w:b/>
                <w:bCs/>
              </w:rPr>
              <w:t>Total Burden Hours</w:t>
            </w:r>
          </w:p>
        </w:tc>
        <w:tc>
          <w:tcPr>
            <w:tcW w:w="1800" w:type="dxa"/>
          </w:tcPr>
          <w:p w14:paraId="142FE7E8" w14:textId="77777777" w:rsidR="00792862" w:rsidRPr="00792862" w:rsidRDefault="00792862" w:rsidP="00792862">
            <w:pPr>
              <w:rPr>
                <w:rFonts w:ascii="Arial" w:hAnsi="Arial"/>
                <w:b/>
                <w:bCs/>
              </w:rPr>
            </w:pPr>
            <w:r w:rsidRPr="00792862">
              <w:rPr>
                <w:rFonts w:ascii="Arial" w:hAnsi="Arial"/>
                <w:b/>
                <w:bCs/>
              </w:rPr>
              <w:t>Hourly Wage Rate</w:t>
            </w:r>
          </w:p>
        </w:tc>
        <w:tc>
          <w:tcPr>
            <w:tcW w:w="2250" w:type="dxa"/>
          </w:tcPr>
          <w:p w14:paraId="0CE065D5" w14:textId="77777777" w:rsidR="00792862" w:rsidRPr="00792862" w:rsidRDefault="00792862" w:rsidP="00792862">
            <w:pPr>
              <w:rPr>
                <w:rFonts w:ascii="Arial" w:hAnsi="Arial"/>
                <w:b/>
                <w:bCs/>
              </w:rPr>
            </w:pPr>
            <w:r w:rsidRPr="00792862">
              <w:rPr>
                <w:rFonts w:ascii="Arial" w:hAnsi="Arial"/>
                <w:b/>
                <w:bCs/>
              </w:rPr>
              <w:t>Total Respondent Cost</w:t>
            </w:r>
          </w:p>
        </w:tc>
      </w:tr>
      <w:tr w:rsidR="00792862" w:rsidRPr="00792862" w14:paraId="5B171386" w14:textId="77777777" w:rsidTr="007B230E">
        <w:trPr>
          <w:trHeight w:val="314"/>
        </w:trPr>
        <w:tc>
          <w:tcPr>
            <w:tcW w:w="2610" w:type="dxa"/>
          </w:tcPr>
          <w:p w14:paraId="3CF046B6" w14:textId="77777777" w:rsidR="00792862" w:rsidRPr="00792862" w:rsidRDefault="00792862" w:rsidP="00792862">
            <w:pPr>
              <w:rPr>
                <w:rFonts w:ascii="Arial" w:hAnsi="Arial"/>
              </w:rPr>
            </w:pPr>
            <w:r w:rsidRPr="00792862">
              <w:rPr>
                <w:rFonts w:ascii="Arial" w:hAnsi="Arial"/>
                <w:b/>
              </w:rPr>
              <w:t>Group A:</w:t>
            </w:r>
            <w:r w:rsidRPr="00792862">
              <w:rPr>
                <w:rFonts w:ascii="Arial" w:hAnsi="Arial"/>
              </w:rPr>
              <w:t xml:space="preserve">  Construction Company Owners/Senior Executives and Equipment Purchasing Decision-Makers</w:t>
            </w:r>
          </w:p>
        </w:tc>
        <w:tc>
          <w:tcPr>
            <w:tcW w:w="2340" w:type="dxa"/>
          </w:tcPr>
          <w:p w14:paraId="68D591B3" w14:textId="77777777" w:rsidR="00792862" w:rsidRPr="00792862" w:rsidRDefault="00792862" w:rsidP="00792862">
            <w:pPr>
              <w:rPr>
                <w:rFonts w:ascii="Arial" w:hAnsi="Arial"/>
              </w:rPr>
            </w:pPr>
            <w:r w:rsidRPr="00792862">
              <w:rPr>
                <w:rFonts w:ascii="Arial" w:hAnsi="Arial"/>
              </w:rPr>
              <w:t>10</w:t>
            </w:r>
          </w:p>
        </w:tc>
        <w:tc>
          <w:tcPr>
            <w:tcW w:w="1800" w:type="dxa"/>
          </w:tcPr>
          <w:p w14:paraId="64437B35" w14:textId="77777777" w:rsidR="00792862" w:rsidRPr="00792862" w:rsidRDefault="00792862" w:rsidP="00792862">
            <w:pPr>
              <w:rPr>
                <w:rFonts w:ascii="Arial" w:hAnsi="Arial"/>
              </w:rPr>
            </w:pPr>
            <w:r w:rsidRPr="00792862">
              <w:rPr>
                <w:rFonts w:ascii="Arial" w:hAnsi="Arial"/>
              </w:rPr>
              <w:t>$49.57</w:t>
            </w:r>
          </w:p>
        </w:tc>
        <w:tc>
          <w:tcPr>
            <w:tcW w:w="2250" w:type="dxa"/>
          </w:tcPr>
          <w:p w14:paraId="0BDA91C6" w14:textId="77777777" w:rsidR="00792862" w:rsidRPr="00792862" w:rsidRDefault="00792862" w:rsidP="00792862">
            <w:pPr>
              <w:rPr>
                <w:rFonts w:ascii="Arial" w:hAnsi="Arial"/>
              </w:rPr>
            </w:pPr>
            <w:r w:rsidRPr="00792862">
              <w:rPr>
                <w:rFonts w:ascii="Arial" w:hAnsi="Arial"/>
              </w:rPr>
              <w:t>$496</w:t>
            </w:r>
          </w:p>
        </w:tc>
      </w:tr>
      <w:tr w:rsidR="00792862" w:rsidRPr="00792862" w14:paraId="5371A58C" w14:textId="77777777" w:rsidTr="007B230E">
        <w:trPr>
          <w:trHeight w:val="314"/>
        </w:trPr>
        <w:tc>
          <w:tcPr>
            <w:tcW w:w="2610" w:type="dxa"/>
          </w:tcPr>
          <w:p w14:paraId="1F54D72B" w14:textId="77777777" w:rsidR="00792862" w:rsidRPr="00792862" w:rsidRDefault="00792862" w:rsidP="00792862">
            <w:pPr>
              <w:rPr>
                <w:rFonts w:ascii="Arial" w:hAnsi="Arial"/>
              </w:rPr>
            </w:pPr>
            <w:r w:rsidRPr="00792862">
              <w:rPr>
                <w:rFonts w:ascii="Arial" w:hAnsi="Arial"/>
                <w:b/>
              </w:rPr>
              <w:t>Group B:</w:t>
            </w:r>
            <w:r w:rsidRPr="00792862">
              <w:rPr>
                <w:rFonts w:ascii="Arial" w:hAnsi="Arial"/>
              </w:rPr>
              <w:t xml:space="preserve">  Construction Supervisor/ Foremen</w:t>
            </w:r>
          </w:p>
        </w:tc>
        <w:tc>
          <w:tcPr>
            <w:tcW w:w="2340" w:type="dxa"/>
          </w:tcPr>
          <w:p w14:paraId="14CF5E25" w14:textId="77777777" w:rsidR="00792862" w:rsidRPr="00792862" w:rsidRDefault="00792862" w:rsidP="00792862">
            <w:pPr>
              <w:rPr>
                <w:rFonts w:ascii="Arial" w:hAnsi="Arial"/>
              </w:rPr>
            </w:pPr>
            <w:r w:rsidRPr="00792862">
              <w:rPr>
                <w:rFonts w:ascii="Arial" w:hAnsi="Arial"/>
              </w:rPr>
              <w:t>18</w:t>
            </w:r>
          </w:p>
        </w:tc>
        <w:tc>
          <w:tcPr>
            <w:tcW w:w="1800" w:type="dxa"/>
          </w:tcPr>
          <w:p w14:paraId="725B7CE4" w14:textId="77777777" w:rsidR="00792862" w:rsidRPr="00792862" w:rsidRDefault="00792862" w:rsidP="00792862">
            <w:pPr>
              <w:rPr>
                <w:rFonts w:ascii="Arial" w:hAnsi="Arial"/>
              </w:rPr>
            </w:pPr>
            <w:r w:rsidRPr="00792862">
              <w:rPr>
                <w:rFonts w:ascii="Arial" w:hAnsi="Arial"/>
              </w:rPr>
              <w:t>$33.91</w:t>
            </w:r>
          </w:p>
        </w:tc>
        <w:tc>
          <w:tcPr>
            <w:tcW w:w="2250" w:type="dxa"/>
          </w:tcPr>
          <w:p w14:paraId="3AD333A9" w14:textId="77777777" w:rsidR="00792862" w:rsidRPr="00792862" w:rsidRDefault="00792862" w:rsidP="00792862">
            <w:pPr>
              <w:rPr>
                <w:rFonts w:ascii="Arial" w:hAnsi="Arial"/>
              </w:rPr>
            </w:pPr>
            <w:r w:rsidRPr="00792862">
              <w:rPr>
                <w:rFonts w:ascii="Arial" w:hAnsi="Arial"/>
              </w:rPr>
              <w:t>$610</w:t>
            </w:r>
          </w:p>
        </w:tc>
      </w:tr>
      <w:tr w:rsidR="00792862" w:rsidRPr="00792862" w14:paraId="6C78BDE4" w14:textId="77777777" w:rsidTr="007B230E">
        <w:trPr>
          <w:trHeight w:val="314"/>
        </w:trPr>
        <w:tc>
          <w:tcPr>
            <w:tcW w:w="2610" w:type="dxa"/>
          </w:tcPr>
          <w:p w14:paraId="49E8CCD1" w14:textId="77777777" w:rsidR="00792862" w:rsidRPr="00792862" w:rsidRDefault="00792862" w:rsidP="00792862">
            <w:pPr>
              <w:rPr>
                <w:rFonts w:ascii="Arial" w:hAnsi="Arial"/>
              </w:rPr>
            </w:pPr>
            <w:r w:rsidRPr="00792862">
              <w:rPr>
                <w:rFonts w:ascii="Arial" w:hAnsi="Arial"/>
                <w:b/>
              </w:rPr>
              <w:t xml:space="preserve">Group C: </w:t>
            </w:r>
            <w:r w:rsidRPr="00792862">
              <w:rPr>
                <w:rFonts w:ascii="Arial" w:hAnsi="Arial"/>
              </w:rPr>
              <w:t>Construction Workers</w:t>
            </w:r>
          </w:p>
        </w:tc>
        <w:tc>
          <w:tcPr>
            <w:tcW w:w="2340" w:type="dxa"/>
          </w:tcPr>
          <w:p w14:paraId="0306496B" w14:textId="77777777" w:rsidR="00792862" w:rsidRPr="00792862" w:rsidRDefault="00792862" w:rsidP="00792862">
            <w:pPr>
              <w:rPr>
                <w:rFonts w:ascii="Arial" w:hAnsi="Arial"/>
              </w:rPr>
            </w:pPr>
            <w:r w:rsidRPr="00792862">
              <w:rPr>
                <w:rFonts w:ascii="Arial" w:hAnsi="Arial"/>
              </w:rPr>
              <w:t>54</w:t>
            </w:r>
          </w:p>
        </w:tc>
        <w:tc>
          <w:tcPr>
            <w:tcW w:w="1800" w:type="dxa"/>
          </w:tcPr>
          <w:p w14:paraId="233B3908" w14:textId="77777777" w:rsidR="00792862" w:rsidRPr="00792862" w:rsidRDefault="00792862" w:rsidP="00792862">
            <w:pPr>
              <w:rPr>
                <w:rFonts w:ascii="Arial" w:hAnsi="Arial"/>
              </w:rPr>
            </w:pPr>
            <w:r w:rsidRPr="00792862">
              <w:rPr>
                <w:rFonts w:ascii="Arial" w:hAnsi="Arial"/>
              </w:rPr>
              <w:t>$21.54</w:t>
            </w:r>
          </w:p>
        </w:tc>
        <w:tc>
          <w:tcPr>
            <w:tcW w:w="2250" w:type="dxa"/>
          </w:tcPr>
          <w:p w14:paraId="3207B35D" w14:textId="77777777" w:rsidR="00792862" w:rsidRPr="00792862" w:rsidRDefault="00792862" w:rsidP="00792862">
            <w:pPr>
              <w:rPr>
                <w:rFonts w:ascii="Arial" w:hAnsi="Arial"/>
              </w:rPr>
            </w:pPr>
            <w:r w:rsidRPr="00792862">
              <w:rPr>
                <w:rFonts w:ascii="Arial" w:hAnsi="Arial"/>
              </w:rPr>
              <w:t>$1,163</w:t>
            </w:r>
          </w:p>
        </w:tc>
      </w:tr>
      <w:tr w:rsidR="00792862" w:rsidRPr="00792862" w14:paraId="2993AC69" w14:textId="77777777" w:rsidTr="007B230E">
        <w:trPr>
          <w:trHeight w:val="314"/>
        </w:trPr>
        <w:tc>
          <w:tcPr>
            <w:tcW w:w="2610" w:type="dxa"/>
          </w:tcPr>
          <w:p w14:paraId="6F19BC20" w14:textId="77777777" w:rsidR="00792862" w:rsidRPr="00792862" w:rsidRDefault="00792862" w:rsidP="00792862">
            <w:pPr>
              <w:rPr>
                <w:rFonts w:ascii="Arial" w:hAnsi="Arial"/>
              </w:rPr>
            </w:pPr>
          </w:p>
        </w:tc>
        <w:tc>
          <w:tcPr>
            <w:tcW w:w="2340" w:type="dxa"/>
          </w:tcPr>
          <w:p w14:paraId="495311D5" w14:textId="77777777" w:rsidR="00792862" w:rsidRPr="00792862" w:rsidRDefault="00792862" w:rsidP="00792862">
            <w:pPr>
              <w:rPr>
                <w:rFonts w:ascii="Arial" w:hAnsi="Arial"/>
              </w:rPr>
            </w:pPr>
          </w:p>
        </w:tc>
        <w:tc>
          <w:tcPr>
            <w:tcW w:w="1800" w:type="dxa"/>
          </w:tcPr>
          <w:p w14:paraId="12DFFC1D" w14:textId="77777777" w:rsidR="00792862" w:rsidRPr="00792862" w:rsidRDefault="00792862" w:rsidP="00792862">
            <w:pPr>
              <w:rPr>
                <w:rFonts w:ascii="Arial" w:hAnsi="Arial"/>
                <w:b/>
              </w:rPr>
            </w:pPr>
            <w:r w:rsidRPr="00792862">
              <w:rPr>
                <w:rFonts w:ascii="Arial" w:hAnsi="Arial"/>
                <w:b/>
              </w:rPr>
              <w:t>Total</w:t>
            </w:r>
          </w:p>
        </w:tc>
        <w:tc>
          <w:tcPr>
            <w:tcW w:w="2250" w:type="dxa"/>
          </w:tcPr>
          <w:p w14:paraId="35D78EF2" w14:textId="77777777" w:rsidR="00792862" w:rsidRPr="00792862" w:rsidRDefault="00792862" w:rsidP="00792862">
            <w:pPr>
              <w:rPr>
                <w:rFonts w:ascii="Arial" w:hAnsi="Arial"/>
                <w:b/>
              </w:rPr>
            </w:pPr>
            <w:bookmarkStart w:id="4" w:name="_Hlk24447506"/>
            <w:r w:rsidRPr="00792862">
              <w:rPr>
                <w:rFonts w:ascii="Arial" w:hAnsi="Arial"/>
                <w:b/>
              </w:rPr>
              <w:t>$2,269</w:t>
            </w:r>
            <w:bookmarkEnd w:id="4"/>
          </w:p>
        </w:tc>
      </w:tr>
    </w:tbl>
    <w:p w14:paraId="441CD0BC" w14:textId="7E7866B1" w:rsidR="00B46F2C" w:rsidRDefault="00B46F2C" w:rsidP="00F3170F">
      <w:pPr>
        <w:rPr>
          <w:rFonts w:ascii="Arial" w:hAnsi="Arial"/>
        </w:rPr>
      </w:pPr>
    </w:p>
    <w:p w14:paraId="0975A8CC" w14:textId="4D9A653C" w:rsidR="00792862" w:rsidRPr="00B372FB" w:rsidRDefault="00792862" w:rsidP="00792862">
      <w:pPr>
        <w:rPr>
          <w:rFonts w:ascii="Arial" w:hAnsi="Arial"/>
          <w:b/>
        </w:rPr>
      </w:pPr>
      <w:r w:rsidRPr="00B372FB">
        <w:rPr>
          <w:rFonts w:ascii="Arial" w:hAnsi="Arial"/>
          <w:b/>
        </w:rPr>
        <w:t xml:space="preserve">FEDERAL COST:  </w:t>
      </w:r>
      <w:r w:rsidRPr="00B372FB">
        <w:rPr>
          <w:rFonts w:ascii="Arial" w:hAnsi="Arial"/>
        </w:rPr>
        <w:t xml:space="preserve">The estimated annual cost to the Federal government is </w:t>
      </w:r>
      <w:r w:rsidRPr="004861A1">
        <w:rPr>
          <w:rFonts w:ascii="Arial" w:hAnsi="Arial"/>
        </w:rPr>
        <w:t>$2</w:t>
      </w:r>
      <w:r>
        <w:rPr>
          <w:rFonts w:ascii="Arial" w:hAnsi="Arial"/>
        </w:rPr>
        <w:t>0</w:t>
      </w:r>
      <w:r w:rsidRPr="004861A1">
        <w:rPr>
          <w:rFonts w:ascii="Arial" w:hAnsi="Arial"/>
        </w:rPr>
        <w:t>,</w:t>
      </w:r>
      <w:r>
        <w:rPr>
          <w:rFonts w:ascii="Arial" w:hAnsi="Arial"/>
        </w:rPr>
        <w:t>320.</w:t>
      </w:r>
    </w:p>
    <w:p w14:paraId="6C0899F8" w14:textId="77777777" w:rsidR="00792862" w:rsidRPr="00B372FB" w:rsidRDefault="00792862" w:rsidP="00F3170F">
      <w:pPr>
        <w:rPr>
          <w:rFonts w:ascii="Arial" w:hAnsi="Arial"/>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1"/>
        <w:gridCol w:w="5040"/>
        <w:gridCol w:w="1619"/>
      </w:tblGrid>
      <w:tr w:rsidR="00792862" w:rsidRPr="00792862" w14:paraId="1CBE49BE" w14:textId="77777777" w:rsidTr="007B230E">
        <w:tc>
          <w:tcPr>
            <w:tcW w:w="1801" w:type="dxa"/>
          </w:tcPr>
          <w:p w14:paraId="669F871A" w14:textId="77777777" w:rsidR="00792862" w:rsidRPr="00792862" w:rsidRDefault="00792862" w:rsidP="00792862">
            <w:pPr>
              <w:rPr>
                <w:rFonts w:ascii="Arial" w:hAnsi="Arial"/>
                <w:b/>
                <w:bCs/>
              </w:rPr>
            </w:pPr>
            <w:r w:rsidRPr="00792862">
              <w:rPr>
                <w:rFonts w:ascii="Arial" w:hAnsi="Arial"/>
                <w:b/>
                <w:bCs/>
              </w:rPr>
              <w:t>Expense Type</w:t>
            </w:r>
          </w:p>
        </w:tc>
        <w:tc>
          <w:tcPr>
            <w:tcW w:w="5040" w:type="dxa"/>
          </w:tcPr>
          <w:p w14:paraId="110EE2F0" w14:textId="77777777" w:rsidR="00792862" w:rsidRPr="00792862" w:rsidRDefault="00792862" w:rsidP="00792862">
            <w:pPr>
              <w:rPr>
                <w:rFonts w:ascii="Arial" w:hAnsi="Arial"/>
                <w:b/>
              </w:rPr>
            </w:pPr>
            <w:r w:rsidRPr="00792862">
              <w:rPr>
                <w:rFonts w:ascii="Arial" w:hAnsi="Arial"/>
                <w:b/>
                <w:bCs/>
              </w:rPr>
              <w:t>Expense Explanation</w:t>
            </w:r>
          </w:p>
        </w:tc>
        <w:tc>
          <w:tcPr>
            <w:tcW w:w="1619" w:type="dxa"/>
          </w:tcPr>
          <w:p w14:paraId="0324D9A6" w14:textId="77777777" w:rsidR="00792862" w:rsidRPr="00792862" w:rsidRDefault="00792862" w:rsidP="00792862">
            <w:pPr>
              <w:rPr>
                <w:rFonts w:ascii="Arial" w:hAnsi="Arial"/>
                <w:b/>
              </w:rPr>
            </w:pPr>
          </w:p>
          <w:p w14:paraId="37BE5B38" w14:textId="77777777" w:rsidR="00792862" w:rsidRPr="00792862" w:rsidRDefault="00792862" w:rsidP="00792862">
            <w:pPr>
              <w:rPr>
                <w:rFonts w:ascii="Arial" w:hAnsi="Arial"/>
                <w:b/>
              </w:rPr>
            </w:pPr>
            <w:r w:rsidRPr="00792862">
              <w:rPr>
                <w:rFonts w:ascii="Arial" w:hAnsi="Arial"/>
                <w:b/>
                <w:bCs/>
              </w:rPr>
              <w:t>Annual Costs (dollars)</w:t>
            </w:r>
          </w:p>
        </w:tc>
      </w:tr>
      <w:tr w:rsidR="00792862" w:rsidRPr="00792862" w14:paraId="11BCB659" w14:textId="77777777" w:rsidTr="007B230E">
        <w:tc>
          <w:tcPr>
            <w:tcW w:w="1801" w:type="dxa"/>
          </w:tcPr>
          <w:p w14:paraId="4B1FB2B3" w14:textId="77777777" w:rsidR="00792862" w:rsidRPr="00792862" w:rsidRDefault="00792862" w:rsidP="00792862">
            <w:pPr>
              <w:rPr>
                <w:rFonts w:ascii="Arial" w:hAnsi="Arial"/>
                <w:b/>
              </w:rPr>
            </w:pPr>
            <w:r w:rsidRPr="00792862">
              <w:rPr>
                <w:rFonts w:ascii="Arial" w:hAnsi="Arial"/>
                <w:b/>
              </w:rPr>
              <w:t>Direct Costs to the Federal Government</w:t>
            </w:r>
          </w:p>
        </w:tc>
        <w:tc>
          <w:tcPr>
            <w:tcW w:w="5040" w:type="dxa"/>
            <w:vAlign w:val="center"/>
          </w:tcPr>
          <w:p w14:paraId="1A174B1B" w14:textId="77777777" w:rsidR="00792862" w:rsidRPr="00792862" w:rsidRDefault="00792862" w:rsidP="00792862">
            <w:pPr>
              <w:rPr>
                <w:rFonts w:ascii="Arial" w:hAnsi="Arial"/>
                <w:b/>
              </w:rPr>
            </w:pPr>
          </w:p>
        </w:tc>
        <w:tc>
          <w:tcPr>
            <w:tcW w:w="1619" w:type="dxa"/>
            <w:vAlign w:val="center"/>
          </w:tcPr>
          <w:p w14:paraId="0AA908A1" w14:textId="77777777" w:rsidR="00792862" w:rsidRPr="00792862" w:rsidRDefault="00792862" w:rsidP="00792862">
            <w:pPr>
              <w:rPr>
                <w:rFonts w:ascii="Arial" w:hAnsi="Arial"/>
                <w:b/>
              </w:rPr>
            </w:pPr>
          </w:p>
        </w:tc>
      </w:tr>
      <w:tr w:rsidR="00792862" w:rsidRPr="00792862" w14:paraId="3C4B0BAD" w14:textId="77777777" w:rsidTr="007B230E">
        <w:tc>
          <w:tcPr>
            <w:tcW w:w="1801" w:type="dxa"/>
          </w:tcPr>
          <w:p w14:paraId="0FAC2E1B" w14:textId="77777777" w:rsidR="00792862" w:rsidRPr="00792862" w:rsidRDefault="00792862" w:rsidP="00792862">
            <w:pPr>
              <w:rPr>
                <w:rFonts w:ascii="Arial" w:hAnsi="Arial"/>
                <w:b/>
              </w:rPr>
            </w:pPr>
          </w:p>
        </w:tc>
        <w:tc>
          <w:tcPr>
            <w:tcW w:w="5040" w:type="dxa"/>
            <w:vAlign w:val="center"/>
          </w:tcPr>
          <w:p w14:paraId="5B717702" w14:textId="77777777" w:rsidR="00792862" w:rsidRPr="00792862" w:rsidRDefault="00792862" w:rsidP="00792862">
            <w:pPr>
              <w:rPr>
                <w:rFonts w:ascii="Arial" w:hAnsi="Arial"/>
                <w:b/>
              </w:rPr>
            </w:pPr>
            <w:r w:rsidRPr="00792862">
              <w:rPr>
                <w:rFonts w:ascii="Arial" w:hAnsi="Arial"/>
                <w:b/>
              </w:rPr>
              <w:t>CDC Project Officer (GS-12/13, 0.25 FTE)</w:t>
            </w:r>
          </w:p>
        </w:tc>
        <w:tc>
          <w:tcPr>
            <w:tcW w:w="1619" w:type="dxa"/>
            <w:vAlign w:val="center"/>
          </w:tcPr>
          <w:p w14:paraId="2AEF6038" w14:textId="77777777" w:rsidR="00792862" w:rsidRPr="00792862" w:rsidRDefault="00792862" w:rsidP="00792862">
            <w:pPr>
              <w:rPr>
                <w:rFonts w:ascii="Arial" w:hAnsi="Arial"/>
                <w:b/>
              </w:rPr>
            </w:pPr>
            <w:r w:rsidRPr="00792862">
              <w:rPr>
                <w:rFonts w:ascii="Arial" w:hAnsi="Arial"/>
                <w:b/>
              </w:rPr>
              <w:t>$20,320</w:t>
            </w:r>
          </w:p>
        </w:tc>
      </w:tr>
      <w:tr w:rsidR="00792862" w:rsidRPr="00792862" w14:paraId="72FD0FED" w14:textId="77777777" w:rsidTr="007B230E">
        <w:tc>
          <w:tcPr>
            <w:tcW w:w="1801" w:type="dxa"/>
          </w:tcPr>
          <w:p w14:paraId="260BC2B1" w14:textId="77777777" w:rsidR="00792862" w:rsidRPr="00792862" w:rsidRDefault="00792862" w:rsidP="00792862">
            <w:pPr>
              <w:rPr>
                <w:rFonts w:ascii="Arial" w:hAnsi="Arial"/>
                <w:b/>
              </w:rPr>
            </w:pPr>
          </w:p>
        </w:tc>
        <w:tc>
          <w:tcPr>
            <w:tcW w:w="5040" w:type="dxa"/>
            <w:vAlign w:val="center"/>
          </w:tcPr>
          <w:p w14:paraId="2C38C7C9" w14:textId="77777777" w:rsidR="00792862" w:rsidRPr="00792862" w:rsidRDefault="00792862" w:rsidP="00792862">
            <w:pPr>
              <w:rPr>
                <w:rFonts w:ascii="Arial" w:hAnsi="Arial"/>
                <w:b/>
              </w:rPr>
            </w:pPr>
            <w:r w:rsidRPr="00792862">
              <w:rPr>
                <w:rFonts w:ascii="Arial" w:hAnsi="Arial"/>
                <w:b/>
              </w:rPr>
              <w:t>Subtotal, Direct costs</w:t>
            </w:r>
          </w:p>
        </w:tc>
        <w:tc>
          <w:tcPr>
            <w:tcW w:w="1619" w:type="dxa"/>
            <w:vAlign w:val="center"/>
          </w:tcPr>
          <w:p w14:paraId="19552870" w14:textId="77777777" w:rsidR="00792862" w:rsidRPr="00792862" w:rsidRDefault="00792862" w:rsidP="00792862">
            <w:pPr>
              <w:rPr>
                <w:rFonts w:ascii="Arial" w:hAnsi="Arial"/>
                <w:b/>
              </w:rPr>
            </w:pPr>
            <w:r w:rsidRPr="00792862">
              <w:rPr>
                <w:rFonts w:ascii="Arial" w:hAnsi="Arial"/>
                <w:b/>
              </w:rPr>
              <w:t>$20,320</w:t>
            </w:r>
          </w:p>
        </w:tc>
      </w:tr>
      <w:tr w:rsidR="00792862" w:rsidRPr="00792862" w14:paraId="56BEF9C1" w14:textId="77777777" w:rsidTr="007B230E">
        <w:tc>
          <w:tcPr>
            <w:tcW w:w="1801" w:type="dxa"/>
          </w:tcPr>
          <w:p w14:paraId="7158DC9F" w14:textId="77777777" w:rsidR="00792862" w:rsidRPr="00792862" w:rsidRDefault="00792862" w:rsidP="00792862">
            <w:pPr>
              <w:rPr>
                <w:rFonts w:ascii="Arial" w:hAnsi="Arial"/>
                <w:b/>
              </w:rPr>
            </w:pPr>
          </w:p>
        </w:tc>
        <w:tc>
          <w:tcPr>
            <w:tcW w:w="5040" w:type="dxa"/>
          </w:tcPr>
          <w:p w14:paraId="7914C4C2" w14:textId="77777777" w:rsidR="00792862" w:rsidRPr="00792862" w:rsidRDefault="00792862" w:rsidP="00792862">
            <w:pPr>
              <w:rPr>
                <w:rFonts w:ascii="Arial" w:hAnsi="Arial"/>
                <w:b/>
              </w:rPr>
            </w:pPr>
            <w:r w:rsidRPr="00792862">
              <w:rPr>
                <w:rFonts w:ascii="Arial" w:hAnsi="Arial"/>
                <w:b/>
              </w:rPr>
              <w:t>TOTAL COST TO THE GOVERNMENT</w:t>
            </w:r>
          </w:p>
        </w:tc>
        <w:tc>
          <w:tcPr>
            <w:tcW w:w="1619" w:type="dxa"/>
          </w:tcPr>
          <w:p w14:paraId="2CCD3034" w14:textId="77777777" w:rsidR="00792862" w:rsidRPr="00792862" w:rsidRDefault="00792862" w:rsidP="00792862">
            <w:pPr>
              <w:rPr>
                <w:rFonts w:ascii="Arial" w:hAnsi="Arial"/>
                <w:b/>
              </w:rPr>
            </w:pPr>
            <w:r w:rsidRPr="00792862">
              <w:rPr>
                <w:rFonts w:ascii="Arial" w:hAnsi="Arial"/>
                <w:b/>
              </w:rPr>
              <w:t>$20,320</w:t>
            </w:r>
          </w:p>
        </w:tc>
      </w:tr>
    </w:tbl>
    <w:p w14:paraId="7E887FD8" w14:textId="77777777" w:rsidR="00B46F2C" w:rsidRPr="00B372FB" w:rsidRDefault="00B46F2C">
      <w:pPr>
        <w:rPr>
          <w:rFonts w:ascii="Arial" w:hAnsi="Arial"/>
          <w:b/>
          <w:bCs/>
          <w:u w:val="single"/>
        </w:rPr>
      </w:pPr>
    </w:p>
    <w:p w14:paraId="559D6E1D" w14:textId="77777777" w:rsidR="00B46F2C" w:rsidRPr="00846B36" w:rsidRDefault="00B46F2C" w:rsidP="00F06866">
      <w:pPr>
        <w:rPr>
          <w:rFonts w:ascii="Arial" w:hAnsi="Arial"/>
          <w:b/>
        </w:rPr>
      </w:pPr>
      <w:r w:rsidRPr="00846B36">
        <w:rPr>
          <w:rFonts w:ascii="Arial" w:hAnsi="Arial"/>
          <w:b/>
          <w:bCs/>
        </w:rPr>
        <w:t>If you are conducting a focus group, survey, or plan to employ statistical methods, please provide answers to the following questions:</w:t>
      </w:r>
    </w:p>
    <w:p w14:paraId="13963710" w14:textId="77777777" w:rsidR="00B46F2C" w:rsidRPr="00B372FB" w:rsidRDefault="00B46F2C" w:rsidP="00F06866">
      <w:pPr>
        <w:rPr>
          <w:rFonts w:ascii="Arial" w:hAnsi="Arial"/>
          <w:b/>
        </w:rPr>
      </w:pPr>
      <w:r w:rsidRPr="00B372FB">
        <w:rPr>
          <w:rFonts w:ascii="Arial" w:hAnsi="Arial"/>
          <w:b/>
        </w:rPr>
        <w:t>The selection of your targeted respondents</w:t>
      </w:r>
    </w:p>
    <w:p w14:paraId="04CB2334" w14:textId="77777777" w:rsidR="00B46F2C" w:rsidRPr="00B372FB" w:rsidRDefault="00B46F2C" w:rsidP="0069403B">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 ] Yes</w:t>
      </w:r>
      <w:r w:rsidRPr="00B372FB">
        <w:rPr>
          <w:rFonts w:ascii="Arial" w:hAnsi="Arial"/>
        </w:rPr>
        <w:tab/>
        <w:t>[</w:t>
      </w:r>
      <w:r w:rsidR="003A59D4">
        <w:rPr>
          <w:rFonts w:ascii="Arial" w:hAnsi="Arial"/>
        </w:rPr>
        <w:t>X</w:t>
      </w:r>
      <w:r w:rsidRPr="00B372FB">
        <w:rPr>
          <w:rFonts w:ascii="Arial" w:hAnsi="Arial"/>
        </w:rPr>
        <w:t>] No</w:t>
      </w:r>
    </w:p>
    <w:p w14:paraId="001232D3" w14:textId="77777777" w:rsidR="00B46F2C" w:rsidRPr="00B372FB" w:rsidRDefault="00B46F2C" w:rsidP="00636621">
      <w:pPr>
        <w:pStyle w:val="ListParagraph"/>
        <w:rPr>
          <w:rFonts w:ascii="Arial" w:hAnsi="Arial"/>
        </w:rPr>
      </w:pPr>
    </w:p>
    <w:p w14:paraId="04911D2F" w14:textId="74E0A5AB" w:rsidR="00B46F2C" w:rsidRDefault="00B46F2C" w:rsidP="004861A1">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14:paraId="1D11DA02" w14:textId="77777777" w:rsidR="004861A1" w:rsidRPr="004861A1" w:rsidRDefault="004861A1" w:rsidP="004861A1">
      <w:pPr>
        <w:rPr>
          <w:rFonts w:ascii="Arial" w:hAnsi="Arial"/>
        </w:rPr>
      </w:pPr>
      <w:r w:rsidRPr="004861A1">
        <w:rPr>
          <w:rFonts w:ascii="Arial" w:hAnsi="Arial"/>
          <w:i/>
        </w:rPr>
        <w:t>Group A:  Construction Company Owners/Senior Executives and Equipment Purchasing Decision-Makers</w:t>
      </w:r>
      <w:bookmarkStart w:id="5" w:name="_Hlk23749245"/>
      <w:r w:rsidRPr="004861A1">
        <w:rPr>
          <w:rFonts w:ascii="Arial" w:hAnsi="Arial"/>
          <w:i/>
        </w:rPr>
        <w:t xml:space="preserve"> – </w:t>
      </w:r>
      <w:bookmarkEnd w:id="5"/>
      <w:r w:rsidRPr="004861A1">
        <w:rPr>
          <w:rFonts w:ascii="Arial" w:hAnsi="Arial"/>
        </w:rPr>
        <w:t>These individuals will be recruited from databases belonging to recruiters employed by The Hannon Group.  These databases consist of companies, contact names, and/or contact information of potential respondents (Company Owners/Senior Executives and Equipment Purchasing Decision-Makers) across the United States.  After contact is made, recruiters will ask them screening questions via telephone in order to ensure that they are qualified to participate in this study.  Those who are qualified will be asked to participate in a one-on-one in-depth interview (IDI).</w:t>
      </w:r>
    </w:p>
    <w:p w14:paraId="50E53892" w14:textId="77777777" w:rsidR="004861A1" w:rsidRPr="004861A1" w:rsidRDefault="004861A1" w:rsidP="004861A1">
      <w:pPr>
        <w:rPr>
          <w:rFonts w:ascii="Arial" w:hAnsi="Arial"/>
        </w:rPr>
      </w:pPr>
      <w:r w:rsidRPr="004861A1">
        <w:rPr>
          <w:rFonts w:ascii="Arial" w:hAnsi="Arial"/>
          <w:i/>
        </w:rPr>
        <w:t xml:space="preserve">Group B:  Construction Supervisor/Foremen – </w:t>
      </w:r>
      <w:r w:rsidRPr="004861A1">
        <w:rPr>
          <w:rFonts w:ascii="Arial" w:hAnsi="Arial"/>
        </w:rPr>
        <w:t xml:space="preserve">These individuals will be recruited from databases belonging to a focus group facility retained by The Hannon Group to recruit, schedule, and host the Construction Supervisor/Foremen focus group.  These databases consist of companies, contact names, and/or contact information of potential respondents (Construction Supervisors and Foremen) in the Greater Baltimore/Washington D.C. area.  After contact is made, recruiters will ask them screening questions via telephone in order to ensure that they are qualified to participate in this study. Those who are qualified will be asked to participate in an in-person focus group.  </w:t>
      </w:r>
    </w:p>
    <w:p w14:paraId="04B81B93" w14:textId="77777777" w:rsidR="004861A1" w:rsidRPr="004861A1" w:rsidRDefault="004861A1" w:rsidP="004861A1">
      <w:pPr>
        <w:rPr>
          <w:rFonts w:ascii="Arial" w:hAnsi="Arial"/>
        </w:rPr>
      </w:pPr>
      <w:r w:rsidRPr="004861A1">
        <w:rPr>
          <w:rFonts w:ascii="Arial" w:hAnsi="Arial"/>
          <w:i/>
        </w:rPr>
        <w:t xml:space="preserve">Group C: Construction Workers – </w:t>
      </w:r>
      <w:r w:rsidRPr="004861A1">
        <w:rPr>
          <w:rFonts w:ascii="Arial" w:hAnsi="Arial"/>
        </w:rPr>
        <w:t xml:space="preserve">These individuals will be recruited from databases belonging to a focus group facility as well as from databases and the network of an independent qualitative researcher retained by The Hannon Group to recruit, schedule, and host the Construction Worker focus groups.  These databases and networks consist of companies, contact names, and /or contact information of potential respondents (Construction Workers) in the Greater Baltimore/Washington D.C. area.  After contact is made, recruiters will ask them screening questions via telephone or in person in order to ensure that they are qualified to participate in this study.  Those who are qualified will be asked to participate in an in-person focus group.  </w:t>
      </w:r>
    </w:p>
    <w:p w14:paraId="69408076" w14:textId="6A8D2C12" w:rsidR="004861A1" w:rsidRDefault="004861A1" w:rsidP="004861A1">
      <w:pPr>
        <w:rPr>
          <w:rFonts w:ascii="Arial" w:hAnsi="Arial"/>
        </w:rPr>
      </w:pPr>
    </w:p>
    <w:p w14:paraId="44E09C62" w14:textId="77777777" w:rsidR="004861A1" w:rsidRPr="00B372FB" w:rsidRDefault="004861A1" w:rsidP="004861A1">
      <w:pPr>
        <w:rPr>
          <w:rFonts w:ascii="Arial" w:hAnsi="Arial"/>
          <w:b/>
        </w:rPr>
      </w:pPr>
    </w:p>
    <w:p w14:paraId="4E19405B" w14:textId="77777777" w:rsidR="00B46F2C" w:rsidRPr="00B372FB" w:rsidRDefault="00B46F2C" w:rsidP="00A403BB">
      <w:pPr>
        <w:rPr>
          <w:rFonts w:ascii="Arial" w:hAnsi="Arial"/>
          <w:b/>
        </w:rPr>
      </w:pPr>
      <w:r w:rsidRPr="00B372FB">
        <w:rPr>
          <w:rFonts w:ascii="Arial" w:hAnsi="Arial"/>
          <w:b/>
        </w:rPr>
        <w:t>Administration of the Instrument</w:t>
      </w:r>
    </w:p>
    <w:p w14:paraId="39C6CA4F" w14:textId="77777777" w:rsidR="00B46F2C" w:rsidRPr="00B372FB" w:rsidRDefault="00B46F2C" w:rsidP="00A403BB">
      <w:pPr>
        <w:pStyle w:val="ListParagraph"/>
        <w:numPr>
          <w:ilvl w:val="0"/>
          <w:numId w:val="17"/>
        </w:numPr>
        <w:rPr>
          <w:rFonts w:ascii="Arial" w:hAnsi="Arial"/>
        </w:rPr>
      </w:pPr>
      <w:r w:rsidRPr="00B372FB">
        <w:rPr>
          <w:rFonts w:ascii="Arial" w:hAnsi="Arial"/>
        </w:rPr>
        <w:t>How will you collect the information? (Check all that apply)</w:t>
      </w:r>
    </w:p>
    <w:p w14:paraId="1A4C1E14" w14:textId="77777777" w:rsidR="00B46F2C" w:rsidRPr="00B372FB" w:rsidRDefault="00B46F2C" w:rsidP="001B0AAA">
      <w:pPr>
        <w:ind w:left="720"/>
        <w:rPr>
          <w:rFonts w:ascii="Arial" w:hAnsi="Arial"/>
        </w:rPr>
      </w:pPr>
      <w:r w:rsidRPr="00B372FB">
        <w:rPr>
          <w:rFonts w:ascii="Arial" w:hAnsi="Arial"/>
        </w:rPr>
        <w:t xml:space="preserve">[  ] Web-based or other forms of Social Media </w:t>
      </w:r>
    </w:p>
    <w:p w14:paraId="752AB5E3" w14:textId="30B5E18B" w:rsidR="00B46F2C" w:rsidRPr="00B372FB" w:rsidRDefault="00B46F2C" w:rsidP="001B0AAA">
      <w:pPr>
        <w:ind w:left="720"/>
        <w:rPr>
          <w:rFonts w:ascii="Arial" w:hAnsi="Arial"/>
        </w:rPr>
      </w:pPr>
      <w:r w:rsidRPr="00B372FB">
        <w:rPr>
          <w:rFonts w:ascii="Arial" w:hAnsi="Arial"/>
        </w:rPr>
        <w:t>[</w:t>
      </w:r>
      <w:r w:rsidR="00177BC6">
        <w:rPr>
          <w:rFonts w:ascii="Arial" w:hAnsi="Arial"/>
        </w:rPr>
        <w:t>X</w:t>
      </w:r>
      <w:r w:rsidRPr="00B372FB">
        <w:rPr>
          <w:rFonts w:ascii="Arial" w:hAnsi="Arial"/>
        </w:rPr>
        <w:t xml:space="preserve">  ] Telephone</w:t>
      </w:r>
      <w:r w:rsidRPr="00B372FB">
        <w:rPr>
          <w:rFonts w:ascii="Arial" w:hAnsi="Arial"/>
        </w:rPr>
        <w:tab/>
      </w:r>
    </w:p>
    <w:p w14:paraId="0290B064" w14:textId="00490202" w:rsidR="00B46F2C" w:rsidRPr="00B372FB" w:rsidRDefault="00B46F2C" w:rsidP="001B0AAA">
      <w:pPr>
        <w:ind w:left="720"/>
        <w:rPr>
          <w:rFonts w:ascii="Arial" w:hAnsi="Arial"/>
        </w:rPr>
      </w:pPr>
      <w:r w:rsidRPr="00B372FB">
        <w:rPr>
          <w:rFonts w:ascii="Arial" w:hAnsi="Arial"/>
        </w:rPr>
        <w:t>[</w:t>
      </w:r>
      <w:r w:rsidR="004625AE">
        <w:rPr>
          <w:rFonts w:ascii="Arial" w:hAnsi="Arial"/>
        </w:rPr>
        <w:t>X</w:t>
      </w:r>
      <w:r w:rsidRPr="00B372FB">
        <w:rPr>
          <w:rFonts w:ascii="Arial" w:hAnsi="Arial"/>
        </w:rPr>
        <w:t>] In-person</w:t>
      </w:r>
      <w:r w:rsidRPr="00B372FB">
        <w:rPr>
          <w:rFonts w:ascii="Arial" w:hAnsi="Arial"/>
        </w:rPr>
        <w:tab/>
      </w:r>
    </w:p>
    <w:p w14:paraId="03CBA79A" w14:textId="77777777" w:rsidR="00B46F2C" w:rsidRPr="00B372FB" w:rsidRDefault="00B46F2C" w:rsidP="001B0AAA">
      <w:pPr>
        <w:ind w:left="720"/>
        <w:rPr>
          <w:rFonts w:ascii="Arial" w:hAnsi="Arial"/>
        </w:rPr>
      </w:pPr>
      <w:r w:rsidRPr="00B372FB">
        <w:rPr>
          <w:rFonts w:ascii="Arial" w:hAnsi="Arial"/>
        </w:rPr>
        <w:t xml:space="preserve">[  ] Mail </w:t>
      </w:r>
    </w:p>
    <w:p w14:paraId="36E96610" w14:textId="5584CF45" w:rsidR="00B46F2C" w:rsidRDefault="00B46F2C" w:rsidP="001B0AAA">
      <w:pPr>
        <w:ind w:left="720"/>
        <w:rPr>
          <w:rFonts w:ascii="Arial" w:hAnsi="Arial"/>
        </w:rPr>
      </w:pPr>
      <w:r w:rsidRPr="00B372FB">
        <w:rPr>
          <w:rFonts w:ascii="Arial" w:hAnsi="Arial"/>
        </w:rPr>
        <w:t>[] Other, Explain</w:t>
      </w:r>
    </w:p>
    <w:p w14:paraId="373CFBFF" w14:textId="691E6C7A" w:rsidR="00B46F2C" w:rsidRPr="00B372FB" w:rsidRDefault="00B46F2C" w:rsidP="00F24CFC">
      <w:pPr>
        <w:pStyle w:val="ListParagraph"/>
        <w:numPr>
          <w:ilvl w:val="0"/>
          <w:numId w:val="17"/>
        </w:numPr>
        <w:rPr>
          <w:rFonts w:ascii="Arial" w:hAnsi="Arial"/>
        </w:rPr>
      </w:pPr>
      <w:r w:rsidRPr="00B372FB">
        <w:rPr>
          <w:rFonts w:ascii="Arial" w:hAnsi="Arial"/>
        </w:rPr>
        <w:t xml:space="preserve">Will interviewers or facilitators be used?  [ ] Yes [ </w:t>
      </w:r>
      <w:r w:rsidR="00EA3CC3">
        <w:rPr>
          <w:rFonts w:ascii="Arial" w:hAnsi="Arial"/>
        </w:rPr>
        <w:t>X</w:t>
      </w:r>
      <w:r w:rsidRPr="00B372FB">
        <w:rPr>
          <w:rFonts w:ascii="Arial" w:hAnsi="Arial"/>
        </w:rPr>
        <w:t xml:space="preserve"> ] No</w:t>
      </w:r>
    </w:p>
    <w:p w14:paraId="3A899980" w14:textId="2D9237AE" w:rsidR="00B46F2C" w:rsidRDefault="00B46F2C" w:rsidP="0024521E">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14:paraId="4BD2A0B6" w14:textId="77777777" w:rsidR="00D90EC9" w:rsidRDefault="00D90EC9">
      <w:pPr>
        <w:rPr>
          <w:rFonts w:ascii="Arial" w:eastAsiaTheme="majorEastAsia" w:hAnsi="Arial" w:cstheme="majorBidi"/>
          <w:sz w:val="28"/>
          <w:szCs w:val="32"/>
        </w:rPr>
      </w:pPr>
      <w:r>
        <w:rPr>
          <w:rFonts w:ascii="Arial" w:hAnsi="Arial"/>
          <w:sz w:val="28"/>
        </w:rPr>
        <w:br w:type="page"/>
      </w:r>
    </w:p>
    <w:p w14:paraId="6A6C3E75" w14:textId="77777777" w:rsidR="00A13253" w:rsidRDefault="00B46F2C" w:rsidP="00F24CFC">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sidR="00A13253">
        <w:rPr>
          <w:rFonts w:ascii="Arial" w:hAnsi="Arial"/>
          <w:sz w:val="28"/>
        </w:rPr>
        <w:t>for</w:t>
      </w:r>
      <w:r w:rsidR="001E5F40">
        <w:rPr>
          <w:rFonts w:ascii="Arial" w:hAnsi="Arial"/>
          <w:sz w:val="28"/>
        </w:rPr>
        <w:t xml:space="preserve"> </w:t>
      </w:r>
    </w:p>
    <w:p w14:paraId="55A4EE43" w14:textId="77777777" w:rsidR="00B46F2C" w:rsidRPr="00B372FB" w:rsidRDefault="00A13253" w:rsidP="00F24CFC">
      <w:pPr>
        <w:pStyle w:val="Heading2"/>
        <w:tabs>
          <w:tab w:val="left" w:pos="900"/>
        </w:tabs>
        <w:ind w:right="-180"/>
        <w:rPr>
          <w:rFonts w:ascii="Arial" w:hAnsi="Arial"/>
        </w:rPr>
      </w:pPr>
      <w:r>
        <w:rPr>
          <w:rFonts w:ascii="Arial" w:hAnsi="Arial"/>
          <w:sz w:val="28"/>
        </w:rPr>
        <w:t>CDC/ATSDR Formative Research and Tool Development</w:t>
      </w:r>
      <w:r w:rsidR="00B46F2C" w:rsidRPr="00B372FB">
        <w:rPr>
          <w:rFonts w:ascii="Arial" w:hAnsi="Arial"/>
          <w:sz w:val="28"/>
        </w:rPr>
        <w:t xml:space="preserve"> </w:t>
      </w:r>
    </w:p>
    <w:p w14:paraId="33555F6D" w14:textId="77777777" w:rsidR="00B85006" w:rsidRDefault="00B85006" w:rsidP="00F24CFC">
      <w:pPr>
        <w:rPr>
          <w:rFonts w:ascii="Arial" w:hAnsi="Arial"/>
          <w:b/>
        </w:rPr>
      </w:pPr>
    </w:p>
    <w:p w14:paraId="6D3A9F54" w14:textId="77777777" w:rsidR="00B46F2C" w:rsidRPr="00B372FB" w:rsidRDefault="00E2594A" w:rsidP="00F24CFC">
      <w:pPr>
        <w:rPr>
          <w:rFonts w:ascii="Arial" w:hAnsi="Arial"/>
        </w:rPr>
      </w:pPr>
      <w:r w:rsidRPr="00B372FB">
        <w:rPr>
          <w:rFonts w:ascii="Arial" w:hAnsi="Arial"/>
          <w:noProof/>
        </w:rPr>
        <mc:AlternateContent>
          <mc:Choice Requires="wps">
            <w:drawing>
              <wp:anchor distT="0" distB="0" distL="114300" distR="114300" simplePos="0" relativeHeight="251659264" behindDoc="0" locked="0" layoutInCell="0" allowOverlap="1" wp14:anchorId="20F1940D" wp14:editId="6EC98AB7">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4B3BB9"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r w:rsidR="00B46F2C" w:rsidRPr="00B372FB">
        <w:rPr>
          <w:rFonts w:ascii="Arial" w:hAnsi="Arial"/>
          <w:b/>
        </w:rPr>
        <w:t>TITLE OF INFORMATION COLLECTION:</w:t>
      </w:r>
      <w:r w:rsidR="00B46F2C" w:rsidRPr="00B372FB">
        <w:rPr>
          <w:rFonts w:ascii="Arial" w:hAnsi="Arial"/>
        </w:rPr>
        <w:t xml:space="preserve">  Provide the name of the collection that is request</w:t>
      </w:r>
      <w:r w:rsidR="00C1435C">
        <w:rPr>
          <w:rFonts w:ascii="Arial" w:hAnsi="Arial"/>
        </w:rPr>
        <w:t>ed</w:t>
      </w:r>
      <w:r w:rsidR="00B46F2C" w:rsidRPr="00B372FB">
        <w:rPr>
          <w:rFonts w:ascii="Arial" w:hAnsi="Arial"/>
        </w:rPr>
        <w:t xml:space="preserve">. </w:t>
      </w:r>
    </w:p>
    <w:p w14:paraId="7CFF4556" w14:textId="77777777" w:rsidR="00B46F2C" w:rsidRPr="00B372FB" w:rsidRDefault="00B46F2C" w:rsidP="00F24CFC">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14:paraId="6813DCC4" w14:textId="77777777" w:rsidR="00B46F2C" w:rsidRPr="00B372FB" w:rsidRDefault="00B46F2C" w:rsidP="001E5F40">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14:paraId="5D093407" w14:textId="77777777" w:rsidR="00B46F2C" w:rsidRPr="00B372FB" w:rsidRDefault="00B46F2C" w:rsidP="00F24CFC">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14:paraId="451DCECE" w14:textId="77777777" w:rsidR="00B46F2C" w:rsidRPr="00B372FB" w:rsidRDefault="00B46F2C" w:rsidP="00F24CFC">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14:paraId="23937BA5" w14:textId="77777777" w:rsidR="00B46F2C" w:rsidRPr="00B372FB" w:rsidRDefault="00B46F2C" w:rsidP="008F50D4">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14:paraId="6BFB355E" w14:textId="77777777" w:rsidR="00B46F2C" w:rsidRPr="00B372FB" w:rsidRDefault="00B46F2C" w:rsidP="00F24CFC">
      <w:pPr>
        <w:rPr>
          <w:rFonts w:ascii="Arial" w:hAnsi="Arial"/>
          <w:b/>
        </w:rPr>
      </w:pPr>
    </w:p>
    <w:p w14:paraId="1F3B3B7B" w14:textId="77777777" w:rsidR="00B46F2C" w:rsidRPr="00B372FB" w:rsidRDefault="00B46F2C" w:rsidP="00F24CFC">
      <w:pPr>
        <w:rPr>
          <w:rFonts w:ascii="Arial" w:hAnsi="Arial"/>
          <w:b/>
        </w:rPr>
      </w:pPr>
      <w:r w:rsidRPr="00B372FB">
        <w:rPr>
          <w:rFonts w:ascii="Arial" w:hAnsi="Arial"/>
          <w:b/>
        </w:rPr>
        <w:t>BURDEN HOURS:</w:t>
      </w:r>
    </w:p>
    <w:p w14:paraId="3E65998D" w14:textId="77777777" w:rsidR="00B46F2C" w:rsidRPr="00B372FB" w:rsidRDefault="00B46F2C" w:rsidP="00F24CFC">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14:paraId="5AC09515" w14:textId="77777777" w:rsidR="001E5F40" w:rsidRDefault="001E5F40" w:rsidP="00F24CFC">
      <w:pPr>
        <w:rPr>
          <w:rFonts w:ascii="Arial" w:hAnsi="Arial"/>
        </w:rPr>
      </w:pPr>
      <w:r>
        <w:rPr>
          <w:rFonts w:ascii="Arial" w:hAnsi="Arial"/>
          <w:b/>
        </w:rPr>
        <w:t xml:space="preserve">Form: </w:t>
      </w:r>
      <w:r>
        <w:rPr>
          <w:rFonts w:ascii="Arial" w:hAnsi="Arial"/>
        </w:rPr>
        <w:t>Provide the title of the information collection form.</w:t>
      </w:r>
    </w:p>
    <w:p w14:paraId="29241ED2" w14:textId="77777777" w:rsidR="00B46F2C" w:rsidRPr="00B372FB" w:rsidRDefault="00B46F2C" w:rsidP="00F24CFC">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14:paraId="69BF301C" w14:textId="77777777" w:rsidR="00B46F2C" w:rsidRPr="00B372FB" w:rsidRDefault="00B46F2C" w:rsidP="00F24CFC">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14:paraId="66A5897F" w14:textId="77777777" w:rsidR="00B46F2C" w:rsidRPr="00B372FB" w:rsidRDefault="00B46F2C" w:rsidP="00F24CFC">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14:paraId="7798B97B" w14:textId="77777777" w:rsidR="00B46F2C" w:rsidRPr="00B372FB" w:rsidRDefault="00B46F2C" w:rsidP="00F24CFC">
      <w:pPr>
        <w:rPr>
          <w:rFonts w:ascii="Arial" w:hAnsi="Arial"/>
          <w:b/>
        </w:rPr>
      </w:pPr>
      <w:r w:rsidRPr="00B372FB">
        <w:rPr>
          <w:rFonts w:ascii="Arial" w:hAnsi="Arial"/>
          <w:b/>
        </w:rPr>
        <w:t xml:space="preserve">FEDERAL COST: </w:t>
      </w:r>
      <w:r w:rsidR="00C1435C" w:rsidRP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14:paraId="3910968D" w14:textId="77777777" w:rsidR="00B46F2C" w:rsidRPr="00B372FB" w:rsidRDefault="00B46F2C" w:rsidP="00F24CFC">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14:paraId="4C6C643B" w14:textId="77777777" w:rsidR="00B46F2C" w:rsidRPr="00B372FB" w:rsidRDefault="00B46F2C" w:rsidP="00F24CFC">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14:paraId="754E106F" w14:textId="77777777" w:rsidR="00B46F2C" w:rsidRPr="00B372FB" w:rsidRDefault="00B46F2C" w:rsidP="00F24CFC">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R="00B46F2C" w:rsidRPr="00B372FB"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8F08D5" w14:textId="77777777" w:rsidR="009E72C0" w:rsidRDefault="009E72C0">
      <w:r>
        <w:separator/>
      </w:r>
    </w:p>
  </w:endnote>
  <w:endnote w:type="continuationSeparator" w:id="0">
    <w:p w14:paraId="17305379" w14:textId="77777777" w:rsidR="009E72C0" w:rsidRDefault="009E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5D823" w14:textId="24169FC3" w:rsidR="001E5F40" w:rsidRDefault="001E5F4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2067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2805AF" w14:textId="77777777" w:rsidR="009E72C0" w:rsidRDefault="009E72C0">
      <w:r>
        <w:separator/>
      </w:r>
    </w:p>
  </w:footnote>
  <w:footnote w:type="continuationSeparator" w:id="0">
    <w:p w14:paraId="6967CCC3" w14:textId="77777777" w:rsidR="009E72C0" w:rsidRDefault="009E72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3F01102"/>
    <w:multiLevelType w:val="hybridMultilevel"/>
    <w:tmpl w:val="CB343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57645C04"/>
    <w:multiLevelType w:val="hybridMultilevel"/>
    <w:tmpl w:val="8E9A2B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3"/>
  </w:num>
  <w:num w:numId="6">
    <w:abstractNumId w:val="1"/>
  </w:num>
  <w:num w:numId="7">
    <w:abstractNumId w:val="9"/>
  </w:num>
  <w:num w:numId="8">
    <w:abstractNumId w:val="16"/>
  </w:num>
  <w:num w:numId="9">
    <w:abstractNumId w:val="10"/>
  </w:num>
  <w:num w:numId="10">
    <w:abstractNumId w:val="2"/>
  </w:num>
  <w:num w:numId="11">
    <w:abstractNumId w:val="6"/>
  </w:num>
  <w:num w:numId="12">
    <w:abstractNumId w:val="7"/>
  </w:num>
  <w:num w:numId="13">
    <w:abstractNumId w:val="0"/>
  </w:num>
  <w:num w:numId="14">
    <w:abstractNumId w:val="17"/>
  </w:num>
  <w:num w:numId="15">
    <w:abstractNumId w:val="15"/>
  </w:num>
  <w:num w:numId="16">
    <w:abstractNumId w:val="13"/>
  </w:num>
  <w:num w:numId="17">
    <w:abstractNumId w:val="4"/>
  </w:num>
  <w:num w:numId="18">
    <w:abstractNumId w:val="5"/>
  </w:num>
  <w:num w:numId="19">
    <w:abstractNumId w:val="8"/>
  </w:num>
  <w:num w:numId="20">
    <w:abstractNumId w:val="1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AmIDYzNzAzMjI1NDSyUdpeDU4uLM/DyQAsNaAFy+jggsAAAA"/>
  </w:docVars>
  <w:rsids>
    <w:rsidRoot w:val="00D6383F"/>
    <w:rsid w:val="0002067A"/>
    <w:rsid w:val="00023A57"/>
    <w:rsid w:val="0003785F"/>
    <w:rsid w:val="00047A64"/>
    <w:rsid w:val="00063E98"/>
    <w:rsid w:val="00067329"/>
    <w:rsid w:val="00070863"/>
    <w:rsid w:val="0009032D"/>
    <w:rsid w:val="000B2838"/>
    <w:rsid w:val="000B7922"/>
    <w:rsid w:val="000D44CA"/>
    <w:rsid w:val="000E200B"/>
    <w:rsid w:val="000F68BE"/>
    <w:rsid w:val="00103B68"/>
    <w:rsid w:val="00122558"/>
    <w:rsid w:val="00145A1D"/>
    <w:rsid w:val="001561C8"/>
    <w:rsid w:val="001667D2"/>
    <w:rsid w:val="00170AC8"/>
    <w:rsid w:val="00177BC6"/>
    <w:rsid w:val="001927A4"/>
    <w:rsid w:val="00194AC6"/>
    <w:rsid w:val="001A23B0"/>
    <w:rsid w:val="001A25CC"/>
    <w:rsid w:val="001A4569"/>
    <w:rsid w:val="001B0AAA"/>
    <w:rsid w:val="001C39F7"/>
    <w:rsid w:val="001D0776"/>
    <w:rsid w:val="001E5F40"/>
    <w:rsid w:val="001F135F"/>
    <w:rsid w:val="00221C72"/>
    <w:rsid w:val="00237B48"/>
    <w:rsid w:val="0024521E"/>
    <w:rsid w:val="00263C3D"/>
    <w:rsid w:val="00274D0B"/>
    <w:rsid w:val="002821FF"/>
    <w:rsid w:val="00297B9C"/>
    <w:rsid w:val="002B3C95"/>
    <w:rsid w:val="002D0B92"/>
    <w:rsid w:val="002F2EF9"/>
    <w:rsid w:val="00303F23"/>
    <w:rsid w:val="0030594C"/>
    <w:rsid w:val="00324827"/>
    <w:rsid w:val="003263B4"/>
    <w:rsid w:val="0035269F"/>
    <w:rsid w:val="003675DB"/>
    <w:rsid w:val="00392346"/>
    <w:rsid w:val="003A59D4"/>
    <w:rsid w:val="003C0B83"/>
    <w:rsid w:val="003D5BBE"/>
    <w:rsid w:val="003E3C61"/>
    <w:rsid w:val="003F1C5B"/>
    <w:rsid w:val="0041337D"/>
    <w:rsid w:val="00434E33"/>
    <w:rsid w:val="00440D92"/>
    <w:rsid w:val="00441434"/>
    <w:rsid w:val="0045264C"/>
    <w:rsid w:val="004625AE"/>
    <w:rsid w:val="004861A1"/>
    <w:rsid w:val="004876EC"/>
    <w:rsid w:val="004D6E14"/>
    <w:rsid w:val="004F744A"/>
    <w:rsid w:val="005009B0"/>
    <w:rsid w:val="005013BD"/>
    <w:rsid w:val="00504928"/>
    <w:rsid w:val="00512CA7"/>
    <w:rsid w:val="005515FC"/>
    <w:rsid w:val="005552BE"/>
    <w:rsid w:val="005A1006"/>
    <w:rsid w:val="005C0BE6"/>
    <w:rsid w:val="005D46C6"/>
    <w:rsid w:val="005E714A"/>
    <w:rsid w:val="006003C2"/>
    <w:rsid w:val="006140A0"/>
    <w:rsid w:val="00636621"/>
    <w:rsid w:val="00642B49"/>
    <w:rsid w:val="006832D9"/>
    <w:rsid w:val="0069403B"/>
    <w:rsid w:val="006E12B5"/>
    <w:rsid w:val="006F3DDE"/>
    <w:rsid w:val="006F618E"/>
    <w:rsid w:val="00701FC1"/>
    <w:rsid w:val="00704678"/>
    <w:rsid w:val="007425E7"/>
    <w:rsid w:val="00757784"/>
    <w:rsid w:val="00762756"/>
    <w:rsid w:val="00792862"/>
    <w:rsid w:val="007A2221"/>
    <w:rsid w:val="007A3F54"/>
    <w:rsid w:val="007F1C4C"/>
    <w:rsid w:val="00802607"/>
    <w:rsid w:val="008101A5"/>
    <w:rsid w:val="00822664"/>
    <w:rsid w:val="00825B8E"/>
    <w:rsid w:val="00840FCA"/>
    <w:rsid w:val="00843796"/>
    <w:rsid w:val="00846B36"/>
    <w:rsid w:val="00895229"/>
    <w:rsid w:val="008B49C5"/>
    <w:rsid w:val="008C115E"/>
    <w:rsid w:val="008F0203"/>
    <w:rsid w:val="008F50D4"/>
    <w:rsid w:val="009239AA"/>
    <w:rsid w:val="00935ADA"/>
    <w:rsid w:val="00944D5E"/>
    <w:rsid w:val="00946B6C"/>
    <w:rsid w:val="00955A71"/>
    <w:rsid w:val="0096108F"/>
    <w:rsid w:val="0096209F"/>
    <w:rsid w:val="009C13B9"/>
    <w:rsid w:val="009D01A2"/>
    <w:rsid w:val="009E72C0"/>
    <w:rsid w:val="009F2690"/>
    <w:rsid w:val="009F5923"/>
    <w:rsid w:val="00A13253"/>
    <w:rsid w:val="00A403BB"/>
    <w:rsid w:val="00A52273"/>
    <w:rsid w:val="00A674DF"/>
    <w:rsid w:val="00A83AA6"/>
    <w:rsid w:val="00A90687"/>
    <w:rsid w:val="00AE1809"/>
    <w:rsid w:val="00AF30DF"/>
    <w:rsid w:val="00B32078"/>
    <w:rsid w:val="00B372FB"/>
    <w:rsid w:val="00B46F2C"/>
    <w:rsid w:val="00B707E0"/>
    <w:rsid w:val="00B74DD3"/>
    <w:rsid w:val="00B80D76"/>
    <w:rsid w:val="00B85006"/>
    <w:rsid w:val="00B972E1"/>
    <w:rsid w:val="00BA2105"/>
    <w:rsid w:val="00BA7E06"/>
    <w:rsid w:val="00BB43B5"/>
    <w:rsid w:val="00BB6219"/>
    <w:rsid w:val="00BD290F"/>
    <w:rsid w:val="00BE0AF9"/>
    <w:rsid w:val="00C0298A"/>
    <w:rsid w:val="00C1435C"/>
    <w:rsid w:val="00C14CC4"/>
    <w:rsid w:val="00C33C52"/>
    <w:rsid w:val="00C40D8B"/>
    <w:rsid w:val="00C41CE1"/>
    <w:rsid w:val="00C77852"/>
    <w:rsid w:val="00C8407A"/>
    <w:rsid w:val="00C8488C"/>
    <w:rsid w:val="00C86E91"/>
    <w:rsid w:val="00CA2650"/>
    <w:rsid w:val="00CB1078"/>
    <w:rsid w:val="00CC6FAF"/>
    <w:rsid w:val="00CE4CD2"/>
    <w:rsid w:val="00D24698"/>
    <w:rsid w:val="00D26C16"/>
    <w:rsid w:val="00D6383F"/>
    <w:rsid w:val="00D64385"/>
    <w:rsid w:val="00D71221"/>
    <w:rsid w:val="00D8060C"/>
    <w:rsid w:val="00D90EC9"/>
    <w:rsid w:val="00D97DB9"/>
    <w:rsid w:val="00DB344C"/>
    <w:rsid w:val="00DB59D0"/>
    <w:rsid w:val="00DC33D3"/>
    <w:rsid w:val="00DD159E"/>
    <w:rsid w:val="00DF6AAF"/>
    <w:rsid w:val="00E22C5A"/>
    <w:rsid w:val="00E25379"/>
    <w:rsid w:val="00E2594A"/>
    <w:rsid w:val="00E26329"/>
    <w:rsid w:val="00E40B50"/>
    <w:rsid w:val="00E50293"/>
    <w:rsid w:val="00E55CAE"/>
    <w:rsid w:val="00E65FFC"/>
    <w:rsid w:val="00E749EA"/>
    <w:rsid w:val="00E80951"/>
    <w:rsid w:val="00E854FE"/>
    <w:rsid w:val="00E86CC6"/>
    <w:rsid w:val="00EA2C4C"/>
    <w:rsid w:val="00EA3CC3"/>
    <w:rsid w:val="00EA6A41"/>
    <w:rsid w:val="00EB56B3"/>
    <w:rsid w:val="00EC5B37"/>
    <w:rsid w:val="00EC6CC1"/>
    <w:rsid w:val="00ED6492"/>
    <w:rsid w:val="00EF2095"/>
    <w:rsid w:val="00F06866"/>
    <w:rsid w:val="00F12A95"/>
    <w:rsid w:val="00F15956"/>
    <w:rsid w:val="00F24CFC"/>
    <w:rsid w:val="00F3170F"/>
    <w:rsid w:val="00F4017B"/>
    <w:rsid w:val="00F4158F"/>
    <w:rsid w:val="00F45E35"/>
    <w:rsid w:val="00F70A65"/>
    <w:rsid w:val="00F976B0"/>
    <w:rsid w:val="00FA671B"/>
    <w:rsid w:val="00FA6DE7"/>
    <w:rsid w:val="00FC0A8E"/>
    <w:rsid w:val="00FD0CF7"/>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0814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styleId="Hyperlink">
    <w:name w:val="Hyperlink"/>
    <w:basedOn w:val="DefaultParagraphFont"/>
    <w:uiPriority w:val="99"/>
    <w:semiHidden/>
    <w:unhideWhenUsed/>
    <w:rsid w:val="001561C8"/>
    <w:rPr>
      <w:color w:val="0000FF"/>
      <w:u w:val="single"/>
    </w:rPr>
  </w:style>
  <w:style w:type="character" w:styleId="FollowedHyperlink">
    <w:name w:val="FollowedHyperlink"/>
    <w:basedOn w:val="DefaultParagraphFont"/>
    <w:uiPriority w:val="99"/>
    <w:semiHidden/>
    <w:unhideWhenUsed/>
    <w:rsid w:val="008B49C5"/>
    <w:rPr>
      <w:color w:val="800080" w:themeColor="followedHyperlink"/>
      <w:u w:val="single"/>
    </w:rPr>
  </w:style>
  <w:style w:type="table" w:customStyle="1" w:styleId="GridTable6Colorful">
    <w:name w:val="Grid Table 6 Colorful"/>
    <w:basedOn w:val="TableNormal"/>
    <w:uiPriority w:val="51"/>
    <w:rsid w:val="00EA3CC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qFormat="1"/>
    <w:lsdException w:name="Title" w:locked="1" w:semiHidden="0" w:uiPriority="10" w:unhideWhenUsed="0" w:qFormat="1"/>
    <w:lsdException w:name="Default Paragraph Font" w:uiPriority="1"/>
    <w:lsdException w:name="Subtitle" w:locked="1" w:semiHidden="0" w:uiPriority="11" w:unhideWhenUsed="0" w:qFormat="1"/>
    <w:lsdException w:name="Strong" w:locked="1" w:semiHidden="0" w:uiPriority="22" w:unhideWhenUsed="0" w:qFormat="1"/>
    <w:lsdException w:name="Emphasis" w:locked="1"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character" w:styleId="Hyperlink">
    <w:name w:val="Hyperlink"/>
    <w:basedOn w:val="DefaultParagraphFont"/>
    <w:uiPriority w:val="99"/>
    <w:semiHidden/>
    <w:unhideWhenUsed/>
    <w:rsid w:val="001561C8"/>
    <w:rPr>
      <w:color w:val="0000FF"/>
      <w:u w:val="single"/>
    </w:rPr>
  </w:style>
  <w:style w:type="character" w:styleId="FollowedHyperlink">
    <w:name w:val="FollowedHyperlink"/>
    <w:basedOn w:val="DefaultParagraphFont"/>
    <w:uiPriority w:val="99"/>
    <w:semiHidden/>
    <w:unhideWhenUsed/>
    <w:rsid w:val="008B49C5"/>
    <w:rPr>
      <w:color w:val="800080" w:themeColor="followedHyperlink"/>
      <w:u w:val="single"/>
    </w:rPr>
  </w:style>
  <w:style w:type="table" w:customStyle="1" w:styleId="GridTable6Colorful">
    <w:name w:val="Grid Table 6 Colorful"/>
    <w:basedOn w:val="TableNormal"/>
    <w:uiPriority w:val="51"/>
    <w:rsid w:val="00EA3CC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803275">
      <w:bodyDiv w:val="1"/>
      <w:marLeft w:val="0"/>
      <w:marRight w:val="0"/>
      <w:marTop w:val="0"/>
      <w:marBottom w:val="0"/>
      <w:divBdr>
        <w:top w:val="none" w:sz="0" w:space="0" w:color="auto"/>
        <w:left w:val="none" w:sz="0" w:space="0" w:color="auto"/>
        <w:bottom w:val="none" w:sz="0" w:space="0" w:color="auto"/>
        <w:right w:val="none" w:sz="0" w:space="0" w:color="auto"/>
      </w:divBdr>
    </w:div>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7" ma:contentTypeDescription="Create a new document." ma:contentTypeScope="" ma:versionID="5c86817ab70f3abd55374379a6b18e74">
  <xsd:schema xmlns:xsd="http://www.w3.org/2001/XMLSchema" xmlns:xs="http://www.w3.org/2001/XMLSchema" xmlns:p="http://schemas.microsoft.com/office/2006/metadata/properties" xmlns:ns3="b306ee79-2f51-4bda-a734-8653703d17c0" xmlns:ns4="3d326652-0b14-4e9a-87c1-dce06bb2442c" targetNamespace="http://schemas.microsoft.com/office/2006/metadata/properties" ma:root="true" ma:fieldsID="bdf52b06a31e7ea473481948f0f0a627" ns3:_="" ns4:_="">
    <xsd:import namespace="b306ee79-2f51-4bda-a734-8653703d17c0"/>
    <xsd:import namespace="3d326652-0b14-4e9a-87c1-dce06bb2442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326652-0b14-4e9a-87c1-dce06bb244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3A4186-9DCE-4DED-8169-36594204C98E}">
  <ds:schemaRefs>
    <ds:schemaRef ds:uri="http://schemas.microsoft.com/sharepoint/v3/contenttype/forms"/>
  </ds:schemaRefs>
</ds:datastoreItem>
</file>

<file path=customXml/itemProps2.xml><?xml version="1.0" encoding="utf-8"?>
<ds:datastoreItem xmlns:ds="http://schemas.openxmlformats.org/officeDocument/2006/customXml" ds:itemID="{2CDD2024-C9F7-4EA1-9EC7-28B4B040BC22}">
  <ds:schemaRefs>
    <ds:schemaRef ds:uri="http://schemas.microsoft.com/office/2006/metadata/properties"/>
    <ds:schemaRef ds:uri="b306ee79-2f51-4bda-a734-8653703d17c0"/>
    <ds:schemaRef ds:uri="http://schemas.microsoft.com/office/infopath/2007/PartnerControls"/>
    <ds:schemaRef ds:uri="http://purl.org/dc/terms/"/>
    <ds:schemaRef ds:uri="http://purl.org/dc/elements/1.1/"/>
    <ds:schemaRef ds:uri="http://schemas.openxmlformats.org/package/2006/metadata/core-properties"/>
    <ds:schemaRef ds:uri="http://www.w3.org/XML/1998/namespace"/>
    <ds:schemaRef ds:uri="http://schemas.microsoft.com/office/2006/documentManagement/types"/>
    <ds:schemaRef ds:uri="3d326652-0b14-4e9a-87c1-dce06bb2442c"/>
    <ds:schemaRef ds:uri="http://purl.org/dc/dcmitype/"/>
  </ds:schemaRefs>
</ds:datastoreItem>
</file>

<file path=customXml/itemProps3.xml><?xml version="1.0" encoding="utf-8"?>
<ds:datastoreItem xmlns:ds="http://schemas.openxmlformats.org/officeDocument/2006/customXml" ds:itemID="{7B1A19BB-26E1-44DF-BD73-9DE43F643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6ee79-2f51-4bda-a734-8653703d17c0"/>
    <ds:schemaRef ds:uri="3d326652-0b14-4e9a-87c1-dce06bb24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1475</Words>
  <Characters>8409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SYSTEM</cp:lastModifiedBy>
  <cp:revision>2</cp:revision>
  <cp:lastPrinted>2012-08-06T16:52:00Z</cp:lastPrinted>
  <dcterms:created xsi:type="dcterms:W3CDTF">2019-12-20T13:22:00Z</dcterms:created>
  <dcterms:modified xsi:type="dcterms:W3CDTF">2019-12-20T13:22:00Z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0x010100E5F1F5ACA7D9824AAB0E713D02484050</vt:lpwstr>
  </property>
</Properties>
</file>