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156" w:rsidRDefault="00E57B7D">
      <w:pPr>
        <w:tabs>
          <w:tab w:val="center" w:pos="4680"/>
        </w:tabs>
        <w:jc w:val="center"/>
        <w:rPr>
          <w:rFonts w:ascii="Arial" w:hAnsi="Arial" w:cs="Arial"/>
        </w:rPr>
      </w:pPr>
      <w:r>
        <w:rPr>
          <w:rFonts w:ascii="Arial" w:hAnsi="Arial" w:cs="Arial"/>
        </w:rPr>
        <w:t>SUPPORTING STATEMENT</w:t>
      </w:r>
    </w:p>
    <w:p w:rsidR="00921A95" w:rsidRDefault="00921A95">
      <w:pPr>
        <w:tabs>
          <w:tab w:val="center" w:pos="4680"/>
        </w:tabs>
        <w:jc w:val="center"/>
        <w:rPr>
          <w:rFonts w:ascii="Arial" w:hAnsi="Arial" w:cs="Arial"/>
        </w:rPr>
      </w:pPr>
      <w:r>
        <w:rPr>
          <w:rFonts w:ascii="Arial" w:hAnsi="Arial" w:cs="Arial"/>
        </w:rPr>
        <w:t>Internal Revenue Service</w:t>
      </w:r>
    </w:p>
    <w:p w:rsidR="006C6156" w:rsidRDefault="00E57B7D">
      <w:pPr>
        <w:tabs>
          <w:tab w:val="center" w:pos="4680"/>
        </w:tabs>
        <w:jc w:val="center"/>
        <w:rPr>
          <w:rFonts w:ascii="Arial" w:hAnsi="Arial" w:cs="Arial"/>
        </w:rPr>
      </w:pPr>
      <w:r>
        <w:rPr>
          <w:rFonts w:ascii="Arial" w:hAnsi="Arial" w:cs="Arial"/>
        </w:rPr>
        <w:t>Revenue Procedure 2017-4</w:t>
      </w:r>
      <w:r w:rsidR="007A3D4D">
        <w:rPr>
          <w:rFonts w:ascii="Arial" w:hAnsi="Arial" w:cs="Arial"/>
        </w:rPr>
        <w:t xml:space="preserve"> </w:t>
      </w:r>
    </w:p>
    <w:p w:rsidR="00740F63" w:rsidRDefault="00740F63">
      <w:pPr>
        <w:tabs>
          <w:tab w:val="center" w:pos="4680"/>
        </w:tabs>
        <w:jc w:val="center"/>
        <w:rPr>
          <w:rFonts w:ascii="Arial" w:hAnsi="Arial" w:cs="Arial"/>
        </w:rPr>
      </w:pPr>
      <w:r>
        <w:rPr>
          <w:rFonts w:ascii="Arial" w:hAnsi="Arial" w:cs="Arial"/>
        </w:rPr>
        <w:t>Procedures for Determination Letters</w:t>
      </w:r>
    </w:p>
    <w:p w:rsidR="006C6156" w:rsidRDefault="00E57B7D">
      <w:pPr>
        <w:tabs>
          <w:tab w:val="center" w:pos="4680"/>
        </w:tabs>
        <w:jc w:val="center"/>
        <w:rPr>
          <w:rFonts w:ascii="Arial" w:hAnsi="Arial" w:cs="Arial"/>
        </w:rPr>
      </w:pPr>
      <w:r>
        <w:rPr>
          <w:rFonts w:ascii="Arial" w:hAnsi="Arial" w:cs="Arial"/>
        </w:rPr>
        <w:t>OMB# 1545-1520</w:t>
      </w:r>
    </w:p>
    <w:p w:rsidR="006C6156" w:rsidRDefault="006C6156">
      <w:pPr>
        <w:rPr>
          <w:rFonts w:ascii="Arial" w:hAnsi="Arial" w:cs="Arial"/>
        </w:rPr>
      </w:pPr>
    </w:p>
    <w:p w:rsidR="006C6156" w:rsidRDefault="006C6156">
      <w:pPr>
        <w:rPr>
          <w:rFonts w:ascii="Arial" w:hAnsi="Arial" w:cs="Arial"/>
        </w:rPr>
      </w:pPr>
    </w:p>
    <w:p w:rsidR="006C6156" w:rsidRDefault="00E57B7D">
      <w:pPr>
        <w:pStyle w:val="Level1"/>
        <w:numPr>
          <w:ilvl w:val="0"/>
          <w:numId w:val="1"/>
        </w:numPr>
        <w:tabs>
          <w:tab w:val="left" w:pos="-1440"/>
          <w:tab w:val="num" w:pos="720"/>
        </w:tabs>
        <w:rPr>
          <w:rFonts w:ascii="Arial" w:hAnsi="Arial" w:cs="Arial"/>
        </w:rPr>
      </w:pPr>
      <w:r>
        <w:rPr>
          <w:rFonts w:ascii="Arial" w:hAnsi="Arial" w:cs="Arial"/>
        </w:rPr>
        <w:t xml:space="preserve"> </w:t>
      </w:r>
      <w:r>
        <w:rPr>
          <w:rFonts w:ascii="Arial" w:hAnsi="Arial" w:cs="Arial"/>
          <w:u w:val="single"/>
        </w:rPr>
        <w:t>CIRCUMSTANCES NECESSITATING COLLECTION OF INFORMATION</w:t>
      </w:r>
    </w:p>
    <w:p w:rsidR="006C6156" w:rsidRDefault="006C6156">
      <w:pPr>
        <w:rPr>
          <w:rFonts w:ascii="Arial" w:hAnsi="Arial" w:cs="Arial"/>
        </w:rPr>
      </w:pPr>
    </w:p>
    <w:p w:rsidR="006C6156" w:rsidRDefault="00BB4A00">
      <w:pPr>
        <w:ind w:left="720"/>
        <w:rPr>
          <w:rFonts w:ascii="Arial" w:hAnsi="Arial" w:cs="Arial"/>
        </w:rPr>
      </w:pPr>
      <w:r>
        <w:rPr>
          <w:rFonts w:ascii="Arial" w:hAnsi="Arial" w:cs="Arial"/>
        </w:rPr>
        <w:t xml:space="preserve">Internal Revenue Code (IRC) </w:t>
      </w:r>
      <w:r w:rsidR="00E57B7D">
        <w:rPr>
          <w:rFonts w:ascii="Arial" w:hAnsi="Arial" w:cs="Arial"/>
        </w:rPr>
        <w:t>§ 601.201(a)(1)) provides that it is the practice of the Internal Revenue Service (</w:t>
      </w:r>
      <w:r w:rsidR="008100EC">
        <w:rPr>
          <w:rFonts w:ascii="Arial" w:hAnsi="Arial" w:cs="Arial"/>
        </w:rPr>
        <w:t>IRS</w:t>
      </w:r>
      <w:r w:rsidR="00E57B7D">
        <w:rPr>
          <w:rFonts w:ascii="Arial" w:hAnsi="Arial" w:cs="Arial"/>
        </w:rPr>
        <w:t>) to answer inquiries of individuals and organizations, whenever appropriate in the interest of sound tax administration, as  to their status for tax purposes and as to the tax effects of their acts or transactions. Under this revenue procedure, taxpayers can request determination letters and letter rulings from the Commissioner, Tax Exempt and Government Entities, Employee Plans Office (“Employee Plans”) on how the tax laws apply to them. Employee Plans requires information from taxpayers in order to process these requests.</w:t>
      </w:r>
    </w:p>
    <w:p w:rsidR="006C6156" w:rsidRDefault="006C6156">
      <w:pPr>
        <w:ind w:left="720"/>
        <w:rPr>
          <w:rFonts w:ascii="Arial" w:hAnsi="Arial" w:cs="Arial"/>
        </w:rPr>
      </w:pPr>
    </w:p>
    <w:p w:rsidR="006C6156" w:rsidRDefault="00E57B7D">
      <w:pPr>
        <w:pStyle w:val="Level1"/>
        <w:numPr>
          <w:ilvl w:val="0"/>
          <w:numId w:val="1"/>
        </w:numPr>
        <w:tabs>
          <w:tab w:val="left" w:pos="-1440"/>
          <w:tab w:val="num" w:pos="720"/>
        </w:tabs>
        <w:rPr>
          <w:rFonts w:ascii="Arial" w:hAnsi="Arial" w:cs="Arial"/>
        </w:rPr>
      </w:pPr>
      <w:r>
        <w:rPr>
          <w:rFonts w:ascii="Arial" w:hAnsi="Arial" w:cs="Arial"/>
          <w:u w:val="single"/>
        </w:rPr>
        <w:t>USE OF DATA</w:t>
      </w:r>
      <w:r>
        <w:rPr>
          <w:rFonts w:ascii="Arial" w:hAnsi="Arial" w:cs="Arial"/>
        </w:rPr>
        <w:t xml:space="preserve"> </w:t>
      </w:r>
    </w:p>
    <w:p w:rsidR="006C6156" w:rsidRDefault="006C6156">
      <w:pPr>
        <w:rPr>
          <w:rFonts w:ascii="Arial" w:hAnsi="Arial" w:cs="Arial"/>
        </w:rPr>
      </w:pPr>
    </w:p>
    <w:p w:rsidR="006C6156" w:rsidRDefault="00E57B7D">
      <w:pPr>
        <w:ind w:left="720"/>
        <w:rPr>
          <w:rFonts w:ascii="Arial" w:hAnsi="Arial" w:cs="Arial"/>
        </w:rPr>
      </w:pPr>
      <w:r>
        <w:rPr>
          <w:rFonts w:ascii="Arial" w:hAnsi="Arial" w:cs="Arial"/>
        </w:rPr>
        <w:t xml:space="preserve">The </w:t>
      </w:r>
      <w:r w:rsidR="008100EC">
        <w:rPr>
          <w:rFonts w:ascii="Arial" w:hAnsi="Arial" w:cs="Arial"/>
        </w:rPr>
        <w:t>information collected</w:t>
      </w:r>
      <w:r>
        <w:rPr>
          <w:rFonts w:ascii="Arial" w:hAnsi="Arial" w:cs="Arial"/>
        </w:rPr>
        <w:t xml:space="preserve"> will be used by </w:t>
      </w:r>
      <w:r w:rsidR="008100EC">
        <w:rPr>
          <w:rFonts w:ascii="Arial" w:hAnsi="Arial" w:cs="Arial"/>
        </w:rPr>
        <w:t xml:space="preserve">the IRS </w:t>
      </w:r>
      <w:r>
        <w:rPr>
          <w:rFonts w:ascii="Arial" w:hAnsi="Arial" w:cs="Arial"/>
        </w:rPr>
        <w:t>Employee Plans</w:t>
      </w:r>
      <w:r w:rsidR="008100EC">
        <w:rPr>
          <w:rFonts w:ascii="Arial" w:hAnsi="Arial" w:cs="Arial"/>
        </w:rPr>
        <w:t xml:space="preserve"> division</w:t>
      </w:r>
      <w:r>
        <w:rPr>
          <w:rFonts w:ascii="Arial" w:hAnsi="Arial" w:cs="Arial"/>
        </w:rPr>
        <w:t xml:space="preserve"> to evaluate a taxpayer's request for a determination letter or a private letter ruling (including the requested deletions and limitation of retroactive effect, if any). </w:t>
      </w:r>
    </w:p>
    <w:p w:rsidR="006C6156" w:rsidRDefault="006C6156">
      <w:pPr>
        <w:rPr>
          <w:rFonts w:ascii="Arial" w:hAnsi="Arial" w:cs="Arial"/>
        </w:rPr>
      </w:pPr>
    </w:p>
    <w:p w:rsidR="006C6156" w:rsidRDefault="00E57B7D">
      <w:pPr>
        <w:pStyle w:val="Level1"/>
        <w:numPr>
          <w:ilvl w:val="0"/>
          <w:numId w:val="2"/>
        </w:numPr>
        <w:tabs>
          <w:tab w:val="left" w:pos="-1440"/>
          <w:tab w:val="num" w:pos="720"/>
        </w:tabs>
        <w:rPr>
          <w:rFonts w:ascii="Arial" w:hAnsi="Arial" w:cs="Arial"/>
        </w:rPr>
      </w:pPr>
      <w:r>
        <w:rPr>
          <w:rFonts w:ascii="Arial" w:hAnsi="Arial" w:cs="Arial"/>
          <w:u w:val="single"/>
        </w:rPr>
        <w:t>USE OF IMPROVED INFORMATION TECHNOLOGY TO REDUCE BURDEN</w:t>
      </w:r>
    </w:p>
    <w:p w:rsidR="006C6156" w:rsidRDefault="006C6156">
      <w:pPr>
        <w:rPr>
          <w:rFonts w:ascii="Arial" w:hAnsi="Arial" w:cs="Arial"/>
        </w:rPr>
      </w:pPr>
    </w:p>
    <w:p w:rsidR="006C6156" w:rsidRDefault="008100EC">
      <w:pPr>
        <w:ind w:left="720"/>
        <w:rPr>
          <w:rFonts w:ascii="Arial" w:hAnsi="Arial" w:cs="Arial"/>
        </w:rPr>
      </w:pPr>
      <w:r>
        <w:rPr>
          <w:rFonts w:ascii="Arial" w:hAnsi="Arial" w:cs="Arial"/>
        </w:rPr>
        <w:t xml:space="preserve">Electronic filing is not possible </w:t>
      </w:r>
      <w:r w:rsidR="008D6629">
        <w:rPr>
          <w:rFonts w:ascii="Arial" w:hAnsi="Arial" w:cs="Arial"/>
        </w:rPr>
        <w:t xml:space="preserve">because </w:t>
      </w:r>
      <w:r>
        <w:rPr>
          <w:rFonts w:ascii="Arial" w:hAnsi="Arial" w:cs="Arial"/>
        </w:rPr>
        <w:t>determination letter</w:t>
      </w:r>
      <w:r w:rsidR="00740F63">
        <w:rPr>
          <w:rFonts w:ascii="Arial" w:hAnsi="Arial" w:cs="Arial"/>
        </w:rPr>
        <w:t>s</w:t>
      </w:r>
      <w:r>
        <w:rPr>
          <w:rFonts w:ascii="Arial" w:hAnsi="Arial" w:cs="Arial"/>
        </w:rPr>
        <w:t xml:space="preserve"> </w:t>
      </w:r>
      <w:r w:rsidR="00740F63">
        <w:rPr>
          <w:rFonts w:ascii="Arial" w:hAnsi="Arial" w:cs="Arial"/>
        </w:rPr>
        <w:t>are</w:t>
      </w:r>
      <w:r>
        <w:rPr>
          <w:rFonts w:ascii="Arial" w:hAnsi="Arial" w:cs="Arial"/>
        </w:rPr>
        <w:t xml:space="preserve"> specific to </w:t>
      </w:r>
      <w:r w:rsidR="00740F63">
        <w:rPr>
          <w:rFonts w:ascii="Arial" w:hAnsi="Arial" w:cs="Arial"/>
        </w:rPr>
        <w:t>the</w:t>
      </w:r>
      <w:r>
        <w:rPr>
          <w:rFonts w:ascii="Arial" w:hAnsi="Arial" w:cs="Arial"/>
        </w:rPr>
        <w:t xml:space="preserve"> </w:t>
      </w:r>
      <w:r w:rsidR="008D6629">
        <w:rPr>
          <w:rFonts w:ascii="Arial" w:hAnsi="Arial" w:cs="Arial"/>
        </w:rPr>
        <w:t xml:space="preserve">individual </w:t>
      </w:r>
      <w:r>
        <w:rPr>
          <w:rFonts w:ascii="Arial" w:hAnsi="Arial" w:cs="Arial"/>
        </w:rPr>
        <w:t>request</w:t>
      </w:r>
      <w:r w:rsidR="008D6629">
        <w:rPr>
          <w:rFonts w:ascii="Arial" w:hAnsi="Arial" w:cs="Arial"/>
        </w:rPr>
        <w:t>er</w:t>
      </w:r>
      <w:r>
        <w:rPr>
          <w:rFonts w:ascii="Arial" w:hAnsi="Arial" w:cs="Arial"/>
        </w:rPr>
        <w:t xml:space="preserve">. </w:t>
      </w:r>
      <w:r w:rsidR="00E57B7D">
        <w:rPr>
          <w:rFonts w:ascii="Arial" w:hAnsi="Arial" w:cs="Arial"/>
        </w:rPr>
        <w:t>IRS Publications, Regulations, Notices and Letters are to be electronically enabled on an as practicable basis in accordance with the IRS Reform and Restructuring Act of 1998.</w:t>
      </w:r>
    </w:p>
    <w:p w:rsidR="006C6156" w:rsidRDefault="006C6156">
      <w:pPr>
        <w:rPr>
          <w:rFonts w:ascii="Arial" w:hAnsi="Arial" w:cs="Arial"/>
        </w:rPr>
      </w:pPr>
    </w:p>
    <w:p w:rsidR="006C6156" w:rsidRDefault="00E57B7D">
      <w:pPr>
        <w:pStyle w:val="Level1"/>
        <w:numPr>
          <w:ilvl w:val="0"/>
          <w:numId w:val="2"/>
        </w:numPr>
        <w:tabs>
          <w:tab w:val="left" w:pos="-1440"/>
          <w:tab w:val="num" w:pos="720"/>
        </w:tabs>
        <w:rPr>
          <w:rFonts w:ascii="Arial" w:hAnsi="Arial" w:cs="Arial"/>
        </w:rPr>
      </w:pPr>
      <w:r>
        <w:rPr>
          <w:rFonts w:ascii="Arial" w:hAnsi="Arial" w:cs="Arial"/>
          <w:u w:val="single"/>
        </w:rPr>
        <w:t>EFFORTS TO IDENTIFY DUPLICATION</w:t>
      </w:r>
    </w:p>
    <w:p w:rsidR="006C6156" w:rsidRDefault="006C6156">
      <w:pPr>
        <w:rPr>
          <w:rFonts w:ascii="Arial" w:hAnsi="Arial" w:cs="Arial"/>
        </w:rPr>
      </w:pPr>
    </w:p>
    <w:p w:rsidR="006C6156" w:rsidRPr="008100EC" w:rsidRDefault="008100EC" w:rsidP="008100EC">
      <w:pPr>
        <w:ind w:left="720"/>
        <w:rPr>
          <w:rFonts w:ascii="Arial" w:hAnsi="Arial" w:cs="Arial"/>
        </w:rPr>
      </w:pPr>
      <w:r>
        <w:rPr>
          <w:rFonts w:ascii="Arial" w:hAnsi="Arial" w:cs="Arial"/>
        </w:rPr>
        <w:t xml:space="preserve">The </w:t>
      </w:r>
      <w:r w:rsidRPr="008100EC">
        <w:rPr>
          <w:rFonts w:ascii="Arial" w:hAnsi="Arial" w:cs="Arial"/>
        </w:rPr>
        <w:t>information obtained through this collection is unique and is not already available for use or adaptation from another source.</w:t>
      </w:r>
    </w:p>
    <w:p w:rsidR="008100EC" w:rsidRDefault="008100EC">
      <w:pPr>
        <w:rPr>
          <w:rFonts w:ascii="Arial" w:hAnsi="Arial" w:cs="Arial"/>
        </w:rPr>
      </w:pPr>
    </w:p>
    <w:p w:rsidR="006C6156" w:rsidRDefault="00E57B7D">
      <w:pPr>
        <w:pStyle w:val="Level1"/>
        <w:numPr>
          <w:ilvl w:val="0"/>
          <w:numId w:val="2"/>
        </w:numPr>
        <w:tabs>
          <w:tab w:val="left" w:pos="-1440"/>
          <w:tab w:val="num" w:pos="720"/>
        </w:tabs>
        <w:rPr>
          <w:rFonts w:ascii="Arial" w:hAnsi="Arial" w:cs="Arial"/>
        </w:rPr>
      </w:pPr>
      <w:r>
        <w:rPr>
          <w:rFonts w:ascii="Arial" w:hAnsi="Arial" w:cs="Arial"/>
          <w:u w:val="single"/>
        </w:rPr>
        <w:t>METHODS TO MINIMIZE BURDEN ON SMALL BUSINESSES OR OTHER</w:t>
      </w:r>
      <w:r>
        <w:rPr>
          <w:rFonts w:ascii="Arial" w:hAnsi="Arial" w:cs="Arial"/>
        </w:rPr>
        <w:t xml:space="preserve">        </w:t>
      </w:r>
      <w:r>
        <w:rPr>
          <w:rFonts w:ascii="Arial" w:hAnsi="Arial" w:cs="Arial"/>
          <w:u w:val="single"/>
        </w:rPr>
        <w:t>SMALL ENTITIES</w:t>
      </w:r>
    </w:p>
    <w:p w:rsidR="006C6156" w:rsidRDefault="006C6156">
      <w:pPr>
        <w:rPr>
          <w:rFonts w:ascii="Arial" w:hAnsi="Arial" w:cs="Arial"/>
        </w:rPr>
      </w:pPr>
    </w:p>
    <w:p w:rsidR="006C6156" w:rsidRDefault="00E57B7D">
      <w:pPr>
        <w:ind w:left="720"/>
        <w:rPr>
          <w:rFonts w:ascii="Arial" w:hAnsi="Arial" w:cs="Arial"/>
        </w:rPr>
      </w:pPr>
      <w:r>
        <w:rPr>
          <w:rFonts w:ascii="Arial" w:hAnsi="Arial" w:cs="Arial"/>
        </w:rPr>
        <w:t xml:space="preserve">In the employee plans area, administrative programs have been established whereby certain businesses can initially obtain the approval as to the form of a </w:t>
      </w:r>
      <w:r>
        <w:rPr>
          <w:rFonts w:ascii="Arial" w:hAnsi="Arial" w:cs="Arial"/>
        </w:rPr>
        <w:lastRenderedPageBreak/>
        <w:t xml:space="preserve">plan, e.g., a master or prototype plan. Those businesses will then market the form plan to other businesses. If utilized, these programs tend to lessen the administrative costs associated with such plans to small businesses. </w:t>
      </w:r>
    </w:p>
    <w:p w:rsidR="006C6156" w:rsidRDefault="006C6156">
      <w:pPr>
        <w:keepNext/>
        <w:rPr>
          <w:rFonts w:ascii="Arial" w:hAnsi="Arial" w:cs="Arial"/>
        </w:rPr>
      </w:pPr>
    </w:p>
    <w:p w:rsidR="006C6156" w:rsidRDefault="00E57B7D">
      <w:pPr>
        <w:pStyle w:val="Level1"/>
        <w:keepNext/>
        <w:widowControl/>
        <w:numPr>
          <w:ilvl w:val="0"/>
          <w:numId w:val="2"/>
        </w:numPr>
        <w:tabs>
          <w:tab w:val="left" w:pos="-1440"/>
          <w:tab w:val="num" w:pos="720"/>
        </w:tabs>
        <w:rPr>
          <w:rFonts w:ascii="Arial" w:hAnsi="Arial" w:cs="Arial"/>
        </w:rPr>
      </w:pPr>
      <w:r>
        <w:rPr>
          <w:rFonts w:ascii="Arial" w:hAnsi="Arial" w:cs="Arial"/>
          <w:u w:val="single"/>
        </w:rPr>
        <w:t>CONSEQUENCES OF LESS FREQUENT COLLECTION ON FEDERAL PROGRAMS OR POLICY ACTIVITIES</w:t>
      </w:r>
    </w:p>
    <w:p w:rsidR="006C6156" w:rsidRDefault="006C6156">
      <w:pPr>
        <w:keepNext/>
        <w:rPr>
          <w:rFonts w:ascii="Arial" w:hAnsi="Arial" w:cs="Arial"/>
        </w:rPr>
      </w:pPr>
    </w:p>
    <w:p w:rsidR="008100EC" w:rsidRPr="00BB4A00" w:rsidRDefault="008100EC" w:rsidP="008100EC">
      <w:pPr>
        <w:ind w:left="720"/>
        <w:rPr>
          <w:rFonts w:ascii="Arial" w:hAnsi="Arial" w:cs="Arial"/>
        </w:rPr>
      </w:pPr>
      <w:r w:rsidRPr="00BB4A00">
        <w:rPr>
          <w:rFonts w:ascii="Arial" w:hAnsi="Arial" w:cs="Arial"/>
        </w:rPr>
        <w:t xml:space="preserve">A less frequent collection will not enable the IRS to respond to inquiries for determination letters specifying tax treatment in accordance with </w:t>
      </w:r>
      <w:r w:rsidR="00BB4A00">
        <w:rPr>
          <w:rFonts w:ascii="Arial" w:hAnsi="Arial" w:cs="Arial"/>
        </w:rPr>
        <w:t xml:space="preserve">IRC § 601.201(a)(1) and could result in being unable to meet its mission. </w:t>
      </w:r>
    </w:p>
    <w:p w:rsidR="008100EC" w:rsidRDefault="008100EC">
      <w:pPr>
        <w:ind w:left="720"/>
        <w:rPr>
          <w:rFonts w:ascii="Arial" w:hAnsi="Arial" w:cs="Arial"/>
        </w:rPr>
      </w:pPr>
    </w:p>
    <w:p w:rsidR="006C6156" w:rsidRDefault="006C6156">
      <w:pPr>
        <w:rPr>
          <w:rFonts w:ascii="Arial" w:hAnsi="Arial" w:cs="Arial"/>
        </w:rPr>
      </w:pPr>
    </w:p>
    <w:p w:rsidR="006C6156" w:rsidRDefault="00E57B7D">
      <w:pPr>
        <w:pStyle w:val="Level1"/>
        <w:numPr>
          <w:ilvl w:val="0"/>
          <w:numId w:val="2"/>
        </w:numPr>
        <w:tabs>
          <w:tab w:val="left" w:pos="-1440"/>
          <w:tab w:val="num" w:pos="720"/>
        </w:tabs>
        <w:rPr>
          <w:rFonts w:ascii="Arial" w:hAnsi="Arial" w:cs="Arial"/>
        </w:rPr>
      </w:pPr>
      <w:r>
        <w:rPr>
          <w:rFonts w:ascii="Arial" w:hAnsi="Arial" w:cs="Arial"/>
          <w:u w:val="single"/>
        </w:rPr>
        <w:t>SPECIAL CIRCUMSTANCES REQUIRING DATA COLLECTION TO BE</w:t>
      </w:r>
      <w:r>
        <w:rPr>
          <w:rFonts w:ascii="Arial" w:hAnsi="Arial" w:cs="Arial"/>
        </w:rPr>
        <w:t xml:space="preserve">     </w:t>
      </w:r>
      <w:r>
        <w:rPr>
          <w:rFonts w:ascii="Arial" w:hAnsi="Arial" w:cs="Arial"/>
          <w:u w:val="single"/>
        </w:rPr>
        <w:t>INCONSISTENT WITH GUIDELINES IN 5 CFR 1320.5(d)(2)</w:t>
      </w:r>
    </w:p>
    <w:p w:rsidR="006C6156" w:rsidRDefault="006C6156">
      <w:pPr>
        <w:rPr>
          <w:rFonts w:ascii="Arial" w:hAnsi="Arial" w:cs="Arial"/>
        </w:rPr>
      </w:pPr>
    </w:p>
    <w:p w:rsidR="006C6156" w:rsidRDefault="00E57B7D" w:rsidP="00E57B7D">
      <w:pPr>
        <w:ind w:left="720"/>
        <w:rPr>
          <w:rFonts w:ascii="Arial" w:hAnsi="Arial" w:cs="Arial"/>
        </w:rPr>
      </w:pPr>
      <w:r w:rsidRPr="00E57B7D">
        <w:rPr>
          <w:rFonts w:ascii="Arial" w:hAnsi="Arial" w:cs="Arial"/>
        </w:rPr>
        <w:t>There are no special circumstances requiring data collection to be inconsistent with guidelines in 5 CFR 1320.5(d</w:t>
      </w:r>
      <w:proofErr w:type="gramStart"/>
      <w:r w:rsidRPr="00E57B7D">
        <w:rPr>
          <w:rFonts w:ascii="Arial" w:hAnsi="Arial" w:cs="Arial"/>
        </w:rPr>
        <w:t>)(</w:t>
      </w:r>
      <w:proofErr w:type="gramEnd"/>
      <w:r w:rsidRPr="00E57B7D">
        <w:rPr>
          <w:rFonts w:ascii="Arial" w:hAnsi="Arial" w:cs="Arial"/>
        </w:rPr>
        <w:t>2).</w:t>
      </w:r>
    </w:p>
    <w:p w:rsidR="00E57B7D" w:rsidRDefault="00E57B7D" w:rsidP="00E57B7D">
      <w:pPr>
        <w:ind w:left="720"/>
        <w:rPr>
          <w:rFonts w:ascii="Arial" w:hAnsi="Arial" w:cs="Arial"/>
        </w:rPr>
      </w:pPr>
    </w:p>
    <w:p w:rsidR="006C6156" w:rsidRDefault="00E57B7D">
      <w:pPr>
        <w:pStyle w:val="Level1"/>
        <w:numPr>
          <w:ilvl w:val="0"/>
          <w:numId w:val="3"/>
        </w:numPr>
        <w:tabs>
          <w:tab w:val="left" w:pos="-1440"/>
          <w:tab w:val="num" w:pos="720"/>
        </w:tabs>
        <w:rPr>
          <w:rFonts w:ascii="Arial" w:hAnsi="Arial" w:cs="Arial"/>
        </w:rPr>
      </w:pPr>
      <w:r>
        <w:rPr>
          <w:rFonts w:ascii="Arial" w:hAnsi="Arial" w:cs="Arial"/>
          <w:u w:val="single"/>
        </w:rPr>
        <w:t>CONSULTATION WITH INDIVIDUALS OUTSIDE OF THE AGENCY ON</w:t>
      </w:r>
      <w:r>
        <w:rPr>
          <w:rFonts w:ascii="Arial" w:hAnsi="Arial" w:cs="Arial"/>
        </w:rPr>
        <w:t xml:space="preserve"> </w:t>
      </w:r>
      <w:r>
        <w:rPr>
          <w:rFonts w:ascii="Arial" w:hAnsi="Arial" w:cs="Arial"/>
          <w:u w:val="single"/>
        </w:rPr>
        <w:t>AVAILABILITY OF DATA, FREQUENCY OF COLLECTION, CLARITY</w:t>
      </w:r>
      <w:r>
        <w:rPr>
          <w:rFonts w:ascii="Arial" w:hAnsi="Arial" w:cs="Arial"/>
        </w:rPr>
        <w:t xml:space="preserve"> </w:t>
      </w:r>
      <w:r>
        <w:rPr>
          <w:rFonts w:ascii="Arial" w:hAnsi="Arial" w:cs="Arial"/>
          <w:u w:val="single"/>
        </w:rPr>
        <w:t>OF INSTRUCTIONS AND FORMS, AND DATA ELEMENTS</w:t>
      </w:r>
    </w:p>
    <w:p w:rsidR="006C6156" w:rsidRDefault="006C6156">
      <w:pPr>
        <w:rPr>
          <w:rFonts w:ascii="Arial" w:hAnsi="Arial" w:cs="Arial"/>
        </w:rPr>
      </w:pPr>
    </w:p>
    <w:p w:rsidR="006C6156" w:rsidRDefault="00E57B7D">
      <w:pPr>
        <w:ind w:left="720"/>
        <w:rPr>
          <w:rFonts w:ascii="Arial" w:hAnsi="Arial" w:cs="Arial"/>
        </w:rPr>
      </w:pPr>
      <w:r>
        <w:rPr>
          <w:rFonts w:ascii="Arial" w:hAnsi="Arial" w:cs="Arial"/>
        </w:rPr>
        <w:t>This revenue procedure is a combination and update of three revenue procedures (Revenue Procedure 2016-4, Revenue Procedure 2016-6, Revenue Procedure 2016-8</w:t>
      </w:r>
      <w:r w:rsidR="00445716">
        <w:rPr>
          <w:rFonts w:ascii="Arial" w:hAnsi="Arial" w:cs="Arial"/>
        </w:rPr>
        <w:t xml:space="preserve"> and Revenue Procedure 2011-05</w:t>
      </w:r>
      <w:r>
        <w:rPr>
          <w:rFonts w:ascii="Arial" w:hAnsi="Arial" w:cs="Arial"/>
        </w:rPr>
        <w:t xml:space="preserve">) that were previously issued under this control number.  Comments on the proposed collection with respect to these revenue procedures was most recently requested in a Federal Register notice dated October 23, 2015 (80 FR 64505).  We received no comments during the comment period in response to that notice.  </w:t>
      </w:r>
    </w:p>
    <w:p w:rsidR="006C6156" w:rsidRDefault="00E57B7D">
      <w:pPr>
        <w:tabs>
          <w:tab w:val="center" w:pos="4680"/>
        </w:tabs>
        <w:rPr>
          <w:rFonts w:ascii="Arial" w:hAnsi="Arial" w:cs="Arial"/>
        </w:rPr>
      </w:pPr>
      <w:r>
        <w:rPr>
          <w:rFonts w:ascii="Arial" w:hAnsi="Arial" w:cs="Arial"/>
        </w:rPr>
        <w:tab/>
        <w:t xml:space="preserve"> </w:t>
      </w:r>
    </w:p>
    <w:p w:rsidR="006C6156" w:rsidRDefault="00E57B7D">
      <w:pPr>
        <w:pStyle w:val="Level1"/>
        <w:numPr>
          <w:ilvl w:val="0"/>
          <w:numId w:val="3"/>
        </w:numPr>
        <w:tabs>
          <w:tab w:val="left" w:pos="-1440"/>
          <w:tab w:val="num" w:pos="720"/>
        </w:tabs>
        <w:rPr>
          <w:rFonts w:ascii="Arial" w:hAnsi="Arial" w:cs="Arial"/>
        </w:rPr>
      </w:pPr>
      <w:r>
        <w:rPr>
          <w:rFonts w:ascii="Arial" w:hAnsi="Arial" w:cs="Arial"/>
          <w:u w:val="single"/>
        </w:rPr>
        <w:t>EXPLANATION OF DECISION TO PROVIDE ANY PAYMENT OR GIFT TO</w:t>
      </w:r>
      <w:r>
        <w:rPr>
          <w:rFonts w:ascii="Arial" w:hAnsi="Arial" w:cs="Arial"/>
        </w:rPr>
        <w:t xml:space="preserve">     </w:t>
      </w:r>
      <w:r>
        <w:rPr>
          <w:rFonts w:ascii="Arial" w:hAnsi="Arial" w:cs="Arial"/>
          <w:u w:val="single"/>
        </w:rPr>
        <w:t>RESPONDENTS</w:t>
      </w:r>
    </w:p>
    <w:p w:rsidR="006C6156" w:rsidRDefault="006C6156">
      <w:pPr>
        <w:rPr>
          <w:rFonts w:ascii="Arial" w:hAnsi="Arial" w:cs="Arial"/>
        </w:rPr>
      </w:pPr>
    </w:p>
    <w:p w:rsidR="00E57B7D" w:rsidRDefault="00E57B7D" w:rsidP="00E57B7D">
      <w:pPr>
        <w:ind w:left="720"/>
        <w:rPr>
          <w:rFonts w:ascii="Arial" w:hAnsi="Arial" w:cs="Arial"/>
        </w:rPr>
      </w:pPr>
      <w:r w:rsidRPr="006A5255">
        <w:rPr>
          <w:rFonts w:ascii="Arial" w:hAnsi="Arial" w:cs="Arial"/>
        </w:rPr>
        <w:t>No payment or gift has been provided to any respondents</w:t>
      </w:r>
      <w:r>
        <w:rPr>
          <w:rFonts w:ascii="Arial" w:hAnsi="Arial" w:cs="Arial"/>
        </w:rPr>
        <w:t>.</w:t>
      </w:r>
    </w:p>
    <w:p w:rsidR="00E57B7D" w:rsidRDefault="00E57B7D" w:rsidP="00E57B7D">
      <w:pPr>
        <w:rPr>
          <w:rFonts w:ascii="Arial" w:hAnsi="Arial" w:cs="Arial"/>
        </w:rPr>
      </w:pPr>
    </w:p>
    <w:p w:rsidR="006C6156" w:rsidRDefault="006C6156">
      <w:pPr>
        <w:rPr>
          <w:rFonts w:ascii="Arial" w:hAnsi="Arial" w:cs="Arial"/>
        </w:rPr>
      </w:pPr>
    </w:p>
    <w:p w:rsidR="006C6156" w:rsidRDefault="00E57B7D">
      <w:pPr>
        <w:tabs>
          <w:tab w:val="left" w:pos="-1440"/>
        </w:tabs>
        <w:ind w:left="720" w:hanging="720"/>
        <w:rPr>
          <w:rFonts w:ascii="Arial" w:hAnsi="Arial" w:cs="Arial"/>
        </w:rPr>
      </w:pPr>
      <w:r>
        <w:rPr>
          <w:rFonts w:ascii="Arial" w:hAnsi="Arial" w:cs="Arial"/>
        </w:rPr>
        <w:t>10</w:t>
      </w:r>
      <w:r>
        <w:rPr>
          <w:rFonts w:ascii="Arial" w:hAnsi="Arial" w:cs="Arial"/>
        </w:rPr>
        <w:tab/>
      </w:r>
      <w:r>
        <w:rPr>
          <w:rFonts w:ascii="Arial" w:hAnsi="Arial" w:cs="Arial"/>
          <w:u w:val="single"/>
        </w:rPr>
        <w:t>ASSURANCE OF CONFIDENTIALITY OF RESPONSES</w:t>
      </w:r>
    </w:p>
    <w:p w:rsidR="006C6156" w:rsidRDefault="006C6156">
      <w:pPr>
        <w:rPr>
          <w:rFonts w:ascii="Arial" w:hAnsi="Arial" w:cs="Arial"/>
        </w:rPr>
      </w:pPr>
    </w:p>
    <w:p w:rsidR="00FE7089" w:rsidRPr="009A6027" w:rsidRDefault="00E57B7D" w:rsidP="00FE7089">
      <w:pPr>
        <w:ind w:left="720"/>
        <w:rPr>
          <w:rFonts w:asciiTheme="minorHAnsi" w:hAnsiTheme="minorHAnsi"/>
          <w:sz w:val="22"/>
          <w:szCs w:val="22"/>
        </w:rPr>
      </w:pPr>
      <w:r>
        <w:rPr>
          <w:rFonts w:ascii="Arial" w:hAnsi="Arial" w:cs="Arial"/>
        </w:rPr>
        <w:t xml:space="preserve">Submissions under this revenue procedure </w:t>
      </w:r>
      <w:r w:rsidR="00FE7089">
        <w:rPr>
          <w:rFonts w:ascii="Arial" w:hAnsi="Arial" w:cs="Arial"/>
        </w:rPr>
        <w:t>are</w:t>
      </w:r>
      <w:r>
        <w:rPr>
          <w:rFonts w:ascii="Arial" w:hAnsi="Arial" w:cs="Arial"/>
        </w:rPr>
        <w:t xml:space="preserve"> considered tax returns and tax return information, which are confidential as required by 26 U.S.C. § 6103. In general, certain matters relating to taxability and deductibility are </w:t>
      </w:r>
      <w:r w:rsidR="00FE7089">
        <w:rPr>
          <w:rFonts w:ascii="Arial" w:hAnsi="Arial" w:cs="Arial"/>
        </w:rPr>
        <w:t>allowed to be disclosed</w:t>
      </w:r>
      <w:r>
        <w:rPr>
          <w:rFonts w:ascii="Arial" w:hAnsi="Arial" w:cs="Arial"/>
        </w:rPr>
        <w:t xml:space="preserve"> under 26 U.S.C. 6104 or 26 U.S.C. 6110.</w:t>
      </w:r>
      <w:r w:rsidR="00FE7089">
        <w:rPr>
          <w:rFonts w:ascii="Arial" w:hAnsi="Arial" w:cs="Arial"/>
        </w:rPr>
        <w:t xml:space="preserve"> </w:t>
      </w:r>
    </w:p>
    <w:p w:rsidR="006C6156" w:rsidRDefault="006C6156">
      <w:pPr>
        <w:ind w:left="720"/>
        <w:rPr>
          <w:rFonts w:ascii="Arial" w:hAnsi="Arial" w:cs="Arial"/>
        </w:rPr>
      </w:pPr>
    </w:p>
    <w:p w:rsidR="006C6156" w:rsidRDefault="006C6156">
      <w:pPr>
        <w:rPr>
          <w:rFonts w:ascii="Arial" w:hAnsi="Arial" w:cs="Arial"/>
        </w:rPr>
      </w:pPr>
    </w:p>
    <w:p w:rsidR="006C6156" w:rsidRDefault="00E57B7D">
      <w:pPr>
        <w:pStyle w:val="Level1"/>
        <w:numPr>
          <w:ilvl w:val="0"/>
          <w:numId w:val="4"/>
        </w:numPr>
        <w:tabs>
          <w:tab w:val="left" w:pos="-1440"/>
          <w:tab w:val="num" w:pos="720"/>
        </w:tabs>
        <w:rPr>
          <w:rFonts w:ascii="Arial" w:hAnsi="Arial" w:cs="Arial"/>
          <w:u w:val="single"/>
        </w:rPr>
      </w:pPr>
      <w:r>
        <w:rPr>
          <w:rFonts w:ascii="Arial" w:hAnsi="Arial" w:cs="Arial"/>
          <w:u w:val="single"/>
        </w:rPr>
        <w:t>JUSTIFICATION OF SENSITIVE QUESTIONS</w:t>
      </w:r>
    </w:p>
    <w:p w:rsidR="006C6156" w:rsidRDefault="006C6156">
      <w:pPr>
        <w:rPr>
          <w:rFonts w:ascii="Arial" w:hAnsi="Arial" w:cs="Arial"/>
          <w:u w:val="single"/>
        </w:rPr>
      </w:pPr>
    </w:p>
    <w:p w:rsidR="00E57B7D" w:rsidRPr="00E57B7D" w:rsidRDefault="00E57B7D" w:rsidP="00E57B7D">
      <w:pPr>
        <w:rPr>
          <w:rFonts w:ascii="Arial" w:hAnsi="Arial" w:cs="Arial"/>
        </w:rPr>
      </w:pPr>
    </w:p>
    <w:p w:rsidR="00E57B7D" w:rsidRPr="00E57B7D" w:rsidRDefault="00E57B7D" w:rsidP="00E57B7D">
      <w:pPr>
        <w:ind w:left="720"/>
        <w:rPr>
          <w:rFonts w:ascii="Arial" w:hAnsi="Arial" w:cs="Arial"/>
        </w:rPr>
      </w:pPr>
      <w:r w:rsidRPr="00E57B7D">
        <w:rPr>
          <w:rFonts w:ascii="Arial" w:hAnsi="Arial" w:cs="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http://www.irs.gov/uac/Privacy-Impact-Assessments-PIA.  </w:t>
      </w:r>
    </w:p>
    <w:p w:rsidR="00E57B7D" w:rsidRPr="00E57B7D" w:rsidRDefault="00E57B7D" w:rsidP="00E57B7D">
      <w:pPr>
        <w:rPr>
          <w:rFonts w:ascii="Arial" w:hAnsi="Arial" w:cs="Arial"/>
        </w:rPr>
      </w:pPr>
    </w:p>
    <w:p w:rsidR="006C6156" w:rsidRDefault="00E57B7D" w:rsidP="00E57B7D">
      <w:pPr>
        <w:ind w:left="720"/>
        <w:rPr>
          <w:rFonts w:ascii="Arial" w:hAnsi="Arial" w:cs="Arial"/>
        </w:rPr>
      </w:pPr>
      <w:r w:rsidRPr="00E57B7D">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w:t>
      </w:r>
      <w:r>
        <w:rPr>
          <w:rFonts w:ascii="Arial" w:hAnsi="Arial" w:cs="Arial"/>
        </w:rPr>
        <w:t xml:space="preserve"> numbers (SSNs) in IRS systems.</w:t>
      </w:r>
    </w:p>
    <w:p w:rsidR="00E57B7D" w:rsidRDefault="00E57B7D" w:rsidP="00E57B7D">
      <w:pPr>
        <w:ind w:left="720"/>
        <w:rPr>
          <w:rFonts w:ascii="Arial" w:hAnsi="Arial" w:cs="Arial"/>
        </w:rPr>
      </w:pPr>
    </w:p>
    <w:p w:rsidR="006C6156" w:rsidRDefault="00E57B7D">
      <w:pPr>
        <w:pStyle w:val="Level1"/>
        <w:numPr>
          <w:ilvl w:val="0"/>
          <w:numId w:val="4"/>
        </w:numPr>
        <w:tabs>
          <w:tab w:val="left" w:pos="-1440"/>
          <w:tab w:val="num" w:pos="720"/>
        </w:tabs>
        <w:rPr>
          <w:rFonts w:ascii="Arial" w:hAnsi="Arial" w:cs="Arial"/>
        </w:rPr>
      </w:pPr>
      <w:r>
        <w:rPr>
          <w:rFonts w:ascii="Arial" w:hAnsi="Arial" w:cs="Arial"/>
          <w:u w:val="single"/>
        </w:rPr>
        <w:t>ESTIMATED BURDEN OF INFORMATION COLLECTION</w:t>
      </w:r>
    </w:p>
    <w:p w:rsidR="006C6156" w:rsidRDefault="006C6156">
      <w:pPr>
        <w:rPr>
          <w:rFonts w:ascii="Arial" w:hAnsi="Arial" w:cs="Arial"/>
        </w:rPr>
      </w:pPr>
    </w:p>
    <w:p w:rsidR="006C6156" w:rsidRDefault="00E57B7D">
      <w:pPr>
        <w:ind w:firstLine="720"/>
        <w:rPr>
          <w:rFonts w:ascii="Arial" w:hAnsi="Arial" w:cs="Arial"/>
        </w:rPr>
      </w:pPr>
      <w:r>
        <w:rPr>
          <w:rFonts w:ascii="Arial" w:hAnsi="Arial" w:cs="Arial"/>
        </w:rPr>
        <w:t xml:space="preserve">The total burden for this submission is 18,151 hours with 8,733 responses. </w:t>
      </w:r>
    </w:p>
    <w:p w:rsidR="00E57B7D" w:rsidRDefault="00E57B7D" w:rsidP="00E57B7D">
      <w:pPr>
        <w:rPr>
          <w:rFonts w:ascii="Arial" w:hAnsi="Arial" w:cs="Arial"/>
          <w:u w:val="single"/>
        </w:rPr>
      </w:pPr>
    </w:p>
    <w:p w:rsidR="002115B8" w:rsidRPr="00DF2A78" w:rsidRDefault="002115B8" w:rsidP="002115B8">
      <w:pPr>
        <w:rPr>
          <w:rFonts w:ascii="Arial" w:hAnsi="Arial" w:cs="Arial"/>
          <w:b/>
        </w:rPr>
      </w:pPr>
    </w:p>
    <w:tbl>
      <w:tblPr>
        <w:tblStyle w:val="TableGrid"/>
        <w:tblW w:w="10278" w:type="dxa"/>
        <w:tblInd w:w="-456" w:type="dxa"/>
        <w:tblLook w:val="04A0" w:firstRow="1" w:lastRow="0" w:firstColumn="1" w:lastColumn="0" w:noHBand="0" w:noVBand="1"/>
      </w:tblPr>
      <w:tblGrid>
        <w:gridCol w:w="1767"/>
        <w:gridCol w:w="1711"/>
        <w:gridCol w:w="1548"/>
        <w:gridCol w:w="1449"/>
        <w:gridCol w:w="1417"/>
        <w:gridCol w:w="1257"/>
        <w:gridCol w:w="1129"/>
      </w:tblGrid>
      <w:tr w:rsidR="002115B8" w:rsidRPr="00DF2A78" w:rsidTr="002C4796">
        <w:tc>
          <w:tcPr>
            <w:tcW w:w="1767"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Authority</w:t>
            </w:r>
          </w:p>
        </w:tc>
        <w:tc>
          <w:tcPr>
            <w:tcW w:w="1711"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Type of Request</w:t>
            </w:r>
          </w:p>
        </w:tc>
        <w:tc>
          <w:tcPr>
            <w:tcW w:w="1548"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Number of respondents</w:t>
            </w:r>
          </w:p>
        </w:tc>
        <w:tc>
          <w:tcPr>
            <w:tcW w:w="1449"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Responses per year</w:t>
            </w:r>
          </w:p>
        </w:tc>
        <w:tc>
          <w:tcPr>
            <w:tcW w:w="1417"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Number of Responses</w:t>
            </w:r>
          </w:p>
        </w:tc>
        <w:tc>
          <w:tcPr>
            <w:tcW w:w="1257"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Hours per response</w:t>
            </w:r>
          </w:p>
        </w:tc>
        <w:tc>
          <w:tcPr>
            <w:tcW w:w="1129" w:type="dxa"/>
            <w:vAlign w:val="bottom"/>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Burden Hours</w:t>
            </w:r>
          </w:p>
        </w:tc>
      </w:tr>
      <w:tr w:rsidR="002115B8" w:rsidRPr="00DF2A78" w:rsidTr="002C4796">
        <w:tc>
          <w:tcPr>
            <w:tcW w:w="1767" w:type="dxa"/>
          </w:tcPr>
          <w:p w:rsidR="002115B8" w:rsidRPr="00DF2A78" w:rsidRDefault="002115B8" w:rsidP="002C4796">
            <w:pPr>
              <w:rPr>
                <w:rFonts w:ascii="Arial Narrow" w:hAnsi="Arial Narrow" w:cs="Arial"/>
                <w:i/>
                <w:sz w:val="18"/>
                <w:szCs w:val="18"/>
              </w:rPr>
            </w:pPr>
            <w:r w:rsidRPr="00DF2A78">
              <w:rPr>
                <w:rFonts w:ascii="Arial Narrow" w:hAnsi="Arial Narrow" w:cs="Arial"/>
                <w:sz w:val="18"/>
                <w:szCs w:val="18"/>
              </w:rPr>
              <w:t>601.201(a)(1)</w:t>
            </w:r>
          </w:p>
        </w:tc>
        <w:tc>
          <w:tcPr>
            <w:tcW w:w="1711"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Letter Ruling</w:t>
            </w:r>
          </w:p>
        </w:tc>
        <w:tc>
          <w:tcPr>
            <w:tcW w:w="1548"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128</w:t>
            </w:r>
          </w:p>
        </w:tc>
        <w:tc>
          <w:tcPr>
            <w:tcW w:w="1449"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1</w:t>
            </w:r>
          </w:p>
        </w:tc>
        <w:tc>
          <w:tcPr>
            <w:tcW w:w="1417"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128</w:t>
            </w:r>
          </w:p>
        </w:tc>
        <w:tc>
          <w:tcPr>
            <w:tcW w:w="1257"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6.01</w:t>
            </w:r>
          </w:p>
        </w:tc>
        <w:tc>
          <w:tcPr>
            <w:tcW w:w="1129"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769</w:t>
            </w:r>
          </w:p>
        </w:tc>
      </w:tr>
      <w:tr w:rsidR="002115B8" w:rsidRPr="00DF2A78" w:rsidTr="002C4796">
        <w:tc>
          <w:tcPr>
            <w:tcW w:w="1767" w:type="dxa"/>
          </w:tcPr>
          <w:p w:rsidR="002115B8" w:rsidRPr="00DF2A78" w:rsidRDefault="002115B8" w:rsidP="002C4796">
            <w:pPr>
              <w:rPr>
                <w:rFonts w:ascii="Arial Narrow" w:hAnsi="Arial Narrow" w:cs="Arial"/>
                <w:i/>
                <w:sz w:val="18"/>
                <w:szCs w:val="18"/>
              </w:rPr>
            </w:pPr>
            <w:r w:rsidRPr="00DF2A78">
              <w:rPr>
                <w:rFonts w:ascii="Arial Narrow" w:hAnsi="Arial Narrow" w:cs="Arial"/>
                <w:sz w:val="18"/>
                <w:szCs w:val="18"/>
              </w:rPr>
              <w:t>601.201(a)(1)</w:t>
            </w:r>
          </w:p>
        </w:tc>
        <w:tc>
          <w:tcPr>
            <w:tcW w:w="1711"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Determination letter</w:t>
            </w:r>
          </w:p>
        </w:tc>
        <w:tc>
          <w:tcPr>
            <w:tcW w:w="1548"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8</w:t>
            </w:r>
            <w:r>
              <w:rPr>
                <w:rFonts w:ascii="Arial Narrow" w:hAnsi="Arial Narrow" w:cs="Arial"/>
                <w:sz w:val="18"/>
                <w:szCs w:val="18"/>
              </w:rPr>
              <w:t>,</w:t>
            </w:r>
            <w:r w:rsidRPr="00DF2A78">
              <w:rPr>
                <w:rFonts w:ascii="Arial Narrow" w:hAnsi="Arial Narrow" w:cs="Arial"/>
                <w:sz w:val="18"/>
                <w:szCs w:val="18"/>
              </w:rPr>
              <w:t>605</w:t>
            </w:r>
          </w:p>
        </w:tc>
        <w:tc>
          <w:tcPr>
            <w:tcW w:w="1449"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1</w:t>
            </w:r>
          </w:p>
        </w:tc>
        <w:tc>
          <w:tcPr>
            <w:tcW w:w="1417"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8,605</w:t>
            </w:r>
          </w:p>
        </w:tc>
        <w:tc>
          <w:tcPr>
            <w:tcW w:w="1257"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2.02</w:t>
            </w:r>
          </w:p>
        </w:tc>
        <w:tc>
          <w:tcPr>
            <w:tcW w:w="1129" w:type="dxa"/>
          </w:tcPr>
          <w:p w:rsidR="002115B8" w:rsidRPr="00DF2A78" w:rsidRDefault="002115B8" w:rsidP="002C4796">
            <w:pPr>
              <w:jc w:val="center"/>
              <w:rPr>
                <w:rFonts w:ascii="Arial Narrow" w:hAnsi="Arial Narrow" w:cs="Arial"/>
                <w:sz w:val="18"/>
                <w:szCs w:val="18"/>
              </w:rPr>
            </w:pPr>
            <w:r w:rsidRPr="00DF2A78">
              <w:rPr>
                <w:rFonts w:ascii="Arial Narrow" w:hAnsi="Arial Narrow" w:cs="Arial"/>
                <w:sz w:val="18"/>
                <w:szCs w:val="18"/>
              </w:rPr>
              <w:t>17,382</w:t>
            </w:r>
          </w:p>
        </w:tc>
      </w:tr>
      <w:tr w:rsidR="002115B8" w:rsidRPr="00DF2A78" w:rsidTr="002C4796">
        <w:tc>
          <w:tcPr>
            <w:tcW w:w="1767" w:type="dxa"/>
          </w:tcPr>
          <w:p w:rsidR="002115B8" w:rsidRPr="00DF2A78" w:rsidRDefault="002115B8" w:rsidP="002C4796">
            <w:pPr>
              <w:rPr>
                <w:rFonts w:ascii="Arial Narrow" w:hAnsi="Arial Narrow" w:cs="Arial"/>
                <w:b/>
                <w:i/>
                <w:sz w:val="18"/>
                <w:szCs w:val="18"/>
              </w:rPr>
            </w:pPr>
          </w:p>
        </w:tc>
        <w:tc>
          <w:tcPr>
            <w:tcW w:w="1711" w:type="dxa"/>
          </w:tcPr>
          <w:p w:rsidR="002115B8" w:rsidRPr="00DF2A78" w:rsidRDefault="002115B8" w:rsidP="002C4796">
            <w:pPr>
              <w:rPr>
                <w:rFonts w:ascii="Arial Narrow" w:hAnsi="Arial Narrow" w:cs="Arial"/>
                <w:b/>
                <w:sz w:val="18"/>
                <w:szCs w:val="18"/>
              </w:rPr>
            </w:pPr>
            <w:r w:rsidRPr="00DF2A78">
              <w:rPr>
                <w:rFonts w:ascii="Arial Narrow" w:hAnsi="Arial Narrow" w:cs="Arial"/>
                <w:b/>
                <w:sz w:val="18"/>
                <w:szCs w:val="18"/>
              </w:rPr>
              <w:t>Total</w:t>
            </w:r>
          </w:p>
        </w:tc>
        <w:tc>
          <w:tcPr>
            <w:tcW w:w="1548" w:type="dxa"/>
          </w:tcPr>
          <w:p w:rsidR="002115B8" w:rsidRPr="00DF2A78" w:rsidRDefault="002115B8" w:rsidP="002C4796">
            <w:pPr>
              <w:jc w:val="center"/>
              <w:rPr>
                <w:rFonts w:ascii="Arial Narrow" w:hAnsi="Arial Narrow" w:cs="Arial"/>
                <w:b/>
                <w:sz w:val="18"/>
                <w:szCs w:val="18"/>
              </w:rPr>
            </w:pPr>
          </w:p>
        </w:tc>
        <w:tc>
          <w:tcPr>
            <w:tcW w:w="1449" w:type="dxa"/>
          </w:tcPr>
          <w:p w:rsidR="002115B8" w:rsidRPr="00DF2A78" w:rsidRDefault="002115B8" w:rsidP="002C4796">
            <w:pPr>
              <w:jc w:val="center"/>
              <w:rPr>
                <w:rFonts w:ascii="Arial Narrow" w:hAnsi="Arial Narrow" w:cs="Arial"/>
                <w:b/>
                <w:sz w:val="18"/>
                <w:szCs w:val="18"/>
              </w:rPr>
            </w:pPr>
          </w:p>
        </w:tc>
        <w:tc>
          <w:tcPr>
            <w:tcW w:w="1417" w:type="dxa"/>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8,733</w:t>
            </w:r>
          </w:p>
        </w:tc>
        <w:tc>
          <w:tcPr>
            <w:tcW w:w="1257" w:type="dxa"/>
          </w:tcPr>
          <w:p w:rsidR="002115B8" w:rsidRPr="00DF2A78" w:rsidRDefault="002115B8" w:rsidP="002C4796">
            <w:pPr>
              <w:jc w:val="center"/>
              <w:rPr>
                <w:rFonts w:ascii="Arial Narrow" w:hAnsi="Arial Narrow" w:cs="Arial"/>
                <w:b/>
                <w:sz w:val="18"/>
                <w:szCs w:val="18"/>
              </w:rPr>
            </w:pPr>
          </w:p>
        </w:tc>
        <w:tc>
          <w:tcPr>
            <w:tcW w:w="1129" w:type="dxa"/>
          </w:tcPr>
          <w:p w:rsidR="002115B8" w:rsidRPr="00DF2A78" w:rsidRDefault="002115B8" w:rsidP="002C4796">
            <w:pPr>
              <w:jc w:val="center"/>
              <w:rPr>
                <w:rFonts w:ascii="Arial Narrow" w:hAnsi="Arial Narrow" w:cs="Arial"/>
                <w:b/>
                <w:sz w:val="18"/>
                <w:szCs w:val="18"/>
              </w:rPr>
            </w:pPr>
            <w:r w:rsidRPr="00DF2A78">
              <w:rPr>
                <w:rFonts w:ascii="Arial Narrow" w:hAnsi="Arial Narrow" w:cs="Arial"/>
                <w:b/>
                <w:sz w:val="18"/>
                <w:szCs w:val="18"/>
              </w:rPr>
              <w:t>18,151</w:t>
            </w:r>
          </w:p>
        </w:tc>
      </w:tr>
    </w:tbl>
    <w:p w:rsidR="002115B8" w:rsidRPr="00DF2A78" w:rsidRDefault="002115B8" w:rsidP="002115B8">
      <w:pPr>
        <w:rPr>
          <w:rFonts w:ascii="Arial Narrow" w:hAnsi="Arial Narrow" w:cs="Arial"/>
          <w:sz w:val="18"/>
          <w:szCs w:val="18"/>
        </w:rPr>
      </w:pPr>
    </w:p>
    <w:p w:rsidR="00E57B7D" w:rsidRPr="00E57B7D" w:rsidRDefault="00E57B7D" w:rsidP="00E57B7D">
      <w:pPr>
        <w:rPr>
          <w:rFonts w:ascii="Arial" w:hAnsi="Arial" w:cs="Arial"/>
        </w:rPr>
      </w:pPr>
    </w:p>
    <w:p w:rsidR="00E57B7D" w:rsidRPr="00E57B7D" w:rsidRDefault="00E57B7D" w:rsidP="00E57B7D">
      <w:pPr>
        <w:rPr>
          <w:rFonts w:ascii="Arial" w:hAnsi="Arial" w:cs="Arial"/>
        </w:rPr>
      </w:pPr>
    </w:p>
    <w:p w:rsidR="00E57B7D" w:rsidRPr="00E57B7D" w:rsidRDefault="00E57B7D" w:rsidP="00E57B7D">
      <w:pPr>
        <w:rPr>
          <w:rFonts w:ascii="Arial" w:hAnsi="Arial" w:cs="Arial"/>
        </w:rPr>
      </w:pPr>
      <w:r w:rsidRPr="00E57B7D">
        <w:rPr>
          <w:rFonts w:ascii="Arial" w:hAnsi="Arial" w:cs="Arial"/>
        </w:rPr>
        <w:t xml:space="preserve">The number of respondents for Revenue Procedure 2017-4 has decreased by 8,839 (17,572 – 8,733 = 8,839) from the collection previously approved by OMB.  </w:t>
      </w:r>
      <w:proofErr w:type="gramStart"/>
      <w:r w:rsidRPr="00E57B7D">
        <w:rPr>
          <w:rFonts w:ascii="Arial" w:hAnsi="Arial" w:cs="Arial"/>
        </w:rPr>
        <w:t>This results in a net decrease of 27,636 burden hours (45,787 – 18,151 = 27,636).</w:t>
      </w:r>
      <w:proofErr w:type="gramEnd"/>
      <w:r w:rsidRPr="00E57B7D">
        <w:rPr>
          <w:rFonts w:ascii="Arial" w:hAnsi="Arial" w:cs="Arial"/>
        </w:rPr>
        <w:t xml:space="preserve">     </w:t>
      </w:r>
    </w:p>
    <w:p w:rsidR="00E57B7D" w:rsidRPr="00E57B7D" w:rsidRDefault="00E57B7D" w:rsidP="00E57B7D">
      <w:pPr>
        <w:rPr>
          <w:rFonts w:ascii="Arial" w:hAnsi="Arial" w:cs="Arial"/>
          <w:color w:val="1F497D" w:themeColor="text2"/>
        </w:rPr>
      </w:pPr>
    </w:p>
    <w:p w:rsidR="00E57B7D" w:rsidRPr="00E57B7D" w:rsidRDefault="00E57B7D" w:rsidP="00E57B7D">
      <w:pPr>
        <w:rPr>
          <w:rFonts w:ascii="Arial" w:hAnsi="Arial" w:cs="Arial"/>
        </w:rPr>
      </w:pPr>
    </w:p>
    <w:p w:rsidR="00E57B7D" w:rsidRPr="00E57B7D" w:rsidRDefault="00E57B7D" w:rsidP="00E57B7D">
      <w:pPr>
        <w:rPr>
          <w:rFonts w:ascii="Arial" w:hAnsi="Arial" w:cs="Arial"/>
        </w:rPr>
      </w:pPr>
    </w:p>
    <w:p w:rsidR="00E57B7D" w:rsidRDefault="00E57B7D" w:rsidP="00024B94">
      <w:pPr>
        <w:ind w:left="720"/>
        <w:rPr>
          <w:rFonts w:ascii="Arial" w:hAnsi="Arial" w:cs="Arial"/>
        </w:rPr>
      </w:pPr>
      <w:r w:rsidRPr="00E57B7D">
        <w:rPr>
          <w:rFonts w:ascii="Arial" w:hAnsi="Arial" w:cs="Arial"/>
        </w:rPr>
        <w:t>The number of determination letter responses is an average based on estimated data from Employee Plans for both FT 2017 and FY 2018 receipts.  Employee Plans estimates that it will receive 8</w:t>
      </w:r>
      <w:r w:rsidR="002115B8">
        <w:rPr>
          <w:rFonts w:ascii="Arial" w:hAnsi="Arial" w:cs="Arial"/>
        </w:rPr>
        <w:t>,</w:t>
      </w:r>
      <w:r w:rsidRPr="00E57B7D">
        <w:rPr>
          <w:rFonts w:ascii="Arial" w:hAnsi="Arial" w:cs="Arial"/>
        </w:rPr>
        <w:t>200 applications from individually designed plans in FY 2017 in the last year of the old program, and will receive only 3</w:t>
      </w:r>
      <w:r w:rsidR="002115B8">
        <w:rPr>
          <w:rFonts w:ascii="Arial" w:hAnsi="Arial" w:cs="Arial"/>
        </w:rPr>
        <w:t>,</w:t>
      </w:r>
      <w:r w:rsidRPr="00E57B7D">
        <w:rPr>
          <w:rFonts w:ascii="Arial" w:hAnsi="Arial" w:cs="Arial"/>
        </w:rPr>
        <w:t>320 such plans in FY 2018.  In addition Employee Plans estimates that it will receive 130 pre-approved plans in FY 2017 and 5</w:t>
      </w:r>
      <w:r w:rsidR="002115B8">
        <w:rPr>
          <w:rFonts w:ascii="Arial" w:hAnsi="Arial" w:cs="Arial"/>
        </w:rPr>
        <w:t>,</w:t>
      </w:r>
      <w:r w:rsidRPr="00E57B7D">
        <w:rPr>
          <w:rFonts w:ascii="Arial" w:hAnsi="Arial" w:cs="Arial"/>
        </w:rPr>
        <w:t xml:space="preserve">560 pre-approved plans in FY 2018.  Those applications will be processed and will generate a need for responses over a two or three-year period. In order to take into account the ongoing nature </w:t>
      </w:r>
      <w:r w:rsidRPr="00E57B7D">
        <w:rPr>
          <w:rFonts w:ascii="Arial" w:hAnsi="Arial" w:cs="Arial"/>
        </w:rPr>
        <w:lastRenderedPageBreak/>
        <w:t>of applications processing, it is appropriate to average the responses.</w:t>
      </w:r>
    </w:p>
    <w:p w:rsidR="006C6156" w:rsidRDefault="006C6156">
      <w:pPr>
        <w:rPr>
          <w:rFonts w:ascii="Arial" w:hAnsi="Arial" w:cs="Arial"/>
        </w:rPr>
      </w:pPr>
    </w:p>
    <w:p w:rsidR="006C6156" w:rsidRDefault="00E57B7D">
      <w:pPr>
        <w:pStyle w:val="Level1"/>
        <w:keepNext/>
        <w:widowControl/>
        <w:numPr>
          <w:ilvl w:val="0"/>
          <w:numId w:val="4"/>
        </w:numPr>
        <w:tabs>
          <w:tab w:val="left" w:pos="-1440"/>
          <w:tab w:val="num" w:pos="720"/>
        </w:tabs>
        <w:rPr>
          <w:rFonts w:ascii="Arial" w:hAnsi="Arial" w:cs="Arial"/>
        </w:rPr>
      </w:pPr>
      <w:r>
        <w:rPr>
          <w:rFonts w:ascii="Arial" w:hAnsi="Arial" w:cs="Arial"/>
          <w:u w:val="single"/>
        </w:rPr>
        <w:t>ESTIMATED TOTAL ANNUAL COST BURDEN TO RESPONDENTS</w:t>
      </w:r>
    </w:p>
    <w:p w:rsidR="006C6156" w:rsidRDefault="006C6156">
      <w:pPr>
        <w:keepNext/>
        <w:widowControl/>
        <w:rPr>
          <w:rFonts w:ascii="Arial" w:hAnsi="Arial" w:cs="Arial"/>
        </w:rPr>
      </w:pPr>
    </w:p>
    <w:p w:rsidR="006C6156" w:rsidRDefault="00E57B7D">
      <w:pPr>
        <w:keepNext/>
        <w:widowControl/>
        <w:ind w:left="720"/>
        <w:rPr>
          <w:rFonts w:ascii="Arial" w:hAnsi="Arial" w:cs="Arial"/>
        </w:rPr>
      </w:pPr>
      <w:r>
        <w:rPr>
          <w:rFonts w:ascii="Arial" w:hAnsi="Arial" w:cs="Arial"/>
        </w:rPr>
        <w:t>Estimates of the annualized cost to respondents for the hour burdens shown are not available at this time.</w:t>
      </w:r>
    </w:p>
    <w:p w:rsidR="006C6156" w:rsidRDefault="006C6156">
      <w:pPr>
        <w:ind w:left="720"/>
        <w:rPr>
          <w:rFonts w:ascii="Arial" w:hAnsi="Arial" w:cs="Arial"/>
        </w:rPr>
      </w:pPr>
    </w:p>
    <w:p w:rsidR="006C6156" w:rsidRDefault="00E57B7D">
      <w:pPr>
        <w:pStyle w:val="Level1"/>
        <w:numPr>
          <w:ilvl w:val="0"/>
          <w:numId w:val="4"/>
        </w:numPr>
        <w:tabs>
          <w:tab w:val="left" w:pos="-1440"/>
          <w:tab w:val="num" w:pos="720"/>
        </w:tabs>
        <w:rPr>
          <w:rFonts w:ascii="Arial" w:hAnsi="Arial" w:cs="Arial"/>
        </w:rPr>
      </w:pPr>
      <w:r>
        <w:rPr>
          <w:rFonts w:ascii="Arial" w:hAnsi="Arial" w:cs="Arial"/>
          <w:u w:val="single"/>
        </w:rPr>
        <w:t>ESTIMATED ANNUALIZED COST TO THE FEDERAL GOVERNMENT</w:t>
      </w:r>
    </w:p>
    <w:p w:rsidR="006C6156" w:rsidRDefault="006C6156">
      <w:pPr>
        <w:rPr>
          <w:rFonts w:ascii="Arial" w:hAnsi="Arial" w:cs="Arial"/>
        </w:rPr>
      </w:pPr>
    </w:p>
    <w:p w:rsidR="006C6156" w:rsidRDefault="00E57B7D">
      <w:pPr>
        <w:ind w:left="720"/>
        <w:rPr>
          <w:rFonts w:ascii="Arial" w:hAnsi="Arial" w:cs="Arial"/>
        </w:rPr>
      </w:pPr>
      <w:r>
        <w:rPr>
          <w:rFonts w:ascii="Arial" w:hAnsi="Arial" w:cs="Arial"/>
        </w:rPr>
        <w:t>There is no estimated annualized cost to the federal government.</w:t>
      </w:r>
    </w:p>
    <w:p w:rsidR="006C6156" w:rsidRDefault="006C6156">
      <w:pPr>
        <w:rPr>
          <w:rFonts w:ascii="Arial" w:hAnsi="Arial" w:cs="Arial"/>
        </w:rPr>
      </w:pPr>
    </w:p>
    <w:p w:rsidR="006C6156" w:rsidRDefault="00E57B7D">
      <w:pPr>
        <w:pStyle w:val="Level1"/>
        <w:numPr>
          <w:ilvl w:val="0"/>
          <w:numId w:val="4"/>
        </w:numPr>
        <w:tabs>
          <w:tab w:val="left" w:pos="-1440"/>
          <w:tab w:val="num" w:pos="720"/>
        </w:tabs>
        <w:rPr>
          <w:rFonts w:ascii="Arial" w:hAnsi="Arial" w:cs="Arial"/>
        </w:rPr>
      </w:pPr>
      <w:r>
        <w:rPr>
          <w:rFonts w:ascii="Arial" w:hAnsi="Arial" w:cs="Arial"/>
          <w:u w:val="single"/>
        </w:rPr>
        <w:t>REASONS FOR CHANGE IN BURDEN</w:t>
      </w:r>
    </w:p>
    <w:p w:rsidR="006C6156" w:rsidRDefault="006C6156">
      <w:pPr>
        <w:rPr>
          <w:rFonts w:ascii="Arial" w:hAnsi="Arial" w:cs="Arial"/>
        </w:rPr>
      </w:pPr>
    </w:p>
    <w:p w:rsidR="006C6156" w:rsidRDefault="00E57B7D">
      <w:pPr>
        <w:ind w:left="720"/>
        <w:rPr>
          <w:rFonts w:ascii="Arial" w:hAnsi="Arial" w:cs="Arial"/>
        </w:rPr>
      </w:pPr>
      <w:r>
        <w:rPr>
          <w:rFonts w:ascii="Arial" w:hAnsi="Arial" w:cs="Arial"/>
        </w:rPr>
        <w:t>The paperwork burden that was previously approved has been reduced as a result of program changes that result in fewer applications being submitted by taxpayers. The reduction in the number of applications reduces the total number of responses even though the number of responses required per application and the average estimated number of hours per response have not changed. Since the paperwork burden is calculated on a per response basis, the reduction in the number of responses results in a lower burden.  The number of respondents for Revenue Procedure 2017-4 has decreased by 8,839 from the collection previously approved by OMB.  This results in a net decrease of 27,636 burden hours.</w:t>
      </w:r>
      <w:r w:rsidR="00691714">
        <w:rPr>
          <w:rFonts w:ascii="Arial" w:hAnsi="Arial" w:cs="Arial"/>
        </w:rPr>
        <w:t xml:space="preserve">  </w:t>
      </w:r>
      <w:r>
        <w:rPr>
          <w:rFonts w:ascii="Arial" w:hAnsi="Arial" w:cs="Arial"/>
        </w:rPr>
        <w:t>The relevant program changes</w:t>
      </w:r>
      <w:r w:rsidR="00691714" w:rsidRPr="00691714">
        <w:t xml:space="preserve"> </w:t>
      </w:r>
      <w:r w:rsidR="00691714">
        <w:t>(</w:t>
      </w:r>
      <w:r w:rsidR="00691714">
        <w:rPr>
          <w:rFonts w:ascii="Arial" w:hAnsi="Arial" w:cs="Arial"/>
        </w:rPr>
        <w:t>e</w:t>
      </w:r>
      <w:r w:rsidR="00691714" w:rsidRPr="00691714">
        <w:rPr>
          <w:rFonts w:ascii="Arial" w:hAnsi="Arial" w:cs="Arial"/>
        </w:rPr>
        <w:t>ssentially, all of the reductions</w:t>
      </w:r>
      <w:r w:rsidR="00691714">
        <w:rPr>
          <w:rFonts w:ascii="Arial" w:hAnsi="Arial" w:cs="Arial"/>
        </w:rPr>
        <w:t>),</w:t>
      </w:r>
      <w:r w:rsidR="00691714" w:rsidRPr="00691714">
        <w:rPr>
          <w:rFonts w:ascii="Arial" w:hAnsi="Arial" w:cs="Arial"/>
        </w:rPr>
        <w:t xml:space="preserve"> are due to cascading effects from other revenue procedures</w:t>
      </w:r>
      <w:r w:rsidR="00691714">
        <w:rPr>
          <w:rFonts w:ascii="Arial" w:hAnsi="Arial" w:cs="Arial"/>
        </w:rPr>
        <w:t xml:space="preserve"> to</w:t>
      </w:r>
      <w:r>
        <w:rPr>
          <w:rFonts w:ascii="Arial" w:hAnsi="Arial" w:cs="Arial"/>
        </w:rPr>
        <w:t xml:space="preserve"> include</w:t>
      </w:r>
      <w:r w:rsidR="00691714">
        <w:rPr>
          <w:rFonts w:ascii="Arial" w:hAnsi="Arial" w:cs="Arial"/>
        </w:rPr>
        <w:t>,</w:t>
      </w:r>
      <w:r>
        <w:rPr>
          <w:rFonts w:ascii="Arial" w:hAnsi="Arial" w:cs="Arial"/>
        </w:rPr>
        <w:t xml:space="preserve"> Revenue Procedure 2016-47, permitting taxpayers to self-certify eligibility for a waiver of the 60-day rollover period for distributions from IRAs and qualified plans, and Revenue Procedure 2016-37, announcing a significant reduction in the determination letter program for individually des</w:t>
      </w:r>
      <w:r w:rsidR="00024B94">
        <w:rPr>
          <w:rFonts w:ascii="Arial" w:hAnsi="Arial" w:cs="Arial"/>
        </w:rPr>
        <w:t>igned plans.</w:t>
      </w:r>
    </w:p>
    <w:p w:rsidR="00024B94" w:rsidRDefault="00024B94">
      <w:pPr>
        <w:ind w:left="720"/>
        <w:rPr>
          <w:rFonts w:ascii="Arial" w:hAnsi="Arial" w:cs="Arial"/>
        </w:rPr>
      </w:pPr>
    </w:p>
    <w:tbl>
      <w:tblPr>
        <w:tblStyle w:val="TableGrid"/>
        <w:tblW w:w="0" w:type="auto"/>
        <w:tblLook w:val="04A0" w:firstRow="1" w:lastRow="0" w:firstColumn="1" w:lastColumn="0" w:noHBand="0" w:noVBand="1"/>
      </w:tblPr>
      <w:tblGrid>
        <w:gridCol w:w="2538"/>
        <w:gridCol w:w="1530"/>
        <w:gridCol w:w="1755"/>
        <w:gridCol w:w="1762"/>
        <w:gridCol w:w="1991"/>
      </w:tblGrid>
      <w:tr w:rsidR="002369C4" w:rsidRPr="002369C4" w:rsidTr="00485A98">
        <w:tc>
          <w:tcPr>
            <w:tcW w:w="2538" w:type="dxa"/>
          </w:tcPr>
          <w:p w:rsidR="002369C4" w:rsidRPr="002369C4" w:rsidRDefault="002369C4" w:rsidP="00485A98">
            <w:pPr>
              <w:rPr>
                <w:rFonts w:ascii="Arial Narrow" w:hAnsi="Arial Narrow" w:cs="Arial"/>
                <w:b/>
                <w:sz w:val="18"/>
                <w:szCs w:val="18"/>
              </w:rPr>
            </w:pPr>
            <w:r>
              <w:rPr>
                <w:rFonts w:ascii="Arial Narrow" w:hAnsi="Arial Narrow" w:cs="Arial"/>
                <w:b/>
                <w:sz w:val="18"/>
                <w:szCs w:val="18"/>
              </w:rPr>
              <w:t>Revenue Procedure</w:t>
            </w:r>
          </w:p>
        </w:tc>
        <w:tc>
          <w:tcPr>
            <w:tcW w:w="1530" w:type="dxa"/>
          </w:tcPr>
          <w:p w:rsidR="002369C4" w:rsidRPr="002369C4" w:rsidRDefault="002369C4" w:rsidP="00485A98">
            <w:pPr>
              <w:rPr>
                <w:rFonts w:ascii="Arial Narrow" w:hAnsi="Arial Narrow" w:cs="Arial"/>
                <w:b/>
                <w:sz w:val="18"/>
                <w:szCs w:val="18"/>
              </w:rPr>
            </w:pPr>
            <w:r w:rsidRPr="002369C4">
              <w:rPr>
                <w:rFonts w:ascii="Arial Narrow" w:hAnsi="Arial Narrow" w:cs="Arial"/>
                <w:b/>
                <w:sz w:val="18"/>
                <w:szCs w:val="18"/>
              </w:rPr>
              <w:t>Requested</w:t>
            </w:r>
          </w:p>
        </w:tc>
        <w:tc>
          <w:tcPr>
            <w:tcW w:w="1755" w:type="dxa"/>
          </w:tcPr>
          <w:p w:rsidR="002369C4" w:rsidRPr="002369C4" w:rsidRDefault="002369C4" w:rsidP="00485A98">
            <w:pPr>
              <w:rPr>
                <w:rFonts w:ascii="Arial Narrow" w:hAnsi="Arial Narrow" w:cs="Arial"/>
                <w:b/>
                <w:sz w:val="18"/>
                <w:szCs w:val="18"/>
              </w:rPr>
            </w:pPr>
            <w:r>
              <w:rPr>
                <w:rFonts w:ascii="Arial Narrow" w:hAnsi="Arial Narrow" w:cs="Arial"/>
                <w:b/>
                <w:sz w:val="18"/>
                <w:szCs w:val="18"/>
              </w:rPr>
              <w:t>Program Change due to Agency Discretion</w:t>
            </w:r>
          </w:p>
        </w:tc>
        <w:tc>
          <w:tcPr>
            <w:tcW w:w="1762" w:type="dxa"/>
          </w:tcPr>
          <w:p w:rsidR="002369C4" w:rsidRPr="002369C4" w:rsidRDefault="002369C4" w:rsidP="00485A98">
            <w:pPr>
              <w:rPr>
                <w:rFonts w:ascii="Arial Narrow" w:hAnsi="Arial Narrow" w:cs="Arial"/>
                <w:b/>
                <w:sz w:val="18"/>
                <w:szCs w:val="18"/>
              </w:rPr>
            </w:pPr>
            <w:r>
              <w:rPr>
                <w:rFonts w:ascii="Arial Narrow" w:hAnsi="Arial Narrow" w:cs="Arial"/>
                <w:b/>
                <w:sz w:val="18"/>
                <w:szCs w:val="18"/>
              </w:rPr>
              <w:t>Change due to Adjustment in Agency Estimate</w:t>
            </w:r>
          </w:p>
        </w:tc>
        <w:tc>
          <w:tcPr>
            <w:tcW w:w="1991" w:type="dxa"/>
          </w:tcPr>
          <w:p w:rsidR="002369C4" w:rsidRPr="002369C4" w:rsidRDefault="002369C4" w:rsidP="00485A98">
            <w:pPr>
              <w:rPr>
                <w:rFonts w:ascii="Arial Narrow" w:hAnsi="Arial Narrow" w:cs="Arial"/>
                <w:b/>
                <w:sz w:val="18"/>
                <w:szCs w:val="18"/>
              </w:rPr>
            </w:pPr>
            <w:r w:rsidRPr="002369C4">
              <w:rPr>
                <w:rFonts w:ascii="Arial Narrow" w:hAnsi="Arial Narrow" w:cs="Arial"/>
                <w:b/>
                <w:sz w:val="18"/>
                <w:szCs w:val="18"/>
              </w:rPr>
              <w:t>Previously Approved</w:t>
            </w:r>
          </w:p>
        </w:tc>
      </w:tr>
      <w:tr w:rsidR="002115B8" w:rsidRPr="002369C4" w:rsidTr="007B3A0D">
        <w:tc>
          <w:tcPr>
            <w:tcW w:w="2538" w:type="dxa"/>
            <w:shd w:val="clear" w:color="auto" w:fill="BFBFBF" w:themeFill="background1" w:themeFillShade="BF"/>
          </w:tcPr>
          <w:p w:rsidR="002115B8" w:rsidRPr="00445716" w:rsidRDefault="002115B8" w:rsidP="00103B8F">
            <w:pPr>
              <w:rPr>
                <w:rFonts w:ascii="Arial Narrow" w:hAnsi="Arial Narrow" w:cs="Arial"/>
                <w:b/>
                <w:color w:val="BFBFBF" w:themeColor="background1" w:themeShade="BF"/>
                <w:sz w:val="18"/>
                <w:szCs w:val="18"/>
              </w:rPr>
            </w:pPr>
            <w:r w:rsidRPr="007B3A0D">
              <w:rPr>
                <w:rFonts w:ascii="Arial Narrow" w:hAnsi="Arial Narrow" w:cs="Arial"/>
                <w:b/>
                <w:sz w:val="18"/>
                <w:szCs w:val="18"/>
              </w:rPr>
              <w:t>Responses</w:t>
            </w:r>
          </w:p>
        </w:tc>
        <w:tc>
          <w:tcPr>
            <w:tcW w:w="1530" w:type="dxa"/>
            <w:shd w:val="clear" w:color="auto" w:fill="BFBFBF" w:themeFill="background1" w:themeFillShade="BF"/>
            <w:vAlign w:val="bottom"/>
          </w:tcPr>
          <w:p w:rsidR="002115B8" w:rsidRPr="00445716" w:rsidRDefault="002115B8" w:rsidP="00485A98">
            <w:pPr>
              <w:jc w:val="center"/>
              <w:rPr>
                <w:rFonts w:ascii="Arial Narrow" w:hAnsi="Arial Narrow" w:cs="Arial"/>
                <w:b/>
                <w:color w:val="BFBFBF" w:themeColor="background1" w:themeShade="BF"/>
                <w:sz w:val="18"/>
                <w:szCs w:val="18"/>
              </w:rPr>
            </w:pPr>
          </w:p>
        </w:tc>
        <w:tc>
          <w:tcPr>
            <w:tcW w:w="1755" w:type="dxa"/>
            <w:shd w:val="clear" w:color="auto" w:fill="BFBFBF" w:themeFill="background1" w:themeFillShade="BF"/>
            <w:vAlign w:val="bottom"/>
          </w:tcPr>
          <w:p w:rsidR="002115B8" w:rsidRPr="00445716" w:rsidRDefault="002115B8" w:rsidP="00485A98">
            <w:pPr>
              <w:jc w:val="center"/>
              <w:rPr>
                <w:rFonts w:ascii="Arial Narrow" w:hAnsi="Arial Narrow" w:cs="Arial"/>
                <w:b/>
                <w:color w:val="BFBFBF" w:themeColor="background1" w:themeShade="BF"/>
                <w:sz w:val="18"/>
                <w:szCs w:val="18"/>
              </w:rPr>
            </w:pPr>
          </w:p>
        </w:tc>
        <w:tc>
          <w:tcPr>
            <w:tcW w:w="1762" w:type="dxa"/>
            <w:shd w:val="clear" w:color="auto" w:fill="BFBFBF" w:themeFill="background1" w:themeFillShade="BF"/>
            <w:vAlign w:val="bottom"/>
          </w:tcPr>
          <w:p w:rsidR="002115B8" w:rsidRPr="00445716" w:rsidRDefault="002115B8" w:rsidP="00485A98">
            <w:pPr>
              <w:jc w:val="center"/>
              <w:rPr>
                <w:rFonts w:ascii="Arial Narrow" w:hAnsi="Arial Narrow" w:cs="Arial"/>
                <w:b/>
                <w:color w:val="BFBFBF" w:themeColor="background1" w:themeShade="BF"/>
                <w:sz w:val="18"/>
                <w:szCs w:val="18"/>
              </w:rPr>
            </w:pPr>
          </w:p>
        </w:tc>
        <w:tc>
          <w:tcPr>
            <w:tcW w:w="1991" w:type="dxa"/>
            <w:shd w:val="clear" w:color="auto" w:fill="BFBFBF" w:themeFill="background1" w:themeFillShade="BF"/>
            <w:vAlign w:val="bottom"/>
          </w:tcPr>
          <w:p w:rsidR="002115B8" w:rsidRPr="00445716" w:rsidRDefault="002115B8" w:rsidP="00485A98">
            <w:pPr>
              <w:jc w:val="center"/>
              <w:rPr>
                <w:rFonts w:ascii="Arial Narrow" w:hAnsi="Arial Narrow" w:cs="Arial"/>
                <w:b/>
                <w:color w:val="BFBFBF" w:themeColor="background1" w:themeShade="BF"/>
                <w:sz w:val="18"/>
                <w:szCs w:val="18"/>
              </w:rPr>
            </w:pPr>
          </w:p>
        </w:tc>
      </w:tr>
      <w:tr w:rsidR="002115B8" w:rsidRPr="002369C4" w:rsidTr="00485A98">
        <w:tc>
          <w:tcPr>
            <w:tcW w:w="2538" w:type="dxa"/>
          </w:tcPr>
          <w:p w:rsidR="002115B8" w:rsidRPr="002369C4" w:rsidRDefault="002115B8" w:rsidP="007B3A0D">
            <w:pPr>
              <w:rPr>
                <w:rFonts w:ascii="Arial Narrow" w:hAnsi="Arial Narrow" w:cs="Arial"/>
                <w:b/>
                <w:sz w:val="18"/>
                <w:szCs w:val="18"/>
              </w:rPr>
            </w:pPr>
            <w:r>
              <w:rPr>
                <w:rFonts w:ascii="Arial Narrow" w:hAnsi="Arial Narrow" w:cs="Arial"/>
                <w:b/>
                <w:sz w:val="18"/>
                <w:szCs w:val="18"/>
              </w:rPr>
              <w:t>2016-4, 2016-6</w:t>
            </w:r>
            <w:r w:rsidR="007B3A0D">
              <w:rPr>
                <w:rFonts w:ascii="Arial Narrow" w:hAnsi="Arial Narrow" w:cs="Arial"/>
                <w:b/>
                <w:sz w:val="18"/>
                <w:szCs w:val="18"/>
              </w:rPr>
              <w:t xml:space="preserve">, </w:t>
            </w:r>
            <w:r>
              <w:rPr>
                <w:rFonts w:ascii="Arial Narrow" w:hAnsi="Arial Narrow" w:cs="Arial"/>
                <w:b/>
                <w:sz w:val="18"/>
                <w:szCs w:val="18"/>
              </w:rPr>
              <w:t xml:space="preserve">2016-8 </w:t>
            </w:r>
            <w:r w:rsidR="007B3A0D">
              <w:rPr>
                <w:rFonts w:ascii="Arial Narrow" w:hAnsi="Arial Narrow" w:cs="Arial"/>
                <w:b/>
                <w:sz w:val="18"/>
                <w:szCs w:val="18"/>
              </w:rPr>
              <w:t>&amp; 2011-5</w:t>
            </w:r>
          </w:p>
        </w:tc>
        <w:tc>
          <w:tcPr>
            <w:tcW w:w="1530" w:type="dxa"/>
            <w:vAlign w:val="bottom"/>
          </w:tcPr>
          <w:p w:rsidR="002115B8" w:rsidRPr="002369C4" w:rsidRDefault="002115B8" w:rsidP="00485A98">
            <w:pPr>
              <w:jc w:val="center"/>
              <w:rPr>
                <w:rFonts w:ascii="Arial Narrow" w:hAnsi="Arial Narrow" w:cs="Arial"/>
                <w:sz w:val="18"/>
                <w:szCs w:val="18"/>
              </w:rPr>
            </w:pPr>
          </w:p>
        </w:tc>
        <w:tc>
          <w:tcPr>
            <w:tcW w:w="1755" w:type="dxa"/>
            <w:vAlign w:val="bottom"/>
          </w:tcPr>
          <w:p w:rsidR="002115B8" w:rsidRDefault="002115B8" w:rsidP="00485A98">
            <w:pPr>
              <w:jc w:val="center"/>
              <w:rPr>
                <w:rFonts w:ascii="Arial Narrow" w:hAnsi="Arial Narrow" w:cs="Arial"/>
                <w:sz w:val="18"/>
                <w:szCs w:val="18"/>
              </w:rPr>
            </w:pPr>
            <w:r>
              <w:rPr>
                <w:rFonts w:ascii="Arial Narrow" w:hAnsi="Arial Narrow" w:cs="Arial"/>
                <w:sz w:val="18"/>
                <w:szCs w:val="18"/>
              </w:rPr>
              <w:t>(17,572)</w:t>
            </w:r>
          </w:p>
        </w:tc>
        <w:tc>
          <w:tcPr>
            <w:tcW w:w="1762" w:type="dxa"/>
            <w:vAlign w:val="bottom"/>
          </w:tcPr>
          <w:p w:rsidR="002115B8" w:rsidRDefault="002115B8" w:rsidP="00485A98">
            <w:pPr>
              <w:jc w:val="center"/>
              <w:rPr>
                <w:rFonts w:ascii="Arial Narrow" w:hAnsi="Arial Narrow" w:cs="Arial"/>
                <w:sz w:val="18"/>
                <w:szCs w:val="18"/>
              </w:rPr>
            </w:pPr>
          </w:p>
        </w:tc>
        <w:tc>
          <w:tcPr>
            <w:tcW w:w="1991" w:type="dxa"/>
            <w:vAlign w:val="bottom"/>
          </w:tcPr>
          <w:p w:rsidR="002115B8" w:rsidRPr="002369C4" w:rsidRDefault="002115B8" w:rsidP="00485A98">
            <w:pPr>
              <w:jc w:val="center"/>
              <w:rPr>
                <w:rFonts w:ascii="Arial Narrow" w:hAnsi="Arial Narrow" w:cs="Arial"/>
                <w:sz w:val="18"/>
                <w:szCs w:val="18"/>
              </w:rPr>
            </w:pPr>
            <w:r>
              <w:rPr>
                <w:rFonts w:ascii="Arial Narrow" w:hAnsi="Arial Narrow" w:cs="Arial"/>
                <w:sz w:val="18"/>
                <w:szCs w:val="18"/>
              </w:rPr>
              <w:t>17,572</w:t>
            </w:r>
          </w:p>
        </w:tc>
      </w:tr>
      <w:tr w:rsidR="002115B8" w:rsidRPr="002369C4" w:rsidTr="00485A98">
        <w:tc>
          <w:tcPr>
            <w:tcW w:w="2538" w:type="dxa"/>
          </w:tcPr>
          <w:p w:rsidR="002115B8" w:rsidRPr="002369C4" w:rsidRDefault="002115B8" w:rsidP="00103B8F">
            <w:pPr>
              <w:rPr>
                <w:rFonts w:ascii="Arial Narrow" w:hAnsi="Arial Narrow" w:cs="Arial"/>
                <w:b/>
                <w:sz w:val="18"/>
                <w:szCs w:val="18"/>
              </w:rPr>
            </w:pPr>
            <w:r>
              <w:rPr>
                <w:rFonts w:ascii="Arial Narrow" w:hAnsi="Arial Narrow" w:cs="Arial"/>
                <w:b/>
                <w:sz w:val="18"/>
                <w:szCs w:val="18"/>
              </w:rPr>
              <w:t>2017-4</w:t>
            </w:r>
          </w:p>
        </w:tc>
        <w:tc>
          <w:tcPr>
            <w:tcW w:w="1530" w:type="dxa"/>
            <w:vAlign w:val="bottom"/>
          </w:tcPr>
          <w:p w:rsidR="002115B8" w:rsidRPr="002369C4" w:rsidRDefault="002115B8" w:rsidP="00485A98">
            <w:pPr>
              <w:jc w:val="center"/>
              <w:rPr>
                <w:rFonts w:ascii="Arial Narrow" w:hAnsi="Arial Narrow" w:cs="Arial"/>
                <w:sz w:val="18"/>
                <w:szCs w:val="18"/>
              </w:rPr>
            </w:pPr>
            <w:r w:rsidRPr="002369C4">
              <w:rPr>
                <w:rFonts w:ascii="Arial Narrow" w:hAnsi="Arial Narrow" w:cs="Arial"/>
                <w:sz w:val="18"/>
                <w:szCs w:val="18"/>
              </w:rPr>
              <w:t>8,733</w:t>
            </w:r>
          </w:p>
        </w:tc>
        <w:tc>
          <w:tcPr>
            <w:tcW w:w="1755" w:type="dxa"/>
            <w:vAlign w:val="bottom"/>
          </w:tcPr>
          <w:p w:rsidR="002115B8" w:rsidRPr="002369C4" w:rsidRDefault="002115B8" w:rsidP="00485A98">
            <w:pPr>
              <w:jc w:val="center"/>
              <w:rPr>
                <w:rFonts w:ascii="Arial Narrow" w:hAnsi="Arial Narrow" w:cs="Arial"/>
                <w:sz w:val="18"/>
                <w:szCs w:val="18"/>
              </w:rPr>
            </w:pPr>
            <w:r>
              <w:rPr>
                <w:rFonts w:ascii="Arial Narrow" w:hAnsi="Arial Narrow" w:cs="Arial"/>
                <w:sz w:val="18"/>
                <w:szCs w:val="18"/>
              </w:rPr>
              <w:t>8,733</w:t>
            </w:r>
          </w:p>
        </w:tc>
        <w:tc>
          <w:tcPr>
            <w:tcW w:w="1762" w:type="dxa"/>
            <w:vAlign w:val="bottom"/>
          </w:tcPr>
          <w:p w:rsidR="002115B8" w:rsidRPr="002369C4" w:rsidRDefault="002115B8" w:rsidP="00485A98">
            <w:pPr>
              <w:jc w:val="center"/>
              <w:rPr>
                <w:rFonts w:ascii="Arial Narrow" w:hAnsi="Arial Narrow" w:cs="Arial"/>
                <w:sz w:val="18"/>
                <w:szCs w:val="18"/>
              </w:rPr>
            </w:pPr>
          </w:p>
        </w:tc>
        <w:tc>
          <w:tcPr>
            <w:tcW w:w="1991" w:type="dxa"/>
            <w:vAlign w:val="bottom"/>
          </w:tcPr>
          <w:p w:rsidR="002115B8" w:rsidRPr="002369C4" w:rsidRDefault="002115B8" w:rsidP="00485A98">
            <w:pPr>
              <w:jc w:val="center"/>
              <w:rPr>
                <w:rFonts w:ascii="Arial Narrow" w:hAnsi="Arial Narrow" w:cs="Arial"/>
                <w:sz w:val="18"/>
                <w:szCs w:val="18"/>
              </w:rPr>
            </w:pPr>
          </w:p>
        </w:tc>
      </w:tr>
      <w:tr w:rsidR="002115B8" w:rsidRPr="00103B8F" w:rsidTr="00E47DB8">
        <w:tc>
          <w:tcPr>
            <w:tcW w:w="2538" w:type="dxa"/>
          </w:tcPr>
          <w:p w:rsidR="002115B8" w:rsidRPr="00103B8F" w:rsidRDefault="002115B8" w:rsidP="00103B8F">
            <w:pPr>
              <w:rPr>
                <w:rFonts w:ascii="Arial Narrow" w:hAnsi="Arial Narrow" w:cs="Arial"/>
                <w:b/>
                <w:sz w:val="18"/>
                <w:szCs w:val="18"/>
              </w:rPr>
            </w:pPr>
            <w:r w:rsidRPr="00103B8F">
              <w:rPr>
                <w:rFonts w:ascii="Arial Narrow" w:hAnsi="Arial Narrow" w:cs="Arial"/>
                <w:b/>
                <w:sz w:val="18"/>
                <w:szCs w:val="18"/>
              </w:rPr>
              <w:t xml:space="preserve">Reduction in Annual Number of Responses </w:t>
            </w:r>
            <w:bookmarkStart w:id="0" w:name="_GoBack"/>
            <w:bookmarkEnd w:id="0"/>
          </w:p>
        </w:tc>
        <w:tc>
          <w:tcPr>
            <w:tcW w:w="1530" w:type="dxa"/>
            <w:vAlign w:val="bottom"/>
          </w:tcPr>
          <w:p w:rsidR="002115B8" w:rsidRPr="00103B8F" w:rsidRDefault="002115B8" w:rsidP="00E47DB8">
            <w:pPr>
              <w:jc w:val="center"/>
              <w:rPr>
                <w:rFonts w:ascii="Arial Narrow" w:hAnsi="Arial Narrow" w:cs="Arial"/>
                <w:b/>
                <w:sz w:val="18"/>
                <w:szCs w:val="18"/>
              </w:rPr>
            </w:pPr>
          </w:p>
        </w:tc>
        <w:tc>
          <w:tcPr>
            <w:tcW w:w="1755" w:type="dxa"/>
            <w:vAlign w:val="bottom"/>
          </w:tcPr>
          <w:p w:rsidR="002115B8" w:rsidRPr="00103B8F" w:rsidRDefault="002115B8" w:rsidP="00E47DB8">
            <w:pPr>
              <w:jc w:val="center"/>
              <w:rPr>
                <w:rFonts w:ascii="Arial Narrow" w:hAnsi="Arial Narrow" w:cs="Arial"/>
                <w:b/>
                <w:sz w:val="18"/>
                <w:szCs w:val="18"/>
              </w:rPr>
            </w:pPr>
            <w:r w:rsidRPr="00103B8F">
              <w:rPr>
                <w:rFonts w:ascii="Arial Narrow" w:hAnsi="Arial Narrow" w:cs="Arial"/>
                <w:b/>
                <w:sz w:val="18"/>
                <w:szCs w:val="18"/>
              </w:rPr>
              <w:t>(8,839)</w:t>
            </w:r>
          </w:p>
        </w:tc>
        <w:tc>
          <w:tcPr>
            <w:tcW w:w="1762" w:type="dxa"/>
            <w:vAlign w:val="bottom"/>
          </w:tcPr>
          <w:p w:rsidR="002115B8" w:rsidRPr="00103B8F" w:rsidRDefault="002115B8" w:rsidP="00E47DB8">
            <w:pPr>
              <w:jc w:val="center"/>
              <w:rPr>
                <w:rFonts w:ascii="Arial Narrow" w:hAnsi="Arial Narrow" w:cs="Arial"/>
                <w:b/>
                <w:sz w:val="18"/>
                <w:szCs w:val="18"/>
              </w:rPr>
            </w:pPr>
          </w:p>
        </w:tc>
        <w:tc>
          <w:tcPr>
            <w:tcW w:w="1991" w:type="dxa"/>
            <w:vAlign w:val="bottom"/>
          </w:tcPr>
          <w:p w:rsidR="002115B8" w:rsidRPr="00103B8F" w:rsidRDefault="002115B8" w:rsidP="00E47DB8">
            <w:pPr>
              <w:jc w:val="center"/>
              <w:rPr>
                <w:rFonts w:ascii="Arial Narrow" w:hAnsi="Arial Narrow" w:cs="Arial"/>
                <w:b/>
                <w:sz w:val="18"/>
                <w:szCs w:val="18"/>
              </w:rPr>
            </w:pPr>
          </w:p>
        </w:tc>
      </w:tr>
      <w:tr w:rsidR="002115B8" w:rsidRPr="002369C4" w:rsidTr="009216EE">
        <w:tc>
          <w:tcPr>
            <w:tcW w:w="2538" w:type="dxa"/>
          </w:tcPr>
          <w:p w:rsidR="002115B8" w:rsidRDefault="002115B8" w:rsidP="009216EE">
            <w:pPr>
              <w:rPr>
                <w:rFonts w:ascii="Arial Narrow" w:hAnsi="Arial Narrow" w:cs="Arial"/>
                <w:b/>
                <w:sz w:val="18"/>
                <w:szCs w:val="18"/>
              </w:rPr>
            </w:pPr>
          </w:p>
        </w:tc>
        <w:tc>
          <w:tcPr>
            <w:tcW w:w="1530" w:type="dxa"/>
            <w:vAlign w:val="bottom"/>
          </w:tcPr>
          <w:p w:rsidR="002115B8" w:rsidRPr="002369C4" w:rsidRDefault="002115B8" w:rsidP="009216EE">
            <w:pPr>
              <w:jc w:val="center"/>
              <w:rPr>
                <w:rFonts w:ascii="Arial Narrow" w:hAnsi="Arial Narrow" w:cs="Arial"/>
                <w:sz w:val="18"/>
                <w:szCs w:val="18"/>
              </w:rPr>
            </w:pPr>
          </w:p>
        </w:tc>
        <w:tc>
          <w:tcPr>
            <w:tcW w:w="1755" w:type="dxa"/>
            <w:vAlign w:val="bottom"/>
          </w:tcPr>
          <w:p w:rsidR="002115B8" w:rsidRDefault="002115B8" w:rsidP="009216EE">
            <w:pPr>
              <w:jc w:val="center"/>
              <w:rPr>
                <w:rFonts w:ascii="Arial Narrow" w:hAnsi="Arial Narrow" w:cs="Arial"/>
                <w:sz w:val="18"/>
                <w:szCs w:val="18"/>
              </w:rPr>
            </w:pPr>
          </w:p>
        </w:tc>
        <w:tc>
          <w:tcPr>
            <w:tcW w:w="1762" w:type="dxa"/>
            <w:vAlign w:val="bottom"/>
          </w:tcPr>
          <w:p w:rsidR="002115B8" w:rsidRDefault="002115B8" w:rsidP="009216EE">
            <w:pPr>
              <w:jc w:val="center"/>
              <w:rPr>
                <w:rFonts w:ascii="Arial Narrow" w:hAnsi="Arial Narrow" w:cs="Arial"/>
                <w:sz w:val="18"/>
                <w:szCs w:val="18"/>
              </w:rPr>
            </w:pPr>
          </w:p>
        </w:tc>
        <w:tc>
          <w:tcPr>
            <w:tcW w:w="1991" w:type="dxa"/>
            <w:vAlign w:val="bottom"/>
          </w:tcPr>
          <w:p w:rsidR="002115B8" w:rsidRDefault="002115B8" w:rsidP="009216EE">
            <w:pPr>
              <w:jc w:val="center"/>
              <w:rPr>
                <w:rFonts w:ascii="Arial Narrow" w:hAnsi="Arial Narrow" w:cs="Arial"/>
                <w:sz w:val="18"/>
                <w:szCs w:val="18"/>
              </w:rPr>
            </w:pPr>
          </w:p>
        </w:tc>
      </w:tr>
      <w:tr w:rsidR="002115B8" w:rsidRPr="002369C4" w:rsidTr="007B3A0D">
        <w:tc>
          <w:tcPr>
            <w:tcW w:w="2538" w:type="dxa"/>
            <w:shd w:val="clear" w:color="auto" w:fill="BFBFBF" w:themeFill="background1" w:themeFillShade="BF"/>
          </w:tcPr>
          <w:p w:rsidR="002115B8" w:rsidRPr="007B3A0D" w:rsidRDefault="002115B8" w:rsidP="009216EE">
            <w:pPr>
              <w:rPr>
                <w:rFonts w:ascii="Arial Narrow" w:hAnsi="Arial Narrow" w:cs="Arial"/>
                <w:b/>
                <w:sz w:val="18"/>
                <w:szCs w:val="18"/>
              </w:rPr>
            </w:pPr>
            <w:r w:rsidRPr="007B3A0D">
              <w:rPr>
                <w:rFonts w:ascii="Arial Narrow" w:hAnsi="Arial Narrow" w:cs="Arial"/>
                <w:b/>
                <w:sz w:val="18"/>
                <w:szCs w:val="18"/>
              </w:rPr>
              <w:t>Burden Hours</w:t>
            </w:r>
          </w:p>
        </w:tc>
        <w:tc>
          <w:tcPr>
            <w:tcW w:w="1530" w:type="dxa"/>
            <w:shd w:val="clear" w:color="auto" w:fill="BFBFBF" w:themeFill="background1" w:themeFillShade="BF"/>
            <w:vAlign w:val="bottom"/>
          </w:tcPr>
          <w:p w:rsidR="002115B8" w:rsidRPr="007B3A0D" w:rsidRDefault="002115B8" w:rsidP="009216EE">
            <w:pPr>
              <w:jc w:val="center"/>
              <w:rPr>
                <w:rFonts w:ascii="Arial Narrow" w:hAnsi="Arial Narrow" w:cs="Arial"/>
                <w:sz w:val="18"/>
                <w:szCs w:val="18"/>
              </w:rPr>
            </w:pPr>
          </w:p>
        </w:tc>
        <w:tc>
          <w:tcPr>
            <w:tcW w:w="1755" w:type="dxa"/>
            <w:shd w:val="clear" w:color="auto" w:fill="BFBFBF" w:themeFill="background1" w:themeFillShade="BF"/>
            <w:vAlign w:val="bottom"/>
          </w:tcPr>
          <w:p w:rsidR="002115B8" w:rsidRPr="007B3A0D" w:rsidRDefault="002115B8" w:rsidP="009216EE">
            <w:pPr>
              <w:jc w:val="center"/>
              <w:rPr>
                <w:rFonts w:ascii="Arial Narrow" w:hAnsi="Arial Narrow" w:cs="Arial"/>
                <w:sz w:val="18"/>
                <w:szCs w:val="18"/>
              </w:rPr>
            </w:pPr>
          </w:p>
        </w:tc>
        <w:tc>
          <w:tcPr>
            <w:tcW w:w="1762" w:type="dxa"/>
            <w:shd w:val="clear" w:color="auto" w:fill="BFBFBF" w:themeFill="background1" w:themeFillShade="BF"/>
            <w:vAlign w:val="bottom"/>
          </w:tcPr>
          <w:p w:rsidR="002115B8" w:rsidRPr="007B3A0D" w:rsidRDefault="002115B8" w:rsidP="009216EE">
            <w:pPr>
              <w:jc w:val="center"/>
              <w:rPr>
                <w:rFonts w:ascii="Arial Narrow" w:hAnsi="Arial Narrow" w:cs="Arial"/>
                <w:sz w:val="18"/>
                <w:szCs w:val="18"/>
              </w:rPr>
            </w:pPr>
          </w:p>
        </w:tc>
        <w:tc>
          <w:tcPr>
            <w:tcW w:w="1991" w:type="dxa"/>
            <w:shd w:val="clear" w:color="auto" w:fill="BFBFBF" w:themeFill="background1" w:themeFillShade="BF"/>
            <w:vAlign w:val="bottom"/>
          </w:tcPr>
          <w:p w:rsidR="002115B8" w:rsidRPr="007B3A0D" w:rsidRDefault="002115B8" w:rsidP="009216EE">
            <w:pPr>
              <w:jc w:val="center"/>
              <w:rPr>
                <w:rFonts w:ascii="Arial Narrow" w:hAnsi="Arial Narrow" w:cs="Arial"/>
                <w:sz w:val="18"/>
                <w:szCs w:val="18"/>
              </w:rPr>
            </w:pPr>
          </w:p>
        </w:tc>
      </w:tr>
      <w:tr w:rsidR="002115B8" w:rsidRPr="002369C4" w:rsidTr="009216EE">
        <w:tc>
          <w:tcPr>
            <w:tcW w:w="2538" w:type="dxa"/>
          </w:tcPr>
          <w:p w:rsidR="002115B8" w:rsidRPr="002369C4" w:rsidRDefault="007B3A0D" w:rsidP="009216EE">
            <w:pPr>
              <w:rPr>
                <w:rFonts w:ascii="Arial Narrow" w:hAnsi="Arial Narrow" w:cs="Arial"/>
                <w:b/>
                <w:sz w:val="18"/>
                <w:szCs w:val="18"/>
              </w:rPr>
            </w:pPr>
            <w:r>
              <w:rPr>
                <w:rFonts w:ascii="Arial Narrow" w:hAnsi="Arial Narrow" w:cs="Arial"/>
                <w:b/>
                <w:sz w:val="18"/>
                <w:szCs w:val="18"/>
              </w:rPr>
              <w:t>2016-4, 2016-6, 2016-8 &amp; 2011-5</w:t>
            </w:r>
          </w:p>
        </w:tc>
        <w:tc>
          <w:tcPr>
            <w:tcW w:w="1530" w:type="dxa"/>
            <w:vAlign w:val="bottom"/>
          </w:tcPr>
          <w:p w:rsidR="002115B8" w:rsidRPr="002369C4" w:rsidRDefault="002115B8" w:rsidP="009216EE">
            <w:pPr>
              <w:jc w:val="center"/>
              <w:rPr>
                <w:rFonts w:ascii="Arial Narrow" w:hAnsi="Arial Narrow" w:cs="Arial"/>
                <w:sz w:val="18"/>
                <w:szCs w:val="18"/>
              </w:rPr>
            </w:pPr>
          </w:p>
        </w:tc>
        <w:tc>
          <w:tcPr>
            <w:tcW w:w="1755" w:type="dxa"/>
            <w:vAlign w:val="bottom"/>
          </w:tcPr>
          <w:p w:rsidR="002115B8" w:rsidRDefault="002115B8" w:rsidP="009216EE">
            <w:pPr>
              <w:jc w:val="center"/>
              <w:rPr>
                <w:rFonts w:ascii="Arial Narrow" w:hAnsi="Arial Narrow" w:cs="Arial"/>
                <w:sz w:val="18"/>
                <w:szCs w:val="18"/>
              </w:rPr>
            </w:pPr>
            <w:r>
              <w:rPr>
                <w:rFonts w:ascii="Arial Narrow" w:hAnsi="Arial Narrow" w:cs="Arial"/>
                <w:sz w:val="18"/>
                <w:szCs w:val="18"/>
              </w:rPr>
              <w:t>(45,787)</w:t>
            </w:r>
          </w:p>
        </w:tc>
        <w:tc>
          <w:tcPr>
            <w:tcW w:w="1762" w:type="dxa"/>
            <w:vAlign w:val="bottom"/>
          </w:tcPr>
          <w:p w:rsidR="002115B8" w:rsidRDefault="002115B8" w:rsidP="009216EE">
            <w:pPr>
              <w:jc w:val="center"/>
              <w:rPr>
                <w:rFonts w:ascii="Arial Narrow" w:hAnsi="Arial Narrow" w:cs="Arial"/>
                <w:sz w:val="18"/>
                <w:szCs w:val="18"/>
              </w:rPr>
            </w:pPr>
          </w:p>
        </w:tc>
        <w:tc>
          <w:tcPr>
            <w:tcW w:w="1991" w:type="dxa"/>
            <w:vAlign w:val="bottom"/>
          </w:tcPr>
          <w:p w:rsidR="002115B8" w:rsidRPr="002369C4" w:rsidRDefault="002115B8" w:rsidP="009216EE">
            <w:pPr>
              <w:jc w:val="center"/>
              <w:rPr>
                <w:rFonts w:ascii="Arial Narrow" w:hAnsi="Arial Narrow" w:cs="Arial"/>
                <w:sz w:val="18"/>
                <w:szCs w:val="18"/>
              </w:rPr>
            </w:pPr>
            <w:r>
              <w:rPr>
                <w:rFonts w:ascii="Arial Narrow" w:hAnsi="Arial Narrow" w:cs="Arial"/>
                <w:sz w:val="18"/>
                <w:szCs w:val="18"/>
              </w:rPr>
              <w:t>45,787</w:t>
            </w:r>
          </w:p>
        </w:tc>
      </w:tr>
      <w:tr w:rsidR="002115B8" w:rsidRPr="002369C4" w:rsidTr="00B50753">
        <w:tc>
          <w:tcPr>
            <w:tcW w:w="2538" w:type="dxa"/>
          </w:tcPr>
          <w:p w:rsidR="002115B8" w:rsidRPr="002369C4" w:rsidRDefault="002115B8" w:rsidP="00B50753">
            <w:pPr>
              <w:rPr>
                <w:rFonts w:ascii="Arial Narrow" w:hAnsi="Arial Narrow" w:cs="Arial"/>
                <w:b/>
                <w:sz w:val="18"/>
                <w:szCs w:val="18"/>
              </w:rPr>
            </w:pPr>
            <w:r>
              <w:rPr>
                <w:rFonts w:ascii="Arial Narrow" w:hAnsi="Arial Narrow" w:cs="Arial"/>
                <w:b/>
                <w:sz w:val="18"/>
                <w:szCs w:val="18"/>
              </w:rPr>
              <w:t xml:space="preserve">2017-4 </w:t>
            </w:r>
          </w:p>
        </w:tc>
        <w:tc>
          <w:tcPr>
            <w:tcW w:w="1530" w:type="dxa"/>
            <w:vAlign w:val="bottom"/>
          </w:tcPr>
          <w:p w:rsidR="002115B8" w:rsidRPr="002369C4" w:rsidRDefault="002115B8" w:rsidP="00B50753">
            <w:pPr>
              <w:jc w:val="center"/>
              <w:rPr>
                <w:rFonts w:ascii="Arial Narrow" w:hAnsi="Arial Narrow" w:cs="Arial"/>
                <w:sz w:val="18"/>
                <w:szCs w:val="18"/>
              </w:rPr>
            </w:pPr>
            <w:r w:rsidRPr="002369C4">
              <w:rPr>
                <w:rFonts w:ascii="Arial Narrow" w:hAnsi="Arial Narrow" w:cs="Arial"/>
                <w:sz w:val="18"/>
                <w:szCs w:val="18"/>
              </w:rPr>
              <w:t>18,151</w:t>
            </w:r>
          </w:p>
        </w:tc>
        <w:tc>
          <w:tcPr>
            <w:tcW w:w="1755" w:type="dxa"/>
            <w:vAlign w:val="bottom"/>
          </w:tcPr>
          <w:p w:rsidR="002115B8" w:rsidRPr="002369C4" w:rsidRDefault="002115B8" w:rsidP="00B50753">
            <w:pPr>
              <w:jc w:val="center"/>
              <w:rPr>
                <w:rFonts w:ascii="Arial Narrow" w:hAnsi="Arial Narrow" w:cs="Arial"/>
                <w:sz w:val="18"/>
                <w:szCs w:val="18"/>
              </w:rPr>
            </w:pPr>
            <w:r>
              <w:rPr>
                <w:rFonts w:ascii="Arial Narrow" w:hAnsi="Arial Narrow" w:cs="Arial"/>
                <w:sz w:val="18"/>
                <w:szCs w:val="18"/>
              </w:rPr>
              <w:t>18,151</w:t>
            </w:r>
          </w:p>
        </w:tc>
        <w:tc>
          <w:tcPr>
            <w:tcW w:w="1762" w:type="dxa"/>
            <w:vAlign w:val="bottom"/>
          </w:tcPr>
          <w:p w:rsidR="002115B8" w:rsidRPr="002369C4" w:rsidRDefault="002115B8" w:rsidP="00B50753">
            <w:pPr>
              <w:jc w:val="center"/>
              <w:rPr>
                <w:rFonts w:ascii="Arial Narrow" w:hAnsi="Arial Narrow" w:cs="Arial"/>
                <w:sz w:val="18"/>
                <w:szCs w:val="18"/>
              </w:rPr>
            </w:pPr>
          </w:p>
        </w:tc>
        <w:tc>
          <w:tcPr>
            <w:tcW w:w="1991" w:type="dxa"/>
            <w:vAlign w:val="bottom"/>
          </w:tcPr>
          <w:p w:rsidR="002115B8" w:rsidRPr="002369C4" w:rsidRDefault="002115B8" w:rsidP="00B50753">
            <w:pPr>
              <w:jc w:val="center"/>
              <w:rPr>
                <w:rFonts w:ascii="Arial Narrow" w:hAnsi="Arial Narrow" w:cs="Arial"/>
                <w:sz w:val="18"/>
                <w:szCs w:val="18"/>
              </w:rPr>
            </w:pPr>
          </w:p>
        </w:tc>
      </w:tr>
      <w:tr w:rsidR="002115B8" w:rsidRPr="00103B8F" w:rsidTr="00B50753">
        <w:tc>
          <w:tcPr>
            <w:tcW w:w="2538" w:type="dxa"/>
          </w:tcPr>
          <w:p w:rsidR="002115B8" w:rsidRPr="00103B8F" w:rsidRDefault="002115B8" w:rsidP="002115B8">
            <w:pPr>
              <w:rPr>
                <w:rFonts w:ascii="Arial Narrow" w:hAnsi="Arial Narrow" w:cs="Arial"/>
                <w:b/>
                <w:sz w:val="18"/>
                <w:szCs w:val="18"/>
              </w:rPr>
            </w:pPr>
            <w:r w:rsidRPr="00103B8F">
              <w:rPr>
                <w:rFonts w:ascii="Arial Narrow" w:hAnsi="Arial Narrow" w:cs="Arial"/>
                <w:b/>
                <w:sz w:val="18"/>
                <w:szCs w:val="18"/>
              </w:rPr>
              <w:t>Reduction in Burden</w:t>
            </w:r>
            <w:r>
              <w:rPr>
                <w:rFonts w:ascii="Arial Narrow" w:hAnsi="Arial Narrow" w:cs="Arial"/>
                <w:b/>
                <w:sz w:val="18"/>
                <w:szCs w:val="18"/>
              </w:rPr>
              <w:t xml:space="preserve"> Hours</w:t>
            </w:r>
          </w:p>
        </w:tc>
        <w:tc>
          <w:tcPr>
            <w:tcW w:w="1530" w:type="dxa"/>
            <w:vAlign w:val="bottom"/>
          </w:tcPr>
          <w:p w:rsidR="002115B8" w:rsidRPr="00103B8F" w:rsidRDefault="002115B8" w:rsidP="00B50753">
            <w:pPr>
              <w:jc w:val="center"/>
              <w:rPr>
                <w:rFonts w:ascii="Arial Narrow" w:hAnsi="Arial Narrow" w:cs="Arial"/>
                <w:b/>
                <w:sz w:val="18"/>
                <w:szCs w:val="18"/>
              </w:rPr>
            </w:pPr>
          </w:p>
        </w:tc>
        <w:tc>
          <w:tcPr>
            <w:tcW w:w="1755" w:type="dxa"/>
            <w:vAlign w:val="bottom"/>
          </w:tcPr>
          <w:p w:rsidR="002115B8" w:rsidRPr="00103B8F" w:rsidRDefault="002115B8" w:rsidP="00B50753">
            <w:pPr>
              <w:jc w:val="center"/>
              <w:rPr>
                <w:rFonts w:ascii="Arial Narrow" w:hAnsi="Arial Narrow" w:cs="Arial"/>
                <w:b/>
                <w:sz w:val="18"/>
                <w:szCs w:val="18"/>
              </w:rPr>
            </w:pPr>
            <w:r w:rsidRPr="00103B8F">
              <w:rPr>
                <w:rFonts w:ascii="Arial Narrow" w:hAnsi="Arial Narrow" w:cs="Arial"/>
                <w:b/>
                <w:sz w:val="18"/>
                <w:szCs w:val="18"/>
              </w:rPr>
              <w:t>(27,636)</w:t>
            </w:r>
          </w:p>
        </w:tc>
        <w:tc>
          <w:tcPr>
            <w:tcW w:w="1762" w:type="dxa"/>
            <w:vAlign w:val="bottom"/>
          </w:tcPr>
          <w:p w:rsidR="002115B8" w:rsidRPr="00103B8F" w:rsidRDefault="002115B8" w:rsidP="00B50753">
            <w:pPr>
              <w:jc w:val="center"/>
              <w:rPr>
                <w:rFonts w:ascii="Arial Narrow" w:hAnsi="Arial Narrow" w:cs="Arial"/>
                <w:b/>
                <w:sz w:val="18"/>
                <w:szCs w:val="18"/>
              </w:rPr>
            </w:pPr>
          </w:p>
        </w:tc>
        <w:tc>
          <w:tcPr>
            <w:tcW w:w="1991" w:type="dxa"/>
            <w:vAlign w:val="bottom"/>
          </w:tcPr>
          <w:p w:rsidR="002115B8" w:rsidRPr="00103B8F" w:rsidRDefault="002115B8" w:rsidP="00B50753">
            <w:pPr>
              <w:jc w:val="center"/>
              <w:rPr>
                <w:rFonts w:ascii="Arial Narrow" w:hAnsi="Arial Narrow" w:cs="Arial"/>
                <w:b/>
                <w:sz w:val="18"/>
                <w:szCs w:val="18"/>
              </w:rPr>
            </w:pPr>
          </w:p>
        </w:tc>
      </w:tr>
    </w:tbl>
    <w:p w:rsidR="006C6156" w:rsidRDefault="006C6156">
      <w:pPr>
        <w:rPr>
          <w:rFonts w:ascii="Arial" w:hAnsi="Arial" w:cs="Arial"/>
        </w:rPr>
      </w:pPr>
    </w:p>
    <w:p w:rsidR="006C6156" w:rsidRDefault="00E57B7D">
      <w:pPr>
        <w:pStyle w:val="Level1"/>
        <w:numPr>
          <w:ilvl w:val="0"/>
          <w:numId w:val="4"/>
        </w:numPr>
        <w:tabs>
          <w:tab w:val="left" w:pos="-1440"/>
          <w:tab w:val="num" w:pos="720"/>
        </w:tabs>
        <w:rPr>
          <w:rFonts w:ascii="Arial" w:hAnsi="Arial" w:cs="Arial"/>
        </w:rPr>
      </w:pPr>
      <w:r>
        <w:rPr>
          <w:rFonts w:ascii="Arial" w:hAnsi="Arial" w:cs="Arial"/>
          <w:u w:val="single"/>
        </w:rPr>
        <w:t>PLANS FOR TABULATION, STATISTICAL ANALYSIS AND PUBLICATION</w:t>
      </w:r>
    </w:p>
    <w:p w:rsidR="006C6156" w:rsidRDefault="006C6156">
      <w:pPr>
        <w:rPr>
          <w:rFonts w:ascii="Arial" w:hAnsi="Arial" w:cs="Arial"/>
        </w:rPr>
      </w:pPr>
    </w:p>
    <w:p w:rsidR="006C6156" w:rsidRDefault="00E57B7D">
      <w:pPr>
        <w:ind w:left="720"/>
        <w:rPr>
          <w:rFonts w:ascii="Arial" w:hAnsi="Arial" w:cs="Arial"/>
        </w:rPr>
      </w:pPr>
      <w:r>
        <w:rPr>
          <w:rFonts w:ascii="Arial" w:hAnsi="Arial" w:cs="Arial"/>
        </w:rPr>
        <w:lastRenderedPageBreak/>
        <w:t>There are no plans for tabulation, statistical analysis and publication.</w:t>
      </w:r>
    </w:p>
    <w:p w:rsidR="006C6156" w:rsidRDefault="006C6156">
      <w:pPr>
        <w:rPr>
          <w:rFonts w:ascii="Arial" w:hAnsi="Arial" w:cs="Arial"/>
        </w:rPr>
      </w:pPr>
    </w:p>
    <w:p w:rsidR="006C6156" w:rsidRDefault="00E57B7D">
      <w:pPr>
        <w:tabs>
          <w:tab w:val="left" w:pos="-1440"/>
        </w:tabs>
        <w:ind w:left="720" w:hanging="720"/>
        <w:rPr>
          <w:rFonts w:ascii="Arial" w:hAnsi="Arial" w:cs="Arial"/>
        </w:rPr>
      </w:pPr>
      <w:r>
        <w:rPr>
          <w:rFonts w:ascii="Arial" w:hAnsi="Arial" w:cs="Arial"/>
        </w:rPr>
        <w:t xml:space="preserve">17. </w:t>
      </w:r>
      <w:r>
        <w:rPr>
          <w:rFonts w:ascii="Arial" w:hAnsi="Arial" w:cs="Arial"/>
        </w:rPr>
        <w:tab/>
      </w:r>
      <w:r>
        <w:rPr>
          <w:rFonts w:ascii="Arial" w:hAnsi="Arial" w:cs="Arial"/>
          <w:u w:val="single"/>
        </w:rPr>
        <w:t>REASONS WHY DISPLAYING THE OMB EXPIRATION DATE IS</w:t>
      </w:r>
      <w:r>
        <w:rPr>
          <w:rFonts w:ascii="Arial" w:hAnsi="Arial" w:cs="Arial"/>
        </w:rPr>
        <w:t xml:space="preserve">     </w:t>
      </w:r>
      <w:r>
        <w:rPr>
          <w:rFonts w:ascii="Arial" w:hAnsi="Arial" w:cs="Arial"/>
          <w:u w:val="single"/>
        </w:rPr>
        <w:t>INAPPROPRIATE</w:t>
      </w:r>
    </w:p>
    <w:p w:rsidR="006C6156" w:rsidRDefault="006C6156">
      <w:pPr>
        <w:rPr>
          <w:rFonts w:ascii="Arial" w:hAnsi="Arial" w:cs="Arial"/>
        </w:rPr>
      </w:pPr>
    </w:p>
    <w:p w:rsidR="006C6156" w:rsidRDefault="00E57B7D">
      <w:pPr>
        <w:ind w:left="720"/>
        <w:rPr>
          <w:rFonts w:ascii="Arial" w:hAnsi="Arial" w:cs="Arial"/>
        </w:rPr>
      </w:pPr>
      <w:r>
        <w:rPr>
          <w:rFonts w:ascii="Arial" w:hAnsi="Arial" w:cs="Arial"/>
        </w:rPr>
        <w:t>We believe that displaying the OMB expiration date is inappropriate because it could cause confusion by leading taxpayers to believe that the revenue procedure sunsets as of the expiration date.  Taxpayers are not likely to be aware that the Service intends to request renewal of the OMB approval and obtain a new expiration date before the old one expires.</w:t>
      </w:r>
    </w:p>
    <w:p w:rsidR="006C6156" w:rsidRDefault="006C6156">
      <w:pPr>
        <w:rPr>
          <w:rFonts w:ascii="Arial" w:hAnsi="Arial" w:cs="Arial"/>
        </w:rPr>
      </w:pPr>
    </w:p>
    <w:p w:rsidR="006C6156" w:rsidRPr="00E57B7D" w:rsidRDefault="00E57B7D" w:rsidP="00E57B7D">
      <w:pPr>
        <w:pStyle w:val="Level1"/>
        <w:tabs>
          <w:tab w:val="left" w:pos="-1440"/>
          <w:tab w:val="num" w:pos="720"/>
        </w:tabs>
        <w:rPr>
          <w:rFonts w:ascii="Arial" w:hAnsi="Arial" w:cs="Arial"/>
        </w:rPr>
      </w:pPr>
      <w:r w:rsidRPr="00E57B7D">
        <w:rPr>
          <w:rFonts w:ascii="Arial" w:hAnsi="Arial" w:cs="Arial"/>
        </w:rPr>
        <w:t xml:space="preserve"> </w:t>
      </w:r>
      <w:r w:rsidRPr="00E57B7D">
        <w:rPr>
          <w:rFonts w:ascii="Arial" w:hAnsi="Arial" w:cs="Arial"/>
          <w:u w:val="single"/>
        </w:rPr>
        <w:t xml:space="preserve">EXCEPTIONS TO THE CERTIFICATION STATEMENT </w:t>
      </w:r>
    </w:p>
    <w:p w:rsidR="00E57B7D" w:rsidRPr="00E57B7D" w:rsidRDefault="00E57B7D" w:rsidP="00E57B7D">
      <w:pPr>
        <w:pStyle w:val="Level1"/>
        <w:numPr>
          <w:ilvl w:val="0"/>
          <w:numId w:val="0"/>
        </w:numPr>
        <w:tabs>
          <w:tab w:val="left" w:pos="-1440"/>
        </w:tabs>
        <w:rPr>
          <w:rFonts w:ascii="Arial" w:hAnsi="Arial" w:cs="Arial"/>
        </w:rPr>
      </w:pPr>
    </w:p>
    <w:p w:rsidR="006C6156" w:rsidRDefault="00E57B7D">
      <w:pPr>
        <w:tabs>
          <w:tab w:val="left" w:pos="-1440"/>
        </w:tabs>
        <w:ind w:left="720"/>
        <w:rPr>
          <w:rFonts w:ascii="Arial" w:hAnsi="Arial" w:cs="Arial"/>
        </w:rPr>
      </w:pPr>
      <w:r>
        <w:rPr>
          <w:rFonts w:ascii="Arial" w:hAnsi="Arial" w:cs="Arial"/>
        </w:rPr>
        <w:t>There are no exceptions to the certification statement.</w:t>
      </w:r>
    </w:p>
    <w:p w:rsidR="006C6156" w:rsidRDefault="006C6156">
      <w:pPr>
        <w:rPr>
          <w:rFonts w:ascii="Arial" w:hAnsi="Arial" w:cs="Arial"/>
        </w:rPr>
      </w:pPr>
    </w:p>
    <w:p w:rsidR="006C6156" w:rsidRDefault="00E57B7D" w:rsidP="00024B94">
      <w:pPr>
        <w:ind w:left="720"/>
        <w:rPr>
          <w:rFonts w:ascii="Arial" w:hAnsi="Arial" w:cs="Arial"/>
        </w:rPr>
      </w:pPr>
      <w:r>
        <w:rPr>
          <w:rFonts w:ascii="Arial" w:hAnsi="Arial" w:cs="Arial"/>
          <w:b/>
          <w:bCs/>
          <w:u w:val="single"/>
        </w:rPr>
        <w:t>Note:</w:t>
      </w:r>
      <w:r>
        <w:rPr>
          <w:rFonts w:ascii="Arial" w:hAnsi="Arial" w:cs="Arial"/>
        </w:rPr>
        <w:t xml:space="preserve">   The following paragraph applies to all of the collections of information in this submission:</w:t>
      </w:r>
    </w:p>
    <w:p w:rsidR="006C6156" w:rsidRDefault="006C6156" w:rsidP="00024B94">
      <w:pPr>
        <w:ind w:left="720"/>
        <w:rPr>
          <w:rFonts w:ascii="Arial" w:hAnsi="Arial" w:cs="Arial"/>
        </w:rPr>
      </w:pPr>
    </w:p>
    <w:p w:rsidR="006C6156" w:rsidRDefault="00E57B7D" w:rsidP="00024B94">
      <w:pPr>
        <w:ind w:left="720" w:firstLine="720"/>
        <w:rPr>
          <w:rFonts w:ascii="Arial" w:hAnsi="Arial" w:cs="Arial"/>
        </w:rPr>
      </w:pPr>
      <w:r>
        <w:rPr>
          <w:rFonts w:ascii="Arial" w:hAnsi="Arial"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024B94" w:rsidRDefault="00024B94">
      <w:pPr>
        <w:jc w:val="center"/>
        <w:rPr>
          <w:rFonts w:ascii="Arial" w:hAnsi="Arial" w:cs="Arial"/>
          <w:b/>
        </w:rPr>
      </w:pPr>
    </w:p>
    <w:p w:rsidR="006C6156" w:rsidRDefault="00E57B7D">
      <w:pPr>
        <w:jc w:val="center"/>
        <w:rPr>
          <w:rFonts w:ascii="Arial" w:hAnsi="Arial" w:cs="Arial"/>
          <w:b/>
        </w:rPr>
      </w:pPr>
      <w:r>
        <w:rPr>
          <w:rFonts w:ascii="Arial" w:hAnsi="Arial" w:cs="Arial"/>
          <w:b/>
        </w:rPr>
        <w:t>OMB EXPIRATION DATE</w:t>
      </w:r>
    </w:p>
    <w:p w:rsidR="006C6156" w:rsidRDefault="006C6156">
      <w:pPr>
        <w:jc w:val="center"/>
        <w:rPr>
          <w:rFonts w:ascii="Arial" w:hAnsi="Arial" w:cs="Arial"/>
        </w:rPr>
      </w:pPr>
    </w:p>
    <w:p w:rsidR="006C6156" w:rsidRDefault="00E57B7D">
      <w:pPr>
        <w:rPr>
          <w:rFonts w:ascii="Arial" w:hAnsi="Arial" w:cs="Arial"/>
        </w:rPr>
      </w:pPr>
      <w:r>
        <w:rPr>
          <w:rFonts w:ascii="Arial" w:hAnsi="Arial" w:cs="Arial"/>
        </w:rPr>
        <w:t>We believe the public interest will be better served by not printing an expiration date on the form(s) in this package.</w:t>
      </w:r>
    </w:p>
    <w:p w:rsidR="006C6156" w:rsidRDefault="006C6156">
      <w:pPr>
        <w:rPr>
          <w:rFonts w:ascii="Arial" w:hAnsi="Arial" w:cs="Arial"/>
        </w:rPr>
      </w:pPr>
    </w:p>
    <w:p w:rsidR="006C6156" w:rsidRDefault="00E57B7D">
      <w:pPr>
        <w:rPr>
          <w:rFonts w:ascii="Arial" w:hAnsi="Arial" w:cs="Arial"/>
        </w:rPr>
      </w:pPr>
      <w:r>
        <w:rPr>
          <w:rFonts w:ascii="Arial" w:hAnsi="Arial" w:cs="Arial"/>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6C6156" w:rsidRDefault="006C6156">
      <w:pPr>
        <w:rPr>
          <w:rFonts w:ascii="Arial" w:hAnsi="Arial" w:cs="Arial"/>
        </w:rPr>
      </w:pPr>
    </w:p>
    <w:p w:rsidR="006C6156" w:rsidRDefault="00E57B7D">
      <w:pPr>
        <w:rPr>
          <w:rFonts w:ascii="Arial" w:hAnsi="Arial" w:cs="Arial"/>
        </w:rPr>
      </w:pPr>
      <w:r>
        <w:rPr>
          <w:rFonts w:ascii="Arial" w:hAnsi="Arial" w:cs="Arial"/>
        </w:rPr>
        <w:t xml:space="preserve">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w:t>
      </w:r>
      <w:r>
        <w:rPr>
          <w:rFonts w:ascii="Arial" w:hAnsi="Arial" w:cs="Arial"/>
        </w:rPr>
        <w:lastRenderedPageBreak/>
        <w:t>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6C6156" w:rsidRDefault="006C6156">
      <w:pPr>
        <w:rPr>
          <w:rFonts w:ascii="Arial" w:hAnsi="Arial" w:cs="Arial"/>
        </w:rPr>
      </w:pPr>
    </w:p>
    <w:p w:rsidR="006C6156" w:rsidRDefault="00E57B7D">
      <w:pPr>
        <w:rPr>
          <w:rFonts w:ascii="Arial" w:hAnsi="Arial" w:cs="Arial"/>
        </w:rPr>
      </w:pPr>
      <w:r>
        <w:rPr>
          <w:rFonts w:ascii="Arial" w:hAnsi="Arial" w:cs="Arial"/>
        </w:rPr>
        <w:t>Not printing the expiration date on the form(s) will also avoid confusion among taxpayers who may have identical forms with different expiration dates in their possession.</w:t>
      </w:r>
    </w:p>
    <w:p w:rsidR="006C6156" w:rsidRDefault="006C6156">
      <w:pPr>
        <w:rPr>
          <w:rFonts w:ascii="Arial" w:hAnsi="Arial" w:cs="Arial"/>
        </w:rPr>
      </w:pPr>
    </w:p>
    <w:p w:rsidR="006C6156" w:rsidRDefault="00E57B7D">
      <w:pPr>
        <w:rPr>
          <w:rFonts w:ascii="Arial" w:hAnsi="Arial" w:cs="Arial"/>
        </w:rPr>
      </w:pPr>
      <w:r>
        <w:rPr>
          <w:rFonts w:ascii="Arial" w:hAnsi="Arial" w:cs="Arial"/>
        </w:rPr>
        <w:t>For the above reasons we request authorization to omit printing the expiration date on the form(s) in this package.</w:t>
      </w:r>
    </w:p>
    <w:p w:rsidR="006C6156" w:rsidRDefault="006C6156">
      <w:pPr>
        <w:ind w:firstLine="720"/>
        <w:rPr>
          <w:rFonts w:ascii="Arial" w:hAnsi="Arial" w:cs="Arial"/>
        </w:rPr>
      </w:pPr>
    </w:p>
    <w:p w:rsidR="006C6156" w:rsidRDefault="006C6156">
      <w:pPr>
        <w:rPr>
          <w:rFonts w:ascii="Arial" w:hAnsi="Arial" w:cs="Arial"/>
        </w:rPr>
      </w:pPr>
    </w:p>
    <w:p w:rsidR="006C6156" w:rsidRDefault="006C6156">
      <w:pPr>
        <w:rPr>
          <w:rFonts w:ascii="Arial" w:hAnsi="Arial" w:cs="Arial"/>
        </w:rPr>
      </w:pPr>
    </w:p>
    <w:sectPr w:rsidR="006C615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71" w:rsidRDefault="000F2F71">
      <w:r>
        <w:separator/>
      </w:r>
    </w:p>
  </w:endnote>
  <w:endnote w:type="continuationSeparator" w:id="0">
    <w:p w:rsidR="000F2F71" w:rsidRDefault="000F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8F" w:rsidRDefault="00ED2C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156" w:rsidRDefault="006C6156">
    <w:pPr>
      <w:spacing w:line="240" w:lineRule="exact"/>
    </w:pPr>
  </w:p>
  <w:p w:rsidR="006C6156" w:rsidRDefault="00E57B7D">
    <w:pPr>
      <w:framePr w:w="9361" w:wrap="notBeside" w:vAnchor="text" w:hAnchor="text" w:x="1" w:y="1"/>
      <w:jc w:val="center"/>
    </w:pPr>
    <w:r>
      <w:fldChar w:fldCharType="begin"/>
    </w:r>
    <w:r>
      <w:instrText xml:space="preserve">PAGE </w:instrText>
    </w:r>
    <w:r>
      <w:fldChar w:fldCharType="separate"/>
    </w:r>
    <w:r w:rsidR="007B3A0D">
      <w:rPr>
        <w:noProof/>
      </w:rPr>
      <w:t>1</w:t>
    </w:r>
    <w:r>
      <w:fldChar w:fldCharType="end"/>
    </w:r>
  </w:p>
  <w:p w:rsidR="006C6156" w:rsidRDefault="006C615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8F" w:rsidRDefault="00ED2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71" w:rsidRDefault="000F2F71">
      <w:r>
        <w:separator/>
      </w:r>
    </w:p>
  </w:footnote>
  <w:footnote w:type="continuationSeparator" w:id="0">
    <w:p w:rsidR="000F2F71" w:rsidRDefault="000F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8F" w:rsidRDefault="00ED2C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8F" w:rsidRDefault="00ED2C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C8F" w:rsidRDefault="00ED2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18"/>
      <w:lvl w:ilvl="0">
        <w:start w:val="1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56"/>
    <w:rsid w:val="00024B94"/>
    <w:rsid w:val="000F2F71"/>
    <w:rsid w:val="00103B8F"/>
    <w:rsid w:val="002115B8"/>
    <w:rsid w:val="002369C4"/>
    <w:rsid w:val="00292751"/>
    <w:rsid w:val="003A0AEC"/>
    <w:rsid w:val="00445716"/>
    <w:rsid w:val="005C0091"/>
    <w:rsid w:val="00691714"/>
    <w:rsid w:val="00693919"/>
    <w:rsid w:val="006C6156"/>
    <w:rsid w:val="00740F63"/>
    <w:rsid w:val="007A3D4D"/>
    <w:rsid w:val="007B3A0D"/>
    <w:rsid w:val="007B7E44"/>
    <w:rsid w:val="008100EC"/>
    <w:rsid w:val="00861F25"/>
    <w:rsid w:val="008D6629"/>
    <w:rsid w:val="00921A95"/>
    <w:rsid w:val="00A640DA"/>
    <w:rsid w:val="00BB4A00"/>
    <w:rsid w:val="00BF4452"/>
    <w:rsid w:val="00DF2A78"/>
    <w:rsid w:val="00E57B7D"/>
    <w:rsid w:val="00ED2C8F"/>
    <w:rsid w:val="00FE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720" w:hanging="720"/>
      <w:outlineLvl w:val="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Shruti" w:hAnsi="Shrut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Shruti" w:hAnsi="Shruti"/>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widowControl/>
      <w:autoSpaceDE/>
      <w:autoSpaceDN/>
      <w:adjustRightInd/>
    </w:pPr>
    <w:rPr>
      <w:rFonts w:ascii="Calibri" w:eastAsia="Calibri" w:hAnsi="Calibri" w:cs="Calibri"/>
      <w:sz w:val="20"/>
      <w:szCs w:val="20"/>
    </w:rPr>
  </w:style>
  <w:style w:type="character" w:customStyle="1" w:styleId="FootnoteTextChar">
    <w:name w:val="Footnote Text Char"/>
    <w:link w:val="FootnoteText"/>
    <w:uiPriority w:val="99"/>
    <w:rPr>
      <w:rFonts w:ascii="Calibri" w:eastAsia="Calibri" w:hAnsi="Calibri" w:cs="Calibri"/>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Shruti" w:hAnsi="Shruti"/>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Shruti" w:hAnsi="Shruti"/>
      <w:sz w:val="24"/>
      <w:szCs w:val="24"/>
    </w:rPr>
  </w:style>
  <w:style w:type="table" w:styleId="TableGrid">
    <w:name w:val="Table Grid"/>
    <w:basedOn w:val="TableNormal"/>
    <w:uiPriority w:val="59"/>
    <w:rsid w:val="00E57B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720" w:hanging="720"/>
      <w:outlineLvl w:val="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Shruti" w:hAnsi="Shrut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Shruti" w:hAnsi="Shruti"/>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widowControl/>
      <w:autoSpaceDE/>
      <w:autoSpaceDN/>
      <w:adjustRightInd/>
    </w:pPr>
    <w:rPr>
      <w:rFonts w:ascii="Calibri" w:eastAsia="Calibri" w:hAnsi="Calibri" w:cs="Calibri"/>
      <w:sz w:val="20"/>
      <w:szCs w:val="20"/>
    </w:rPr>
  </w:style>
  <w:style w:type="character" w:customStyle="1" w:styleId="FootnoteTextChar">
    <w:name w:val="Footnote Text Char"/>
    <w:link w:val="FootnoteText"/>
    <w:uiPriority w:val="99"/>
    <w:rPr>
      <w:rFonts w:ascii="Calibri" w:eastAsia="Calibri" w:hAnsi="Calibri" w:cs="Calibri"/>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Shruti" w:hAnsi="Shruti"/>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Shruti" w:hAnsi="Shruti"/>
      <w:sz w:val="24"/>
      <w:szCs w:val="24"/>
    </w:rPr>
  </w:style>
  <w:style w:type="table" w:styleId="TableGrid">
    <w:name w:val="Table Grid"/>
    <w:basedOn w:val="TableNormal"/>
    <w:uiPriority w:val="59"/>
    <w:rsid w:val="00E57B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110">
      <w:bodyDiv w:val="1"/>
      <w:marLeft w:val="0"/>
      <w:marRight w:val="0"/>
      <w:marTop w:val="0"/>
      <w:marBottom w:val="0"/>
      <w:divBdr>
        <w:top w:val="none" w:sz="0" w:space="0" w:color="auto"/>
        <w:left w:val="none" w:sz="0" w:space="0" w:color="auto"/>
        <w:bottom w:val="none" w:sz="0" w:space="0" w:color="auto"/>
        <w:right w:val="none" w:sz="0" w:space="0" w:color="auto"/>
      </w:divBdr>
    </w:div>
    <w:div w:id="937101019">
      <w:bodyDiv w:val="1"/>
      <w:marLeft w:val="0"/>
      <w:marRight w:val="0"/>
      <w:marTop w:val="0"/>
      <w:marBottom w:val="0"/>
      <w:divBdr>
        <w:top w:val="none" w:sz="0" w:space="0" w:color="auto"/>
        <w:left w:val="none" w:sz="0" w:space="0" w:color="auto"/>
        <w:bottom w:val="none" w:sz="0" w:space="0" w:color="auto"/>
        <w:right w:val="none" w:sz="0" w:space="0" w:color="auto"/>
      </w:divBdr>
    </w:div>
    <w:div w:id="1641224270">
      <w:bodyDiv w:val="1"/>
      <w:marLeft w:val="0"/>
      <w:marRight w:val="0"/>
      <w:marTop w:val="0"/>
      <w:marBottom w:val="0"/>
      <w:divBdr>
        <w:top w:val="none" w:sz="0" w:space="0" w:color="auto"/>
        <w:left w:val="none" w:sz="0" w:space="0" w:color="auto"/>
        <w:bottom w:val="none" w:sz="0" w:space="0" w:color="auto"/>
        <w:right w:val="none" w:sz="0" w:space="0" w:color="auto"/>
      </w:divBdr>
    </w:div>
    <w:div w:id="210823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10451</CharactersWithSpaces>
  <SharedDoc>false</SharedDoc>
  <HLinks>
    <vt:vector size="6" baseType="variant">
      <vt:variant>
        <vt:i4>2293808</vt:i4>
      </vt:variant>
      <vt:variant>
        <vt:i4>0</vt:i4>
      </vt:variant>
      <vt:variant>
        <vt:i4>0</vt:i4>
      </vt:variant>
      <vt:variant>
        <vt:i4>5</vt:i4>
      </vt:variant>
      <vt:variant>
        <vt:lpwstr>http://www.irs.gov/uac/Privacy-Impact-Assessments-PIAs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2017-03-28T19:59:00Z</dcterms:created>
  <dcterms:modified xsi:type="dcterms:W3CDTF">2017-03-28T19:59:00Z</dcterms:modified>
</cp:coreProperties>
</file>