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Pr="00B578F4" w:rsidRDefault="00386054" w:rsidP="00B578F4">
      <w:pPr>
        <w:pStyle w:val="Title"/>
      </w:pPr>
      <w:r w:rsidRPr="00B578F4">
        <w:t>FOR PAPERWORK REDUCTION ACT SUBMISSION</w:t>
      </w:r>
    </w:p>
    <w:p w:rsidR="00251381" w:rsidRPr="00640F37" w:rsidRDefault="00E112DC">
      <w:pPr>
        <w:jc w:val="center"/>
        <w:rPr>
          <w:rFonts w:ascii="Courier" w:hAnsi="Courier"/>
        </w:rPr>
      </w:pPr>
      <w:r>
        <w:rPr>
          <w:rFonts w:ascii="Courier" w:hAnsi="Courier"/>
        </w:rPr>
        <w:t>OMB Number:</w:t>
      </w:r>
      <w:r w:rsidR="00016E14" w:rsidRPr="00640F37">
        <w:rPr>
          <w:rFonts w:ascii="Courier" w:hAnsi="Courier"/>
        </w:rPr>
        <w:t xml:space="preserve"> </w:t>
      </w:r>
      <w:r>
        <w:rPr>
          <w:rFonts w:ascii="Courier" w:hAnsi="Courier"/>
        </w:rPr>
        <w:t>1810</w:t>
      </w:r>
      <w:r w:rsidR="00016E14" w:rsidRPr="00640F37">
        <w:rPr>
          <w:rFonts w:ascii="Courier" w:hAnsi="Courier"/>
        </w:rPr>
        <w:t>-</w:t>
      </w:r>
      <w:r>
        <w:rPr>
          <w:rFonts w:ascii="Courier" w:hAnsi="Courier"/>
        </w:rPr>
        <w:t>NEW</w:t>
      </w:r>
    </w:p>
    <w:p w:rsidR="00251381" w:rsidRPr="00640F37" w:rsidRDefault="00E112DC">
      <w:pPr>
        <w:jc w:val="center"/>
        <w:rPr>
          <w:rFonts w:ascii="Courier" w:hAnsi="Courier"/>
        </w:rPr>
      </w:pPr>
      <w:r>
        <w:rPr>
          <w:rFonts w:ascii="Courier" w:hAnsi="Courier"/>
        </w:rPr>
        <w:t xml:space="preserve">Revised </w:t>
      </w:r>
      <w:r w:rsidR="00684CD5">
        <w:rPr>
          <w:rFonts w:ascii="Courier" w:hAnsi="Courier"/>
        </w:rPr>
        <w:t>10</w:t>
      </w:r>
      <w:r>
        <w:rPr>
          <w:rFonts w:ascii="Courier" w:hAnsi="Courier"/>
        </w:rPr>
        <w:t>/</w:t>
      </w:r>
      <w:r w:rsidR="00FF57A8">
        <w:rPr>
          <w:rFonts w:ascii="Courier" w:hAnsi="Courier"/>
        </w:rPr>
        <w:t>1</w:t>
      </w:r>
      <w:r w:rsidR="00684CD5">
        <w:rPr>
          <w:rFonts w:ascii="Courier" w:hAnsi="Courier"/>
        </w:rPr>
        <w:t>2</w:t>
      </w:r>
      <w:r w:rsidR="00016E14" w:rsidRPr="00640F37">
        <w:rPr>
          <w:rFonts w:ascii="Courier" w:hAnsi="Courier"/>
        </w:rPr>
        <w:t>/</w:t>
      </w:r>
      <w:r>
        <w:rPr>
          <w:rFonts w:ascii="Courier" w:hAnsi="Courier"/>
        </w:rPr>
        <w:t>2016</w:t>
      </w:r>
    </w:p>
    <w:p w:rsidR="00251381" w:rsidRPr="00640F37" w:rsidRDefault="00016E14">
      <w:pPr>
        <w:jc w:val="center"/>
        <w:rPr>
          <w:rFonts w:ascii="Courier" w:hAnsi="Courier"/>
          <w:szCs w:val="20"/>
        </w:rPr>
      </w:pPr>
      <w:r w:rsidRPr="00640F37">
        <w:rPr>
          <w:rFonts w:ascii="Courier" w:hAnsi="Courier"/>
        </w:rPr>
        <w:t xml:space="preserve">RIN Number: </w:t>
      </w:r>
      <w:r w:rsidR="00E112DC">
        <w:rPr>
          <w:rFonts w:ascii="Courier" w:hAnsi="Courier"/>
        </w:rPr>
        <w:t>1810</w:t>
      </w:r>
      <w:r w:rsidRPr="00640F37">
        <w:rPr>
          <w:rFonts w:ascii="Courier" w:hAnsi="Courier"/>
        </w:rPr>
        <w:t>-</w:t>
      </w:r>
      <w:r w:rsidR="00E112DC">
        <w:rPr>
          <w:rFonts w:ascii="Courier" w:hAnsi="Courier"/>
        </w:rPr>
        <w:t>AB33</w:t>
      </w:r>
      <w:r w:rsidRPr="00640F37">
        <w:rPr>
          <w:rFonts w:ascii="Courier" w:hAnsi="Courier"/>
        </w:rPr>
        <w:t xml:space="preserve"> </w:t>
      </w:r>
    </w:p>
    <w:p w:rsidR="00386054" w:rsidRPr="00640F37" w:rsidRDefault="00016E14" w:rsidP="00C9556E">
      <w:pPr>
        <w:pStyle w:val="Heading1"/>
        <w:rPr>
          <w:rFonts w:cs="Times New Roman"/>
          <w:szCs w:val="28"/>
        </w:rPr>
      </w:pPr>
      <w:r w:rsidRPr="00640F37">
        <w:rPr>
          <w:rFonts w:cs="Times New Roman"/>
          <w:szCs w:val="28"/>
        </w:rPr>
        <w:t xml:space="preserve">A. Justification </w:t>
      </w:r>
    </w:p>
    <w:p w:rsidR="00B578F4" w:rsidRPr="000B2434" w:rsidRDefault="00386054" w:rsidP="00B578F4">
      <w:pPr>
        <w:pStyle w:val="ListParagraph"/>
        <w:numPr>
          <w:ilvl w:val="0"/>
          <w:numId w:val="20"/>
        </w:numPr>
      </w:pPr>
      <w:r w:rsidRPr="000B2434">
        <w:t xml:space="preserve">Explain the circumstances that make the collection of information necessary.  Identify any legal or administrative requirements that necessitate the collection.  Attach a </w:t>
      </w:r>
      <w:r w:rsidR="003C7F70" w:rsidRPr="000B2434">
        <w:t xml:space="preserve">hard </w:t>
      </w:r>
      <w:r w:rsidRPr="000B2434">
        <w:t>copy of the appropriate section of each statute and regulation mandating or authorizing the collection of information</w:t>
      </w:r>
      <w:r w:rsidR="003C7F70" w:rsidRPr="000B2434">
        <w:t>,</w:t>
      </w:r>
      <w:r w:rsidR="00050CBE" w:rsidRPr="000B2434">
        <w:t xml:space="preserve"> or </w:t>
      </w:r>
      <w:r w:rsidR="003C7F70" w:rsidRPr="000B2434">
        <w:t xml:space="preserve">you may </w:t>
      </w:r>
      <w:r w:rsidR="00050CBE" w:rsidRPr="000B2434">
        <w:t xml:space="preserve">provide a valid </w:t>
      </w:r>
      <w:r w:rsidR="003C7F70" w:rsidRPr="000B2434">
        <w:t>URL</w:t>
      </w:r>
      <w:r w:rsidR="00050CBE" w:rsidRPr="000B2434">
        <w:t xml:space="preserve"> link or paste the applicable section</w:t>
      </w:r>
      <w:r w:rsidRPr="000B2434">
        <w:t xml:space="preserve">. </w:t>
      </w:r>
      <w:r w:rsidR="00BA13A2" w:rsidRPr="000B2434">
        <w:t xml:space="preserve">Please limit pasted text to no longer than 3 pages. </w:t>
      </w:r>
      <w:r w:rsidRPr="000B2434">
        <w:t>Specify the review type of the collection (new, revision, extension, reinstatement with change, reinstatement without change)</w:t>
      </w:r>
      <w:r w:rsidR="00050CBE" w:rsidRPr="000B2434">
        <w:t>. If revised, briefly specify the changes.  If a rulemaking is involved, make note of the sections or changed sections, if applicable.</w:t>
      </w:r>
    </w:p>
    <w:p w:rsidR="00937E25" w:rsidRPr="000B2434" w:rsidRDefault="00937E25" w:rsidP="00937E25">
      <w:pPr>
        <w:pStyle w:val="ListParagraph"/>
        <w:rPr>
          <w:i/>
        </w:rPr>
      </w:pPr>
      <w:r w:rsidRPr="000B2434">
        <w:rPr>
          <w:i/>
        </w:rPr>
        <w:t xml:space="preserve">As a result of the Every Student Succeeds Act (ESSA), which amends the Elementary and Secondary Education Act of 1965 (ESEA), the Department of Education (Department) has proposed new regulations </w:t>
      </w:r>
      <w:r w:rsidR="000B2434" w:rsidRPr="000B2434">
        <w:rPr>
          <w:i/>
        </w:rPr>
        <w:t xml:space="preserve">to implement the Supplement, not Supplant provisions of the ESSA.  The proposed regulations </w:t>
      </w:r>
      <w:r w:rsidRPr="000B2434">
        <w:rPr>
          <w:i/>
        </w:rPr>
        <w:t xml:space="preserve">at </w:t>
      </w:r>
      <w:r w:rsidR="000B2434" w:rsidRPr="000B2434">
        <w:rPr>
          <w:i/>
        </w:rPr>
        <w:t xml:space="preserve">34 CFR </w:t>
      </w:r>
      <w:r w:rsidR="00684CD5" w:rsidRPr="00271A4D">
        <w:rPr>
          <w:rFonts w:eastAsia="Arial Unicode MS"/>
          <w:i/>
        </w:rPr>
        <w:t>200.72(b</w:t>
      </w:r>
      <w:proofErr w:type="gramStart"/>
      <w:r w:rsidR="00684CD5" w:rsidRPr="00271A4D">
        <w:rPr>
          <w:rFonts w:eastAsia="Arial Unicode MS"/>
          <w:i/>
        </w:rPr>
        <w:t>)(</w:t>
      </w:r>
      <w:proofErr w:type="gramEnd"/>
      <w:r w:rsidR="00684CD5" w:rsidRPr="00271A4D">
        <w:rPr>
          <w:rFonts w:eastAsia="Arial Unicode MS"/>
          <w:i/>
        </w:rPr>
        <w:t>1)(</w:t>
      </w:r>
      <w:proofErr w:type="spellStart"/>
      <w:r w:rsidR="00684CD5" w:rsidRPr="00271A4D">
        <w:rPr>
          <w:rFonts w:eastAsia="Arial Unicode MS"/>
          <w:i/>
        </w:rPr>
        <w:t>i</w:t>
      </w:r>
      <w:proofErr w:type="spellEnd"/>
      <w:r w:rsidR="00684CD5" w:rsidRPr="00271A4D">
        <w:rPr>
          <w:rFonts w:eastAsia="Arial Unicode MS"/>
          <w:i/>
        </w:rPr>
        <w:t>)(A)</w:t>
      </w:r>
      <w:r w:rsidR="00684CD5">
        <w:rPr>
          <w:i/>
          <w:snapToGrid w:val="0"/>
          <w:szCs w:val="20"/>
        </w:rPr>
        <w:t xml:space="preserve"> and </w:t>
      </w:r>
      <w:r w:rsidR="000B2434" w:rsidRPr="000B2434">
        <w:rPr>
          <w:i/>
          <w:snapToGrid w:val="0"/>
          <w:szCs w:val="20"/>
        </w:rPr>
        <w:t>200.72(b)(1)(ii)(C) contain information collection requirements. As these are new regulations that do not affect any existing collection of information, the Department is requesting a new collection of information for these requirements.</w:t>
      </w:r>
    </w:p>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0B2434" w:rsidRPr="00271A4D" w:rsidRDefault="00684CD5" w:rsidP="00684CD5">
      <w:pPr>
        <w:pStyle w:val="ListParagraph"/>
        <w:rPr>
          <w:i/>
          <w:snapToGrid w:val="0"/>
        </w:rPr>
      </w:pPr>
      <w:r w:rsidRPr="00684CD5">
        <w:rPr>
          <w:i/>
          <w:snapToGrid w:val="0"/>
        </w:rPr>
        <w:t>Proposed §200.72(b</w:t>
      </w:r>
      <w:proofErr w:type="gramStart"/>
      <w:r w:rsidRPr="00684CD5">
        <w:rPr>
          <w:i/>
          <w:snapToGrid w:val="0"/>
        </w:rPr>
        <w:t>)(</w:t>
      </w:r>
      <w:proofErr w:type="gramEnd"/>
      <w:r w:rsidRPr="00684CD5">
        <w:rPr>
          <w:i/>
          <w:snapToGrid w:val="0"/>
        </w:rPr>
        <w:t>1)(</w:t>
      </w:r>
      <w:proofErr w:type="spellStart"/>
      <w:r w:rsidRPr="00684CD5">
        <w:rPr>
          <w:i/>
          <w:snapToGrid w:val="0"/>
        </w:rPr>
        <w:t>i</w:t>
      </w:r>
      <w:proofErr w:type="spellEnd"/>
      <w:r w:rsidRPr="00684CD5">
        <w:rPr>
          <w:i/>
          <w:snapToGrid w:val="0"/>
        </w:rPr>
        <w:t xml:space="preserve">)(A) </w:t>
      </w:r>
      <w:r w:rsidRPr="00271A4D">
        <w:rPr>
          <w:rFonts w:eastAsia="Arial Unicode MS"/>
          <w:i/>
        </w:rPr>
        <w:t>would require each LEA to annually publish its methodology for allocating State and local funds in a manner easily accessible to the public.</w:t>
      </w:r>
      <w:r>
        <w:rPr>
          <w:rFonts w:eastAsia="Arial Unicode MS"/>
          <w:i/>
        </w:rPr>
        <w:t xml:space="preserve">  </w:t>
      </w:r>
      <w:r w:rsidR="000B2434" w:rsidRPr="00271A4D">
        <w:rPr>
          <w:i/>
          <w:snapToGrid w:val="0"/>
          <w:szCs w:val="20"/>
        </w:rPr>
        <w:t>Proposed §200.72(b)(1)(ii)(C) would allow States to--at their discretion--submit an alternate funds-based compliance test for Federal peer review that then could be used by LEAs to demonstrate compliance with the proposed supplement not supplant requirements.  The Department will use this information to make determinations regarding compliance with supplement not supplant requirements.  This is a new collection.</w:t>
      </w:r>
    </w:p>
    <w:p w:rsidR="00B83FB3" w:rsidRDefault="00386054" w:rsidP="00B578F4">
      <w:pPr>
        <w:pStyle w:val="ListParagraph"/>
        <w:numPr>
          <w:ilvl w:val="0"/>
          <w:numId w:val="20"/>
        </w:numPr>
      </w:pPr>
      <w:r w:rsidRPr="00431228">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w:t>
      </w:r>
      <w:proofErr w:type="gramStart"/>
      <w:r w:rsidRPr="00431228">
        <w:t>consideration</w:t>
      </w:r>
      <w:proofErr w:type="gramEnd"/>
      <w:r w:rsidRPr="00431228">
        <w:t xml:space="preserve"> given to using technology to reduce burden.</w:t>
      </w:r>
    </w:p>
    <w:p w:rsidR="000B2434" w:rsidRPr="000B2434" w:rsidRDefault="000B2434" w:rsidP="000B2434">
      <w:pPr>
        <w:pStyle w:val="ListParagraph"/>
        <w:rPr>
          <w:i/>
        </w:rPr>
      </w:pPr>
      <w:r w:rsidRPr="000B2434">
        <w:rPr>
          <w:i/>
        </w:rPr>
        <w:t>States will be encouraged to submit information under this collection in electronic format.</w:t>
      </w:r>
    </w:p>
    <w:p w:rsidR="00B83FB3" w:rsidRDefault="00386054" w:rsidP="00B578F4">
      <w:pPr>
        <w:pStyle w:val="ListParagraph"/>
        <w:numPr>
          <w:ilvl w:val="0"/>
          <w:numId w:val="20"/>
        </w:numPr>
      </w:pPr>
      <w:r w:rsidRPr="00431228">
        <w:lastRenderedPageBreak/>
        <w:t>Describe ef</w:t>
      </w:r>
      <w:r w:rsidR="00B578F4">
        <w:t xml:space="preserve">forts to identify duplication. </w:t>
      </w:r>
      <w:r w:rsidRPr="00431228">
        <w:t xml:space="preserve">Show specifically why any similar information already available cannot be used or modified for use for the purposes described in </w:t>
      </w:r>
      <w:r w:rsidR="00103C7E">
        <w:t>Question</w:t>
      </w:r>
      <w:r w:rsidRPr="00431228">
        <w:t xml:space="preserve"> 2</w:t>
      </w:r>
      <w:r w:rsidR="000A2965">
        <w:t xml:space="preserve"> </w:t>
      </w:r>
      <w:r w:rsidRPr="00431228">
        <w:t>above.</w:t>
      </w:r>
    </w:p>
    <w:p w:rsidR="00B63085" w:rsidRPr="00B63085" w:rsidRDefault="00684CD5" w:rsidP="00B63085">
      <w:pPr>
        <w:pStyle w:val="ListParagraph"/>
        <w:rPr>
          <w:i/>
        </w:rPr>
      </w:pPr>
      <w:r>
        <w:rPr>
          <w:i/>
        </w:rPr>
        <w:t xml:space="preserve">States making their methodology for allocating State and local funds public would only have to post the information in one easily accessible location.  </w:t>
      </w:r>
      <w:r w:rsidR="00B63085" w:rsidRPr="00B63085">
        <w:rPr>
          <w:i/>
        </w:rPr>
        <w:t xml:space="preserve">States submitting information </w:t>
      </w:r>
      <w:r>
        <w:rPr>
          <w:i/>
        </w:rPr>
        <w:t xml:space="preserve">to comply with </w:t>
      </w:r>
      <w:r>
        <w:rPr>
          <w:i/>
          <w:snapToGrid w:val="0"/>
          <w:szCs w:val="20"/>
        </w:rPr>
        <w:t>p</w:t>
      </w:r>
      <w:r w:rsidRPr="00AC6D76">
        <w:rPr>
          <w:i/>
          <w:snapToGrid w:val="0"/>
          <w:szCs w:val="20"/>
        </w:rPr>
        <w:t>roposed §200.72(b)(1)(ii)(C)</w:t>
      </w:r>
      <w:r>
        <w:rPr>
          <w:i/>
          <w:snapToGrid w:val="0"/>
          <w:szCs w:val="20"/>
        </w:rPr>
        <w:t xml:space="preserve"> would submit</w:t>
      </w:r>
      <w:r w:rsidR="00B63085" w:rsidRPr="00B63085">
        <w:rPr>
          <w:i/>
        </w:rPr>
        <w:t xml:space="preserve"> funds-based compliance tests that they have developed individually as alternative means to demonstrate compliance with the Department’s supplement not supplant requirements.  This information is unique to specific situations in which States might want to use an alternative method, and it is specific to the Department’s supplement not supplant requirements. Therefore, this information is not collected in any other way.</w:t>
      </w:r>
    </w:p>
    <w:p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63085" w:rsidRPr="00B63085" w:rsidRDefault="00B63085" w:rsidP="00B63085">
      <w:pPr>
        <w:pStyle w:val="ListParagraph"/>
        <w:rPr>
          <w:i/>
        </w:rPr>
      </w:pPr>
      <w:r w:rsidRPr="00B63085">
        <w:rPr>
          <w:i/>
        </w:rPr>
        <w:t>The respondents to this collection are States</w:t>
      </w:r>
      <w:r w:rsidR="006056A2">
        <w:rPr>
          <w:i/>
        </w:rPr>
        <w:t xml:space="preserve"> and LEAs.  States</w:t>
      </w:r>
      <w:r w:rsidRPr="00B63085">
        <w:rPr>
          <w:i/>
        </w:rPr>
        <w:t xml:space="preserve"> are not small businesses or small entities.</w:t>
      </w:r>
      <w:r w:rsidR="006056A2">
        <w:rPr>
          <w:i/>
        </w:rPr>
        <w:t xml:space="preserve"> Some LEAs may be considered small entities, but we expect that these LEAs will have little additional burden for making the methodology public, since they will have already established this methodology as part of normal operations.</w:t>
      </w:r>
    </w:p>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1015DD" w:rsidRPr="001015DD" w:rsidRDefault="00B63085" w:rsidP="001015DD">
      <w:pPr>
        <w:pStyle w:val="ListParagraph"/>
        <w:rPr>
          <w:i/>
        </w:rPr>
      </w:pPr>
      <w:r w:rsidRPr="00B63085">
        <w:rPr>
          <w:i/>
        </w:rPr>
        <w:t xml:space="preserve">If the </w:t>
      </w:r>
      <w:r w:rsidR="00D720EA">
        <w:rPr>
          <w:i/>
        </w:rPr>
        <w:t xml:space="preserve">States did not make information on their methodologies for allocating State and local funds available to the public, this would reduce transparency and public accountability for compliance with supplement not </w:t>
      </w:r>
      <w:proofErr w:type="gramStart"/>
      <w:r w:rsidR="00D720EA">
        <w:rPr>
          <w:i/>
        </w:rPr>
        <w:t>supplant</w:t>
      </w:r>
      <w:proofErr w:type="gramEnd"/>
      <w:r w:rsidR="00D720EA">
        <w:rPr>
          <w:i/>
        </w:rPr>
        <w:t xml:space="preserve"> </w:t>
      </w:r>
      <w:r w:rsidR="00803881">
        <w:rPr>
          <w:i/>
        </w:rPr>
        <w:t xml:space="preserve">provisions.  If the </w:t>
      </w:r>
      <w:r w:rsidRPr="00B63085">
        <w:rPr>
          <w:i/>
        </w:rPr>
        <w:t>Department did not collect th</w:t>
      </w:r>
      <w:r w:rsidR="00D720EA">
        <w:rPr>
          <w:i/>
        </w:rPr>
        <w:t>e</w:t>
      </w:r>
      <w:r w:rsidRPr="00B63085">
        <w:rPr>
          <w:i/>
        </w:rPr>
        <w:t xml:space="preserve"> information</w:t>
      </w:r>
      <w:r w:rsidR="00D720EA">
        <w:rPr>
          <w:i/>
        </w:rPr>
        <w:t xml:space="preserve"> on funds-based compliance tests</w:t>
      </w:r>
      <w:r w:rsidRPr="00B63085">
        <w:rPr>
          <w:i/>
        </w:rPr>
        <w:t xml:space="preserve">, States would not have the opportunity to use alternative means to prove compliance with supplement not supplant requirements. Without this collection, the section of the proposed regulations allowing for this alternative could not be </w:t>
      </w:r>
      <w:r w:rsidR="00464785">
        <w:rPr>
          <w:i/>
        </w:rPr>
        <w:t>implemented</w:t>
      </w:r>
      <w:r w:rsidRPr="00B63085">
        <w:rPr>
          <w:i/>
        </w:rPr>
        <w:t>.</w:t>
      </w:r>
      <w:r w:rsidR="0090781B">
        <w:rPr>
          <w:i/>
        </w:rPr>
        <w:t xml:space="preserve"> </w:t>
      </w:r>
      <w:r w:rsidR="001015DD">
        <w:rPr>
          <w:i/>
        </w:rPr>
        <w:t xml:space="preserve">States would only need to submit the information about alternate funds-based compliance tests </w:t>
      </w:r>
      <w:r w:rsidR="001015DD" w:rsidRPr="001015DD">
        <w:rPr>
          <w:i/>
        </w:rPr>
        <w:t xml:space="preserve">one time.  </w:t>
      </w:r>
    </w:p>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lastRenderedPageBreak/>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proofErr w:type="gramStart"/>
      <w:r w:rsidRPr="00EF7FF5">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AD7668" w:rsidRPr="00AD7668" w:rsidRDefault="00AD7668" w:rsidP="00AD7668">
      <w:pPr>
        <w:ind w:left="720"/>
        <w:rPr>
          <w:i/>
        </w:rPr>
      </w:pPr>
      <w:r w:rsidRPr="00AD7668">
        <w:rPr>
          <w:i/>
        </w:rPr>
        <w:t>There are no special circumstances that apply to this collection.</w:t>
      </w:r>
    </w:p>
    <w:p w:rsidR="00386054" w:rsidRPr="00640F37" w:rsidRDefault="001743A5" w:rsidP="00B83FB3">
      <w:pPr>
        <w:pStyle w:val="ListParagraph"/>
        <w:numPr>
          <w:ilvl w:val="0"/>
          <w:numId w:val="20"/>
        </w:numPr>
      </w:pPr>
      <w:r w:rsidRPr="00640F37">
        <w:t xml:space="preserve">As </w:t>
      </w:r>
      <w:r w:rsidR="00386054" w:rsidRPr="00640F37">
        <w:t xml:space="preserve">applicable, </w:t>
      </w:r>
      <w:r w:rsidRPr="00640F37">
        <w:t xml:space="preserve">state that the Department has published the 60 and 30 Federal Register notices as </w:t>
      </w:r>
      <w:r w:rsidR="00386054" w:rsidRPr="00640F37">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640F37" w:rsidRDefault="00386054" w:rsidP="00B578F4">
      <w:pPr>
        <w:pStyle w:val="ListParagraph"/>
        <w:rPr>
          <w:rStyle w:val="a"/>
        </w:rPr>
      </w:pPr>
      <w:r w:rsidRPr="00640F37">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640F37">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781B" w:rsidRPr="0090781B" w:rsidRDefault="0090781B" w:rsidP="00B578F4">
      <w:pPr>
        <w:pStyle w:val="ListParagraph"/>
        <w:rPr>
          <w:i/>
        </w:rPr>
      </w:pPr>
      <w:r w:rsidRPr="0090781B">
        <w:rPr>
          <w:rStyle w:val="a"/>
          <w:i/>
        </w:rPr>
        <w:t>The Department publish</w:t>
      </w:r>
      <w:r w:rsidR="00803881">
        <w:rPr>
          <w:rStyle w:val="a"/>
          <w:i/>
        </w:rPr>
        <w:t>ed</w:t>
      </w:r>
      <w:r w:rsidRPr="0090781B">
        <w:rPr>
          <w:rStyle w:val="a"/>
          <w:i/>
        </w:rPr>
        <w:t xml:space="preserve"> an invitation to comment in the Notice of Proposed Rulemaking for the Supplement Not Supplant regulation</w:t>
      </w:r>
      <w:r w:rsidR="00803881">
        <w:rPr>
          <w:rStyle w:val="a"/>
          <w:i/>
        </w:rPr>
        <w:t xml:space="preserve"> on September 6, 2016</w:t>
      </w:r>
      <w:r w:rsidRPr="0090781B">
        <w:rPr>
          <w:rStyle w:val="a"/>
          <w:i/>
        </w:rPr>
        <w:t>.  The public will be given the opportunity to comment on the supplement not supplant requirements and the associated information collection burden.</w:t>
      </w: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90781B" w:rsidRPr="0090781B" w:rsidRDefault="0090781B" w:rsidP="0090781B">
      <w:pPr>
        <w:pStyle w:val="ListParagraph"/>
        <w:rPr>
          <w:i/>
        </w:rPr>
      </w:pPr>
      <w:r w:rsidRPr="0090781B">
        <w:rPr>
          <w:rStyle w:val="a"/>
          <w:i/>
        </w:rPr>
        <w:t>No payments will be provided to respondents.</w:t>
      </w:r>
    </w:p>
    <w:p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t xml:space="preserve"> as indicated on the ICRAS’ Part 2 IC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90781B" w:rsidRPr="0090781B" w:rsidRDefault="0090781B" w:rsidP="0090781B">
      <w:pPr>
        <w:pStyle w:val="ListParagraph"/>
        <w:rPr>
          <w:i/>
        </w:rPr>
      </w:pPr>
      <w:r w:rsidRPr="0090781B">
        <w:rPr>
          <w:i/>
        </w:rPr>
        <w:t>There is no assurance of confidentiality provided to respondents,</w:t>
      </w:r>
      <w:r w:rsidR="001F3895" w:rsidRPr="0090781B" w:rsidDel="001F3895">
        <w:rPr>
          <w:i/>
        </w:rPr>
        <w:t xml:space="preserve"> </w:t>
      </w:r>
      <w:r w:rsidR="006326CC">
        <w:rPr>
          <w:i/>
        </w:rPr>
        <w:t>and w</w:t>
      </w:r>
      <w:r w:rsidRPr="0090781B">
        <w:rPr>
          <w:i/>
        </w:rPr>
        <w:t>e do not request Personally Identifiable Information.</w:t>
      </w:r>
    </w:p>
    <w:p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0781B" w:rsidRPr="0090781B" w:rsidRDefault="0090781B" w:rsidP="0090781B">
      <w:pPr>
        <w:pStyle w:val="ListParagraph"/>
        <w:rPr>
          <w:i/>
        </w:rPr>
      </w:pPr>
      <w:r w:rsidRPr="0090781B">
        <w:rPr>
          <w:i/>
        </w:rPr>
        <w:t>This collection does not ask questions of a sensitive nature.</w:t>
      </w:r>
    </w:p>
    <w:p w:rsidR="00386054" w:rsidRPr="00FC733D" w:rsidRDefault="00386054" w:rsidP="00B578F4">
      <w:pPr>
        <w:pStyle w:val="ListParagraph"/>
        <w:numPr>
          <w:ilvl w:val="0"/>
          <w:numId w:val="20"/>
        </w:numPr>
        <w:rPr>
          <w:rStyle w:val="a"/>
        </w:rPr>
      </w:pPr>
      <w:r w:rsidRPr="00FC733D">
        <w:rPr>
          <w:rStyle w:val="a"/>
        </w:rPr>
        <w:t>Provide estimates of the hour burden of the collection of information.  The statement should:</w:t>
      </w:r>
    </w:p>
    <w:p w:rsidR="00386054" w:rsidRPr="00FC733D" w:rsidRDefault="00386054" w:rsidP="00B83FB3">
      <w:pPr>
        <w:pStyle w:val="ListParagraph"/>
        <w:numPr>
          <w:ilvl w:val="0"/>
          <w:numId w:val="22"/>
        </w:numPr>
        <w:rPr>
          <w:rStyle w:val="a"/>
        </w:rPr>
      </w:pPr>
      <w:r w:rsidRPr="00FC733D">
        <w:rPr>
          <w:rStyle w:val="a"/>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FC733D">
        <w:rPr>
          <w:rStyle w:val="a"/>
        </w:rPr>
        <w:t>Question</w:t>
      </w:r>
      <w:r w:rsidRPr="00FC733D">
        <w:rPr>
          <w:rStyle w:val="a"/>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C733D" w:rsidRDefault="00386054" w:rsidP="00B83FB3">
      <w:pPr>
        <w:pStyle w:val="ListParagraph"/>
        <w:numPr>
          <w:ilvl w:val="0"/>
          <w:numId w:val="22"/>
        </w:numPr>
        <w:rPr>
          <w:rStyle w:val="a"/>
        </w:rPr>
      </w:pPr>
      <w:r w:rsidRPr="00FC733D">
        <w:rPr>
          <w:rStyle w:val="a"/>
        </w:rPr>
        <w:t>If this request for approval covers more than one form, provide separate hour</w:t>
      </w:r>
      <w:r w:rsidR="00103C7E" w:rsidRPr="00FC733D">
        <w:rPr>
          <w:rStyle w:val="a"/>
        </w:rPr>
        <w:t xml:space="preserve"> burden estimates for each form</w:t>
      </w:r>
      <w:r w:rsidRPr="00FC733D">
        <w:rPr>
          <w:rStyle w:val="a"/>
        </w:rPr>
        <w:t>.</w:t>
      </w:r>
      <w:r w:rsidR="00CE72AF" w:rsidRPr="00FC733D">
        <w:rPr>
          <w:rStyle w:val="a"/>
        </w:rPr>
        <w:t xml:space="preserve">  (The table should at </w:t>
      </w:r>
      <w:r w:rsidR="003C7F70" w:rsidRPr="00FC733D">
        <w:rPr>
          <w:rStyle w:val="a"/>
        </w:rPr>
        <w:t>minimum</w:t>
      </w:r>
      <w:r w:rsidR="00CE72AF" w:rsidRPr="00FC733D">
        <w:rPr>
          <w:rStyle w:val="a"/>
        </w:rPr>
        <w:t xml:space="preserve"> include Respondent types, </w:t>
      </w:r>
      <w:r w:rsidR="00103C7E" w:rsidRPr="00FC733D">
        <w:rPr>
          <w:rStyle w:val="a"/>
        </w:rPr>
        <w:t>Number of</w:t>
      </w:r>
      <w:r w:rsidR="00CE72AF" w:rsidRPr="00FC733D">
        <w:rPr>
          <w:rStyle w:val="a"/>
        </w:rPr>
        <w:t xml:space="preserve"> Respondent</w:t>
      </w:r>
      <w:r w:rsidR="00103C7E" w:rsidRPr="00FC733D">
        <w:rPr>
          <w:rStyle w:val="a"/>
        </w:rPr>
        <w:t>s</w:t>
      </w:r>
      <w:r w:rsidR="00CE72AF" w:rsidRPr="00FC733D">
        <w:rPr>
          <w:rStyle w:val="a"/>
        </w:rPr>
        <w:t xml:space="preserve"> and Responses, Hours/Response, and Total Hours)</w:t>
      </w:r>
    </w:p>
    <w:p w:rsidR="00386054" w:rsidRPr="00FC733D" w:rsidRDefault="00386054" w:rsidP="00B83FB3">
      <w:pPr>
        <w:pStyle w:val="ListParagraph"/>
        <w:numPr>
          <w:ilvl w:val="0"/>
          <w:numId w:val="22"/>
        </w:numPr>
        <w:rPr>
          <w:rStyle w:val="a"/>
        </w:rPr>
      </w:pPr>
      <w:r w:rsidRPr="00FC733D">
        <w:rPr>
          <w:rStyle w:val="a"/>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FC733D">
        <w:rPr>
          <w:rStyle w:val="a"/>
        </w:rPr>
        <w:t xml:space="preserve">Question </w:t>
      </w:r>
      <w:r w:rsidRPr="00FC733D">
        <w:rPr>
          <w:rStyle w:val="a"/>
        </w:rPr>
        <w:t>14.</w:t>
      </w:r>
    </w:p>
    <w:p w:rsidR="00803881" w:rsidRDefault="00803881" w:rsidP="0090781B">
      <w:pPr>
        <w:ind w:left="720"/>
        <w:rPr>
          <w:rFonts w:eastAsia="Arial Unicode MS"/>
          <w:i/>
        </w:rPr>
      </w:pPr>
      <w:r w:rsidRPr="00271A4D">
        <w:rPr>
          <w:rFonts w:eastAsia="Arial Unicode MS"/>
          <w:i/>
        </w:rPr>
        <w:t>We estimate that during the three year period for which we seek information collection approval, 14,000 LEAs would devote five hours to publishing a methodology for allocating State and local funds. Therefore, we estimate for this section a total burden over three years for all respondents would be 70,000 hours, resulting in an average annual burden of 23,333 hours.</w:t>
      </w:r>
    </w:p>
    <w:tbl>
      <w:tblPr>
        <w:tblStyle w:val="TableGrid"/>
        <w:tblW w:w="0" w:type="auto"/>
        <w:tblInd w:w="720" w:type="dxa"/>
        <w:tblLook w:val="04A0" w:firstRow="1" w:lastRow="0" w:firstColumn="1" w:lastColumn="0" w:noHBand="0" w:noVBand="1"/>
      </w:tblPr>
      <w:tblGrid>
        <w:gridCol w:w="2249"/>
        <w:gridCol w:w="2234"/>
        <w:gridCol w:w="2172"/>
        <w:gridCol w:w="2201"/>
      </w:tblGrid>
      <w:tr w:rsidR="00803881" w:rsidTr="00AC6D76">
        <w:tc>
          <w:tcPr>
            <w:tcW w:w="2394" w:type="dxa"/>
          </w:tcPr>
          <w:p w:rsidR="00803881" w:rsidRDefault="00803881" w:rsidP="00AC6D76">
            <w:pPr>
              <w:rPr>
                <w:i/>
                <w:highlight w:val="yellow"/>
              </w:rPr>
            </w:pPr>
            <w:r w:rsidRPr="00C92B90">
              <w:rPr>
                <w:i/>
              </w:rPr>
              <w:t>Number of Respondents</w:t>
            </w:r>
          </w:p>
        </w:tc>
        <w:tc>
          <w:tcPr>
            <w:tcW w:w="2394" w:type="dxa"/>
          </w:tcPr>
          <w:p w:rsidR="00803881" w:rsidRDefault="00803881" w:rsidP="00AC6D76">
            <w:pPr>
              <w:rPr>
                <w:i/>
                <w:highlight w:val="yellow"/>
              </w:rPr>
            </w:pPr>
            <w:r w:rsidRPr="00C92B90">
              <w:rPr>
                <w:i/>
              </w:rPr>
              <w:t>Hours per Respondent</w:t>
            </w:r>
          </w:p>
        </w:tc>
        <w:tc>
          <w:tcPr>
            <w:tcW w:w="2394" w:type="dxa"/>
          </w:tcPr>
          <w:p w:rsidR="00803881" w:rsidRDefault="00803881" w:rsidP="00AC6D76">
            <w:pPr>
              <w:rPr>
                <w:i/>
                <w:highlight w:val="yellow"/>
              </w:rPr>
            </w:pPr>
            <w:r w:rsidRPr="00C92B90">
              <w:rPr>
                <w:i/>
              </w:rPr>
              <w:t xml:space="preserve">Total </w:t>
            </w:r>
            <w:r>
              <w:rPr>
                <w:i/>
              </w:rPr>
              <w:t xml:space="preserve">Annual </w:t>
            </w:r>
            <w:r w:rsidRPr="00C92B90">
              <w:rPr>
                <w:i/>
              </w:rPr>
              <w:t>Burden Hours</w:t>
            </w:r>
          </w:p>
        </w:tc>
        <w:tc>
          <w:tcPr>
            <w:tcW w:w="2394" w:type="dxa"/>
          </w:tcPr>
          <w:p w:rsidR="00803881" w:rsidRDefault="00803881" w:rsidP="00AC6D76">
            <w:pPr>
              <w:rPr>
                <w:i/>
                <w:highlight w:val="yellow"/>
              </w:rPr>
            </w:pPr>
            <w:r w:rsidRPr="00C92B90">
              <w:rPr>
                <w:i/>
              </w:rPr>
              <w:t>Total Cost</w:t>
            </w:r>
            <w:r w:rsidR="00892054">
              <w:rPr>
                <w:i/>
              </w:rPr>
              <w:t xml:space="preserve"> ($35</w:t>
            </w:r>
            <w:r>
              <w:rPr>
                <w:i/>
              </w:rPr>
              <w:t>/</w:t>
            </w:r>
            <w:proofErr w:type="spellStart"/>
            <w:r>
              <w:rPr>
                <w:i/>
              </w:rPr>
              <w:t>hr</w:t>
            </w:r>
            <w:proofErr w:type="spellEnd"/>
            <w:r>
              <w:rPr>
                <w:i/>
              </w:rPr>
              <w:t>)</w:t>
            </w:r>
          </w:p>
        </w:tc>
      </w:tr>
      <w:tr w:rsidR="00803881" w:rsidTr="00AC6D76">
        <w:tc>
          <w:tcPr>
            <w:tcW w:w="2394" w:type="dxa"/>
          </w:tcPr>
          <w:p w:rsidR="00803881" w:rsidRDefault="00803881" w:rsidP="00AC6D76">
            <w:pPr>
              <w:rPr>
                <w:i/>
                <w:highlight w:val="yellow"/>
              </w:rPr>
            </w:pPr>
            <w:r>
              <w:rPr>
                <w:i/>
              </w:rPr>
              <w:t>14,000</w:t>
            </w:r>
          </w:p>
        </w:tc>
        <w:tc>
          <w:tcPr>
            <w:tcW w:w="2394" w:type="dxa"/>
          </w:tcPr>
          <w:p w:rsidR="00803881" w:rsidRDefault="00803881" w:rsidP="00AC6D76">
            <w:pPr>
              <w:rPr>
                <w:i/>
                <w:highlight w:val="yellow"/>
              </w:rPr>
            </w:pPr>
            <w:r>
              <w:rPr>
                <w:i/>
              </w:rPr>
              <w:t>5</w:t>
            </w:r>
          </w:p>
        </w:tc>
        <w:tc>
          <w:tcPr>
            <w:tcW w:w="2394" w:type="dxa"/>
          </w:tcPr>
          <w:p w:rsidR="00803881" w:rsidRDefault="00803881" w:rsidP="00AC6D76">
            <w:pPr>
              <w:rPr>
                <w:i/>
                <w:highlight w:val="yellow"/>
              </w:rPr>
            </w:pPr>
            <w:r>
              <w:rPr>
                <w:i/>
              </w:rPr>
              <w:t>23,333</w:t>
            </w:r>
          </w:p>
        </w:tc>
        <w:tc>
          <w:tcPr>
            <w:tcW w:w="2394" w:type="dxa"/>
          </w:tcPr>
          <w:p w:rsidR="00803881" w:rsidRDefault="00803881" w:rsidP="00AC6D76">
            <w:pPr>
              <w:rPr>
                <w:i/>
                <w:highlight w:val="yellow"/>
              </w:rPr>
            </w:pPr>
            <w:r w:rsidRPr="00A32A96">
              <w:rPr>
                <w:i/>
              </w:rPr>
              <w:t>$</w:t>
            </w:r>
            <w:r w:rsidR="00892054">
              <w:rPr>
                <w:i/>
              </w:rPr>
              <w:t>816</w:t>
            </w:r>
            <w:r>
              <w:rPr>
                <w:i/>
              </w:rPr>
              <w:t>,</w:t>
            </w:r>
            <w:r w:rsidR="00892054">
              <w:rPr>
                <w:i/>
              </w:rPr>
              <w:t>667</w:t>
            </w:r>
          </w:p>
        </w:tc>
      </w:tr>
    </w:tbl>
    <w:p w:rsidR="00803881" w:rsidRPr="00803881" w:rsidRDefault="00803881" w:rsidP="0090781B">
      <w:pPr>
        <w:ind w:left="720"/>
        <w:rPr>
          <w:i/>
          <w:snapToGrid w:val="0"/>
        </w:rPr>
      </w:pPr>
    </w:p>
    <w:p w:rsidR="0090781B" w:rsidRDefault="0090781B" w:rsidP="0090781B">
      <w:pPr>
        <w:ind w:left="720"/>
        <w:rPr>
          <w:i/>
          <w:snapToGrid w:val="0"/>
          <w:szCs w:val="20"/>
        </w:rPr>
      </w:pPr>
      <w:r w:rsidRPr="0090781B">
        <w:rPr>
          <w:i/>
          <w:snapToGrid w:val="0"/>
          <w:szCs w:val="20"/>
        </w:rPr>
        <w:t>We estimate that 15 States would choose to submit an alternate funds-based compliance test for Federal peer review, and that each State would devote 40 hours to preparing and submitting the alternate funds-based compliance test.  Therefore, we estimate a total burden of 600 hours for this proposed regulation.</w:t>
      </w:r>
      <w:r w:rsidR="00A32A96">
        <w:rPr>
          <w:i/>
          <w:snapToGrid w:val="0"/>
          <w:szCs w:val="20"/>
        </w:rPr>
        <w:t xml:space="preserve"> We</w:t>
      </w:r>
      <w:r w:rsidR="00E37837">
        <w:rPr>
          <w:i/>
          <w:snapToGrid w:val="0"/>
          <w:szCs w:val="20"/>
        </w:rPr>
        <w:t xml:space="preserve"> estimate State staff time at $4</w:t>
      </w:r>
      <w:r w:rsidR="00A32A96">
        <w:rPr>
          <w:i/>
          <w:snapToGrid w:val="0"/>
          <w:szCs w:val="20"/>
        </w:rPr>
        <w:t>0 per hour, which comes to a cost of $1,</w:t>
      </w:r>
      <w:r w:rsidR="00E37837">
        <w:rPr>
          <w:i/>
          <w:snapToGrid w:val="0"/>
          <w:szCs w:val="20"/>
        </w:rPr>
        <w:t>6</w:t>
      </w:r>
      <w:r w:rsidR="00A32A96">
        <w:rPr>
          <w:i/>
          <w:snapToGrid w:val="0"/>
          <w:szCs w:val="20"/>
        </w:rPr>
        <w:t xml:space="preserve">00 per State and a </w:t>
      </w:r>
      <w:r w:rsidR="00E37837">
        <w:rPr>
          <w:i/>
          <w:snapToGrid w:val="0"/>
          <w:szCs w:val="20"/>
        </w:rPr>
        <w:t>total cost of $24</w:t>
      </w:r>
      <w:r w:rsidR="00A32A96">
        <w:rPr>
          <w:i/>
          <w:snapToGrid w:val="0"/>
          <w:szCs w:val="20"/>
        </w:rPr>
        <w:t>,000 for all burden across all States.</w:t>
      </w:r>
    </w:p>
    <w:tbl>
      <w:tblPr>
        <w:tblStyle w:val="TableGrid"/>
        <w:tblW w:w="0" w:type="auto"/>
        <w:tblInd w:w="720" w:type="dxa"/>
        <w:tblLook w:val="04A0" w:firstRow="1" w:lastRow="0" w:firstColumn="1" w:lastColumn="0" w:noHBand="0" w:noVBand="1"/>
      </w:tblPr>
      <w:tblGrid>
        <w:gridCol w:w="2251"/>
        <w:gridCol w:w="2238"/>
        <w:gridCol w:w="2177"/>
        <w:gridCol w:w="2190"/>
      </w:tblGrid>
      <w:tr w:rsidR="00C92B90" w:rsidTr="00C92B90">
        <w:tc>
          <w:tcPr>
            <w:tcW w:w="2394" w:type="dxa"/>
          </w:tcPr>
          <w:p w:rsidR="00C92B90" w:rsidRDefault="00C92B90" w:rsidP="0090781B">
            <w:pPr>
              <w:rPr>
                <w:i/>
                <w:highlight w:val="yellow"/>
              </w:rPr>
            </w:pPr>
            <w:r w:rsidRPr="00C92B90">
              <w:rPr>
                <w:i/>
              </w:rPr>
              <w:t>Number of Respondents</w:t>
            </w:r>
          </w:p>
        </w:tc>
        <w:tc>
          <w:tcPr>
            <w:tcW w:w="2394" w:type="dxa"/>
          </w:tcPr>
          <w:p w:rsidR="00C92B90" w:rsidRDefault="00C92B90" w:rsidP="0090781B">
            <w:pPr>
              <w:rPr>
                <w:i/>
                <w:highlight w:val="yellow"/>
              </w:rPr>
            </w:pPr>
            <w:r w:rsidRPr="00C92B90">
              <w:rPr>
                <w:i/>
              </w:rPr>
              <w:t>Hours per Respondent</w:t>
            </w:r>
          </w:p>
        </w:tc>
        <w:tc>
          <w:tcPr>
            <w:tcW w:w="2394" w:type="dxa"/>
          </w:tcPr>
          <w:p w:rsidR="00C92B90" w:rsidRDefault="00C92B90" w:rsidP="0090781B">
            <w:pPr>
              <w:rPr>
                <w:i/>
                <w:highlight w:val="yellow"/>
              </w:rPr>
            </w:pPr>
            <w:r w:rsidRPr="00C92B90">
              <w:rPr>
                <w:i/>
              </w:rPr>
              <w:t>Total Burden Hours</w:t>
            </w:r>
          </w:p>
        </w:tc>
        <w:tc>
          <w:tcPr>
            <w:tcW w:w="2394" w:type="dxa"/>
          </w:tcPr>
          <w:p w:rsidR="00C92B90" w:rsidRDefault="00C92B90" w:rsidP="0090781B">
            <w:pPr>
              <w:rPr>
                <w:i/>
                <w:highlight w:val="yellow"/>
              </w:rPr>
            </w:pPr>
            <w:r w:rsidRPr="00C92B90">
              <w:rPr>
                <w:i/>
              </w:rPr>
              <w:t>Total Cost</w:t>
            </w:r>
            <w:r w:rsidR="00E37837">
              <w:rPr>
                <w:i/>
              </w:rPr>
              <w:t xml:space="preserve"> ($4</w:t>
            </w:r>
            <w:r w:rsidR="00A32A96">
              <w:rPr>
                <w:i/>
              </w:rPr>
              <w:t>0/</w:t>
            </w:r>
            <w:proofErr w:type="spellStart"/>
            <w:r w:rsidR="00A32A96">
              <w:rPr>
                <w:i/>
              </w:rPr>
              <w:t>hr</w:t>
            </w:r>
            <w:proofErr w:type="spellEnd"/>
            <w:r w:rsidR="00A32A96">
              <w:rPr>
                <w:i/>
              </w:rPr>
              <w:t>)</w:t>
            </w:r>
          </w:p>
        </w:tc>
      </w:tr>
      <w:tr w:rsidR="00C92B90" w:rsidTr="00C92B90">
        <w:tc>
          <w:tcPr>
            <w:tcW w:w="2394" w:type="dxa"/>
          </w:tcPr>
          <w:p w:rsidR="00C92B90" w:rsidRDefault="00C92B90" w:rsidP="0090781B">
            <w:pPr>
              <w:rPr>
                <w:i/>
                <w:highlight w:val="yellow"/>
              </w:rPr>
            </w:pPr>
            <w:r w:rsidRPr="00C92B90">
              <w:rPr>
                <w:i/>
              </w:rPr>
              <w:t>15</w:t>
            </w:r>
          </w:p>
        </w:tc>
        <w:tc>
          <w:tcPr>
            <w:tcW w:w="2394" w:type="dxa"/>
          </w:tcPr>
          <w:p w:rsidR="00C92B90" w:rsidRDefault="00C92B90" w:rsidP="0090781B">
            <w:pPr>
              <w:rPr>
                <w:i/>
                <w:highlight w:val="yellow"/>
              </w:rPr>
            </w:pPr>
            <w:r w:rsidRPr="00C92B90">
              <w:rPr>
                <w:i/>
              </w:rPr>
              <w:t>40</w:t>
            </w:r>
          </w:p>
        </w:tc>
        <w:tc>
          <w:tcPr>
            <w:tcW w:w="2394" w:type="dxa"/>
          </w:tcPr>
          <w:p w:rsidR="00C92B90" w:rsidRDefault="00C92B90" w:rsidP="0090781B">
            <w:pPr>
              <w:rPr>
                <w:i/>
                <w:highlight w:val="yellow"/>
              </w:rPr>
            </w:pPr>
            <w:r w:rsidRPr="00C92B90">
              <w:rPr>
                <w:i/>
              </w:rPr>
              <w:t>600</w:t>
            </w:r>
          </w:p>
        </w:tc>
        <w:tc>
          <w:tcPr>
            <w:tcW w:w="2394" w:type="dxa"/>
          </w:tcPr>
          <w:p w:rsidR="00C92B90" w:rsidRDefault="00A32A96" w:rsidP="0090781B">
            <w:pPr>
              <w:rPr>
                <w:i/>
                <w:highlight w:val="yellow"/>
              </w:rPr>
            </w:pPr>
            <w:r w:rsidRPr="00A32A96">
              <w:rPr>
                <w:i/>
              </w:rPr>
              <w:t>$</w:t>
            </w:r>
            <w:r w:rsidR="00E37837">
              <w:rPr>
                <w:i/>
              </w:rPr>
              <w:t>24</w:t>
            </w:r>
            <w:r>
              <w:rPr>
                <w:i/>
              </w:rPr>
              <w:t>,</w:t>
            </w:r>
            <w:r w:rsidRPr="00A32A96">
              <w:rPr>
                <w:i/>
              </w:rPr>
              <w:t>000</w:t>
            </w:r>
          </w:p>
        </w:tc>
      </w:tr>
    </w:tbl>
    <w:p w:rsidR="00C92B90" w:rsidRPr="0090781B" w:rsidRDefault="00C92B90" w:rsidP="0090781B">
      <w:pPr>
        <w:ind w:left="720"/>
        <w:rPr>
          <w:i/>
          <w:highlight w:val="yellow"/>
        </w:rPr>
      </w:pPr>
    </w:p>
    <w:p w:rsidR="00386054" w:rsidRPr="001727C7" w:rsidRDefault="00386054" w:rsidP="00B578F4">
      <w:pPr>
        <w:pStyle w:val="ListParagraph"/>
        <w:numPr>
          <w:ilvl w:val="0"/>
          <w:numId w:val="20"/>
        </w:numPr>
      </w:pPr>
      <w:r w:rsidRPr="001727C7">
        <w:rPr>
          <w:rStyle w:val="a"/>
        </w:rPr>
        <w:t xml:space="preserve">Provide an estimate of the total annual cost burden to respondents or record keepers resulting from the collection of information.  (Do not include the cost of any hour burden shown in </w:t>
      </w:r>
      <w:r w:rsidR="00103C7E" w:rsidRPr="001727C7">
        <w:rPr>
          <w:rStyle w:val="a"/>
        </w:rPr>
        <w:t>Question</w:t>
      </w:r>
      <w:r w:rsidRPr="001727C7">
        <w:rPr>
          <w:rStyle w:val="a"/>
        </w:rPr>
        <w:t>s 12 and 14.)</w:t>
      </w:r>
    </w:p>
    <w:p w:rsidR="00386054" w:rsidRPr="001727C7" w:rsidRDefault="00386054" w:rsidP="00B83FB3">
      <w:pPr>
        <w:pStyle w:val="ListParagraph"/>
        <w:numPr>
          <w:ilvl w:val="0"/>
          <w:numId w:val="23"/>
        </w:numPr>
        <w:ind w:left="1080"/>
      </w:pPr>
      <w:r w:rsidRPr="001727C7">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1727C7" w:rsidRDefault="00386054" w:rsidP="00B83FB3">
      <w:pPr>
        <w:pStyle w:val="ListParagraph"/>
        <w:numPr>
          <w:ilvl w:val="0"/>
          <w:numId w:val="23"/>
        </w:numPr>
        <w:ind w:left="1080"/>
      </w:pPr>
      <w:r w:rsidRPr="001727C7">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1727C7" w:rsidRDefault="00386054" w:rsidP="00B83FB3">
      <w:pPr>
        <w:pStyle w:val="ListParagraph"/>
        <w:numPr>
          <w:ilvl w:val="0"/>
          <w:numId w:val="23"/>
        </w:numPr>
        <w:ind w:left="1080"/>
      </w:pPr>
      <w:r w:rsidRPr="001727C7">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1727C7">
        <w:t>government</w:t>
      </w:r>
      <w:r w:rsidRPr="001727C7">
        <w:t xml:space="preserve"> or (4) as part of customary and usual business or private practices.</w:t>
      </w:r>
      <w:r w:rsidR="001743A5" w:rsidRPr="001727C7">
        <w:t xml:space="preserve"> Also, these estimates should not include the hourly costs (i.e., the monetization of the hours) captured above in </w:t>
      </w:r>
      <w:r w:rsidR="00103C7E" w:rsidRPr="001727C7">
        <w:t xml:space="preserve">Question </w:t>
      </w:r>
      <w:r w:rsidR="001743A5" w:rsidRPr="001727C7">
        <w:t>12</w:t>
      </w:r>
      <w:r w:rsidR="00103C7E" w:rsidRPr="001727C7">
        <w:t>.</w:t>
      </w:r>
    </w:p>
    <w:p w:rsidR="00386054" w:rsidRPr="001727C7" w:rsidRDefault="00386054" w:rsidP="00B83FB3">
      <w:pPr>
        <w:pStyle w:val="ListParagraph"/>
        <w:ind w:left="1080"/>
      </w:pPr>
      <w:r w:rsidRPr="001727C7">
        <w:t>Total Annualized Capital/Startup Cost:</w:t>
      </w:r>
    </w:p>
    <w:p w:rsidR="00386054" w:rsidRPr="001727C7" w:rsidRDefault="00386054" w:rsidP="00B83FB3">
      <w:pPr>
        <w:tabs>
          <w:tab w:val="left" w:pos="-720"/>
        </w:tabs>
        <w:suppressAutoHyphens/>
        <w:ind w:left="1080"/>
      </w:pPr>
      <w:r w:rsidRPr="001727C7">
        <w:t xml:space="preserve">Total Annual Costs (O&amp;M): </w:t>
      </w:r>
    </w:p>
    <w:p w:rsidR="00386054" w:rsidRPr="001727C7" w:rsidRDefault="00386054" w:rsidP="00B83FB3">
      <w:pPr>
        <w:tabs>
          <w:tab w:val="left" w:pos="-720"/>
        </w:tabs>
        <w:suppressAutoHyphens/>
        <w:ind w:left="1080"/>
      </w:pPr>
      <w:r w:rsidRPr="001727C7">
        <w:t>Total Annualized Costs Requested:</w:t>
      </w:r>
    </w:p>
    <w:p w:rsidR="001727C7" w:rsidRPr="001727C7" w:rsidRDefault="001727C7" w:rsidP="001727C7">
      <w:pPr>
        <w:tabs>
          <w:tab w:val="left" w:pos="-720"/>
        </w:tabs>
        <w:suppressAutoHyphens/>
        <w:rPr>
          <w:i/>
        </w:rPr>
      </w:pPr>
      <w:r w:rsidRPr="001727C7">
        <w:tab/>
      </w:r>
      <w:r w:rsidRPr="001727C7">
        <w:rPr>
          <w:i/>
          <w:sz w:val="22"/>
          <w:szCs w:val="22"/>
        </w:rPr>
        <w:t>This information collection does not require the use of capital, start-up, operation and maintenance, or purchase costs.</w:t>
      </w:r>
    </w:p>
    <w:p w:rsidR="00B83FB3" w:rsidRPr="001727C7" w:rsidRDefault="00386054" w:rsidP="00B578F4">
      <w:pPr>
        <w:pStyle w:val="ListParagraph"/>
        <w:numPr>
          <w:ilvl w:val="0"/>
          <w:numId w:val="20"/>
        </w:numPr>
        <w:rPr>
          <w:rStyle w:val="a"/>
        </w:rPr>
      </w:pPr>
      <w:r w:rsidRPr="001727C7">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1727C7">
        <w:rPr>
          <w:rStyle w:val="a"/>
        </w:rPr>
        <w:t>Questions</w:t>
      </w:r>
      <w:r w:rsidRPr="001727C7">
        <w:rPr>
          <w:rStyle w:val="a"/>
        </w:rPr>
        <w:t xml:space="preserve"> 12, 13, and 14 in a single table.</w:t>
      </w:r>
    </w:p>
    <w:p w:rsidR="001727C7" w:rsidRPr="001727C7" w:rsidRDefault="001727C7" w:rsidP="001727C7">
      <w:pPr>
        <w:pStyle w:val="ListParagraph"/>
        <w:rPr>
          <w:rStyle w:val="a"/>
          <w:i/>
        </w:rPr>
      </w:pPr>
      <w:r w:rsidRPr="001727C7">
        <w:rPr>
          <w:rStyle w:val="a"/>
          <w:i/>
        </w:rPr>
        <w:t xml:space="preserve">We estimate that </w:t>
      </w:r>
      <w:r w:rsidR="006326CC">
        <w:rPr>
          <w:rStyle w:val="a"/>
          <w:i/>
        </w:rPr>
        <w:t xml:space="preserve">the </w:t>
      </w:r>
      <w:r w:rsidRPr="001727C7">
        <w:rPr>
          <w:rStyle w:val="a"/>
          <w:i/>
        </w:rPr>
        <w:t xml:space="preserve">Federal </w:t>
      </w:r>
      <w:r w:rsidR="006326CC">
        <w:rPr>
          <w:rStyle w:val="a"/>
          <w:i/>
        </w:rPr>
        <w:t>government</w:t>
      </w:r>
      <w:r w:rsidR="006326CC" w:rsidRPr="001727C7">
        <w:rPr>
          <w:rStyle w:val="a"/>
          <w:i/>
        </w:rPr>
        <w:t xml:space="preserve"> </w:t>
      </w:r>
      <w:r w:rsidRPr="001727C7">
        <w:rPr>
          <w:rStyle w:val="a"/>
          <w:i/>
        </w:rPr>
        <w:t xml:space="preserve">will spend an average of 40 hours per State per year to review this information.  With 15 States, we estimate 600 total hours of review.  </w:t>
      </w:r>
      <w:r w:rsidR="006326CC">
        <w:rPr>
          <w:rStyle w:val="a"/>
          <w:i/>
        </w:rPr>
        <w:t>People at</w:t>
      </w:r>
      <w:r w:rsidRPr="001727C7">
        <w:rPr>
          <w:rStyle w:val="a"/>
          <w:i/>
        </w:rPr>
        <w:t xml:space="preserve"> different pay levels are likely to participate in review, so we will use $40 as the average hourly rate, which is approximately the GS-12 level for a Federal employee in Washington, DC.  At $40 per hour, the 600 total hours of review comes to an annual cost of $24,000 to the Federal government.</w:t>
      </w:r>
    </w:p>
    <w:p w:rsidR="00B83FB3" w:rsidRPr="006B4A7B" w:rsidRDefault="00386054" w:rsidP="00B578F4">
      <w:pPr>
        <w:pStyle w:val="ListParagraph"/>
        <w:numPr>
          <w:ilvl w:val="0"/>
          <w:numId w:val="20"/>
        </w:numPr>
      </w:pPr>
      <w:r w:rsidRPr="006B4A7B">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B4A7B">
        <w:t xml:space="preserve">totals for </w:t>
      </w:r>
      <w:r w:rsidRPr="006B4A7B">
        <w:t>changes in burden hours</w:t>
      </w:r>
      <w:r w:rsidR="002473CE" w:rsidRPr="006B4A7B">
        <w:t>, responses</w:t>
      </w:r>
      <w:r w:rsidRPr="006B4A7B">
        <w:t xml:space="preserve"> and cost</w:t>
      </w:r>
      <w:r w:rsidR="002473CE" w:rsidRPr="006B4A7B">
        <w:t>s</w:t>
      </w:r>
      <w:r w:rsidRPr="006B4A7B">
        <w:t xml:space="preserve"> </w:t>
      </w:r>
      <w:r w:rsidR="002473CE" w:rsidRPr="006B4A7B">
        <w:t>(if applicable)</w:t>
      </w:r>
      <w:r w:rsidRPr="006B4A7B">
        <w:t>.</w:t>
      </w:r>
    </w:p>
    <w:p w:rsidR="006B4A7B" w:rsidRPr="006B4A7B" w:rsidRDefault="006B4A7B" w:rsidP="006B4A7B">
      <w:pPr>
        <w:pStyle w:val="ListParagraph"/>
        <w:rPr>
          <w:i/>
        </w:rPr>
      </w:pPr>
      <w:r w:rsidRPr="006B4A7B">
        <w:rPr>
          <w:i/>
        </w:rPr>
        <w:t>This is a new collection, so we do not report any burden change.</w:t>
      </w:r>
    </w:p>
    <w:p w:rsidR="00103C7E" w:rsidRDefault="00386054" w:rsidP="00B578F4">
      <w:pPr>
        <w:pStyle w:val="ListParagraph"/>
        <w:numPr>
          <w:ilvl w:val="0"/>
          <w:numId w:val="20"/>
        </w:numPr>
        <w:rPr>
          <w:rStyle w:val="a"/>
        </w:rPr>
      </w:pPr>
      <w:r w:rsidRPr="00322E02">
        <w:rPr>
          <w:rStyle w:val="a"/>
        </w:rPr>
        <w:t xml:space="preserve">For collections of information whose results will be published, outline plans for tabulation and publication.  Address any complex analytical techniques that will be used.  </w:t>
      </w:r>
    </w:p>
    <w:p w:rsidR="006B4A7B" w:rsidRPr="006B4A7B" w:rsidRDefault="006B4A7B" w:rsidP="006B4A7B">
      <w:pPr>
        <w:pStyle w:val="ListParagraph"/>
        <w:rPr>
          <w:rStyle w:val="a"/>
          <w:i/>
        </w:rPr>
      </w:pPr>
      <w:r w:rsidRPr="006B4A7B">
        <w:rPr>
          <w:rStyle w:val="a"/>
          <w:i/>
        </w:rPr>
        <w:t>The information gathered through this collection will not be formally published.</w:t>
      </w:r>
    </w:p>
    <w:p w:rsidR="00B83FB3" w:rsidRDefault="00386054" w:rsidP="00B578F4">
      <w:pPr>
        <w:pStyle w:val="ListParagraph"/>
        <w:numPr>
          <w:ilvl w:val="0"/>
          <w:numId w:val="20"/>
        </w:numPr>
        <w:rPr>
          <w:rStyle w:val="a"/>
        </w:rPr>
      </w:pPr>
      <w:r w:rsidRPr="00322E02">
        <w:rPr>
          <w:rStyle w:val="a"/>
        </w:rPr>
        <w:t>Provide the time schedule for the entire project, including beginning and ending dates of the collection of information, completion of report, publication dates, and other actions.</w:t>
      </w:r>
    </w:p>
    <w:p w:rsidR="00823858" w:rsidRPr="00823858" w:rsidRDefault="00823858" w:rsidP="00823858">
      <w:pPr>
        <w:pStyle w:val="ListParagraph"/>
        <w:rPr>
          <w:rStyle w:val="a"/>
          <w:i/>
        </w:rPr>
      </w:pPr>
      <w:r w:rsidRPr="00823858">
        <w:rPr>
          <w:rStyle w:val="a"/>
          <w:i/>
        </w:rPr>
        <w:t xml:space="preserve">The Notice of Proposed Rulemaking for Supplement Not Supplant regulations published in </w:t>
      </w:r>
      <w:r w:rsidR="00C72367">
        <w:rPr>
          <w:rStyle w:val="a"/>
          <w:i/>
        </w:rPr>
        <w:t xml:space="preserve">September </w:t>
      </w:r>
      <w:r w:rsidR="006326CC">
        <w:rPr>
          <w:rStyle w:val="a"/>
          <w:i/>
        </w:rPr>
        <w:t>2016, and we expect the final regulations will publish before the end of 2016</w:t>
      </w:r>
      <w:r w:rsidRPr="00823858">
        <w:rPr>
          <w:rStyle w:val="a"/>
          <w:i/>
        </w:rPr>
        <w:t xml:space="preserve">.  Section 1118(b) of the ESEA requires that Title I funds supplement, and not supplant, State funds.  According to the ESSA, States must comply with this requirement by December 10, 2017.   </w:t>
      </w:r>
    </w:p>
    <w:p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C66648" w:rsidRPr="00C66648" w:rsidRDefault="00C66648" w:rsidP="00C66648">
      <w:pPr>
        <w:pStyle w:val="ListParagraph"/>
        <w:rPr>
          <w:rStyle w:val="a"/>
          <w:i/>
        </w:rPr>
      </w:pPr>
      <w:r w:rsidRPr="00C66648">
        <w:rPr>
          <w:rStyle w:val="a"/>
          <w:i/>
        </w:rPr>
        <w:t>The expiration date will be displayed.</w:t>
      </w:r>
    </w:p>
    <w:p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rsidR="00C66648" w:rsidRPr="00C66648" w:rsidRDefault="00C66648" w:rsidP="00C66648">
      <w:pPr>
        <w:pStyle w:val="ListParagraph"/>
        <w:rPr>
          <w:i/>
        </w:rPr>
      </w:pPr>
      <w:r w:rsidRPr="00C66648">
        <w:rPr>
          <w:rStyle w:val="a"/>
          <w:i/>
        </w:rPr>
        <w:t>We do not propose any exceptions.</w:t>
      </w:r>
    </w:p>
    <w:sectPr w:rsidR="00C66648" w:rsidRPr="00C6664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C7E" w:rsidRDefault="00103C7E">
      <w:pPr>
        <w:spacing w:line="20" w:lineRule="exact"/>
      </w:pPr>
    </w:p>
  </w:endnote>
  <w:endnote w:type="continuationSeparator" w:id="0">
    <w:p w:rsidR="00103C7E" w:rsidRDefault="00103C7E">
      <w:r>
        <w:t xml:space="preserve"> </w:t>
      </w:r>
    </w:p>
  </w:endnote>
  <w:endnote w:type="continuationNotice" w:id="1">
    <w:p w:rsidR="00103C7E" w:rsidRDefault="00103C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272BAB">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272BAB">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C7E" w:rsidRDefault="00103C7E">
      <w:r>
        <w:separator/>
      </w:r>
    </w:p>
  </w:footnote>
  <w:footnote w:type="continuationSeparator" w:id="0">
    <w:p w:rsidR="00103C7E" w:rsidRDefault="00103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r w:rsidRPr="00640F37">
      <w:t xml:space="preserve">OMB Number: </w:t>
    </w:r>
    <w:r w:rsidR="009543DA">
      <w:t>1810-NEW</w:t>
    </w:r>
  </w:p>
  <w:p w:rsidR="00103C7E" w:rsidRDefault="00103C7E" w:rsidP="003E539A">
    <w:pPr>
      <w:spacing w:after="0"/>
      <w:jc w:val="right"/>
    </w:pPr>
    <w:r w:rsidRPr="00016E14">
      <w:t xml:space="preserve">Revised: </w:t>
    </w:r>
    <w:r w:rsidR="00684CD5">
      <w:t>10</w:t>
    </w:r>
    <w:r w:rsidR="00FF57A8">
      <w:t>/1</w:t>
    </w:r>
    <w:r w:rsidR="00684CD5">
      <w:t>2</w:t>
    </w:r>
    <w:r w:rsidR="009543DA">
      <w:t>/2016</w:t>
    </w:r>
  </w:p>
  <w:p w:rsidR="00103C7E" w:rsidRDefault="00103C7E" w:rsidP="003E539A">
    <w:pPr>
      <w:spacing w:after="0"/>
    </w:pPr>
    <w:r w:rsidRPr="00016E14">
      <w:t xml:space="preserve">RIN Number: </w:t>
    </w:r>
    <w:r w:rsidR="00F507C1">
      <w:t>1810</w:t>
    </w:r>
    <w:r w:rsidRPr="00016E14">
      <w:t>-</w:t>
    </w:r>
    <w:r w:rsidR="00F507C1">
      <w:t>AB33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63F85"/>
    <w:rsid w:val="000909E0"/>
    <w:rsid w:val="000A2965"/>
    <w:rsid w:val="000B14D8"/>
    <w:rsid w:val="000B2434"/>
    <w:rsid w:val="000E592D"/>
    <w:rsid w:val="000F175B"/>
    <w:rsid w:val="001015DD"/>
    <w:rsid w:val="00103C7E"/>
    <w:rsid w:val="0014500F"/>
    <w:rsid w:val="00153F20"/>
    <w:rsid w:val="001727C7"/>
    <w:rsid w:val="001743A5"/>
    <w:rsid w:val="0018279C"/>
    <w:rsid w:val="001F3895"/>
    <w:rsid w:val="002225CB"/>
    <w:rsid w:val="0024009D"/>
    <w:rsid w:val="002473CE"/>
    <w:rsid w:val="00251381"/>
    <w:rsid w:val="00271A4D"/>
    <w:rsid w:val="00272BAB"/>
    <w:rsid w:val="002B0412"/>
    <w:rsid w:val="002B0A95"/>
    <w:rsid w:val="002B7298"/>
    <w:rsid w:val="00322E02"/>
    <w:rsid w:val="00386054"/>
    <w:rsid w:val="003C29C2"/>
    <w:rsid w:val="003C7F70"/>
    <w:rsid w:val="003E285A"/>
    <w:rsid w:val="003E539A"/>
    <w:rsid w:val="00431228"/>
    <w:rsid w:val="0044390E"/>
    <w:rsid w:val="00464785"/>
    <w:rsid w:val="004A2DBB"/>
    <w:rsid w:val="004D6005"/>
    <w:rsid w:val="004E23D9"/>
    <w:rsid w:val="004F692A"/>
    <w:rsid w:val="00512598"/>
    <w:rsid w:val="0053551D"/>
    <w:rsid w:val="00563CCF"/>
    <w:rsid w:val="005A1566"/>
    <w:rsid w:val="005A1DFC"/>
    <w:rsid w:val="005A4185"/>
    <w:rsid w:val="005D2E7B"/>
    <w:rsid w:val="006056A2"/>
    <w:rsid w:val="00617A98"/>
    <w:rsid w:val="006326CC"/>
    <w:rsid w:val="0063484C"/>
    <w:rsid w:val="00640F37"/>
    <w:rsid w:val="00654305"/>
    <w:rsid w:val="006737C0"/>
    <w:rsid w:val="00677BC2"/>
    <w:rsid w:val="00684CD5"/>
    <w:rsid w:val="006A3B5C"/>
    <w:rsid w:val="006B4A7B"/>
    <w:rsid w:val="006C01D0"/>
    <w:rsid w:val="00750301"/>
    <w:rsid w:val="007661D9"/>
    <w:rsid w:val="00787B58"/>
    <w:rsid w:val="007B14E8"/>
    <w:rsid w:val="007C12B5"/>
    <w:rsid w:val="007E77FA"/>
    <w:rsid w:val="008011B6"/>
    <w:rsid w:val="00803881"/>
    <w:rsid w:val="00823858"/>
    <w:rsid w:val="00892054"/>
    <w:rsid w:val="008F3062"/>
    <w:rsid w:val="008F3364"/>
    <w:rsid w:val="0090781B"/>
    <w:rsid w:val="00921CB1"/>
    <w:rsid w:val="00937E25"/>
    <w:rsid w:val="009543DA"/>
    <w:rsid w:val="009544A3"/>
    <w:rsid w:val="009949A8"/>
    <w:rsid w:val="009D15C6"/>
    <w:rsid w:val="00A01331"/>
    <w:rsid w:val="00A32A96"/>
    <w:rsid w:val="00A41F2C"/>
    <w:rsid w:val="00A87940"/>
    <w:rsid w:val="00A94CCB"/>
    <w:rsid w:val="00AB0D7D"/>
    <w:rsid w:val="00AD7668"/>
    <w:rsid w:val="00B23EC0"/>
    <w:rsid w:val="00B425DC"/>
    <w:rsid w:val="00B578F4"/>
    <w:rsid w:val="00B63085"/>
    <w:rsid w:val="00B83FB3"/>
    <w:rsid w:val="00B907C3"/>
    <w:rsid w:val="00B94F3F"/>
    <w:rsid w:val="00BA13A2"/>
    <w:rsid w:val="00BC244F"/>
    <w:rsid w:val="00BD1325"/>
    <w:rsid w:val="00BF2B99"/>
    <w:rsid w:val="00C53037"/>
    <w:rsid w:val="00C641E9"/>
    <w:rsid w:val="00C66648"/>
    <w:rsid w:val="00C71525"/>
    <w:rsid w:val="00C72367"/>
    <w:rsid w:val="00C723C2"/>
    <w:rsid w:val="00C92B90"/>
    <w:rsid w:val="00C9556E"/>
    <w:rsid w:val="00CE72AF"/>
    <w:rsid w:val="00CF7053"/>
    <w:rsid w:val="00D004BE"/>
    <w:rsid w:val="00D115BF"/>
    <w:rsid w:val="00D269C3"/>
    <w:rsid w:val="00D720EA"/>
    <w:rsid w:val="00E023B7"/>
    <w:rsid w:val="00E07290"/>
    <w:rsid w:val="00E112DC"/>
    <w:rsid w:val="00E37837"/>
    <w:rsid w:val="00E52F91"/>
    <w:rsid w:val="00E90BAA"/>
    <w:rsid w:val="00EA3C1F"/>
    <w:rsid w:val="00EC2CC4"/>
    <w:rsid w:val="00EF7FF5"/>
    <w:rsid w:val="00F313DF"/>
    <w:rsid w:val="00F507C1"/>
    <w:rsid w:val="00F651D1"/>
    <w:rsid w:val="00FC733D"/>
    <w:rsid w:val="00FF5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19974-671A-461B-AA7F-D2A23EC2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2747</Words>
  <Characters>15662</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2</cp:revision>
  <cp:lastPrinted>2014-09-11T17:04:00Z</cp:lastPrinted>
  <dcterms:created xsi:type="dcterms:W3CDTF">2016-10-17T13:57:00Z</dcterms:created>
  <dcterms:modified xsi:type="dcterms:W3CDTF">2016-10-17T13:57:00Z</dcterms:modified>
</cp:coreProperties>
</file>