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78" w:rsidRPr="00BD1E78" w:rsidRDefault="00BD1E78" w:rsidP="00BD1E78">
      <w:pPr>
        <w:spacing w:after="160" w:line="259" w:lineRule="auto"/>
        <w:rPr>
          <w:rFonts w:eastAsia="Times New Roman"/>
          <w:color w:val="000000"/>
        </w:rPr>
      </w:pPr>
      <w:bookmarkStart w:id="0" w:name="_Toc62613679"/>
      <w:bookmarkStart w:id="1" w:name="_Toc62614425"/>
      <w:bookmarkStart w:id="2" w:name="_Toc62630085"/>
      <w:bookmarkStart w:id="3" w:name="_Toc94419923"/>
    </w:p>
    <w:p w:rsidR="00BD1E78" w:rsidRPr="00BD1E78" w:rsidRDefault="00BD1E78" w:rsidP="00BD1E78">
      <w:pPr>
        <w:spacing w:after="160" w:line="259" w:lineRule="auto"/>
        <w:rPr>
          <w:rFonts w:eastAsia="Times New Roman"/>
          <w:color w:val="000000"/>
        </w:rPr>
      </w:pPr>
    </w:p>
    <w:p w:rsidR="00BD1E78" w:rsidRPr="00BD1E78" w:rsidRDefault="00BD1E78" w:rsidP="00BD1E78">
      <w:pPr>
        <w:spacing w:after="160" w:line="259" w:lineRule="auto"/>
        <w:rPr>
          <w:rFonts w:eastAsia="Times New Roman"/>
          <w:color w:val="000000"/>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p>
    <w:p w:rsidR="00BD1E78" w:rsidRPr="00BD1E78" w:rsidRDefault="00BD1E78" w:rsidP="00BD1E78">
      <w:pPr>
        <w:keepNext/>
        <w:tabs>
          <w:tab w:val="num" w:pos="1440"/>
        </w:tabs>
        <w:spacing w:before="100" w:after="160" w:line="259" w:lineRule="auto"/>
        <w:ind w:left="1440" w:hanging="1440"/>
        <w:jc w:val="right"/>
        <w:outlineLvl w:val="7"/>
        <w:rPr>
          <w:rFonts w:ascii="Arial" w:eastAsia="Times New Roman" w:hAnsi="Arial"/>
          <w:b/>
          <w:sz w:val="36"/>
        </w:rPr>
      </w:pPr>
      <w:r w:rsidRPr="00BD1E78">
        <w:rPr>
          <w:rFonts w:ascii="Arial" w:eastAsia="Times New Roman" w:hAnsi="Arial"/>
          <w:b/>
          <w:sz w:val="36"/>
        </w:rPr>
        <w:t>NCER-NPSAS Grant Study</w:t>
      </w:r>
    </w:p>
    <w:p w:rsidR="00BD1E78" w:rsidRPr="00BD1E78" w:rsidRDefault="00563F6B" w:rsidP="00BD1E78">
      <w:pPr>
        <w:keepNext/>
        <w:tabs>
          <w:tab w:val="num" w:pos="0"/>
        </w:tabs>
        <w:spacing w:before="100" w:after="160" w:line="259" w:lineRule="auto"/>
        <w:jc w:val="right"/>
        <w:outlineLvl w:val="7"/>
        <w:rPr>
          <w:rFonts w:ascii="Arial" w:eastAsia="Times New Roman" w:hAnsi="Arial"/>
          <w:b/>
          <w:bCs/>
          <w:sz w:val="36"/>
        </w:rPr>
      </w:pPr>
      <w:r w:rsidRPr="00563F6B">
        <w:rPr>
          <w:rFonts w:ascii="Arial" w:eastAsia="Times New Roman" w:hAnsi="Arial"/>
          <w:b/>
          <w:sz w:val="36"/>
        </w:rPr>
        <w:t>Connecting Students with Financial Aid (CSFA) 2017: Testing the Effectiveness of FAFSA Interventions on College Outcomes</w:t>
      </w:r>
      <w:bookmarkStart w:id="4" w:name="_GoBack"/>
      <w:bookmarkEnd w:id="4"/>
    </w:p>
    <w:p w:rsidR="00BD1E78" w:rsidRPr="00BD1E78" w:rsidRDefault="00BD1E78" w:rsidP="00BD1E78">
      <w:pPr>
        <w:keepNext/>
        <w:tabs>
          <w:tab w:val="num" w:pos="1440"/>
        </w:tabs>
        <w:spacing w:before="100" w:after="160" w:line="259" w:lineRule="auto"/>
        <w:ind w:left="1440" w:hanging="1440"/>
        <w:outlineLvl w:val="7"/>
        <w:rPr>
          <w:rFonts w:ascii="Arial" w:eastAsia="Times New Roman" w:hAnsi="Arial"/>
          <w:b/>
        </w:rPr>
      </w:pPr>
    </w:p>
    <w:p w:rsidR="00BD1E78" w:rsidRPr="00BD1E78" w:rsidRDefault="00BD1E78" w:rsidP="00BD1E78">
      <w:pPr>
        <w:spacing w:after="160" w:line="259" w:lineRule="auto"/>
        <w:jc w:val="right"/>
        <w:rPr>
          <w:rFonts w:eastAsia="Times New Roman"/>
          <w:color w:val="000000"/>
        </w:rPr>
      </w:pPr>
    </w:p>
    <w:p w:rsidR="00BD1E78" w:rsidRPr="00BD1E78" w:rsidRDefault="00BD1E78" w:rsidP="00BD1E78">
      <w:pPr>
        <w:spacing w:after="160" w:line="259" w:lineRule="auto"/>
        <w:jc w:val="right"/>
        <w:rPr>
          <w:rFonts w:eastAsia="Times New Roman"/>
          <w:color w:val="000000"/>
        </w:rPr>
      </w:pPr>
    </w:p>
    <w:p w:rsidR="00BD1E78" w:rsidRPr="003166A4" w:rsidRDefault="00BD1E78" w:rsidP="00BD1E78">
      <w:pPr>
        <w:spacing w:line="259" w:lineRule="auto"/>
        <w:jc w:val="right"/>
        <w:rPr>
          <w:rFonts w:ascii="Arial" w:eastAsia="Times New Roman" w:hAnsi="Arial" w:cs="Arial"/>
          <w:b/>
          <w:color w:val="000000"/>
          <w:sz w:val="32"/>
          <w:szCs w:val="32"/>
        </w:rPr>
      </w:pPr>
      <w:r w:rsidRPr="003166A4">
        <w:rPr>
          <w:rFonts w:ascii="Arial" w:eastAsia="Times New Roman" w:hAnsi="Arial" w:cs="Arial"/>
          <w:b/>
          <w:color w:val="000000"/>
          <w:sz w:val="32"/>
          <w:szCs w:val="32"/>
        </w:rPr>
        <w:t>Appendix D</w:t>
      </w:r>
    </w:p>
    <w:p w:rsidR="00BD1E78" w:rsidRPr="003166A4" w:rsidRDefault="00BD1E78" w:rsidP="00BD1E78">
      <w:pPr>
        <w:widowControl w:val="0"/>
        <w:jc w:val="right"/>
        <w:rPr>
          <w:rFonts w:ascii="Arial" w:hAnsi="Arial" w:cs="Arial"/>
          <w:b/>
          <w:color w:val="000000" w:themeColor="text1"/>
          <w:sz w:val="32"/>
          <w:szCs w:val="32"/>
        </w:rPr>
      </w:pPr>
      <w:r w:rsidRPr="003166A4">
        <w:rPr>
          <w:rFonts w:ascii="Arial" w:hAnsi="Arial" w:cs="Arial"/>
          <w:b/>
          <w:color w:val="000000" w:themeColor="text1"/>
          <w:sz w:val="32"/>
          <w:szCs w:val="32"/>
        </w:rPr>
        <w:t>Confidentiality for Administrative Record Matching</w:t>
      </w:r>
    </w:p>
    <w:p w:rsidR="00BD1E78" w:rsidRPr="00BD1E78" w:rsidRDefault="00BD1E78" w:rsidP="00BD1E78">
      <w:pPr>
        <w:spacing w:line="259" w:lineRule="auto"/>
        <w:jc w:val="right"/>
        <w:rPr>
          <w:rFonts w:ascii="Arial" w:eastAsia="Times New Roman" w:hAnsi="Arial" w:cs="Arial"/>
          <w:b/>
          <w:bCs/>
          <w:color w:val="000000"/>
          <w:sz w:val="48"/>
          <w:szCs w:val="48"/>
        </w:rPr>
      </w:pPr>
      <w:r w:rsidRPr="00BD1E78">
        <w:rPr>
          <w:rFonts w:ascii="Arial" w:eastAsia="Times New Roman" w:hAnsi="Arial" w:cs="Arial"/>
          <w:b/>
          <w:color w:val="000000"/>
          <w:sz w:val="32"/>
          <w:szCs w:val="48"/>
        </w:rPr>
        <w:t xml:space="preserve"> </w:t>
      </w:r>
      <w:r w:rsidRPr="00BD1E78">
        <w:rPr>
          <w:rFonts w:ascii="Arial" w:eastAsia="Times New Roman" w:hAnsi="Arial" w:cs="Arial"/>
          <w:b/>
          <w:color w:val="000000"/>
          <w:sz w:val="32"/>
          <w:szCs w:val="48"/>
        </w:rPr>
        <w:br/>
        <w:t>OMB # 1850-New v.1</w:t>
      </w:r>
    </w:p>
    <w:p w:rsidR="00BD1E78" w:rsidRPr="00BD1E78" w:rsidRDefault="00BD1E78" w:rsidP="00BD1E78">
      <w:pPr>
        <w:spacing w:after="160" w:line="259" w:lineRule="auto"/>
        <w:rPr>
          <w:rFonts w:eastAsia="Times New Roman"/>
          <w:b/>
          <w:bCs/>
          <w:color w:val="000000"/>
        </w:rPr>
      </w:pPr>
    </w:p>
    <w:p w:rsidR="00BD1E78" w:rsidRPr="00BD1E78" w:rsidRDefault="00BD1E78" w:rsidP="00BD1E78">
      <w:pPr>
        <w:spacing w:after="160" w:line="259" w:lineRule="auto"/>
        <w:rPr>
          <w:rFonts w:eastAsia="Times New Roman"/>
          <w:b/>
          <w:bCs/>
          <w:color w:val="000000"/>
          <w:sz w:val="32"/>
          <w:szCs w:val="32"/>
        </w:rPr>
      </w:pPr>
    </w:p>
    <w:p w:rsidR="00BD1E78" w:rsidRPr="00BD1E78" w:rsidRDefault="00BD1E78" w:rsidP="00BD1E78">
      <w:pPr>
        <w:spacing w:after="160" w:line="259" w:lineRule="auto"/>
        <w:rPr>
          <w:rFonts w:eastAsia="Times New Roman"/>
          <w:b/>
          <w:bCs/>
          <w:color w:val="000000"/>
          <w:sz w:val="32"/>
          <w:szCs w:val="32"/>
        </w:rPr>
      </w:pPr>
    </w:p>
    <w:p w:rsidR="00BD1E78" w:rsidRPr="00BD1E78" w:rsidRDefault="00BD1E78" w:rsidP="00BD1E78">
      <w:pPr>
        <w:spacing w:after="160" w:line="259" w:lineRule="auto"/>
        <w:jc w:val="right"/>
        <w:rPr>
          <w:rFonts w:ascii="Arial" w:eastAsia="Times New Roman" w:hAnsi="Arial" w:cs="Arial"/>
          <w:color w:val="000000"/>
          <w:szCs w:val="24"/>
        </w:rPr>
      </w:pPr>
    </w:p>
    <w:p w:rsidR="00BD1E78" w:rsidRPr="00BD1E78" w:rsidRDefault="00BD1E78" w:rsidP="00BD1E78">
      <w:pPr>
        <w:spacing w:after="160" w:line="259" w:lineRule="auto"/>
        <w:jc w:val="right"/>
        <w:rPr>
          <w:rFonts w:ascii="Arial" w:eastAsia="Times New Roman" w:hAnsi="Arial" w:cs="Arial"/>
          <w:bCs/>
          <w:color w:val="000000"/>
          <w:szCs w:val="24"/>
        </w:rPr>
      </w:pPr>
      <w:r w:rsidRPr="00BD1E78">
        <w:rPr>
          <w:rFonts w:ascii="Arial" w:eastAsia="Times New Roman" w:hAnsi="Arial" w:cs="Arial"/>
          <w:color w:val="000000"/>
          <w:szCs w:val="24"/>
        </w:rPr>
        <w:t>Submitted by</w:t>
      </w:r>
      <w:r w:rsidRPr="00BD1E78">
        <w:rPr>
          <w:rFonts w:ascii="Arial" w:eastAsia="Times New Roman" w:hAnsi="Arial" w:cs="Arial"/>
          <w:color w:val="000000"/>
          <w:szCs w:val="24"/>
        </w:rPr>
        <w:br/>
        <w:t>National Center for Education Statistics</w:t>
      </w:r>
      <w:r w:rsidRPr="00BD1E78">
        <w:rPr>
          <w:rFonts w:ascii="Arial" w:eastAsia="Times New Roman" w:hAnsi="Arial" w:cs="Arial"/>
          <w:color w:val="000000"/>
          <w:szCs w:val="24"/>
        </w:rPr>
        <w:br/>
        <w:t>U.S. Department of Education</w:t>
      </w: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rPr>
          <w:rFonts w:ascii="Arial" w:eastAsia="Times New Roman" w:hAnsi="Arial" w:cs="Arial"/>
          <w:b/>
          <w:bCs/>
          <w:color w:val="000000"/>
          <w:szCs w:val="24"/>
        </w:rPr>
      </w:pPr>
    </w:p>
    <w:p w:rsidR="00BD1E78" w:rsidRPr="00BD1E78" w:rsidRDefault="00BD1E78" w:rsidP="00BD1E78">
      <w:pPr>
        <w:spacing w:after="160" w:line="259" w:lineRule="auto"/>
        <w:jc w:val="right"/>
        <w:rPr>
          <w:rFonts w:ascii="Arial" w:eastAsia="Times New Roman" w:hAnsi="Arial" w:cs="Arial"/>
          <w:b/>
          <w:bCs/>
          <w:color w:val="000000"/>
          <w:szCs w:val="24"/>
        </w:rPr>
      </w:pPr>
      <w:r w:rsidRPr="00BD1E78">
        <w:rPr>
          <w:rFonts w:ascii="Arial" w:eastAsia="Times New Roman" w:hAnsi="Arial" w:cs="Arial"/>
          <w:b/>
          <w:bCs/>
          <w:color w:val="000000"/>
          <w:szCs w:val="24"/>
        </w:rPr>
        <w:t>October 2016</w:t>
      </w:r>
      <w:bookmarkEnd w:id="0"/>
      <w:bookmarkEnd w:id="1"/>
      <w:bookmarkEnd w:id="2"/>
      <w:bookmarkEnd w:id="3"/>
    </w:p>
    <w:p w:rsidR="003166A4" w:rsidRDefault="003166A4">
      <w:pPr>
        <w:spacing w:after="160" w:line="259" w:lineRule="auto"/>
        <w:rPr>
          <w:rFonts w:ascii="Arial" w:eastAsia="Times New Roman" w:hAnsi="Arial" w:cs="Arial"/>
          <w:b/>
          <w:bCs/>
          <w:iCs/>
          <w:szCs w:val="28"/>
        </w:rPr>
      </w:pPr>
      <w:r>
        <w:br w:type="page"/>
      </w:r>
    </w:p>
    <w:p w:rsidR="00986682" w:rsidRPr="000672B7" w:rsidRDefault="00541577" w:rsidP="00595A11">
      <w:pPr>
        <w:pStyle w:val="AppH2"/>
        <w:spacing w:before="0"/>
      </w:pPr>
      <w:r>
        <w:lastRenderedPageBreak/>
        <w:t>D</w:t>
      </w:r>
      <w:r w:rsidR="00986682" w:rsidRPr="000672B7">
        <w:t>.1</w:t>
      </w:r>
      <w:r w:rsidR="00986682" w:rsidRPr="000672B7">
        <w:tab/>
        <w:t>Develop Linkages with Administrative Data Sources</w:t>
      </w:r>
    </w:p>
    <w:p w:rsidR="00B27F4D" w:rsidRDefault="00D83995" w:rsidP="004D2BF3">
      <w:pPr>
        <w:pStyle w:val="BodyText"/>
      </w:pPr>
      <w:r>
        <w:t>Linkages were</w:t>
      </w:r>
      <w:r w:rsidR="00986682" w:rsidRPr="00BE3F32">
        <w:t xml:space="preserve"> developed with existing data sources to supplement the 2015-16 National Postsecondary Student Aid Study (NPSAS</w:t>
      </w:r>
      <w:proofErr w:type="gramStart"/>
      <w:r w:rsidR="00986682" w:rsidRPr="00BE3F32">
        <w:t>:16</w:t>
      </w:r>
      <w:proofErr w:type="gramEnd"/>
      <w:r w:rsidR="00986682" w:rsidRPr="00BE3F32">
        <w:t>) student data</w:t>
      </w:r>
      <w:r w:rsidR="00986682">
        <w:t xml:space="preserve"> collection</w:t>
      </w:r>
      <w:r w:rsidR="00986682" w:rsidRPr="00BE3F32">
        <w:t>.</w:t>
      </w:r>
      <w:r w:rsidR="00B27F4D">
        <w:t xml:space="preserve"> </w:t>
      </w:r>
      <w:r>
        <w:t xml:space="preserve">The </w:t>
      </w:r>
      <w:r w:rsidR="00B27F4D" w:rsidRPr="00B27F4D">
        <w:rPr>
          <w:color w:val="000000" w:themeColor="text1"/>
        </w:rPr>
        <w:t>Connecting Students with Financial Aid (CSFA) 2017</w:t>
      </w:r>
      <w:r w:rsidR="00B27F4D">
        <w:rPr>
          <w:color w:val="000000" w:themeColor="text1"/>
        </w:rPr>
        <w:t xml:space="preserve"> </w:t>
      </w:r>
      <w:r>
        <w:t xml:space="preserve">study will continue to collect supplemental data available through </w:t>
      </w:r>
      <w:r w:rsidR="003166A4">
        <w:t xml:space="preserve">the </w:t>
      </w:r>
      <w:r w:rsidR="003166A4" w:rsidRPr="00BE3F32">
        <w:t>Central Processing System (CPS)</w:t>
      </w:r>
      <w:r w:rsidR="0079284B">
        <w:t xml:space="preserve">, </w:t>
      </w:r>
      <w:r w:rsidR="003166A4" w:rsidRPr="00BE3F32">
        <w:t>the National Student Loan Data Sy</w:t>
      </w:r>
      <w:r w:rsidR="003166A4">
        <w:t>stem (NSLDS)</w:t>
      </w:r>
      <w:r w:rsidR="0079284B">
        <w:t xml:space="preserve">, and </w:t>
      </w:r>
      <w:r w:rsidR="003166A4">
        <w:t xml:space="preserve">the </w:t>
      </w:r>
      <w:r w:rsidR="003166A4" w:rsidRPr="00BE3F32">
        <w:t>National Student Clearinghouse</w:t>
      </w:r>
      <w:r w:rsidR="003166A4">
        <w:t xml:space="preserve"> (NSC)</w:t>
      </w:r>
      <w:r w:rsidR="0079284B">
        <w:t xml:space="preserve"> using procedures and processes developed and updated for the NPSAS</w:t>
      </w:r>
      <w:proofErr w:type="gramStart"/>
      <w:r w:rsidR="0079284B">
        <w:t>:16</w:t>
      </w:r>
      <w:proofErr w:type="gramEnd"/>
      <w:r w:rsidR="0079284B">
        <w:t xml:space="preserve"> data collection.</w:t>
      </w:r>
    </w:p>
    <w:p w:rsidR="00986682" w:rsidRPr="00BE3F32" w:rsidRDefault="00986682" w:rsidP="004D2BF3">
      <w:pPr>
        <w:pStyle w:val="BodyText"/>
      </w:pPr>
      <w:r w:rsidRPr="00BE3F32">
        <w:t>NCES recognizes the great value added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w:t>
      </w:r>
      <w:r w:rsidR="0024650D">
        <w:t>stem (NSLDS), and ACT</w:t>
      </w:r>
      <w:r w:rsidR="003166A4">
        <w:t xml:space="preserve">, the College Board, and the </w:t>
      </w:r>
      <w:r w:rsidR="003166A4" w:rsidRPr="00BE3F32">
        <w:t>National Student Clearinghouse</w:t>
      </w:r>
      <w:r w:rsidR="003166A4">
        <w:t xml:space="preserve"> (NSC)</w:t>
      </w:r>
      <w:r w:rsidR="0024650D">
        <w:t xml:space="preserve">. For </w:t>
      </w:r>
      <w:r w:rsidR="00F909F2">
        <w:t xml:space="preserve">the </w:t>
      </w:r>
      <w:r w:rsidR="00B27F4D" w:rsidRPr="00B27F4D">
        <w:rPr>
          <w:color w:val="000000" w:themeColor="text1"/>
        </w:rPr>
        <w:t>Connecting Students with Financial Aid (CSFA) 2017</w:t>
      </w:r>
      <w:r w:rsidR="00F909F2">
        <w:rPr>
          <w:color w:val="000000" w:themeColor="text1"/>
        </w:rPr>
        <w:t xml:space="preserve"> study</w:t>
      </w:r>
      <w:r w:rsidRPr="00BE3F32">
        <w:t xml:space="preserve">, we plan to perform file merges with the following datasets: CPS, NSLDS, and </w:t>
      </w:r>
      <w:r w:rsidR="003166A4">
        <w:t>NSC</w:t>
      </w:r>
      <w:r w:rsidRPr="00BE3F32">
        <w:t>.</w:t>
      </w:r>
    </w:p>
    <w:p w:rsidR="00986682" w:rsidRPr="0058393B" w:rsidRDefault="00986682" w:rsidP="004D2BF3">
      <w:pPr>
        <w:pStyle w:val="BodyText"/>
      </w:pPr>
      <w:r w:rsidRPr="00A81488">
        <w:t xml:space="preserve">The Family Educational Rights and Privacy Act (FERPA) (34 CFR Part 99) allows the disclosure of information without prior consent for the purposes of </w:t>
      </w:r>
      <w:r>
        <w:t>NPSAS:16</w:t>
      </w:r>
      <w:r w:rsidRPr="00A81488">
        <w:t xml:space="preserve"> according to the following excerpts: </w:t>
      </w:r>
      <w:r>
        <w:t xml:space="preserve">34 CFR </w:t>
      </w:r>
      <w:r w:rsidRPr="00517C3A">
        <w:t>§</w:t>
      </w:r>
      <w:r>
        <w:t xml:space="preserve"> </w:t>
      </w:r>
      <w:r w:rsidRPr="0058393B">
        <w:t>99.31 asks</w:t>
      </w:r>
      <w:r>
        <w:t>,</w:t>
      </w:r>
      <w:r w:rsidRPr="0058393B">
        <w:t xml:space="preserve"> “Under what conditions is prior consent not required to disclose information?” and explains </w:t>
      </w:r>
      <w:r>
        <w:t xml:space="preserve">in 34 CFR </w:t>
      </w:r>
      <w:r w:rsidRPr="00517C3A">
        <w:t>§</w:t>
      </w:r>
      <w:r w:rsidRPr="0058393B">
        <w:t xml:space="preserve"> </w:t>
      </w:r>
      <w:r>
        <w:t>99.31</w:t>
      </w:r>
      <w:r w:rsidRPr="0058393B">
        <w:t>(a)</w:t>
      </w:r>
      <w:r>
        <w:t xml:space="preserve"> that</w:t>
      </w:r>
      <w:r w:rsidRPr="0058393B">
        <w:t xml:space="preserve"> “An educational agency or institution may disclose personally identifiable information from an education record of a student without the consent required by </w:t>
      </w:r>
      <w:r w:rsidRPr="00517C3A">
        <w:t>§</w:t>
      </w:r>
      <w:r w:rsidRPr="0058393B">
        <w:t>99.30 if the disclosure meets one or more</w:t>
      </w:r>
      <w:r>
        <w:t>” of several conditions.</w:t>
      </w:r>
      <w:r w:rsidRPr="0058393B">
        <w:t xml:space="preserve"> </w:t>
      </w:r>
      <w:r>
        <w:t xml:space="preserve">These conditions include, at 34 CFR </w:t>
      </w:r>
      <w:r w:rsidRPr="00517C3A">
        <w:t>§</w:t>
      </w:r>
      <w:r>
        <w:t xml:space="preserve"> 99.31(a</w:t>
      </w:r>
      <w:proofErr w:type="gramStart"/>
      <w:r>
        <w:t>)(</w:t>
      </w:r>
      <w:proofErr w:type="gramEnd"/>
      <w:r>
        <w:t>3)</w:t>
      </w:r>
      <w:r w:rsidRPr="0058393B">
        <w:t>:</w:t>
      </w:r>
    </w:p>
    <w:p w:rsidR="00986682" w:rsidRPr="00A81488" w:rsidRDefault="00986682" w:rsidP="004D2BF3">
      <w:pPr>
        <w:pStyle w:val="BodyText"/>
      </w:pPr>
      <w:r w:rsidRPr="00A81488">
        <w:t xml:space="preserve">The disclosure is, subject to the requirements of </w:t>
      </w:r>
      <w:r w:rsidRPr="00517C3A">
        <w:t>§</w:t>
      </w:r>
      <w:r w:rsidRPr="00A81488">
        <w:t>99.35, to authorized representatives of--</w:t>
      </w:r>
    </w:p>
    <w:p w:rsidR="00986682" w:rsidRPr="00595A11" w:rsidRDefault="00986682" w:rsidP="004D2BF3">
      <w:pPr>
        <w:pStyle w:val="BodyTextIndent"/>
      </w:pPr>
      <w:r w:rsidRPr="00595A11">
        <w:t>(i) The Comptroller General of the United States;</w:t>
      </w:r>
    </w:p>
    <w:p w:rsidR="00986682" w:rsidRPr="00595A11" w:rsidRDefault="00986682" w:rsidP="004D2BF3">
      <w:pPr>
        <w:pStyle w:val="BodyTextIndent"/>
      </w:pPr>
      <w:r w:rsidRPr="00595A11">
        <w:t>(ii) The Attorney General of the United States;</w:t>
      </w:r>
    </w:p>
    <w:p w:rsidR="00986682" w:rsidRPr="00595A11" w:rsidRDefault="00986682" w:rsidP="004D2BF3">
      <w:pPr>
        <w:pStyle w:val="BodyTextIndent"/>
      </w:pPr>
      <w:r w:rsidRPr="00595A11">
        <w:t>(iii) The Secretary; or</w:t>
      </w:r>
    </w:p>
    <w:p w:rsidR="00B27F4D" w:rsidRDefault="00986682" w:rsidP="004D2BF3">
      <w:pPr>
        <w:pStyle w:val="BodyTextIndent"/>
      </w:pPr>
      <w:proofErr w:type="gramStart"/>
      <w:r w:rsidRPr="00595A11">
        <w:t>(iv) State</w:t>
      </w:r>
      <w:proofErr w:type="gramEnd"/>
      <w:r w:rsidRPr="00595A11">
        <w:t xml:space="preserve"> and local educational authorities.</w:t>
      </w:r>
    </w:p>
    <w:p w:rsidR="00986682" w:rsidRPr="00BE3F32" w:rsidRDefault="00986682" w:rsidP="004D2BF3">
      <w:pPr>
        <w:pStyle w:val="BodyText"/>
      </w:pPr>
      <w:r w:rsidRPr="00BE3F32">
        <w:t>NPSAS</w:t>
      </w:r>
      <w:proofErr w:type="gramStart"/>
      <w:r w:rsidRPr="00BE3F32">
        <w:t>:16</w:t>
      </w:r>
      <w:proofErr w:type="gramEnd"/>
      <w:r w:rsidRPr="00BE3F32">
        <w:t xml:space="preserve"> is collecting data under the Secretary’s authority. </w:t>
      </w:r>
      <w:r>
        <w:t>Any</w:t>
      </w:r>
      <w:r w:rsidRPr="00BE3F32">
        <w:t xml:space="preserve"> personally identifiable information is collected with adherence to the security protocol detailed in </w:t>
      </w:r>
      <w:r>
        <w:t xml:space="preserve">34 CFR </w:t>
      </w:r>
      <w:r w:rsidRPr="00517C3A">
        <w:t>§</w:t>
      </w:r>
      <w:r>
        <w:t xml:space="preserve"> </w:t>
      </w:r>
      <w:r w:rsidRPr="00BE3F32">
        <w:t>99.35:</w:t>
      </w:r>
    </w:p>
    <w:p w:rsidR="00986682" w:rsidRPr="00595A11" w:rsidRDefault="00986682" w:rsidP="004D2BF3">
      <w:pPr>
        <w:pStyle w:val="BodyTextIndent"/>
        <w:ind w:left="1350" w:hanging="630"/>
      </w:pPr>
      <w:r w:rsidRPr="00595A11">
        <w:t>(a)(1)</w:t>
      </w:r>
      <w:r w:rsidR="004D2BF3">
        <w:tab/>
      </w:r>
      <w:r w:rsidRPr="00595A11">
        <w:t>Authorized representatives of the officials or agencies headed by officials listed in §99.31(a</w:t>
      </w:r>
      <w:proofErr w:type="gramStart"/>
      <w:r w:rsidRPr="00595A11">
        <w:t>)(</w:t>
      </w:r>
      <w:proofErr w:type="gramEnd"/>
      <w:r w:rsidRPr="00595A11">
        <w:t>3) may have access to education records in connection with an audit or evaluation of Federal or State supported education programs, or for the enforcement of or compliance with Federal legal requirements that relate to those programs.</w:t>
      </w:r>
    </w:p>
    <w:p w:rsidR="00986682" w:rsidRPr="00595A11" w:rsidRDefault="00986682" w:rsidP="004D2BF3">
      <w:pPr>
        <w:pStyle w:val="BodyTextIndent"/>
        <w:ind w:left="1350" w:hanging="360"/>
      </w:pPr>
      <w:r w:rsidRPr="00595A11">
        <w:t>(2)</w:t>
      </w:r>
      <w:r w:rsidR="004D2BF3">
        <w:tab/>
      </w:r>
      <w:r w:rsidRPr="00595A11">
        <w:t>The State or local educational authority or agency headed by an official listed in §99.31(a</w:t>
      </w:r>
      <w:proofErr w:type="gramStart"/>
      <w:r w:rsidRPr="00595A11">
        <w:t>)(</w:t>
      </w:r>
      <w:proofErr w:type="gramEnd"/>
      <w:r w:rsidRPr="00595A11">
        <w:t>3) is responsible for using reasonable methods to ensure to the greatest extent practicable that any entity or individual designated as its authorized representative—</w:t>
      </w:r>
    </w:p>
    <w:p w:rsidR="00986682" w:rsidRPr="00595A11" w:rsidRDefault="004D2BF3" w:rsidP="004D2BF3">
      <w:pPr>
        <w:pStyle w:val="BodyTextIndent"/>
        <w:ind w:left="1800" w:hanging="450"/>
      </w:pPr>
      <w:r>
        <w:t>(i)</w:t>
      </w:r>
      <w:r>
        <w:tab/>
      </w:r>
      <w:r w:rsidR="00986682" w:rsidRPr="00595A11">
        <w:t>Uses personally identifiable information only to carry out an audit or evaluation of Federal- or State-supported education programs, or for the enforcement of or compliance with Federal legal requirements related to these programs;</w:t>
      </w:r>
    </w:p>
    <w:p w:rsidR="00986682" w:rsidRPr="00595A11" w:rsidRDefault="004D2BF3" w:rsidP="004D2BF3">
      <w:pPr>
        <w:pStyle w:val="BodyTextIndent"/>
        <w:ind w:left="1800" w:hanging="450"/>
      </w:pPr>
      <w:r>
        <w:t>(ii)</w:t>
      </w:r>
      <w:r>
        <w:tab/>
      </w:r>
      <w:r w:rsidR="00986682" w:rsidRPr="00595A11">
        <w:t>Protects the personally identifiable information from further disclosures or other uses, except as authorized in paragraph (b)(1) of this section; and</w:t>
      </w:r>
    </w:p>
    <w:p w:rsidR="00986682" w:rsidRPr="00595A11" w:rsidRDefault="004D2BF3" w:rsidP="004D2BF3">
      <w:pPr>
        <w:pStyle w:val="BodyTextIndent"/>
        <w:ind w:left="1800" w:hanging="450"/>
      </w:pPr>
      <w:r>
        <w:t>(iii)</w:t>
      </w:r>
      <w:r>
        <w:tab/>
      </w:r>
      <w:r w:rsidR="00986682" w:rsidRPr="00595A11">
        <w:t>Destroys the personally identifiable information in accordance with the requirements of paragraphs (b) and (c) of this section.</w:t>
      </w:r>
    </w:p>
    <w:p w:rsidR="00986682" w:rsidRPr="00595A11" w:rsidRDefault="00986682" w:rsidP="004D2BF3">
      <w:pPr>
        <w:pStyle w:val="BodyTextIndent"/>
        <w:ind w:left="1350" w:hanging="630"/>
      </w:pPr>
      <w:r w:rsidRPr="00595A11">
        <w:t>(b) Information that is collected under paragraph (a) of this section must—</w:t>
      </w:r>
    </w:p>
    <w:p w:rsidR="00986682" w:rsidRPr="00595A11" w:rsidRDefault="00986682" w:rsidP="004D2BF3">
      <w:pPr>
        <w:pStyle w:val="BodyTextIndent"/>
        <w:ind w:left="1350" w:hanging="360"/>
      </w:pPr>
      <w:r w:rsidRPr="00595A11">
        <w:lastRenderedPageBreak/>
        <w:t>(1)</w:t>
      </w:r>
      <w:r w:rsidR="00F909F2">
        <w:tab/>
      </w:r>
      <w:r w:rsidRPr="00595A11">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86682" w:rsidRPr="00595A11" w:rsidRDefault="00986682" w:rsidP="004D2BF3">
      <w:pPr>
        <w:pStyle w:val="BodyTextIndent"/>
        <w:ind w:left="1350" w:hanging="360"/>
      </w:pPr>
      <w:r w:rsidRPr="00595A11">
        <w:t>(2)</w:t>
      </w:r>
      <w:r w:rsidR="004D2BF3">
        <w:tab/>
      </w:r>
      <w:r w:rsidRPr="00595A11">
        <w:t>Be destroyed when no longer needed for the purposes listed in paragraph (a) of this section.</w:t>
      </w:r>
    </w:p>
    <w:p w:rsidR="00986682" w:rsidRPr="00BE3F32" w:rsidRDefault="00986682" w:rsidP="004D2BF3">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w:t>
      </w:r>
      <w:r w:rsidR="00B27F4D">
        <w:t xml:space="preserve"> </w:t>
      </w:r>
      <w:r w:rsidRPr="00BE3F32">
        <w:t>Before being transmitted, files will be encrypted using FIPS 140-2 validated encryption tools.</w:t>
      </w:r>
      <w:r w:rsidR="00B27F4D">
        <w:t xml:space="preserve"> </w:t>
      </w:r>
      <w:r w:rsidRPr="00BE3F32">
        <w:t>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B27F4D" w:rsidRDefault="00541577" w:rsidP="00986682">
      <w:pPr>
        <w:pStyle w:val="AppH2"/>
      </w:pPr>
      <w:r>
        <w:t>D</w:t>
      </w:r>
      <w:r w:rsidR="00986682" w:rsidRPr="00664484">
        <w:t>.2</w:t>
      </w:r>
      <w:r w:rsidR="00986682" w:rsidRPr="00664484">
        <w:tab/>
        <w:t>File Merge with ED Central Processing System (CPS)</w:t>
      </w:r>
    </w:p>
    <w:p w:rsidR="00B27F4D" w:rsidRDefault="00986682" w:rsidP="004D2BF3">
      <w:pPr>
        <w:pStyle w:val="BodyText"/>
        <w:rPr>
          <w:rStyle w:val="BodyTextChar"/>
        </w:rPr>
      </w:pPr>
      <w:r w:rsidRPr="00BE3F32">
        <w:t>File merges will be performed with the CPS data containing federal student aid application information by the data collection contractor. The merge with CPS can occur at any time for any number of cases, provided that the case has an apparently vali</w:t>
      </w:r>
      <w:r w:rsidRPr="00BE3F32">
        <w:rPr>
          <w:rStyle w:val="BodyTextChar"/>
        </w:rPr>
        <w:t>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w:t>
      </w:r>
    </w:p>
    <w:p w:rsidR="00986682" w:rsidRPr="00BE3F32" w:rsidRDefault="00986682" w:rsidP="004D2BF3">
      <w:pPr>
        <w:pStyle w:val="BodyText"/>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BE3F32">
        <w:t>EdConnect</w:t>
      </w:r>
      <w:proofErr w:type="spellEnd"/>
      <w:r w:rsidRPr="00BE3F32">
        <w:t>) which requires username and password. All CPS files will be processed, edited, and documented for inclusion on the analytic data files.</w:t>
      </w:r>
      <w:r w:rsidR="00B27F4D">
        <w:t xml:space="preserve"> </w:t>
      </w:r>
      <w:r w:rsidRPr="00BE3F32">
        <w:t xml:space="preserve">All CPS files will be processed, edited, and documented for inclusion in the </w:t>
      </w:r>
      <w:r>
        <w:t>final restricted use file (RUF)</w:t>
      </w:r>
      <w:r w:rsidRPr="00BE3F32">
        <w:t>.</w:t>
      </w:r>
    </w:p>
    <w:p w:rsidR="00986682" w:rsidRPr="00664484" w:rsidRDefault="00541577" w:rsidP="00986682">
      <w:pPr>
        <w:pStyle w:val="AppH2"/>
      </w:pPr>
      <w:r>
        <w:t>D</w:t>
      </w:r>
      <w:r w:rsidR="00986682" w:rsidRPr="00664484">
        <w:t>.3</w:t>
      </w:r>
      <w:r w:rsidR="00986682" w:rsidRPr="00664484">
        <w:tab/>
        <w:t xml:space="preserve">File Merge with National Student Loan Data System Disbursement </w:t>
      </w:r>
      <w:r w:rsidR="003166A4">
        <w:t>(NSLDS)</w:t>
      </w:r>
    </w:p>
    <w:p w:rsidR="00B27F4D" w:rsidRDefault="00986682" w:rsidP="004D2BF3">
      <w:pPr>
        <w:pStyle w:val="BodyText"/>
      </w:pPr>
      <w:r w:rsidRPr="00BE3F32">
        <w:t>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w:t>
      </w:r>
      <w:r w:rsidRPr="00BE3F32">
        <w:lastRenderedPageBreak/>
        <w:t>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w:t>
      </w:r>
    </w:p>
    <w:p w:rsidR="00986682" w:rsidRPr="00664484" w:rsidRDefault="00541577" w:rsidP="00986682">
      <w:pPr>
        <w:pStyle w:val="AppH2"/>
      </w:pPr>
      <w:r>
        <w:t>D</w:t>
      </w:r>
      <w:r w:rsidR="00986682" w:rsidRPr="00664484">
        <w:t>.</w:t>
      </w:r>
      <w:r>
        <w:t>4</w:t>
      </w:r>
      <w:r w:rsidR="00986682" w:rsidRPr="00664484">
        <w:tab/>
        <w:t>File Merge with the National Student Clearinghouse</w:t>
      </w:r>
      <w:r w:rsidR="003166A4">
        <w:t xml:space="preserve"> (NSC)</w:t>
      </w:r>
    </w:p>
    <w:p w:rsidR="00B27F4D" w:rsidRDefault="00986682" w:rsidP="004D2BF3">
      <w:pPr>
        <w:pStyle w:val="BodyText"/>
      </w:pPr>
      <w:r w:rsidRPr="00BE3F32">
        <w:t xml:space="preserve">The National Student Clearinghouse will be used to obtain the </w:t>
      </w:r>
      <w:r w:rsidRPr="00BE3F32">
        <w:rPr>
          <w:i/>
        </w:rPr>
        <w:t>Student Tracker</w:t>
      </w:r>
      <w:r w:rsidRPr="00BE3F32">
        <w:t xml:space="preserve"> data </w:t>
      </w:r>
      <w:r w:rsidR="004159A7">
        <w:t>for p</w:t>
      </w:r>
      <w:r w:rsidR="007C7397">
        <w:t xml:space="preserve">ersistence outcomes for the </w:t>
      </w:r>
      <w:r w:rsidRPr="00BE3F32">
        <w:t>sample</w:t>
      </w:r>
      <w:r w:rsidR="00F03A4E">
        <w:t>d cases</w:t>
      </w:r>
      <w:r w:rsidRPr="00BE3F32">
        <w:t>.</w:t>
      </w:r>
    </w:p>
    <w:p w:rsidR="00986682" w:rsidRPr="00BE3F32" w:rsidRDefault="00986682" w:rsidP="004D2BF3">
      <w:pPr>
        <w:pStyle w:val="BodyText"/>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986682" w:rsidRPr="00664484" w:rsidRDefault="0079284B" w:rsidP="00986682">
      <w:pPr>
        <w:pStyle w:val="AppH2"/>
      </w:pPr>
      <w:r>
        <w:t>D</w:t>
      </w:r>
      <w:r w:rsidR="00541577">
        <w:t>.5</w:t>
      </w:r>
      <w:r w:rsidR="00986682" w:rsidRPr="00664484">
        <w:tab/>
        <w:t>Processing Administrative Data</w:t>
      </w:r>
    </w:p>
    <w:p w:rsidR="00986682" w:rsidRPr="00BE3F32" w:rsidRDefault="002E0E9F" w:rsidP="004D2BF3">
      <w:pPr>
        <w:pStyle w:val="BodyText"/>
      </w:pPr>
      <w:r>
        <w:t xml:space="preserve">We will use </w:t>
      </w:r>
      <w:r w:rsidRPr="002E0E9F">
        <w:t xml:space="preserve">verified Social Security numbers </w:t>
      </w:r>
      <w:r>
        <w:t>collected during NPSAS</w:t>
      </w:r>
      <w:proofErr w:type="gramStart"/>
      <w:r>
        <w:t>:16</w:t>
      </w:r>
      <w:proofErr w:type="gramEnd"/>
      <w:r>
        <w:t xml:space="preserve"> to facilitate </w:t>
      </w:r>
      <w:r w:rsidR="00986682" w:rsidRPr="00BE3F32">
        <w:t>the batch mode processing that is suitable to many of these resources. We may need to match to a source (for example, CPS or NSLDS) more than once.</w:t>
      </w:r>
    </w:p>
    <w:p w:rsidR="00064846" w:rsidRDefault="00986682" w:rsidP="00F909F2">
      <w:pPr>
        <w:pStyle w:val="BodyText"/>
      </w:pPr>
      <w:r w:rsidRPr="00BE3F32">
        <w:t xml:space="preserve">The data from all of these sources, as allowed by the vendor, will be delivered </w:t>
      </w:r>
      <w:r>
        <w:t>for inclusion on the RUF</w:t>
      </w:r>
      <w:r w:rsidR="0079284B">
        <w:t>.</w:t>
      </w:r>
    </w:p>
    <w:sectPr w:rsidR="00064846" w:rsidSect="00595A11">
      <w:footerReference w:type="even"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BF" w:rsidRDefault="002277BF" w:rsidP="00986682">
      <w:r>
        <w:separator/>
      </w:r>
    </w:p>
  </w:endnote>
  <w:endnote w:type="continuationSeparator" w:id="0">
    <w:p w:rsidR="002277BF" w:rsidRDefault="002277BF" w:rsidP="009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541577" w:rsidP="00595A11">
    <w:pPr>
      <w:pStyle w:val="Footer"/>
      <w:spacing w:before="0"/>
    </w:pPr>
    <w:r>
      <w:t>D</w:t>
    </w:r>
    <w:r w:rsidR="00303157">
      <w:t>-</w:t>
    </w:r>
    <w:sdt>
      <w:sdtPr>
        <w:id w:val="417135652"/>
        <w:docPartObj>
          <w:docPartGallery w:val="Page Numbers (Bottom of Page)"/>
          <w:docPartUnique/>
        </w:docPartObj>
      </w:sdtPr>
      <w:sdtEndPr>
        <w:rPr>
          <w:noProof/>
        </w:rPr>
      </w:sdtEndPr>
      <w:sdtContent>
        <w:r w:rsidR="00303157">
          <w:fldChar w:fldCharType="begin"/>
        </w:r>
        <w:r w:rsidR="00303157">
          <w:instrText xml:space="preserve"> PAGE   \* MERGEFORMAT </w:instrText>
        </w:r>
        <w:r w:rsidR="00303157">
          <w:fldChar w:fldCharType="separate"/>
        </w:r>
        <w:r w:rsidR="00563F6B">
          <w:rPr>
            <w:noProof/>
          </w:rPr>
          <w:t>2</w:t>
        </w:r>
        <w:r w:rsidR="0030315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BF" w:rsidRDefault="002277BF" w:rsidP="00986682">
      <w:r>
        <w:separator/>
      </w:r>
    </w:p>
  </w:footnote>
  <w:footnote w:type="continuationSeparator" w:id="0">
    <w:p w:rsidR="002277BF" w:rsidRDefault="002277BF" w:rsidP="0098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43AAC"/>
    <w:rsid w:val="00046D8A"/>
    <w:rsid w:val="00074DEF"/>
    <w:rsid w:val="000E6CC1"/>
    <w:rsid w:val="00172A00"/>
    <w:rsid w:val="001C78EE"/>
    <w:rsid w:val="002277BF"/>
    <w:rsid w:val="0024650D"/>
    <w:rsid w:val="002609EB"/>
    <w:rsid w:val="002E0E9F"/>
    <w:rsid w:val="002E4508"/>
    <w:rsid w:val="00303157"/>
    <w:rsid w:val="003166A4"/>
    <w:rsid w:val="003E606A"/>
    <w:rsid w:val="003F1233"/>
    <w:rsid w:val="004159A7"/>
    <w:rsid w:val="00457C5A"/>
    <w:rsid w:val="004D2BF3"/>
    <w:rsid w:val="00526E6B"/>
    <w:rsid w:val="00541577"/>
    <w:rsid w:val="00563F6B"/>
    <w:rsid w:val="00595A11"/>
    <w:rsid w:val="0061141F"/>
    <w:rsid w:val="00733AF6"/>
    <w:rsid w:val="00740F03"/>
    <w:rsid w:val="00781EBB"/>
    <w:rsid w:val="0079284B"/>
    <w:rsid w:val="007C7397"/>
    <w:rsid w:val="008D2CDE"/>
    <w:rsid w:val="00986682"/>
    <w:rsid w:val="00A877A7"/>
    <w:rsid w:val="00B27F4D"/>
    <w:rsid w:val="00BD1E78"/>
    <w:rsid w:val="00C63770"/>
    <w:rsid w:val="00CF30F6"/>
    <w:rsid w:val="00D6051A"/>
    <w:rsid w:val="00D83995"/>
    <w:rsid w:val="00DD1B2E"/>
    <w:rsid w:val="00DF3CF4"/>
    <w:rsid w:val="00F03A4E"/>
    <w:rsid w:val="00F82258"/>
    <w:rsid w:val="00F9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D2BF3"/>
    <w:pPr>
      <w:spacing w:before="120" w:after="120" w:line="259" w:lineRule="auto"/>
      <w:ind w:firstLine="720"/>
    </w:pPr>
    <w:rPr>
      <w:rFonts w:eastAsia="Times New Roman"/>
      <w:szCs w:val="24"/>
    </w:rPr>
  </w:style>
  <w:style w:type="character" w:customStyle="1" w:styleId="BodyTextChar">
    <w:name w:val="Body Text Char"/>
    <w:basedOn w:val="DefaultParagraphFont"/>
    <w:link w:val="BodyText"/>
    <w:rsid w:val="004D2BF3"/>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4D2BF3"/>
    <w:pPr>
      <w:spacing w:before="0" w:after="0"/>
    </w:pPr>
  </w:style>
  <w:style w:type="character" w:customStyle="1" w:styleId="BodyTextIndentChar">
    <w:name w:val="Body Text Indent Char"/>
    <w:basedOn w:val="DefaultParagraphFont"/>
    <w:link w:val="BodyTextIndent"/>
    <w:rsid w:val="004D2BF3"/>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D2BF3"/>
    <w:pPr>
      <w:spacing w:before="120" w:after="120" w:line="259" w:lineRule="auto"/>
      <w:ind w:firstLine="720"/>
    </w:pPr>
    <w:rPr>
      <w:rFonts w:eastAsia="Times New Roman"/>
      <w:szCs w:val="24"/>
    </w:rPr>
  </w:style>
  <w:style w:type="character" w:customStyle="1" w:styleId="BodyTextChar">
    <w:name w:val="Body Text Char"/>
    <w:basedOn w:val="DefaultParagraphFont"/>
    <w:link w:val="BodyText"/>
    <w:rsid w:val="004D2BF3"/>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4D2BF3"/>
    <w:pPr>
      <w:spacing w:before="0" w:after="0"/>
    </w:pPr>
  </w:style>
  <w:style w:type="character" w:customStyle="1" w:styleId="BodyTextIndentChar">
    <w:name w:val="Body Text Indent Char"/>
    <w:basedOn w:val="DefaultParagraphFont"/>
    <w:link w:val="BodyTextIndent"/>
    <w:rsid w:val="004D2BF3"/>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08CD0-8345-474F-86E2-A6DA00B4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Jennifer S.</dc:creator>
  <cp:keywords/>
  <dc:description/>
  <cp:lastModifiedBy>Kubzdela, Kashka</cp:lastModifiedBy>
  <cp:revision>12</cp:revision>
  <cp:lastPrinted>2016-10-24T18:51:00Z</cp:lastPrinted>
  <dcterms:created xsi:type="dcterms:W3CDTF">2016-10-24T18:46:00Z</dcterms:created>
  <dcterms:modified xsi:type="dcterms:W3CDTF">2016-12-14T04:51:00Z</dcterms:modified>
</cp:coreProperties>
</file>