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86C3E" w14:textId="77777777" w:rsidR="00091671" w:rsidRPr="007C3FC6" w:rsidRDefault="00091671" w:rsidP="007C3FC6">
      <w:pPr>
        <w:widowControl w:val="0"/>
        <w:rPr>
          <w:color w:val="000000" w:themeColor="text1"/>
        </w:rPr>
      </w:pPr>
      <w:bookmarkStart w:id="0" w:name="_Toc62613679"/>
      <w:bookmarkStart w:id="1" w:name="_Toc62614425"/>
      <w:bookmarkStart w:id="2" w:name="_Toc62630085"/>
      <w:bookmarkStart w:id="3" w:name="_Toc94419923"/>
    </w:p>
    <w:p w14:paraId="4DBD4CE1" w14:textId="77777777" w:rsidR="00091671" w:rsidRPr="007C3FC6" w:rsidRDefault="00091671" w:rsidP="007C3FC6">
      <w:pPr>
        <w:widowControl w:val="0"/>
        <w:rPr>
          <w:color w:val="000000" w:themeColor="text1"/>
        </w:rPr>
      </w:pPr>
    </w:p>
    <w:p w14:paraId="723B4314" w14:textId="77777777" w:rsidR="00091671" w:rsidRPr="007C3FC6" w:rsidRDefault="00091671" w:rsidP="007C3FC6">
      <w:pPr>
        <w:widowControl w:val="0"/>
        <w:rPr>
          <w:color w:val="000000" w:themeColor="text1"/>
        </w:rPr>
      </w:pPr>
    </w:p>
    <w:p w14:paraId="66895352" w14:textId="77777777" w:rsidR="00790A55" w:rsidRPr="007C3FC6" w:rsidRDefault="00D3175A" w:rsidP="007C3FC6">
      <w:pPr>
        <w:pStyle w:val="Heading8"/>
        <w:keepNext w:val="0"/>
        <w:widowControl w:val="0"/>
        <w:jc w:val="right"/>
        <w:rPr>
          <w:color w:val="000000" w:themeColor="text1"/>
          <w:sz w:val="40"/>
          <w:szCs w:val="40"/>
        </w:rPr>
      </w:pPr>
      <w:r w:rsidRPr="007C3FC6">
        <w:rPr>
          <w:color w:val="000000" w:themeColor="text1"/>
          <w:sz w:val="40"/>
          <w:szCs w:val="40"/>
        </w:rPr>
        <w:t>NCER</w:t>
      </w:r>
      <w:r w:rsidR="00C82FE4" w:rsidRPr="007C3FC6">
        <w:rPr>
          <w:color w:val="000000" w:themeColor="text1"/>
          <w:sz w:val="40"/>
          <w:szCs w:val="40"/>
        </w:rPr>
        <w:t>-NPSAS</w:t>
      </w:r>
      <w:r w:rsidRPr="007C3FC6">
        <w:rPr>
          <w:color w:val="000000" w:themeColor="text1"/>
          <w:sz w:val="40"/>
          <w:szCs w:val="40"/>
        </w:rPr>
        <w:t xml:space="preserve"> Grant</w:t>
      </w:r>
      <w:r w:rsidR="007C1A71">
        <w:rPr>
          <w:color w:val="000000" w:themeColor="text1"/>
          <w:sz w:val="40"/>
          <w:szCs w:val="40"/>
        </w:rPr>
        <w:t xml:space="preserve"> Study</w:t>
      </w:r>
    </w:p>
    <w:p w14:paraId="3D4E50C6" w14:textId="77777777" w:rsidR="00091671" w:rsidRPr="007C3FC6" w:rsidRDefault="00F706CC" w:rsidP="007C3FC6">
      <w:pPr>
        <w:pStyle w:val="Heading8"/>
        <w:keepNext w:val="0"/>
        <w:widowControl w:val="0"/>
        <w:jc w:val="right"/>
        <w:rPr>
          <w:bCs/>
          <w:color w:val="000000" w:themeColor="text1"/>
          <w:sz w:val="40"/>
          <w:szCs w:val="40"/>
        </w:rPr>
      </w:pPr>
      <w:r w:rsidRPr="007C3FC6">
        <w:rPr>
          <w:color w:val="000000" w:themeColor="text1"/>
          <w:sz w:val="40"/>
          <w:szCs w:val="40"/>
        </w:rPr>
        <w:t>Financial Aid Nudges</w:t>
      </w:r>
      <w:r w:rsidR="00934B63">
        <w:rPr>
          <w:color w:val="000000" w:themeColor="text1"/>
          <w:sz w:val="40"/>
          <w:szCs w:val="40"/>
        </w:rPr>
        <w:t xml:space="preserve"> 2017</w:t>
      </w:r>
      <w:r w:rsidRPr="007C3FC6">
        <w:rPr>
          <w:color w:val="000000" w:themeColor="text1"/>
          <w:sz w:val="40"/>
          <w:szCs w:val="40"/>
        </w:rPr>
        <w:t>:</w:t>
      </w:r>
      <w:r w:rsidR="00FF1928">
        <w:rPr>
          <w:color w:val="000000" w:themeColor="text1"/>
          <w:sz w:val="40"/>
          <w:szCs w:val="40"/>
        </w:rPr>
        <w:t xml:space="preserve"> </w:t>
      </w:r>
      <w:r w:rsidRPr="007C3FC6">
        <w:rPr>
          <w:color w:val="000000" w:themeColor="text1"/>
          <w:sz w:val="40"/>
          <w:szCs w:val="40"/>
        </w:rPr>
        <w:t xml:space="preserve">A </w:t>
      </w:r>
      <w:r w:rsidR="00E164CF" w:rsidRPr="007C3FC6">
        <w:rPr>
          <w:color w:val="000000" w:themeColor="text1"/>
          <w:sz w:val="40"/>
          <w:szCs w:val="40"/>
        </w:rPr>
        <w:t>National Experiment to Increase</w:t>
      </w:r>
      <w:r w:rsidR="00790A55" w:rsidRPr="007C3FC6">
        <w:rPr>
          <w:color w:val="000000" w:themeColor="text1"/>
          <w:sz w:val="40"/>
          <w:szCs w:val="40"/>
        </w:rPr>
        <w:t xml:space="preserve"> </w:t>
      </w:r>
      <w:r w:rsidRPr="007C3FC6">
        <w:rPr>
          <w:color w:val="000000" w:themeColor="text1"/>
          <w:sz w:val="40"/>
          <w:szCs w:val="40"/>
        </w:rPr>
        <w:t>Retention of Financial Aid and College Persistence</w:t>
      </w:r>
    </w:p>
    <w:p w14:paraId="007D898F" w14:textId="77777777" w:rsidR="00E84DB5" w:rsidRPr="007C3FC6" w:rsidRDefault="00E84DB5" w:rsidP="007C3FC6">
      <w:pPr>
        <w:widowControl w:val="0"/>
        <w:jc w:val="right"/>
        <w:rPr>
          <w:b/>
          <w:bCs/>
          <w:color w:val="000000" w:themeColor="text1"/>
        </w:rPr>
      </w:pPr>
    </w:p>
    <w:p w14:paraId="6B12ED51" w14:textId="77777777" w:rsidR="00091671" w:rsidRPr="007C3FC6" w:rsidRDefault="00091671" w:rsidP="007C3FC6">
      <w:pPr>
        <w:widowControl w:val="0"/>
        <w:jc w:val="right"/>
        <w:rPr>
          <w:color w:val="000000" w:themeColor="text1"/>
        </w:rPr>
      </w:pPr>
    </w:p>
    <w:p w14:paraId="5027295F" w14:textId="77777777" w:rsidR="00FB613D" w:rsidRDefault="00E84DB5" w:rsidP="007C3FC6">
      <w:pPr>
        <w:widowControl w:val="0"/>
        <w:spacing w:after="0"/>
        <w:jc w:val="right"/>
        <w:rPr>
          <w:rFonts w:ascii="Arial" w:hAnsi="Arial" w:cs="Arial"/>
          <w:b/>
          <w:color w:val="000000" w:themeColor="text1"/>
          <w:sz w:val="36"/>
          <w:szCs w:val="48"/>
        </w:rPr>
      </w:pPr>
      <w:r w:rsidRPr="001F2F30">
        <w:rPr>
          <w:rFonts w:ascii="Arial" w:eastAsia="Arial" w:hAnsi="Arial" w:cs="Arial"/>
          <w:b/>
          <w:bCs/>
          <w:color w:val="000000" w:themeColor="text1"/>
          <w:sz w:val="36"/>
          <w:szCs w:val="36"/>
        </w:rPr>
        <w:t xml:space="preserve">Supporting Statement </w:t>
      </w:r>
      <w:r w:rsidR="007943E4" w:rsidRPr="001F2F30">
        <w:rPr>
          <w:rFonts w:ascii="Arial" w:eastAsia="Arial" w:hAnsi="Arial" w:cs="Arial"/>
          <w:b/>
          <w:bCs/>
          <w:color w:val="000000" w:themeColor="text1"/>
          <w:sz w:val="36"/>
          <w:szCs w:val="36"/>
        </w:rPr>
        <w:t>Part A</w:t>
      </w:r>
    </w:p>
    <w:p w14:paraId="096B0AF1" w14:textId="77777777" w:rsidR="00E84DB5" w:rsidRPr="007C3FC6" w:rsidRDefault="00665C8E" w:rsidP="007C3FC6">
      <w:pPr>
        <w:widowControl w:val="0"/>
        <w:spacing w:after="0"/>
        <w:jc w:val="right"/>
        <w:rPr>
          <w:rFonts w:ascii="Arial" w:hAnsi="Arial" w:cs="Arial"/>
          <w:b/>
          <w:bCs/>
          <w:color w:val="000000" w:themeColor="text1"/>
          <w:sz w:val="36"/>
          <w:szCs w:val="48"/>
        </w:rPr>
      </w:pPr>
      <w:r w:rsidRPr="007C3FC6">
        <w:rPr>
          <w:rFonts w:ascii="Arial" w:hAnsi="Arial" w:cs="Arial"/>
          <w:b/>
          <w:color w:val="000000" w:themeColor="text1"/>
          <w:sz w:val="36"/>
          <w:szCs w:val="48"/>
        </w:rPr>
        <w:br/>
      </w:r>
      <w:r w:rsidR="0014419F" w:rsidRPr="001F2F30">
        <w:rPr>
          <w:rFonts w:ascii="Arial" w:eastAsia="Arial" w:hAnsi="Arial" w:cs="Arial"/>
          <w:b/>
          <w:bCs/>
          <w:color w:val="000000" w:themeColor="text1"/>
          <w:sz w:val="36"/>
          <w:szCs w:val="36"/>
        </w:rPr>
        <w:t xml:space="preserve">OMB # </w:t>
      </w:r>
      <w:r w:rsidRPr="001F2F30">
        <w:rPr>
          <w:rFonts w:ascii="Arial" w:eastAsia="Arial" w:hAnsi="Arial" w:cs="Arial"/>
          <w:b/>
          <w:bCs/>
          <w:color w:val="000000" w:themeColor="text1"/>
          <w:sz w:val="36"/>
          <w:szCs w:val="36"/>
        </w:rPr>
        <w:t>1850-New v.</w:t>
      </w:r>
      <w:r w:rsidR="007C3FC6" w:rsidRPr="001F2F30">
        <w:rPr>
          <w:rFonts w:ascii="Arial" w:eastAsia="Arial" w:hAnsi="Arial" w:cs="Arial"/>
          <w:b/>
          <w:bCs/>
          <w:color w:val="000000" w:themeColor="text1"/>
          <w:sz w:val="36"/>
          <w:szCs w:val="36"/>
        </w:rPr>
        <w:t>1</w:t>
      </w:r>
    </w:p>
    <w:p w14:paraId="6A8F6277" w14:textId="77777777" w:rsidR="00E84DB5" w:rsidRPr="007C3FC6" w:rsidRDefault="00E84DB5" w:rsidP="007C3FC6">
      <w:pPr>
        <w:widowControl w:val="0"/>
        <w:rPr>
          <w:b/>
          <w:bCs/>
          <w:color w:val="000000" w:themeColor="text1"/>
        </w:rPr>
      </w:pPr>
    </w:p>
    <w:p w14:paraId="19C161CC" w14:textId="77777777" w:rsidR="00E84DB5" w:rsidRPr="007C3FC6" w:rsidRDefault="00E84DB5" w:rsidP="007C3FC6">
      <w:pPr>
        <w:widowControl w:val="0"/>
        <w:rPr>
          <w:b/>
          <w:bCs/>
          <w:color w:val="000000" w:themeColor="text1"/>
        </w:rPr>
      </w:pPr>
    </w:p>
    <w:p w14:paraId="2AD19E89" w14:textId="77777777" w:rsidR="00E84DB5" w:rsidRPr="007C3FC6" w:rsidRDefault="00E84DB5" w:rsidP="007C3FC6">
      <w:pPr>
        <w:widowControl w:val="0"/>
        <w:rPr>
          <w:b/>
          <w:bCs/>
          <w:color w:val="000000" w:themeColor="text1"/>
        </w:rPr>
      </w:pPr>
    </w:p>
    <w:p w14:paraId="46BBB5ED" w14:textId="77777777" w:rsidR="00091671" w:rsidRPr="007C3FC6" w:rsidRDefault="00091671" w:rsidP="007C3FC6">
      <w:pPr>
        <w:widowControl w:val="0"/>
        <w:rPr>
          <w:b/>
          <w:bCs/>
          <w:color w:val="000000" w:themeColor="text1"/>
        </w:rPr>
      </w:pPr>
    </w:p>
    <w:p w14:paraId="2A3F1BDE" w14:textId="77777777" w:rsidR="00091671" w:rsidRPr="007C3FC6" w:rsidRDefault="00091671" w:rsidP="007C3FC6">
      <w:pPr>
        <w:widowControl w:val="0"/>
        <w:rPr>
          <w:b/>
          <w:bCs/>
          <w:color w:val="000000" w:themeColor="text1"/>
        </w:rPr>
      </w:pPr>
    </w:p>
    <w:p w14:paraId="521CD429" w14:textId="77777777" w:rsidR="00363BC6" w:rsidRPr="007C3FC6" w:rsidRDefault="0079416A" w:rsidP="007C3FC6">
      <w:pPr>
        <w:widowControl w:val="0"/>
        <w:jc w:val="right"/>
        <w:rPr>
          <w:rFonts w:ascii="Arial" w:hAnsi="Arial" w:cs="Arial"/>
          <w:bCs/>
          <w:color w:val="000000" w:themeColor="text1"/>
          <w:sz w:val="28"/>
          <w:szCs w:val="28"/>
        </w:rPr>
      </w:pPr>
      <w:r w:rsidRPr="001F2F30">
        <w:rPr>
          <w:rFonts w:ascii="Arial" w:eastAsia="Arial" w:hAnsi="Arial" w:cs="Arial"/>
          <w:color w:val="000000" w:themeColor="text1"/>
          <w:sz w:val="28"/>
          <w:szCs w:val="28"/>
        </w:rPr>
        <w:t>Submitted by</w:t>
      </w:r>
      <w:proofErr w:type="gramStart"/>
      <w:r w:rsidR="004C6316" w:rsidRPr="001F2F30">
        <w:rPr>
          <w:rFonts w:ascii="Arial" w:eastAsia="Arial" w:hAnsi="Arial" w:cs="Arial"/>
          <w:color w:val="000000" w:themeColor="text1"/>
          <w:sz w:val="28"/>
          <w:szCs w:val="28"/>
        </w:rPr>
        <w:t>:</w:t>
      </w:r>
      <w:proofErr w:type="gramEnd"/>
      <w:r w:rsidR="004C6316" w:rsidRPr="007C3FC6">
        <w:rPr>
          <w:rFonts w:ascii="Arial" w:hAnsi="Arial" w:cs="Arial"/>
          <w:color w:val="000000" w:themeColor="text1"/>
          <w:sz w:val="28"/>
          <w:szCs w:val="28"/>
        </w:rPr>
        <w:br/>
      </w:r>
      <w:r w:rsidRPr="001F2F30">
        <w:rPr>
          <w:rFonts w:ascii="Arial" w:eastAsia="Arial" w:hAnsi="Arial" w:cs="Arial"/>
          <w:color w:val="000000" w:themeColor="text1"/>
          <w:sz w:val="28"/>
          <w:szCs w:val="28"/>
        </w:rPr>
        <w:t>National Center for Education Statistics</w:t>
      </w:r>
      <w:r w:rsidR="004C6316" w:rsidRPr="007C3FC6">
        <w:rPr>
          <w:rFonts w:ascii="Arial" w:hAnsi="Arial" w:cs="Arial"/>
          <w:color w:val="000000" w:themeColor="text1"/>
          <w:sz w:val="28"/>
          <w:szCs w:val="28"/>
        </w:rPr>
        <w:br/>
      </w:r>
      <w:r w:rsidRPr="001F2F30">
        <w:rPr>
          <w:rFonts w:ascii="Arial" w:eastAsia="Arial" w:hAnsi="Arial" w:cs="Arial"/>
          <w:color w:val="000000" w:themeColor="text1"/>
          <w:sz w:val="28"/>
          <w:szCs w:val="28"/>
        </w:rPr>
        <w:t>U.S. Department of Education</w:t>
      </w:r>
    </w:p>
    <w:p w14:paraId="370411CC" w14:textId="77777777" w:rsidR="00363BC6" w:rsidRPr="007C3FC6" w:rsidRDefault="00363BC6" w:rsidP="007C3FC6">
      <w:pPr>
        <w:widowControl w:val="0"/>
        <w:rPr>
          <w:rFonts w:ascii="Arial" w:hAnsi="Arial" w:cs="Arial"/>
          <w:b/>
          <w:bCs/>
          <w:color w:val="000000" w:themeColor="text1"/>
          <w:sz w:val="28"/>
          <w:szCs w:val="28"/>
        </w:rPr>
      </w:pPr>
    </w:p>
    <w:p w14:paraId="322B7DFA" w14:textId="77777777" w:rsidR="00363BC6" w:rsidRPr="007C3FC6" w:rsidRDefault="00363BC6" w:rsidP="007C3FC6">
      <w:pPr>
        <w:widowControl w:val="0"/>
        <w:rPr>
          <w:rFonts w:ascii="Arial" w:hAnsi="Arial" w:cs="Arial"/>
          <w:b/>
          <w:bCs/>
          <w:color w:val="000000" w:themeColor="text1"/>
          <w:sz w:val="28"/>
          <w:szCs w:val="28"/>
        </w:rPr>
      </w:pPr>
    </w:p>
    <w:p w14:paraId="498CA282" w14:textId="77777777" w:rsidR="005634B6" w:rsidRPr="007C3FC6" w:rsidRDefault="005634B6" w:rsidP="007C3FC6">
      <w:pPr>
        <w:widowControl w:val="0"/>
        <w:rPr>
          <w:rFonts w:ascii="Arial" w:hAnsi="Arial" w:cs="Arial"/>
          <w:b/>
          <w:bCs/>
          <w:color w:val="000000" w:themeColor="text1"/>
          <w:sz w:val="28"/>
          <w:szCs w:val="28"/>
        </w:rPr>
      </w:pPr>
    </w:p>
    <w:p w14:paraId="33432207" w14:textId="77777777" w:rsidR="005634B6" w:rsidRPr="007C3FC6" w:rsidRDefault="005634B6" w:rsidP="007C3FC6">
      <w:pPr>
        <w:widowControl w:val="0"/>
        <w:rPr>
          <w:rFonts w:ascii="Arial" w:hAnsi="Arial" w:cs="Arial"/>
          <w:b/>
          <w:bCs/>
          <w:color w:val="000000" w:themeColor="text1"/>
          <w:sz w:val="28"/>
          <w:szCs w:val="28"/>
        </w:rPr>
      </w:pPr>
    </w:p>
    <w:p w14:paraId="317D475A" w14:textId="77777777" w:rsidR="005634B6" w:rsidRPr="007C3FC6" w:rsidRDefault="005634B6" w:rsidP="007C3FC6">
      <w:pPr>
        <w:widowControl w:val="0"/>
        <w:rPr>
          <w:rFonts w:ascii="Arial" w:hAnsi="Arial" w:cs="Arial"/>
          <w:b/>
          <w:bCs/>
          <w:color w:val="000000" w:themeColor="text1"/>
          <w:sz w:val="28"/>
          <w:szCs w:val="28"/>
        </w:rPr>
      </w:pPr>
    </w:p>
    <w:p w14:paraId="2E27153F" w14:textId="77777777" w:rsidR="00363BC6" w:rsidRPr="007C3FC6" w:rsidRDefault="00363BC6" w:rsidP="007C3FC6">
      <w:pPr>
        <w:widowControl w:val="0"/>
        <w:rPr>
          <w:rFonts w:ascii="Arial" w:hAnsi="Arial" w:cs="Arial"/>
          <w:b/>
          <w:bCs/>
          <w:color w:val="000000" w:themeColor="text1"/>
          <w:sz w:val="28"/>
          <w:szCs w:val="28"/>
        </w:rPr>
      </w:pPr>
    </w:p>
    <w:p w14:paraId="2C66EBA7" w14:textId="77777777" w:rsidR="0079416A" w:rsidRDefault="001D7A8B" w:rsidP="00DD2A13">
      <w:pPr>
        <w:widowControl w:val="0"/>
        <w:spacing w:after="60" w:line="240" w:lineRule="auto"/>
        <w:jc w:val="right"/>
        <w:rPr>
          <w:rFonts w:ascii="Arial" w:eastAsia="Arial" w:hAnsi="Arial" w:cs="Arial"/>
          <w:b/>
          <w:bCs/>
          <w:color w:val="000000" w:themeColor="text1"/>
          <w:sz w:val="28"/>
          <w:szCs w:val="28"/>
        </w:rPr>
      </w:pPr>
      <w:r w:rsidRPr="001F2F30">
        <w:rPr>
          <w:rFonts w:ascii="Arial" w:eastAsia="Arial" w:hAnsi="Arial" w:cs="Arial"/>
          <w:b/>
          <w:bCs/>
          <w:color w:val="000000" w:themeColor="text1"/>
          <w:sz w:val="28"/>
          <w:szCs w:val="28"/>
        </w:rPr>
        <w:t>October</w:t>
      </w:r>
      <w:r w:rsidR="00DE2328" w:rsidRPr="001F2F30">
        <w:rPr>
          <w:rFonts w:ascii="Arial" w:eastAsia="Arial" w:hAnsi="Arial" w:cs="Arial"/>
          <w:b/>
          <w:bCs/>
          <w:color w:val="000000" w:themeColor="text1"/>
          <w:sz w:val="28"/>
          <w:szCs w:val="28"/>
        </w:rPr>
        <w:t xml:space="preserve"> </w:t>
      </w:r>
      <w:r w:rsidR="005B0875" w:rsidRPr="001F2F30">
        <w:rPr>
          <w:rFonts w:ascii="Arial" w:eastAsia="Arial" w:hAnsi="Arial" w:cs="Arial"/>
          <w:b/>
          <w:bCs/>
          <w:color w:val="000000" w:themeColor="text1"/>
          <w:sz w:val="28"/>
          <w:szCs w:val="28"/>
        </w:rPr>
        <w:t>201</w:t>
      </w:r>
      <w:r w:rsidR="00F706CC" w:rsidRPr="001F2F30">
        <w:rPr>
          <w:rFonts w:ascii="Arial" w:eastAsia="Arial" w:hAnsi="Arial" w:cs="Arial"/>
          <w:b/>
          <w:bCs/>
          <w:color w:val="000000" w:themeColor="text1"/>
          <w:sz w:val="28"/>
          <w:szCs w:val="28"/>
        </w:rPr>
        <w:t>6</w:t>
      </w:r>
    </w:p>
    <w:p w14:paraId="68150274" w14:textId="1A8087AB" w:rsidR="003A275E" w:rsidRPr="007C3FC6" w:rsidRDefault="003A275E" w:rsidP="00DD2A13">
      <w:pPr>
        <w:widowControl w:val="0"/>
        <w:spacing w:after="60" w:line="240" w:lineRule="auto"/>
        <w:jc w:val="right"/>
        <w:rPr>
          <w:rFonts w:ascii="Arial" w:hAnsi="Arial" w:cs="Arial"/>
          <w:b/>
          <w:bCs/>
          <w:color w:val="000000" w:themeColor="text1"/>
          <w:sz w:val="28"/>
          <w:szCs w:val="28"/>
        </w:rPr>
      </w:pPr>
      <w:proofErr w:type="gramStart"/>
      <w:r>
        <w:rPr>
          <w:rFonts w:ascii="Arial" w:eastAsia="Arial" w:hAnsi="Arial" w:cs="Arial"/>
          <w:b/>
          <w:bCs/>
          <w:color w:val="000000" w:themeColor="text1"/>
          <w:sz w:val="28"/>
          <w:szCs w:val="28"/>
        </w:rPr>
        <w:t>revised</w:t>
      </w:r>
      <w:proofErr w:type="gramEnd"/>
      <w:r>
        <w:rPr>
          <w:rFonts w:ascii="Arial" w:eastAsia="Arial" w:hAnsi="Arial" w:cs="Arial"/>
          <w:b/>
          <w:bCs/>
          <w:color w:val="000000" w:themeColor="text1"/>
          <w:sz w:val="28"/>
          <w:szCs w:val="28"/>
        </w:rPr>
        <w:t xml:space="preserve"> November 2016</w:t>
      </w:r>
    </w:p>
    <w:p w14:paraId="036B3060" w14:textId="77777777" w:rsidR="00841482" w:rsidRPr="007C3FC6" w:rsidRDefault="00841482" w:rsidP="007C3FC6">
      <w:pPr>
        <w:widowControl w:val="0"/>
        <w:rPr>
          <w:b/>
          <w:color w:val="000000" w:themeColor="text1"/>
        </w:rPr>
      </w:pPr>
      <w:bookmarkStart w:id="4" w:name="_Toc418171228"/>
      <w:bookmarkStart w:id="5" w:name="_Toc99781028"/>
      <w:bookmarkStart w:id="6" w:name="_Toc115671404"/>
      <w:bookmarkStart w:id="7" w:name="_Toc383113357"/>
      <w:bookmarkStart w:id="8" w:name="_Toc418171229"/>
      <w:bookmarkEnd w:id="0"/>
      <w:bookmarkEnd w:id="1"/>
      <w:bookmarkEnd w:id="2"/>
      <w:bookmarkEnd w:id="3"/>
      <w:bookmarkEnd w:id="4"/>
      <w:r w:rsidRPr="007C3FC6">
        <w:rPr>
          <w:b/>
          <w:color w:val="000000" w:themeColor="text1"/>
        </w:rPr>
        <w:br w:type="page"/>
      </w:r>
    </w:p>
    <w:p w14:paraId="5BBE1428" w14:textId="77777777" w:rsidR="00F57B7A" w:rsidRDefault="00F57B7A" w:rsidP="007C3FC6">
      <w:pPr>
        <w:pStyle w:val="TOCHeading"/>
        <w:widowControl w:val="0"/>
      </w:pPr>
    </w:p>
    <w:p w14:paraId="422B8A06" w14:textId="77777777" w:rsidR="00EA14E6" w:rsidRPr="007C3FC6" w:rsidRDefault="00EA14E6" w:rsidP="007C3FC6">
      <w:pPr>
        <w:pStyle w:val="TOCHeading"/>
        <w:widowControl w:val="0"/>
      </w:pPr>
      <w:r w:rsidRPr="007C3FC6">
        <w:t>Contents</w:t>
      </w:r>
    </w:p>
    <w:p w14:paraId="1B5AD608" w14:textId="77777777" w:rsidR="004A2D4B" w:rsidRPr="00B50612" w:rsidRDefault="00FD5651" w:rsidP="007C3FC6">
      <w:pPr>
        <w:pStyle w:val="TOC1"/>
        <w:widowControl w:val="0"/>
        <w:rPr>
          <w:rFonts w:asciiTheme="minorHAnsi" w:eastAsiaTheme="minorEastAsia" w:hAnsiTheme="minorHAnsi" w:cstheme="minorBidi"/>
          <w:b w:val="0"/>
          <w:bCs w:val="0"/>
          <w:sz w:val="22"/>
          <w:szCs w:val="22"/>
        </w:rPr>
      </w:pPr>
      <w:r w:rsidRPr="007C3FC6">
        <w:rPr>
          <w:b w:val="0"/>
          <w:color w:val="000000" w:themeColor="text1"/>
        </w:rPr>
        <w:fldChar w:fldCharType="begin"/>
      </w:r>
      <w:r w:rsidR="00EA14E6" w:rsidRPr="007C3FC6">
        <w:rPr>
          <w:b w:val="0"/>
          <w:color w:val="000000" w:themeColor="text1"/>
        </w:rPr>
        <w:instrText xml:space="preserve"> TOC \t "Heading 1,1,Heading 2,2,Heading 3,3" </w:instrText>
      </w:r>
      <w:r w:rsidRPr="007C3FC6">
        <w:rPr>
          <w:b w:val="0"/>
          <w:color w:val="000000" w:themeColor="text1"/>
        </w:rPr>
        <w:fldChar w:fldCharType="separate"/>
      </w:r>
      <w:r w:rsidR="004A2D4B" w:rsidRPr="00B50612">
        <w:t>A.</w:t>
      </w:r>
      <w:r w:rsidR="004A2D4B" w:rsidRPr="00B50612">
        <w:rPr>
          <w:rFonts w:asciiTheme="minorHAnsi" w:eastAsiaTheme="minorEastAsia" w:hAnsiTheme="minorHAnsi" w:cstheme="minorBidi"/>
          <w:b w:val="0"/>
          <w:bCs w:val="0"/>
          <w:sz w:val="22"/>
          <w:szCs w:val="22"/>
        </w:rPr>
        <w:tab/>
      </w:r>
      <w:r w:rsidR="004A2D4B" w:rsidRPr="00B50612">
        <w:t>Justification</w:t>
      </w:r>
      <w:r w:rsidR="004A2D4B" w:rsidRPr="00B50612">
        <w:tab/>
      </w:r>
      <w:r w:rsidRPr="00B50612">
        <w:fldChar w:fldCharType="begin"/>
      </w:r>
      <w:r w:rsidR="004A2D4B" w:rsidRPr="00B50612">
        <w:instrText xml:space="preserve"> PAGEREF _Toc464308432 \h </w:instrText>
      </w:r>
      <w:r w:rsidRPr="00B50612">
        <w:fldChar w:fldCharType="separate"/>
      </w:r>
      <w:r w:rsidR="00F57B7A">
        <w:t>3</w:t>
      </w:r>
      <w:r w:rsidRPr="00B50612">
        <w:fldChar w:fldCharType="end"/>
      </w:r>
    </w:p>
    <w:p w14:paraId="06D1C02F" w14:textId="77777777" w:rsidR="004A2D4B" w:rsidRPr="00B50612" w:rsidRDefault="004A2D4B" w:rsidP="007C3FC6">
      <w:pPr>
        <w:pStyle w:val="TOC3"/>
        <w:widowControl w:val="0"/>
        <w:ind w:left="0" w:firstLine="0"/>
        <w:rPr>
          <w:rFonts w:asciiTheme="minorHAnsi" w:eastAsiaTheme="minorEastAsia" w:hAnsiTheme="minorHAnsi" w:cstheme="minorBidi"/>
          <w:szCs w:val="22"/>
        </w:rPr>
      </w:pPr>
      <w:r w:rsidRPr="00B50612">
        <w:t>Background for NCER-NPSAS Grant Program</w:t>
      </w:r>
      <w:r w:rsidRPr="00B50612">
        <w:tab/>
      </w:r>
      <w:r w:rsidR="00FD5651" w:rsidRPr="00B50612">
        <w:fldChar w:fldCharType="begin"/>
      </w:r>
      <w:r w:rsidRPr="00B50612">
        <w:instrText xml:space="preserve"> PAGEREF _Toc464308433 \h </w:instrText>
      </w:r>
      <w:r w:rsidR="00FD5651" w:rsidRPr="00B50612">
        <w:fldChar w:fldCharType="separate"/>
      </w:r>
      <w:r w:rsidR="00F57B7A">
        <w:t>3</w:t>
      </w:r>
      <w:r w:rsidR="00FD5651" w:rsidRPr="00B50612">
        <w:fldChar w:fldCharType="end"/>
      </w:r>
    </w:p>
    <w:p w14:paraId="37C6854B" w14:textId="4A05D93B" w:rsidR="004A2D4B" w:rsidRPr="00B50612" w:rsidRDefault="004A2D4B" w:rsidP="007C3FC6">
      <w:pPr>
        <w:pStyle w:val="TOC2"/>
        <w:widowControl w:val="0"/>
        <w:rPr>
          <w:rFonts w:asciiTheme="minorHAnsi" w:eastAsiaTheme="minorEastAsia" w:hAnsiTheme="minorHAnsi" w:cstheme="minorBidi"/>
          <w:bCs w:val="0"/>
          <w:szCs w:val="22"/>
        </w:rPr>
      </w:pPr>
      <w:r w:rsidRPr="00B50612">
        <w:t>1.</w:t>
      </w:r>
      <w:r w:rsidRPr="00B50612">
        <w:rPr>
          <w:rFonts w:asciiTheme="minorHAnsi" w:eastAsiaTheme="minorEastAsia" w:hAnsiTheme="minorHAnsi" w:cstheme="minorBidi"/>
          <w:bCs w:val="0"/>
          <w:szCs w:val="22"/>
        </w:rPr>
        <w:tab/>
      </w:r>
      <w:r w:rsidRPr="00B50612">
        <w:t>Circumstances Making Collection of Information Necessary</w:t>
      </w:r>
      <w:r w:rsidRPr="00B50612">
        <w:tab/>
      </w:r>
      <w:r w:rsidR="00FD5651" w:rsidRPr="00B50612">
        <w:fldChar w:fldCharType="begin"/>
      </w:r>
      <w:r w:rsidRPr="00B50612">
        <w:instrText xml:space="preserve"> PAGEREF _Toc464308434 \h </w:instrText>
      </w:r>
      <w:r w:rsidR="00FD5651" w:rsidRPr="00B50612">
        <w:fldChar w:fldCharType="separate"/>
      </w:r>
      <w:r w:rsidR="00F57B7A">
        <w:t>5</w:t>
      </w:r>
      <w:r w:rsidR="00FD5651" w:rsidRPr="00B50612">
        <w:fldChar w:fldCharType="end"/>
      </w:r>
    </w:p>
    <w:p w14:paraId="55F46D41" w14:textId="77777777" w:rsidR="004A2D4B" w:rsidRPr="00B50612" w:rsidRDefault="004A2D4B" w:rsidP="007C3FC6">
      <w:pPr>
        <w:pStyle w:val="TOC2"/>
        <w:widowControl w:val="0"/>
        <w:rPr>
          <w:rFonts w:asciiTheme="minorHAnsi" w:eastAsiaTheme="minorEastAsia" w:hAnsiTheme="minorHAnsi" w:cstheme="minorBidi"/>
          <w:bCs w:val="0"/>
          <w:szCs w:val="22"/>
        </w:rPr>
      </w:pPr>
      <w:r w:rsidRPr="00B50612">
        <w:t>2.</w:t>
      </w:r>
      <w:r w:rsidRPr="00B50612">
        <w:rPr>
          <w:rFonts w:asciiTheme="minorHAnsi" w:eastAsiaTheme="minorEastAsia" w:hAnsiTheme="minorHAnsi" w:cstheme="minorBidi"/>
          <w:bCs w:val="0"/>
          <w:szCs w:val="22"/>
        </w:rPr>
        <w:tab/>
      </w:r>
      <w:r w:rsidRPr="00B50612">
        <w:t>Purposes and Uses of the Data</w:t>
      </w:r>
      <w:r w:rsidRPr="00B50612">
        <w:tab/>
      </w:r>
      <w:r w:rsidR="00FD5651" w:rsidRPr="00B50612">
        <w:fldChar w:fldCharType="begin"/>
      </w:r>
      <w:r w:rsidRPr="00B50612">
        <w:instrText xml:space="preserve"> PAGEREF _Toc464308435 \h </w:instrText>
      </w:r>
      <w:r w:rsidR="00FD5651" w:rsidRPr="00B50612">
        <w:fldChar w:fldCharType="separate"/>
      </w:r>
      <w:r w:rsidR="00F57B7A">
        <w:t>5</w:t>
      </w:r>
      <w:r w:rsidR="00FD5651" w:rsidRPr="00B50612">
        <w:fldChar w:fldCharType="end"/>
      </w:r>
    </w:p>
    <w:p w14:paraId="1D103CBE" w14:textId="7B52B629" w:rsidR="004A2D4B" w:rsidRPr="00B50612" w:rsidRDefault="004A2D4B" w:rsidP="007C3FC6">
      <w:pPr>
        <w:pStyle w:val="TOC3"/>
        <w:widowControl w:val="0"/>
        <w:rPr>
          <w:rFonts w:asciiTheme="minorHAnsi" w:eastAsiaTheme="minorEastAsia" w:hAnsiTheme="minorHAnsi" w:cstheme="minorBidi"/>
          <w:szCs w:val="22"/>
        </w:rPr>
      </w:pPr>
      <w:r w:rsidRPr="00B50612">
        <w:t>a.</w:t>
      </w:r>
      <w:r w:rsidRPr="00B50612">
        <w:rPr>
          <w:rFonts w:asciiTheme="minorHAnsi" w:eastAsiaTheme="minorEastAsia" w:hAnsiTheme="minorHAnsi" w:cstheme="minorBidi"/>
          <w:szCs w:val="22"/>
        </w:rPr>
        <w:tab/>
      </w:r>
      <w:r w:rsidRPr="00B50612">
        <w:t xml:space="preserve">Purposes of the </w:t>
      </w:r>
      <w:r w:rsidR="00DB635B" w:rsidRPr="00B50612">
        <w:rPr>
          <w:i/>
        </w:rPr>
        <w:t>Financial Aid Nudges 2017</w:t>
      </w:r>
      <w:r w:rsidRPr="00B50612">
        <w:t xml:space="preserve"> </w:t>
      </w:r>
      <w:r w:rsidR="0081261C">
        <w:t>Study</w:t>
      </w:r>
      <w:r w:rsidRPr="00B50612">
        <w:tab/>
      </w:r>
      <w:r w:rsidR="00FD5651" w:rsidRPr="00B50612">
        <w:fldChar w:fldCharType="begin"/>
      </w:r>
      <w:r w:rsidRPr="00B50612">
        <w:instrText xml:space="preserve"> PAGEREF _Toc464308436 \h </w:instrText>
      </w:r>
      <w:r w:rsidR="00FD5651" w:rsidRPr="00B50612">
        <w:fldChar w:fldCharType="separate"/>
      </w:r>
      <w:r w:rsidR="00F57B7A">
        <w:t>5</w:t>
      </w:r>
      <w:r w:rsidR="00FD5651" w:rsidRPr="00B50612">
        <w:fldChar w:fldCharType="end"/>
      </w:r>
    </w:p>
    <w:p w14:paraId="12F70E9B" w14:textId="77777777" w:rsidR="004A2D4B" w:rsidRPr="00B50612" w:rsidRDefault="004A2D4B" w:rsidP="007C3FC6">
      <w:pPr>
        <w:pStyle w:val="TOC3"/>
        <w:widowControl w:val="0"/>
        <w:rPr>
          <w:rFonts w:asciiTheme="minorHAnsi" w:eastAsiaTheme="minorEastAsia" w:hAnsiTheme="minorHAnsi" w:cstheme="minorBidi"/>
          <w:szCs w:val="22"/>
        </w:rPr>
      </w:pPr>
      <w:r w:rsidRPr="00B50612">
        <w:t>b.</w:t>
      </w:r>
      <w:r w:rsidRPr="00B50612">
        <w:rPr>
          <w:rFonts w:asciiTheme="minorHAnsi" w:eastAsiaTheme="minorEastAsia" w:hAnsiTheme="minorHAnsi" w:cstheme="minorBidi"/>
          <w:szCs w:val="22"/>
        </w:rPr>
        <w:tab/>
      </w:r>
      <w:r w:rsidRPr="00B50612">
        <w:t>Research and Policy Issues</w:t>
      </w:r>
      <w:r w:rsidRPr="00B50612">
        <w:tab/>
      </w:r>
      <w:r w:rsidR="00FD5651" w:rsidRPr="00B50612">
        <w:fldChar w:fldCharType="begin"/>
      </w:r>
      <w:r w:rsidRPr="00B50612">
        <w:instrText xml:space="preserve"> PAGEREF _Toc464308437 \h </w:instrText>
      </w:r>
      <w:r w:rsidR="00FD5651" w:rsidRPr="00B50612">
        <w:fldChar w:fldCharType="separate"/>
      </w:r>
      <w:r w:rsidR="00F57B7A">
        <w:t>5</w:t>
      </w:r>
      <w:r w:rsidR="00FD5651" w:rsidRPr="00B50612">
        <w:fldChar w:fldCharType="end"/>
      </w:r>
    </w:p>
    <w:p w14:paraId="2AF81206" w14:textId="77777777" w:rsidR="004A2D4B" w:rsidRPr="00B50612" w:rsidRDefault="004A2D4B" w:rsidP="007C3FC6">
      <w:pPr>
        <w:pStyle w:val="TOC3"/>
        <w:widowControl w:val="0"/>
        <w:rPr>
          <w:rFonts w:asciiTheme="minorHAnsi" w:eastAsiaTheme="minorEastAsia" w:hAnsiTheme="minorHAnsi" w:cstheme="minorBidi"/>
          <w:szCs w:val="22"/>
        </w:rPr>
      </w:pPr>
      <w:r w:rsidRPr="00B50612">
        <w:t>c.</w:t>
      </w:r>
      <w:r w:rsidRPr="00B50612">
        <w:rPr>
          <w:rFonts w:asciiTheme="minorHAnsi" w:eastAsiaTheme="minorEastAsia" w:hAnsiTheme="minorHAnsi" w:cstheme="minorBidi"/>
          <w:szCs w:val="22"/>
        </w:rPr>
        <w:tab/>
      </w:r>
      <w:r w:rsidRPr="00B50612">
        <w:t>Study Design</w:t>
      </w:r>
      <w:r w:rsidRPr="00B50612">
        <w:tab/>
      </w:r>
      <w:r w:rsidR="00FD5651" w:rsidRPr="00B50612">
        <w:fldChar w:fldCharType="begin"/>
      </w:r>
      <w:r w:rsidRPr="00B50612">
        <w:instrText xml:space="preserve"> PAGEREF _Toc464308438 \h </w:instrText>
      </w:r>
      <w:r w:rsidR="00FD5651" w:rsidRPr="00B50612">
        <w:fldChar w:fldCharType="separate"/>
      </w:r>
      <w:r w:rsidR="00F57B7A">
        <w:t>6</w:t>
      </w:r>
      <w:r w:rsidR="00FD5651" w:rsidRPr="00B50612">
        <w:fldChar w:fldCharType="end"/>
      </w:r>
    </w:p>
    <w:p w14:paraId="09D82F20" w14:textId="5D2DCFCB" w:rsidR="004A2D4B" w:rsidRPr="00B50612" w:rsidRDefault="004A2D4B" w:rsidP="007C3FC6">
      <w:pPr>
        <w:pStyle w:val="TOC2"/>
        <w:widowControl w:val="0"/>
        <w:rPr>
          <w:rFonts w:asciiTheme="minorHAnsi" w:eastAsiaTheme="minorEastAsia" w:hAnsiTheme="minorHAnsi" w:cstheme="minorBidi"/>
          <w:bCs w:val="0"/>
          <w:szCs w:val="22"/>
        </w:rPr>
      </w:pPr>
      <w:r w:rsidRPr="00B50612">
        <w:t>3.</w:t>
      </w:r>
      <w:r w:rsidRPr="00B50612">
        <w:rPr>
          <w:rFonts w:asciiTheme="minorHAnsi" w:eastAsiaTheme="minorEastAsia" w:hAnsiTheme="minorHAnsi" w:cstheme="minorBidi"/>
          <w:bCs w:val="0"/>
          <w:szCs w:val="22"/>
        </w:rPr>
        <w:tab/>
      </w:r>
      <w:r w:rsidRPr="00B50612">
        <w:t>Use of Information Technology</w:t>
      </w:r>
      <w:r w:rsidRPr="00B50612">
        <w:tab/>
      </w:r>
      <w:r w:rsidR="00FD5651" w:rsidRPr="00B50612">
        <w:fldChar w:fldCharType="begin"/>
      </w:r>
      <w:r w:rsidRPr="00B50612">
        <w:instrText xml:space="preserve"> PAGEREF _Toc464308439 \h </w:instrText>
      </w:r>
      <w:r w:rsidR="00FD5651" w:rsidRPr="00B50612">
        <w:fldChar w:fldCharType="separate"/>
      </w:r>
      <w:r w:rsidR="00F57B7A">
        <w:t>8</w:t>
      </w:r>
      <w:r w:rsidR="00FD5651" w:rsidRPr="00B50612">
        <w:fldChar w:fldCharType="end"/>
      </w:r>
    </w:p>
    <w:p w14:paraId="459481EB" w14:textId="418996B5" w:rsidR="004A2D4B" w:rsidRPr="00B50612" w:rsidRDefault="004A2D4B" w:rsidP="007C3FC6">
      <w:pPr>
        <w:pStyle w:val="TOC2"/>
        <w:widowControl w:val="0"/>
        <w:rPr>
          <w:rFonts w:asciiTheme="minorHAnsi" w:eastAsiaTheme="minorEastAsia" w:hAnsiTheme="minorHAnsi" w:cstheme="minorBidi"/>
          <w:bCs w:val="0"/>
          <w:szCs w:val="22"/>
        </w:rPr>
      </w:pPr>
      <w:r w:rsidRPr="00B50612">
        <w:t>4.</w:t>
      </w:r>
      <w:r w:rsidRPr="00B50612">
        <w:rPr>
          <w:rFonts w:asciiTheme="minorHAnsi" w:eastAsiaTheme="minorEastAsia" w:hAnsiTheme="minorHAnsi" w:cstheme="minorBidi"/>
          <w:bCs w:val="0"/>
          <w:szCs w:val="22"/>
        </w:rPr>
        <w:tab/>
      </w:r>
      <w:r w:rsidRPr="00B50612">
        <w:t>Efforts to Identify Duplication</w:t>
      </w:r>
      <w:r w:rsidRPr="00B50612">
        <w:tab/>
      </w:r>
      <w:r w:rsidR="00FD5651" w:rsidRPr="00B50612">
        <w:fldChar w:fldCharType="begin"/>
      </w:r>
      <w:r w:rsidRPr="00B50612">
        <w:instrText xml:space="preserve"> PAGEREF _Toc464308440 \h </w:instrText>
      </w:r>
      <w:r w:rsidR="00FD5651" w:rsidRPr="00B50612">
        <w:fldChar w:fldCharType="separate"/>
      </w:r>
      <w:r w:rsidR="00F57B7A">
        <w:t>9</w:t>
      </w:r>
      <w:r w:rsidR="00FD5651" w:rsidRPr="00B50612">
        <w:fldChar w:fldCharType="end"/>
      </w:r>
    </w:p>
    <w:p w14:paraId="6D48DD0D" w14:textId="5667702D" w:rsidR="004A2D4B" w:rsidRPr="00B50612" w:rsidRDefault="004A2D4B" w:rsidP="007C3FC6">
      <w:pPr>
        <w:pStyle w:val="TOC2"/>
        <w:widowControl w:val="0"/>
        <w:rPr>
          <w:rFonts w:asciiTheme="minorHAnsi" w:eastAsiaTheme="minorEastAsia" w:hAnsiTheme="minorHAnsi" w:cstheme="minorBidi"/>
          <w:bCs w:val="0"/>
          <w:szCs w:val="22"/>
        </w:rPr>
      </w:pPr>
      <w:r w:rsidRPr="00B50612">
        <w:t>5.</w:t>
      </w:r>
      <w:r w:rsidRPr="00B50612">
        <w:rPr>
          <w:rFonts w:asciiTheme="minorHAnsi" w:eastAsiaTheme="minorEastAsia" w:hAnsiTheme="minorHAnsi" w:cstheme="minorBidi"/>
          <w:bCs w:val="0"/>
          <w:szCs w:val="22"/>
        </w:rPr>
        <w:tab/>
      </w:r>
      <w:r w:rsidRPr="00B50612">
        <w:t>Method Used to Minimize Burden on Small Businesses</w:t>
      </w:r>
      <w:r w:rsidRPr="00B50612">
        <w:tab/>
      </w:r>
      <w:r w:rsidR="00FD5651" w:rsidRPr="00B50612">
        <w:fldChar w:fldCharType="begin"/>
      </w:r>
      <w:r w:rsidRPr="00B50612">
        <w:instrText xml:space="preserve"> PAGEREF _Toc464308441 \h </w:instrText>
      </w:r>
      <w:r w:rsidR="00FD5651" w:rsidRPr="00B50612">
        <w:fldChar w:fldCharType="separate"/>
      </w:r>
      <w:r w:rsidR="00F57B7A">
        <w:t>9</w:t>
      </w:r>
      <w:r w:rsidR="00FD5651" w:rsidRPr="00B50612">
        <w:fldChar w:fldCharType="end"/>
      </w:r>
    </w:p>
    <w:p w14:paraId="1F551CE8" w14:textId="594740B1" w:rsidR="004A2D4B" w:rsidRPr="00B50612" w:rsidRDefault="004A2D4B" w:rsidP="007C3FC6">
      <w:pPr>
        <w:pStyle w:val="TOC2"/>
        <w:widowControl w:val="0"/>
        <w:rPr>
          <w:rFonts w:asciiTheme="minorHAnsi" w:eastAsiaTheme="minorEastAsia" w:hAnsiTheme="minorHAnsi" w:cstheme="minorBidi"/>
          <w:bCs w:val="0"/>
          <w:szCs w:val="22"/>
        </w:rPr>
      </w:pPr>
      <w:r w:rsidRPr="00B50612">
        <w:t>6.</w:t>
      </w:r>
      <w:r w:rsidRPr="00B50612">
        <w:rPr>
          <w:rFonts w:asciiTheme="minorHAnsi" w:eastAsiaTheme="minorEastAsia" w:hAnsiTheme="minorHAnsi" w:cstheme="minorBidi"/>
          <w:bCs w:val="0"/>
          <w:szCs w:val="22"/>
        </w:rPr>
        <w:tab/>
      </w:r>
      <w:r w:rsidRPr="00B50612">
        <w:t>Frequency of Data Collection</w:t>
      </w:r>
      <w:r w:rsidRPr="00B50612">
        <w:tab/>
      </w:r>
      <w:r w:rsidR="00FD5651" w:rsidRPr="00B50612">
        <w:fldChar w:fldCharType="begin"/>
      </w:r>
      <w:r w:rsidRPr="00B50612">
        <w:instrText xml:space="preserve"> PAGEREF _Toc464308442 \h </w:instrText>
      </w:r>
      <w:r w:rsidR="00FD5651" w:rsidRPr="00B50612">
        <w:fldChar w:fldCharType="separate"/>
      </w:r>
      <w:r w:rsidR="00F57B7A">
        <w:t>9</w:t>
      </w:r>
      <w:r w:rsidR="00FD5651" w:rsidRPr="00B50612">
        <w:fldChar w:fldCharType="end"/>
      </w:r>
    </w:p>
    <w:p w14:paraId="1F42BA63" w14:textId="1D89B80B" w:rsidR="004A2D4B" w:rsidRPr="00B50612" w:rsidRDefault="004A2D4B" w:rsidP="007C3FC6">
      <w:pPr>
        <w:pStyle w:val="TOC2"/>
        <w:widowControl w:val="0"/>
        <w:rPr>
          <w:rFonts w:asciiTheme="minorHAnsi" w:eastAsiaTheme="minorEastAsia" w:hAnsiTheme="minorHAnsi" w:cstheme="minorBidi"/>
          <w:bCs w:val="0"/>
          <w:szCs w:val="22"/>
        </w:rPr>
      </w:pPr>
      <w:r w:rsidRPr="00B50612">
        <w:t>7.</w:t>
      </w:r>
      <w:r w:rsidRPr="00B50612">
        <w:rPr>
          <w:rFonts w:asciiTheme="minorHAnsi" w:eastAsiaTheme="minorEastAsia" w:hAnsiTheme="minorHAnsi" w:cstheme="minorBidi"/>
          <w:bCs w:val="0"/>
          <w:szCs w:val="22"/>
        </w:rPr>
        <w:tab/>
      </w:r>
      <w:r w:rsidRPr="00B50612">
        <w:t>Special Circumstances of Data Collection</w:t>
      </w:r>
      <w:r w:rsidRPr="00B50612">
        <w:tab/>
      </w:r>
      <w:r w:rsidR="00FD5651" w:rsidRPr="00B50612">
        <w:fldChar w:fldCharType="begin"/>
      </w:r>
      <w:r w:rsidRPr="00B50612">
        <w:instrText xml:space="preserve"> PAGEREF _Toc464308443 \h </w:instrText>
      </w:r>
      <w:r w:rsidR="00FD5651" w:rsidRPr="00B50612">
        <w:fldChar w:fldCharType="separate"/>
      </w:r>
      <w:r w:rsidR="00F57B7A">
        <w:t>9</w:t>
      </w:r>
      <w:r w:rsidR="00FD5651" w:rsidRPr="00B50612">
        <w:fldChar w:fldCharType="end"/>
      </w:r>
    </w:p>
    <w:p w14:paraId="5DF53417" w14:textId="369227B4" w:rsidR="004A2D4B" w:rsidRPr="00B50612" w:rsidRDefault="004A2D4B" w:rsidP="007C3FC6">
      <w:pPr>
        <w:pStyle w:val="TOC2"/>
        <w:widowControl w:val="0"/>
        <w:rPr>
          <w:rFonts w:asciiTheme="minorHAnsi" w:eastAsiaTheme="minorEastAsia" w:hAnsiTheme="minorHAnsi" w:cstheme="minorBidi"/>
          <w:bCs w:val="0"/>
          <w:szCs w:val="22"/>
        </w:rPr>
      </w:pPr>
      <w:r w:rsidRPr="00B50612">
        <w:t>8.</w:t>
      </w:r>
      <w:r w:rsidRPr="00B50612">
        <w:rPr>
          <w:rFonts w:asciiTheme="minorHAnsi" w:eastAsiaTheme="minorEastAsia" w:hAnsiTheme="minorHAnsi" w:cstheme="minorBidi"/>
          <w:bCs w:val="0"/>
          <w:szCs w:val="22"/>
        </w:rPr>
        <w:tab/>
      </w:r>
      <w:r w:rsidRPr="00B50612">
        <w:t xml:space="preserve">Consultants </w:t>
      </w:r>
      <w:r w:rsidR="00171B38">
        <w:t>o</w:t>
      </w:r>
      <w:r w:rsidRPr="00B50612">
        <w:t>utside the Agency</w:t>
      </w:r>
      <w:r w:rsidRPr="00B50612">
        <w:tab/>
      </w:r>
      <w:r w:rsidR="00FD5651" w:rsidRPr="00B50612">
        <w:fldChar w:fldCharType="begin"/>
      </w:r>
      <w:r w:rsidRPr="00B50612">
        <w:instrText xml:space="preserve"> PAGEREF _Toc464308444 \h </w:instrText>
      </w:r>
      <w:r w:rsidR="00FD5651" w:rsidRPr="00B50612">
        <w:fldChar w:fldCharType="separate"/>
      </w:r>
      <w:r w:rsidR="00F57B7A">
        <w:t>9</w:t>
      </w:r>
      <w:r w:rsidR="00FD5651" w:rsidRPr="00B50612">
        <w:fldChar w:fldCharType="end"/>
      </w:r>
    </w:p>
    <w:p w14:paraId="22DC452D" w14:textId="3AB7D043" w:rsidR="004A2D4B" w:rsidRPr="00B50612" w:rsidRDefault="004A2D4B" w:rsidP="007C3FC6">
      <w:pPr>
        <w:pStyle w:val="TOC2"/>
        <w:widowControl w:val="0"/>
        <w:rPr>
          <w:rFonts w:asciiTheme="minorHAnsi" w:eastAsiaTheme="minorEastAsia" w:hAnsiTheme="minorHAnsi" w:cstheme="minorBidi"/>
          <w:bCs w:val="0"/>
          <w:szCs w:val="22"/>
        </w:rPr>
      </w:pPr>
      <w:r w:rsidRPr="00B50612">
        <w:t>9.</w:t>
      </w:r>
      <w:r w:rsidRPr="00B50612">
        <w:rPr>
          <w:rFonts w:asciiTheme="minorHAnsi" w:eastAsiaTheme="minorEastAsia" w:hAnsiTheme="minorHAnsi" w:cstheme="minorBidi"/>
          <w:bCs w:val="0"/>
          <w:szCs w:val="22"/>
        </w:rPr>
        <w:tab/>
      </w:r>
      <w:r w:rsidRPr="00B50612">
        <w:t>Provision of Payments or Gifts to Respondents</w:t>
      </w:r>
      <w:r w:rsidRPr="00B50612">
        <w:tab/>
      </w:r>
      <w:r w:rsidR="00FD5651" w:rsidRPr="00B50612">
        <w:fldChar w:fldCharType="begin"/>
      </w:r>
      <w:r w:rsidRPr="00B50612">
        <w:instrText xml:space="preserve"> PAGEREF _Toc464308445 \h </w:instrText>
      </w:r>
      <w:r w:rsidR="00FD5651" w:rsidRPr="00B50612">
        <w:fldChar w:fldCharType="separate"/>
      </w:r>
      <w:r w:rsidR="00F57B7A">
        <w:t>9</w:t>
      </w:r>
      <w:r w:rsidR="00FD5651" w:rsidRPr="00B50612">
        <w:fldChar w:fldCharType="end"/>
      </w:r>
    </w:p>
    <w:p w14:paraId="77569B9F" w14:textId="38BD6CFD" w:rsidR="004A2D4B" w:rsidRPr="00B50612" w:rsidRDefault="004A2D4B" w:rsidP="007C3FC6">
      <w:pPr>
        <w:pStyle w:val="TOC2"/>
        <w:widowControl w:val="0"/>
        <w:rPr>
          <w:rFonts w:asciiTheme="minorHAnsi" w:eastAsiaTheme="minorEastAsia" w:hAnsiTheme="minorHAnsi" w:cstheme="minorBidi"/>
          <w:bCs w:val="0"/>
          <w:szCs w:val="22"/>
        </w:rPr>
      </w:pPr>
      <w:r w:rsidRPr="00B50612">
        <w:t>10.</w:t>
      </w:r>
      <w:r w:rsidRPr="00B50612">
        <w:rPr>
          <w:rFonts w:asciiTheme="minorHAnsi" w:eastAsiaTheme="minorEastAsia" w:hAnsiTheme="minorHAnsi" w:cstheme="minorBidi"/>
          <w:bCs w:val="0"/>
          <w:szCs w:val="22"/>
        </w:rPr>
        <w:tab/>
      </w:r>
      <w:r w:rsidRPr="00B50612">
        <w:t>Assurance of Confidentiality</w:t>
      </w:r>
      <w:r w:rsidRPr="00B50612">
        <w:tab/>
      </w:r>
      <w:r w:rsidR="00FD5651" w:rsidRPr="00B50612">
        <w:fldChar w:fldCharType="begin"/>
      </w:r>
      <w:r w:rsidRPr="00B50612">
        <w:instrText xml:space="preserve"> PAGEREF _Toc464308446 \h </w:instrText>
      </w:r>
      <w:r w:rsidR="00FD5651" w:rsidRPr="00B50612">
        <w:fldChar w:fldCharType="separate"/>
      </w:r>
      <w:r w:rsidR="00F57B7A">
        <w:t>9</w:t>
      </w:r>
      <w:r w:rsidR="00FD5651" w:rsidRPr="00B50612">
        <w:fldChar w:fldCharType="end"/>
      </w:r>
    </w:p>
    <w:p w14:paraId="509D1F84" w14:textId="560AE6CC" w:rsidR="004A2D4B" w:rsidRPr="00B50612" w:rsidRDefault="004A2D4B" w:rsidP="007C3FC6">
      <w:pPr>
        <w:pStyle w:val="TOC2"/>
        <w:widowControl w:val="0"/>
        <w:rPr>
          <w:rFonts w:asciiTheme="minorHAnsi" w:eastAsiaTheme="minorEastAsia" w:hAnsiTheme="minorHAnsi" w:cstheme="minorBidi"/>
          <w:bCs w:val="0"/>
          <w:szCs w:val="22"/>
        </w:rPr>
      </w:pPr>
      <w:r w:rsidRPr="00B50612">
        <w:t>11.</w:t>
      </w:r>
      <w:r w:rsidRPr="00B50612">
        <w:rPr>
          <w:rFonts w:asciiTheme="minorHAnsi" w:eastAsiaTheme="minorEastAsia" w:hAnsiTheme="minorHAnsi" w:cstheme="minorBidi"/>
          <w:bCs w:val="0"/>
          <w:szCs w:val="22"/>
        </w:rPr>
        <w:tab/>
      </w:r>
      <w:r w:rsidRPr="00B50612">
        <w:t>Sensitive Questions</w:t>
      </w:r>
      <w:r w:rsidRPr="00B50612">
        <w:tab/>
      </w:r>
      <w:r w:rsidR="00FD5651" w:rsidRPr="00B50612">
        <w:fldChar w:fldCharType="begin"/>
      </w:r>
      <w:r w:rsidRPr="00B50612">
        <w:instrText xml:space="preserve"> PAGEREF _Toc464308447 \h </w:instrText>
      </w:r>
      <w:r w:rsidR="00FD5651" w:rsidRPr="00B50612">
        <w:fldChar w:fldCharType="separate"/>
      </w:r>
      <w:r w:rsidR="00F57B7A">
        <w:t>12</w:t>
      </w:r>
      <w:r w:rsidR="00FD5651" w:rsidRPr="00B50612">
        <w:fldChar w:fldCharType="end"/>
      </w:r>
    </w:p>
    <w:p w14:paraId="36CEF56D" w14:textId="7B45057C" w:rsidR="004A2D4B" w:rsidRPr="00B50612" w:rsidRDefault="004A2D4B" w:rsidP="007C3FC6">
      <w:pPr>
        <w:pStyle w:val="TOC2"/>
        <w:widowControl w:val="0"/>
        <w:rPr>
          <w:rFonts w:asciiTheme="minorHAnsi" w:eastAsiaTheme="minorEastAsia" w:hAnsiTheme="minorHAnsi" w:cstheme="minorBidi"/>
          <w:bCs w:val="0"/>
          <w:szCs w:val="22"/>
        </w:rPr>
      </w:pPr>
      <w:r w:rsidRPr="00B50612">
        <w:t>12.</w:t>
      </w:r>
      <w:r w:rsidRPr="00B50612">
        <w:rPr>
          <w:rFonts w:asciiTheme="minorHAnsi" w:eastAsiaTheme="minorEastAsia" w:hAnsiTheme="minorHAnsi" w:cstheme="minorBidi"/>
          <w:bCs w:val="0"/>
          <w:szCs w:val="22"/>
        </w:rPr>
        <w:tab/>
      </w:r>
      <w:r w:rsidRPr="00B50612">
        <w:t>Estimates of Response Burden</w:t>
      </w:r>
      <w:r w:rsidRPr="00B50612">
        <w:tab/>
      </w:r>
      <w:r w:rsidR="00FD5651" w:rsidRPr="00B50612">
        <w:fldChar w:fldCharType="begin"/>
      </w:r>
      <w:r w:rsidRPr="00B50612">
        <w:instrText xml:space="preserve"> PAGEREF _Toc464308448 \h </w:instrText>
      </w:r>
      <w:r w:rsidR="00FD5651" w:rsidRPr="00B50612">
        <w:fldChar w:fldCharType="separate"/>
      </w:r>
      <w:r w:rsidR="00F57B7A">
        <w:t>12</w:t>
      </w:r>
      <w:r w:rsidR="00FD5651" w:rsidRPr="00B50612">
        <w:fldChar w:fldCharType="end"/>
      </w:r>
    </w:p>
    <w:p w14:paraId="3CAA34B5" w14:textId="21F05D09" w:rsidR="004A2D4B" w:rsidRPr="00B50612" w:rsidRDefault="004A2D4B" w:rsidP="007C3FC6">
      <w:pPr>
        <w:pStyle w:val="TOC2"/>
        <w:widowControl w:val="0"/>
        <w:rPr>
          <w:rFonts w:asciiTheme="minorHAnsi" w:eastAsiaTheme="minorEastAsia" w:hAnsiTheme="minorHAnsi" w:cstheme="minorBidi"/>
          <w:bCs w:val="0"/>
          <w:szCs w:val="22"/>
        </w:rPr>
      </w:pPr>
      <w:r w:rsidRPr="00B50612">
        <w:t>13.</w:t>
      </w:r>
      <w:r w:rsidRPr="00B50612">
        <w:rPr>
          <w:rFonts w:asciiTheme="minorHAnsi" w:eastAsiaTheme="minorEastAsia" w:hAnsiTheme="minorHAnsi" w:cstheme="minorBidi"/>
          <w:bCs w:val="0"/>
          <w:szCs w:val="22"/>
        </w:rPr>
        <w:tab/>
      </w:r>
      <w:r w:rsidRPr="00B50612">
        <w:t>Estimates of Cost</w:t>
      </w:r>
      <w:r w:rsidRPr="00B50612">
        <w:tab/>
      </w:r>
      <w:r w:rsidR="00FD5651" w:rsidRPr="00B50612">
        <w:fldChar w:fldCharType="begin"/>
      </w:r>
      <w:r w:rsidRPr="00B50612">
        <w:instrText xml:space="preserve"> PAGEREF _Toc464308449 \h </w:instrText>
      </w:r>
      <w:r w:rsidR="00FD5651" w:rsidRPr="00B50612">
        <w:fldChar w:fldCharType="separate"/>
      </w:r>
      <w:r w:rsidR="00F57B7A">
        <w:t>13</w:t>
      </w:r>
      <w:r w:rsidR="00FD5651" w:rsidRPr="00B50612">
        <w:fldChar w:fldCharType="end"/>
      </w:r>
    </w:p>
    <w:p w14:paraId="68B4E2FC" w14:textId="1D2DE6D5" w:rsidR="004A2D4B" w:rsidRPr="00B50612" w:rsidRDefault="004A2D4B" w:rsidP="007C3FC6">
      <w:pPr>
        <w:pStyle w:val="TOC2"/>
        <w:widowControl w:val="0"/>
        <w:rPr>
          <w:rFonts w:asciiTheme="minorHAnsi" w:eastAsiaTheme="minorEastAsia" w:hAnsiTheme="minorHAnsi" w:cstheme="minorBidi"/>
          <w:bCs w:val="0"/>
          <w:szCs w:val="22"/>
        </w:rPr>
      </w:pPr>
      <w:r w:rsidRPr="00B50612">
        <w:t>14.</w:t>
      </w:r>
      <w:r w:rsidRPr="00B50612">
        <w:rPr>
          <w:rFonts w:asciiTheme="minorHAnsi" w:eastAsiaTheme="minorEastAsia" w:hAnsiTheme="minorHAnsi" w:cstheme="minorBidi"/>
          <w:bCs w:val="0"/>
          <w:szCs w:val="22"/>
        </w:rPr>
        <w:tab/>
      </w:r>
      <w:r w:rsidRPr="00B50612">
        <w:t>Costs to Federal Government</w:t>
      </w:r>
      <w:r w:rsidRPr="00B50612">
        <w:tab/>
      </w:r>
      <w:r w:rsidR="00FD5651" w:rsidRPr="00B50612">
        <w:fldChar w:fldCharType="begin"/>
      </w:r>
      <w:r w:rsidRPr="00B50612">
        <w:instrText xml:space="preserve"> PAGEREF _Toc464308450 \h </w:instrText>
      </w:r>
      <w:r w:rsidR="00FD5651" w:rsidRPr="00B50612">
        <w:fldChar w:fldCharType="separate"/>
      </w:r>
      <w:r w:rsidR="00F57B7A">
        <w:t>13</w:t>
      </w:r>
      <w:r w:rsidR="00FD5651" w:rsidRPr="00B50612">
        <w:fldChar w:fldCharType="end"/>
      </w:r>
    </w:p>
    <w:p w14:paraId="7E74D893" w14:textId="04FD3494" w:rsidR="004A2D4B" w:rsidRPr="00B50612" w:rsidRDefault="004A2D4B" w:rsidP="007C3FC6">
      <w:pPr>
        <w:pStyle w:val="TOC2"/>
        <w:widowControl w:val="0"/>
        <w:rPr>
          <w:rFonts w:asciiTheme="minorHAnsi" w:eastAsiaTheme="minorEastAsia" w:hAnsiTheme="minorHAnsi" w:cstheme="minorBidi"/>
          <w:bCs w:val="0"/>
          <w:szCs w:val="22"/>
        </w:rPr>
      </w:pPr>
      <w:r w:rsidRPr="00B50612">
        <w:t>15.</w:t>
      </w:r>
      <w:r w:rsidRPr="00B50612">
        <w:rPr>
          <w:rFonts w:asciiTheme="minorHAnsi" w:eastAsiaTheme="minorEastAsia" w:hAnsiTheme="minorHAnsi" w:cstheme="minorBidi"/>
          <w:bCs w:val="0"/>
          <w:szCs w:val="22"/>
        </w:rPr>
        <w:tab/>
      </w:r>
      <w:r w:rsidRPr="00B50612">
        <w:t>Reasons for Changes in Response Burden and Costs</w:t>
      </w:r>
      <w:r w:rsidRPr="00B50612">
        <w:tab/>
      </w:r>
      <w:r w:rsidR="00FD5651" w:rsidRPr="00B50612">
        <w:fldChar w:fldCharType="begin"/>
      </w:r>
      <w:r w:rsidRPr="00B50612">
        <w:instrText xml:space="preserve"> PAGEREF _Toc464308451 \h </w:instrText>
      </w:r>
      <w:r w:rsidR="00FD5651" w:rsidRPr="00B50612">
        <w:fldChar w:fldCharType="separate"/>
      </w:r>
      <w:r w:rsidR="00F57B7A">
        <w:t>13</w:t>
      </w:r>
      <w:r w:rsidR="00FD5651" w:rsidRPr="00B50612">
        <w:fldChar w:fldCharType="end"/>
      </w:r>
    </w:p>
    <w:p w14:paraId="63A58958" w14:textId="00D6B1EA" w:rsidR="004A2D4B" w:rsidRPr="00B50612" w:rsidRDefault="004A2D4B" w:rsidP="007C3FC6">
      <w:pPr>
        <w:pStyle w:val="TOC2"/>
        <w:widowControl w:val="0"/>
        <w:rPr>
          <w:rFonts w:asciiTheme="minorHAnsi" w:eastAsiaTheme="minorEastAsia" w:hAnsiTheme="minorHAnsi" w:cstheme="minorBidi"/>
          <w:bCs w:val="0"/>
          <w:szCs w:val="22"/>
        </w:rPr>
      </w:pPr>
      <w:r w:rsidRPr="00B50612">
        <w:t>16.</w:t>
      </w:r>
      <w:r w:rsidRPr="00B50612">
        <w:rPr>
          <w:rFonts w:asciiTheme="minorHAnsi" w:eastAsiaTheme="minorEastAsia" w:hAnsiTheme="minorHAnsi" w:cstheme="minorBidi"/>
          <w:bCs w:val="0"/>
          <w:szCs w:val="22"/>
        </w:rPr>
        <w:tab/>
      </w:r>
      <w:r w:rsidRPr="00B50612">
        <w:t>Publication Plans and Time Schedule</w:t>
      </w:r>
      <w:r w:rsidRPr="00B50612">
        <w:tab/>
      </w:r>
      <w:r w:rsidR="00FD5651" w:rsidRPr="00B50612">
        <w:fldChar w:fldCharType="begin"/>
      </w:r>
      <w:r w:rsidRPr="00B50612">
        <w:instrText xml:space="preserve"> PAGEREF _Toc464308452 \h </w:instrText>
      </w:r>
      <w:r w:rsidR="00FD5651" w:rsidRPr="00B50612">
        <w:fldChar w:fldCharType="separate"/>
      </w:r>
      <w:r w:rsidR="00F57B7A">
        <w:t>14</w:t>
      </w:r>
      <w:r w:rsidR="00FD5651" w:rsidRPr="00B50612">
        <w:fldChar w:fldCharType="end"/>
      </w:r>
    </w:p>
    <w:p w14:paraId="6092DE3E" w14:textId="47740E90" w:rsidR="004A2D4B" w:rsidRPr="00B50612" w:rsidRDefault="004A2D4B" w:rsidP="007C3FC6">
      <w:pPr>
        <w:pStyle w:val="TOC2"/>
        <w:widowControl w:val="0"/>
        <w:rPr>
          <w:rFonts w:asciiTheme="minorHAnsi" w:eastAsiaTheme="minorEastAsia" w:hAnsiTheme="minorHAnsi" w:cstheme="minorBidi"/>
          <w:bCs w:val="0"/>
          <w:szCs w:val="22"/>
        </w:rPr>
      </w:pPr>
      <w:r w:rsidRPr="00B50612">
        <w:t>17.</w:t>
      </w:r>
      <w:r w:rsidRPr="00B50612">
        <w:rPr>
          <w:rFonts w:asciiTheme="minorHAnsi" w:eastAsiaTheme="minorEastAsia" w:hAnsiTheme="minorHAnsi" w:cstheme="minorBidi"/>
          <w:bCs w:val="0"/>
          <w:szCs w:val="22"/>
        </w:rPr>
        <w:tab/>
      </w:r>
      <w:r w:rsidRPr="00B50612">
        <w:t>Approval to Not Display Expiration Date for OMB Approval</w:t>
      </w:r>
      <w:r w:rsidRPr="00B50612">
        <w:tab/>
      </w:r>
      <w:r w:rsidR="00FD5651" w:rsidRPr="00B50612">
        <w:fldChar w:fldCharType="begin"/>
      </w:r>
      <w:r w:rsidRPr="00B50612">
        <w:instrText xml:space="preserve"> PAGEREF _Toc464308453 \h </w:instrText>
      </w:r>
      <w:r w:rsidR="00FD5651" w:rsidRPr="00B50612">
        <w:fldChar w:fldCharType="separate"/>
      </w:r>
      <w:r w:rsidR="00F57B7A">
        <w:t>14</w:t>
      </w:r>
      <w:r w:rsidR="00FD5651" w:rsidRPr="00B50612">
        <w:fldChar w:fldCharType="end"/>
      </w:r>
    </w:p>
    <w:p w14:paraId="7D64D23A" w14:textId="4A5F78C3" w:rsidR="004A2D4B" w:rsidRPr="007C3FC6" w:rsidRDefault="004A2D4B" w:rsidP="007C3FC6">
      <w:pPr>
        <w:pStyle w:val="TOC2"/>
        <w:widowControl w:val="0"/>
        <w:rPr>
          <w:rFonts w:asciiTheme="minorHAnsi" w:eastAsiaTheme="minorEastAsia" w:hAnsiTheme="minorHAnsi" w:cstheme="minorBidi"/>
          <w:bCs w:val="0"/>
          <w:szCs w:val="22"/>
        </w:rPr>
      </w:pPr>
      <w:r w:rsidRPr="00B50612">
        <w:t>18.</w:t>
      </w:r>
      <w:r w:rsidRPr="00B50612">
        <w:rPr>
          <w:rFonts w:asciiTheme="minorHAnsi" w:eastAsiaTheme="minorEastAsia" w:hAnsiTheme="minorHAnsi" w:cstheme="minorBidi"/>
          <w:bCs w:val="0"/>
          <w:szCs w:val="22"/>
        </w:rPr>
        <w:tab/>
      </w:r>
      <w:r w:rsidRPr="00B50612">
        <w:t>Exceptions to Certification for Paperwork Reduction Act Submissions</w:t>
      </w:r>
      <w:r w:rsidRPr="00B50612">
        <w:tab/>
      </w:r>
      <w:r w:rsidR="00FD5651" w:rsidRPr="00B50612">
        <w:fldChar w:fldCharType="begin"/>
      </w:r>
      <w:r w:rsidRPr="00B50612">
        <w:instrText xml:space="preserve"> PAGEREF _Toc464308454 \h </w:instrText>
      </w:r>
      <w:r w:rsidR="00FD5651" w:rsidRPr="00B50612">
        <w:fldChar w:fldCharType="separate"/>
      </w:r>
      <w:r w:rsidR="00F57B7A">
        <w:t>14</w:t>
      </w:r>
      <w:r w:rsidR="00FD5651" w:rsidRPr="00B50612">
        <w:fldChar w:fldCharType="end"/>
      </w:r>
    </w:p>
    <w:p w14:paraId="1FE1F5E1" w14:textId="77777777" w:rsidR="004A2D4B" w:rsidRPr="007C3FC6" w:rsidRDefault="00FD5651" w:rsidP="007C3FC6">
      <w:pPr>
        <w:pStyle w:val="TOC1"/>
        <w:widowControl w:val="0"/>
        <w:spacing w:before="240" w:after="0" w:line="240" w:lineRule="auto"/>
        <w:rPr>
          <w:szCs w:val="22"/>
        </w:rPr>
      </w:pPr>
      <w:r w:rsidRPr="007C3FC6">
        <w:rPr>
          <w:b w:val="0"/>
          <w:color w:val="000000" w:themeColor="text1"/>
        </w:rPr>
        <w:fldChar w:fldCharType="end"/>
      </w:r>
      <w:r w:rsidR="003A4EA6" w:rsidRPr="007C3FC6">
        <w:rPr>
          <w:szCs w:val="22"/>
        </w:rPr>
        <w:t>B.</w:t>
      </w:r>
      <w:r w:rsidR="00FF1928">
        <w:rPr>
          <w:szCs w:val="22"/>
        </w:rPr>
        <w:t xml:space="preserve"> </w:t>
      </w:r>
      <w:r w:rsidR="004A2D4B" w:rsidRPr="007C3FC6">
        <w:rPr>
          <w:szCs w:val="22"/>
        </w:rPr>
        <w:t>Collection of Information Employing Statistical Methods &amp; References</w:t>
      </w:r>
    </w:p>
    <w:p w14:paraId="3AA2877D" w14:textId="77777777" w:rsidR="003A4EA6" w:rsidRPr="007C3FC6" w:rsidRDefault="003A4EA6" w:rsidP="007C3FC6">
      <w:pPr>
        <w:pStyle w:val="TOC1"/>
        <w:widowControl w:val="0"/>
        <w:spacing w:after="0" w:line="240" w:lineRule="auto"/>
        <w:rPr>
          <w:szCs w:val="22"/>
        </w:rPr>
      </w:pPr>
    </w:p>
    <w:p w14:paraId="08349C95" w14:textId="77777777" w:rsidR="004A2D4B" w:rsidRPr="007C3FC6" w:rsidRDefault="004A2D4B" w:rsidP="007C3FC6">
      <w:pPr>
        <w:pStyle w:val="TOC1"/>
        <w:widowControl w:val="0"/>
        <w:spacing w:after="0" w:line="240" w:lineRule="auto"/>
        <w:rPr>
          <w:szCs w:val="22"/>
        </w:rPr>
      </w:pPr>
      <w:r w:rsidRPr="007C3FC6">
        <w:rPr>
          <w:szCs w:val="22"/>
        </w:rPr>
        <w:t>C.</w:t>
      </w:r>
      <w:r w:rsidRPr="007C3FC6">
        <w:rPr>
          <w:szCs w:val="22"/>
        </w:rPr>
        <w:tab/>
        <w:t>References</w:t>
      </w:r>
    </w:p>
    <w:p w14:paraId="6567AF42" w14:textId="77777777" w:rsidR="004A2D4B" w:rsidRPr="007C3FC6" w:rsidRDefault="004A2D4B" w:rsidP="007C3FC6">
      <w:pPr>
        <w:widowControl w:val="0"/>
        <w:tabs>
          <w:tab w:val="right" w:pos="9360"/>
        </w:tabs>
        <w:spacing w:after="0" w:line="240" w:lineRule="auto"/>
        <w:ind w:left="1267" w:hanging="1267"/>
        <w:rPr>
          <w:rFonts w:cs="Arial"/>
          <w:b/>
          <w:bCs/>
          <w:noProof/>
          <w:sz w:val="22"/>
          <w:szCs w:val="22"/>
        </w:rPr>
      </w:pPr>
    </w:p>
    <w:p w14:paraId="55BB5A7B" w14:textId="77777777" w:rsidR="004A2D4B" w:rsidRPr="007C3FC6" w:rsidRDefault="004A2D4B" w:rsidP="007C3FC6">
      <w:pPr>
        <w:widowControl w:val="0"/>
        <w:tabs>
          <w:tab w:val="right" w:pos="9360"/>
        </w:tabs>
        <w:spacing w:line="240" w:lineRule="auto"/>
        <w:ind w:left="1260" w:hanging="1260"/>
        <w:rPr>
          <w:rFonts w:cs="Arial"/>
          <w:b/>
          <w:bCs/>
          <w:noProof/>
          <w:sz w:val="22"/>
          <w:szCs w:val="22"/>
        </w:rPr>
      </w:pPr>
      <w:r w:rsidRPr="007C3FC6">
        <w:rPr>
          <w:rFonts w:cs="Arial"/>
          <w:b/>
          <w:bCs/>
          <w:noProof/>
          <w:sz w:val="22"/>
          <w:szCs w:val="22"/>
        </w:rPr>
        <w:t>Appendixes</w:t>
      </w:r>
    </w:p>
    <w:p w14:paraId="0F8B02EB" w14:textId="77777777" w:rsidR="00EB6F92" w:rsidRPr="007C3FC6" w:rsidRDefault="00EB6F92" w:rsidP="007C3FC6">
      <w:pPr>
        <w:pStyle w:val="ListParagraph"/>
        <w:widowControl w:val="0"/>
        <w:numPr>
          <w:ilvl w:val="0"/>
          <w:numId w:val="17"/>
        </w:numPr>
        <w:spacing w:after="0" w:line="240" w:lineRule="auto"/>
        <w:rPr>
          <w:sz w:val="22"/>
          <w:szCs w:val="22"/>
        </w:rPr>
      </w:pPr>
      <w:r w:rsidRPr="007C3FC6">
        <w:rPr>
          <w:sz w:val="22"/>
          <w:szCs w:val="22"/>
        </w:rPr>
        <w:t>Contacting materials and protocols for student participants</w:t>
      </w:r>
    </w:p>
    <w:p w14:paraId="62FBA9DD" w14:textId="77777777" w:rsidR="00EB6F92" w:rsidRPr="007C3FC6" w:rsidRDefault="00EB6F92" w:rsidP="007C3FC6">
      <w:pPr>
        <w:pStyle w:val="ListParagraph"/>
        <w:widowControl w:val="0"/>
        <w:numPr>
          <w:ilvl w:val="0"/>
          <w:numId w:val="17"/>
        </w:numPr>
        <w:spacing w:after="0" w:line="240" w:lineRule="auto"/>
        <w:rPr>
          <w:sz w:val="22"/>
          <w:szCs w:val="22"/>
        </w:rPr>
      </w:pPr>
      <w:r w:rsidRPr="007C3FC6">
        <w:rPr>
          <w:sz w:val="22"/>
          <w:szCs w:val="22"/>
        </w:rPr>
        <w:t>Confidentiality for Administrative Record Matching</w:t>
      </w:r>
    </w:p>
    <w:p w14:paraId="6BB081D6" w14:textId="77777777" w:rsidR="00EB6F92" w:rsidRPr="007C3FC6" w:rsidRDefault="00EB6F92" w:rsidP="007C3FC6">
      <w:pPr>
        <w:widowControl w:val="0"/>
        <w:spacing w:line="240" w:lineRule="auto"/>
        <w:rPr>
          <w:b/>
          <w:color w:val="000000" w:themeColor="text1"/>
        </w:rPr>
      </w:pPr>
    </w:p>
    <w:p w14:paraId="6D71E6ED" w14:textId="77777777" w:rsidR="00840B99" w:rsidRPr="007C3FC6" w:rsidRDefault="00840B99" w:rsidP="007C3FC6">
      <w:pPr>
        <w:pStyle w:val="TOCHeading"/>
        <w:widowControl w:val="0"/>
        <w:spacing w:after="0"/>
        <w:rPr>
          <w:rFonts w:ascii="Garamond" w:hAnsi="Garamond"/>
          <w:sz w:val="24"/>
          <w:szCs w:val="24"/>
        </w:rPr>
      </w:pPr>
      <w:r w:rsidRPr="001F2F30">
        <w:rPr>
          <w:rFonts w:ascii="Garamond" w:eastAsia="Garamond" w:hAnsi="Garamond" w:cs="Garamond"/>
          <w:sz w:val="24"/>
          <w:szCs w:val="24"/>
        </w:rPr>
        <w:t>Tables</w:t>
      </w:r>
    </w:p>
    <w:p w14:paraId="45B4F96C" w14:textId="2934906E" w:rsidR="00B3498F" w:rsidRPr="007C3FC6" w:rsidRDefault="00FD5651" w:rsidP="007C3FC6">
      <w:pPr>
        <w:pStyle w:val="TOC5"/>
        <w:widowControl w:val="0"/>
        <w:rPr>
          <w:rFonts w:asciiTheme="minorHAnsi" w:eastAsiaTheme="minorEastAsia" w:hAnsiTheme="minorHAnsi" w:cstheme="minorBidi"/>
          <w:bCs w:val="0"/>
          <w:szCs w:val="22"/>
        </w:rPr>
      </w:pPr>
      <w:r w:rsidRPr="007C3FC6">
        <w:fldChar w:fldCharType="begin"/>
      </w:r>
      <w:r w:rsidR="00840B99" w:rsidRPr="007C3FC6">
        <w:instrText xml:space="preserve"> TOC \t "Table Title,5" </w:instrText>
      </w:r>
      <w:r w:rsidRPr="007C3FC6">
        <w:fldChar w:fldCharType="separate"/>
      </w:r>
      <w:r w:rsidR="00B3498F" w:rsidRPr="007C3FC6">
        <w:t>Table 1.</w:t>
      </w:r>
      <w:r w:rsidR="00B3498F" w:rsidRPr="007C3FC6">
        <w:rPr>
          <w:rFonts w:asciiTheme="minorHAnsi" w:eastAsiaTheme="minorEastAsia" w:hAnsiTheme="minorHAnsi" w:cstheme="minorBidi"/>
          <w:bCs w:val="0"/>
          <w:szCs w:val="22"/>
        </w:rPr>
        <w:tab/>
      </w:r>
      <w:r w:rsidR="00B3498F" w:rsidRPr="007C3FC6">
        <w:t xml:space="preserve">Maximum estimated burden to respondents for the </w:t>
      </w:r>
      <w:r w:rsidR="00DB635B">
        <w:rPr>
          <w:i/>
        </w:rPr>
        <w:t>Financial Aid Nudges 2017</w:t>
      </w:r>
      <w:r w:rsidR="00B3498F" w:rsidRPr="007C3FC6">
        <w:t xml:space="preserve"> </w:t>
      </w:r>
      <w:r w:rsidR="0081261C">
        <w:t>study</w:t>
      </w:r>
      <w:r w:rsidR="00B3498F" w:rsidRPr="007C3FC6">
        <w:tab/>
      </w:r>
      <w:r w:rsidRPr="007C3FC6">
        <w:fldChar w:fldCharType="begin"/>
      </w:r>
      <w:r w:rsidR="00B3498F" w:rsidRPr="007C3FC6">
        <w:instrText xml:space="preserve"> PAGEREF _Toc464308408 \h </w:instrText>
      </w:r>
      <w:r w:rsidRPr="007C3FC6">
        <w:fldChar w:fldCharType="separate"/>
      </w:r>
      <w:r w:rsidR="00F57B7A">
        <w:t>13</w:t>
      </w:r>
      <w:r w:rsidRPr="007C3FC6">
        <w:fldChar w:fldCharType="end"/>
      </w:r>
    </w:p>
    <w:p w14:paraId="4AD190A8" w14:textId="2904C71A" w:rsidR="00B3498F" w:rsidRPr="007C3FC6" w:rsidRDefault="00B3498F" w:rsidP="007C3FC6">
      <w:pPr>
        <w:pStyle w:val="TOC5"/>
        <w:widowControl w:val="0"/>
        <w:rPr>
          <w:rFonts w:asciiTheme="minorHAnsi" w:eastAsiaTheme="minorEastAsia" w:hAnsiTheme="minorHAnsi" w:cstheme="minorBidi"/>
          <w:bCs w:val="0"/>
          <w:szCs w:val="22"/>
        </w:rPr>
      </w:pPr>
      <w:r w:rsidRPr="007C3FC6">
        <w:t>Table 2.</w:t>
      </w:r>
      <w:r w:rsidRPr="007C3FC6">
        <w:rPr>
          <w:rFonts w:asciiTheme="minorHAnsi" w:eastAsiaTheme="minorEastAsia" w:hAnsiTheme="minorHAnsi" w:cstheme="minorBidi"/>
          <w:bCs w:val="0"/>
          <w:szCs w:val="22"/>
        </w:rPr>
        <w:tab/>
      </w:r>
      <w:r w:rsidRPr="007C3FC6">
        <w:t xml:space="preserve">Annual costs for the </w:t>
      </w:r>
      <w:r w:rsidR="00DB635B">
        <w:rPr>
          <w:i/>
        </w:rPr>
        <w:t>Financial Aid Nudges 2017</w:t>
      </w:r>
      <w:r w:rsidRPr="007C3FC6">
        <w:t xml:space="preserve"> </w:t>
      </w:r>
      <w:r w:rsidR="0081261C">
        <w:t>study</w:t>
      </w:r>
      <w:r w:rsidRPr="007C3FC6">
        <w:tab/>
      </w:r>
      <w:r w:rsidR="00FD5651" w:rsidRPr="007C3FC6">
        <w:fldChar w:fldCharType="begin"/>
      </w:r>
      <w:r w:rsidRPr="007C3FC6">
        <w:instrText xml:space="preserve"> PAGEREF _Toc464308409 \h </w:instrText>
      </w:r>
      <w:r w:rsidR="00FD5651" w:rsidRPr="007C3FC6">
        <w:fldChar w:fldCharType="separate"/>
      </w:r>
      <w:r w:rsidR="00F57B7A">
        <w:t>13</w:t>
      </w:r>
      <w:r w:rsidR="00FD5651" w:rsidRPr="007C3FC6">
        <w:fldChar w:fldCharType="end"/>
      </w:r>
    </w:p>
    <w:p w14:paraId="64A75080" w14:textId="09C0408D" w:rsidR="00B3498F" w:rsidRPr="007C3FC6" w:rsidRDefault="00B3498F" w:rsidP="007C3FC6">
      <w:pPr>
        <w:pStyle w:val="TOC5"/>
        <w:widowControl w:val="0"/>
        <w:rPr>
          <w:rFonts w:asciiTheme="minorHAnsi" w:eastAsiaTheme="minorEastAsia" w:hAnsiTheme="minorHAnsi" w:cstheme="minorBidi"/>
          <w:bCs w:val="0"/>
          <w:szCs w:val="22"/>
        </w:rPr>
      </w:pPr>
      <w:r w:rsidRPr="007C3FC6">
        <w:t xml:space="preserve">Table </w:t>
      </w:r>
      <w:r w:rsidR="000B6374" w:rsidRPr="007C3FC6">
        <w:t>3</w:t>
      </w:r>
      <w:r w:rsidRPr="007C3FC6">
        <w:t>.</w:t>
      </w:r>
      <w:r w:rsidRPr="007C3FC6">
        <w:rPr>
          <w:rFonts w:asciiTheme="minorHAnsi" w:eastAsiaTheme="minorEastAsia" w:hAnsiTheme="minorHAnsi" w:cstheme="minorBidi"/>
          <w:bCs w:val="0"/>
          <w:szCs w:val="22"/>
        </w:rPr>
        <w:tab/>
      </w:r>
      <w:r w:rsidRPr="007C3FC6">
        <w:t xml:space="preserve">Schedule for the </w:t>
      </w:r>
      <w:r w:rsidR="00DB635B">
        <w:rPr>
          <w:i/>
        </w:rPr>
        <w:t>Financial Aid Nudges 2017</w:t>
      </w:r>
      <w:r w:rsidRPr="007C3FC6">
        <w:t xml:space="preserve"> </w:t>
      </w:r>
      <w:r w:rsidR="0081261C">
        <w:t>study</w:t>
      </w:r>
      <w:r w:rsidRPr="007C3FC6">
        <w:tab/>
      </w:r>
      <w:r w:rsidR="00FD5651" w:rsidRPr="007C3FC6">
        <w:fldChar w:fldCharType="begin"/>
      </w:r>
      <w:r w:rsidRPr="007C3FC6">
        <w:instrText xml:space="preserve"> PAGEREF _Toc464308411 \h </w:instrText>
      </w:r>
      <w:r w:rsidR="00FD5651" w:rsidRPr="007C3FC6">
        <w:fldChar w:fldCharType="separate"/>
      </w:r>
      <w:r w:rsidR="00F57B7A">
        <w:t>14</w:t>
      </w:r>
      <w:r w:rsidR="00FD5651" w:rsidRPr="007C3FC6">
        <w:fldChar w:fldCharType="end"/>
      </w:r>
    </w:p>
    <w:p w14:paraId="01C825AE" w14:textId="77777777" w:rsidR="007C3FC6" w:rsidRDefault="00FD5651" w:rsidP="007C3FC6">
      <w:pPr>
        <w:pStyle w:val="TOCHeading"/>
        <w:widowControl w:val="0"/>
        <w:rPr>
          <w:b w:val="0"/>
          <w:color w:val="000000" w:themeColor="text1"/>
        </w:rPr>
      </w:pPr>
      <w:r w:rsidRPr="007C3FC6">
        <w:fldChar w:fldCharType="end"/>
      </w:r>
      <w:bookmarkStart w:id="9" w:name="_Toc464308432"/>
      <w:r w:rsidR="007C3FC6">
        <w:rPr>
          <w:color w:val="000000" w:themeColor="text1"/>
        </w:rPr>
        <w:br w:type="page"/>
      </w:r>
    </w:p>
    <w:p w14:paraId="765A3C41" w14:textId="77777777" w:rsidR="00091671" w:rsidRPr="007C3FC6" w:rsidRDefault="00462551" w:rsidP="007C3FC6">
      <w:pPr>
        <w:pStyle w:val="Heading1"/>
        <w:keepNext w:val="0"/>
        <w:widowControl w:val="0"/>
        <w:spacing w:line="240" w:lineRule="auto"/>
        <w:rPr>
          <w:color w:val="000000" w:themeColor="text1"/>
        </w:rPr>
      </w:pPr>
      <w:r w:rsidRPr="007C3FC6">
        <w:rPr>
          <w:color w:val="000000" w:themeColor="text1"/>
        </w:rPr>
        <w:lastRenderedPageBreak/>
        <w:t>Justification</w:t>
      </w:r>
      <w:bookmarkEnd w:id="5"/>
      <w:bookmarkEnd w:id="6"/>
      <w:bookmarkEnd w:id="7"/>
      <w:bookmarkEnd w:id="8"/>
      <w:bookmarkEnd w:id="9"/>
    </w:p>
    <w:p w14:paraId="7EC684B8" w14:textId="77777777" w:rsidR="000E1CBA" w:rsidRPr="007C3FC6" w:rsidRDefault="000E1CBA" w:rsidP="00EE6C35">
      <w:pPr>
        <w:pStyle w:val="Heading3"/>
        <w:keepNext w:val="0"/>
        <w:widowControl w:val="0"/>
        <w:numPr>
          <w:ilvl w:val="2"/>
          <w:numId w:val="0"/>
        </w:numPr>
        <w:spacing w:before="0"/>
      </w:pPr>
      <w:bookmarkStart w:id="10" w:name="_Toc464308433"/>
      <w:r w:rsidRPr="007C3FC6">
        <w:t>Background</w:t>
      </w:r>
      <w:r w:rsidR="006A2B73" w:rsidRPr="007C3FC6">
        <w:t xml:space="preserve"> for NCER-NPSAS Grant Program</w:t>
      </w:r>
      <w:bookmarkEnd w:id="10"/>
    </w:p>
    <w:p w14:paraId="21899F1E" w14:textId="77777777" w:rsidR="003A60EF" w:rsidRDefault="003A60EF" w:rsidP="003A60EF">
      <w:pPr>
        <w:pStyle w:val="BodyText"/>
        <w:widowControl w:val="0"/>
        <w:ind w:firstLine="0"/>
        <w:rPr>
          <w:szCs w:val="24"/>
        </w:rPr>
      </w:pPr>
      <w:r w:rsidRPr="007C3FC6">
        <w:t xml:space="preserve">In 2010, the </w:t>
      </w:r>
      <w:r w:rsidRPr="007C3FC6">
        <w:rPr>
          <w:szCs w:val="24"/>
        </w:rPr>
        <w:t xml:space="preserve">National Center for Education Research (NCER) and the National Center for Education Statistics (NCES), both within the U.S. Department of </w:t>
      </w:r>
      <w:proofErr w:type="gramStart"/>
      <w:r w:rsidRPr="007C3FC6">
        <w:rPr>
          <w:szCs w:val="24"/>
        </w:rPr>
        <w:t>Education’s</w:t>
      </w:r>
      <w:proofErr w:type="gramEnd"/>
      <w:r w:rsidRPr="007C3FC6">
        <w:rPr>
          <w:szCs w:val="24"/>
        </w:rPr>
        <w:t xml:space="preserve"> Institute of Education Sciences (IES), began collaborating on an education grant opportunity related to the cross-sectional National Postsecondary Student Aid Study (NPSAS). </w:t>
      </w:r>
      <w:r w:rsidRPr="007C3FC6" w:rsidDel="00AC1089">
        <w:t xml:space="preserve">NPSAS </w:t>
      </w:r>
      <w:r w:rsidRPr="007C3FC6">
        <w:t xml:space="preserve">identifies </w:t>
      </w:r>
      <w:r w:rsidRPr="007C3FC6" w:rsidDel="00AC1089">
        <w:t xml:space="preserve">a large, nationally-representative sample of postsecondary institutions and students </w:t>
      </w:r>
      <w:r w:rsidRPr="007C3FC6">
        <w:t xml:space="preserve">to collect </w:t>
      </w:r>
      <w:r w:rsidRPr="007C3FC6" w:rsidDel="00AC1089">
        <w:t xml:space="preserve">student-level records on student demographics and family background, work experience, expectations, receipt of financial aid, and postsecondary enrollment (see </w:t>
      </w:r>
      <w:hyperlink r:id="rId9" w:history="1">
        <w:r w:rsidRPr="003A275E" w:rsidDel="00AC1089">
          <w:rPr>
            <w:color w:val="0000CC"/>
            <w:sz w:val="20"/>
            <w:u w:val="single"/>
          </w:rPr>
          <w:t>http://nces.ed.gov/surveys/npsas/about.asp</w:t>
        </w:r>
      </w:hyperlink>
      <w:r>
        <w:t>; OMB# 1850-0666</w:t>
      </w:r>
      <w:r w:rsidRPr="007C3FC6" w:rsidDel="00AC1089">
        <w:t xml:space="preserve">). Since 1987, NPSAS has been fielded every 3 to 4 years, most recently during the 2015–16 academic </w:t>
      </w:r>
      <w:proofErr w:type="gramStart"/>
      <w:r w:rsidRPr="007C3FC6" w:rsidDel="00AC1089">
        <w:t>year</w:t>
      </w:r>
      <w:proofErr w:type="gramEnd"/>
      <w:r w:rsidRPr="007C3FC6" w:rsidDel="00AC1089">
        <w:t>.</w:t>
      </w:r>
      <w:r w:rsidRPr="007C3FC6">
        <w:rPr>
          <w:szCs w:val="24"/>
        </w:rPr>
        <w:t xml:space="preserve"> </w:t>
      </w:r>
      <w:r>
        <w:rPr>
          <w:szCs w:val="24"/>
        </w:rPr>
        <w:t>A</w:t>
      </w:r>
      <w:r w:rsidRPr="007C3FC6">
        <w:rPr>
          <w:szCs w:val="24"/>
        </w:rPr>
        <w:t xml:space="preserve">lternating cycles of NPSAS spin off a cohort for the </w:t>
      </w:r>
      <w:r>
        <w:rPr>
          <w:szCs w:val="24"/>
        </w:rPr>
        <w:t xml:space="preserve">follow-up </w:t>
      </w:r>
      <w:r w:rsidRPr="007C3FC6">
        <w:rPr>
          <w:szCs w:val="24"/>
        </w:rPr>
        <w:t xml:space="preserve">Beginning Postsecondary Students Longitudinal Study </w:t>
      </w:r>
      <w:r>
        <w:rPr>
          <w:szCs w:val="24"/>
        </w:rPr>
        <w:t>(BPS) or</w:t>
      </w:r>
      <w:r w:rsidRPr="007C3FC6">
        <w:rPr>
          <w:szCs w:val="24"/>
        </w:rPr>
        <w:t xml:space="preserve"> the Baccalaureate and Beyond Longitudinal Study</w:t>
      </w:r>
      <w:r>
        <w:rPr>
          <w:szCs w:val="24"/>
        </w:rPr>
        <w:t xml:space="preserve"> (B&amp;B). </w:t>
      </w:r>
      <w:r w:rsidRPr="007C3FC6">
        <w:rPr>
          <w:szCs w:val="24"/>
        </w:rPr>
        <w:t>In previous cycles of NPSAS, researchers have expressed interest in using NPSAS as a way to conduct interventions and experiments on a national sample. The goal of th</w:t>
      </w:r>
      <w:r>
        <w:rPr>
          <w:szCs w:val="24"/>
        </w:rPr>
        <w:t>e</w:t>
      </w:r>
      <w:r w:rsidRPr="007C3FC6">
        <w:rPr>
          <w:szCs w:val="24"/>
        </w:rPr>
        <w:t xml:space="preserve"> NCER-</w:t>
      </w:r>
      <w:r>
        <w:rPr>
          <w:szCs w:val="24"/>
        </w:rPr>
        <w:t xml:space="preserve">NPSAS grant opportunity </w:t>
      </w:r>
      <w:r w:rsidRPr="007C3FC6">
        <w:rPr>
          <w:szCs w:val="24"/>
        </w:rPr>
        <w:t xml:space="preserve">collaboration </w:t>
      </w:r>
      <w:r>
        <w:rPr>
          <w:szCs w:val="24"/>
        </w:rPr>
        <w:t>i</w:t>
      </w:r>
      <w:r w:rsidRPr="007C3FC6">
        <w:rPr>
          <w:szCs w:val="24"/>
        </w:rPr>
        <w:t xml:space="preserve">s to provide researchers with </w:t>
      </w:r>
      <w:r>
        <w:rPr>
          <w:szCs w:val="24"/>
        </w:rPr>
        <w:t>the possibility</w:t>
      </w:r>
      <w:r w:rsidRPr="007C3FC6">
        <w:rPr>
          <w:szCs w:val="24"/>
        </w:rPr>
        <w:t xml:space="preserve"> </w:t>
      </w:r>
      <w:r>
        <w:rPr>
          <w:szCs w:val="24"/>
        </w:rPr>
        <w:t>of</w:t>
      </w:r>
      <w:r w:rsidRPr="007C3FC6">
        <w:rPr>
          <w:szCs w:val="24"/>
        </w:rPr>
        <w:t xml:space="preserve"> develop</w:t>
      </w:r>
      <w:r>
        <w:rPr>
          <w:szCs w:val="24"/>
        </w:rPr>
        <w:t>ing</w:t>
      </w:r>
      <w:r w:rsidRPr="007C3FC6">
        <w:rPr>
          <w:szCs w:val="24"/>
        </w:rPr>
        <w:t xml:space="preserve"> unique research projects pertaining to </w:t>
      </w:r>
      <w:r>
        <w:rPr>
          <w:szCs w:val="24"/>
        </w:rPr>
        <w:t xml:space="preserve">college </w:t>
      </w:r>
      <w:r w:rsidRPr="007C3FC6">
        <w:rPr>
          <w:szCs w:val="24"/>
        </w:rPr>
        <w:t xml:space="preserve">persistence and completion that </w:t>
      </w:r>
      <w:r>
        <w:rPr>
          <w:szCs w:val="24"/>
        </w:rPr>
        <w:t>utilize</w:t>
      </w:r>
      <w:r w:rsidRPr="007C3FC6">
        <w:rPr>
          <w:szCs w:val="24"/>
        </w:rPr>
        <w:t xml:space="preserve"> a subset of the NPSAS sample</w:t>
      </w:r>
      <w:r>
        <w:rPr>
          <w:szCs w:val="24"/>
        </w:rPr>
        <w:t xml:space="preserve"> that is</w:t>
      </w:r>
      <w:r w:rsidRPr="007C3FC6">
        <w:rPr>
          <w:szCs w:val="24"/>
        </w:rPr>
        <w:t xml:space="preserve"> not already set aside for one of the NPSAS-based longitudinal studies</w:t>
      </w:r>
      <w:r>
        <w:rPr>
          <w:szCs w:val="24"/>
        </w:rPr>
        <w:t xml:space="preserve"> (BPS or B&amp;B)</w:t>
      </w:r>
      <w:r w:rsidRPr="007C3FC6">
        <w:rPr>
          <w:szCs w:val="24"/>
        </w:rPr>
        <w:t>.</w:t>
      </w:r>
    </w:p>
    <w:p w14:paraId="37AA1465" w14:textId="29329A19" w:rsidR="003A60EF" w:rsidRDefault="003A60EF" w:rsidP="003A60EF">
      <w:pPr>
        <w:pStyle w:val="BodyText"/>
        <w:widowControl w:val="0"/>
        <w:ind w:firstLine="0"/>
      </w:pPr>
      <w:r w:rsidRPr="007C3FC6">
        <w:t xml:space="preserve">While the nature of these grant projects puts them outside the mission of NCES, they fit appropriately under NCER, which </w:t>
      </w:r>
      <w:r>
        <w:t>funds</w:t>
      </w:r>
      <w:r w:rsidRPr="007C3FC6">
        <w:t xml:space="preserve"> scientifically rigorous </w:t>
      </w:r>
      <w:r>
        <w:t xml:space="preserve">field-generated </w:t>
      </w:r>
      <w:r w:rsidRPr="007C3FC6">
        <w:t xml:space="preserve">research that is intended to </w:t>
      </w:r>
      <w:r w:rsidRPr="007C3FC6">
        <w:rPr>
          <w:rFonts w:cs="Arial"/>
          <w:color w:val="000000"/>
          <w:szCs w:val="24"/>
        </w:rPr>
        <w:t>improve the quality of education, increase student academic achievement, reduce the achievement gap between high- and low-performing students, and increase access to and completion of postsecondary education</w:t>
      </w:r>
      <w:r w:rsidRPr="007C3FC6">
        <w:rPr>
          <w:szCs w:val="24"/>
        </w:rPr>
        <w:t xml:space="preserve">. </w:t>
      </w:r>
      <w:r w:rsidRPr="007C3FC6">
        <w:t>Under th</w:t>
      </w:r>
      <w:r>
        <w:t>e</w:t>
      </w:r>
      <w:r w:rsidRPr="007C3FC6">
        <w:t xml:space="preserve"> NCER-</w:t>
      </w:r>
      <w:r>
        <w:t>NPSAS</w:t>
      </w:r>
      <w:r w:rsidRPr="007C3FC6">
        <w:t xml:space="preserve"> grant opportunity, researchers </w:t>
      </w:r>
      <w:r>
        <w:t>can</w:t>
      </w:r>
      <w:r w:rsidRPr="007C3FC6">
        <w:t xml:space="preserve"> submit applications to the Postsecondary and Adult Education topic </w:t>
      </w:r>
      <w:r>
        <w:t xml:space="preserve">within the </w:t>
      </w:r>
      <w:r w:rsidRPr="007C3FC6">
        <w:t>Education Research Grants program (</w:t>
      </w:r>
      <w:r>
        <w:t xml:space="preserve">CFDA </w:t>
      </w:r>
      <w:r w:rsidRPr="007C3FC6">
        <w:t>84.305A)</w:t>
      </w:r>
      <w:r>
        <w:t xml:space="preserve">, </w:t>
      </w:r>
      <w:r w:rsidRPr="007C3FC6">
        <w:t xml:space="preserve">under </w:t>
      </w:r>
      <w:r>
        <w:t xml:space="preserve">either </w:t>
      </w:r>
      <w:r w:rsidRPr="007C3FC6">
        <w:t>the Exploration or Efficacy</w:t>
      </w:r>
      <w:r>
        <w:t xml:space="preserve"> and </w:t>
      </w:r>
      <w:r w:rsidRPr="007C3FC6">
        <w:t xml:space="preserve">Replication research goal. </w:t>
      </w:r>
      <w:proofErr w:type="gramStart"/>
      <w:r>
        <w:t xml:space="preserve">Consistent with these two goals, </w:t>
      </w:r>
      <w:r w:rsidRPr="007C3FC6">
        <w:t>NCER support</w:t>
      </w:r>
      <w:r>
        <w:t>s</w:t>
      </w:r>
      <w:r w:rsidRPr="007C3FC6">
        <w:t xml:space="preserve"> research projects using NPSAS to: </w:t>
      </w:r>
      <w:r>
        <w:t>(</w:t>
      </w:r>
      <w:r w:rsidRPr="007C3FC6">
        <w:t>1) explore relation</w:t>
      </w:r>
      <w:r>
        <w:t>ship</w:t>
      </w:r>
      <w:r w:rsidRPr="007C3FC6">
        <w:t xml:space="preserve">s between malleable factors </w:t>
      </w:r>
      <w:r>
        <w:t xml:space="preserve">(e.g., information on benefits of financial aid and FAFSA renewal) and </w:t>
      </w:r>
      <w:r w:rsidRPr="007C3FC6">
        <w:t>postsecondary persistence and completion</w:t>
      </w:r>
      <w:r>
        <w:t>,</w:t>
      </w:r>
      <w:r w:rsidRPr="007C3FC6">
        <w:t xml:space="preserve"> as well as the mediators and moderators of those relationships</w:t>
      </w:r>
      <w:r>
        <w:t>;</w:t>
      </w:r>
      <w:r w:rsidRPr="007C3FC6">
        <w:t xml:space="preserve"> and </w:t>
      </w:r>
      <w:r>
        <w:t>(</w:t>
      </w:r>
      <w:r w:rsidRPr="007C3FC6">
        <w:t>2) evaluate the efficacy of interventions aimed at improving persistence and completion of postsecondary education</w:t>
      </w:r>
      <w:r>
        <w:t xml:space="preserve"> (e. g., financial aid and FAFSA renewal advice delivered via text messaging)</w:t>
      </w:r>
      <w:r w:rsidRPr="007C3FC6">
        <w:t>.</w:t>
      </w:r>
      <w:proofErr w:type="gramEnd"/>
      <w:r w:rsidRPr="007C3FC6">
        <w:t xml:space="preserve"> </w:t>
      </w:r>
      <w:proofErr w:type="gramStart"/>
      <w:r>
        <w:t>R</w:t>
      </w:r>
      <w:r w:rsidRPr="007C3FC6">
        <w:t xml:space="preserve">esearchers </w:t>
      </w:r>
      <w:r>
        <w:t>approved for funding through this program can</w:t>
      </w:r>
      <w:r w:rsidRPr="007C3FC6">
        <w:t xml:space="preserve"> obtain indirect access to a subsample of the national NPSAS sample </w:t>
      </w:r>
      <w:r>
        <w:t>(</w:t>
      </w:r>
      <w:r w:rsidRPr="007C3FC6">
        <w:t>after the study’s student interview</w:t>
      </w:r>
      <w:r>
        <w:t>s</w:t>
      </w:r>
      <w:r w:rsidRPr="007C3FC6">
        <w:t xml:space="preserve"> </w:t>
      </w:r>
      <w:r>
        <w:t>are</w:t>
      </w:r>
      <w:r w:rsidRPr="007C3FC6">
        <w:t xml:space="preserve"> com</w:t>
      </w:r>
      <w:r>
        <w:t>pleted)</w:t>
      </w:r>
      <w:r w:rsidRPr="007C3FC6">
        <w:t xml:space="preserve"> </w:t>
      </w:r>
      <w:r>
        <w:t>in order</w:t>
      </w:r>
      <w:r w:rsidRPr="007C3FC6">
        <w:t xml:space="preserve"> to conduct unique research projects</w:t>
      </w:r>
      <w:r>
        <w:t xml:space="preserve"> that adhere to the guidelines set forth in the Request for Applications </w:t>
      </w:r>
      <w:r w:rsidR="00CC09E9">
        <w:t xml:space="preserve">(RFA) </w:t>
      </w:r>
      <w:r>
        <w:t>for the Education Research Grants Program, as well as guidelines set forth by NCES and the NPSAS program.</w:t>
      </w:r>
      <w:proofErr w:type="gramEnd"/>
    </w:p>
    <w:p w14:paraId="12DD4002" w14:textId="77777777" w:rsidR="003A60EF" w:rsidRDefault="003A60EF" w:rsidP="003A60EF">
      <w:pPr>
        <w:pStyle w:val="BodyText"/>
        <w:widowControl w:val="0"/>
        <w:ind w:firstLine="0"/>
      </w:pPr>
      <w:r>
        <w:t xml:space="preserve">The FY 2016 competition for the Education Research Grants program was first announced through a Federal Register notice on April 15, 2016 (see Applications for New Awards; Education Research and Special Education Research Grant Programs: </w:t>
      </w:r>
      <w:hyperlink r:id="rId10" w:history="1">
        <w:r w:rsidRPr="00CC09E9">
          <w:rPr>
            <w:rStyle w:val="Hyperlink"/>
            <w:color w:val="0000CC"/>
            <w:sz w:val="20"/>
          </w:rPr>
          <w:t>https://www.federalregister.gov/documents/2015/04/15/2015-08627/applications-for-new-awards-education-research-and-special-education-research-grant-programs</w:t>
        </w:r>
      </w:hyperlink>
      <w:r>
        <w:t xml:space="preserve">). Subsequent to the Federal Register notice, NCER and NCES staff </w:t>
      </w:r>
      <w:r w:rsidRPr="007C3FC6">
        <w:t>announc</w:t>
      </w:r>
      <w:r>
        <w:t>ed</w:t>
      </w:r>
      <w:r w:rsidRPr="007C3FC6">
        <w:t xml:space="preserve"> </w:t>
      </w:r>
      <w:r>
        <w:t>the</w:t>
      </w:r>
      <w:r w:rsidRPr="007C3FC6">
        <w:t xml:space="preserve"> NCER-NPSAS grant opportunity at conferences and meetings, </w:t>
      </w:r>
      <w:r>
        <w:t xml:space="preserve">through </w:t>
      </w:r>
      <w:r w:rsidRPr="007C3FC6">
        <w:t>an email announcement sen</w:t>
      </w:r>
      <w:r>
        <w:t>t</w:t>
      </w:r>
      <w:r w:rsidRPr="007C3FC6">
        <w:t xml:space="preserve"> out to the research community via the IES </w:t>
      </w:r>
      <w:proofErr w:type="spellStart"/>
      <w:r w:rsidRPr="007C3FC6">
        <w:t>NewsFlash</w:t>
      </w:r>
      <w:proofErr w:type="spellEnd"/>
      <w:r w:rsidRPr="007C3FC6">
        <w:t xml:space="preserve"> service, an</w:t>
      </w:r>
      <w:r>
        <w:t>d via an</w:t>
      </w:r>
      <w:r w:rsidRPr="007C3FC6">
        <w:t xml:space="preserve"> e-mail-based alert service designed to inform users about all new content posted to the IES website. </w:t>
      </w:r>
      <w:r w:rsidRPr="00C34480">
        <w:t>Th</w:t>
      </w:r>
      <w:r>
        <w:t>e</w:t>
      </w:r>
      <w:r w:rsidRPr="00C34480">
        <w:t xml:space="preserve"> </w:t>
      </w:r>
      <w:proofErr w:type="spellStart"/>
      <w:r w:rsidRPr="00C34480">
        <w:t>NewsFlash</w:t>
      </w:r>
      <w:proofErr w:type="spellEnd"/>
      <w:r w:rsidRPr="00C34480">
        <w:t xml:space="preserve"> </w:t>
      </w:r>
      <w:r>
        <w:t xml:space="preserve">provided </w:t>
      </w:r>
      <w:r w:rsidRPr="00C34480">
        <w:t>a link to the NPSAS-</w:t>
      </w:r>
      <w:r>
        <w:t>S</w:t>
      </w:r>
      <w:r w:rsidRPr="00C34480">
        <w:t xml:space="preserve">pecific </w:t>
      </w:r>
      <w:r>
        <w:t>R</w:t>
      </w:r>
      <w:r w:rsidRPr="00C34480">
        <w:t xml:space="preserve">equirements </w:t>
      </w:r>
      <w:r>
        <w:t>for Applications Using the National Postsecondary Student Aid Study page</w:t>
      </w:r>
      <w:r w:rsidRPr="00C34480">
        <w:t xml:space="preserve">, </w:t>
      </w:r>
      <w:r>
        <w:t xml:space="preserve">which </w:t>
      </w:r>
      <w:r w:rsidRPr="00C34480">
        <w:t>includ</w:t>
      </w:r>
      <w:r>
        <w:t>es</w:t>
      </w:r>
      <w:r w:rsidRPr="00C34480">
        <w:t xml:space="preserve"> the </w:t>
      </w:r>
      <w:r>
        <w:t xml:space="preserve">requirement </w:t>
      </w:r>
      <w:r w:rsidRPr="00C34480">
        <w:t xml:space="preserve">for OMB clearance: </w:t>
      </w:r>
      <w:hyperlink r:id="rId11" w:history="1">
        <w:r w:rsidRPr="00CC09E9">
          <w:rPr>
            <w:rStyle w:val="Hyperlink"/>
            <w:color w:val="0000CC"/>
            <w:sz w:val="20"/>
          </w:rPr>
          <w:t>http://nces.ed.gov/surveys/npsas/grant/NPSAS-Specific.asp</w:t>
        </w:r>
      </w:hyperlink>
      <w:r w:rsidRPr="00C34480">
        <w:t>.</w:t>
      </w:r>
      <w:r>
        <w:t xml:space="preserve"> An additional Application Process page (</w:t>
      </w:r>
      <w:hyperlink r:id="rId12" w:history="1">
        <w:r w:rsidRPr="00CC09E9">
          <w:rPr>
            <w:rStyle w:val="Hyperlink"/>
            <w:color w:val="0000CC"/>
            <w:sz w:val="20"/>
          </w:rPr>
          <w:t>http://nces.ed.gov/surveys/npsas/grant/application.asp</w:t>
        </w:r>
      </w:hyperlink>
      <w:r>
        <w:t xml:space="preserve">) required </w:t>
      </w:r>
      <w:r w:rsidRPr="007C3FC6">
        <w:t xml:space="preserve">researchers to provide NCES with a 3-5 page research synopsis describing the purpose of the research, research questions, target population and </w:t>
      </w:r>
      <w:r>
        <w:t xml:space="preserve">needed </w:t>
      </w:r>
      <w:r w:rsidRPr="007C3FC6">
        <w:t xml:space="preserve">sample, research design, data collection strategy, analysis plan, and timeline. In addition, </w:t>
      </w:r>
      <w:r>
        <w:t xml:space="preserve">the Application Process page required applicants to provide </w:t>
      </w:r>
      <w:r w:rsidRPr="007C3FC6">
        <w:t xml:space="preserve">an estimated budget and the Principal Investigator’s </w:t>
      </w:r>
      <w:r>
        <w:t xml:space="preserve">(PI) </w:t>
      </w:r>
      <w:r w:rsidRPr="007C3FC6">
        <w:t xml:space="preserve">curriculum vitae. This information allowed NCES to evaluate the projects for technical acceptance to determine whether the proposed work would </w:t>
      </w:r>
      <w:r>
        <w:t xml:space="preserve">(1) </w:t>
      </w:r>
      <w:r w:rsidRPr="007C3FC6">
        <w:t>be feasible within the constraints of NPSAS</w:t>
      </w:r>
      <w:proofErr w:type="gramStart"/>
      <w:r w:rsidRPr="007C3FC6">
        <w:t>:16</w:t>
      </w:r>
      <w:proofErr w:type="gramEnd"/>
      <w:r w:rsidRPr="007C3FC6">
        <w:t xml:space="preserve"> and </w:t>
      </w:r>
      <w:r>
        <w:t xml:space="preserve">(2) </w:t>
      </w:r>
      <w:r w:rsidRPr="007C3FC6">
        <w:t xml:space="preserve">meet the guidelines set forth in the NCES Statistical Standards. </w:t>
      </w:r>
      <w:r>
        <w:t xml:space="preserve">Upon review, </w:t>
      </w:r>
      <w:r w:rsidRPr="007C3FC6">
        <w:t xml:space="preserve">NCES provided the </w:t>
      </w:r>
      <w:r w:rsidRPr="007C3FC6">
        <w:lastRenderedPageBreak/>
        <w:t xml:space="preserve">researchers with a letter indicating </w:t>
      </w:r>
      <w:proofErr w:type="gramStart"/>
      <w:r w:rsidRPr="007C3FC6">
        <w:t>whether or not</w:t>
      </w:r>
      <w:proofErr w:type="gramEnd"/>
      <w:r w:rsidRPr="007C3FC6">
        <w:t xml:space="preserve"> the project was technically acceptable.</w:t>
      </w:r>
    </w:p>
    <w:p w14:paraId="4CED53FC" w14:textId="77777777" w:rsidR="003A60EF" w:rsidRPr="007C3FC6" w:rsidRDefault="003A60EF" w:rsidP="003A60EF">
      <w:pPr>
        <w:pStyle w:val="BodyText"/>
        <w:widowControl w:val="0"/>
        <w:ind w:firstLine="0"/>
      </w:pPr>
      <w:r w:rsidRPr="007C3FC6">
        <w:t xml:space="preserve">The projects that </w:t>
      </w:r>
      <w:r>
        <w:t xml:space="preserve">NCES </w:t>
      </w:r>
      <w:r w:rsidRPr="007C3FC6">
        <w:t>determined to be technically acceptable were sent to the NPSAS</w:t>
      </w:r>
      <w:proofErr w:type="gramStart"/>
      <w:r>
        <w:t>:16</w:t>
      </w:r>
      <w:proofErr w:type="gramEnd"/>
      <w:r w:rsidRPr="007C3FC6">
        <w:t xml:space="preserve"> data collection contractor, RTI International, to obtain a technical proposal and </w:t>
      </w:r>
      <w:r>
        <w:t xml:space="preserve">a </w:t>
      </w:r>
      <w:r w:rsidRPr="007C3FC6">
        <w:t xml:space="preserve">cost proposal that estimated the contractor’s data collection costs. </w:t>
      </w:r>
      <w:r>
        <w:t>The FY 2016 RFA for the Education Research Grants program required applicants to the NCER-NPSAS opportunity to include b</w:t>
      </w:r>
      <w:r w:rsidRPr="007C3FC6">
        <w:t xml:space="preserve">oth the letter of technical acceptance from NCES and RTI’s technical and cost proposals </w:t>
      </w:r>
      <w:r>
        <w:t xml:space="preserve">along with a </w:t>
      </w:r>
      <w:r w:rsidRPr="007C3FC6">
        <w:t xml:space="preserve">complete application </w:t>
      </w:r>
      <w:r>
        <w:t xml:space="preserve">to </w:t>
      </w:r>
      <w:r w:rsidRPr="007C3FC6">
        <w:t>NCER’s Education Research Grants program (84.305A)</w:t>
      </w:r>
      <w:r>
        <w:t xml:space="preserve">. Applicants were required to </w:t>
      </w:r>
      <w:r w:rsidRPr="007C3FC6">
        <w:t xml:space="preserve">submit </w:t>
      </w:r>
      <w:r>
        <w:t xml:space="preserve">the </w:t>
      </w:r>
      <w:r w:rsidRPr="007C3FC6">
        <w:t xml:space="preserve">full application </w:t>
      </w:r>
      <w:r>
        <w:t xml:space="preserve">package to IES </w:t>
      </w:r>
      <w:r w:rsidRPr="007C3FC6">
        <w:t xml:space="preserve">via </w:t>
      </w:r>
      <w:hyperlink r:id="rId13" w:history="1">
        <w:r w:rsidRPr="00CC09E9">
          <w:rPr>
            <w:rStyle w:val="Hyperlink"/>
            <w:color w:val="0000CC"/>
            <w:sz w:val="20"/>
          </w:rPr>
          <w:t>www.Grants.gov</w:t>
        </w:r>
      </w:hyperlink>
      <w:r>
        <w:t xml:space="preserve"> by August 6, 2016</w:t>
      </w:r>
      <w:r w:rsidRPr="007C3FC6">
        <w:t xml:space="preserve">. Once the competition closed, </w:t>
      </w:r>
      <w:r>
        <w:t xml:space="preserve">the </w:t>
      </w:r>
      <w:r w:rsidRPr="007C3FC6">
        <w:t>IES Standards and Review Office</w:t>
      </w:r>
      <w:r>
        <w:t xml:space="preserve"> (SRO)</w:t>
      </w:r>
      <w:r w:rsidDel="0025664F">
        <w:rPr>
          <w:rStyle w:val="CommentReference"/>
        </w:rPr>
        <w:t xml:space="preserve"> </w:t>
      </w:r>
      <w:r>
        <w:t xml:space="preserve">reviewed the applications for responsiveness to the FY 2016 Education Research Grants RFA, and forwarded the responsive applications for peer review as part of SRO’s FY 2016 applications review process. The </w:t>
      </w:r>
      <w:proofErr w:type="gramStart"/>
      <w:r>
        <w:t xml:space="preserve">responsive NCER-NPSAS applications were reviewed in February 2016 by the Systems and Broad Reforms panel, </w:t>
      </w:r>
      <w:r w:rsidRPr="007C3FC6">
        <w:t xml:space="preserve">a peer review panel </w:t>
      </w:r>
      <w:r>
        <w:t>of experts including postsecondary researchers, methodologists, and policy analysts</w:t>
      </w:r>
      <w:proofErr w:type="gramEnd"/>
      <w:r w:rsidRPr="007C3FC6">
        <w:t xml:space="preserve">. Since the inception of the NCER-NPSAS grant </w:t>
      </w:r>
      <w:r>
        <w:t>opportunity</w:t>
      </w:r>
      <w:r w:rsidRPr="007C3FC6">
        <w:t xml:space="preserve"> in 2010, grant applications have been submitted to use the NPSAS</w:t>
      </w:r>
      <w:proofErr w:type="gramStart"/>
      <w:r w:rsidRPr="007C3FC6">
        <w:t>:12</w:t>
      </w:r>
      <w:proofErr w:type="gramEnd"/>
      <w:r w:rsidRPr="007C3FC6">
        <w:t xml:space="preserve"> and the NPSAS:16 samples. No awards were made </w:t>
      </w:r>
      <w:r>
        <w:t xml:space="preserve">to use the </w:t>
      </w:r>
      <w:r w:rsidRPr="007C3FC6">
        <w:t>NPSAS</w:t>
      </w:r>
      <w:proofErr w:type="gramStart"/>
      <w:r w:rsidRPr="007C3FC6">
        <w:t>:12</w:t>
      </w:r>
      <w:proofErr w:type="gramEnd"/>
      <w:r w:rsidRPr="007C3FC6">
        <w:t xml:space="preserve"> </w:t>
      </w:r>
      <w:r>
        <w:t>sample, but</w:t>
      </w:r>
      <w:r w:rsidRPr="007C3FC6">
        <w:t xml:space="preserve"> </w:t>
      </w:r>
      <w:r>
        <w:t xml:space="preserve">the following </w:t>
      </w:r>
      <w:r w:rsidRPr="007C3FC6">
        <w:t xml:space="preserve">two awards were made </w:t>
      </w:r>
      <w:r>
        <w:t>to use the</w:t>
      </w:r>
      <w:r w:rsidRPr="007C3FC6">
        <w:t xml:space="preserve"> NPSAS:16 </w:t>
      </w:r>
      <w:r>
        <w:t xml:space="preserve">sample </w:t>
      </w:r>
      <w:r w:rsidRPr="007C3FC6">
        <w:t>(announced July 1, 2016</w:t>
      </w:r>
      <w:r>
        <w:t>)</w:t>
      </w:r>
      <w:r w:rsidRPr="007C3FC6">
        <w:t>:</w:t>
      </w:r>
    </w:p>
    <w:p w14:paraId="47BBBA6C" w14:textId="77777777" w:rsidR="003A60EF" w:rsidRPr="00DF248B" w:rsidRDefault="003A60EF" w:rsidP="00CC09E9">
      <w:pPr>
        <w:pStyle w:val="bulletround"/>
        <w:numPr>
          <w:ilvl w:val="0"/>
          <w:numId w:val="1"/>
        </w:numPr>
        <w:spacing w:line="240" w:lineRule="auto"/>
      </w:pPr>
      <w:r w:rsidRPr="00DF248B">
        <w:t>Financial Aid Nudges: A National Experiment to Increase Retention of Financial Aid and College Persistence</w:t>
      </w:r>
      <w:r>
        <w:t xml:space="preserve"> (see </w:t>
      </w:r>
      <w:hyperlink r:id="rId14" w:history="1">
        <w:r w:rsidRPr="00CC09E9">
          <w:rPr>
            <w:rStyle w:val="Hyperlink"/>
            <w:color w:val="0000CC"/>
            <w:spacing w:val="0"/>
            <w:sz w:val="20"/>
          </w:rPr>
          <w:t>http://ies.ed.gov/funding/grantsearch/details.asp?ID=1848</w:t>
        </w:r>
      </w:hyperlink>
      <w:r w:rsidRPr="007E4244">
        <w:rPr>
          <w:rStyle w:val="Hyperlink"/>
          <w:spacing w:val="0"/>
          <w:u w:val="none"/>
        </w:rPr>
        <w:t xml:space="preserve"> for </w:t>
      </w:r>
      <w:r>
        <w:t>project description</w:t>
      </w:r>
      <w:r>
        <w:rPr>
          <w:spacing w:val="0"/>
        </w:rPr>
        <w:t xml:space="preserve">) </w:t>
      </w:r>
      <w:r w:rsidRPr="00DF248B">
        <w:t>, and</w:t>
      </w:r>
    </w:p>
    <w:p w14:paraId="07EB8CD7" w14:textId="77777777" w:rsidR="003A60EF" w:rsidRPr="00DF248B" w:rsidRDefault="003A60EF" w:rsidP="00CC09E9">
      <w:pPr>
        <w:pStyle w:val="bulletround"/>
        <w:numPr>
          <w:ilvl w:val="0"/>
          <w:numId w:val="1"/>
        </w:numPr>
        <w:spacing w:line="240" w:lineRule="auto"/>
      </w:pPr>
      <w:r w:rsidRPr="00DF248B">
        <w:t xml:space="preserve">Could Connecting Students with Financial Aid Lead to Better College Outcomes? </w:t>
      </w:r>
      <w:proofErr w:type="gramStart"/>
      <w:r w:rsidRPr="00DF248B">
        <w:t>A Proposal to Test the Effectiveness of FAFSA Interventions Using the NPSAS Sample</w:t>
      </w:r>
      <w:r>
        <w:t xml:space="preserve"> (referred to as “</w:t>
      </w:r>
      <w:r w:rsidRPr="00E64AB9">
        <w:rPr>
          <w:spacing w:val="0"/>
        </w:rPr>
        <w:t>Connecting Students with Financial Aid (CSFA)</w:t>
      </w:r>
      <w:r>
        <w:rPr>
          <w:spacing w:val="0"/>
        </w:rPr>
        <w:t xml:space="preserve"> </w:t>
      </w:r>
      <w:r>
        <w:t xml:space="preserve">2017”) (see </w:t>
      </w:r>
      <w:hyperlink r:id="rId15" w:history="1">
        <w:r w:rsidRPr="00CC09E9">
          <w:rPr>
            <w:rStyle w:val="Hyperlink"/>
            <w:color w:val="0000CC"/>
            <w:sz w:val="20"/>
          </w:rPr>
          <w:t>http://ies.ed.gov/funding/grantsearch/details.asp?ID=1853</w:t>
        </w:r>
      </w:hyperlink>
      <w:r>
        <w:t xml:space="preserve"> for project description).</w:t>
      </w:r>
      <w:proofErr w:type="gramEnd"/>
    </w:p>
    <w:p w14:paraId="7286D225" w14:textId="77777777" w:rsidR="003A60EF" w:rsidRDefault="003A60EF" w:rsidP="003A60EF">
      <w:pPr>
        <w:pStyle w:val="BodyText"/>
        <w:ind w:firstLine="0"/>
      </w:pPr>
      <w:r w:rsidRPr="007C3FC6">
        <w:t>The NCER-NPSAS grant program requires substantial coordination between NCER, NCES, RTI</w:t>
      </w:r>
      <w:r>
        <w:t>,</w:t>
      </w:r>
      <w:r w:rsidRPr="007C3FC6">
        <w:t xml:space="preserve"> and the </w:t>
      </w:r>
      <w:r>
        <w:t>grant recipients (</w:t>
      </w:r>
      <w:r w:rsidRPr="007C3FC6">
        <w:t>grantee</w:t>
      </w:r>
      <w:r>
        <w:t>s)</w:t>
      </w:r>
      <w:r w:rsidRPr="007C3FC6">
        <w:t xml:space="preserve">. NCER monitors the grant </w:t>
      </w:r>
      <w:r>
        <w:t xml:space="preserve">research </w:t>
      </w:r>
      <w:r w:rsidRPr="007C3FC6">
        <w:t xml:space="preserve">to ensure that it </w:t>
      </w:r>
      <w:proofErr w:type="gramStart"/>
      <w:r w:rsidRPr="007C3FC6">
        <w:t>is implemented</w:t>
      </w:r>
      <w:proofErr w:type="gramEnd"/>
      <w:r w:rsidRPr="007C3FC6">
        <w:t xml:space="preserve"> </w:t>
      </w:r>
      <w:r>
        <w:t>consistently with the scope of activities presented in the grant application</w:t>
      </w:r>
      <w:r w:rsidRPr="007C3FC6">
        <w:t xml:space="preserve">. </w:t>
      </w:r>
      <w:r>
        <w:t xml:space="preserve">The expected products and a timeline for key tasks (benchmarks) </w:t>
      </w:r>
      <w:proofErr w:type="gramStart"/>
      <w:r>
        <w:t>are codified</w:t>
      </w:r>
      <w:proofErr w:type="gramEnd"/>
      <w:r>
        <w:t xml:space="preserve"> in a Performance Agreement shortly after the grant award is made. The grant monitoring process, however, allows </w:t>
      </w:r>
      <w:proofErr w:type="gramStart"/>
      <w:r>
        <w:t>for the</w:t>
      </w:r>
      <w:proofErr w:type="gramEnd"/>
      <w:r>
        <w:t xml:space="preserve"> grantee to negotiate with the IES program office changes to a project’s objectives, benchmarks, and timeline. NCER also monitors grantees to ensure that they obtain certification from the appropriate Institutional Review Board (IRB) or Boards to carry out research involving non-exempt human subjects. </w:t>
      </w:r>
      <w:r w:rsidRPr="007C3FC6">
        <w:t xml:space="preserve">NCES’ role is to ensure </w:t>
      </w:r>
      <w:r>
        <w:t xml:space="preserve">that </w:t>
      </w:r>
      <w:r w:rsidRPr="007C3FC6">
        <w:t xml:space="preserve">the confidentiality of the NPSAS sample members </w:t>
      </w:r>
      <w:proofErr w:type="gramStart"/>
      <w:r w:rsidRPr="007C3FC6">
        <w:t>is protected</w:t>
      </w:r>
      <w:proofErr w:type="gramEnd"/>
      <w:r>
        <w:t xml:space="preserve">, </w:t>
      </w:r>
      <w:r w:rsidRPr="007C3FC6">
        <w:t>includ</w:t>
      </w:r>
      <w:r>
        <w:t>ing</w:t>
      </w:r>
      <w:r w:rsidRPr="007C3FC6">
        <w:t xml:space="preserve"> ensuring </w:t>
      </w:r>
      <w:r>
        <w:t xml:space="preserve">that </w:t>
      </w:r>
      <w:r w:rsidRPr="007C3FC6">
        <w:t xml:space="preserve">proper data security protocols are in place and that NCES Statistical Standards are met. In addition, NCES will </w:t>
      </w:r>
      <w:r>
        <w:t>make</w:t>
      </w:r>
      <w:r w:rsidRPr="007C3FC6">
        <w:t xml:space="preserve"> the </w:t>
      </w:r>
      <w:r>
        <w:t xml:space="preserve">collected </w:t>
      </w:r>
      <w:r w:rsidRPr="007C3FC6">
        <w:t xml:space="preserve">data </w:t>
      </w:r>
      <w:r>
        <w:t xml:space="preserve">available </w:t>
      </w:r>
      <w:r w:rsidRPr="007C3FC6">
        <w:t xml:space="preserve">to the grantee under </w:t>
      </w:r>
      <w:r>
        <w:t>NCES’s</w:t>
      </w:r>
      <w:r w:rsidRPr="007C3FC6">
        <w:t xml:space="preserve"> restricted-use licensing program. </w:t>
      </w:r>
      <w:proofErr w:type="gramStart"/>
      <w:r w:rsidRPr="007C3FC6">
        <w:t>RTI has direct access to the NPSAS sample members and will lead all data collection activities.</w:t>
      </w:r>
      <w:proofErr w:type="gramEnd"/>
      <w:r w:rsidRPr="007C3FC6">
        <w:t xml:space="preserve"> RTI is operating </w:t>
      </w:r>
      <w:r>
        <w:t>under a</w:t>
      </w:r>
      <w:r w:rsidRPr="007C3FC6">
        <w:t xml:space="preserve"> subcontract from the grantee</w:t>
      </w:r>
      <w:r>
        <w:t>, as</w:t>
      </w:r>
      <w:r w:rsidRPr="007C3FC6">
        <w:t xml:space="preserve"> funded </w:t>
      </w:r>
      <w:r>
        <w:t>by the</w:t>
      </w:r>
      <w:r w:rsidRPr="007C3FC6">
        <w:t xml:space="preserve"> NCER-granted funds. RTI is responsible for sample selection, respondent contacting and follow-up, data collection and processing, and weighting of the data (if applicable). RTI’s costs were included in the budget for the grant application. The grantee is responsible for research design, data analysis, and dissemination</w:t>
      </w:r>
      <w:r>
        <w:t xml:space="preserve"> of results.</w:t>
      </w:r>
    </w:p>
    <w:p w14:paraId="6C0CE9A9" w14:textId="26B5F8AD" w:rsidR="000868F1" w:rsidRPr="004D65D7" w:rsidRDefault="003A60EF" w:rsidP="000868F1">
      <w:pPr>
        <w:pStyle w:val="BodyText"/>
        <w:ind w:firstLine="0"/>
      </w:pPr>
      <w:proofErr w:type="gramStart"/>
      <w:r w:rsidRPr="007C3FC6">
        <w:t xml:space="preserve">Once all data are collected and processed by the contractor, the grantee must apply for </w:t>
      </w:r>
      <w:r>
        <w:t>the</w:t>
      </w:r>
      <w:r w:rsidRPr="007C3FC6">
        <w:t xml:space="preserve"> NCES restricted-use data license in order to </w:t>
      </w:r>
      <w:r>
        <w:t>gain access to</w:t>
      </w:r>
      <w:r w:rsidRPr="007C3FC6">
        <w:t xml:space="preserve"> the collected data, which are the property of NCES </w:t>
      </w:r>
      <w:r>
        <w:t xml:space="preserve">and </w:t>
      </w:r>
      <w:r w:rsidRPr="007C3FC6">
        <w:t>loan</w:t>
      </w:r>
      <w:r>
        <w:t>ed</w:t>
      </w:r>
      <w:r w:rsidRPr="007C3FC6">
        <w:t xml:space="preserve"> to the grantee exclusively until the end of the grant period</w:t>
      </w:r>
      <w:r>
        <w:t xml:space="preserve"> </w:t>
      </w:r>
      <w:r w:rsidRPr="004F4E9F">
        <w:t>or until the grantee has published the main research paper (whichever comes later)</w:t>
      </w:r>
      <w:r w:rsidRPr="007C3FC6">
        <w:t>.</w:t>
      </w:r>
      <w:proofErr w:type="gramEnd"/>
      <w:r w:rsidRPr="007C3FC6">
        <w:t xml:space="preserve"> As is the case with all NCES restricted-use data files (RUF), no personally identifying information will be contained on the dataset. Information on the restricted-use data license is available at </w:t>
      </w:r>
      <w:hyperlink r:id="rId16" w:history="1">
        <w:r w:rsidRPr="004B0BF2">
          <w:rPr>
            <w:color w:val="0000CC"/>
            <w:sz w:val="20"/>
            <w:u w:val="single"/>
          </w:rPr>
          <w:t>http://nces.ed.gov/pubsearch/licenses.asp</w:t>
        </w:r>
      </w:hyperlink>
      <w:r w:rsidRPr="007C3FC6">
        <w:t>. Grantees must adhere to all NCES Statistical Standards in data analysis and diffusion</w:t>
      </w:r>
      <w:r>
        <w:t xml:space="preserve"> (see </w:t>
      </w:r>
      <w:hyperlink r:id="rId17" w:history="1">
        <w:r w:rsidRPr="004B0BF2">
          <w:rPr>
            <w:color w:val="0000CC"/>
            <w:sz w:val="20"/>
            <w:u w:val="single"/>
          </w:rPr>
          <w:t>http://nces.ed.gov/statprog/2012/</w:t>
        </w:r>
      </w:hyperlink>
      <w:r w:rsidRPr="007C3FC6">
        <w:t>)</w:t>
      </w:r>
      <w:r>
        <w:t xml:space="preserve">. </w:t>
      </w:r>
      <w:r w:rsidRPr="007C3FC6">
        <w:t xml:space="preserve">After having received the restricted-use data license, grantees </w:t>
      </w:r>
      <w:proofErr w:type="gramStart"/>
      <w:r w:rsidRPr="007C3FC6">
        <w:t>will be provided</w:t>
      </w:r>
      <w:proofErr w:type="gramEnd"/>
      <w:r w:rsidRPr="007C3FC6">
        <w:t xml:space="preserve"> with the collected data. However, no grant-funded raw data shall be released to any party other than NCES and RTI </w:t>
      </w:r>
      <w:r>
        <w:t xml:space="preserve">(the latter </w:t>
      </w:r>
      <w:r w:rsidRPr="007C3FC6">
        <w:t xml:space="preserve">as the </w:t>
      </w:r>
      <w:r>
        <w:t xml:space="preserve">primary contractor for </w:t>
      </w:r>
      <w:r w:rsidRPr="007C3FC6">
        <w:t>NPSAS</w:t>
      </w:r>
      <w:proofErr w:type="gramStart"/>
      <w:r w:rsidRPr="007C3FC6">
        <w:t>:16</w:t>
      </w:r>
      <w:proofErr w:type="gramEnd"/>
      <w:r>
        <w:t xml:space="preserve">; </w:t>
      </w:r>
      <w:r>
        <w:rPr>
          <w:color w:val="000000" w:themeColor="text1"/>
        </w:rPr>
        <w:t>c</w:t>
      </w:r>
      <w:r w:rsidRPr="00DC4BBF">
        <w:rPr>
          <w:color w:val="000000" w:themeColor="text1"/>
        </w:rPr>
        <w:t>ontract# ED-IES-13-C-0070</w:t>
      </w:r>
      <w:r>
        <w:t>)</w:t>
      </w:r>
      <w:r w:rsidRPr="007C3FC6">
        <w:t xml:space="preserve">. </w:t>
      </w:r>
      <w:r w:rsidRPr="00460E8D">
        <w:t>Upon the grant expiration date</w:t>
      </w:r>
      <w:r>
        <w:t xml:space="preserve"> or</w:t>
      </w:r>
      <w:r w:rsidRPr="00FD43F5">
        <w:t xml:space="preserve"> after the grantee has published the main research paper (whichever comes later)</w:t>
      </w:r>
      <w:r w:rsidRPr="00460E8D">
        <w:t xml:space="preserve">, NCES will make the data available to a wider audience as </w:t>
      </w:r>
      <w:r w:rsidR="004B0BF2">
        <w:t>RUF</w:t>
      </w:r>
      <w:r w:rsidRPr="00460E8D">
        <w:t>, assuring all NCES Statistical Standards are met.</w:t>
      </w:r>
    </w:p>
    <w:p w14:paraId="7A057F17" w14:textId="77777777" w:rsidR="00696B37" w:rsidRPr="007C3FC6" w:rsidRDefault="00696B37" w:rsidP="007C3FC6">
      <w:pPr>
        <w:pStyle w:val="Heading2"/>
        <w:keepNext w:val="0"/>
        <w:widowControl w:val="0"/>
        <w:numPr>
          <w:ilvl w:val="1"/>
          <w:numId w:val="14"/>
        </w:numPr>
      </w:pPr>
      <w:bookmarkStart w:id="11" w:name="_Toc99781029"/>
      <w:bookmarkStart w:id="12" w:name="_Toc115671405"/>
      <w:bookmarkStart w:id="13" w:name="_Toc383113358"/>
      <w:bookmarkStart w:id="14" w:name="_Toc464308434"/>
      <w:r w:rsidRPr="007C3FC6">
        <w:lastRenderedPageBreak/>
        <w:t xml:space="preserve">Circumstances Making Collection of Information </w:t>
      </w:r>
      <w:bookmarkStart w:id="15" w:name="_Toc99781030"/>
      <w:bookmarkEnd w:id="11"/>
      <w:r w:rsidRPr="007C3FC6">
        <w:t>Necessary</w:t>
      </w:r>
      <w:bookmarkEnd w:id="12"/>
      <w:bookmarkEnd w:id="13"/>
      <w:bookmarkEnd w:id="14"/>
      <w:bookmarkEnd w:id="15"/>
    </w:p>
    <w:p w14:paraId="3FE98EE4" w14:textId="0D148347" w:rsidR="00FC7F89" w:rsidRPr="00DC4BBF" w:rsidRDefault="00FC7F89" w:rsidP="00FC7F89">
      <w:pPr>
        <w:spacing w:after="120" w:line="240" w:lineRule="auto"/>
        <w:rPr>
          <w:color w:val="000000" w:themeColor="text1"/>
        </w:rPr>
      </w:pPr>
      <w:r w:rsidRPr="00DC4BBF">
        <w:rPr>
          <w:color w:val="000000" w:themeColor="text1"/>
        </w:rPr>
        <w:t>This request is to conduct the NCER</w:t>
      </w:r>
      <w:r w:rsidR="001405F9">
        <w:rPr>
          <w:color w:val="000000" w:themeColor="text1"/>
        </w:rPr>
        <w:t>-</w:t>
      </w:r>
      <w:r w:rsidR="001405F9" w:rsidRPr="001405F9">
        <w:rPr>
          <w:color w:val="000000" w:themeColor="text1"/>
        </w:rPr>
        <w:t xml:space="preserve"> </w:t>
      </w:r>
      <w:r w:rsidR="001405F9" w:rsidRPr="00DC4BBF">
        <w:rPr>
          <w:color w:val="000000" w:themeColor="text1"/>
        </w:rPr>
        <w:t>NPSAS</w:t>
      </w:r>
      <w:r w:rsidRPr="00DC4BBF">
        <w:rPr>
          <w:color w:val="000000" w:themeColor="text1"/>
        </w:rPr>
        <w:t xml:space="preserve"> Grant</w:t>
      </w:r>
      <w:r w:rsidR="0081261C">
        <w:rPr>
          <w:color w:val="000000" w:themeColor="text1"/>
        </w:rPr>
        <w:t xml:space="preserve"> Study</w:t>
      </w:r>
      <w:r w:rsidRPr="00DC4BBF">
        <w:rPr>
          <w:color w:val="000000" w:themeColor="text1"/>
        </w:rPr>
        <w:t xml:space="preserve"> – </w:t>
      </w:r>
      <w:r w:rsidR="00DB635B">
        <w:rPr>
          <w:color w:val="000000" w:themeColor="text1"/>
        </w:rPr>
        <w:t>Financial Aid Nudges 2017</w:t>
      </w:r>
      <w:r w:rsidRPr="00DC4BBF">
        <w:rPr>
          <w:color w:val="000000" w:themeColor="text1"/>
        </w:rPr>
        <w:t>:</w:t>
      </w:r>
      <w:r w:rsidR="00D27F94">
        <w:rPr>
          <w:color w:val="000000" w:themeColor="text1"/>
        </w:rPr>
        <w:t xml:space="preserve"> </w:t>
      </w:r>
      <w:r w:rsidRPr="00DC4BBF">
        <w:rPr>
          <w:color w:val="000000" w:themeColor="text1"/>
        </w:rPr>
        <w:t xml:space="preserve">A National Experiment to Increase Retention of Financial Aid and College Persistence, which is a study of the effectiveness of an intervention that will provide financial aid information, reminders, and advising to college students who were initially interviewed as part of NPSAS:16. This research </w:t>
      </w:r>
      <w:proofErr w:type="gramStart"/>
      <w:r w:rsidRPr="00DC4BBF">
        <w:rPr>
          <w:color w:val="000000" w:themeColor="text1"/>
        </w:rPr>
        <w:t>is being conducted</w:t>
      </w:r>
      <w:proofErr w:type="gramEnd"/>
      <w:r w:rsidRPr="00DC4BBF">
        <w:rPr>
          <w:color w:val="000000" w:themeColor="text1"/>
        </w:rPr>
        <w:t xml:space="preserve"> under a grant awarded through the NCER</w:t>
      </w:r>
      <w:r w:rsidR="001405F9">
        <w:rPr>
          <w:color w:val="000000" w:themeColor="text1"/>
        </w:rPr>
        <w:t>-</w:t>
      </w:r>
      <w:r w:rsidR="001405F9" w:rsidRPr="001405F9">
        <w:rPr>
          <w:color w:val="000000" w:themeColor="text1"/>
        </w:rPr>
        <w:t xml:space="preserve"> </w:t>
      </w:r>
      <w:r w:rsidR="001405F9" w:rsidRPr="00DC4BBF">
        <w:rPr>
          <w:color w:val="000000" w:themeColor="text1"/>
        </w:rPr>
        <w:t>NPSAS</w:t>
      </w:r>
      <w:r w:rsidRPr="00DC4BBF">
        <w:rPr>
          <w:color w:val="000000" w:themeColor="text1"/>
        </w:rPr>
        <w:t xml:space="preserve"> </w:t>
      </w:r>
      <w:r w:rsidR="001405F9" w:rsidRPr="007C3FC6">
        <w:t xml:space="preserve">grant opportunity </w:t>
      </w:r>
      <w:r w:rsidR="001405F9">
        <w:rPr>
          <w:color w:val="000000" w:themeColor="text1"/>
        </w:rPr>
        <w:t xml:space="preserve">described above. </w:t>
      </w:r>
      <w:r w:rsidRPr="00DC4BBF">
        <w:rPr>
          <w:color w:val="000000" w:themeColor="text1"/>
        </w:rPr>
        <w:t xml:space="preserve">The primary grantee is Sara </w:t>
      </w:r>
      <w:proofErr w:type="spellStart"/>
      <w:r w:rsidRPr="00DC4BBF">
        <w:rPr>
          <w:color w:val="000000" w:themeColor="text1"/>
        </w:rPr>
        <w:t>Goldrick-Rab</w:t>
      </w:r>
      <w:proofErr w:type="spellEnd"/>
      <w:r w:rsidRPr="00DC4BBF">
        <w:rPr>
          <w:color w:val="000000" w:themeColor="text1"/>
        </w:rPr>
        <w:t xml:space="preserve">, Temple University (Grant Award #R305A160400), and the co-principal investigators </w:t>
      </w:r>
      <w:proofErr w:type="gramStart"/>
      <w:r w:rsidRPr="00DC4BBF">
        <w:rPr>
          <w:color w:val="000000" w:themeColor="text1"/>
        </w:rPr>
        <w:t>are:</w:t>
      </w:r>
      <w:proofErr w:type="gramEnd"/>
      <w:r w:rsidR="00D27F94">
        <w:rPr>
          <w:color w:val="000000" w:themeColor="text1"/>
        </w:rPr>
        <w:t xml:space="preserve"> </w:t>
      </w:r>
      <w:r w:rsidRPr="00DC4BBF">
        <w:rPr>
          <w:color w:val="000000" w:themeColor="text1"/>
        </w:rPr>
        <w:t xml:space="preserve">Benjamin </w:t>
      </w:r>
      <w:proofErr w:type="spellStart"/>
      <w:r w:rsidRPr="00DC4BBF">
        <w:rPr>
          <w:color w:val="000000" w:themeColor="text1"/>
        </w:rPr>
        <w:t>Castleman</w:t>
      </w:r>
      <w:proofErr w:type="spellEnd"/>
      <w:r w:rsidRPr="00DC4BBF">
        <w:rPr>
          <w:color w:val="000000" w:themeColor="text1"/>
        </w:rPr>
        <w:t>, University of Virginia; Lindsay Page, University of Pittsburgh; and Bru</w:t>
      </w:r>
      <w:r w:rsidR="001405F9">
        <w:rPr>
          <w:color w:val="000000" w:themeColor="text1"/>
        </w:rPr>
        <w:t xml:space="preserve">ce </w:t>
      </w:r>
      <w:proofErr w:type="spellStart"/>
      <w:r w:rsidR="001405F9">
        <w:rPr>
          <w:color w:val="000000" w:themeColor="text1"/>
        </w:rPr>
        <w:t>Sacerdote</w:t>
      </w:r>
      <w:proofErr w:type="spellEnd"/>
      <w:r w:rsidR="001405F9">
        <w:rPr>
          <w:color w:val="000000" w:themeColor="text1"/>
        </w:rPr>
        <w:t>, Dartmouth College</w:t>
      </w:r>
      <w:r w:rsidRPr="00DC4BBF">
        <w:rPr>
          <w:color w:val="000000" w:themeColor="text1"/>
        </w:rPr>
        <w:t>.</w:t>
      </w:r>
      <w:r w:rsidR="00EB70BA">
        <w:rPr>
          <w:color w:val="000000" w:themeColor="text1"/>
        </w:rPr>
        <w:t xml:space="preserve"> </w:t>
      </w:r>
      <w:proofErr w:type="gramStart"/>
      <w:r w:rsidR="00EB70BA">
        <w:rPr>
          <w:color w:val="000000" w:themeColor="text1"/>
        </w:rPr>
        <w:t xml:space="preserve">Data collection will be led by the contractor, RTI, with </w:t>
      </w:r>
      <w:r w:rsidR="00EB70BA" w:rsidRPr="00EB70BA">
        <w:rPr>
          <w:color w:val="000000" w:themeColor="text1"/>
        </w:rPr>
        <w:t>College Possible</w:t>
      </w:r>
      <w:proofErr w:type="gramEnd"/>
      <w:r w:rsidR="00EB70BA" w:rsidRPr="00EB70BA">
        <w:rPr>
          <w:color w:val="000000" w:themeColor="text1"/>
        </w:rPr>
        <w:t xml:space="preserve"> and Signal Vine</w:t>
      </w:r>
      <w:r w:rsidR="00EB70BA">
        <w:rPr>
          <w:color w:val="000000" w:themeColor="text1"/>
        </w:rPr>
        <w:t xml:space="preserve"> </w:t>
      </w:r>
      <w:r w:rsidR="00EB70BA" w:rsidRPr="00EB70BA">
        <w:rPr>
          <w:color w:val="000000" w:themeColor="text1"/>
        </w:rPr>
        <w:t>subcontract</w:t>
      </w:r>
      <w:r w:rsidR="00EB70BA">
        <w:rPr>
          <w:color w:val="000000" w:themeColor="text1"/>
        </w:rPr>
        <w:t>ed</w:t>
      </w:r>
      <w:r w:rsidR="00EB70BA" w:rsidRPr="00EB70BA">
        <w:rPr>
          <w:color w:val="000000" w:themeColor="text1"/>
        </w:rPr>
        <w:t xml:space="preserve"> </w:t>
      </w:r>
      <w:r w:rsidR="00EB70BA">
        <w:rPr>
          <w:color w:val="000000" w:themeColor="text1"/>
        </w:rPr>
        <w:t>for this study.</w:t>
      </w:r>
    </w:p>
    <w:p w14:paraId="7E1B8C47" w14:textId="77777777" w:rsidR="00FF1928" w:rsidRPr="001405F9" w:rsidRDefault="00FC7F89" w:rsidP="001405F9">
      <w:pPr>
        <w:spacing w:after="120" w:line="240" w:lineRule="auto"/>
        <w:rPr>
          <w:color w:val="000000" w:themeColor="text1"/>
        </w:rPr>
      </w:pPr>
      <w:r w:rsidRPr="00DC4BBF">
        <w:rPr>
          <w:color w:val="000000" w:themeColor="text1"/>
        </w:rPr>
        <w:t>In addition to the study’s description in the Supporting Statement Part A and B, this submission includes:</w:t>
      </w:r>
    </w:p>
    <w:p w14:paraId="01E17CA1" w14:textId="77777777" w:rsidR="004A2D4B" w:rsidRPr="007C3FC6" w:rsidRDefault="004A2D4B" w:rsidP="007C3FC6">
      <w:pPr>
        <w:pStyle w:val="bulletround"/>
        <w:widowControl w:val="0"/>
        <w:tabs>
          <w:tab w:val="clear" w:pos="1080"/>
          <w:tab w:val="num" w:pos="540"/>
        </w:tabs>
        <w:ind w:left="540"/>
        <w:rPr>
          <w:spacing w:val="0"/>
        </w:rPr>
      </w:pPr>
      <w:r w:rsidRPr="007C3FC6">
        <w:rPr>
          <w:spacing w:val="0"/>
        </w:rPr>
        <w:t>Contacting materials and protocols for student participants (appendix A)</w:t>
      </w:r>
      <w:r w:rsidR="001405F9" w:rsidRPr="001F2F30">
        <w:t>,</w:t>
      </w:r>
      <w:r w:rsidRPr="007C3FC6">
        <w:rPr>
          <w:spacing w:val="0"/>
        </w:rPr>
        <w:t xml:space="preserve"> and</w:t>
      </w:r>
    </w:p>
    <w:p w14:paraId="4276D147" w14:textId="77777777" w:rsidR="00FF1928" w:rsidRPr="00CF510C" w:rsidRDefault="00740AF4" w:rsidP="007C3FC6">
      <w:pPr>
        <w:pStyle w:val="bulletround"/>
        <w:widowControl w:val="0"/>
        <w:tabs>
          <w:tab w:val="clear" w:pos="1080"/>
          <w:tab w:val="num" w:pos="540"/>
        </w:tabs>
        <w:ind w:left="540"/>
        <w:rPr>
          <w:spacing w:val="0"/>
        </w:rPr>
      </w:pPr>
      <w:r w:rsidRPr="007C3FC6">
        <w:rPr>
          <w:spacing w:val="0"/>
        </w:rPr>
        <w:t xml:space="preserve">A description of the confidentiality procedures in place for record matching </w:t>
      </w:r>
      <w:r w:rsidR="007A19B9" w:rsidRPr="007C3FC6">
        <w:rPr>
          <w:spacing w:val="0"/>
        </w:rPr>
        <w:t>to the Central Processing System</w:t>
      </w:r>
      <w:r w:rsidR="005E75FD" w:rsidRPr="007C3FC6">
        <w:rPr>
          <w:spacing w:val="0"/>
        </w:rPr>
        <w:t>, National Student Loan Data System, and National Student Clearinghouse</w:t>
      </w:r>
      <w:r w:rsidR="007A19B9" w:rsidRPr="001F2F30">
        <w:t xml:space="preserve"> </w:t>
      </w:r>
      <w:r w:rsidRPr="007C3FC6">
        <w:rPr>
          <w:spacing w:val="0"/>
        </w:rPr>
        <w:t xml:space="preserve">(appendix </w:t>
      </w:r>
      <w:r w:rsidR="004A2D4B" w:rsidRPr="007C3FC6">
        <w:rPr>
          <w:spacing w:val="0"/>
        </w:rPr>
        <w:t>B</w:t>
      </w:r>
      <w:r w:rsidR="007A19B9" w:rsidRPr="001F2F30">
        <w:t>)</w:t>
      </w:r>
      <w:r w:rsidR="004A2D4B" w:rsidRPr="001F2F30">
        <w:t>.</w:t>
      </w:r>
    </w:p>
    <w:p w14:paraId="369E4A24" w14:textId="21A23721" w:rsidR="00CF510C" w:rsidRPr="00CF510C" w:rsidRDefault="00CF510C" w:rsidP="00CF510C">
      <w:pPr>
        <w:pStyle w:val="bulletround"/>
        <w:numPr>
          <w:ilvl w:val="0"/>
          <w:numId w:val="0"/>
        </w:numPr>
        <w:rPr>
          <w:szCs w:val="24"/>
        </w:rPr>
      </w:pPr>
      <w:r>
        <w:t xml:space="preserve">In December 2016, the research team plans to conduct focus group(s) to test whether the language of the text messages is understandable to a group of low-income and </w:t>
      </w:r>
      <w:proofErr w:type="gramStart"/>
      <w:r>
        <w:t>first generation</w:t>
      </w:r>
      <w:proofErr w:type="gramEnd"/>
      <w:r>
        <w:t xml:space="preserve"> students (</w:t>
      </w:r>
      <w:r w:rsidRPr="00D27F94">
        <w:t>1850-0803 v.183</w:t>
      </w:r>
      <w:r>
        <w:t xml:space="preserve">). If the focus group(s) suggest changes </w:t>
      </w:r>
      <w:proofErr w:type="gramStart"/>
      <w:r>
        <w:t>should be made</w:t>
      </w:r>
      <w:proofErr w:type="gramEnd"/>
      <w:r>
        <w:t xml:space="preserve"> to text message language, those revisions will be submitted in December 2016 as part of this submission and/or via a change memo to OMB in early 2017.</w:t>
      </w:r>
    </w:p>
    <w:p w14:paraId="46E3C53E" w14:textId="77777777" w:rsidR="00696B37" w:rsidRPr="007C3FC6" w:rsidRDefault="00696B37" w:rsidP="007C3FC6">
      <w:pPr>
        <w:pStyle w:val="Heading2"/>
        <w:keepNext w:val="0"/>
        <w:widowControl w:val="0"/>
        <w:spacing w:line="240" w:lineRule="auto"/>
      </w:pPr>
      <w:bookmarkStart w:id="16" w:name="_Toc383113363"/>
      <w:bookmarkStart w:id="17" w:name="_Toc418171235"/>
      <w:bookmarkStart w:id="18" w:name="_Toc464308435"/>
      <w:bookmarkStart w:id="19" w:name="_Toc383113366"/>
      <w:r w:rsidRPr="007C3FC6">
        <w:t>Purposes and Uses of the Data</w:t>
      </w:r>
      <w:bookmarkEnd w:id="16"/>
      <w:bookmarkEnd w:id="17"/>
      <w:bookmarkEnd w:id="18"/>
    </w:p>
    <w:p w14:paraId="2B12A3FB" w14:textId="5FE033E6" w:rsidR="00966072" w:rsidRPr="007C3FC6" w:rsidRDefault="00696B37" w:rsidP="007C3FC6">
      <w:pPr>
        <w:pStyle w:val="Heading3"/>
        <w:keepNext w:val="0"/>
        <w:widowControl w:val="0"/>
      </w:pPr>
      <w:bookmarkStart w:id="20" w:name="_Toc464308436"/>
      <w:r w:rsidRPr="007C3FC6">
        <w:t xml:space="preserve">Purposes of the </w:t>
      </w:r>
      <w:r w:rsidR="00DB635B" w:rsidRPr="001F2F30">
        <w:rPr>
          <w:i/>
          <w:iCs/>
        </w:rPr>
        <w:t>Financial Aid Nudges 2017</w:t>
      </w:r>
      <w:r w:rsidRPr="007C3FC6">
        <w:t xml:space="preserve"> </w:t>
      </w:r>
      <w:r w:rsidR="00EF029C">
        <w:t>Study</w:t>
      </w:r>
      <w:bookmarkEnd w:id="20"/>
    </w:p>
    <w:p w14:paraId="0529A077" w14:textId="5808D1AA" w:rsidR="00FF1928" w:rsidRDefault="00E92D47" w:rsidP="007C3FC6">
      <w:pPr>
        <w:pStyle w:val="BodyText"/>
        <w:widowControl w:val="0"/>
        <w:ind w:firstLine="0"/>
        <w:rPr>
          <w:kern w:val="24"/>
        </w:rPr>
      </w:pPr>
      <w:r w:rsidRPr="007C3FC6">
        <w:rPr>
          <w:kern w:val="24"/>
        </w:rPr>
        <w:t xml:space="preserve">This study aims to capitalize on a unique opportunity provided by NCES, in which a </w:t>
      </w:r>
      <w:r w:rsidR="009D5D7A">
        <w:rPr>
          <w:kern w:val="24"/>
        </w:rPr>
        <w:t xml:space="preserve">subset of the </w:t>
      </w:r>
      <w:r w:rsidRPr="007C3FC6">
        <w:rPr>
          <w:kern w:val="24"/>
        </w:rPr>
        <w:t>nationally representative sample from NPSAS</w:t>
      </w:r>
      <w:proofErr w:type="gramStart"/>
      <w:r w:rsidRPr="007C3FC6">
        <w:rPr>
          <w:kern w:val="24"/>
        </w:rPr>
        <w:t>:16</w:t>
      </w:r>
      <w:proofErr w:type="gramEnd"/>
      <w:r w:rsidRPr="007C3FC6">
        <w:rPr>
          <w:kern w:val="24"/>
        </w:rPr>
        <w:t xml:space="preserve"> is being made available for intervention and experimen</w:t>
      </w:r>
      <w:r w:rsidR="009E2527" w:rsidRPr="007C3FC6">
        <w:rPr>
          <w:kern w:val="24"/>
        </w:rPr>
        <w:t>tation under the guidelines of the</w:t>
      </w:r>
      <w:r w:rsidRPr="007C3FC6">
        <w:rPr>
          <w:kern w:val="24"/>
        </w:rPr>
        <w:t xml:space="preserve"> special call for proposals</w:t>
      </w:r>
      <w:r w:rsidR="009E2527" w:rsidRPr="007C3FC6">
        <w:rPr>
          <w:kern w:val="24"/>
        </w:rPr>
        <w:t xml:space="preserve"> described above</w:t>
      </w:r>
      <w:r w:rsidRPr="007C3FC6">
        <w:rPr>
          <w:kern w:val="24"/>
        </w:rPr>
        <w:t xml:space="preserve">. This will allow </w:t>
      </w:r>
      <w:r w:rsidR="00CC29A1">
        <w:rPr>
          <w:kern w:val="24"/>
        </w:rPr>
        <w:t xml:space="preserve">the </w:t>
      </w:r>
      <w:r w:rsidR="009E2527" w:rsidRPr="007C3FC6">
        <w:rPr>
          <w:kern w:val="24"/>
        </w:rPr>
        <w:t xml:space="preserve">grantee </w:t>
      </w:r>
      <w:r w:rsidRPr="007C3FC6">
        <w:rPr>
          <w:kern w:val="24"/>
        </w:rPr>
        <w:t>to examine</w:t>
      </w:r>
      <w:r w:rsidR="009D5D7A" w:rsidRPr="001F2F30">
        <w:t>,</w:t>
      </w:r>
      <w:r w:rsidRPr="001F2F30">
        <w:t xml:space="preserve"> </w:t>
      </w:r>
      <w:r w:rsidR="009D5D7A">
        <w:rPr>
          <w:kern w:val="24"/>
        </w:rPr>
        <w:t xml:space="preserve">using the </w:t>
      </w:r>
      <w:r w:rsidR="00A07E87">
        <w:rPr>
          <w:kern w:val="24"/>
        </w:rPr>
        <w:t xml:space="preserve">student </w:t>
      </w:r>
      <w:r w:rsidR="009D5D7A">
        <w:rPr>
          <w:kern w:val="24"/>
        </w:rPr>
        <w:t xml:space="preserve">subsample, </w:t>
      </w:r>
      <w:r w:rsidRPr="007C3FC6">
        <w:rPr>
          <w:kern w:val="24"/>
        </w:rPr>
        <w:t xml:space="preserve">the impacts of a nudging intervention (via texting) aimed at increasing </w:t>
      </w:r>
      <w:r w:rsidR="009E2527" w:rsidRPr="007C3FC6">
        <w:rPr>
          <w:kern w:val="24"/>
        </w:rPr>
        <w:t xml:space="preserve">application for and </w:t>
      </w:r>
      <w:r w:rsidRPr="007C3FC6">
        <w:rPr>
          <w:kern w:val="24"/>
        </w:rPr>
        <w:t xml:space="preserve">continued receipt of financial aid and continued enrollment in college. </w:t>
      </w:r>
      <w:r w:rsidR="00A07E87">
        <w:rPr>
          <w:kern w:val="24"/>
        </w:rPr>
        <w:t>The study</w:t>
      </w:r>
      <w:r w:rsidRPr="007C3FC6">
        <w:rPr>
          <w:kern w:val="24"/>
        </w:rPr>
        <w:t xml:space="preserve"> will test the impact of two variants of nudging to examine the relative effectiveness of </w:t>
      </w:r>
      <w:r w:rsidR="00BB328C">
        <w:rPr>
          <w:kern w:val="24"/>
        </w:rPr>
        <w:t>sending</w:t>
      </w:r>
      <w:r w:rsidR="00A07E87">
        <w:rPr>
          <w:kern w:val="24"/>
        </w:rPr>
        <w:t xml:space="preserve"> to </w:t>
      </w:r>
      <w:proofErr w:type="gramStart"/>
      <w:r w:rsidR="00A07E87">
        <w:rPr>
          <w:kern w:val="24"/>
        </w:rPr>
        <w:t>students</w:t>
      </w:r>
      <w:proofErr w:type="gramEnd"/>
      <w:r w:rsidR="00A07E87">
        <w:rPr>
          <w:kern w:val="24"/>
        </w:rPr>
        <w:t xml:space="preserve"> </w:t>
      </w:r>
      <w:r w:rsidRPr="007C3FC6">
        <w:rPr>
          <w:kern w:val="24"/>
        </w:rPr>
        <w:t>information and nudges only</w:t>
      </w:r>
      <w:r w:rsidR="00A07E87" w:rsidRPr="001F2F30">
        <w:t>,</w:t>
      </w:r>
      <w:r w:rsidRPr="007C3FC6">
        <w:rPr>
          <w:kern w:val="24"/>
        </w:rPr>
        <w:t xml:space="preserve"> versus </w:t>
      </w:r>
      <w:r w:rsidR="00A07E87">
        <w:rPr>
          <w:kern w:val="24"/>
        </w:rPr>
        <w:t xml:space="preserve">providing them with </w:t>
      </w:r>
      <w:r w:rsidRPr="007C3FC6">
        <w:rPr>
          <w:kern w:val="24"/>
        </w:rPr>
        <w:t>information, nudges, and the offer of individual assistance.</w:t>
      </w:r>
    </w:p>
    <w:p w14:paraId="28FDA543" w14:textId="77777777" w:rsidR="00696B37" w:rsidRPr="007C3FC6" w:rsidRDefault="00696B37" w:rsidP="007C3FC6">
      <w:pPr>
        <w:pStyle w:val="Heading3"/>
        <w:keepNext w:val="0"/>
        <w:widowControl w:val="0"/>
      </w:pPr>
      <w:bookmarkStart w:id="21" w:name="_Toc464308437"/>
      <w:r w:rsidRPr="007C3FC6">
        <w:t>Research and Policy Issues</w:t>
      </w:r>
      <w:bookmarkEnd w:id="21"/>
    </w:p>
    <w:p w14:paraId="25B9BF60" w14:textId="1E2DF0F9" w:rsidR="00FF1928" w:rsidRDefault="005147DA" w:rsidP="007C3FC6">
      <w:pPr>
        <w:pStyle w:val="BodyText"/>
        <w:widowControl w:val="0"/>
        <w:ind w:firstLine="0"/>
        <w:rPr>
          <w:kern w:val="24"/>
        </w:rPr>
      </w:pPr>
      <w:proofErr w:type="gramStart"/>
      <w:r w:rsidRPr="007C3FC6">
        <w:rPr>
          <w:kern w:val="24"/>
        </w:rPr>
        <w:t>The price of college attendance is growing rapidly and is a substantial barrier to college</w:t>
      </w:r>
      <w:r w:rsidR="00B143F1" w:rsidRPr="001F2F30">
        <w:t xml:space="preserve"> </w:t>
      </w:r>
      <w:r w:rsidRPr="007C3FC6">
        <w:rPr>
          <w:kern w:val="24"/>
        </w:rPr>
        <w:t>completion for both middle and lower-income students.</w:t>
      </w:r>
      <w:proofErr w:type="gramEnd"/>
      <w:r w:rsidRPr="007C3FC6">
        <w:rPr>
          <w:kern w:val="24"/>
        </w:rPr>
        <w:t xml:space="preserve"> Financial aid is the main mechanism for increasing college affordability among students, but it is distributed using a complex system that includes a lengthy application (the Free Application for Federal Student Aid, or FAFSA) and numerous rules for continued receipt (</w:t>
      </w:r>
      <w:proofErr w:type="spellStart"/>
      <w:r w:rsidRPr="007C3FC6">
        <w:rPr>
          <w:kern w:val="24"/>
        </w:rPr>
        <w:t>Bettinger</w:t>
      </w:r>
      <w:proofErr w:type="spellEnd"/>
      <w:r w:rsidRPr="007C3FC6">
        <w:rPr>
          <w:kern w:val="24"/>
        </w:rPr>
        <w:t xml:space="preserve">, Long, </w:t>
      </w:r>
      <w:proofErr w:type="spellStart"/>
      <w:r w:rsidRPr="007C3FC6">
        <w:rPr>
          <w:kern w:val="24"/>
        </w:rPr>
        <w:t>Oreopoulos</w:t>
      </w:r>
      <w:proofErr w:type="spellEnd"/>
      <w:r w:rsidRPr="007C3FC6">
        <w:rPr>
          <w:kern w:val="24"/>
        </w:rPr>
        <w:t xml:space="preserve">, &amp; </w:t>
      </w:r>
      <w:proofErr w:type="spellStart"/>
      <w:r w:rsidRPr="007C3FC6">
        <w:rPr>
          <w:kern w:val="24"/>
        </w:rPr>
        <w:t>Sanbonmatsu</w:t>
      </w:r>
      <w:proofErr w:type="spellEnd"/>
      <w:r w:rsidRPr="007C3FC6">
        <w:rPr>
          <w:kern w:val="24"/>
        </w:rPr>
        <w:t xml:space="preserve">, 2012; </w:t>
      </w:r>
      <w:proofErr w:type="spellStart"/>
      <w:r w:rsidRPr="007C3FC6">
        <w:rPr>
          <w:kern w:val="24"/>
        </w:rPr>
        <w:t>Goldrick-Rab</w:t>
      </w:r>
      <w:proofErr w:type="spellEnd"/>
      <w:r w:rsidRPr="007C3FC6">
        <w:rPr>
          <w:kern w:val="24"/>
        </w:rPr>
        <w:t xml:space="preserve">, </w:t>
      </w:r>
      <w:proofErr w:type="spellStart"/>
      <w:r w:rsidRPr="007C3FC6">
        <w:rPr>
          <w:kern w:val="24"/>
        </w:rPr>
        <w:t>Kelchen</w:t>
      </w:r>
      <w:proofErr w:type="spellEnd"/>
      <w:r w:rsidRPr="007C3FC6">
        <w:rPr>
          <w:kern w:val="24"/>
        </w:rPr>
        <w:t>, Harris, &amp; Benson</w:t>
      </w:r>
      <w:r w:rsidR="00B47491">
        <w:rPr>
          <w:kern w:val="24"/>
        </w:rPr>
        <w:t xml:space="preserve"> 2016</w:t>
      </w:r>
      <w:r w:rsidRPr="007C3FC6">
        <w:rPr>
          <w:kern w:val="24"/>
        </w:rPr>
        <w:t xml:space="preserve">; Kelly &amp; </w:t>
      </w:r>
      <w:proofErr w:type="spellStart"/>
      <w:r w:rsidRPr="007C3FC6">
        <w:rPr>
          <w:kern w:val="24"/>
        </w:rPr>
        <w:t>Goldrick-Rab</w:t>
      </w:r>
      <w:proofErr w:type="spellEnd"/>
      <w:r w:rsidRPr="007C3FC6">
        <w:rPr>
          <w:kern w:val="24"/>
        </w:rPr>
        <w:t>, 2014; St. John,</w:t>
      </w:r>
      <w:r w:rsidR="008B7B25" w:rsidRPr="001F2F30">
        <w:t xml:space="preserve"> </w:t>
      </w:r>
      <w:r w:rsidRPr="007C3FC6">
        <w:rPr>
          <w:kern w:val="24"/>
        </w:rPr>
        <w:t>Hu, &amp; Tuttle, 2000)</w:t>
      </w:r>
      <w:r w:rsidR="007F2D7B" w:rsidRPr="001F2F30">
        <w:t>.</w:t>
      </w:r>
    </w:p>
    <w:p w14:paraId="61EF9D04" w14:textId="2F0AEEAA" w:rsidR="005147DA" w:rsidRPr="007C3FC6" w:rsidRDefault="005147DA" w:rsidP="007C3FC6">
      <w:pPr>
        <w:pStyle w:val="BodyText"/>
        <w:widowControl w:val="0"/>
        <w:ind w:firstLine="0"/>
        <w:rPr>
          <w:kern w:val="24"/>
        </w:rPr>
      </w:pPr>
      <w:r w:rsidRPr="007C3FC6">
        <w:rPr>
          <w:kern w:val="24"/>
        </w:rPr>
        <w:t>This administrative complexity appears to reduce the effectiveness of financial aid programs (</w:t>
      </w:r>
      <w:proofErr w:type="spellStart"/>
      <w:r w:rsidRPr="007C3FC6">
        <w:rPr>
          <w:kern w:val="24"/>
        </w:rPr>
        <w:t>Dynarski</w:t>
      </w:r>
      <w:proofErr w:type="spellEnd"/>
      <w:r w:rsidRPr="001F2F30">
        <w:t xml:space="preserve"> &amp; </w:t>
      </w:r>
      <w:proofErr w:type="spellStart"/>
      <w:r w:rsidRPr="007C3FC6">
        <w:rPr>
          <w:kern w:val="24"/>
        </w:rPr>
        <w:t>Wiederspan</w:t>
      </w:r>
      <w:proofErr w:type="spellEnd"/>
      <w:r w:rsidRPr="007C3FC6">
        <w:rPr>
          <w:kern w:val="24"/>
        </w:rPr>
        <w:t xml:space="preserve">, 2012). In particular, it leads eligible, financially needy students to leave at least $5 billion dollars on the table each year as they fail to meet requirements and/or refile the necessary papers. Evidence from the nationally representative </w:t>
      </w:r>
      <w:r w:rsidR="002935D2" w:rsidRPr="00DC4BBF">
        <w:rPr>
          <w:color w:val="000000" w:themeColor="text1"/>
        </w:rPr>
        <w:t>BPS</w:t>
      </w:r>
      <w:proofErr w:type="gramStart"/>
      <w:r w:rsidR="002935D2" w:rsidRPr="00DC4BBF">
        <w:rPr>
          <w:color w:val="000000" w:themeColor="text1"/>
        </w:rPr>
        <w:t>:</w:t>
      </w:r>
      <w:r w:rsidR="00867580">
        <w:rPr>
          <w:color w:val="000000" w:themeColor="text1"/>
        </w:rPr>
        <w:t>20</w:t>
      </w:r>
      <w:r w:rsidR="002935D2" w:rsidRPr="00DC4BBF">
        <w:rPr>
          <w:color w:val="000000" w:themeColor="text1"/>
        </w:rPr>
        <w:t>04</w:t>
      </w:r>
      <w:proofErr w:type="gramEnd"/>
      <w:r w:rsidR="002935D2" w:rsidRPr="00DC4BBF">
        <w:rPr>
          <w:color w:val="000000" w:themeColor="text1"/>
        </w:rPr>
        <w:t>/09</w:t>
      </w:r>
      <w:r w:rsidR="002935D2">
        <w:rPr>
          <w:color w:val="000000" w:themeColor="text1"/>
        </w:rPr>
        <w:t xml:space="preserve"> </w:t>
      </w:r>
      <w:r w:rsidRPr="007C3FC6">
        <w:rPr>
          <w:kern w:val="24"/>
        </w:rPr>
        <w:t xml:space="preserve">suggests that, each year, 15 to 20% of rising second year students who were Pell-eligible in the previous year fail to refile a FAFSA (Bird &amp; </w:t>
      </w:r>
      <w:proofErr w:type="spellStart"/>
      <w:r w:rsidRPr="007C3FC6">
        <w:rPr>
          <w:kern w:val="24"/>
        </w:rPr>
        <w:t>Castleman</w:t>
      </w:r>
      <w:proofErr w:type="spellEnd"/>
      <w:r w:rsidRPr="007C3FC6">
        <w:rPr>
          <w:kern w:val="24"/>
        </w:rPr>
        <w:t>, 201</w:t>
      </w:r>
      <w:r w:rsidR="2A068CEA" w:rsidRPr="007C3FC6">
        <w:rPr>
          <w:kern w:val="24"/>
        </w:rPr>
        <w:t>6</w:t>
      </w:r>
      <w:r w:rsidRPr="007C3FC6">
        <w:rPr>
          <w:kern w:val="24"/>
        </w:rPr>
        <w:t>). These students are much less likely to persist than peers of similar</w:t>
      </w:r>
      <w:r w:rsidR="008B7B25" w:rsidRPr="001F2F30">
        <w:t xml:space="preserve"> </w:t>
      </w:r>
      <w:r w:rsidRPr="007C3FC6">
        <w:rPr>
          <w:kern w:val="24"/>
        </w:rPr>
        <w:t xml:space="preserve">backgrounds who filed the FAFSA (Novak &amp; McKinney, 2011; Bird &amp; </w:t>
      </w:r>
      <w:proofErr w:type="spellStart"/>
      <w:r w:rsidRPr="007C3FC6">
        <w:rPr>
          <w:kern w:val="24"/>
        </w:rPr>
        <w:t>Castleman</w:t>
      </w:r>
      <w:proofErr w:type="spellEnd"/>
      <w:r w:rsidRPr="007C3FC6">
        <w:rPr>
          <w:kern w:val="24"/>
        </w:rPr>
        <w:t>, 201</w:t>
      </w:r>
      <w:r w:rsidR="2FEEF193" w:rsidRPr="007C3FC6">
        <w:rPr>
          <w:kern w:val="24"/>
        </w:rPr>
        <w:t>6</w:t>
      </w:r>
      <w:r w:rsidRPr="007C3FC6">
        <w:rPr>
          <w:kern w:val="24"/>
        </w:rPr>
        <w:t xml:space="preserve">). This persistence differential is not </w:t>
      </w:r>
      <w:r w:rsidR="00325981" w:rsidRPr="007C3FC6">
        <w:rPr>
          <w:kern w:val="24"/>
        </w:rPr>
        <w:t>surprising</w:t>
      </w:r>
      <w:r w:rsidRPr="007C3FC6">
        <w:rPr>
          <w:kern w:val="24"/>
        </w:rPr>
        <w:t xml:space="preserve"> given that students who fail to file a FAFSA do not have</w:t>
      </w:r>
      <w:r w:rsidR="008B7B25" w:rsidRPr="001F2F30">
        <w:t xml:space="preserve"> </w:t>
      </w:r>
      <w:r w:rsidRPr="007C3FC6">
        <w:rPr>
          <w:kern w:val="24"/>
        </w:rPr>
        <w:t>access to the vast majority of federal, state, and institutional aid, including not only grants but also loans and work-study funds.</w:t>
      </w:r>
    </w:p>
    <w:p w14:paraId="406785CF" w14:textId="77777777" w:rsidR="005147DA" w:rsidRPr="007C3FC6" w:rsidRDefault="005147DA" w:rsidP="007C3FC6">
      <w:pPr>
        <w:pStyle w:val="BodyText"/>
        <w:widowControl w:val="0"/>
        <w:ind w:firstLine="0"/>
        <w:rPr>
          <w:kern w:val="24"/>
        </w:rPr>
      </w:pPr>
      <w:r w:rsidRPr="007C3FC6">
        <w:rPr>
          <w:kern w:val="24"/>
        </w:rPr>
        <w:t xml:space="preserve">Additional funds are lost when students do not </w:t>
      </w:r>
      <w:r w:rsidR="00000A6C" w:rsidRPr="007C3FC6">
        <w:rPr>
          <w:kern w:val="24"/>
        </w:rPr>
        <w:t xml:space="preserve">file or </w:t>
      </w:r>
      <w:r w:rsidRPr="007C3FC6">
        <w:rPr>
          <w:kern w:val="24"/>
        </w:rPr>
        <w:t xml:space="preserve">refile their FAFSAs on time. State and institutional aid is limited and often runs out; filing early is the only way to ensure that eligible students receive those funds </w:t>
      </w:r>
      <w:r w:rsidRPr="007C3FC6">
        <w:rPr>
          <w:kern w:val="24"/>
        </w:rPr>
        <w:lastRenderedPageBreak/>
        <w:t>(McKinney &amp; Novak, 2015). March 1 is the priority-filing deadline in many states, but only 33% of black undergraduates and 37% of low-SES undergraduates file</w:t>
      </w:r>
      <w:r w:rsidR="008B7B25" w:rsidRPr="001F2F30">
        <w:t xml:space="preserve"> </w:t>
      </w:r>
      <w:r w:rsidRPr="007C3FC6">
        <w:rPr>
          <w:kern w:val="24"/>
        </w:rPr>
        <w:t>their FAFSAs by that date (</w:t>
      </w:r>
      <w:proofErr w:type="spellStart"/>
      <w:r w:rsidRPr="007C3FC6">
        <w:rPr>
          <w:kern w:val="24"/>
        </w:rPr>
        <w:t>Castleman</w:t>
      </w:r>
      <w:proofErr w:type="spellEnd"/>
      <w:r w:rsidRPr="007C3FC6">
        <w:rPr>
          <w:kern w:val="24"/>
        </w:rPr>
        <w:t xml:space="preserve"> &amp; Page, 2015a).</w:t>
      </w:r>
    </w:p>
    <w:p w14:paraId="5E852A7E" w14:textId="77777777" w:rsidR="005147DA" w:rsidRPr="007C3FC6" w:rsidRDefault="005147DA" w:rsidP="007C3FC6">
      <w:pPr>
        <w:pStyle w:val="BodyText"/>
        <w:widowControl w:val="0"/>
        <w:ind w:firstLine="0"/>
        <w:rPr>
          <w:kern w:val="24"/>
        </w:rPr>
      </w:pPr>
      <w:r w:rsidRPr="007C3FC6">
        <w:rPr>
          <w:kern w:val="24"/>
        </w:rPr>
        <w:t>A closely related issue is that, in order to maintain financial aid eligibility, students must meet Satisfactory Academic Progress (SAP) requirements that define minimum grade point average and progress toward degree benchmarks that students must maintain in order to continue receiving aid after their first year of college. Despite the strong incentives SAP would seem to create, research shows as many as 40% of first year community college students are at risk of losing aid eligibility due to their failure to meet SAP (</w:t>
      </w:r>
      <w:proofErr w:type="spellStart"/>
      <w:r w:rsidRPr="007C3FC6">
        <w:rPr>
          <w:kern w:val="24"/>
        </w:rPr>
        <w:t>Schudde</w:t>
      </w:r>
      <w:proofErr w:type="spellEnd"/>
      <w:r w:rsidRPr="007C3FC6">
        <w:rPr>
          <w:kern w:val="24"/>
        </w:rPr>
        <w:t xml:space="preserve"> &amp; Scott-Clayton, 2014). A recent survey of more than 1,000 first-year Pell recipients attending public and private 4-year and 2- year colleges found that more than one in four students were unaware of the SAP requirements, putting them at risk of losing their financial aid (Wisconsin HOPE Lab, 2015).</w:t>
      </w:r>
    </w:p>
    <w:p w14:paraId="35BC0AE0" w14:textId="77777777" w:rsidR="005147DA" w:rsidRPr="007C3FC6" w:rsidRDefault="005147DA" w:rsidP="007C3FC6">
      <w:pPr>
        <w:pStyle w:val="BodyText"/>
        <w:widowControl w:val="0"/>
        <w:ind w:firstLine="0"/>
        <w:rPr>
          <w:kern w:val="24"/>
        </w:rPr>
      </w:pPr>
      <w:r w:rsidRPr="007C3FC6">
        <w:rPr>
          <w:kern w:val="24"/>
        </w:rPr>
        <w:t>Why do so many economically vulnerable students leave financial aid on the table as they continue to work towards college degrees? How might colleges and universities improve degree completion rates by helping students retain their financial aid? A better understanding of this challenge and the identification of an effective low-cost intervention could vastly improve national education objectives including college attainment.</w:t>
      </w:r>
    </w:p>
    <w:p w14:paraId="09FA0AD2" w14:textId="77777777" w:rsidR="005147DA" w:rsidRPr="007C3FC6" w:rsidRDefault="00A01437" w:rsidP="007C3FC6">
      <w:pPr>
        <w:pStyle w:val="BodyText"/>
        <w:widowControl w:val="0"/>
        <w:ind w:firstLine="0"/>
        <w:rPr>
          <w:kern w:val="24"/>
          <w:sz w:val="16"/>
          <w:szCs w:val="16"/>
        </w:rPr>
      </w:pPr>
      <w:r w:rsidRPr="007C3FC6">
        <w:rPr>
          <w:kern w:val="24"/>
        </w:rPr>
        <w:t>A</w:t>
      </w:r>
      <w:r w:rsidR="005147DA" w:rsidRPr="007C3FC6">
        <w:rPr>
          <w:kern w:val="24"/>
        </w:rPr>
        <w:t xml:space="preserve"> growing body of research suggests that “nudges”—small, timed, targeted, and personalized reminders—can increase the rate at which people successfully follow through on their intentions or pursue programs and opportunities that lead to improved outcomes for them or their families (</w:t>
      </w:r>
      <w:proofErr w:type="spellStart"/>
      <w:r w:rsidR="005147DA" w:rsidRPr="007C3FC6">
        <w:rPr>
          <w:kern w:val="24"/>
        </w:rPr>
        <w:t>Thaler</w:t>
      </w:r>
      <w:proofErr w:type="spellEnd"/>
      <w:r w:rsidR="005147DA" w:rsidRPr="001F2F30">
        <w:t xml:space="preserve"> &amp; </w:t>
      </w:r>
      <w:proofErr w:type="spellStart"/>
      <w:r w:rsidR="005147DA" w:rsidRPr="007C3FC6">
        <w:rPr>
          <w:kern w:val="24"/>
        </w:rPr>
        <w:t>Sunstein</w:t>
      </w:r>
      <w:proofErr w:type="spellEnd"/>
      <w:r w:rsidR="005147DA" w:rsidRPr="007C3FC6">
        <w:rPr>
          <w:kern w:val="24"/>
        </w:rPr>
        <w:t>, 2009). In educational settings, nudges appear to be at least as, or even more, effective than more costly, high-touch strategies (</w:t>
      </w:r>
      <w:proofErr w:type="spellStart"/>
      <w:r w:rsidR="005147DA" w:rsidRPr="007C3FC6">
        <w:rPr>
          <w:kern w:val="24"/>
        </w:rPr>
        <w:t>Castleman</w:t>
      </w:r>
      <w:proofErr w:type="spellEnd"/>
      <w:r w:rsidR="005147DA" w:rsidRPr="007C3FC6">
        <w:rPr>
          <w:kern w:val="24"/>
        </w:rPr>
        <w:t xml:space="preserve"> &amp; Page, 2015b). </w:t>
      </w:r>
      <w:r w:rsidR="003D2608" w:rsidRPr="007C3FC6">
        <w:rPr>
          <w:kern w:val="24"/>
        </w:rPr>
        <w:t xml:space="preserve">The grantee and her </w:t>
      </w:r>
      <w:r w:rsidR="005147DA" w:rsidRPr="007C3FC6">
        <w:rPr>
          <w:kern w:val="24"/>
        </w:rPr>
        <w:t>research team ha</w:t>
      </w:r>
      <w:r w:rsidR="003D2608" w:rsidRPr="007C3FC6">
        <w:rPr>
          <w:kern w:val="24"/>
        </w:rPr>
        <w:t>ve</w:t>
      </w:r>
      <w:r w:rsidR="005147DA" w:rsidRPr="001F2F30">
        <w:t xml:space="preserve"> </w:t>
      </w:r>
      <w:r w:rsidR="003D2608" w:rsidRPr="007C3FC6">
        <w:rPr>
          <w:kern w:val="24"/>
        </w:rPr>
        <w:t xml:space="preserve">previously </w:t>
      </w:r>
      <w:r w:rsidR="005147DA" w:rsidRPr="007C3FC6">
        <w:rPr>
          <w:kern w:val="24"/>
        </w:rPr>
        <w:t xml:space="preserve">conducted two small studies (described in more detail below) which incorporated nudges on FAFSA filing into randomized interventions intended to increase college retention (Cannon &amp; </w:t>
      </w:r>
      <w:proofErr w:type="spellStart"/>
      <w:r w:rsidR="005147DA" w:rsidRPr="007C3FC6">
        <w:rPr>
          <w:kern w:val="24"/>
        </w:rPr>
        <w:t>Goldrick-Rab</w:t>
      </w:r>
      <w:proofErr w:type="spellEnd"/>
      <w:r w:rsidR="005147DA" w:rsidRPr="007C3FC6">
        <w:rPr>
          <w:kern w:val="24"/>
        </w:rPr>
        <w:t xml:space="preserve">, 2015; </w:t>
      </w:r>
      <w:proofErr w:type="spellStart"/>
      <w:r w:rsidR="005147DA" w:rsidRPr="007C3FC6">
        <w:rPr>
          <w:kern w:val="24"/>
        </w:rPr>
        <w:t>Castleman</w:t>
      </w:r>
      <w:proofErr w:type="spellEnd"/>
      <w:r w:rsidR="005147DA" w:rsidRPr="007C3FC6">
        <w:rPr>
          <w:kern w:val="24"/>
        </w:rPr>
        <w:t xml:space="preserve"> &amp; Page, </w:t>
      </w:r>
      <w:r w:rsidR="2FEEF193" w:rsidRPr="007C3FC6">
        <w:rPr>
          <w:kern w:val="24"/>
        </w:rPr>
        <w:t>2016</w:t>
      </w:r>
      <w:r w:rsidR="005147DA" w:rsidRPr="007C3FC6">
        <w:rPr>
          <w:kern w:val="24"/>
        </w:rPr>
        <w:t xml:space="preserve">). In the first study, which took place at a 4-year public university, </w:t>
      </w:r>
      <w:r w:rsidR="003D2608" w:rsidRPr="007C3FC6">
        <w:rPr>
          <w:kern w:val="24"/>
        </w:rPr>
        <w:t>they found</w:t>
      </w:r>
      <w:r w:rsidR="005147DA" w:rsidRPr="007C3FC6">
        <w:rPr>
          <w:kern w:val="24"/>
        </w:rPr>
        <w:t xml:space="preserve"> positive effects of phone-based outreach from a call center on rates of on-time FAFSA refiling for continuing students, somewhat increasing the amount of aid that students received. In that particular study context, however, the improved receipt of aid did not result in increased retention to the next year of college (Cannon</w:t>
      </w:r>
      <w:r w:rsidR="00E164CF" w:rsidRPr="001F2F30">
        <w:t xml:space="preserve"> </w:t>
      </w:r>
      <w:r w:rsidR="005147DA" w:rsidRPr="001F2F30">
        <w:t xml:space="preserve">&amp; </w:t>
      </w:r>
      <w:proofErr w:type="spellStart"/>
      <w:r w:rsidR="005147DA" w:rsidRPr="007C3FC6">
        <w:rPr>
          <w:kern w:val="24"/>
        </w:rPr>
        <w:t>Goldrick-Rab</w:t>
      </w:r>
      <w:proofErr w:type="spellEnd"/>
      <w:r w:rsidR="005147DA" w:rsidRPr="007C3FC6">
        <w:rPr>
          <w:kern w:val="24"/>
        </w:rPr>
        <w:t xml:space="preserve">, 2015). In contrast, in the second study, </w:t>
      </w:r>
      <w:r w:rsidR="003D2608" w:rsidRPr="007C3FC6">
        <w:rPr>
          <w:kern w:val="24"/>
        </w:rPr>
        <w:t xml:space="preserve">they found </w:t>
      </w:r>
      <w:r w:rsidR="005147DA" w:rsidRPr="007C3FC6">
        <w:rPr>
          <w:kern w:val="24"/>
        </w:rPr>
        <w:t>positive effects of text-message nudges on persistence to the second year of college among community college students but no impacts among first-year students at 4-year institutions (</w:t>
      </w:r>
      <w:proofErr w:type="spellStart"/>
      <w:r w:rsidR="005147DA" w:rsidRPr="007C3FC6">
        <w:rPr>
          <w:kern w:val="24"/>
        </w:rPr>
        <w:t>Castleman</w:t>
      </w:r>
      <w:proofErr w:type="spellEnd"/>
      <w:r w:rsidR="005147DA" w:rsidRPr="007C3FC6">
        <w:rPr>
          <w:kern w:val="24"/>
        </w:rPr>
        <w:t xml:space="preserve"> &amp; Page, </w:t>
      </w:r>
      <w:r w:rsidR="2FEEF193" w:rsidRPr="007C3FC6">
        <w:rPr>
          <w:kern w:val="24"/>
        </w:rPr>
        <w:t>2016</w:t>
      </w:r>
      <w:r w:rsidR="005147DA" w:rsidRPr="007C3FC6">
        <w:rPr>
          <w:kern w:val="24"/>
        </w:rPr>
        <w:t>).</w:t>
      </w:r>
    </w:p>
    <w:p w14:paraId="587DCCCA" w14:textId="113ED02E" w:rsidR="005147DA" w:rsidRPr="007C3FC6" w:rsidRDefault="005147DA" w:rsidP="007C3FC6">
      <w:pPr>
        <w:pStyle w:val="BodyText"/>
        <w:widowControl w:val="0"/>
        <w:ind w:firstLine="0"/>
        <w:rPr>
          <w:kern w:val="24"/>
        </w:rPr>
      </w:pPr>
      <w:r w:rsidRPr="007C3FC6">
        <w:rPr>
          <w:kern w:val="24"/>
        </w:rPr>
        <w:t xml:space="preserve">The results from these studies suggest that text-messaging based nudging may be an effective way to help students retain financial aid and increase efficiency in the existing financial aid system. </w:t>
      </w:r>
      <w:r w:rsidR="003D2608" w:rsidRPr="007C3FC6">
        <w:rPr>
          <w:kern w:val="24"/>
        </w:rPr>
        <w:t xml:space="preserve">The research conducted under the NCER-NPSAS grant opportunity will </w:t>
      </w:r>
      <w:r w:rsidR="00164F0C" w:rsidRPr="007C3FC6">
        <w:rPr>
          <w:kern w:val="24"/>
        </w:rPr>
        <w:t xml:space="preserve">allow </w:t>
      </w:r>
      <w:r w:rsidR="003A0A6D" w:rsidRPr="007C3FC6">
        <w:rPr>
          <w:kern w:val="24"/>
        </w:rPr>
        <w:t>the grantee</w:t>
      </w:r>
      <w:r w:rsidR="0052386C">
        <w:rPr>
          <w:kern w:val="24"/>
        </w:rPr>
        <w:t xml:space="preserve"> </w:t>
      </w:r>
      <w:r w:rsidR="00164F0C" w:rsidRPr="007C3FC6">
        <w:rPr>
          <w:kern w:val="24"/>
        </w:rPr>
        <w:t xml:space="preserve">to continue seeking evidence by conducting a robust national experiment </w:t>
      </w:r>
      <w:r w:rsidRPr="007C3FC6">
        <w:rPr>
          <w:kern w:val="24"/>
        </w:rPr>
        <w:t xml:space="preserve">that utilizes texting to address both FAFSA </w:t>
      </w:r>
      <w:r w:rsidR="00000A6C" w:rsidRPr="007C3FC6">
        <w:rPr>
          <w:kern w:val="24"/>
        </w:rPr>
        <w:t xml:space="preserve">filing and </w:t>
      </w:r>
      <w:r w:rsidRPr="007C3FC6">
        <w:rPr>
          <w:kern w:val="24"/>
        </w:rPr>
        <w:t>refiling and the challenge</w:t>
      </w:r>
      <w:r w:rsidR="0081261C">
        <w:rPr>
          <w:kern w:val="24"/>
        </w:rPr>
        <w:t>s</w:t>
      </w:r>
      <w:r w:rsidRPr="007C3FC6">
        <w:rPr>
          <w:kern w:val="24"/>
        </w:rPr>
        <w:t xml:space="preserve"> students face in meeting SAP requirements</w:t>
      </w:r>
      <w:r w:rsidR="0C85F69D" w:rsidRPr="007C3FC6">
        <w:rPr>
          <w:kern w:val="24"/>
        </w:rPr>
        <w:t>, and helping stude</w:t>
      </w:r>
      <w:r w:rsidR="672B634F" w:rsidRPr="007C3FC6">
        <w:rPr>
          <w:kern w:val="24"/>
        </w:rPr>
        <w:t xml:space="preserve">nts in need </w:t>
      </w:r>
      <w:r w:rsidR="0081261C">
        <w:rPr>
          <w:kern w:val="24"/>
        </w:rPr>
        <w:t xml:space="preserve">to </w:t>
      </w:r>
      <w:r w:rsidR="672B634F" w:rsidRPr="007C3FC6">
        <w:rPr>
          <w:kern w:val="24"/>
        </w:rPr>
        <w:t>access additional financial</w:t>
      </w:r>
      <w:r w:rsidR="007F2D7B" w:rsidRPr="001F2F30">
        <w:t xml:space="preserve"> </w:t>
      </w:r>
      <w:r w:rsidR="672B634F" w:rsidRPr="001F2F30">
        <w:t>supports.</w:t>
      </w:r>
      <w:r w:rsidR="007F2D7B" w:rsidRPr="001F2F30">
        <w:t xml:space="preserve"> </w:t>
      </w:r>
      <w:r w:rsidR="00164F0C" w:rsidRPr="007C3FC6">
        <w:rPr>
          <w:kern w:val="24"/>
        </w:rPr>
        <w:t xml:space="preserve">This study will inform the </w:t>
      </w:r>
      <w:r w:rsidR="003A0A6D" w:rsidRPr="007C3FC6">
        <w:rPr>
          <w:kern w:val="24"/>
        </w:rPr>
        <w:t>grantee</w:t>
      </w:r>
      <w:r w:rsidR="00B47491">
        <w:rPr>
          <w:kern w:val="24"/>
        </w:rPr>
        <w:t>’</w:t>
      </w:r>
      <w:r w:rsidR="003A0A6D" w:rsidRPr="007C3FC6">
        <w:rPr>
          <w:kern w:val="24"/>
        </w:rPr>
        <w:t>s</w:t>
      </w:r>
      <w:r w:rsidR="00900EAE" w:rsidRPr="001F2F30">
        <w:t xml:space="preserve"> </w:t>
      </w:r>
      <w:r w:rsidR="00164F0C" w:rsidRPr="007C3FC6">
        <w:rPr>
          <w:kern w:val="24"/>
        </w:rPr>
        <w:t xml:space="preserve">understanding </w:t>
      </w:r>
      <w:r w:rsidRPr="007C3FC6">
        <w:rPr>
          <w:kern w:val="24"/>
        </w:rPr>
        <w:t xml:space="preserve">about whether compliance with these requirements and deadlines does in fact lead students to have more financial aid for college, and whether those resources contribute to higher rates of retention. </w:t>
      </w:r>
      <w:r w:rsidR="00164F0C" w:rsidRPr="007C3FC6">
        <w:rPr>
          <w:kern w:val="24"/>
        </w:rPr>
        <w:t xml:space="preserve">In this study, the </w:t>
      </w:r>
      <w:r w:rsidR="003A0A6D" w:rsidRPr="007C3FC6">
        <w:rPr>
          <w:kern w:val="24"/>
        </w:rPr>
        <w:t>grantee</w:t>
      </w:r>
      <w:r w:rsidR="00B47491">
        <w:rPr>
          <w:kern w:val="24"/>
        </w:rPr>
        <w:t>’</w:t>
      </w:r>
      <w:r w:rsidR="003A0A6D" w:rsidRPr="007C3FC6">
        <w:rPr>
          <w:kern w:val="24"/>
        </w:rPr>
        <w:t>s</w:t>
      </w:r>
      <w:r w:rsidR="00900EAE" w:rsidRPr="001F2F30">
        <w:t xml:space="preserve"> </w:t>
      </w:r>
      <w:r w:rsidR="009D7A7D">
        <w:rPr>
          <w:kern w:val="24"/>
        </w:rPr>
        <w:t xml:space="preserve">research team </w:t>
      </w:r>
      <w:r w:rsidR="00164F0C" w:rsidRPr="007C3FC6">
        <w:rPr>
          <w:kern w:val="24"/>
        </w:rPr>
        <w:t>want</w:t>
      </w:r>
      <w:r w:rsidR="009D7A7D">
        <w:rPr>
          <w:kern w:val="24"/>
        </w:rPr>
        <w:t>s</w:t>
      </w:r>
      <w:r w:rsidR="00164F0C" w:rsidRPr="007C3FC6">
        <w:rPr>
          <w:kern w:val="24"/>
        </w:rPr>
        <w:t xml:space="preserve"> </w:t>
      </w:r>
      <w:r w:rsidR="00390519" w:rsidRPr="007C3FC6">
        <w:rPr>
          <w:kern w:val="24"/>
        </w:rPr>
        <w:t xml:space="preserve">to </w:t>
      </w:r>
      <w:r w:rsidR="002935D2">
        <w:rPr>
          <w:kern w:val="24"/>
        </w:rPr>
        <w:t>test</w:t>
      </w:r>
      <w:r w:rsidR="008A3ED8" w:rsidRPr="001F2F30">
        <w:t xml:space="preserve"> </w:t>
      </w:r>
      <w:r w:rsidRPr="007C3FC6">
        <w:rPr>
          <w:kern w:val="24"/>
        </w:rPr>
        <w:t xml:space="preserve">what approach to texting works best, </w:t>
      </w:r>
      <w:r w:rsidR="002935D2">
        <w:rPr>
          <w:kern w:val="24"/>
        </w:rPr>
        <w:t xml:space="preserve">specifically </w:t>
      </w:r>
      <w:r w:rsidRPr="007C3FC6">
        <w:rPr>
          <w:kern w:val="24"/>
        </w:rPr>
        <w:t>whether students benefit from the offer of advising as well as nudging, and which students are most responsive to this approach.</w:t>
      </w:r>
      <w:r w:rsidR="672B634F" w:rsidRPr="007C3FC6">
        <w:rPr>
          <w:kern w:val="24"/>
        </w:rPr>
        <w:t xml:space="preserve"> They will also test three variants of text messages – basic informational messages, messages that feature positive social pressure, and messages that include commitment mechanisms in order to test the mechanisms through which text-based interactions work.</w:t>
      </w:r>
    </w:p>
    <w:p w14:paraId="6D264B8E" w14:textId="77777777" w:rsidR="00E92D47" w:rsidRPr="007C3FC6" w:rsidRDefault="00E92D47" w:rsidP="007C3FC6">
      <w:pPr>
        <w:pStyle w:val="Heading3"/>
        <w:keepNext w:val="0"/>
        <w:widowControl w:val="0"/>
      </w:pPr>
      <w:bookmarkStart w:id="22" w:name="_Toc464308438"/>
      <w:r w:rsidRPr="007C3FC6">
        <w:t>Study Design</w:t>
      </w:r>
      <w:bookmarkEnd w:id="22"/>
    </w:p>
    <w:p w14:paraId="712D6F2F" w14:textId="77777777" w:rsidR="00FF1928" w:rsidRDefault="00496A0A" w:rsidP="007C3FC6">
      <w:pPr>
        <w:pStyle w:val="BodyText"/>
        <w:widowControl w:val="0"/>
        <w:ind w:firstLine="0"/>
      </w:pPr>
      <w:r w:rsidRPr="007C3FC6">
        <w:t>Data for this study will be collected from a subsample of NPSAS</w:t>
      </w:r>
      <w:proofErr w:type="gramStart"/>
      <w:r w:rsidRPr="007C3FC6">
        <w:t>:16</w:t>
      </w:r>
      <w:proofErr w:type="gramEnd"/>
      <w:r w:rsidRPr="007C3FC6">
        <w:t xml:space="preserve"> respondents</w:t>
      </w:r>
      <w:r w:rsidR="00C12F2D" w:rsidRPr="007C3FC6">
        <w:t xml:space="preserve"> and from administrative records</w:t>
      </w:r>
      <w:r w:rsidRPr="007C3FC6">
        <w:t xml:space="preserve">. The target population includes </w:t>
      </w:r>
      <w:r w:rsidR="009E2527" w:rsidRPr="007C3FC6">
        <w:t xml:space="preserve">a </w:t>
      </w:r>
      <w:r w:rsidR="00C12F2D" w:rsidRPr="007C3FC6">
        <w:t xml:space="preserve">subset of NPSAS:16 respondents who were </w:t>
      </w:r>
      <w:r w:rsidRPr="007C3FC6">
        <w:t xml:space="preserve">first, second, and third year college students </w:t>
      </w:r>
      <w:r w:rsidR="00C12F2D" w:rsidRPr="007C3FC6">
        <w:t>during the</w:t>
      </w:r>
      <w:r w:rsidRPr="007C3FC6">
        <w:t xml:space="preserve"> 2015-16</w:t>
      </w:r>
      <w:r w:rsidR="00C12F2D" w:rsidRPr="007C3FC6">
        <w:t xml:space="preserve"> academic year</w:t>
      </w:r>
      <w:r w:rsidR="00BB328C">
        <w:t>, who</w:t>
      </w:r>
      <w:r w:rsidR="00C12F2D" w:rsidRPr="007C3FC6">
        <w:t xml:space="preserve"> gave their consent in the NPSAS:16 interview to be contacted for an external research study</w:t>
      </w:r>
      <w:r w:rsidR="00BB328C">
        <w:t>, and</w:t>
      </w:r>
      <w:r w:rsidR="00C12F2D" w:rsidRPr="007C3FC6">
        <w:t xml:space="preserve"> indicated that they could be sent text messages about future studies.</w:t>
      </w:r>
      <w:r w:rsidR="000725A1" w:rsidRPr="007C3FC6">
        <w:t xml:space="preserve"> </w:t>
      </w:r>
      <w:r w:rsidR="000259DC" w:rsidRPr="007C3FC6">
        <w:t xml:space="preserve">Data </w:t>
      </w:r>
      <w:proofErr w:type="gramStart"/>
      <w:r w:rsidR="000259DC" w:rsidRPr="007C3FC6">
        <w:t xml:space="preserve">will be </w:t>
      </w:r>
      <w:r w:rsidR="00164F0C" w:rsidRPr="007C3FC6">
        <w:t>captured</w:t>
      </w:r>
      <w:proofErr w:type="gramEnd"/>
      <w:r w:rsidR="00164F0C" w:rsidRPr="007C3FC6">
        <w:t xml:space="preserve"> </w:t>
      </w:r>
      <w:r w:rsidR="000259DC" w:rsidRPr="007C3FC6">
        <w:t>on student interaction information collected from text messaging and advising services.</w:t>
      </w:r>
    </w:p>
    <w:p w14:paraId="770F4DCA" w14:textId="31C529B0" w:rsidR="00F55157" w:rsidRDefault="00B93F32" w:rsidP="007C3FC6">
      <w:pPr>
        <w:pStyle w:val="BodyText"/>
        <w:widowControl w:val="0"/>
        <w:ind w:firstLine="0"/>
        <w:rPr>
          <w:szCs w:val="24"/>
        </w:rPr>
      </w:pPr>
      <w:r w:rsidRPr="007C3FC6">
        <w:lastRenderedPageBreak/>
        <w:t>The</w:t>
      </w:r>
      <w:r w:rsidR="000725A1" w:rsidRPr="007C3FC6">
        <w:t xml:space="preserve"> subsample of NPSAS</w:t>
      </w:r>
      <w:proofErr w:type="gramStart"/>
      <w:r w:rsidR="000725A1" w:rsidRPr="007C3FC6">
        <w:t>:16</w:t>
      </w:r>
      <w:proofErr w:type="gramEnd"/>
      <w:r w:rsidR="000725A1" w:rsidRPr="007C3FC6">
        <w:t xml:space="preserve"> respondents will be divided at random into three groups</w:t>
      </w:r>
      <w:r w:rsidR="007F2D7B" w:rsidRPr="1E884055">
        <w:t xml:space="preserve">. </w:t>
      </w:r>
      <w:r w:rsidR="000725A1" w:rsidRPr="007C3FC6">
        <w:t xml:space="preserve">Group 1 will receive text-based information on FAFSA </w:t>
      </w:r>
      <w:r w:rsidR="00000A6C" w:rsidRPr="007C3FC6">
        <w:t>filing/</w:t>
      </w:r>
      <w:r w:rsidR="000725A1" w:rsidRPr="007C3FC6">
        <w:t>refiling and financial aid</w:t>
      </w:r>
      <w:r w:rsidR="00F7306C" w:rsidRPr="1E884055">
        <w:t>,</w:t>
      </w:r>
      <w:r w:rsidR="00E145A9" w:rsidRPr="007C3FC6">
        <w:t xml:space="preserve"> with auto</w:t>
      </w:r>
      <w:r w:rsidR="00F7306C" w:rsidRPr="1E884055">
        <w:t>-</w:t>
      </w:r>
      <w:r w:rsidR="00E145A9" w:rsidRPr="007C3FC6">
        <w:t xml:space="preserve">texted replies if the participant </w:t>
      </w:r>
      <w:r w:rsidR="00F7306C" w:rsidRPr="007C3FC6">
        <w:t>sends texted replies</w:t>
      </w:r>
      <w:r w:rsidR="00E145A9" w:rsidRPr="007C3FC6">
        <w:t xml:space="preserve"> containing key words</w:t>
      </w:r>
      <w:r w:rsidR="007F2D7B" w:rsidRPr="1E884055">
        <w:t xml:space="preserve">. </w:t>
      </w:r>
      <w:r w:rsidR="000725A1" w:rsidRPr="007C3FC6">
        <w:t xml:space="preserve">Group </w:t>
      </w:r>
      <w:proofErr w:type="gramStart"/>
      <w:r w:rsidR="000725A1" w:rsidRPr="007C3FC6">
        <w:t>2</w:t>
      </w:r>
      <w:proofErr w:type="gramEnd"/>
      <w:r w:rsidR="000725A1" w:rsidRPr="007C3FC6">
        <w:t xml:space="preserve"> will </w:t>
      </w:r>
      <w:r w:rsidR="5A54355A" w:rsidRPr="007C3FC6">
        <w:t xml:space="preserve">also </w:t>
      </w:r>
      <w:r w:rsidR="000725A1" w:rsidRPr="007C3FC6">
        <w:t xml:space="preserve">receive texted messages, but will be </w:t>
      </w:r>
      <w:r w:rsidR="5A54355A" w:rsidRPr="007C3FC6">
        <w:t>encouraged</w:t>
      </w:r>
      <w:r w:rsidR="000725A1" w:rsidRPr="1E884055">
        <w:t xml:space="preserve"> </w:t>
      </w:r>
      <w:r w:rsidR="000725A1" w:rsidRPr="007C3FC6">
        <w:t xml:space="preserve">to reply to </w:t>
      </w:r>
      <w:r w:rsidR="5A54355A" w:rsidRPr="007C3FC6">
        <w:t>interact with</w:t>
      </w:r>
      <w:r w:rsidRPr="1E884055">
        <w:t xml:space="preserve"> </w:t>
      </w:r>
      <w:r w:rsidR="000725A1" w:rsidRPr="007C3FC6">
        <w:t>a</w:t>
      </w:r>
      <w:r w:rsidR="5A54355A" w:rsidRPr="007C3FC6">
        <w:t>n</w:t>
      </w:r>
      <w:r w:rsidR="000725A1" w:rsidRPr="1E884055">
        <w:t xml:space="preserve"> </w:t>
      </w:r>
      <w:r w:rsidR="000725A1" w:rsidRPr="007C3FC6">
        <w:t>advisor</w:t>
      </w:r>
      <w:r w:rsidR="5A54355A" w:rsidRPr="007C3FC6">
        <w:t xml:space="preserve"> who will provide information on financial aid, SAP, and other topics</w:t>
      </w:r>
      <w:r w:rsidR="007F2D7B" w:rsidRPr="1E884055">
        <w:t xml:space="preserve">. </w:t>
      </w:r>
      <w:r w:rsidR="000725A1" w:rsidRPr="007C3FC6">
        <w:t xml:space="preserve">Group </w:t>
      </w:r>
      <w:proofErr w:type="gramStart"/>
      <w:r w:rsidR="000725A1" w:rsidRPr="007C3FC6">
        <w:t>3</w:t>
      </w:r>
      <w:proofErr w:type="gramEnd"/>
      <w:r w:rsidR="00BB328C">
        <w:t xml:space="preserve">, the </w:t>
      </w:r>
      <w:r w:rsidR="00BB328C" w:rsidRPr="007C3FC6">
        <w:t>control group</w:t>
      </w:r>
      <w:r w:rsidR="00BB328C" w:rsidRPr="1E884055">
        <w:t>,</w:t>
      </w:r>
      <w:r w:rsidR="000725A1" w:rsidRPr="007C3FC6">
        <w:t xml:space="preserve"> will not </w:t>
      </w:r>
      <w:r w:rsidR="00603792" w:rsidRPr="007C3FC6">
        <w:t xml:space="preserve">be contacted at all and will not </w:t>
      </w:r>
      <w:r w:rsidR="00BB328C">
        <w:t>receive any texting outreach</w:t>
      </w:r>
      <w:r w:rsidR="00EA0BBF" w:rsidRPr="007C3FC6">
        <w:rPr>
          <w:rStyle w:val="FootnoteReference"/>
        </w:rPr>
        <w:footnoteReference w:id="2"/>
      </w:r>
      <w:r w:rsidR="007F2D7B" w:rsidRPr="1E884055">
        <w:t xml:space="preserve">. </w:t>
      </w:r>
      <w:r w:rsidR="000725A1" w:rsidRPr="007C3FC6">
        <w:t xml:space="preserve">Texting and advising will continue for approximately </w:t>
      </w:r>
      <w:r w:rsidRPr="007C3FC6">
        <w:t xml:space="preserve">6 </w:t>
      </w:r>
      <w:r w:rsidR="000725A1" w:rsidRPr="007C3FC6">
        <w:t>months</w:t>
      </w:r>
      <w:r w:rsidRPr="1E884055">
        <w:t xml:space="preserve">, </w:t>
      </w:r>
      <w:r w:rsidR="001F720D">
        <w:t xml:space="preserve">from late January </w:t>
      </w:r>
      <w:r w:rsidRPr="007C3FC6">
        <w:t>through July 2017</w:t>
      </w:r>
      <w:r w:rsidR="000725A1" w:rsidRPr="1E884055">
        <w:t xml:space="preserve">. </w:t>
      </w:r>
      <w:r w:rsidR="00173281" w:rsidRPr="007C3FC6">
        <w:t xml:space="preserve">Appendix </w:t>
      </w:r>
      <w:r w:rsidR="004E4A59" w:rsidRPr="007C3FC6">
        <w:t>A</w:t>
      </w:r>
      <w:r w:rsidR="00173281" w:rsidRPr="007C3FC6">
        <w:t xml:space="preserve"> provides </w:t>
      </w:r>
      <w:r w:rsidR="004E4A59" w:rsidRPr="007C3FC6">
        <w:t xml:space="preserve">communication materials for the two </w:t>
      </w:r>
      <w:r w:rsidR="00003120" w:rsidRPr="007C3FC6">
        <w:t xml:space="preserve">experimental </w:t>
      </w:r>
      <w:r w:rsidR="004E4A59" w:rsidRPr="007C3FC6">
        <w:t>groups</w:t>
      </w:r>
      <w:r w:rsidR="007F2D7B" w:rsidRPr="1E884055">
        <w:t xml:space="preserve">. </w:t>
      </w:r>
      <w:r w:rsidR="00F55157" w:rsidRPr="008A2E56">
        <w:t xml:space="preserve">Throughout the texting period, monthly matches to the Central Processing System (CPS), which contains </w:t>
      </w:r>
      <w:r w:rsidR="00EB70BA" w:rsidRPr="001F2F30">
        <w:t xml:space="preserve">FAFSA </w:t>
      </w:r>
      <w:r w:rsidR="00F55157" w:rsidRPr="001F2F30">
        <w:t>data, will allow text</w:t>
      </w:r>
      <w:r w:rsidR="00D831D3" w:rsidRPr="001F2F30">
        <w:t>s</w:t>
      </w:r>
      <w:r w:rsidR="00F55157" w:rsidRPr="001F2F30">
        <w:t xml:space="preserve"> to </w:t>
      </w:r>
      <w:proofErr w:type="gramStart"/>
      <w:r w:rsidR="00F55157" w:rsidRPr="001F2F30">
        <w:t>be customized</w:t>
      </w:r>
      <w:proofErr w:type="gramEnd"/>
      <w:r w:rsidR="00F55157" w:rsidRPr="001F2F30">
        <w:t xml:space="preserve"> to an individual participant’s situation</w:t>
      </w:r>
      <w:r w:rsidR="007F2D7B" w:rsidRPr="001F2F30">
        <w:t xml:space="preserve">. </w:t>
      </w:r>
      <w:r w:rsidR="00F55157" w:rsidRPr="001F2F30">
        <w:t>For example, if a student has not filed a FAFSA during the 2015-16 and 2016-17 academic years, he/she will be encouraged to consider applying</w:t>
      </w:r>
      <w:r w:rsidR="007F2D7B" w:rsidRPr="001F2F30">
        <w:t xml:space="preserve">. </w:t>
      </w:r>
      <w:r w:rsidR="00F55157" w:rsidRPr="001F2F30">
        <w:t>Filers in either 2015-16 or 2016-17 will be encouraged to refile.</w:t>
      </w:r>
    </w:p>
    <w:p w14:paraId="00597E38" w14:textId="77777777" w:rsidR="00D27F94" w:rsidRDefault="0099140E" w:rsidP="007C3FC6">
      <w:pPr>
        <w:pStyle w:val="BodyText"/>
        <w:widowControl w:val="0"/>
        <w:ind w:firstLine="0"/>
      </w:pPr>
      <w:r w:rsidRPr="008A2E56">
        <w:t xml:space="preserve">While there is evidence that </w:t>
      </w:r>
      <w:r w:rsidR="00841CDA">
        <w:t xml:space="preserve">college-going information delivered through text </w:t>
      </w:r>
      <w:r w:rsidRPr="008A2E56">
        <w:t xml:space="preserve">based nudging may work </w:t>
      </w:r>
      <w:r w:rsidR="00841CDA">
        <w:t xml:space="preserve">to improve student outcomes </w:t>
      </w:r>
      <w:r w:rsidRPr="008A2E56">
        <w:t>(</w:t>
      </w:r>
      <w:proofErr w:type="spellStart"/>
      <w:r w:rsidRPr="008A2E56">
        <w:t>Castleman</w:t>
      </w:r>
      <w:proofErr w:type="spellEnd"/>
      <w:r w:rsidRPr="008A2E56">
        <w:t xml:space="preserve"> and Page 2015), there is scant evidence on the exact mechanisms</w:t>
      </w:r>
      <w:r w:rsidRPr="001F2F30">
        <w:t xml:space="preserve"> through which these text based interventions work</w:t>
      </w:r>
      <w:r w:rsidR="009E6B2E">
        <w:t xml:space="preserve">. </w:t>
      </w:r>
      <w:r w:rsidR="00841CDA">
        <w:t>Some previous research</w:t>
      </w:r>
      <w:r w:rsidR="007925A8">
        <w:t xml:space="preserve"> </w:t>
      </w:r>
      <w:r w:rsidR="00841CDA">
        <w:t>has</w:t>
      </w:r>
      <w:r w:rsidR="007925A8">
        <w:t xml:space="preserve"> found that information alone is not sufficient to improve outcomes</w:t>
      </w:r>
      <w:r w:rsidR="008065EF">
        <w:t xml:space="preserve"> (</w:t>
      </w:r>
      <w:proofErr w:type="spellStart"/>
      <w:r w:rsidR="008065EF" w:rsidRPr="001F2F30">
        <w:t>Bettinger</w:t>
      </w:r>
      <w:proofErr w:type="spellEnd"/>
      <w:r w:rsidR="008065EF" w:rsidRPr="001F2F30">
        <w:t xml:space="preserve">, Long </w:t>
      </w:r>
      <w:proofErr w:type="spellStart"/>
      <w:r w:rsidR="008065EF" w:rsidRPr="001F2F30">
        <w:t>Oreoupolous</w:t>
      </w:r>
      <w:proofErr w:type="spellEnd"/>
      <w:r w:rsidR="008065EF" w:rsidRPr="001F2F30">
        <w:t xml:space="preserve"> and </w:t>
      </w:r>
      <w:proofErr w:type="spellStart"/>
      <w:r w:rsidR="008065EF" w:rsidRPr="001F2F30">
        <w:t>Sabonmatsu</w:t>
      </w:r>
      <w:proofErr w:type="spellEnd"/>
      <w:r w:rsidR="008065EF" w:rsidRPr="001F2F30">
        <w:t xml:space="preserve"> 2012</w:t>
      </w:r>
      <w:r w:rsidR="008065EF">
        <w:t>)</w:t>
      </w:r>
      <w:r w:rsidR="007925A8">
        <w:t>.</w:t>
      </w:r>
      <w:r w:rsidRPr="001F2F30">
        <w:t xml:space="preserve"> </w:t>
      </w:r>
      <w:r w:rsidR="005F061E">
        <w:t>Some students</w:t>
      </w:r>
      <w:r w:rsidRPr="001F2F30">
        <w:t xml:space="preserve"> need some form of positive peer influence/social pressure to motivate them to accomplish a task that is not particularly fun or familiar </w:t>
      </w:r>
      <w:r w:rsidR="58A962C6" w:rsidRPr="001F2F30">
        <w:t xml:space="preserve">but </w:t>
      </w:r>
      <w:r w:rsidR="00D27F94">
        <w:t xml:space="preserve">which </w:t>
      </w:r>
      <w:r w:rsidRPr="001F2F30">
        <w:t>will benefit them</w:t>
      </w:r>
      <w:r w:rsidR="00A907AF" w:rsidRPr="001F2F30">
        <w:t xml:space="preserve"> (as in Babco</w:t>
      </w:r>
      <w:r w:rsidR="333F9791" w:rsidRPr="001F2F30">
        <w:t>c</w:t>
      </w:r>
      <w:r w:rsidR="00A907AF" w:rsidRPr="001F2F30">
        <w:t>k and Hartman 2010</w:t>
      </w:r>
      <w:r w:rsidR="00D27F94">
        <w:t>,</w:t>
      </w:r>
      <w:r w:rsidR="00A907AF" w:rsidRPr="001F2F30">
        <w:t xml:space="preserve"> </w:t>
      </w:r>
      <w:r w:rsidR="00D27F94">
        <w:t xml:space="preserve">or Burstyn and Jensen </w:t>
      </w:r>
      <w:r w:rsidR="008E02B5" w:rsidRPr="001F2F30">
        <w:t>2014)</w:t>
      </w:r>
      <w:r w:rsidR="007925A8">
        <w:t>.</w:t>
      </w:r>
      <w:r w:rsidRPr="001F2F30">
        <w:t xml:space="preserve"> </w:t>
      </w:r>
      <w:r w:rsidR="005F061E">
        <w:t>Others</w:t>
      </w:r>
      <w:r w:rsidR="005F061E" w:rsidRPr="001F2F30">
        <w:t xml:space="preserve"> know what they need to do but fail due to procrastination or an inability to commit (as in Ashraf </w:t>
      </w:r>
      <w:proofErr w:type="spellStart"/>
      <w:r w:rsidR="005F061E" w:rsidRPr="001F2F30">
        <w:t>Karlan</w:t>
      </w:r>
      <w:proofErr w:type="spellEnd"/>
      <w:r w:rsidR="005F061E" w:rsidRPr="001F2F30">
        <w:t xml:space="preserve"> and Yin 2006 and </w:t>
      </w:r>
      <w:proofErr w:type="spellStart"/>
      <w:r w:rsidR="005F061E" w:rsidRPr="001F2F30">
        <w:t>Laibson</w:t>
      </w:r>
      <w:proofErr w:type="spellEnd"/>
      <w:r w:rsidR="005F061E" w:rsidRPr="001F2F30">
        <w:t xml:space="preserve"> 1997)</w:t>
      </w:r>
      <w:r w:rsidR="009E6B2E">
        <w:t>.</w:t>
      </w:r>
    </w:p>
    <w:p w14:paraId="1EF8DD9F" w14:textId="549E5DFA" w:rsidR="002C4972" w:rsidRDefault="0099140E" w:rsidP="007C3FC6">
      <w:pPr>
        <w:pStyle w:val="BodyText"/>
        <w:widowControl w:val="0"/>
        <w:ind w:firstLine="0"/>
        <w:rPr>
          <w:szCs w:val="24"/>
        </w:rPr>
      </w:pPr>
      <w:r w:rsidRPr="008A2E56">
        <w:t xml:space="preserve">To investigate these three possible mechanisms, the Group 1 subjects </w:t>
      </w:r>
      <w:proofErr w:type="gramStart"/>
      <w:r w:rsidRPr="008A2E56">
        <w:t xml:space="preserve">will </w:t>
      </w:r>
      <w:r w:rsidR="00D57F07" w:rsidRPr="008A2E56">
        <w:t xml:space="preserve">be </w:t>
      </w:r>
      <w:r w:rsidRPr="008A2E56">
        <w:t>subdivided</w:t>
      </w:r>
      <w:proofErr w:type="gramEnd"/>
      <w:r w:rsidRPr="008A2E56">
        <w:t xml:space="preserve"> into three </w:t>
      </w:r>
      <w:r w:rsidR="00CE324D" w:rsidRPr="008A2E56">
        <w:t xml:space="preserve">equal sized </w:t>
      </w:r>
      <w:r w:rsidRPr="001F2F30">
        <w:t>groups</w:t>
      </w:r>
      <w:r w:rsidR="00D57F07" w:rsidRPr="001F2F30">
        <w:t>,</w:t>
      </w:r>
      <w:r w:rsidRPr="001F2F30">
        <w:t xml:space="preserve"> each of which </w:t>
      </w:r>
      <w:r w:rsidR="00D57F07" w:rsidRPr="001F2F30">
        <w:t>will receive</w:t>
      </w:r>
      <w:r w:rsidRPr="001F2F30">
        <w:t xml:space="preserve"> slightly </w:t>
      </w:r>
      <w:r w:rsidR="00D57F07" w:rsidRPr="001F2F30">
        <w:t>different wording in the text messages</w:t>
      </w:r>
      <w:r w:rsidR="009E6B2E">
        <w:t xml:space="preserve">. </w:t>
      </w:r>
      <w:r w:rsidR="00BF2D6B">
        <w:t>G</w:t>
      </w:r>
      <w:r w:rsidRPr="001F2F30">
        <w:t xml:space="preserve">roup </w:t>
      </w:r>
      <w:r w:rsidR="00BF2D6B">
        <w:t>1</w:t>
      </w:r>
      <w:r w:rsidRPr="001F2F30">
        <w:t>A will receive texts th</w:t>
      </w:r>
      <w:r w:rsidR="00145F27" w:rsidRPr="001F2F30">
        <w:t xml:space="preserve">at simply convey </w:t>
      </w:r>
      <w:r w:rsidR="58A962C6" w:rsidRPr="001F2F30">
        <w:t>relevant information, for example</w:t>
      </w:r>
      <w:r w:rsidR="00867580">
        <w:t>,</w:t>
      </w:r>
      <w:r w:rsidR="58A962C6" w:rsidRPr="001F2F30">
        <w:t xml:space="preserve"> </w:t>
      </w:r>
      <w:r w:rsidR="00145F27" w:rsidRPr="001F2F30">
        <w:t>the</w:t>
      </w:r>
      <w:r w:rsidRPr="001F2F30">
        <w:t xml:space="preserve"> filing deadlines for FAFSA and institution specific financial aid forms</w:t>
      </w:r>
      <w:r w:rsidR="009E6B2E">
        <w:t xml:space="preserve">. </w:t>
      </w:r>
      <w:r w:rsidR="00BF2D6B">
        <w:t>G</w:t>
      </w:r>
      <w:r w:rsidRPr="001F2F30">
        <w:t xml:space="preserve">roup </w:t>
      </w:r>
      <w:r w:rsidR="00BF2D6B">
        <w:t>1</w:t>
      </w:r>
      <w:r w:rsidRPr="001F2F30">
        <w:t>B will receive texts that con</w:t>
      </w:r>
      <w:r w:rsidR="00145F27" w:rsidRPr="001F2F30">
        <w:t>tain</w:t>
      </w:r>
      <w:r w:rsidRPr="001F2F30">
        <w:t xml:space="preserve"> this information </w:t>
      </w:r>
      <w:r w:rsidR="002C4972" w:rsidRPr="001F2F30">
        <w:t>but add</w:t>
      </w:r>
      <w:r w:rsidRPr="001F2F30">
        <w:t xml:space="preserve"> the fact that many other similar students </w:t>
      </w:r>
      <w:r w:rsidR="00145F27" w:rsidRPr="001F2F30">
        <w:t>file</w:t>
      </w:r>
      <w:r w:rsidRPr="001F2F30">
        <w:t xml:space="preserve"> their FAFSA form by January of 2017</w:t>
      </w:r>
      <w:r w:rsidR="009E6B2E">
        <w:t xml:space="preserve">. </w:t>
      </w:r>
      <w:r w:rsidR="00BF2D6B">
        <w:t>G</w:t>
      </w:r>
      <w:r w:rsidR="002C4972" w:rsidRPr="001F2F30">
        <w:t xml:space="preserve">roup </w:t>
      </w:r>
      <w:r w:rsidR="00BF2D6B">
        <w:t>1</w:t>
      </w:r>
      <w:r w:rsidR="002C4972" w:rsidRPr="001F2F30">
        <w:t>C will offer the students a commitment device or reminder system to ensure that the tasks are completed</w:t>
      </w:r>
      <w:r w:rsidR="009E6B2E">
        <w:t xml:space="preserve">. </w:t>
      </w:r>
      <w:r w:rsidR="002C4972" w:rsidRPr="001F2F30">
        <w:t>Specifically</w:t>
      </w:r>
      <w:r w:rsidR="00D27F94">
        <w:t>,</w:t>
      </w:r>
      <w:r w:rsidR="002C4972" w:rsidRPr="001F2F30">
        <w:t xml:space="preserve"> </w:t>
      </w:r>
      <w:r w:rsidR="00D27F94">
        <w:t>G</w:t>
      </w:r>
      <w:r w:rsidR="00D27F94" w:rsidRPr="001F2F30">
        <w:t xml:space="preserve">roup </w:t>
      </w:r>
      <w:r w:rsidR="00D27F94">
        <w:t>1</w:t>
      </w:r>
      <w:r w:rsidR="00D27F94" w:rsidRPr="001F2F30">
        <w:t xml:space="preserve">C </w:t>
      </w:r>
      <w:r w:rsidR="002C4972" w:rsidRPr="001F2F30">
        <w:t xml:space="preserve">students will have the opportunity to choose a day by which the FAFSA </w:t>
      </w:r>
      <w:proofErr w:type="gramStart"/>
      <w:r w:rsidR="002C4972" w:rsidRPr="001F2F30">
        <w:t>will be completed</w:t>
      </w:r>
      <w:proofErr w:type="gramEnd"/>
      <w:r w:rsidR="002C4972" w:rsidRPr="001F2F30">
        <w:t xml:space="preserve"> and will have the option t</w:t>
      </w:r>
      <w:r w:rsidR="00D27F94">
        <w:t>o</w:t>
      </w:r>
      <w:r w:rsidR="002C4972" w:rsidRPr="001F2F30">
        <w:t xml:space="preserve"> receive text reminders about their ch</w:t>
      </w:r>
      <w:r w:rsidR="00CE324D" w:rsidRPr="001F2F30">
        <w:t>osen completion date.</w:t>
      </w:r>
      <w:r w:rsidR="58A962C6" w:rsidRPr="001F2F30">
        <w:t xml:space="preserve"> </w:t>
      </w:r>
      <w:r w:rsidR="00867580">
        <w:t>T</w:t>
      </w:r>
      <w:r w:rsidR="00D27F94">
        <w:t>he t</w:t>
      </w:r>
      <w:r w:rsidR="00867580">
        <w:t>hree</w:t>
      </w:r>
      <w:r w:rsidR="58A962C6" w:rsidRPr="001F2F30">
        <w:t xml:space="preserve"> types of messages </w:t>
      </w:r>
      <w:proofErr w:type="gramStart"/>
      <w:r w:rsidR="00867580">
        <w:t>will be used</w:t>
      </w:r>
      <w:proofErr w:type="gramEnd"/>
      <w:r w:rsidR="00867580">
        <w:t xml:space="preserve"> </w:t>
      </w:r>
      <w:r w:rsidR="58A962C6" w:rsidRPr="001F2F30">
        <w:t>throughout the intervention, for all types of content, not just FAFSA.</w:t>
      </w:r>
    </w:p>
    <w:p w14:paraId="4C5AE824" w14:textId="2C0F298F" w:rsidR="0099140E" w:rsidRDefault="00CE324D" w:rsidP="007C3FC6">
      <w:pPr>
        <w:pStyle w:val="BodyText"/>
        <w:widowControl w:val="0"/>
        <w:ind w:firstLine="0"/>
        <w:rPr>
          <w:szCs w:val="24"/>
        </w:rPr>
      </w:pPr>
      <w:r w:rsidRPr="008A2E56">
        <w:t xml:space="preserve">The relative effectiveness of these three different subgroups will provide </w:t>
      </w:r>
      <w:r w:rsidR="00D57F07" w:rsidRPr="008A2E56">
        <w:t>needed</w:t>
      </w:r>
      <w:r w:rsidRPr="008A2E56">
        <w:t xml:space="preserve"> evidence on </w:t>
      </w:r>
      <w:r w:rsidR="00976B8A" w:rsidRPr="008A2E56">
        <w:t>the mechanisms at work</w:t>
      </w:r>
      <w:r w:rsidR="009E6B2E">
        <w:t xml:space="preserve">. </w:t>
      </w:r>
      <w:r w:rsidR="00976B8A" w:rsidRPr="008A2E56">
        <w:t xml:space="preserve">For example, if the largest treatment effects stem from students </w:t>
      </w:r>
      <w:r w:rsidR="00976B8A" w:rsidRPr="001F2F30">
        <w:t>being able to commit to a specific deadline for task completion, th</w:t>
      </w:r>
      <w:r w:rsidR="00D27F94">
        <w:t>is</w:t>
      </w:r>
      <w:r w:rsidR="00976B8A" w:rsidRPr="001F2F30">
        <w:t xml:space="preserve"> will strongly suggest that procrastination or time management is a large component of the </w:t>
      </w:r>
      <w:r w:rsidR="00145F27" w:rsidRPr="001F2F30">
        <w:t>value of</w:t>
      </w:r>
      <w:r w:rsidR="00976B8A" w:rsidRPr="001F2F30">
        <w:t xml:space="preserve"> text messaging</w:t>
      </w:r>
      <w:r w:rsidR="009E6B2E">
        <w:t xml:space="preserve">. </w:t>
      </w:r>
      <w:r w:rsidR="00A907AF" w:rsidRPr="001F2F30">
        <w:t xml:space="preserve">If students only succeed with personal help from an adviser, this will suggest that the complexity of the task </w:t>
      </w:r>
      <w:r w:rsidR="008A2E56">
        <w:t>rather than</w:t>
      </w:r>
      <w:r w:rsidR="00A907AF" w:rsidRPr="1E884055">
        <w:t xml:space="preserve"> </w:t>
      </w:r>
      <w:r w:rsidR="00A907AF" w:rsidRPr="008A2E56">
        <w:t>basic information or time management is the problem.</w:t>
      </w:r>
    </w:p>
    <w:p w14:paraId="56887C93" w14:textId="1694E757" w:rsidR="003C57F3" w:rsidRPr="007C3FC6" w:rsidRDefault="00976B8A" w:rsidP="007C3FC6">
      <w:pPr>
        <w:pStyle w:val="BodyText"/>
        <w:widowControl w:val="0"/>
        <w:ind w:firstLine="0"/>
        <w:rPr>
          <w:szCs w:val="24"/>
        </w:rPr>
      </w:pPr>
      <w:r w:rsidRPr="008A2E56">
        <w:t xml:space="preserve">In addition to receiving texts on FAFSA and institution specific financial aid forms, </w:t>
      </w:r>
      <w:r w:rsidR="00D57F07" w:rsidRPr="008A2E56">
        <w:t xml:space="preserve">all </w:t>
      </w:r>
      <w:r w:rsidRPr="008A2E56">
        <w:t xml:space="preserve">students </w:t>
      </w:r>
      <w:r w:rsidR="00D57F07" w:rsidRPr="008A2E56">
        <w:t xml:space="preserve">in Groups 1 and 2 will </w:t>
      </w:r>
      <w:r w:rsidRPr="008A2E56">
        <w:t>receive inform</w:t>
      </w:r>
      <w:r w:rsidR="2AAE975B" w:rsidRPr="008A2E56">
        <w:t xml:space="preserve">ation, </w:t>
      </w:r>
      <w:proofErr w:type="gramStart"/>
      <w:r w:rsidR="2AAE975B" w:rsidRPr="008A2E56">
        <w:t>either from texts or advisers</w:t>
      </w:r>
      <w:proofErr w:type="gramEnd"/>
      <w:r w:rsidR="2AAE975B" w:rsidRPr="008A2E56">
        <w:t>, regarding</w:t>
      </w:r>
      <w:r w:rsidRPr="008A2E56">
        <w:t xml:space="preserve"> their potential </w:t>
      </w:r>
      <w:r w:rsidR="003C57F3" w:rsidRPr="008A2E56">
        <w:t>eligibility</w:t>
      </w:r>
      <w:r w:rsidRPr="008A2E56">
        <w:t xml:space="preserve"> for other</w:t>
      </w:r>
      <w:r w:rsidR="2AAE975B" w:rsidRPr="717E0298">
        <w:t>,</w:t>
      </w:r>
      <w:r w:rsidRPr="008A2E56">
        <w:t xml:space="preserve"> major sources of financial support</w:t>
      </w:r>
      <w:r w:rsidR="009E6B2E">
        <w:t xml:space="preserve">. </w:t>
      </w:r>
      <w:r w:rsidRPr="008A2E56">
        <w:t>Specifically</w:t>
      </w:r>
      <w:r w:rsidR="008A2E56" w:rsidRPr="717E0298">
        <w:t>,</w:t>
      </w:r>
      <w:r w:rsidRPr="008A2E56">
        <w:t xml:space="preserve"> students will receive texts with information on </w:t>
      </w:r>
      <w:r w:rsidR="003C57F3" w:rsidRPr="008A2E56">
        <w:t>how to check for their household’s eligibility for SNAP (Supplemental Nutritional Assistance Program)</w:t>
      </w:r>
      <w:r w:rsidR="009E6B2E">
        <w:t xml:space="preserve">. </w:t>
      </w:r>
      <w:r w:rsidR="003C57F3" w:rsidRPr="001F2F30">
        <w:t xml:space="preserve">SNAP offers an online tool </w:t>
      </w:r>
      <w:r w:rsidR="00D27F94">
        <w:t>that</w:t>
      </w:r>
      <w:r w:rsidR="003C57F3" w:rsidRPr="001F2F30">
        <w:t xml:space="preserve"> enables people to check eligibility and estimate monthly benefits (</w:t>
      </w:r>
      <w:hyperlink r:id="rId18" w:history="1">
        <w:r w:rsidR="003C57F3" w:rsidRPr="00D27F94">
          <w:rPr>
            <w:rStyle w:val="Hyperlink"/>
            <w:color w:val="0000CC"/>
            <w:sz w:val="20"/>
          </w:rPr>
          <w:t>http://www.snap-step1.usda.gov/fns/</w:t>
        </w:r>
      </w:hyperlink>
      <w:r w:rsidR="003C57F3" w:rsidRPr="717E0298">
        <w:t>)</w:t>
      </w:r>
      <w:r w:rsidR="009E6B2E">
        <w:t xml:space="preserve">. </w:t>
      </w:r>
      <w:r w:rsidR="6D2FA0CE" w:rsidRPr="008A2E56">
        <w:t>S</w:t>
      </w:r>
      <w:r w:rsidR="003C57F3" w:rsidRPr="008A2E56">
        <w:t xml:space="preserve">tudents </w:t>
      </w:r>
      <w:r w:rsidR="6D2FA0CE" w:rsidRPr="008A2E56">
        <w:t xml:space="preserve">also </w:t>
      </w:r>
      <w:r w:rsidR="003C57F3" w:rsidRPr="008A2E56">
        <w:t>will be texted basic information on the Earned Income Tax Credit (EITC)</w:t>
      </w:r>
      <w:r w:rsidR="009E6B2E">
        <w:t xml:space="preserve">. </w:t>
      </w:r>
      <w:r w:rsidR="003C57F3" w:rsidRPr="008A2E56">
        <w:t xml:space="preserve">Students will be told what the EITC is and </w:t>
      </w:r>
      <w:r w:rsidR="003C57F3" w:rsidRPr="001F2F30">
        <w:t>how they or their parents could receive the EITC through Federal Tax filing</w:t>
      </w:r>
      <w:r w:rsidR="2AAE975B" w:rsidRPr="001F2F30">
        <w:t xml:space="preserve">. </w:t>
      </w:r>
      <w:r w:rsidR="6D2FA0CE" w:rsidRPr="001F2F30">
        <w:t xml:space="preserve">In addition, students </w:t>
      </w:r>
      <w:proofErr w:type="gramStart"/>
      <w:r w:rsidR="6D2FA0CE" w:rsidRPr="001F2F30">
        <w:t>will be informed</w:t>
      </w:r>
      <w:proofErr w:type="gramEnd"/>
      <w:r w:rsidR="6D2FA0CE" w:rsidRPr="001F2F30">
        <w:t xml:space="preserve"> that colleges often have emergency financial aid programs and emergency housing options available to students in need. </w:t>
      </w:r>
      <w:proofErr w:type="spellStart"/>
      <w:r w:rsidR="00B51463" w:rsidRPr="008A2E56">
        <w:t>Broton</w:t>
      </w:r>
      <w:proofErr w:type="spellEnd"/>
      <w:r w:rsidR="00B51463" w:rsidRPr="008A2E56">
        <w:t xml:space="preserve"> and </w:t>
      </w:r>
      <w:proofErr w:type="spellStart"/>
      <w:r w:rsidR="00B51463" w:rsidRPr="008A2E56">
        <w:t>Goldrick-Rab</w:t>
      </w:r>
      <w:proofErr w:type="spellEnd"/>
      <w:r w:rsidR="00B51463" w:rsidRPr="008A2E56">
        <w:t xml:space="preserve"> (2015) show </w:t>
      </w:r>
      <w:proofErr w:type="gramStart"/>
      <w:r w:rsidR="00B51463" w:rsidRPr="008A2E56">
        <w:t>that large fractions of Pell eligible students are food insecure and are not taking up SNAP benefits for which they are eligible</w:t>
      </w:r>
      <w:proofErr w:type="gramEnd"/>
      <w:r w:rsidR="009E6B2E">
        <w:t xml:space="preserve">. </w:t>
      </w:r>
      <w:r w:rsidR="003C57F3" w:rsidRPr="001F2F30">
        <w:t xml:space="preserve">Existing research </w:t>
      </w:r>
      <w:r w:rsidR="006D7179" w:rsidRPr="001F2F30">
        <w:t>(Duke-</w:t>
      </w:r>
      <w:r w:rsidR="006D7179" w:rsidRPr="001F2F30">
        <w:lastRenderedPageBreak/>
        <w:t xml:space="preserve">Benfield </w:t>
      </w:r>
      <w:r w:rsidR="73BB53C0" w:rsidRPr="001F2F30">
        <w:t>and</w:t>
      </w:r>
      <w:r w:rsidR="006D7179" w:rsidRPr="001F2F30">
        <w:t xml:space="preserve"> Saunders </w:t>
      </w:r>
      <w:r w:rsidR="1FEE1ADA" w:rsidRPr="001F2F30">
        <w:t>20</w:t>
      </w:r>
      <w:r w:rsidR="73BB53C0" w:rsidRPr="001F2F30">
        <w:t>16</w:t>
      </w:r>
      <w:r w:rsidR="00D27F94">
        <w:t>,</w:t>
      </w:r>
      <w:r w:rsidR="73BB53C0" w:rsidRPr="001F2F30">
        <w:t xml:space="preserve"> </w:t>
      </w:r>
      <w:r w:rsidR="00D27F94">
        <w:t xml:space="preserve">and McDonnell and </w:t>
      </w:r>
      <w:proofErr w:type="spellStart"/>
      <w:r w:rsidR="00D27F94">
        <w:t>Soricone</w:t>
      </w:r>
      <w:proofErr w:type="spellEnd"/>
      <w:r w:rsidR="00D27F94">
        <w:t xml:space="preserve"> </w:t>
      </w:r>
      <w:r w:rsidR="006D7179" w:rsidRPr="001F2F30">
        <w:t xml:space="preserve">2014) </w:t>
      </w:r>
      <w:r w:rsidR="003C57F3" w:rsidRPr="001F2F30">
        <w:t xml:space="preserve">suggests that </w:t>
      </w:r>
      <w:r w:rsidR="006D7179" w:rsidRPr="001F2F30">
        <w:t xml:space="preserve">a comprehensive approach </w:t>
      </w:r>
      <w:r w:rsidR="00D57F07" w:rsidRPr="001F2F30">
        <w:t>(</w:t>
      </w:r>
      <w:r w:rsidR="006D7179" w:rsidRPr="001F2F30">
        <w:t>encouraging students to apply for all the aid for which they are eligible</w:t>
      </w:r>
      <w:r w:rsidR="00D57F07" w:rsidRPr="001F2F30">
        <w:t>)</w:t>
      </w:r>
      <w:r w:rsidR="006D7179" w:rsidRPr="001F2F30">
        <w:t xml:space="preserve"> can promote college persistence and completion</w:t>
      </w:r>
      <w:r w:rsidR="009E6B2E">
        <w:t xml:space="preserve">. </w:t>
      </w:r>
      <w:r w:rsidR="00B51463" w:rsidRPr="001F2F30">
        <w:t xml:space="preserve">By texting </w:t>
      </w:r>
      <w:proofErr w:type="gramStart"/>
      <w:r w:rsidR="00B51463" w:rsidRPr="001F2F30">
        <w:t>students</w:t>
      </w:r>
      <w:proofErr w:type="gramEnd"/>
      <w:r w:rsidR="00B51463" w:rsidRPr="001F2F30">
        <w:t xml:space="preserve"> not just about FAFSA filing but also institutional deadlines, and SNAP and EITC, the study aims to maximize the potential increase</w:t>
      </w:r>
      <w:r w:rsidR="00D57F07" w:rsidRPr="001F2F30">
        <w:t>s</w:t>
      </w:r>
      <w:r w:rsidR="00B51463" w:rsidRPr="001F2F30">
        <w:t xml:space="preserve"> in student retention and completion.</w:t>
      </w:r>
    </w:p>
    <w:p w14:paraId="4D2008E4" w14:textId="77777777" w:rsidR="00FF1928" w:rsidRPr="007925A8" w:rsidRDefault="00EB70BA" w:rsidP="004B32B2">
      <w:pPr>
        <w:pStyle w:val="FootnoteText"/>
        <w:rPr>
          <w:szCs w:val="24"/>
        </w:rPr>
      </w:pPr>
      <w:r w:rsidRPr="004B32B2">
        <w:rPr>
          <w:sz w:val="24"/>
          <w:szCs w:val="24"/>
        </w:rPr>
        <w:t>Study</w:t>
      </w:r>
      <w:r w:rsidR="00AC23F0" w:rsidRPr="004B32B2">
        <w:rPr>
          <w:sz w:val="24"/>
          <w:szCs w:val="24"/>
        </w:rPr>
        <w:t xml:space="preserve"> participants will </w:t>
      </w:r>
      <w:r w:rsidRPr="004B32B2">
        <w:rPr>
          <w:sz w:val="24"/>
          <w:szCs w:val="24"/>
        </w:rPr>
        <w:t>be text-messaged using</w:t>
      </w:r>
      <w:r w:rsidR="00AC23F0" w:rsidRPr="004B32B2">
        <w:rPr>
          <w:sz w:val="24"/>
          <w:szCs w:val="24"/>
        </w:rPr>
        <w:t xml:space="preserve"> a platform developed and provided by Signal Vine</w:t>
      </w:r>
      <w:r w:rsidR="007F2D7B" w:rsidRPr="004B32B2">
        <w:rPr>
          <w:sz w:val="24"/>
          <w:szCs w:val="24"/>
        </w:rPr>
        <w:t xml:space="preserve">. </w:t>
      </w:r>
      <w:r w:rsidR="007925A8" w:rsidRPr="004B32B2">
        <w:rPr>
          <w:sz w:val="24"/>
          <w:szCs w:val="24"/>
        </w:rPr>
        <w:t xml:space="preserve">Signal Vine is a national organization that provides web-based texting platforms to education and public service organizations hoping to reach students. Signal Vine successfully provided </w:t>
      </w:r>
      <w:proofErr w:type="gramStart"/>
      <w:r w:rsidR="007925A8" w:rsidRPr="004B32B2">
        <w:rPr>
          <w:sz w:val="24"/>
          <w:szCs w:val="24"/>
        </w:rPr>
        <w:t>text messaging</w:t>
      </w:r>
      <w:proofErr w:type="gramEnd"/>
      <w:r w:rsidR="007925A8" w:rsidRPr="004B32B2">
        <w:rPr>
          <w:sz w:val="24"/>
          <w:szCs w:val="24"/>
        </w:rPr>
        <w:t xml:space="preserve"> services to Dr. </w:t>
      </w:r>
      <w:proofErr w:type="spellStart"/>
      <w:r w:rsidR="007925A8" w:rsidRPr="004B32B2">
        <w:rPr>
          <w:sz w:val="24"/>
          <w:szCs w:val="24"/>
        </w:rPr>
        <w:t>Castleman</w:t>
      </w:r>
      <w:proofErr w:type="spellEnd"/>
      <w:r w:rsidR="007925A8" w:rsidRPr="004B32B2">
        <w:rPr>
          <w:sz w:val="24"/>
          <w:szCs w:val="24"/>
        </w:rPr>
        <w:t xml:space="preserve"> and Dr. Page for previous nudging studies.</w:t>
      </w:r>
      <w:r w:rsidR="007925A8">
        <w:rPr>
          <w:sz w:val="24"/>
          <w:szCs w:val="24"/>
        </w:rPr>
        <w:t xml:space="preserve"> </w:t>
      </w:r>
      <w:r w:rsidR="00AC23F0" w:rsidRPr="004B32B2">
        <w:rPr>
          <w:sz w:val="24"/>
          <w:szCs w:val="24"/>
        </w:rPr>
        <w:t xml:space="preserve">Signal Vine staff will train the </w:t>
      </w:r>
      <w:r w:rsidRPr="004B32B2">
        <w:rPr>
          <w:sz w:val="24"/>
          <w:szCs w:val="24"/>
        </w:rPr>
        <w:t xml:space="preserve">financial aid </w:t>
      </w:r>
      <w:r w:rsidR="00AC23F0" w:rsidRPr="004B32B2">
        <w:rPr>
          <w:sz w:val="24"/>
          <w:szCs w:val="24"/>
        </w:rPr>
        <w:t xml:space="preserve">advisors </w:t>
      </w:r>
      <w:r w:rsidRPr="004B32B2">
        <w:rPr>
          <w:sz w:val="24"/>
          <w:szCs w:val="24"/>
        </w:rPr>
        <w:t xml:space="preserve">for </w:t>
      </w:r>
      <w:r w:rsidR="0001295A" w:rsidRPr="004B32B2">
        <w:rPr>
          <w:sz w:val="24"/>
          <w:szCs w:val="24"/>
        </w:rPr>
        <w:t xml:space="preserve">Group </w:t>
      </w:r>
      <w:r w:rsidRPr="004B32B2">
        <w:rPr>
          <w:sz w:val="24"/>
          <w:szCs w:val="24"/>
        </w:rPr>
        <w:t xml:space="preserve">2 </w:t>
      </w:r>
      <w:r w:rsidR="00AC23F0" w:rsidRPr="004B32B2">
        <w:rPr>
          <w:sz w:val="24"/>
          <w:szCs w:val="24"/>
        </w:rPr>
        <w:t>on how to use the messaging platform to communicate with student participants</w:t>
      </w:r>
      <w:r w:rsidR="007F2D7B" w:rsidRPr="004B32B2">
        <w:rPr>
          <w:sz w:val="24"/>
          <w:szCs w:val="24"/>
        </w:rPr>
        <w:t xml:space="preserve">. </w:t>
      </w:r>
      <w:proofErr w:type="gramStart"/>
      <w:r w:rsidR="007C4AA6" w:rsidRPr="004B32B2">
        <w:rPr>
          <w:sz w:val="24"/>
          <w:szCs w:val="24"/>
        </w:rPr>
        <w:t>The a</w:t>
      </w:r>
      <w:r w:rsidR="00B93F32" w:rsidRPr="004B32B2">
        <w:rPr>
          <w:sz w:val="24"/>
          <w:szCs w:val="24"/>
        </w:rPr>
        <w:t xml:space="preserve">dvising will be provided by a team hired </w:t>
      </w:r>
      <w:r w:rsidR="00AC23F0" w:rsidRPr="004B32B2">
        <w:rPr>
          <w:sz w:val="24"/>
          <w:szCs w:val="24"/>
        </w:rPr>
        <w:t>by College Possible</w:t>
      </w:r>
      <w:proofErr w:type="gramEnd"/>
      <w:r w:rsidR="007F2D7B" w:rsidRPr="004B32B2">
        <w:rPr>
          <w:sz w:val="24"/>
          <w:szCs w:val="24"/>
        </w:rPr>
        <w:t xml:space="preserve">. </w:t>
      </w:r>
      <w:r w:rsidR="007925A8" w:rsidRPr="004B32B2">
        <w:rPr>
          <w:sz w:val="24"/>
          <w:szCs w:val="24"/>
        </w:rPr>
        <w:t xml:space="preserve">College </w:t>
      </w:r>
      <w:proofErr w:type="spellStart"/>
      <w:r w:rsidR="007925A8" w:rsidRPr="004B32B2">
        <w:rPr>
          <w:sz w:val="24"/>
          <w:szCs w:val="24"/>
        </w:rPr>
        <w:t>Possible’s</w:t>
      </w:r>
      <w:proofErr w:type="spellEnd"/>
      <w:r w:rsidR="007925A8" w:rsidRPr="004B32B2">
        <w:rPr>
          <w:sz w:val="24"/>
          <w:szCs w:val="24"/>
        </w:rPr>
        <w:t xml:space="preserve"> work </w:t>
      </w:r>
      <w:proofErr w:type="gramStart"/>
      <w:r w:rsidR="007925A8" w:rsidRPr="004B32B2">
        <w:rPr>
          <w:sz w:val="24"/>
          <w:szCs w:val="24"/>
        </w:rPr>
        <w:t>has been rigorously evaluated with a randomized experiment and found to be effective</w:t>
      </w:r>
      <w:proofErr w:type="gramEnd"/>
      <w:r w:rsidR="007925A8" w:rsidRPr="004B32B2">
        <w:rPr>
          <w:sz w:val="24"/>
          <w:szCs w:val="24"/>
        </w:rPr>
        <w:t xml:space="preserve"> (Avery, 2013). College Possible is also one of four advising organizations providing remote, one-on-one college advising to students through a national virtual advising campaign funded by Bloomberg Philanthropies.</w:t>
      </w:r>
      <w:r w:rsidR="007925A8">
        <w:rPr>
          <w:sz w:val="24"/>
          <w:szCs w:val="24"/>
        </w:rPr>
        <w:t xml:space="preserve"> </w:t>
      </w:r>
      <w:r w:rsidR="00AC23F0" w:rsidRPr="004B32B2">
        <w:rPr>
          <w:sz w:val="24"/>
          <w:szCs w:val="24"/>
        </w:rPr>
        <w:t xml:space="preserve">All advisors </w:t>
      </w:r>
      <w:r w:rsidR="004861F8" w:rsidRPr="004B32B2">
        <w:rPr>
          <w:sz w:val="24"/>
          <w:szCs w:val="24"/>
        </w:rPr>
        <w:t xml:space="preserve">will be </w:t>
      </w:r>
      <w:r w:rsidR="00AC23F0" w:rsidRPr="004B32B2">
        <w:rPr>
          <w:sz w:val="24"/>
          <w:szCs w:val="24"/>
        </w:rPr>
        <w:t xml:space="preserve">recent 4-year college graduates, almost 50 percent of whom </w:t>
      </w:r>
      <w:proofErr w:type="gramStart"/>
      <w:r w:rsidR="00AC23F0" w:rsidRPr="004B32B2">
        <w:rPr>
          <w:sz w:val="24"/>
          <w:szCs w:val="24"/>
        </w:rPr>
        <w:t>are either</w:t>
      </w:r>
      <w:proofErr w:type="gramEnd"/>
      <w:r w:rsidR="00AC23F0" w:rsidRPr="004B32B2">
        <w:rPr>
          <w:sz w:val="24"/>
          <w:szCs w:val="24"/>
        </w:rPr>
        <w:t xml:space="preserve"> from low-income backgrounds or were first in their family to earn a college degree. Many grew up in or attended college in the community they now serve, and their personal experience makes them highly effective coaches</w:t>
      </w:r>
      <w:r w:rsidR="00AD4029" w:rsidRPr="004B32B2">
        <w:rPr>
          <w:sz w:val="24"/>
          <w:szCs w:val="24"/>
        </w:rPr>
        <w:t xml:space="preserve"> for students</w:t>
      </w:r>
      <w:r w:rsidRPr="004B32B2">
        <w:rPr>
          <w:sz w:val="24"/>
          <w:szCs w:val="24"/>
        </w:rPr>
        <w:t xml:space="preserve"> in the study</w:t>
      </w:r>
      <w:r w:rsidR="007F2D7B" w:rsidRPr="004B32B2">
        <w:rPr>
          <w:sz w:val="24"/>
          <w:szCs w:val="24"/>
        </w:rPr>
        <w:t>.</w:t>
      </w:r>
    </w:p>
    <w:p w14:paraId="20CD3A36" w14:textId="1AD1DD24" w:rsidR="60A16F4F" w:rsidRDefault="60A16F4F" w:rsidP="001F2F30">
      <w:pPr>
        <w:pStyle w:val="BodyText"/>
        <w:ind w:firstLine="0"/>
        <w:rPr>
          <w:szCs w:val="24"/>
        </w:rPr>
      </w:pPr>
      <w:r w:rsidRPr="001F2F30">
        <w:t xml:space="preserve">College Possible </w:t>
      </w:r>
      <w:r w:rsidR="001F720D">
        <w:t xml:space="preserve">trains its advisors </w:t>
      </w:r>
      <w:proofErr w:type="gramStart"/>
      <w:r w:rsidR="001F720D">
        <w:t>to appropriately and respectfully interact</w:t>
      </w:r>
      <w:proofErr w:type="gramEnd"/>
      <w:r w:rsidR="001F720D">
        <w:t xml:space="preserve"> with students regarding their college activities. As part of College </w:t>
      </w:r>
      <w:proofErr w:type="spellStart"/>
      <w:r w:rsidR="001F720D">
        <w:t>Possible’s</w:t>
      </w:r>
      <w:proofErr w:type="spellEnd"/>
      <w:r w:rsidR="001F720D">
        <w:t xml:space="preserve"> formal training program, </w:t>
      </w:r>
      <w:r w:rsidRPr="001F2F30">
        <w:t xml:space="preserve">advisors participate in an intensive, 3-week orientation that includes broad overviews on topics such as demographics and college access/success, the educational achievement gap, and cultural competencies for serving College </w:t>
      </w:r>
      <w:proofErr w:type="spellStart"/>
      <w:r w:rsidRPr="001F2F30">
        <w:t>Possible’s</w:t>
      </w:r>
      <w:proofErr w:type="spellEnd"/>
      <w:r w:rsidRPr="001F2F30">
        <w:t xml:space="preserve"> key communities. After orientation is completed, advisors participate in weekly training and discussion opportunities throughout the year in preparation for upcoming coaching topics and activities, such as </w:t>
      </w:r>
      <w:r w:rsidR="00BB068D" w:rsidRPr="001F2F30">
        <w:t xml:space="preserve">advising on </w:t>
      </w:r>
      <w:r w:rsidRPr="001F2F30">
        <w:t>course registration and financial aid renewal. Each training session and activity includes a detailed training plan developed by the College Possible program team, ensur</w:t>
      </w:r>
      <w:r w:rsidR="00BB068D" w:rsidRPr="001F2F30">
        <w:t>ing</w:t>
      </w:r>
      <w:r w:rsidRPr="001F2F30">
        <w:t xml:space="preserve"> </w:t>
      </w:r>
      <w:r w:rsidR="00BB068D" w:rsidRPr="001F2F30">
        <w:t xml:space="preserve">that </w:t>
      </w:r>
      <w:r w:rsidRPr="001F2F30">
        <w:t xml:space="preserve">each advisor </w:t>
      </w:r>
      <w:r w:rsidR="00BB068D" w:rsidRPr="001F2F30">
        <w:t xml:space="preserve">will </w:t>
      </w:r>
      <w:r w:rsidRPr="001F2F30">
        <w:t>receive the same information.</w:t>
      </w:r>
    </w:p>
    <w:p w14:paraId="7C3EE8A1" w14:textId="77777777" w:rsidR="00BB068D" w:rsidRDefault="00BB068D" w:rsidP="007C3FC6">
      <w:pPr>
        <w:pStyle w:val="BodyText"/>
        <w:widowControl w:val="0"/>
        <w:ind w:firstLine="0"/>
      </w:pPr>
      <w:r>
        <w:t>RTI will match the 2017 texting and advising data with</w:t>
      </w:r>
      <w:r w:rsidR="00945D38" w:rsidRPr="007C3FC6">
        <w:t xml:space="preserve"> administrative </w:t>
      </w:r>
      <w:r>
        <w:t>databases</w:t>
      </w:r>
      <w:r w:rsidR="007F2D7B" w:rsidRPr="007C3FC6">
        <w:t xml:space="preserve">. </w:t>
      </w:r>
      <w:r w:rsidR="00945D38" w:rsidRPr="007C3FC6">
        <w:t xml:space="preserve">In addition to </w:t>
      </w:r>
      <w:r w:rsidRPr="007C3FC6">
        <w:t xml:space="preserve">matching </w:t>
      </w:r>
      <w:r>
        <w:t xml:space="preserve">to </w:t>
      </w:r>
      <w:r w:rsidR="00945D38" w:rsidRPr="007C3FC6">
        <w:t>the CPS during the intervention period described above, RTI will conduct match</w:t>
      </w:r>
      <w:r w:rsidR="007C4AA6" w:rsidRPr="007C3FC6">
        <w:t>es</w:t>
      </w:r>
      <w:r w:rsidR="00945D38" w:rsidRPr="007C3FC6">
        <w:t xml:space="preserve"> to CPS to determine </w:t>
      </w:r>
      <w:proofErr w:type="gramStart"/>
      <w:r w:rsidR="00945D38" w:rsidRPr="007C3FC6">
        <w:t>whether or not</w:t>
      </w:r>
      <w:proofErr w:type="gramEnd"/>
      <w:r w:rsidR="00945D38" w:rsidRPr="007C3FC6">
        <w:t xml:space="preserve"> participants apply for federal financial aid</w:t>
      </w:r>
      <w:r w:rsidR="007F2D7B" w:rsidRPr="007C3FC6">
        <w:t xml:space="preserve">. </w:t>
      </w:r>
      <w:r w:rsidR="00945D38" w:rsidRPr="007C3FC6">
        <w:t xml:space="preserve">Long-term financial aid data </w:t>
      </w:r>
      <w:proofErr w:type="gramStart"/>
      <w:r w:rsidR="00945D38" w:rsidRPr="007C3FC6">
        <w:t>will be collected</w:t>
      </w:r>
      <w:proofErr w:type="gramEnd"/>
      <w:r w:rsidR="00945D38" w:rsidRPr="007C3FC6">
        <w:t xml:space="preserve"> from the </w:t>
      </w:r>
      <w:r w:rsidR="000725A1" w:rsidRPr="007C3FC6">
        <w:t>National Student Loan Data System (NSLDS), and enrollment and degree attainment data</w:t>
      </w:r>
      <w:r w:rsidR="008F20D1" w:rsidRPr="007C3FC6">
        <w:t xml:space="preserve"> will be collected fro</w:t>
      </w:r>
      <w:r w:rsidR="00630789" w:rsidRPr="007C3FC6">
        <w:t>m the National Student Clearinghouse (NSC</w:t>
      </w:r>
      <w:r w:rsidR="000725A1" w:rsidRPr="007C3FC6">
        <w:t>)</w:t>
      </w:r>
      <w:r>
        <w:t>.</w:t>
      </w:r>
      <w:r w:rsidR="000725A1" w:rsidRPr="007C3FC6">
        <w:t xml:space="preserve"> </w:t>
      </w:r>
      <w:r w:rsidR="00630789" w:rsidRPr="007C3FC6">
        <w:t>F</w:t>
      </w:r>
      <w:r w:rsidR="000725A1" w:rsidRPr="007C3FC6">
        <w:t>ollow-up match</w:t>
      </w:r>
      <w:r w:rsidR="00630789" w:rsidRPr="007C3FC6">
        <w:t xml:space="preserve">ing </w:t>
      </w:r>
      <w:r w:rsidR="007D5ED6">
        <w:t xml:space="preserve">with these sources </w:t>
      </w:r>
      <w:r w:rsidR="00630789" w:rsidRPr="007C3FC6">
        <w:t>will</w:t>
      </w:r>
      <w:r w:rsidR="000725A1" w:rsidRPr="007C3FC6">
        <w:t xml:space="preserve"> </w:t>
      </w:r>
      <w:r w:rsidR="00630789" w:rsidRPr="007C3FC6">
        <w:t xml:space="preserve">continue through the 2019-2020 </w:t>
      </w:r>
      <w:r w:rsidR="000725A1" w:rsidRPr="007C3FC6">
        <w:t>academic year.</w:t>
      </w:r>
    </w:p>
    <w:p w14:paraId="146F5F7A" w14:textId="77777777" w:rsidR="00265E39" w:rsidRPr="007C3FC6" w:rsidRDefault="00265E39" w:rsidP="007C3FC6">
      <w:pPr>
        <w:pStyle w:val="Heading2"/>
        <w:keepNext w:val="0"/>
        <w:widowControl w:val="0"/>
      </w:pPr>
      <w:bookmarkStart w:id="23" w:name="_Toc464308439"/>
      <w:r w:rsidRPr="007C3FC6">
        <w:t>Use of Information Technology</w:t>
      </w:r>
      <w:bookmarkEnd w:id="19"/>
      <w:bookmarkEnd w:id="23"/>
    </w:p>
    <w:p w14:paraId="0FAE8FE2" w14:textId="33971613" w:rsidR="00237D59" w:rsidRPr="00BB068D" w:rsidRDefault="00BE64C0" w:rsidP="007C3FC6">
      <w:pPr>
        <w:widowControl w:val="0"/>
        <w:autoSpaceDE w:val="0"/>
        <w:autoSpaceDN w:val="0"/>
        <w:adjustRightInd w:val="0"/>
        <w:spacing w:after="0" w:line="240" w:lineRule="auto"/>
        <w:rPr>
          <w:rFonts w:cs="Arial"/>
          <w:color w:val="000000" w:themeColor="text1"/>
          <w:szCs w:val="24"/>
        </w:rPr>
      </w:pPr>
      <w:r w:rsidRPr="007C3FC6">
        <w:t>S</w:t>
      </w:r>
      <w:r w:rsidR="00237D59" w:rsidRPr="007C3FC6">
        <w:t xml:space="preserve">taff from </w:t>
      </w:r>
      <w:r w:rsidRPr="007C3FC6">
        <w:t xml:space="preserve">College Possible </w:t>
      </w:r>
      <w:r w:rsidR="00276478" w:rsidRPr="007C3FC6">
        <w:t xml:space="preserve">will utilize a web-based platform provided by Signal Vine to </w:t>
      </w:r>
      <w:r w:rsidR="00237D59" w:rsidRPr="007C3FC6">
        <w:t xml:space="preserve">send, </w:t>
      </w:r>
      <w:r w:rsidR="00276478" w:rsidRPr="007C3FC6">
        <w:t>view</w:t>
      </w:r>
      <w:r w:rsidR="00237D59" w:rsidRPr="007C3FC6">
        <w:t>,</w:t>
      </w:r>
      <w:r w:rsidR="00276478" w:rsidRPr="007C3FC6">
        <w:t xml:space="preserve"> and respond </w:t>
      </w:r>
      <w:r w:rsidR="00276478" w:rsidRPr="00E95E10">
        <w:t xml:space="preserve">to </w:t>
      </w:r>
      <w:r w:rsidR="007C4AA6" w:rsidRPr="00840E65">
        <w:t xml:space="preserve">study participants with </w:t>
      </w:r>
      <w:r w:rsidR="00276478" w:rsidRPr="00840E65">
        <w:t>text messages</w:t>
      </w:r>
      <w:r w:rsidR="007F2D7B" w:rsidRPr="00840E65">
        <w:t xml:space="preserve">. </w:t>
      </w:r>
      <w:r w:rsidR="00237D59" w:rsidRPr="004B32B2">
        <w:rPr>
          <w:rFonts w:eastAsia="Arial" w:cs="Arial"/>
          <w:color w:val="000000" w:themeColor="text1"/>
        </w:rPr>
        <w:t>Signal Vine uses a direct, two-way integration platform to communicate with study participants as often as needed without them incurring message fees</w:t>
      </w:r>
      <w:r w:rsidR="007F2D7B" w:rsidRPr="004B32B2">
        <w:rPr>
          <w:rFonts w:eastAsia="Arial" w:cs="Arial"/>
          <w:color w:val="000000" w:themeColor="text1"/>
        </w:rPr>
        <w:t xml:space="preserve">. </w:t>
      </w:r>
      <w:r w:rsidR="00237D59" w:rsidRPr="004B32B2">
        <w:rPr>
          <w:rFonts w:eastAsia="Arial" w:cs="Arial"/>
          <w:color w:val="000000" w:themeColor="text1"/>
        </w:rPr>
        <w:t xml:space="preserve">Through the platform, messages </w:t>
      </w:r>
      <w:proofErr w:type="gramStart"/>
      <w:r w:rsidR="00237D59" w:rsidRPr="004B32B2">
        <w:rPr>
          <w:rFonts w:eastAsia="Arial" w:cs="Arial"/>
          <w:color w:val="000000" w:themeColor="text1"/>
        </w:rPr>
        <w:t>can be sent</w:t>
      </w:r>
      <w:proofErr w:type="gramEnd"/>
      <w:r w:rsidR="00237D59" w:rsidRPr="004B32B2">
        <w:rPr>
          <w:rFonts w:eastAsia="Arial" w:cs="Arial"/>
          <w:color w:val="000000" w:themeColor="text1"/>
        </w:rPr>
        <w:t xml:space="preserve"> as either automated </w:t>
      </w:r>
      <w:r w:rsidR="00395853" w:rsidRPr="004B32B2">
        <w:rPr>
          <w:rFonts w:eastAsia="Arial" w:cs="Arial"/>
          <w:color w:val="000000" w:themeColor="text1"/>
        </w:rPr>
        <w:t xml:space="preserve">natural language </w:t>
      </w:r>
      <w:r w:rsidR="00237D59" w:rsidRPr="004B32B2">
        <w:rPr>
          <w:rFonts w:eastAsia="Arial" w:cs="Arial"/>
          <w:color w:val="000000" w:themeColor="text1"/>
        </w:rPr>
        <w:t>responses</w:t>
      </w:r>
      <w:r w:rsidR="00395853" w:rsidRPr="004B32B2">
        <w:rPr>
          <w:rFonts w:eastAsia="Arial" w:cs="Arial"/>
          <w:color w:val="000000" w:themeColor="text1"/>
        </w:rPr>
        <w:t xml:space="preserve"> </w:t>
      </w:r>
      <w:r w:rsidR="004465F6" w:rsidRPr="004B32B2">
        <w:rPr>
          <w:rFonts w:eastAsia="Arial" w:cs="Arial"/>
          <w:color w:val="000000" w:themeColor="text1"/>
        </w:rPr>
        <w:t xml:space="preserve">that can </w:t>
      </w:r>
      <w:r w:rsidR="00B53D61" w:rsidRPr="004B32B2">
        <w:rPr>
          <w:rFonts w:eastAsia="Arial" w:cs="Arial"/>
          <w:color w:val="000000" w:themeColor="text1"/>
        </w:rPr>
        <w:t>be sent in response to key words</w:t>
      </w:r>
      <w:r w:rsidR="00237D59" w:rsidRPr="004B32B2">
        <w:rPr>
          <w:rFonts w:eastAsia="Arial" w:cs="Arial"/>
          <w:color w:val="000000" w:themeColor="text1"/>
        </w:rPr>
        <w:t xml:space="preserve">, </w:t>
      </w:r>
      <w:r w:rsidR="004465F6" w:rsidRPr="004B32B2">
        <w:rPr>
          <w:rFonts w:eastAsia="Arial" w:cs="Arial"/>
          <w:color w:val="000000" w:themeColor="text1"/>
        </w:rPr>
        <w:t xml:space="preserve">or </w:t>
      </w:r>
      <w:r w:rsidR="00B2200E" w:rsidRPr="004B32B2">
        <w:rPr>
          <w:rFonts w:eastAsia="Arial" w:cs="Arial"/>
          <w:color w:val="000000" w:themeColor="text1"/>
        </w:rPr>
        <w:t xml:space="preserve">as messages sent </w:t>
      </w:r>
      <w:r w:rsidR="00237D59" w:rsidRPr="004B32B2">
        <w:rPr>
          <w:rFonts w:eastAsia="Arial" w:cs="Arial"/>
          <w:color w:val="000000" w:themeColor="text1"/>
        </w:rPr>
        <w:t>by study staff responding to participants, one-on-one</w:t>
      </w:r>
      <w:r w:rsidR="007F2D7B" w:rsidRPr="004B32B2">
        <w:rPr>
          <w:rFonts w:eastAsia="Arial" w:cs="Arial"/>
          <w:color w:val="000000" w:themeColor="text1"/>
        </w:rPr>
        <w:t xml:space="preserve">. </w:t>
      </w:r>
      <w:r w:rsidR="00395853" w:rsidRPr="004B32B2">
        <w:rPr>
          <w:rFonts w:eastAsia="Arial" w:cs="Arial"/>
          <w:color w:val="000000" w:themeColor="text1"/>
        </w:rPr>
        <w:t>Signal Vine technology allows s</w:t>
      </w:r>
      <w:r w:rsidR="00237D59" w:rsidRPr="004B32B2">
        <w:rPr>
          <w:rFonts w:eastAsia="Arial" w:cs="Arial"/>
          <w:color w:val="000000" w:themeColor="text1"/>
        </w:rPr>
        <w:t xml:space="preserve">tudy participants </w:t>
      </w:r>
      <w:proofErr w:type="gramStart"/>
      <w:r w:rsidR="00395853" w:rsidRPr="004B32B2">
        <w:rPr>
          <w:rFonts w:eastAsia="Arial" w:cs="Arial"/>
          <w:color w:val="000000" w:themeColor="text1"/>
        </w:rPr>
        <w:t xml:space="preserve">to also </w:t>
      </w:r>
      <w:r w:rsidR="00237D59" w:rsidRPr="004B32B2">
        <w:rPr>
          <w:rFonts w:eastAsia="Arial" w:cs="Arial"/>
          <w:color w:val="000000" w:themeColor="text1"/>
        </w:rPr>
        <w:t>receive</w:t>
      </w:r>
      <w:proofErr w:type="gramEnd"/>
      <w:r w:rsidR="00237D59" w:rsidRPr="004B32B2">
        <w:rPr>
          <w:rFonts w:eastAsia="Arial" w:cs="Arial"/>
          <w:color w:val="000000" w:themeColor="text1"/>
        </w:rPr>
        <w:t xml:space="preserve"> </w:t>
      </w:r>
      <w:r w:rsidR="00395853" w:rsidRPr="004B32B2">
        <w:rPr>
          <w:rFonts w:eastAsia="Arial" w:cs="Arial"/>
          <w:color w:val="000000" w:themeColor="text1"/>
        </w:rPr>
        <w:t xml:space="preserve">texted </w:t>
      </w:r>
      <w:r w:rsidR="00237D59" w:rsidRPr="004B32B2">
        <w:rPr>
          <w:rFonts w:eastAsia="Arial" w:cs="Arial"/>
          <w:color w:val="000000" w:themeColor="text1"/>
        </w:rPr>
        <w:t>pictures, videos</w:t>
      </w:r>
      <w:r w:rsidR="00B2200E" w:rsidRPr="004B32B2">
        <w:rPr>
          <w:rFonts w:eastAsia="Arial" w:cs="Arial"/>
          <w:color w:val="000000" w:themeColor="text1"/>
        </w:rPr>
        <w:t>,</w:t>
      </w:r>
      <w:r w:rsidR="00237D59" w:rsidRPr="004B32B2">
        <w:rPr>
          <w:rFonts w:eastAsia="Arial" w:cs="Arial"/>
          <w:color w:val="000000" w:themeColor="text1"/>
        </w:rPr>
        <w:t xml:space="preserve"> and GIFs. If desired, student data </w:t>
      </w:r>
      <w:proofErr w:type="gramStart"/>
      <w:r w:rsidR="00237D59" w:rsidRPr="004B32B2">
        <w:rPr>
          <w:rFonts w:eastAsia="Arial" w:cs="Arial"/>
          <w:color w:val="000000" w:themeColor="text1"/>
        </w:rPr>
        <w:t>can be used</w:t>
      </w:r>
      <w:proofErr w:type="gramEnd"/>
      <w:r w:rsidR="00237D59" w:rsidRPr="004B32B2">
        <w:rPr>
          <w:rFonts w:eastAsia="Arial" w:cs="Arial"/>
          <w:color w:val="000000" w:themeColor="text1"/>
        </w:rPr>
        <w:t xml:space="preserve"> to personalize text messages and target specific individuals or groups of individuals</w:t>
      </w:r>
      <w:r w:rsidR="007F2D7B" w:rsidRPr="004B32B2">
        <w:rPr>
          <w:rFonts w:eastAsia="Arial" w:cs="Arial"/>
          <w:color w:val="000000" w:themeColor="text1"/>
        </w:rPr>
        <w:t xml:space="preserve">. </w:t>
      </w:r>
      <w:r w:rsidR="00237D59" w:rsidRPr="004B32B2">
        <w:rPr>
          <w:rFonts w:eastAsia="Arial" w:cs="Arial"/>
          <w:color w:val="000000" w:themeColor="text1"/>
        </w:rPr>
        <w:t>The Signal Vine platform measures engagement and response rates with an interactive dashboard</w:t>
      </w:r>
      <w:r w:rsidR="00B2200E" w:rsidRPr="004B32B2">
        <w:rPr>
          <w:rFonts w:eastAsia="Arial" w:cs="Arial"/>
          <w:color w:val="000000" w:themeColor="text1"/>
        </w:rPr>
        <w:t>,</w:t>
      </w:r>
      <w:r w:rsidR="00237D59" w:rsidRPr="004B32B2">
        <w:rPr>
          <w:rFonts w:eastAsia="Arial" w:cs="Arial"/>
          <w:color w:val="000000" w:themeColor="text1"/>
        </w:rPr>
        <w:t xml:space="preserve"> and manages text responses through a user-friendly inbox</w:t>
      </w:r>
      <w:r w:rsidR="00DA65F9" w:rsidRPr="001F2F30">
        <w:rPr>
          <w:rStyle w:val="FootnoteReference"/>
          <w:rFonts w:ascii="Arial" w:eastAsia="Arial" w:hAnsi="Arial" w:cs="Arial"/>
          <w:color w:val="000000" w:themeColor="text1"/>
        </w:rPr>
        <w:footnoteReference w:id="3"/>
      </w:r>
      <w:r w:rsidR="00DA65F9" w:rsidRPr="001F2F30">
        <w:rPr>
          <w:rFonts w:ascii="Arial" w:eastAsia="Arial" w:hAnsi="Arial" w:cs="Arial"/>
          <w:color w:val="000000" w:themeColor="text1"/>
        </w:rPr>
        <w:t xml:space="preserve">. </w:t>
      </w:r>
      <w:r w:rsidR="00152EA7" w:rsidRPr="007C3FC6">
        <w:t xml:space="preserve">Additional data for </w:t>
      </w:r>
      <w:r w:rsidR="00CF510C">
        <w:t>study</w:t>
      </w:r>
      <w:r w:rsidR="00152EA7" w:rsidRPr="007C3FC6">
        <w:t xml:space="preserve"> participants </w:t>
      </w:r>
      <w:proofErr w:type="gramStart"/>
      <w:r w:rsidR="00152EA7" w:rsidRPr="007C3FC6">
        <w:t>will be obtained</w:t>
      </w:r>
      <w:proofErr w:type="gramEnd"/>
      <w:r w:rsidR="00152EA7" w:rsidRPr="007C3FC6">
        <w:t xml:space="preserve"> </w:t>
      </w:r>
      <w:r w:rsidR="00316FB7" w:rsidRPr="007C3FC6">
        <w:t xml:space="preserve">by matching to </w:t>
      </w:r>
      <w:r w:rsidR="00152EA7" w:rsidRPr="007C3FC6">
        <w:t xml:space="preserve">administrative data sources. These include, as described above, queries of </w:t>
      </w:r>
      <w:r w:rsidR="00316FB7" w:rsidRPr="007C3FC6">
        <w:t xml:space="preserve">the </w:t>
      </w:r>
      <w:r w:rsidR="00152EA7" w:rsidRPr="007C3FC6">
        <w:t>CPS, NSLDS</w:t>
      </w:r>
      <w:r w:rsidR="00DA65F9">
        <w:t xml:space="preserve"> (</w:t>
      </w:r>
      <w:r w:rsidR="00152EA7" w:rsidRPr="007C3FC6">
        <w:t>containing Pell loan and grant files</w:t>
      </w:r>
      <w:r w:rsidR="00DA65F9">
        <w:t>)</w:t>
      </w:r>
      <w:r w:rsidR="00152EA7" w:rsidRPr="007C3FC6">
        <w:t xml:space="preserve">, and the NSC. A description of the confidentiality procedures in place for administrative record matching </w:t>
      </w:r>
      <w:proofErr w:type="gramStart"/>
      <w:r w:rsidR="00152EA7" w:rsidRPr="007C3FC6">
        <w:t>is provided</w:t>
      </w:r>
      <w:proofErr w:type="gramEnd"/>
      <w:r w:rsidR="00152EA7" w:rsidRPr="007C3FC6">
        <w:t xml:space="preserve"> in a</w:t>
      </w:r>
      <w:r w:rsidR="00316FB7" w:rsidRPr="007C3FC6">
        <w:t>ppendix B</w:t>
      </w:r>
      <w:r w:rsidR="00152EA7" w:rsidRPr="007C3FC6">
        <w:t>.</w:t>
      </w:r>
    </w:p>
    <w:p w14:paraId="36D28C4C" w14:textId="77777777" w:rsidR="00265E39" w:rsidRPr="007C3FC6" w:rsidRDefault="00265E39" w:rsidP="007C3FC6">
      <w:pPr>
        <w:pStyle w:val="Heading2"/>
        <w:keepNext w:val="0"/>
        <w:widowControl w:val="0"/>
      </w:pPr>
      <w:bookmarkStart w:id="24" w:name="_Toc383113367"/>
      <w:bookmarkStart w:id="25" w:name="_Toc464308440"/>
      <w:r w:rsidRPr="007C3FC6">
        <w:lastRenderedPageBreak/>
        <w:t>Efforts to Identify Duplication</w:t>
      </w:r>
      <w:bookmarkEnd w:id="24"/>
      <w:bookmarkEnd w:id="25"/>
    </w:p>
    <w:p w14:paraId="78DCCE6A" w14:textId="04C79A21" w:rsidR="00D27F94" w:rsidRDefault="000C09A7" w:rsidP="004B32B2">
      <w:pPr>
        <w:pStyle w:val="BodyText"/>
        <w:ind w:firstLine="0"/>
        <w:rPr>
          <w:kern w:val="24"/>
        </w:rPr>
      </w:pPr>
      <w:r w:rsidRPr="000C09A7">
        <w:rPr>
          <w:kern w:val="24"/>
        </w:rPr>
        <w:t>The current NCER-NPSAS grant project builds upon previous research showing that providing students with financial aid information via text message</w:t>
      </w:r>
      <w:r w:rsidR="00881C8D">
        <w:rPr>
          <w:kern w:val="24"/>
        </w:rPr>
        <w:t>s</w:t>
      </w:r>
      <w:r w:rsidRPr="000C09A7">
        <w:rPr>
          <w:kern w:val="24"/>
        </w:rPr>
        <w:t xml:space="preserve"> can increase access to financial aid and college enrollment (</w:t>
      </w:r>
      <w:proofErr w:type="spellStart"/>
      <w:r w:rsidRPr="000C09A7">
        <w:rPr>
          <w:kern w:val="24"/>
        </w:rPr>
        <w:t>Castleman</w:t>
      </w:r>
      <w:proofErr w:type="spellEnd"/>
      <w:r w:rsidRPr="000C09A7">
        <w:rPr>
          <w:kern w:val="24"/>
        </w:rPr>
        <w:t xml:space="preserve"> and Page; 2015), and that combining information and assistance may be necessary to improve financial aid access and enrollment when students are confronted with difficult tasks (</w:t>
      </w:r>
      <w:proofErr w:type="spellStart"/>
      <w:r w:rsidRPr="000C09A7">
        <w:rPr>
          <w:kern w:val="24"/>
        </w:rPr>
        <w:t>Bettinger</w:t>
      </w:r>
      <w:proofErr w:type="spellEnd"/>
      <w:r w:rsidRPr="000C09A7">
        <w:rPr>
          <w:kern w:val="24"/>
        </w:rPr>
        <w:t>, et al. 2012). As part of the NCER-NPSAS grant competition, the expert peer-review panel was aware of the related body of literature and NCER reviewed literature on informational interventions in an effort to identify duplication. The results of the review found no other study to date that has examined the impacts of a FAFSA-renewal intervention, or an intervention designed to increase compliance with satisfactory academic progress requirements, at the national level. Most prior research has focused on helping students to access financial aid at the beginning of college, rather than focusing on FAFSA re-application. In addition, NCER has not funded any other grants or replication studies like this one.</w:t>
      </w:r>
    </w:p>
    <w:p w14:paraId="79C083D0" w14:textId="53F1A892" w:rsidR="005F3E77" w:rsidRPr="007C3FC6" w:rsidRDefault="00265E39" w:rsidP="007C3FC6">
      <w:pPr>
        <w:pStyle w:val="Heading2"/>
        <w:keepNext w:val="0"/>
        <w:widowControl w:val="0"/>
      </w:pPr>
      <w:bookmarkStart w:id="26" w:name="_Toc383113368"/>
      <w:bookmarkStart w:id="27" w:name="_Toc464308441"/>
      <w:r w:rsidRPr="007C3FC6">
        <w:t>Method Used to Minimize Burden on Small Businesses</w:t>
      </w:r>
      <w:bookmarkEnd w:id="26"/>
      <w:bookmarkEnd w:id="27"/>
    </w:p>
    <w:p w14:paraId="698DB760" w14:textId="75483A89" w:rsidR="00265E39" w:rsidRPr="007C3FC6" w:rsidRDefault="00E22320" w:rsidP="007C3FC6">
      <w:pPr>
        <w:pStyle w:val="BodyText"/>
        <w:widowControl w:val="0"/>
        <w:ind w:firstLine="0"/>
      </w:pPr>
      <w:r w:rsidRPr="007C3FC6">
        <w:t>This NCER-NPSAS</w:t>
      </w:r>
      <w:r w:rsidR="00265E39" w:rsidRPr="007C3FC6">
        <w:t xml:space="preserve"> </w:t>
      </w:r>
      <w:r w:rsidR="00276478" w:rsidRPr="007C3FC6">
        <w:t xml:space="preserve">grant </w:t>
      </w:r>
      <w:r w:rsidR="00171B38">
        <w:t xml:space="preserve">study </w:t>
      </w:r>
      <w:r w:rsidR="00D715A3" w:rsidRPr="007C3FC6">
        <w:t>does not invo</w:t>
      </w:r>
      <w:r w:rsidR="00276478" w:rsidRPr="007C3FC6">
        <w:t>lve data collection from any small businesses or entities</w:t>
      </w:r>
      <w:r w:rsidR="00265E39" w:rsidRPr="007C3FC6">
        <w:t>.</w:t>
      </w:r>
    </w:p>
    <w:p w14:paraId="7CC0BE9B" w14:textId="77777777" w:rsidR="00265E39" w:rsidRPr="007C3FC6" w:rsidRDefault="00265E39" w:rsidP="007C3FC6">
      <w:pPr>
        <w:pStyle w:val="Heading2"/>
        <w:keepNext w:val="0"/>
        <w:widowControl w:val="0"/>
      </w:pPr>
      <w:bookmarkStart w:id="28" w:name="_Toc383113369"/>
      <w:bookmarkStart w:id="29" w:name="_Toc464308442"/>
      <w:r w:rsidRPr="007C3FC6">
        <w:t>Frequency of Data Collection</w:t>
      </w:r>
      <w:bookmarkEnd w:id="28"/>
      <w:bookmarkEnd w:id="29"/>
    </w:p>
    <w:p w14:paraId="095D2D42" w14:textId="778C926E" w:rsidR="006701B5" w:rsidRPr="007C3FC6" w:rsidRDefault="00DB5276" w:rsidP="007C3FC6">
      <w:pPr>
        <w:pStyle w:val="BodyText"/>
        <w:widowControl w:val="0"/>
        <w:ind w:firstLine="0"/>
      </w:pPr>
      <w:r w:rsidRPr="007C3FC6">
        <w:t xml:space="preserve">This </w:t>
      </w:r>
      <w:r w:rsidR="007D5ED6">
        <w:t>one-time study using NPSAS participants</w:t>
      </w:r>
      <w:r w:rsidRPr="007C3FC6">
        <w:t xml:space="preserve"> will communicate with students by texting</w:t>
      </w:r>
      <w:r w:rsidR="002F6852" w:rsidRPr="007C3FC6">
        <w:t>,</w:t>
      </w:r>
      <w:r w:rsidRPr="007C3FC6">
        <w:t xml:space="preserve"> </w:t>
      </w:r>
      <w:r w:rsidR="00E64EF9" w:rsidRPr="007C3FC6">
        <w:t xml:space="preserve">approximately every </w:t>
      </w:r>
      <w:r w:rsidR="00C1061A">
        <w:t>1-</w:t>
      </w:r>
      <w:r w:rsidR="00E64EF9" w:rsidRPr="007C3FC6">
        <w:t>2 weeks</w:t>
      </w:r>
      <w:r w:rsidR="002F6852" w:rsidRPr="007C3FC6">
        <w:t>,</w:t>
      </w:r>
      <w:r w:rsidR="00E64EF9" w:rsidRPr="007C3FC6">
        <w:t xml:space="preserve"> </w:t>
      </w:r>
      <w:r w:rsidR="007D5ED6">
        <w:t>from</w:t>
      </w:r>
      <w:r w:rsidR="004B32B2">
        <w:t xml:space="preserve"> </w:t>
      </w:r>
      <w:r w:rsidR="00171B38">
        <w:t xml:space="preserve">late </w:t>
      </w:r>
      <w:r w:rsidR="003E07CF">
        <w:t>January</w:t>
      </w:r>
      <w:r w:rsidR="00EB7691" w:rsidRPr="007C3FC6">
        <w:t xml:space="preserve"> </w:t>
      </w:r>
      <w:r w:rsidR="00E64EF9" w:rsidRPr="007C3FC6">
        <w:t xml:space="preserve">2017 </w:t>
      </w:r>
      <w:r w:rsidRPr="007C3FC6">
        <w:t xml:space="preserve">through </w:t>
      </w:r>
      <w:r w:rsidR="00D4572B">
        <w:t xml:space="preserve">the end of </w:t>
      </w:r>
      <w:r w:rsidRPr="007C3FC6">
        <w:t>July</w:t>
      </w:r>
      <w:r w:rsidR="00E64EF9" w:rsidRPr="007C3FC6">
        <w:t xml:space="preserve"> </w:t>
      </w:r>
      <w:r w:rsidRPr="007C3FC6">
        <w:t>2017</w:t>
      </w:r>
      <w:r w:rsidR="007F2D7B" w:rsidRPr="007C3FC6">
        <w:t xml:space="preserve">. </w:t>
      </w:r>
      <w:r w:rsidR="009D1808" w:rsidRPr="007C3FC6">
        <w:t xml:space="preserve">No further texting or advising will </w:t>
      </w:r>
      <w:r w:rsidR="00E64EF9" w:rsidRPr="007C3FC6">
        <w:t xml:space="preserve">occur </w:t>
      </w:r>
      <w:r w:rsidR="009D1808" w:rsidRPr="007C3FC6">
        <w:t xml:space="preserve">after </w:t>
      </w:r>
      <w:r w:rsidR="00E64EF9" w:rsidRPr="007C3FC6">
        <w:t>July 2017</w:t>
      </w:r>
      <w:r w:rsidR="007F2D7B" w:rsidRPr="007C3FC6">
        <w:t xml:space="preserve">. </w:t>
      </w:r>
      <w:r w:rsidR="00E64EF9" w:rsidRPr="007C3FC6">
        <w:t>During the same 6-month period</w:t>
      </w:r>
      <w:r w:rsidRPr="007C3FC6">
        <w:t xml:space="preserve">, </w:t>
      </w:r>
      <w:r w:rsidR="00E64EF9" w:rsidRPr="007C3FC6">
        <w:t xml:space="preserve">participants </w:t>
      </w:r>
      <w:proofErr w:type="gramStart"/>
      <w:r w:rsidRPr="007C3FC6">
        <w:t>will be matched</w:t>
      </w:r>
      <w:proofErr w:type="gramEnd"/>
      <w:r w:rsidRPr="007C3FC6">
        <w:t xml:space="preserve"> to CPS one time per month </w:t>
      </w:r>
      <w:r w:rsidR="00E64EF9" w:rsidRPr="007C3FC6">
        <w:t xml:space="preserve">to determine </w:t>
      </w:r>
      <w:r w:rsidR="002F6852" w:rsidRPr="007C3FC6">
        <w:t xml:space="preserve">application status, which will, in turn, determine </w:t>
      </w:r>
      <w:r w:rsidR="00E64EF9" w:rsidRPr="007C3FC6">
        <w:t>the appropriate content of the text messages</w:t>
      </w:r>
      <w:r w:rsidR="007F2D7B" w:rsidRPr="007C3FC6">
        <w:t xml:space="preserve">. </w:t>
      </w:r>
      <w:r w:rsidR="00E64EF9" w:rsidRPr="007C3FC6">
        <w:t>In addition, t</w:t>
      </w:r>
      <w:r w:rsidRPr="007C3FC6">
        <w:t xml:space="preserve">he </w:t>
      </w:r>
      <w:r w:rsidR="00171B38">
        <w:t>study</w:t>
      </w:r>
      <w:r w:rsidR="007D5ED6">
        <w:t xml:space="preserve"> sample </w:t>
      </w:r>
      <w:proofErr w:type="gramStart"/>
      <w:r w:rsidR="007D5ED6">
        <w:t>will be matched</w:t>
      </w:r>
      <w:proofErr w:type="gramEnd"/>
      <w:r w:rsidR="007D5ED6">
        <w:t xml:space="preserve"> to CPS, </w:t>
      </w:r>
      <w:r w:rsidRPr="007C3FC6">
        <w:t>NSLDS</w:t>
      </w:r>
      <w:r w:rsidR="007D5ED6">
        <w:t>,</w:t>
      </w:r>
      <w:r w:rsidRPr="007C3FC6">
        <w:t xml:space="preserve"> and NSC on</w:t>
      </w:r>
      <w:r w:rsidR="007D5ED6">
        <w:t>c</w:t>
      </w:r>
      <w:r w:rsidRPr="007C3FC6">
        <w:t>e per year from 2017 to 2020</w:t>
      </w:r>
      <w:r w:rsidR="007F2D7B" w:rsidRPr="007C3FC6">
        <w:t xml:space="preserve">. </w:t>
      </w:r>
      <w:r w:rsidR="006F3196" w:rsidRPr="007C3FC6">
        <w:t xml:space="preserve">If a student </w:t>
      </w:r>
      <w:proofErr w:type="gramStart"/>
      <w:r w:rsidR="006F3196" w:rsidRPr="007C3FC6">
        <w:t>is no longer enrolled</w:t>
      </w:r>
      <w:proofErr w:type="gramEnd"/>
      <w:r w:rsidR="006F3196" w:rsidRPr="007C3FC6">
        <w:t xml:space="preserve">, matching will still occur to determine if he/she returns to postsecondary study during the </w:t>
      </w:r>
      <w:r w:rsidR="007D5ED6">
        <w:t>study</w:t>
      </w:r>
      <w:r w:rsidR="006F3196" w:rsidRPr="007C3FC6">
        <w:t xml:space="preserve"> period.</w:t>
      </w:r>
    </w:p>
    <w:p w14:paraId="569DF4A6" w14:textId="77777777" w:rsidR="00265E39" w:rsidRPr="007C3FC6" w:rsidRDefault="00265E39" w:rsidP="007C3FC6">
      <w:pPr>
        <w:pStyle w:val="Heading2"/>
        <w:keepNext w:val="0"/>
        <w:widowControl w:val="0"/>
      </w:pPr>
      <w:bookmarkStart w:id="30" w:name="_Toc383113370"/>
      <w:bookmarkStart w:id="31" w:name="_Toc464308443"/>
      <w:r w:rsidRPr="007C3FC6">
        <w:t>Special Circumstances of Data Collection</w:t>
      </w:r>
      <w:bookmarkEnd w:id="30"/>
      <w:bookmarkEnd w:id="31"/>
    </w:p>
    <w:p w14:paraId="04BF5C93" w14:textId="77777777" w:rsidR="005F3E77" w:rsidRPr="007C3FC6" w:rsidRDefault="00265E39" w:rsidP="007C3FC6">
      <w:pPr>
        <w:pStyle w:val="BodyText"/>
        <w:widowControl w:val="0"/>
        <w:ind w:firstLine="0"/>
      </w:pPr>
      <w:r w:rsidRPr="007C3FC6">
        <w:t xml:space="preserve">No special circumstances of data collection </w:t>
      </w:r>
      <w:proofErr w:type="gramStart"/>
      <w:r w:rsidRPr="007C3FC6">
        <w:t>are anticipated</w:t>
      </w:r>
      <w:proofErr w:type="gramEnd"/>
      <w:r w:rsidRPr="007C3FC6">
        <w:t>.</w:t>
      </w:r>
    </w:p>
    <w:p w14:paraId="3C4F25D4" w14:textId="65E16774" w:rsidR="005F3E77" w:rsidRPr="007C3FC6" w:rsidRDefault="00265E39" w:rsidP="007C3FC6">
      <w:pPr>
        <w:pStyle w:val="Heading2"/>
        <w:keepNext w:val="0"/>
        <w:widowControl w:val="0"/>
      </w:pPr>
      <w:bookmarkStart w:id="32" w:name="_Toc383113371"/>
      <w:bookmarkStart w:id="33" w:name="_Toc464308444"/>
      <w:r w:rsidRPr="007C3FC6">
        <w:t xml:space="preserve">Consultants </w:t>
      </w:r>
      <w:r w:rsidR="00171B38">
        <w:t>o</w:t>
      </w:r>
      <w:r w:rsidRPr="007C3FC6">
        <w:t>utside the Agency</w:t>
      </w:r>
      <w:bookmarkEnd w:id="32"/>
      <w:bookmarkEnd w:id="33"/>
    </w:p>
    <w:p w14:paraId="436B1939" w14:textId="210E1876" w:rsidR="00FF1928" w:rsidRDefault="00840E65" w:rsidP="007C3FC6">
      <w:pPr>
        <w:pStyle w:val="BodyText"/>
        <w:widowControl w:val="0"/>
        <w:ind w:firstLine="0"/>
      </w:pPr>
      <w:r w:rsidRPr="00DE42EF">
        <w:t xml:space="preserve">The </w:t>
      </w:r>
      <w:r>
        <w:t xml:space="preserve">Principal Investigator for this funded research project </w:t>
      </w:r>
      <w:r w:rsidRPr="00EF029C">
        <w:t>(</w:t>
      </w:r>
      <w:r w:rsidR="009A6B19" w:rsidRPr="004B32B2">
        <w:t>R305A160400</w:t>
      </w:r>
      <w:r>
        <w:t xml:space="preserve">) </w:t>
      </w:r>
      <w:r w:rsidR="000C09A7">
        <w:t xml:space="preserve">has </w:t>
      </w:r>
      <w:r>
        <w:t>been researching and publishing on the topic</w:t>
      </w:r>
      <w:r w:rsidR="000C09A7">
        <w:t>s</w:t>
      </w:r>
      <w:r>
        <w:t xml:space="preserve"> of </w:t>
      </w:r>
      <w:r w:rsidR="000C09A7">
        <w:t xml:space="preserve">college persistence </w:t>
      </w:r>
      <w:r>
        <w:t xml:space="preserve">for over </w:t>
      </w:r>
      <w:r w:rsidRPr="004B32B2">
        <w:t>1</w:t>
      </w:r>
      <w:r w:rsidR="000C09A7" w:rsidRPr="004B32B2">
        <w:t>0</w:t>
      </w:r>
      <w:r w:rsidRPr="004B32B2">
        <w:t xml:space="preserve"> years</w:t>
      </w:r>
      <w:r>
        <w:t xml:space="preserve">. </w:t>
      </w:r>
      <w:r w:rsidR="005B0CB5" w:rsidRPr="007C3FC6">
        <w:t xml:space="preserve">The </w:t>
      </w:r>
      <w:r w:rsidR="00EA7B65" w:rsidRPr="007C3FC6">
        <w:t xml:space="preserve">NCER-NPSAS </w:t>
      </w:r>
      <w:r w:rsidR="005B0CB5" w:rsidRPr="007C3FC6">
        <w:t xml:space="preserve">grant recipients developed their </w:t>
      </w:r>
      <w:r w:rsidR="005A1DA2">
        <w:t>research design</w:t>
      </w:r>
      <w:r w:rsidR="005B0CB5" w:rsidRPr="007C3FC6">
        <w:t xml:space="preserve"> independently of NCES, and relied on literature reviews and their own prior research</w:t>
      </w:r>
      <w:r w:rsidR="007F2D7B" w:rsidRPr="007C3FC6">
        <w:t>.</w:t>
      </w:r>
    </w:p>
    <w:p w14:paraId="7EB36610" w14:textId="77777777" w:rsidR="00265E39" w:rsidRPr="007C3FC6" w:rsidRDefault="00995387" w:rsidP="007C3FC6">
      <w:pPr>
        <w:pStyle w:val="BodyText"/>
        <w:widowControl w:val="0"/>
        <w:ind w:firstLine="0"/>
      </w:pPr>
      <w:r w:rsidRPr="007C3FC6">
        <w:t>F</w:t>
      </w:r>
      <w:r w:rsidR="005B0CB5" w:rsidRPr="007C3FC6">
        <w:t>or NPSAS</w:t>
      </w:r>
      <w:r w:rsidRPr="007C3FC6">
        <w:t>:16</w:t>
      </w:r>
      <w:r w:rsidR="005B0CB5" w:rsidRPr="007C3FC6">
        <w:t xml:space="preserve">, several strategies </w:t>
      </w:r>
      <w:r w:rsidRPr="007C3FC6">
        <w:t xml:space="preserve">were </w:t>
      </w:r>
      <w:r w:rsidR="005B0CB5" w:rsidRPr="007C3FC6">
        <w:t>incorporated into the project work plan that allow</w:t>
      </w:r>
      <w:r w:rsidRPr="007C3FC6">
        <w:t>ed</w:t>
      </w:r>
      <w:r w:rsidR="005B0CB5" w:rsidRPr="007C3FC6">
        <w:t xml:space="preserve"> for the critical review and acquisition of comments relating to project activities, interim and final products, and projected and actual outcomes. These strategies include</w:t>
      </w:r>
      <w:r w:rsidRPr="007C3FC6">
        <w:t>d</w:t>
      </w:r>
      <w:r w:rsidR="005B0CB5" w:rsidRPr="007C3FC6">
        <w:t xml:space="preserve"> consultations with persons and organizations both internal and external to NCES, the U.S. Department of Education, and the federal government</w:t>
      </w:r>
      <w:r w:rsidR="007F2D7B" w:rsidRPr="007C3FC6">
        <w:t xml:space="preserve">. </w:t>
      </w:r>
      <w:r w:rsidRPr="007C3FC6">
        <w:t>NPSAS:16 and previous NPSAS</w:t>
      </w:r>
      <w:r w:rsidR="005D6047" w:rsidRPr="007C3FC6">
        <w:t xml:space="preserve"> cycles</w:t>
      </w:r>
      <w:r w:rsidRPr="007C3FC6">
        <w:t xml:space="preserve"> have </w:t>
      </w:r>
      <w:r w:rsidR="005B0CB5" w:rsidRPr="007C3FC6">
        <w:t>benefited from a technical review panel composed of staff from several offices in the Department; representatives of NSF, OMB, and CBO; and non-federal members who are considered experts in postsecondary education issues, including financial aid.</w:t>
      </w:r>
    </w:p>
    <w:p w14:paraId="435F6328" w14:textId="77777777" w:rsidR="00265E39" w:rsidRPr="007C3FC6" w:rsidRDefault="00265E39" w:rsidP="007C3FC6">
      <w:pPr>
        <w:pStyle w:val="Heading2"/>
        <w:keepNext w:val="0"/>
        <w:widowControl w:val="0"/>
      </w:pPr>
      <w:bookmarkStart w:id="34" w:name="_Toc383113372"/>
      <w:bookmarkStart w:id="35" w:name="_Toc464308445"/>
      <w:r w:rsidRPr="007C3FC6">
        <w:t>Provision of Payments or Gifts to Respondents</w:t>
      </w:r>
      <w:bookmarkEnd w:id="34"/>
      <w:bookmarkEnd w:id="35"/>
    </w:p>
    <w:p w14:paraId="3D6BCC60" w14:textId="77777777" w:rsidR="005F3E77" w:rsidRPr="007C3FC6" w:rsidRDefault="00265E39" w:rsidP="007C3FC6">
      <w:pPr>
        <w:pStyle w:val="BodyText"/>
        <w:widowControl w:val="0"/>
        <w:ind w:firstLine="0"/>
      </w:pPr>
      <w:r w:rsidRPr="007C3FC6">
        <w:t xml:space="preserve">No payments or gifts </w:t>
      </w:r>
      <w:proofErr w:type="gramStart"/>
      <w:r w:rsidR="00344B71" w:rsidRPr="007C3FC6">
        <w:t>will be given</w:t>
      </w:r>
      <w:proofErr w:type="gramEnd"/>
      <w:r w:rsidR="00344B71" w:rsidRPr="007C3FC6">
        <w:t xml:space="preserve"> </w:t>
      </w:r>
      <w:r w:rsidRPr="007C3FC6">
        <w:t xml:space="preserve">to </w:t>
      </w:r>
      <w:r w:rsidR="00F24627" w:rsidRPr="007C3FC6">
        <w:t>participating students</w:t>
      </w:r>
      <w:r w:rsidRPr="007C3FC6">
        <w:t>.</w:t>
      </w:r>
    </w:p>
    <w:p w14:paraId="6B8C465B" w14:textId="77777777" w:rsidR="00265E39" w:rsidRPr="007C3FC6" w:rsidRDefault="00265E39" w:rsidP="007C3FC6">
      <w:pPr>
        <w:pStyle w:val="Heading2"/>
        <w:keepNext w:val="0"/>
        <w:widowControl w:val="0"/>
      </w:pPr>
      <w:bookmarkStart w:id="36" w:name="_Toc383113373"/>
      <w:bookmarkStart w:id="37" w:name="_Toc464308446"/>
      <w:r w:rsidRPr="007C3FC6">
        <w:t>Assurance of Confidentiality</w:t>
      </w:r>
      <w:bookmarkEnd w:id="36"/>
      <w:bookmarkEnd w:id="37"/>
    </w:p>
    <w:p w14:paraId="7F73F5D5" w14:textId="2009F803" w:rsidR="00733B2E" w:rsidRPr="007C3FC6" w:rsidRDefault="00B500D6" w:rsidP="007C3FC6">
      <w:pPr>
        <w:pStyle w:val="BodyText"/>
        <w:widowControl w:val="0"/>
        <w:ind w:firstLine="0"/>
      </w:pPr>
      <w:r>
        <w:t>W</w:t>
      </w:r>
      <w:r w:rsidR="008F36BC" w:rsidRPr="007C3FC6">
        <w:t xml:space="preserve">ork </w:t>
      </w:r>
      <w:r w:rsidR="00AA3D1C" w:rsidRPr="007C3FC6">
        <w:t xml:space="preserve">with </w:t>
      </w:r>
      <w:r>
        <w:t>personally identifiable information (</w:t>
      </w:r>
      <w:r w:rsidR="00AA3D1C" w:rsidRPr="007C3FC6">
        <w:t>PII</w:t>
      </w:r>
      <w:r>
        <w:t>)</w:t>
      </w:r>
      <w:r w:rsidR="00AA3D1C" w:rsidRPr="007C3FC6">
        <w:t xml:space="preserve"> </w:t>
      </w:r>
      <w:r w:rsidR="008F36BC" w:rsidRPr="007C3FC6">
        <w:t xml:space="preserve">under this </w:t>
      </w:r>
      <w:r w:rsidR="00EA7B65" w:rsidRPr="007C3FC6">
        <w:t xml:space="preserve">NCER-NPSAS </w:t>
      </w:r>
      <w:r w:rsidR="008F36BC" w:rsidRPr="007C3FC6">
        <w:t>grant award will only be conducted through the NPSAS</w:t>
      </w:r>
      <w:proofErr w:type="gramStart"/>
      <w:r w:rsidR="008F36BC" w:rsidRPr="007C3FC6">
        <w:t>:16</w:t>
      </w:r>
      <w:proofErr w:type="gramEnd"/>
      <w:r w:rsidR="008F36BC" w:rsidRPr="007C3FC6">
        <w:t xml:space="preserve"> data collection contractor</w:t>
      </w:r>
      <w:r w:rsidR="007F2D7B" w:rsidRPr="007C3FC6">
        <w:t xml:space="preserve">. </w:t>
      </w:r>
      <w:r w:rsidR="00AA3D1C" w:rsidRPr="007C3FC6">
        <w:t xml:space="preserve">The subsample of </w:t>
      </w:r>
      <w:r w:rsidR="008C1E87" w:rsidRPr="007C3FC6">
        <w:t>NPSAS</w:t>
      </w:r>
      <w:proofErr w:type="gramStart"/>
      <w:r w:rsidR="008C1E87" w:rsidRPr="007C3FC6">
        <w:t>:16</w:t>
      </w:r>
      <w:proofErr w:type="gramEnd"/>
      <w:r w:rsidR="008C1E87" w:rsidRPr="007C3FC6">
        <w:t xml:space="preserve"> </w:t>
      </w:r>
      <w:r w:rsidR="008F36BC" w:rsidRPr="007C3FC6">
        <w:t>participants</w:t>
      </w:r>
      <w:r w:rsidR="008C1E87" w:rsidRPr="007C3FC6">
        <w:t xml:space="preserve"> </w:t>
      </w:r>
      <w:r>
        <w:t>selected for this</w:t>
      </w:r>
      <w:r w:rsidR="00AA3D1C" w:rsidRPr="007C3FC6">
        <w:t xml:space="preserve"> NCER-NPSAS grant </w:t>
      </w:r>
      <w:r w:rsidR="00171B38">
        <w:t xml:space="preserve">study </w:t>
      </w:r>
      <w:r w:rsidR="008F36BC" w:rsidRPr="007C3FC6">
        <w:t>will have the same assurance of confidentiality</w:t>
      </w:r>
      <w:r w:rsidR="008C1E87" w:rsidRPr="007C3FC6">
        <w:t xml:space="preserve"> </w:t>
      </w:r>
      <w:r>
        <w:t xml:space="preserve">as was </w:t>
      </w:r>
      <w:r w:rsidR="008C1E87" w:rsidRPr="007C3FC6">
        <w:t xml:space="preserve">provided under the </w:t>
      </w:r>
      <w:r w:rsidR="008C1E87" w:rsidRPr="007C3FC6">
        <w:lastRenderedPageBreak/>
        <w:t>NPSAS:16 data collection</w:t>
      </w:r>
      <w:r w:rsidR="007F2D7B" w:rsidRPr="007C3FC6">
        <w:t xml:space="preserve">. </w:t>
      </w:r>
      <w:r w:rsidR="00A175D3" w:rsidRPr="007C3FC6">
        <w:t xml:space="preserve">The </w:t>
      </w:r>
      <w:r w:rsidR="00733B2E" w:rsidRPr="007C3FC6">
        <w:t>assurances for NPSAS</w:t>
      </w:r>
      <w:proofErr w:type="gramStart"/>
      <w:r w:rsidR="00733B2E" w:rsidRPr="007C3FC6">
        <w:t>:16</w:t>
      </w:r>
      <w:proofErr w:type="gramEnd"/>
      <w:r w:rsidR="00733B2E" w:rsidRPr="007C3FC6">
        <w:t xml:space="preserve"> are </w:t>
      </w:r>
      <w:r>
        <w:t>presented</w:t>
      </w:r>
      <w:r w:rsidR="00733B2E" w:rsidRPr="007C3FC6">
        <w:t xml:space="preserve"> below, together with assurances for the two subcontractors to the </w:t>
      </w:r>
      <w:r w:rsidR="00DB635B" w:rsidRPr="001F2F30">
        <w:rPr>
          <w:i/>
          <w:iCs/>
        </w:rPr>
        <w:t>Financial Aid Nudges 2017</w:t>
      </w:r>
      <w:r w:rsidR="00733B2E" w:rsidRPr="007C3FC6">
        <w:t xml:space="preserve"> </w:t>
      </w:r>
      <w:r w:rsidR="00EF029C">
        <w:t>study</w:t>
      </w:r>
      <w:r w:rsidR="00733B2E" w:rsidRPr="007C3FC6">
        <w:t>, Signal Vine and College Possible.</w:t>
      </w:r>
    </w:p>
    <w:p w14:paraId="1EAAF86C" w14:textId="397C59D7" w:rsidR="008F36BC" w:rsidRPr="007C3FC6" w:rsidRDefault="008F36BC" w:rsidP="007C3FC6">
      <w:pPr>
        <w:pStyle w:val="BodyText"/>
        <w:widowControl w:val="0"/>
        <w:ind w:firstLine="0"/>
      </w:pPr>
      <w:r w:rsidRPr="007C3FC6">
        <w:t xml:space="preserve">NCES assures participating individuals and institutions that all identifiable information collected under NPSAS and related programs may be used only for statistical </w:t>
      </w:r>
      <w:r w:rsidR="00171B38">
        <w:t xml:space="preserve">or research </w:t>
      </w:r>
      <w:r w:rsidRPr="007C3FC6">
        <w:t>purposes and may not be disclosed, or used, in identifiable form for any other purpose except as required by law [Education Sciences Reform Act of 2002 (ESRA), 20 U.S.C. § 9573]. NPSAS</w:t>
      </w:r>
      <w:proofErr w:type="gramStart"/>
      <w:r w:rsidRPr="007C3FC6">
        <w:t>:16</w:t>
      </w:r>
      <w:proofErr w:type="gramEnd"/>
      <w:r w:rsidRPr="007C3FC6">
        <w:t xml:space="preserve"> data security and confidentiality protection procedures are in place to ensure that RTI and its subcontractors comply with all privacy requirements, including:</w:t>
      </w:r>
    </w:p>
    <w:p w14:paraId="20090D72" w14:textId="77777777" w:rsidR="008F36BC" w:rsidRPr="007C3FC6" w:rsidRDefault="008F36BC" w:rsidP="007C3FC6">
      <w:pPr>
        <w:pStyle w:val="bulletround"/>
        <w:widowControl w:val="0"/>
        <w:ind w:left="540"/>
        <w:rPr>
          <w:spacing w:val="0"/>
        </w:rPr>
      </w:pPr>
      <w:r w:rsidRPr="007C3FC6">
        <w:rPr>
          <w:spacing w:val="0"/>
        </w:rPr>
        <w:t>The Statement of Work of this contract;</w:t>
      </w:r>
    </w:p>
    <w:p w14:paraId="16558976" w14:textId="77777777" w:rsidR="008F36BC" w:rsidRPr="007C3FC6" w:rsidRDefault="008F36BC" w:rsidP="007C3FC6">
      <w:pPr>
        <w:pStyle w:val="bulletround"/>
        <w:widowControl w:val="0"/>
        <w:ind w:left="540"/>
        <w:rPr>
          <w:spacing w:val="0"/>
        </w:rPr>
      </w:pPr>
      <w:r w:rsidRPr="007C3FC6">
        <w:rPr>
          <w:spacing w:val="0"/>
        </w:rPr>
        <w:t>Privacy Act of 1974 5 U.S.C. § 552(a);</w:t>
      </w:r>
    </w:p>
    <w:p w14:paraId="6A872C70" w14:textId="77777777" w:rsidR="008F36BC" w:rsidRPr="007C3FC6" w:rsidRDefault="008F36BC" w:rsidP="007C3FC6">
      <w:pPr>
        <w:pStyle w:val="bulletround"/>
        <w:widowControl w:val="0"/>
        <w:ind w:left="540"/>
        <w:rPr>
          <w:spacing w:val="0"/>
        </w:rPr>
      </w:pPr>
      <w:r w:rsidRPr="007C3FC6">
        <w:rPr>
          <w:spacing w:val="0"/>
        </w:rPr>
        <w:t>The U.S. Department of Education Incident Handling Procedures (February 2009);</w:t>
      </w:r>
    </w:p>
    <w:p w14:paraId="5EC0A3D8" w14:textId="77777777" w:rsidR="008F36BC" w:rsidRPr="007C3FC6" w:rsidRDefault="008F36BC" w:rsidP="007C3FC6">
      <w:pPr>
        <w:pStyle w:val="bulletround"/>
        <w:widowControl w:val="0"/>
        <w:ind w:left="540"/>
        <w:rPr>
          <w:spacing w:val="0"/>
        </w:rPr>
      </w:pPr>
      <w:r w:rsidRPr="007C3FC6">
        <w:rPr>
          <w:spacing w:val="0"/>
        </w:rPr>
        <w:t>The U.S. Department of Education General Handbook for Information Technology Security General Support Systems and Major Applications Inventory Procedures (March 2005);</w:t>
      </w:r>
    </w:p>
    <w:p w14:paraId="1F5A8989" w14:textId="77777777" w:rsidR="008F36BC" w:rsidRPr="007C3FC6" w:rsidRDefault="008F36BC" w:rsidP="007C3FC6">
      <w:pPr>
        <w:pStyle w:val="bulletround"/>
        <w:widowControl w:val="0"/>
        <w:ind w:left="540"/>
        <w:rPr>
          <w:spacing w:val="0"/>
        </w:rPr>
      </w:pPr>
      <w:r w:rsidRPr="007C3FC6">
        <w:rPr>
          <w:spacing w:val="0"/>
        </w:rPr>
        <w:t>The U.S. Department of Education, ACS Directive OM: 5-101, Contractor Employee Personnel Security Screenings;</w:t>
      </w:r>
    </w:p>
    <w:p w14:paraId="6F5B0E1B" w14:textId="77777777" w:rsidR="008F36BC" w:rsidRPr="007C3FC6" w:rsidRDefault="008F36BC" w:rsidP="007C3FC6">
      <w:pPr>
        <w:pStyle w:val="bulletround"/>
        <w:widowControl w:val="0"/>
        <w:ind w:left="540"/>
        <w:rPr>
          <w:spacing w:val="0"/>
        </w:rPr>
      </w:pPr>
      <w:r w:rsidRPr="007C3FC6">
        <w:rPr>
          <w:spacing w:val="0"/>
        </w:rPr>
        <w:t>Family Educational Rights and Privacy Act (FERPA) of 1974, 20 U.S.C. § 1232(g);</w:t>
      </w:r>
    </w:p>
    <w:p w14:paraId="13390AA3" w14:textId="77777777" w:rsidR="008F36BC" w:rsidRPr="007C3FC6" w:rsidRDefault="008F36BC" w:rsidP="007C3FC6">
      <w:pPr>
        <w:pStyle w:val="bulletround"/>
        <w:widowControl w:val="0"/>
        <w:ind w:left="540"/>
        <w:rPr>
          <w:spacing w:val="0"/>
        </w:rPr>
      </w:pPr>
      <w:r w:rsidRPr="007C3FC6">
        <w:rPr>
          <w:spacing w:val="0"/>
        </w:rPr>
        <w:t>ESRA, 20 U.S.C. § 9573; and</w:t>
      </w:r>
    </w:p>
    <w:p w14:paraId="0E59C731" w14:textId="77777777" w:rsidR="008F36BC" w:rsidRPr="007C3FC6" w:rsidRDefault="008F36BC" w:rsidP="007C3FC6">
      <w:pPr>
        <w:pStyle w:val="bulletround"/>
        <w:widowControl w:val="0"/>
        <w:ind w:left="540"/>
        <w:rPr>
          <w:spacing w:val="0"/>
        </w:rPr>
      </w:pPr>
      <w:r w:rsidRPr="007C3FC6">
        <w:rPr>
          <w:spacing w:val="0"/>
        </w:rPr>
        <w:t xml:space="preserve">All new legislation that </w:t>
      </w:r>
      <w:proofErr w:type="gramStart"/>
      <w:r w:rsidRPr="007C3FC6">
        <w:rPr>
          <w:spacing w:val="0"/>
        </w:rPr>
        <w:t>impacts</w:t>
      </w:r>
      <w:proofErr w:type="gramEnd"/>
      <w:r w:rsidRPr="007C3FC6">
        <w:rPr>
          <w:spacing w:val="0"/>
        </w:rPr>
        <w:t xml:space="preserve"> the data collected through this contract.</w:t>
      </w:r>
    </w:p>
    <w:p w14:paraId="253B4A37" w14:textId="77777777" w:rsidR="008F36BC" w:rsidRPr="007C3FC6" w:rsidRDefault="008F36BC" w:rsidP="007C3FC6">
      <w:pPr>
        <w:pStyle w:val="BodyText"/>
        <w:widowControl w:val="0"/>
        <w:ind w:firstLine="0"/>
      </w:pPr>
      <w:r w:rsidRPr="007C3FC6">
        <w:t xml:space="preserve">RTI </w:t>
      </w:r>
      <w:r w:rsidR="00733B2E" w:rsidRPr="007C3FC6">
        <w:t xml:space="preserve">complies </w:t>
      </w:r>
      <w:r w:rsidRPr="007C3FC6">
        <w:t xml:space="preserve">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adhere to the revised NCES Statistical Standards, as described at the website: </w:t>
      </w:r>
      <w:hyperlink r:id="rId19" w:history="1">
        <w:r w:rsidRPr="001F2F30">
          <w:rPr>
            <w:rStyle w:val="Hyperlink"/>
            <w:color w:val="000000" w:themeColor="text1"/>
          </w:rPr>
          <w:t>http://nces.ed.gov/statprog/2012/</w:t>
        </w:r>
      </w:hyperlink>
      <w:r w:rsidRPr="007C3FC6">
        <w:t>.</w:t>
      </w:r>
    </w:p>
    <w:p w14:paraId="6E9AE849" w14:textId="77777777" w:rsidR="008F36BC" w:rsidRPr="007C3FC6" w:rsidRDefault="008F36BC" w:rsidP="007C3FC6">
      <w:pPr>
        <w:pStyle w:val="BodyText"/>
        <w:widowControl w:val="0"/>
        <w:ind w:firstLine="0"/>
        <w:rPr>
          <w:color w:val="000000" w:themeColor="text1"/>
          <w:szCs w:val="24"/>
        </w:rPr>
      </w:pPr>
      <w:r w:rsidRPr="001F2F30">
        <w:rPr>
          <w:color w:val="000000" w:themeColor="text1"/>
        </w:rPr>
        <w:t>The NPSAS</w:t>
      </w:r>
      <w:proofErr w:type="gramStart"/>
      <w:r w:rsidRPr="001F2F30">
        <w:rPr>
          <w:color w:val="000000" w:themeColor="text1"/>
        </w:rPr>
        <w:t>:16</w:t>
      </w:r>
      <w:proofErr w:type="gramEnd"/>
      <w:r w:rsidRPr="001F2F30">
        <w:rPr>
          <w:color w:val="000000" w:themeColor="text1"/>
        </w:rPr>
        <w:t xml:space="preserve"> procedures for maintaining confidentiality include</w:t>
      </w:r>
      <w:r w:rsidR="00D96331" w:rsidRPr="001F2F30">
        <w:rPr>
          <w:color w:val="000000" w:themeColor="text1"/>
        </w:rPr>
        <w:t>d</w:t>
      </w:r>
      <w:r w:rsidRPr="001F2F30">
        <w:rPr>
          <w:color w:val="000000" w:themeColor="text1"/>
        </w:rPr>
        <w:t xml:space="preserve"> notarized nondisclosure affidavits obtained from all personnel who will have access to individual identifiers</w:t>
      </w:r>
      <w:r w:rsidR="00733B2E" w:rsidRPr="001F2F30">
        <w:rPr>
          <w:color w:val="000000" w:themeColor="text1"/>
        </w:rPr>
        <w:t>, including subcontractor staff</w:t>
      </w:r>
      <w:r w:rsidRPr="001F2F30">
        <w:rPr>
          <w:color w:val="000000" w:themeColor="text1"/>
        </w:rPr>
        <w:t xml:space="preserve">; personnel training regarding the meaning of confidentiality; controlled and protected access to computer files; built-in safeguards concerning status monitoring and receipt control systems; and a secure, staffed, in-house computing facility. NPSAS:16 </w:t>
      </w:r>
      <w:r w:rsidR="00D96331" w:rsidRPr="001F2F30">
        <w:rPr>
          <w:color w:val="000000" w:themeColor="text1"/>
        </w:rPr>
        <w:t>continues to follow</w:t>
      </w:r>
      <w:r w:rsidRPr="001F2F30">
        <w:rPr>
          <w:color w:val="000000" w:themeColor="text1"/>
        </w:rPr>
        <w:t xml:space="preserve">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7CE1D39" w14:textId="728F6345" w:rsidR="00FF1928" w:rsidRDefault="008F36BC" w:rsidP="007C3FC6">
      <w:pPr>
        <w:pStyle w:val="BodyText"/>
        <w:widowControl w:val="0"/>
        <w:ind w:firstLine="0"/>
        <w:rPr>
          <w:color w:val="000000" w:themeColor="text1"/>
          <w:szCs w:val="24"/>
        </w:rPr>
      </w:pPr>
      <w:r w:rsidRPr="001F2F30">
        <w:rPr>
          <w:color w:val="000000" w:themeColor="text1"/>
        </w:rPr>
        <w:t xml:space="preserve">There </w:t>
      </w:r>
      <w:proofErr w:type="gramStart"/>
      <w:r w:rsidRPr="001F2F30">
        <w:rPr>
          <w:color w:val="000000" w:themeColor="text1"/>
        </w:rPr>
        <w:t>are</w:t>
      </w:r>
      <w:proofErr w:type="gramEnd"/>
      <w:r w:rsidRPr="001F2F30">
        <w:rPr>
          <w:color w:val="000000" w:themeColor="text1"/>
        </w:rPr>
        <w:t xml:space="preserve"> </w:t>
      </w:r>
      <w:r w:rsidR="002933BC" w:rsidRPr="001F2F30">
        <w:rPr>
          <w:color w:val="000000" w:themeColor="text1"/>
        </w:rPr>
        <w:t xml:space="preserve">also </w:t>
      </w:r>
      <w:r w:rsidRPr="001F2F30">
        <w:rPr>
          <w:color w:val="000000" w:themeColor="text1"/>
        </w:rPr>
        <w:t>security measures in place to protect data during file matching procedures</w:t>
      </w:r>
      <w:r w:rsidR="00733B2E" w:rsidRPr="001F2F30">
        <w:rPr>
          <w:color w:val="000000" w:themeColor="text1"/>
        </w:rPr>
        <w:t xml:space="preserve"> planned for the NCER-NPSAS grant</w:t>
      </w:r>
      <w:r w:rsidR="00171B38">
        <w:rPr>
          <w:color w:val="000000" w:themeColor="text1"/>
        </w:rPr>
        <w:t xml:space="preserve"> studie</w:t>
      </w:r>
      <w:r w:rsidR="00733B2E" w:rsidRPr="001F2F30">
        <w:rPr>
          <w:color w:val="000000" w:themeColor="text1"/>
        </w:rPr>
        <w:t>s</w:t>
      </w:r>
      <w:r w:rsidRPr="001F2F30">
        <w:rPr>
          <w:color w:val="000000" w:themeColor="text1"/>
        </w:rPr>
        <w:t xml:space="preserve">. NCES has a secure data transfer system, which uses Secure Socket Layer (SSL) technology, allowing the transfer of encrypted data over the Internet. The NCES secure server </w:t>
      </w:r>
      <w:proofErr w:type="gramStart"/>
      <w:r w:rsidRPr="001F2F30">
        <w:rPr>
          <w:color w:val="000000" w:themeColor="text1"/>
        </w:rPr>
        <w:t>will be used</w:t>
      </w:r>
      <w:proofErr w:type="gramEnd"/>
      <w:r w:rsidRPr="001F2F30">
        <w:rPr>
          <w:color w:val="000000" w:themeColor="text1"/>
        </w:rPr>
        <w:t xml:space="preserve"> for all administrative data sources with the exception of the </w:t>
      </w:r>
      <w:r w:rsidR="000F0600" w:rsidRPr="001F2F30">
        <w:rPr>
          <w:color w:val="000000" w:themeColor="text1"/>
        </w:rPr>
        <w:t>National Student Clearinghouse (</w:t>
      </w:r>
      <w:r w:rsidRPr="001F2F30">
        <w:rPr>
          <w:color w:val="000000" w:themeColor="text1"/>
        </w:rPr>
        <w:t>NSC</w:t>
      </w:r>
      <w:r w:rsidR="000F0600" w:rsidRPr="001F2F30">
        <w:rPr>
          <w:color w:val="000000" w:themeColor="text1"/>
        </w:rPr>
        <w:t>)</w:t>
      </w:r>
      <w:r w:rsidR="00094DB5" w:rsidRPr="001F2F30">
        <w:rPr>
          <w:color w:val="000000" w:themeColor="text1"/>
        </w:rPr>
        <w:t>,</w:t>
      </w:r>
      <w:r w:rsidRPr="001F2F30">
        <w:rPr>
          <w:color w:val="000000" w:themeColor="text1"/>
        </w:rPr>
        <w:t xml:space="preserve"> which has its own secure FTP site. All data transfers </w:t>
      </w:r>
      <w:proofErr w:type="gramStart"/>
      <w:r w:rsidRPr="001F2F30">
        <w:rPr>
          <w:color w:val="000000" w:themeColor="text1"/>
        </w:rPr>
        <w:t>will be encrypted</w:t>
      </w:r>
      <w:proofErr w:type="gramEnd"/>
      <w:r w:rsidRPr="001F2F30">
        <w:rPr>
          <w:color w:val="000000" w:themeColor="text1"/>
        </w:rPr>
        <w:t>.</w:t>
      </w:r>
    </w:p>
    <w:p w14:paraId="4943F257" w14:textId="515FF521" w:rsidR="008F36BC" w:rsidRPr="007C3FC6" w:rsidRDefault="008F36BC" w:rsidP="007C3FC6">
      <w:pPr>
        <w:pStyle w:val="BodyText"/>
        <w:widowControl w:val="0"/>
        <w:ind w:firstLine="0"/>
      </w:pPr>
      <w:r w:rsidRPr="007C3FC6">
        <w:t xml:space="preserve">The Department has established a policy regarding the personnel security screening requirements for all </w:t>
      </w:r>
      <w:r w:rsidR="00B500D6">
        <w:t>contractor</w:t>
      </w:r>
      <w:r w:rsidR="00733B2E" w:rsidRPr="007C3FC6">
        <w:t xml:space="preserve"> </w:t>
      </w:r>
      <w:r w:rsidRPr="007C3FC6">
        <w:t>employees and their subcontractors</w:t>
      </w:r>
      <w:r w:rsidR="00733B2E" w:rsidRPr="007C3FC6">
        <w:t>, including Signal Vine and College Possible</w:t>
      </w:r>
      <w:r w:rsidRPr="007C3FC6">
        <w:t xml:space="preserve">. </w:t>
      </w:r>
      <w:r w:rsidR="00733B2E" w:rsidRPr="007C3FC6">
        <w:t>Both RTI and the subcontractors</w:t>
      </w:r>
      <w:r w:rsidRPr="007C3FC6">
        <w:t xml:space="preserve"> must comply with these personnel </w:t>
      </w:r>
      <w:proofErr w:type="gramStart"/>
      <w:r w:rsidRPr="007C3FC6">
        <w:t>security screening</w:t>
      </w:r>
      <w:proofErr w:type="gramEnd"/>
      <w:r w:rsidRPr="007C3FC6">
        <w:t xml:space="preserve"> requirements throughout the life of the </w:t>
      </w:r>
      <w:r w:rsidR="00EA7B65" w:rsidRPr="007C3FC6">
        <w:t xml:space="preserve">NCER-NPSAS </w:t>
      </w:r>
      <w:r w:rsidR="00733B2E" w:rsidRPr="007C3FC6">
        <w:t>grant</w:t>
      </w:r>
      <w:r w:rsidR="00171B38">
        <w:t xml:space="preserve"> study</w:t>
      </w:r>
      <w:r w:rsidRPr="007C3FC6">
        <w:t>. The Department directive that contractors must comply with is OM</w:t>
      </w:r>
      <w:proofErr w:type="gramStart"/>
      <w:r w:rsidRPr="007C3FC6">
        <w:t>:5</w:t>
      </w:r>
      <w:proofErr w:type="gramEnd"/>
      <w:r w:rsidRPr="007C3FC6">
        <w:t xml:space="preserve">-101, which was last updated on 7/16/2010. There are several requirements that </w:t>
      </w:r>
      <w:r w:rsidR="0051645B" w:rsidRPr="007C3FC6">
        <w:t xml:space="preserve">RTI </w:t>
      </w:r>
      <w:r w:rsidRPr="007C3FC6">
        <w:t xml:space="preserve">must meet for each employee working on the </w:t>
      </w:r>
      <w:r w:rsidR="0051645B" w:rsidRPr="007C3FC6">
        <w:t>gran</w:t>
      </w:r>
      <w:r w:rsidRPr="007C3FC6">
        <w:t xml:space="preserve">t </w:t>
      </w:r>
      <w:r w:rsidR="00171B38">
        <w:t xml:space="preserve">study </w:t>
      </w:r>
      <w:r w:rsidRPr="007C3FC6">
        <w:t xml:space="preserve">for 30 days or more. Among these requirements are that each person must be assigned a position risk level. The risk levels are high, moderate, and low based upon the level of harm that a person in the position can cause to the Department’s interests. Each person working on the </w:t>
      </w:r>
      <w:r w:rsidR="0051645B" w:rsidRPr="007C3FC6">
        <w:t xml:space="preserve">grant </w:t>
      </w:r>
      <w:r w:rsidR="00171B38">
        <w:t xml:space="preserve">study </w:t>
      </w:r>
      <w:r w:rsidRPr="007C3FC6">
        <w:t xml:space="preserve">must </w:t>
      </w:r>
      <w:r w:rsidR="00171B38">
        <w:t xml:space="preserve">have </w:t>
      </w:r>
      <w:r w:rsidRPr="007C3FC6">
        <w:t>complete</w:t>
      </w:r>
      <w:r w:rsidR="00171B38">
        <w:t>d</w:t>
      </w:r>
      <w:r w:rsidRPr="007C3FC6">
        <w:t xml:space="preserve"> the requirements for a “Contractor Security Screening.” Depending on the risk level assigned to each person’s position, a follow-up background investigation by the Department will occur.</w:t>
      </w:r>
    </w:p>
    <w:p w14:paraId="4EB4DD41" w14:textId="77777777" w:rsidR="008F36BC" w:rsidRPr="007C3FC6" w:rsidRDefault="008F36BC" w:rsidP="007C3FC6">
      <w:pPr>
        <w:pStyle w:val="BodyText"/>
        <w:widowControl w:val="0"/>
        <w:ind w:firstLine="0"/>
      </w:pPr>
      <w:proofErr w:type="gramStart"/>
      <w:r w:rsidRPr="007C3FC6">
        <w:lastRenderedPageBreak/>
        <w:t>The Family Educational Rights and Privacy Act (FERPA) (34 CFR Part 99) allows the disclosure of personally identifiable information from students’ education records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w:t>
      </w:r>
      <w:proofErr w:type="gramEnd"/>
      <w:r w:rsidRPr="007C3FC6">
        <w:t xml:space="preserve"> These conditions include, at 34 CFR § 99.31(a</w:t>
      </w:r>
      <w:proofErr w:type="gramStart"/>
      <w:r w:rsidRPr="007C3FC6">
        <w:t>)(</w:t>
      </w:r>
      <w:proofErr w:type="gramEnd"/>
      <w:r w:rsidRPr="007C3FC6">
        <w:t>3):</w:t>
      </w:r>
    </w:p>
    <w:p w14:paraId="0B98E4CD" w14:textId="77777777" w:rsidR="008F36BC" w:rsidRPr="007C3FC6" w:rsidRDefault="008F36BC" w:rsidP="007C3FC6">
      <w:pPr>
        <w:pStyle w:val="BodyText"/>
        <w:widowControl w:val="0"/>
        <w:ind w:firstLine="0"/>
        <w:rPr>
          <w:rFonts w:eastAsiaTheme="minorHAnsi"/>
        </w:rPr>
      </w:pPr>
      <w:r w:rsidRPr="001F2F30">
        <w:rPr>
          <w:rFonts w:asciiTheme="minorHAnsi" w:eastAsiaTheme="minorEastAsia" w:hAnsiTheme="minorHAnsi" w:cstheme="minorBidi"/>
        </w:rPr>
        <w:t>The disclosure is, subject to the requirements of §99.35, to authorized representatives of--</w:t>
      </w:r>
    </w:p>
    <w:p w14:paraId="038E4C51" w14:textId="77777777" w:rsidR="008F36BC" w:rsidRPr="007C3FC6" w:rsidRDefault="008F36BC" w:rsidP="007C3FC6">
      <w:pPr>
        <w:pStyle w:val="BodyTextIndent1"/>
        <w:widowControl w:val="0"/>
        <w:ind w:left="540"/>
      </w:pPr>
      <w:r w:rsidRPr="007C3FC6">
        <w:t>(</w:t>
      </w:r>
      <w:proofErr w:type="spellStart"/>
      <w:r w:rsidRPr="007C3FC6">
        <w:t>i</w:t>
      </w:r>
      <w:proofErr w:type="spellEnd"/>
      <w:r w:rsidRPr="007C3FC6">
        <w:t>) The Comptroller General of the United States;</w:t>
      </w:r>
    </w:p>
    <w:p w14:paraId="0512699D" w14:textId="77777777" w:rsidR="008F36BC" w:rsidRPr="007C3FC6" w:rsidRDefault="008F36BC" w:rsidP="007C3FC6">
      <w:pPr>
        <w:pStyle w:val="BodyTextIndent1"/>
        <w:widowControl w:val="0"/>
        <w:ind w:left="540"/>
      </w:pPr>
      <w:r w:rsidRPr="007C3FC6">
        <w:t>(ii) The Attorney General of the United States;</w:t>
      </w:r>
    </w:p>
    <w:p w14:paraId="2E6A69A1" w14:textId="77777777" w:rsidR="008F36BC" w:rsidRPr="007C3FC6" w:rsidRDefault="008F36BC" w:rsidP="007C3FC6">
      <w:pPr>
        <w:pStyle w:val="BodyTextIndent1"/>
        <w:widowControl w:val="0"/>
        <w:ind w:left="540"/>
      </w:pPr>
      <w:r w:rsidRPr="007C3FC6">
        <w:t>(iii) The Secretary; or</w:t>
      </w:r>
    </w:p>
    <w:p w14:paraId="436304CE" w14:textId="77777777" w:rsidR="00FF1928" w:rsidRDefault="008F36BC" w:rsidP="007C3FC6">
      <w:pPr>
        <w:pStyle w:val="BodyTextIndent1"/>
        <w:widowControl w:val="0"/>
        <w:ind w:left="540"/>
      </w:pPr>
      <w:proofErr w:type="gramStart"/>
      <w:r w:rsidRPr="007C3FC6">
        <w:t>(iv) State</w:t>
      </w:r>
      <w:proofErr w:type="gramEnd"/>
      <w:r w:rsidRPr="007C3FC6">
        <w:t xml:space="preserve"> and local educational authorities.</w:t>
      </w:r>
    </w:p>
    <w:p w14:paraId="48BC18F8" w14:textId="5567BCF6" w:rsidR="008F36BC" w:rsidRPr="007C3FC6" w:rsidRDefault="008F36BC" w:rsidP="007C3FC6">
      <w:pPr>
        <w:pStyle w:val="BodyText"/>
        <w:widowControl w:val="0"/>
        <w:ind w:firstLine="0"/>
      </w:pPr>
      <w:r w:rsidRPr="007C3FC6">
        <w:t>NPSAS</w:t>
      </w:r>
      <w:proofErr w:type="gramStart"/>
      <w:r w:rsidRPr="007C3FC6">
        <w:t>:16</w:t>
      </w:r>
      <w:proofErr w:type="gramEnd"/>
      <w:r w:rsidRPr="007C3FC6">
        <w:t xml:space="preserve"> is collecting data </w:t>
      </w:r>
      <w:r w:rsidR="0051645B" w:rsidRPr="007C3FC6">
        <w:t xml:space="preserve">for the </w:t>
      </w:r>
      <w:r w:rsidR="00DB635B" w:rsidRPr="001F2F30">
        <w:rPr>
          <w:i/>
          <w:iCs/>
        </w:rPr>
        <w:t>Financial Aid Nudges 2017</w:t>
      </w:r>
      <w:r w:rsidR="00D96331" w:rsidRPr="007C3FC6">
        <w:t xml:space="preserve"> </w:t>
      </w:r>
      <w:r w:rsidR="00171B38">
        <w:t>study</w:t>
      </w:r>
      <w:r w:rsidR="0051645B" w:rsidRPr="007C3FC6">
        <w:t xml:space="preserve"> </w:t>
      </w:r>
      <w:r w:rsidRPr="007C3FC6">
        <w:t xml:space="preserve">under the Secretary’s authority. Specifically, NCES, as an authorized representative of the Secretary of Education, is collecting this information </w:t>
      </w:r>
      <w:proofErr w:type="gramStart"/>
      <w:r w:rsidRPr="007C3FC6">
        <w:t>for the purpose of</w:t>
      </w:r>
      <w:proofErr w:type="gramEnd"/>
      <w:r w:rsidRPr="007C3FC6">
        <w:t xml:space="preserve"> evaluating a federally supported education program. Any personally identifiable information </w:t>
      </w:r>
      <w:proofErr w:type="gramStart"/>
      <w:r w:rsidRPr="007C3FC6">
        <w:t>is collected</w:t>
      </w:r>
      <w:proofErr w:type="gramEnd"/>
      <w:r w:rsidRPr="007C3FC6">
        <w:t xml:space="preserve"> with adherence to the security protocol detailed in 34 CFR § 99.35:</w:t>
      </w:r>
    </w:p>
    <w:p w14:paraId="7316BC88" w14:textId="77777777" w:rsidR="008F36BC" w:rsidRPr="007C3FC6" w:rsidRDefault="008F36BC" w:rsidP="007C3FC6">
      <w:pPr>
        <w:pStyle w:val="BodyTextIndent1"/>
        <w:widowControl w:val="0"/>
        <w:ind w:left="540" w:hanging="630"/>
      </w:pPr>
      <w:r w:rsidRPr="007C3FC6">
        <w:t>(a)(1)</w:t>
      </w:r>
      <w:r w:rsidR="00EA14E6" w:rsidRPr="007C3FC6">
        <w:tab/>
      </w:r>
      <w:r w:rsidRPr="007C3FC6">
        <w:t>Authorized representatives of the officials or agencies headed by officials listed in §99.31(a</w:t>
      </w:r>
      <w:proofErr w:type="gramStart"/>
      <w:r w:rsidRPr="007C3FC6">
        <w:t>)(</w:t>
      </w:r>
      <w:proofErr w:type="gramEnd"/>
      <w:r w:rsidRPr="007C3FC6">
        <w:t>3) may have access to education records in connection with an audit or evaluation of Federal or State supported education programs, or for the enforcement of or compliance with Federal legal requirements that relate to those programs.</w:t>
      </w:r>
    </w:p>
    <w:p w14:paraId="4A4B9076" w14:textId="77777777" w:rsidR="008F36BC" w:rsidRPr="007C3FC6" w:rsidRDefault="008F36BC" w:rsidP="007C3FC6">
      <w:pPr>
        <w:pStyle w:val="BodyTextIndent1"/>
        <w:widowControl w:val="0"/>
        <w:ind w:left="540" w:hanging="387"/>
      </w:pPr>
      <w:r w:rsidRPr="007C3FC6">
        <w:t>(2)</w:t>
      </w:r>
      <w:r w:rsidR="00EA14E6" w:rsidRPr="007C3FC6">
        <w:tab/>
      </w:r>
      <w:r w:rsidRPr="007C3FC6">
        <w:t>The State or local educational authority or agency headed by an official listed in §99.31(a</w:t>
      </w:r>
      <w:proofErr w:type="gramStart"/>
      <w:r w:rsidRPr="007C3FC6">
        <w:t>)(</w:t>
      </w:r>
      <w:proofErr w:type="gramEnd"/>
      <w:r w:rsidRPr="007C3FC6">
        <w:t>3) is responsible for using reasonable methods to ensure to the greatest extent practicable that any entity or individual designated as its authorized representative—</w:t>
      </w:r>
    </w:p>
    <w:p w14:paraId="4FF1DDCD" w14:textId="77777777" w:rsidR="008F36BC" w:rsidRPr="007C3FC6" w:rsidRDefault="008F36BC" w:rsidP="007C3FC6">
      <w:pPr>
        <w:pStyle w:val="BodyTextIndent1"/>
        <w:widowControl w:val="0"/>
        <w:ind w:left="1170" w:hanging="450"/>
      </w:pPr>
      <w:r w:rsidRPr="007C3FC6">
        <w:t>(</w:t>
      </w:r>
      <w:proofErr w:type="spellStart"/>
      <w:r w:rsidRPr="007C3FC6">
        <w:t>i</w:t>
      </w:r>
      <w:proofErr w:type="spellEnd"/>
      <w:r w:rsidRPr="007C3FC6">
        <w:t xml:space="preserve">) </w:t>
      </w:r>
      <w:r w:rsidR="00EA14E6" w:rsidRPr="007C3FC6">
        <w:tab/>
      </w:r>
      <w:r w:rsidRPr="007C3FC6">
        <w:t>Uses personally identifiable information only to carry out an audit or evaluation of Federal- or State-supported education programs, or for the enforcement of or compliance with Federal legal requirements related to these programs</w:t>
      </w:r>
      <w:proofErr w:type="gramStart"/>
      <w:r w:rsidRPr="007C3FC6">
        <w:t>;</w:t>
      </w:r>
      <w:proofErr w:type="gramEnd"/>
    </w:p>
    <w:p w14:paraId="0CD6E0A3" w14:textId="77777777" w:rsidR="008F36BC" w:rsidRPr="007C3FC6" w:rsidRDefault="008F36BC" w:rsidP="007C3FC6">
      <w:pPr>
        <w:pStyle w:val="BodyTextIndent1"/>
        <w:widowControl w:val="0"/>
        <w:ind w:left="1170" w:hanging="450"/>
      </w:pPr>
      <w:r w:rsidRPr="007C3FC6">
        <w:t xml:space="preserve">(ii) </w:t>
      </w:r>
      <w:r w:rsidR="00EA14E6" w:rsidRPr="007C3FC6">
        <w:tab/>
      </w:r>
      <w:r w:rsidRPr="007C3FC6">
        <w:t>Protects the personally identifiable information from further disclosures or other uses, except as authorized in paragraph (b)(1) of this section; and</w:t>
      </w:r>
    </w:p>
    <w:p w14:paraId="2A74748E" w14:textId="77777777" w:rsidR="008F36BC" w:rsidRPr="007C3FC6" w:rsidRDefault="008F36BC" w:rsidP="007C3FC6">
      <w:pPr>
        <w:pStyle w:val="BodyTextIndent1"/>
        <w:widowControl w:val="0"/>
        <w:ind w:left="1170" w:hanging="450"/>
      </w:pPr>
      <w:proofErr w:type="gramStart"/>
      <w:r w:rsidRPr="007C3FC6">
        <w:t xml:space="preserve">(iii) </w:t>
      </w:r>
      <w:r w:rsidR="00EA14E6" w:rsidRPr="007C3FC6">
        <w:tab/>
      </w:r>
      <w:r w:rsidRPr="007C3FC6">
        <w:t>Destroys the personally identifiable information in accordance with the requirements of paragraphs (b) and (c) of this section.</w:t>
      </w:r>
      <w:proofErr w:type="gramEnd"/>
    </w:p>
    <w:p w14:paraId="50A82CEC" w14:textId="77777777" w:rsidR="008F36BC" w:rsidRPr="007C3FC6" w:rsidRDefault="008F36BC" w:rsidP="007C3FC6">
      <w:pPr>
        <w:pStyle w:val="BodyTextIndent1"/>
        <w:widowControl w:val="0"/>
        <w:ind w:left="0"/>
      </w:pPr>
      <w:r w:rsidRPr="007C3FC6">
        <w:t xml:space="preserve">(b) Information that </w:t>
      </w:r>
      <w:proofErr w:type="gramStart"/>
      <w:r w:rsidRPr="007C3FC6">
        <w:t>is collected</w:t>
      </w:r>
      <w:proofErr w:type="gramEnd"/>
      <w:r w:rsidRPr="007C3FC6">
        <w:t xml:space="preserve"> under paragraph (a) of this section must—</w:t>
      </w:r>
    </w:p>
    <w:p w14:paraId="5ED0428F" w14:textId="77777777" w:rsidR="008F36BC" w:rsidRPr="007C3FC6" w:rsidRDefault="008F36BC" w:rsidP="007C3FC6">
      <w:pPr>
        <w:pStyle w:val="BodyTextIndent1"/>
        <w:widowControl w:val="0"/>
        <w:ind w:left="540" w:hanging="387"/>
      </w:pPr>
      <w:proofErr w:type="gramStart"/>
      <w:r w:rsidRPr="007C3FC6">
        <w:t>(1)</w:t>
      </w:r>
      <w:r w:rsidR="00EA14E6" w:rsidRPr="007C3FC6">
        <w:tab/>
      </w:r>
      <w:r w:rsidRPr="007C3FC6">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14:paraId="76964635" w14:textId="77777777" w:rsidR="008F36BC" w:rsidRPr="007C3FC6" w:rsidRDefault="008F36BC" w:rsidP="007C3FC6">
      <w:pPr>
        <w:pStyle w:val="BodyTextIndent1"/>
        <w:widowControl w:val="0"/>
        <w:ind w:left="540" w:hanging="360"/>
      </w:pPr>
      <w:r w:rsidRPr="007C3FC6">
        <w:t>(2)</w:t>
      </w:r>
      <w:r w:rsidR="00EA14E6" w:rsidRPr="007C3FC6">
        <w:tab/>
      </w:r>
      <w:r w:rsidRPr="007C3FC6">
        <w:t>Be destroyed when no longer needed for the purposes listed in paragraph (a) of this section.</w:t>
      </w:r>
    </w:p>
    <w:p w14:paraId="7E104C6C" w14:textId="77777777" w:rsidR="008F36BC" w:rsidRPr="007C3FC6" w:rsidRDefault="008F36BC" w:rsidP="007C3FC6">
      <w:pPr>
        <w:pStyle w:val="BodyTextIndent1"/>
        <w:widowControl w:val="0"/>
        <w:ind w:left="0"/>
      </w:pPr>
      <w:r w:rsidRPr="007C3FC6">
        <w:t>(c) Paragraph (b) of this section does not apply if:</w:t>
      </w:r>
    </w:p>
    <w:p w14:paraId="5250BE19" w14:textId="77777777" w:rsidR="008F36BC" w:rsidRPr="007C3FC6" w:rsidRDefault="008F36BC" w:rsidP="007C3FC6">
      <w:pPr>
        <w:pStyle w:val="BodyTextIndent1"/>
        <w:widowControl w:val="0"/>
        <w:ind w:left="540" w:hanging="360"/>
      </w:pPr>
      <w:r w:rsidRPr="007C3FC6">
        <w:t>(1) The parent or eligible student has given written consent for the disclosure under §99.30; or</w:t>
      </w:r>
    </w:p>
    <w:p w14:paraId="7E99B073" w14:textId="77777777" w:rsidR="008F36BC" w:rsidRPr="007C3FC6" w:rsidRDefault="008F36BC" w:rsidP="007C3FC6">
      <w:pPr>
        <w:pStyle w:val="BodyTextIndent1"/>
        <w:widowControl w:val="0"/>
        <w:ind w:left="540" w:hanging="360"/>
      </w:pPr>
      <w:proofErr w:type="gramStart"/>
      <w:r w:rsidRPr="007C3FC6">
        <w:t>(2) The collection of personally identifiable information is specifically authorized by Federal law</w:t>
      </w:r>
      <w:proofErr w:type="gramEnd"/>
      <w:r w:rsidRPr="007C3FC6">
        <w:t>.</w:t>
      </w:r>
    </w:p>
    <w:p w14:paraId="69133724" w14:textId="07C90EC0" w:rsidR="008F36BC" w:rsidRPr="007C3FC6" w:rsidRDefault="008F36BC" w:rsidP="007C3FC6">
      <w:pPr>
        <w:pStyle w:val="BodyText"/>
        <w:widowControl w:val="0"/>
        <w:ind w:firstLine="0"/>
      </w:pPr>
      <w:r w:rsidRPr="007C3FC6">
        <w:t xml:space="preserve">Additionally, the </w:t>
      </w:r>
      <w:r w:rsidR="0051645B" w:rsidRPr="007C3FC6">
        <w:t>grant</w:t>
      </w:r>
      <w:r w:rsidR="00171B38">
        <w:t xml:space="preserve"> study</w:t>
      </w:r>
      <w:r w:rsidRPr="007C3FC6">
        <w:t>, including the administrative data linkage</w:t>
      </w:r>
      <w:r w:rsidR="002446CC" w:rsidRPr="007C3FC6">
        <w:t>s</w:t>
      </w:r>
      <w:r w:rsidRPr="007C3FC6">
        <w:t>, qualifies for a 45 CFR Part 46 waiver of consent based on the following factors:</w:t>
      </w:r>
    </w:p>
    <w:p w14:paraId="21375A97" w14:textId="77777777" w:rsidR="008F36BC" w:rsidRPr="007C3FC6" w:rsidRDefault="008F36BC" w:rsidP="007C3FC6">
      <w:pPr>
        <w:pStyle w:val="bulletround"/>
        <w:widowControl w:val="0"/>
        <w:tabs>
          <w:tab w:val="clear" w:pos="1080"/>
          <w:tab w:val="left" w:pos="540"/>
        </w:tabs>
        <w:ind w:left="540"/>
        <w:rPr>
          <w:spacing w:val="0"/>
        </w:rPr>
      </w:pPr>
      <w:r w:rsidRPr="007C3FC6">
        <w:rPr>
          <w:spacing w:val="0"/>
        </w:rPr>
        <w:t>There is minimal risk to the participants. There is no physical risk and only minimal risk associated with linkage of data to sam</w:t>
      </w:r>
      <w:r w:rsidR="003776D2" w:rsidRPr="007C3FC6">
        <w:rPr>
          <w:spacing w:val="0"/>
        </w:rPr>
        <w:t xml:space="preserve">ple members. The </w:t>
      </w:r>
      <w:r w:rsidRPr="007C3FC6">
        <w:rPr>
          <w:spacing w:val="0"/>
        </w:rPr>
        <w:t xml:space="preserve">restricted-use data, prepared as part of the </w:t>
      </w:r>
      <w:r w:rsidR="00734ABD" w:rsidRPr="007C3FC6">
        <w:rPr>
          <w:spacing w:val="0"/>
        </w:rPr>
        <w:t>sub</w:t>
      </w:r>
      <w:r w:rsidRPr="007C3FC6">
        <w:rPr>
          <w:spacing w:val="0"/>
        </w:rPr>
        <w:t xml:space="preserve">contract with RTI, will not include SSNs, even though these numbers </w:t>
      </w:r>
      <w:proofErr w:type="gramStart"/>
      <w:r w:rsidRPr="007C3FC6">
        <w:rPr>
          <w:spacing w:val="0"/>
        </w:rPr>
        <w:t>are used</w:t>
      </w:r>
      <w:proofErr w:type="gramEnd"/>
      <w:r w:rsidRPr="007C3FC6">
        <w:rPr>
          <w:spacing w:val="0"/>
        </w:rPr>
        <w:t xml:space="preserve"> for the linkage. Data will undergo disclosure </w:t>
      </w:r>
      <w:r w:rsidRPr="007C3FC6">
        <w:rPr>
          <w:spacing w:val="0"/>
        </w:rPr>
        <w:lastRenderedPageBreak/>
        <w:t xml:space="preserve">avoidance analysis and disclosure treatment steps </w:t>
      </w:r>
      <w:proofErr w:type="gramStart"/>
      <w:r w:rsidRPr="007C3FC6">
        <w:rPr>
          <w:spacing w:val="0"/>
        </w:rPr>
        <w:t>to further reduce</w:t>
      </w:r>
      <w:proofErr w:type="gramEnd"/>
      <w:r w:rsidRPr="007C3FC6">
        <w:rPr>
          <w:spacing w:val="0"/>
        </w:rPr>
        <w:t xml:space="preserve"> the risk.</w:t>
      </w:r>
    </w:p>
    <w:p w14:paraId="639B05A8" w14:textId="77777777" w:rsidR="008F36BC" w:rsidRPr="007C3FC6" w:rsidRDefault="008F36BC" w:rsidP="007C3FC6">
      <w:pPr>
        <w:pStyle w:val="bulletround"/>
        <w:widowControl w:val="0"/>
        <w:tabs>
          <w:tab w:val="clear" w:pos="1080"/>
          <w:tab w:val="left" w:pos="540"/>
        </w:tabs>
        <w:ind w:left="540"/>
        <w:rPr>
          <w:spacing w:val="0"/>
        </w:rPr>
      </w:pPr>
      <w:r w:rsidRPr="007C3FC6">
        <w:rPr>
          <w:spacing w:val="0"/>
        </w:rPr>
        <w:t xml:space="preserve">The waiver will not affect the rights and welfare of the subjects. The voluntary nature of the study </w:t>
      </w:r>
      <w:proofErr w:type="gramStart"/>
      <w:r w:rsidRPr="007C3FC6">
        <w:rPr>
          <w:spacing w:val="0"/>
        </w:rPr>
        <w:t>is emphasized</w:t>
      </w:r>
      <w:proofErr w:type="gramEnd"/>
      <w:r w:rsidRPr="007C3FC6">
        <w:rPr>
          <w:spacing w:val="0"/>
        </w:rPr>
        <w:t xml:space="preserve"> to sample members. </w:t>
      </w:r>
      <w:r w:rsidR="00F50D5F" w:rsidRPr="007C3FC6">
        <w:rPr>
          <w:spacing w:val="0"/>
        </w:rPr>
        <w:t>R</w:t>
      </w:r>
      <w:r w:rsidRPr="007C3FC6">
        <w:rPr>
          <w:spacing w:val="0"/>
        </w:rPr>
        <w:t xml:space="preserve">estricted-use data are only used for research purposes and lack direct </w:t>
      </w:r>
      <w:proofErr w:type="gramStart"/>
      <w:r w:rsidRPr="007C3FC6">
        <w:rPr>
          <w:spacing w:val="0"/>
        </w:rPr>
        <w:t>individually-identifying</w:t>
      </w:r>
      <w:proofErr w:type="gramEnd"/>
      <w:r w:rsidRPr="007C3FC6">
        <w:rPr>
          <w:spacing w:val="0"/>
        </w:rPr>
        <w:t xml:space="preserve"> information. The data </w:t>
      </w:r>
      <w:proofErr w:type="gramStart"/>
      <w:r w:rsidRPr="007C3FC6">
        <w:rPr>
          <w:spacing w:val="0"/>
        </w:rPr>
        <w:t>are further protected</w:t>
      </w:r>
      <w:proofErr w:type="gramEnd"/>
      <w:r w:rsidRPr="007C3FC6">
        <w:rPr>
          <w:spacing w:val="0"/>
        </w:rPr>
        <w:t xml:space="preserve"> through disclosure avoidance procedures approved by the NCES Disclosure Review Board.</w:t>
      </w:r>
    </w:p>
    <w:p w14:paraId="4D34DDB7" w14:textId="77777777" w:rsidR="008F36BC" w:rsidRPr="007C3FC6" w:rsidRDefault="008F36BC" w:rsidP="007C3FC6">
      <w:pPr>
        <w:pStyle w:val="bulletround"/>
        <w:widowControl w:val="0"/>
        <w:tabs>
          <w:tab w:val="clear" w:pos="1080"/>
          <w:tab w:val="left" w:pos="540"/>
        </w:tabs>
        <w:ind w:left="540"/>
        <w:rPr>
          <w:spacing w:val="0"/>
        </w:rPr>
      </w:pPr>
      <w:r w:rsidRPr="007C3FC6">
        <w:rPr>
          <w:spacing w:val="0"/>
        </w:rPr>
        <w:t xml:space="preserve">Whenever appropriate, subjects </w:t>
      </w:r>
      <w:proofErr w:type="gramStart"/>
      <w:r w:rsidRPr="007C3FC6">
        <w:rPr>
          <w:spacing w:val="0"/>
        </w:rPr>
        <w:t>will be provided</w:t>
      </w:r>
      <w:proofErr w:type="gramEnd"/>
      <w:r w:rsidRPr="007C3FC6">
        <w:rPr>
          <w:spacing w:val="0"/>
        </w:rPr>
        <w:t xml:space="preserve"> with additional pertinent information after they have participated. For each round of the study, information about prior rounds and the nature of the study </w:t>
      </w:r>
      <w:proofErr w:type="gramStart"/>
      <w:r w:rsidRPr="007C3FC6">
        <w:rPr>
          <w:spacing w:val="0"/>
        </w:rPr>
        <w:t>is made</w:t>
      </w:r>
      <w:proofErr w:type="gramEnd"/>
      <w:r w:rsidRPr="007C3FC6">
        <w:rPr>
          <w:spacing w:val="0"/>
        </w:rPr>
        <w:t xml:space="preserve"> available to sample members.</w:t>
      </w:r>
    </w:p>
    <w:p w14:paraId="002A8D9A" w14:textId="77777777" w:rsidR="008F36BC" w:rsidRPr="007C3FC6" w:rsidRDefault="008F36BC" w:rsidP="007C3FC6">
      <w:pPr>
        <w:pStyle w:val="bulletround"/>
        <w:widowControl w:val="0"/>
        <w:tabs>
          <w:tab w:val="clear" w:pos="1080"/>
          <w:tab w:val="left" w:pos="540"/>
        </w:tabs>
        <w:ind w:left="540"/>
        <w:rPr>
          <w:spacing w:val="0"/>
        </w:rPr>
      </w:pPr>
      <w:r w:rsidRPr="007C3FC6">
        <w:rPr>
          <w:spacing w:val="0"/>
        </w:rPr>
        <w:t xml:space="preserve">The study </w:t>
      </w:r>
      <w:proofErr w:type="gramStart"/>
      <w:r w:rsidRPr="007C3FC6">
        <w:rPr>
          <w:spacing w:val="0"/>
        </w:rPr>
        <w:t>cannot be conducted</w:t>
      </w:r>
      <w:proofErr w:type="gramEnd"/>
      <w:r w:rsidRPr="007C3FC6">
        <w:rPr>
          <w:spacing w:val="0"/>
        </w:rPr>
        <w:t xml:space="preserve"> practicably without the waiver. To obtain written consent from sample members, multiple forms would have to </w:t>
      </w:r>
      <w:proofErr w:type="gramStart"/>
      <w:r w:rsidRPr="007C3FC6">
        <w:rPr>
          <w:spacing w:val="0"/>
        </w:rPr>
        <w:t>be sent</w:t>
      </w:r>
      <w:proofErr w:type="gramEnd"/>
      <w:r w:rsidRPr="007C3FC6">
        <w:rPr>
          <w:spacing w:val="0"/>
        </w:rPr>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7C3FC6">
        <w:rPr>
          <w:spacing w:val="0"/>
        </w:rPr>
        <w:t>would be jeopardized</w:t>
      </w:r>
      <w:proofErr w:type="gramEnd"/>
      <w:r w:rsidRPr="007C3FC6">
        <w:rPr>
          <w:spacing w:val="0"/>
        </w:rPr>
        <w:t xml:space="preserve"> from a nonresponse bias perspective.</w:t>
      </w:r>
    </w:p>
    <w:p w14:paraId="7B86F16F" w14:textId="34CD2B6D" w:rsidR="0051645B" w:rsidRPr="007C3FC6" w:rsidRDefault="008F36BC" w:rsidP="007C3FC6">
      <w:pPr>
        <w:pStyle w:val="bulletround"/>
        <w:widowControl w:val="0"/>
        <w:tabs>
          <w:tab w:val="clear" w:pos="1080"/>
          <w:tab w:val="left" w:pos="540"/>
        </w:tabs>
        <w:ind w:left="540"/>
        <w:rPr>
          <w:spacing w:val="0"/>
        </w:rPr>
      </w:pPr>
      <w:r w:rsidRPr="007C3FC6">
        <w:rPr>
          <w:spacing w:val="0"/>
        </w:rPr>
        <w:t xml:space="preserve">The potential knowledge from the study is important enough to justify the waiver. These linked data will provide invaluable </w:t>
      </w:r>
      <w:r w:rsidR="000A31F9">
        <w:rPr>
          <w:spacing w:val="0"/>
        </w:rPr>
        <w:t>information</w:t>
      </w:r>
      <w:r w:rsidRPr="007C3FC6">
        <w:rPr>
          <w:spacing w:val="0"/>
        </w:rPr>
        <w:t xml:space="preserve"> to </w:t>
      </w:r>
      <w:r w:rsidR="0051645B" w:rsidRPr="007C3FC6">
        <w:rPr>
          <w:spacing w:val="0"/>
        </w:rPr>
        <w:t xml:space="preserve">grant recipients, other </w:t>
      </w:r>
      <w:r w:rsidRPr="007C3FC6">
        <w:rPr>
          <w:spacing w:val="0"/>
        </w:rPr>
        <w:t>researchers</w:t>
      </w:r>
      <w:r w:rsidR="0051645B" w:rsidRPr="001F2F30">
        <w:t>,</w:t>
      </w:r>
      <w:r w:rsidRPr="007C3FC6">
        <w:rPr>
          <w:spacing w:val="0"/>
        </w:rPr>
        <w:t xml:space="preserve"> and education policy makers about the federal financial aid that students </w:t>
      </w:r>
      <w:r w:rsidR="0051645B" w:rsidRPr="007C3FC6">
        <w:rPr>
          <w:spacing w:val="0"/>
        </w:rPr>
        <w:t xml:space="preserve">could receive or </w:t>
      </w:r>
      <w:r w:rsidRPr="007C3FC6">
        <w:rPr>
          <w:spacing w:val="0"/>
        </w:rPr>
        <w:t xml:space="preserve">have received, as well as critical information concerning </w:t>
      </w:r>
      <w:r w:rsidR="0051645B" w:rsidRPr="007C3FC6">
        <w:rPr>
          <w:spacing w:val="0"/>
        </w:rPr>
        <w:t xml:space="preserve">their </w:t>
      </w:r>
      <w:r w:rsidRPr="007C3FC6">
        <w:rPr>
          <w:spacing w:val="0"/>
        </w:rPr>
        <w:t xml:space="preserve">persistence in postsecondary education. Rather than ask students for information about </w:t>
      </w:r>
      <w:r w:rsidR="00867580">
        <w:rPr>
          <w:spacing w:val="0"/>
        </w:rPr>
        <w:t xml:space="preserve">their </w:t>
      </w:r>
      <w:r w:rsidRPr="007C3FC6">
        <w:rPr>
          <w:spacing w:val="0"/>
        </w:rPr>
        <w:t xml:space="preserve">financial aid, </w:t>
      </w:r>
      <w:r w:rsidR="00867580">
        <w:rPr>
          <w:spacing w:val="0"/>
        </w:rPr>
        <w:t xml:space="preserve">it </w:t>
      </w:r>
      <w:proofErr w:type="gramStart"/>
      <w:r w:rsidR="00867580">
        <w:rPr>
          <w:spacing w:val="0"/>
        </w:rPr>
        <w:t>will be obtained</w:t>
      </w:r>
      <w:proofErr w:type="gramEnd"/>
      <w:r w:rsidR="00867580">
        <w:rPr>
          <w:spacing w:val="0"/>
        </w:rPr>
        <w:t xml:space="preserve"> </w:t>
      </w:r>
      <w:r w:rsidRPr="007C3FC6">
        <w:rPr>
          <w:spacing w:val="0"/>
        </w:rPr>
        <w:t>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02E91AC7" w14:textId="77777777" w:rsidR="00FF1928" w:rsidRDefault="0051645B" w:rsidP="007C3FC6">
      <w:pPr>
        <w:pStyle w:val="bulletround"/>
        <w:widowControl w:val="0"/>
        <w:numPr>
          <w:ilvl w:val="0"/>
          <w:numId w:val="0"/>
        </w:numPr>
        <w:rPr>
          <w:rStyle w:val="apple-converted-space"/>
          <w:rFonts w:ascii="Georgia" w:hAnsi="Georgia"/>
          <w:spacing w:val="0"/>
        </w:rPr>
      </w:pPr>
      <w:r w:rsidRPr="007C3FC6">
        <w:rPr>
          <w:spacing w:val="0"/>
        </w:rPr>
        <w:t>As stated above, Signal Vine and College Possible staff will be subject to the same confidentiality requirements as RTI staff</w:t>
      </w:r>
      <w:r w:rsidR="007F2D7B" w:rsidRPr="001F2F30">
        <w:t xml:space="preserve">. </w:t>
      </w:r>
      <w:r w:rsidRPr="007C3FC6">
        <w:rPr>
          <w:spacing w:val="0"/>
        </w:rPr>
        <w:t xml:space="preserve">They will sign </w:t>
      </w:r>
      <w:r w:rsidRPr="001F2F30">
        <w:rPr>
          <w:color w:val="000000" w:themeColor="text1"/>
          <w:spacing w:val="0"/>
        </w:rPr>
        <w:t xml:space="preserve">notarized nondisclosure affidavits and undergo </w:t>
      </w:r>
      <w:r w:rsidRPr="007C3FC6">
        <w:rPr>
          <w:spacing w:val="0"/>
        </w:rPr>
        <w:t>personnel security screening</w:t>
      </w:r>
      <w:r w:rsidR="007F2D7B" w:rsidRPr="001F2F30">
        <w:t xml:space="preserve">. </w:t>
      </w:r>
      <w:r w:rsidRPr="007C3FC6">
        <w:rPr>
          <w:spacing w:val="0"/>
        </w:rPr>
        <w:t>Signal Vine, which will allow for the exchange of texted communications with study participants, is FERPA compliant and will offer study participants an automated opt-out option</w:t>
      </w:r>
      <w:r w:rsidR="007F2D7B" w:rsidRPr="001F2F30">
        <w:t xml:space="preserve">. </w:t>
      </w:r>
      <w:r w:rsidR="00324238" w:rsidRPr="007C3FC6">
        <w:rPr>
          <w:spacing w:val="0"/>
        </w:rPr>
        <w:t>Only t</w:t>
      </w:r>
      <w:r w:rsidR="003E56AE" w:rsidRPr="007C3FC6">
        <w:rPr>
          <w:spacing w:val="0"/>
        </w:rPr>
        <w:t xml:space="preserve">he minimal amount of student record data required to </w:t>
      </w:r>
      <w:r w:rsidR="00324238" w:rsidRPr="007C3FC6">
        <w:rPr>
          <w:spacing w:val="0"/>
        </w:rPr>
        <w:t xml:space="preserve">provide </w:t>
      </w:r>
      <w:r w:rsidR="003E56AE" w:rsidRPr="007C3FC6">
        <w:rPr>
          <w:spacing w:val="0"/>
        </w:rPr>
        <w:t xml:space="preserve">coaching </w:t>
      </w:r>
      <w:r w:rsidR="00324238" w:rsidRPr="007C3FC6">
        <w:rPr>
          <w:spacing w:val="0"/>
        </w:rPr>
        <w:t xml:space="preserve">support </w:t>
      </w:r>
      <w:r w:rsidR="003E56AE" w:rsidRPr="007C3FC6">
        <w:rPr>
          <w:spacing w:val="0"/>
        </w:rPr>
        <w:t>will be available to College Possible staff</w:t>
      </w:r>
      <w:r w:rsidR="007F2D7B" w:rsidRPr="001F2F30">
        <w:t xml:space="preserve">. </w:t>
      </w:r>
      <w:r w:rsidR="003E56AE" w:rsidRPr="007C3FC6">
        <w:rPr>
          <w:spacing w:val="0"/>
        </w:rPr>
        <w:t xml:space="preserve">Those </w:t>
      </w:r>
      <w:r w:rsidRPr="007C3FC6">
        <w:rPr>
          <w:spacing w:val="0"/>
        </w:rPr>
        <w:t xml:space="preserve">data will be </w:t>
      </w:r>
      <w:r w:rsidR="00237D59" w:rsidRPr="007C3FC6">
        <w:rPr>
          <w:spacing w:val="0"/>
        </w:rPr>
        <w:t xml:space="preserve">stored in </w:t>
      </w:r>
      <w:r w:rsidRPr="007C3FC6">
        <w:rPr>
          <w:spacing w:val="0"/>
        </w:rPr>
        <w:t xml:space="preserve">a </w:t>
      </w:r>
      <w:r w:rsidR="00237D59" w:rsidRPr="007C3FC6">
        <w:rPr>
          <w:spacing w:val="0"/>
        </w:rPr>
        <w:t>secure Salesforce database, which is only accessible to registered users with College Possible email accounts</w:t>
      </w:r>
      <w:r w:rsidR="007F2D7B" w:rsidRPr="001F2F30">
        <w:t xml:space="preserve">. </w:t>
      </w:r>
      <w:r w:rsidR="00237D59" w:rsidRPr="007C3FC6">
        <w:rPr>
          <w:spacing w:val="0"/>
        </w:rPr>
        <w:t xml:space="preserve">Each College Possible coach </w:t>
      </w:r>
      <w:proofErr w:type="gramStart"/>
      <w:r w:rsidR="00237D59" w:rsidRPr="007C3FC6">
        <w:rPr>
          <w:spacing w:val="0"/>
        </w:rPr>
        <w:t>is assigned</w:t>
      </w:r>
      <w:proofErr w:type="gramEnd"/>
      <w:r w:rsidR="00237D59" w:rsidRPr="007C3FC6">
        <w:rPr>
          <w:spacing w:val="0"/>
        </w:rPr>
        <w:t xml:space="preserve"> one Salesforce user license, so no usernames </w:t>
      </w:r>
      <w:r w:rsidRPr="007C3FC6">
        <w:rPr>
          <w:spacing w:val="0"/>
        </w:rPr>
        <w:t xml:space="preserve">or </w:t>
      </w:r>
      <w:r w:rsidR="00237D59" w:rsidRPr="007C3FC6">
        <w:rPr>
          <w:spacing w:val="0"/>
        </w:rPr>
        <w:t xml:space="preserve">passwords are shared between users. Each student record </w:t>
      </w:r>
      <w:proofErr w:type="gramStart"/>
      <w:r w:rsidR="00237D59" w:rsidRPr="007C3FC6">
        <w:rPr>
          <w:spacing w:val="0"/>
        </w:rPr>
        <w:t>is assigned</w:t>
      </w:r>
      <w:proofErr w:type="gramEnd"/>
      <w:r w:rsidR="00237D59" w:rsidRPr="007C3FC6">
        <w:rPr>
          <w:spacing w:val="0"/>
        </w:rPr>
        <w:t xml:space="preserve"> to a registered user (their coach). </w:t>
      </w:r>
      <w:r w:rsidRPr="007C3FC6">
        <w:rPr>
          <w:spacing w:val="0"/>
        </w:rPr>
        <w:t xml:space="preserve">The College Possible </w:t>
      </w:r>
      <w:r w:rsidR="00237D59" w:rsidRPr="007C3FC6">
        <w:rPr>
          <w:spacing w:val="0"/>
        </w:rPr>
        <w:t xml:space="preserve">data management team built a user hierarchy that dictates which level of access </w:t>
      </w:r>
      <w:r w:rsidR="000A31F9">
        <w:rPr>
          <w:spacing w:val="0"/>
        </w:rPr>
        <w:t>each</w:t>
      </w:r>
      <w:r w:rsidR="00237D59" w:rsidRPr="007C3FC6">
        <w:rPr>
          <w:spacing w:val="0"/>
        </w:rPr>
        <w:t xml:space="preserve"> user has to student records based on the </w:t>
      </w:r>
      <w:proofErr w:type="gramStart"/>
      <w:r w:rsidR="00237D59" w:rsidRPr="007C3FC6">
        <w:rPr>
          <w:spacing w:val="0"/>
        </w:rPr>
        <w:t>user’s</w:t>
      </w:r>
      <w:proofErr w:type="gramEnd"/>
      <w:r w:rsidR="00237D59" w:rsidRPr="007C3FC6">
        <w:rPr>
          <w:spacing w:val="0"/>
        </w:rPr>
        <w:t xml:space="preserve"> staffing level. Salesforce is built to include standard security features to ensure data </w:t>
      </w:r>
      <w:r w:rsidR="00AD4029" w:rsidRPr="007C3FC6">
        <w:rPr>
          <w:spacing w:val="0"/>
        </w:rPr>
        <w:t>are</w:t>
      </w:r>
      <w:r w:rsidR="00237D59" w:rsidRPr="007C3FC6">
        <w:rPr>
          <w:spacing w:val="0"/>
        </w:rPr>
        <w:t xml:space="preserve"> protected from unauthorized outside access, including the secure </w:t>
      </w:r>
      <w:proofErr w:type="gramStart"/>
      <w:r w:rsidR="00237D59" w:rsidRPr="007C3FC6">
        <w:rPr>
          <w:spacing w:val="0"/>
        </w:rPr>
        <w:t>log-in</w:t>
      </w:r>
      <w:proofErr w:type="gramEnd"/>
      <w:r w:rsidR="00237D59" w:rsidRPr="007C3FC6">
        <w:rPr>
          <w:spacing w:val="0"/>
        </w:rPr>
        <w:t xml:space="preserve"> page</w:t>
      </w:r>
      <w:r w:rsidR="000A31F9" w:rsidRPr="001F2F30">
        <w:t>,</w:t>
      </w:r>
      <w:r w:rsidR="00237D59" w:rsidRPr="007C3FC6">
        <w:rPr>
          <w:spacing w:val="0"/>
        </w:rPr>
        <w:t xml:space="preserve"> automatic timeouts from inactivity, auditing logs that monitor log-ins and edits to records, and accessibility and permission settings that restrict record access or the ability to create and delete records.</w:t>
      </w:r>
    </w:p>
    <w:p w14:paraId="43B4F1ED" w14:textId="77777777" w:rsidR="00265E39" w:rsidRPr="007C3FC6" w:rsidRDefault="00265E39" w:rsidP="007C3FC6">
      <w:pPr>
        <w:pStyle w:val="Heading2"/>
        <w:keepNext w:val="0"/>
        <w:widowControl w:val="0"/>
      </w:pPr>
      <w:bookmarkStart w:id="38" w:name="_Toc383113374"/>
      <w:bookmarkStart w:id="39" w:name="_Toc464308447"/>
      <w:r w:rsidRPr="007C3FC6">
        <w:t>Sensitive Questions</w:t>
      </w:r>
      <w:bookmarkEnd w:id="38"/>
      <w:bookmarkEnd w:id="39"/>
    </w:p>
    <w:p w14:paraId="0FB1DC55" w14:textId="77777777" w:rsidR="008200E5" w:rsidRPr="007C3FC6" w:rsidRDefault="00C74D1A" w:rsidP="007C3FC6">
      <w:pPr>
        <w:widowControl w:val="0"/>
        <w:autoSpaceDE w:val="0"/>
        <w:autoSpaceDN w:val="0"/>
        <w:adjustRightInd w:val="0"/>
        <w:spacing w:after="0" w:line="240" w:lineRule="auto"/>
      </w:pPr>
      <w:bookmarkStart w:id="40" w:name="_Toc383113375"/>
      <w:r w:rsidRPr="007C3FC6">
        <w:t xml:space="preserve">No sensitive questions </w:t>
      </w:r>
      <w:proofErr w:type="gramStart"/>
      <w:r w:rsidRPr="007C3FC6">
        <w:t>will be asked</w:t>
      </w:r>
      <w:proofErr w:type="gramEnd"/>
      <w:r w:rsidRPr="007C3FC6">
        <w:t xml:space="preserve">. </w:t>
      </w:r>
      <w:r w:rsidR="008200E5" w:rsidRPr="007C3FC6">
        <w:t xml:space="preserve">The </w:t>
      </w:r>
      <w:r w:rsidR="00ED1D73" w:rsidRPr="007C3FC6">
        <w:t xml:space="preserve">primary communication with students </w:t>
      </w:r>
      <w:r w:rsidR="00FE579A" w:rsidRPr="007C3FC6">
        <w:t>(</w:t>
      </w:r>
      <w:r w:rsidR="002446CC" w:rsidRPr="007C3FC6">
        <w:t>see a</w:t>
      </w:r>
      <w:r w:rsidR="00FE579A" w:rsidRPr="007C3FC6">
        <w:t xml:space="preserve">ppendix </w:t>
      </w:r>
      <w:r w:rsidR="002446CC" w:rsidRPr="007C3FC6">
        <w:t>A</w:t>
      </w:r>
      <w:r w:rsidR="00FE579A" w:rsidRPr="007C3FC6">
        <w:t xml:space="preserve">) </w:t>
      </w:r>
      <w:r w:rsidR="00ED1D73" w:rsidRPr="007C3FC6">
        <w:t xml:space="preserve">will </w:t>
      </w:r>
      <w:r w:rsidR="00466A6C">
        <w:t>consist of</w:t>
      </w:r>
      <w:r w:rsidR="00ED1D73" w:rsidRPr="007C3FC6">
        <w:t xml:space="preserve"> texted reminders to apply </w:t>
      </w:r>
      <w:r w:rsidR="0018490F" w:rsidRPr="007C3FC6">
        <w:t xml:space="preserve">and re-apply </w:t>
      </w:r>
      <w:r w:rsidR="00ED1D73" w:rsidRPr="007C3FC6">
        <w:t>for federal financial aid</w:t>
      </w:r>
      <w:r w:rsidR="007F2D7B" w:rsidRPr="007C3FC6">
        <w:t xml:space="preserve">. </w:t>
      </w:r>
      <w:r w:rsidRPr="007C3FC6">
        <w:t>O</w:t>
      </w:r>
      <w:r w:rsidR="00ED1D73" w:rsidRPr="007C3FC6">
        <w:t xml:space="preserve">pen-ended questions </w:t>
      </w:r>
      <w:r w:rsidRPr="007C3FC6">
        <w:t xml:space="preserve">to Group 2 will focus on completing the FAFSA, award letters, </w:t>
      </w:r>
      <w:r w:rsidR="003A53B2" w:rsidRPr="007C3FC6">
        <w:t xml:space="preserve">whether </w:t>
      </w:r>
      <w:r w:rsidR="00D96331" w:rsidRPr="007C3FC6">
        <w:t xml:space="preserve">or not </w:t>
      </w:r>
      <w:r w:rsidRPr="007C3FC6">
        <w:t xml:space="preserve">students </w:t>
      </w:r>
      <w:r w:rsidR="00D96331" w:rsidRPr="007C3FC6">
        <w:t xml:space="preserve">feel </w:t>
      </w:r>
      <w:r w:rsidR="003A53B2" w:rsidRPr="007C3FC6">
        <w:t xml:space="preserve">on track to meet </w:t>
      </w:r>
      <w:r w:rsidRPr="007C3FC6">
        <w:t xml:space="preserve">SAP </w:t>
      </w:r>
      <w:r w:rsidR="003A53B2" w:rsidRPr="007C3FC6">
        <w:t>requirements</w:t>
      </w:r>
      <w:r w:rsidR="00ED1D73" w:rsidRPr="007C3FC6">
        <w:t xml:space="preserve"> to remain eligible for aid</w:t>
      </w:r>
      <w:r w:rsidRPr="007C3FC6">
        <w:t>, and academic planning</w:t>
      </w:r>
      <w:r w:rsidR="007F2D7B" w:rsidRPr="007C3FC6">
        <w:t xml:space="preserve">. </w:t>
      </w:r>
      <w:r w:rsidRPr="007C3FC6">
        <w:t>While communication around SAP may elicit anxiety among students, it is part of the intervention to encourage students to get back on track</w:t>
      </w:r>
      <w:r w:rsidR="007F2D7B" w:rsidRPr="007C3FC6">
        <w:t xml:space="preserve">. </w:t>
      </w:r>
      <w:r w:rsidR="00154024" w:rsidRPr="007C3FC6">
        <w:t xml:space="preserve">College Possible advisors will </w:t>
      </w:r>
      <w:r w:rsidR="00784A5B" w:rsidRPr="007C3FC6">
        <w:t>be able to screen share</w:t>
      </w:r>
      <w:r w:rsidR="00154024" w:rsidRPr="007C3FC6">
        <w:t xml:space="preserve"> and </w:t>
      </w:r>
      <w:r w:rsidR="00784A5B" w:rsidRPr="007C3FC6">
        <w:t xml:space="preserve">collaborate on </w:t>
      </w:r>
      <w:r w:rsidR="00154024" w:rsidRPr="007C3FC6">
        <w:t>document</w:t>
      </w:r>
      <w:r w:rsidR="00784A5B" w:rsidRPr="007C3FC6">
        <w:t>s</w:t>
      </w:r>
      <w:r w:rsidR="00154024" w:rsidRPr="007C3FC6">
        <w:t xml:space="preserve"> to provide more in-depth advising to </w:t>
      </w:r>
      <w:r w:rsidR="00466A6C">
        <w:t xml:space="preserve">Group 2 </w:t>
      </w:r>
      <w:r w:rsidR="00154024" w:rsidRPr="007C3FC6">
        <w:t xml:space="preserve">students </w:t>
      </w:r>
      <w:r w:rsidR="00466A6C">
        <w:t>who will desire such assistance</w:t>
      </w:r>
      <w:r w:rsidR="00154024" w:rsidRPr="007C3FC6">
        <w:t xml:space="preserve"> (e.g., review a financial aid award letter the student received). Students </w:t>
      </w:r>
      <w:r w:rsidR="00466A6C">
        <w:t>will</w:t>
      </w:r>
      <w:r w:rsidR="00154024" w:rsidRPr="007C3FC6">
        <w:t xml:space="preserve"> have to consent to us</w:t>
      </w:r>
      <w:r w:rsidR="00466A6C">
        <w:t>ing</w:t>
      </w:r>
      <w:r w:rsidR="00154024" w:rsidRPr="007C3FC6">
        <w:t xml:space="preserve"> these </w:t>
      </w:r>
      <w:r w:rsidR="00784A5B" w:rsidRPr="007C3FC6">
        <w:t>additional exchanges</w:t>
      </w:r>
      <w:r w:rsidR="00154024" w:rsidRPr="007C3FC6">
        <w:t>.</w:t>
      </w:r>
    </w:p>
    <w:p w14:paraId="355E5B15" w14:textId="77777777" w:rsidR="005F3E77" w:rsidRPr="007C3FC6" w:rsidRDefault="00265E39" w:rsidP="007C3FC6">
      <w:pPr>
        <w:pStyle w:val="Heading2"/>
        <w:keepNext w:val="0"/>
        <w:widowControl w:val="0"/>
      </w:pPr>
      <w:bookmarkStart w:id="41" w:name="_Toc464308448"/>
      <w:r w:rsidRPr="007C3FC6">
        <w:t>Estimates of Response Burden</w:t>
      </w:r>
      <w:bookmarkEnd w:id="40"/>
      <w:bookmarkEnd w:id="41"/>
    </w:p>
    <w:p w14:paraId="7FD902ED" w14:textId="318D91E0" w:rsidR="00EF029C" w:rsidRDefault="00C63C42" w:rsidP="007C3FC6">
      <w:pPr>
        <w:pStyle w:val="BodyText"/>
        <w:widowControl w:val="0"/>
        <w:ind w:firstLine="0"/>
      </w:pPr>
      <w:r w:rsidRPr="007C3FC6">
        <w:t xml:space="preserve">Table 1 provides the projected estimates for response burden for the interventions required </w:t>
      </w:r>
      <w:r w:rsidR="00154024" w:rsidRPr="007C3FC6">
        <w:t>for this study</w:t>
      </w:r>
      <w:r w:rsidR="007F2D7B" w:rsidRPr="007C3FC6">
        <w:t xml:space="preserve">. </w:t>
      </w:r>
      <w:r w:rsidR="0086066E" w:rsidRPr="007C3FC6">
        <w:lastRenderedPageBreak/>
        <w:t>Response burden for participants will depend on the group assignment</w:t>
      </w:r>
      <w:r w:rsidR="007F2D7B" w:rsidRPr="007C3FC6">
        <w:t xml:space="preserve">. </w:t>
      </w:r>
      <w:r w:rsidR="0086066E" w:rsidRPr="007C3FC6">
        <w:t xml:space="preserve">Participants </w:t>
      </w:r>
      <w:r w:rsidR="006A3C57" w:rsidRPr="007C3FC6">
        <w:t>in Group 1 will receive about 12</w:t>
      </w:r>
      <w:r w:rsidR="0086066E" w:rsidRPr="007C3FC6">
        <w:t xml:space="preserve"> text messages </w:t>
      </w:r>
      <w:r w:rsidR="00944D1D" w:rsidRPr="007C3FC6">
        <w:t xml:space="preserve">requiring </w:t>
      </w:r>
      <w:r w:rsidR="00DF5062" w:rsidRPr="007C3FC6">
        <w:t xml:space="preserve">approximately </w:t>
      </w:r>
      <w:r w:rsidR="00944D1D" w:rsidRPr="007C3FC6">
        <w:t>5 minutes each to read and respond</w:t>
      </w:r>
      <w:r w:rsidR="007F2D7B" w:rsidRPr="007C3FC6">
        <w:t xml:space="preserve">. </w:t>
      </w:r>
      <w:r w:rsidR="00944D1D" w:rsidRPr="007C3FC6">
        <w:t xml:space="preserve">Group </w:t>
      </w:r>
      <w:proofErr w:type="gramStart"/>
      <w:r w:rsidR="00944D1D" w:rsidRPr="007C3FC6">
        <w:t>2</w:t>
      </w:r>
      <w:proofErr w:type="gramEnd"/>
      <w:r w:rsidR="00944D1D" w:rsidRPr="007C3FC6">
        <w:t xml:space="preserve">, with advising, will </w:t>
      </w:r>
      <w:r w:rsidR="00116930" w:rsidRPr="007C3FC6">
        <w:t>receive the same texts as Group 1 plus advising time</w:t>
      </w:r>
      <w:r w:rsidR="007F2D7B" w:rsidRPr="007C3FC6">
        <w:t xml:space="preserve">. </w:t>
      </w:r>
      <w:r w:rsidR="0018714C" w:rsidRPr="007C3FC6">
        <w:t>For Group 2, there will be a</w:t>
      </w:r>
      <w:r w:rsidR="00603792" w:rsidRPr="007C3FC6">
        <w:t>bout 18 contacts per participant, including the 12 texts also sent to Group 1</w:t>
      </w:r>
      <w:r w:rsidR="007F2D7B" w:rsidRPr="007C3FC6">
        <w:t xml:space="preserve">. </w:t>
      </w:r>
      <w:r w:rsidR="00603792" w:rsidRPr="007C3FC6">
        <w:t xml:space="preserve">On average, each Group 2 contact will require </w:t>
      </w:r>
      <w:r w:rsidR="006A3C57" w:rsidRPr="007C3FC6">
        <w:t xml:space="preserve">about 7 minutes </w:t>
      </w:r>
      <w:r w:rsidR="00603792" w:rsidRPr="007C3FC6">
        <w:t>to read and respond</w:t>
      </w:r>
      <w:r w:rsidR="006A3C57" w:rsidRPr="007C3FC6">
        <w:t xml:space="preserve">. </w:t>
      </w:r>
      <w:r w:rsidR="00872C98" w:rsidRPr="007C3FC6">
        <w:t>Group 3, the Control Group</w:t>
      </w:r>
      <w:r w:rsidR="004165EC" w:rsidRPr="007C3FC6">
        <w:t xml:space="preserve"> (n=1,</w:t>
      </w:r>
      <w:r w:rsidR="00EF6864">
        <w:t>7</w:t>
      </w:r>
      <w:r w:rsidR="004165EC" w:rsidRPr="007C3FC6">
        <w:t>00)</w:t>
      </w:r>
      <w:r w:rsidR="00872C98" w:rsidRPr="007C3FC6">
        <w:t xml:space="preserve">, will receive no treatment and, therefore, </w:t>
      </w:r>
      <w:r w:rsidR="002D7ECA" w:rsidRPr="002D7ECA">
        <w:t xml:space="preserve">will not incur any burden as part of this study and </w:t>
      </w:r>
      <w:r w:rsidR="002D7ECA">
        <w:t>is</w:t>
      </w:r>
      <w:r w:rsidR="002D7ECA" w:rsidRPr="002D7ECA">
        <w:t xml:space="preserve"> excluded from the burden calculations.</w:t>
      </w:r>
      <w:r w:rsidR="002D7ECA">
        <w:t xml:space="preserve"> </w:t>
      </w:r>
      <w:r w:rsidR="007F78CE" w:rsidRPr="007C3FC6">
        <w:t>Estimating an average hourly rate of $</w:t>
      </w:r>
      <w:r w:rsidR="007F78CE" w:rsidRPr="009A5B57">
        <w:t>18 for participating students</w:t>
      </w:r>
      <w:r w:rsidR="002D7ECA" w:rsidRPr="009A5B57">
        <w:rPr>
          <w:rStyle w:val="FootnoteReference"/>
        </w:rPr>
        <w:footnoteReference w:id="4"/>
      </w:r>
      <w:r w:rsidR="007F78CE" w:rsidRPr="009A5B57">
        <w:t xml:space="preserve">, the </w:t>
      </w:r>
      <w:r w:rsidR="000525A5" w:rsidRPr="009A5B57">
        <w:t>1</w:t>
      </w:r>
      <w:r w:rsidR="00EF6864">
        <w:t>0</w:t>
      </w:r>
      <w:r w:rsidR="000525A5" w:rsidRPr="009A5B57">
        <w:t>,</w:t>
      </w:r>
      <w:r w:rsidR="00EF6864">
        <w:t>540</w:t>
      </w:r>
      <w:r w:rsidR="000525A5" w:rsidRPr="009A5B57">
        <w:t xml:space="preserve"> </w:t>
      </w:r>
      <w:r w:rsidR="007F78CE" w:rsidRPr="009A5B57">
        <w:t xml:space="preserve">total burden hours </w:t>
      </w:r>
      <w:r w:rsidR="002D7ECA" w:rsidRPr="009A5B57">
        <w:t>represent approximately</w:t>
      </w:r>
      <w:r w:rsidR="007F78CE" w:rsidRPr="009A5B57">
        <w:t xml:space="preserve"> </w:t>
      </w:r>
      <w:r w:rsidR="002D7ECA" w:rsidRPr="009A5B57">
        <w:t>$</w:t>
      </w:r>
      <w:r w:rsidR="00EF6864">
        <w:t>18</w:t>
      </w:r>
      <w:r w:rsidR="002D7ECA" w:rsidRPr="009A5B57">
        <w:t>9,</w:t>
      </w:r>
      <w:r w:rsidR="00EF6864">
        <w:t>72</w:t>
      </w:r>
      <w:r w:rsidR="002D7ECA" w:rsidRPr="009A5B57">
        <w:t xml:space="preserve">0 in total response burden time </w:t>
      </w:r>
      <w:r w:rsidR="007D3B3B" w:rsidRPr="009A5B57">
        <w:t xml:space="preserve">cost </w:t>
      </w:r>
      <w:r w:rsidR="002D7ECA" w:rsidRPr="009A5B57">
        <w:t xml:space="preserve">to </w:t>
      </w:r>
      <w:r w:rsidR="007D3B3B" w:rsidRPr="009A5B57">
        <w:t>students</w:t>
      </w:r>
      <w:r w:rsidR="007F78CE" w:rsidRPr="009A5B57">
        <w:t>.</w:t>
      </w:r>
      <w:bookmarkStart w:id="42" w:name="_GoBack"/>
      <w:bookmarkEnd w:id="42"/>
    </w:p>
    <w:p w14:paraId="79B804B7" w14:textId="2432F2DD" w:rsidR="00FF2806" w:rsidRPr="007C3FC6" w:rsidRDefault="00C13E74" w:rsidP="00F57B7A">
      <w:pPr>
        <w:pStyle w:val="TableTitle"/>
        <w:keepNext w:val="0"/>
        <w:widowControl w:val="0"/>
        <w:spacing w:before="120"/>
      </w:pPr>
      <w:bookmarkStart w:id="43" w:name="_Toc401056569"/>
      <w:bookmarkStart w:id="44" w:name="_Toc464308408"/>
      <w:proofErr w:type="gramStart"/>
      <w:r w:rsidRPr="007C3FC6">
        <w:t xml:space="preserve">Table </w:t>
      </w:r>
      <w:r w:rsidR="00F15404" w:rsidRPr="007C3FC6">
        <w:t>1</w:t>
      </w:r>
      <w:r w:rsidRPr="007C3FC6">
        <w:t>.</w:t>
      </w:r>
      <w:proofErr w:type="gramEnd"/>
      <w:r w:rsidR="00EA14E6" w:rsidRPr="007C3FC6">
        <w:tab/>
      </w:r>
      <w:r w:rsidR="00FF2806" w:rsidRPr="007C3FC6">
        <w:t xml:space="preserve">Maximum estimated burden </w:t>
      </w:r>
      <w:r w:rsidR="00434307" w:rsidRPr="007C3FC6">
        <w:t>to</w:t>
      </w:r>
      <w:r w:rsidR="00FF2806" w:rsidRPr="007C3FC6">
        <w:t xml:space="preserve"> respondents for the </w:t>
      </w:r>
      <w:r w:rsidR="00DB635B" w:rsidRPr="001F2F30">
        <w:rPr>
          <w:i/>
          <w:iCs/>
        </w:rPr>
        <w:t>Financial Aid Nudges 2017</w:t>
      </w:r>
      <w:r w:rsidR="00FF2806" w:rsidRPr="007C3FC6">
        <w:t xml:space="preserve"> </w:t>
      </w:r>
      <w:bookmarkEnd w:id="43"/>
      <w:bookmarkEnd w:id="44"/>
      <w:r w:rsidR="00171B38">
        <w:t>study</w:t>
      </w:r>
    </w:p>
    <w:tbl>
      <w:tblPr>
        <w:tblStyle w:val="TableGrid"/>
        <w:tblW w:w="5000" w:type="pct"/>
        <w:tblLook w:val="01E0" w:firstRow="1" w:lastRow="1" w:firstColumn="1" w:lastColumn="1" w:noHBand="0" w:noVBand="0"/>
      </w:tblPr>
      <w:tblGrid>
        <w:gridCol w:w="2516"/>
        <w:gridCol w:w="1369"/>
        <w:gridCol w:w="1369"/>
        <w:gridCol w:w="1369"/>
        <w:gridCol w:w="1369"/>
        <w:gridCol w:w="1369"/>
        <w:gridCol w:w="1367"/>
      </w:tblGrid>
      <w:tr w:rsidR="00441C94" w:rsidRPr="007C3FC6" w14:paraId="6828DA04" w14:textId="77777777" w:rsidTr="00441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3" w:type="pct"/>
          </w:tcPr>
          <w:p w14:paraId="2399D7D8" w14:textId="77777777" w:rsidR="00441C94" w:rsidRPr="007C3FC6" w:rsidRDefault="00441C94" w:rsidP="007C3FC6">
            <w:pPr>
              <w:pStyle w:val="Tabletext"/>
              <w:keepNext w:val="0"/>
              <w:widowControl w:val="0"/>
            </w:pPr>
            <w:r w:rsidRPr="007C3FC6">
              <w:t xml:space="preserve">Intervention group </w:t>
            </w:r>
          </w:p>
        </w:tc>
        <w:tc>
          <w:tcPr>
            <w:tcW w:w="638" w:type="pct"/>
          </w:tcPr>
          <w:p w14:paraId="5FFA3A94" w14:textId="77777777" w:rsidR="00441C94" w:rsidRPr="007C3FC6" w:rsidRDefault="00441C94" w:rsidP="007C3FC6">
            <w:pPr>
              <w:pStyle w:val="Tablenumbers"/>
              <w:keepNext w:val="0"/>
              <w:widowControl w:val="0"/>
              <w:cnfStyle w:val="100000000000" w:firstRow="1" w:lastRow="0" w:firstColumn="0" w:lastColumn="0" w:oddVBand="0" w:evenVBand="0" w:oddHBand="0" w:evenHBand="0" w:firstRowFirstColumn="0" w:firstRowLastColumn="0" w:lastRowFirstColumn="0" w:lastRowLastColumn="0"/>
              <w:rPr>
                <w:bCs/>
              </w:rPr>
            </w:pPr>
            <w:r w:rsidRPr="007C3FC6">
              <w:t>Expected number of participants</w:t>
            </w:r>
          </w:p>
        </w:tc>
        <w:tc>
          <w:tcPr>
            <w:tcW w:w="638" w:type="pct"/>
          </w:tcPr>
          <w:p w14:paraId="1DA63A0D" w14:textId="77777777" w:rsidR="00441C94" w:rsidRPr="007C3FC6" w:rsidRDefault="00441C94" w:rsidP="007C3FC6">
            <w:pPr>
              <w:pStyle w:val="Tablenumbers"/>
              <w:keepNext w:val="0"/>
              <w:widowControl w:val="0"/>
              <w:cnfStyle w:val="100000000000" w:firstRow="1" w:lastRow="0" w:firstColumn="0" w:lastColumn="0" w:oddVBand="0" w:evenVBand="0" w:oddHBand="0" w:evenHBand="0" w:firstRowFirstColumn="0" w:firstRowLastColumn="0" w:lastRowFirstColumn="0" w:lastRowLastColumn="0"/>
            </w:pPr>
            <w:r w:rsidRPr="007C3FC6">
              <w:t>Expected number of contacts</w:t>
            </w:r>
          </w:p>
        </w:tc>
        <w:tc>
          <w:tcPr>
            <w:tcW w:w="638" w:type="pct"/>
          </w:tcPr>
          <w:p w14:paraId="0D0DC8FC" w14:textId="77777777" w:rsidR="00441C94" w:rsidRPr="007C3FC6" w:rsidRDefault="00441C94" w:rsidP="007C3FC6">
            <w:pPr>
              <w:pStyle w:val="Tablenumbers"/>
              <w:keepNext w:val="0"/>
              <w:widowControl w:val="0"/>
              <w:cnfStyle w:val="100000000000" w:firstRow="1" w:lastRow="0" w:firstColumn="0" w:lastColumn="0" w:oddVBand="0" w:evenVBand="0" w:oddHBand="0" w:evenHBand="0" w:firstRowFirstColumn="0" w:firstRowLastColumn="0" w:lastRowFirstColumn="0" w:lastRowLastColumn="0"/>
            </w:pPr>
            <w:r>
              <w:t>Total</w:t>
            </w:r>
            <w:r w:rsidRPr="007C3FC6">
              <w:t xml:space="preserve"> number of</w:t>
            </w:r>
            <w:r>
              <w:t xml:space="preserve"> responses</w:t>
            </w:r>
          </w:p>
        </w:tc>
        <w:tc>
          <w:tcPr>
            <w:tcW w:w="638" w:type="pct"/>
          </w:tcPr>
          <w:p w14:paraId="7511CBD0" w14:textId="29ECDE8F" w:rsidR="00441C94" w:rsidRDefault="00441C94" w:rsidP="00171B38">
            <w:pPr>
              <w:pStyle w:val="Tablenumbers"/>
              <w:keepNext w:val="0"/>
              <w:widowControl w:val="0"/>
              <w:cnfStyle w:val="100000000000" w:firstRow="1" w:lastRow="0" w:firstColumn="0" w:lastColumn="0" w:oddVBand="0" w:evenVBand="0" w:oddHBand="0" w:evenHBand="0" w:firstRowFirstColumn="0" w:firstRowLastColumn="0" w:lastRowFirstColumn="0" w:lastRowLastColumn="0"/>
            </w:pPr>
            <w:r w:rsidRPr="00441C94">
              <w:t>Average burden per contact (mins)</w:t>
            </w:r>
          </w:p>
        </w:tc>
        <w:tc>
          <w:tcPr>
            <w:tcW w:w="638" w:type="pct"/>
          </w:tcPr>
          <w:p w14:paraId="64E4313A" w14:textId="0E7D3974" w:rsidR="00441C94" w:rsidRPr="007C3FC6" w:rsidRDefault="00441C94" w:rsidP="00171B38">
            <w:pPr>
              <w:pStyle w:val="Tablenumbers"/>
              <w:keepNext w:val="0"/>
              <w:widowControl w:val="0"/>
              <w:cnfStyle w:val="100000000000" w:firstRow="1" w:lastRow="0" w:firstColumn="0" w:lastColumn="0" w:oddVBand="0" w:evenVBand="0" w:oddHBand="0" w:evenHBand="0" w:firstRowFirstColumn="0" w:firstRowLastColumn="0" w:lastRowFirstColumn="0" w:lastRowLastColumn="0"/>
            </w:pPr>
            <w:r>
              <w:t>Total b</w:t>
            </w:r>
            <w:r w:rsidRPr="007C3FC6">
              <w:t xml:space="preserve">urden </w:t>
            </w:r>
            <w:r>
              <w:t xml:space="preserve">time </w:t>
            </w:r>
            <w:r w:rsidRPr="007C3FC6">
              <w:t xml:space="preserve">per </w:t>
            </w:r>
            <w:r>
              <w:t>participant</w:t>
            </w:r>
            <w:r w:rsidRPr="007C3FC6">
              <w:t xml:space="preserve"> (mins)</w:t>
            </w:r>
          </w:p>
        </w:tc>
        <w:tc>
          <w:tcPr>
            <w:tcW w:w="637" w:type="pct"/>
          </w:tcPr>
          <w:p w14:paraId="21417B6D" w14:textId="77777777" w:rsidR="00441C94" w:rsidRPr="007C3FC6" w:rsidRDefault="00441C94" w:rsidP="00EF029C">
            <w:pPr>
              <w:pStyle w:val="Tablenumbers"/>
              <w:keepNext w:val="0"/>
              <w:widowControl w:val="0"/>
              <w:cnfStyle w:val="100000000000" w:firstRow="1" w:lastRow="0" w:firstColumn="0" w:lastColumn="0" w:oddVBand="0" w:evenVBand="0" w:oddHBand="0" w:evenHBand="0" w:firstRowFirstColumn="0" w:firstRowLastColumn="0" w:lastRowFirstColumn="0" w:lastRowLastColumn="0"/>
            </w:pPr>
            <w:r>
              <w:t>Total</w:t>
            </w:r>
            <w:r w:rsidRPr="007C3FC6">
              <w:t xml:space="preserve"> burden h</w:t>
            </w:r>
            <w:r>
              <w:t>ou</w:t>
            </w:r>
            <w:r w:rsidRPr="007C3FC6">
              <w:t>rs</w:t>
            </w:r>
          </w:p>
        </w:tc>
      </w:tr>
      <w:tr w:rsidR="00441C94" w:rsidRPr="007C3FC6" w14:paraId="0F35938E" w14:textId="77777777" w:rsidTr="00441C94">
        <w:tc>
          <w:tcPr>
            <w:cnfStyle w:val="001000000000" w:firstRow="0" w:lastRow="0" w:firstColumn="1" w:lastColumn="0" w:oddVBand="0" w:evenVBand="0" w:oddHBand="0" w:evenHBand="0" w:firstRowFirstColumn="0" w:firstRowLastColumn="0" w:lastRowFirstColumn="0" w:lastRowLastColumn="0"/>
            <w:tcW w:w="1173" w:type="pct"/>
          </w:tcPr>
          <w:p w14:paraId="0240A7FE" w14:textId="77777777" w:rsidR="00441C94" w:rsidRPr="007C3FC6" w:rsidRDefault="00441C94" w:rsidP="007C3FC6">
            <w:pPr>
              <w:pStyle w:val="Tabletext"/>
              <w:keepNext w:val="0"/>
              <w:widowControl w:val="0"/>
            </w:pPr>
            <w:r w:rsidRPr="007C3FC6">
              <w:t>Group 1 – texting only</w:t>
            </w:r>
          </w:p>
        </w:tc>
        <w:tc>
          <w:tcPr>
            <w:tcW w:w="638" w:type="pct"/>
          </w:tcPr>
          <w:p w14:paraId="05797B44" w14:textId="5A46EAC9"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7C3FC6">
              <w:t>3,</w:t>
            </w:r>
            <w:r w:rsidR="00EF6864">
              <w:t>400</w:t>
            </w:r>
          </w:p>
        </w:tc>
        <w:tc>
          <w:tcPr>
            <w:tcW w:w="638" w:type="pct"/>
          </w:tcPr>
          <w:p w14:paraId="207A97D4" w14:textId="77777777" w:rsidR="00441C94" w:rsidRPr="007C3FC6" w:rsidRDefault="00441C94" w:rsidP="007C3FC6">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7C3FC6">
              <w:t>12</w:t>
            </w:r>
          </w:p>
        </w:tc>
        <w:tc>
          <w:tcPr>
            <w:tcW w:w="638" w:type="pct"/>
            <w:vAlign w:val="top"/>
          </w:tcPr>
          <w:p w14:paraId="1A1F6C5C" w14:textId="65607C60"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305832">
              <w:t>4</w:t>
            </w:r>
            <w:r w:rsidR="00EF6864">
              <w:t>0</w:t>
            </w:r>
            <w:r w:rsidRPr="00305832">
              <w:t>,</w:t>
            </w:r>
            <w:r w:rsidR="00EF6864">
              <w:t>8</w:t>
            </w:r>
            <w:r w:rsidRPr="00305832">
              <w:t>00</w:t>
            </w:r>
          </w:p>
        </w:tc>
        <w:tc>
          <w:tcPr>
            <w:tcW w:w="638" w:type="pct"/>
          </w:tcPr>
          <w:p w14:paraId="09ABE72F" w14:textId="7F22DB6D" w:rsidR="00441C94" w:rsidRDefault="00441C94" w:rsidP="00494359">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t>5</w:t>
            </w:r>
          </w:p>
        </w:tc>
        <w:tc>
          <w:tcPr>
            <w:tcW w:w="638" w:type="pct"/>
          </w:tcPr>
          <w:p w14:paraId="428CD389" w14:textId="46C4DF00" w:rsidR="00441C94" w:rsidRPr="007C3FC6" w:rsidRDefault="00441C94" w:rsidP="00494359">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t>60</w:t>
            </w:r>
          </w:p>
        </w:tc>
        <w:tc>
          <w:tcPr>
            <w:tcW w:w="637" w:type="pct"/>
          </w:tcPr>
          <w:p w14:paraId="2F9C0341" w14:textId="7527A50A" w:rsidR="00441C94" w:rsidRPr="007C3FC6" w:rsidRDefault="00EF686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t>3,40</w:t>
            </w:r>
            <w:r w:rsidR="00441C94" w:rsidRPr="007C3FC6">
              <w:t>0</w:t>
            </w:r>
          </w:p>
        </w:tc>
      </w:tr>
      <w:tr w:rsidR="00441C94" w:rsidRPr="007C3FC6" w14:paraId="3531C987" w14:textId="77777777" w:rsidTr="00441C94">
        <w:tc>
          <w:tcPr>
            <w:cnfStyle w:val="001000000000" w:firstRow="0" w:lastRow="0" w:firstColumn="1" w:lastColumn="0" w:oddVBand="0" w:evenVBand="0" w:oddHBand="0" w:evenHBand="0" w:firstRowFirstColumn="0" w:firstRowLastColumn="0" w:lastRowFirstColumn="0" w:lastRowLastColumn="0"/>
            <w:tcW w:w="1173" w:type="pct"/>
          </w:tcPr>
          <w:p w14:paraId="156A783E" w14:textId="77777777" w:rsidR="00441C94" w:rsidRPr="007C3FC6" w:rsidRDefault="00441C94" w:rsidP="002D7ECA">
            <w:pPr>
              <w:pStyle w:val="Tabletext"/>
              <w:keepNext w:val="0"/>
              <w:widowControl w:val="0"/>
              <w:ind w:left="0" w:firstLine="0"/>
            </w:pPr>
            <w:r w:rsidRPr="007C3FC6">
              <w:t>Group 2 – texting plus advising</w:t>
            </w:r>
          </w:p>
        </w:tc>
        <w:tc>
          <w:tcPr>
            <w:tcW w:w="638" w:type="pct"/>
          </w:tcPr>
          <w:p w14:paraId="3093AB35" w14:textId="4110A65C"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7C3FC6">
              <w:t>3,</w:t>
            </w:r>
            <w:r w:rsidR="00EF6864">
              <w:t>400</w:t>
            </w:r>
          </w:p>
        </w:tc>
        <w:tc>
          <w:tcPr>
            <w:tcW w:w="638" w:type="pct"/>
          </w:tcPr>
          <w:p w14:paraId="2C1BCB13" w14:textId="77777777" w:rsidR="00441C94" w:rsidRPr="007C3FC6" w:rsidRDefault="00441C94" w:rsidP="007C3FC6">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7C3FC6">
              <w:t>18</w:t>
            </w:r>
          </w:p>
        </w:tc>
        <w:tc>
          <w:tcPr>
            <w:tcW w:w="638" w:type="pct"/>
            <w:vAlign w:val="top"/>
          </w:tcPr>
          <w:p w14:paraId="414A61EF" w14:textId="20C5DB29"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305832">
              <w:t>6</w:t>
            </w:r>
            <w:r w:rsidR="00EF6864">
              <w:t>1</w:t>
            </w:r>
            <w:r w:rsidRPr="00305832">
              <w:t>,</w:t>
            </w:r>
            <w:r w:rsidR="00EF6864">
              <w:t>2</w:t>
            </w:r>
            <w:r w:rsidRPr="00305832">
              <w:t>00</w:t>
            </w:r>
          </w:p>
        </w:tc>
        <w:tc>
          <w:tcPr>
            <w:tcW w:w="638" w:type="pct"/>
          </w:tcPr>
          <w:p w14:paraId="392DC198" w14:textId="7748EFBD" w:rsidR="00441C94" w:rsidRDefault="00441C94" w:rsidP="00494359">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t>7</w:t>
            </w:r>
          </w:p>
        </w:tc>
        <w:tc>
          <w:tcPr>
            <w:tcW w:w="638" w:type="pct"/>
          </w:tcPr>
          <w:p w14:paraId="5D9BD2FB" w14:textId="22D0A3EF" w:rsidR="00441C94" w:rsidRPr="007C3FC6" w:rsidRDefault="00441C94" w:rsidP="00494359">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t>126</w:t>
            </w:r>
          </w:p>
        </w:tc>
        <w:tc>
          <w:tcPr>
            <w:tcW w:w="637" w:type="pct"/>
          </w:tcPr>
          <w:p w14:paraId="3DF9DA20" w14:textId="3F676E6A"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pPr>
            <w:r w:rsidRPr="007C3FC6">
              <w:t>7,</w:t>
            </w:r>
            <w:r w:rsidR="00EF6864">
              <w:t>140</w:t>
            </w:r>
          </w:p>
        </w:tc>
      </w:tr>
      <w:tr w:rsidR="00441C94" w:rsidRPr="007C3FC6" w14:paraId="59A0EF78" w14:textId="77777777" w:rsidTr="00441C94">
        <w:tblPrEx>
          <w:tblLook w:val="04A0" w:firstRow="1" w:lastRow="0" w:firstColumn="1" w:lastColumn="0" w:noHBand="0" w:noVBand="1"/>
        </w:tblPrEx>
        <w:trPr>
          <w:trHeight w:val="153"/>
        </w:trPr>
        <w:tc>
          <w:tcPr>
            <w:cnfStyle w:val="001000000000" w:firstRow="0" w:lastRow="0" w:firstColumn="1" w:lastColumn="0" w:oddVBand="0" w:evenVBand="0" w:oddHBand="0" w:evenHBand="0" w:firstRowFirstColumn="0" w:firstRowLastColumn="0" w:lastRowFirstColumn="0" w:lastRowLastColumn="0"/>
            <w:tcW w:w="1173" w:type="pct"/>
          </w:tcPr>
          <w:p w14:paraId="520D19F5" w14:textId="77777777" w:rsidR="00441C94" w:rsidRPr="007C3FC6" w:rsidRDefault="00441C94" w:rsidP="007C3FC6">
            <w:pPr>
              <w:pStyle w:val="5ensptotal"/>
              <w:keepNext w:val="0"/>
              <w:widowControl w:val="0"/>
              <w:rPr>
                <w:b/>
                <w:sz w:val="18"/>
                <w:szCs w:val="18"/>
              </w:rPr>
            </w:pPr>
            <w:r w:rsidRPr="001F2F30">
              <w:rPr>
                <w:b/>
                <w:bCs/>
                <w:sz w:val="18"/>
                <w:szCs w:val="18"/>
              </w:rPr>
              <w:t>Total</w:t>
            </w:r>
          </w:p>
        </w:tc>
        <w:tc>
          <w:tcPr>
            <w:tcW w:w="638" w:type="pct"/>
          </w:tcPr>
          <w:p w14:paraId="5BA9A4A5" w14:textId="5E9A6972" w:rsidR="00441C94" w:rsidRPr="007C3FC6" w:rsidRDefault="00EF686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rPr>
            </w:pPr>
            <w:r>
              <w:rPr>
                <w:b/>
                <w:bCs/>
              </w:rPr>
              <w:t>6</w:t>
            </w:r>
            <w:r w:rsidR="00441C94" w:rsidRPr="001F2F30">
              <w:rPr>
                <w:b/>
                <w:bCs/>
              </w:rPr>
              <w:t>,</w:t>
            </w:r>
            <w:r>
              <w:rPr>
                <w:b/>
                <w:bCs/>
              </w:rPr>
              <w:t>8</w:t>
            </w:r>
            <w:r w:rsidR="00441C94" w:rsidRPr="001F2F30">
              <w:rPr>
                <w:b/>
                <w:bCs/>
              </w:rPr>
              <w:t>00</w:t>
            </w:r>
          </w:p>
        </w:tc>
        <w:tc>
          <w:tcPr>
            <w:tcW w:w="638" w:type="pct"/>
          </w:tcPr>
          <w:p w14:paraId="161E2336" w14:textId="77777777" w:rsidR="00441C94" w:rsidRPr="007C3FC6" w:rsidRDefault="00441C94" w:rsidP="007C3FC6">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rPr>
            </w:pPr>
            <w:r w:rsidRPr="001F2F30">
              <w:rPr>
                <w:b/>
                <w:bCs/>
              </w:rPr>
              <w:t>-</w:t>
            </w:r>
          </w:p>
        </w:tc>
        <w:tc>
          <w:tcPr>
            <w:tcW w:w="638" w:type="pct"/>
          </w:tcPr>
          <w:p w14:paraId="1D399D38" w14:textId="20661FFC"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rPr>
            </w:pPr>
            <w:r w:rsidRPr="001F2F30">
              <w:rPr>
                <w:b/>
                <w:bCs/>
              </w:rPr>
              <w:t>1</w:t>
            </w:r>
            <w:r w:rsidR="00EF6864">
              <w:rPr>
                <w:b/>
                <w:bCs/>
              </w:rPr>
              <w:t>0</w:t>
            </w:r>
            <w:r w:rsidRPr="001F2F30">
              <w:rPr>
                <w:b/>
                <w:bCs/>
              </w:rPr>
              <w:t>2,</w:t>
            </w:r>
            <w:r w:rsidR="00EF6864">
              <w:rPr>
                <w:b/>
                <w:bCs/>
              </w:rPr>
              <w:t>0</w:t>
            </w:r>
            <w:r w:rsidRPr="001F2F30">
              <w:rPr>
                <w:b/>
                <w:bCs/>
              </w:rPr>
              <w:t>00</w:t>
            </w:r>
          </w:p>
        </w:tc>
        <w:tc>
          <w:tcPr>
            <w:tcW w:w="638" w:type="pct"/>
          </w:tcPr>
          <w:p w14:paraId="6C923425" w14:textId="1260BBF8" w:rsidR="00441C94" w:rsidRPr="001F2F30" w:rsidRDefault="00EF6864" w:rsidP="007C3FC6">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bCs/>
              </w:rPr>
            </w:pPr>
            <w:r w:rsidRPr="001F2F30">
              <w:rPr>
                <w:b/>
                <w:bCs/>
              </w:rPr>
              <w:t>-</w:t>
            </w:r>
          </w:p>
        </w:tc>
        <w:tc>
          <w:tcPr>
            <w:tcW w:w="638" w:type="pct"/>
          </w:tcPr>
          <w:p w14:paraId="46513593" w14:textId="2B68BFC8" w:rsidR="00441C94" w:rsidRPr="007C3FC6" w:rsidRDefault="00441C94" w:rsidP="007C3FC6">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rPr>
            </w:pPr>
            <w:r w:rsidRPr="001F2F30">
              <w:rPr>
                <w:b/>
                <w:bCs/>
              </w:rPr>
              <w:t>-</w:t>
            </w:r>
          </w:p>
        </w:tc>
        <w:tc>
          <w:tcPr>
            <w:tcW w:w="637" w:type="pct"/>
          </w:tcPr>
          <w:p w14:paraId="34812623" w14:textId="4CABEE5A" w:rsidR="00441C94" w:rsidRPr="007C3FC6" w:rsidRDefault="00441C94" w:rsidP="00EF6864">
            <w:pPr>
              <w:pStyle w:val="Tablenumbers"/>
              <w:keepNext w:val="0"/>
              <w:widowControl w:val="0"/>
              <w:cnfStyle w:val="000000000000" w:firstRow="0" w:lastRow="0" w:firstColumn="0" w:lastColumn="0" w:oddVBand="0" w:evenVBand="0" w:oddHBand="0" w:evenHBand="0" w:firstRowFirstColumn="0" w:firstRowLastColumn="0" w:lastRowFirstColumn="0" w:lastRowLastColumn="0"/>
              <w:rPr>
                <w:b/>
              </w:rPr>
            </w:pPr>
            <w:r w:rsidRPr="001F2F30">
              <w:rPr>
                <w:b/>
                <w:bCs/>
              </w:rPr>
              <w:t>1</w:t>
            </w:r>
            <w:r w:rsidR="00EF6864">
              <w:rPr>
                <w:b/>
                <w:bCs/>
              </w:rPr>
              <w:t>0</w:t>
            </w:r>
            <w:r w:rsidRPr="001F2F30">
              <w:rPr>
                <w:b/>
                <w:bCs/>
              </w:rPr>
              <w:t>,</w:t>
            </w:r>
            <w:r w:rsidR="00EF6864">
              <w:rPr>
                <w:b/>
                <w:bCs/>
              </w:rPr>
              <w:t>540</w:t>
            </w:r>
          </w:p>
        </w:tc>
      </w:tr>
    </w:tbl>
    <w:p w14:paraId="0E0FB7DF" w14:textId="031F1C50" w:rsidR="00EF029C" w:rsidRPr="004B32B2" w:rsidRDefault="00EF029C" w:rsidP="00F57B7A">
      <w:pPr>
        <w:widowControl w:val="0"/>
        <w:spacing w:after="0" w:line="240" w:lineRule="auto"/>
        <w:rPr>
          <w:color w:val="000000" w:themeColor="text1"/>
          <w:sz w:val="20"/>
        </w:rPr>
      </w:pPr>
      <w:bookmarkStart w:id="45" w:name="_Toc251941754"/>
      <w:bookmarkStart w:id="46" w:name="_Toc251941845"/>
      <w:bookmarkStart w:id="47" w:name="_Toc251949052"/>
      <w:bookmarkStart w:id="48" w:name="_Toc255888264"/>
      <w:bookmarkStart w:id="49" w:name="_Toc380505268"/>
      <w:bookmarkStart w:id="50" w:name="_Toc383113376"/>
      <w:bookmarkStart w:id="51" w:name="_Toc464308449"/>
      <w:bookmarkEnd w:id="45"/>
      <w:bookmarkEnd w:id="46"/>
      <w:bookmarkEnd w:id="47"/>
      <w:r w:rsidRPr="004B32B2">
        <w:rPr>
          <w:color w:val="000000" w:themeColor="text1"/>
          <w:sz w:val="20"/>
        </w:rPr>
        <w:t xml:space="preserve">Note: </w:t>
      </w:r>
      <w:r w:rsidRPr="00F57B7A">
        <w:rPr>
          <w:i/>
          <w:color w:val="000000" w:themeColor="text1"/>
          <w:sz w:val="20"/>
        </w:rPr>
        <w:t>Total burden hours</w:t>
      </w:r>
      <w:r w:rsidRPr="004B32B2">
        <w:rPr>
          <w:color w:val="000000" w:themeColor="text1"/>
          <w:sz w:val="20"/>
        </w:rPr>
        <w:t xml:space="preserve"> are </w:t>
      </w:r>
      <w:r w:rsidR="00F57B7A">
        <w:rPr>
          <w:color w:val="000000" w:themeColor="text1"/>
          <w:sz w:val="20"/>
        </w:rPr>
        <w:t>a product of</w:t>
      </w:r>
      <w:r w:rsidRPr="004B32B2">
        <w:rPr>
          <w:color w:val="000000" w:themeColor="text1"/>
          <w:sz w:val="20"/>
        </w:rPr>
        <w:t xml:space="preserve"> </w:t>
      </w:r>
      <w:r w:rsidRPr="00F57B7A">
        <w:rPr>
          <w:i/>
          <w:color w:val="000000" w:themeColor="text1"/>
          <w:sz w:val="20"/>
        </w:rPr>
        <w:t>Expected number of participants</w:t>
      </w:r>
      <w:r w:rsidRPr="004B32B2">
        <w:rPr>
          <w:color w:val="000000" w:themeColor="text1"/>
          <w:sz w:val="20"/>
        </w:rPr>
        <w:t xml:space="preserve"> </w:t>
      </w:r>
      <w:r w:rsidR="00F57B7A">
        <w:rPr>
          <w:color w:val="000000" w:themeColor="text1"/>
          <w:sz w:val="20"/>
        </w:rPr>
        <w:t>and</w:t>
      </w:r>
      <w:r w:rsidRPr="004B32B2">
        <w:rPr>
          <w:color w:val="000000" w:themeColor="text1"/>
          <w:sz w:val="20"/>
        </w:rPr>
        <w:t xml:space="preserve"> </w:t>
      </w:r>
      <w:r w:rsidR="00171B38" w:rsidRPr="00F57B7A">
        <w:rPr>
          <w:i/>
          <w:color w:val="000000" w:themeColor="text1"/>
          <w:sz w:val="20"/>
        </w:rPr>
        <w:t>Total b</w:t>
      </w:r>
      <w:r w:rsidRPr="00F57B7A">
        <w:rPr>
          <w:i/>
          <w:color w:val="000000" w:themeColor="text1"/>
          <w:sz w:val="20"/>
        </w:rPr>
        <w:t>urden time per partici</w:t>
      </w:r>
      <w:r w:rsidR="00F57B7A" w:rsidRPr="00F57B7A">
        <w:rPr>
          <w:i/>
          <w:color w:val="000000" w:themeColor="text1"/>
          <w:sz w:val="20"/>
        </w:rPr>
        <w:t>pant</w:t>
      </w:r>
      <w:r w:rsidR="00F57B7A">
        <w:rPr>
          <w:color w:val="000000" w:themeColor="text1"/>
          <w:sz w:val="20"/>
        </w:rPr>
        <w:t xml:space="preserve"> </w:t>
      </w:r>
      <w:r w:rsidRPr="004B32B2">
        <w:rPr>
          <w:color w:val="000000" w:themeColor="text1"/>
          <w:sz w:val="20"/>
        </w:rPr>
        <w:t>divided by 60 minutes.</w:t>
      </w:r>
    </w:p>
    <w:p w14:paraId="0C0DA15C" w14:textId="77777777" w:rsidR="000C1256" w:rsidRPr="007C3FC6" w:rsidRDefault="000C1256" w:rsidP="007C3FC6">
      <w:pPr>
        <w:pStyle w:val="Heading2"/>
        <w:keepNext w:val="0"/>
        <w:widowControl w:val="0"/>
      </w:pPr>
      <w:r w:rsidRPr="007C3FC6">
        <w:t>Estimates of Cost</w:t>
      </w:r>
      <w:bookmarkEnd w:id="48"/>
      <w:bookmarkEnd w:id="49"/>
      <w:bookmarkEnd w:id="50"/>
      <w:bookmarkEnd w:id="51"/>
    </w:p>
    <w:p w14:paraId="01F3F482" w14:textId="77777777" w:rsidR="005F3E77" w:rsidRPr="007C3FC6" w:rsidRDefault="000C1256" w:rsidP="007C3FC6">
      <w:pPr>
        <w:widowControl w:val="0"/>
        <w:rPr>
          <w:color w:val="000000" w:themeColor="text1"/>
        </w:rPr>
      </w:pPr>
      <w:r w:rsidRPr="007C3FC6">
        <w:rPr>
          <w:color w:val="000000" w:themeColor="text1"/>
        </w:rPr>
        <w:t xml:space="preserve">There are no </w:t>
      </w:r>
      <w:r w:rsidR="0003260E" w:rsidRPr="007C3FC6">
        <w:rPr>
          <w:color w:val="000000" w:themeColor="text1"/>
        </w:rPr>
        <w:t>additional costs to the respondents</w:t>
      </w:r>
      <w:r w:rsidRPr="007C3FC6">
        <w:rPr>
          <w:color w:val="000000" w:themeColor="text1"/>
        </w:rPr>
        <w:t>.</w:t>
      </w:r>
    </w:p>
    <w:p w14:paraId="06F7C78B" w14:textId="77777777" w:rsidR="000C1256" w:rsidRPr="007C3FC6" w:rsidRDefault="000C1256" w:rsidP="007C3FC6">
      <w:pPr>
        <w:pStyle w:val="Heading2"/>
        <w:keepNext w:val="0"/>
        <w:widowControl w:val="0"/>
      </w:pPr>
      <w:bookmarkStart w:id="52" w:name="_Toc255888265"/>
      <w:bookmarkStart w:id="53" w:name="_Toc380505269"/>
      <w:bookmarkStart w:id="54" w:name="_Toc383113377"/>
      <w:bookmarkStart w:id="55" w:name="_Toc464308450"/>
      <w:r w:rsidRPr="007C3FC6">
        <w:t>Costs to Federal Government</w:t>
      </w:r>
      <w:bookmarkEnd w:id="52"/>
      <w:bookmarkEnd w:id="53"/>
      <w:bookmarkEnd w:id="54"/>
      <w:bookmarkEnd w:id="55"/>
    </w:p>
    <w:p w14:paraId="6AAEC855" w14:textId="77777777" w:rsidR="005F3E77" w:rsidRPr="007C3FC6" w:rsidRDefault="00D66002" w:rsidP="007C3FC6">
      <w:pPr>
        <w:pStyle w:val="BodyText"/>
        <w:widowControl w:val="0"/>
        <w:spacing w:after="0"/>
        <w:ind w:firstLine="0"/>
      </w:pPr>
      <w:r w:rsidRPr="007C3FC6">
        <w:t xml:space="preserve">A summary of estimated costs to the federal government for </w:t>
      </w:r>
      <w:r w:rsidR="0006459E" w:rsidRPr="007C3FC6">
        <w:t xml:space="preserve">the </w:t>
      </w:r>
      <w:r w:rsidR="00DB635B" w:rsidRPr="001F2F30">
        <w:rPr>
          <w:i/>
          <w:iCs/>
        </w:rPr>
        <w:t>Financial Aid Nudges 2017</w:t>
      </w:r>
      <w:r w:rsidR="0006459E" w:rsidRPr="007C3FC6">
        <w:t xml:space="preserve"> </w:t>
      </w:r>
      <w:r w:rsidR="009A5B57">
        <w:t>study</w:t>
      </w:r>
      <w:r w:rsidR="0006459E" w:rsidRPr="007C3FC6">
        <w:t xml:space="preserve"> </w:t>
      </w:r>
      <w:proofErr w:type="gramStart"/>
      <w:r w:rsidRPr="007C3FC6">
        <w:t>are shown</w:t>
      </w:r>
      <w:proofErr w:type="gramEnd"/>
      <w:r w:rsidRPr="007C3FC6">
        <w:t xml:space="preserve"> in table 2</w:t>
      </w:r>
      <w:r w:rsidR="007F2D7B" w:rsidRPr="007C3FC6">
        <w:t xml:space="preserve">. </w:t>
      </w:r>
      <w:r w:rsidRPr="007C3FC6">
        <w:t xml:space="preserve">Included in the cost estimates are staff time, reproduction, postage, and telephone costs associated with management and reporting for which clearance </w:t>
      </w:r>
      <w:proofErr w:type="gramStart"/>
      <w:r w:rsidRPr="007C3FC6">
        <w:t>is requested</w:t>
      </w:r>
      <w:proofErr w:type="gramEnd"/>
      <w:r w:rsidR="00421684" w:rsidRPr="007C3FC6">
        <w:t>.</w:t>
      </w:r>
    </w:p>
    <w:p w14:paraId="4E48557C" w14:textId="4C487CFB" w:rsidR="00892368" w:rsidRPr="007C3FC6" w:rsidRDefault="00892368" w:rsidP="00F57B7A">
      <w:pPr>
        <w:pStyle w:val="TableTitle"/>
        <w:keepNext w:val="0"/>
        <w:widowControl w:val="0"/>
        <w:spacing w:before="120"/>
      </w:pPr>
      <w:bookmarkStart w:id="56" w:name="_Toc464308409"/>
      <w:bookmarkStart w:id="57" w:name="_Toc464308451"/>
      <w:proofErr w:type="gramStart"/>
      <w:r w:rsidRPr="007C3FC6">
        <w:t>Table 2.</w:t>
      </w:r>
      <w:proofErr w:type="gramEnd"/>
      <w:r w:rsidRPr="007C3FC6">
        <w:tab/>
        <w:t xml:space="preserve">Annual costs for the </w:t>
      </w:r>
      <w:r w:rsidRPr="001F2F30">
        <w:rPr>
          <w:i/>
          <w:iCs/>
        </w:rPr>
        <w:t>Financial Aid Nudges 2017</w:t>
      </w:r>
      <w:r w:rsidRPr="007C3FC6">
        <w:t xml:space="preserve"> </w:t>
      </w:r>
      <w:bookmarkEnd w:id="56"/>
      <w:r w:rsidR="00EF029C">
        <w:t>study</w:t>
      </w:r>
    </w:p>
    <w:tbl>
      <w:tblPr>
        <w:tblStyle w:val="TableGrid"/>
        <w:tblW w:w="5000" w:type="pct"/>
        <w:tblLayout w:type="fixed"/>
        <w:tblLook w:val="01E0" w:firstRow="1" w:lastRow="1" w:firstColumn="1" w:lastColumn="1" w:noHBand="0" w:noVBand="0"/>
      </w:tblPr>
      <w:tblGrid>
        <w:gridCol w:w="4068"/>
        <w:gridCol w:w="2220"/>
        <w:gridCol w:w="2220"/>
        <w:gridCol w:w="2220"/>
      </w:tblGrid>
      <w:tr w:rsidR="00892368" w:rsidRPr="007C3FC6" w14:paraId="6B437FC7" w14:textId="77777777" w:rsidTr="00C756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68" w:type="dxa"/>
          </w:tcPr>
          <w:p w14:paraId="48046730" w14:textId="77777777" w:rsidR="00892368" w:rsidRPr="002974C7" w:rsidRDefault="00892368" w:rsidP="0099140E">
            <w:pPr>
              <w:pStyle w:val="Tabletext"/>
              <w:keepNext w:val="0"/>
              <w:widowControl w:val="0"/>
              <w:rPr>
                <w:rFonts w:cs="Arial"/>
                <w:b/>
                <w:szCs w:val="18"/>
              </w:rPr>
            </w:pPr>
          </w:p>
        </w:tc>
        <w:tc>
          <w:tcPr>
            <w:tcW w:w="2220" w:type="dxa"/>
          </w:tcPr>
          <w:p w14:paraId="6BF780EA" w14:textId="77777777" w:rsidR="00892368" w:rsidRPr="002974C7" w:rsidRDefault="00892368" w:rsidP="0099140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Cs w:val="18"/>
              </w:rPr>
            </w:pPr>
            <w:r w:rsidRPr="001F2F30">
              <w:rPr>
                <w:b/>
                <w:bCs/>
              </w:rPr>
              <w:t>Grant recipient</w:t>
            </w:r>
          </w:p>
        </w:tc>
        <w:tc>
          <w:tcPr>
            <w:tcW w:w="2220" w:type="dxa"/>
          </w:tcPr>
          <w:p w14:paraId="1119811B" w14:textId="77777777" w:rsidR="00892368" w:rsidRPr="002974C7" w:rsidRDefault="00892368" w:rsidP="0099140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Cs w:val="18"/>
              </w:rPr>
            </w:pPr>
            <w:r w:rsidRPr="001F2F30">
              <w:rPr>
                <w:b/>
                <w:bCs/>
              </w:rPr>
              <w:t>RTI subcontract</w:t>
            </w:r>
          </w:p>
        </w:tc>
        <w:tc>
          <w:tcPr>
            <w:tcW w:w="2220" w:type="dxa"/>
          </w:tcPr>
          <w:p w14:paraId="1A7A9219" w14:textId="77777777" w:rsidR="00892368" w:rsidRPr="002974C7" w:rsidRDefault="00892368" w:rsidP="0099140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Cs w:val="18"/>
              </w:rPr>
            </w:pPr>
            <w:r w:rsidRPr="001F2F30">
              <w:rPr>
                <w:b/>
                <w:bCs/>
              </w:rPr>
              <w:t>Total</w:t>
            </w:r>
          </w:p>
        </w:tc>
      </w:tr>
      <w:tr w:rsidR="00892368" w:rsidRPr="007C3FC6" w14:paraId="5EFAD692"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789E610"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Management</w:t>
            </w:r>
          </w:p>
        </w:tc>
        <w:tc>
          <w:tcPr>
            <w:tcW w:w="2220" w:type="dxa"/>
          </w:tcPr>
          <w:p w14:paraId="204BB587"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$644,741</w:t>
            </w:r>
          </w:p>
        </w:tc>
        <w:tc>
          <w:tcPr>
            <w:tcW w:w="2220" w:type="dxa"/>
          </w:tcPr>
          <w:p w14:paraId="137FBAFC"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$75,770</w:t>
            </w:r>
          </w:p>
        </w:tc>
        <w:tc>
          <w:tcPr>
            <w:tcW w:w="2220" w:type="dxa"/>
          </w:tcPr>
          <w:p w14:paraId="26351F3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$720,511</w:t>
            </w:r>
          </w:p>
        </w:tc>
      </w:tr>
      <w:tr w:rsidR="00892368" w:rsidRPr="007C3FC6" w14:paraId="4671F78D"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58068038"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Travel</w:t>
            </w:r>
          </w:p>
        </w:tc>
        <w:tc>
          <w:tcPr>
            <w:tcW w:w="2220" w:type="dxa"/>
          </w:tcPr>
          <w:p w14:paraId="0C71D4BD"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13,597</w:t>
            </w:r>
          </w:p>
        </w:tc>
        <w:tc>
          <w:tcPr>
            <w:tcW w:w="2220" w:type="dxa"/>
          </w:tcPr>
          <w:p w14:paraId="05FB1BD3"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2,364</w:t>
            </w:r>
          </w:p>
        </w:tc>
        <w:tc>
          <w:tcPr>
            <w:tcW w:w="2220" w:type="dxa"/>
          </w:tcPr>
          <w:p w14:paraId="0D6713DF"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15,961</w:t>
            </w:r>
          </w:p>
        </w:tc>
      </w:tr>
      <w:tr w:rsidR="00892368" w:rsidRPr="007C3FC6" w14:paraId="2E9C3921"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D32B624" w14:textId="236FAF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Sampling</w:t>
            </w:r>
          </w:p>
        </w:tc>
        <w:tc>
          <w:tcPr>
            <w:tcW w:w="2220" w:type="dxa"/>
          </w:tcPr>
          <w:p w14:paraId="3D82355B"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0</w:t>
            </w:r>
          </w:p>
        </w:tc>
        <w:tc>
          <w:tcPr>
            <w:tcW w:w="2220" w:type="dxa"/>
          </w:tcPr>
          <w:p w14:paraId="4745B95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10,101</w:t>
            </w:r>
          </w:p>
        </w:tc>
        <w:tc>
          <w:tcPr>
            <w:tcW w:w="2220" w:type="dxa"/>
          </w:tcPr>
          <w:p w14:paraId="58E39A1D"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10,101</w:t>
            </w:r>
          </w:p>
        </w:tc>
      </w:tr>
      <w:tr w:rsidR="00892368" w:rsidRPr="007C3FC6" w14:paraId="1E8686F7"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3A4884B9"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Instrument development</w:t>
            </w:r>
          </w:p>
        </w:tc>
        <w:tc>
          <w:tcPr>
            <w:tcW w:w="2220" w:type="dxa"/>
          </w:tcPr>
          <w:p w14:paraId="0B188FF7"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0</w:t>
            </w:r>
          </w:p>
        </w:tc>
        <w:tc>
          <w:tcPr>
            <w:tcW w:w="2220" w:type="dxa"/>
          </w:tcPr>
          <w:p w14:paraId="4857B9A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10,483</w:t>
            </w:r>
          </w:p>
        </w:tc>
        <w:tc>
          <w:tcPr>
            <w:tcW w:w="2220" w:type="dxa"/>
          </w:tcPr>
          <w:p w14:paraId="6879AA48"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10,483</w:t>
            </w:r>
          </w:p>
        </w:tc>
      </w:tr>
      <w:tr w:rsidR="00892368" w:rsidRPr="007C3FC6" w14:paraId="2D3D2821"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6F7721D" w14:textId="0EAB3B8E"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Data collection</w:t>
            </w:r>
          </w:p>
        </w:tc>
        <w:tc>
          <w:tcPr>
            <w:tcW w:w="2220" w:type="dxa"/>
          </w:tcPr>
          <w:p w14:paraId="2DE1727E"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220" w:type="dxa"/>
          </w:tcPr>
          <w:p w14:paraId="3CF208D7"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220" w:type="dxa"/>
          </w:tcPr>
          <w:p w14:paraId="2C49FB5F"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892368" w:rsidRPr="007C3FC6" w14:paraId="6F6553E3"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E3951CE" w14:textId="77777777" w:rsidR="00892368" w:rsidRPr="002974C7" w:rsidRDefault="00892368" w:rsidP="00B50612">
            <w:pPr>
              <w:spacing w:after="0" w:line="240" w:lineRule="auto"/>
              <w:ind w:left="720"/>
              <w:rPr>
                <w:rFonts w:ascii="Arial" w:hAnsi="Arial" w:cs="Arial"/>
                <w:color w:val="1F497D"/>
                <w:sz w:val="18"/>
                <w:szCs w:val="18"/>
              </w:rPr>
            </w:pPr>
            <w:r w:rsidRPr="001F2F30">
              <w:rPr>
                <w:rFonts w:ascii="Arial" w:eastAsia="Arial" w:hAnsi="Arial" w:cs="Arial"/>
                <w:sz w:val="18"/>
                <w:szCs w:val="18"/>
              </w:rPr>
              <w:t>Texting</w:t>
            </w:r>
          </w:p>
        </w:tc>
        <w:tc>
          <w:tcPr>
            <w:tcW w:w="2220" w:type="dxa"/>
          </w:tcPr>
          <w:p w14:paraId="1804212F"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0</w:t>
            </w:r>
          </w:p>
        </w:tc>
        <w:tc>
          <w:tcPr>
            <w:tcW w:w="2220" w:type="dxa"/>
          </w:tcPr>
          <w:p w14:paraId="7179B747"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43,500</w:t>
            </w:r>
          </w:p>
        </w:tc>
        <w:tc>
          <w:tcPr>
            <w:tcW w:w="2220" w:type="dxa"/>
          </w:tcPr>
          <w:p w14:paraId="6579094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43,500</w:t>
            </w:r>
          </w:p>
        </w:tc>
      </w:tr>
      <w:tr w:rsidR="00892368" w:rsidRPr="007C3FC6" w14:paraId="2735D557"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D5011AB" w14:textId="77777777" w:rsidR="00892368" w:rsidRPr="002974C7" w:rsidRDefault="00892368" w:rsidP="00B50612">
            <w:pPr>
              <w:spacing w:after="0" w:line="240" w:lineRule="auto"/>
              <w:ind w:left="720"/>
              <w:rPr>
                <w:rFonts w:ascii="Arial" w:hAnsi="Arial" w:cs="Arial"/>
                <w:color w:val="000000"/>
                <w:sz w:val="18"/>
                <w:szCs w:val="18"/>
              </w:rPr>
            </w:pPr>
            <w:r w:rsidRPr="001F2F30">
              <w:rPr>
                <w:rFonts w:ascii="Arial" w:eastAsia="Arial" w:hAnsi="Arial" w:cs="Arial"/>
                <w:color w:val="000000"/>
                <w:sz w:val="18"/>
                <w:szCs w:val="18"/>
              </w:rPr>
              <w:t>College Advising</w:t>
            </w:r>
          </w:p>
        </w:tc>
        <w:tc>
          <w:tcPr>
            <w:tcW w:w="2220" w:type="dxa"/>
          </w:tcPr>
          <w:p w14:paraId="23C29DAC"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0</w:t>
            </w:r>
          </w:p>
        </w:tc>
        <w:tc>
          <w:tcPr>
            <w:tcW w:w="2220" w:type="dxa"/>
          </w:tcPr>
          <w:p w14:paraId="7C278D12"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512,857</w:t>
            </w:r>
          </w:p>
        </w:tc>
        <w:tc>
          <w:tcPr>
            <w:tcW w:w="2220" w:type="dxa"/>
          </w:tcPr>
          <w:p w14:paraId="145BF795"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512,857</w:t>
            </w:r>
          </w:p>
        </w:tc>
      </w:tr>
      <w:tr w:rsidR="00892368" w:rsidRPr="007C3FC6" w14:paraId="7942492F"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574625A6" w14:textId="77777777" w:rsidR="00892368" w:rsidRPr="002974C7" w:rsidRDefault="00892368" w:rsidP="00B50612">
            <w:pPr>
              <w:spacing w:after="0" w:line="240" w:lineRule="auto"/>
              <w:ind w:left="720"/>
              <w:rPr>
                <w:rFonts w:ascii="Arial" w:hAnsi="Arial" w:cs="Arial"/>
                <w:color w:val="000000"/>
                <w:sz w:val="18"/>
                <w:szCs w:val="18"/>
              </w:rPr>
            </w:pPr>
            <w:r w:rsidRPr="001F2F30">
              <w:rPr>
                <w:rFonts w:ascii="Arial" w:eastAsia="Arial" w:hAnsi="Arial" w:cs="Arial"/>
                <w:color w:val="000000"/>
                <w:sz w:val="18"/>
                <w:szCs w:val="18"/>
              </w:rPr>
              <w:t>Administrative records matching</w:t>
            </w:r>
          </w:p>
        </w:tc>
        <w:tc>
          <w:tcPr>
            <w:tcW w:w="2220" w:type="dxa"/>
          </w:tcPr>
          <w:p w14:paraId="391F303D"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0</w:t>
            </w:r>
          </w:p>
        </w:tc>
        <w:tc>
          <w:tcPr>
            <w:tcW w:w="2220" w:type="dxa"/>
          </w:tcPr>
          <w:p w14:paraId="7C8A7351"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22,480</w:t>
            </w:r>
          </w:p>
        </w:tc>
        <w:tc>
          <w:tcPr>
            <w:tcW w:w="2220" w:type="dxa"/>
          </w:tcPr>
          <w:p w14:paraId="6676DE7D"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22,480</w:t>
            </w:r>
          </w:p>
        </w:tc>
      </w:tr>
      <w:tr w:rsidR="00892368" w:rsidRPr="007C3FC6" w14:paraId="5142D5BE"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7EFE7FDD" w14:textId="77777777" w:rsidR="00892368" w:rsidRPr="002974C7" w:rsidRDefault="00892368" w:rsidP="00B50612">
            <w:pPr>
              <w:spacing w:after="0" w:line="240" w:lineRule="auto"/>
              <w:rPr>
                <w:rFonts w:ascii="Arial" w:hAnsi="Arial" w:cs="Arial"/>
                <w:color w:val="212121"/>
                <w:sz w:val="18"/>
                <w:szCs w:val="18"/>
              </w:rPr>
            </w:pPr>
            <w:r w:rsidRPr="001F2F30">
              <w:rPr>
                <w:rFonts w:ascii="Arial" w:eastAsia="Arial" w:hAnsi="Arial" w:cs="Arial"/>
                <w:color w:val="212121"/>
                <w:sz w:val="18"/>
                <w:szCs w:val="18"/>
              </w:rPr>
              <w:t xml:space="preserve">Other </w:t>
            </w:r>
            <w:r w:rsidR="00B50612" w:rsidRPr="001F2F30">
              <w:rPr>
                <w:rFonts w:ascii="Arial" w:eastAsia="Arial" w:hAnsi="Arial" w:cs="Arial"/>
                <w:color w:val="000000"/>
                <w:sz w:val="18"/>
                <w:szCs w:val="18"/>
              </w:rPr>
              <w:t>data collection</w:t>
            </w:r>
            <w:r w:rsidRPr="001F2F30">
              <w:rPr>
                <w:rFonts w:ascii="Arial" w:eastAsia="Arial" w:hAnsi="Arial" w:cs="Arial"/>
                <w:color w:val="212121"/>
                <w:sz w:val="18"/>
                <w:szCs w:val="18"/>
              </w:rPr>
              <w:t xml:space="preserve"> costs</w:t>
            </w:r>
          </w:p>
        </w:tc>
        <w:tc>
          <w:tcPr>
            <w:tcW w:w="2220" w:type="dxa"/>
          </w:tcPr>
          <w:p w14:paraId="047C41CB"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54,909</w:t>
            </w:r>
          </w:p>
        </w:tc>
        <w:tc>
          <w:tcPr>
            <w:tcW w:w="2220" w:type="dxa"/>
          </w:tcPr>
          <w:p w14:paraId="2DF4A9A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48,457</w:t>
            </w:r>
          </w:p>
        </w:tc>
        <w:tc>
          <w:tcPr>
            <w:tcW w:w="2220" w:type="dxa"/>
          </w:tcPr>
          <w:p w14:paraId="1E1CC874"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103,366</w:t>
            </w:r>
          </w:p>
        </w:tc>
      </w:tr>
      <w:tr w:rsidR="00892368" w:rsidRPr="007C3FC6" w14:paraId="2B69B027"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0C0EBE6E" w14:textId="5A1877D9"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Data processing</w:t>
            </w:r>
          </w:p>
        </w:tc>
        <w:tc>
          <w:tcPr>
            <w:tcW w:w="2220" w:type="dxa"/>
          </w:tcPr>
          <w:p w14:paraId="2CAC44B9"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107,489</w:t>
            </w:r>
          </w:p>
        </w:tc>
        <w:tc>
          <w:tcPr>
            <w:tcW w:w="2220" w:type="dxa"/>
          </w:tcPr>
          <w:p w14:paraId="67D540FA"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1,534</w:t>
            </w:r>
          </w:p>
        </w:tc>
        <w:tc>
          <w:tcPr>
            <w:tcW w:w="2220" w:type="dxa"/>
          </w:tcPr>
          <w:p w14:paraId="7B2A9381"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109,023</w:t>
            </w:r>
          </w:p>
        </w:tc>
      </w:tr>
      <w:tr w:rsidR="00892368" w:rsidRPr="007C3FC6" w14:paraId="6165FE9E"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10979E6A"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Weighting, imputation, and NR bias analysis</w:t>
            </w:r>
          </w:p>
        </w:tc>
        <w:tc>
          <w:tcPr>
            <w:tcW w:w="2220" w:type="dxa"/>
          </w:tcPr>
          <w:p w14:paraId="23A4FE9C"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71,660</w:t>
            </w:r>
          </w:p>
        </w:tc>
        <w:tc>
          <w:tcPr>
            <w:tcW w:w="2220" w:type="dxa"/>
          </w:tcPr>
          <w:p w14:paraId="0BC85FB2"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8,723</w:t>
            </w:r>
          </w:p>
        </w:tc>
        <w:tc>
          <w:tcPr>
            <w:tcW w:w="2220" w:type="dxa"/>
          </w:tcPr>
          <w:p w14:paraId="210BEBE9"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80,383</w:t>
            </w:r>
          </w:p>
        </w:tc>
      </w:tr>
      <w:tr w:rsidR="00892368" w:rsidRPr="007C3FC6" w14:paraId="00B948D6"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20E5DD59"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Data analysis and reporting</w:t>
            </w:r>
          </w:p>
        </w:tc>
        <w:tc>
          <w:tcPr>
            <w:tcW w:w="2220" w:type="dxa"/>
          </w:tcPr>
          <w:p w14:paraId="2D697307"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537,449</w:t>
            </w:r>
          </w:p>
        </w:tc>
        <w:tc>
          <w:tcPr>
            <w:tcW w:w="2220" w:type="dxa"/>
          </w:tcPr>
          <w:p w14:paraId="416EA943"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9,000</w:t>
            </w:r>
          </w:p>
        </w:tc>
        <w:tc>
          <w:tcPr>
            <w:tcW w:w="2220" w:type="dxa"/>
          </w:tcPr>
          <w:p w14:paraId="4D604163"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546,449</w:t>
            </w:r>
          </w:p>
        </w:tc>
      </w:tr>
      <w:tr w:rsidR="00892368" w:rsidRPr="007C3FC6" w14:paraId="0A3CC6F3"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5F2BF35C" w14:textId="77777777" w:rsidR="00892368" w:rsidRPr="002974C7" w:rsidRDefault="00892368" w:rsidP="0099140E">
            <w:pPr>
              <w:spacing w:after="0" w:line="240" w:lineRule="auto"/>
              <w:rPr>
                <w:rFonts w:ascii="Arial" w:hAnsi="Arial" w:cs="Arial"/>
                <w:color w:val="000000"/>
                <w:sz w:val="18"/>
                <w:szCs w:val="18"/>
              </w:rPr>
            </w:pPr>
            <w:r w:rsidRPr="001F2F30">
              <w:rPr>
                <w:rFonts w:ascii="Arial" w:eastAsia="Arial" w:hAnsi="Arial" w:cs="Arial"/>
                <w:color w:val="000000"/>
                <w:sz w:val="18"/>
                <w:szCs w:val="18"/>
              </w:rPr>
              <w:t>Other</w:t>
            </w:r>
          </w:p>
        </w:tc>
        <w:tc>
          <w:tcPr>
            <w:tcW w:w="2220" w:type="dxa"/>
          </w:tcPr>
          <w:p w14:paraId="3424046A" w14:textId="77777777" w:rsidR="00892368" w:rsidRPr="002974C7" w:rsidRDefault="00892368" w:rsidP="009914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20" w:type="dxa"/>
          </w:tcPr>
          <w:p w14:paraId="64CA1C57" w14:textId="77777777" w:rsidR="00892368" w:rsidRPr="002974C7" w:rsidRDefault="00892368" w:rsidP="009914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220" w:type="dxa"/>
          </w:tcPr>
          <w:p w14:paraId="38AE1A89" w14:textId="77777777" w:rsidR="00892368" w:rsidRPr="002974C7" w:rsidRDefault="00892368" w:rsidP="009914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92368" w:rsidRPr="007C3FC6" w14:paraId="2798413D" w14:textId="77777777" w:rsidTr="00C756CA">
        <w:tc>
          <w:tcPr>
            <w:cnfStyle w:val="001000000000" w:firstRow="0" w:lastRow="0" w:firstColumn="1" w:lastColumn="0" w:oddVBand="0" w:evenVBand="0" w:oddHBand="0" w:evenHBand="0" w:firstRowFirstColumn="0" w:firstRowLastColumn="0" w:lastRowFirstColumn="0" w:lastRowLastColumn="0"/>
            <w:tcW w:w="4068" w:type="dxa"/>
          </w:tcPr>
          <w:p w14:paraId="58A90F33" w14:textId="77777777" w:rsidR="00892368" w:rsidRPr="002974C7" w:rsidRDefault="00892368" w:rsidP="0099140E">
            <w:pPr>
              <w:spacing w:after="0" w:line="240" w:lineRule="auto"/>
              <w:rPr>
                <w:rFonts w:ascii="Arial" w:hAnsi="Arial" w:cs="Arial"/>
                <w:bCs/>
                <w:color w:val="000000"/>
                <w:sz w:val="18"/>
                <w:szCs w:val="18"/>
              </w:rPr>
            </w:pPr>
            <w:r w:rsidRPr="001F2F30">
              <w:rPr>
                <w:rFonts w:ascii="Arial" w:eastAsia="Arial" w:hAnsi="Arial" w:cs="Arial"/>
                <w:color w:val="000000"/>
                <w:sz w:val="18"/>
                <w:szCs w:val="18"/>
              </w:rPr>
              <w:t xml:space="preserve">Total </w:t>
            </w:r>
          </w:p>
        </w:tc>
        <w:tc>
          <w:tcPr>
            <w:tcW w:w="2220" w:type="dxa"/>
          </w:tcPr>
          <w:p w14:paraId="68B8F6D5"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$1,429,845</w:t>
            </w:r>
          </w:p>
        </w:tc>
        <w:tc>
          <w:tcPr>
            <w:tcW w:w="2220" w:type="dxa"/>
          </w:tcPr>
          <w:p w14:paraId="1AE24B62"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$745,269</w:t>
            </w:r>
          </w:p>
        </w:tc>
        <w:tc>
          <w:tcPr>
            <w:tcW w:w="2220" w:type="dxa"/>
          </w:tcPr>
          <w:p w14:paraId="7672A7B2" w14:textId="77777777" w:rsidR="00892368" w:rsidRPr="002974C7" w:rsidRDefault="00892368" w:rsidP="00991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F2F30">
              <w:rPr>
                <w:rFonts w:ascii="Arial" w:eastAsia="Arial" w:hAnsi="Arial" w:cs="Arial"/>
                <w:color w:val="000000"/>
                <w:sz w:val="18"/>
                <w:szCs w:val="18"/>
              </w:rPr>
              <w:t>$2,175,114</w:t>
            </w:r>
          </w:p>
        </w:tc>
      </w:tr>
    </w:tbl>
    <w:p w14:paraId="170B9874" w14:textId="77777777" w:rsidR="00545695" w:rsidRPr="007C3FC6" w:rsidRDefault="00545695" w:rsidP="007C3FC6">
      <w:pPr>
        <w:pStyle w:val="Heading2"/>
        <w:keepNext w:val="0"/>
        <w:widowControl w:val="0"/>
      </w:pPr>
      <w:r w:rsidRPr="007C3FC6">
        <w:t>Reasons for Changes in Response Burden and Costs</w:t>
      </w:r>
      <w:bookmarkEnd w:id="57"/>
    </w:p>
    <w:p w14:paraId="32E46512" w14:textId="77777777" w:rsidR="00946421" w:rsidRPr="007C3FC6" w:rsidRDefault="009A5B57" w:rsidP="00F57B7A">
      <w:pPr>
        <w:pStyle w:val="BodyText"/>
        <w:widowControl w:val="0"/>
        <w:ind w:firstLine="0"/>
      </w:pPr>
      <w:r w:rsidRPr="009A5B57">
        <w:t>This is a new collection and, as such, represents an increase in respondent burden</w:t>
      </w:r>
      <w:r w:rsidR="00946421" w:rsidRPr="007C3FC6">
        <w:t>.</w:t>
      </w:r>
    </w:p>
    <w:p w14:paraId="7F062F96" w14:textId="77777777" w:rsidR="00545695" w:rsidRPr="007C3FC6" w:rsidRDefault="00545695" w:rsidP="00F57B7A">
      <w:pPr>
        <w:pStyle w:val="Heading2"/>
        <w:spacing w:before="0"/>
        <w:ind w:left="1094" w:hanging="547"/>
      </w:pPr>
      <w:bookmarkStart w:id="58" w:name="_Toc464308452"/>
      <w:r w:rsidRPr="007C3FC6">
        <w:lastRenderedPageBreak/>
        <w:t>Publication Plans and Time Schedule</w:t>
      </w:r>
      <w:bookmarkEnd w:id="58"/>
    </w:p>
    <w:p w14:paraId="58445FB2" w14:textId="020F0A20" w:rsidR="00D27F94" w:rsidRDefault="00D3239C" w:rsidP="00494359">
      <w:r w:rsidRPr="007C3FC6">
        <w:t>The starting date for the grant was July 1, 2016 and it will continue through June 30, 2021</w:t>
      </w:r>
      <w:r w:rsidR="007F2D7B" w:rsidRPr="007C3FC6">
        <w:t xml:space="preserve">. </w:t>
      </w:r>
      <w:r w:rsidR="00906985" w:rsidRPr="007C3FC6">
        <w:t>A</w:t>
      </w:r>
      <w:r w:rsidR="00DE42EF" w:rsidRPr="007C3FC6">
        <w:t>n operational</w:t>
      </w:r>
      <w:r w:rsidR="00906985" w:rsidRPr="007C3FC6">
        <w:t xml:space="preserve"> schedule </w:t>
      </w:r>
      <w:proofErr w:type="gramStart"/>
      <w:r w:rsidR="00906985" w:rsidRPr="007C3FC6">
        <w:t>is shown</w:t>
      </w:r>
      <w:proofErr w:type="gramEnd"/>
      <w:r w:rsidR="00906985" w:rsidRPr="007C3FC6">
        <w:t xml:space="preserve"> in table 3</w:t>
      </w:r>
      <w:r w:rsidR="007F2D7B" w:rsidRPr="007C3FC6">
        <w:t xml:space="preserve">. </w:t>
      </w:r>
      <w:r w:rsidR="00494359" w:rsidRPr="00745874">
        <w:t xml:space="preserve">During the grant period, only the grantee will publish </w:t>
      </w:r>
      <w:r w:rsidR="00C756CA">
        <w:t xml:space="preserve">the results </w:t>
      </w:r>
      <w:r w:rsidR="00494359" w:rsidRPr="00745874">
        <w:t xml:space="preserve">based on the </w:t>
      </w:r>
      <w:r w:rsidR="00C756CA">
        <w:t>collected</w:t>
      </w:r>
      <w:r w:rsidR="00494359" w:rsidRPr="00745874">
        <w:t xml:space="preserve"> data (</w:t>
      </w:r>
      <w:r w:rsidR="00F57B7A">
        <w:t>from</w:t>
      </w:r>
      <w:r w:rsidR="00494359" w:rsidRPr="00745874">
        <w:t xml:space="preserve"> treatment/control groups and surveys), and this is expected to include peer-reviewed journal articles and policy briefs.</w:t>
      </w:r>
      <w:r w:rsidR="00D27F94">
        <w:t xml:space="preserve"> </w:t>
      </w:r>
      <w:r w:rsidR="00F57B7A">
        <w:t>A</w:t>
      </w:r>
      <w:r w:rsidR="00494359" w:rsidRPr="00745874">
        <w:t xml:space="preserve">fter the grant period ends and after the grantee has published the main research paper (whichever comes later), other restricted-use data users may </w:t>
      </w:r>
      <w:r w:rsidR="00F57B7A">
        <w:t xml:space="preserve">apply to NCES to </w:t>
      </w:r>
      <w:r w:rsidR="00494359" w:rsidRPr="00745874">
        <w:t>access the data for their own research.</w:t>
      </w:r>
    </w:p>
    <w:p w14:paraId="1ACE3F4E" w14:textId="49E7AF7E" w:rsidR="009A5B57" w:rsidRPr="007C3FC6" w:rsidRDefault="009A5B57" w:rsidP="00F57B7A">
      <w:pPr>
        <w:pStyle w:val="TableTitle"/>
        <w:keepNext w:val="0"/>
        <w:widowControl w:val="0"/>
        <w:spacing w:before="120"/>
      </w:pPr>
      <w:bookmarkStart w:id="59" w:name="_Toc464308411"/>
      <w:proofErr w:type="gramStart"/>
      <w:r w:rsidRPr="007C3FC6">
        <w:t>Table 3.</w:t>
      </w:r>
      <w:proofErr w:type="gramEnd"/>
      <w:r w:rsidRPr="007C3FC6">
        <w:tab/>
        <w:t xml:space="preserve">Schedule for the </w:t>
      </w:r>
      <w:r w:rsidR="00DB635B" w:rsidRPr="0052386C">
        <w:t>Financial Aid Nudges 2017</w:t>
      </w:r>
      <w:r w:rsidRPr="007C3FC6">
        <w:t xml:space="preserve"> </w:t>
      </w:r>
      <w:r w:rsidR="00EF029C">
        <w:t>study</w:t>
      </w:r>
      <w:bookmarkEnd w:id="59"/>
    </w:p>
    <w:tbl>
      <w:tblPr>
        <w:tblStyle w:val="TableGrid"/>
        <w:tblW w:w="5000" w:type="pct"/>
        <w:tblLayout w:type="fixed"/>
        <w:tblLook w:val="01E0" w:firstRow="1" w:lastRow="1" w:firstColumn="1" w:lastColumn="1" w:noHBand="0" w:noVBand="0"/>
      </w:tblPr>
      <w:tblGrid>
        <w:gridCol w:w="6588"/>
        <w:gridCol w:w="2250"/>
        <w:gridCol w:w="1890"/>
      </w:tblGrid>
      <w:tr w:rsidR="009A5B57" w:rsidRPr="007C3FC6" w14:paraId="6B0D48E8" w14:textId="77777777" w:rsidTr="00C756CA">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588" w:type="dxa"/>
            <w:vAlign w:val="center"/>
          </w:tcPr>
          <w:p w14:paraId="755F50ED" w14:textId="77777777" w:rsidR="009A5B57" w:rsidRPr="007C3FC6" w:rsidRDefault="009A5B57" w:rsidP="0099140E">
            <w:pPr>
              <w:pStyle w:val="Tabletext"/>
              <w:keepNext w:val="0"/>
              <w:widowControl w:val="0"/>
            </w:pPr>
            <w:r w:rsidRPr="007C3FC6">
              <w:t xml:space="preserve">Activity </w:t>
            </w:r>
          </w:p>
        </w:tc>
        <w:tc>
          <w:tcPr>
            <w:tcW w:w="2250" w:type="dxa"/>
            <w:vAlign w:val="center"/>
          </w:tcPr>
          <w:p w14:paraId="64B079C6" w14:textId="77777777" w:rsidR="009A5B57" w:rsidRPr="007C3FC6" w:rsidRDefault="009A5B57" w:rsidP="0099140E">
            <w:pPr>
              <w:pStyle w:val="Tabletext"/>
              <w:keepNext w:val="0"/>
              <w:widowControl w:val="0"/>
              <w:jc w:val="left"/>
              <w:cnfStyle w:val="100000000000" w:firstRow="1" w:lastRow="0" w:firstColumn="0" w:lastColumn="0" w:oddVBand="0" w:evenVBand="0" w:oddHBand="0" w:evenHBand="0" w:firstRowFirstColumn="0" w:firstRowLastColumn="0" w:lastRowFirstColumn="0" w:lastRowLastColumn="0"/>
            </w:pPr>
            <w:r w:rsidRPr="007C3FC6">
              <w:t>Start date</w:t>
            </w:r>
          </w:p>
        </w:tc>
        <w:tc>
          <w:tcPr>
            <w:tcW w:w="1890" w:type="dxa"/>
            <w:vAlign w:val="center"/>
          </w:tcPr>
          <w:p w14:paraId="613C8D80" w14:textId="77777777" w:rsidR="009A5B57" w:rsidRPr="007C3FC6" w:rsidRDefault="009A5B57" w:rsidP="0099140E">
            <w:pPr>
              <w:pStyle w:val="Tabletext"/>
              <w:keepNext w:val="0"/>
              <w:widowControl w:val="0"/>
              <w:jc w:val="left"/>
              <w:cnfStyle w:val="100000000000" w:firstRow="1" w:lastRow="0" w:firstColumn="0" w:lastColumn="0" w:oddVBand="0" w:evenVBand="0" w:oddHBand="0" w:evenHBand="0" w:firstRowFirstColumn="0" w:firstRowLastColumn="0" w:lastRowFirstColumn="0" w:lastRowLastColumn="0"/>
            </w:pPr>
            <w:r w:rsidRPr="007C3FC6">
              <w:t>End date</w:t>
            </w:r>
          </w:p>
        </w:tc>
      </w:tr>
      <w:tr w:rsidR="009A5B57" w:rsidRPr="007C3FC6" w14:paraId="658EE9C1"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7B2CB36" w14:textId="77777777" w:rsidR="009A5B57" w:rsidRPr="007C3FC6" w:rsidRDefault="009A5B57" w:rsidP="0099140E">
            <w:pPr>
              <w:pStyle w:val="Tabletext"/>
              <w:keepNext w:val="0"/>
              <w:widowControl w:val="0"/>
            </w:pPr>
            <w:r w:rsidRPr="007C3FC6">
              <w:t>Pre-intervention preparation</w:t>
            </w:r>
          </w:p>
        </w:tc>
        <w:tc>
          <w:tcPr>
            <w:tcW w:w="2250" w:type="dxa"/>
            <w:vAlign w:val="center"/>
          </w:tcPr>
          <w:p w14:paraId="212ADC3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890" w:type="dxa"/>
            <w:vAlign w:val="center"/>
          </w:tcPr>
          <w:p w14:paraId="044EFEB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761B91E2"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6D3BFD3F" w14:textId="77777777" w:rsidR="009A5B57" w:rsidRPr="007C3FC6" w:rsidRDefault="009A5B57" w:rsidP="0099140E">
            <w:pPr>
              <w:pStyle w:val="2enspsubgroup1"/>
              <w:keepNext w:val="0"/>
              <w:widowControl w:val="0"/>
            </w:pPr>
            <w:r w:rsidRPr="007C3FC6">
              <w:t>Develop group randomization</w:t>
            </w:r>
          </w:p>
        </w:tc>
        <w:tc>
          <w:tcPr>
            <w:tcW w:w="2250" w:type="dxa"/>
            <w:vAlign w:val="center"/>
          </w:tcPr>
          <w:p w14:paraId="316F5CDD"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184A513F"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December 29, 2016</w:t>
            </w:r>
          </w:p>
        </w:tc>
      </w:tr>
      <w:tr w:rsidR="009A5B57" w:rsidRPr="007C3FC6" w14:paraId="531EB419"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1AB88D8E" w14:textId="77777777" w:rsidR="009A5B57" w:rsidRPr="007C3FC6" w:rsidRDefault="009A5B57" w:rsidP="0099140E">
            <w:pPr>
              <w:pStyle w:val="2enspsubgroup1"/>
              <w:keepNext w:val="0"/>
              <w:widowControl w:val="0"/>
            </w:pPr>
            <w:r w:rsidRPr="007C3FC6">
              <w:t>Coordinate activities with RTI, Signal Vine, and College Possible</w:t>
            </w:r>
          </w:p>
        </w:tc>
        <w:tc>
          <w:tcPr>
            <w:tcW w:w="2250" w:type="dxa"/>
            <w:vAlign w:val="center"/>
          </w:tcPr>
          <w:p w14:paraId="351B3D34"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7107CBB4"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September 30, 2017</w:t>
            </w:r>
          </w:p>
        </w:tc>
      </w:tr>
      <w:tr w:rsidR="009A5B57" w:rsidRPr="007C3FC6" w14:paraId="6D4800DA"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BEFF8B9" w14:textId="77777777" w:rsidR="009A5B57" w:rsidRPr="007C3FC6" w:rsidRDefault="009A5B57" w:rsidP="0099140E">
            <w:pPr>
              <w:pStyle w:val="2enspsubgroup1"/>
              <w:keepNext w:val="0"/>
              <w:widowControl w:val="0"/>
            </w:pPr>
            <w:r w:rsidRPr="007C3FC6">
              <w:t>Develop messaging protocol</w:t>
            </w:r>
          </w:p>
        </w:tc>
        <w:tc>
          <w:tcPr>
            <w:tcW w:w="2250" w:type="dxa"/>
            <w:vAlign w:val="center"/>
          </w:tcPr>
          <w:p w14:paraId="2025C2A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63A9344B"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December 29, 2016</w:t>
            </w:r>
          </w:p>
        </w:tc>
      </w:tr>
      <w:tr w:rsidR="009A5B57" w:rsidRPr="007C3FC6" w14:paraId="388836D5"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E55A2B4" w14:textId="77777777" w:rsidR="009A5B57" w:rsidRPr="007C3FC6" w:rsidRDefault="009A5B57" w:rsidP="0099140E">
            <w:pPr>
              <w:pStyle w:val="2enspsubgroup1"/>
              <w:keepNext w:val="0"/>
              <w:widowControl w:val="0"/>
            </w:pPr>
            <w:r w:rsidRPr="007C3FC6">
              <w:t>Develop advising protocol</w:t>
            </w:r>
          </w:p>
        </w:tc>
        <w:tc>
          <w:tcPr>
            <w:tcW w:w="2250" w:type="dxa"/>
            <w:vAlign w:val="center"/>
          </w:tcPr>
          <w:p w14:paraId="364FC8C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2DD7529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December 29, 2016</w:t>
            </w:r>
          </w:p>
        </w:tc>
      </w:tr>
      <w:tr w:rsidR="009A5B57" w:rsidRPr="007C3FC6" w14:paraId="703C5EC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CAC6A42" w14:textId="77777777" w:rsidR="009A5B57" w:rsidRPr="007C3FC6" w:rsidRDefault="009A5B57" w:rsidP="0099140E">
            <w:pPr>
              <w:pStyle w:val="2enspsubgroup1"/>
              <w:keepNext w:val="0"/>
              <w:widowControl w:val="0"/>
            </w:pPr>
            <w:r w:rsidRPr="007C3FC6">
              <w:t>Collect data on college filing deadlines and satisfactory academic progress requirements</w:t>
            </w:r>
          </w:p>
        </w:tc>
        <w:tc>
          <w:tcPr>
            <w:tcW w:w="2250" w:type="dxa"/>
            <w:vAlign w:val="center"/>
          </w:tcPr>
          <w:p w14:paraId="5D7560DC"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7B11AD90"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December 29, 2016</w:t>
            </w:r>
          </w:p>
        </w:tc>
      </w:tr>
      <w:tr w:rsidR="009A5B57" w:rsidRPr="007C3FC6" w14:paraId="3F532238"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70BEC40" w14:textId="77777777" w:rsidR="009A5B57" w:rsidRPr="007C3FC6" w:rsidRDefault="009A5B57" w:rsidP="0099140E">
            <w:pPr>
              <w:pStyle w:val="2enspsubgroup1"/>
              <w:keepNext w:val="0"/>
              <w:widowControl w:val="0"/>
            </w:pPr>
            <w:r w:rsidRPr="007C3FC6">
              <w:t>Collect data on college financial aid and academic advising resources</w:t>
            </w:r>
          </w:p>
        </w:tc>
        <w:tc>
          <w:tcPr>
            <w:tcW w:w="2250" w:type="dxa"/>
            <w:vAlign w:val="center"/>
          </w:tcPr>
          <w:p w14:paraId="7F7340D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2016</w:t>
            </w:r>
          </w:p>
        </w:tc>
        <w:tc>
          <w:tcPr>
            <w:tcW w:w="1890" w:type="dxa"/>
            <w:vAlign w:val="center"/>
          </w:tcPr>
          <w:p w14:paraId="038C7AE4"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December 29, 2016</w:t>
            </w:r>
          </w:p>
        </w:tc>
      </w:tr>
      <w:tr w:rsidR="009A5B57" w:rsidRPr="007C3FC6" w14:paraId="6E52D6E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3548A51" w14:textId="585F059C" w:rsidR="009A5B57" w:rsidRPr="007C3FC6" w:rsidRDefault="0058364A" w:rsidP="00F57B7A">
            <w:pPr>
              <w:pStyle w:val="2enspsubgroup1"/>
              <w:keepNext w:val="0"/>
              <w:widowControl w:val="0"/>
            </w:pPr>
            <w:r>
              <w:t>Focus group to test text message language</w:t>
            </w:r>
          </w:p>
        </w:tc>
        <w:tc>
          <w:tcPr>
            <w:tcW w:w="2250" w:type="dxa"/>
            <w:vAlign w:val="center"/>
          </w:tcPr>
          <w:p w14:paraId="0D4B4CAD" w14:textId="54155FB7" w:rsidR="009A5B57" w:rsidRPr="007C3FC6" w:rsidRDefault="00F57B7A" w:rsidP="00F57B7A">
            <w:pPr>
              <w:pStyle w:val="Tabletext"/>
              <w:keepNext w:val="0"/>
              <w:widowControl w:val="0"/>
              <w:ind w:left="0" w:firstLine="0"/>
              <w:cnfStyle w:val="000000000000" w:firstRow="0" w:lastRow="0" w:firstColumn="0" w:lastColumn="0" w:oddVBand="0" w:evenVBand="0" w:oddHBand="0" w:evenHBand="0" w:firstRowFirstColumn="0" w:firstRowLastColumn="0" w:lastRowFirstColumn="0" w:lastRowLastColumn="0"/>
            </w:pPr>
            <w:r>
              <w:t xml:space="preserve">December </w:t>
            </w:r>
            <w:r w:rsidR="0058364A">
              <w:t>2016</w:t>
            </w:r>
          </w:p>
        </w:tc>
        <w:tc>
          <w:tcPr>
            <w:tcW w:w="1890" w:type="dxa"/>
            <w:vAlign w:val="center"/>
          </w:tcPr>
          <w:p w14:paraId="1CC93715" w14:textId="7294B820" w:rsidR="009A5B57" w:rsidRPr="007C3FC6" w:rsidRDefault="00F57B7A" w:rsidP="00F57B7A">
            <w:pPr>
              <w:pStyle w:val="Tabletext"/>
              <w:keepNext w:val="0"/>
              <w:widowControl w:val="0"/>
              <w:cnfStyle w:val="000000000000" w:firstRow="0" w:lastRow="0" w:firstColumn="0" w:lastColumn="0" w:oddVBand="0" w:evenVBand="0" w:oddHBand="0" w:evenHBand="0" w:firstRowFirstColumn="0" w:firstRowLastColumn="0" w:lastRowFirstColumn="0" w:lastRowLastColumn="0"/>
            </w:pPr>
            <w:r>
              <w:t>January</w:t>
            </w:r>
            <w:r w:rsidR="0058364A">
              <w:t xml:space="preserve"> 201</w:t>
            </w:r>
            <w:r>
              <w:t>7</w:t>
            </w:r>
          </w:p>
        </w:tc>
      </w:tr>
      <w:tr w:rsidR="009A5B57" w:rsidRPr="007C3FC6" w14:paraId="01B2C029"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B0A3CB1" w14:textId="77777777" w:rsidR="009A5B57" w:rsidRPr="007C3FC6" w:rsidRDefault="009A5B57" w:rsidP="0099140E">
            <w:pPr>
              <w:pStyle w:val="Tabletext"/>
              <w:keepNext w:val="0"/>
              <w:widowControl w:val="0"/>
            </w:pPr>
            <w:r w:rsidRPr="007C3FC6">
              <w:t>Intervention</w:t>
            </w:r>
          </w:p>
        </w:tc>
        <w:tc>
          <w:tcPr>
            <w:tcW w:w="2250" w:type="dxa"/>
            <w:vAlign w:val="center"/>
          </w:tcPr>
          <w:p w14:paraId="52C7531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890" w:type="dxa"/>
            <w:vAlign w:val="center"/>
          </w:tcPr>
          <w:p w14:paraId="43CBEF93"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01D6A349"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41828BA2" w14:textId="77777777" w:rsidR="009A5B57" w:rsidRPr="007C3FC6" w:rsidRDefault="009A5B57" w:rsidP="0099140E">
            <w:pPr>
              <w:pStyle w:val="2enspsubgroup1"/>
              <w:keepNext w:val="0"/>
              <w:widowControl w:val="0"/>
            </w:pPr>
            <w:r w:rsidRPr="007C3FC6">
              <w:t>Implement intervention</w:t>
            </w:r>
          </w:p>
        </w:tc>
        <w:tc>
          <w:tcPr>
            <w:tcW w:w="2250" w:type="dxa"/>
            <w:vAlign w:val="center"/>
          </w:tcPr>
          <w:p w14:paraId="48339C2C" w14:textId="531A4F51" w:rsidR="009A5B57" w:rsidRPr="007C3FC6" w:rsidRDefault="00F57B7A" w:rsidP="00F57B7A">
            <w:pPr>
              <w:pStyle w:val="Tabletext"/>
              <w:keepNext w:val="0"/>
              <w:widowControl w:val="0"/>
              <w:cnfStyle w:val="000000000000" w:firstRow="0" w:lastRow="0" w:firstColumn="0" w:lastColumn="0" w:oddVBand="0" w:evenVBand="0" w:oddHBand="0" w:evenHBand="0" w:firstRowFirstColumn="0" w:firstRowLastColumn="0" w:lastRowFirstColumn="0" w:lastRowLastColumn="0"/>
            </w:pPr>
            <w:r>
              <w:t>January 23</w:t>
            </w:r>
            <w:r w:rsidR="009A5B57" w:rsidRPr="007C3FC6">
              <w:t>, 2017</w:t>
            </w:r>
          </w:p>
        </w:tc>
        <w:tc>
          <w:tcPr>
            <w:tcW w:w="1890" w:type="dxa"/>
            <w:vAlign w:val="center"/>
          </w:tcPr>
          <w:p w14:paraId="7EFB180D"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31, 2017</w:t>
            </w:r>
          </w:p>
        </w:tc>
      </w:tr>
      <w:tr w:rsidR="009A5B57" w:rsidRPr="007C3FC6" w14:paraId="6E242E32"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242E50A"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7B5968F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October 3, 2016</w:t>
            </w:r>
          </w:p>
        </w:tc>
        <w:tc>
          <w:tcPr>
            <w:tcW w:w="1890" w:type="dxa"/>
            <w:vAlign w:val="center"/>
          </w:tcPr>
          <w:p w14:paraId="301D4671"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2828F7C3"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D0D2980"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7CFDFEB8" w14:textId="199DF49E" w:rsidR="009A5B57" w:rsidRPr="007C3FC6" w:rsidRDefault="00F57B7A"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t>January 23</w:t>
            </w:r>
            <w:r w:rsidR="00D4572B" w:rsidRPr="007C3FC6">
              <w:t xml:space="preserve">, </w:t>
            </w:r>
            <w:r w:rsidR="009A5B57" w:rsidRPr="007C3FC6">
              <w:t>2017</w:t>
            </w:r>
          </w:p>
        </w:tc>
        <w:tc>
          <w:tcPr>
            <w:tcW w:w="1890" w:type="dxa"/>
            <w:vAlign w:val="center"/>
          </w:tcPr>
          <w:p w14:paraId="3721D659"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2D7E23DA"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46B5CF1A"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47D6FB6D"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March 1, 2017</w:t>
            </w:r>
          </w:p>
        </w:tc>
        <w:tc>
          <w:tcPr>
            <w:tcW w:w="1890" w:type="dxa"/>
            <w:vAlign w:val="center"/>
          </w:tcPr>
          <w:p w14:paraId="1D785C6B"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087C9439"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B3237C3"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30921E50"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April 3, 2017</w:t>
            </w:r>
          </w:p>
        </w:tc>
        <w:tc>
          <w:tcPr>
            <w:tcW w:w="1890" w:type="dxa"/>
            <w:vAlign w:val="center"/>
          </w:tcPr>
          <w:p w14:paraId="70A1C12B"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17E4B0BC"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E4EFD17"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27501F8B"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May 1, 2017</w:t>
            </w:r>
          </w:p>
        </w:tc>
        <w:tc>
          <w:tcPr>
            <w:tcW w:w="1890" w:type="dxa"/>
            <w:vAlign w:val="center"/>
          </w:tcPr>
          <w:p w14:paraId="47D6D636"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366DED91"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3B5CCAFA"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71E3B8E0"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1, 2017</w:t>
            </w:r>
          </w:p>
        </w:tc>
        <w:tc>
          <w:tcPr>
            <w:tcW w:w="1890" w:type="dxa"/>
            <w:vAlign w:val="center"/>
          </w:tcPr>
          <w:p w14:paraId="48386455"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3860EEF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323FA19A" w14:textId="77777777" w:rsidR="009A5B57" w:rsidRPr="007C3FC6" w:rsidRDefault="009A5B57" w:rsidP="0099140E">
            <w:pPr>
              <w:pStyle w:val="2enspsubgroup1"/>
              <w:keepNext w:val="0"/>
              <w:widowControl w:val="0"/>
            </w:pPr>
            <w:r w:rsidRPr="007C3FC6">
              <w:t>Match to CPS</w:t>
            </w:r>
            <w:r w:rsidRPr="001F2F30">
              <w:t xml:space="preserve"> files</w:t>
            </w:r>
          </w:p>
        </w:tc>
        <w:tc>
          <w:tcPr>
            <w:tcW w:w="2250" w:type="dxa"/>
            <w:vAlign w:val="center"/>
          </w:tcPr>
          <w:p w14:paraId="4E276730"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3, 2017</w:t>
            </w:r>
          </w:p>
        </w:tc>
        <w:tc>
          <w:tcPr>
            <w:tcW w:w="1890" w:type="dxa"/>
            <w:vAlign w:val="center"/>
          </w:tcPr>
          <w:p w14:paraId="58AE78E6"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66FB9E54"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79BB4FCA" w14:textId="77777777" w:rsidR="009A5B57" w:rsidRPr="007C3FC6" w:rsidRDefault="009A5B57" w:rsidP="0099140E">
            <w:pPr>
              <w:pStyle w:val="2enspsubgroup1"/>
              <w:keepNext w:val="0"/>
              <w:widowControl w:val="0"/>
            </w:pPr>
            <w:r w:rsidRPr="007C3FC6">
              <w:t>Match to CPS, NSLDS, and NSC files</w:t>
            </w:r>
          </w:p>
        </w:tc>
        <w:tc>
          <w:tcPr>
            <w:tcW w:w="2250" w:type="dxa"/>
            <w:vAlign w:val="center"/>
          </w:tcPr>
          <w:p w14:paraId="21F0FA16"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August 1, 2017</w:t>
            </w:r>
          </w:p>
        </w:tc>
        <w:tc>
          <w:tcPr>
            <w:tcW w:w="1890" w:type="dxa"/>
            <w:vAlign w:val="center"/>
          </w:tcPr>
          <w:p w14:paraId="34B6E1A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5A4874E3"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DF5F479" w14:textId="77777777" w:rsidR="009A5B57" w:rsidRPr="007C3FC6" w:rsidRDefault="009A5B57" w:rsidP="0099140E">
            <w:pPr>
              <w:pStyle w:val="2enspsubgroup1"/>
              <w:keepNext w:val="0"/>
              <w:widowControl w:val="0"/>
            </w:pPr>
            <w:r w:rsidRPr="007C3FC6">
              <w:t>Match to CPS, NSLDS, and NSC files</w:t>
            </w:r>
          </w:p>
        </w:tc>
        <w:tc>
          <w:tcPr>
            <w:tcW w:w="2250" w:type="dxa"/>
            <w:vAlign w:val="center"/>
          </w:tcPr>
          <w:p w14:paraId="3FB0BEB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August 1, 2018</w:t>
            </w:r>
          </w:p>
        </w:tc>
        <w:tc>
          <w:tcPr>
            <w:tcW w:w="1890" w:type="dxa"/>
            <w:vAlign w:val="center"/>
          </w:tcPr>
          <w:p w14:paraId="7A92515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11F7035E"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8B91E7B" w14:textId="77777777" w:rsidR="009A5B57" w:rsidRPr="007C3FC6" w:rsidRDefault="009A5B57" w:rsidP="0099140E">
            <w:pPr>
              <w:pStyle w:val="2enspsubgroup1"/>
              <w:keepNext w:val="0"/>
              <w:widowControl w:val="0"/>
            </w:pPr>
            <w:r w:rsidRPr="007C3FC6">
              <w:t>Match to CPS, NSLDS, and NSC files</w:t>
            </w:r>
          </w:p>
        </w:tc>
        <w:tc>
          <w:tcPr>
            <w:tcW w:w="2250" w:type="dxa"/>
            <w:vAlign w:val="center"/>
          </w:tcPr>
          <w:p w14:paraId="60D30B61"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August 1, 2019</w:t>
            </w:r>
          </w:p>
        </w:tc>
        <w:tc>
          <w:tcPr>
            <w:tcW w:w="1890" w:type="dxa"/>
            <w:vAlign w:val="center"/>
          </w:tcPr>
          <w:p w14:paraId="1B687902"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2CD96AE5"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4C48E51F" w14:textId="77777777" w:rsidR="009A5B57" w:rsidRPr="007C3FC6" w:rsidRDefault="009A5B57" w:rsidP="0099140E">
            <w:pPr>
              <w:pStyle w:val="2enspsubgroup1"/>
              <w:keepNext w:val="0"/>
              <w:widowControl w:val="0"/>
            </w:pPr>
            <w:r w:rsidRPr="007C3FC6">
              <w:t>Match to CPS, NSLDS, and NSC files</w:t>
            </w:r>
          </w:p>
        </w:tc>
        <w:tc>
          <w:tcPr>
            <w:tcW w:w="2250" w:type="dxa"/>
            <w:vAlign w:val="center"/>
          </w:tcPr>
          <w:p w14:paraId="238AA40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August 3, 2020</w:t>
            </w:r>
          </w:p>
        </w:tc>
        <w:tc>
          <w:tcPr>
            <w:tcW w:w="1890" w:type="dxa"/>
            <w:vAlign w:val="center"/>
          </w:tcPr>
          <w:p w14:paraId="18C3DBF1"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13D33984"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12CCE4EC" w14:textId="77777777" w:rsidR="009A5B57" w:rsidRPr="007C3FC6" w:rsidRDefault="009A5B57" w:rsidP="0099140E">
            <w:pPr>
              <w:pStyle w:val="Tabletext"/>
              <w:keepNext w:val="0"/>
              <w:widowControl w:val="0"/>
            </w:pPr>
            <w:r w:rsidRPr="007C3FC6">
              <w:t>Analysis</w:t>
            </w:r>
          </w:p>
        </w:tc>
        <w:tc>
          <w:tcPr>
            <w:tcW w:w="2250" w:type="dxa"/>
            <w:vAlign w:val="center"/>
          </w:tcPr>
          <w:p w14:paraId="5976EF53"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890" w:type="dxa"/>
            <w:vAlign w:val="center"/>
          </w:tcPr>
          <w:p w14:paraId="42C828D5"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07AA9F6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9523108" w14:textId="77777777" w:rsidR="009A5B57" w:rsidRPr="007C3FC6" w:rsidRDefault="009A5B57" w:rsidP="0099140E">
            <w:pPr>
              <w:pStyle w:val="2enspsubgroup1"/>
              <w:keepNext w:val="0"/>
              <w:widowControl w:val="0"/>
            </w:pPr>
            <w:r w:rsidRPr="007C3FC6">
              <w:t>Cost analysis</w:t>
            </w:r>
          </w:p>
        </w:tc>
        <w:tc>
          <w:tcPr>
            <w:tcW w:w="2250" w:type="dxa"/>
            <w:vAlign w:val="center"/>
          </w:tcPr>
          <w:p w14:paraId="512FBC99"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3, 2017</w:t>
            </w:r>
          </w:p>
        </w:tc>
        <w:tc>
          <w:tcPr>
            <w:tcW w:w="1890" w:type="dxa"/>
            <w:vAlign w:val="center"/>
          </w:tcPr>
          <w:p w14:paraId="2F63185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March 30, 2018</w:t>
            </w:r>
          </w:p>
        </w:tc>
      </w:tr>
      <w:tr w:rsidR="009A5B57" w:rsidRPr="007C3FC6" w14:paraId="481D7FD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37B0D575" w14:textId="77777777" w:rsidR="009A5B57" w:rsidRPr="007C3FC6" w:rsidRDefault="009A5B57" w:rsidP="0099140E">
            <w:pPr>
              <w:pStyle w:val="2enspsubgroup1"/>
              <w:keepNext w:val="0"/>
              <w:widowControl w:val="0"/>
            </w:pPr>
            <w:r w:rsidRPr="007C3FC6">
              <w:t>Fidelity of implementation analysis</w:t>
            </w:r>
          </w:p>
        </w:tc>
        <w:tc>
          <w:tcPr>
            <w:tcW w:w="2250" w:type="dxa"/>
            <w:vAlign w:val="center"/>
          </w:tcPr>
          <w:p w14:paraId="15F9AA18"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3, 2017</w:t>
            </w:r>
          </w:p>
        </w:tc>
        <w:tc>
          <w:tcPr>
            <w:tcW w:w="1890" w:type="dxa"/>
            <w:vAlign w:val="center"/>
          </w:tcPr>
          <w:p w14:paraId="25FF243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March 30, 2018</w:t>
            </w:r>
          </w:p>
        </w:tc>
      </w:tr>
      <w:tr w:rsidR="009A5B57" w:rsidRPr="007C3FC6" w14:paraId="5655A7C9"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EBD37FD" w14:textId="77777777" w:rsidR="009A5B57" w:rsidRPr="007C3FC6" w:rsidRDefault="009A5B57" w:rsidP="0099140E">
            <w:pPr>
              <w:pStyle w:val="2enspsubgroup1"/>
              <w:keepNext w:val="0"/>
              <w:widowControl w:val="0"/>
            </w:pPr>
            <w:r w:rsidRPr="007C3FC6">
              <w:t>Analysis of outcomes after 1 complete academic year</w:t>
            </w:r>
          </w:p>
        </w:tc>
        <w:tc>
          <w:tcPr>
            <w:tcW w:w="2250" w:type="dxa"/>
            <w:vAlign w:val="center"/>
          </w:tcPr>
          <w:p w14:paraId="2C19AE31"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2, 2018</w:t>
            </w:r>
          </w:p>
        </w:tc>
        <w:tc>
          <w:tcPr>
            <w:tcW w:w="1890" w:type="dxa"/>
            <w:vAlign w:val="center"/>
          </w:tcPr>
          <w:p w14:paraId="703C5A00"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28, 2019</w:t>
            </w:r>
          </w:p>
        </w:tc>
      </w:tr>
      <w:tr w:rsidR="009A5B57" w:rsidRPr="007C3FC6" w14:paraId="3E28C6F0"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F12B88A" w14:textId="77777777" w:rsidR="009A5B57" w:rsidRPr="007C3FC6" w:rsidRDefault="009A5B57" w:rsidP="0099140E">
            <w:pPr>
              <w:pStyle w:val="2enspsubgroup1"/>
              <w:keepNext w:val="0"/>
              <w:widowControl w:val="0"/>
            </w:pPr>
            <w:r w:rsidRPr="007C3FC6">
              <w:t>Analysis of outcomes after 2 complete academic years</w:t>
            </w:r>
          </w:p>
        </w:tc>
        <w:tc>
          <w:tcPr>
            <w:tcW w:w="2250" w:type="dxa"/>
            <w:vAlign w:val="center"/>
          </w:tcPr>
          <w:p w14:paraId="7C3E5CE5"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2019</w:t>
            </w:r>
          </w:p>
        </w:tc>
        <w:tc>
          <w:tcPr>
            <w:tcW w:w="1890" w:type="dxa"/>
            <w:vAlign w:val="center"/>
          </w:tcPr>
          <w:p w14:paraId="7F7ECA6D"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30, 2020</w:t>
            </w:r>
          </w:p>
        </w:tc>
      </w:tr>
      <w:tr w:rsidR="009A5B57" w:rsidRPr="007C3FC6" w14:paraId="17DC18CE"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3D64AB19" w14:textId="77777777" w:rsidR="009A5B57" w:rsidRPr="007C3FC6" w:rsidRDefault="009A5B57" w:rsidP="0099140E">
            <w:pPr>
              <w:pStyle w:val="2enspsubgroup1"/>
              <w:keepNext w:val="0"/>
              <w:widowControl w:val="0"/>
            </w:pPr>
            <w:r w:rsidRPr="007C3FC6">
              <w:t>Analysis of outcomes after 3 complete academic years</w:t>
            </w:r>
          </w:p>
        </w:tc>
        <w:tc>
          <w:tcPr>
            <w:tcW w:w="2250" w:type="dxa"/>
            <w:vAlign w:val="center"/>
          </w:tcPr>
          <w:p w14:paraId="5A04A39D"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2020</w:t>
            </w:r>
          </w:p>
        </w:tc>
        <w:tc>
          <w:tcPr>
            <w:tcW w:w="1890" w:type="dxa"/>
            <w:vAlign w:val="center"/>
          </w:tcPr>
          <w:p w14:paraId="7F05AD73"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30, 2021</w:t>
            </w:r>
          </w:p>
        </w:tc>
      </w:tr>
      <w:tr w:rsidR="009A5B57" w:rsidRPr="007C3FC6" w14:paraId="52D865A1"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674B8C1F" w14:textId="77777777" w:rsidR="009A5B57" w:rsidRPr="007C3FC6" w:rsidRDefault="009A5B57" w:rsidP="0099140E">
            <w:pPr>
              <w:pStyle w:val="Tabletext"/>
              <w:keepNext w:val="0"/>
              <w:widowControl w:val="0"/>
            </w:pPr>
            <w:r w:rsidRPr="007C3FC6">
              <w:t>Dissemination</w:t>
            </w:r>
          </w:p>
        </w:tc>
        <w:tc>
          <w:tcPr>
            <w:tcW w:w="2250" w:type="dxa"/>
            <w:vAlign w:val="center"/>
          </w:tcPr>
          <w:p w14:paraId="584B72D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1890" w:type="dxa"/>
            <w:vAlign w:val="center"/>
          </w:tcPr>
          <w:p w14:paraId="6181FD1E"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r>
      <w:tr w:rsidR="009A5B57" w:rsidRPr="007C3FC6" w14:paraId="7A67FEBF"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2BFA362" w14:textId="77777777" w:rsidR="009A5B57" w:rsidRPr="007C3FC6" w:rsidRDefault="009A5B57" w:rsidP="0099140E">
            <w:pPr>
              <w:pStyle w:val="2enspsubgroup1"/>
              <w:keepNext w:val="0"/>
              <w:widowControl w:val="0"/>
            </w:pPr>
            <w:r w:rsidRPr="007C3FC6">
              <w:t>Conference presentations</w:t>
            </w:r>
          </w:p>
        </w:tc>
        <w:tc>
          <w:tcPr>
            <w:tcW w:w="2250" w:type="dxa"/>
            <w:vAlign w:val="center"/>
          </w:tcPr>
          <w:p w14:paraId="1CEBD4E6"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April 1, 2019</w:t>
            </w:r>
          </w:p>
        </w:tc>
        <w:tc>
          <w:tcPr>
            <w:tcW w:w="1890" w:type="dxa"/>
            <w:vAlign w:val="center"/>
          </w:tcPr>
          <w:p w14:paraId="1E533D6B"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30, 2021</w:t>
            </w:r>
          </w:p>
        </w:tc>
      </w:tr>
      <w:tr w:rsidR="009A5B57" w:rsidRPr="007C3FC6" w14:paraId="41510E55"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02A4CD2B" w14:textId="77777777" w:rsidR="009A5B57" w:rsidRPr="007C3FC6" w:rsidRDefault="009A5B57" w:rsidP="0099140E">
            <w:pPr>
              <w:pStyle w:val="2enspsubgroup1"/>
              <w:keepNext w:val="0"/>
              <w:widowControl w:val="0"/>
            </w:pPr>
            <w:r w:rsidRPr="007C3FC6">
              <w:t>Policy brief #1</w:t>
            </w:r>
          </w:p>
        </w:tc>
        <w:tc>
          <w:tcPr>
            <w:tcW w:w="2250" w:type="dxa"/>
            <w:vAlign w:val="center"/>
          </w:tcPr>
          <w:p w14:paraId="075F8DC4"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2019</w:t>
            </w:r>
          </w:p>
        </w:tc>
        <w:tc>
          <w:tcPr>
            <w:tcW w:w="1890" w:type="dxa"/>
            <w:vAlign w:val="center"/>
          </w:tcPr>
          <w:p w14:paraId="77CE52F2"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September 30, 2019</w:t>
            </w:r>
          </w:p>
        </w:tc>
      </w:tr>
      <w:tr w:rsidR="009A5B57" w:rsidRPr="007C3FC6" w14:paraId="7B5954B4"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5D9FAA52" w14:textId="77777777" w:rsidR="009A5B57" w:rsidRPr="007C3FC6" w:rsidRDefault="009A5B57" w:rsidP="0099140E">
            <w:pPr>
              <w:pStyle w:val="2enspsubgroup1"/>
              <w:keepNext w:val="0"/>
              <w:widowControl w:val="0"/>
            </w:pPr>
            <w:r w:rsidRPr="007C3FC6">
              <w:t>Policy brief #2</w:t>
            </w:r>
          </w:p>
        </w:tc>
        <w:tc>
          <w:tcPr>
            <w:tcW w:w="2250" w:type="dxa"/>
            <w:vAlign w:val="center"/>
          </w:tcPr>
          <w:p w14:paraId="5155E4A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July 1, 2020</w:t>
            </w:r>
          </w:p>
        </w:tc>
        <w:tc>
          <w:tcPr>
            <w:tcW w:w="1890" w:type="dxa"/>
            <w:vAlign w:val="center"/>
          </w:tcPr>
          <w:p w14:paraId="6731C4D7"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September 30, 2020</w:t>
            </w:r>
          </w:p>
        </w:tc>
      </w:tr>
      <w:tr w:rsidR="009A5B57" w:rsidRPr="007C3FC6" w14:paraId="2EA6ECDA" w14:textId="77777777" w:rsidTr="00C756CA">
        <w:trPr>
          <w:cantSplit/>
        </w:trPr>
        <w:tc>
          <w:tcPr>
            <w:cnfStyle w:val="001000000000" w:firstRow="0" w:lastRow="0" w:firstColumn="1" w:lastColumn="0" w:oddVBand="0" w:evenVBand="0" w:oddHBand="0" w:evenHBand="0" w:firstRowFirstColumn="0" w:firstRowLastColumn="0" w:lastRowFirstColumn="0" w:lastRowLastColumn="0"/>
            <w:tcW w:w="6588" w:type="dxa"/>
            <w:vAlign w:val="center"/>
          </w:tcPr>
          <w:p w14:paraId="2D136D1C" w14:textId="77777777" w:rsidR="009A5B57" w:rsidRPr="007C3FC6" w:rsidRDefault="009A5B57" w:rsidP="0099140E">
            <w:pPr>
              <w:pStyle w:val="2enspsubgroup1"/>
              <w:keepNext w:val="0"/>
              <w:widowControl w:val="0"/>
            </w:pPr>
            <w:r w:rsidRPr="007C3FC6">
              <w:t>Academic publishing</w:t>
            </w:r>
          </w:p>
        </w:tc>
        <w:tc>
          <w:tcPr>
            <w:tcW w:w="2250" w:type="dxa"/>
            <w:vAlign w:val="center"/>
          </w:tcPr>
          <w:p w14:paraId="5D4D9E6A"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October 1, 2019</w:t>
            </w:r>
          </w:p>
        </w:tc>
        <w:tc>
          <w:tcPr>
            <w:tcW w:w="1890" w:type="dxa"/>
            <w:vAlign w:val="center"/>
          </w:tcPr>
          <w:p w14:paraId="05C34125" w14:textId="77777777" w:rsidR="009A5B57" w:rsidRPr="007C3FC6" w:rsidRDefault="009A5B57" w:rsidP="0099140E">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7C3FC6">
              <w:t>June 30, 2021</w:t>
            </w:r>
          </w:p>
        </w:tc>
      </w:tr>
    </w:tbl>
    <w:p w14:paraId="2CB232AD" w14:textId="77777777" w:rsidR="00545695" w:rsidRPr="007C3FC6" w:rsidRDefault="00545695" w:rsidP="007C3FC6">
      <w:pPr>
        <w:pStyle w:val="Heading2"/>
        <w:keepNext w:val="0"/>
        <w:widowControl w:val="0"/>
      </w:pPr>
      <w:bookmarkStart w:id="60" w:name="_Toc464308453"/>
      <w:r w:rsidRPr="007C3FC6">
        <w:t>Approval to Not Display Expiration Date for OMB Approval</w:t>
      </w:r>
      <w:bookmarkEnd w:id="60"/>
    </w:p>
    <w:p w14:paraId="4B4EED04" w14:textId="77777777" w:rsidR="00545695" w:rsidRPr="007C3FC6" w:rsidRDefault="00545695" w:rsidP="007C3FC6">
      <w:pPr>
        <w:pStyle w:val="BodyText"/>
        <w:widowControl w:val="0"/>
        <w:ind w:firstLine="0"/>
      </w:pPr>
      <w:r w:rsidRPr="007C3FC6">
        <w:t xml:space="preserve">The expiration date for OMB approval of the information collection </w:t>
      </w:r>
      <w:proofErr w:type="gramStart"/>
      <w:r w:rsidRPr="001F2F30">
        <w:rPr>
          <w:i/>
          <w:iCs/>
        </w:rPr>
        <w:t xml:space="preserve">will </w:t>
      </w:r>
      <w:r w:rsidR="00165A60" w:rsidRPr="001F2F30">
        <w:rPr>
          <w:i/>
          <w:iCs/>
        </w:rPr>
        <w:t xml:space="preserve">not be </w:t>
      </w:r>
      <w:r w:rsidRPr="001F2F30">
        <w:rPr>
          <w:i/>
          <w:iCs/>
        </w:rPr>
        <w:t>displayed</w:t>
      </w:r>
      <w:proofErr w:type="gramEnd"/>
      <w:r w:rsidR="00D70745" w:rsidRPr="007C3FC6">
        <w:t xml:space="preserve"> during active communication with participants</w:t>
      </w:r>
      <w:r w:rsidR="007F2D7B" w:rsidRPr="007C3FC6">
        <w:t xml:space="preserve">. </w:t>
      </w:r>
      <w:r w:rsidR="00D70745" w:rsidRPr="007C3FC6">
        <w:t xml:space="preserve">That is, the primary mode of communication will be </w:t>
      </w:r>
      <w:r w:rsidR="00165A60" w:rsidRPr="007C3FC6">
        <w:t>by text message</w:t>
      </w:r>
      <w:r w:rsidR="00D70745" w:rsidRPr="007C3FC6">
        <w:t>, and t</w:t>
      </w:r>
      <w:r w:rsidR="00165A60" w:rsidRPr="007C3FC6">
        <w:t xml:space="preserve">he additional </w:t>
      </w:r>
      <w:r w:rsidR="00531A22" w:rsidRPr="007C3FC6">
        <w:t xml:space="preserve">text </w:t>
      </w:r>
      <w:r w:rsidR="00165A60" w:rsidRPr="007C3FC6">
        <w:t xml:space="preserve">required </w:t>
      </w:r>
      <w:proofErr w:type="gramStart"/>
      <w:r w:rsidR="00165A60" w:rsidRPr="007C3FC6">
        <w:t>to convey</w:t>
      </w:r>
      <w:proofErr w:type="gramEnd"/>
      <w:r w:rsidR="00165A60" w:rsidRPr="007C3FC6">
        <w:t xml:space="preserve"> the OMB approval would be extensive and distracting</w:t>
      </w:r>
      <w:r w:rsidR="007F2D7B" w:rsidRPr="007C3FC6">
        <w:t xml:space="preserve">. </w:t>
      </w:r>
      <w:r w:rsidR="00280395" w:rsidRPr="007C3FC6">
        <w:t xml:space="preserve">However, the OMB statement and expiration date will be posted on the </w:t>
      </w:r>
      <w:r w:rsidR="009A5B57">
        <w:t>study’s</w:t>
      </w:r>
      <w:r w:rsidR="00280395" w:rsidRPr="007C3FC6">
        <w:t xml:space="preserve"> website</w:t>
      </w:r>
      <w:r w:rsidR="00BC0D1B" w:rsidRPr="007C3FC6">
        <w:t xml:space="preserve"> and, at initial </w:t>
      </w:r>
      <w:proofErr w:type="gramStart"/>
      <w:r w:rsidR="00BC0D1B" w:rsidRPr="007C3FC6">
        <w:t>contact,</w:t>
      </w:r>
      <w:proofErr w:type="gramEnd"/>
      <w:r w:rsidR="00BC0D1B" w:rsidRPr="007C3FC6">
        <w:t xml:space="preserve"> participants will be reminded of their participation in NPSAS</w:t>
      </w:r>
      <w:r w:rsidR="00AD4029" w:rsidRPr="007C3FC6">
        <w:t xml:space="preserve"> and provided a link to the website</w:t>
      </w:r>
      <w:r w:rsidR="00BC0D1B" w:rsidRPr="007C3FC6">
        <w:t>.</w:t>
      </w:r>
    </w:p>
    <w:p w14:paraId="2DE787F3" w14:textId="77777777" w:rsidR="00545695" w:rsidRPr="007C3FC6" w:rsidRDefault="00545695" w:rsidP="00F57B7A">
      <w:pPr>
        <w:pStyle w:val="Heading2"/>
        <w:keepNext w:val="0"/>
        <w:widowControl w:val="0"/>
        <w:spacing w:before="120"/>
        <w:ind w:left="1094" w:hanging="547"/>
      </w:pPr>
      <w:bookmarkStart w:id="61" w:name="_Toc464308454"/>
      <w:r w:rsidRPr="007C3FC6">
        <w:t>Exceptions to Certification for Paperwork Reduction Act Submissions</w:t>
      </w:r>
      <w:bookmarkEnd w:id="61"/>
    </w:p>
    <w:p w14:paraId="7A361519" w14:textId="57FDA602" w:rsidR="004B32B2" w:rsidRDefault="00545695" w:rsidP="00F57B7A">
      <w:pPr>
        <w:pStyle w:val="BodyText"/>
        <w:widowControl w:val="0"/>
        <w:ind w:firstLine="0"/>
      </w:pPr>
      <w:r w:rsidRPr="007C3FC6">
        <w:t>There are no exceptions to the certification statement identified in the Certification for Paperwork Reduction Act Submissions of OMB Form 83-I.</w:t>
      </w:r>
    </w:p>
    <w:sectPr w:rsidR="004B32B2" w:rsidSect="00F57B7A">
      <w:headerReference w:type="default" r:id="rId20"/>
      <w:footerReference w:type="default" r:id="rId21"/>
      <w:pgSz w:w="12240" w:h="15840" w:code="1"/>
      <w:pgMar w:top="720" w:right="864" w:bottom="720" w:left="864" w:header="288" w:footer="288" w:gutter="0"/>
      <w:pgNumType w:start="1"/>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74282" w15:done="0"/>
  <w15:commentEx w15:paraId="22D6715F" w15:done="0"/>
  <w15:commentEx w15:paraId="17C7FB6B" w15:done="0"/>
  <w15:commentEx w15:paraId="6E04EA4C" w15:done="0"/>
  <w15:commentEx w15:paraId="4D9D48D0" w15:done="0"/>
  <w15:commentEx w15:paraId="25FF4049" w15:done="0"/>
  <w15:commentEx w15:paraId="4C51F980" w15:paraIdParent="25FF4049" w15:done="0"/>
  <w15:commentEx w15:paraId="7FDD7A30" w15:done="0"/>
  <w15:commentEx w15:paraId="6EA589B5" w15:paraIdParent="7FDD7A30" w15:done="0"/>
  <w15:commentEx w15:paraId="09952E1A" w15:done="0"/>
  <w15:commentEx w15:paraId="3B16525E" w15:done="0"/>
  <w15:commentEx w15:paraId="6262BF75" w15:paraIdParent="3B16525E" w15:done="0"/>
  <w15:commentEx w15:paraId="0157C725" w15:done="0"/>
  <w15:commentEx w15:paraId="1F7F8F8A" w15:done="0"/>
  <w15:commentEx w15:paraId="7BB26457" w15:done="0"/>
  <w15:commentEx w15:paraId="05C066B1" w15:paraIdParent="7BB26457" w15:done="0"/>
  <w15:commentEx w15:paraId="41304095" w15:done="0"/>
  <w15:commentEx w15:paraId="732A7B61" w15:done="0"/>
  <w15:commentEx w15:paraId="3FCC1D9E" w15:done="0"/>
  <w15:commentEx w15:paraId="14990719" w15:done="0"/>
  <w15:commentEx w15:paraId="4DB215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0B0BC" w14:textId="77777777" w:rsidR="009D21ED" w:rsidRDefault="009D21ED">
      <w:r>
        <w:separator/>
      </w:r>
    </w:p>
  </w:endnote>
  <w:endnote w:type="continuationSeparator" w:id="0">
    <w:p w14:paraId="407C1A6A" w14:textId="77777777" w:rsidR="009D21ED" w:rsidRDefault="009D21ED">
      <w:r>
        <w:continuationSeparator/>
      </w:r>
    </w:p>
  </w:endnote>
  <w:endnote w:type="continuationNotice" w:id="1">
    <w:p w14:paraId="5EF53F6D" w14:textId="77777777" w:rsidR="009D21ED" w:rsidRDefault="009D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09488"/>
      <w:docPartObj>
        <w:docPartGallery w:val="Page Numbers (Bottom of Page)"/>
        <w:docPartUnique/>
      </w:docPartObj>
    </w:sdtPr>
    <w:sdtEndPr>
      <w:rPr>
        <w:noProof/>
      </w:rPr>
    </w:sdtEndPr>
    <w:sdtContent>
      <w:p w14:paraId="7FF89ED2" w14:textId="77777777" w:rsidR="00D27F94" w:rsidRDefault="00D27F94" w:rsidP="00665C8E">
        <w:pPr>
          <w:pStyle w:val="Footer"/>
          <w:spacing w:after="0" w:line="240" w:lineRule="auto"/>
        </w:pPr>
        <w:r>
          <w:fldChar w:fldCharType="begin"/>
        </w:r>
        <w:r>
          <w:instrText xml:space="preserve"> PAGE   \* MERGEFORMAT </w:instrText>
        </w:r>
        <w:r>
          <w:fldChar w:fldCharType="separate"/>
        </w:r>
        <w:r w:rsidR="00EF6864">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459D6" w14:textId="77777777" w:rsidR="009D21ED" w:rsidRDefault="009D21ED" w:rsidP="007C3FC6">
      <w:pPr>
        <w:spacing w:after="0" w:line="240" w:lineRule="auto"/>
      </w:pPr>
      <w:r>
        <w:separator/>
      </w:r>
    </w:p>
  </w:footnote>
  <w:footnote w:type="continuationSeparator" w:id="0">
    <w:p w14:paraId="70AB86F6" w14:textId="77777777" w:rsidR="009D21ED" w:rsidRDefault="009D21ED" w:rsidP="007C3FC6">
      <w:pPr>
        <w:spacing w:after="0" w:line="240" w:lineRule="auto"/>
      </w:pPr>
      <w:r>
        <w:continuationSeparator/>
      </w:r>
    </w:p>
  </w:footnote>
  <w:footnote w:type="continuationNotice" w:id="1">
    <w:p w14:paraId="756614AF" w14:textId="77777777" w:rsidR="009D21ED" w:rsidRDefault="009D21ED" w:rsidP="007C3FC6">
      <w:pPr>
        <w:spacing w:after="0" w:line="240" w:lineRule="auto"/>
      </w:pPr>
    </w:p>
  </w:footnote>
  <w:footnote w:id="2">
    <w:p w14:paraId="20C446A8" w14:textId="77777777" w:rsidR="00D27F94" w:rsidRPr="007C3FC6" w:rsidRDefault="00D27F94" w:rsidP="007C3FC6">
      <w:pPr>
        <w:pStyle w:val="FootnoteText"/>
        <w:spacing w:after="0" w:line="240" w:lineRule="auto"/>
      </w:pPr>
      <w:r w:rsidRPr="001F2F30">
        <w:rPr>
          <w:rStyle w:val="FootnoteReference"/>
          <w:rFonts w:ascii="Garamond" w:eastAsia="Garamond" w:hAnsi="Garamond" w:cs="Garamond"/>
        </w:rPr>
        <w:footnoteRef/>
      </w:r>
      <w:r w:rsidRPr="007C3FC6">
        <w:t xml:space="preserve"> RTI, as NCES contractor for NPSAS</w:t>
      </w:r>
      <w:proofErr w:type="gramStart"/>
      <w:r w:rsidRPr="007C3FC6">
        <w:t>:16</w:t>
      </w:r>
      <w:proofErr w:type="gramEnd"/>
      <w:r w:rsidRPr="007C3FC6">
        <w:t>, may collect administrative data for the control group as an authorized representative of the Secretary of Education for the purpose of evaluating a federally supported education program. Any personally identifiable information is collected with adherence to the security protocol detailed in 34 CFR § 99.35.</w:t>
      </w:r>
      <w:r>
        <w:t xml:space="preserve"> </w:t>
      </w:r>
      <w:r w:rsidRPr="007C3FC6">
        <w:t>See section A.10.</w:t>
      </w:r>
    </w:p>
  </w:footnote>
  <w:footnote w:id="3">
    <w:p w14:paraId="24D76FED" w14:textId="77777777" w:rsidR="00D27F94" w:rsidRDefault="00D27F94" w:rsidP="007D5ED6">
      <w:pPr>
        <w:pStyle w:val="FootnoteText"/>
        <w:spacing w:after="0" w:line="240" w:lineRule="auto"/>
      </w:pPr>
      <w:r>
        <w:rPr>
          <w:rStyle w:val="FootnoteReference"/>
        </w:rPr>
        <w:footnoteRef/>
      </w:r>
      <w:r>
        <w:t xml:space="preserve"> </w:t>
      </w:r>
      <w:r w:rsidRPr="00DA65F9">
        <w:t>Signal Vine provides the messaging platform for Up Next, https://www.whatsupnext.us, a joint collaborative between the White House and Huge Inc. to connect students with federal programs designed to support them</w:t>
      </w:r>
      <w:r>
        <w:t>.</w:t>
      </w:r>
    </w:p>
  </w:footnote>
  <w:footnote w:id="4">
    <w:p w14:paraId="77EDA937" w14:textId="77777777" w:rsidR="00D27F94" w:rsidRPr="007C3FC6" w:rsidRDefault="00D27F94" w:rsidP="002D7ECA">
      <w:pPr>
        <w:pStyle w:val="Tablenotes"/>
        <w:spacing w:before="0" w:after="0" w:line="240" w:lineRule="auto"/>
        <w:contextualSpacing w:val="0"/>
        <w:rPr>
          <w:rFonts w:ascii="Garamond" w:hAnsi="Garamond"/>
          <w:sz w:val="20"/>
          <w:szCs w:val="20"/>
        </w:rPr>
      </w:pPr>
      <w:r w:rsidRPr="007C3FC6">
        <w:rPr>
          <w:rStyle w:val="FootnoteReference"/>
          <w:rFonts w:ascii="Garamond" w:hAnsi="Garamond"/>
          <w:szCs w:val="20"/>
        </w:rPr>
        <w:footnoteRef/>
      </w:r>
      <w:r w:rsidRPr="007C3FC6">
        <w:rPr>
          <w:rFonts w:ascii="Garamond" w:hAnsi="Garamond"/>
          <w:sz w:val="20"/>
          <w:szCs w:val="20"/>
        </w:rPr>
        <w:t xml:space="preserve"> The total estimated cost to respondents for student data collection is based on the estimated response burden (hours) multiplied by $18, which was obtained by taking the average of the median weekly earnings of full-time wage and salary workers among high school graduates with no college and individuals with some college or an associate’s degree. (Table 5, </w:t>
      </w:r>
      <w:hyperlink r:id="rId1" w:history="1">
        <w:r w:rsidRPr="007C3FC6">
          <w:rPr>
            <w:rStyle w:val="Hyperlink"/>
            <w:rFonts w:ascii="Garamond" w:hAnsi="Garamond" w:cs="Arial"/>
            <w:color w:val="000000" w:themeColor="text1"/>
            <w:sz w:val="20"/>
            <w:szCs w:val="20"/>
          </w:rPr>
          <w:t>http://www.bls.gov/news.release/pdf/wkyeng.pdf</w:t>
        </w:r>
      </w:hyperlink>
      <w:r w:rsidRPr="007C3FC6">
        <w:rPr>
          <w:rFonts w:ascii="Garamond" w:hAnsi="Garamond"/>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AD10" w14:textId="77777777" w:rsidR="00D27F94" w:rsidRDefault="00D27F94" w:rsidP="006D5EAE">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744ADA12"/>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F521F9F"/>
    <w:multiLevelType w:val="multilevel"/>
    <w:tmpl w:val="F448F7E2"/>
    <w:lvl w:ilvl="0">
      <w:start w:val="1"/>
      <w:numFmt w:val="bullet"/>
      <w:pStyle w:val="Bullet10"/>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37A62214"/>
    <w:multiLevelType w:val="hybridMultilevel"/>
    <w:tmpl w:val="0D98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0">
    <w:nsid w:val="650A6B15"/>
    <w:multiLevelType w:val="hybridMultilevel"/>
    <w:tmpl w:val="48D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B560B"/>
    <w:multiLevelType w:val="hybridMultilevel"/>
    <w:tmpl w:val="3BDC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3"/>
  </w:num>
  <w:num w:numId="6">
    <w:abstractNumId w:val="10"/>
  </w:num>
  <w:num w:numId="7">
    <w:abstractNumId w:val="7"/>
  </w:num>
  <w:num w:numId="8">
    <w:abstractNumId w:val="5"/>
  </w:num>
  <w:num w:numId="9">
    <w:abstractNumId w:val="11"/>
  </w:num>
  <w:num w:numId="10">
    <w:abstractNumId w:val="6"/>
  </w:num>
  <w:num w:numId="11">
    <w:abstractNumId w:val="6"/>
  </w:num>
  <w:num w:numId="12">
    <w:abstractNumId w:val="6"/>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A6C"/>
    <w:rsid w:val="00001AF7"/>
    <w:rsid w:val="00002700"/>
    <w:rsid w:val="00003120"/>
    <w:rsid w:val="00004CD3"/>
    <w:rsid w:val="0000562B"/>
    <w:rsid w:val="000056D7"/>
    <w:rsid w:val="000068C9"/>
    <w:rsid w:val="00006DD2"/>
    <w:rsid w:val="00006ECC"/>
    <w:rsid w:val="000071C1"/>
    <w:rsid w:val="00007DC6"/>
    <w:rsid w:val="00011A40"/>
    <w:rsid w:val="0001207D"/>
    <w:rsid w:val="0001295A"/>
    <w:rsid w:val="000135CF"/>
    <w:rsid w:val="000137EF"/>
    <w:rsid w:val="00013C7D"/>
    <w:rsid w:val="00014705"/>
    <w:rsid w:val="00014D25"/>
    <w:rsid w:val="00015CD5"/>
    <w:rsid w:val="00016217"/>
    <w:rsid w:val="00017745"/>
    <w:rsid w:val="000259DC"/>
    <w:rsid w:val="0003260E"/>
    <w:rsid w:val="00033C70"/>
    <w:rsid w:val="00034B40"/>
    <w:rsid w:val="00036511"/>
    <w:rsid w:val="00040070"/>
    <w:rsid w:val="00040851"/>
    <w:rsid w:val="000411CC"/>
    <w:rsid w:val="00041240"/>
    <w:rsid w:val="00044904"/>
    <w:rsid w:val="00051A47"/>
    <w:rsid w:val="000525A5"/>
    <w:rsid w:val="00054E68"/>
    <w:rsid w:val="0005697B"/>
    <w:rsid w:val="00060503"/>
    <w:rsid w:val="00061737"/>
    <w:rsid w:val="00061AA9"/>
    <w:rsid w:val="00062DC3"/>
    <w:rsid w:val="00062EF6"/>
    <w:rsid w:val="0006459E"/>
    <w:rsid w:val="00066DB4"/>
    <w:rsid w:val="000675AA"/>
    <w:rsid w:val="000725A1"/>
    <w:rsid w:val="00072D1A"/>
    <w:rsid w:val="00072E26"/>
    <w:rsid w:val="00073C6B"/>
    <w:rsid w:val="0007619F"/>
    <w:rsid w:val="000775AB"/>
    <w:rsid w:val="0007780A"/>
    <w:rsid w:val="00080C24"/>
    <w:rsid w:val="00085EF0"/>
    <w:rsid w:val="0008668A"/>
    <w:rsid w:val="000868F1"/>
    <w:rsid w:val="0009020F"/>
    <w:rsid w:val="000907DE"/>
    <w:rsid w:val="00091671"/>
    <w:rsid w:val="00092AA2"/>
    <w:rsid w:val="00093971"/>
    <w:rsid w:val="00093F25"/>
    <w:rsid w:val="00094DB5"/>
    <w:rsid w:val="00095CCF"/>
    <w:rsid w:val="000A1798"/>
    <w:rsid w:val="000A31F9"/>
    <w:rsid w:val="000A3C69"/>
    <w:rsid w:val="000A5792"/>
    <w:rsid w:val="000A5CE0"/>
    <w:rsid w:val="000B03CB"/>
    <w:rsid w:val="000B36E4"/>
    <w:rsid w:val="000B5864"/>
    <w:rsid w:val="000B6374"/>
    <w:rsid w:val="000B7771"/>
    <w:rsid w:val="000B7888"/>
    <w:rsid w:val="000B7AC2"/>
    <w:rsid w:val="000C0281"/>
    <w:rsid w:val="000C09A7"/>
    <w:rsid w:val="000C1256"/>
    <w:rsid w:val="000C3189"/>
    <w:rsid w:val="000C63EA"/>
    <w:rsid w:val="000C68F5"/>
    <w:rsid w:val="000D0804"/>
    <w:rsid w:val="000D0D78"/>
    <w:rsid w:val="000D4786"/>
    <w:rsid w:val="000D69D6"/>
    <w:rsid w:val="000E0891"/>
    <w:rsid w:val="000E1CBA"/>
    <w:rsid w:val="000E32AA"/>
    <w:rsid w:val="000E49AC"/>
    <w:rsid w:val="000F0600"/>
    <w:rsid w:val="000F14A9"/>
    <w:rsid w:val="000F2CAB"/>
    <w:rsid w:val="000F38A5"/>
    <w:rsid w:val="000F38FB"/>
    <w:rsid w:val="000F7476"/>
    <w:rsid w:val="00100F59"/>
    <w:rsid w:val="001079B0"/>
    <w:rsid w:val="00110CD7"/>
    <w:rsid w:val="00111A40"/>
    <w:rsid w:val="00111E00"/>
    <w:rsid w:val="001144A0"/>
    <w:rsid w:val="00115048"/>
    <w:rsid w:val="00115438"/>
    <w:rsid w:val="001168C4"/>
    <w:rsid w:val="00116930"/>
    <w:rsid w:val="00117CB0"/>
    <w:rsid w:val="00117D29"/>
    <w:rsid w:val="00121821"/>
    <w:rsid w:val="00122FC2"/>
    <w:rsid w:val="00126B64"/>
    <w:rsid w:val="00132CB2"/>
    <w:rsid w:val="00137344"/>
    <w:rsid w:val="001405F9"/>
    <w:rsid w:val="00140659"/>
    <w:rsid w:val="00140C29"/>
    <w:rsid w:val="00140DC5"/>
    <w:rsid w:val="00142A4B"/>
    <w:rsid w:val="00142E11"/>
    <w:rsid w:val="001431A7"/>
    <w:rsid w:val="00143C1C"/>
    <w:rsid w:val="00143FE9"/>
    <w:rsid w:val="0014419F"/>
    <w:rsid w:val="00145B9D"/>
    <w:rsid w:val="00145F27"/>
    <w:rsid w:val="0014606E"/>
    <w:rsid w:val="0014645F"/>
    <w:rsid w:val="00152AD3"/>
    <w:rsid w:val="00152EA7"/>
    <w:rsid w:val="00152FDD"/>
    <w:rsid w:val="00153442"/>
    <w:rsid w:val="001535E2"/>
    <w:rsid w:val="00153802"/>
    <w:rsid w:val="00154024"/>
    <w:rsid w:val="00155782"/>
    <w:rsid w:val="00155890"/>
    <w:rsid w:val="00156286"/>
    <w:rsid w:val="00160371"/>
    <w:rsid w:val="00161407"/>
    <w:rsid w:val="001623AA"/>
    <w:rsid w:val="00164F0C"/>
    <w:rsid w:val="00165A60"/>
    <w:rsid w:val="00166D14"/>
    <w:rsid w:val="00170D1C"/>
    <w:rsid w:val="00171B38"/>
    <w:rsid w:val="00173281"/>
    <w:rsid w:val="0017533B"/>
    <w:rsid w:val="0017561E"/>
    <w:rsid w:val="00176538"/>
    <w:rsid w:val="00176A41"/>
    <w:rsid w:val="001775C0"/>
    <w:rsid w:val="00177F97"/>
    <w:rsid w:val="00181EEA"/>
    <w:rsid w:val="0018490F"/>
    <w:rsid w:val="0018714C"/>
    <w:rsid w:val="0018724F"/>
    <w:rsid w:val="00187A31"/>
    <w:rsid w:val="001903CA"/>
    <w:rsid w:val="001904CA"/>
    <w:rsid w:val="001924FF"/>
    <w:rsid w:val="00193DCC"/>
    <w:rsid w:val="00193DD9"/>
    <w:rsid w:val="00195334"/>
    <w:rsid w:val="00195AD2"/>
    <w:rsid w:val="001979F5"/>
    <w:rsid w:val="001A054D"/>
    <w:rsid w:val="001A1405"/>
    <w:rsid w:val="001A57B8"/>
    <w:rsid w:val="001A6144"/>
    <w:rsid w:val="001A6277"/>
    <w:rsid w:val="001A6C33"/>
    <w:rsid w:val="001A6F28"/>
    <w:rsid w:val="001B4BAF"/>
    <w:rsid w:val="001B5343"/>
    <w:rsid w:val="001B5431"/>
    <w:rsid w:val="001B792F"/>
    <w:rsid w:val="001C14FE"/>
    <w:rsid w:val="001C3516"/>
    <w:rsid w:val="001C3BFB"/>
    <w:rsid w:val="001C42E7"/>
    <w:rsid w:val="001C4CDA"/>
    <w:rsid w:val="001C5C35"/>
    <w:rsid w:val="001C6283"/>
    <w:rsid w:val="001C7770"/>
    <w:rsid w:val="001C7BE3"/>
    <w:rsid w:val="001D0140"/>
    <w:rsid w:val="001D3DC6"/>
    <w:rsid w:val="001D6928"/>
    <w:rsid w:val="001D6CFC"/>
    <w:rsid w:val="001D7A8B"/>
    <w:rsid w:val="001D7F88"/>
    <w:rsid w:val="001E2639"/>
    <w:rsid w:val="001E31CF"/>
    <w:rsid w:val="001E35E4"/>
    <w:rsid w:val="001E4A80"/>
    <w:rsid w:val="001E7A49"/>
    <w:rsid w:val="001F11E8"/>
    <w:rsid w:val="001F196C"/>
    <w:rsid w:val="001F2F30"/>
    <w:rsid w:val="001F4877"/>
    <w:rsid w:val="001F4E16"/>
    <w:rsid w:val="001F5506"/>
    <w:rsid w:val="001F6BA6"/>
    <w:rsid w:val="001F720D"/>
    <w:rsid w:val="002012F3"/>
    <w:rsid w:val="00201EEE"/>
    <w:rsid w:val="00202AC1"/>
    <w:rsid w:val="00207311"/>
    <w:rsid w:val="0021087B"/>
    <w:rsid w:val="00214BB6"/>
    <w:rsid w:val="00214F7E"/>
    <w:rsid w:val="00216369"/>
    <w:rsid w:val="00221395"/>
    <w:rsid w:val="00221DEF"/>
    <w:rsid w:val="00222C94"/>
    <w:rsid w:val="002241E3"/>
    <w:rsid w:val="0022668B"/>
    <w:rsid w:val="0022723A"/>
    <w:rsid w:val="002320FF"/>
    <w:rsid w:val="00232D74"/>
    <w:rsid w:val="00233E03"/>
    <w:rsid w:val="002342D4"/>
    <w:rsid w:val="002346ED"/>
    <w:rsid w:val="00235AFA"/>
    <w:rsid w:val="0023649F"/>
    <w:rsid w:val="00237D59"/>
    <w:rsid w:val="00241C76"/>
    <w:rsid w:val="00242FA4"/>
    <w:rsid w:val="002442A7"/>
    <w:rsid w:val="00244446"/>
    <w:rsid w:val="0024459B"/>
    <w:rsid w:val="002446CC"/>
    <w:rsid w:val="00246715"/>
    <w:rsid w:val="00251D8E"/>
    <w:rsid w:val="00252A45"/>
    <w:rsid w:val="00254CED"/>
    <w:rsid w:val="00255253"/>
    <w:rsid w:val="002627CC"/>
    <w:rsid w:val="00262A02"/>
    <w:rsid w:val="00263D27"/>
    <w:rsid w:val="00263D6A"/>
    <w:rsid w:val="00264DFF"/>
    <w:rsid w:val="00265D69"/>
    <w:rsid w:val="00265DA3"/>
    <w:rsid w:val="00265E39"/>
    <w:rsid w:val="00266B75"/>
    <w:rsid w:val="0026703F"/>
    <w:rsid w:val="00267D4B"/>
    <w:rsid w:val="00267DEE"/>
    <w:rsid w:val="0027047D"/>
    <w:rsid w:val="00271F23"/>
    <w:rsid w:val="00272C43"/>
    <w:rsid w:val="002758DC"/>
    <w:rsid w:val="00275919"/>
    <w:rsid w:val="00276478"/>
    <w:rsid w:val="002764D4"/>
    <w:rsid w:val="00277039"/>
    <w:rsid w:val="00280124"/>
    <w:rsid w:val="00280395"/>
    <w:rsid w:val="00281A40"/>
    <w:rsid w:val="002834E4"/>
    <w:rsid w:val="00283B46"/>
    <w:rsid w:val="0028476A"/>
    <w:rsid w:val="00286C3F"/>
    <w:rsid w:val="0029035C"/>
    <w:rsid w:val="00290396"/>
    <w:rsid w:val="00290FA2"/>
    <w:rsid w:val="002919C1"/>
    <w:rsid w:val="002933BC"/>
    <w:rsid w:val="002935D2"/>
    <w:rsid w:val="002936F5"/>
    <w:rsid w:val="002963CF"/>
    <w:rsid w:val="00296B80"/>
    <w:rsid w:val="00296F54"/>
    <w:rsid w:val="002A29DE"/>
    <w:rsid w:val="002A2B44"/>
    <w:rsid w:val="002A6C43"/>
    <w:rsid w:val="002B210F"/>
    <w:rsid w:val="002B6C42"/>
    <w:rsid w:val="002C0158"/>
    <w:rsid w:val="002C0A0F"/>
    <w:rsid w:val="002C4972"/>
    <w:rsid w:val="002C4CA0"/>
    <w:rsid w:val="002C7FD8"/>
    <w:rsid w:val="002D09D2"/>
    <w:rsid w:val="002D133A"/>
    <w:rsid w:val="002D2120"/>
    <w:rsid w:val="002D227B"/>
    <w:rsid w:val="002D3439"/>
    <w:rsid w:val="002D4C3B"/>
    <w:rsid w:val="002D5D3B"/>
    <w:rsid w:val="002D6CE8"/>
    <w:rsid w:val="002D7E3C"/>
    <w:rsid w:val="002D7ECA"/>
    <w:rsid w:val="002E0200"/>
    <w:rsid w:val="002E164E"/>
    <w:rsid w:val="002E2D50"/>
    <w:rsid w:val="002E2FC3"/>
    <w:rsid w:val="002E36CD"/>
    <w:rsid w:val="002E4038"/>
    <w:rsid w:val="002E6461"/>
    <w:rsid w:val="002E65D3"/>
    <w:rsid w:val="002E73EB"/>
    <w:rsid w:val="002E7552"/>
    <w:rsid w:val="002F0D15"/>
    <w:rsid w:val="002F3813"/>
    <w:rsid w:val="002F3DCD"/>
    <w:rsid w:val="002F46F4"/>
    <w:rsid w:val="002F592C"/>
    <w:rsid w:val="002F6852"/>
    <w:rsid w:val="002F6A0B"/>
    <w:rsid w:val="002F6E82"/>
    <w:rsid w:val="00303C33"/>
    <w:rsid w:val="0030432F"/>
    <w:rsid w:val="00305121"/>
    <w:rsid w:val="00305675"/>
    <w:rsid w:val="00305B31"/>
    <w:rsid w:val="00307021"/>
    <w:rsid w:val="00310B20"/>
    <w:rsid w:val="0031253A"/>
    <w:rsid w:val="003129AB"/>
    <w:rsid w:val="003150F2"/>
    <w:rsid w:val="00315729"/>
    <w:rsid w:val="00316842"/>
    <w:rsid w:val="00316FB7"/>
    <w:rsid w:val="00317D07"/>
    <w:rsid w:val="003200EE"/>
    <w:rsid w:val="003208C5"/>
    <w:rsid w:val="00320AA8"/>
    <w:rsid w:val="003212F5"/>
    <w:rsid w:val="0032258C"/>
    <w:rsid w:val="00324238"/>
    <w:rsid w:val="003247F6"/>
    <w:rsid w:val="00325981"/>
    <w:rsid w:val="00327717"/>
    <w:rsid w:val="003301DA"/>
    <w:rsid w:val="00332C07"/>
    <w:rsid w:val="0033426E"/>
    <w:rsid w:val="00334BA3"/>
    <w:rsid w:val="00337CEA"/>
    <w:rsid w:val="00340D19"/>
    <w:rsid w:val="00342CBB"/>
    <w:rsid w:val="00344B71"/>
    <w:rsid w:val="00344DF7"/>
    <w:rsid w:val="00345125"/>
    <w:rsid w:val="00346809"/>
    <w:rsid w:val="0035340C"/>
    <w:rsid w:val="00353DA4"/>
    <w:rsid w:val="0035409A"/>
    <w:rsid w:val="00354128"/>
    <w:rsid w:val="00356870"/>
    <w:rsid w:val="003575C3"/>
    <w:rsid w:val="00363BC6"/>
    <w:rsid w:val="00365502"/>
    <w:rsid w:val="00366450"/>
    <w:rsid w:val="003673A2"/>
    <w:rsid w:val="00367F2C"/>
    <w:rsid w:val="00370E12"/>
    <w:rsid w:val="003712B0"/>
    <w:rsid w:val="00373598"/>
    <w:rsid w:val="003741A3"/>
    <w:rsid w:val="00375C80"/>
    <w:rsid w:val="003762C5"/>
    <w:rsid w:val="0037768A"/>
    <w:rsid w:val="003776D2"/>
    <w:rsid w:val="00377D62"/>
    <w:rsid w:val="0038211A"/>
    <w:rsid w:val="00383B17"/>
    <w:rsid w:val="00385F2F"/>
    <w:rsid w:val="00386221"/>
    <w:rsid w:val="00387262"/>
    <w:rsid w:val="00390519"/>
    <w:rsid w:val="0039385A"/>
    <w:rsid w:val="00394C8C"/>
    <w:rsid w:val="0039579D"/>
    <w:rsid w:val="00395853"/>
    <w:rsid w:val="00395F0D"/>
    <w:rsid w:val="00396375"/>
    <w:rsid w:val="00396F06"/>
    <w:rsid w:val="003A0A6D"/>
    <w:rsid w:val="003A0F8E"/>
    <w:rsid w:val="003A275E"/>
    <w:rsid w:val="003A4EA6"/>
    <w:rsid w:val="003A504E"/>
    <w:rsid w:val="003A53B2"/>
    <w:rsid w:val="003A6093"/>
    <w:rsid w:val="003A60EF"/>
    <w:rsid w:val="003B0207"/>
    <w:rsid w:val="003B0C51"/>
    <w:rsid w:val="003B4512"/>
    <w:rsid w:val="003B4C17"/>
    <w:rsid w:val="003B794A"/>
    <w:rsid w:val="003C0FCB"/>
    <w:rsid w:val="003C42F0"/>
    <w:rsid w:val="003C47FA"/>
    <w:rsid w:val="003C499F"/>
    <w:rsid w:val="003C575D"/>
    <w:rsid w:val="003C57F3"/>
    <w:rsid w:val="003C6D2B"/>
    <w:rsid w:val="003C7C54"/>
    <w:rsid w:val="003D0A0E"/>
    <w:rsid w:val="003D1722"/>
    <w:rsid w:val="003D1801"/>
    <w:rsid w:val="003D2608"/>
    <w:rsid w:val="003D2D58"/>
    <w:rsid w:val="003D3026"/>
    <w:rsid w:val="003D38BF"/>
    <w:rsid w:val="003D3B20"/>
    <w:rsid w:val="003D3EEA"/>
    <w:rsid w:val="003D6BDB"/>
    <w:rsid w:val="003D6D30"/>
    <w:rsid w:val="003D6EFA"/>
    <w:rsid w:val="003D741F"/>
    <w:rsid w:val="003D7955"/>
    <w:rsid w:val="003E07CF"/>
    <w:rsid w:val="003E52FC"/>
    <w:rsid w:val="003E56AE"/>
    <w:rsid w:val="003E58FD"/>
    <w:rsid w:val="003F1F6C"/>
    <w:rsid w:val="003F3DAA"/>
    <w:rsid w:val="003F4982"/>
    <w:rsid w:val="003F54AB"/>
    <w:rsid w:val="003F753B"/>
    <w:rsid w:val="004001D5"/>
    <w:rsid w:val="004027BC"/>
    <w:rsid w:val="00403065"/>
    <w:rsid w:val="00405AC6"/>
    <w:rsid w:val="00413E37"/>
    <w:rsid w:val="00415D09"/>
    <w:rsid w:val="004165EC"/>
    <w:rsid w:val="0041703F"/>
    <w:rsid w:val="00420432"/>
    <w:rsid w:val="004205D1"/>
    <w:rsid w:val="00421684"/>
    <w:rsid w:val="00421D77"/>
    <w:rsid w:val="004229D7"/>
    <w:rsid w:val="0042325B"/>
    <w:rsid w:val="00423329"/>
    <w:rsid w:val="00423B62"/>
    <w:rsid w:val="004272F5"/>
    <w:rsid w:val="00432214"/>
    <w:rsid w:val="0043377D"/>
    <w:rsid w:val="00434307"/>
    <w:rsid w:val="00434CCA"/>
    <w:rsid w:val="00434D78"/>
    <w:rsid w:val="0043671D"/>
    <w:rsid w:val="004405DF"/>
    <w:rsid w:val="00440D84"/>
    <w:rsid w:val="00441C94"/>
    <w:rsid w:val="00442247"/>
    <w:rsid w:val="00442DA4"/>
    <w:rsid w:val="00443340"/>
    <w:rsid w:val="004465F6"/>
    <w:rsid w:val="004478B3"/>
    <w:rsid w:val="004504A1"/>
    <w:rsid w:val="00451B9B"/>
    <w:rsid w:val="00454253"/>
    <w:rsid w:val="004556A9"/>
    <w:rsid w:val="00455E38"/>
    <w:rsid w:val="00460E8D"/>
    <w:rsid w:val="00461EB3"/>
    <w:rsid w:val="00462551"/>
    <w:rsid w:val="004627C1"/>
    <w:rsid w:val="00464CDE"/>
    <w:rsid w:val="00466A6C"/>
    <w:rsid w:val="0046745E"/>
    <w:rsid w:val="00467769"/>
    <w:rsid w:val="00467FFC"/>
    <w:rsid w:val="00471437"/>
    <w:rsid w:val="004726F5"/>
    <w:rsid w:val="00475384"/>
    <w:rsid w:val="004755B7"/>
    <w:rsid w:val="00475771"/>
    <w:rsid w:val="00477A4D"/>
    <w:rsid w:val="00477CEE"/>
    <w:rsid w:val="00477E52"/>
    <w:rsid w:val="00480AF9"/>
    <w:rsid w:val="00484818"/>
    <w:rsid w:val="00484EE6"/>
    <w:rsid w:val="004860F7"/>
    <w:rsid w:val="004861F8"/>
    <w:rsid w:val="0049039E"/>
    <w:rsid w:val="00491817"/>
    <w:rsid w:val="00493467"/>
    <w:rsid w:val="00494359"/>
    <w:rsid w:val="00495504"/>
    <w:rsid w:val="004956A8"/>
    <w:rsid w:val="00495820"/>
    <w:rsid w:val="004962CA"/>
    <w:rsid w:val="00496A0A"/>
    <w:rsid w:val="004A00B2"/>
    <w:rsid w:val="004A0420"/>
    <w:rsid w:val="004A0799"/>
    <w:rsid w:val="004A0819"/>
    <w:rsid w:val="004A0D00"/>
    <w:rsid w:val="004A2D4B"/>
    <w:rsid w:val="004A3FB2"/>
    <w:rsid w:val="004A429B"/>
    <w:rsid w:val="004A5199"/>
    <w:rsid w:val="004A79EC"/>
    <w:rsid w:val="004A7C0B"/>
    <w:rsid w:val="004B0BF2"/>
    <w:rsid w:val="004B1367"/>
    <w:rsid w:val="004B1A79"/>
    <w:rsid w:val="004B217A"/>
    <w:rsid w:val="004B2788"/>
    <w:rsid w:val="004B32B2"/>
    <w:rsid w:val="004B48F9"/>
    <w:rsid w:val="004B5AE3"/>
    <w:rsid w:val="004B6916"/>
    <w:rsid w:val="004B7367"/>
    <w:rsid w:val="004B77B2"/>
    <w:rsid w:val="004C1098"/>
    <w:rsid w:val="004C6316"/>
    <w:rsid w:val="004C7173"/>
    <w:rsid w:val="004D0171"/>
    <w:rsid w:val="004D1656"/>
    <w:rsid w:val="004D1B1B"/>
    <w:rsid w:val="004D1B5D"/>
    <w:rsid w:val="004D1DC4"/>
    <w:rsid w:val="004D1F30"/>
    <w:rsid w:val="004D2C4C"/>
    <w:rsid w:val="004D424D"/>
    <w:rsid w:val="004D586F"/>
    <w:rsid w:val="004D6131"/>
    <w:rsid w:val="004D65D7"/>
    <w:rsid w:val="004D687F"/>
    <w:rsid w:val="004E14C4"/>
    <w:rsid w:val="004E2981"/>
    <w:rsid w:val="004E303C"/>
    <w:rsid w:val="004E4A59"/>
    <w:rsid w:val="004E4D80"/>
    <w:rsid w:val="004F3826"/>
    <w:rsid w:val="004F4E2F"/>
    <w:rsid w:val="004F7DFB"/>
    <w:rsid w:val="00500DE4"/>
    <w:rsid w:val="005014BA"/>
    <w:rsid w:val="005015C4"/>
    <w:rsid w:val="005037A9"/>
    <w:rsid w:val="00503E1F"/>
    <w:rsid w:val="005048EC"/>
    <w:rsid w:val="00504C42"/>
    <w:rsid w:val="005056EE"/>
    <w:rsid w:val="00505DB0"/>
    <w:rsid w:val="00507AD8"/>
    <w:rsid w:val="00510F49"/>
    <w:rsid w:val="0051244B"/>
    <w:rsid w:val="005147DA"/>
    <w:rsid w:val="0051645B"/>
    <w:rsid w:val="00516BDE"/>
    <w:rsid w:val="00522FCE"/>
    <w:rsid w:val="0052386C"/>
    <w:rsid w:val="005244B5"/>
    <w:rsid w:val="00525253"/>
    <w:rsid w:val="005270FE"/>
    <w:rsid w:val="00531A22"/>
    <w:rsid w:val="00532F5B"/>
    <w:rsid w:val="00535419"/>
    <w:rsid w:val="00537D80"/>
    <w:rsid w:val="005400D8"/>
    <w:rsid w:val="00541926"/>
    <w:rsid w:val="005430A2"/>
    <w:rsid w:val="005434B9"/>
    <w:rsid w:val="00543EBB"/>
    <w:rsid w:val="00545695"/>
    <w:rsid w:val="00547169"/>
    <w:rsid w:val="0055274E"/>
    <w:rsid w:val="005530A6"/>
    <w:rsid w:val="00553524"/>
    <w:rsid w:val="00556643"/>
    <w:rsid w:val="00556734"/>
    <w:rsid w:val="00560779"/>
    <w:rsid w:val="00561429"/>
    <w:rsid w:val="005634B6"/>
    <w:rsid w:val="00565BE1"/>
    <w:rsid w:val="005708A4"/>
    <w:rsid w:val="005721C3"/>
    <w:rsid w:val="00574070"/>
    <w:rsid w:val="00576E0B"/>
    <w:rsid w:val="00577D2E"/>
    <w:rsid w:val="00580815"/>
    <w:rsid w:val="00580990"/>
    <w:rsid w:val="0058364A"/>
    <w:rsid w:val="005844EE"/>
    <w:rsid w:val="00585B33"/>
    <w:rsid w:val="00587C7B"/>
    <w:rsid w:val="00587FB4"/>
    <w:rsid w:val="00591D16"/>
    <w:rsid w:val="00592471"/>
    <w:rsid w:val="00592C74"/>
    <w:rsid w:val="00594706"/>
    <w:rsid w:val="00594768"/>
    <w:rsid w:val="0059671F"/>
    <w:rsid w:val="0059676F"/>
    <w:rsid w:val="00597910"/>
    <w:rsid w:val="0059791E"/>
    <w:rsid w:val="005A1DA2"/>
    <w:rsid w:val="005A202A"/>
    <w:rsid w:val="005A3BCC"/>
    <w:rsid w:val="005A5100"/>
    <w:rsid w:val="005A51AB"/>
    <w:rsid w:val="005A5837"/>
    <w:rsid w:val="005A6619"/>
    <w:rsid w:val="005A706A"/>
    <w:rsid w:val="005B009B"/>
    <w:rsid w:val="005B0875"/>
    <w:rsid w:val="005B0CB5"/>
    <w:rsid w:val="005B1B38"/>
    <w:rsid w:val="005B1EA5"/>
    <w:rsid w:val="005B238B"/>
    <w:rsid w:val="005B3EB9"/>
    <w:rsid w:val="005B61E6"/>
    <w:rsid w:val="005C1772"/>
    <w:rsid w:val="005C3809"/>
    <w:rsid w:val="005C4DAE"/>
    <w:rsid w:val="005C5765"/>
    <w:rsid w:val="005C5AA1"/>
    <w:rsid w:val="005C6C98"/>
    <w:rsid w:val="005C6FFD"/>
    <w:rsid w:val="005C79E2"/>
    <w:rsid w:val="005D0313"/>
    <w:rsid w:val="005D1D38"/>
    <w:rsid w:val="005D6047"/>
    <w:rsid w:val="005D657B"/>
    <w:rsid w:val="005E0B4E"/>
    <w:rsid w:val="005E1DE2"/>
    <w:rsid w:val="005E6D4B"/>
    <w:rsid w:val="005E75FD"/>
    <w:rsid w:val="005E7A06"/>
    <w:rsid w:val="005F04E0"/>
    <w:rsid w:val="005F061E"/>
    <w:rsid w:val="005F10FE"/>
    <w:rsid w:val="005F2C4F"/>
    <w:rsid w:val="005F3575"/>
    <w:rsid w:val="005F3E77"/>
    <w:rsid w:val="005F45A9"/>
    <w:rsid w:val="005F533A"/>
    <w:rsid w:val="005F5341"/>
    <w:rsid w:val="005F5A71"/>
    <w:rsid w:val="005F5ED6"/>
    <w:rsid w:val="005F6921"/>
    <w:rsid w:val="005F6BCA"/>
    <w:rsid w:val="005F7540"/>
    <w:rsid w:val="00601BCB"/>
    <w:rsid w:val="00602EBC"/>
    <w:rsid w:val="00603792"/>
    <w:rsid w:val="00603B7B"/>
    <w:rsid w:val="00606E34"/>
    <w:rsid w:val="006075CF"/>
    <w:rsid w:val="00611ACA"/>
    <w:rsid w:val="00620F1C"/>
    <w:rsid w:val="00623FD2"/>
    <w:rsid w:val="00624EA2"/>
    <w:rsid w:val="00626A70"/>
    <w:rsid w:val="00626D57"/>
    <w:rsid w:val="0062709C"/>
    <w:rsid w:val="00630404"/>
    <w:rsid w:val="00630577"/>
    <w:rsid w:val="00630789"/>
    <w:rsid w:val="0063081A"/>
    <w:rsid w:val="00631AA4"/>
    <w:rsid w:val="0063401E"/>
    <w:rsid w:val="00634930"/>
    <w:rsid w:val="00636ADA"/>
    <w:rsid w:val="00636C40"/>
    <w:rsid w:val="00637143"/>
    <w:rsid w:val="0063724A"/>
    <w:rsid w:val="006413C6"/>
    <w:rsid w:val="0064503E"/>
    <w:rsid w:val="00645751"/>
    <w:rsid w:val="006465AF"/>
    <w:rsid w:val="00646E15"/>
    <w:rsid w:val="00660E64"/>
    <w:rsid w:val="00660E93"/>
    <w:rsid w:val="00661934"/>
    <w:rsid w:val="006637B0"/>
    <w:rsid w:val="00663BB6"/>
    <w:rsid w:val="00665C8E"/>
    <w:rsid w:val="00666222"/>
    <w:rsid w:val="00666B93"/>
    <w:rsid w:val="006701B5"/>
    <w:rsid w:val="00672581"/>
    <w:rsid w:val="00672DBF"/>
    <w:rsid w:val="00675429"/>
    <w:rsid w:val="0067606F"/>
    <w:rsid w:val="006761BC"/>
    <w:rsid w:val="00680375"/>
    <w:rsid w:val="00682089"/>
    <w:rsid w:val="006854C2"/>
    <w:rsid w:val="00685930"/>
    <w:rsid w:val="00687372"/>
    <w:rsid w:val="00692AF4"/>
    <w:rsid w:val="0069301B"/>
    <w:rsid w:val="006941D0"/>
    <w:rsid w:val="00694B2F"/>
    <w:rsid w:val="00695D66"/>
    <w:rsid w:val="00696B37"/>
    <w:rsid w:val="00697931"/>
    <w:rsid w:val="006A2B73"/>
    <w:rsid w:val="006A36C5"/>
    <w:rsid w:val="006A3C57"/>
    <w:rsid w:val="006A3D34"/>
    <w:rsid w:val="006A52AA"/>
    <w:rsid w:val="006A5999"/>
    <w:rsid w:val="006A5B53"/>
    <w:rsid w:val="006A6131"/>
    <w:rsid w:val="006B0940"/>
    <w:rsid w:val="006B1B55"/>
    <w:rsid w:val="006B249D"/>
    <w:rsid w:val="006B3B6C"/>
    <w:rsid w:val="006B3D24"/>
    <w:rsid w:val="006B6586"/>
    <w:rsid w:val="006B6961"/>
    <w:rsid w:val="006B6C74"/>
    <w:rsid w:val="006C53DB"/>
    <w:rsid w:val="006D1EA5"/>
    <w:rsid w:val="006D3034"/>
    <w:rsid w:val="006D31C7"/>
    <w:rsid w:val="006D478A"/>
    <w:rsid w:val="006D52CC"/>
    <w:rsid w:val="006D5BFE"/>
    <w:rsid w:val="006D5EAE"/>
    <w:rsid w:val="006D7179"/>
    <w:rsid w:val="006E6765"/>
    <w:rsid w:val="006E7259"/>
    <w:rsid w:val="006E7599"/>
    <w:rsid w:val="006F3196"/>
    <w:rsid w:val="006F362C"/>
    <w:rsid w:val="006F732E"/>
    <w:rsid w:val="00700F33"/>
    <w:rsid w:val="00706023"/>
    <w:rsid w:val="007065E5"/>
    <w:rsid w:val="007069B5"/>
    <w:rsid w:val="00706CB7"/>
    <w:rsid w:val="00707932"/>
    <w:rsid w:val="007128E0"/>
    <w:rsid w:val="0071773A"/>
    <w:rsid w:val="00720771"/>
    <w:rsid w:val="00721B5B"/>
    <w:rsid w:val="0072315A"/>
    <w:rsid w:val="007237D0"/>
    <w:rsid w:val="007248C6"/>
    <w:rsid w:val="00724957"/>
    <w:rsid w:val="00724B53"/>
    <w:rsid w:val="00725634"/>
    <w:rsid w:val="00725FB4"/>
    <w:rsid w:val="00727B8D"/>
    <w:rsid w:val="00731381"/>
    <w:rsid w:val="00733B2E"/>
    <w:rsid w:val="007342F8"/>
    <w:rsid w:val="00734ABD"/>
    <w:rsid w:val="007361FA"/>
    <w:rsid w:val="00740AF4"/>
    <w:rsid w:val="00740E33"/>
    <w:rsid w:val="00740FB4"/>
    <w:rsid w:val="00741186"/>
    <w:rsid w:val="00741F64"/>
    <w:rsid w:val="007435B6"/>
    <w:rsid w:val="007435D7"/>
    <w:rsid w:val="00744152"/>
    <w:rsid w:val="007445B1"/>
    <w:rsid w:val="007450DA"/>
    <w:rsid w:val="0074781F"/>
    <w:rsid w:val="00750522"/>
    <w:rsid w:val="0075227C"/>
    <w:rsid w:val="0075381B"/>
    <w:rsid w:val="00755DBE"/>
    <w:rsid w:val="0075656A"/>
    <w:rsid w:val="00764282"/>
    <w:rsid w:val="007644D2"/>
    <w:rsid w:val="00765B77"/>
    <w:rsid w:val="007712D4"/>
    <w:rsid w:val="0077135E"/>
    <w:rsid w:val="00774767"/>
    <w:rsid w:val="00775F78"/>
    <w:rsid w:val="00776AF7"/>
    <w:rsid w:val="007810E6"/>
    <w:rsid w:val="00784A5B"/>
    <w:rsid w:val="00787BF6"/>
    <w:rsid w:val="00790A55"/>
    <w:rsid w:val="00791536"/>
    <w:rsid w:val="00791545"/>
    <w:rsid w:val="007925A8"/>
    <w:rsid w:val="0079416A"/>
    <w:rsid w:val="007943E4"/>
    <w:rsid w:val="007946D7"/>
    <w:rsid w:val="00796800"/>
    <w:rsid w:val="00796BFB"/>
    <w:rsid w:val="007A094F"/>
    <w:rsid w:val="007A19B9"/>
    <w:rsid w:val="007A3DD2"/>
    <w:rsid w:val="007A59C5"/>
    <w:rsid w:val="007A5D60"/>
    <w:rsid w:val="007B08BC"/>
    <w:rsid w:val="007B25CA"/>
    <w:rsid w:val="007B370C"/>
    <w:rsid w:val="007B5DCC"/>
    <w:rsid w:val="007B661F"/>
    <w:rsid w:val="007C0B8D"/>
    <w:rsid w:val="007C1A71"/>
    <w:rsid w:val="007C3FC6"/>
    <w:rsid w:val="007C4A27"/>
    <w:rsid w:val="007C4AA6"/>
    <w:rsid w:val="007D0553"/>
    <w:rsid w:val="007D13E7"/>
    <w:rsid w:val="007D1856"/>
    <w:rsid w:val="007D385D"/>
    <w:rsid w:val="007D3B3B"/>
    <w:rsid w:val="007D5ED6"/>
    <w:rsid w:val="007D7861"/>
    <w:rsid w:val="007E3EE5"/>
    <w:rsid w:val="007E5F04"/>
    <w:rsid w:val="007E7CC1"/>
    <w:rsid w:val="007E7DC0"/>
    <w:rsid w:val="007F00DA"/>
    <w:rsid w:val="007F0559"/>
    <w:rsid w:val="007F110B"/>
    <w:rsid w:val="007F135A"/>
    <w:rsid w:val="007F2D7B"/>
    <w:rsid w:val="007F3DCD"/>
    <w:rsid w:val="007F4CA0"/>
    <w:rsid w:val="007F768A"/>
    <w:rsid w:val="007F78CE"/>
    <w:rsid w:val="007F7AE0"/>
    <w:rsid w:val="00800627"/>
    <w:rsid w:val="008028E4"/>
    <w:rsid w:val="00802FFF"/>
    <w:rsid w:val="00804B2B"/>
    <w:rsid w:val="00805A33"/>
    <w:rsid w:val="008065EF"/>
    <w:rsid w:val="008108F5"/>
    <w:rsid w:val="0081161A"/>
    <w:rsid w:val="0081261C"/>
    <w:rsid w:val="008136F9"/>
    <w:rsid w:val="00815B90"/>
    <w:rsid w:val="008200E5"/>
    <w:rsid w:val="008201C5"/>
    <w:rsid w:val="0082122E"/>
    <w:rsid w:val="00821757"/>
    <w:rsid w:val="00821BAD"/>
    <w:rsid w:val="00822C4E"/>
    <w:rsid w:val="00823B85"/>
    <w:rsid w:val="00824363"/>
    <w:rsid w:val="00824C09"/>
    <w:rsid w:val="00827196"/>
    <w:rsid w:val="00833918"/>
    <w:rsid w:val="00835CAB"/>
    <w:rsid w:val="00837051"/>
    <w:rsid w:val="008376C1"/>
    <w:rsid w:val="00840B99"/>
    <w:rsid w:val="00840E65"/>
    <w:rsid w:val="00841482"/>
    <w:rsid w:val="00841CDA"/>
    <w:rsid w:val="00842DE4"/>
    <w:rsid w:val="008459B3"/>
    <w:rsid w:val="0085035D"/>
    <w:rsid w:val="0085122A"/>
    <w:rsid w:val="00851274"/>
    <w:rsid w:val="00855464"/>
    <w:rsid w:val="008557D8"/>
    <w:rsid w:val="00855B8D"/>
    <w:rsid w:val="0085639D"/>
    <w:rsid w:val="00856FC2"/>
    <w:rsid w:val="0085770A"/>
    <w:rsid w:val="0086066E"/>
    <w:rsid w:val="00860701"/>
    <w:rsid w:val="00860A77"/>
    <w:rsid w:val="00861E55"/>
    <w:rsid w:val="00867580"/>
    <w:rsid w:val="008722A5"/>
    <w:rsid w:val="0087290F"/>
    <w:rsid w:val="00872BA1"/>
    <w:rsid w:val="00872C98"/>
    <w:rsid w:val="0087411A"/>
    <w:rsid w:val="00875089"/>
    <w:rsid w:val="008757B7"/>
    <w:rsid w:val="00881612"/>
    <w:rsid w:val="00881C8D"/>
    <w:rsid w:val="00883591"/>
    <w:rsid w:val="008875E8"/>
    <w:rsid w:val="00887A51"/>
    <w:rsid w:val="00892368"/>
    <w:rsid w:val="0089797A"/>
    <w:rsid w:val="008A248C"/>
    <w:rsid w:val="008A2E56"/>
    <w:rsid w:val="008A2FD9"/>
    <w:rsid w:val="008A39D4"/>
    <w:rsid w:val="008A3ED8"/>
    <w:rsid w:val="008A4380"/>
    <w:rsid w:val="008A4D37"/>
    <w:rsid w:val="008A54D9"/>
    <w:rsid w:val="008A781F"/>
    <w:rsid w:val="008B3C36"/>
    <w:rsid w:val="008B41B3"/>
    <w:rsid w:val="008B62C9"/>
    <w:rsid w:val="008B63FD"/>
    <w:rsid w:val="008B72A5"/>
    <w:rsid w:val="008B7B25"/>
    <w:rsid w:val="008C08F5"/>
    <w:rsid w:val="008C146F"/>
    <w:rsid w:val="008C1E87"/>
    <w:rsid w:val="008C26B8"/>
    <w:rsid w:val="008C41C1"/>
    <w:rsid w:val="008C511D"/>
    <w:rsid w:val="008D0590"/>
    <w:rsid w:val="008D312F"/>
    <w:rsid w:val="008D42B6"/>
    <w:rsid w:val="008D7F38"/>
    <w:rsid w:val="008E02B5"/>
    <w:rsid w:val="008E0EF3"/>
    <w:rsid w:val="008E1D76"/>
    <w:rsid w:val="008E1F65"/>
    <w:rsid w:val="008E397C"/>
    <w:rsid w:val="008E6B5D"/>
    <w:rsid w:val="008F20D1"/>
    <w:rsid w:val="008F224B"/>
    <w:rsid w:val="008F36BC"/>
    <w:rsid w:val="008F39E6"/>
    <w:rsid w:val="008F3ADE"/>
    <w:rsid w:val="00900D7F"/>
    <w:rsid w:val="00900EAE"/>
    <w:rsid w:val="00901AAA"/>
    <w:rsid w:val="0090205B"/>
    <w:rsid w:val="00904C41"/>
    <w:rsid w:val="00904D8A"/>
    <w:rsid w:val="009064C5"/>
    <w:rsid w:val="00906985"/>
    <w:rsid w:val="00917CA6"/>
    <w:rsid w:val="0092048C"/>
    <w:rsid w:val="0092469C"/>
    <w:rsid w:val="00925301"/>
    <w:rsid w:val="00926B0A"/>
    <w:rsid w:val="0092702C"/>
    <w:rsid w:val="0092789E"/>
    <w:rsid w:val="009311D6"/>
    <w:rsid w:val="009321DC"/>
    <w:rsid w:val="009324AF"/>
    <w:rsid w:val="00932B60"/>
    <w:rsid w:val="00932F12"/>
    <w:rsid w:val="00932F8C"/>
    <w:rsid w:val="00933470"/>
    <w:rsid w:val="00933949"/>
    <w:rsid w:val="00934B63"/>
    <w:rsid w:val="00935852"/>
    <w:rsid w:val="00935DC1"/>
    <w:rsid w:val="00940BA6"/>
    <w:rsid w:val="00942214"/>
    <w:rsid w:val="00942519"/>
    <w:rsid w:val="00944D1D"/>
    <w:rsid w:val="00945D38"/>
    <w:rsid w:val="00946421"/>
    <w:rsid w:val="0094690E"/>
    <w:rsid w:val="0094727E"/>
    <w:rsid w:val="00950257"/>
    <w:rsid w:val="009520E7"/>
    <w:rsid w:val="00952C21"/>
    <w:rsid w:val="00952C52"/>
    <w:rsid w:val="009547F7"/>
    <w:rsid w:val="00955681"/>
    <w:rsid w:val="00956126"/>
    <w:rsid w:val="00956C66"/>
    <w:rsid w:val="009658F9"/>
    <w:rsid w:val="00966072"/>
    <w:rsid w:val="009664F0"/>
    <w:rsid w:val="00966FC8"/>
    <w:rsid w:val="00966FFE"/>
    <w:rsid w:val="009671B7"/>
    <w:rsid w:val="009709D0"/>
    <w:rsid w:val="00971978"/>
    <w:rsid w:val="00972705"/>
    <w:rsid w:val="00976B8A"/>
    <w:rsid w:val="00977346"/>
    <w:rsid w:val="00977436"/>
    <w:rsid w:val="00981331"/>
    <w:rsid w:val="009837ED"/>
    <w:rsid w:val="00990AE7"/>
    <w:rsid w:val="0099140E"/>
    <w:rsid w:val="0099288C"/>
    <w:rsid w:val="009932A5"/>
    <w:rsid w:val="0099463C"/>
    <w:rsid w:val="00994AF3"/>
    <w:rsid w:val="00995387"/>
    <w:rsid w:val="0099777A"/>
    <w:rsid w:val="009A0CCF"/>
    <w:rsid w:val="009A321B"/>
    <w:rsid w:val="009A361E"/>
    <w:rsid w:val="009A4348"/>
    <w:rsid w:val="009A5AB1"/>
    <w:rsid w:val="009A5B57"/>
    <w:rsid w:val="009A6B19"/>
    <w:rsid w:val="009A7D36"/>
    <w:rsid w:val="009B12A1"/>
    <w:rsid w:val="009B4B64"/>
    <w:rsid w:val="009B632D"/>
    <w:rsid w:val="009C1282"/>
    <w:rsid w:val="009C1306"/>
    <w:rsid w:val="009C151E"/>
    <w:rsid w:val="009C46BF"/>
    <w:rsid w:val="009D076D"/>
    <w:rsid w:val="009D1808"/>
    <w:rsid w:val="009D18EF"/>
    <w:rsid w:val="009D21ED"/>
    <w:rsid w:val="009D3D07"/>
    <w:rsid w:val="009D43DD"/>
    <w:rsid w:val="009D505F"/>
    <w:rsid w:val="009D5D7A"/>
    <w:rsid w:val="009D5E72"/>
    <w:rsid w:val="009D707B"/>
    <w:rsid w:val="009D720A"/>
    <w:rsid w:val="009D767A"/>
    <w:rsid w:val="009D7A7D"/>
    <w:rsid w:val="009E2527"/>
    <w:rsid w:val="009E4274"/>
    <w:rsid w:val="009E6949"/>
    <w:rsid w:val="009E6B2E"/>
    <w:rsid w:val="009F4286"/>
    <w:rsid w:val="009F6418"/>
    <w:rsid w:val="009F775C"/>
    <w:rsid w:val="009F7F61"/>
    <w:rsid w:val="00A01437"/>
    <w:rsid w:val="00A0194E"/>
    <w:rsid w:val="00A01A7E"/>
    <w:rsid w:val="00A02178"/>
    <w:rsid w:val="00A036BB"/>
    <w:rsid w:val="00A04DC6"/>
    <w:rsid w:val="00A05621"/>
    <w:rsid w:val="00A05885"/>
    <w:rsid w:val="00A076E4"/>
    <w:rsid w:val="00A07E87"/>
    <w:rsid w:val="00A10FD7"/>
    <w:rsid w:val="00A11116"/>
    <w:rsid w:val="00A126E0"/>
    <w:rsid w:val="00A128D5"/>
    <w:rsid w:val="00A13251"/>
    <w:rsid w:val="00A13419"/>
    <w:rsid w:val="00A13757"/>
    <w:rsid w:val="00A14AD6"/>
    <w:rsid w:val="00A15231"/>
    <w:rsid w:val="00A17214"/>
    <w:rsid w:val="00A175D3"/>
    <w:rsid w:val="00A211A0"/>
    <w:rsid w:val="00A216A3"/>
    <w:rsid w:val="00A22B53"/>
    <w:rsid w:val="00A24099"/>
    <w:rsid w:val="00A244C6"/>
    <w:rsid w:val="00A25936"/>
    <w:rsid w:val="00A25DF8"/>
    <w:rsid w:val="00A26182"/>
    <w:rsid w:val="00A268E6"/>
    <w:rsid w:val="00A27B2B"/>
    <w:rsid w:val="00A30217"/>
    <w:rsid w:val="00A30F28"/>
    <w:rsid w:val="00A326D2"/>
    <w:rsid w:val="00A33D55"/>
    <w:rsid w:val="00A34335"/>
    <w:rsid w:val="00A3459F"/>
    <w:rsid w:val="00A34AC5"/>
    <w:rsid w:val="00A34E27"/>
    <w:rsid w:val="00A351C7"/>
    <w:rsid w:val="00A35F68"/>
    <w:rsid w:val="00A3647C"/>
    <w:rsid w:val="00A36CDB"/>
    <w:rsid w:val="00A3751B"/>
    <w:rsid w:val="00A4144C"/>
    <w:rsid w:val="00A41535"/>
    <w:rsid w:val="00A44C18"/>
    <w:rsid w:val="00A44E32"/>
    <w:rsid w:val="00A45298"/>
    <w:rsid w:val="00A4559A"/>
    <w:rsid w:val="00A51D31"/>
    <w:rsid w:val="00A52545"/>
    <w:rsid w:val="00A544D7"/>
    <w:rsid w:val="00A54BF9"/>
    <w:rsid w:val="00A54EA0"/>
    <w:rsid w:val="00A56A71"/>
    <w:rsid w:val="00A60547"/>
    <w:rsid w:val="00A6112E"/>
    <w:rsid w:val="00A6118C"/>
    <w:rsid w:val="00A61EB3"/>
    <w:rsid w:val="00A641A0"/>
    <w:rsid w:val="00A659B5"/>
    <w:rsid w:val="00A72A95"/>
    <w:rsid w:val="00A75380"/>
    <w:rsid w:val="00A75C76"/>
    <w:rsid w:val="00A8013E"/>
    <w:rsid w:val="00A81710"/>
    <w:rsid w:val="00A82EFE"/>
    <w:rsid w:val="00A86C55"/>
    <w:rsid w:val="00A90704"/>
    <w:rsid w:val="00A907AF"/>
    <w:rsid w:val="00A92277"/>
    <w:rsid w:val="00A97CCA"/>
    <w:rsid w:val="00AA0A3C"/>
    <w:rsid w:val="00AA11B7"/>
    <w:rsid w:val="00AA2310"/>
    <w:rsid w:val="00AA233A"/>
    <w:rsid w:val="00AA3C5B"/>
    <w:rsid w:val="00AA3D1C"/>
    <w:rsid w:val="00AA40C2"/>
    <w:rsid w:val="00AA6176"/>
    <w:rsid w:val="00AB0F1D"/>
    <w:rsid w:val="00AB141B"/>
    <w:rsid w:val="00AB2205"/>
    <w:rsid w:val="00AB5EA0"/>
    <w:rsid w:val="00AB675E"/>
    <w:rsid w:val="00AB6865"/>
    <w:rsid w:val="00AC1089"/>
    <w:rsid w:val="00AC155E"/>
    <w:rsid w:val="00AC23F0"/>
    <w:rsid w:val="00AC2536"/>
    <w:rsid w:val="00AC3C27"/>
    <w:rsid w:val="00AC748E"/>
    <w:rsid w:val="00AC7EC0"/>
    <w:rsid w:val="00AD1460"/>
    <w:rsid w:val="00AD26C0"/>
    <w:rsid w:val="00AD28BB"/>
    <w:rsid w:val="00AD4029"/>
    <w:rsid w:val="00AD41F7"/>
    <w:rsid w:val="00AD4C2C"/>
    <w:rsid w:val="00AD58D4"/>
    <w:rsid w:val="00AD717C"/>
    <w:rsid w:val="00AD757F"/>
    <w:rsid w:val="00AD78EF"/>
    <w:rsid w:val="00AE0E52"/>
    <w:rsid w:val="00AE14EF"/>
    <w:rsid w:val="00AE2F18"/>
    <w:rsid w:val="00AE5947"/>
    <w:rsid w:val="00AE647A"/>
    <w:rsid w:val="00AF0ECE"/>
    <w:rsid w:val="00AF1ABB"/>
    <w:rsid w:val="00AF2D87"/>
    <w:rsid w:val="00AF2F3C"/>
    <w:rsid w:val="00AF30C4"/>
    <w:rsid w:val="00AF4342"/>
    <w:rsid w:val="00AF45AD"/>
    <w:rsid w:val="00AF4700"/>
    <w:rsid w:val="00AF4E9D"/>
    <w:rsid w:val="00AF5497"/>
    <w:rsid w:val="00AF5A2A"/>
    <w:rsid w:val="00AF7494"/>
    <w:rsid w:val="00B0014C"/>
    <w:rsid w:val="00B00F7A"/>
    <w:rsid w:val="00B0370E"/>
    <w:rsid w:val="00B03979"/>
    <w:rsid w:val="00B03987"/>
    <w:rsid w:val="00B03DED"/>
    <w:rsid w:val="00B06735"/>
    <w:rsid w:val="00B069D5"/>
    <w:rsid w:val="00B13A65"/>
    <w:rsid w:val="00B14241"/>
    <w:rsid w:val="00B143F1"/>
    <w:rsid w:val="00B2012F"/>
    <w:rsid w:val="00B219A5"/>
    <w:rsid w:val="00B2200E"/>
    <w:rsid w:val="00B22D2E"/>
    <w:rsid w:val="00B23DCD"/>
    <w:rsid w:val="00B244F5"/>
    <w:rsid w:val="00B25B9A"/>
    <w:rsid w:val="00B32847"/>
    <w:rsid w:val="00B34621"/>
    <w:rsid w:val="00B3498F"/>
    <w:rsid w:val="00B36077"/>
    <w:rsid w:val="00B36A0A"/>
    <w:rsid w:val="00B405FC"/>
    <w:rsid w:val="00B41528"/>
    <w:rsid w:val="00B42711"/>
    <w:rsid w:val="00B45486"/>
    <w:rsid w:val="00B470C3"/>
    <w:rsid w:val="00B47491"/>
    <w:rsid w:val="00B500D6"/>
    <w:rsid w:val="00B50612"/>
    <w:rsid w:val="00B51463"/>
    <w:rsid w:val="00B53D61"/>
    <w:rsid w:val="00B53FB3"/>
    <w:rsid w:val="00B54BBA"/>
    <w:rsid w:val="00B55C1E"/>
    <w:rsid w:val="00B56A98"/>
    <w:rsid w:val="00B57CAF"/>
    <w:rsid w:val="00B606CD"/>
    <w:rsid w:val="00B61149"/>
    <w:rsid w:val="00B628EE"/>
    <w:rsid w:val="00B65360"/>
    <w:rsid w:val="00B6755E"/>
    <w:rsid w:val="00B71854"/>
    <w:rsid w:val="00B71B7D"/>
    <w:rsid w:val="00B720A6"/>
    <w:rsid w:val="00B7259C"/>
    <w:rsid w:val="00B73A60"/>
    <w:rsid w:val="00B77D9A"/>
    <w:rsid w:val="00B80C9A"/>
    <w:rsid w:val="00B81A20"/>
    <w:rsid w:val="00B84886"/>
    <w:rsid w:val="00B85007"/>
    <w:rsid w:val="00B863FC"/>
    <w:rsid w:val="00B87B37"/>
    <w:rsid w:val="00B90EC4"/>
    <w:rsid w:val="00B926E1"/>
    <w:rsid w:val="00B92A79"/>
    <w:rsid w:val="00B93F32"/>
    <w:rsid w:val="00B93F5B"/>
    <w:rsid w:val="00B943D1"/>
    <w:rsid w:val="00B957AB"/>
    <w:rsid w:val="00B96307"/>
    <w:rsid w:val="00B9663B"/>
    <w:rsid w:val="00B97669"/>
    <w:rsid w:val="00BA064E"/>
    <w:rsid w:val="00BA0E39"/>
    <w:rsid w:val="00BA1A6A"/>
    <w:rsid w:val="00BA4531"/>
    <w:rsid w:val="00BA4756"/>
    <w:rsid w:val="00BA47D6"/>
    <w:rsid w:val="00BA482E"/>
    <w:rsid w:val="00BA7741"/>
    <w:rsid w:val="00BB068D"/>
    <w:rsid w:val="00BB14A0"/>
    <w:rsid w:val="00BB1720"/>
    <w:rsid w:val="00BB3044"/>
    <w:rsid w:val="00BB328C"/>
    <w:rsid w:val="00BB5975"/>
    <w:rsid w:val="00BB7763"/>
    <w:rsid w:val="00BC05A8"/>
    <w:rsid w:val="00BC0D1B"/>
    <w:rsid w:val="00BC1F88"/>
    <w:rsid w:val="00BC52CE"/>
    <w:rsid w:val="00BC6017"/>
    <w:rsid w:val="00BC7959"/>
    <w:rsid w:val="00BD0087"/>
    <w:rsid w:val="00BD3BFA"/>
    <w:rsid w:val="00BD52E8"/>
    <w:rsid w:val="00BD62D7"/>
    <w:rsid w:val="00BD6D96"/>
    <w:rsid w:val="00BE0D88"/>
    <w:rsid w:val="00BE1006"/>
    <w:rsid w:val="00BE27BA"/>
    <w:rsid w:val="00BE28D7"/>
    <w:rsid w:val="00BE38E5"/>
    <w:rsid w:val="00BE3E5B"/>
    <w:rsid w:val="00BE505D"/>
    <w:rsid w:val="00BE627B"/>
    <w:rsid w:val="00BE640D"/>
    <w:rsid w:val="00BE64C0"/>
    <w:rsid w:val="00BE6EA0"/>
    <w:rsid w:val="00BE7EE6"/>
    <w:rsid w:val="00BF2D6B"/>
    <w:rsid w:val="00BF3609"/>
    <w:rsid w:val="00BF486C"/>
    <w:rsid w:val="00BF5716"/>
    <w:rsid w:val="00BF69EC"/>
    <w:rsid w:val="00BF7DC8"/>
    <w:rsid w:val="00C01068"/>
    <w:rsid w:val="00C01ACC"/>
    <w:rsid w:val="00C05252"/>
    <w:rsid w:val="00C103FA"/>
    <w:rsid w:val="00C1061A"/>
    <w:rsid w:val="00C10B51"/>
    <w:rsid w:val="00C1126B"/>
    <w:rsid w:val="00C11555"/>
    <w:rsid w:val="00C118EE"/>
    <w:rsid w:val="00C12069"/>
    <w:rsid w:val="00C1266D"/>
    <w:rsid w:val="00C12F2D"/>
    <w:rsid w:val="00C1305E"/>
    <w:rsid w:val="00C13E74"/>
    <w:rsid w:val="00C14D93"/>
    <w:rsid w:val="00C15CDB"/>
    <w:rsid w:val="00C16F9E"/>
    <w:rsid w:val="00C2640C"/>
    <w:rsid w:val="00C26828"/>
    <w:rsid w:val="00C2728C"/>
    <w:rsid w:val="00C27EAA"/>
    <w:rsid w:val="00C30728"/>
    <w:rsid w:val="00C34216"/>
    <w:rsid w:val="00C37CC8"/>
    <w:rsid w:val="00C40168"/>
    <w:rsid w:val="00C40293"/>
    <w:rsid w:val="00C44971"/>
    <w:rsid w:val="00C44BE9"/>
    <w:rsid w:val="00C4571B"/>
    <w:rsid w:val="00C47228"/>
    <w:rsid w:val="00C5034A"/>
    <w:rsid w:val="00C51C48"/>
    <w:rsid w:val="00C51C6C"/>
    <w:rsid w:val="00C52412"/>
    <w:rsid w:val="00C53D35"/>
    <w:rsid w:val="00C54ECA"/>
    <w:rsid w:val="00C5534F"/>
    <w:rsid w:val="00C55451"/>
    <w:rsid w:val="00C568D3"/>
    <w:rsid w:val="00C569BD"/>
    <w:rsid w:val="00C56EC8"/>
    <w:rsid w:val="00C60377"/>
    <w:rsid w:val="00C61AD1"/>
    <w:rsid w:val="00C6251A"/>
    <w:rsid w:val="00C63C42"/>
    <w:rsid w:val="00C65702"/>
    <w:rsid w:val="00C65A9B"/>
    <w:rsid w:val="00C66BFE"/>
    <w:rsid w:val="00C71B75"/>
    <w:rsid w:val="00C71E99"/>
    <w:rsid w:val="00C7229C"/>
    <w:rsid w:val="00C72EDB"/>
    <w:rsid w:val="00C74D1A"/>
    <w:rsid w:val="00C7551A"/>
    <w:rsid w:val="00C756CA"/>
    <w:rsid w:val="00C75D41"/>
    <w:rsid w:val="00C76CEA"/>
    <w:rsid w:val="00C77F53"/>
    <w:rsid w:val="00C81BAC"/>
    <w:rsid w:val="00C82106"/>
    <w:rsid w:val="00C82844"/>
    <w:rsid w:val="00C82FE4"/>
    <w:rsid w:val="00C838CB"/>
    <w:rsid w:val="00C848DC"/>
    <w:rsid w:val="00C87FDE"/>
    <w:rsid w:val="00C92594"/>
    <w:rsid w:val="00C93056"/>
    <w:rsid w:val="00C965FE"/>
    <w:rsid w:val="00C96CB0"/>
    <w:rsid w:val="00CA0F5D"/>
    <w:rsid w:val="00CA1059"/>
    <w:rsid w:val="00CA1907"/>
    <w:rsid w:val="00CA1B0E"/>
    <w:rsid w:val="00CA3042"/>
    <w:rsid w:val="00CA69E4"/>
    <w:rsid w:val="00CA7A47"/>
    <w:rsid w:val="00CB0CF5"/>
    <w:rsid w:val="00CB287C"/>
    <w:rsid w:val="00CB39FC"/>
    <w:rsid w:val="00CB523D"/>
    <w:rsid w:val="00CB7098"/>
    <w:rsid w:val="00CC09E9"/>
    <w:rsid w:val="00CC135B"/>
    <w:rsid w:val="00CC1365"/>
    <w:rsid w:val="00CC29A1"/>
    <w:rsid w:val="00CC2F5C"/>
    <w:rsid w:val="00CC30F8"/>
    <w:rsid w:val="00CC42C4"/>
    <w:rsid w:val="00CC4573"/>
    <w:rsid w:val="00CC4F63"/>
    <w:rsid w:val="00CC4FEF"/>
    <w:rsid w:val="00CD114E"/>
    <w:rsid w:val="00CD167A"/>
    <w:rsid w:val="00CD1973"/>
    <w:rsid w:val="00CD1E7D"/>
    <w:rsid w:val="00CD3222"/>
    <w:rsid w:val="00CD334E"/>
    <w:rsid w:val="00CD34B1"/>
    <w:rsid w:val="00CD3F26"/>
    <w:rsid w:val="00CD4DE5"/>
    <w:rsid w:val="00CE1E4D"/>
    <w:rsid w:val="00CE1E4F"/>
    <w:rsid w:val="00CE31FC"/>
    <w:rsid w:val="00CE324D"/>
    <w:rsid w:val="00CE4598"/>
    <w:rsid w:val="00CE4E50"/>
    <w:rsid w:val="00CE618D"/>
    <w:rsid w:val="00CE7387"/>
    <w:rsid w:val="00CE7631"/>
    <w:rsid w:val="00CF1B99"/>
    <w:rsid w:val="00CF20DD"/>
    <w:rsid w:val="00CF2881"/>
    <w:rsid w:val="00CF4321"/>
    <w:rsid w:val="00CF510C"/>
    <w:rsid w:val="00CF5BA2"/>
    <w:rsid w:val="00CF7809"/>
    <w:rsid w:val="00CF7CA4"/>
    <w:rsid w:val="00CF7FC5"/>
    <w:rsid w:val="00D02182"/>
    <w:rsid w:val="00D04EDF"/>
    <w:rsid w:val="00D056E8"/>
    <w:rsid w:val="00D05CF6"/>
    <w:rsid w:val="00D05D2A"/>
    <w:rsid w:val="00D1436F"/>
    <w:rsid w:val="00D15F40"/>
    <w:rsid w:val="00D16601"/>
    <w:rsid w:val="00D1742E"/>
    <w:rsid w:val="00D217B6"/>
    <w:rsid w:val="00D23566"/>
    <w:rsid w:val="00D2534E"/>
    <w:rsid w:val="00D25561"/>
    <w:rsid w:val="00D27CA2"/>
    <w:rsid w:val="00D27F94"/>
    <w:rsid w:val="00D3175A"/>
    <w:rsid w:val="00D31B84"/>
    <w:rsid w:val="00D31F77"/>
    <w:rsid w:val="00D3239C"/>
    <w:rsid w:val="00D34B46"/>
    <w:rsid w:val="00D36A38"/>
    <w:rsid w:val="00D37568"/>
    <w:rsid w:val="00D37DDC"/>
    <w:rsid w:val="00D40006"/>
    <w:rsid w:val="00D41074"/>
    <w:rsid w:val="00D413B1"/>
    <w:rsid w:val="00D41B86"/>
    <w:rsid w:val="00D43BD0"/>
    <w:rsid w:val="00D43F37"/>
    <w:rsid w:val="00D44116"/>
    <w:rsid w:val="00D44311"/>
    <w:rsid w:val="00D44D87"/>
    <w:rsid w:val="00D4572B"/>
    <w:rsid w:val="00D45859"/>
    <w:rsid w:val="00D45E4D"/>
    <w:rsid w:val="00D46C71"/>
    <w:rsid w:val="00D47291"/>
    <w:rsid w:val="00D47A84"/>
    <w:rsid w:val="00D518A6"/>
    <w:rsid w:val="00D53B6F"/>
    <w:rsid w:val="00D55D71"/>
    <w:rsid w:val="00D56DDE"/>
    <w:rsid w:val="00D57F07"/>
    <w:rsid w:val="00D60518"/>
    <w:rsid w:val="00D62900"/>
    <w:rsid w:val="00D62E43"/>
    <w:rsid w:val="00D6392D"/>
    <w:rsid w:val="00D64A48"/>
    <w:rsid w:val="00D652C5"/>
    <w:rsid w:val="00D65CA8"/>
    <w:rsid w:val="00D65D4F"/>
    <w:rsid w:val="00D66001"/>
    <w:rsid w:val="00D66002"/>
    <w:rsid w:val="00D70745"/>
    <w:rsid w:val="00D715A3"/>
    <w:rsid w:val="00D7237E"/>
    <w:rsid w:val="00D7259A"/>
    <w:rsid w:val="00D735D6"/>
    <w:rsid w:val="00D74A07"/>
    <w:rsid w:val="00D7649B"/>
    <w:rsid w:val="00D80592"/>
    <w:rsid w:val="00D81B63"/>
    <w:rsid w:val="00D831D3"/>
    <w:rsid w:val="00D837A4"/>
    <w:rsid w:val="00D847B9"/>
    <w:rsid w:val="00D8566B"/>
    <w:rsid w:val="00D90063"/>
    <w:rsid w:val="00D94006"/>
    <w:rsid w:val="00D95178"/>
    <w:rsid w:val="00D95253"/>
    <w:rsid w:val="00D96331"/>
    <w:rsid w:val="00D96D9F"/>
    <w:rsid w:val="00D9774E"/>
    <w:rsid w:val="00DA03C3"/>
    <w:rsid w:val="00DA0964"/>
    <w:rsid w:val="00DA1192"/>
    <w:rsid w:val="00DA1602"/>
    <w:rsid w:val="00DA1E19"/>
    <w:rsid w:val="00DA5CEF"/>
    <w:rsid w:val="00DA65F9"/>
    <w:rsid w:val="00DA78C1"/>
    <w:rsid w:val="00DA7E96"/>
    <w:rsid w:val="00DB1A8F"/>
    <w:rsid w:val="00DB34D5"/>
    <w:rsid w:val="00DB4A7C"/>
    <w:rsid w:val="00DB5186"/>
    <w:rsid w:val="00DB5276"/>
    <w:rsid w:val="00DB635B"/>
    <w:rsid w:val="00DB739F"/>
    <w:rsid w:val="00DB73BC"/>
    <w:rsid w:val="00DB7F61"/>
    <w:rsid w:val="00DC2E3B"/>
    <w:rsid w:val="00DC3993"/>
    <w:rsid w:val="00DC3F41"/>
    <w:rsid w:val="00DC42F6"/>
    <w:rsid w:val="00DC5099"/>
    <w:rsid w:val="00DC556F"/>
    <w:rsid w:val="00DD0812"/>
    <w:rsid w:val="00DD0D6E"/>
    <w:rsid w:val="00DD2A13"/>
    <w:rsid w:val="00DD5332"/>
    <w:rsid w:val="00DD543A"/>
    <w:rsid w:val="00DD5E59"/>
    <w:rsid w:val="00DE0BC8"/>
    <w:rsid w:val="00DE110C"/>
    <w:rsid w:val="00DE2328"/>
    <w:rsid w:val="00DE42EF"/>
    <w:rsid w:val="00DE65DE"/>
    <w:rsid w:val="00DF05BC"/>
    <w:rsid w:val="00DF2B54"/>
    <w:rsid w:val="00DF4689"/>
    <w:rsid w:val="00DF5062"/>
    <w:rsid w:val="00DF5674"/>
    <w:rsid w:val="00DF6E1C"/>
    <w:rsid w:val="00E00090"/>
    <w:rsid w:val="00E00B2B"/>
    <w:rsid w:val="00E03203"/>
    <w:rsid w:val="00E04AFD"/>
    <w:rsid w:val="00E05C65"/>
    <w:rsid w:val="00E06AAA"/>
    <w:rsid w:val="00E1061B"/>
    <w:rsid w:val="00E108E9"/>
    <w:rsid w:val="00E10FEE"/>
    <w:rsid w:val="00E1280A"/>
    <w:rsid w:val="00E145A9"/>
    <w:rsid w:val="00E14DC9"/>
    <w:rsid w:val="00E164CF"/>
    <w:rsid w:val="00E20803"/>
    <w:rsid w:val="00E20F1F"/>
    <w:rsid w:val="00E2103B"/>
    <w:rsid w:val="00E222A2"/>
    <w:rsid w:val="00E22320"/>
    <w:rsid w:val="00E2439E"/>
    <w:rsid w:val="00E259D3"/>
    <w:rsid w:val="00E26801"/>
    <w:rsid w:val="00E27682"/>
    <w:rsid w:val="00E27E91"/>
    <w:rsid w:val="00E30AB8"/>
    <w:rsid w:val="00E33565"/>
    <w:rsid w:val="00E3459F"/>
    <w:rsid w:val="00E35B94"/>
    <w:rsid w:val="00E40B2D"/>
    <w:rsid w:val="00E40CD6"/>
    <w:rsid w:val="00E4110A"/>
    <w:rsid w:val="00E42B0E"/>
    <w:rsid w:val="00E43E2C"/>
    <w:rsid w:val="00E4417C"/>
    <w:rsid w:val="00E45C91"/>
    <w:rsid w:val="00E4657B"/>
    <w:rsid w:val="00E514C1"/>
    <w:rsid w:val="00E51DEE"/>
    <w:rsid w:val="00E51FB6"/>
    <w:rsid w:val="00E52790"/>
    <w:rsid w:val="00E538DE"/>
    <w:rsid w:val="00E539A6"/>
    <w:rsid w:val="00E547A5"/>
    <w:rsid w:val="00E54EB5"/>
    <w:rsid w:val="00E60070"/>
    <w:rsid w:val="00E605B7"/>
    <w:rsid w:val="00E61359"/>
    <w:rsid w:val="00E61E1F"/>
    <w:rsid w:val="00E62340"/>
    <w:rsid w:val="00E62CC0"/>
    <w:rsid w:val="00E640D6"/>
    <w:rsid w:val="00E645CD"/>
    <w:rsid w:val="00E64EF9"/>
    <w:rsid w:val="00E70138"/>
    <w:rsid w:val="00E73320"/>
    <w:rsid w:val="00E747D0"/>
    <w:rsid w:val="00E74C79"/>
    <w:rsid w:val="00E752E0"/>
    <w:rsid w:val="00E759BB"/>
    <w:rsid w:val="00E7731C"/>
    <w:rsid w:val="00E775B1"/>
    <w:rsid w:val="00E836BF"/>
    <w:rsid w:val="00E84DB5"/>
    <w:rsid w:val="00E85634"/>
    <w:rsid w:val="00E866FA"/>
    <w:rsid w:val="00E90DDB"/>
    <w:rsid w:val="00E92B15"/>
    <w:rsid w:val="00E92D47"/>
    <w:rsid w:val="00E9554B"/>
    <w:rsid w:val="00E95BF0"/>
    <w:rsid w:val="00E95BF8"/>
    <w:rsid w:val="00E95E10"/>
    <w:rsid w:val="00E97528"/>
    <w:rsid w:val="00E979EC"/>
    <w:rsid w:val="00E97D76"/>
    <w:rsid w:val="00E97E4F"/>
    <w:rsid w:val="00EA0BBF"/>
    <w:rsid w:val="00EA14E6"/>
    <w:rsid w:val="00EA1B7E"/>
    <w:rsid w:val="00EA2B53"/>
    <w:rsid w:val="00EA3AF0"/>
    <w:rsid w:val="00EA6136"/>
    <w:rsid w:val="00EA6738"/>
    <w:rsid w:val="00EA787F"/>
    <w:rsid w:val="00EA7B65"/>
    <w:rsid w:val="00EB16A6"/>
    <w:rsid w:val="00EB198F"/>
    <w:rsid w:val="00EB24F5"/>
    <w:rsid w:val="00EB4087"/>
    <w:rsid w:val="00EB591C"/>
    <w:rsid w:val="00EB60DD"/>
    <w:rsid w:val="00EB6F92"/>
    <w:rsid w:val="00EB70BA"/>
    <w:rsid w:val="00EB7691"/>
    <w:rsid w:val="00EB77F8"/>
    <w:rsid w:val="00EC25B3"/>
    <w:rsid w:val="00EC2711"/>
    <w:rsid w:val="00EC4458"/>
    <w:rsid w:val="00EC61B9"/>
    <w:rsid w:val="00EC6DA7"/>
    <w:rsid w:val="00ED13D9"/>
    <w:rsid w:val="00ED1D73"/>
    <w:rsid w:val="00ED2EA4"/>
    <w:rsid w:val="00ED512D"/>
    <w:rsid w:val="00ED58BE"/>
    <w:rsid w:val="00EE0658"/>
    <w:rsid w:val="00EE15A6"/>
    <w:rsid w:val="00EE4B43"/>
    <w:rsid w:val="00EE4EE1"/>
    <w:rsid w:val="00EE5A7B"/>
    <w:rsid w:val="00EE6C35"/>
    <w:rsid w:val="00EF029C"/>
    <w:rsid w:val="00EF0C22"/>
    <w:rsid w:val="00EF0ED4"/>
    <w:rsid w:val="00EF3A67"/>
    <w:rsid w:val="00EF54D1"/>
    <w:rsid w:val="00EF6864"/>
    <w:rsid w:val="00EF6EB8"/>
    <w:rsid w:val="00EF744C"/>
    <w:rsid w:val="00F03BBA"/>
    <w:rsid w:val="00F04D2B"/>
    <w:rsid w:val="00F05862"/>
    <w:rsid w:val="00F0626A"/>
    <w:rsid w:val="00F12DD5"/>
    <w:rsid w:val="00F1437D"/>
    <w:rsid w:val="00F144D4"/>
    <w:rsid w:val="00F15404"/>
    <w:rsid w:val="00F156B9"/>
    <w:rsid w:val="00F15FA1"/>
    <w:rsid w:val="00F162B5"/>
    <w:rsid w:val="00F16AB8"/>
    <w:rsid w:val="00F16C42"/>
    <w:rsid w:val="00F215C4"/>
    <w:rsid w:val="00F220B3"/>
    <w:rsid w:val="00F24280"/>
    <w:rsid w:val="00F24627"/>
    <w:rsid w:val="00F2777B"/>
    <w:rsid w:val="00F27A7F"/>
    <w:rsid w:val="00F27D25"/>
    <w:rsid w:val="00F32F8A"/>
    <w:rsid w:val="00F332D4"/>
    <w:rsid w:val="00F3658B"/>
    <w:rsid w:val="00F37B7E"/>
    <w:rsid w:val="00F37BFD"/>
    <w:rsid w:val="00F45F64"/>
    <w:rsid w:val="00F5093A"/>
    <w:rsid w:val="00F50AB7"/>
    <w:rsid w:val="00F50B61"/>
    <w:rsid w:val="00F50D5F"/>
    <w:rsid w:val="00F517F8"/>
    <w:rsid w:val="00F519C4"/>
    <w:rsid w:val="00F52D3B"/>
    <w:rsid w:val="00F53F06"/>
    <w:rsid w:val="00F53FCF"/>
    <w:rsid w:val="00F55157"/>
    <w:rsid w:val="00F55228"/>
    <w:rsid w:val="00F55705"/>
    <w:rsid w:val="00F56B76"/>
    <w:rsid w:val="00F57B7A"/>
    <w:rsid w:val="00F57CAA"/>
    <w:rsid w:val="00F62DCF"/>
    <w:rsid w:val="00F62F5D"/>
    <w:rsid w:val="00F642C8"/>
    <w:rsid w:val="00F645ED"/>
    <w:rsid w:val="00F706CC"/>
    <w:rsid w:val="00F722B3"/>
    <w:rsid w:val="00F7277B"/>
    <w:rsid w:val="00F7306C"/>
    <w:rsid w:val="00F7353F"/>
    <w:rsid w:val="00F754B6"/>
    <w:rsid w:val="00F7686B"/>
    <w:rsid w:val="00F7708C"/>
    <w:rsid w:val="00F81389"/>
    <w:rsid w:val="00F829B8"/>
    <w:rsid w:val="00F82C30"/>
    <w:rsid w:val="00F82D42"/>
    <w:rsid w:val="00F8309A"/>
    <w:rsid w:val="00F832A4"/>
    <w:rsid w:val="00F83884"/>
    <w:rsid w:val="00F845B4"/>
    <w:rsid w:val="00F85453"/>
    <w:rsid w:val="00F86712"/>
    <w:rsid w:val="00F86A99"/>
    <w:rsid w:val="00F874BA"/>
    <w:rsid w:val="00F87624"/>
    <w:rsid w:val="00F90321"/>
    <w:rsid w:val="00F90622"/>
    <w:rsid w:val="00F95D86"/>
    <w:rsid w:val="00F97DC3"/>
    <w:rsid w:val="00FA05FD"/>
    <w:rsid w:val="00FA3963"/>
    <w:rsid w:val="00FA3F62"/>
    <w:rsid w:val="00FA647E"/>
    <w:rsid w:val="00FB06E6"/>
    <w:rsid w:val="00FB3C2E"/>
    <w:rsid w:val="00FB3E8F"/>
    <w:rsid w:val="00FB5FE5"/>
    <w:rsid w:val="00FB613D"/>
    <w:rsid w:val="00FB62C8"/>
    <w:rsid w:val="00FB6807"/>
    <w:rsid w:val="00FB6F6F"/>
    <w:rsid w:val="00FB7602"/>
    <w:rsid w:val="00FC38A6"/>
    <w:rsid w:val="00FC57BC"/>
    <w:rsid w:val="00FC6445"/>
    <w:rsid w:val="00FC7F89"/>
    <w:rsid w:val="00FD0173"/>
    <w:rsid w:val="00FD0958"/>
    <w:rsid w:val="00FD5651"/>
    <w:rsid w:val="00FD7B8C"/>
    <w:rsid w:val="00FE1803"/>
    <w:rsid w:val="00FE34B3"/>
    <w:rsid w:val="00FE3FCA"/>
    <w:rsid w:val="00FE4E84"/>
    <w:rsid w:val="00FE579A"/>
    <w:rsid w:val="00FE71DD"/>
    <w:rsid w:val="00FF0A5B"/>
    <w:rsid w:val="00FF1928"/>
    <w:rsid w:val="00FF2806"/>
    <w:rsid w:val="00FF4E28"/>
    <w:rsid w:val="00FF5E3E"/>
    <w:rsid w:val="0C85F69D"/>
    <w:rsid w:val="195EC4AA"/>
    <w:rsid w:val="19BE0DCE"/>
    <w:rsid w:val="1E884055"/>
    <w:rsid w:val="1F9F7515"/>
    <w:rsid w:val="1FEE1ADA"/>
    <w:rsid w:val="2A068CEA"/>
    <w:rsid w:val="2AAE975B"/>
    <w:rsid w:val="2FEEF193"/>
    <w:rsid w:val="333F9791"/>
    <w:rsid w:val="35A0DCB5"/>
    <w:rsid w:val="42EE3F0E"/>
    <w:rsid w:val="5370C7A3"/>
    <w:rsid w:val="58A962C6"/>
    <w:rsid w:val="5A54355A"/>
    <w:rsid w:val="5F590E2D"/>
    <w:rsid w:val="60A16F4F"/>
    <w:rsid w:val="61B6230E"/>
    <w:rsid w:val="672B634F"/>
    <w:rsid w:val="6D2FA0CE"/>
    <w:rsid w:val="717E0298"/>
    <w:rsid w:val="73BB53C0"/>
    <w:rsid w:val="762B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8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E6"/>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316"/>
    <w:pPr>
      <w:spacing w:before="120" w:after="120"/>
      <w:ind w:firstLine="720"/>
    </w:pPr>
  </w:style>
  <w:style w:type="character" w:customStyle="1" w:styleId="BodyTextChar">
    <w:name w:val="Body Text Char"/>
    <w:basedOn w:val="DefaultParagraphFont"/>
    <w:link w:val="BodyText"/>
    <w:rsid w:val="004C631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C6316"/>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4C6316"/>
    <w:pPr>
      <w:spacing w:after="120"/>
      <w:ind w:left="1037" w:hanging="1037"/>
    </w:pPr>
  </w:style>
  <w:style w:type="paragraph" w:customStyle="1" w:styleId="TableTitle">
    <w:name w:val="Table Title"/>
    <w:basedOn w:val="Normal"/>
    <w:link w:val="TableTitleChar"/>
    <w:qFormat/>
    <w:rsid w:val="004C6316"/>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4C6316"/>
    <w:rPr>
      <w:rFonts w:ascii="Arial" w:hAnsi="Arial"/>
      <w:b/>
    </w:rPr>
  </w:style>
  <w:style w:type="paragraph" w:styleId="TOC1">
    <w:name w:val="toc 1"/>
    <w:basedOn w:val="Normal"/>
    <w:next w:val="Normal"/>
    <w:uiPriority w:val="39"/>
    <w:qFormat/>
    <w:rsid w:val="004C6316"/>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4C6316"/>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4C6316"/>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4C6316"/>
    <w:pPr>
      <w:spacing w:after="0" w:line="240" w:lineRule="auto"/>
      <w:ind w:left="480"/>
    </w:pPr>
    <w:rPr>
      <w:sz w:val="20"/>
    </w:rPr>
  </w:style>
  <w:style w:type="paragraph" w:styleId="TOC5">
    <w:name w:val="toc 5"/>
    <w:basedOn w:val="TOC2"/>
    <w:next w:val="Normal"/>
    <w:uiPriority w:val="39"/>
    <w:rsid w:val="004C6316"/>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4C6316"/>
    <w:pPr>
      <w:numPr>
        <w:numId w:val="13"/>
      </w:numPr>
      <w:spacing w:after="60"/>
    </w:pPr>
    <w:rPr>
      <w:rFonts w:cs="Arial"/>
      <w:spacing w:val="-2"/>
    </w:rPr>
  </w:style>
  <w:style w:type="character" w:customStyle="1" w:styleId="bulletroundChar">
    <w:name w:val="bullet round Char"/>
    <w:basedOn w:val="DefaultParagraphFont"/>
    <w:link w:val="bulletround"/>
    <w:uiPriority w:val="99"/>
    <w:rsid w:val="004C6316"/>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A14E6"/>
    <w:pPr>
      <w:keepNext/>
      <w:spacing w:before="20" w:after="20" w:line="240" w:lineRule="auto"/>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4C6316"/>
    <w:pPr>
      <w:ind w:left="576" w:hanging="346"/>
    </w:pPr>
    <w:rPr>
      <w:kern w:val="2"/>
    </w:rPr>
  </w:style>
  <w:style w:type="paragraph" w:customStyle="1" w:styleId="4enspsubgroup2">
    <w:name w:val="4 en sp (subgroup 2)"/>
    <w:basedOn w:val="2enspsubgroup1"/>
    <w:rsid w:val="004C6316"/>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4C6316"/>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C6316"/>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4C6316"/>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4C6316"/>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4C6316"/>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4C6316"/>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EA14E6"/>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4C6316"/>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EA14E6"/>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4C6316"/>
    <w:pPr>
      <w:spacing w:after="120"/>
      <w:ind w:left="360"/>
    </w:pPr>
  </w:style>
  <w:style w:type="character" w:customStyle="1" w:styleId="BodyTextIndentChar">
    <w:name w:val="Body Text Indent Char"/>
    <w:basedOn w:val="DefaultParagraphFont"/>
    <w:link w:val="BodyTextIndent"/>
    <w:semiHidden/>
    <w:rsid w:val="004C6316"/>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Indent1">
    <w:name w:val="Body Text Indent1"/>
    <w:basedOn w:val="BodyText"/>
    <w:qFormat/>
    <w:rsid w:val="004C6316"/>
    <w:pPr>
      <w:spacing w:before="0" w:after="0"/>
      <w:ind w:left="720" w:firstLine="0"/>
    </w:pPr>
    <w:rPr>
      <w:rFonts w:eastAsiaTheme="minorHAnsi"/>
    </w:rPr>
  </w:style>
  <w:style w:type="paragraph" w:customStyle="1" w:styleId="Bullet10">
    <w:name w:val="Bullet 1"/>
    <w:basedOn w:val="BodyText"/>
    <w:uiPriority w:val="2"/>
    <w:qFormat/>
    <w:rsid w:val="004C6316"/>
    <w:pPr>
      <w:numPr>
        <w:numId w:val="12"/>
      </w:numPr>
      <w:spacing w:after="0"/>
    </w:pPr>
    <w:rPr>
      <w:szCs w:val="24"/>
    </w:rPr>
  </w:style>
  <w:style w:type="paragraph" w:customStyle="1" w:styleId="Bullet2">
    <w:name w:val="Bullet 2"/>
    <w:basedOn w:val="BodyText"/>
    <w:uiPriority w:val="2"/>
    <w:qFormat/>
    <w:rsid w:val="004C6316"/>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4C6316"/>
    <w:pPr>
      <w:spacing w:line="240" w:lineRule="auto"/>
      <w:contextualSpacing/>
    </w:pPr>
    <w:rPr>
      <w:rFonts w:ascii="Times New Roman" w:hAnsi="Times New Roman"/>
      <w:szCs w:val="24"/>
    </w:rPr>
  </w:style>
  <w:style w:type="character" w:customStyle="1" w:styleId="apple-converted-space">
    <w:name w:val="apple-converted-space"/>
    <w:basedOn w:val="DefaultParagraphFont"/>
    <w:rsid w:val="00790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E6"/>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316"/>
    <w:pPr>
      <w:spacing w:before="120" w:after="120"/>
      <w:ind w:firstLine="720"/>
    </w:pPr>
  </w:style>
  <w:style w:type="character" w:customStyle="1" w:styleId="BodyTextChar">
    <w:name w:val="Body Text Char"/>
    <w:basedOn w:val="DefaultParagraphFont"/>
    <w:link w:val="BodyText"/>
    <w:rsid w:val="004C631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C6316"/>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4C6316"/>
    <w:pPr>
      <w:spacing w:after="120"/>
      <w:ind w:left="1037" w:hanging="1037"/>
    </w:pPr>
  </w:style>
  <w:style w:type="paragraph" w:customStyle="1" w:styleId="TableTitle">
    <w:name w:val="Table Title"/>
    <w:basedOn w:val="Normal"/>
    <w:link w:val="TableTitleChar"/>
    <w:qFormat/>
    <w:rsid w:val="004C6316"/>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4C6316"/>
    <w:rPr>
      <w:rFonts w:ascii="Arial" w:hAnsi="Arial"/>
      <w:b/>
    </w:rPr>
  </w:style>
  <w:style w:type="paragraph" w:styleId="TOC1">
    <w:name w:val="toc 1"/>
    <w:basedOn w:val="Normal"/>
    <w:next w:val="Normal"/>
    <w:uiPriority w:val="39"/>
    <w:qFormat/>
    <w:rsid w:val="004C6316"/>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4C6316"/>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4C6316"/>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4C6316"/>
    <w:pPr>
      <w:spacing w:after="0" w:line="240" w:lineRule="auto"/>
      <w:ind w:left="480"/>
    </w:pPr>
    <w:rPr>
      <w:sz w:val="20"/>
    </w:rPr>
  </w:style>
  <w:style w:type="paragraph" w:styleId="TOC5">
    <w:name w:val="toc 5"/>
    <w:basedOn w:val="TOC2"/>
    <w:next w:val="Normal"/>
    <w:uiPriority w:val="39"/>
    <w:rsid w:val="004C6316"/>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4C6316"/>
    <w:pPr>
      <w:numPr>
        <w:numId w:val="13"/>
      </w:numPr>
      <w:spacing w:after="60"/>
    </w:pPr>
    <w:rPr>
      <w:rFonts w:cs="Arial"/>
      <w:spacing w:val="-2"/>
    </w:rPr>
  </w:style>
  <w:style w:type="character" w:customStyle="1" w:styleId="bulletroundChar">
    <w:name w:val="bullet round Char"/>
    <w:basedOn w:val="DefaultParagraphFont"/>
    <w:link w:val="bulletround"/>
    <w:uiPriority w:val="99"/>
    <w:rsid w:val="004C6316"/>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A14E6"/>
    <w:pPr>
      <w:keepNext/>
      <w:spacing w:before="20" w:after="20" w:line="240" w:lineRule="auto"/>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4C6316"/>
    <w:pPr>
      <w:ind w:left="576" w:hanging="346"/>
    </w:pPr>
    <w:rPr>
      <w:kern w:val="2"/>
    </w:rPr>
  </w:style>
  <w:style w:type="paragraph" w:customStyle="1" w:styleId="4enspsubgroup2">
    <w:name w:val="4 en sp (subgroup 2)"/>
    <w:basedOn w:val="2enspsubgroup1"/>
    <w:rsid w:val="004C6316"/>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4C6316"/>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C6316"/>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4C6316"/>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4C6316"/>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4C6316"/>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4C6316"/>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EA14E6"/>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4C6316"/>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EA14E6"/>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4C6316"/>
    <w:pPr>
      <w:spacing w:after="120"/>
      <w:ind w:left="360"/>
    </w:pPr>
  </w:style>
  <w:style w:type="character" w:customStyle="1" w:styleId="BodyTextIndentChar">
    <w:name w:val="Body Text Indent Char"/>
    <w:basedOn w:val="DefaultParagraphFont"/>
    <w:link w:val="BodyTextIndent"/>
    <w:semiHidden/>
    <w:rsid w:val="004C6316"/>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Indent1">
    <w:name w:val="Body Text Indent1"/>
    <w:basedOn w:val="BodyText"/>
    <w:qFormat/>
    <w:rsid w:val="004C6316"/>
    <w:pPr>
      <w:spacing w:before="0" w:after="0"/>
      <w:ind w:left="720" w:firstLine="0"/>
    </w:pPr>
    <w:rPr>
      <w:rFonts w:eastAsiaTheme="minorHAnsi"/>
    </w:rPr>
  </w:style>
  <w:style w:type="paragraph" w:customStyle="1" w:styleId="Bullet10">
    <w:name w:val="Bullet 1"/>
    <w:basedOn w:val="BodyText"/>
    <w:uiPriority w:val="2"/>
    <w:qFormat/>
    <w:rsid w:val="004C6316"/>
    <w:pPr>
      <w:numPr>
        <w:numId w:val="12"/>
      </w:numPr>
      <w:spacing w:after="0"/>
    </w:pPr>
    <w:rPr>
      <w:szCs w:val="24"/>
    </w:rPr>
  </w:style>
  <w:style w:type="paragraph" w:customStyle="1" w:styleId="Bullet2">
    <w:name w:val="Bullet 2"/>
    <w:basedOn w:val="BodyText"/>
    <w:uiPriority w:val="2"/>
    <w:qFormat/>
    <w:rsid w:val="004C6316"/>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4C6316"/>
    <w:pPr>
      <w:spacing w:line="240" w:lineRule="auto"/>
      <w:contextualSpacing/>
    </w:pPr>
    <w:rPr>
      <w:rFonts w:ascii="Times New Roman" w:hAnsi="Times New Roman"/>
      <w:szCs w:val="24"/>
    </w:rPr>
  </w:style>
  <w:style w:type="character" w:customStyle="1" w:styleId="apple-converted-space">
    <w:name w:val="apple-converted-space"/>
    <w:basedOn w:val="DefaultParagraphFont"/>
    <w:rsid w:val="0079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279842166">
      <w:bodyDiv w:val="1"/>
      <w:marLeft w:val="0"/>
      <w:marRight w:val="0"/>
      <w:marTop w:val="0"/>
      <w:marBottom w:val="0"/>
      <w:divBdr>
        <w:top w:val="none" w:sz="0" w:space="0" w:color="auto"/>
        <w:left w:val="none" w:sz="0" w:space="0" w:color="auto"/>
        <w:bottom w:val="none" w:sz="0" w:space="0" w:color="auto"/>
        <w:right w:val="none" w:sz="0" w:space="0" w:color="auto"/>
      </w:divBdr>
    </w:div>
    <w:div w:id="342050108">
      <w:bodyDiv w:val="1"/>
      <w:marLeft w:val="0"/>
      <w:marRight w:val="0"/>
      <w:marTop w:val="0"/>
      <w:marBottom w:val="0"/>
      <w:divBdr>
        <w:top w:val="none" w:sz="0" w:space="0" w:color="auto"/>
        <w:left w:val="none" w:sz="0" w:space="0" w:color="auto"/>
        <w:bottom w:val="none" w:sz="0" w:space="0" w:color="auto"/>
        <w:right w:val="none" w:sz="0" w:space="0" w:color="auto"/>
      </w:divBdr>
      <w:divsChild>
        <w:div w:id="1680808539">
          <w:marLeft w:val="0"/>
          <w:marRight w:val="0"/>
          <w:marTop w:val="0"/>
          <w:marBottom w:val="0"/>
          <w:divBdr>
            <w:top w:val="none" w:sz="0" w:space="0" w:color="auto"/>
            <w:left w:val="none" w:sz="0" w:space="0" w:color="auto"/>
            <w:bottom w:val="none" w:sz="0" w:space="0" w:color="auto"/>
            <w:right w:val="none" w:sz="0" w:space="0" w:color="auto"/>
          </w:divBdr>
        </w:div>
      </w:divsChild>
    </w:div>
    <w:div w:id="476146924">
      <w:bodyDiv w:val="1"/>
      <w:marLeft w:val="0"/>
      <w:marRight w:val="0"/>
      <w:marTop w:val="0"/>
      <w:marBottom w:val="0"/>
      <w:divBdr>
        <w:top w:val="none" w:sz="0" w:space="0" w:color="auto"/>
        <w:left w:val="none" w:sz="0" w:space="0" w:color="auto"/>
        <w:bottom w:val="none" w:sz="0" w:space="0" w:color="auto"/>
        <w:right w:val="none" w:sz="0" w:space="0" w:color="auto"/>
      </w:divBdr>
      <w:divsChild>
        <w:div w:id="537205152">
          <w:marLeft w:val="0"/>
          <w:marRight w:val="0"/>
          <w:marTop w:val="0"/>
          <w:marBottom w:val="0"/>
          <w:divBdr>
            <w:top w:val="none" w:sz="0" w:space="0" w:color="auto"/>
            <w:left w:val="none" w:sz="0" w:space="0" w:color="auto"/>
            <w:bottom w:val="none" w:sz="0" w:space="0" w:color="auto"/>
            <w:right w:val="none" w:sz="0" w:space="0" w:color="auto"/>
          </w:divBdr>
        </w:div>
      </w:divsChild>
    </w:div>
    <w:div w:id="711077003">
      <w:bodyDiv w:val="1"/>
      <w:marLeft w:val="0"/>
      <w:marRight w:val="0"/>
      <w:marTop w:val="0"/>
      <w:marBottom w:val="0"/>
      <w:divBdr>
        <w:top w:val="none" w:sz="0" w:space="0" w:color="auto"/>
        <w:left w:val="none" w:sz="0" w:space="0" w:color="auto"/>
        <w:bottom w:val="none" w:sz="0" w:space="0" w:color="auto"/>
        <w:right w:val="none" w:sz="0" w:space="0" w:color="auto"/>
      </w:divBdr>
      <w:divsChild>
        <w:div w:id="1209611008">
          <w:marLeft w:val="0"/>
          <w:marRight w:val="0"/>
          <w:marTop w:val="0"/>
          <w:marBottom w:val="0"/>
          <w:divBdr>
            <w:top w:val="none" w:sz="0" w:space="0" w:color="auto"/>
            <w:left w:val="none" w:sz="0" w:space="0" w:color="auto"/>
            <w:bottom w:val="none" w:sz="0" w:space="0" w:color="auto"/>
            <w:right w:val="none" w:sz="0" w:space="0" w:color="auto"/>
          </w:divBdr>
        </w:div>
      </w:divsChild>
    </w:div>
    <w:div w:id="757217481">
      <w:bodyDiv w:val="1"/>
      <w:marLeft w:val="0"/>
      <w:marRight w:val="0"/>
      <w:marTop w:val="0"/>
      <w:marBottom w:val="0"/>
      <w:divBdr>
        <w:top w:val="none" w:sz="0" w:space="0" w:color="auto"/>
        <w:left w:val="none" w:sz="0" w:space="0" w:color="auto"/>
        <w:bottom w:val="none" w:sz="0" w:space="0" w:color="auto"/>
        <w:right w:val="none" w:sz="0" w:space="0" w:color="auto"/>
      </w:divBdr>
    </w:div>
    <w:div w:id="1053046369">
      <w:bodyDiv w:val="1"/>
      <w:marLeft w:val="0"/>
      <w:marRight w:val="0"/>
      <w:marTop w:val="0"/>
      <w:marBottom w:val="0"/>
      <w:divBdr>
        <w:top w:val="none" w:sz="0" w:space="0" w:color="auto"/>
        <w:left w:val="none" w:sz="0" w:space="0" w:color="auto"/>
        <w:bottom w:val="none" w:sz="0" w:space="0" w:color="auto"/>
        <w:right w:val="none" w:sz="0" w:space="0" w:color="auto"/>
      </w:divBdr>
      <w:divsChild>
        <w:div w:id="876355037">
          <w:marLeft w:val="0"/>
          <w:marRight w:val="0"/>
          <w:marTop w:val="0"/>
          <w:marBottom w:val="0"/>
          <w:divBdr>
            <w:top w:val="none" w:sz="0" w:space="0" w:color="auto"/>
            <w:left w:val="none" w:sz="0" w:space="0" w:color="auto"/>
            <w:bottom w:val="none" w:sz="0" w:space="0" w:color="auto"/>
            <w:right w:val="none" w:sz="0" w:space="0" w:color="auto"/>
          </w:divBdr>
        </w:div>
      </w:divsChild>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1049263">
      <w:bodyDiv w:val="1"/>
      <w:marLeft w:val="0"/>
      <w:marRight w:val="0"/>
      <w:marTop w:val="0"/>
      <w:marBottom w:val="0"/>
      <w:divBdr>
        <w:top w:val="none" w:sz="0" w:space="0" w:color="auto"/>
        <w:left w:val="none" w:sz="0" w:space="0" w:color="auto"/>
        <w:bottom w:val="none" w:sz="0" w:space="0" w:color="auto"/>
        <w:right w:val="none" w:sz="0" w:space="0" w:color="auto"/>
      </w:divBdr>
      <w:divsChild>
        <w:div w:id="1029335733">
          <w:marLeft w:val="0"/>
          <w:marRight w:val="0"/>
          <w:marTop w:val="0"/>
          <w:marBottom w:val="0"/>
          <w:divBdr>
            <w:top w:val="none" w:sz="0" w:space="0" w:color="auto"/>
            <w:left w:val="none" w:sz="0" w:space="0" w:color="auto"/>
            <w:bottom w:val="none" w:sz="0" w:space="0" w:color="auto"/>
            <w:right w:val="none" w:sz="0" w:space="0" w:color="auto"/>
          </w:divBdr>
        </w:div>
      </w:divsChild>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4034561">
      <w:bodyDiv w:val="1"/>
      <w:marLeft w:val="0"/>
      <w:marRight w:val="0"/>
      <w:marTop w:val="0"/>
      <w:marBottom w:val="0"/>
      <w:divBdr>
        <w:top w:val="none" w:sz="0" w:space="0" w:color="auto"/>
        <w:left w:val="none" w:sz="0" w:space="0" w:color="auto"/>
        <w:bottom w:val="none" w:sz="0" w:space="0" w:color="auto"/>
        <w:right w:val="none" w:sz="0" w:space="0" w:color="auto"/>
      </w:divBdr>
    </w:div>
    <w:div w:id="1896773479">
      <w:bodyDiv w:val="1"/>
      <w:marLeft w:val="0"/>
      <w:marRight w:val="0"/>
      <w:marTop w:val="0"/>
      <w:marBottom w:val="0"/>
      <w:divBdr>
        <w:top w:val="none" w:sz="0" w:space="0" w:color="auto"/>
        <w:left w:val="none" w:sz="0" w:space="0" w:color="auto"/>
        <w:bottom w:val="none" w:sz="0" w:space="0" w:color="auto"/>
        <w:right w:val="none" w:sz="0" w:space="0" w:color="auto"/>
      </w:divBdr>
      <w:divsChild>
        <w:div w:id="747732970">
          <w:marLeft w:val="0"/>
          <w:marRight w:val="0"/>
          <w:marTop w:val="0"/>
          <w:marBottom w:val="0"/>
          <w:divBdr>
            <w:top w:val="none" w:sz="0" w:space="0" w:color="auto"/>
            <w:left w:val="none" w:sz="0" w:space="0" w:color="auto"/>
            <w:bottom w:val="none" w:sz="0" w:space="0" w:color="auto"/>
            <w:right w:val="none" w:sz="0" w:space="0" w:color="auto"/>
          </w:divBdr>
        </w:div>
      </w:divsChild>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37326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snap-step1.usda.gov/f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ces.ed.gov/surveys/npsas/grant/application.asp" TargetMode="Externa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ces.ed.gov/pubsearch/licenses.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grant/NPSAS-Specific.as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ies.ed.gov/funding/grantsearch/details.asp?ID=1853" TargetMode="External"/><Relationship Id="rId23" Type="http://schemas.openxmlformats.org/officeDocument/2006/relationships/theme" Target="theme/theme1.xml"/><Relationship Id="rId10" Type="http://schemas.openxmlformats.org/officeDocument/2006/relationships/hyperlink" Target="https://www.federalregister.gov/documents/2015/04/15/2015-08627/applications-for-new-awards-education-research-and-special-education-research-grant-programs" TargetMode="External"/><Relationship Id="rId19"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hyperlink" Target="http://nces.ed.gov/surveys/npsas/about.asp" TargetMode="External"/><Relationship Id="rId14" Type="http://schemas.openxmlformats.org/officeDocument/2006/relationships/hyperlink" Target="http://ies.ed.gov/funding/grantsearch/details.asp?ID=184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18CC-A3C0-4E18-B48B-5C6FDF86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Wine, Jennifer</dc:creator>
  <cp:lastModifiedBy>Kubzdela, Kashka</cp:lastModifiedBy>
  <cp:revision>12</cp:revision>
  <cp:lastPrinted>2016-11-07T13:30:00Z</cp:lastPrinted>
  <dcterms:created xsi:type="dcterms:W3CDTF">2016-11-08T04:29:00Z</dcterms:created>
  <dcterms:modified xsi:type="dcterms:W3CDTF">2016-12-14T00:42:00Z</dcterms:modified>
</cp:coreProperties>
</file>