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82467" w14:textId="77777777" w:rsidR="00BB7BEB" w:rsidRPr="00BB7BEB" w:rsidRDefault="00BB7BEB" w:rsidP="00990291">
      <w:pPr>
        <w:jc w:val="center"/>
        <w:rPr>
          <w:szCs w:val="26"/>
        </w:rPr>
      </w:pPr>
      <w:bookmarkStart w:id="0" w:name="_GoBack"/>
      <w:bookmarkEnd w:id="0"/>
      <w:r>
        <w:rPr>
          <w:szCs w:val="26"/>
        </w:rPr>
        <w:t>156 FERC ¶ 61,210</w:t>
      </w:r>
    </w:p>
    <w:p w14:paraId="4D782468" w14:textId="77777777" w:rsidR="00D9308C" w:rsidRPr="00353406" w:rsidRDefault="00D9308C" w:rsidP="00990291">
      <w:pPr>
        <w:jc w:val="center"/>
        <w:rPr>
          <w:szCs w:val="26"/>
        </w:rPr>
      </w:pPr>
      <w:r w:rsidRPr="00353406">
        <w:rPr>
          <w:szCs w:val="26"/>
        </w:rPr>
        <w:t>UNITED STATES OF AMERICA</w:t>
      </w:r>
    </w:p>
    <w:p w14:paraId="4D782469" w14:textId="77777777" w:rsidR="00D9308C" w:rsidRPr="00353406" w:rsidRDefault="00D9308C" w:rsidP="00990291">
      <w:pPr>
        <w:jc w:val="center"/>
        <w:rPr>
          <w:szCs w:val="26"/>
        </w:rPr>
      </w:pPr>
      <w:r w:rsidRPr="00353406">
        <w:rPr>
          <w:szCs w:val="26"/>
        </w:rPr>
        <w:t>FEDERAL ENERGY REGULATORY COMMISSION</w:t>
      </w:r>
    </w:p>
    <w:p w14:paraId="4D78246A" w14:textId="77777777" w:rsidR="00D9308C" w:rsidRPr="00353406" w:rsidRDefault="00D9308C" w:rsidP="00990291">
      <w:pPr>
        <w:jc w:val="center"/>
        <w:rPr>
          <w:szCs w:val="26"/>
        </w:rPr>
      </w:pPr>
    </w:p>
    <w:p w14:paraId="4D78246B" w14:textId="77777777" w:rsidR="00D9308C" w:rsidRPr="00353406" w:rsidRDefault="00D9308C" w:rsidP="00990291">
      <w:pPr>
        <w:jc w:val="center"/>
        <w:rPr>
          <w:szCs w:val="26"/>
        </w:rPr>
      </w:pPr>
      <w:r w:rsidRPr="00353406">
        <w:rPr>
          <w:szCs w:val="26"/>
        </w:rPr>
        <w:t>18 CFR Part 40</w:t>
      </w:r>
    </w:p>
    <w:p w14:paraId="4D78246C" w14:textId="77777777" w:rsidR="00D9308C" w:rsidRPr="00353406" w:rsidRDefault="00D9308C" w:rsidP="00990291">
      <w:pPr>
        <w:jc w:val="center"/>
        <w:rPr>
          <w:szCs w:val="26"/>
        </w:rPr>
      </w:pPr>
    </w:p>
    <w:p w14:paraId="4D78246D" w14:textId="77777777" w:rsidR="00D9308C" w:rsidRPr="00353406" w:rsidRDefault="006F7D99" w:rsidP="00990291">
      <w:pPr>
        <w:jc w:val="center"/>
        <w:rPr>
          <w:szCs w:val="26"/>
        </w:rPr>
      </w:pPr>
      <w:r w:rsidRPr="00353406">
        <w:rPr>
          <w:szCs w:val="26"/>
        </w:rPr>
        <w:t>[Docket No. RM1</w:t>
      </w:r>
      <w:r w:rsidR="00264344" w:rsidRPr="00353406">
        <w:rPr>
          <w:szCs w:val="26"/>
        </w:rPr>
        <w:t>6</w:t>
      </w:r>
      <w:r w:rsidRPr="00353406">
        <w:rPr>
          <w:szCs w:val="26"/>
        </w:rPr>
        <w:t>-</w:t>
      </w:r>
      <w:r w:rsidR="00264344" w:rsidRPr="00353406">
        <w:rPr>
          <w:szCs w:val="26"/>
        </w:rPr>
        <w:t>13</w:t>
      </w:r>
      <w:r w:rsidR="00D9308C" w:rsidRPr="00353406">
        <w:rPr>
          <w:szCs w:val="26"/>
        </w:rPr>
        <w:t>-000]</w:t>
      </w:r>
    </w:p>
    <w:p w14:paraId="4D78246E" w14:textId="77777777" w:rsidR="00D9308C" w:rsidRPr="00353406" w:rsidRDefault="00D9308C" w:rsidP="00990291">
      <w:pPr>
        <w:jc w:val="center"/>
        <w:rPr>
          <w:szCs w:val="26"/>
        </w:rPr>
      </w:pPr>
    </w:p>
    <w:p w14:paraId="4D78246F" w14:textId="77777777" w:rsidR="00D9308C" w:rsidRPr="00353406" w:rsidRDefault="00B54F76" w:rsidP="008A3E8E">
      <w:pPr>
        <w:jc w:val="center"/>
        <w:rPr>
          <w:szCs w:val="26"/>
        </w:rPr>
      </w:pPr>
      <w:r w:rsidRPr="00353406">
        <w:rPr>
          <w:szCs w:val="26"/>
        </w:rPr>
        <w:t>Balancing Authority Control</w:t>
      </w:r>
      <w:r w:rsidR="00922030" w:rsidRPr="00353406">
        <w:rPr>
          <w:szCs w:val="26"/>
        </w:rPr>
        <w:t>,</w:t>
      </w:r>
      <w:r w:rsidRPr="00353406">
        <w:rPr>
          <w:szCs w:val="26"/>
        </w:rPr>
        <w:t xml:space="preserve"> </w:t>
      </w:r>
      <w:r w:rsidR="00922030" w:rsidRPr="00353406">
        <w:rPr>
          <w:szCs w:val="26"/>
        </w:rPr>
        <w:t xml:space="preserve">Inadvertent Interchange, </w:t>
      </w:r>
      <w:r w:rsidR="00922030" w:rsidRPr="00353406">
        <w:rPr>
          <w:szCs w:val="26"/>
        </w:rPr>
        <w:br/>
      </w:r>
      <w:r w:rsidRPr="00353406">
        <w:rPr>
          <w:szCs w:val="26"/>
        </w:rPr>
        <w:t xml:space="preserve">and Facility Interconnection Reliability Standards </w:t>
      </w:r>
    </w:p>
    <w:p w14:paraId="4D782470" w14:textId="77777777" w:rsidR="00D9308C" w:rsidRPr="00353406" w:rsidRDefault="00D9308C" w:rsidP="00990291">
      <w:pPr>
        <w:jc w:val="center"/>
        <w:rPr>
          <w:szCs w:val="26"/>
        </w:rPr>
      </w:pPr>
    </w:p>
    <w:p w14:paraId="4D782471" w14:textId="77777777" w:rsidR="00D9308C" w:rsidRDefault="00BB7BEB" w:rsidP="00BB7BEB">
      <w:pPr>
        <w:widowControl/>
        <w:jc w:val="center"/>
        <w:rPr>
          <w:szCs w:val="26"/>
        </w:rPr>
      </w:pPr>
      <w:r w:rsidRPr="00BB7BEB">
        <w:rPr>
          <w:szCs w:val="26"/>
        </w:rPr>
        <w:t>(September 2</w:t>
      </w:r>
      <w:r>
        <w:rPr>
          <w:szCs w:val="26"/>
        </w:rPr>
        <w:t>2</w:t>
      </w:r>
      <w:r w:rsidRPr="00BB7BEB">
        <w:rPr>
          <w:szCs w:val="26"/>
        </w:rPr>
        <w:t>, 2016)</w:t>
      </w:r>
    </w:p>
    <w:p w14:paraId="4D782472" w14:textId="77777777" w:rsidR="00E03458" w:rsidRPr="00353406" w:rsidRDefault="00E03458" w:rsidP="00990291">
      <w:pPr>
        <w:rPr>
          <w:szCs w:val="26"/>
        </w:rPr>
      </w:pPr>
    </w:p>
    <w:p w14:paraId="4D782473" w14:textId="77777777" w:rsidR="00D9308C" w:rsidRPr="00353406" w:rsidRDefault="00D9308C" w:rsidP="00990291">
      <w:pPr>
        <w:spacing w:line="480" w:lineRule="auto"/>
        <w:rPr>
          <w:szCs w:val="26"/>
        </w:rPr>
      </w:pPr>
      <w:r w:rsidRPr="00353406">
        <w:rPr>
          <w:szCs w:val="26"/>
          <w:u w:val="single"/>
        </w:rPr>
        <w:t>AGENCY</w:t>
      </w:r>
      <w:r w:rsidRPr="00353406">
        <w:rPr>
          <w:szCs w:val="26"/>
        </w:rPr>
        <w:t>:  Federal Energy Regulatory Commission.</w:t>
      </w:r>
    </w:p>
    <w:p w14:paraId="4D782474" w14:textId="77777777" w:rsidR="00D9308C" w:rsidRPr="00353406" w:rsidRDefault="00D9308C" w:rsidP="00990291">
      <w:pPr>
        <w:spacing w:line="480" w:lineRule="auto"/>
        <w:rPr>
          <w:szCs w:val="26"/>
        </w:rPr>
      </w:pPr>
      <w:r w:rsidRPr="00353406">
        <w:rPr>
          <w:szCs w:val="26"/>
          <w:u w:val="single"/>
        </w:rPr>
        <w:t>ACTION</w:t>
      </w:r>
      <w:r w:rsidRPr="00353406">
        <w:rPr>
          <w:szCs w:val="26"/>
        </w:rPr>
        <w:t xml:space="preserve">:  Notice of </w:t>
      </w:r>
      <w:r w:rsidR="008F35F4">
        <w:rPr>
          <w:szCs w:val="26"/>
        </w:rPr>
        <w:t>p</w:t>
      </w:r>
      <w:r w:rsidRPr="00353406">
        <w:rPr>
          <w:szCs w:val="26"/>
        </w:rPr>
        <w:t xml:space="preserve">roposed </w:t>
      </w:r>
      <w:r w:rsidR="008F35F4">
        <w:rPr>
          <w:szCs w:val="26"/>
        </w:rPr>
        <w:t>r</w:t>
      </w:r>
      <w:r w:rsidRPr="00353406">
        <w:rPr>
          <w:szCs w:val="26"/>
        </w:rPr>
        <w:t>ulemaking.</w:t>
      </w:r>
    </w:p>
    <w:p w14:paraId="4D782475" w14:textId="77777777" w:rsidR="00B54F76" w:rsidRPr="00353406" w:rsidRDefault="00D9308C" w:rsidP="00656F15">
      <w:pPr>
        <w:pStyle w:val="FERCparanumber"/>
        <w:numPr>
          <w:ilvl w:val="0"/>
          <w:numId w:val="0"/>
        </w:numPr>
      </w:pPr>
      <w:r w:rsidRPr="00353406">
        <w:rPr>
          <w:u w:val="single"/>
        </w:rPr>
        <w:t>SUMMARY</w:t>
      </w:r>
      <w:r w:rsidRPr="00353406">
        <w:t xml:space="preserve">:  </w:t>
      </w:r>
      <w:r w:rsidR="005A6F33" w:rsidRPr="00353406">
        <w:t>T</w:t>
      </w:r>
      <w:r w:rsidRPr="00353406">
        <w:t>he Commission proposes to approve Reliability Standard</w:t>
      </w:r>
      <w:r w:rsidR="00402619">
        <w:t>s</w:t>
      </w:r>
      <w:r w:rsidRPr="00353406">
        <w:t xml:space="preserve"> </w:t>
      </w:r>
      <w:r w:rsidR="00FF6DFB" w:rsidRPr="00353406">
        <w:t>BAL-00</w:t>
      </w:r>
      <w:r w:rsidR="00B54F76" w:rsidRPr="00353406">
        <w:t>5-1 (Balancing Authority Control) and FAC-001-3 (Facility Interconnection Requirements)</w:t>
      </w:r>
      <w:r w:rsidR="00A92B25">
        <w:t xml:space="preserve"> </w:t>
      </w:r>
      <w:r w:rsidR="00402619">
        <w:t>submitted by the North American Electric Reliability Corporation</w:t>
      </w:r>
      <w:r w:rsidR="003D0E19">
        <w:t>.</w:t>
      </w:r>
      <w:r w:rsidR="00402619">
        <w:t xml:space="preserve"> </w:t>
      </w:r>
    </w:p>
    <w:p w14:paraId="4D782476" w14:textId="77777777" w:rsidR="00D9308C" w:rsidRPr="00353406" w:rsidRDefault="00D9308C" w:rsidP="00990291">
      <w:pPr>
        <w:spacing w:line="480" w:lineRule="auto"/>
        <w:rPr>
          <w:szCs w:val="26"/>
        </w:rPr>
      </w:pPr>
      <w:r w:rsidRPr="00353406">
        <w:rPr>
          <w:szCs w:val="26"/>
          <w:u w:val="single"/>
        </w:rPr>
        <w:t>DATES</w:t>
      </w:r>
      <w:r w:rsidRPr="00353406">
        <w:rPr>
          <w:szCs w:val="26"/>
        </w:rPr>
        <w:t>:  Comments are due</w:t>
      </w:r>
      <w:r w:rsidRPr="00353406">
        <w:rPr>
          <w:b/>
          <w:szCs w:val="26"/>
        </w:rPr>
        <w:t xml:space="preserve"> [INSERT DATE 60 days after publication in the FEDERAL REGISTER</w:t>
      </w:r>
      <w:r w:rsidRPr="00353406">
        <w:rPr>
          <w:szCs w:val="26"/>
        </w:rPr>
        <w:t>]</w:t>
      </w:r>
      <w:r w:rsidR="009A4648" w:rsidRPr="00353406">
        <w:rPr>
          <w:szCs w:val="26"/>
        </w:rPr>
        <w:t>.</w:t>
      </w:r>
    </w:p>
    <w:p w14:paraId="4D782477" w14:textId="77777777" w:rsidR="00D9308C" w:rsidRPr="00353406" w:rsidRDefault="00D9308C" w:rsidP="00990291">
      <w:pPr>
        <w:spacing w:line="480" w:lineRule="auto"/>
        <w:rPr>
          <w:szCs w:val="26"/>
        </w:rPr>
      </w:pPr>
      <w:r w:rsidRPr="00353406">
        <w:rPr>
          <w:szCs w:val="26"/>
          <w:u w:val="single"/>
        </w:rPr>
        <w:t>ADDRESSES</w:t>
      </w:r>
      <w:r w:rsidRPr="00353406">
        <w:rPr>
          <w:szCs w:val="26"/>
        </w:rPr>
        <w:t xml:space="preserve">:  Comments, identified by docket number, may be filed in the following ways: </w:t>
      </w:r>
    </w:p>
    <w:p w14:paraId="4D782478" w14:textId="77777777" w:rsidR="00D9308C" w:rsidRPr="00353406" w:rsidRDefault="00D9308C" w:rsidP="00990291">
      <w:pPr>
        <w:numPr>
          <w:ilvl w:val="0"/>
          <w:numId w:val="12"/>
        </w:numPr>
        <w:spacing w:line="480" w:lineRule="auto"/>
        <w:rPr>
          <w:szCs w:val="26"/>
        </w:rPr>
      </w:pPr>
      <w:r w:rsidRPr="00353406">
        <w:rPr>
          <w:szCs w:val="26"/>
        </w:rPr>
        <w:t xml:space="preserve">Electronic Filing through </w:t>
      </w:r>
      <w:hyperlink r:id="rId11" w:history="1">
        <w:r w:rsidRPr="00353406">
          <w:rPr>
            <w:rStyle w:val="Hyperlink"/>
            <w:color w:val="auto"/>
            <w:szCs w:val="26"/>
            <w:u w:val="none"/>
          </w:rPr>
          <w:t>http://www.ferc.gov</w:t>
        </w:r>
      </w:hyperlink>
      <w:r w:rsidRPr="00353406">
        <w:rPr>
          <w:szCs w:val="26"/>
        </w:rPr>
        <w:t>.  Documents created electronically using word processing software should be filed in native applications or print-to-PDF format and not in a scanned format.</w:t>
      </w:r>
    </w:p>
    <w:p w14:paraId="4D782479" w14:textId="77777777" w:rsidR="00D9308C" w:rsidRPr="00353406" w:rsidRDefault="00D9308C" w:rsidP="00990291">
      <w:pPr>
        <w:numPr>
          <w:ilvl w:val="0"/>
          <w:numId w:val="12"/>
        </w:numPr>
        <w:spacing w:line="480" w:lineRule="auto"/>
        <w:rPr>
          <w:szCs w:val="26"/>
        </w:rPr>
      </w:pPr>
      <w:r w:rsidRPr="00353406">
        <w:rPr>
          <w:szCs w:val="26"/>
        </w:rPr>
        <w:t xml:space="preserve">Mail/Hand Delivery:  Those unable to file electronically may mail or hand-deliver comments to: </w:t>
      </w:r>
      <w:r w:rsidR="004103B0" w:rsidRPr="00353406">
        <w:rPr>
          <w:szCs w:val="26"/>
        </w:rPr>
        <w:t xml:space="preserve"> </w:t>
      </w:r>
      <w:r w:rsidRPr="00353406">
        <w:rPr>
          <w:szCs w:val="26"/>
        </w:rPr>
        <w:t>Federal Energy Regulatory Commission, Secretary of the Commission, 888 First Street, NE, Washington, DC</w:t>
      </w:r>
      <w:r w:rsidR="00623924" w:rsidRPr="00353406">
        <w:rPr>
          <w:szCs w:val="26"/>
        </w:rPr>
        <w:t xml:space="preserve"> </w:t>
      </w:r>
      <w:r w:rsidRPr="00353406">
        <w:rPr>
          <w:szCs w:val="26"/>
        </w:rPr>
        <w:t xml:space="preserve"> 20426.</w:t>
      </w:r>
    </w:p>
    <w:p w14:paraId="4D78247A" w14:textId="77777777" w:rsidR="00D9308C" w:rsidRPr="00353406" w:rsidRDefault="00D9308C" w:rsidP="00990291">
      <w:pPr>
        <w:rPr>
          <w:szCs w:val="26"/>
        </w:rPr>
      </w:pPr>
      <w:r w:rsidRPr="00353406">
        <w:rPr>
          <w:i/>
          <w:szCs w:val="26"/>
        </w:rPr>
        <w:lastRenderedPageBreak/>
        <w:t>Instructions</w:t>
      </w:r>
      <w:r w:rsidRPr="00353406">
        <w:rPr>
          <w:szCs w:val="26"/>
        </w:rPr>
        <w:t xml:space="preserve">: </w:t>
      </w:r>
      <w:r w:rsidR="00BB7BEB">
        <w:rPr>
          <w:szCs w:val="26"/>
        </w:rPr>
        <w:t xml:space="preserve"> </w:t>
      </w:r>
      <w:r w:rsidRPr="00353406">
        <w:rPr>
          <w:szCs w:val="26"/>
        </w:rPr>
        <w:t>For detailed instructions on submitting comments and additional information on the rulemaking process, see the Comment Procedures Section of this document</w:t>
      </w:r>
      <w:r w:rsidR="004103B0" w:rsidRPr="00353406">
        <w:rPr>
          <w:szCs w:val="26"/>
        </w:rPr>
        <w:t>.</w:t>
      </w:r>
    </w:p>
    <w:p w14:paraId="4D78247B" w14:textId="77777777" w:rsidR="00D9308C" w:rsidRPr="00353406" w:rsidRDefault="00D9308C" w:rsidP="00990291">
      <w:pPr>
        <w:rPr>
          <w:szCs w:val="26"/>
        </w:rPr>
      </w:pPr>
    </w:p>
    <w:p w14:paraId="4D78247C" w14:textId="77777777" w:rsidR="00D9308C" w:rsidRPr="00353406" w:rsidRDefault="00D9308C" w:rsidP="00990291">
      <w:pPr>
        <w:rPr>
          <w:szCs w:val="26"/>
        </w:rPr>
      </w:pPr>
      <w:r w:rsidRPr="00353406">
        <w:rPr>
          <w:szCs w:val="26"/>
          <w:u w:val="single"/>
        </w:rPr>
        <w:t>FOR FURTHER INFORMATION CONTACT</w:t>
      </w:r>
      <w:r w:rsidRPr="00353406">
        <w:rPr>
          <w:szCs w:val="26"/>
        </w:rPr>
        <w:t>:</w:t>
      </w:r>
    </w:p>
    <w:p w14:paraId="4D78247D" w14:textId="77777777" w:rsidR="00D9308C" w:rsidRPr="00353406" w:rsidRDefault="00D9308C" w:rsidP="00990291">
      <w:pPr>
        <w:rPr>
          <w:szCs w:val="26"/>
        </w:rPr>
      </w:pPr>
    </w:p>
    <w:p w14:paraId="4D78247E" w14:textId="77777777" w:rsidR="00D9308C" w:rsidRPr="00353406" w:rsidRDefault="00922030" w:rsidP="00990291">
      <w:pPr>
        <w:rPr>
          <w:szCs w:val="26"/>
        </w:rPr>
      </w:pPr>
      <w:r w:rsidRPr="00353406">
        <w:rPr>
          <w:szCs w:val="26"/>
        </w:rPr>
        <w:t>Syed Ahm</w:t>
      </w:r>
      <w:r w:rsidR="00504E2E">
        <w:rPr>
          <w:szCs w:val="26"/>
        </w:rPr>
        <w:t>a</w:t>
      </w:r>
      <w:r w:rsidRPr="00353406">
        <w:rPr>
          <w:szCs w:val="26"/>
        </w:rPr>
        <w:t xml:space="preserve">d </w:t>
      </w:r>
      <w:r w:rsidR="00D9308C" w:rsidRPr="00353406">
        <w:rPr>
          <w:szCs w:val="26"/>
        </w:rPr>
        <w:t>(Technical Information)</w:t>
      </w:r>
    </w:p>
    <w:p w14:paraId="4D78247F" w14:textId="77777777" w:rsidR="00D9308C" w:rsidRPr="00353406" w:rsidRDefault="00D9308C" w:rsidP="00990291">
      <w:pPr>
        <w:rPr>
          <w:szCs w:val="26"/>
        </w:rPr>
      </w:pPr>
      <w:r w:rsidRPr="00353406">
        <w:rPr>
          <w:szCs w:val="26"/>
        </w:rPr>
        <w:t xml:space="preserve">Office of Electric Reliability, Division of Reliability Standards </w:t>
      </w:r>
    </w:p>
    <w:p w14:paraId="4D782480" w14:textId="77777777" w:rsidR="00D9308C" w:rsidRPr="00353406" w:rsidRDefault="00D9308C" w:rsidP="00990291">
      <w:pPr>
        <w:rPr>
          <w:szCs w:val="26"/>
        </w:rPr>
      </w:pPr>
      <w:r w:rsidRPr="00353406">
        <w:rPr>
          <w:szCs w:val="26"/>
        </w:rPr>
        <w:t xml:space="preserve">Federal Energy Regulatory Commission </w:t>
      </w:r>
    </w:p>
    <w:p w14:paraId="4D782481" w14:textId="77777777" w:rsidR="00D9308C" w:rsidRPr="00353406" w:rsidRDefault="00D9308C" w:rsidP="00990291">
      <w:pPr>
        <w:rPr>
          <w:szCs w:val="26"/>
        </w:rPr>
      </w:pPr>
      <w:r w:rsidRPr="00353406">
        <w:rPr>
          <w:szCs w:val="26"/>
        </w:rPr>
        <w:t xml:space="preserve">888 First Street, NE </w:t>
      </w:r>
    </w:p>
    <w:p w14:paraId="4D782482" w14:textId="77777777" w:rsidR="00D9308C" w:rsidRPr="00353406" w:rsidRDefault="00D9308C" w:rsidP="00990291">
      <w:pPr>
        <w:rPr>
          <w:szCs w:val="26"/>
        </w:rPr>
      </w:pPr>
      <w:r w:rsidRPr="00353406">
        <w:rPr>
          <w:szCs w:val="26"/>
        </w:rPr>
        <w:t xml:space="preserve">Washington, DC  20426 </w:t>
      </w:r>
    </w:p>
    <w:p w14:paraId="4D782483" w14:textId="77777777" w:rsidR="00D9308C" w:rsidRPr="00353406" w:rsidRDefault="00922030" w:rsidP="00990291">
      <w:pPr>
        <w:rPr>
          <w:szCs w:val="26"/>
        </w:rPr>
      </w:pPr>
      <w:r w:rsidRPr="00353406">
        <w:rPr>
          <w:szCs w:val="26"/>
        </w:rPr>
        <w:t>Telephone:  (202) 502-</w:t>
      </w:r>
      <w:r w:rsidR="00402619">
        <w:rPr>
          <w:szCs w:val="26"/>
        </w:rPr>
        <w:t xml:space="preserve">8718 </w:t>
      </w:r>
    </w:p>
    <w:p w14:paraId="4D782484" w14:textId="77777777" w:rsidR="00D9308C" w:rsidRPr="00353406" w:rsidRDefault="00133D37" w:rsidP="00990291">
      <w:hyperlink r:id="rId12" w:history="1">
        <w:r w:rsidR="00504E2E" w:rsidRPr="00504E2E">
          <w:rPr>
            <w:rStyle w:val="Hyperlink"/>
          </w:rPr>
          <w:t>Syed.Ahm</w:t>
        </w:r>
        <w:r w:rsidR="00504E2E" w:rsidRPr="00580842">
          <w:rPr>
            <w:rStyle w:val="Hyperlink"/>
          </w:rPr>
          <w:t>a</w:t>
        </w:r>
        <w:r w:rsidR="00504E2E" w:rsidRPr="00187B7C">
          <w:rPr>
            <w:rStyle w:val="Hyperlink"/>
          </w:rPr>
          <w:t>d@ferc.gov</w:t>
        </w:r>
      </w:hyperlink>
      <w:r w:rsidR="00922030" w:rsidRPr="00353406">
        <w:t xml:space="preserve">  </w:t>
      </w:r>
    </w:p>
    <w:p w14:paraId="4D782485" w14:textId="77777777" w:rsidR="00D9308C" w:rsidRPr="00353406" w:rsidRDefault="00D9308C" w:rsidP="00990291">
      <w:pPr>
        <w:rPr>
          <w:szCs w:val="26"/>
        </w:rPr>
      </w:pPr>
    </w:p>
    <w:p w14:paraId="4D782486" w14:textId="77777777" w:rsidR="00D9308C" w:rsidRPr="00353406" w:rsidRDefault="00922030" w:rsidP="00990291">
      <w:pPr>
        <w:keepNext/>
        <w:keepLines/>
        <w:rPr>
          <w:szCs w:val="26"/>
        </w:rPr>
      </w:pPr>
      <w:r w:rsidRPr="00353406">
        <w:rPr>
          <w:szCs w:val="26"/>
        </w:rPr>
        <w:t xml:space="preserve">Julie Greenisen </w:t>
      </w:r>
      <w:r w:rsidR="00D9308C" w:rsidRPr="00353406">
        <w:rPr>
          <w:szCs w:val="26"/>
        </w:rPr>
        <w:t>(Legal Information)</w:t>
      </w:r>
    </w:p>
    <w:p w14:paraId="4D782487" w14:textId="77777777" w:rsidR="00D9308C" w:rsidRPr="00353406" w:rsidRDefault="00D9308C" w:rsidP="00990291">
      <w:pPr>
        <w:keepNext/>
        <w:keepLines/>
        <w:rPr>
          <w:szCs w:val="26"/>
        </w:rPr>
      </w:pPr>
      <w:r w:rsidRPr="00353406">
        <w:rPr>
          <w:szCs w:val="26"/>
        </w:rPr>
        <w:t>Office of the General Counsel</w:t>
      </w:r>
    </w:p>
    <w:p w14:paraId="4D782488" w14:textId="77777777" w:rsidR="00D9308C" w:rsidRPr="00353406" w:rsidRDefault="00D9308C" w:rsidP="00990291">
      <w:pPr>
        <w:keepNext/>
        <w:keepLines/>
        <w:rPr>
          <w:szCs w:val="26"/>
        </w:rPr>
      </w:pPr>
      <w:r w:rsidRPr="00353406">
        <w:rPr>
          <w:szCs w:val="26"/>
        </w:rPr>
        <w:t>Federal Energy Regulatory Commission</w:t>
      </w:r>
    </w:p>
    <w:p w14:paraId="4D782489" w14:textId="77777777" w:rsidR="00D9308C" w:rsidRPr="00353406" w:rsidRDefault="00D9308C" w:rsidP="00990291">
      <w:pPr>
        <w:keepNext/>
        <w:keepLines/>
        <w:rPr>
          <w:szCs w:val="26"/>
        </w:rPr>
      </w:pPr>
      <w:r w:rsidRPr="00353406">
        <w:rPr>
          <w:szCs w:val="26"/>
        </w:rPr>
        <w:t xml:space="preserve">888 First Street, NE </w:t>
      </w:r>
    </w:p>
    <w:p w14:paraId="4D78248A" w14:textId="77777777" w:rsidR="00D9308C" w:rsidRPr="00353406" w:rsidRDefault="00D9308C" w:rsidP="00990291">
      <w:pPr>
        <w:keepNext/>
        <w:keepLines/>
        <w:rPr>
          <w:szCs w:val="26"/>
        </w:rPr>
      </w:pPr>
      <w:r w:rsidRPr="00353406">
        <w:rPr>
          <w:szCs w:val="26"/>
        </w:rPr>
        <w:t>Washington, DC  20426</w:t>
      </w:r>
    </w:p>
    <w:p w14:paraId="4D78248B" w14:textId="77777777" w:rsidR="00D9308C" w:rsidRPr="00353406" w:rsidRDefault="00922030" w:rsidP="00990291">
      <w:pPr>
        <w:rPr>
          <w:szCs w:val="26"/>
        </w:rPr>
      </w:pPr>
      <w:r w:rsidRPr="00353406">
        <w:rPr>
          <w:szCs w:val="26"/>
        </w:rPr>
        <w:t>Telephone:  (202) 502-6362</w:t>
      </w:r>
    </w:p>
    <w:p w14:paraId="4D78248C" w14:textId="77777777" w:rsidR="00D9308C" w:rsidRPr="00353406" w:rsidRDefault="00133D37" w:rsidP="00990291">
      <w:pPr>
        <w:rPr>
          <w:szCs w:val="26"/>
        </w:rPr>
      </w:pPr>
      <w:hyperlink r:id="rId13" w:history="1">
        <w:r w:rsidR="00A92B25" w:rsidRPr="001C4A1A">
          <w:rPr>
            <w:rStyle w:val="Hyperlink"/>
          </w:rPr>
          <w:t>Julie.Greenisen@ferc.gov</w:t>
        </w:r>
      </w:hyperlink>
      <w:r w:rsidR="00A92B25">
        <w:t xml:space="preserve"> </w:t>
      </w:r>
    </w:p>
    <w:p w14:paraId="4D78248D" w14:textId="77777777" w:rsidR="00D9308C" w:rsidRPr="00353406" w:rsidRDefault="00D9308C" w:rsidP="00990291">
      <w:pPr>
        <w:rPr>
          <w:szCs w:val="26"/>
        </w:rPr>
      </w:pPr>
    </w:p>
    <w:p w14:paraId="4D78248E" w14:textId="77777777" w:rsidR="00D9308C" w:rsidRPr="00353406" w:rsidRDefault="00D9308C" w:rsidP="00990291">
      <w:pPr>
        <w:tabs>
          <w:tab w:val="right" w:pos="9360"/>
        </w:tabs>
        <w:rPr>
          <w:szCs w:val="26"/>
        </w:rPr>
      </w:pPr>
      <w:r w:rsidRPr="00353406">
        <w:rPr>
          <w:szCs w:val="26"/>
          <w:u w:val="single"/>
        </w:rPr>
        <w:t>SUPPLEMENTARY INFORMATION</w:t>
      </w:r>
      <w:r w:rsidRPr="00353406">
        <w:rPr>
          <w:szCs w:val="26"/>
        </w:rPr>
        <w:t xml:space="preserve">: </w:t>
      </w:r>
    </w:p>
    <w:p w14:paraId="4D78248F" w14:textId="77777777" w:rsidR="00D9308C" w:rsidRPr="00353406" w:rsidRDefault="00D9308C" w:rsidP="00990291">
      <w:pPr>
        <w:tabs>
          <w:tab w:val="right" w:pos="9360"/>
        </w:tabs>
        <w:rPr>
          <w:szCs w:val="26"/>
        </w:rPr>
      </w:pPr>
      <w:bookmarkStart w:id="1" w:name="_End_TOC"/>
      <w:bookmarkEnd w:id="1"/>
    </w:p>
    <w:p w14:paraId="4D782490" w14:textId="77777777" w:rsidR="00D9308C" w:rsidRPr="00353406" w:rsidRDefault="00D9308C" w:rsidP="00990291">
      <w:pPr>
        <w:rPr>
          <w:szCs w:val="26"/>
        </w:rPr>
        <w:sectPr w:rsidR="00D9308C" w:rsidRPr="00353406" w:rsidSect="00FE3D41">
          <w:headerReference w:type="even" r:id="rId14"/>
          <w:headerReference w:type="default" r:id="rId15"/>
          <w:pgSz w:w="12240" w:h="15840" w:code="1"/>
          <w:pgMar w:top="1440" w:right="1440" w:bottom="1440" w:left="1440" w:header="720" w:footer="720" w:gutter="0"/>
          <w:pgNumType w:fmt="lowerRoman" w:start="1"/>
          <w:cols w:space="720"/>
          <w:titlePg/>
          <w:docGrid w:linePitch="360"/>
        </w:sectPr>
      </w:pPr>
    </w:p>
    <w:p w14:paraId="4D782491" w14:textId="77777777" w:rsidR="00E078C7" w:rsidRPr="00353406" w:rsidRDefault="00E078C7" w:rsidP="00E078C7">
      <w:pPr>
        <w:jc w:val="center"/>
        <w:rPr>
          <w:szCs w:val="26"/>
        </w:rPr>
      </w:pPr>
    </w:p>
    <w:p w14:paraId="4D782492" w14:textId="77777777" w:rsidR="003F0BB0" w:rsidRDefault="003F0BB0" w:rsidP="00990291">
      <w:pPr>
        <w:jc w:val="center"/>
        <w:rPr>
          <w:szCs w:val="26"/>
        </w:rPr>
      </w:pPr>
      <w:r w:rsidRPr="003F0BB0">
        <w:rPr>
          <w:szCs w:val="26"/>
        </w:rPr>
        <w:t>156 FERC ¶ 61,210</w:t>
      </w:r>
    </w:p>
    <w:p w14:paraId="4D782493" w14:textId="77777777" w:rsidR="00D9308C" w:rsidRPr="00353406" w:rsidRDefault="00D9308C" w:rsidP="00990291">
      <w:pPr>
        <w:jc w:val="center"/>
        <w:rPr>
          <w:szCs w:val="26"/>
        </w:rPr>
      </w:pPr>
      <w:r w:rsidRPr="00353406">
        <w:rPr>
          <w:szCs w:val="26"/>
        </w:rPr>
        <w:t>UNITED STATES OF AMERICA</w:t>
      </w:r>
    </w:p>
    <w:p w14:paraId="4D782494" w14:textId="77777777" w:rsidR="00D9308C" w:rsidRPr="00353406" w:rsidRDefault="00D9308C" w:rsidP="00990291">
      <w:pPr>
        <w:jc w:val="center"/>
        <w:rPr>
          <w:szCs w:val="26"/>
        </w:rPr>
      </w:pPr>
      <w:r w:rsidRPr="00353406">
        <w:rPr>
          <w:szCs w:val="26"/>
        </w:rPr>
        <w:t>FEDERAL ENERGY REGULATORY COMMISSION</w:t>
      </w:r>
    </w:p>
    <w:p w14:paraId="4D782495" w14:textId="77777777" w:rsidR="00D9308C" w:rsidRPr="00353406" w:rsidRDefault="00D9308C" w:rsidP="00990291">
      <w:pPr>
        <w:ind w:left="1440" w:hanging="1440"/>
        <w:rPr>
          <w:szCs w:val="26"/>
        </w:rPr>
      </w:pPr>
    </w:p>
    <w:tbl>
      <w:tblPr>
        <w:tblW w:w="9630" w:type="dxa"/>
        <w:tblCellMar>
          <w:left w:w="0" w:type="dxa"/>
          <w:right w:w="0" w:type="dxa"/>
        </w:tblCellMar>
        <w:tblLook w:val="01E0" w:firstRow="1" w:lastRow="1" w:firstColumn="1" w:lastColumn="1" w:noHBand="0" w:noVBand="0"/>
      </w:tblPr>
      <w:tblGrid>
        <w:gridCol w:w="5934"/>
        <w:gridCol w:w="1806"/>
        <w:gridCol w:w="1890"/>
      </w:tblGrid>
      <w:tr w:rsidR="00D9308C" w:rsidRPr="00353406" w14:paraId="4D782499" w14:textId="77777777" w:rsidTr="00BB7BEB">
        <w:tc>
          <w:tcPr>
            <w:tcW w:w="5934" w:type="dxa"/>
          </w:tcPr>
          <w:p w14:paraId="4D782496" w14:textId="77777777" w:rsidR="00D9308C" w:rsidRPr="00353406" w:rsidRDefault="00922030" w:rsidP="00922030">
            <w:pPr>
              <w:rPr>
                <w:szCs w:val="26"/>
              </w:rPr>
            </w:pPr>
            <w:r w:rsidRPr="00353406">
              <w:rPr>
                <w:szCs w:val="26"/>
              </w:rPr>
              <w:t>Balancing Authority Control, Inadvertent Interchange, and Facility Interconnection Reliability Standards</w:t>
            </w:r>
          </w:p>
        </w:tc>
        <w:tc>
          <w:tcPr>
            <w:tcW w:w="1806" w:type="dxa"/>
            <w:tcMar>
              <w:left w:w="72" w:type="dxa"/>
            </w:tcMar>
          </w:tcPr>
          <w:p w14:paraId="4D782497" w14:textId="77777777" w:rsidR="00D9308C" w:rsidRPr="00353406" w:rsidRDefault="00D9308C" w:rsidP="00990291">
            <w:pPr>
              <w:jc w:val="right"/>
              <w:rPr>
                <w:szCs w:val="26"/>
              </w:rPr>
            </w:pPr>
            <w:r w:rsidRPr="00353406">
              <w:rPr>
                <w:szCs w:val="26"/>
              </w:rPr>
              <w:t>Docket No.</w:t>
            </w:r>
          </w:p>
        </w:tc>
        <w:tc>
          <w:tcPr>
            <w:tcW w:w="1890" w:type="dxa"/>
            <w:tcMar>
              <w:left w:w="144" w:type="dxa"/>
            </w:tcMar>
          </w:tcPr>
          <w:p w14:paraId="4D782498" w14:textId="77777777" w:rsidR="00D9308C" w:rsidRPr="00353406" w:rsidRDefault="00BB7BEB" w:rsidP="00BB7BEB">
            <w:pPr>
              <w:ind w:left="-144"/>
              <w:rPr>
                <w:szCs w:val="26"/>
              </w:rPr>
            </w:pPr>
            <w:r>
              <w:rPr>
                <w:szCs w:val="26"/>
              </w:rPr>
              <w:t xml:space="preserve"> </w:t>
            </w:r>
            <w:r w:rsidR="00BA4A86" w:rsidRPr="00353406">
              <w:rPr>
                <w:szCs w:val="26"/>
              </w:rPr>
              <w:t>RM1</w:t>
            </w:r>
            <w:r w:rsidR="00922030" w:rsidRPr="00353406">
              <w:rPr>
                <w:szCs w:val="26"/>
              </w:rPr>
              <w:t>6</w:t>
            </w:r>
            <w:r w:rsidR="00BA4A86" w:rsidRPr="00353406">
              <w:rPr>
                <w:szCs w:val="26"/>
              </w:rPr>
              <w:t>-1</w:t>
            </w:r>
            <w:r w:rsidR="00922030" w:rsidRPr="00353406">
              <w:rPr>
                <w:szCs w:val="26"/>
              </w:rPr>
              <w:t>3</w:t>
            </w:r>
            <w:r w:rsidR="00D9308C" w:rsidRPr="00353406">
              <w:rPr>
                <w:szCs w:val="26"/>
              </w:rPr>
              <w:t>-000</w:t>
            </w:r>
          </w:p>
        </w:tc>
      </w:tr>
    </w:tbl>
    <w:p w14:paraId="4D78249A" w14:textId="77777777" w:rsidR="00D9308C" w:rsidRPr="00353406" w:rsidRDefault="00D9308C" w:rsidP="00990291">
      <w:pPr>
        <w:rPr>
          <w:szCs w:val="26"/>
        </w:rPr>
      </w:pPr>
    </w:p>
    <w:p w14:paraId="4D78249B" w14:textId="77777777" w:rsidR="00D9308C" w:rsidRPr="00353406" w:rsidRDefault="00D9308C" w:rsidP="00990291">
      <w:pPr>
        <w:rPr>
          <w:szCs w:val="26"/>
        </w:rPr>
      </w:pPr>
    </w:p>
    <w:p w14:paraId="4D78249C" w14:textId="77777777" w:rsidR="00D9308C" w:rsidRPr="00353406" w:rsidRDefault="00D9308C" w:rsidP="00990291">
      <w:pPr>
        <w:jc w:val="center"/>
        <w:rPr>
          <w:szCs w:val="26"/>
        </w:rPr>
      </w:pPr>
      <w:r w:rsidRPr="00353406">
        <w:rPr>
          <w:szCs w:val="26"/>
        </w:rPr>
        <w:t>NOTICE OF PROPOSED RULEMAKING</w:t>
      </w:r>
    </w:p>
    <w:p w14:paraId="4D78249D" w14:textId="77777777" w:rsidR="00E078C7" w:rsidRPr="00353406" w:rsidRDefault="00E078C7" w:rsidP="00E078C7">
      <w:pPr>
        <w:jc w:val="center"/>
        <w:rPr>
          <w:szCs w:val="26"/>
        </w:rPr>
      </w:pPr>
    </w:p>
    <w:p w14:paraId="4D78249E" w14:textId="77777777" w:rsidR="00E078C7" w:rsidRDefault="00BB7BEB" w:rsidP="00BB7BEB">
      <w:pPr>
        <w:widowControl/>
        <w:jc w:val="center"/>
        <w:rPr>
          <w:szCs w:val="26"/>
        </w:rPr>
      </w:pPr>
      <w:r w:rsidRPr="00BB7BEB">
        <w:rPr>
          <w:szCs w:val="26"/>
        </w:rPr>
        <w:t>(September 2</w:t>
      </w:r>
      <w:r w:rsidR="003F0BB0">
        <w:rPr>
          <w:szCs w:val="26"/>
        </w:rPr>
        <w:t>2</w:t>
      </w:r>
      <w:r w:rsidRPr="00BB7BEB">
        <w:rPr>
          <w:szCs w:val="26"/>
        </w:rPr>
        <w:t>, 2016)</w:t>
      </w:r>
    </w:p>
    <w:p w14:paraId="4D78249F" w14:textId="77777777" w:rsidR="00D9308C" w:rsidRPr="00353406" w:rsidRDefault="00D9308C" w:rsidP="00990291">
      <w:pPr>
        <w:rPr>
          <w:szCs w:val="26"/>
        </w:rPr>
      </w:pPr>
    </w:p>
    <w:p w14:paraId="4D7824A0" w14:textId="77777777" w:rsidR="00922030" w:rsidRDefault="00D9308C" w:rsidP="003D0E19">
      <w:pPr>
        <w:pStyle w:val="FERCparanumber"/>
      </w:pPr>
      <w:r w:rsidRPr="00353406">
        <w:t>Under section 215 of the Federal Power Act (FPA),</w:t>
      </w:r>
      <w:r w:rsidR="005C7DA0" w:rsidRPr="00353406">
        <w:rPr>
          <w:rStyle w:val="FootnoteReference"/>
        </w:rPr>
        <w:footnoteReference w:id="2"/>
      </w:r>
      <w:r w:rsidRPr="00353406">
        <w:t xml:space="preserve"> the Commission </w:t>
      </w:r>
      <w:r w:rsidR="007766F6" w:rsidRPr="00353406">
        <w:t xml:space="preserve">proposes to approve </w:t>
      </w:r>
      <w:r w:rsidRPr="00353406">
        <w:t>Reliability Standard</w:t>
      </w:r>
      <w:r w:rsidR="00402619">
        <w:t>s</w:t>
      </w:r>
      <w:r w:rsidRPr="00353406">
        <w:t xml:space="preserve"> </w:t>
      </w:r>
      <w:r w:rsidR="00922030" w:rsidRPr="00353406">
        <w:t>BAL-005-1 (Balancing Authority Control) and FAC-001-3 (Facility Interconnection Requirements)</w:t>
      </w:r>
      <w:r w:rsidR="00A92B25">
        <w:t xml:space="preserve">, </w:t>
      </w:r>
      <w:r w:rsidR="00402619">
        <w:t>submitted by the North American Electric Reliability Corporation (NERC)</w:t>
      </w:r>
      <w:r w:rsidR="00922030" w:rsidRPr="00353406">
        <w:t xml:space="preserve">, and </w:t>
      </w:r>
      <w:r w:rsidR="00A92B25">
        <w:t xml:space="preserve">to retire </w:t>
      </w:r>
      <w:r w:rsidR="00402619">
        <w:t>Reliability Standard</w:t>
      </w:r>
      <w:r w:rsidR="003D0E19">
        <w:t>s BAL-005-0.2b (Automatic Generation Control), FAC-001-2 (</w:t>
      </w:r>
      <w:r w:rsidR="003D0E19" w:rsidRPr="003D0E19">
        <w:t>Facility Interconnection Requirements</w:t>
      </w:r>
      <w:r w:rsidR="003D0E19">
        <w:t>), and</w:t>
      </w:r>
      <w:r w:rsidR="00402619">
        <w:t xml:space="preserve"> </w:t>
      </w:r>
      <w:r w:rsidR="00922030" w:rsidRPr="00353406">
        <w:t>BAL-006-2 (Inadvertent Interchange)</w:t>
      </w:r>
      <w:r w:rsidR="00645C89">
        <w:t>.</w:t>
      </w:r>
      <w:r w:rsidR="00922030" w:rsidRPr="00353406">
        <w:t xml:space="preserve">  The Commission also proposes to approve the associated implementation plans</w:t>
      </w:r>
      <w:r w:rsidR="009A35F5">
        <w:t>, violation risk factors, and violation severity levels</w:t>
      </w:r>
      <w:r w:rsidR="00922030" w:rsidRPr="00353406">
        <w:t xml:space="preserve"> for Reliability Standards BAL-005-1 and FAC-001-3.  Finally, the Commission proposes to approve three revised definitions </w:t>
      </w:r>
      <w:r w:rsidR="00763375">
        <w:t>for the g</w:t>
      </w:r>
      <w:r w:rsidR="00763375" w:rsidRPr="000E0489">
        <w:t xml:space="preserve">lossary of </w:t>
      </w:r>
      <w:r w:rsidR="00763375">
        <w:t>t</w:t>
      </w:r>
      <w:r w:rsidR="00763375" w:rsidRPr="000E0489">
        <w:t xml:space="preserve">erms </w:t>
      </w:r>
      <w:r w:rsidR="00763375">
        <w:t>u</w:t>
      </w:r>
      <w:r w:rsidR="00763375" w:rsidRPr="000E0489">
        <w:t>sed in NERC Reliability Standards (NERC Glossary)</w:t>
      </w:r>
      <w:r w:rsidR="00922030" w:rsidRPr="00353406">
        <w:t xml:space="preserve">.  </w:t>
      </w:r>
    </w:p>
    <w:p w14:paraId="4D7824A1" w14:textId="77777777" w:rsidR="00A92B25" w:rsidRPr="001F3C00" w:rsidRDefault="00A92B25" w:rsidP="00656F15">
      <w:pPr>
        <w:pStyle w:val="FERCparanumber"/>
      </w:pPr>
      <w:r>
        <w:t xml:space="preserve">Proposed </w:t>
      </w:r>
      <w:r w:rsidR="00402619">
        <w:t xml:space="preserve">Reliability Standards </w:t>
      </w:r>
      <w:r w:rsidR="00402619" w:rsidRPr="00353406">
        <w:t>BAL-005-1 and FAC-001-3 will enhance</w:t>
      </w:r>
      <w:r>
        <w:t xml:space="preserve"> the</w:t>
      </w:r>
      <w:r w:rsidR="00402619" w:rsidRPr="00353406">
        <w:t xml:space="preserve"> reliability </w:t>
      </w:r>
      <w:r>
        <w:t>of the Bulk-Power System</w:t>
      </w:r>
      <w:r w:rsidR="00423338">
        <w:t>,</w:t>
      </w:r>
      <w:r>
        <w:t xml:space="preserve"> </w:t>
      </w:r>
      <w:r w:rsidR="00402619" w:rsidRPr="00353406">
        <w:t xml:space="preserve">as compared to currently-effective </w:t>
      </w:r>
      <w:r>
        <w:t xml:space="preserve">Reliability Standards </w:t>
      </w:r>
      <w:r w:rsidR="00402619" w:rsidRPr="00353406">
        <w:t>BAL-005-0.2b and FAC-</w:t>
      </w:r>
      <w:r w:rsidR="004D5EA6" w:rsidRPr="00353406">
        <w:t>00</w:t>
      </w:r>
      <w:r w:rsidR="004D5EA6">
        <w:t>1</w:t>
      </w:r>
      <w:r w:rsidR="0002376C">
        <w:t>-</w:t>
      </w:r>
      <w:r w:rsidR="00402619" w:rsidRPr="00353406">
        <w:t>2</w:t>
      </w:r>
      <w:r w:rsidR="00423338">
        <w:t xml:space="preserve">, by </w:t>
      </w:r>
      <w:r w:rsidR="00402619" w:rsidRPr="00353406">
        <w:t>clarify</w:t>
      </w:r>
      <w:r w:rsidR="00423338">
        <w:t>ing</w:t>
      </w:r>
      <w:r w:rsidR="00402619" w:rsidRPr="00353406">
        <w:t xml:space="preserve"> and consolidat</w:t>
      </w:r>
      <w:r w:rsidR="00423338">
        <w:t>ing</w:t>
      </w:r>
      <w:r w:rsidR="00402619" w:rsidRPr="00353406">
        <w:t xml:space="preserve"> existing </w:t>
      </w:r>
      <w:r w:rsidR="00402619" w:rsidRPr="00353406">
        <w:lastRenderedPageBreak/>
        <w:t>requirements related to frequency control</w:t>
      </w:r>
      <w:r>
        <w:t>.  The proposed Reliability Standards</w:t>
      </w:r>
      <w:r w:rsidR="00402619" w:rsidRPr="00353406">
        <w:t xml:space="preserve"> support more accurate and comprehensive calculation of Reporting </w:t>
      </w:r>
      <w:r w:rsidR="00CF0739">
        <w:t>Area Control Error (</w:t>
      </w:r>
      <w:r w:rsidR="00402619" w:rsidRPr="00353406">
        <w:t>ACE</w:t>
      </w:r>
      <w:r w:rsidR="00CF0739">
        <w:t>)</w:t>
      </w:r>
      <w:r w:rsidR="00402619" w:rsidRPr="00353406">
        <w:t xml:space="preserve"> by requiring timely reporting of an inability to calculate Reporting ACE and </w:t>
      </w:r>
      <w:r w:rsidR="00402619" w:rsidRPr="0015121A">
        <w:t xml:space="preserve">by requiring </w:t>
      </w:r>
      <w:r w:rsidR="004B0A1C" w:rsidRPr="001F3C00">
        <w:t xml:space="preserve">balancing authorities to maintain </w:t>
      </w:r>
      <w:r w:rsidR="00402619" w:rsidRPr="001F3C00">
        <w:t xml:space="preserve">minimum levels of </w:t>
      </w:r>
      <w:r w:rsidR="004B0A1C" w:rsidRPr="001F3C00">
        <w:t xml:space="preserve">annual </w:t>
      </w:r>
      <w:r w:rsidR="00402619" w:rsidRPr="001F3C00">
        <w:t>availability</w:t>
      </w:r>
      <w:r w:rsidR="00423338" w:rsidRPr="001F3C00">
        <w:t xml:space="preserve"> </w:t>
      </w:r>
      <w:r w:rsidR="00763375">
        <w:t xml:space="preserve">of 99.5% </w:t>
      </w:r>
      <w:r w:rsidR="004D5EA6">
        <w:t xml:space="preserve">for each balancing authority’s </w:t>
      </w:r>
      <w:r w:rsidR="004B0A1C" w:rsidRPr="001F3C00">
        <w:t>system for calculating Reporting ACE.</w:t>
      </w:r>
      <w:r w:rsidR="00423338" w:rsidRPr="001F3C00">
        <w:rPr>
          <w:rStyle w:val="FootnoteReference"/>
        </w:rPr>
        <w:footnoteReference w:id="3"/>
      </w:r>
      <w:r w:rsidR="004B0A1C" w:rsidRPr="001F3C00">
        <w:t xml:space="preserve"> </w:t>
      </w:r>
    </w:p>
    <w:p w14:paraId="4D7824A2" w14:textId="77777777" w:rsidR="00402619" w:rsidRPr="00353406" w:rsidRDefault="003D0E19" w:rsidP="00656F15">
      <w:pPr>
        <w:pStyle w:val="FERCparanumber"/>
      </w:pPr>
      <w:r>
        <w:t xml:space="preserve">As discussed below, </w:t>
      </w:r>
      <w:r w:rsidR="00402619" w:rsidRPr="00353406">
        <w:t xml:space="preserve">we have </w:t>
      </w:r>
      <w:r>
        <w:t xml:space="preserve">questions regarding the proposed retirement of </w:t>
      </w:r>
      <w:r w:rsidRPr="00353406">
        <w:t xml:space="preserve">Requirement R15 of </w:t>
      </w:r>
      <w:r>
        <w:t xml:space="preserve">Reliability Standard </w:t>
      </w:r>
      <w:r w:rsidRPr="00353406">
        <w:t>BAL-005-0.2b</w:t>
      </w:r>
      <w:r>
        <w:t xml:space="preserve">, which </w:t>
      </w:r>
      <w:r w:rsidR="00402619" w:rsidRPr="00353406">
        <w:t>require</w:t>
      </w:r>
      <w:r>
        <w:t>s responsible entities</w:t>
      </w:r>
      <w:r w:rsidR="00402619" w:rsidRPr="00353406">
        <w:t xml:space="preserve"> to maintain and periodically test backup power supplies at primary control centers and other critical locations</w:t>
      </w:r>
      <w:r>
        <w:t xml:space="preserve">. </w:t>
      </w:r>
      <w:r w:rsidR="00402619" w:rsidRPr="00353406">
        <w:t xml:space="preserve"> </w:t>
      </w:r>
      <w:r w:rsidR="00146591">
        <w:t xml:space="preserve">Depending on the explanation received in comments, </w:t>
      </w:r>
      <w:r w:rsidR="004C4FD6">
        <w:t xml:space="preserve">the Commission may </w:t>
      </w:r>
      <w:r w:rsidR="004B0A1C">
        <w:t xml:space="preserve">issue </w:t>
      </w:r>
      <w:r>
        <w:t xml:space="preserve">a </w:t>
      </w:r>
      <w:r w:rsidR="004C4FD6">
        <w:t xml:space="preserve">directive </w:t>
      </w:r>
      <w:r w:rsidR="00146591">
        <w:t xml:space="preserve">in the final rule </w:t>
      </w:r>
      <w:r>
        <w:t>to restore th</w:t>
      </w:r>
      <w:r w:rsidR="00146591">
        <w:t>e substance of</w:t>
      </w:r>
      <w:r>
        <w:t xml:space="preserve"> </w:t>
      </w:r>
      <w:r w:rsidR="00146591">
        <w:t>R</w:t>
      </w:r>
      <w:r>
        <w:t xml:space="preserve">equirement </w:t>
      </w:r>
      <w:r w:rsidR="00146591">
        <w:t>R15</w:t>
      </w:r>
      <w:r>
        <w:t xml:space="preserve"> in the </w:t>
      </w:r>
      <w:r w:rsidR="0015121A">
        <w:t>Reliability Standards</w:t>
      </w:r>
      <w:r w:rsidR="004C4FD6">
        <w:t xml:space="preserve">.  </w:t>
      </w:r>
      <w:r w:rsidR="0015121A">
        <w:t>Separately</w:t>
      </w:r>
      <w:r w:rsidR="00402619">
        <w:t xml:space="preserve">, we </w:t>
      </w:r>
      <w:r w:rsidR="00645C89">
        <w:t xml:space="preserve">propose to approve NERC’s request to retire Reliability Standard BAL-006-2 upon the latter of the effective date of proposed Reliability Standard BAL-005-1 and the NERC Operating Committee’s approval of an Inadvertent Interchange Guideline document.  </w:t>
      </w:r>
    </w:p>
    <w:p w14:paraId="4D7824A3" w14:textId="77777777" w:rsidR="00D9308C" w:rsidRPr="00353406" w:rsidRDefault="00D9308C" w:rsidP="00990291">
      <w:pPr>
        <w:pStyle w:val="Heading1"/>
        <w:rPr>
          <w:szCs w:val="26"/>
        </w:rPr>
      </w:pPr>
      <w:bookmarkStart w:id="2" w:name="_bmk1"/>
      <w:bookmarkStart w:id="3" w:name="_Toc280101675"/>
      <w:r w:rsidRPr="00353406">
        <w:rPr>
          <w:szCs w:val="26"/>
        </w:rPr>
        <w:lastRenderedPageBreak/>
        <w:t>B</w:t>
      </w:r>
      <w:bookmarkEnd w:id="2"/>
      <w:r w:rsidRPr="00353406">
        <w:rPr>
          <w:szCs w:val="26"/>
        </w:rPr>
        <w:t>ackground</w:t>
      </w:r>
      <w:bookmarkEnd w:id="3"/>
    </w:p>
    <w:p w14:paraId="4D7824A4" w14:textId="77777777" w:rsidR="00D9308C" w:rsidRPr="00353406" w:rsidRDefault="005C7DA0" w:rsidP="00326239">
      <w:pPr>
        <w:pStyle w:val="Heading2"/>
        <w:tabs>
          <w:tab w:val="clear" w:pos="1080"/>
          <w:tab w:val="num" w:pos="1430"/>
        </w:tabs>
        <w:ind w:left="720" w:firstLine="0"/>
        <w:rPr>
          <w:szCs w:val="26"/>
        </w:rPr>
      </w:pPr>
      <w:bookmarkStart w:id="4" w:name="_Toc280101676"/>
      <w:r w:rsidRPr="00353406">
        <w:rPr>
          <w:szCs w:val="26"/>
        </w:rPr>
        <w:t xml:space="preserve"> </w:t>
      </w:r>
      <w:r w:rsidR="00D9308C" w:rsidRPr="00353406">
        <w:rPr>
          <w:szCs w:val="26"/>
        </w:rPr>
        <w:t>Mandatory Reliability Standards</w:t>
      </w:r>
      <w:bookmarkEnd w:id="4"/>
      <w:r w:rsidRPr="00353406">
        <w:rPr>
          <w:szCs w:val="26"/>
        </w:rPr>
        <w:t xml:space="preserve"> and Order No. 693 Directive</w:t>
      </w:r>
    </w:p>
    <w:p w14:paraId="4D7824A5" w14:textId="77777777" w:rsidR="002B0060" w:rsidRPr="00353406" w:rsidRDefault="00D9308C" w:rsidP="00656F15">
      <w:pPr>
        <w:pStyle w:val="FERCparanumber"/>
      </w:pPr>
      <w:r w:rsidRPr="00353406">
        <w:t>Section 215 of the FPA requires a Commission-certified Electric Reliability Organization (ERO) to develop mandatory and enforceable Reliability Standards that are subject to Commission review and approval.</w:t>
      </w:r>
      <w:r w:rsidR="004D2D02" w:rsidRPr="00353406">
        <w:t xml:space="preserve">  Specifically, the Commission may approve, by rule or order, a proposed Reliability Standard or modification to a Reliability Standard if it determines that the Standard is just, reasonable, not unduly discriminatory or preferential and in the public interest.</w:t>
      </w:r>
      <w:r w:rsidR="004D2D02" w:rsidRPr="00353406">
        <w:rPr>
          <w:rStyle w:val="FootnoteReference"/>
        </w:rPr>
        <w:footnoteReference w:id="4"/>
      </w:r>
      <w:r w:rsidRPr="00353406">
        <w:t xml:space="preserve">  Once approved, the Reliability Standards may be enforced by NERC, subject to Commission oversight, or by the Commission independently.</w:t>
      </w:r>
      <w:r w:rsidRPr="00353406">
        <w:rPr>
          <w:b/>
          <w:vertAlign w:val="superscript"/>
        </w:rPr>
        <w:footnoteReference w:id="5"/>
      </w:r>
      <w:r w:rsidRPr="00353406">
        <w:t xml:space="preserve">  </w:t>
      </w:r>
    </w:p>
    <w:p w14:paraId="4D7824A6" w14:textId="77777777" w:rsidR="00402619" w:rsidRDefault="000953FA" w:rsidP="00656F15">
      <w:pPr>
        <w:pStyle w:val="FERCparanumber"/>
      </w:pPr>
      <w:r w:rsidRPr="00353406">
        <w:t>Pursuant to section 215 of the FPA, the Commission established a process to select and certify an ERO,</w:t>
      </w:r>
      <w:r w:rsidRPr="00353406">
        <w:rPr>
          <w:b/>
          <w:vertAlign w:val="superscript"/>
        </w:rPr>
        <w:footnoteReference w:id="6"/>
      </w:r>
      <w:r w:rsidRPr="00353406">
        <w:t xml:space="preserve"> and subsequently certified NERC</w:t>
      </w:r>
      <w:r w:rsidR="00402619">
        <w:t xml:space="preserve"> as the ERO</w:t>
      </w:r>
      <w:r w:rsidRPr="00353406">
        <w:t>.</w:t>
      </w:r>
      <w:r w:rsidRPr="00353406">
        <w:rPr>
          <w:b/>
          <w:bCs/>
          <w:vertAlign w:val="superscript"/>
        </w:rPr>
        <w:footnoteReference w:id="7"/>
      </w:r>
      <w:r w:rsidR="002B0060" w:rsidRPr="00353406">
        <w:t xml:space="preserve">  On March 16, 2007, the Commission issued Order No. 693, approving 83 of the 107 Reliability Standards filed by NERC, including </w:t>
      </w:r>
      <w:r w:rsidR="003F6477">
        <w:t xml:space="preserve">Reliability Standards </w:t>
      </w:r>
      <w:r w:rsidR="001430B9" w:rsidRPr="00353406">
        <w:t xml:space="preserve">BAL-005-0 (Automatic Generation </w:t>
      </w:r>
      <w:r w:rsidR="001430B9" w:rsidRPr="00353406">
        <w:lastRenderedPageBreak/>
        <w:t>Control)</w:t>
      </w:r>
      <w:r w:rsidR="003E657B" w:rsidRPr="00353406">
        <w:t>, FAC-001-0</w:t>
      </w:r>
      <w:r w:rsidR="00402619">
        <w:t xml:space="preserve"> (Facility Interconnection Requirements)</w:t>
      </w:r>
      <w:r w:rsidR="003E657B" w:rsidRPr="00353406">
        <w:t>, and BAL-006-1 (</w:t>
      </w:r>
      <w:r w:rsidR="003D4351" w:rsidRPr="00353406">
        <w:t>Inadvertent</w:t>
      </w:r>
      <w:r w:rsidR="003E657B" w:rsidRPr="00353406">
        <w:t xml:space="preserve"> Interchange)</w:t>
      </w:r>
      <w:r w:rsidR="001430B9" w:rsidRPr="00353406">
        <w:t>.</w:t>
      </w:r>
      <w:r w:rsidR="002D48AB" w:rsidRPr="00353406">
        <w:rPr>
          <w:rStyle w:val="FootnoteReference"/>
        </w:rPr>
        <w:footnoteReference w:id="8"/>
      </w:r>
      <w:r w:rsidR="00812B55" w:rsidRPr="00353406">
        <w:t xml:space="preserve">  </w:t>
      </w:r>
      <w:r w:rsidR="003E657B" w:rsidRPr="00353406">
        <w:t xml:space="preserve">However, in approving </w:t>
      </w:r>
      <w:r w:rsidR="003F6477">
        <w:t xml:space="preserve">Reliability Standards </w:t>
      </w:r>
      <w:r w:rsidR="003E657B" w:rsidRPr="00353406">
        <w:t>BAL-005-0 and BAL-006-</w:t>
      </w:r>
      <w:r w:rsidR="009A35F5">
        <w:t>1</w:t>
      </w:r>
      <w:r w:rsidR="003E657B" w:rsidRPr="00353406">
        <w:t xml:space="preserve">, the Commission </w:t>
      </w:r>
      <w:r w:rsidR="00EA450C" w:rsidRPr="00353406">
        <w:t xml:space="preserve">directed NERC to develop modifications </w:t>
      </w:r>
      <w:r w:rsidR="003E657B" w:rsidRPr="00353406">
        <w:t xml:space="preserve">to those </w:t>
      </w:r>
      <w:r w:rsidR="003F6477">
        <w:t>Reliability S</w:t>
      </w:r>
      <w:r w:rsidR="003E657B" w:rsidRPr="00353406">
        <w:t xml:space="preserve">tandards </w:t>
      </w:r>
      <w:r w:rsidR="00EA450C" w:rsidRPr="00353406">
        <w:t xml:space="preserve">through the </w:t>
      </w:r>
      <w:r w:rsidR="003F6477">
        <w:t>standards development process.</w:t>
      </w:r>
      <w:r w:rsidR="003E657B" w:rsidRPr="00353406">
        <w:t xml:space="preserve">  </w:t>
      </w:r>
    </w:p>
    <w:p w14:paraId="4D7824A7" w14:textId="77777777" w:rsidR="00EA450C" w:rsidRPr="00353406" w:rsidRDefault="003E657B" w:rsidP="00656F15">
      <w:pPr>
        <w:pStyle w:val="FERCparanumber"/>
      </w:pPr>
      <w:r w:rsidRPr="00353406">
        <w:t xml:space="preserve">With respect to </w:t>
      </w:r>
      <w:r w:rsidR="003F6477">
        <w:t xml:space="preserve">Reliability Standard </w:t>
      </w:r>
      <w:r w:rsidRPr="00353406">
        <w:t xml:space="preserve">BAL-005-0, </w:t>
      </w:r>
      <w:r w:rsidR="00402619">
        <w:t xml:space="preserve">the Commission </w:t>
      </w:r>
      <w:r w:rsidRPr="00353406">
        <w:t xml:space="preserve">directed </w:t>
      </w:r>
      <w:r w:rsidR="00402619">
        <w:t xml:space="preserve">NERC to </w:t>
      </w:r>
      <w:r w:rsidRPr="00353406">
        <w:t>develop</w:t>
      </w:r>
      <w:r w:rsidR="00402619">
        <w:t xml:space="preserve"> </w:t>
      </w:r>
      <w:r w:rsidRPr="00353406">
        <w:t xml:space="preserve">a modification that: </w:t>
      </w:r>
    </w:p>
    <w:p w14:paraId="4D7824A8" w14:textId="77777777" w:rsidR="00EA450C" w:rsidRPr="00353406" w:rsidRDefault="00EA450C" w:rsidP="00360B03">
      <w:pPr>
        <w:pStyle w:val="BlockText"/>
        <w:rPr>
          <w:szCs w:val="26"/>
        </w:rPr>
      </w:pPr>
      <w:r w:rsidRPr="00353406">
        <w:t xml:space="preserve">(1) develops a process to calculate the minimum regulating reserve a balancing authority must have at any given time taking into account expected load and generation variation and transactions being ramped into or out of the balancing authority; (2) changes the title of the Reliability Standard to be neutral as to the source of regulating reserves and to allow the inclusion of technically qualified DSM and direct control load management; (3) clarifies Requirement R5 of this Reliability Standard to specify the required type of transmission or backup plans when receiving regulation from outside the balancing authority when using </w:t>
      </w:r>
      <w:r w:rsidRPr="009A35F5">
        <w:t>non</w:t>
      </w:r>
      <w:r w:rsidR="00FC6A6A" w:rsidRPr="009A35F5">
        <w:t>-</w:t>
      </w:r>
      <w:r w:rsidRPr="009A35F5">
        <w:t>firm service</w:t>
      </w:r>
      <w:r w:rsidR="00FC6A6A" w:rsidRPr="009A35F5">
        <w:t>;</w:t>
      </w:r>
      <w:r w:rsidRPr="00353406">
        <w:t xml:space="preserve"> and (4) includes Levels of Non-Compliance and a Measure that provides for a verification process over the minimum required automatic generation control or regulating reserves a balancing authority must maintain.</w:t>
      </w:r>
      <w:r w:rsidRPr="00353406">
        <w:rPr>
          <w:rStyle w:val="FootnoteReference"/>
        </w:rPr>
        <w:footnoteReference w:id="9"/>
      </w:r>
    </w:p>
    <w:p w14:paraId="4D7824A9" w14:textId="77777777" w:rsidR="00EA450C" w:rsidRPr="00353406" w:rsidRDefault="00EA450C" w:rsidP="00656F15">
      <w:pPr>
        <w:pStyle w:val="FERCparanumber"/>
        <w:numPr>
          <w:ilvl w:val="0"/>
          <w:numId w:val="0"/>
        </w:numPr>
      </w:pPr>
      <w:r w:rsidRPr="00353406">
        <w:lastRenderedPageBreak/>
        <w:t xml:space="preserve">Since then, the Commission has approved one interpretation </w:t>
      </w:r>
      <w:r w:rsidR="00402619">
        <w:t xml:space="preserve">of </w:t>
      </w:r>
      <w:r w:rsidR="003F6477">
        <w:t xml:space="preserve">Reliability Standard </w:t>
      </w:r>
      <w:r w:rsidR="00402619">
        <w:t xml:space="preserve">BAL-005-0 and </w:t>
      </w:r>
      <w:r w:rsidRPr="00353406">
        <w:t xml:space="preserve">accepted two errata </w:t>
      </w:r>
      <w:r w:rsidR="00402619">
        <w:t>filings.</w:t>
      </w:r>
      <w:r w:rsidR="00402619" w:rsidRPr="00353406">
        <w:rPr>
          <w:rStyle w:val="FootnoteReference"/>
        </w:rPr>
        <w:footnoteReference w:id="10"/>
      </w:r>
      <w:r w:rsidR="00402619">
        <w:t xml:space="preserve">  </w:t>
      </w:r>
      <w:r w:rsidR="00402619" w:rsidRPr="00353406">
        <w:t xml:space="preserve">The </w:t>
      </w:r>
      <w:r w:rsidRPr="00353406">
        <w:t>currently</w:t>
      </w:r>
      <w:r w:rsidR="00402619">
        <w:t>-</w:t>
      </w:r>
      <w:r w:rsidRPr="00353406">
        <w:t xml:space="preserve">effective version of the </w:t>
      </w:r>
      <w:r w:rsidR="00402619">
        <w:t xml:space="preserve">Reliability Standard </w:t>
      </w:r>
      <w:r w:rsidRPr="00353406">
        <w:t>i</w:t>
      </w:r>
      <w:r w:rsidR="00402619">
        <w:t>s</w:t>
      </w:r>
      <w:r w:rsidRPr="00353406">
        <w:t xml:space="preserve"> BAL-005-0.2b.</w:t>
      </w:r>
      <w:r w:rsidR="00402619">
        <w:t xml:space="preserve">  </w:t>
      </w:r>
    </w:p>
    <w:p w14:paraId="4D7824AA" w14:textId="77777777" w:rsidR="003E657B" w:rsidRPr="00353406" w:rsidRDefault="00402619" w:rsidP="00656F15">
      <w:pPr>
        <w:pStyle w:val="FERCparanumber"/>
      </w:pPr>
      <w:r w:rsidRPr="00353406">
        <w:t>With respect to</w:t>
      </w:r>
      <w:r w:rsidR="003F6477">
        <w:t xml:space="preserve"> Reliability Standard</w:t>
      </w:r>
      <w:r w:rsidRPr="00353406">
        <w:t xml:space="preserve"> BAL-006-1</w:t>
      </w:r>
      <w:r>
        <w:t>, t</w:t>
      </w:r>
      <w:r w:rsidR="003E657B" w:rsidRPr="00353406">
        <w:t>he Commission</w:t>
      </w:r>
      <w:r>
        <w:t xml:space="preserve"> directed NERC </w:t>
      </w:r>
      <w:r w:rsidR="003E657B" w:rsidRPr="00353406">
        <w:t>to develop a modification “that adds Measures concerning the accumulation of large inadvertent imbalances and Levels of Non-Compliance.”</w:t>
      </w:r>
      <w:r w:rsidR="003E657B" w:rsidRPr="00353406">
        <w:rPr>
          <w:rStyle w:val="FootnoteReference"/>
        </w:rPr>
        <w:footnoteReference w:id="11"/>
      </w:r>
      <w:r w:rsidR="003E657B" w:rsidRPr="00353406">
        <w:t xml:space="preserve">  The Commission </w:t>
      </w:r>
      <w:r w:rsidR="00100838" w:rsidRPr="00353406">
        <w:t>explained the need for such a modification as follows:</w:t>
      </w:r>
    </w:p>
    <w:p w14:paraId="4D7824AB" w14:textId="77777777" w:rsidR="00100838" w:rsidRPr="00353406" w:rsidRDefault="00100838" w:rsidP="00360B03">
      <w:pPr>
        <w:pStyle w:val="BlockText"/>
      </w:pPr>
      <w:r w:rsidRPr="00353406">
        <w:t>While we agree that inadvertent imbalances do not normally affect the real-time operations of the Bulk-Power System and pose no immediate threat to reliability, we are concerned that large imbalances represent dependence by some balancing authorities on their neighbors and are an indication of less than desirable balancing of generation with load.  The Commission also notes that the stated purpose of this Reliability Standard is to define a process for monitoring balancing authorities to ensure that, over the long term, balancing authorities do not excessively depend on other balancing authorities in the Interconnection for meeting their demand or interchange obligations.</w:t>
      </w:r>
      <w:r w:rsidRPr="00353406">
        <w:rPr>
          <w:rStyle w:val="FootnoteReference"/>
        </w:rPr>
        <w:footnoteReference w:id="12"/>
      </w:r>
    </w:p>
    <w:p w14:paraId="4D7824AC" w14:textId="77777777" w:rsidR="00100838" w:rsidRPr="00353406" w:rsidRDefault="00100838" w:rsidP="00656F15">
      <w:pPr>
        <w:pStyle w:val="FERCparanumber"/>
        <w:numPr>
          <w:ilvl w:val="0"/>
          <w:numId w:val="0"/>
        </w:numPr>
      </w:pPr>
      <w:r w:rsidRPr="00353406">
        <w:t xml:space="preserve">Since then, the </w:t>
      </w:r>
      <w:r w:rsidR="003D4351" w:rsidRPr="00353406">
        <w:t>Commission</w:t>
      </w:r>
      <w:r w:rsidRPr="00353406">
        <w:t xml:space="preserve"> has approved one revision to </w:t>
      </w:r>
      <w:r w:rsidR="003F6477">
        <w:t xml:space="preserve">Reliability Standard </w:t>
      </w:r>
      <w:r w:rsidRPr="00353406">
        <w:t xml:space="preserve">BAL-006-1 to </w:t>
      </w:r>
      <w:r w:rsidR="003D4351" w:rsidRPr="00353406">
        <w:t>remove</w:t>
      </w:r>
      <w:r w:rsidRPr="00353406">
        <w:t xml:space="preserve"> the regional waiver of certain requirements for the Midwest ISO, following </w:t>
      </w:r>
      <w:r w:rsidR="00402619">
        <w:lastRenderedPageBreak/>
        <w:t xml:space="preserve">the Midwest ISO’s </w:t>
      </w:r>
      <w:r w:rsidRPr="00353406">
        <w:t xml:space="preserve">transition to a single </w:t>
      </w:r>
      <w:r w:rsidR="00402619">
        <w:t xml:space="preserve">balancing authority </w:t>
      </w:r>
      <w:r w:rsidRPr="00353406">
        <w:t>model.</w:t>
      </w:r>
      <w:r w:rsidRPr="00353406">
        <w:rPr>
          <w:rStyle w:val="FootnoteReference"/>
        </w:rPr>
        <w:footnoteReference w:id="13"/>
      </w:r>
      <w:r w:rsidR="00763375">
        <w:t xml:space="preserve">  </w:t>
      </w:r>
      <w:r w:rsidR="00763375" w:rsidRPr="00353406">
        <w:t>The currently</w:t>
      </w:r>
      <w:r w:rsidR="00763375">
        <w:t>-</w:t>
      </w:r>
      <w:r w:rsidR="00763375" w:rsidRPr="00353406">
        <w:t xml:space="preserve">effective version of the </w:t>
      </w:r>
      <w:r w:rsidR="00763375">
        <w:t xml:space="preserve">Reliability Standard </w:t>
      </w:r>
      <w:r w:rsidR="00763375" w:rsidRPr="00353406">
        <w:t>i</w:t>
      </w:r>
      <w:r w:rsidR="00763375">
        <w:t>s</w:t>
      </w:r>
      <w:r w:rsidR="00763375" w:rsidRPr="00353406">
        <w:t xml:space="preserve"> BAL-00</w:t>
      </w:r>
      <w:r w:rsidR="00763375">
        <w:t>6</w:t>
      </w:r>
      <w:r w:rsidR="00763375" w:rsidRPr="00353406">
        <w:t>-2.</w:t>
      </w:r>
    </w:p>
    <w:p w14:paraId="4D7824AD" w14:textId="77777777" w:rsidR="00D9308C" w:rsidRPr="00353406" w:rsidRDefault="00B71310" w:rsidP="00326239">
      <w:pPr>
        <w:pStyle w:val="Heading2"/>
        <w:tabs>
          <w:tab w:val="clear" w:pos="1080"/>
          <w:tab w:val="left" w:pos="1430"/>
        </w:tabs>
        <w:ind w:left="720" w:firstLine="0"/>
        <w:rPr>
          <w:szCs w:val="26"/>
        </w:rPr>
      </w:pPr>
      <w:r w:rsidRPr="00353406">
        <w:rPr>
          <w:szCs w:val="26"/>
        </w:rPr>
        <w:t xml:space="preserve">NERC Petition </w:t>
      </w:r>
    </w:p>
    <w:p w14:paraId="4D7824AE" w14:textId="77777777" w:rsidR="003F6477" w:rsidRDefault="00D234F5" w:rsidP="00656F15">
      <w:pPr>
        <w:pStyle w:val="FERCparanumber"/>
      </w:pPr>
      <w:r w:rsidRPr="00353406">
        <w:t xml:space="preserve">On April 20, 2016, NERC filed a petition seeking approval of </w:t>
      </w:r>
      <w:r w:rsidR="00DD4EBA">
        <w:t xml:space="preserve">proposed </w:t>
      </w:r>
      <w:r w:rsidRPr="00353406">
        <w:t xml:space="preserve">Reliability Standards BAL-005-1 (Balancing </w:t>
      </w:r>
      <w:r w:rsidR="00DD4EBA">
        <w:t>Authority Control) and FAC-001-3</w:t>
      </w:r>
      <w:r w:rsidRPr="00353406">
        <w:t xml:space="preserve"> (Facility Interconnection </w:t>
      </w:r>
      <w:r w:rsidR="003D4351" w:rsidRPr="00353406">
        <w:t>Requirements</w:t>
      </w:r>
      <w:r w:rsidR="00DD4EBA">
        <w:t>),</w:t>
      </w:r>
      <w:r w:rsidRPr="00353406">
        <w:t xml:space="preserve"> nine new or revised definitions associated with the proposed </w:t>
      </w:r>
      <w:r w:rsidR="003F6477">
        <w:t>Reliability S</w:t>
      </w:r>
      <w:r w:rsidRPr="00353406">
        <w:t>tandards, and retirement of currently</w:t>
      </w:r>
      <w:r w:rsidR="00DD4EBA">
        <w:t>-</w:t>
      </w:r>
      <w:r w:rsidRPr="00353406">
        <w:t>effective Reliability Standard</w:t>
      </w:r>
      <w:r w:rsidR="003F6477">
        <w:t>s BAL-005-0.2b (Automatic Generation Control), FAC-001-2 (</w:t>
      </w:r>
      <w:r w:rsidR="003F6477" w:rsidRPr="003D0E19">
        <w:t>Facility Interconnection Requirements</w:t>
      </w:r>
      <w:r w:rsidR="003F6477">
        <w:t>), and</w:t>
      </w:r>
      <w:r w:rsidRPr="00353406">
        <w:t xml:space="preserve"> BAL-006-</w:t>
      </w:r>
      <w:r w:rsidR="00DD4EBA">
        <w:t xml:space="preserve">2 (Inadvertent Interchange). </w:t>
      </w:r>
      <w:r w:rsidR="00110A1F" w:rsidRPr="00353406">
        <w:t xml:space="preserve"> </w:t>
      </w:r>
    </w:p>
    <w:p w14:paraId="4D7824AF" w14:textId="77777777" w:rsidR="00645C89" w:rsidRDefault="003D4351" w:rsidP="00656F15">
      <w:pPr>
        <w:pStyle w:val="FERCparanumber"/>
      </w:pPr>
      <w:r w:rsidRPr="00353406">
        <w:t xml:space="preserve">NERC </w:t>
      </w:r>
      <w:r w:rsidR="003F6477">
        <w:t xml:space="preserve">requests </w:t>
      </w:r>
      <w:r w:rsidRPr="00353406">
        <w:t xml:space="preserve">that the </w:t>
      </w:r>
      <w:r w:rsidR="00DD4EBA">
        <w:t xml:space="preserve">two </w:t>
      </w:r>
      <w:r w:rsidRPr="00353406">
        <w:t xml:space="preserve">revised Reliability Standards </w:t>
      </w:r>
      <w:r w:rsidR="00DD4EBA">
        <w:t xml:space="preserve">and the revised definitions of </w:t>
      </w:r>
      <w:r w:rsidR="00DD4EBA" w:rsidRPr="00353406">
        <w:t>Automatic Generation Control, Pseudo</w:t>
      </w:r>
      <w:r w:rsidR="00DD4EBA">
        <w:t xml:space="preserve">-Tie, and Balancing Authority </w:t>
      </w:r>
      <w:r w:rsidRPr="00353406">
        <w:t xml:space="preserve">become effective on the first day of the first calendar quarter twelve months from the effective date of the applicable governmental authority’s approval of </w:t>
      </w:r>
      <w:r w:rsidR="00DD4EBA">
        <w:t xml:space="preserve">NERC’s petition.  </w:t>
      </w:r>
      <w:r w:rsidRPr="00353406">
        <w:t xml:space="preserve">NERC </w:t>
      </w:r>
      <w:r w:rsidR="00645C89">
        <w:t xml:space="preserve">also </w:t>
      </w:r>
      <w:r w:rsidR="00110A1F" w:rsidRPr="00353406">
        <w:t>request</w:t>
      </w:r>
      <w:r w:rsidR="00DD4EBA">
        <w:t xml:space="preserve">s </w:t>
      </w:r>
      <w:r w:rsidR="00110A1F" w:rsidRPr="00353406">
        <w:t xml:space="preserve">that the retirement of </w:t>
      </w:r>
      <w:r w:rsidR="003F6477">
        <w:t xml:space="preserve">Reliability Standard </w:t>
      </w:r>
      <w:r w:rsidR="00110A1F" w:rsidRPr="00353406">
        <w:t xml:space="preserve">BAL-006-2 become effective upon the </w:t>
      </w:r>
      <w:r w:rsidR="00DD4EBA">
        <w:t xml:space="preserve">latter of the </w:t>
      </w:r>
      <w:r w:rsidR="00110A1F" w:rsidRPr="00353406">
        <w:t xml:space="preserve">effective date of </w:t>
      </w:r>
      <w:r w:rsidR="003F6477">
        <w:t xml:space="preserve">proposed </w:t>
      </w:r>
      <w:r w:rsidR="00110A1F" w:rsidRPr="00353406">
        <w:t xml:space="preserve">Reliability Standard BAL-005-1 and the NERC Operating Committee’s approval of </w:t>
      </w:r>
      <w:r w:rsidR="00DD4EBA">
        <w:t xml:space="preserve">the </w:t>
      </w:r>
      <w:r w:rsidR="00110A1F" w:rsidRPr="00353406">
        <w:t>Inadvertent Interchange Guideline</w:t>
      </w:r>
      <w:r w:rsidR="00DD4EBA">
        <w:t xml:space="preserve"> document</w:t>
      </w:r>
      <w:r w:rsidR="00110A1F" w:rsidRPr="00353406">
        <w:t>.</w:t>
      </w:r>
      <w:r w:rsidR="00645C89">
        <w:t xml:space="preserve">  </w:t>
      </w:r>
      <w:r w:rsidR="00DD4EBA" w:rsidRPr="00353406">
        <w:t xml:space="preserve">For </w:t>
      </w:r>
      <w:r w:rsidR="00DD4EBA">
        <w:t xml:space="preserve">the </w:t>
      </w:r>
      <w:r w:rsidR="00110A1F" w:rsidRPr="00353406">
        <w:t xml:space="preserve">six </w:t>
      </w:r>
      <w:r w:rsidR="00DD4EBA">
        <w:t xml:space="preserve">remaining </w:t>
      </w:r>
      <w:r w:rsidR="00110A1F" w:rsidRPr="00353406">
        <w:t xml:space="preserve">definitions (Reporting ACE and its component definitions - Actual Frequency, Actual Net Interchange, Scheduled Net Interchange, </w:t>
      </w:r>
      <w:r w:rsidR="00110A1F" w:rsidRPr="00353406">
        <w:lastRenderedPageBreak/>
        <w:t xml:space="preserve">Interchange Meter Error, and Automatic Time Error Correction), </w:t>
      </w:r>
      <w:r w:rsidR="00DD4EBA">
        <w:t>NERC requests an</w:t>
      </w:r>
      <w:r w:rsidR="00DD4EBA" w:rsidRPr="00353406">
        <w:t xml:space="preserve"> effective date of July 1, 2016</w:t>
      </w:r>
      <w:r w:rsidR="00DD4EBA">
        <w:t>,</w:t>
      </w:r>
      <w:r w:rsidR="00DD4EBA" w:rsidRPr="00353406">
        <w:t xml:space="preserve"> </w:t>
      </w:r>
      <w:r w:rsidR="00110A1F" w:rsidRPr="00353406">
        <w:t>to coincide with the effective date for BAL-001-2</w:t>
      </w:r>
      <w:r w:rsidR="00DD4EBA">
        <w:t xml:space="preserve">.  </w:t>
      </w:r>
    </w:p>
    <w:p w14:paraId="4D7824B0" w14:textId="77777777" w:rsidR="00DD4EBA" w:rsidRDefault="00110A1F" w:rsidP="00656F15">
      <w:pPr>
        <w:pStyle w:val="FERCparanumber"/>
      </w:pPr>
      <w:r w:rsidRPr="00353406">
        <w:t>NERC subsequently withdrew its request for approval of the six Reporting ACE-related definitions from the instant docket</w:t>
      </w:r>
      <w:r w:rsidR="00DD4EBA">
        <w:t xml:space="preserve">, and filed for expedited approval of the six definitions in a separate docket.  </w:t>
      </w:r>
      <w:r w:rsidRPr="00353406">
        <w:t>The six definitions were approved by delegated letter order on June 23, 2016</w:t>
      </w:r>
      <w:r w:rsidR="00DD4EBA">
        <w:t>, and are no longer at issue in the instant proceeding</w:t>
      </w:r>
      <w:r w:rsidRPr="00353406">
        <w:t>.</w:t>
      </w:r>
      <w:r w:rsidRPr="00353406">
        <w:rPr>
          <w:rStyle w:val="FootnoteReference"/>
        </w:rPr>
        <w:footnoteReference w:id="14"/>
      </w:r>
      <w:r w:rsidRPr="00353406">
        <w:t xml:space="preserve">  </w:t>
      </w:r>
    </w:p>
    <w:p w14:paraId="4D7824B1" w14:textId="77777777" w:rsidR="00656F15" w:rsidRPr="00353406" w:rsidRDefault="00110A1F" w:rsidP="00656F15">
      <w:pPr>
        <w:pStyle w:val="FERCparanumber"/>
      </w:pPr>
      <w:r w:rsidRPr="00353406">
        <w:t xml:space="preserve">NERC explains in its petition that </w:t>
      </w:r>
      <w:r w:rsidR="00656F15" w:rsidRPr="00353406">
        <w:t>proposed Reliability Standards BAL-005-1 and FAC-001-3 and the proposed retirement of Reliability Standard BAL-006-2 came about as part of the second phase of NERC’s project to “clarify, consolidate, streamline, and enhance the Reliability Standards addressing frequency control.”</w:t>
      </w:r>
      <w:r w:rsidR="00656F15" w:rsidRPr="00353406">
        <w:rPr>
          <w:rStyle w:val="FootnoteReference"/>
          <w:b w:val="0"/>
        </w:rPr>
        <w:footnoteReference w:id="15"/>
      </w:r>
      <w:r w:rsidR="00656F15" w:rsidRPr="00353406">
        <w:t xml:space="preserve">  NERC indicates in its petition that the standard drafting team developed the proposed revisions after reviewing applicable Commission directives, </w:t>
      </w:r>
      <w:r w:rsidR="00512483">
        <w:t>“</w:t>
      </w:r>
      <w:r w:rsidR="00656F15" w:rsidRPr="00353406">
        <w:t>Paragraph 81</w:t>
      </w:r>
      <w:r w:rsidR="00512483">
        <w:t>”</w:t>
      </w:r>
      <w:r w:rsidR="00656F15" w:rsidRPr="00353406">
        <w:t xml:space="preserve"> criteria, and </w:t>
      </w:r>
      <w:r w:rsidR="00DD4EBA">
        <w:t xml:space="preserve">the </w:t>
      </w:r>
      <w:r w:rsidR="00656F15" w:rsidRPr="00353406">
        <w:t>recommendations of the periodic review team that examined Reliability Standards BAL-005-0.2b and BAL-006-2.</w:t>
      </w:r>
      <w:r w:rsidR="00656F15" w:rsidRPr="00353406">
        <w:rPr>
          <w:rStyle w:val="FootnoteReference"/>
        </w:rPr>
        <w:footnoteReference w:id="16"/>
      </w:r>
    </w:p>
    <w:p w14:paraId="4D7824B2" w14:textId="77777777" w:rsidR="0089153B" w:rsidRPr="00353406" w:rsidRDefault="00656F15" w:rsidP="00656F15">
      <w:pPr>
        <w:pStyle w:val="FERCparanumber"/>
      </w:pPr>
      <w:r w:rsidRPr="00353406">
        <w:lastRenderedPageBreak/>
        <w:t xml:space="preserve">NERC describes the revisions to </w:t>
      </w:r>
      <w:r w:rsidR="003F6477">
        <w:t xml:space="preserve">Reliability Standard </w:t>
      </w:r>
      <w:r w:rsidRPr="00353406">
        <w:t>BAL-005-0.2b as clarifying and refining the current requirements “for accurate, consistent, and complete” Reporting ACE, which is a key frequency control and reliability indicator.</w:t>
      </w:r>
      <w:r w:rsidRPr="00353406">
        <w:rPr>
          <w:rStyle w:val="FootnoteReference"/>
        </w:rPr>
        <w:footnoteReference w:id="17"/>
      </w:r>
      <w:r w:rsidRPr="00353406">
        <w:t xml:space="preserve">  These revisions include relocating some of the current requirements of </w:t>
      </w:r>
      <w:r w:rsidR="003F6477">
        <w:t xml:space="preserve">Reliability Standard </w:t>
      </w:r>
      <w:r w:rsidRPr="00353406">
        <w:t>BAL-005-0.2b, which relate to confirming that facilities are within a balancing authority’s metered boundary, into the proposed Facilit</w:t>
      </w:r>
      <w:r w:rsidR="00DD4EBA">
        <w:t xml:space="preserve">y </w:t>
      </w:r>
      <w:r w:rsidRPr="00353406">
        <w:t xml:space="preserve">Interconnection </w:t>
      </w:r>
      <w:r w:rsidR="00DD4EBA">
        <w:t xml:space="preserve">Requirements </w:t>
      </w:r>
      <w:r w:rsidRPr="00353406">
        <w:t>Reliability Stan</w:t>
      </w:r>
      <w:r w:rsidR="00DD4EBA">
        <w:t xml:space="preserve">dard, FAC-001-3.  In addition, NERC proposes to relocate </w:t>
      </w:r>
      <w:r w:rsidRPr="00353406">
        <w:t xml:space="preserve">Requirement </w:t>
      </w:r>
      <w:r w:rsidR="0089153B" w:rsidRPr="00353406">
        <w:t xml:space="preserve">R3 of currently-effective </w:t>
      </w:r>
      <w:r w:rsidR="00FC5D00">
        <w:t xml:space="preserve">Reliability Standard </w:t>
      </w:r>
      <w:r w:rsidRPr="00353406">
        <w:t>BAL-006-2 into</w:t>
      </w:r>
      <w:r w:rsidR="00FC5D00">
        <w:t xml:space="preserve"> proposed Reliability Standard</w:t>
      </w:r>
      <w:r w:rsidRPr="00353406">
        <w:t xml:space="preserve"> BAL-005-1, </w:t>
      </w:r>
      <w:r w:rsidR="00DD4EBA">
        <w:t xml:space="preserve">explaining that </w:t>
      </w:r>
      <w:r w:rsidR="0089153B" w:rsidRPr="00353406">
        <w:t xml:space="preserve">the requirement </w:t>
      </w:r>
      <w:r w:rsidRPr="00353406">
        <w:t>relates to ensuring that balancing authorities use consistent data sources to calculate Reporting ACE</w:t>
      </w:r>
      <w:r w:rsidR="00DD4EBA">
        <w:t xml:space="preserve">, and therefore more properly belongs in </w:t>
      </w:r>
      <w:r w:rsidR="00FC5D00">
        <w:t xml:space="preserve">Reliability Standard </w:t>
      </w:r>
      <w:r w:rsidR="00DD4EBA">
        <w:t xml:space="preserve">BAL-005.  </w:t>
      </w:r>
    </w:p>
    <w:p w14:paraId="4D7824B3" w14:textId="77777777" w:rsidR="00656F15" w:rsidRPr="00353406" w:rsidRDefault="00656F15" w:rsidP="00656F15">
      <w:pPr>
        <w:pStyle w:val="FERCparanumber"/>
      </w:pPr>
      <w:r w:rsidRPr="00353406">
        <w:t xml:space="preserve">NERC </w:t>
      </w:r>
      <w:r w:rsidR="00FC5D00">
        <w:t>explains</w:t>
      </w:r>
      <w:r w:rsidR="00FC5D00" w:rsidRPr="00353406">
        <w:t xml:space="preserve"> </w:t>
      </w:r>
      <w:r w:rsidRPr="00353406">
        <w:t>that</w:t>
      </w:r>
      <w:r w:rsidR="0089153B" w:rsidRPr="00353406">
        <w:t xml:space="preserve"> the proposed </w:t>
      </w:r>
      <w:r w:rsidR="00FC5D00">
        <w:t>Reliability Standards</w:t>
      </w:r>
      <w:r w:rsidR="00FC5D00" w:rsidRPr="00353406">
        <w:t xml:space="preserve"> </w:t>
      </w:r>
      <w:r w:rsidR="0089153B" w:rsidRPr="00353406">
        <w:t xml:space="preserve">“represent substantial improvements over existing </w:t>
      </w:r>
      <w:r w:rsidR="0038518B" w:rsidRPr="00353406">
        <w:t>Reliability</w:t>
      </w:r>
      <w:r w:rsidR="0089153B" w:rsidRPr="00353406">
        <w:t xml:space="preserve"> Standards by helping to support more accurate and comprehensive calculation of Reporting ACE and satisfying all remaining </w:t>
      </w:r>
      <w:r w:rsidR="0038518B" w:rsidRPr="00353406">
        <w:t>Commission</w:t>
      </w:r>
      <w:r w:rsidR="0089153B" w:rsidRPr="00353406">
        <w:t xml:space="preserve"> directives for Reliability Standards BAL-005 and BAL-006.”</w:t>
      </w:r>
      <w:r w:rsidR="0089153B" w:rsidRPr="00353406">
        <w:rPr>
          <w:rStyle w:val="FootnoteReference"/>
        </w:rPr>
        <w:footnoteReference w:id="18"/>
      </w:r>
      <w:r w:rsidR="0089153B" w:rsidRPr="00353406">
        <w:t xml:space="preserve">  </w:t>
      </w:r>
    </w:p>
    <w:p w14:paraId="4D7824B4" w14:textId="77777777" w:rsidR="00D37D78" w:rsidRPr="00353406" w:rsidRDefault="0065553A" w:rsidP="009A7AB0">
      <w:pPr>
        <w:pStyle w:val="FERCparanumber"/>
        <w:numPr>
          <w:ilvl w:val="0"/>
          <w:numId w:val="0"/>
        </w:numPr>
      </w:pPr>
      <w:r>
        <w:t xml:space="preserve">Further, </w:t>
      </w:r>
      <w:r w:rsidR="0089153B" w:rsidRPr="00353406">
        <w:t xml:space="preserve">NERC maintains that </w:t>
      </w:r>
      <w:r w:rsidR="00B75D1A" w:rsidRPr="00353406">
        <w:t xml:space="preserve">proposed Reliability Standard </w:t>
      </w:r>
      <w:r w:rsidR="0089153B" w:rsidRPr="00353406">
        <w:t xml:space="preserve">BAL-005-1 is an improvement over the currently-effective version, BAL-005-0.2b, because it “consolidates unnecessary or repetitive Requirements and moves certain metrics for </w:t>
      </w:r>
      <w:r w:rsidR="0089153B" w:rsidRPr="00353406">
        <w:lastRenderedPageBreak/>
        <w:t>calculating Reporting ACE to the revised, proposed definition of Reporting ACE.”</w:t>
      </w:r>
      <w:r w:rsidR="00B75D1A" w:rsidRPr="00353406">
        <w:rPr>
          <w:rStyle w:val="FootnoteReference"/>
        </w:rPr>
        <w:footnoteReference w:id="19"/>
      </w:r>
      <w:r w:rsidR="00B75D1A" w:rsidRPr="00353406">
        <w:t xml:space="preserve">  Among other things, NERC proposes to move requirements applicable to generator operators and transmission operators in currently-effective </w:t>
      </w:r>
      <w:r w:rsidR="00FC5D00">
        <w:t xml:space="preserve">Reliability Standard </w:t>
      </w:r>
      <w:r w:rsidR="00B75D1A" w:rsidRPr="00353406">
        <w:t>BAL-005-0.2b, into a more appropriate standard</w:t>
      </w:r>
      <w:r w:rsidR="00DD4EBA">
        <w:t xml:space="preserve">, explaining that </w:t>
      </w:r>
      <w:r w:rsidR="00B75D1A" w:rsidRPr="00353406">
        <w:t>“</w:t>
      </w:r>
      <w:r w:rsidR="00DD4EBA">
        <w:t>[a]</w:t>
      </w:r>
      <w:r w:rsidR="00B75D1A" w:rsidRPr="00353406">
        <w:t xml:space="preserve">s the purpose of FAC-001-3 is more </w:t>
      </w:r>
      <w:r w:rsidR="00D37D78" w:rsidRPr="00353406">
        <w:t>commensurate</w:t>
      </w:r>
      <w:r w:rsidR="00B75D1A" w:rsidRPr="00353406">
        <w:t xml:space="preserve"> with interconnection responsibilities, interconnection procedures contained in currently effect</w:t>
      </w:r>
      <w:r w:rsidR="00D37D78" w:rsidRPr="00353406">
        <w:t>ive BAL-005-0.2b should be included in proposed Reliability Standard FAC-001-3.”</w:t>
      </w:r>
      <w:r w:rsidR="00D37D78" w:rsidRPr="00353406">
        <w:rPr>
          <w:rStyle w:val="FootnoteReference"/>
        </w:rPr>
        <w:footnoteReference w:id="20"/>
      </w:r>
      <w:r w:rsidR="00D37D78" w:rsidRPr="00353406">
        <w:t xml:space="preserve">  </w:t>
      </w:r>
    </w:p>
    <w:p w14:paraId="4D7824B5" w14:textId="77777777" w:rsidR="00110A1F" w:rsidRPr="00353406" w:rsidRDefault="00B75D1A" w:rsidP="00656F15">
      <w:pPr>
        <w:pStyle w:val="FERCparanumber"/>
      </w:pPr>
      <w:r w:rsidRPr="00353406">
        <w:t xml:space="preserve">In addition, NERC asserts that proposed </w:t>
      </w:r>
      <w:r w:rsidR="0038518B" w:rsidRPr="00353406">
        <w:t>Reliability</w:t>
      </w:r>
      <w:r w:rsidRPr="00353406">
        <w:t xml:space="preserve"> Standard BAL-005-1 improves on the currently</w:t>
      </w:r>
      <w:r w:rsidR="00DD4EBA">
        <w:t>-</w:t>
      </w:r>
      <w:r w:rsidRPr="00353406">
        <w:t xml:space="preserve">effective version of </w:t>
      </w:r>
      <w:r w:rsidR="00D37D78" w:rsidRPr="00353406">
        <w:t xml:space="preserve">the </w:t>
      </w:r>
      <w:r w:rsidR="00FC5D00">
        <w:t>Reliability S</w:t>
      </w:r>
      <w:r w:rsidR="00D37D78" w:rsidRPr="00353406">
        <w:t>tandard</w:t>
      </w:r>
      <w:r w:rsidR="00FC5D00">
        <w:t xml:space="preserve"> </w:t>
      </w:r>
      <w:r w:rsidR="00FC5D00" w:rsidRPr="009A35F5">
        <w:t xml:space="preserve">because </w:t>
      </w:r>
      <w:r w:rsidR="00F205EB" w:rsidRPr="009A35F5">
        <w:t>proposed</w:t>
      </w:r>
      <w:r w:rsidR="00F205EB">
        <w:t xml:space="preserve"> </w:t>
      </w:r>
      <w:r w:rsidR="00D37D78" w:rsidRPr="00353406">
        <w:t xml:space="preserve">Requirement R2 </w:t>
      </w:r>
      <w:r w:rsidRPr="00353406">
        <w:t>clarif</w:t>
      </w:r>
      <w:r w:rsidR="00D37D78" w:rsidRPr="00353406">
        <w:t xml:space="preserve">ies </w:t>
      </w:r>
      <w:r w:rsidRPr="00353406">
        <w:t xml:space="preserve">the performance expectations for </w:t>
      </w:r>
      <w:r w:rsidR="0038518B" w:rsidRPr="00353406">
        <w:t>notification</w:t>
      </w:r>
      <w:r w:rsidR="00D37D78" w:rsidRPr="00353406">
        <w:t xml:space="preserve"> to reliability coordinators when a balancing authority is unable to calculate Reporting ACE for 30 minutes or more,</w:t>
      </w:r>
      <w:r w:rsidR="00D37D78" w:rsidRPr="00353406">
        <w:rPr>
          <w:rStyle w:val="FootnoteReference"/>
        </w:rPr>
        <w:footnoteReference w:id="21"/>
      </w:r>
      <w:r w:rsidR="00D37D78" w:rsidRPr="00353406">
        <w:t xml:space="preserve"> and Requirement R5 “introduces a new obligation . . . to assure the availability of a BA’s system used to calculate Reporting ACE,” requiring a minimum availability o</w:t>
      </w:r>
      <w:r w:rsidR="008469CA" w:rsidRPr="00353406">
        <w:t>f 99.5% in each calendar year.</w:t>
      </w:r>
      <w:r w:rsidR="008469CA" w:rsidRPr="00353406">
        <w:rPr>
          <w:rStyle w:val="FootnoteReference"/>
        </w:rPr>
        <w:footnoteReference w:id="22"/>
      </w:r>
    </w:p>
    <w:p w14:paraId="4D7824B6" w14:textId="77777777" w:rsidR="00697417" w:rsidRDefault="008469CA" w:rsidP="00656F15">
      <w:pPr>
        <w:pStyle w:val="FERCparanumber"/>
      </w:pPr>
      <w:r w:rsidRPr="00353406">
        <w:t xml:space="preserve">NERC states that the proposed package of revisions </w:t>
      </w:r>
      <w:r w:rsidR="00645C89">
        <w:t xml:space="preserve">reflected in its petition </w:t>
      </w:r>
      <w:r w:rsidRPr="00353406">
        <w:t xml:space="preserve">address the outstanding directives related to </w:t>
      </w:r>
      <w:r w:rsidR="00FC5D00">
        <w:t xml:space="preserve">Reliability Standards </w:t>
      </w:r>
      <w:r w:rsidRPr="00353406">
        <w:t xml:space="preserve">BAL-005 and BAL-006 from Order No. 693.  Specifically, NERC states that the title of Reliability Standard </w:t>
      </w:r>
      <w:r w:rsidRPr="00353406">
        <w:lastRenderedPageBreak/>
        <w:t>BA</w:t>
      </w:r>
      <w:r w:rsidR="00DD4EBA">
        <w:t xml:space="preserve">L-005-1 has been modified from </w:t>
      </w:r>
      <w:r w:rsidRPr="00353406">
        <w:t>Automatic Generation Control to Balancing Authority Control</w:t>
      </w:r>
      <w:r w:rsidR="00697417">
        <w:t xml:space="preserve"> </w:t>
      </w:r>
      <w:r w:rsidRPr="00353406">
        <w:t xml:space="preserve">“to reflect the connection to </w:t>
      </w:r>
      <w:r w:rsidR="0038518B" w:rsidRPr="00353406">
        <w:t>Reporting</w:t>
      </w:r>
      <w:r w:rsidRPr="00353406">
        <w:t xml:space="preserve"> ACE and resource-neutral requirements.”</w:t>
      </w:r>
      <w:r w:rsidRPr="00353406">
        <w:rPr>
          <w:rStyle w:val="FootnoteReference"/>
        </w:rPr>
        <w:footnoteReference w:id="23"/>
      </w:r>
      <w:r w:rsidRPr="00353406">
        <w:t xml:space="preserve">  In addition, NERC indicates that it has revised the definition of </w:t>
      </w:r>
      <w:r w:rsidR="0038518B" w:rsidRPr="00353406">
        <w:t>Automatic</w:t>
      </w:r>
      <w:r w:rsidRPr="00353406">
        <w:t xml:space="preserve"> Generation Control to </w:t>
      </w:r>
      <w:r w:rsidR="00FC5D00">
        <w:t>en</w:t>
      </w:r>
      <w:r w:rsidRPr="00353406">
        <w:t>sure a resource</w:t>
      </w:r>
      <w:r w:rsidR="00697417">
        <w:t>-</w:t>
      </w:r>
      <w:r w:rsidRPr="00353406">
        <w:t xml:space="preserve">neutral process for controlling demand and </w:t>
      </w:r>
      <w:r w:rsidR="0038518B" w:rsidRPr="00353406">
        <w:t>resources</w:t>
      </w:r>
      <w:r w:rsidRPr="00353406">
        <w:t>.</w:t>
      </w:r>
      <w:r w:rsidRPr="00353406">
        <w:rPr>
          <w:rStyle w:val="FootnoteReference"/>
        </w:rPr>
        <w:footnoteReference w:id="24"/>
      </w:r>
      <w:r w:rsidRPr="00353406">
        <w:t xml:space="preserve">  </w:t>
      </w:r>
    </w:p>
    <w:p w14:paraId="4D7824B7" w14:textId="77777777" w:rsidR="00110A1F" w:rsidRPr="00353406" w:rsidRDefault="008469CA" w:rsidP="00656F15">
      <w:pPr>
        <w:pStyle w:val="FERCparanumber"/>
      </w:pPr>
      <w:r w:rsidRPr="00353406">
        <w:t xml:space="preserve">NERC states that the </w:t>
      </w:r>
      <w:r w:rsidR="00FC5D00">
        <w:t xml:space="preserve">requirements of proposed Reliability Standard </w:t>
      </w:r>
      <w:r w:rsidRPr="00353406">
        <w:t xml:space="preserve">BAL-005-1 all have a </w:t>
      </w:r>
      <w:r w:rsidR="00FC5D00">
        <w:t>“</w:t>
      </w:r>
      <w:r w:rsidRPr="00353406">
        <w:t>medium</w:t>
      </w:r>
      <w:r w:rsidR="00FC5D00">
        <w:t>” violation</w:t>
      </w:r>
      <w:r w:rsidRPr="00353406">
        <w:t xml:space="preserve"> risk factor, thereby addressing the Commission’s directive to revise the violation risk factor for </w:t>
      </w:r>
      <w:r w:rsidR="00FC5D00">
        <w:t xml:space="preserve">Reliability Standard </w:t>
      </w:r>
      <w:r w:rsidRPr="00353406">
        <w:t>BAL-005-0</w:t>
      </w:r>
      <w:r w:rsidR="00FC5D00">
        <w:t>,</w:t>
      </w:r>
      <w:r w:rsidRPr="00353406">
        <w:t xml:space="preserve"> Requirement R17 to </w:t>
      </w:r>
      <w:r w:rsidR="00FC5D00">
        <w:t>“</w:t>
      </w:r>
      <w:r w:rsidRPr="00353406">
        <w:t>medium</w:t>
      </w:r>
      <w:r w:rsidR="0053464E">
        <w:t>.</w:t>
      </w:r>
      <w:r w:rsidR="00FC5D00">
        <w:t>”</w:t>
      </w:r>
      <w:r w:rsidRPr="00353406">
        <w:rPr>
          <w:rStyle w:val="FootnoteReference"/>
        </w:rPr>
        <w:footnoteReference w:id="25"/>
      </w:r>
      <w:r w:rsidR="007C3942" w:rsidRPr="00353406">
        <w:t xml:space="preserve">  Similarly, NERC asserts that it has met the directive to consider Xcel and FirstEnergy’s comments about the scope of Requirement R17, which set minimum accuracy requirements for time error and frequency devices, by retiring part of the currently</w:t>
      </w:r>
      <w:r w:rsidR="00645C89">
        <w:t>-</w:t>
      </w:r>
      <w:r w:rsidR="007C3942" w:rsidRPr="00353406">
        <w:t>effective requirement and moving the minimum accuracy requirement</w:t>
      </w:r>
      <w:r w:rsidR="00697417">
        <w:t>s</w:t>
      </w:r>
      <w:r w:rsidR="007C3942" w:rsidRPr="00353406">
        <w:t xml:space="preserve"> into Requirement R3 of </w:t>
      </w:r>
      <w:r w:rsidR="00FC5D00">
        <w:t xml:space="preserve">Reliability Standard </w:t>
      </w:r>
      <w:r w:rsidR="007C3942" w:rsidRPr="00353406">
        <w:t xml:space="preserve">BAL-005-1.  NERC maintains that this has “streamlined obligations to use specific frequency metering equipment that is necessary for operation of </w:t>
      </w:r>
      <w:r w:rsidR="00FC5D00">
        <w:t>[automatic generation control (</w:t>
      </w:r>
      <w:r w:rsidR="007C3942" w:rsidRPr="00353406">
        <w:t>AGC</w:t>
      </w:r>
      <w:r w:rsidR="00FC5D00">
        <w:t>)]</w:t>
      </w:r>
      <w:r w:rsidR="007C3942" w:rsidRPr="00353406">
        <w:t xml:space="preserve"> and accurate calculation of </w:t>
      </w:r>
      <w:r w:rsidR="007C3942" w:rsidRPr="00353406">
        <w:lastRenderedPageBreak/>
        <w:t xml:space="preserve">Reporting ACE, as this ensures that costs associated with </w:t>
      </w:r>
      <w:r w:rsidR="0038518B" w:rsidRPr="00353406">
        <w:t>implementation</w:t>
      </w:r>
      <w:r w:rsidR="007C3942" w:rsidRPr="00353406">
        <w:t xml:space="preserve"> are commensurate with reliability benefit.”</w:t>
      </w:r>
      <w:r w:rsidR="007C3942" w:rsidRPr="00353406">
        <w:rPr>
          <w:rStyle w:val="FootnoteReference"/>
        </w:rPr>
        <w:footnoteReference w:id="26"/>
      </w:r>
    </w:p>
    <w:p w14:paraId="4D7824B8" w14:textId="77777777" w:rsidR="000A229F" w:rsidRPr="00353406" w:rsidRDefault="007C3942" w:rsidP="00656F15">
      <w:pPr>
        <w:pStyle w:val="FERCparanumber"/>
      </w:pPr>
      <w:r w:rsidRPr="00353406">
        <w:t xml:space="preserve">NERC proposes to move Requirement R3 from currently-effective </w:t>
      </w:r>
      <w:r w:rsidR="00FC5D00">
        <w:t xml:space="preserve">Reliability </w:t>
      </w:r>
      <w:r w:rsidRPr="00353406">
        <w:t xml:space="preserve">BAL-006-2 into </w:t>
      </w:r>
      <w:r w:rsidR="00FC5D00">
        <w:t xml:space="preserve">proposed Reliability Standard </w:t>
      </w:r>
      <w:r w:rsidRPr="00353406">
        <w:t xml:space="preserve">BAL-005-1, but proposes to retire the rest of the requirements </w:t>
      </w:r>
      <w:r w:rsidR="00697417">
        <w:t xml:space="preserve">of </w:t>
      </w:r>
      <w:r w:rsidR="00FC5D00">
        <w:t xml:space="preserve">Reliability Standard </w:t>
      </w:r>
      <w:r w:rsidR="00697417">
        <w:t xml:space="preserve">BAL-006-2 </w:t>
      </w:r>
      <w:r w:rsidRPr="00353406">
        <w:t>(</w:t>
      </w:r>
      <w:r w:rsidR="00D10A57">
        <w:t xml:space="preserve">Requirements </w:t>
      </w:r>
      <w:r w:rsidRPr="00353406">
        <w:t>R1, R2, R4, and R5)</w:t>
      </w:r>
      <w:r w:rsidR="00697417">
        <w:t xml:space="preserve">.  </w:t>
      </w:r>
      <w:r w:rsidRPr="00353406">
        <w:t>NERC states that</w:t>
      </w:r>
      <w:r w:rsidR="00645C89">
        <w:t xml:space="preserve"> </w:t>
      </w:r>
      <w:r w:rsidRPr="00353406">
        <w:t>the standard drafting team determined that</w:t>
      </w:r>
      <w:r w:rsidR="00645C89" w:rsidRPr="00353406">
        <w:t xml:space="preserve">, aside from Requirement </w:t>
      </w:r>
      <w:r w:rsidR="00645C89" w:rsidRPr="009A35F5">
        <w:t>R3,</w:t>
      </w:r>
      <w:r w:rsidRPr="009A35F5">
        <w:t xml:space="preserve"> each of </w:t>
      </w:r>
      <w:r w:rsidR="00645C89" w:rsidRPr="009A35F5">
        <w:t xml:space="preserve">the </w:t>
      </w:r>
      <w:r w:rsidRPr="009A35F5">
        <w:t>requirements</w:t>
      </w:r>
      <w:r w:rsidRPr="00353406">
        <w:t xml:space="preserve"> in </w:t>
      </w:r>
      <w:r w:rsidR="00FC5D00">
        <w:t xml:space="preserve">Reliability Standard </w:t>
      </w:r>
      <w:r w:rsidRPr="00353406">
        <w:t xml:space="preserve">BAL-006-2 are “energy accounting standards” </w:t>
      </w:r>
      <w:r w:rsidR="00697417">
        <w:t xml:space="preserve">and/or </w:t>
      </w:r>
      <w:r w:rsidR="00645C89">
        <w:t xml:space="preserve">are </w:t>
      </w:r>
      <w:r w:rsidR="00697417">
        <w:t>“administrative</w:t>
      </w:r>
      <w:r w:rsidR="009A35F5">
        <w:t>”</w:t>
      </w:r>
      <w:r w:rsidR="00697417">
        <w:t xml:space="preserve"> in nature, </w:t>
      </w:r>
      <w:r w:rsidRPr="00353406">
        <w:t xml:space="preserve">and should </w:t>
      </w:r>
      <w:r w:rsidR="00697417">
        <w:t xml:space="preserve">accordingly </w:t>
      </w:r>
      <w:r w:rsidRPr="00353406">
        <w:t>be retired.</w:t>
      </w:r>
      <w:r w:rsidRPr="00353406">
        <w:rPr>
          <w:rStyle w:val="FootnoteReference"/>
        </w:rPr>
        <w:footnoteReference w:id="27"/>
      </w:r>
      <w:r w:rsidRPr="00353406">
        <w:t xml:space="preserve">  </w:t>
      </w:r>
    </w:p>
    <w:p w14:paraId="4D7824B9" w14:textId="77777777" w:rsidR="008469CA" w:rsidRPr="00353406" w:rsidRDefault="00697417" w:rsidP="00656F15">
      <w:pPr>
        <w:pStyle w:val="FERCparanumber"/>
      </w:pPr>
      <w:r>
        <w:t xml:space="preserve">While </w:t>
      </w:r>
      <w:r w:rsidR="000A229F" w:rsidRPr="00353406">
        <w:t xml:space="preserve">NERC </w:t>
      </w:r>
      <w:r>
        <w:t xml:space="preserve">acknowledges </w:t>
      </w:r>
      <w:r w:rsidR="000A229F" w:rsidRPr="00353406">
        <w:t xml:space="preserve">that the </w:t>
      </w:r>
      <w:r w:rsidR="0038518B" w:rsidRPr="00353406">
        <w:t>Commission</w:t>
      </w:r>
      <w:r w:rsidR="000A229F" w:rsidRPr="00353406">
        <w:t xml:space="preserve"> </w:t>
      </w:r>
      <w:r>
        <w:t xml:space="preserve">previously </w:t>
      </w:r>
      <w:r w:rsidR="000A229F" w:rsidRPr="00353406">
        <w:t xml:space="preserve">directed it to develop </w:t>
      </w:r>
      <w:r w:rsidR="00645C89">
        <w:t>m</w:t>
      </w:r>
      <w:r w:rsidR="00645C89" w:rsidRPr="00353406">
        <w:t xml:space="preserve">easures </w:t>
      </w:r>
      <w:r w:rsidR="000A229F" w:rsidRPr="00353406">
        <w:t>concerning the accumulation of large inadvertent imbalance</w:t>
      </w:r>
      <w:r w:rsidR="00645C89">
        <w:t>s</w:t>
      </w:r>
      <w:r w:rsidR="000A229F" w:rsidRPr="00353406">
        <w:t>, based on the Commission’s concern that large imbalances may</w:t>
      </w:r>
      <w:r>
        <w:t xml:space="preserve"> indicate an underlying problem, </w:t>
      </w:r>
      <w:r w:rsidR="000A229F" w:rsidRPr="00353406">
        <w:t xml:space="preserve">NERC explains that the requirements of </w:t>
      </w:r>
      <w:r w:rsidR="00FC5D00">
        <w:t xml:space="preserve">Reliability Standard </w:t>
      </w:r>
      <w:r w:rsidR="000A229F" w:rsidRPr="00353406">
        <w:t xml:space="preserve">BAL-001-2, which require balancing authorities to maintain clock-minute ACE within the Balancing Authority ACE Limit, as well as </w:t>
      </w:r>
      <w:r>
        <w:t xml:space="preserve">the requirements of </w:t>
      </w:r>
      <w:r w:rsidR="00FC5D00">
        <w:t xml:space="preserve">Reliability Standard </w:t>
      </w:r>
      <w:r w:rsidR="000A229F" w:rsidRPr="00353406">
        <w:t xml:space="preserve">BAL-003-1 and </w:t>
      </w:r>
      <w:r w:rsidR="0038518B" w:rsidRPr="00353406">
        <w:t>proposed</w:t>
      </w:r>
      <w:r w:rsidR="000A229F" w:rsidRPr="00353406">
        <w:t xml:space="preserve"> </w:t>
      </w:r>
      <w:r w:rsidR="00FC5D00">
        <w:t xml:space="preserve">Reliability Standard </w:t>
      </w:r>
      <w:r w:rsidR="000A229F" w:rsidRPr="00353406">
        <w:t xml:space="preserve">BAL-002-2, which require entities to </w:t>
      </w:r>
      <w:r w:rsidR="0038518B" w:rsidRPr="00353406">
        <w:t>restore</w:t>
      </w:r>
      <w:r w:rsidR="000A229F" w:rsidRPr="00353406">
        <w:t xml:space="preserve"> </w:t>
      </w:r>
      <w:r w:rsidR="0038518B" w:rsidRPr="00353406">
        <w:t>Reporting</w:t>
      </w:r>
      <w:r w:rsidR="000A229F" w:rsidRPr="00353406">
        <w:t xml:space="preserve"> ACE within pre</w:t>
      </w:r>
      <w:r w:rsidR="0038518B" w:rsidRPr="00353406">
        <w:t xml:space="preserve">defined </w:t>
      </w:r>
      <w:r w:rsidR="000A229F" w:rsidRPr="00353406">
        <w:t>bounds, prevent any excessive dependenc</w:t>
      </w:r>
      <w:r>
        <w:t xml:space="preserve">y on other entities.  As NERC explains in its petition: </w:t>
      </w:r>
    </w:p>
    <w:p w14:paraId="4D7824BA" w14:textId="77777777" w:rsidR="000A229F" w:rsidRPr="00353406" w:rsidRDefault="000A229F" w:rsidP="00360B03">
      <w:pPr>
        <w:pStyle w:val="BlockText"/>
      </w:pPr>
      <w:r w:rsidRPr="00353406">
        <w:lastRenderedPageBreak/>
        <w:t xml:space="preserve">Because entities are supporting frequency through this coordinated suite of reliability standards, entities will not excessively depend on other entities in the Interconnection such that the purely </w:t>
      </w:r>
      <w:r w:rsidR="0038518B" w:rsidRPr="00353406">
        <w:t>economic</w:t>
      </w:r>
      <w:r w:rsidRPr="00353406">
        <w:t xml:space="preserve"> issue that was addressed by BAL-006-2 becomes a reliability issue for a NERC Reliability Standard.</w:t>
      </w:r>
      <w:r w:rsidR="00697417">
        <w:rPr>
          <w:rStyle w:val="FootnoteReference"/>
        </w:rPr>
        <w:footnoteReference w:id="28"/>
      </w:r>
    </w:p>
    <w:p w14:paraId="4D7824BB" w14:textId="77777777" w:rsidR="00B84B1C" w:rsidRPr="00353406" w:rsidRDefault="00697417" w:rsidP="00656F15">
      <w:pPr>
        <w:pStyle w:val="FERCparanumber"/>
      </w:pPr>
      <w:r w:rsidRPr="00353406">
        <w:t xml:space="preserve">In order to address </w:t>
      </w:r>
      <w:r w:rsidR="00645C89">
        <w:t>“</w:t>
      </w:r>
      <w:r w:rsidRPr="00353406">
        <w:t xml:space="preserve">any remaining or potential concerns with retirement of BAL-006-2,” NERC proposes that the retirement become effective </w:t>
      </w:r>
      <w:r>
        <w:t xml:space="preserve">only </w:t>
      </w:r>
      <w:r w:rsidRPr="00353406">
        <w:t xml:space="preserve">upon the Operating Committee’s approval of </w:t>
      </w:r>
      <w:r>
        <w:t>an Inadvertent Interchange Guideline document</w:t>
      </w:r>
      <w:r w:rsidR="009E794F">
        <w:t>.</w:t>
      </w:r>
      <w:r w:rsidR="009E794F">
        <w:rPr>
          <w:rStyle w:val="FootnoteReference"/>
        </w:rPr>
        <w:footnoteReference w:id="29"/>
      </w:r>
      <w:r>
        <w:t xml:space="preserve"> </w:t>
      </w:r>
      <w:r w:rsidR="009E794F">
        <w:t xml:space="preserve"> </w:t>
      </w:r>
      <w:r w:rsidR="00645C89">
        <w:t xml:space="preserve">NERC states that the Inadvertent Interchange Guideline document </w:t>
      </w:r>
      <w:r>
        <w:t xml:space="preserve">was based on a white paper developed by the standard drafting team for </w:t>
      </w:r>
      <w:r w:rsidR="00FC5D00">
        <w:t xml:space="preserve">Reliability Standards </w:t>
      </w:r>
      <w:r>
        <w:t xml:space="preserve">BAL-005 and BAL-006, and </w:t>
      </w:r>
      <w:r w:rsidR="00D75F37">
        <w:t>maintains</w:t>
      </w:r>
      <w:r w:rsidR="00645C89">
        <w:t xml:space="preserve"> </w:t>
      </w:r>
      <w:r>
        <w:t xml:space="preserve">that it provides </w:t>
      </w:r>
      <w:r w:rsidR="00B84B1C" w:rsidRPr="00353406">
        <w:t xml:space="preserve">an in-depth justification for why a NERC </w:t>
      </w:r>
      <w:r w:rsidR="0038518B" w:rsidRPr="00353406">
        <w:t>Reliability</w:t>
      </w:r>
      <w:r w:rsidR="00B84B1C" w:rsidRPr="00353406">
        <w:t xml:space="preserve"> Standard is not necessary for </w:t>
      </w:r>
      <w:r w:rsidRPr="00353406">
        <w:t>inadvertent interchange</w:t>
      </w:r>
      <w:r w:rsidR="00683804">
        <w:t>.</w:t>
      </w:r>
      <w:r w:rsidRPr="00353406">
        <w:t xml:space="preserve"> </w:t>
      </w:r>
      <w:r w:rsidR="00683804">
        <w:t xml:space="preserve">  </w:t>
      </w:r>
    </w:p>
    <w:p w14:paraId="4D7824BC" w14:textId="77777777" w:rsidR="007D673C" w:rsidRDefault="007D673C" w:rsidP="00656F15">
      <w:pPr>
        <w:pStyle w:val="FERCparanumber"/>
      </w:pPr>
      <w:r w:rsidRPr="00353406">
        <w:t xml:space="preserve">With </w:t>
      </w:r>
      <w:r w:rsidR="0038518B" w:rsidRPr="00353406">
        <w:t>respect</w:t>
      </w:r>
      <w:r w:rsidRPr="00353406">
        <w:t xml:space="preserve"> to the three proposed definition</w:t>
      </w:r>
      <w:r w:rsidR="00D75F37">
        <w:t>s that remain at issue in this proceeding</w:t>
      </w:r>
      <w:r w:rsidRPr="00353406">
        <w:t xml:space="preserve">, NERC explains that </w:t>
      </w:r>
      <w:r w:rsidR="00D75F37">
        <w:t xml:space="preserve">(1) </w:t>
      </w:r>
      <w:r w:rsidRPr="00353406">
        <w:t>“Automatic Generation Control” has been revised to set forth a resource-neutral process for controlling demand and resources</w:t>
      </w:r>
      <w:r w:rsidR="00FC5D00">
        <w:t>;</w:t>
      </w:r>
      <w:r w:rsidR="00D75F37">
        <w:t xml:space="preserve"> (2) </w:t>
      </w:r>
      <w:r w:rsidRPr="00353406">
        <w:t>“Pseudo-Tie</w:t>
      </w:r>
      <w:r w:rsidR="00D75F37">
        <w:t>”</w:t>
      </w:r>
      <w:r w:rsidRPr="00353406">
        <w:t xml:space="preserve"> has been updated to reflect the use of the term “Reporting ACE”</w:t>
      </w:r>
      <w:r w:rsidR="00FC5D00">
        <w:t>;</w:t>
      </w:r>
      <w:r w:rsidRPr="00353406">
        <w:t xml:space="preserve"> and </w:t>
      </w:r>
      <w:r w:rsidR="00D75F37">
        <w:t xml:space="preserve">(3) </w:t>
      </w:r>
      <w:r w:rsidRPr="00353406">
        <w:t xml:space="preserve">“Balancing Authority” has been revised to more accurately describe a </w:t>
      </w:r>
      <w:r w:rsidR="0038518B" w:rsidRPr="00353406">
        <w:t>balancing</w:t>
      </w:r>
      <w:r w:rsidRPr="00353406">
        <w:t xml:space="preserve"> authority’s resource demand function. </w:t>
      </w:r>
    </w:p>
    <w:p w14:paraId="4D7824BD" w14:textId="77777777" w:rsidR="00683804" w:rsidRPr="00353406" w:rsidRDefault="00683804" w:rsidP="00A601E9">
      <w:pPr>
        <w:pStyle w:val="Heading2"/>
        <w:tabs>
          <w:tab w:val="clear" w:pos="1080"/>
          <w:tab w:val="num" w:pos="1440"/>
        </w:tabs>
        <w:ind w:left="1440"/>
      </w:pPr>
      <w:r>
        <w:lastRenderedPageBreak/>
        <w:t xml:space="preserve">NERC Supplemental Filing </w:t>
      </w:r>
    </w:p>
    <w:p w14:paraId="4D7824BE" w14:textId="77777777" w:rsidR="005E1F2F" w:rsidRPr="00353406" w:rsidRDefault="007B2723" w:rsidP="005E1F2F">
      <w:pPr>
        <w:pStyle w:val="FERCparanumber"/>
      </w:pPr>
      <w:r w:rsidRPr="00353406">
        <w:t xml:space="preserve">On June 14, 2016, NERC submitted </w:t>
      </w:r>
      <w:r w:rsidR="00D75F37" w:rsidRPr="00353406">
        <w:t xml:space="preserve">supplemental information </w:t>
      </w:r>
      <w:r w:rsidR="00D75F37">
        <w:t xml:space="preserve">in support of </w:t>
      </w:r>
      <w:r w:rsidR="00683804">
        <w:t>its April 20</w:t>
      </w:r>
      <w:r w:rsidR="00D75F37">
        <w:t>, 2016</w:t>
      </w:r>
      <w:r w:rsidR="00683804">
        <w:t xml:space="preserve"> </w:t>
      </w:r>
      <w:r w:rsidR="00D75F37">
        <w:t>p</w:t>
      </w:r>
      <w:r w:rsidR="00D75F37" w:rsidRPr="00353406">
        <w:t xml:space="preserve">etition </w:t>
      </w:r>
      <w:r w:rsidRPr="00353406">
        <w:t>(Supplemental Filing)</w:t>
      </w:r>
      <w:r w:rsidR="00D75F37">
        <w:t>,</w:t>
      </w:r>
      <w:r w:rsidRPr="00353406">
        <w:t xml:space="preserve"> to provide additional explanation and support for the retirement of Requirement R15 in currently-effective </w:t>
      </w:r>
      <w:r w:rsidR="00FC5D00">
        <w:t xml:space="preserve">Reliability Standard </w:t>
      </w:r>
      <w:r w:rsidRPr="00353406">
        <w:t>BA</w:t>
      </w:r>
      <w:r w:rsidR="00FF028B" w:rsidRPr="00353406">
        <w:t>L-005-0.2b.</w:t>
      </w:r>
      <w:r w:rsidR="00FF028B" w:rsidRPr="00353406">
        <w:rPr>
          <w:rStyle w:val="FootnoteReference"/>
        </w:rPr>
        <w:footnoteReference w:id="30"/>
      </w:r>
      <w:r w:rsidR="00FF028B" w:rsidRPr="00353406">
        <w:t xml:space="preserve">  </w:t>
      </w:r>
      <w:r w:rsidR="005E1F2F" w:rsidRPr="00353406">
        <w:t xml:space="preserve">In its Supplemental Filing, NERC maintains that </w:t>
      </w:r>
      <w:r w:rsidR="00457A93" w:rsidRPr="00353406">
        <w:t xml:space="preserve">Requirement R15 should be retired because the </w:t>
      </w:r>
      <w:r w:rsidR="005E1F2F" w:rsidRPr="00353406">
        <w:t xml:space="preserve">objectives </w:t>
      </w:r>
      <w:r w:rsidR="00457A93" w:rsidRPr="00353406">
        <w:t>of that requirement</w:t>
      </w:r>
      <w:r w:rsidR="0018068C">
        <w:rPr>
          <w:i/>
        </w:rPr>
        <w:t xml:space="preserve"> </w:t>
      </w:r>
      <w:r w:rsidR="0018068C">
        <w:t>(i.e.,</w:t>
      </w:r>
      <w:r w:rsidR="005E1F2F" w:rsidRPr="00353406">
        <w:rPr>
          <w:i/>
        </w:rPr>
        <w:t xml:space="preserve"> </w:t>
      </w:r>
      <w:r w:rsidR="005E1F2F" w:rsidRPr="00353406">
        <w:t>to ensure the continued operation of AGC and certain data recording equipment during the loss of normal power supply</w:t>
      </w:r>
      <w:r w:rsidR="0018068C">
        <w:t>)</w:t>
      </w:r>
      <w:r w:rsidR="00457A93" w:rsidRPr="00353406">
        <w:t xml:space="preserve"> are being addressed through other Reliability Standards and requirements.  Specifically, </w:t>
      </w:r>
      <w:r w:rsidR="005E1F2F" w:rsidRPr="00353406">
        <w:t xml:space="preserve">NERC maintains that </w:t>
      </w:r>
      <w:r w:rsidR="00457A93" w:rsidRPr="00353406">
        <w:t xml:space="preserve">Reliability Standard </w:t>
      </w:r>
      <w:r w:rsidR="005E1F2F" w:rsidRPr="00353406">
        <w:t xml:space="preserve">EOP-008-1 requires a balancing authority to have a backup control center facility and an operating plan that allows it to meet its functional obligations with regard to the reliable operation of the </w:t>
      </w:r>
      <w:r w:rsidR="00457A93" w:rsidRPr="00353406">
        <w:t xml:space="preserve">bulk electric system </w:t>
      </w:r>
      <w:r w:rsidR="005E1F2F" w:rsidRPr="00353406">
        <w:t>in the event that its primary control center functionality is lost.</w:t>
      </w:r>
      <w:r w:rsidR="00457A93" w:rsidRPr="00353406">
        <w:rPr>
          <w:rStyle w:val="FootnoteReference"/>
        </w:rPr>
        <w:footnoteReference w:id="31"/>
      </w:r>
      <w:r w:rsidR="005E1F2F" w:rsidRPr="00353406">
        <w:t xml:space="preserve">  </w:t>
      </w:r>
    </w:p>
    <w:p w14:paraId="4D7824BF" w14:textId="77777777" w:rsidR="005E1F2F" w:rsidRPr="00353406" w:rsidRDefault="005E1F2F" w:rsidP="005E1F2F">
      <w:pPr>
        <w:pStyle w:val="FERCparanumber"/>
      </w:pPr>
      <w:r w:rsidRPr="00353406">
        <w:t xml:space="preserve">In addition, NERC maintains that the </w:t>
      </w:r>
      <w:r w:rsidR="00457A93" w:rsidRPr="00353406">
        <w:t xml:space="preserve">proposed </w:t>
      </w:r>
      <w:r w:rsidRPr="00353406">
        <w:t xml:space="preserve">performance requirements </w:t>
      </w:r>
      <w:r w:rsidR="00457A93" w:rsidRPr="00353406">
        <w:t xml:space="preserve">of </w:t>
      </w:r>
      <w:r w:rsidR="0018068C">
        <w:t xml:space="preserve">Requirement </w:t>
      </w:r>
      <w:r w:rsidRPr="00353406">
        <w:t xml:space="preserve">R3 of </w:t>
      </w:r>
      <w:r w:rsidR="0018068C">
        <w:t xml:space="preserve">Reliability </w:t>
      </w:r>
      <w:r w:rsidRPr="00353406">
        <w:t xml:space="preserve">BAL-005-1, which </w:t>
      </w:r>
      <w:r w:rsidR="00457A93" w:rsidRPr="00353406">
        <w:t xml:space="preserve">would </w:t>
      </w:r>
      <w:r w:rsidRPr="00353406">
        <w:t xml:space="preserve">require balancing authorities to “use frequency metering equipment for the calculation of Reporting ACE that is available a minimum of 99.95% of each calendar year,” will help to ensure that balancing </w:t>
      </w:r>
      <w:r w:rsidRPr="00353406">
        <w:lastRenderedPageBreak/>
        <w:t>authorities can continuously operate the equipment necessary for the calculation of Reporting ACE</w:t>
      </w:r>
      <w:r w:rsidR="00683804">
        <w:t>, effectively eliminating the need for Requirement R15.</w:t>
      </w:r>
      <w:r w:rsidR="00457A93" w:rsidRPr="00353406">
        <w:rPr>
          <w:rStyle w:val="FootnoteReference"/>
        </w:rPr>
        <w:footnoteReference w:id="32"/>
      </w:r>
      <w:r w:rsidRPr="00353406">
        <w:t xml:space="preserve">  </w:t>
      </w:r>
    </w:p>
    <w:p w14:paraId="4D7824C0" w14:textId="77777777" w:rsidR="00D9308C" w:rsidRPr="00353406" w:rsidRDefault="00D9308C" w:rsidP="00990291">
      <w:pPr>
        <w:pStyle w:val="Heading1"/>
        <w:rPr>
          <w:szCs w:val="26"/>
        </w:rPr>
      </w:pPr>
      <w:r w:rsidRPr="00353406">
        <w:rPr>
          <w:szCs w:val="26"/>
        </w:rPr>
        <w:t>Discussion</w:t>
      </w:r>
    </w:p>
    <w:p w14:paraId="4D7824C1" w14:textId="77777777" w:rsidR="00441C2B" w:rsidRDefault="00D9308C" w:rsidP="002223D1">
      <w:pPr>
        <w:pStyle w:val="FERCparanumber"/>
      </w:pPr>
      <w:r w:rsidRPr="00353406">
        <w:t xml:space="preserve">Pursuant to FPA section 215(d)(2), we propose to approve </w:t>
      </w:r>
      <w:r w:rsidR="00077064" w:rsidRPr="00353406">
        <w:t>Reliability</w:t>
      </w:r>
      <w:r w:rsidRPr="00353406">
        <w:t xml:space="preserve"> Standard</w:t>
      </w:r>
      <w:r w:rsidR="00E50554" w:rsidRPr="00353406">
        <w:t>s</w:t>
      </w:r>
      <w:r w:rsidRPr="00353406">
        <w:t xml:space="preserve"> </w:t>
      </w:r>
      <w:r w:rsidR="00077064" w:rsidRPr="00353406">
        <w:t>BAL-00</w:t>
      </w:r>
      <w:r w:rsidR="00E50554" w:rsidRPr="00353406">
        <w:t xml:space="preserve">5-1 and FAC-001-3 </w:t>
      </w:r>
      <w:r w:rsidRPr="00353406">
        <w:t>as just, reasonable, not unduly discriminatory or preferential, and in th</w:t>
      </w:r>
      <w:r w:rsidR="002223D1" w:rsidRPr="00353406">
        <w:t xml:space="preserve">e public interest.  </w:t>
      </w:r>
      <w:r w:rsidR="00E85F08">
        <w:t xml:space="preserve">Proposed </w:t>
      </w:r>
      <w:r w:rsidR="00815105">
        <w:t xml:space="preserve">Reliability Standard </w:t>
      </w:r>
      <w:r w:rsidR="00C34069" w:rsidRPr="00353406">
        <w:t xml:space="preserve">BAL-005-1 and FAC-001-3 will enhance reliability as compared to currently-effective </w:t>
      </w:r>
      <w:r w:rsidR="00441C2B">
        <w:t xml:space="preserve">Reliability Standards </w:t>
      </w:r>
      <w:r w:rsidR="00C34069" w:rsidRPr="00353406">
        <w:t>BAL-005-0.2b and FAC-00</w:t>
      </w:r>
      <w:r w:rsidR="00815105">
        <w:t>1</w:t>
      </w:r>
      <w:r w:rsidR="00C34069" w:rsidRPr="00353406">
        <w:t xml:space="preserve">-2, </w:t>
      </w:r>
      <w:r w:rsidR="00E85F08">
        <w:t>because</w:t>
      </w:r>
      <w:r w:rsidR="00C34069" w:rsidRPr="00353406">
        <w:t xml:space="preserve"> the </w:t>
      </w:r>
      <w:r w:rsidR="00441C2B">
        <w:t>proposed Reliability Standards</w:t>
      </w:r>
      <w:r w:rsidR="00C34069" w:rsidRPr="00353406">
        <w:t xml:space="preserve"> clarify and consolidate existing requirements related to frequency control</w:t>
      </w:r>
      <w:r w:rsidR="00D75F37">
        <w:t xml:space="preserve">.  In addition, </w:t>
      </w:r>
      <w:r w:rsidR="00441C2B">
        <w:t>proposed Reliability S</w:t>
      </w:r>
      <w:r w:rsidR="00D75F37">
        <w:t>tandard</w:t>
      </w:r>
      <w:r w:rsidR="00441C2B">
        <w:t xml:space="preserve"> BAL-005-1</w:t>
      </w:r>
      <w:r w:rsidR="00D75F37">
        <w:t xml:space="preserve"> </w:t>
      </w:r>
      <w:r w:rsidR="00C34069" w:rsidRPr="00353406">
        <w:t>support</w:t>
      </w:r>
      <w:r w:rsidR="00441C2B">
        <w:t>s</w:t>
      </w:r>
      <w:r w:rsidR="00C34069" w:rsidRPr="00353406">
        <w:t xml:space="preserve"> more accurate and comprehensive calculation of Reporting ACE by requiring timely reporting of an inability to calculate Reporting ACE (</w:t>
      </w:r>
      <w:r w:rsidR="00441C2B">
        <w:t xml:space="preserve">Requirement </w:t>
      </w:r>
      <w:r w:rsidR="00C34069" w:rsidRPr="00353406">
        <w:t xml:space="preserve">R2) and by requiring minimum levels of availability and accuracy for each </w:t>
      </w:r>
      <w:r w:rsidR="00815105">
        <w:t>balancing authority’s system for calculating Reporting ACE (</w:t>
      </w:r>
      <w:r w:rsidR="00441C2B">
        <w:t xml:space="preserve">Requirement </w:t>
      </w:r>
      <w:r w:rsidR="00815105">
        <w:t xml:space="preserve">R5).  </w:t>
      </w:r>
    </w:p>
    <w:p w14:paraId="4D7824C2" w14:textId="77777777" w:rsidR="00C34069" w:rsidRPr="00353406" w:rsidRDefault="00815105" w:rsidP="002223D1">
      <w:pPr>
        <w:pStyle w:val="FERCparanumber"/>
      </w:pPr>
      <w:r w:rsidRPr="00353406">
        <w:t>We also propose to approve the violation risk factors and violation severity levels associated with Reliability Standards BAL-005-1 and FAC-001-3</w:t>
      </w:r>
      <w:r>
        <w:t>;</w:t>
      </w:r>
      <w:r w:rsidRPr="00353406">
        <w:t xml:space="preserve"> the proposed revisions to the definitions of Automatic Generation Control, Pseudo-Tie, and Balancing Authority</w:t>
      </w:r>
      <w:r>
        <w:t xml:space="preserve">; </w:t>
      </w:r>
      <w:r w:rsidR="00D75F37">
        <w:t>the proposed retirement of Reliability Standard</w:t>
      </w:r>
      <w:r w:rsidR="00441C2B">
        <w:t>s BAL-005-0.2b, FAC-001-2, and</w:t>
      </w:r>
      <w:r w:rsidR="00D75F37">
        <w:t xml:space="preserve"> BAL-006-2 in accordance with NERC’s implementation plan; </w:t>
      </w:r>
      <w:r>
        <w:t xml:space="preserve">and </w:t>
      </w:r>
      <w:r w:rsidRPr="00353406">
        <w:t>NERC’s implementation plan</w:t>
      </w:r>
      <w:r w:rsidR="00D75F37">
        <w:t>s</w:t>
      </w:r>
      <w:r w:rsidRPr="00353406">
        <w:t xml:space="preserve"> for </w:t>
      </w:r>
      <w:r w:rsidR="00D75F37">
        <w:t xml:space="preserve">proposed Reliability Standards </w:t>
      </w:r>
      <w:r w:rsidRPr="00353406">
        <w:t>BAL-005-1 and FAC-001-3</w:t>
      </w:r>
      <w:r>
        <w:t xml:space="preserve">.  </w:t>
      </w:r>
    </w:p>
    <w:p w14:paraId="4D7824C3" w14:textId="77777777" w:rsidR="002223D1" w:rsidRPr="00353406" w:rsidRDefault="00441C2B" w:rsidP="002223D1">
      <w:pPr>
        <w:pStyle w:val="FERCparanumber"/>
      </w:pPr>
      <w:r>
        <w:lastRenderedPageBreak/>
        <w:t>As discussed below</w:t>
      </w:r>
      <w:r w:rsidR="00815105" w:rsidRPr="00353406">
        <w:t xml:space="preserve">, </w:t>
      </w:r>
      <w:r>
        <w:t xml:space="preserve">the Commission seeks comment from NERC and other interested entities regarding the retirement of </w:t>
      </w:r>
      <w:r w:rsidR="00815105" w:rsidRPr="00353406">
        <w:t xml:space="preserve">Requirement R15 of </w:t>
      </w:r>
      <w:r>
        <w:t xml:space="preserve">Reliability Standard </w:t>
      </w:r>
      <w:r w:rsidR="00815105" w:rsidRPr="00353406">
        <w:t xml:space="preserve">BAL-005-0.2b, </w:t>
      </w:r>
      <w:r>
        <w:t>which requires responsible entities to</w:t>
      </w:r>
      <w:r w:rsidRPr="00353406">
        <w:t xml:space="preserve"> maintain and periodically test backup power supplies at primary control centers and other critical locations</w:t>
      </w:r>
      <w:r>
        <w:t>.</w:t>
      </w:r>
      <w:r w:rsidR="00815105" w:rsidRPr="00353406">
        <w:t xml:space="preserve">  </w:t>
      </w:r>
      <w:r w:rsidR="0057134F">
        <w:t>Depending on the explanation received in</w:t>
      </w:r>
      <w:r>
        <w:t xml:space="preserve"> the comments</w:t>
      </w:r>
      <w:r w:rsidR="00CD37E2">
        <w:t xml:space="preserve">, the Commission may </w:t>
      </w:r>
      <w:r w:rsidR="004B0A1C">
        <w:t xml:space="preserve">issue </w:t>
      </w:r>
      <w:r>
        <w:t xml:space="preserve">a </w:t>
      </w:r>
      <w:r w:rsidR="00CD37E2">
        <w:t xml:space="preserve">directive </w:t>
      </w:r>
      <w:r w:rsidR="00E85F08">
        <w:t xml:space="preserve">in </w:t>
      </w:r>
      <w:r w:rsidR="004B0A1C">
        <w:t xml:space="preserve">the </w:t>
      </w:r>
      <w:r>
        <w:t>f</w:t>
      </w:r>
      <w:r w:rsidR="004B0A1C">
        <w:t xml:space="preserve">inal </w:t>
      </w:r>
      <w:r>
        <w:t>r</w:t>
      </w:r>
      <w:r w:rsidR="004B0A1C">
        <w:t>ule</w:t>
      </w:r>
      <w:r>
        <w:t xml:space="preserve"> </w:t>
      </w:r>
      <w:r w:rsidR="00E85F08">
        <w:t xml:space="preserve">requiring </w:t>
      </w:r>
      <w:r>
        <w:t>NERC to restore this requirement through the standards development process</w:t>
      </w:r>
      <w:r w:rsidR="00CD37E2">
        <w:t>.</w:t>
      </w:r>
    </w:p>
    <w:p w14:paraId="4D7824C4" w14:textId="77777777" w:rsidR="002223D1" w:rsidRPr="00A601E9" w:rsidRDefault="005E52E7" w:rsidP="001F3C00">
      <w:pPr>
        <w:pStyle w:val="ListParagraph"/>
        <w:numPr>
          <w:ilvl w:val="0"/>
          <w:numId w:val="16"/>
        </w:numPr>
        <w:spacing w:after="240"/>
        <w:ind w:left="1440" w:hanging="720"/>
        <w:contextualSpacing/>
        <w:rPr>
          <w:b/>
          <w:u w:val="single"/>
        </w:rPr>
      </w:pPr>
      <w:r w:rsidRPr="00A601E9">
        <w:rPr>
          <w:b/>
          <w:u w:val="single"/>
        </w:rPr>
        <w:t xml:space="preserve">Retirement of Reliability Standard BAL-005-0.2b, Requirement R15 </w:t>
      </w:r>
    </w:p>
    <w:p w14:paraId="4D7824C5" w14:textId="77777777" w:rsidR="002223D1" w:rsidRPr="00353406" w:rsidRDefault="00360B03" w:rsidP="00360B03">
      <w:pPr>
        <w:pStyle w:val="FERCparanumber"/>
      </w:pPr>
      <w:r w:rsidRPr="00353406">
        <w:t xml:space="preserve">Proposed </w:t>
      </w:r>
      <w:r w:rsidR="002223D1" w:rsidRPr="00353406">
        <w:t xml:space="preserve">Reliability Standard BAL-005-1 </w:t>
      </w:r>
      <w:r w:rsidRPr="00353406">
        <w:t xml:space="preserve">would eliminate currently-effective </w:t>
      </w:r>
      <w:r w:rsidR="002223D1" w:rsidRPr="00353406">
        <w:t>Requireme</w:t>
      </w:r>
      <w:r w:rsidRPr="00353406">
        <w:t xml:space="preserve">nt R15 from the standard, which states as follows: </w:t>
      </w:r>
    </w:p>
    <w:p w14:paraId="4D7824C6" w14:textId="77777777" w:rsidR="002223D1" w:rsidRPr="00353406" w:rsidRDefault="002223D1" w:rsidP="00360B03">
      <w:pPr>
        <w:pStyle w:val="BlockText"/>
      </w:pPr>
      <w:r w:rsidRPr="00353406">
        <w:t>The Balancing Authority shall provide adequate and reliable backup power supplies and shall periodically test these supplies at the Balancing Authority’s control center and other critical locations to ensure continuous operation of AGC and vital data recording equipment during loss of the normal power su</w:t>
      </w:r>
      <w:r w:rsidR="00360B03" w:rsidRPr="00353406">
        <w:t>pply.</w:t>
      </w:r>
    </w:p>
    <w:p w14:paraId="4D7824C7" w14:textId="77777777" w:rsidR="005E52E7" w:rsidRDefault="00360B03">
      <w:pPr>
        <w:pStyle w:val="FERCparanumber"/>
      </w:pPr>
      <w:r w:rsidRPr="00353406">
        <w:t xml:space="preserve">NERC </w:t>
      </w:r>
      <w:r w:rsidR="00441C2B">
        <w:t>contends</w:t>
      </w:r>
      <w:r w:rsidR="00815105">
        <w:t xml:space="preserve"> </w:t>
      </w:r>
      <w:r w:rsidRPr="00353406">
        <w:t xml:space="preserve">that Requirement R15 should be retired </w:t>
      </w:r>
      <w:r w:rsidR="00D75F37">
        <w:t xml:space="preserve">because it </w:t>
      </w:r>
      <w:r w:rsidR="007A559B">
        <w:t xml:space="preserve">is </w:t>
      </w:r>
      <w:r w:rsidR="002223D1" w:rsidRPr="00353406">
        <w:t xml:space="preserve">“redundant” </w:t>
      </w:r>
      <w:r w:rsidR="0002376C">
        <w:t xml:space="preserve">and </w:t>
      </w:r>
      <w:r w:rsidR="002223D1" w:rsidRPr="00353406">
        <w:t>“ineffective</w:t>
      </w:r>
      <w:r w:rsidR="00D75F37">
        <w:t>,</w:t>
      </w:r>
      <w:r w:rsidR="002223D1" w:rsidRPr="00353406">
        <w:t xml:space="preserve">” </w:t>
      </w:r>
      <w:r w:rsidR="00D75F37">
        <w:t xml:space="preserve">and points to a number of other </w:t>
      </w:r>
      <w:r w:rsidR="00441C2B">
        <w:t>Reliability S</w:t>
      </w:r>
      <w:r w:rsidR="00D75F37">
        <w:t>tandards and requirements that</w:t>
      </w:r>
      <w:r w:rsidR="00441C2B">
        <w:t>,</w:t>
      </w:r>
      <w:r w:rsidR="00D75F37">
        <w:t xml:space="preserve"> </w:t>
      </w:r>
      <w:r w:rsidR="00441C2B">
        <w:t>NERC</w:t>
      </w:r>
      <w:r w:rsidR="00D75F37">
        <w:t xml:space="preserve"> maintains</w:t>
      </w:r>
      <w:r w:rsidR="00441C2B">
        <w:t>,</w:t>
      </w:r>
      <w:r w:rsidR="00D75F37">
        <w:t xml:space="preserve"> achieve the same objective as </w:t>
      </w:r>
      <w:r w:rsidR="00441C2B">
        <w:t xml:space="preserve">Requirement </w:t>
      </w:r>
      <w:r w:rsidR="00D75F37">
        <w:t xml:space="preserve">R15.  </w:t>
      </w:r>
      <w:r w:rsidR="005E52E7">
        <w:t xml:space="preserve">Specifically, </w:t>
      </w:r>
      <w:r w:rsidR="002223D1" w:rsidRPr="00353406">
        <w:t xml:space="preserve">NERC </w:t>
      </w:r>
      <w:r w:rsidR="00441C2B">
        <w:t>explains</w:t>
      </w:r>
      <w:r w:rsidR="00441C2B" w:rsidRPr="00353406">
        <w:t xml:space="preserve"> </w:t>
      </w:r>
      <w:r w:rsidR="002223D1" w:rsidRPr="00353406">
        <w:t xml:space="preserve">that requirements in Reliability Standard EOP-008-1 (Loss of Control Center Functionality) and the performance requirements of Requirement R3 in proposed Reliability Standard BAL-005-1 address the same objectives as existing Requirement </w:t>
      </w:r>
      <w:r w:rsidR="002223D1" w:rsidRPr="00353406">
        <w:lastRenderedPageBreak/>
        <w:t>R15</w:t>
      </w:r>
      <w:r w:rsidR="00441C2B">
        <w:t xml:space="preserve"> (i.e.,</w:t>
      </w:r>
      <w:r w:rsidR="002223D1" w:rsidRPr="00353406">
        <w:rPr>
          <w:i/>
        </w:rPr>
        <w:t xml:space="preserve"> </w:t>
      </w:r>
      <w:r w:rsidR="002223D1" w:rsidRPr="00353406">
        <w:t>to ensure the continued operations of AGC and certain data recording equipment during the loss of normal power supply</w:t>
      </w:r>
      <w:r w:rsidR="00441C2B">
        <w:t>)</w:t>
      </w:r>
      <w:r w:rsidR="002223D1" w:rsidRPr="00353406">
        <w:t>.</w:t>
      </w:r>
      <w:r w:rsidR="0053085C">
        <w:rPr>
          <w:rStyle w:val="FootnoteReference"/>
        </w:rPr>
        <w:footnoteReference w:id="33"/>
      </w:r>
      <w:r w:rsidR="002223D1" w:rsidRPr="00353406">
        <w:t xml:space="preserve">  </w:t>
      </w:r>
    </w:p>
    <w:p w14:paraId="4D7824C8" w14:textId="77777777" w:rsidR="002223D1" w:rsidRPr="00353406" w:rsidRDefault="002223D1">
      <w:pPr>
        <w:pStyle w:val="FERCparanumber"/>
      </w:pPr>
      <w:r w:rsidRPr="00353406">
        <w:t xml:space="preserve">NERC </w:t>
      </w:r>
      <w:r w:rsidR="00441C2B">
        <w:t>contends</w:t>
      </w:r>
      <w:r w:rsidR="00441C2B" w:rsidRPr="00353406">
        <w:t xml:space="preserve"> </w:t>
      </w:r>
      <w:r w:rsidRPr="00353406">
        <w:t xml:space="preserve">that </w:t>
      </w:r>
      <w:r w:rsidR="00441C2B">
        <w:t xml:space="preserve">Reliability Standard </w:t>
      </w:r>
      <w:r w:rsidRPr="00353406">
        <w:t xml:space="preserve">EOP-008-1 requires a balancing authority to have a backup control center facility and an operating plan that allows it to meet its functional obligations with regard to the reliable operation of the </w:t>
      </w:r>
      <w:r w:rsidR="00815105">
        <w:t xml:space="preserve">bulk electric system </w:t>
      </w:r>
      <w:r w:rsidRPr="00353406">
        <w:t xml:space="preserve">in the event that its primary control center functionality is lost.  NERC </w:t>
      </w:r>
      <w:r w:rsidR="00441C2B">
        <w:t xml:space="preserve">asserts </w:t>
      </w:r>
      <w:r w:rsidRPr="00353406">
        <w:t xml:space="preserve">that these requirements effectively address the same reliability objective as </w:t>
      </w:r>
      <w:r w:rsidR="00441C2B">
        <w:t xml:space="preserve">Reliability Standard </w:t>
      </w:r>
      <w:r w:rsidRPr="00353406">
        <w:t>BAL-005-0.2b Requirement R15</w:t>
      </w:r>
      <w:r w:rsidR="00441C2B">
        <w:t xml:space="preserve"> </w:t>
      </w:r>
      <w:r w:rsidRPr="00353406">
        <w:t xml:space="preserve">because a balancing authority’s </w:t>
      </w:r>
      <w:r w:rsidR="00D30FF6">
        <w:t>“functional obligations regarding reliable operation</w:t>
      </w:r>
      <w:r w:rsidR="0092123D">
        <w:t>s</w:t>
      </w:r>
      <w:r w:rsidR="00174101">
        <w:t>”</w:t>
      </w:r>
      <w:r w:rsidR="0092123D">
        <w:rPr>
          <w:rStyle w:val="FootnoteReference"/>
        </w:rPr>
        <w:footnoteReference w:id="34"/>
      </w:r>
      <w:r w:rsidR="0092123D">
        <w:t xml:space="preserve"> </w:t>
      </w:r>
      <w:r w:rsidRPr="00353406">
        <w:t xml:space="preserve">include </w:t>
      </w:r>
      <w:r w:rsidR="00174101">
        <w:t xml:space="preserve">the </w:t>
      </w:r>
      <w:r w:rsidRPr="00353406">
        <w:t xml:space="preserve">continuous operation of </w:t>
      </w:r>
      <w:r w:rsidR="00174101">
        <w:t xml:space="preserve">AGC </w:t>
      </w:r>
      <w:r w:rsidRPr="00353406">
        <w:t xml:space="preserve">and the data recording equipment necessary to balance generation and load.  Further, NERC </w:t>
      </w:r>
      <w:r w:rsidR="00441C2B">
        <w:t>contends that</w:t>
      </w:r>
      <w:r w:rsidRPr="00353406">
        <w:t xml:space="preserve"> Requirement R7 of </w:t>
      </w:r>
      <w:r w:rsidR="00441C2B">
        <w:t xml:space="preserve">Reliability Standard </w:t>
      </w:r>
      <w:r w:rsidRPr="00353406">
        <w:t xml:space="preserve">EOP-008-1 requires balancing authorities to test their operating plans annually to demonstrate the viability of their backup functionality. </w:t>
      </w:r>
    </w:p>
    <w:p w14:paraId="4D7824C9" w14:textId="77777777" w:rsidR="002223D1" w:rsidRDefault="002223D1" w:rsidP="00360B03">
      <w:pPr>
        <w:pStyle w:val="FERCparanumber"/>
      </w:pPr>
      <w:r w:rsidRPr="00353406">
        <w:t xml:space="preserve">NERC maintains that the proposed performance requirements in </w:t>
      </w:r>
      <w:r w:rsidR="005E52E7">
        <w:t xml:space="preserve">Requirement </w:t>
      </w:r>
      <w:r w:rsidRPr="00353406">
        <w:t xml:space="preserve">R3 of  </w:t>
      </w:r>
      <w:r w:rsidR="005E52E7">
        <w:t xml:space="preserve">Reliability Standard </w:t>
      </w:r>
      <w:r w:rsidRPr="00353406">
        <w:t xml:space="preserve">BAL-005-1, which require balancing authorities to “use frequency metering equipment for the calculation of Reporting ACE that is available a minimum of 99.95% of each calendar year,” will help ensure that balancing authorities can continuously operate the equipment necessary for the calculation of Reporting ACE.  </w:t>
      </w:r>
      <w:r w:rsidRPr="00353406">
        <w:lastRenderedPageBreak/>
        <w:t>NERC notes that if a balancing authority “fails[s] to have adequate and reliable backup power supplies at its control center to ensure continuous operation of its AGC and vital data recording equipment, the Balancing Authority risks violation of the performance obligation in proposed Reliability Standard BAL-005-1, Requirement R3 if its normal power supply is lost.”</w:t>
      </w:r>
      <w:r w:rsidRPr="00353406">
        <w:rPr>
          <w:rStyle w:val="FootnoteReference"/>
        </w:rPr>
        <w:footnoteReference w:id="35"/>
      </w:r>
      <w:r w:rsidRPr="00353406">
        <w:t xml:space="preserve">  </w:t>
      </w:r>
    </w:p>
    <w:p w14:paraId="4D7824CA" w14:textId="77777777" w:rsidR="00C41A9A" w:rsidRPr="00A601E9" w:rsidRDefault="00C41A9A" w:rsidP="00C41A9A">
      <w:pPr>
        <w:pStyle w:val="BlockIndent"/>
        <w:ind w:right="0"/>
        <w:rPr>
          <w:b/>
          <w:u w:val="single"/>
        </w:rPr>
      </w:pPr>
      <w:r w:rsidRPr="00A601E9">
        <w:rPr>
          <w:b/>
          <w:u w:val="single"/>
        </w:rPr>
        <w:t xml:space="preserve">Commission Request for Comments </w:t>
      </w:r>
    </w:p>
    <w:p w14:paraId="4D7824CB" w14:textId="77777777" w:rsidR="006C16FF" w:rsidRDefault="006C16FF">
      <w:pPr>
        <w:pStyle w:val="FERCparanumber"/>
      </w:pPr>
      <w:r>
        <w:t>We recognize that the approach taken in revised Reliability Standard BAL-005-1, combined with the requirements of Reliability Standard EOP-008-1, represent</w:t>
      </w:r>
      <w:r w:rsidR="00FA3564" w:rsidRPr="009A35F5">
        <w:t>s</w:t>
      </w:r>
      <w:r>
        <w:t xml:space="preserve"> a more performance-based approach to maintaining functionality for reliable operation of the interconnected bulk </w:t>
      </w:r>
      <w:r w:rsidRPr="005167DE">
        <w:t>electric</w:t>
      </w:r>
      <w:r>
        <w:t xml:space="preserve"> system, including ensuring the </w:t>
      </w:r>
      <w:r w:rsidRPr="00353406">
        <w:t>continued operation of AGC and certain data recording equipment during the loss of normal power supply</w:t>
      </w:r>
      <w:r>
        <w:t xml:space="preserve">, compared to the more specific approach of Requirement R15 in Reliability Standard BAL-005-0.2b.  </w:t>
      </w:r>
      <w:r w:rsidRPr="00C41A9A">
        <w:t>Moreover, balancing authorities currently appear to be the only type of functional entity explicitly required to have and to test adequate and reliable backup supply at critical locations.  For example, there is no provision parallel to Requirement R15 that reliability coordinators or transmission operators provide “adequate and reliable backup power supplies</w:t>
      </w:r>
      <w:r w:rsidR="00FA4195">
        <w:t xml:space="preserve">” </w:t>
      </w:r>
      <w:r w:rsidRPr="00C41A9A">
        <w:t>at their primary control centers and “other critical location</w:t>
      </w:r>
      <w:r w:rsidR="009A35F5">
        <w:t>s</w:t>
      </w:r>
      <w:r w:rsidRPr="00C41A9A">
        <w:t>.”</w:t>
      </w:r>
      <w:r>
        <w:t xml:space="preserve">  </w:t>
      </w:r>
    </w:p>
    <w:p w14:paraId="4D7824CC" w14:textId="77777777" w:rsidR="002223D1" w:rsidRDefault="006C16FF">
      <w:pPr>
        <w:pStyle w:val="FERCparanumber"/>
      </w:pPr>
      <w:r>
        <w:t>Nonetheless, a</w:t>
      </w:r>
      <w:r w:rsidR="0011379E" w:rsidRPr="006C16FF">
        <w:t>fter</w:t>
      </w:r>
      <w:r w:rsidR="0011379E">
        <w:t xml:space="preserve"> considering NERC’s </w:t>
      </w:r>
      <w:r w:rsidR="00617D3C">
        <w:t xml:space="preserve">Petition and </w:t>
      </w:r>
      <w:r w:rsidR="0011379E">
        <w:t xml:space="preserve">Supplemental Filing addressing the matter, </w:t>
      </w:r>
      <w:r w:rsidR="00617D3C">
        <w:t>we continue to have</w:t>
      </w:r>
      <w:r w:rsidR="00596843">
        <w:t xml:space="preserve"> questions </w:t>
      </w:r>
      <w:r w:rsidR="007D5A0A">
        <w:t xml:space="preserve">as to </w:t>
      </w:r>
      <w:r w:rsidR="00596843">
        <w:t>wh</w:t>
      </w:r>
      <w:r w:rsidR="00E17360">
        <w:t>ether</w:t>
      </w:r>
      <w:r w:rsidR="00596843">
        <w:t xml:space="preserve"> the</w:t>
      </w:r>
      <w:r w:rsidR="002223D1" w:rsidRPr="00353406">
        <w:t xml:space="preserve"> objectives of </w:t>
      </w:r>
      <w:r w:rsidR="002223D1" w:rsidRPr="00353406">
        <w:lastRenderedPageBreak/>
        <w:t>Requirement R15 are met</w:t>
      </w:r>
      <w:r w:rsidR="00E17360">
        <w:t>, as NERC contends,</w:t>
      </w:r>
      <w:r w:rsidR="002223D1" w:rsidRPr="00353406">
        <w:t xml:space="preserve"> by other requirements in Reliability Standard EOP-008-1 and proposed Reliability Standard BAL-005-1</w:t>
      </w:r>
      <w:r w:rsidR="00596843">
        <w:t xml:space="preserve">.  </w:t>
      </w:r>
      <w:r w:rsidR="00581AEF">
        <w:t xml:space="preserve">In particular, </w:t>
      </w:r>
      <w:r w:rsidR="004D5EA6">
        <w:t xml:space="preserve">Requirement R15 of </w:t>
      </w:r>
      <w:r>
        <w:t xml:space="preserve">currently-effective </w:t>
      </w:r>
      <w:r w:rsidR="004D5EA6">
        <w:t xml:space="preserve">Reliability Standard BAL-005-0.2b helps to ensure continued operability of balancing authorities’ </w:t>
      </w:r>
      <w:r>
        <w:t xml:space="preserve">primary </w:t>
      </w:r>
      <w:r w:rsidR="004D5EA6">
        <w:t>control centers, despite the loss of normal power supply, without evacuation to or activation of backup control centers</w:t>
      </w:r>
      <w:r>
        <w:t>.  Thus, this provision appears to provide additional robustness in the primary control center and</w:t>
      </w:r>
      <w:r w:rsidR="004D5EA6">
        <w:t xml:space="preserve"> </w:t>
      </w:r>
      <w:r w:rsidR="00825AE7">
        <w:t xml:space="preserve">mitigates </w:t>
      </w:r>
      <w:r w:rsidR="004D5EA6">
        <w:t xml:space="preserve">the risk of problems occurring in the transition to </w:t>
      </w:r>
      <w:r w:rsidR="00A60463">
        <w:t xml:space="preserve">a </w:t>
      </w:r>
      <w:r w:rsidR="004D5EA6">
        <w:t xml:space="preserve">secondary control center.  </w:t>
      </w:r>
      <w:r w:rsidR="007D64AF">
        <w:t xml:space="preserve">We </w:t>
      </w:r>
      <w:r w:rsidR="00E17360">
        <w:t xml:space="preserve">also </w:t>
      </w:r>
      <w:r w:rsidR="007D64AF">
        <w:t xml:space="preserve">note that </w:t>
      </w:r>
      <w:r w:rsidR="002223D1" w:rsidRPr="00353406">
        <w:t xml:space="preserve">NERC’s Independent Expert Review Project </w:t>
      </w:r>
      <w:r w:rsidR="007D64AF">
        <w:t xml:space="preserve">(IERP) </w:t>
      </w:r>
      <w:r w:rsidR="002223D1" w:rsidRPr="00353406">
        <w:t xml:space="preserve">report did not include Requirement R15 among the requirements recommended for retirement when it reviewed </w:t>
      </w:r>
      <w:r w:rsidR="00596843">
        <w:t xml:space="preserve">Reliability Standard </w:t>
      </w:r>
      <w:r w:rsidR="002223D1" w:rsidRPr="00353406">
        <w:t>BAL-005-0.2b in 2013.</w:t>
      </w:r>
      <w:r w:rsidR="002223D1" w:rsidRPr="00353406">
        <w:rPr>
          <w:rStyle w:val="FootnoteReference"/>
        </w:rPr>
        <w:footnoteReference w:id="36"/>
      </w:r>
      <w:r w:rsidR="002223D1" w:rsidRPr="00353406">
        <w:t xml:space="preserve">  While the </w:t>
      </w:r>
      <w:r w:rsidR="007D64AF">
        <w:t xml:space="preserve">IERP </w:t>
      </w:r>
      <w:r w:rsidR="006C2E9A" w:rsidRPr="00353406">
        <w:t xml:space="preserve">report </w:t>
      </w:r>
      <w:r w:rsidR="002223D1" w:rsidRPr="00353406">
        <w:t xml:space="preserve">explicitly recommended retiring other provisions of Reliability Standard BAL-005-0.2b, </w:t>
      </w:r>
      <w:r w:rsidR="000E2423" w:rsidRPr="00353406">
        <w:t xml:space="preserve">it </w:t>
      </w:r>
      <w:r w:rsidR="002223D1" w:rsidRPr="00353406">
        <w:t xml:space="preserve">recommended </w:t>
      </w:r>
      <w:r w:rsidR="002223D1" w:rsidRPr="009E794F">
        <w:t>ret</w:t>
      </w:r>
      <w:r w:rsidR="00C34069" w:rsidRPr="009E794F">
        <w:t>aining</w:t>
      </w:r>
      <w:r w:rsidR="00C34069" w:rsidRPr="00353406">
        <w:t xml:space="preserve"> </w:t>
      </w:r>
      <w:r w:rsidR="002223D1" w:rsidRPr="00353406">
        <w:t>Requirement R15 as part of the Future Enforceable Set of requirements.</w:t>
      </w:r>
      <w:r w:rsidR="00C34069" w:rsidRPr="00353406">
        <w:rPr>
          <w:rStyle w:val="FootnoteReference"/>
        </w:rPr>
        <w:footnoteReference w:id="37"/>
      </w:r>
    </w:p>
    <w:p w14:paraId="4D7824CD" w14:textId="77777777" w:rsidR="009E794F" w:rsidRDefault="006C16FF">
      <w:pPr>
        <w:pStyle w:val="FERCparanumber"/>
      </w:pPr>
      <w:r>
        <w:t xml:space="preserve">Accordingly, </w:t>
      </w:r>
      <w:r w:rsidR="00096187" w:rsidRPr="00353406">
        <w:t xml:space="preserve">we are not persuaded </w:t>
      </w:r>
      <w:r w:rsidR="00153D99">
        <w:t xml:space="preserve">based on the current record </w:t>
      </w:r>
      <w:r w:rsidR="00096187" w:rsidRPr="00353406">
        <w:t>that it is</w:t>
      </w:r>
      <w:r w:rsidR="00E17360">
        <w:t xml:space="preserve"> </w:t>
      </w:r>
      <w:r w:rsidR="00E85F08">
        <w:t xml:space="preserve">appropriate to </w:t>
      </w:r>
      <w:r w:rsidR="004D5EA6">
        <w:t xml:space="preserve">eliminate </w:t>
      </w:r>
      <w:r w:rsidR="007D64AF">
        <w:t>balancing authorities</w:t>
      </w:r>
      <w:r w:rsidR="004D5EA6">
        <w:t xml:space="preserve">’ </w:t>
      </w:r>
      <w:r w:rsidR="00153D99">
        <w:t>existing</w:t>
      </w:r>
      <w:r w:rsidR="004D5EA6">
        <w:t xml:space="preserve"> obligation</w:t>
      </w:r>
      <w:r w:rsidR="007D64AF">
        <w:t xml:space="preserve"> to </w:t>
      </w:r>
      <w:r w:rsidR="00096187" w:rsidRPr="00353406">
        <w:t>hav</w:t>
      </w:r>
      <w:r w:rsidR="00153D99">
        <w:t>e</w:t>
      </w:r>
      <w:r w:rsidR="00096187" w:rsidRPr="00353406">
        <w:t xml:space="preserve"> and periodically test backup </w:t>
      </w:r>
      <w:r w:rsidR="0002376C">
        <w:t xml:space="preserve">power </w:t>
      </w:r>
      <w:r w:rsidR="00096187" w:rsidRPr="00353406">
        <w:t>supply at a primary control center</w:t>
      </w:r>
      <w:r>
        <w:t xml:space="preserve">.  We, </w:t>
      </w:r>
      <w:r w:rsidR="004D5EA6">
        <w:t>therefore</w:t>
      </w:r>
      <w:r>
        <w:t>,</w:t>
      </w:r>
      <w:r w:rsidR="004D5EA6">
        <w:t xml:space="preserve"> seek additional justification for the retirement of Requirement R15 of Reliability Standard </w:t>
      </w:r>
      <w:r w:rsidR="004D5EA6">
        <w:lastRenderedPageBreak/>
        <w:t>BAL-005-0.2b</w:t>
      </w:r>
      <w:r w:rsidR="00096187" w:rsidRPr="00353406">
        <w:t xml:space="preserve">.  </w:t>
      </w:r>
      <w:r w:rsidR="00A60463">
        <w:t>Specifically, the Commission seeks comment on the</w:t>
      </w:r>
      <w:r>
        <w:t xml:space="preserve"> benefits and potential</w:t>
      </w:r>
      <w:r w:rsidR="00A60463">
        <w:t xml:space="preserve"> burden</w:t>
      </w:r>
      <w:r>
        <w:t xml:space="preserve"> </w:t>
      </w:r>
      <w:r w:rsidR="00A60463">
        <w:t>of retaining Requirement R15</w:t>
      </w:r>
      <w:r>
        <w:t xml:space="preserve">.  We also seek an </w:t>
      </w:r>
      <w:r w:rsidR="00A60463">
        <w:t xml:space="preserve">explanation as to </w:t>
      </w:r>
      <w:r>
        <w:t xml:space="preserve">why, historically, there is no parallel to Requirement R15 for reliability coordinators and transmission operators, and </w:t>
      </w:r>
      <w:r w:rsidR="00A60463">
        <w:t>whether any reason exists to distinguish between balancing authorities and other entities</w:t>
      </w:r>
      <w:r w:rsidR="00A01E6B">
        <w:t>, such as reliability coordinators and transmission operators,</w:t>
      </w:r>
      <w:r w:rsidR="00A60463">
        <w:t xml:space="preserve"> that may operate a control center or critical facility </w:t>
      </w:r>
      <w:r w:rsidR="00763375">
        <w:t xml:space="preserve">with </w:t>
      </w:r>
      <w:r w:rsidR="008C01C4">
        <w:t xml:space="preserve">respect to the need for </w:t>
      </w:r>
      <w:r w:rsidR="00763375">
        <w:t xml:space="preserve">backup power </w:t>
      </w:r>
      <w:r w:rsidR="008C01C4">
        <w:t xml:space="preserve">supply </w:t>
      </w:r>
      <w:r w:rsidR="00763375">
        <w:t xml:space="preserve">and </w:t>
      </w:r>
      <w:r w:rsidR="008C01C4">
        <w:t xml:space="preserve">testing </w:t>
      </w:r>
      <w:r w:rsidR="00A60463">
        <w:t xml:space="preserve">at such locations.  </w:t>
      </w:r>
    </w:p>
    <w:p w14:paraId="4D7824CE" w14:textId="77777777" w:rsidR="00096187" w:rsidRDefault="00EF4C97">
      <w:pPr>
        <w:pStyle w:val="FERCparanumber"/>
      </w:pPr>
      <w:r>
        <w:t xml:space="preserve">The Commission </w:t>
      </w:r>
      <w:r w:rsidR="00A60463">
        <w:t xml:space="preserve">further </w:t>
      </w:r>
      <w:r>
        <w:t>seeks</w:t>
      </w:r>
      <w:r w:rsidR="00E17360">
        <w:t xml:space="preserve"> </w:t>
      </w:r>
      <w:r w:rsidR="00167A4A">
        <w:t xml:space="preserve">comment </w:t>
      </w:r>
      <w:r w:rsidR="00C35A97">
        <w:t xml:space="preserve">on </w:t>
      </w:r>
      <w:r w:rsidR="00167A4A">
        <w:t>the following questions:</w:t>
      </w:r>
    </w:p>
    <w:p w14:paraId="4D7824CF" w14:textId="77777777" w:rsidR="00167A4A" w:rsidRDefault="00167A4A" w:rsidP="00EF4C97">
      <w:pPr>
        <w:pStyle w:val="BlockIndent"/>
        <w:numPr>
          <w:ilvl w:val="0"/>
          <w:numId w:val="21"/>
        </w:numPr>
        <w:ind w:right="0" w:firstLine="0"/>
      </w:pPr>
      <w:r>
        <w:t xml:space="preserve">If Requirement R15 of </w:t>
      </w:r>
      <w:r w:rsidR="00E85F08">
        <w:t xml:space="preserve">Reliability Standard </w:t>
      </w:r>
      <w:r>
        <w:t xml:space="preserve">BAL-005-0.2b is retired, can balancing </w:t>
      </w:r>
      <w:r w:rsidR="003A1710">
        <w:t>authorities</w:t>
      </w:r>
      <w:r>
        <w:t xml:space="preserve"> comply with </w:t>
      </w:r>
      <w:r w:rsidR="00E85F08">
        <w:t xml:space="preserve">Reliability Standard </w:t>
      </w:r>
      <w:r>
        <w:t>EOP-008-1 by having a primary control center and “backup functionality” without a backup power supply at the primary control center or without a backup power supply at the location providing backup functionality?</w:t>
      </w:r>
      <w:r w:rsidR="006C16FF">
        <w:t xml:space="preserve">  Are reliability coordinators and transmission operators compliant with Reliability Standard EOP-008-1 by having a primary control center and “backup functionality” without a backup power supply at the primary control center or without a backup power supply at the location providing backup functionality? </w:t>
      </w:r>
    </w:p>
    <w:p w14:paraId="4D7824D0" w14:textId="77777777" w:rsidR="00167A4A" w:rsidRPr="00C41A9A" w:rsidRDefault="000D579A" w:rsidP="00EF4C97">
      <w:pPr>
        <w:pStyle w:val="BlockIndent"/>
        <w:numPr>
          <w:ilvl w:val="0"/>
          <w:numId w:val="21"/>
        </w:numPr>
        <w:ind w:right="0" w:firstLine="0"/>
        <w:rPr>
          <w:b/>
          <w:i/>
        </w:rPr>
      </w:pPr>
      <w:r>
        <w:t xml:space="preserve">Explain </w:t>
      </w:r>
      <w:r w:rsidR="006C16FF">
        <w:t xml:space="preserve">the benefits and potential burdens </w:t>
      </w:r>
      <w:r>
        <w:t xml:space="preserve">for the reliable operation of the bulk electric system </w:t>
      </w:r>
      <w:r w:rsidR="006C16FF">
        <w:t xml:space="preserve">in having </w:t>
      </w:r>
      <w:r w:rsidR="00167A4A">
        <w:t>a backup power supply at the primary control center</w:t>
      </w:r>
      <w:r w:rsidR="006C34CB">
        <w:t>.</w:t>
      </w:r>
      <w:r w:rsidR="006C16FF">
        <w:t xml:space="preserve"> </w:t>
      </w:r>
      <w:r w:rsidR="00167A4A">
        <w:t xml:space="preserve"> </w:t>
      </w:r>
      <w:r w:rsidR="007D5A0A">
        <w:t xml:space="preserve">Is it more appropriate to have backup power supply sited at a location providing backup functionality?  Does the potential impact to reliability change if the entity is a reliability coordinator or transmission operator? </w:t>
      </w:r>
    </w:p>
    <w:p w14:paraId="4D7824D1" w14:textId="77777777" w:rsidR="00167A4A" w:rsidRDefault="006C16FF" w:rsidP="00EF4C97">
      <w:pPr>
        <w:pStyle w:val="BlockIndent"/>
        <w:numPr>
          <w:ilvl w:val="0"/>
          <w:numId w:val="21"/>
        </w:numPr>
        <w:ind w:right="0" w:firstLine="0"/>
      </w:pPr>
      <w:r>
        <w:t xml:space="preserve">Describe </w:t>
      </w:r>
      <w:r w:rsidR="00254126">
        <w:t xml:space="preserve">current </w:t>
      </w:r>
      <w:r w:rsidR="00254126" w:rsidRPr="009A35F5">
        <w:t>practices</w:t>
      </w:r>
      <w:r w:rsidR="000E6BFC" w:rsidRPr="009A35F5">
        <w:t xml:space="preserve"> with respect to the availability of backup power supplies</w:t>
      </w:r>
      <w:r w:rsidR="009A35F5">
        <w:t xml:space="preserve"> at primary control centers and other critical locations</w:t>
      </w:r>
      <w:r w:rsidR="00254126" w:rsidRPr="009A35F5">
        <w:t>.  In particular, d</w:t>
      </w:r>
      <w:r w:rsidR="00167A4A" w:rsidRPr="009A35F5">
        <w:t>o any r</w:t>
      </w:r>
      <w:r w:rsidR="00167A4A">
        <w:t xml:space="preserve">eliability coordinators, transmission operators, or balancing authorities currently have a primary control center without a backup power supply?  </w:t>
      </w:r>
    </w:p>
    <w:p w14:paraId="4D7824D2" w14:textId="77777777" w:rsidR="00167A4A" w:rsidRDefault="00167A4A" w:rsidP="00EF4C97">
      <w:pPr>
        <w:pStyle w:val="BlockIndent"/>
        <w:numPr>
          <w:ilvl w:val="0"/>
          <w:numId w:val="21"/>
        </w:numPr>
        <w:ind w:right="0" w:firstLine="0"/>
      </w:pPr>
      <w:r>
        <w:t xml:space="preserve">What does </w:t>
      </w:r>
      <w:r w:rsidR="00254126">
        <w:t xml:space="preserve">the reference in </w:t>
      </w:r>
      <w:r w:rsidR="00E85F08">
        <w:t xml:space="preserve">Reliability Standard </w:t>
      </w:r>
      <w:r>
        <w:t>BAL-005-0.2b</w:t>
      </w:r>
      <w:r w:rsidR="00E85F08">
        <w:t xml:space="preserve"> Requirement</w:t>
      </w:r>
      <w:r>
        <w:t xml:space="preserve"> R15</w:t>
      </w:r>
      <w:r w:rsidR="00254126">
        <w:t xml:space="preserve"> </w:t>
      </w:r>
      <w:r>
        <w:t xml:space="preserve">to “other critical locations” include?  </w:t>
      </w:r>
      <w:r w:rsidRPr="009A35F5">
        <w:t>Does it include</w:t>
      </w:r>
      <w:r>
        <w:t xml:space="preserve"> facilities beyond primary control centers and locations providing backup functionality? </w:t>
      </w:r>
    </w:p>
    <w:p w14:paraId="4D7824D3" w14:textId="77777777" w:rsidR="00167A4A" w:rsidRDefault="00167A4A" w:rsidP="00EF4C97">
      <w:pPr>
        <w:pStyle w:val="BlockIndent"/>
        <w:numPr>
          <w:ilvl w:val="0"/>
          <w:numId w:val="21"/>
        </w:numPr>
        <w:ind w:right="0" w:firstLine="0"/>
      </w:pPr>
      <w:r>
        <w:t xml:space="preserve">Does the use of frequency metering equipment to calculate Reporting ACE that is available a minimum of 99.95% of each calendar year, as proposed in </w:t>
      </w:r>
      <w:r w:rsidR="00E85F08">
        <w:t xml:space="preserve">Reliability Standard </w:t>
      </w:r>
      <w:r>
        <w:t>BAL-005-1</w:t>
      </w:r>
      <w:r w:rsidR="00E85F08">
        <w:t>, Requirement</w:t>
      </w:r>
      <w:r>
        <w:t xml:space="preserve"> R3, ensure “continuous operation </w:t>
      </w:r>
      <w:r>
        <w:lastRenderedPageBreak/>
        <w:t xml:space="preserve">of AGC and vital data recording equipment during loss of the normal power supply,” per </w:t>
      </w:r>
      <w:r w:rsidR="00E85F08">
        <w:t xml:space="preserve">Reliability Standard </w:t>
      </w:r>
      <w:r>
        <w:t>BAL-005-0.2b</w:t>
      </w:r>
      <w:r w:rsidR="00E85F08">
        <w:t>, Requirement</w:t>
      </w:r>
      <w:r>
        <w:t xml:space="preserve"> R15?  What other functions would be included as part of the metering equipment and data collection of </w:t>
      </w:r>
      <w:r w:rsidR="00E85F08">
        <w:t xml:space="preserve">Reliability Standard </w:t>
      </w:r>
      <w:r>
        <w:t>BAL-005-1</w:t>
      </w:r>
      <w:r w:rsidR="00E85F08">
        <w:t>, Requirement</w:t>
      </w:r>
      <w:r>
        <w:t xml:space="preserve"> R3?  What functions currently part of </w:t>
      </w:r>
      <w:r w:rsidR="00E85F08">
        <w:t xml:space="preserve">Reliability Standard </w:t>
      </w:r>
      <w:r>
        <w:t>BAL-005-0.2b</w:t>
      </w:r>
      <w:r w:rsidR="00E85F08">
        <w:t>, Requirement</w:t>
      </w:r>
      <w:r>
        <w:t xml:space="preserve"> R15 would be omitted?</w:t>
      </w:r>
    </w:p>
    <w:p w14:paraId="4D7824D4" w14:textId="77777777" w:rsidR="00167A4A" w:rsidRDefault="00167A4A" w:rsidP="00EF4C97">
      <w:pPr>
        <w:pStyle w:val="BlockIndent"/>
        <w:numPr>
          <w:ilvl w:val="0"/>
          <w:numId w:val="21"/>
        </w:numPr>
        <w:ind w:right="0" w:firstLine="0"/>
      </w:pPr>
      <w:r>
        <w:t>Do</w:t>
      </w:r>
      <w:r w:rsidR="00254126">
        <w:t xml:space="preserve"> the requirements in </w:t>
      </w:r>
      <w:r w:rsidR="00E85F08">
        <w:t xml:space="preserve">Reliability Standard </w:t>
      </w:r>
      <w:r>
        <w:t>EOP-008-1</w:t>
      </w:r>
      <w:r w:rsidR="00254126">
        <w:t xml:space="preserve"> </w:t>
      </w:r>
      <w:r>
        <w:t xml:space="preserve">for backup functionality ensure the “continuous operation of AGC and vital data recording equipment,” and the ability to collect data to calculate Reporting ACE, in the case of the unavailability of such equipment for a period within the bounds of proposed </w:t>
      </w:r>
      <w:r w:rsidR="00E85F08">
        <w:t xml:space="preserve">Reliability Standard </w:t>
      </w:r>
      <w:r>
        <w:t>BAL-005-1</w:t>
      </w:r>
      <w:r w:rsidR="00E85F08">
        <w:t>, Requirement</w:t>
      </w:r>
      <w:r>
        <w:t xml:space="preserve"> R3?</w:t>
      </w:r>
    </w:p>
    <w:p w14:paraId="4D7824D5" w14:textId="77777777" w:rsidR="00D9308C" w:rsidRPr="00353406" w:rsidRDefault="00D9308C" w:rsidP="00990291">
      <w:pPr>
        <w:pStyle w:val="Heading1"/>
        <w:rPr>
          <w:szCs w:val="26"/>
        </w:rPr>
      </w:pPr>
      <w:r w:rsidRPr="00353406">
        <w:rPr>
          <w:szCs w:val="26"/>
        </w:rPr>
        <w:t xml:space="preserve">Information Collection Statement </w:t>
      </w:r>
    </w:p>
    <w:p w14:paraId="4D7824D6" w14:textId="77777777" w:rsidR="000264D1" w:rsidRPr="00353406" w:rsidRDefault="00D51AF1" w:rsidP="00656F15">
      <w:pPr>
        <w:pStyle w:val="FERCparanumber"/>
      </w:pPr>
      <w:r>
        <w:t>The Paperwork Reduction Ac</w:t>
      </w:r>
      <w:r w:rsidR="003C638D">
        <w:t>t</w:t>
      </w:r>
      <w:r>
        <w:t xml:space="preserve"> (PRA)</w:t>
      </w:r>
      <w:r>
        <w:rPr>
          <w:rStyle w:val="FootnoteReference"/>
        </w:rPr>
        <w:footnoteReference w:id="38"/>
      </w:r>
      <w:r>
        <w:t xml:space="preserve"> requires each federal agency to seek and obtain Office of Management </w:t>
      </w:r>
      <w:r w:rsidR="000264D1" w:rsidRPr="00353406">
        <w:t xml:space="preserve">and Budget (OMB) </w:t>
      </w:r>
      <w:r>
        <w:t xml:space="preserve">approval before undertaking a collection of information directed to ten or more persons, or contained in a </w:t>
      </w:r>
      <w:r w:rsidR="000F31B8">
        <w:t>rule</w:t>
      </w:r>
      <w:r>
        <w:t xml:space="preserve"> of general applicability.  The OMB </w:t>
      </w:r>
      <w:r w:rsidR="000264D1" w:rsidRPr="00353406">
        <w:t>regulations require that OMB approve certain reporting and recordkeeping (collections of information) imposed by an agency.</w:t>
      </w:r>
      <w:r w:rsidR="000264D1" w:rsidRPr="00353406">
        <w:rPr>
          <w:rStyle w:val="FootnoteReference"/>
        </w:rPr>
        <w:footnoteReference w:id="39"/>
      </w:r>
      <w:r w:rsidR="000264D1" w:rsidRPr="00353406">
        <w:t xml:space="preserve">  Upon approval of a collection(s) of information, OMB will assign an OMB control number and expiration date.  Respondents subject to the filing requirements of this rule will not be penalized for failing to respond to these collections of information unless the collections of information display a valid OMB control number.</w:t>
      </w:r>
    </w:p>
    <w:p w14:paraId="4D7824D7" w14:textId="77777777" w:rsidR="000264D1" w:rsidRPr="00353406" w:rsidRDefault="000264D1" w:rsidP="00656F15">
      <w:pPr>
        <w:pStyle w:val="FERCparanumber"/>
      </w:pPr>
      <w:r w:rsidRPr="00353406">
        <w:t xml:space="preserve">The Commission is submitting these reporting and recordkeeping requirements to OMB for its review and approval under section 3507(d) of the PRA.  Comments are solicited on the Commission’s need for this information, whether the information will </w:t>
      </w:r>
      <w:r w:rsidRPr="00353406">
        <w:lastRenderedPageBreak/>
        <w:t xml:space="preserve">have practical utility, the accuracy of the provided burden estimate, ways to enhance the quality, utility, and clarity of the information to be collected, and any suggested methods for minimizing the respondent’s burden, including the use of automated information techniques.  </w:t>
      </w:r>
    </w:p>
    <w:p w14:paraId="4D7824D8" w14:textId="77777777" w:rsidR="007E11E4" w:rsidRDefault="000264D1" w:rsidP="00656F15">
      <w:pPr>
        <w:pStyle w:val="FERCparanumber"/>
      </w:pPr>
      <w:r w:rsidRPr="00353406">
        <w:t xml:space="preserve">This Notice of Proposed Rulemaking </w:t>
      </w:r>
      <w:r w:rsidR="000B6CD1">
        <w:t xml:space="preserve">(NOPR) </w:t>
      </w:r>
      <w:r w:rsidRPr="00353406">
        <w:t>proposes to approve revisions to Reliability Standard</w:t>
      </w:r>
      <w:r w:rsidR="007E11E4">
        <w:t>s BAL-</w:t>
      </w:r>
      <w:r w:rsidR="007E11E4" w:rsidRPr="009A35F5">
        <w:t>005</w:t>
      </w:r>
      <w:r w:rsidR="00E36A29" w:rsidRPr="009A35F5">
        <w:t>, associated with FERC-725R</w:t>
      </w:r>
      <w:r w:rsidR="007E11E4" w:rsidRPr="009A35F5">
        <w:t xml:space="preserve"> and FAC-001</w:t>
      </w:r>
      <w:r w:rsidR="00E36A29" w:rsidRPr="009A35F5">
        <w:t>,</w:t>
      </w:r>
      <w:r w:rsidR="00E36A29">
        <w:t xml:space="preserve"> associated with FERC-725D</w:t>
      </w:r>
      <w:r w:rsidR="00DF71B3">
        <w:t xml:space="preserve">.  </w:t>
      </w:r>
      <w:r w:rsidR="007E11E4">
        <w:t>The</w:t>
      </w:r>
      <w:r w:rsidR="00DF71B3">
        <w:t>se</w:t>
      </w:r>
      <w:r w:rsidR="007E11E4">
        <w:t xml:space="preserve"> proposed revisions streamline and clarify the current requirements related to the calculation of Reporting ACE </w:t>
      </w:r>
      <w:r w:rsidR="00DF71B3">
        <w:t xml:space="preserve">– a key </w:t>
      </w:r>
      <w:r w:rsidR="00DF71B3" w:rsidRPr="00353406">
        <w:t>frequency control and reliability indicator</w:t>
      </w:r>
      <w:r w:rsidR="00DF71B3">
        <w:t xml:space="preserve"> factor -- </w:t>
      </w:r>
      <w:r w:rsidR="007E11E4">
        <w:t>including consolidating the seventeen requirements of currently-effective BAL-005-0.2b</w:t>
      </w:r>
      <w:r w:rsidR="00E36A29">
        <w:t>, associated with FERC-725R,</w:t>
      </w:r>
      <w:r w:rsidR="007E11E4">
        <w:t xml:space="preserve"> into seven requirements in BAL-005-1, relocation of certain requirements related to interconnection </w:t>
      </w:r>
      <w:r w:rsidR="00DF71B3">
        <w:t xml:space="preserve">requirements for </w:t>
      </w:r>
      <w:r w:rsidR="007E11E4">
        <w:t>transmission owners and generation owners into FAC-001-3, relocation of Requirement R3 in currently-effective BAL-006-2 into proposed BAL-005-1, and relocation of ce</w:t>
      </w:r>
      <w:r w:rsidR="00DF71B3">
        <w:t>rtain metrics and calculations required for calculating Reporting ACE i</w:t>
      </w:r>
      <w:r w:rsidR="007E11E4">
        <w:t xml:space="preserve">nto </w:t>
      </w:r>
      <w:r w:rsidR="007E11E4" w:rsidRPr="009A35F5">
        <w:t xml:space="preserve">the </w:t>
      </w:r>
      <w:r w:rsidR="00955992" w:rsidRPr="009A35F5">
        <w:t xml:space="preserve">NERC </w:t>
      </w:r>
      <w:r w:rsidR="000F31B8" w:rsidRPr="009A35F5">
        <w:t>definition</w:t>
      </w:r>
      <w:r w:rsidR="007E11E4">
        <w:t xml:space="preserve"> of </w:t>
      </w:r>
      <w:r w:rsidR="000F31B8">
        <w:t>Reporting</w:t>
      </w:r>
      <w:r w:rsidR="007E11E4">
        <w:t xml:space="preserve"> ACE and its component definitions.  </w:t>
      </w:r>
    </w:p>
    <w:p w14:paraId="4D7824D9" w14:textId="77777777" w:rsidR="007E11E4" w:rsidRDefault="007E11E4" w:rsidP="00656F15">
      <w:pPr>
        <w:pStyle w:val="FERCparanumber"/>
      </w:pPr>
      <w:r w:rsidRPr="009A35F5">
        <w:t>NERC’s proposed revisions to Reliability</w:t>
      </w:r>
      <w:r>
        <w:t xml:space="preserve"> Standards BAL-</w:t>
      </w:r>
      <w:r w:rsidRPr="009A35F5">
        <w:t>005 and FAC-001</w:t>
      </w:r>
      <w:r>
        <w:t>will not result in</w:t>
      </w:r>
      <w:r w:rsidR="00D14ADA">
        <w:t xml:space="preserve"> a</w:t>
      </w:r>
      <w:r w:rsidR="000B6CD1">
        <w:t>n</w:t>
      </w:r>
      <w:r w:rsidR="00D14ADA">
        <w:t xml:space="preserve"> </w:t>
      </w:r>
      <w:r>
        <w:t xml:space="preserve">increase in the record-keeping and reporting requirements imposed on balancing authorities, </w:t>
      </w:r>
      <w:r w:rsidR="000B6CD1">
        <w:t xml:space="preserve">other than the one-time cost of administering the change to the revised standard.  All other </w:t>
      </w:r>
      <w:r>
        <w:t xml:space="preserve">recordkeeping </w:t>
      </w:r>
      <w:r w:rsidR="000B6CD1">
        <w:t xml:space="preserve">and </w:t>
      </w:r>
      <w:r>
        <w:t xml:space="preserve">reporting obligations imposed </w:t>
      </w:r>
      <w:r w:rsidR="000B6CD1">
        <w:t xml:space="preserve">on balancing authorities </w:t>
      </w:r>
      <w:r>
        <w:t>under the revised requirements essentially track those that already exist under currently-effective Reliability Standards BAL-005-0.2b and FAC-001-2</w:t>
      </w:r>
      <w:r w:rsidR="000B6CD1">
        <w:t xml:space="preserve">.  </w:t>
      </w:r>
      <w:r w:rsidR="00D14ADA">
        <w:t xml:space="preserve">The proposed revisions to FAC-001-3 will result in a limited increase in the record-keeping </w:t>
      </w:r>
      <w:r w:rsidR="00D14ADA">
        <w:lastRenderedPageBreak/>
        <w:t>and reporting requirement</w:t>
      </w:r>
      <w:r w:rsidR="000B6CD1">
        <w:t>s</w:t>
      </w:r>
      <w:r w:rsidR="00D14ADA">
        <w:t xml:space="preserve"> imposed on those transmission owners and generator owners that are not also transmission operators and generator operators (about </w:t>
      </w:r>
      <w:r w:rsidR="000B6CD1">
        <w:t xml:space="preserve">198 </w:t>
      </w:r>
      <w:r w:rsidR="00D14ADA">
        <w:t>entities</w:t>
      </w:r>
      <w:r w:rsidR="009A35F5">
        <w:t xml:space="preserve"> in the United States</w:t>
      </w:r>
      <w:r w:rsidR="00D14ADA">
        <w:t>), as shown in the chart below.</w:t>
      </w:r>
      <w:r w:rsidR="00753894">
        <w:rPr>
          <w:rStyle w:val="FootnoteReference"/>
        </w:rPr>
        <w:footnoteReference w:id="40"/>
      </w:r>
      <w:r w:rsidR="00D14ADA">
        <w:t xml:space="preserve">  </w:t>
      </w:r>
      <w:r w:rsidR="000B6CD1">
        <w:t xml:space="preserve">Many </w:t>
      </w:r>
      <w:r>
        <w:t xml:space="preserve">of the revisions </w:t>
      </w:r>
      <w:r w:rsidR="000B6CD1">
        <w:t xml:space="preserve">to the Reliability Standards reflected in this NOPR </w:t>
      </w:r>
      <w:r>
        <w:t xml:space="preserve">were developed to help clarify and streamline existing requirements </w:t>
      </w:r>
      <w:r w:rsidR="000F31B8">
        <w:t>related</w:t>
      </w:r>
      <w:r>
        <w:t xml:space="preserve"> to </w:t>
      </w:r>
      <w:r w:rsidR="000F31B8">
        <w:t>calculation</w:t>
      </w:r>
      <w:r>
        <w:t xml:space="preserve"> of Reporting ACE, and are expected to simplify these entities’ overall burden with respect to recordkeeping</w:t>
      </w:r>
      <w:r w:rsidR="00DF71B3">
        <w:t>,</w:t>
      </w:r>
      <w:r>
        <w:t xml:space="preserve"> reporting</w:t>
      </w:r>
      <w:r w:rsidR="00DF71B3">
        <w:t>, and compliance</w:t>
      </w:r>
      <w:r>
        <w:t xml:space="preserve">.  </w:t>
      </w:r>
      <w:r w:rsidR="000C2715">
        <w:t xml:space="preserve">Moreover, the NOPR proposes to allow the retirement of the bulk of the requirements in Reliability Standard BAL-006-2, further reducing the overall record-keeping and reporting requirements for balancing authorities. </w:t>
      </w:r>
      <w:r>
        <w:t xml:space="preserve"> </w:t>
      </w:r>
      <w:r w:rsidR="00801A65">
        <w:t xml:space="preserve">Accordingly, the Commission estimates that </w:t>
      </w:r>
      <w:r w:rsidR="00D14ADA">
        <w:t xml:space="preserve">the overall change in the record-keeping and reporting requirements as a result of this rulemaking will be </w:t>
      </w:r>
      <w:r w:rsidR="00D14ADA" w:rsidRPr="001B4D60">
        <w:rPr>
          <w:i/>
        </w:rPr>
        <w:t>de minimis</w:t>
      </w:r>
      <w:r w:rsidR="000B6CD1">
        <w:t xml:space="preserve"> on a per-entity basis</w:t>
      </w:r>
      <w:r w:rsidR="00D14ADA">
        <w:t xml:space="preserve">.  </w:t>
      </w:r>
    </w:p>
    <w:p w14:paraId="4D7824DA" w14:textId="77777777" w:rsidR="00753894" w:rsidRDefault="00753894" w:rsidP="00753894">
      <w:pPr>
        <w:pStyle w:val="FERCparanumber"/>
      </w:pPr>
      <w:r w:rsidRPr="00903FC3">
        <w:rPr>
          <w:u w:val="single"/>
        </w:rPr>
        <w:t>Public Reporting Burden</w:t>
      </w:r>
      <w:r>
        <w:t xml:space="preserve">: </w:t>
      </w:r>
      <w:r w:rsidR="001B4D60">
        <w:t xml:space="preserve"> </w:t>
      </w:r>
      <w:r>
        <w:t xml:space="preserve">The changes reflected in proposed Reliability Standard BAL-005-1 are </w:t>
      </w:r>
      <w:r w:rsidR="000B6CD1">
        <w:t xml:space="preserve">not </w:t>
      </w:r>
      <w:r>
        <w:t>expected to result in a</w:t>
      </w:r>
      <w:r w:rsidR="000B6CD1">
        <w:t xml:space="preserve">n </w:t>
      </w:r>
      <w:r>
        <w:t>increase in the annual record-keeping and reporting requirements</w:t>
      </w:r>
      <w:r w:rsidR="000B6CD1">
        <w:t xml:space="preserve"> on applicable entities (balancing authorities)</w:t>
      </w:r>
      <w:r>
        <w:t xml:space="preserve">.  However, </w:t>
      </w:r>
      <w:r w:rsidR="006C75B0">
        <w:t xml:space="preserve">balancing authorities </w:t>
      </w:r>
      <w:r>
        <w:t xml:space="preserve">will have to </w:t>
      </w:r>
      <w:r w:rsidR="00955992" w:rsidRPr="009A35F5">
        <w:t>perform</w:t>
      </w:r>
      <w:r>
        <w:t xml:space="preserve"> a one-time review of the new standard to ensure that their compliance practices (including record-keeping) are consistent with the revised </w:t>
      </w:r>
      <w:r>
        <w:lastRenderedPageBreak/>
        <w:t xml:space="preserve">requirements.  </w:t>
      </w:r>
      <w:r w:rsidR="000B6CD1">
        <w:t xml:space="preserve">The </w:t>
      </w:r>
      <w:r>
        <w:t xml:space="preserve">relocation of </w:t>
      </w:r>
      <w:r w:rsidR="003C638D">
        <w:t>Requirement</w:t>
      </w:r>
      <w:r w:rsidR="000B6CD1">
        <w:t xml:space="preserve"> R1 of </w:t>
      </w:r>
      <w:r>
        <w:t xml:space="preserve">Reliability Standard BAL-005-0.2b into </w:t>
      </w:r>
      <w:r w:rsidR="006C75B0">
        <w:t xml:space="preserve">Reliability </w:t>
      </w:r>
      <w:r w:rsidR="002622A8">
        <w:t>Standard</w:t>
      </w:r>
      <w:r w:rsidR="006C75B0">
        <w:t xml:space="preserve"> </w:t>
      </w:r>
      <w:r>
        <w:t>FAC-003-1 will result in an increase in the number of entities</w:t>
      </w:r>
      <w:r w:rsidR="006C75B0">
        <w:t xml:space="preserve"> subject to the </w:t>
      </w:r>
      <w:r w:rsidR="002622A8">
        <w:t>requirement</w:t>
      </w:r>
      <w:r>
        <w:t xml:space="preserve">, as the requirement will be applicable to transmission owners and generator owners rather than transmission operators and generator operators.  </w:t>
      </w:r>
      <w:r w:rsidR="001B4D60">
        <w:t>T</w:t>
      </w:r>
      <w:r w:rsidRPr="009A35F5">
        <w:t>his</w:t>
      </w:r>
      <w:r>
        <w:t xml:space="preserve"> limited increase in annual record-keeping and reporting burden, along with the one-time burden of administering the change from BAL-005-0.2b to BAL-005-1, </w:t>
      </w:r>
      <w:r w:rsidR="006C75B0">
        <w:t xml:space="preserve">is </w:t>
      </w:r>
      <w:r w:rsidR="001B4D60">
        <w:t xml:space="preserve">however </w:t>
      </w:r>
      <w:r>
        <w:t xml:space="preserve">expected to be offset </w:t>
      </w:r>
      <w:r w:rsidR="006C75B0">
        <w:t xml:space="preserve">to some extent </w:t>
      </w:r>
      <w:r>
        <w:t>by the decrease in record-keeping and reporting burden associated with the retirement of Reliability Standard BAL-006-2</w:t>
      </w:r>
      <w:r w:rsidR="006C75B0">
        <w:t xml:space="preserve"> (in</w:t>
      </w:r>
      <w:r w:rsidR="002622A8">
        <w:t xml:space="preserve"> </w:t>
      </w:r>
      <w:r w:rsidR="006C75B0">
        <w:t>considering the overall record-keeping and reporting requirements associated with the revised Reliability Standards)</w:t>
      </w:r>
      <w: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625"/>
        <w:gridCol w:w="1620"/>
        <w:gridCol w:w="1440"/>
        <w:gridCol w:w="1260"/>
        <w:gridCol w:w="1440"/>
      </w:tblGrid>
      <w:tr w:rsidR="00753894" w:rsidRPr="002223ED" w14:paraId="4D7824E3" w14:textId="77777777" w:rsidTr="008544B1">
        <w:trPr>
          <w:cantSplit/>
          <w:trHeight w:val="2240"/>
          <w:tblHeader/>
        </w:trPr>
        <w:tc>
          <w:tcPr>
            <w:tcW w:w="2538" w:type="dxa"/>
            <w:shd w:val="clear" w:color="auto" w:fill="A6A6A6" w:themeFill="background1" w:themeFillShade="A6"/>
            <w:vAlign w:val="bottom"/>
          </w:tcPr>
          <w:p w14:paraId="4D7824DB" w14:textId="77777777" w:rsidR="00753894" w:rsidRPr="002223ED" w:rsidRDefault="00753894" w:rsidP="008544B1">
            <w:pPr>
              <w:keepNext/>
              <w:keepLines/>
              <w:spacing w:after="120"/>
              <w:jc w:val="center"/>
              <w:rPr>
                <w:b/>
                <w:szCs w:val="26"/>
              </w:rPr>
            </w:pPr>
            <w:r w:rsidRPr="002223ED">
              <w:rPr>
                <w:b/>
                <w:szCs w:val="26"/>
              </w:rPr>
              <w:lastRenderedPageBreak/>
              <w:t>Data Collection</w:t>
            </w:r>
          </w:p>
          <w:p w14:paraId="4D7824DC" w14:textId="77777777" w:rsidR="00753894" w:rsidRDefault="00753894" w:rsidP="008544B1">
            <w:pPr>
              <w:keepNext/>
              <w:keepLines/>
              <w:jc w:val="center"/>
              <w:rPr>
                <w:b/>
                <w:szCs w:val="26"/>
              </w:rPr>
            </w:pPr>
            <w:r w:rsidRPr="002223ED">
              <w:rPr>
                <w:b/>
                <w:szCs w:val="26"/>
              </w:rPr>
              <w:t xml:space="preserve">FERC </w:t>
            </w:r>
            <w:r>
              <w:rPr>
                <w:b/>
                <w:szCs w:val="26"/>
              </w:rPr>
              <w:t>725D &amp; 725R</w:t>
            </w:r>
            <w:r w:rsidRPr="002223ED">
              <w:rPr>
                <w:b/>
                <w:szCs w:val="26"/>
              </w:rPr>
              <w:t xml:space="preserve"> (</w:t>
            </w:r>
            <w:r>
              <w:rPr>
                <w:b/>
                <w:szCs w:val="26"/>
              </w:rPr>
              <w:t>modifications</w:t>
            </w:r>
            <w:r w:rsidRPr="002223ED">
              <w:rPr>
                <w:b/>
                <w:szCs w:val="26"/>
              </w:rPr>
              <w:t xml:space="preserve"> in </w:t>
            </w:r>
          </w:p>
          <w:p w14:paraId="4D7824DD" w14:textId="77777777" w:rsidR="00753894" w:rsidRPr="002223ED" w:rsidRDefault="00753894" w:rsidP="008544B1">
            <w:pPr>
              <w:keepNext/>
              <w:keepLines/>
              <w:spacing w:after="120"/>
              <w:jc w:val="center"/>
              <w:rPr>
                <w:b/>
                <w:szCs w:val="26"/>
              </w:rPr>
            </w:pPr>
            <w:r w:rsidRPr="002223ED">
              <w:rPr>
                <w:b/>
                <w:szCs w:val="26"/>
              </w:rPr>
              <w:t>RM1</w:t>
            </w:r>
            <w:r>
              <w:rPr>
                <w:b/>
                <w:szCs w:val="26"/>
              </w:rPr>
              <w:t>6</w:t>
            </w:r>
            <w:r w:rsidRPr="002223ED">
              <w:rPr>
                <w:b/>
                <w:szCs w:val="26"/>
              </w:rPr>
              <w:t>-</w:t>
            </w:r>
            <w:r>
              <w:rPr>
                <w:b/>
                <w:szCs w:val="26"/>
              </w:rPr>
              <w:t>13-000</w:t>
            </w:r>
            <w:r w:rsidRPr="002223ED">
              <w:rPr>
                <w:b/>
                <w:szCs w:val="26"/>
              </w:rPr>
              <w:t>)</w:t>
            </w:r>
          </w:p>
        </w:tc>
        <w:tc>
          <w:tcPr>
            <w:tcW w:w="1625" w:type="dxa"/>
            <w:shd w:val="clear" w:color="auto" w:fill="A6A6A6" w:themeFill="background1" w:themeFillShade="A6"/>
            <w:vAlign w:val="center"/>
          </w:tcPr>
          <w:p w14:paraId="4D7824DE" w14:textId="77777777" w:rsidR="00753894" w:rsidRPr="002223ED" w:rsidRDefault="00753894" w:rsidP="008544B1">
            <w:pPr>
              <w:keepNext/>
              <w:spacing w:after="120"/>
              <w:ind w:left="-108"/>
              <w:jc w:val="center"/>
              <w:rPr>
                <w:b/>
                <w:szCs w:val="26"/>
              </w:rPr>
            </w:pPr>
            <w:r w:rsidRPr="002223ED">
              <w:rPr>
                <w:b/>
                <w:szCs w:val="26"/>
              </w:rPr>
              <w:t>Number of Respondents</w:t>
            </w:r>
            <w:r w:rsidR="00B93DCC">
              <w:rPr>
                <w:rStyle w:val="FootnoteReference"/>
                <w:b w:val="0"/>
                <w:szCs w:val="26"/>
              </w:rPr>
              <w:footnoteReference w:id="41"/>
            </w:r>
          </w:p>
        </w:tc>
        <w:tc>
          <w:tcPr>
            <w:tcW w:w="1620" w:type="dxa"/>
            <w:shd w:val="clear" w:color="auto" w:fill="A6A6A6" w:themeFill="background1" w:themeFillShade="A6"/>
            <w:vAlign w:val="center"/>
          </w:tcPr>
          <w:p w14:paraId="4D7824DF" w14:textId="77777777" w:rsidR="00753894" w:rsidRPr="002223ED" w:rsidRDefault="00753894" w:rsidP="008544B1">
            <w:pPr>
              <w:keepNext/>
              <w:spacing w:after="120"/>
              <w:jc w:val="center"/>
              <w:rPr>
                <w:b/>
                <w:szCs w:val="26"/>
              </w:rPr>
            </w:pPr>
            <w:r w:rsidRPr="002223ED">
              <w:rPr>
                <w:b/>
                <w:szCs w:val="26"/>
              </w:rPr>
              <w:t>Number of Responses per Respondent</w:t>
            </w:r>
          </w:p>
        </w:tc>
        <w:tc>
          <w:tcPr>
            <w:tcW w:w="1440" w:type="dxa"/>
            <w:shd w:val="clear" w:color="auto" w:fill="A6A6A6" w:themeFill="background1" w:themeFillShade="A6"/>
            <w:vAlign w:val="center"/>
          </w:tcPr>
          <w:p w14:paraId="4D7824E0" w14:textId="77777777" w:rsidR="00753894" w:rsidRPr="002223ED" w:rsidRDefault="00753894" w:rsidP="008544B1">
            <w:pPr>
              <w:keepNext/>
              <w:spacing w:after="120"/>
              <w:jc w:val="center"/>
              <w:rPr>
                <w:b/>
                <w:szCs w:val="26"/>
              </w:rPr>
            </w:pPr>
            <w:r w:rsidRPr="002223ED">
              <w:rPr>
                <w:b/>
                <w:szCs w:val="26"/>
              </w:rPr>
              <w:t>Total Number of Responses</w:t>
            </w:r>
          </w:p>
        </w:tc>
        <w:tc>
          <w:tcPr>
            <w:tcW w:w="1260" w:type="dxa"/>
            <w:shd w:val="clear" w:color="auto" w:fill="A6A6A6" w:themeFill="background1" w:themeFillShade="A6"/>
            <w:vAlign w:val="center"/>
          </w:tcPr>
          <w:p w14:paraId="4D7824E1" w14:textId="77777777" w:rsidR="00753894" w:rsidRPr="002223ED" w:rsidRDefault="00753894" w:rsidP="008544B1">
            <w:pPr>
              <w:keepNext/>
              <w:spacing w:after="120"/>
              <w:jc w:val="center"/>
              <w:rPr>
                <w:b/>
                <w:szCs w:val="26"/>
              </w:rPr>
            </w:pPr>
            <w:r w:rsidRPr="002223ED">
              <w:rPr>
                <w:b/>
                <w:szCs w:val="26"/>
              </w:rPr>
              <w:t>Average Burden Hours &amp; Cost per Response</w:t>
            </w:r>
            <w:r w:rsidR="00B93DCC">
              <w:rPr>
                <w:rStyle w:val="FootnoteReference"/>
                <w:b w:val="0"/>
                <w:szCs w:val="26"/>
              </w:rPr>
              <w:footnoteReference w:id="42"/>
            </w:r>
          </w:p>
        </w:tc>
        <w:tc>
          <w:tcPr>
            <w:tcW w:w="1440" w:type="dxa"/>
            <w:shd w:val="clear" w:color="auto" w:fill="A6A6A6" w:themeFill="background1" w:themeFillShade="A6"/>
            <w:vAlign w:val="center"/>
          </w:tcPr>
          <w:p w14:paraId="4D7824E2" w14:textId="77777777" w:rsidR="00753894" w:rsidRPr="002223ED" w:rsidRDefault="005330F9" w:rsidP="008544B1">
            <w:pPr>
              <w:keepNext/>
              <w:spacing w:after="120"/>
              <w:jc w:val="center"/>
              <w:rPr>
                <w:b/>
                <w:szCs w:val="26"/>
              </w:rPr>
            </w:pPr>
            <w:r>
              <w:rPr>
                <w:b/>
                <w:szCs w:val="26"/>
              </w:rPr>
              <w:t xml:space="preserve">Annual </w:t>
            </w:r>
            <w:r w:rsidR="00753894" w:rsidRPr="002223ED">
              <w:rPr>
                <w:b/>
                <w:szCs w:val="26"/>
              </w:rPr>
              <w:t>Burden Hours &amp; Total Annual Cost</w:t>
            </w:r>
            <w:r>
              <w:rPr>
                <w:rStyle w:val="FootnoteReference"/>
                <w:b w:val="0"/>
                <w:szCs w:val="26"/>
              </w:rPr>
              <w:footnoteReference w:id="43"/>
            </w:r>
          </w:p>
        </w:tc>
      </w:tr>
      <w:tr w:rsidR="00753894" w:rsidRPr="00C273AD" w14:paraId="4D7824EA" w14:textId="77777777" w:rsidTr="008544B1">
        <w:trPr>
          <w:cantSplit/>
          <w:trHeight w:val="530"/>
          <w:tblHeader/>
        </w:trPr>
        <w:tc>
          <w:tcPr>
            <w:tcW w:w="2538" w:type="dxa"/>
            <w:shd w:val="clear" w:color="auto" w:fill="auto"/>
            <w:vAlign w:val="bottom"/>
          </w:tcPr>
          <w:p w14:paraId="4D7824E4" w14:textId="77777777" w:rsidR="00753894" w:rsidRPr="00C273AD" w:rsidRDefault="00753894" w:rsidP="008544B1">
            <w:pPr>
              <w:keepNext/>
              <w:keepLines/>
              <w:spacing w:after="120"/>
              <w:jc w:val="center"/>
              <w:rPr>
                <w:b/>
                <w:szCs w:val="26"/>
              </w:rPr>
            </w:pPr>
          </w:p>
        </w:tc>
        <w:tc>
          <w:tcPr>
            <w:tcW w:w="1625" w:type="dxa"/>
            <w:shd w:val="clear" w:color="auto" w:fill="auto"/>
            <w:vAlign w:val="bottom"/>
          </w:tcPr>
          <w:p w14:paraId="4D7824E5" w14:textId="77777777" w:rsidR="00753894" w:rsidRPr="00C273AD" w:rsidDel="00A3246D" w:rsidRDefault="00753894" w:rsidP="008544B1">
            <w:pPr>
              <w:keepNext/>
              <w:spacing w:after="120"/>
              <w:jc w:val="center"/>
              <w:rPr>
                <w:b/>
                <w:szCs w:val="26"/>
              </w:rPr>
            </w:pPr>
            <w:r w:rsidRPr="001D2C62">
              <w:rPr>
                <w:b/>
                <w:szCs w:val="26"/>
              </w:rPr>
              <w:t xml:space="preserve"> (1)</w:t>
            </w:r>
          </w:p>
        </w:tc>
        <w:tc>
          <w:tcPr>
            <w:tcW w:w="1620" w:type="dxa"/>
            <w:shd w:val="clear" w:color="auto" w:fill="auto"/>
            <w:vAlign w:val="bottom"/>
          </w:tcPr>
          <w:p w14:paraId="4D7824E6" w14:textId="77777777" w:rsidR="00753894" w:rsidRPr="00C273AD" w:rsidRDefault="00753894" w:rsidP="008544B1">
            <w:pPr>
              <w:keepNext/>
              <w:spacing w:after="120"/>
              <w:jc w:val="center"/>
              <w:rPr>
                <w:b/>
                <w:szCs w:val="26"/>
              </w:rPr>
            </w:pPr>
            <w:r w:rsidRPr="001D2C62">
              <w:rPr>
                <w:b/>
                <w:szCs w:val="26"/>
              </w:rPr>
              <w:t xml:space="preserve"> (2)</w:t>
            </w:r>
          </w:p>
        </w:tc>
        <w:tc>
          <w:tcPr>
            <w:tcW w:w="1440" w:type="dxa"/>
            <w:vAlign w:val="bottom"/>
          </w:tcPr>
          <w:p w14:paraId="4D7824E7" w14:textId="77777777" w:rsidR="00753894" w:rsidRPr="00C273AD" w:rsidRDefault="00753894" w:rsidP="008544B1">
            <w:pPr>
              <w:keepNext/>
              <w:spacing w:after="120"/>
              <w:jc w:val="center"/>
              <w:rPr>
                <w:b/>
                <w:szCs w:val="26"/>
              </w:rPr>
            </w:pPr>
            <w:r>
              <w:rPr>
                <w:b/>
                <w:szCs w:val="26"/>
              </w:rPr>
              <w:t>(</w:t>
            </w:r>
            <w:r w:rsidRPr="001D2C62">
              <w:rPr>
                <w:b/>
                <w:szCs w:val="26"/>
              </w:rPr>
              <w:t>1)×(2)=(3)</w:t>
            </w:r>
          </w:p>
        </w:tc>
        <w:tc>
          <w:tcPr>
            <w:tcW w:w="1260" w:type="dxa"/>
            <w:shd w:val="clear" w:color="auto" w:fill="auto"/>
            <w:vAlign w:val="bottom"/>
          </w:tcPr>
          <w:p w14:paraId="4D7824E8" w14:textId="77777777" w:rsidR="00753894" w:rsidRPr="00C273AD" w:rsidRDefault="00753894" w:rsidP="008544B1">
            <w:pPr>
              <w:keepNext/>
              <w:spacing w:after="120"/>
              <w:jc w:val="center"/>
              <w:rPr>
                <w:b/>
                <w:szCs w:val="26"/>
              </w:rPr>
            </w:pPr>
            <w:r w:rsidRPr="001D2C62">
              <w:rPr>
                <w:b/>
                <w:szCs w:val="26"/>
              </w:rPr>
              <w:t xml:space="preserve"> (4)</w:t>
            </w:r>
          </w:p>
        </w:tc>
        <w:tc>
          <w:tcPr>
            <w:tcW w:w="1440" w:type="dxa"/>
            <w:shd w:val="clear" w:color="auto" w:fill="auto"/>
            <w:vAlign w:val="bottom"/>
          </w:tcPr>
          <w:p w14:paraId="4D7824E9" w14:textId="77777777" w:rsidR="00753894" w:rsidRPr="00C273AD" w:rsidRDefault="00753894" w:rsidP="008544B1">
            <w:pPr>
              <w:keepNext/>
              <w:spacing w:after="120"/>
              <w:jc w:val="center"/>
              <w:rPr>
                <w:b/>
                <w:szCs w:val="26"/>
              </w:rPr>
            </w:pPr>
            <w:r w:rsidRPr="001D2C62">
              <w:rPr>
                <w:b/>
                <w:szCs w:val="26"/>
              </w:rPr>
              <w:t>(3)×(4)=(5)</w:t>
            </w:r>
          </w:p>
        </w:tc>
      </w:tr>
      <w:tr w:rsidR="00753894" w:rsidRPr="002223ED" w14:paraId="4D7824F5" w14:textId="77777777" w:rsidTr="008544B1">
        <w:trPr>
          <w:cantSplit/>
          <w:trHeight w:val="576"/>
        </w:trPr>
        <w:tc>
          <w:tcPr>
            <w:tcW w:w="2538" w:type="dxa"/>
            <w:shd w:val="clear" w:color="auto" w:fill="auto"/>
            <w:vAlign w:val="center"/>
          </w:tcPr>
          <w:p w14:paraId="4D7824EB" w14:textId="77777777" w:rsidR="00753894" w:rsidRDefault="00753894" w:rsidP="008544B1">
            <w:pPr>
              <w:keepNext/>
              <w:keepLines/>
              <w:spacing w:after="120"/>
              <w:rPr>
                <w:szCs w:val="26"/>
              </w:rPr>
            </w:pPr>
            <w:r>
              <w:rPr>
                <w:szCs w:val="26"/>
              </w:rPr>
              <w:t>BAL-005-1</w:t>
            </w:r>
          </w:p>
          <w:p w14:paraId="4D7824EC" w14:textId="77777777" w:rsidR="00753894" w:rsidRPr="002223ED" w:rsidRDefault="00753894" w:rsidP="008544B1">
            <w:pPr>
              <w:keepNext/>
              <w:keepLines/>
              <w:spacing w:after="120"/>
              <w:rPr>
                <w:szCs w:val="26"/>
              </w:rPr>
            </w:pPr>
            <w:r>
              <w:rPr>
                <w:szCs w:val="26"/>
              </w:rPr>
              <w:t>(FERC-725R)</w:t>
            </w:r>
          </w:p>
        </w:tc>
        <w:tc>
          <w:tcPr>
            <w:tcW w:w="1625" w:type="dxa"/>
            <w:shd w:val="clear" w:color="auto" w:fill="auto"/>
            <w:vAlign w:val="bottom"/>
          </w:tcPr>
          <w:p w14:paraId="4D7824ED" w14:textId="77777777" w:rsidR="00753894" w:rsidRDefault="00753894" w:rsidP="008544B1">
            <w:pPr>
              <w:jc w:val="right"/>
              <w:rPr>
                <w:szCs w:val="26"/>
              </w:rPr>
            </w:pPr>
            <w:r>
              <w:rPr>
                <w:szCs w:val="26"/>
              </w:rPr>
              <w:t>BA</w:t>
            </w:r>
          </w:p>
          <w:p w14:paraId="4D7824EE" w14:textId="77777777" w:rsidR="00753894" w:rsidRPr="002223ED" w:rsidRDefault="00753894" w:rsidP="008544B1">
            <w:pPr>
              <w:jc w:val="right"/>
              <w:rPr>
                <w:szCs w:val="26"/>
              </w:rPr>
            </w:pPr>
            <w:r>
              <w:rPr>
                <w:szCs w:val="26"/>
              </w:rPr>
              <w:t>105</w:t>
            </w:r>
          </w:p>
        </w:tc>
        <w:tc>
          <w:tcPr>
            <w:tcW w:w="1620" w:type="dxa"/>
            <w:shd w:val="clear" w:color="auto" w:fill="auto"/>
            <w:vAlign w:val="bottom"/>
          </w:tcPr>
          <w:p w14:paraId="4D7824EF" w14:textId="77777777" w:rsidR="00753894" w:rsidRPr="002223ED" w:rsidRDefault="00753894" w:rsidP="008544B1">
            <w:pPr>
              <w:jc w:val="right"/>
              <w:rPr>
                <w:szCs w:val="26"/>
              </w:rPr>
            </w:pPr>
            <w:r>
              <w:rPr>
                <w:szCs w:val="26"/>
              </w:rPr>
              <w:t>1</w:t>
            </w:r>
            <w:r w:rsidR="005330F9">
              <w:rPr>
                <w:szCs w:val="26"/>
              </w:rPr>
              <w:t xml:space="preserve"> (one-time)</w:t>
            </w:r>
          </w:p>
        </w:tc>
        <w:tc>
          <w:tcPr>
            <w:tcW w:w="1440" w:type="dxa"/>
            <w:vAlign w:val="bottom"/>
          </w:tcPr>
          <w:p w14:paraId="4D7824F0" w14:textId="77777777" w:rsidR="00753894" w:rsidRPr="002223ED" w:rsidRDefault="00753894" w:rsidP="008544B1">
            <w:pPr>
              <w:jc w:val="right"/>
              <w:rPr>
                <w:szCs w:val="26"/>
              </w:rPr>
            </w:pPr>
            <w:r>
              <w:rPr>
                <w:szCs w:val="26"/>
              </w:rPr>
              <w:t>105</w:t>
            </w:r>
          </w:p>
        </w:tc>
        <w:tc>
          <w:tcPr>
            <w:tcW w:w="1260" w:type="dxa"/>
            <w:shd w:val="clear" w:color="auto" w:fill="auto"/>
            <w:vAlign w:val="bottom"/>
          </w:tcPr>
          <w:p w14:paraId="4D7824F1" w14:textId="77777777" w:rsidR="00753894" w:rsidRDefault="00753894" w:rsidP="008544B1">
            <w:pPr>
              <w:jc w:val="right"/>
              <w:rPr>
                <w:szCs w:val="26"/>
              </w:rPr>
            </w:pPr>
            <w:r>
              <w:rPr>
                <w:szCs w:val="26"/>
              </w:rPr>
              <w:t>1</w:t>
            </w:r>
          </w:p>
          <w:p w14:paraId="4D7824F2" w14:textId="77777777" w:rsidR="00753894" w:rsidRPr="002223ED" w:rsidRDefault="00753894" w:rsidP="008544B1">
            <w:pPr>
              <w:jc w:val="right"/>
              <w:rPr>
                <w:szCs w:val="26"/>
              </w:rPr>
            </w:pPr>
            <w:r>
              <w:rPr>
                <w:szCs w:val="26"/>
              </w:rPr>
              <w:t>$95.35</w:t>
            </w:r>
          </w:p>
        </w:tc>
        <w:tc>
          <w:tcPr>
            <w:tcW w:w="1440" w:type="dxa"/>
            <w:shd w:val="clear" w:color="auto" w:fill="auto"/>
            <w:vAlign w:val="bottom"/>
          </w:tcPr>
          <w:p w14:paraId="4D7824F3" w14:textId="77777777" w:rsidR="00753894" w:rsidRDefault="00753894" w:rsidP="008544B1">
            <w:pPr>
              <w:jc w:val="right"/>
              <w:rPr>
                <w:szCs w:val="26"/>
              </w:rPr>
            </w:pPr>
            <w:r>
              <w:rPr>
                <w:szCs w:val="26"/>
              </w:rPr>
              <w:t>105</w:t>
            </w:r>
          </w:p>
          <w:p w14:paraId="4D7824F4" w14:textId="77777777" w:rsidR="00753894" w:rsidRPr="002223ED" w:rsidRDefault="00753894" w:rsidP="008544B1">
            <w:pPr>
              <w:jc w:val="right"/>
              <w:rPr>
                <w:szCs w:val="26"/>
              </w:rPr>
            </w:pPr>
            <w:r>
              <w:rPr>
                <w:szCs w:val="26"/>
              </w:rPr>
              <w:t>$10,325</w:t>
            </w:r>
          </w:p>
        </w:tc>
      </w:tr>
      <w:tr w:rsidR="00753894" w:rsidRPr="002223ED" w14:paraId="4D7824FF" w14:textId="77777777" w:rsidTr="008544B1">
        <w:trPr>
          <w:cantSplit/>
          <w:trHeight w:val="576"/>
        </w:trPr>
        <w:tc>
          <w:tcPr>
            <w:tcW w:w="2538" w:type="dxa"/>
            <w:shd w:val="clear" w:color="auto" w:fill="auto"/>
            <w:vAlign w:val="center"/>
          </w:tcPr>
          <w:p w14:paraId="4D7824F6" w14:textId="77777777" w:rsidR="00753894" w:rsidRDefault="00753894" w:rsidP="008544B1">
            <w:pPr>
              <w:keepNext/>
              <w:keepLines/>
              <w:spacing w:after="120"/>
              <w:rPr>
                <w:szCs w:val="26"/>
              </w:rPr>
            </w:pPr>
            <w:r>
              <w:rPr>
                <w:szCs w:val="26"/>
              </w:rPr>
              <w:t>FAC-001-3</w:t>
            </w:r>
          </w:p>
          <w:p w14:paraId="4D7824F7" w14:textId="77777777" w:rsidR="00753894" w:rsidRDefault="00753894" w:rsidP="008544B1">
            <w:pPr>
              <w:keepNext/>
              <w:keepLines/>
              <w:spacing w:after="120"/>
              <w:rPr>
                <w:szCs w:val="26"/>
              </w:rPr>
            </w:pPr>
            <w:r>
              <w:rPr>
                <w:szCs w:val="26"/>
              </w:rPr>
              <w:t>R3</w:t>
            </w:r>
          </w:p>
          <w:p w14:paraId="4D7824F8" w14:textId="77777777" w:rsidR="00753894" w:rsidRPr="002223ED" w:rsidRDefault="00753894" w:rsidP="008544B1">
            <w:pPr>
              <w:keepNext/>
              <w:keepLines/>
              <w:spacing w:after="120"/>
              <w:rPr>
                <w:szCs w:val="26"/>
              </w:rPr>
            </w:pPr>
            <w:r>
              <w:rPr>
                <w:szCs w:val="26"/>
              </w:rPr>
              <w:t>(FERC-725D)</w:t>
            </w:r>
          </w:p>
        </w:tc>
        <w:tc>
          <w:tcPr>
            <w:tcW w:w="1625" w:type="dxa"/>
            <w:shd w:val="clear" w:color="auto" w:fill="auto"/>
            <w:vAlign w:val="bottom"/>
          </w:tcPr>
          <w:p w14:paraId="4D7824F9" w14:textId="77777777" w:rsidR="00753894" w:rsidRDefault="00753894" w:rsidP="008544B1">
            <w:pPr>
              <w:jc w:val="right"/>
              <w:rPr>
                <w:szCs w:val="26"/>
              </w:rPr>
            </w:pPr>
            <w:r>
              <w:rPr>
                <w:szCs w:val="26"/>
              </w:rPr>
              <w:t>GO</w:t>
            </w:r>
            <w:r w:rsidR="005330F9">
              <w:rPr>
                <w:szCs w:val="26"/>
              </w:rPr>
              <w:t>/TO</w:t>
            </w:r>
          </w:p>
          <w:p w14:paraId="4D7824FA" w14:textId="77777777" w:rsidR="00753894" w:rsidRPr="002223ED" w:rsidRDefault="005330F9" w:rsidP="008544B1">
            <w:pPr>
              <w:jc w:val="right"/>
              <w:rPr>
                <w:szCs w:val="26"/>
              </w:rPr>
            </w:pPr>
            <w:r>
              <w:rPr>
                <w:szCs w:val="26"/>
              </w:rPr>
              <w:t>198</w:t>
            </w:r>
            <w:r w:rsidR="009A3B88">
              <w:rPr>
                <w:rStyle w:val="FootnoteReference"/>
                <w:szCs w:val="26"/>
              </w:rPr>
              <w:footnoteReference w:id="44"/>
            </w:r>
          </w:p>
        </w:tc>
        <w:tc>
          <w:tcPr>
            <w:tcW w:w="1620" w:type="dxa"/>
            <w:shd w:val="clear" w:color="auto" w:fill="auto"/>
            <w:vAlign w:val="bottom"/>
          </w:tcPr>
          <w:p w14:paraId="4D7824FB" w14:textId="77777777" w:rsidR="00753894" w:rsidRPr="002223ED" w:rsidRDefault="005330F9">
            <w:pPr>
              <w:jc w:val="right"/>
              <w:rPr>
                <w:szCs w:val="26"/>
              </w:rPr>
            </w:pPr>
            <w:r>
              <w:rPr>
                <w:szCs w:val="26"/>
              </w:rPr>
              <w:t>1 (annual)</w:t>
            </w:r>
          </w:p>
        </w:tc>
        <w:tc>
          <w:tcPr>
            <w:tcW w:w="1440" w:type="dxa"/>
            <w:vAlign w:val="bottom"/>
          </w:tcPr>
          <w:p w14:paraId="4D7824FC" w14:textId="77777777" w:rsidR="00753894" w:rsidRPr="002223ED" w:rsidRDefault="005330F9">
            <w:pPr>
              <w:jc w:val="right"/>
              <w:rPr>
                <w:szCs w:val="26"/>
              </w:rPr>
            </w:pPr>
            <w:r>
              <w:rPr>
                <w:szCs w:val="26"/>
              </w:rPr>
              <w:t>198</w:t>
            </w:r>
          </w:p>
        </w:tc>
        <w:tc>
          <w:tcPr>
            <w:tcW w:w="1260" w:type="dxa"/>
            <w:shd w:val="clear" w:color="auto" w:fill="auto"/>
            <w:vAlign w:val="bottom"/>
          </w:tcPr>
          <w:p w14:paraId="4D7824FD" w14:textId="77777777" w:rsidR="00753894" w:rsidRPr="00931594" w:rsidRDefault="005330F9" w:rsidP="009B769B">
            <w:pPr>
              <w:jc w:val="right"/>
              <w:rPr>
                <w:szCs w:val="26"/>
              </w:rPr>
            </w:pPr>
            <w:r w:rsidRPr="00931594">
              <w:rPr>
                <w:szCs w:val="26"/>
              </w:rPr>
              <w:t>1</w:t>
            </w:r>
            <w:r w:rsidRPr="00931594">
              <w:rPr>
                <w:szCs w:val="26"/>
              </w:rPr>
              <w:br/>
              <w:t>$63.25</w:t>
            </w:r>
            <w:r w:rsidRPr="00931594">
              <w:rPr>
                <w:rStyle w:val="FootnoteReference"/>
                <w:szCs w:val="26"/>
              </w:rPr>
              <w:footnoteReference w:id="45"/>
            </w:r>
          </w:p>
        </w:tc>
        <w:tc>
          <w:tcPr>
            <w:tcW w:w="1440" w:type="dxa"/>
            <w:shd w:val="clear" w:color="auto" w:fill="auto"/>
            <w:vAlign w:val="bottom"/>
          </w:tcPr>
          <w:p w14:paraId="4D7824FE" w14:textId="77777777" w:rsidR="00753894" w:rsidRPr="00931594" w:rsidRDefault="005330F9">
            <w:pPr>
              <w:ind w:left="-108"/>
              <w:jc w:val="right"/>
              <w:rPr>
                <w:szCs w:val="26"/>
              </w:rPr>
            </w:pPr>
            <w:r w:rsidRPr="00931594">
              <w:rPr>
                <w:szCs w:val="26"/>
              </w:rPr>
              <w:t>$12,523.50</w:t>
            </w:r>
          </w:p>
        </w:tc>
      </w:tr>
      <w:tr w:rsidR="00753894" w:rsidRPr="002223ED" w14:paraId="4D782509" w14:textId="77777777" w:rsidTr="008544B1">
        <w:trPr>
          <w:cantSplit/>
          <w:trHeight w:val="864"/>
        </w:trPr>
        <w:tc>
          <w:tcPr>
            <w:tcW w:w="2538" w:type="dxa"/>
            <w:shd w:val="clear" w:color="auto" w:fill="auto"/>
            <w:vAlign w:val="center"/>
          </w:tcPr>
          <w:p w14:paraId="4D782500" w14:textId="77777777" w:rsidR="00753894" w:rsidRPr="002223ED" w:rsidRDefault="00753894" w:rsidP="008544B1">
            <w:pPr>
              <w:keepNext/>
              <w:keepLines/>
              <w:spacing w:after="120"/>
              <w:rPr>
                <w:szCs w:val="26"/>
              </w:rPr>
            </w:pPr>
            <w:r>
              <w:rPr>
                <w:szCs w:val="26"/>
              </w:rPr>
              <w:lastRenderedPageBreak/>
              <w:t>Retirement of current standard BAL-006-02 currently in (FERC-725R)</w:t>
            </w:r>
          </w:p>
        </w:tc>
        <w:tc>
          <w:tcPr>
            <w:tcW w:w="1625" w:type="dxa"/>
            <w:shd w:val="clear" w:color="auto" w:fill="auto"/>
            <w:vAlign w:val="bottom"/>
          </w:tcPr>
          <w:p w14:paraId="4D782501" w14:textId="77777777" w:rsidR="00753894" w:rsidRDefault="00753894" w:rsidP="008544B1">
            <w:pPr>
              <w:jc w:val="right"/>
              <w:rPr>
                <w:szCs w:val="26"/>
              </w:rPr>
            </w:pPr>
            <w:r>
              <w:rPr>
                <w:szCs w:val="26"/>
              </w:rPr>
              <w:t>BA</w:t>
            </w:r>
          </w:p>
          <w:p w14:paraId="4D782502" w14:textId="77777777" w:rsidR="00753894" w:rsidRPr="002223ED" w:rsidRDefault="00753894" w:rsidP="008544B1">
            <w:pPr>
              <w:jc w:val="right"/>
              <w:rPr>
                <w:szCs w:val="26"/>
              </w:rPr>
            </w:pPr>
            <w:r>
              <w:rPr>
                <w:szCs w:val="26"/>
              </w:rPr>
              <w:t>105</w:t>
            </w:r>
          </w:p>
        </w:tc>
        <w:tc>
          <w:tcPr>
            <w:tcW w:w="1620" w:type="dxa"/>
            <w:shd w:val="clear" w:color="auto" w:fill="auto"/>
            <w:vAlign w:val="bottom"/>
          </w:tcPr>
          <w:p w14:paraId="4D782503" w14:textId="77777777" w:rsidR="00753894" w:rsidRPr="002223ED" w:rsidRDefault="005330F9" w:rsidP="008544B1">
            <w:pPr>
              <w:jc w:val="right"/>
              <w:rPr>
                <w:szCs w:val="26"/>
              </w:rPr>
            </w:pPr>
            <w:r>
              <w:rPr>
                <w:szCs w:val="26"/>
              </w:rPr>
              <w:t>-</w:t>
            </w:r>
            <w:r w:rsidR="00753894">
              <w:rPr>
                <w:szCs w:val="26"/>
              </w:rPr>
              <w:t>1</w:t>
            </w:r>
            <w:r w:rsidR="006C75B0">
              <w:rPr>
                <w:szCs w:val="26"/>
              </w:rPr>
              <w:t xml:space="preserve"> (annual)</w:t>
            </w:r>
          </w:p>
        </w:tc>
        <w:tc>
          <w:tcPr>
            <w:tcW w:w="1440" w:type="dxa"/>
            <w:vAlign w:val="bottom"/>
          </w:tcPr>
          <w:p w14:paraId="4D782504" w14:textId="77777777" w:rsidR="00753894" w:rsidRPr="002223ED" w:rsidRDefault="005330F9" w:rsidP="008544B1">
            <w:pPr>
              <w:jc w:val="right"/>
              <w:rPr>
                <w:szCs w:val="26"/>
              </w:rPr>
            </w:pPr>
            <w:r>
              <w:rPr>
                <w:szCs w:val="26"/>
              </w:rPr>
              <w:t>-</w:t>
            </w:r>
            <w:r w:rsidR="00753894">
              <w:rPr>
                <w:szCs w:val="26"/>
              </w:rPr>
              <w:t>105</w:t>
            </w:r>
          </w:p>
        </w:tc>
        <w:tc>
          <w:tcPr>
            <w:tcW w:w="1260" w:type="dxa"/>
            <w:shd w:val="clear" w:color="auto" w:fill="auto"/>
            <w:vAlign w:val="bottom"/>
          </w:tcPr>
          <w:p w14:paraId="4D782505" w14:textId="77777777" w:rsidR="00753894" w:rsidRDefault="005330F9" w:rsidP="008544B1">
            <w:pPr>
              <w:jc w:val="right"/>
              <w:rPr>
                <w:szCs w:val="26"/>
              </w:rPr>
            </w:pPr>
            <w:r>
              <w:rPr>
                <w:szCs w:val="26"/>
              </w:rPr>
              <w:t>-</w:t>
            </w:r>
            <w:r w:rsidR="00753894">
              <w:rPr>
                <w:szCs w:val="26"/>
              </w:rPr>
              <w:t>1</w:t>
            </w:r>
          </w:p>
          <w:p w14:paraId="4D782506" w14:textId="77777777" w:rsidR="00753894" w:rsidRPr="002223ED" w:rsidRDefault="005330F9" w:rsidP="008544B1">
            <w:pPr>
              <w:jc w:val="right"/>
              <w:rPr>
                <w:szCs w:val="26"/>
              </w:rPr>
            </w:pPr>
            <w:r>
              <w:rPr>
                <w:szCs w:val="26"/>
              </w:rPr>
              <w:t>-</w:t>
            </w:r>
            <w:r w:rsidR="00753894">
              <w:rPr>
                <w:szCs w:val="26"/>
              </w:rPr>
              <w:t>$31.15</w:t>
            </w:r>
          </w:p>
        </w:tc>
        <w:tc>
          <w:tcPr>
            <w:tcW w:w="1440" w:type="dxa"/>
            <w:shd w:val="clear" w:color="auto" w:fill="auto"/>
            <w:vAlign w:val="bottom"/>
          </w:tcPr>
          <w:p w14:paraId="4D782507" w14:textId="77777777" w:rsidR="00753894" w:rsidRDefault="00753894" w:rsidP="008544B1">
            <w:pPr>
              <w:ind w:left="-108"/>
              <w:jc w:val="right"/>
              <w:rPr>
                <w:szCs w:val="26"/>
              </w:rPr>
            </w:pPr>
            <w:r>
              <w:rPr>
                <w:szCs w:val="26"/>
              </w:rPr>
              <w:t>105</w:t>
            </w:r>
          </w:p>
          <w:p w14:paraId="4D782508" w14:textId="77777777" w:rsidR="00753894" w:rsidRPr="002223ED" w:rsidRDefault="005330F9" w:rsidP="008544B1">
            <w:pPr>
              <w:ind w:left="-108"/>
              <w:jc w:val="right"/>
              <w:rPr>
                <w:szCs w:val="26"/>
              </w:rPr>
            </w:pPr>
            <w:r>
              <w:rPr>
                <w:szCs w:val="26"/>
              </w:rPr>
              <w:t>-</w:t>
            </w:r>
            <w:r w:rsidR="00753894">
              <w:rPr>
                <w:szCs w:val="26"/>
              </w:rPr>
              <w:t>$3</w:t>
            </w:r>
            <w:r>
              <w:rPr>
                <w:szCs w:val="26"/>
              </w:rPr>
              <w:t>,</w:t>
            </w:r>
            <w:r w:rsidR="00753894">
              <w:rPr>
                <w:szCs w:val="26"/>
              </w:rPr>
              <w:t>270.75</w:t>
            </w:r>
          </w:p>
        </w:tc>
      </w:tr>
      <w:tr w:rsidR="00753894" w14:paraId="4D78250D" w14:textId="77777777" w:rsidTr="008544B1">
        <w:trPr>
          <w:cantSplit/>
          <w:trHeight w:val="864"/>
        </w:trPr>
        <w:tc>
          <w:tcPr>
            <w:tcW w:w="2538" w:type="dxa"/>
            <w:shd w:val="clear" w:color="auto" w:fill="auto"/>
            <w:vAlign w:val="center"/>
          </w:tcPr>
          <w:p w14:paraId="4D78250A" w14:textId="77777777" w:rsidR="00753894" w:rsidRDefault="00753894" w:rsidP="008544B1">
            <w:pPr>
              <w:keepNext/>
              <w:keepLines/>
              <w:spacing w:after="120"/>
              <w:rPr>
                <w:szCs w:val="26"/>
              </w:rPr>
            </w:pPr>
            <w:r>
              <w:rPr>
                <w:szCs w:val="26"/>
              </w:rPr>
              <w:t>TOTAL</w:t>
            </w:r>
          </w:p>
        </w:tc>
        <w:tc>
          <w:tcPr>
            <w:tcW w:w="5945" w:type="dxa"/>
            <w:gridSpan w:val="4"/>
            <w:shd w:val="clear" w:color="auto" w:fill="D9D9D9" w:themeFill="background1" w:themeFillShade="D9"/>
            <w:vAlign w:val="bottom"/>
          </w:tcPr>
          <w:p w14:paraId="4D78250B" w14:textId="77777777" w:rsidR="00753894" w:rsidRDefault="00753894" w:rsidP="008544B1">
            <w:pPr>
              <w:jc w:val="right"/>
              <w:rPr>
                <w:szCs w:val="26"/>
              </w:rPr>
            </w:pPr>
          </w:p>
        </w:tc>
        <w:tc>
          <w:tcPr>
            <w:tcW w:w="1440" w:type="dxa"/>
            <w:shd w:val="clear" w:color="auto" w:fill="auto"/>
            <w:vAlign w:val="bottom"/>
          </w:tcPr>
          <w:p w14:paraId="4D78250C" w14:textId="77777777" w:rsidR="00753894" w:rsidRDefault="00753894">
            <w:pPr>
              <w:ind w:left="-108"/>
              <w:jc w:val="right"/>
              <w:rPr>
                <w:szCs w:val="26"/>
              </w:rPr>
            </w:pPr>
            <w:r>
              <w:rPr>
                <w:szCs w:val="26"/>
              </w:rPr>
              <w:t>$1</w:t>
            </w:r>
            <w:r w:rsidR="00E63DE8">
              <w:rPr>
                <w:szCs w:val="26"/>
              </w:rPr>
              <w:t>9,577.75</w:t>
            </w:r>
          </w:p>
        </w:tc>
      </w:tr>
    </w:tbl>
    <w:p w14:paraId="4D78250E" w14:textId="77777777" w:rsidR="00753894" w:rsidRPr="00BB7BEB" w:rsidRDefault="00753894" w:rsidP="00753894">
      <w:pPr>
        <w:pStyle w:val="FERCparanumber"/>
        <w:numPr>
          <w:ilvl w:val="0"/>
          <w:numId w:val="0"/>
        </w:numPr>
      </w:pPr>
    </w:p>
    <w:p w14:paraId="4D78250F" w14:textId="77777777" w:rsidR="00753894" w:rsidRPr="002B1F46" w:rsidRDefault="00753894" w:rsidP="00753894">
      <w:pPr>
        <w:pStyle w:val="FERCparanumber"/>
        <w:numPr>
          <w:ilvl w:val="0"/>
          <w:numId w:val="0"/>
        </w:numPr>
        <w:tabs>
          <w:tab w:val="left" w:pos="720"/>
        </w:tabs>
      </w:pPr>
      <w:r w:rsidRPr="002B1F46">
        <w:rPr>
          <w:u w:val="single"/>
        </w:rPr>
        <w:t>Title</w:t>
      </w:r>
      <w:r w:rsidRPr="002B1F46">
        <w:t>:  FERC-</w:t>
      </w:r>
      <w:r>
        <w:t xml:space="preserve">725D, </w:t>
      </w:r>
      <w:r w:rsidRPr="00515D36">
        <w:t xml:space="preserve">Mandatory Reliability Standards: </w:t>
      </w:r>
      <w:r w:rsidR="001B4D60">
        <w:t xml:space="preserve"> </w:t>
      </w:r>
      <w:r>
        <w:t xml:space="preserve">FAC </w:t>
      </w:r>
      <w:r w:rsidRPr="00515D36">
        <w:t>Reliability Standard</w:t>
      </w:r>
      <w:r>
        <w:t>s; FERC-725R, Mandatory Reliability Standards: BAL Reliability Standards</w:t>
      </w:r>
    </w:p>
    <w:p w14:paraId="4D782510" w14:textId="77777777" w:rsidR="00753894" w:rsidRPr="002B1F46" w:rsidRDefault="00753894" w:rsidP="00753894">
      <w:pPr>
        <w:pStyle w:val="LegalFormat"/>
        <w:tabs>
          <w:tab w:val="left" w:pos="720"/>
        </w:tabs>
        <w:spacing w:line="480" w:lineRule="auto"/>
        <w:ind w:left="0" w:firstLine="0"/>
      </w:pPr>
      <w:r w:rsidRPr="002B1F46">
        <w:rPr>
          <w:u w:val="single"/>
        </w:rPr>
        <w:t>Action</w:t>
      </w:r>
      <w:r>
        <w:t>:  Proposed Revisions.</w:t>
      </w:r>
    </w:p>
    <w:p w14:paraId="4D782511" w14:textId="77777777" w:rsidR="00753894" w:rsidRPr="002B1F46" w:rsidRDefault="00753894" w:rsidP="00753894">
      <w:pPr>
        <w:pStyle w:val="LegalFormat"/>
        <w:tabs>
          <w:tab w:val="left" w:pos="720"/>
        </w:tabs>
        <w:spacing w:line="480" w:lineRule="auto"/>
        <w:ind w:left="0" w:firstLine="0"/>
      </w:pPr>
      <w:r w:rsidRPr="002B1F46">
        <w:rPr>
          <w:u w:val="single"/>
        </w:rPr>
        <w:t>OMB Control No</w:t>
      </w:r>
      <w:r w:rsidRPr="002B1F46">
        <w:t xml:space="preserve">:  </w:t>
      </w:r>
      <w:r>
        <w:t>1902-0247 (FERC-725D); 1902-0268 (FERC-725R).</w:t>
      </w:r>
    </w:p>
    <w:p w14:paraId="4D782512" w14:textId="77777777" w:rsidR="00753894" w:rsidRPr="002B1F46" w:rsidRDefault="00753894" w:rsidP="00753894">
      <w:pPr>
        <w:pStyle w:val="LegalFormat"/>
        <w:tabs>
          <w:tab w:val="left" w:pos="720"/>
        </w:tabs>
        <w:spacing w:line="480" w:lineRule="auto"/>
        <w:ind w:left="0" w:firstLine="0"/>
      </w:pPr>
      <w:r w:rsidRPr="002B1F46">
        <w:rPr>
          <w:u w:val="single"/>
        </w:rPr>
        <w:t>Respondents</w:t>
      </w:r>
      <w:r w:rsidRPr="002B1F46">
        <w:t>:  Business or other for-profit and not-for-profit institutions.</w:t>
      </w:r>
    </w:p>
    <w:p w14:paraId="4D782513" w14:textId="77777777" w:rsidR="00753894" w:rsidRPr="002B1F46" w:rsidRDefault="00753894" w:rsidP="00753894">
      <w:pPr>
        <w:pStyle w:val="LegalFormat"/>
        <w:tabs>
          <w:tab w:val="left" w:pos="720"/>
        </w:tabs>
        <w:spacing w:line="480" w:lineRule="auto"/>
        <w:ind w:left="0" w:firstLine="0"/>
      </w:pPr>
      <w:r w:rsidRPr="002B1F46">
        <w:rPr>
          <w:u w:val="single"/>
        </w:rPr>
        <w:t>Frequency of Responses</w:t>
      </w:r>
      <w:r>
        <w:t>:  On-going</w:t>
      </w:r>
      <w:r w:rsidRPr="002B1F46">
        <w:t xml:space="preserve">. </w:t>
      </w:r>
    </w:p>
    <w:p w14:paraId="4D782514" w14:textId="77777777" w:rsidR="00753894" w:rsidRPr="002B1F46" w:rsidRDefault="00753894" w:rsidP="00753894">
      <w:pPr>
        <w:pStyle w:val="LegalFormat"/>
        <w:tabs>
          <w:tab w:val="left" w:pos="720"/>
        </w:tabs>
        <w:spacing w:line="480" w:lineRule="auto"/>
        <w:ind w:left="0" w:firstLine="0"/>
      </w:pPr>
      <w:r w:rsidRPr="002B1F46">
        <w:rPr>
          <w:u w:val="single"/>
        </w:rPr>
        <w:t>Necessity of the Information</w:t>
      </w:r>
      <w:r w:rsidRPr="002B1F46">
        <w:t xml:space="preserve">:  The Commission has reviewed </w:t>
      </w:r>
      <w:r>
        <w:t xml:space="preserve">the requirements of </w:t>
      </w:r>
      <w:r w:rsidR="003C638D">
        <w:t xml:space="preserve">Reliability Standards BAL-005-1 and FAC-001-3 </w:t>
      </w:r>
      <w:r w:rsidRPr="002B1F46">
        <w:t xml:space="preserve">and </w:t>
      </w:r>
      <w:r>
        <w:t xml:space="preserve">has </w:t>
      </w:r>
      <w:r w:rsidRPr="002B1F46">
        <w:t xml:space="preserve">made a determination that </w:t>
      </w:r>
      <w:r>
        <w:t>the requirements</w:t>
      </w:r>
      <w:r w:rsidRPr="002B1F46">
        <w:t xml:space="preserve"> of th</w:t>
      </w:r>
      <w:r w:rsidR="006C75B0">
        <w:t xml:space="preserve">ese </w:t>
      </w:r>
      <w:r>
        <w:t>Reliability S</w:t>
      </w:r>
      <w:r w:rsidRPr="002B1F46">
        <w:t>tandard</w:t>
      </w:r>
      <w:r w:rsidR="003C638D">
        <w:t>s</w:t>
      </w:r>
      <w:r w:rsidRPr="002B1F46">
        <w:t xml:space="preserve"> </w:t>
      </w:r>
      <w:r>
        <w:t>are</w:t>
      </w:r>
      <w:r w:rsidRPr="002B1F46">
        <w:t xml:space="preserve"> necessary to im</w:t>
      </w:r>
      <w:r>
        <w:t>plement section 215 of the FPA.</w:t>
      </w:r>
    </w:p>
    <w:p w14:paraId="4D782515" w14:textId="77777777" w:rsidR="000264D1" w:rsidRPr="00353406" w:rsidRDefault="000264D1" w:rsidP="00656F15">
      <w:pPr>
        <w:pStyle w:val="FERCparanumber"/>
        <w:numPr>
          <w:ilvl w:val="0"/>
          <w:numId w:val="0"/>
        </w:numPr>
      </w:pPr>
      <w:r w:rsidRPr="00353406">
        <w:rPr>
          <w:u w:val="single"/>
        </w:rPr>
        <w:t>Internal Review</w:t>
      </w:r>
      <w:r w:rsidRPr="00353406">
        <w:t>:  The Commission reviewed the proposed Reliability Standard</w:t>
      </w:r>
      <w:r w:rsidR="00DF71B3">
        <w:t>s</w:t>
      </w:r>
      <w:r w:rsidRPr="00353406">
        <w:t xml:space="preserve"> and made a determination that its action is necessary to implement section 215 of the FPA.  </w:t>
      </w:r>
      <w:r w:rsidR="00DF71B3" w:rsidRPr="002B1F46">
        <w:lastRenderedPageBreak/>
        <w:t>The Commission has assured itself, by means of its internal review, that there is specific, objective support for the burden estimates associated with the information requirements.</w:t>
      </w:r>
    </w:p>
    <w:p w14:paraId="4D782516" w14:textId="77777777" w:rsidR="000264D1" w:rsidRPr="00353406" w:rsidRDefault="000264D1" w:rsidP="00656F15">
      <w:pPr>
        <w:pStyle w:val="FERCparanumber"/>
      </w:pPr>
      <w:r w:rsidRPr="00353406">
        <w:t>Interested persons may obtain information on the reporting requirements by contacting the following:  Federal Energy Regulatory Commission, 888 First Street, NE Washington, DC  20426 [Attention:  Ellen Brown, Office of the Executive Director,</w:t>
      </w:r>
      <w:r w:rsidR="00FC0C04" w:rsidRPr="00353406">
        <w:t xml:space="preserve"> </w:t>
      </w:r>
      <w:r w:rsidRPr="00353406">
        <w:t>e-mail:  DataClearance@ferc.gov, phone:  (202) 502-8663, fax:  (202) 273-0873].</w:t>
      </w:r>
      <w:r w:rsidR="00801A65">
        <w:t xml:space="preserve">  </w:t>
      </w:r>
    </w:p>
    <w:p w14:paraId="4D782517" w14:textId="77777777" w:rsidR="000264D1" w:rsidRPr="00353406" w:rsidRDefault="000264D1" w:rsidP="00656F15">
      <w:pPr>
        <w:pStyle w:val="FERCparanumber"/>
      </w:pPr>
      <w:r w:rsidRPr="00353406">
        <w:t>For submitting comments concerning the collection(s) of information and the associated burden estimate(s), please send your comments to the Commission and to the Office of Management and Budget, Office of Information and Regulatory Affairs, Washington, DC  20503 [Attention:  Desk Officer for the Federal Energy Regulatory Commission, phone:  (202) 395-4638, fax:  (202) 395-7285].  For security reasons, comments to OMB should be submitted by e-mail to:  oira_submission@omb.eop.gov.  Comments submitted to OMB should include FERC-725R and Docket Number RM</w:t>
      </w:r>
      <w:r w:rsidR="00931594">
        <w:t>16-13</w:t>
      </w:r>
      <w:r w:rsidRPr="00353406">
        <w:t>-000.</w:t>
      </w:r>
    </w:p>
    <w:p w14:paraId="4D782518" w14:textId="77777777" w:rsidR="000264D1" w:rsidRPr="00353406" w:rsidRDefault="000264D1" w:rsidP="000264D1">
      <w:pPr>
        <w:pStyle w:val="Heading1"/>
        <w:rPr>
          <w:szCs w:val="26"/>
        </w:rPr>
      </w:pPr>
      <w:r w:rsidRPr="00353406">
        <w:rPr>
          <w:szCs w:val="26"/>
        </w:rPr>
        <w:t>Environmental Analysis</w:t>
      </w:r>
    </w:p>
    <w:p w14:paraId="4D782519" w14:textId="77777777" w:rsidR="000264D1" w:rsidRPr="00353406" w:rsidRDefault="000264D1" w:rsidP="00656F15">
      <w:pPr>
        <w:pStyle w:val="FERCparanumber"/>
      </w:pPr>
      <w:r w:rsidRPr="00353406">
        <w:t>The Commission is required to prepare an Environmental Assessment or an Environmental Impact Statement for any action that may have a significant adverse effect on the human environment.</w:t>
      </w:r>
      <w:r w:rsidRPr="00353406">
        <w:rPr>
          <w:rStyle w:val="FootnoteReference"/>
        </w:rPr>
        <w:footnoteReference w:id="46"/>
      </w:r>
      <w:r w:rsidRPr="00353406">
        <w:t xml:space="preserve">  The Commission has categorically excluded certain actions from this requirement as not having a significant effect on the human environment.  </w:t>
      </w:r>
      <w:r w:rsidRPr="00353406">
        <w:lastRenderedPageBreak/>
        <w:t>Included in the exclusion are rules that are clarifying, corrective, or procedural or that do</w:t>
      </w:r>
      <w:r w:rsidR="00210939" w:rsidRPr="00353406">
        <w:t xml:space="preserve"> </w:t>
      </w:r>
      <w:r w:rsidRPr="00353406">
        <w:t>not substantially change the effect of the regulations being amended.</w:t>
      </w:r>
      <w:r w:rsidRPr="00353406">
        <w:rPr>
          <w:rStyle w:val="FootnoteReference"/>
        </w:rPr>
        <w:footnoteReference w:id="47"/>
      </w:r>
      <w:r w:rsidRPr="00353406">
        <w:t xml:space="preserve">  The actions proposed here fall within this categorical exclusion in the Commission’s regulations.</w:t>
      </w:r>
    </w:p>
    <w:p w14:paraId="4D78251A" w14:textId="77777777" w:rsidR="000264D1" w:rsidRPr="00353406" w:rsidRDefault="000264D1" w:rsidP="000264D1">
      <w:pPr>
        <w:pStyle w:val="Heading1"/>
        <w:rPr>
          <w:szCs w:val="26"/>
        </w:rPr>
      </w:pPr>
      <w:r w:rsidRPr="00353406">
        <w:rPr>
          <w:szCs w:val="26"/>
        </w:rPr>
        <w:t>Regulatory Flexibility Act Certification</w:t>
      </w:r>
    </w:p>
    <w:p w14:paraId="4D78251B" w14:textId="77777777" w:rsidR="00E63DE8" w:rsidRPr="00344A16" w:rsidRDefault="000264D1" w:rsidP="00E63DE8">
      <w:pPr>
        <w:pStyle w:val="FERCparanumber"/>
      </w:pPr>
      <w:r w:rsidRPr="00353406">
        <w:t>The Regulatory Flexibility Act of 1980 (RFA)</w:t>
      </w:r>
      <w:r w:rsidRPr="00353406">
        <w:rPr>
          <w:rStyle w:val="FootnoteReference"/>
        </w:rPr>
        <w:footnoteReference w:id="48"/>
      </w:r>
      <w:r w:rsidRPr="00353406">
        <w:t xml:space="preserve"> generally requires a description and analysis of proposed rules that will have significant economic impact on a substantial number of small entities.  </w:t>
      </w:r>
      <w:r w:rsidR="00E63DE8" w:rsidRPr="00344A16">
        <w:t>The RFA does not mandate any particular outcome in a rulemaking.  It only requires consideration of alternatives that are less burdensome to small entities and an agency explanation of why alternatives were rejected.</w:t>
      </w:r>
      <w:r w:rsidR="00E63DE8">
        <w:t xml:space="preserve">  </w:t>
      </w:r>
      <w:r w:rsidR="00801A65">
        <w:t xml:space="preserve">The Small Business </w:t>
      </w:r>
      <w:r w:rsidR="000F31B8">
        <w:t>Administration</w:t>
      </w:r>
      <w:r w:rsidR="00801A65">
        <w:t xml:space="preserve"> (SBA) revised its size standard effective January 22, 2</w:t>
      </w:r>
      <w:r w:rsidR="00E63DE8">
        <w:t>0</w:t>
      </w:r>
      <w:r w:rsidR="00801A65">
        <w:t xml:space="preserve">14 for electric utilities from a standard based on megawatt hours to a standard based on the number of employees, including affiliates. </w:t>
      </w:r>
      <w:r w:rsidR="00E63DE8">
        <w:t xml:space="preserve"> </w:t>
      </w:r>
      <w:r w:rsidR="00E63DE8" w:rsidRPr="00344A16">
        <w:t xml:space="preserve">Under SBA’s size standards, some </w:t>
      </w:r>
      <w:r w:rsidR="00E63DE8">
        <w:t>balancing authorities, generation owners</w:t>
      </w:r>
      <w:r w:rsidR="006C75B0">
        <w:t>,</w:t>
      </w:r>
      <w:r w:rsidR="00E63DE8">
        <w:t xml:space="preserve"> and </w:t>
      </w:r>
      <w:r w:rsidR="00E63DE8" w:rsidRPr="005C7E8C">
        <w:t>transmission owners</w:t>
      </w:r>
      <w:r w:rsidR="00E63DE8" w:rsidRPr="00344A16">
        <w:t xml:space="preserve"> will fall under the following category and associated size threshold: </w:t>
      </w:r>
      <w:r w:rsidR="001B4D60">
        <w:t xml:space="preserve"> </w:t>
      </w:r>
      <w:r w:rsidR="00E63DE8" w:rsidRPr="00344A16">
        <w:t>electric bulk power transmission and control, at 500 employees.</w:t>
      </w:r>
      <w:r w:rsidR="00E63DE8" w:rsidRPr="00344A16">
        <w:rPr>
          <w:b/>
          <w:vertAlign w:val="superscript"/>
        </w:rPr>
        <w:footnoteReference w:id="49"/>
      </w:r>
      <w:r w:rsidR="00E63DE8" w:rsidRPr="00344A16">
        <w:t xml:space="preserve">  </w:t>
      </w:r>
    </w:p>
    <w:p w14:paraId="4D78251C" w14:textId="77777777" w:rsidR="006C75B0" w:rsidRDefault="00E63DE8" w:rsidP="00656F15">
      <w:pPr>
        <w:pStyle w:val="FERCparanumber"/>
      </w:pPr>
      <w:r>
        <w:t xml:space="preserve">As noted above, the Commission estimates a very limited, one-time increase in record-keeping and reporting burden </w:t>
      </w:r>
      <w:r w:rsidR="00520827">
        <w:t>on balancing authorities d</w:t>
      </w:r>
      <w:r>
        <w:t xml:space="preserve">ue to the changes in the </w:t>
      </w:r>
      <w:r>
        <w:lastRenderedPageBreak/>
        <w:t>revised Reliability Standards, with no other increase in the cost of compliance</w:t>
      </w:r>
      <w:r w:rsidR="00520827">
        <w:t xml:space="preserve">.  Approximately 24 of the 105 balancing authorities </w:t>
      </w:r>
      <w:r w:rsidR="006C75B0">
        <w:t xml:space="preserve">are expected to </w:t>
      </w:r>
      <w:r w:rsidR="00520827">
        <w:t>meet the S</w:t>
      </w:r>
      <w:r w:rsidR="006C75B0">
        <w:t>B</w:t>
      </w:r>
      <w:r w:rsidR="00520827">
        <w:t xml:space="preserve">A’s definition for a small entity.  In addition, approximately 198 entities will be subject to new record-keeping and reporting requirements under revised Reliability Standard FAC-001-3, with no other increase in the cost of compliance.  Approximately </w:t>
      </w:r>
      <w:r w:rsidR="008E2FC8">
        <w:t xml:space="preserve">177 </w:t>
      </w:r>
      <w:r w:rsidR="00520827">
        <w:t xml:space="preserve">of these entities are expected to meet the SBA’s definition of a small entity.  </w:t>
      </w:r>
    </w:p>
    <w:p w14:paraId="4D78251D" w14:textId="77777777" w:rsidR="006C75B0" w:rsidRDefault="00520827" w:rsidP="00656F15">
      <w:pPr>
        <w:pStyle w:val="FERCparanumber"/>
      </w:pPr>
      <w:r>
        <w:t xml:space="preserve">Even assuming that the one-time cost of compliance for administering the change from </w:t>
      </w:r>
      <w:r w:rsidR="006C75B0">
        <w:t xml:space="preserve">Reliability Standard </w:t>
      </w:r>
      <w:r>
        <w:t>BAL-005-0.2b to BAL-005-1 is an annual cost, and assuming that all of the affected entities qualify as small entities, the total annual cost to the industry as a whole is minimal ($19,577.75)</w:t>
      </w:r>
      <w:r w:rsidR="006C75B0">
        <w:t>,</w:t>
      </w:r>
      <w:r>
        <w:t xml:space="preserve"> and the average cost per affected entity is $63.23.  </w:t>
      </w:r>
    </w:p>
    <w:p w14:paraId="4D78251E" w14:textId="77777777" w:rsidR="00801A65" w:rsidRDefault="00E63DE8" w:rsidP="00656F15">
      <w:pPr>
        <w:pStyle w:val="FERCparanumber"/>
      </w:pPr>
      <w:r w:rsidRPr="001C4918">
        <w:t>According to SBA guidance, the determination of significance of impact “should be seen as relative to the size of the business, the size of the competitor’s business, and the impact the regulation has on larger competitors.”</w:t>
      </w:r>
      <w:r w:rsidRPr="001C4918">
        <w:rPr>
          <w:b/>
          <w:vertAlign w:val="superscript"/>
        </w:rPr>
        <w:footnoteReference w:id="50"/>
      </w:r>
      <w:r w:rsidRPr="001C4918">
        <w:t xml:space="preserve">  The Commission does not consider the estimated burden </w:t>
      </w:r>
      <w:r w:rsidR="008F0949">
        <w:t xml:space="preserve">to </w:t>
      </w:r>
      <w:r w:rsidRPr="001C4918">
        <w:t>be a significant economic impact.  As a result, the Commission certifies that the reforms proposed in this NOPR would not have a significant economic impact on a substantial number of small entities.</w:t>
      </w:r>
    </w:p>
    <w:p w14:paraId="4D78251F" w14:textId="77777777" w:rsidR="000264D1" w:rsidRPr="00353406" w:rsidRDefault="000264D1" w:rsidP="000264D1">
      <w:pPr>
        <w:pStyle w:val="Heading1"/>
        <w:rPr>
          <w:szCs w:val="26"/>
        </w:rPr>
      </w:pPr>
      <w:r w:rsidRPr="00353406">
        <w:rPr>
          <w:szCs w:val="26"/>
        </w:rPr>
        <w:lastRenderedPageBreak/>
        <w:t>Comment Procedures</w:t>
      </w:r>
    </w:p>
    <w:p w14:paraId="4D782520" w14:textId="77777777" w:rsidR="000264D1" w:rsidRPr="00353406" w:rsidRDefault="000264D1" w:rsidP="00656F15">
      <w:pPr>
        <w:pStyle w:val="FERCparanumber"/>
      </w:pPr>
      <w:r w:rsidRPr="00353406">
        <w:t xml:space="preserve">The Commission invites interested persons to submit comments on the matters and issues proposed in this notice to be adopted, including any related matters or alternative proposals that commenters may wish to discuss.  Comments are due [INSERT DATE </w:t>
      </w:r>
      <w:r w:rsidR="00CE347F" w:rsidRPr="00353406">
        <w:t xml:space="preserve">   </w:t>
      </w:r>
      <w:r w:rsidRPr="00353406">
        <w:t xml:space="preserve">60 days after publication in the </w:t>
      </w:r>
      <w:r w:rsidRPr="00353406">
        <w:rPr>
          <w:b/>
        </w:rPr>
        <w:t>FEDERAL REGISTER</w:t>
      </w:r>
      <w:r w:rsidRPr="00353406">
        <w:t>].  Comments must refer to Docket No. RM1</w:t>
      </w:r>
      <w:r w:rsidR="00436B56">
        <w:t>6</w:t>
      </w:r>
      <w:r w:rsidR="00607F7F">
        <w:t>-</w:t>
      </w:r>
      <w:r w:rsidR="00436B56">
        <w:t>13</w:t>
      </w:r>
      <w:r w:rsidRPr="00353406">
        <w:t>-000, and must include the commenter's name, the organization they represent, if applicable, and their address in their comments.</w:t>
      </w:r>
    </w:p>
    <w:p w14:paraId="4D782521" w14:textId="77777777" w:rsidR="000264D1" w:rsidRPr="00353406" w:rsidRDefault="000264D1" w:rsidP="00656F15">
      <w:pPr>
        <w:pStyle w:val="FERCparanumber"/>
      </w:pPr>
      <w:r w:rsidRPr="00353406">
        <w:t xml:space="preserve">The Commission encourages comments to be filed electronically via the eFiling link on the Commission's web site at </w:t>
      </w:r>
      <w:hyperlink r:id="rId16" w:history="1">
        <w:r w:rsidRPr="00353406">
          <w:rPr>
            <w:rStyle w:val="Hyperlink"/>
            <w:color w:val="auto"/>
            <w:u w:val="none"/>
          </w:rPr>
          <w:t>http://www.ferc.gov</w:t>
        </w:r>
      </w:hyperlink>
      <w:r w:rsidRPr="00353406">
        <w:t>.  The Commission accepts most standard word processing formats.  Documents created electronically using word processing software should be filed in native applications or print-to-PDF format and not in a scanned format.  Commenters filing electronically do not need to make a paper filing.</w:t>
      </w:r>
    </w:p>
    <w:p w14:paraId="4D782522" w14:textId="77777777" w:rsidR="000264D1" w:rsidRPr="00353406" w:rsidRDefault="000264D1" w:rsidP="00656F15">
      <w:pPr>
        <w:pStyle w:val="FERCparanumber"/>
      </w:pPr>
      <w:r w:rsidRPr="00353406">
        <w:t xml:space="preserve">Commenters that are not able to file comments electronically must send an original of their comments to: </w:t>
      </w:r>
      <w:r w:rsidR="00AE0413" w:rsidRPr="00353406">
        <w:t xml:space="preserve"> </w:t>
      </w:r>
      <w:r w:rsidRPr="00353406">
        <w:t>Federal Energy Regulatory Commission, Secretary of the Commission, 888 First Street NE, Washington, DC  20426.</w:t>
      </w:r>
    </w:p>
    <w:p w14:paraId="4D782523" w14:textId="77777777" w:rsidR="000264D1" w:rsidRPr="00353406" w:rsidRDefault="000264D1" w:rsidP="00656F15">
      <w:pPr>
        <w:pStyle w:val="FERCparanumber"/>
      </w:pPr>
      <w:r w:rsidRPr="00353406">
        <w:t>All comments will be placed in the Commission's public files and may be viewed, printed, or downloaded remotely as described in the Document Availability section below.  Commenters on this proposal are not required to serve copies of their comments on other commenters.</w:t>
      </w:r>
    </w:p>
    <w:p w14:paraId="4D782524" w14:textId="77777777" w:rsidR="000264D1" w:rsidRPr="00353406" w:rsidRDefault="000264D1" w:rsidP="000264D1">
      <w:pPr>
        <w:pStyle w:val="Heading1"/>
        <w:rPr>
          <w:szCs w:val="26"/>
        </w:rPr>
      </w:pPr>
      <w:r w:rsidRPr="00353406">
        <w:rPr>
          <w:szCs w:val="26"/>
        </w:rPr>
        <w:lastRenderedPageBreak/>
        <w:t>Document Availability</w:t>
      </w:r>
    </w:p>
    <w:p w14:paraId="4D782525" w14:textId="77777777" w:rsidR="000264D1" w:rsidRPr="00353406" w:rsidRDefault="000264D1" w:rsidP="00656F15">
      <w:pPr>
        <w:pStyle w:val="FERCparanumber"/>
      </w:pPr>
      <w:r w:rsidRPr="00353406">
        <w:t>In addition to publishing the full text of this document in the Federal Register, the Commission provides all interested persons an opportunity to view and/or print the contents of this document via the Internet through the Commission's Home Page (</w:t>
      </w:r>
      <w:hyperlink r:id="rId17" w:history="1">
        <w:r w:rsidRPr="00353406">
          <w:rPr>
            <w:rStyle w:val="Hyperlink"/>
            <w:color w:val="auto"/>
            <w:u w:val="none"/>
          </w:rPr>
          <w:t>http://www.ferc.gov</w:t>
        </w:r>
      </w:hyperlink>
      <w:r w:rsidRPr="00353406">
        <w:t>) and in the Commission's Public Reference Room during normal business hours (8:30 a.m. to 5:00 p.m. Eastern time) at 888 First Street, NE, Room 2A, Washington</w:t>
      </w:r>
      <w:r w:rsidR="00AE0413" w:rsidRPr="00353406">
        <w:t xml:space="preserve">, </w:t>
      </w:r>
      <w:r w:rsidRPr="00353406">
        <w:t>DC  20426.</w:t>
      </w:r>
    </w:p>
    <w:p w14:paraId="4D782526" w14:textId="77777777" w:rsidR="000264D1" w:rsidRPr="00353406" w:rsidRDefault="000264D1" w:rsidP="00656F15">
      <w:pPr>
        <w:pStyle w:val="FERCparanumber"/>
      </w:pPr>
      <w:r w:rsidRPr="00353406">
        <w:t xml:space="preserve">From the Commission's Home Page on the Internet, this information is available on eLibrary.  The full text of this document is available on eLibrary in PDF and Microsoft Word format for viewing, printing, and/or downloading. </w:t>
      </w:r>
      <w:r w:rsidR="00CD7993" w:rsidRPr="00353406">
        <w:t xml:space="preserve"> </w:t>
      </w:r>
      <w:r w:rsidRPr="00353406">
        <w:t xml:space="preserve">To access this document in eLibrary, type the docket </w:t>
      </w:r>
      <w:r w:rsidRPr="00931594">
        <w:t>number excluding the last three digits of this document in the docket</w:t>
      </w:r>
      <w:r w:rsidRPr="00353406">
        <w:t xml:space="preserve"> number field.</w:t>
      </w:r>
    </w:p>
    <w:p w14:paraId="4D782527" w14:textId="77777777" w:rsidR="000264D1" w:rsidRPr="009F45B5" w:rsidRDefault="000264D1" w:rsidP="000264D1">
      <w:pPr>
        <w:pStyle w:val="FERCparanumber"/>
      </w:pPr>
      <w:r w:rsidRPr="00353406">
        <w:t xml:space="preserve">User assistance is available for eLibrary and the Commission’s website during normal business hours from the Commission’s Online Support at (202) 502-6652 (toll free at 1-866-208-3676) or email at </w:t>
      </w:r>
      <w:hyperlink r:id="rId18" w:history="1">
        <w:r w:rsidRPr="009F45B5">
          <w:rPr>
            <w:rStyle w:val="Hyperlink"/>
            <w:color w:val="auto"/>
            <w:u w:val="none"/>
          </w:rPr>
          <w:t>ferconlinesupport@ferc.gov</w:t>
        </w:r>
      </w:hyperlink>
      <w:r w:rsidRPr="00353406">
        <w:t xml:space="preserve">, or the Public Reference Room at (202) 502-8371, TTY (202) 502-8659.  E-mail the Public Reference Room at </w:t>
      </w:r>
      <w:hyperlink r:id="rId19" w:history="1">
        <w:r w:rsidRPr="009F45B5">
          <w:rPr>
            <w:rStyle w:val="Hyperlink"/>
            <w:color w:val="auto"/>
            <w:u w:val="none"/>
          </w:rPr>
          <w:t>public.referenceroom@ferc.gov</w:t>
        </w:r>
      </w:hyperlink>
      <w:r w:rsidRPr="00353406">
        <w:t>.</w:t>
      </w:r>
    </w:p>
    <w:p w14:paraId="4D782528" w14:textId="77777777" w:rsidR="000264D1" w:rsidRPr="00353406" w:rsidRDefault="000264D1" w:rsidP="000264D1">
      <w:pPr>
        <w:rPr>
          <w:szCs w:val="26"/>
        </w:rPr>
      </w:pPr>
      <w:r w:rsidRPr="00353406">
        <w:rPr>
          <w:szCs w:val="26"/>
        </w:rPr>
        <w:t>By direction of the Commission.</w:t>
      </w:r>
    </w:p>
    <w:p w14:paraId="4D782529" w14:textId="77777777" w:rsidR="000264D1" w:rsidRPr="00353406" w:rsidRDefault="000264D1" w:rsidP="008C04A9">
      <w:pPr>
        <w:widowControl/>
        <w:rPr>
          <w:szCs w:val="26"/>
        </w:rPr>
      </w:pPr>
    </w:p>
    <w:p w14:paraId="4D78252A" w14:textId="77777777" w:rsidR="008C04A9" w:rsidRDefault="00772D42" w:rsidP="00772D42">
      <w:pPr>
        <w:widowControl/>
        <w:rPr>
          <w:szCs w:val="26"/>
        </w:rPr>
      </w:pPr>
      <w:r w:rsidRPr="00772D42">
        <w:rPr>
          <w:szCs w:val="26"/>
        </w:rPr>
        <w:t>( S E A L )</w:t>
      </w:r>
    </w:p>
    <w:p w14:paraId="4D78252B" w14:textId="77777777" w:rsidR="00772D42" w:rsidRPr="00772D42" w:rsidRDefault="00772D42" w:rsidP="00772D42">
      <w:pPr>
        <w:widowControl/>
        <w:rPr>
          <w:szCs w:val="26"/>
        </w:rPr>
      </w:pPr>
    </w:p>
    <w:p w14:paraId="4D78252C" w14:textId="77777777" w:rsidR="00772D42" w:rsidRDefault="00772D42" w:rsidP="00772D42">
      <w:pPr>
        <w:widowControl/>
        <w:rPr>
          <w:szCs w:val="26"/>
        </w:rPr>
      </w:pPr>
    </w:p>
    <w:p w14:paraId="4D78252D" w14:textId="77777777" w:rsidR="00772D42" w:rsidRDefault="00772D42" w:rsidP="00772D42">
      <w:pPr>
        <w:widowControl/>
        <w:rPr>
          <w:szCs w:val="26"/>
        </w:rPr>
      </w:pPr>
    </w:p>
    <w:p w14:paraId="4D78252E" w14:textId="77777777" w:rsidR="00772D42" w:rsidRDefault="00772D42" w:rsidP="00772D42">
      <w:pPr>
        <w:widowControl/>
        <w:rPr>
          <w:szCs w:val="26"/>
        </w:rPr>
      </w:pPr>
    </w:p>
    <w:p w14:paraId="4D78252F" w14:textId="77777777" w:rsidR="00772D42" w:rsidRPr="00772D42" w:rsidRDefault="00772D42" w:rsidP="00772D42">
      <w:pPr>
        <w:widowControl/>
        <w:ind w:firstLine="2606"/>
        <w:jc w:val="center"/>
      </w:pPr>
      <w:r w:rsidRPr="00772D42">
        <w:t>Nathaniel J. Davis, Sr.,</w:t>
      </w:r>
    </w:p>
    <w:p w14:paraId="4D782530" w14:textId="77777777" w:rsidR="006D615E" w:rsidRPr="00353406" w:rsidRDefault="00772D42" w:rsidP="00772D42">
      <w:pPr>
        <w:widowControl/>
        <w:ind w:firstLine="2606"/>
        <w:jc w:val="center"/>
        <w:rPr>
          <w:szCs w:val="26"/>
        </w:rPr>
      </w:pPr>
      <w:r w:rsidRPr="00772D42">
        <w:t>Deputy Secretary.</w:t>
      </w:r>
      <w:r>
        <w:t xml:space="preserve">   </w:t>
      </w:r>
    </w:p>
    <w:sectPr w:rsidR="006D615E" w:rsidRPr="00353406" w:rsidSect="00990291">
      <w:headerReference w:type="even" r:id="rId20"/>
      <w:headerReference w:type="default" r:id="rId21"/>
      <w:headerReference w:type="first" r:id="rId2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4EDBC" w14:textId="77777777" w:rsidR="00133D37" w:rsidRDefault="00133D37">
      <w:r>
        <w:separator/>
      </w:r>
    </w:p>
  </w:endnote>
  <w:endnote w:type="continuationSeparator" w:id="0">
    <w:p w14:paraId="17B9347E" w14:textId="77777777" w:rsidR="00133D37" w:rsidRDefault="00133D37">
      <w:r>
        <w:continuationSeparator/>
      </w:r>
    </w:p>
  </w:endnote>
  <w:endnote w:type="continuationNotice" w:id="1">
    <w:p w14:paraId="4EB4AFD3" w14:textId="77777777" w:rsidR="00133D37" w:rsidRDefault="00133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76E07" w14:textId="77777777" w:rsidR="00133D37" w:rsidRDefault="00133D37">
      <w:r>
        <w:separator/>
      </w:r>
    </w:p>
  </w:footnote>
  <w:footnote w:type="continuationSeparator" w:id="0">
    <w:p w14:paraId="6DD89DD7" w14:textId="77777777" w:rsidR="00133D37" w:rsidRDefault="00133D37">
      <w:r>
        <w:continuationSeparator/>
      </w:r>
    </w:p>
  </w:footnote>
  <w:footnote w:type="continuationNotice" w:id="1">
    <w:p w14:paraId="7E50EB56" w14:textId="77777777" w:rsidR="00133D37" w:rsidRDefault="00133D37" w:rsidP="00990291">
      <w:pPr>
        <w:jc w:val="right"/>
      </w:pPr>
    </w:p>
    <w:p w14:paraId="01614991" w14:textId="77777777" w:rsidR="00133D37" w:rsidRDefault="00133D37" w:rsidP="00990291">
      <w:pPr>
        <w:jc w:val="right"/>
      </w:pPr>
      <w:r>
        <w:t>(continued …)</w:t>
      </w:r>
    </w:p>
  </w:footnote>
  <w:footnote w:id="2">
    <w:p w14:paraId="4D78253F" w14:textId="77777777" w:rsidR="00CF0739" w:rsidRPr="00695CDD" w:rsidRDefault="00CF0739" w:rsidP="002E14C5">
      <w:pPr>
        <w:pStyle w:val="FootnoteText"/>
      </w:pPr>
      <w:r w:rsidRPr="00695CDD">
        <w:rPr>
          <w:rStyle w:val="FootnoteReference"/>
        </w:rPr>
        <w:footnoteRef/>
      </w:r>
      <w:r w:rsidRPr="00695CDD">
        <w:t xml:space="preserve"> 16 U.S.C. 824(o).</w:t>
      </w:r>
    </w:p>
  </w:footnote>
  <w:footnote w:id="3">
    <w:p w14:paraId="4D782540" w14:textId="77777777" w:rsidR="00CF0739" w:rsidRDefault="00CF0739">
      <w:pPr>
        <w:pStyle w:val="FootnoteText"/>
      </w:pPr>
      <w:r>
        <w:rPr>
          <w:rStyle w:val="FootnoteReference"/>
        </w:rPr>
        <w:footnoteRef/>
      </w:r>
      <w:r>
        <w:t xml:space="preserve"> NERC states that Reporting ACE “represents a Balancing Authority Area’s [] Area Control Error [] measured in megawatts [] as the difference between the [Balancing Authority Area’s] Actual and Scheduled Net Interchange, plus its Frequency Bias Setting obligation and meter error corrections.  Reporting ACE helps Responsible Entities provide reliable frequency control by indicating the current state of the entity’s contribution to Reliability.”  NERC Petition at 3.</w:t>
      </w:r>
    </w:p>
  </w:footnote>
  <w:footnote w:id="4">
    <w:p w14:paraId="4D782541" w14:textId="77777777" w:rsidR="00CF0739" w:rsidRPr="00695CDD" w:rsidRDefault="00CF0739">
      <w:pPr>
        <w:pStyle w:val="FootnoteText"/>
      </w:pPr>
      <w:r w:rsidRPr="00695CDD">
        <w:rPr>
          <w:rStyle w:val="FootnoteReference"/>
        </w:rPr>
        <w:footnoteRef/>
      </w:r>
      <w:r w:rsidR="00BB7BEB">
        <w:t xml:space="preserve"> </w:t>
      </w:r>
      <w:r w:rsidRPr="00695CDD">
        <w:t>16 U.S.C. 824o(d)(2).</w:t>
      </w:r>
    </w:p>
  </w:footnote>
  <w:footnote w:id="5">
    <w:p w14:paraId="4D782542" w14:textId="77777777" w:rsidR="00CF0739" w:rsidRPr="00695CDD" w:rsidRDefault="00CF0739" w:rsidP="00990291">
      <w:pPr>
        <w:pStyle w:val="FootnoteText"/>
      </w:pPr>
      <w:r w:rsidRPr="00695CDD">
        <w:rPr>
          <w:rStyle w:val="FootnoteReference"/>
          <w:szCs w:val="26"/>
        </w:rPr>
        <w:footnoteRef/>
      </w:r>
      <w:r w:rsidR="00BB7BEB">
        <w:rPr>
          <w:lang w:val="es-ES"/>
        </w:rPr>
        <w:t xml:space="preserve"> </w:t>
      </w:r>
      <w:r>
        <w:rPr>
          <w:i/>
          <w:lang w:val="es-ES"/>
        </w:rPr>
        <w:t>Id.</w:t>
      </w:r>
      <w:r w:rsidRPr="00695CDD">
        <w:rPr>
          <w:lang w:val="es-ES"/>
        </w:rPr>
        <w:t xml:space="preserve"> 824o(e).</w:t>
      </w:r>
    </w:p>
  </w:footnote>
  <w:footnote w:id="6">
    <w:p w14:paraId="4D782543" w14:textId="77777777" w:rsidR="00CF0739" w:rsidRPr="00695CDD" w:rsidRDefault="00CF0739" w:rsidP="000953FA">
      <w:pPr>
        <w:pStyle w:val="FootnoteText"/>
        <w:rPr>
          <w:szCs w:val="26"/>
        </w:rPr>
      </w:pPr>
      <w:r w:rsidRPr="00695CDD">
        <w:rPr>
          <w:rStyle w:val="FootnoteReference"/>
        </w:rPr>
        <w:footnoteRef/>
      </w:r>
      <w:r w:rsidR="00BB7BEB">
        <w:rPr>
          <w:szCs w:val="26"/>
        </w:rPr>
        <w:t xml:space="preserve"> </w:t>
      </w:r>
      <w:r w:rsidRPr="00695CDD">
        <w:rPr>
          <w:i/>
          <w:szCs w:val="26"/>
        </w:rPr>
        <w:t>Rules Concerning Certification of the Electric Reliability Organization; and Procedures for the Establishment, Approval, and Enforcement of Electric Reliability Standards</w:t>
      </w:r>
      <w:r w:rsidRPr="00695CDD">
        <w:rPr>
          <w:szCs w:val="26"/>
        </w:rPr>
        <w:t xml:space="preserve">, Order No. 672, FERC Stats. &amp; Regs. ¶ 31,204, </w:t>
      </w:r>
      <w:r w:rsidRPr="00695CDD">
        <w:rPr>
          <w:i/>
          <w:szCs w:val="26"/>
        </w:rPr>
        <w:t>order on reh’g</w:t>
      </w:r>
      <w:r w:rsidRPr="00695CDD">
        <w:rPr>
          <w:szCs w:val="26"/>
        </w:rPr>
        <w:t>, Order No. 672</w:t>
      </w:r>
      <w:r w:rsidRPr="00695CDD">
        <w:rPr>
          <w:szCs w:val="26"/>
        </w:rPr>
        <w:noBreakHyphen/>
        <w:t>A, FERC Stats. &amp; Regs. ¶ 31,212 (2006).</w:t>
      </w:r>
    </w:p>
  </w:footnote>
  <w:footnote w:id="7">
    <w:p w14:paraId="4D782544" w14:textId="77777777" w:rsidR="00CF0739" w:rsidRPr="00695CDD" w:rsidRDefault="00CF0739" w:rsidP="000953FA">
      <w:pPr>
        <w:pStyle w:val="FootnoteText"/>
        <w:rPr>
          <w:szCs w:val="26"/>
        </w:rPr>
      </w:pPr>
      <w:r w:rsidRPr="00695CDD">
        <w:rPr>
          <w:rStyle w:val="FootnoteReference"/>
        </w:rPr>
        <w:footnoteRef/>
      </w:r>
      <w:r w:rsidR="002E14C5">
        <w:t xml:space="preserve"> </w:t>
      </w:r>
      <w:r w:rsidRPr="00695CDD">
        <w:rPr>
          <w:i/>
          <w:szCs w:val="26"/>
        </w:rPr>
        <w:t>North American Electric Reliability Corp.</w:t>
      </w:r>
      <w:r w:rsidRPr="00695CDD">
        <w:rPr>
          <w:szCs w:val="26"/>
        </w:rPr>
        <w:t xml:space="preserve">, 116 FERC ¶ 61,062, </w:t>
      </w:r>
      <w:r w:rsidRPr="00695CDD">
        <w:rPr>
          <w:i/>
          <w:szCs w:val="26"/>
        </w:rPr>
        <w:t>order on reh’g  and compliance</w:t>
      </w:r>
      <w:r w:rsidRPr="00695CDD">
        <w:rPr>
          <w:szCs w:val="26"/>
        </w:rPr>
        <w:t xml:space="preserve">, 117 FERC ¶ 61,126 (2006), </w:t>
      </w:r>
      <w:r w:rsidRPr="00695CDD">
        <w:rPr>
          <w:i/>
          <w:szCs w:val="26"/>
        </w:rPr>
        <w:t>aff’d sub nom. Alcoa, Inc. v. FERC</w:t>
      </w:r>
      <w:r w:rsidRPr="00695CDD">
        <w:rPr>
          <w:szCs w:val="26"/>
        </w:rPr>
        <w:t>, 564 F.3d 1342 (D.C. Cir. 2009).</w:t>
      </w:r>
    </w:p>
  </w:footnote>
  <w:footnote w:id="8">
    <w:p w14:paraId="4D782545" w14:textId="77777777" w:rsidR="00CF0739" w:rsidRPr="00695CDD" w:rsidRDefault="00CF0739">
      <w:pPr>
        <w:pStyle w:val="FootnoteText"/>
      </w:pPr>
      <w:r w:rsidRPr="00695CDD">
        <w:rPr>
          <w:rStyle w:val="FootnoteReference"/>
        </w:rPr>
        <w:footnoteRef/>
      </w:r>
      <w:r w:rsidR="002E14C5">
        <w:t xml:space="preserve"> </w:t>
      </w:r>
      <w:r w:rsidRPr="00695CDD">
        <w:rPr>
          <w:i/>
        </w:rPr>
        <w:t>Mandatory Reliability Standards for the Bulk-Power System,</w:t>
      </w:r>
      <w:r w:rsidRPr="00695CDD">
        <w:t xml:space="preserve"> Order No. 693, FERC Stats. &amp; Regs. ¶ 31,242</w:t>
      </w:r>
      <w:r>
        <w:t xml:space="preserve"> at PP 420, 439, and 680</w:t>
      </w:r>
      <w:r w:rsidRPr="00695CDD">
        <w:t xml:space="preserve">, </w:t>
      </w:r>
      <w:r w:rsidRPr="00695CDD">
        <w:rPr>
          <w:i/>
        </w:rPr>
        <w:t xml:space="preserve">order on reh’g, </w:t>
      </w:r>
      <w:r w:rsidRPr="00695CDD">
        <w:t xml:space="preserve">Order No. 693-A, 120 FERC ¶ 61,053 (2007).    </w:t>
      </w:r>
    </w:p>
  </w:footnote>
  <w:footnote w:id="9">
    <w:p w14:paraId="4D782546" w14:textId="77777777" w:rsidR="00CF0739" w:rsidRPr="00695CDD" w:rsidRDefault="00CF0739">
      <w:pPr>
        <w:pStyle w:val="FootnoteText"/>
        <w:rPr>
          <w:i/>
        </w:rPr>
      </w:pPr>
      <w:r w:rsidRPr="00695CDD">
        <w:rPr>
          <w:rStyle w:val="FootnoteReference"/>
        </w:rPr>
        <w:footnoteRef/>
      </w:r>
      <w:r w:rsidRPr="00695CDD">
        <w:t xml:space="preserve"> </w:t>
      </w:r>
      <w:r>
        <w:rPr>
          <w:i/>
        </w:rPr>
        <w:t>Id.</w:t>
      </w:r>
      <w:r w:rsidRPr="00402619">
        <w:t xml:space="preserve"> </w:t>
      </w:r>
      <w:r>
        <w:t xml:space="preserve">P </w:t>
      </w:r>
      <w:r w:rsidRPr="00695CDD">
        <w:t>420</w:t>
      </w:r>
      <w:r>
        <w:t>.</w:t>
      </w:r>
    </w:p>
  </w:footnote>
  <w:footnote w:id="10">
    <w:p w14:paraId="4D782547" w14:textId="77777777" w:rsidR="00CF0739" w:rsidRPr="00695CDD" w:rsidRDefault="00CF0739" w:rsidP="00402619">
      <w:pPr>
        <w:pStyle w:val="FootnoteText"/>
      </w:pPr>
      <w:r w:rsidRPr="00695CDD">
        <w:rPr>
          <w:rStyle w:val="FootnoteReference"/>
        </w:rPr>
        <w:footnoteRef/>
      </w:r>
      <w:r w:rsidRPr="00695CDD">
        <w:t xml:space="preserve"> </w:t>
      </w:r>
      <w:r w:rsidRPr="00695CDD">
        <w:rPr>
          <w:i/>
        </w:rPr>
        <w:t xml:space="preserve">See Modification of Interchange and Transmission Loading Relief Reliability Standards; and Electric Reliability Organization Interpretation of Specific Requirements of Four Reliability Standards, </w:t>
      </w:r>
      <w:r w:rsidRPr="00695CDD">
        <w:t xml:space="preserve">Order No. 713, 124 FERC ¶ 61,071 (2008); </w:t>
      </w:r>
      <w:r w:rsidRPr="00695CDD">
        <w:rPr>
          <w:i/>
        </w:rPr>
        <w:t>North American Elec</w:t>
      </w:r>
      <w:r>
        <w:rPr>
          <w:i/>
        </w:rPr>
        <w:t>tric</w:t>
      </w:r>
      <w:r w:rsidRPr="00695CDD">
        <w:rPr>
          <w:i/>
        </w:rPr>
        <w:t xml:space="preserve"> Reliability Corp., </w:t>
      </w:r>
      <w:r w:rsidRPr="00695CDD">
        <w:t>Docket No. RD09-</w:t>
      </w:r>
      <w:r w:rsidR="009A35F5">
        <w:t>2-</w:t>
      </w:r>
      <w:r w:rsidRPr="00695CDD">
        <w:t>000 (May 13, 2009) (</w:t>
      </w:r>
      <w:r>
        <w:t xml:space="preserve">delegated </w:t>
      </w:r>
      <w:r w:rsidRPr="00695CDD">
        <w:t xml:space="preserve">letter order); </w:t>
      </w:r>
      <w:r w:rsidRPr="00695CDD">
        <w:rPr>
          <w:i/>
        </w:rPr>
        <w:t>North American Elec</w:t>
      </w:r>
      <w:r>
        <w:rPr>
          <w:i/>
        </w:rPr>
        <w:t>tric</w:t>
      </w:r>
      <w:r w:rsidRPr="00695CDD">
        <w:rPr>
          <w:i/>
        </w:rPr>
        <w:t xml:space="preserve"> Reliability Corp., </w:t>
      </w:r>
      <w:r w:rsidRPr="00695CDD">
        <w:t>Docket No. RD12-4-000 (Sept. 13, 2012) (</w:t>
      </w:r>
      <w:r>
        <w:t xml:space="preserve">delegated </w:t>
      </w:r>
      <w:r w:rsidRPr="00695CDD">
        <w:t>letter order).</w:t>
      </w:r>
    </w:p>
  </w:footnote>
  <w:footnote w:id="11">
    <w:p w14:paraId="4D782548" w14:textId="77777777" w:rsidR="00CF0739" w:rsidRPr="00695CDD" w:rsidRDefault="00CF0739">
      <w:pPr>
        <w:pStyle w:val="FootnoteText"/>
      </w:pPr>
      <w:r w:rsidRPr="00695CDD">
        <w:rPr>
          <w:rStyle w:val="FootnoteReference"/>
        </w:rPr>
        <w:footnoteRef/>
      </w:r>
      <w:r w:rsidRPr="00695CDD">
        <w:t xml:space="preserve"> </w:t>
      </w:r>
      <w:r w:rsidR="00A601E9">
        <w:rPr>
          <w:szCs w:val="26"/>
        </w:rPr>
        <w:t xml:space="preserve">Order No. 693, FERC </w:t>
      </w:r>
      <w:r w:rsidRPr="00695CDD">
        <w:rPr>
          <w:szCs w:val="26"/>
        </w:rPr>
        <w:t xml:space="preserve">Stats. &amp; Regs. ¶ 31,242 at P 428.  </w:t>
      </w:r>
    </w:p>
  </w:footnote>
  <w:footnote w:id="12">
    <w:p w14:paraId="4D782549" w14:textId="77777777" w:rsidR="00CF0739" w:rsidRPr="00695CDD" w:rsidRDefault="00CF0739">
      <w:pPr>
        <w:pStyle w:val="FootnoteText"/>
        <w:rPr>
          <w:i/>
        </w:rPr>
      </w:pPr>
      <w:r w:rsidRPr="00695CDD">
        <w:rPr>
          <w:rStyle w:val="FootnoteReference"/>
        </w:rPr>
        <w:footnoteRef/>
      </w:r>
      <w:r w:rsidRPr="00695CDD">
        <w:t xml:space="preserve"> </w:t>
      </w:r>
      <w:r w:rsidRPr="00695CDD">
        <w:rPr>
          <w:i/>
        </w:rPr>
        <w:t xml:space="preserve">Id. </w:t>
      </w:r>
    </w:p>
  </w:footnote>
  <w:footnote w:id="13">
    <w:p w14:paraId="4D78254A" w14:textId="77777777" w:rsidR="00CF0739" w:rsidRPr="00695CDD" w:rsidRDefault="00CF0739">
      <w:pPr>
        <w:pStyle w:val="FootnoteText"/>
      </w:pPr>
      <w:r w:rsidRPr="00695CDD">
        <w:rPr>
          <w:rStyle w:val="FootnoteReference"/>
        </w:rPr>
        <w:footnoteRef/>
      </w:r>
      <w:r w:rsidRPr="00695CDD">
        <w:t xml:space="preserve"> </w:t>
      </w:r>
      <w:r>
        <w:rPr>
          <w:i/>
        </w:rPr>
        <w:t xml:space="preserve">See North American Electric Reliability Corp., </w:t>
      </w:r>
      <w:r w:rsidRPr="00695CDD">
        <w:t xml:space="preserve">134 FERC ¶ 61,007 (2011).  </w:t>
      </w:r>
    </w:p>
  </w:footnote>
  <w:footnote w:id="14">
    <w:p w14:paraId="4D78254B" w14:textId="77777777" w:rsidR="00CF0739" w:rsidRPr="00695CDD" w:rsidRDefault="00CF0739">
      <w:pPr>
        <w:pStyle w:val="FootnoteText"/>
      </w:pPr>
      <w:r w:rsidRPr="00695CDD">
        <w:rPr>
          <w:rStyle w:val="FootnoteReference"/>
        </w:rPr>
        <w:footnoteRef/>
      </w:r>
      <w:r w:rsidRPr="00695CDD">
        <w:t xml:space="preserve"> </w:t>
      </w:r>
      <w:r w:rsidRPr="00695CDD">
        <w:rPr>
          <w:i/>
          <w:szCs w:val="26"/>
        </w:rPr>
        <w:t xml:space="preserve">North American Electric Reliability Corp., </w:t>
      </w:r>
      <w:r w:rsidRPr="00695CDD">
        <w:rPr>
          <w:szCs w:val="26"/>
        </w:rPr>
        <w:t>Docket No. RD16-7-000 (June 23, 2016) (</w:t>
      </w:r>
      <w:r>
        <w:rPr>
          <w:szCs w:val="26"/>
        </w:rPr>
        <w:t xml:space="preserve">delegated </w:t>
      </w:r>
      <w:r w:rsidRPr="00695CDD">
        <w:rPr>
          <w:szCs w:val="26"/>
        </w:rPr>
        <w:t xml:space="preserve">letter order).  </w:t>
      </w:r>
    </w:p>
  </w:footnote>
  <w:footnote w:id="15">
    <w:p w14:paraId="4D78254C" w14:textId="77777777" w:rsidR="00CF0739" w:rsidRPr="00695CDD" w:rsidRDefault="00CF0739" w:rsidP="00656F15">
      <w:pPr>
        <w:pStyle w:val="FootnoteText"/>
        <w:rPr>
          <w:szCs w:val="26"/>
        </w:rPr>
      </w:pPr>
      <w:r w:rsidRPr="00695CDD">
        <w:rPr>
          <w:rStyle w:val="FootnoteReference"/>
        </w:rPr>
        <w:footnoteRef/>
      </w:r>
      <w:r w:rsidRPr="00695CDD">
        <w:rPr>
          <w:szCs w:val="26"/>
        </w:rPr>
        <w:t xml:space="preserve"> NERC Petition at 2 (referencing Project 2010-14</w:t>
      </w:r>
      <w:r w:rsidR="009A35F5">
        <w:rPr>
          <w:szCs w:val="26"/>
        </w:rPr>
        <w:t>.</w:t>
      </w:r>
      <w:r w:rsidRPr="00695CDD">
        <w:rPr>
          <w:szCs w:val="26"/>
        </w:rPr>
        <w:t>2.1 Phase 2 of Balancing Authority Reliability-based Controls)</w:t>
      </w:r>
      <w:r>
        <w:rPr>
          <w:szCs w:val="26"/>
        </w:rPr>
        <w:t>.</w:t>
      </w:r>
      <w:r w:rsidRPr="00695CDD">
        <w:rPr>
          <w:szCs w:val="26"/>
        </w:rPr>
        <w:t xml:space="preserve"> </w:t>
      </w:r>
      <w:r>
        <w:rPr>
          <w:szCs w:val="26"/>
        </w:rPr>
        <w:t xml:space="preserve"> </w:t>
      </w:r>
    </w:p>
  </w:footnote>
  <w:footnote w:id="16">
    <w:p w14:paraId="4D78254D" w14:textId="77777777" w:rsidR="00CF0739" w:rsidRPr="003A459C" w:rsidRDefault="00CF0739">
      <w:pPr>
        <w:pStyle w:val="FootnoteText"/>
        <w:rPr>
          <w:szCs w:val="26"/>
        </w:rPr>
      </w:pPr>
      <w:r w:rsidRPr="00695CDD">
        <w:rPr>
          <w:rStyle w:val="FootnoteReference"/>
        </w:rPr>
        <w:footnoteRef/>
      </w:r>
      <w:r w:rsidRPr="00695CDD">
        <w:t xml:space="preserve"> </w:t>
      </w:r>
      <w:r w:rsidRPr="009A7AB0">
        <w:rPr>
          <w:i/>
          <w:szCs w:val="26"/>
        </w:rPr>
        <w:t xml:space="preserve">Id. </w:t>
      </w:r>
      <w:r w:rsidRPr="009A7AB0">
        <w:rPr>
          <w:szCs w:val="26"/>
        </w:rPr>
        <w:t>at 3</w:t>
      </w:r>
      <w:r w:rsidR="009A7AB0">
        <w:rPr>
          <w:szCs w:val="26"/>
        </w:rPr>
        <w:t xml:space="preserve"> (</w:t>
      </w:r>
      <w:r w:rsidR="00512483" w:rsidRPr="009A7AB0">
        <w:rPr>
          <w:szCs w:val="26"/>
        </w:rPr>
        <w:t>citing</w:t>
      </w:r>
      <w:r w:rsidR="009A7AB0" w:rsidRPr="009A7AB0">
        <w:rPr>
          <w:szCs w:val="26"/>
        </w:rPr>
        <w:t xml:space="preserve"> </w:t>
      </w:r>
      <w:r w:rsidR="009A7AB0" w:rsidRPr="003A459C">
        <w:rPr>
          <w:i/>
          <w:iCs/>
          <w:szCs w:val="26"/>
        </w:rPr>
        <w:t>N</w:t>
      </w:r>
      <w:r w:rsidR="009A7AB0">
        <w:rPr>
          <w:i/>
          <w:iCs/>
          <w:szCs w:val="26"/>
        </w:rPr>
        <w:t xml:space="preserve">orth American Elec. </w:t>
      </w:r>
      <w:r w:rsidR="009A7AB0" w:rsidRPr="00C41A9A">
        <w:rPr>
          <w:i/>
          <w:iCs/>
          <w:szCs w:val="26"/>
        </w:rPr>
        <w:t>Reliability Corp.</w:t>
      </w:r>
      <w:r w:rsidR="009A7AB0" w:rsidRPr="00C41A9A">
        <w:rPr>
          <w:szCs w:val="26"/>
        </w:rPr>
        <w:t xml:space="preserve">, 138 FERC ¶ 61,193 at </w:t>
      </w:r>
      <w:r w:rsidR="00A601E9">
        <w:rPr>
          <w:szCs w:val="26"/>
        </w:rPr>
        <w:t xml:space="preserve">   </w:t>
      </w:r>
      <w:r w:rsidR="009A7AB0" w:rsidRPr="00C41A9A">
        <w:rPr>
          <w:szCs w:val="26"/>
        </w:rPr>
        <w:t xml:space="preserve">P 81, </w:t>
      </w:r>
      <w:r w:rsidR="009A7AB0" w:rsidRPr="00C41A9A">
        <w:rPr>
          <w:i/>
          <w:iCs/>
          <w:szCs w:val="26"/>
        </w:rPr>
        <w:t>order on reh’g and clarification</w:t>
      </w:r>
      <w:r w:rsidR="009A7AB0" w:rsidRPr="00C41A9A">
        <w:rPr>
          <w:szCs w:val="26"/>
        </w:rPr>
        <w:t xml:space="preserve">, 139 FERC ¶ 61,168 (2012); </w:t>
      </w:r>
      <w:r w:rsidR="009A7AB0" w:rsidRPr="00C41A9A">
        <w:rPr>
          <w:i/>
          <w:iCs/>
          <w:szCs w:val="26"/>
        </w:rPr>
        <w:t>Petition of the North American Electric Reliability Corporation for Approval of Retirement of Requirements in Reliability Standards</w:t>
      </w:r>
      <w:r w:rsidR="009A7AB0" w:rsidRPr="00C41A9A">
        <w:rPr>
          <w:szCs w:val="26"/>
        </w:rPr>
        <w:t>, Docket No. RM13-8-000</w:t>
      </w:r>
      <w:r w:rsidR="009A7AB0" w:rsidRPr="00C41A9A">
        <w:rPr>
          <w:i/>
          <w:iCs/>
          <w:szCs w:val="26"/>
        </w:rPr>
        <w:t xml:space="preserve">, </w:t>
      </w:r>
      <w:r w:rsidR="009A7AB0" w:rsidRPr="00C41A9A">
        <w:rPr>
          <w:szCs w:val="26"/>
        </w:rPr>
        <w:t xml:space="preserve">at Exhibit A (“Paragraph 81 Criteria”) (filed Feb. 28, 2013); </w:t>
      </w:r>
      <w:r w:rsidR="009A7AB0">
        <w:rPr>
          <w:i/>
          <w:iCs/>
          <w:szCs w:val="26"/>
        </w:rPr>
        <w:t>Elec</w:t>
      </w:r>
      <w:r w:rsidR="00A601E9">
        <w:rPr>
          <w:i/>
          <w:iCs/>
          <w:szCs w:val="26"/>
        </w:rPr>
        <w:t>tric</w:t>
      </w:r>
      <w:r w:rsidR="009A7AB0">
        <w:rPr>
          <w:i/>
          <w:iCs/>
          <w:szCs w:val="26"/>
        </w:rPr>
        <w:t xml:space="preserve"> Reliability </w:t>
      </w:r>
      <w:r w:rsidR="00A601E9">
        <w:rPr>
          <w:i/>
          <w:iCs/>
          <w:szCs w:val="26"/>
        </w:rPr>
        <w:t>Organization Proposed to Retire Requirements in Reliability Standards,</w:t>
      </w:r>
      <w:r w:rsidR="009A7AB0">
        <w:rPr>
          <w:i/>
          <w:iCs/>
          <w:szCs w:val="26"/>
        </w:rPr>
        <w:t xml:space="preserve"> </w:t>
      </w:r>
      <w:r w:rsidR="009A7AB0" w:rsidRPr="00C41A9A">
        <w:rPr>
          <w:szCs w:val="26"/>
        </w:rPr>
        <w:t>Order No. 788, 145 FERC ¶ 61,147 (2013)</w:t>
      </w:r>
      <w:r w:rsidR="009A7AB0">
        <w:rPr>
          <w:szCs w:val="26"/>
        </w:rPr>
        <w:t>)</w:t>
      </w:r>
      <w:r w:rsidR="009A7AB0" w:rsidRPr="00C41A9A">
        <w:rPr>
          <w:szCs w:val="26"/>
        </w:rPr>
        <w:t>.</w:t>
      </w:r>
    </w:p>
  </w:footnote>
  <w:footnote w:id="17">
    <w:p w14:paraId="4D78254E" w14:textId="77777777" w:rsidR="00CF0739" w:rsidRPr="00695CDD" w:rsidRDefault="00CF0739" w:rsidP="00656F15">
      <w:pPr>
        <w:pStyle w:val="FootnoteText"/>
        <w:rPr>
          <w:szCs w:val="26"/>
        </w:rPr>
      </w:pPr>
      <w:r w:rsidRPr="00695CDD">
        <w:rPr>
          <w:rStyle w:val="FootnoteReference"/>
        </w:rPr>
        <w:footnoteRef/>
      </w:r>
      <w:r w:rsidRPr="00695CDD">
        <w:rPr>
          <w:szCs w:val="26"/>
        </w:rPr>
        <w:t xml:space="preserve"> </w:t>
      </w:r>
      <w:r w:rsidRPr="00695CDD">
        <w:rPr>
          <w:i/>
          <w:szCs w:val="26"/>
        </w:rPr>
        <w:t>Id.</w:t>
      </w:r>
      <w:r w:rsidRPr="00695CDD">
        <w:rPr>
          <w:szCs w:val="26"/>
        </w:rPr>
        <w:t xml:space="preserve"> </w:t>
      </w:r>
    </w:p>
  </w:footnote>
  <w:footnote w:id="18">
    <w:p w14:paraId="4D78254F" w14:textId="77777777" w:rsidR="00CF0739" w:rsidRPr="00695CDD" w:rsidRDefault="00CF0739">
      <w:pPr>
        <w:pStyle w:val="FootnoteText"/>
      </w:pPr>
      <w:r w:rsidRPr="00695CDD">
        <w:rPr>
          <w:rStyle w:val="FootnoteReference"/>
        </w:rPr>
        <w:footnoteRef/>
      </w:r>
      <w:r w:rsidRPr="00695CDD">
        <w:t xml:space="preserve"> </w:t>
      </w:r>
      <w:r w:rsidRPr="00695CDD">
        <w:rPr>
          <w:i/>
        </w:rPr>
        <w:t xml:space="preserve">Id. </w:t>
      </w:r>
      <w:r w:rsidRPr="00695CDD">
        <w:t xml:space="preserve">at 12. </w:t>
      </w:r>
    </w:p>
  </w:footnote>
  <w:footnote w:id="19">
    <w:p w14:paraId="4D782550" w14:textId="77777777" w:rsidR="00CF0739" w:rsidRPr="00695CDD" w:rsidRDefault="00CF0739">
      <w:pPr>
        <w:pStyle w:val="FootnoteText"/>
      </w:pPr>
      <w:r w:rsidRPr="00695CDD">
        <w:rPr>
          <w:rStyle w:val="FootnoteReference"/>
        </w:rPr>
        <w:footnoteRef/>
      </w:r>
      <w:r w:rsidRPr="00695CDD">
        <w:t xml:space="preserve"> </w:t>
      </w:r>
      <w:r w:rsidRPr="00695CDD">
        <w:rPr>
          <w:i/>
        </w:rPr>
        <w:t xml:space="preserve">Id. </w:t>
      </w:r>
      <w:r w:rsidRPr="00695CDD">
        <w:t xml:space="preserve">at 13. </w:t>
      </w:r>
    </w:p>
  </w:footnote>
  <w:footnote w:id="20">
    <w:p w14:paraId="4D782551" w14:textId="77777777" w:rsidR="00CF0739" w:rsidRPr="00695CDD" w:rsidRDefault="00CF0739">
      <w:pPr>
        <w:pStyle w:val="FootnoteText"/>
      </w:pPr>
      <w:r w:rsidRPr="00695CDD">
        <w:rPr>
          <w:rStyle w:val="FootnoteReference"/>
        </w:rPr>
        <w:footnoteRef/>
      </w:r>
      <w:r w:rsidRPr="00695CDD">
        <w:t xml:space="preserve"> </w:t>
      </w:r>
      <w:r w:rsidRPr="00695CDD">
        <w:rPr>
          <w:i/>
        </w:rPr>
        <w:t xml:space="preserve">Id. </w:t>
      </w:r>
      <w:r w:rsidRPr="00695CDD">
        <w:t>at 23.</w:t>
      </w:r>
    </w:p>
  </w:footnote>
  <w:footnote w:id="21">
    <w:p w14:paraId="4D782552" w14:textId="77777777" w:rsidR="00CF0739" w:rsidRPr="00695CDD" w:rsidRDefault="00CF0739">
      <w:pPr>
        <w:pStyle w:val="FootnoteText"/>
      </w:pPr>
      <w:r w:rsidRPr="00695CDD">
        <w:rPr>
          <w:rStyle w:val="FootnoteReference"/>
        </w:rPr>
        <w:footnoteRef/>
      </w:r>
      <w:r w:rsidRPr="00695CDD">
        <w:t xml:space="preserve"> </w:t>
      </w:r>
      <w:r w:rsidRPr="00695CDD">
        <w:rPr>
          <w:i/>
        </w:rPr>
        <w:t xml:space="preserve">Id. </w:t>
      </w:r>
      <w:r w:rsidRPr="00695CDD">
        <w:t xml:space="preserve">at 16. </w:t>
      </w:r>
    </w:p>
  </w:footnote>
  <w:footnote w:id="22">
    <w:p w14:paraId="4D782553" w14:textId="77777777" w:rsidR="00CF0739" w:rsidRPr="00695CDD" w:rsidRDefault="00CF0739">
      <w:pPr>
        <w:pStyle w:val="FootnoteText"/>
      </w:pPr>
      <w:r w:rsidRPr="00695CDD">
        <w:rPr>
          <w:rStyle w:val="FootnoteReference"/>
        </w:rPr>
        <w:footnoteRef/>
      </w:r>
      <w:r w:rsidRPr="00695CDD">
        <w:t xml:space="preserve"> </w:t>
      </w:r>
      <w:r w:rsidRPr="00695CDD">
        <w:rPr>
          <w:i/>
        </w:rPr>
        <w:t xml:space="preserve">Id. </w:t>
      </w:r>
      <w:r w:rsidRPr="00695CDD">
        <w:t xml:space="preserve">at 19.  </w:t>
      </w:r>
    </w:p>
  </w:footnote>
  <w:footnote w:id="23">
    <w:p w14:paraId="4D782554" w14:textId="77777777" w:rsidR="00CF0739" w:rsidRPr="00695CDD" w:rsidRDefault="00CF0739">
      <w:pPr>
        <w:pStyle w:val="FootnoteText"/>
      </w:pPr>
      <w:r w:rsidRPr="00695CDD">
        <w:rPr>
          <w:rStyle w:val="FootnoteReference"/>
        </w:rPr>
        <w:footnoteRef/>
      </w:r>
      <w:r w:rsidRPr="00695CDD">
        <w:t xml:space="preserve"> </w:t>
      </w:r>
      <w:r w:rsidRPr="00695CDD">
        <w:rPr>
          <w:i/>
        </w:rPr>
        <w:t xml:space="preserve">Id. </w:t>
      </w:r>
      <w:r w:rsidRPr="00695CDD">
        <w:t>at 13 (referencing Order No. 693</w:t>
      </w:r>
      <w:r w:rsidR="00D10A57">
        <w:t xml:space="preserve">, </w:t>
      </w:r>
      <w:r w:rsidR="00D10A57" w:rsidRPr="00695CDD">
        <w:t>FERC Stats. &amp; Regs. ¶ 31,242</w:t>
      </w:r>
      <w:r w:rsidRPr="00695CDD">
        <w:t xml:space="preserve"> at P 404, and noting that the Commission’s directive related to resource-neutrality for regulating reserves is no</w:t>
      </w:r>
      <w:r>
        <w:t xml:space="preserve">w moot, </w:t>
      </w:r>
      <w:r w:rsidRPr="00695CDD">
        <w:t xml:space="preserve">as Requirement R2 of </w:t>
      </w:r>
      <w:r w:rsidR="00D10A57">
        <w:t xml:space="preserve">Reliability Standard </w:t>
      </w:r>
      <w:r w:rsidRPr="00695CDD">
        <w:t>BAL-005-0.2b, which required entities to maintain regulating reserves, has been retired</w:t>
      </w:r>
      <w:r>
        <w:t xml:space="preserve">). </w:t>
      </w:r>
    </w:p>
  </w:footnote>
  <w:footnote w:id="24">
    <w:p w14:paraId="4D782555" w14:textId="77777777" w:rsidR="00CF0739" w:rsidRPr="00937587" w:rsidRDefault="00CF0739">
      <w:pPr>
        <w:pStyle w:val="FootnoteText"/>
        <w:rPr>
          <w:vertAlign w:val="subscript"/>
        </w:rPr>
      </w:pPr>
      <w:r w:rsidRPr="00695CDD">
        <w:rPr>
          <w:rStyle w:val="FootnoteReference"/>
        </w:rPr>
        <w:footnoteRef/>
      </w:r>
      <w:r w:rsidRPr="00695CDD">
        <w:t xml:space="preserve"> </w:t>
      </w:r>
      <w:r w:rsidRPr="00695CDD">
        <w:rPr>
          <w:i/>
        </w:rPr>
        <w:t xml:space="preserve">Id. </w:t>
      </w:r>
      <w:r w:rsidRPr="00695CDD">
        <w:t>at n.39</w:t>
      </w:r>
      <w:r w:rsidR="004D5EA6">
        <w:t>.</w:t>
      </w:r>
    </w:p>
  </w:footnote>
  <w:footnote w:id="25">
    <w:p w14:paraId="4D782556" w14:textId="28C5754D" w:rsidR="00CF0739" w:rsidRPr="00695CDD" w:rsidRDefault="00CF0739">
      <w:pPr>
        <w:pStyle w:val="FootnoteText"/>
      </w:pPr>
      <w:r w:rsidRPr="009A35F5">
        <w:rPr>
          <w:rStyle w:val="FootnoteReference"/>
        </w:rPr>
        <w:footnoteRef/>
      </w:r>
      <w:r w:rsidRPr="009A35F5">
        <w:t xml:space="preserve"> </w:t>
      </w:r>
      <w:r w:rsidRPr="009A35F5">
        <w:rPr>
          <w:i/>
        </w:rPr>
        <w:t xml:space="preserve">Id. </w:t>
      </w:r>
      <w:r w:rsidRPr="009A35F5">
        <w:t>at 17</w:t>
      </w:r>
      <w:r w:rsidR="009A35F5" w:rsidRPr="00BB7BEB">
        <w:t xml:space="preserve">; </w:t>
      </w:r>
      <w:r w:rsidR="009A35F5" w:rsidRPr="00BB7BEB">
        <w:rPr>
          <w:i/>
        </w:rPr>
        <w:t xml:space="preserve">see also North American Elec. Reliability Corp., </w:t>
      </w:r>
      <w:r w:rsidR="009A35F5" w:rsidRPr="00BB7BEB">
        <w:t>121 FERC P</w:t>
      </w:r>
      <w:r w:rsidR="00617B98">
        <w:t xml:space="preserve"> </w:t>
      </w:r>
      <w:r w:rsidR="009A35F5" w:rsidRPr="00BB7BEB">
        <w:t>61,179 at P 58 (2007</w:t>
      </w:r>
      <w:r w:rsidRPr="009A35F5">
        <w:t>).</w:t>
      </w:r>
      <w:r w:rsidRPr="00695CDD">
        <w:t xml:space="preserve">  </w:t>
      </w:r>
    </w:p>
  </w:footnote>
  <w:footnote w:id="26">
    <w:p w14:paraId="4D782557" w14:textId="77777777" w:rsidR="00CF0739" w:rsidRPr="00695CDD" w:rsidRDefault="00CF0739">
      <w:pPr>
        <w:pStyle w:val="FootnoteText"/>
      </w:pPr>
      <w:r w:rsidRPr="00695CDD">
        <w:rPr>
          <w:rStyle w:val="FootnoteReference"/>
        </w:rPr>
        <w:footnoteRef/>
      </w:r>
      <w:r w:rsidRPr="00695CDD">
        <w:t xml:space="preserve"> </w:t>
      </w:r>
      <w:r w:rsidRPr="00695CDD">
        <w:rPr>
          <w:i/>
        </w:rPr>
        <w:t xml:space="preserve">Id. </w:t>
      </w:r>
      <w:r w:rsidRPr="00695CDD">
        <w:t xml:space="preserve">at 18.  </w:t>
      </w:r>
    </w:p>
  </w:footnote>
  <w:footnote w:id="27">
    <w:p w14:paraId="4D782558" w14:textId="77777777" w:rsidR="00CF0739" w:rsidRPr="00695CDD" w:rsidRDefault="00CF0739">
      <w:pPr>
        <w:pStyle w:val="FootnoteText"/>
      </w:pPr>
      <w:r w:rsidRPr="00695CDD">
        <w:rPr>
          <w:rStyle w:val="FootnoteReference"/>
        </w:rPr>
        <w:footnoteRef/>
      </w:r>
      <w:r w:rsidRPr="00695CDD">
        <w:t xml:space="preserve"> </w:t>
      </w:r>
      <w:r w:rsidRPr="00695CDD">
        <w:rPr>
          <w:i/>
        </w:rPr>
        <w:t xml:space="preserve">Id. </w:t>
      </w:r>
      <w:r w:rsidRPr="00695CDD">
        <w:t xml:space="preserve">at 25-26. </w:t>
      </w:r>
    </w:p>
  </w:footnote>
  <w:footnote w:id="28">
    <w:p w14:paraId="4D782559" w14:textId="77777777" w:rsidR="00CF0739" w:rsidRPr="00697417" w:rsidRDefault="00CF0739">
      <w:pPr>
        <w:pStyle w:val="FootnoteText"/>
      </w:pPr>
      <w:r>
        <w:rPr>
          <w:rStyle w:val="FootnoteReference"/>
        </w:rPr>
        <w:footnoteRef/>
      </w:r>
      <w:r>
        <w:t xml:space="preserve"> </w:t>
      </w:r>
      <w:r>
        <w:rPr>
          <w:i/>
        </w:rPr>
        <w:t xml:space="preserve">Id. </w:t>
      </w:r>
      <w:r>
        <w:t>at 27.</w:t>
      </w:r>
    </w:p>
  </w:footnote>
  <w:footnote w:id="29">
    <w:p w14:paraId="4D78255A" w14:textId="77777777" w:rsidR="00CF0739" w:rsidRDefault="00CF0739">
      <w:pPr>
        <w:pStyle w:val="FootnoteText"/>
      </w:pPr>
      <w:r>
        <w:rPr>
          <w:rStyle w:val="FootnoteReference"/>
        </w:rPr>
        <w:footnoteRef/>
      </w:r>
      <w:r>
        <w:t xml:space="preserve"> The Inadvertent Interchange Guideline document is expected to be presented to the NERC Operating Committee in mid-</w:t>
      </w:r>
      <w:r w:rsidRPr="009A35F5">
        <w:t>September</w:t>
      </w:r>
      <w:r w:rsidR="00FF597A" w:rsidRPr="009A35F5">
        <w:t xml:space="preserve"> 2016</w:t>
      </w:r>
      <w:r w:rsidRPr="009A35F5">
        <w:t>, and</w:t>
      </w:r>
      <w:r>
        <w:t xml:space="preserve"> will be posted for a 45-day comment period. </w:t>
      </w:r>
    </w:p>
  </w:footnote>
  <w:footnote w:id="30">
    <w:p w14:paraId="4D78255B" w14:textId="77777777" w:rsidR="00CF0739" w:rsidRPr="00695CDD" w:rsidRDefault="00CF0739">
      <w:pPr>
        <w:pStyle w:val="FootnoteText"/>
      </w:pPr>
      <w:r w:rsidRPr="00695CDD">
        <w:rPr>
          <w:rStyle w:val="FootnoteReference"/>
        </w:rPr>
        <w:footnoteRef/>
      </w:r>
      <w:r w:rsidRPr="00695CDD">
        <w:t xml:space="preserve"> As NERC notes in its Supplemental Filing, </w:t>
      </w:r>
      <w:r>
        <w:t xml:space="preserve">NERC </w:t>
      </w:r>
      <w:r w:rsidRPr="00695CDD">
        <w:t xml:space="preserve">stated </w:t>
      </w:r>
      <w:r>
        <w:t xml:space="preserve">in its initial petition </w:t>
      </w:r>
      <w:r w:rsidRPr="00695CDD">
        <w:t>that “Requirements R2, R7 and R15 . . . are redundant, ineffective, and should be retired based on Commission-approved Paragraph 81 Criteria</w:t>
      </w:r>
      <w:r>
        <w:t>.”</w:t>
      </w:r>
      <w:r w:rsidRPr="00695CDD">
        <w:t xml:space="preserve"> </w:t>
      </w:r>
      <w:r w:rsidR="00357644">
        <w:t xml:space="preserve"> NERC </w:t>
      </w:r>
      <w:r w:rsidRPr="00695CDD">
        <w:t xml:space="preserve">Supplemental Filing at 1 (quoting April 20 Petition at </w:t>
      </w:r>
      <w:r>
        <w:t>15</w:t>
      </w:r>
      <w:r w:rsidRPr="00695CDD">
        <w:t>).</w:t>
      </w:r>
    </w:p>
  </w:footnote>
  <w:footnote w:id="31">
    <w:p w14:paraId="4D78255C" w14:textId="77777777" w:rsidR="00CF0739" w:rsidRPr="00695CDD" w:rsidRDefault="00CF0739">
      <w:pPr>
        <w:pStyle w:val="FootnoteText"/>
      </w:pPr>
      <w:r w:rsidRPr="00695CDD">
        <w:rPr>
          <w:rStyle w:val="FootnoteReference"/>
        </w:rPr>
        <w:footnoteRef/>
      </w:r>
      <w:r w:rsidRPr="00695CDD">
        <w:t xml:space="preserve"> </w:t>
      </w:r>
      <w:r w:rsidR="00357644">
        <w:t xml:space="preserve">NERC </w:t>
      </w:r>
      <w:r w:rsidRPr="009E794F">
        <w:t xml:space="preserve">Supplemental Filing </w:t>
      </w:r>
      <w:r w:rsidRPr="00695CDD">
        <w:t xml:space="preserve">at 2. </w:t>
      </w:r>
    </w:p>
  </w:footnote>
  <w:footnote w:id="32">
    <w:p w14:paraId="4D78255D" w14:textId="77777777" w:rsidR="00CF0739" w:rsidRPr="00695CDD" w:rsidRDefault="00CF0739">
      <w:pPr>
        <w:pStyle w:val="FootnoteText"/>
      </w:pPr>
      <w:r w:rsidRPr="00695CDD">
        <w:rPr>
          <w:rStyle w:val="FootnoteReference"/>
        </w:rPr>
        <w:footnoteRef/>
      </w:r>
      <w:r w:rsidRPr="00695CDD">
        <w:t xml:space="preserve"> </w:t>
      </w:r>
      <w:r w:rsidRPr="00695CDD">
        <w:rPr>
          <w:i/>
        </w:rPr>
        <w:t xml:space="preserve">Id. </w:t>
      </w:r>
      <w:r w:rsidRPr="00695CDD">
        <w:t xml:space="preserve">at 4. </w:t>
      </w:r>
    </w:p>
  </w:footnote>
  <w:footnote w:id="33">
    <w:p w14:paraId="4D78255E" w14:textId="77777777" w:rsidR="0053085C" w:rsidRDefault="0053085C">
      <w:pPr>
        <w:pStyle w:val="FootnoteText"/>
      </w:pPr>
      <w:r w:rsidRPr="009A35F5">
        <w:rPr>
          <w:rStyle w:val="FootnoteReference"/>
        </w:rPr>
        <w:footnoteRef/>
      </w:r>
      <w:r w:rsidRPr="009A35F5">
        <w:t xml:space="preserve"> </w:t>
      </w:r>
      <w:r w:rsidR="00FA3564" w:rsidRPr="009A35F5">
        <w:rPr>
          <w:i/>
        </w:rPr>
        <w:t>Id.</w:t>
      </w:r>
      <w:r w:rsidR="00357644" w:rsidRPr="009A35F5">
        <w:t xml:space="preserve"> </w:t>
      </w:r>
      <w:r w:rsidR="0092123D" w:rsidRPr="009A35F5">
        <w:t>at</w:t>
      </w:r>
      <w:r w:rsidR="0092123D">
        <w:t xml:space="preserve"> 2-4.</w:t>
      </w:r>
    </w:p>
  </w:footnote>
  <w:footnote w:id="34">
    <w:p w14:paraId="4D78255F" w14:textId="77777777" w:rsidR="0092123D" w:rsidRPr="003A459C" w:rsidRDefault="0092123D">
      <w:pPr>
        <w:pStyle w:val="FootnoteText"/>
      </w:pPr>
      <w:r>
        <w:rPr>
          <w:rStyle w:val="FootnoteReference"/>
        </w:rPr>
        <w:footnoteRef/>
      </w:r>
      <w:r>
        <w:t xml:space="preserve"> </w:t>
      </w:r>
      <w:r>
        <w:rPr>
          <w:i/>
        </w:rPr>
        <w:t xml:space="preserve">Id. </w:t>
      </w:r>
      <w:r>
        <w:t xml:space="preserve">at 3. </w:t>
      </w:r>
    </w:p>
  </w:footnote>
  <w:footnote w:id="35">
    <w:p w14:paraId="4D782560" w14:textId="77777777" w:rsidR="00CF0739" w:rsidRPr="00695CDD" w:rsidRDefault="00CF0739" w:rsidP="002223D1">
      <w:pPr>
        <w:pStyle w:val="FootnoteText"/>
        <w:rPr>
          <w:szCs w:val="26"/>
        </w:rPr>
      </w:pPr>
      <w:r w:rsidRPr="00695CDD">
        <w:rPr>
          <w:rStyle w:val="FootnoteReference"/>
        </w:rPr>
        <w:footnoteRef/>
      </w:r>
      <w:r w:rsidRPr="00695CDD">
        <w:rPr>
          <w:szCs w:val="26"/>
        </w:rPr>
        <w:t xml:space="preserve"> </w:t>
      </w:r>
      <w:r w:rsidR="00357644">
        <w:rPr>
          <w:i/>
          <w:szCs w:val="26"/>
        </w:rPr>
        <w:t xml:space="preserve">Id. </w:t>
      </w:r>
      <w:r w:rsidRPr="00695CDD">
        <w:rPr>
          <w:szCs w:val="26"/>
        </w:rPr>
        <w:t xml:space="preserve">at 4-5.  </w:t>
      </w:r>
    </w:p>
  </w:footnote>
  <w:footnote w:id="36">
    <w:p w14:paraId="4D782561" w14:textId="77777777" w:rsidR="00CF0739" w:rsidRPr="00695CDD" w:rsidRDefault="00CF0739" w:rsidP="002223D1">
      <w:pPr>
        <w:pStyle w:val="FootnoteText"/>
        <w:rPr>
          <w:szCs w:val="26"/>
        </w:rPr>
      </w:pPr>
      <w:r w:rsidRPr="00695CDD">
        <w:rPr>
          <w:rStyle w:val="FootnoteReference"/>
        </w:rPr>
        <w:footnoteRef/>
      </w:r>
      <w:r w:rsidRPr="00695CDD">
        <w:rPr>
          <w:szCs w:val="26"/>
        </w:rPr>
        <w:t xml:space="preserve"> Standards Independent Expert</w:t>
      </w:r>
      <w:r w:rsidR="009A35F5">
        <w:rPr>
          <w:szCs w:val="26"/>
        </w:rPr>
        <w:t>s</w:t>
      </w:r>
      <w:r w:rsidRPr="00695CDD">
        <w:rPr>
          <w:szCs w:val="26"/>
        </w:rPr>
        <w:t xml:space="preserve"> Review Project at 26, </w:t>
      </w:r>
      <w:r w:rsidRPr="001B4D60">
        <w:rPr>
          <w:szCs w:val="26"/>
        </w:rPr>
        <w:t>http://www.nerc.com/pa/Stand/Resources/Documents/Standards_Independent_Experts_Review_Project_Report.pdf</w:t>
      </w:r>
      <w:r w:rsidRPr="00E17360">
        <w:rPr>
          <w:szCs w:val="26"/>
        </w:rPr>
        <w:t>.</w:t>
      </w:r>
      <w:r w:rsidRPr="00695CDD">
        <w:rPr>
          <w:szCs w:val="26"/>
        </w:rPr>
        <w:t xml:space="preserve">  </w:t>
      </w:r>
    </w:p>
  </w:footnote>
  <w:footnote w:id="37">
    <w:p w14:paraId="4D782562" w14:textId="77777777" w:rsidR="00CF0739" w:rsidRPr="00695CDD" w:rsidRDefault="00CF0739">
      <w:pPr>
        <w:pStyle w:val="FootnoteText"/>
      </w:pPr>
      <w:r w:rsidRPr="00695CDD">
        <w:rPr>
          <w:rStyle w:val="FootnoteReference"/>
        </w:rPr>
        <w:footnoteRef/>
      </w:r>
      <w:r w:rsidRPr="00695CDD">
        <w:t xml:space="preserve"> </w:t>
      </w:r>
      <w:r w:rsidRPr="00695CDD">
        <w:rPr>
          <w:i/>
        </w:rPr>
        <w:t xml:space="preserve">Id. </w:t>
      </w:r>
      <w:r w:rsidRPr="00695CDD">
        <w:t xml:space="preserve">at 1. </w:t>
      </w:r>
    </w:p>
  </w:footnote>
  <w:footnote w:id="38">
    <w:p w14:paraId="4D782563" w14:textId="77777777" w:rsidR="00CF0739" w:rsidRDefault="00CF0739">
      <w:pPr>
        <w:pStyle w:val="FootnoteText"/>
      </w:pPr>
      <w:r>
        <w:rPr>
          <w:rStyle w:val="FootnoteReference"/>
        </w:rPr>
        <w:footnoteRef/>
      </w:r>
      <w:r>
        <w:t xml:space="preserve"> 44 U.S.C. 3501-3520.  </w:t>
      </w:r>
    </w:p>
  </w:footnote>
  <w:footnote w:id="39">
    <w:p w14:paraId="4D782564" w14:textId="77777777" w:rsidR="00CF0739" w:rsidRPr="00695CDD" w:rsidRDefault="00CF0739" w:rsidP="000264D1">
      <w:pPr>
        <w:pStyle w:val="FootnoteText"/>
      </w:pPr>
      <w:r w:rsidRPr="00695CDD">
        <w:rPr>
          <w:b/>
          <w:szCs w:val="26"/>
          <w:vertAlign w:val="superscript"/>
        </w:rPr>
        <w:footnoteRef/>
      </w:r>
      <w:r w:rsidRPr="00695CDD">
        <w:rPr>
          <w:szCs w:val="26"/>
        </w:rPr>
        <w:t xml:space="preserve"> 5 C.F.R. 1320.11.</w:t>
      </w:r>
    </w:p>
  </w:footnote>
  <w:footnote w:id="40">
    <w:p w14:paraId="4D782565" w14:textId="77777777" w:rsidR="00753894" w:rsidRDefault="00753894">
      <w:pPr>
        <w:pStyle w:val="FootnoteText"/>
      </w:pPr>
      <w:r>
        <w:rPr>
          <w:rStyle w:val="FootnoteReference"/>
        </w:rPr>
        <w:footnoteRef/>
      </w:r>
      <w:r>
        <w:t xml:space="preserve"> </w:t>
      </w:r>
      <w:r w:rsidRPr="008544B1">
        <w:rPr>
          <w:szCs w:val="26"/>
        </w:rPr>
        <w:t xml:space="preserve">Proposed Reliability Standard FAC-001-3 replaces and strengthens currently effective Reliability Standard FAC-001-2 by moving currently effective Requirement R1 of Reliability Standard BAL-005-0.2b to proposed </w:t>
      </w:r>
      <w:r w:rsidR="000B6CD1">
        <w:rPr>
          <w:szCs w:val="26"/>
        </w:rPr>
        <w:t xml:space="preserve">Reliability Standard </w:t>
      </w:r>
      <w:r w:rsidRPr="008544B1">
        <w:rPr>
          <w:szCs w:val="26"/>
        </w:rPr>
        <w:t>FAC-001-3</w:t>
      </w:r>
      <w:r>
        <w:t>,</w:t>
      </w:r>
      <w:r w:rsidRPr="008544B1">
        <w:rPr>
          <w:szCs w:val="26"/>
        </w:rPr>
        <w:t xml:space="preserve"> requiring that </w:t>
      </w:r>
      <w:r>
        <w:t xml:space="preserve">transmission owner and generator owner </w:t>
      </w:r>
      <w:r w:rsidRPr="008544B1">
        <w:rPr>
          <w:szCs w:val="26"/>
        </w:rPr>
        <w:t xml:space="preserve">interconnection requirements include procedures for confirming that new or materially modified </w:t>
      </w:r>
      <w:r>
        <w:t>f</w:t>
      </w:r>
      <w:r w:rsidRPr="008544B1">
        <w:rPr>
          <w:szCs w:val="26"/>
        </w:rPr>
        <w:t xml:space="preserve">acilities connecting to the </w:t>
      </w:r>
      <w:r>
        <w:t xml:space="preserve">bulk electric system </w:t>
      </w:r>
      <w:r w:rsidRPr="008544B1">
        <w:rPr>
          <w:szCs w:val="26"/>
        </w:rPr>
        <w:t xml:space="preserve">are within a </w:t>
      </w:r>
      <w:r>
        <w:t xml:space="preserve">balancing authority’s </w:t>
      </w:r>
      <w:r w:rsidRPr="008544B1">
        <w:rPr>
          <w:szCs w:val="26"/>
        </w:rPr>
        <w:t xml:space="preserve">metered boundaries. </w:t>
      </w:r>
      <w:r>
        <w:t xml:space="preserve"> NERC </w:t>
      </w:r>
      <w:r w:rsidR="000B6CD1">
        <w:t xml:space="preserve">explains </w:t>
      </w:r>
      <w:r>
        <w:t>that t</w:t>
      </w:r>
      <w:r w:rsidRPr="008544B1">
        <w:rPr>
          <w:szCs w:val="26"/>
        </w:rPr>
        <w:t xml:space="preserve">hese interconnection requirements should be relocated to Reliability Standard FAC-001-3, as FAC-001-3 establishes </w:t>
      </w:r>
      <w:r>
        <w:t>f</w:t>
      </w:r>
      <w:r w:rsidRPr="008544B1">
        <w:rPr>
          <w:szCs w:val="26"/>
        </w:rPr>
        <w:t>acility interconnection requirements.</w:t>
      </w:r>
    </w:p>
  </w:footnote>
  <w:footnote w:id="41">
    <w:p w14:paraId="4D782566" w14:textId="77777777" w:rsidR="00B93DCC" w:rsidRDefault="00B93DCC">
      <w:pPr>
        <w:pStyle w:val="FootnoteText"/>
      </w:pPr>
      <w:r>
        <w:rPr>
          <w:rStyle w:val="FootnoteReference"/>
        </w:rPr>
        <w:footnoteRef/>
      </w:r>
      <w:r>
        <w:t xml:space="preserve"> The estimated number of respondents is </w:t>
      </w:r>
      <w:r w:rsidRPr="001917F3">
        <w:t xml:space="preserve">based on the NERC </w:t>
      </w:r>
      <w:r w:rsidR="009A3B88" w:rsidRPr="001917F3">
        <w:t xml:space="preserve">compliance registry </w:t>
      </w:r>
      <w:r w:rsidRPr="001917F3">
        <w:t xml:space="preserve">as of </w:t>
      </w:r>
      <w:r>
        <w:t>August</w:t>
      </w:r>
      <w:r w:rsidRPr="001917F3">
        <w:t xml:space="preserve"> 1</w:t>
      </w:r>
      <w:r>
        <w:t>2</w:t>
      </w:r>
      <w:r w:rsidRPr="001917F3">
        <w:t xml:space="preserve">, 2016.  According to the NERC </w:t>
      </w:r>
      <w:r w:rsidR="009A3B88" w:rsidRPr="001917F3">
        <w:t>compliance registry</w:t>
      </w:r>
      <w:r w:rsidRPr="001917F3">
        <w:t xml:space="preserve">, there are 70 </w:t>
      </w:r>
      <w:r w:rsidR="00931594">
        <w:t xml:space="preserve">U.S. </w:t>
      </w:r>
      <w:r w:rsidRPr="001917F3">
        <w:t xml:space="preserve">balancing </w:t>
      </w:r>
      <w:r w:rsidRPr="00931594">
        <w:t xml:space="preserve">authorities </w:t>
      </w:r>
      <w:r w:rsidR="00955992" w:rsidRPr="00931594">
        <w:t xml:space="preserve">(BA) </w:t>
      </w:r>
      <w:r w:rsidRPr="00931594">
        <w:t>in the Eastern Interconnection, 34 balancing authorities in the Western Interconnection and one balancing authority in the Electric Reliability Council of Texas (ERCOT).</w:t>
      </w:r>
      <w:r w:rsidRPr="001917F3">
        <w:t xml:space="preserve">  </w:t>
      </w:r>
    </w:p>
  </w:footnote>
  <w:footnote w:id="42">
    <w:p w14:paraId="4D782567" w14:textId="77777777" w:rsidR="00B93DCC" w:rsidRDefault="00B93DCC">
      <w:pPr>
        <w:pStyle w:val="FootnoteText"/>
      </w:pPr>
      <w:r>
        <w:rPr>
          <w:rStyle w:val="FootnoteReference"/>
        </w:rPr>
        <w:footnoteRef/>
      </w:r>
      <w:r>
        <w:t xml:space="preserve"> The burden hours and cost are based on the hourly cost for an engineer for BAL-005-1, the </w:t>
      </w:r>
      <w:r w:rsidR="006C75B0">
        <w:t xml:space="preserve">average of the </w:t>
      </w:r>
      <w:r>
        <w:t xml:space="preserve">hourly cost for </w:t>
      </w:r>
      <w:r w:rsidR="006C75B0">
        <w:t xml:space="preserve">an engineer and clerical </w:t>
      </w:r>
      <w:r w:rsidR="006C75B0" w:rsidRPr="00931594">
        <w:t xml:space="preserve">staff </w:t>
      </w:r>
      <w:r w:rsidR="00955992" w:rsidRPr="00931594">
        <w:t xml:space="preserve">for </w:t>
      </w:r>
      <w:r w:rsidRPr="00931594">
        <w:t>FAC-</w:t>
      </w:r>
      <w:r>
        <w:t>001-3</w:t>
      </w:r>
      <w:r w:rsidR="00B9645F">
        <w:t>,</w:t>
      </w:r>
      <w:r>
        <w:t xml:space="preserve"> and the hourly cost for </w:t>
      </w:r>
      <w:r w:rsidR="006C75B0">
        <w:t xml:space="preserve">clerical staff </w:t>
      </w:r>
      <w:r>
        <w:t>for changes associated with the retirement of BA</w:t>
      </w:r>
      <w:r w:rsidR="005330F9">
        <w:t>L</w:t>
      </w:r>
      <w:r>
        <w:t xml:space="preserve">-006-2.  </w:t>
      </w:r>
    </w:p>
  </w:footnote>
  <w:footnote w:id="43">
    <w:p w14:paraId="4D782568" w14:textId="77777777" w:rsidR="005330F9" w:rsidRDefault="005330F9">
      <w:pPr>
        <w:pStyle w:val="FootnoteText"/>
      </w:pPr>
      <w:r>
        <w:rPr>
          <w:rStyle w:val="FootnoteReference"/>
        </w:rPr>
        <w:footnoteRef/>
      </w:r>
      <w:r>
        <w:t xml:space="preserve"> For purposes of </w:t>
      </w:r>
      <w:r w:rsidR="006C75B0">
        <w:t xml:space="preserve">determining </w:t>
      </w:r>
      <w:r>
        <w:t xml:space="preserve">the overall </w:t>
      </w:r>
      <w:r w:rsidR="006C75B0">
        <w:t xml:space="preserve">annual </w:t>
      </w:r>
      <w:r>
        <w:t xml:space="preserve">cost of the </w:t>
      </w:r>
      <w:r w:rsidR="006C75B0">
        <w:t xml:space="preserve">record-keeping and reporting </w:t>
      </w:r>
      <w:r>
        <w:t xml:space="preserve">changes </w:t>
      </w:r>
      <w:r w:rsidR="006C75B0">
        <w:t xml:space="preserve">reflected in this NOPR, </w:t>
      </w:r>
      <w:r>
        <w:t>the one-time cost associated with administering the change</w:t>
      </w:r>
      <w:r w:rsidR="006C75B0">
        <w:t xml:space="preserve"> to </w:t>
      </w:r>
      <w:r>
        <w:t xml:space="preserve">BAL-005-1 </w:t>
      </w:r>
      <w:r w:rsidR="006C75B0">
        <w:t xml:space="preserve">is </w:t>
      </w:r>
      <w:r>
        <w:t xml:space="preserve">being treated as an annual cost.  </w:t>
      </w:r>
    </w:p>
  </w:footnote>
  <w:footnote w:id="44">
    <w:p w14:paraId="4D782569" w14:textId="77777777" w:rsidR="009A3B88" w:rsidRDefault="009A3B88">
      <w:pPr>
        <w:pStyle w:val="FootnoteText"/>
      </w:pPr>
      <w:r>
        <w:rPr>
          <w:rStyle w:val="FootnoteReference"/>
        </w:rPr>
        <w:footnoteRef/>
      </w:r>
      <w:r>
        <w:t xml:space="preserve"> </w:t>
      </w:r>
      <w:r w:rsidR="005330F9">
        <w:t xml:space="preserve">Per the NERC compliance registry, there are </w:t>
      </w:r>
      <w:r w:rsidR="005330F9" w:rsidRPr="00931594">
        <w:t xml:space="preserve">56 generator owners </w:t>
      </w:r>
      <w:r w:rsidR="009B769B" w:rsidRPr="00931594">
        <w:t xml:space="preserve">(GO) </w:t>
      </w:r>
      <w:r w:rsidR="005330F9" w:rsidRPr="00931594">
        <w:t xml:space="preserve">that are not also generator operators and 142 transmission owners </w:t>
      </w:r>
      <w:r w:rsidR="009B769B" w:rsidRPr="00931594">
        <w:t xml:space="preserve">(TO) </w:t>
      </w:r>
      <w:r w:rsidR="005330F9" w:rsidRPr="00931594">
        <w:t>that are not also transmission operators, for a total of 198 new entitie</w:t>
      </w:r>
      <w:r w:rsidR="005330F9">
        <w:t xml:space="preserve">s </w:t>
      </w:r>
      <w:r w:rsidR="00931594">
        <w:t xml:space="preserve">in the United States </w:t>
      </w:r>
      <w:r w:rsidR="005330F9">
        <w:t xml:space="preserve">subject to FAC-001-3 </w:t>
      </w:r>
      <w:r w:rsidR="003C638D">
        <w:t>Requirement</w:t>
      </w:r>
      <w:r w:rsidR="005330F9">
        <w:t xml:space="preserve"> R3. </w:t>
      </w:r>
    </w:p>
  </w:footnote>
  <w:footnote w:id="45">
    <w:p w14:paraId="4D78256A" w14:textId="77777777" w:rsidR="005330F9" w:rsidRDefault="005330F9">
      <w:pPr>
        <w:pStyle w:val="FootnoteText"/>
      </w:pPr>
      <w:r>
        <w:rPr>
          <w:rStyle w:val="FootnoteReference"/>
        </w:rPr>
        <w:footnoteRef/>
      </w:r>
      <w:r>
        <w:t xml:space="preserve"> The project cost per response for record-keeping and reporting associated with the revisions in FAC-001-3 reflect an average of the hourly cost for an engineer and for clerical staff. </w:t>
      </w:r>
    </w:p>
  </w:footnote>
  <w:footnote w:id="46">
    <w:p w14:paraId="4D78256B" w14:textId="77777777" w:rsidR="00CF0739" w:rsidRPr="00695CDD" w:rsidRDefault="00CF0739" w:rsidP="000264D1">
      <w:pPr>
        <w:pStyle w:val="FootnoteText"/>
      </w:pPr>
      <w:r w:rsidRPr="00695CDD">
        <w:rPr>
          <w:rStyle w:val="FootnoteReference"/>
          <w:szCs w:val="26"/>
        </w:rPr>
        <w:footnoteRef/>
      </w:r>
      <w:r w:rsidR="001B4D60">
        <w:t xml:space="preserve"> </w:t>
      </w:r>
      <w:r w:rsidRPr="00695CDD">
        <w:rPr>
          <w:i/>
        </w:rPr>
        <w:t>Regulations Implementing National Environmental Policy Act of 1969</w:t>
      </w:r>
      <w:r w:rsidRPr="00695CDD">
        <w:t>, Order No. 486, FERC Stats. &amp; Regs., ¶ 30,783 (1987).</w:t>
      </w:r>
    </w:p>
  </w:footnote>
  <w:footnote w:id="47">
    <w:p w14:paraId="4D78256C" w14:textId="77777777" w:rsidR="00CF0739" w:rsidRPr="00695CDD" w:rsidRDefault="00CF0739" w:rsidP="000264D1">
      <w:pPr>
        <w:pStyle w:val="FootnoteText"/>
      </w:pPr>
      <w:r w:rsidRPr="00695CDD">
        <w:rPr>
          <w:rStyle w:val="FootnoteReference"/>
          <w:szCs w:val="26"/>
        </w:rPr>
        <w:footnoteRef/>
      </w:r>
      <w:r w:rsidR="001B4D60">
        <w:t xml:space="preserve"> </w:t>
      </w:r>
      <w:r w:rsidRPr="00695CDD">
        <w:t>18 C.F.R. 380.4(a)(2)(ii).</w:t>
      </w:r>
    </w:p>
  </w:footnote>
  <w:footnote w:id="48">
    <w:p w14:paraId="4D78256D" w14:textId="77777777" w:rsidR="00CF0739" w:rsidRPr="00695CDD" w:rsidRDefault="00CF0739" w:rsidP="000264D1">
      <w:pPr>
        <w:pStyle w:val="FootnoteText"/>
      </w:pPr>
      <w:r w:rsidRPr="00695CDD">
        <w:rPr>
          <w:rStyle w:val="FootnoteReference"/>
          <w:szCs w:val="26"/>
        </w:rPr>
        <w:footnoteRef/>
      </w:r>
      <w:r w:rsidR="001B4D60">
        <w:t xml:space="preserve"> </w:t>
      </w:r>
      <w:r w:rsidRPr="00695CDD">
        <w:t>5 U.S.C. 601-612.</w:t>
      </w:r>
    </w:p>
  </w:footnote>
  <w:footnote w:id="49">
    <w:p w14:paraId="4D78256E" w14:textId="77777777" w:rsidR="00E63DE8" w:rsidRDefault="00E63DE8" w:rsidP="00E63DE8">
      <w:pPr>
        <w:pStyle w:val="FootnoteText"/>
      </w:pPr>
      <w:r>
        <w:rPr>
          <w:rStyle w:val="FootnoteReference"/>
        </w:rPr>
        <w:footnoteRef/>
      </w:r>
      <w:r>
        <w:t xml:space="preserve"> 13 C</w:t>
      </w:r>
      <w:r w:rsidR="006C75B0">
        <w:t>.</w:t>
      </w:r>
      <w:r>
        <w:t>F</w:t>
      </w:r>
      <w:r w:rsidR="006C75B0">
        <w:t>.</w:t>
      </w:r>
      <w:r>
        <w:t>R</w:t>
      </w:r>
      <w:r w:rsidR="006C75B0">
        <w:t>.</w:t>
      </w:r>
      <w:r>
        <w:t xml:space="preserve"> 121.201, Sector 22 (Utilities), NAICS code </w:t>
      </w:r>
      <w:r w:rsidRPr="00E5243E">
        <w:t>221121</w:t>
      </w:r>
      <w:r>
        <w:t xml:space="preserve"> (</w:t>
      </w:r>
      <w:r w:rsidRPr="00E5243E">
        <w:t>Electric Bulk Power Transmission and Control</w:t>
      </w:r>
      <w:r>
        <w:t>).</w:t>
      </w:r>
    </w:p>
  </w:footnote>
  <w:footnote w:id="50">
    <w:p w14:paraId="4D78256F" w14:textId="77777777" w:rsidR="00B07E6B" w:rsidRDefault="00E63DE8" w:rsidP="00B07E6B">
      <w:pPr>
        <w:pStyle w:val="FootnoteText"/>
        <w:spacing w:after="0"/>
        <w:rPr>
          <w:i/>
        </w:rPr>
      </w:pPr>
      <w:r>
        <w:rPr>
          <w:rStyle w:val="FootnoteReference"/>
        </w:rPr>
        <w:footnoteRef/>
      </w:r>
      <w:r>
        <w:t xml:space="preserve"> U. S. Small Business Administration, </w:t>
      </w:r>
      <w:r w:rsidRPr="00A22600">
        <w:rPr>
          <w:i/>
        </w:rPr>
        <w:t>A Guide for Government Agencies</w:t>
      </w:r>
      <w:r w:rsidR="001B4D60">
        <w:rPr>
          <w:i/>
        </w:rPr>
        <w:t xml:space="preserve">:  </w:t>
      </w:r>
    </w:p>
    <w:p w14:paraId="4D782570" w14:textId="77777777" w:rsidR="00E63DE8" w:rsidRDefault="001B4D60" w:rsidP="009F45B5">
      <w:pPr>
        <w:pStyle w:val="FootnoteText"/>
        <w:spacing w:after="0"/>
        <w:ind w:firstLine="0"/>
      </w:pPr>
      <w:r>
        <w:rPr>
          <w:i/>
        </w:rPr>
        <w:t>How to c</w:t>
      </w:r>
      <w:r w:rsidR="00E63DE8" w:rsidRPr="00A22600">
        <w:rPr>
          <w:i/>
        </w:rPr>
        <w:t>omply</w:t>
      </w:r>
      <w:r w:rsidR="00B07E6B">
        <w:rPr>
          <w:i/>
        </w:rPr>
        <w:t xml:space="preserve"> </w:t>
      </w:r>
      <w:r w:rsidR="00E63DE8" w:rsidRPr="00A22600">
        <w:rPr>
          <w:i/>
        </w:rPr>
        <w:t>with</w:t>
      </w:r>
      <w:r w:rsidR="00B07E6B">
        <w:rPr>
          <w:i/>
        </w:rPr>
        <w:t xml:space="preserve"> </w:t>
      </w:r>
      <w:r w:rsidR="00E63DE8" w:rsidRPr="00A22600">
        <w:rPr>
          <w:i/>
        </w:rPr>
        <w:t>the</w:t>
      </w:r>
      <w:r w:rsidR="00B07E6B">
        <w:rPr>
          <w:i/>
        </w:rPr>
        <w:t xml:space="preserve"> </w:t>
      </w:r>
      <w:r w:rsidR="00E63DE8" w:rsidRPr="00A22600">
        <w:rPr>
          <w:i/>
        </w:rPr>
        <w:t>Regulatory</w:t>
      </w:r>
      <w:r w:rsidR="00B07E6B">
        <w:rPr>
          <w:i/>
        </w:rPr>
        <w:t xml:space="preserve"> </w:t>
      </w:r>
      <w:r w:rsidR="00E63DE8" w:rsidRPr="00A22600">
        <w:rPr>
          <w:i/>
        </w:rPr>
        <w:t>Flexibility</w:t>
      </w:r>
      <w:r w:rsidR="00B07E6B">
        <w:rPr>
          <w:i/>
        </w:rPr>
        <w:t xml:space="preserve"> </w:t>
      </w:r>
      <w:r w:rsidR="00E63DE8" w:rsidRPr="00A22600">
        <w:rPr>
          <w:i/>
        </w:rPr>
        <w:t>Act</w:t>
      </w:r>
      <w:r w:rsidR="00E63DE8">
        <w:t>,</w:t>
      </w:r>
      <w:r w:rsidR="00B07E6B">
        <w:t xml:space="preserve"> </w:t>
      </w:r>
      <w:r w:rsidR="00E63DE8">
        <w:t>at</w:t>
      </w:r>
      <w:r w:rsidR="00B07E6B">
        <w:t xml:space="preserve"> </w:t>
      </w:r>
      <w:r w:rsidR="00E63DE8">
        <w:t>18</w:t>
      </w:r>
      <w:r w:rsidR="00B07E6B">
        <w:t xml:space="preserve"> </w:t>
      </w:r>
      <w:r w:rsidR="00E63DE8">
        <w:t>(May</w:t>
      </w:r>
      <w:r w:rsidR="00B07E6B">
        <w:t xml:space="preserve"> </w:t>
      </w:r>
      <w:r w:rsidR="00E63DE8">
        <w:t>2012),</w:t>
      </w:r>
      <w:r w:rsidR="00B07E6B">
        <w:t xml:space="preserve"> </w:t>
      </w:r>
      <w:r w:rsidR="00E63DE8">
        <w:t>https://www.sba.gov/sites/default/files/advocacy/rfaguide_0512_0.pdf.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82538" w14:textId="77777777" w:rsidR="00CF0739" w:rsidRDefault="00CF0739" w:rsidP="009902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B98">
      <w:rPr>
        <w:rStyle w:val="PageNumber"/>
        <w:noProof/>
      </w:rPr>
      <w:t>xi</w:t>
    </w:r>
    <w:r>
      <w:rPr>
        <w:rStyle w:val="PageNumber"/>
      </w:rPr>
      <w:fldChar w:fldCharType="end"/>
    </w:r>
  </w:p>
  <w:p w14:paraId="4D782539" w14:textId="77777777" w:rsidR="00CF0739" w:rsidRDefault="00CF0739" w:rsidP="0099029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8253A" w14:textId="77777777" w:rsidR="00CF0739" w:rsidRPr="00E349E6" w:rsidRDefault="00CF0739" w:rsidP="00990291">
    <w:pPr>
      <w:pStyle w:val="Header"/>
      <w:ind w:right="360"/>
    </w:pPr>
    <w:r>
      <w:t xml:space="preserve">Docket No. RM16-13-000 </w:t>
    </w:r>
    <w:r>
      <w:tab/>
    </w:r>
    <w:r>
      <w:fldChar w:fldCharType="begin"/>
    </w:r>
    <w:r>
      <w:instrText xml:space="preserve"> PAGE  \* MERGEFORMAT </w:instrText>
    </w:r>
    <w:r>
      <w:fldChar w:fldCharType="separate"/>
    </w:r>
    <w:r w:rsidR="00330188">
      <w:rPr>
        <w:noProof/>
      </w:rPr>
      <w:t>ii</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8253B" w14:textId="77777777" w:rsidR="00CF0739" w:rsidRDefault="00CF0739" w:rsidP="009902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B98">
      <w:rPr>
        <w:rStyle w:val="PageNumber"/>
        <w:noProof/>
      </w:rPr>
      <w:t>- 11 -</w:t>
    </w:r>
    <w:r>
      <w:rPr>
        <w:rStyle w:val="PageNumber"/>
      </w:rPr>
      <w:fldChar w:fldCharType="end"/>
    </w:r>
  </w:p>
  <w:p w14:paraId="4D78253C" w14:textId="77777777" w:rsidR="00CF0739" w:rsidRDefault="00CF0739" w:rsidP="00990291">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8253D" w14:textId="77777777" w:rsidR="00CF0739" w:rsidRPr="00E349E6" w:rsidRDefault="00CF0739" w:rsidP="00990291">
    <w:pPr>
      <w:pStyle w:val="Header"/>
      <w:ind w:right="360"/>
    </w:pPr>
    <w:r>
      <w:t xml:space="preserve">Docket No. RM16-13-000 </w:t>
    </w:r>
    <w:r>
      <w:tab/>
    </w:r>
    <w:r>
      <w:fldChar w:fldCharType="begin"/>
    </w:r>
    <w:r>
      <w:instrText xml:space="preserve"> PAGE  \* MERGEFORMAT </w:instrText>
    </w:r>
    <w:r>
      <w:fldChar w:fldCharType="separate"/>
    </w:r>
    <w:r w:rsidR="00330188">
      <w:rPr>
        <w:noProof/>
      </w:rPr>
      <w:t>- 19 -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8253E" w14:textId="77777777" w:rsidR="00CF0739" w:rsidRDefault="00CF073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BE8AB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98C4F0C"/>
    <w:lvl w:ilvl="0">
      <w:start w:val="1"/>
      <w:numFmt w:val="decimal"/>
      <w:pStyle w:val="ListNumber5"/>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9F61F50"/>
    <w:lvl w:ilvl="0">
      <w:start w:val="1"/>
      <w:numFmt w:val="decimal"/>
      <w:pStyle w:val="ListNumber4"/>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93A6480"/>
    <w:lvl w:ilvl="0">
      <w:start w:val="1"/>
      <w:numFmt w:val="decimal"/>
      <w:pStyle w:val="ListNumber3"/>
      <w:lvlText w:val="%1."/>
      <w:lvlJc w:val="left"/>
      <w:pPr>
        <w:tabs>
          <w:tab w:val="num" w:pos="720"/>
        </w:tabs>
        <w:ind w:left="720" w:hanging="360"/>
      </w:pPr>
      <w:rPr>
        <w:rFonts w:cs="Times New Roman"/>
      </w:rPr>
    </w:lvl>
  </w:abstractNum>
  <w:abstractNum w:abstractNumId="4" w15:restartNumberingAfterBreak="0">
    <w:nsid w:val="FFFFFF80"/>
    <w:multiLevelType w:val="singleLevel"/>
    <w:tmpl w:val="CB003B56"/>
    <w:lvl w:ilvl="0">
      <w:start w:val="1"/>
      <w:numFmt w:val="bullet"/>
      <w:pStyle w:val="ListNumber"/>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5"/>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4"/>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3"/>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2"/>
      <w:lvlText w:val="%1."/>
      <w:lvlJc w:val="left"/>
      <w:pPr>
        <w:tabs>
          <w:tab w:val="num" w:pos="360"/>
        </w:tabs>
        <w:ind w:left="360" w:hanging="360"/>
      </w:pPr>
      <w:rPr>
        <w:rFonts w:cs="Times New Roman"/>
      </w:rPr>
    </w:lvl>
  </w:abstractNum>
  <w:abstractNum w:abstractNumId="9" w15:restartNumberingAfterBreak="0">
    <w:nsid w:val="FFFFFF89"/>
    <w:multiLevelType w:val="singleLevel"/>
    <w:tmpl w:val="DDFE0A4E"/>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16A024BD"/>
    <w:multiLevelType w:val="hybridMultilevel"/>
    <w:tmpl w:val="1F707DF0"/>
    <w:lvl w:ilvl="0" w:tplc="F06A9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C54E9C"/>
    <w:multiLevelType w:val="hybridMultilevel"/>
    <w:tmpl w:val="14F2F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156D43"/>
    <w:multiLevelType w:val="multilevel"/>
    <w:tmpl w:val="8152A0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3" w15:restartNumberingAfterBreak="0">
    <w:nsid w:val="4CBF7F76"/>
    <w:multiLevelType w:val="hybridMultilevel"/>
    <w:tmpl w:val="6D46B76A"/>
    <w:lvl w:ilvl="0" w:tplc="564026DE">
      <w:start w:val="1"/>
      <w:numFmt w:val="decimal"/>
      <w:lvlText w:val="%1."/>
      <w:lvlJc w:val="left"/>
      <w:pPr>
        <w:ind w:left="720" w:hanging="360"/>
      </w:pPr>
      <w:rPr>
        <w:rFonts w:ascii="Times New Roman" w:hAnsi="Times New Roman" w:cs="Times New Roman" w:hint="default"/>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627BC"/>
    <w:multiLevelType w:val="hybridMultilevel"/>
    <w:tmpl w:val="0FDE1E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86608C"/>
    <w:multiLevelType w:val="multilevel"/>
    <w:tmpl w:val="FD5E8766"/>
    <w:lvl w:ilvl="0">
      <w:start w:val="1"/>
      <w:numFmt w:val="upperRoman"/>
      <w:lvlRestart w:val="0"/>
      <w:pStyle w:val="Heading1"/>
      <w:lvlText w:val="%1."/>
      <w:lvlJc w:val="left"/>
      <w:pPr>
        <w:tabs>
          <w:tab w:val="num" w:pos="720"/>
        </w:tabs>
        <w:ind w:left="720" w:hanging="720"/>
      </w:pPr>
      <w:rPr>
        <w:rFonts w:cs="Times New Roman"/>
      </w:rPr>
    </w:lvl>
    <w:lvl w:ilvl="1">
      <w:start w:val="1"/>
      <w:numFmt w:val="upperLetter"/>
      <w:pStyle w:val="Heading2"/>
      <w:lvlText w:val="%2."/>
      <w:lvlJc w:val="left"/>
      <w:pPr>
        <w:tabs>
          <w:tab w:val="num" w:pos="1080"/>
        </w:tabs>
        <w:ind w:left="1080" w:hanging="720"/>
      </w:pPr>
      <w:rPr>
        <w:rFonts w:cs="Times New Roman"/>
      </w:rPr>
    </w:lvl>
    <w:lvl w:ilvl="2">
      <w:start w:val="1"/>
      <w:numFmt w:val="decimal"/>
      <w:pStyle w:val="Heading3"/>
      <w:lvlText w:val="%3."/>
      <w:lvlJc w:val="left"/>
      <w:pPr>
        <w:tabs>
          <w:tab w:val="num" w:pos="1440"/>
        </w:tabs>
        <w:ind w:left="1440" w:hanging="720"/>
      </w:pPr>
      <w:rPr>
        <w:rFonts w:cs="Times New Roman"/>
      </w:rPr>
    </w:lvl>
    <w:lvl w:ilvl="3">
      <w:start w:val="1"/>
      <w:numFmt w:val="lowerLetter"/>
      <w:pStyle w:val="Heading4"/>
      <w:lvlText w:val="%4."/>
      <w:lvlJc w:val="left"/>
      <w:pPr>
        <w:tabs>
          <w:tab w:val="num" w:pos="1800"/>
        </w:tabs>
        <w:ind w:left="1800" w:hanging="720"/>
      </w:pPr>
      <w:rPr>
        <w:rFonts w:cs="Times New Roman"/>
      </w:rPr>
    </w:lvl>
    <w:lvl w:ilvl="4">
      <w:start w:val="1"/>
      <w:numFmt w:val="lowerRoman"/>
      <w:pStyle w:val="Heading5"/>
      <w:lvlText w:val="%5."/>
      <w:lvlJc w:val="left"/>
      <w:pPr>
        <w:tabs>
          <w:tab w:val="num" w:pos="2160"/>
        </w:tabs>
        <w:ind w:left="2160" w:hanging="720"/>
      </w:pPr>
      <w:rPr>
        <w:rFonts w:cs="Times New Roman"/>
      </w:rPr>
    </w:lvl>
    <w:lvl w:ilvl="5">
      <w:start w:val="1"/>
      <w:numFmt w:val="lowerLetter"/>
      <w:pStyle w:val="Heading6"/>
      <w:lvlText w:val="(%6)"/>
      <w:lvlJc w:val="left"/>
      <w:pPr>
        <w:tabs>
          <w:tab w:val="num" w:pos="2520"/>
        </w:tabs>
        <w:ind w:left="2520" w:hanging="720"/>
      </w:pPr>
      <w:rPr>
        <w:rFonts w:cs="Times New Roman"/>
      </w:rPr>
    </w:lvl>
    <w:lvl w:ilvl="6">
      <w:start w:val="1"/>
      <w:numFmt w:val="decimal"/>
      <w:pStyle w:val="Heading7"/>
      <w:lvlText w:val="(%7)"/>
      <w:lvlJc w:val="left"/>
      <w:pPr>
        <w:tabs>
          <w:tab w:val="num" w:pos="2880"/>
        </w:tabs>
        <w:ind w:left="2880" w:hanging="720"/>
      </w:pPr>
      <w:rPr>
        <w:rFonts w:cs="Times New Roman"/>
      </w:rPr>
    </w:lvl>
    <w:lvl w:ilvl="7">
      <w:start w:val="1"/>
      <w:numFmt w:val="lowerRoman"/>
      <w:pStyle w:val="Heading8"/>
      <w:lvlText w:val="(%8)"/>
      <w:lvlJc w:val="left"/>
      <w:pPr>
        <w:tabs>
          <w:tab w:val="num" w:pos="3240"/>
        </w:tabs>
        <w:ind w:left="3240" w:hanging="720"/>
      </w:pPr>
      <w:rPr>
        <w:rFonts w:cs="Times New Roman"/>
      </w:rPr>
    </w:lvl>
    <w:lvl w:ilvl="8">
      <w:start w:val="1"/>
      <w:numFmt w:val="decimalZero"/>
      <w:pStyle w:val="Heading9"/>
      <w:lvlText w:val="(%9)"/>
      <w:lvlJc w:val="left"/>
      <w:pPr>
        <w:tabs>
          <w:tab w:val="num" w:pos="3600"/>
        </w:tabs>
        <w:ind w:left="3600" w:hanging="720"/>
      </w:pPr>
      <w:rPr>
        <w:rFonts w:cs="Times New Roman"/>
      </w:rPr>
    </w:lvl>
  </w:abstractNum>
  <w:abstractNum w:abstractNumId="16" w15:restartNumberingAfterBreak="0">
    <w:nsid w:val="66646187"/>
    <w:multiLevelType w:val="hybridMultilevel"/>
    <w:tmpl w:val="9DCC217A"/>
    <w:lvl w:ilvl="0" w:tplc="83A6DE70">
      <w:start w:val="1"/>
      <w:numFmt w:val="bullet"/>
      <w:lvlText w:val=""/>
      <w:lvlJc w:val="left"/>
      <w:pPr>
        <w:tabs>
          <w:tab w:val="num" w:pos="360"/>
        </w:tabs>
        <w:ind w:left="720" w:hanging="360"/>
      </w:pPr>
      <w:rPr>
        <w:rFonts w:ascii="Symbol" w:hAnsi="Symbol" w:hint="default"/>
      </w:rPr>
    </w:lvl>
    <w:lvl w:ilvl="1" w:tplc="2A5A4BFE" w:tentative="1">
      <w:start w:val="1"/>
      <w:numFmt w:val="bullet"/>
      <w:lvlText w:val="o"/>
      <w:lvlJc w:val="left"/>
      <w:pPr>
        <w:tabs>
          <w:tab w:val="num" w:pos="1440"/>
        </w:tabs>
        <w:ind w:left="1440" w:hanging="360"/>
      </w:pPr>
      <w:rPr>
        <w:rFonts w:ascii="Courier New" w:hAnsi="Courier New" w:hint="default"/>
      </w:rPr>
    </w:lvl>
    <w:lvl w:ilvl="2" w:tplc="D4D224D8" w:tentative="1">
      <w:start w:val="1"/>
      <w:numFmt w:val="bullet"/>
      <w:lvlText w:val=""/>
      <w:lvlJc w:val="left"/>
      <w:pPr>
        <w:tabs>
          <w:tab w:val="num" w:pos="2160"/>
        </w:tabs>
        <w:ind w:left="2160" w:hanging="360"/>
      </w:pPr>
      <w:rPr>
        <w:rFonts w:ascii="Wingdings" w:hAnsi="Wingdings" w:hint="default"/>
      </w:rPr>
    </w:lvl>
    <w:lvl w:ilvl="3" w:tplc="D0363526" w:tentative="1">
      <w:start w:val="1"/>
      <w:numFmt w:val="bullet"/>
      <w:lvlText w:val=""/>
      <w:lvlJc w:val="left"/>
      <w:pPr>
        <w:tabs>
          <w:tab w:val="num" w:pos="2880"/>
        </w:tabs>
        <w:ind w:left="2880" w:hanging="360"/>
      </w:pPr>
      <w:rPr>
        <w:rFonts w:ascii="Symbol" w:hAnsi="Symbol" w:hint="default"/>
      </w:rPr>
    </w:lvl>
    <w:lvl w:ilvl="4" w:tplc="67E05F2E" w:tentative="1">
      <w:start w:val="1"/>
      <w:numFmt w:val="bullet"/>
      <w:lvlText w:val="o"/>
      <w:lvlJc w:val="left"/>
      <w:pPr>
        <w:tabs>
          <w:tab w:val="num" w:pos="3600"/>
        </w:tabs>
        <w:ind w:left="3600" w:hanging="360"/>
      </w:pPr>
      <w:rPr>
        <w:rFonts w:ascii="Courier New" w:hAnsi="Courier New" w:hint="default"/>
      </w:rPr>
    </w:lvl>
    <w:lvl w:ilvl="5" w:tplc="D44603AC" w:tentative="1">
      <w:start w:val="1"/>
      <w:numFmt w:val="bullet"/>
      <w:lvlText w:val=""/>
      <w:lvlJc w:val="left"/>
      <w:pPr>
        <w:tabs>
          <w:tab w:val="num" w:pos="4320"/>
        </w:tabs>
        <w:ind w:left="4320" w:hanging="360"/>
      </w:pPr>
      <w:rPr>
        <w:rFonts w:ascii="Wingdings" w:hAnsi="Wingdings" w:hint="default"/>
      </w:rPr>
    </w:lvl>
    <w:lvl w:ilvl="6" w:tplc="2F54279A" w:tentative="1">
      <w:start w:val="1"/>
      <w:numFmt w:val="bullet"/>
      <w:lvlText w:val=""/>
      <w:lvlJc w:val="left"/>
      <w:pPr>
        <w:tabs>
          <w:tab w:val="num" w:pos="5040"/>
        </w:tabs>
        <w:ind w:left="5040" w:hanging="360"/>
      </w:pPr>
      <w:rPr>
        <w:rFonts w:ascii="Symbol" w:hAnsi="Symbol" w:hint="default"/>
      </w:rPr>
    </w:lvl>
    <w:lvl w:ilvl="7" w:tplc="CA20E784" w:tentative="1">
      <w:start w:val="1"/>
      <w:numFmt w:val="bullet"/>
      <w:lvlText w:val="o"/>
      <w:lvlJc w:val="left"/>
      <w:pPr>
        <w:tabs>
          <w:tab w:val="num" w:pos="5760"/>
        </w:tabs>
        <w:ind w:left="5760" w:hanging="360"/>
      </w:pPr>
      <w:rPr>
        <w:rFonts w:ascii="Courier New" w:hAnsi="Courier New" w:hint="default"/>
      </w:rPr>
    </w:lvl>
    <w:lvl w:ilvl="8" w:tplc="3A4E4C7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4E4DD3"/>
    <w:multiLevelType w:val="hybridMultilevel"/>
    <w:tmpl w:val="944C9C5C"/>
    <w:lvl w:ilvl="0" w:tplc="1F125C22">
      <w:start w:val="1"/>
      <w:numFmt w:val="decimal"/>
      <w:pStyle w:val="FERCparanumber"/>
      <w:lvlText w:val="%1."/>
      <w:lvlJc w:val="left"/>
      <w:pPr>
        <w:tabs>
          <w:tab w:val="num" w:pos="720"/>
        </w:tabs>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720"/>
        </w:tabs>
        <w:ind w:left="-720" w:hanging="360"/>
      </w:pPr>
      <w:rPr>
        <w:rFonts w:cs="Times New Roman"/>
      </w:rPr>
    </w:lvl>
    <w:lvl w:ilvl="4" w:tplc="FFFFFFFF" w:tentative="1">
      <w:start w:val="1"/>
      <w:numFmt w:val="lowerLetter"/>
      <w:lvlText w:val="%5."/>
      <w:lvlJc w:val="left"/>
      <w:pPr>
        <w:tabs>
          <w:tab w:val="num" w:pos="0"/>
        </w:tabs>
        <w:ind w:hanging="360"/>
      </w:pPr>
      <w:rPr>
        <w:rFonts w:cs="Times New Roman"/>
      </w:rPr>
    </w:lvl>
    <w:lvl w:ilvl="5" w:tplc="FFFFFFFF" w:tentative="1">
      <w:start w:val="1"/>
      <w:numFmt w:val="lowerRoman"/>
      <w:lvlText w:val="%6."/>
      <w:lvlJc w:val="right"/>
      <w:pPr>
        <w:tabs>
          <w:tab w:val="num" w:pos="720"/>
        </w:tabs>
        <w:ind w:left="720" w:hanging="180"/>
      </w:pPr>
      <w:rPr>
        <w:rFonts w:cs="Times New Roman"/>
      </w:rPr>
    </w:lvl>
    <w:lvl w:ilvl="6" w:tplc="FFFFFFFF" w:tentative="1">
      <w:start w:val="1"/>
      <w:numFmt w:val="decimal"/>
      <w:lvlText w:val="%7."/>
      <w:lvlJc w:val="left"/>
      <w:pPr>
        <w:tabs>
          <w:tab w:val="num" w:pos="1440"/>
        </w:tabs>
        <w:ind w:left="1440" w:hanging="360"/>
      </w:pPr>
      <w:rPr>
        <w:rFonts w:cs="Times New Roman"/>
      </w:rPr>
    </w:lvl>
    <w:lvl w:ilvl="7" w:tplc="FFFFFFFF" w:tentative="1">
      <w:start w:val="1"/>
      <w:numFmt w:val="lowerLetter"/>
      <w:lvlText w:val="%8."/>
      <w:lvlJc w:val="left"/>
      <w:pPr>
        <w:tabs>
          <w:tab w:val="num" w:pos="2160"/>
        </w:tabs>
        <w:ind w:left="2160" w:hanging="360"/>
      </w:pPr>
      <w:rPr>
        <w:rFonts w:cs="Times New Roman"/>
      </w:rPr>
    </w:lvl>
    <w:lvl w:ilvl="8" w:tplc="FFFFFFFF" w:tentative="1">
      <w:start w:val="1"/>
      <w:numFmt w:val="lowerRoman"/>
      <w:lvlText w:val="%9."/>
      <w:lvlJc w:val="right"/>
      <w:pPr>
        <w:tabs>
          <w:tab w:val="num" w:pos="2880"/>
        </w:tabs>
        <w:ind w:left="2880" w:hanging="180"/>
      </w:pPr>
      <w:rPr>
        <w:rFonts w:cs="Times New Roman"/>
      </w:rPr>
    </w:lvl>
  </w:abstractNum>
  <w:abstractNum w:abstractNumId="18" w15:restartNumberingAfterBreak="0">
    <w:nsid w:val="7F581F2C"/>
    <w:multiLevelType w:val="hybridMultilevel"/>
    <w:tmpl w:val="306AAF10"/>
    <w:lvl w:ilvl="0" w:tplc="7F927B7E">
      <w:start w:val="23"/>
      <w:numFmt w:val="decimal"/>
      <w:lvlText w:val="%1."/>
      <w:lvlJc w:val="left"/>
      <w:pPr>
        <w:tabs>
          <w:tab w:val="num" w:pos="720"/>
        </w:tabs>
        <w:ind w:left="0" w:firstLine="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8131C"/>
    <w:multiLevelType w:val="hybridMultilevel"/>
    <w:tmpl w:val="B420C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5"/>
  </w:num>
  <w:num w:numId="14">
    <w:abstractNumId w:val="0"/>
  </w:num>
  <w:num w:numId="15">
    <w:abstractNumId w:val="18"/>
  </w:num>
  <w:num w:numId="16">
    <w:abstractNumId w:val="10"/>
  </w:num>
  <w:num w:numId="17">
    <w:abstractNumId w:val="19"/>
  </w:num>
  <w:num w:numId="18">
    <w:abstractNumId w:val="12"/>
  </w:num>
  <w:num w:numId="19">
    <w:abstractNumId w:val="14"/>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C2"/>
    <w:rsid w:val="00005067"/>
    <w:rsid w:val="000050BA"/>
    <w:rsid w:val="00006C17"/>
    <w:rsid w:val="00007126"/>
    <w:rsid w:val="00010309"/>
    <w:rsid w:val="00010A42"/>
    <w:rsid w:val="00012185"/>
    <w:rsid w:val="00013377"/>
    <w:rsid w:val="00013B1A"/>
    <w:rsid w:val="00013CD1"/>
    <w:rsid w:val="00017275"/>
    <w:rsid w:val="00017C24"/>
    <w:rsid w:val="00021F7E"/>
    <w:rsid w:val="0002273B"/>
    <w:rsid w:val="00022BA3"/>
    <w:rsid w:val="0002376C"/>
    <w:rsid w:val="000264D1"/>
    <w:rsid w:val="00026B97"/>
    <w:rsid w:val="00027496"/>
    <w:rsid w:val="000277C7"/>
    <w:rsid w:val="00027CAA"/>
    <w:rsid w:val="0003094B"/>
    <w:rsid w:val="00032209"/>
    <w:rsid w:val="000324AF"/>
    <w:rsid w:val="00033B11"/>
    <w:rsid w:val="00034FF7"/>
    <w:rsid w:val="000405F9"/>
    <w:rsid w:val="000407B3"/>
    <w:rsid w:val="00040BFF"/>
    <w:rsid w:val="000412E2"/>
    <w:rsid w:val="00041B9D"/>
    <w:rsid w:val="00045007"/>
    <w:rsid w:val="00045314"/>
    <w:rsid w:val="00050399"/>
    <w:rsid w:val="000532EC"/>
    <w:rsid w:val="000542C1"/>
    <w:rsid w:val="0005454C"/>
    <w:rsid w:val="00054788"/>
    <w:rsid w:val="00054EDF"/>
    <w:rsid w:val="00057B19"/>
    <w:rsid w:val="000625C5"/>
    <w:rsid w:val="000629AE"/>
    <w:rsid w:val="00062A6A"/>
    <w:rsid w:val="00064479"/>
    <w:rsid w:val="000647FA"/>
    <w:rsid w:val="00065108"/>
    <w:rsid w:val="00066B53"/>
    <w:rsid w:val="000700E7"/>
    <w:rsid w:val="0007039A"/>
    <w:rsid w:val="00072137"/>
    <w:rsid w:val="00072448"/>
    <w:rsid w:val="000730BF"/>
    <w:rsid w:val="000755FF"/>
    <w:rsid w:val="00075733"/>
    <w:rsid w:val="00076B83"/>
    <w:rsid w:val="00077064"/>
    <w:rsid w:val="000809B2"/>
    <w:rsid w:val="000821FC"/>
    <w:rsid w:val="0008424A"/>
    <w:rsid w:val="00085F68"/>
    <w:rsid w:val="00087534"/>
    <w:rsid w:val="00090BFD"/>
    <w:rsid w:val="00091DB5"/>
    <w:rsid w:val="00094CF8"/>
    <w:rsid w:val="000953FA"/>
    <w:rsid w:val="00095D22"/>
    <w:rsid w:val="00096187"/>
    <w:rsid w:val="00097085"/>
    <w:rsid w:val="0009734F"/>
    <w:rsid w:val="000A0412"/>
    <w:rsid w:val="000A229F"/>
    <w:rsid w:val="000A286F"/>
    <w:rsid w:val="000A2C1D"/>
    <w:rsid w:val="000A60CA"/>
    <w:rsid w:val="000A7205"/>
    <w:rsid w:val="000B07D0"/>
    <w:rsid w:val="000B3CE7"/>
    <w:rsid w:val="000B50D6"/>
    <w:rsid w:val="000B5C81"/>
    <w:rsid w:val="000B6CD1"/>
    <w:rsid w:val="000B76A5"/>
    <w:rsid w:val="000B7F56"/>
    <w:rsid w:val="000C2715"/>
    <w:rsid w:val="000C41FE"/>
    <w:rsid w:val="000C433B"/>
    <w:rsid w:val="000C4615"/>
    <w:rsid w:val="000C4779"/>
    <w:rsid w:val="000C4B43"/>
    <w:rsid w:val="000C55AC"/>
    <w:rsid w:val="000C5ECB"/>
    <w:rsid w:val="000C6601"/>
    <w:rsid w:val="000D24A6"/>
    <w:rsid w:val="000D2812"/>
    <w:rsid w:val="000D43C5"/>
    <w:rsid w:val="000D4EC8"/>
    <w:rsid w:val="000D5282"/>
    <w:rsid w:val="000D579A"/>
    <w:rsid w:val="000D6D7E"/>
    <w:rsid w:val="000D7EA5"/>
    <w:rsid w:val="000E0683"/>
    <w:rsid w:val="000E22BC"/>
    <w:rsid w:val="000E2423"/>
    <w:rsid w:val="000E2A27"/>
    <w:rsid w:val="000E35FA"/>
    <w:rsid w:val="000E3E9B"/>
    <w:rsid w:val="000E46B4"/>
    <w:rsid w:val="000E4C8B"/>
    <w:rsid w:val="000E6538"/>
    <w:rsid w:val="000E6BFC"/>
    <w:rsid w:val="000E7995"/>
    <w:rsid w:val="000F1131"/>
    <w:rsid w:val="000F1528"/>
    <w:rsid w:val="000F31B8"/>
    <w:rsid w:val="000F359F"/>
    <w:rsid w:val="000F5645"/>
    <w:rsid w:val="000F62EC"/>
    <w:rsid w:val="00100838"/>
    <w:rsid w:val="001015D2"/>
    <w:rsid w:val="0010170A"/>
    <w:rsid w:val="00104639"/>
    <w:rsid w:val="00105B92"/>
    <w:rsid w:val="0011085C"/>
    <w:rsid w:val="00110A1F"/>
    <w:rsid w:val="0011379E"/>
    <w:rsid w:val="00113E06"/>
    <w:rsid w:val="001150FA"/>
    <w:rsid w:val="00116556"/>
    <w:rsid w:val="0012219C"/>
    <w:rsid w:val="00122300"/>
    <w:rsid w:val="001223C9"/>
    <w:rsid w:val="00124404"/>
    <w:rsid w:val="00124DA3"/>
    <w:rsid w:val="00125089"/>
    <w:rsid w:val="00125196"/>
    <w:rsid w:val="001255A5"/>
    <w:rsid w:val="00130282"/>
    <w:rsid w:val="00130D8B"/>
    <w:rsid w:val="00131E72"/>
    <w:rsid w:val="00133389"/>
    <w:rsid w:val="00133D37"/>
    <w:rsid w:val="001341F9"/>
    <w:rsid w:val="001360D8"/>
    <w:rsid w:val="00136487"/>
    <w:rsid w:val="001365E7"/>
    <w:rsid w:val="00136A71"/>
    <w:rsid w:val="00137171"/>
    <w:rsid w:val="001378B0"/>
    <w:rsid w:val="0014151A"/>
    <w:rsid w:val="00141709"/>
    <w:rsid w:val="001430B9"/>
    <w:rsid w:val="00143C83"/>
    <w:rsid w:val="00143F48"/>
    <w:rsid w:val="0014538E"/>
    <w:rsid w:val="00145745"/>
    <w:rsid w:val="00146591"/>
    <w:rsid w:val="00150B1D"/>
    <w:rsid w:val="0015121A"/>
    <w:rsid w:val="00153D99"/>
    <w:rsid w:val="00154263"/>
    <w:rsid w:val="00154C87"/>
    <w:rsid w:val="0015652E"/>
    <w:rsid w:val="001573E7"/>
    <w:rsid w:val="00161E97"/>
    <w:rsid w:val="00162EB7"/>
    <w:rsid w:val="00164061"/>
    <w:rsid w:val="00164EF2"/>
    <w:rsid w:val="00167A4A"/>
    <w:rsid w:val="00171672"/>
    <w:rsid w:val="001728C0"/>
    <w:rsid w:val="00172906"/>
    <w:rsid w:val="001729A5"/>
    <w:rsid w:val="00174101"/>
    <w:rsid w:val="00174CFD"/>
    <w:rsid w:val="00177667"/>
    <w:rsid w:val="00177856"/>
    <w:rsid w:val="00177C87"/>
    <w:rsid w:val="001805FE"/>
    <w:rsid w:val="0018068C"/>
    <w:rsid w:val="00183DD5"/>
    <w:rsid w:val="0018405E"/>
    <w:rsid w:val="00186AB1"/>
    <w:rsid w:val="00186CD6"/>
    <w:rsid w:val="00187B7C"/>
    <w:rsid w:val="001903A1"/>
    <w:rsid w:val="00192047"/>
    <w:rsid w:val="00195103"/>
    <w:rsid w:val="001955F3"/>
    <w:rsid w:val="001972C3"/>
    <w:rsid w:val="001979A6"/>
    <w:rsid w:val="001A0783"/>
    <w:rsid w:val="001A07F0"/>
    <w:rsid w:val="001A16C3"/>
    <w:rsid w:val="001A1B5C"/>
    <w:rsid w:val="001A1E37"/>
    <w:rsid w:val="001A5568"/>
    <w:rsid w:val="001A5A6A"/>
    <w:rsid w:val="001A5C55"/>
    <w:rsid w:val="001A7355"/>
    <w:rsid w:val="001B0D97"/>
    <w:rsid w:val="001B1AA1"/>
    <w:rsid w:val="001B1B05"/>
    <w:rsid w:val="001B4D60"/>
    <w:rsid w:val="001B5525"/>
    <w:rsid w:val="001B7D7C"/>
    <w:rsid w:val="001C0EFF"/>
    <w:rsid w:val="001C1204"/>
    <w:rsid w:val="001C4695"/>
    <w:rsid w:val="001C6611"/>
    <w:rsid w:val="001D3C20"/>
    <w:rsid w:val="001D7067"/>
    <w:rsid w:val="001E06E7"/>
    <w:rsid w:val="001E2BA0"/>
    <w:rsid w:val="001E3744"/>
    <w:rsid w:val="001E54F5"/>
    <w:rsid w:val="001E62DE"/>
    <w:rsid w:val="001E659D"/>
    <w:rsid w:val="001E71D6"/>
    <w:rsid w:val="001E7EB0"/>
    <w:rsid w:val="001F12DD"/>
    <w:rsid w:val="001F2176"/>
    <w:rsid w:val="001F3C00"/>
    <w:rsid w:val="001F58A0"/>
    <w:rsid w:val="001F5931"/>
    <w:rsid w:val="001F764D"/>
    <w:rsid w:val="002008E5"/>
    <w:rsid w:val="00201793"/>
    <w:rsid w:val="0020303D"/>
    <w:rsid w:val="002048A5"/>
    <w:rsid w:val="00210939"/>
    <w:rsid w:val="00210BCF"/>
    <w:rsid w:val="00212F6A"/>
    <w:rsid w:val="002148E6"/>
    <w:rsid w:val="00214CEF"/>
    <w:rsid w:val="002155AF"/>
    <w:rsid w:val="00215A9F"/>
    <w:rsid w:val="00215C2E"/>
    <w:rsid w:val="00220A88"/>
    <w:rsid w:val="0022158D"/>
    <w:rsid w:val="002218C7"/>
    <w:rsid w:val="002223D1"/>
    <w:rsid w:val="00222DE7"/>
    <w:rsid w:val="002235FA"/>
    <w:rsid w:val="0022451D"/>
    <w:rsid w:val="00225481"/>
    <w:rsid w:val="00225517"/>
    <w:rsid w:val="00226F1A"/>
    <w:rsid w:val="00230E6E"/>
    <w:rsid w:val="00232E43"/>
    <w:rsid w:val="002363B1"/>
    <w:rsid w:val="002407D8"/>
    <w:rsid w:val="00241402"/>
    <w:rsid w:val="002432F9"/>
    <w:rsid w:val="002449AC"/>
    <w:rsid w:val="0024525E"/>
    <w:rsid w:val="00245B22"/>
    <w:rsid w:val="00245D50"/>
    <w:rsid w:val="00246D81"/>
    <w:rsid w:val="00246D8B"/>
    <w:rsid w:val="0024731F"/>
    <w:rsid w:val="00247C8D"/>
    <w:rsid w:val="00250F28"/>
    <w:rsid w:val="00252DAA"/>
    <w:rsid w:val="00254126"/>
    <w:rsid w:val="00255313"/>
    <w:rsid w:val="0026181A"/>
    <w:rsid w:val="002622A8"/>
    <w:rsid w:val="00262EBB"/>
    <w:rsid w:val="00264344"/>
    <w:rsid w:val="00264EBE"/>
    <w:rsid w:val="002677ED"/>
    <w:rsid w:val="00267B86"/>
    <w:rsid w:val="002725B2"/>
    <w:rsid w:val="00272941"/>
    <w:rsid w:val="0027451D"/>
    <w:rsid w:val="002748AE"/>
    <w:rsid w:val="002755DA"/>
    <w:rsid w:val="00275AF5"/>
    <w:rsid w:val="00280D36"/>
    <w:rsid w:val="0028113F"/>
    <w:rsid w:val="00282474"/>
    <w:rsid w:val="00286950"/>
    <w:rsid w:val="00290ED8"/>
    <w:rsid w:val="0029137D"/>
    <w:rsid w:val="00292C8A"/>
    <w:rsid w:val="0029362E"/>
    <w:rsid w:val="002949DC"/>
    <w:rsid w:val="00294CBC"/>
    <w:rsid w:val="00296A67"/>
    <w:rsid w:val="002A001A"/>
    <w:rsid w:val="002A0FA6"/>
    <w:rsid w:val="002A15E9"/>
    <w:rsid w:val="002A2905"/>
    <w:rsid w:val="002A2CC2"/>
    <w:rsid w:val="002A4643"/>
    <w:rsid w:val="002A483C"/>
    <w:rsid w:val="002A4B97"/>
    <w:rsid w:val="002A55B9"/>
    <w:rsid w:val="002B0060"/>
    <w:rsid w:val="002B38F6"/>
    <w:rsid w:val="002C200F"/>
    <w:rsid w:val="002C217F"/>
    <w:rsid w:val="002C59FA"/>
    <w:rsid w:val="002C610D"/>
    <w:rsid w:val="002C7518"/>
    <w:rsid w:val="002C7582"/>
    <w:rsid w:val="002C7DB1"/>
    <w:rsid w:val="002D0E2E"/>
    <w:rsid w:val="002D1E4F"/>
    <w:rsid w:val="002D3109"/>
    <w:rsid w:val="002D4344"/>
    <w:rsid w:val="002D48AB"/>
    <w:rsid w:val="002D7C12"/>
    <w:rsid w:val="002E049F"/>
    <w:rsid w:val="002E0DE2"/>
    <w:rsid w:val="002E14C5"/>
    <w:rsid w:val="002E37E9"/>
    <w:rsid w:val="002E3D0B"/>
    <w:rsid w:val="002E417A"/>
    <w:rsid w:val="002E7488"/>
    <w:rsid w:val="002F1A5B"/>
    <w:rsid w:val="002F1D24"/>
    <w:rsid w:val="002F2104"/>
    <w:rsid w:val="002F258F"/>
    <w:rsid w:val="002F3FF2"/>
    <w:rsid w:val="002F529F"/>
    <w:rsid w:val="002F6D65"/>
    <w:rsid w:val="002F7AA2"/>
    <w:rsid w:val="002F7EBD"/>
    <w:rsid w:val="003033D4"/>
    <w:rsid w:val="00303AE8"/>
    <w:rsid w:val="00304C69"/>
    <w:rsid w:val="00305A5E"/>
    <w:rsid w:val="003074C8"/>
    <w:rsid w:val="00310457"/>
    <w:rsid w:val="003132D3"/>
    <w:rsid w:val="00315A4B"/>
    <w:rsid w:val="003206B2"/>
    <w:rsid w:val="00320ECD"/>
    <w:rsid w:val="00324D53"/>
    <w:rsid w:val="00324F60"/>
    <w:rsid w:val="00325E20"/>
    <w:rsid w:val="00325FC7"/>
    <w:rsid w:val="003261E4"/>
    <w:rsid w:val="00326239"/>
    <w:rsid w:val="003266DE"/>
    <w:rsid w:val="0032745D"/>
    <w:rsid w:val="003277E5"/>
    <w:rsid w:val="00330188"/>
    <w:rsid w:val="003331DB"/>
    <w:rsid w:val="003360E4"/>
    <w:rsid w:val="00337937"/>
    <w:rsid w:val="00341459"/>
    <w:rsid w:val="00341DF7"/>
    <w:rsid w:val="00343785"/>
    <w:rsid w:val="00345795"/>
    <w:rsid w:val="003462BC"/>
    <w:rsid w:val="00350F45"/>
    <w:rsid w:val="003511DE"/>
    <w:rsid w:val="00353406"/>
    <w:rsid w:val="00355C0E"/>
    <w:rsid w:val="00357323"/>
    <w:rsid w:val="00357644"/>
    <w:rsid w:val="00360B03"/>
    <w:rsid w:val="00361812"/>
    <w:rsid w:val="0036249C"/>
    <w:rsid w:val="003631BF"/>
    <w:rsid w:val="003707F5"/>
    <w:rsid w:val="0037206A"/>
    <w:rsid w:val="003722E0"/>
    <w:rsid w:val="0037358C"/>
    <w:rsid w:val="00374132"/>
    <w:rsid w:val="0037511B"/>
    <w:rsid w:val="003828AE"/>
    <w:rsid w:val="00382F0E"/>
    <w:rsid w:val="0038437F"/>
    <w:rsid w:val="0038463C"/>
    <w:rsid w:val="0038518B"/>
    <w:rsid w:val="00386F0F"/>
    <w:rsid w:val="00390E31"/>
    <w:rsid w:val="00392AC5"/>
    <w:rsid w:val="003955C5"/>
    <w:rsid w:val="003964BD"/>
    <w:rsid w:val="00396B39"/>
    <w:rsid w:val="003A1710"/>
    <w:rsid w:val="003A3A85"/>
    <w:rsid w:val="003A459C"/>
    <w:rsid w:val="003A548C"/>
    <w:rsid w:val="003A6BC9"/>
    <w:rsid w:val="003A6CDE"/>
    <w:rsid w:val="003A72E4"/>
    <w:rsid w:val="003B092A"/>
    <w:rsid w:val="003B3364"/>
    <w:rsid w:val="003B5FFD"/>
    <w:rsid w:val="003B69EC"/>
    <w:rsid w:val="003B7250"/>
    <w:rsid w:val="003B7EF4"/>
    <w:rsid w:val="003C11EF"/>
    <w:rsid w:val="003C2BE0"/>
    <w:rsid w:val="003C3566"/>
    <w:rsid w:val="003C37EA"/>
    <w:rsid w:val="003C44E4"/>
    <w:rsid w:val="003C638D"/>
    <w:rsid w:val="003C66FC"/>
    <w:rsid w:val="003D0E19"/>
    <w:rsid w:val="003D1776"/>
    <w:rsid w:val="003D1D8B"/>
    <w:rsid w:val="003D27B1"/>
    <w:rsid w:val="003D2FAD"/>
    <w:rsid w:val="003D3D27"/>
    <w:rsid w:val="003D4351"/>
    <w:rsid w:val="003D4361"/>
    <w:rsid w:val="003D4B03"/>
    <w:rsid w:val="003D4DE5"/>
    <w:rsid w:val="003D565E"/>
    <w:rsid w:val="003D61E5"/>
    <w:rsid w:val="003E0B7F"/>
    <w:rsid w:val="003E6210"/>
    <w:rsid w:val="003E657B"/>
    <w:rsid w:val="003E7D22"/>
    <w:rsid w:val="003F0BB0"/>
    <w:rsid w:val="003F6477"/>
    <w:rsid w:val="003F6974"/>
    <w:rsid w:val="003F7E35"/>
    <w:rsid w:val="00402619"/>
    <w:rsid w:val="00403038"/>
    <w:rsid w:val="004068CB"/>
    <w:rsid w:val="00407987"/>
    <w:rsid w:val="00407F3C"/>
    <w:rsid w:val="0041016A"/>
    <w:rsid w:val="004103B0"/>
    <w:rsid w:val="00414E01"/>
    <w:rsid w:val="00416192"/>
    <w:rsid w:val="00416CE8"/>
    <w:rsid w:val="00420450"/>
    <w:rsid w:val="00423338"/>
    <w:rsid w:val="004233E8"/>
    <w:rsid w:val="0042553A"/>
    <w:rsid w:val="00425C65"/>
    <w:rsid w:val="00425F9E"/>
    <w:rsid w:val="00427F38"/>
    <w:rsid w:val="0043175E"/>
    <w:rsid w:val="0043239C"/>
    <w:rsid w:val="004359D3"/>
    <w:rsid w:val="00436160"/>
    <w:rsid w:val="0043667C"/>
    <w:rsid w:val="00436B56"/>
    <w:rsid w:val="00441796"/>
    <w:rsid w:val="00441C2B"/>
    <w:rsid w:val="00441FB4"/>
    <w:rsid w:val="00443B3D"/>
    <w:rsid w:val="004445CB"/>
    <w:rsid w:val="00444ADE"/>
    <w:rsid w:val="004468DA"/>
    <w:rsid w:val="00447AB8"/>
    <w:rsid w:val="0045228C"/>
    <w:rsid w:val="0045236F"/>
    <w:rsid w:val="00453C3C"/>
    <w:rsid w:val="004572B6"/>
    <w:rsid w:val="00457A93"/>
    <w:rsid w:val="0046100F"/>
    <w:rsid w:val="004618A6"/>
    <w:rsid w:val="0046195D"/>
    <w:rsid w:val="0046247D"/>
    <w:rsid w:val="004626B3"/>
    <w:rsid w:val="00463164"/>
    <w:rsid w:val="00463330"/>
    <w:rsid w:val="00465801"/>
    <w:rsid w:val="0046656D"/>
    <w:rsid w:val="004669A9"/>
    <w:rsid w:val="004673CA"/>
    <w:rsid w:val="00467851"/>
    <w:rsid w:val="0047264D"/>
    <w:rsid w:val="00473BF0"/>
    <w:rsid w:val="00474880"/>
    <w:rsid w:val="004756FB"/>
    <w:rsid w:val="004762BB"/>
    <w:rsid w:val="00477083"/>
    <w:rsid w:val="0048058C"/>
    <w:rsid w:val="00481420"/>
    <w:rsid w:val="00481E61"/>
    <w:rsid w:val="004828B5"/>
    <w:rsid w:val="004831D8"/>
    <w:rsid w:val="00483231"/>
    <w:rsid w:val="00485768"/>
    <w:rsid w:val="00485B6C"/>
    <w:rsid w:val="00486B7B"/>
    <w:rsid w:val="00490417"/>
    <w:rsid w:val="0049065C"/>
    <w:rsid w:val="00490F3E"/>
    <w:rsid w:val="00492B66"/>
    <w:rsid w:val="004937B5"/>
    <w:rsid w:val="00496D18"/>
    <w:rsid w:val="00496D99"/>
    <w:rsid w:val="004A296A"/>
    <w:rsid w:val="004A2A89"/>
    <w:rsid w:val="004A2EF3"/>
    <w:rsid w:val="004A3486"/>
    <w:rsid w:val="004A512A"/>
    <w:rsid w:val="004A577A"/>
    <w:rsid w:val="004A68D0"/>
    <w:rsid w:val="004A6AFA"/>
    <w:rsid w:val="004B0A1C"/>
    <w:rsid w:val="004B17AD"/>
    <w:rsid w:val="004B264D"/>
    <w:rsid w:val="004B26E3"/>
    <w:rsid w:val="004B429C"/>
    <w:rsid w:val="004B4991"/>
    <w:rsid w:val="004B4CE3"/>
    <w:rsid w:val="004B56D9"/>
    <w:rsid w:val="004B5E8F"/>
    <w:rsid w:val="004B6785"/>
    <w:rsid w:val="004C0559"/>
    <w:rsid w:val="004C2638"/>
    <w:rsid w:val="004C4747"/>
    <w:rsid w:val="004C4FD6"/>
    <w:rsid w:val="004C70B5"/>
    <w:rsid w:val="004C736B"/>
    <w:rsid w:val="004D2A81"/>
    <w:rsid w:val="004D2D02"/>
    <w:rsid w:val="004D3049"/>
    <w:rsid w:val="004D4399"/>
    <w:rsid w:val="004D5EA6"/>
    <w:rsid w:val="004D60C1"/>
    <w:rsid w:val="004D7A02"/>
    <w:rsid w:val="004E1382"/>
    <w:rsid w:val="004E24C4"/>
    <w:rsid w:val="004E385D"/>
    <w:rsid w:val="004E3865"/>
    <w:rsid w:val="004E4245"/>
    <w:rsid w:val="004E6DC1"/>
    <w:rsid w:val="004F0CDB"/>
    <w:rsid w:val="004F105D"/>
    <w:rsid w:val="004F2521"/>
    <w:rsid w:val="005003EC"/>
    <w:rsid w:val="00500754"/>
    <w:rsid w:val="00502905"/>
    <w:rsid w:val="00502E2E"/>
    <w:rsid w:val="005042E0"/>
    <w:rsid w:val="00504E2E"/>
    <w:rsid w:val="00510C9C"/>
    <w:rsid w:val="00511824"/>
    <w:rsid w:val="00512483"/>
    <w:rsid w:val="00514E2C"/>
    <w:rsid w:val="00515EDC"/>
    <w:rsid w:val="00515F8E"/>
    <w:rsid w:val="0051636D"/>
    <w:rsid w:val="005163EE"/>
    <w:rsid w:val="005167DE"/>
    <w:rsid w:val="00516B7D"/>
    <w:rsid w:val="00517CE3"/>
    <w:rsid w:val="00520556"/>
    <w:rsid w:val="00520827"/>
    <w:rsid w:val="00520AEA"/>
    <w:rsid w:val="00520D8A"/>
    <w:rsid w:val="0052196F"/>
    <w:rsid w:val="00523890"/>
    <w:rsid w:val="0052477A"/>
    <w:rsid w:val="00525F60"/>
    <w:rsid w:val="0053085C"/>
    <w:rsid w:val="00531D6F"/>
    <w:rsid w:val="005330F9"/>
    <w:rsid w:val="00533116"/>
    <w:rsid w:val="0053464E"/>
    <w:rsid w:val="00534E14"/>
    <w:rsid w:val="00535F52"/>
    <w:rsid w:val="005449C4"/>
    <w:rsid w:val="00545D97"/>
    <w:rsid w:val="00553B67"/>
    <w:rsid w:val="00554143"/>
    <w:rsid w:val="005553B6"/>
    <w:rsid w:val="00556694"/>
    <w:rsid w:val="00557ACE"/>
    <w:rsid w:val="005614EA"/>
    <w:rsid w:val="005621A3"/>
    <w:rsid w:val="0056329E"/>
    <w:rsid w:val="00565A27"/>
    <w:rsid w:val="00565DF5"/>
    <w:rsid w:val="0057134F"/>
    <w:rsid w:val="005725DC"/>
    <w:rsid w:val="00580842"/>
    <w:rsid w:val="00580A3B"/>
    <w:rsid w:val="00581AEF"/>
    <w:rsid w:val="00582B8E"/>
    <w:rsid w:val="00584674"/>
    <w:rsid w:val="00586596"/>
    <w:rsid w:val="00587519"/>
    <w:rsid w:val="00587881"/>
    <w:rsid w:val="0059018A"/>
    <w:rsid w:val="00590B30"/>
    <w:rsid w:val="005911A8"/>
    <w:rsid w:val="00593749"/>
    <w:rsid w:val="00593FCD"/>
    <w:rsid w:val="00596843"/>
    <w:rsid w:val="00596DC2"/>
    <w:rsid w:val="00597102"/>
    <w:rsid w:val="0059775A"/>
    <w:rsid w:val="005A07B6"/>
    <w:rsid w:val="005A0824"/>
    <w:rsid w:val="005A20BA"/>
    <w:rsid w:val="005A376B"/>
    <w:rsid w:val="005A3ED2"/>
    <w:rsid w:val="005A4F30"/>
    <w:rsid w:val="005A695C"/>
    <w:rsid w:val="005A69DC"/>
    <w:rsid w:val="005A6A7C"/>
    <w:rsid w:val="005A6F33"/>
    <w:rsid w:val="005A7276"/>
    <w:rsid w:val="005A76E1"/>
    <w:rsid w:val="005A78BC"/>
    <w:rsid w:val="005B0F6F"/>
    <w:rsid w:val="005B4698"/>
    <w:rsid w:val="005B49BF"/>
    <w:rsid w:val="005C0058"/>
    <w:rsid w:val="005C2BC3"/>
    <w:rsid w:val="005C2DDE"/>
    <w:rsid w:val="005C33C8"/>
    <w:rsid w:val="005C4486"/>
    <w:rsid w:val="005C5262"/>
    <w:rsid w:val="005C54AC"/>
    <w:rsid w:val="005C7DA0"/>
    <w:rsid w:val="005C7FE0"/>
    <w:rsid w:val="005D33F9"/>
    <w:rsid w:val="005D40D5"/>
    <w:rsid w:val="005D6E6F"/>
    <w:rsid w:val="005D7C0D"/>
    <w:rsid w:val="005E0E64"/>
    <w:rsid w:val="005E1674"/>
    <w:rsid w:val="005E1F2F"/>
    <w:rsid w:val="005E4861"/>
    <w:rsid w:val="005E50D5"/>
    <w:rsid w:val="005E52E7"/>
    <w:rsid w:val="005E5EF1"/>
    <w:rsid w:val="005E6224"/>
    <w:rsid w:val="005E69F3"/>
    <w:rsid w:val="005E773D"/>
    <w:rsid w:val="005F0179"/>
    <w:rsid w:val="005F0E5D"/>
    <w:rsid w:val="005F1212"/>
    <w:rsid w:val="005F13DD"/>
    <w:rsid w:val="005F2042"/>
    <w:rsid w:val="005F2519"/>
    <w:rsid w:val="005F2959"/>
    <w:rsid w:val="005F2C69"/>
    <w:rsid w:val="005F49F2"/>
    <w:rsid w:val="005F6A60"/>
    <w:rsid w:val="006008D1"/>
    <w:rsid w:val="006037A3"/>
    <w:rsid w:val="00603D0F"/>
    <w:rsid w:val="00606912"/>
    <w:rsid w:val="006071E8"/>
    <w:rsid w:val="00607307"/>
    <w:rsid w:val="00607F7F"/>
    <w:rsid w:val="0061038C"/>
    <w:rsid w:val="00611BDF"/>
    <w:rsid w:val="006136C1"/>
    <w:rsid w:val="00614086"/>
    <w:rsid w:val="00616755"/>
    <w:rsid w:val="00616A9A"/>
    <w:rsid w:val="00617062"/>
    <w:rsid w:val="00617B98"/>
    <w:rsid w:val="00617D3C"/>
    <w:rsid w:val="00621AD0"/>
    <w:rsid w:val="00621C3C"/>
    <w:rsid w:val="006226FF"/>
    <w:rsid w:val="00622999"/>
    <w:rsid w:val="00623924"/>
    <w:rsid w:val="00623EED"/>
    <w:rsid w:val="0062427A"/>
    <w:rsid w:val="006277BA"/>
    <w:rsid w:val="00632059"/>
    <w:rsid w:val="0063423E"/>
    <w:rsid w:val="00634F0C"/>
    <w:rsid w:val="00634FFC"/>
    <w:rsid w:val="00635457"/>
    <w:rsid w:val="0063578C"/>
    <w:rsid w:val="00640ADB"/>
    <w:rsid w:val="00640F4D"/>
    <w:rsid w:val="006414DF"/>
    <w:rsid w:val="00642C62"/>
    <w:rsid w:val="00645C89"/>
    <w:rsid w:val="00647E5E"/>
    <w:rsid w:val="00651045"/>
    <w:rsid w:val="006518B0"/>
    <w:rsid w:val="00652595"/>
    <w:rsid w:val="00652FA1"/>
    <w:rsid w:val="006542B6"/>
    <w:rsid w:val="00654C96"/>
    <w:rsid w:val="0065553A"/>
    <w:rsid w:val="00655A95"/>
    <w:rsid w:val="00655D5D"/>
    <w:rsid w:val="0065645B"/>
    <w:rsid w:val="00656F15"/>
    <w:rsid w:val="00657544"/>
    <w:rsid w:val="00657660"/>
    <w:rsid w:val="00661033"/>
    <w:rsid w:val="00665C44"/>
    <w:rsid w:val="0067013A"/>
    <w:rsid w:val="006704CD"/>
    <w:rsid w:val="00671A24"/>
    <w:rsid w:val="006730C9"/>
    <w:rsid w:val="00673B1F"/>
    <w:rsid w:val="00675A0B"/>
    <w:rsid w:val="0067694A"/>
    <w:rsid w:val="00676C97"/>
    <w:rsid w:val="006821FF"/>
    <w:rsid w:val="00683804"/>
    <w:rsid w:val="00683E84"/>
    <w:rsid w:val="006875BC"/>
    <w:rsid w:val="00690727"/>
    <w:rsid w:val="00694A52"/>
    <w:rsid w:val="006950ED"/>
    <w:rsid w:val="00695207"/>
    <w:rsid w:val="00695CDD"/>
    <w:rsid w:val="006969C7"/>
    <w:rsid w:val="00696EDB"/>
    <w:rsid w:val="00697417"/>
    <w:rsid w:val="0069790D"/>
    <w:rsid w:val="006A122B"/>
    <w:rsid w:val="006A1BDE"/>
    <w:rsid w:val="006A1BF4"/>
    <w:rsid w:val="006A28D5"/>
    <w:rsid w:val="006A3EDE"/>
    <w:rsid w:val="006A4D5F"/>
    <w:rsid w:val="006A5401"/>
    <w:rsid w:val="006A5EAB"/>
    <w:rsid w:val="006A6EDB"/>
    <w:rsid w:val="006B32CE"/>
    <w:rsid w:val="006B3CFA"/>
    <w:rsid w:val="006B4CD0"/>
    <w:rsid w:val="006B6559"/>
    <w:rsid w:val="006C16FF"/>
    <w:rsid w:val="006C2716"/>
    <w:rsid w:val="006C2E9A"/>
    <w:rsid w:val="006C32AC"/>
    <w:rsid w:val="006C34CB"/>
    <w:rsid w:val="006C39BA"/>
    <w:rsid w:val="006C5131"/>
    <w:rsid w:val="006C54E4"/>
    <w:rsid w:val="006C557F"/>
    <w:rsid w:val="006C6BF8"/>
    <w:rsid w:val="006C75B0"/>
    <w:rsid w:val="006D0BAB"/>
    <w:rsid w:val="006D1134"/>
    <w:rsid w:val="006D1B4F"/>
    <w:rsid w:val="006D28B4"/>
    <w:rsid w:val="006D2FD8"/>
    <w:rsid w:val="006D3725"/>
    <w:rsid w:val="006D4FFB"/>
    <w:rsid w:val="006D576F"/>
    <w:rsid w:val="006D615E"/>
    <w:rsid w:val="006D6F3C"/>
    <w:rsid w:val="006D7409"/>
    <w:rsid w:val="006D7E5D"/>
    <w:rsid w:val="006E0EB4"/>
    <w:rsid w:val="006E2D3D"/>
    <w:rsid w:val="006E3AC9"/>
    <w:rsid w:val="006E453B"/>
    <w:rsid w:val="006E5444"/>
    <w:rsid w:val="006E5D46"/>
    <w:rsid w:val="006E6283"/>
    <w:rsid w:val="006E72C4"/>
    <w:rsid w:val="006F17ED"/>
    <w:rsid w:val="006F29CE"/>
    <w:rsid w:val="006F3D67"/>
    <w:rsid w:val="006F7D99"/>
    <w:rsid w:val="0070377B"/>
    <w:rsid w:val="00703C61"/>
    <w:rsid w:val="00704943"/>
    <w:rsid w:val="00705F71"/>
    <w:rsid w:val="00712381"/>
    <w:rsid w:val="00712553"/>
    <w:rsid w:val="00712AC5"/>
    <w:rsid w:val="00712D82"/>
    <w:rsid w:val="00714C59"/>
    <w:rsid w:val="00715B64"/>
    <w:rsid w:val="00717383"/>
    <w:rsid w:val="007237B5"/>
    <w:rsid w:val="00723953"/>
    <w:rsid w:val="0072423C"/>
    <w:rsid w:val="0072428E"/>
    <w:rsid w:val="00725B0C"/>
    <w:rsid w:val="00726875"/>
    <w:rsid w:val="00731CD8"/>
    <w:rsid w:val="007358C5"/>
    <w:rsid w:val="007370B6"/>
    <w:rsid w:val="007375B2"/>
    <w:rsid w:val="00741A38"/>
    <w:rsid w:val="00741F04"/>
    <w:rsid w:val="007421C8"/>
    <w:rsid w:val="00743EE3"/>
    <w:rsid w:val="007441FB"/>
    <w:rsid w:val="00744227"/>
    <w:rsid w:val="00745824"/>
    <w:rsid w:val="00747358"/>
    <w:rsid w:val="007478A4"/>
    <w:rsid w:val="00747CF9"/>
    <w:rsid w:val="007515A9"/>
    <w:rsid w:val="00752F5B"/>
    <w:rsid w:val="00753894"/>
    <w:rsid w:val="00753FED"/>
    <w:rsid w:val="00754208"/>
    <w:rsid w:val="00755C5D"/>
    <w:rsid w:val="007574AC"/>
    <w:rsid w:val="00761A5E"/>
    <w:rsid w:val="00761BE4"/>
    <w:rsid w:val="00763375"/>
    <w:rsid w:val="007638EB"/>
    <w:rsid w:val="00765689"/>
    <w:rsid w:val="0076686F"/>
    <w:rsid w:val="0076727F"/>
    <w:rsid w:val="007673CF"/>
    <w:rsid w:val="00767432"/>
    <w:rsid w:val="00772D42"/>
    <w:rsid w:val="00773785"/>
    <w:rsid w:val="007766F6"/>
    <w:rsid w:val="00776786"/>
    <w:rsid w:val="00776B7B"/>
    <w:rsid w:val="007770E5"/>
    <w:rsid w:val="007777D3"/>
    <w:rsid w:val="00777997"/>
    <w:rsid w:val="007779FD"/>
    <w:rsid w:val="0078084D"/>
    <w:rsid w:val="007812AB"/>
    <w:rsid w:val="007813E1"/>
    <w:rsid w:val="00781DBF"/>
    <w:rsid w:val="007827DB"/>
    <w:rsid w:val="007851AF"/>
    <w:rsid w:val="00786B23"/>
    <w:rsid w:val="0079019B"/>
    <w:rsid w:val="00790482"/>
    <w:rsid w:val="007916B6"/>
    <w:rsid w:val="007936B9"/>
    <w:rsid w:val="007940E0"/>
    <w:rsid w:val="0079489D"/>
    <w:rsid w:val="00794D95"/>
    <w:rsid w:val="007954C6"/>
    <w:rsid w:val="007973E8"/>
    <w:rsid w:val="007A0ACE"/>
    <w:rsid w:val="007A204F"/>
    <w:rsid w:val="007A559B"/>
    <w:rsid w:val="007A6293"/>
    <w:rsid w:val="007B08DF"/>
    <w:rsid w:val="007B0D14"/>
    <w:rsid w:val="007B1A82"/>
    <w:rsid w:val="007B1F95"/>
    <w:rsid w:val="007B24B9"/>
    <w:rsid w:val="007B2723"/>
    <w:rsid w:val="007B614B"/>
    <w:rsid w:val="007B661F"/>
    <w:rsid w:val="007B6EE8"/>
    <w:rsid w:val="007C1299"/>
    <w:rsid w:val="007C1E26"/>
    <w:rsid w:val="007C20E5"/>
    <w:rsid w:val="007C2F74"/>
    <w:rsid w:val="007C310A"/>
    <w:rsid w:val="007C3942"/>
    <w:rsid w:val="007C5014"/>
    <w:rsid w:val="007C74D6"/>
    <w:rsid w:val="007C7B6A"/>
    <w:rsid w:val="007D13AF"/>
    <w:rsid w:val="007D47AE"/>
    <w:rsid w:val="007D47EE"/>
    <w:rsid w:val="007D54F2"/>
    <w:rsid w:val="007D5A0A"/>
    <w:rsid w:val="007D613C"/>
    <w:rsid w:val="007D64AF"/>
    <w:rsid w:val="007D673C"/>
    <w:rsid w:val="007D675E"/>
    <w:rsid w:val="007D683C"/>
    <w:rsid w:val="007D72AF"/>
    <w:rsid w:val="007D7998"/>
    <w:rsid w:val="007E11E4"/>
    <w:rsid w:val="007E13F3"/>
    <w:rsid w:val="007F0D2F"/>
    <w:rsid w:val="007F263C"/>
    <w:rsid w:val="007F32F8"/>
    <w:rsid w:val="007F4127"/>
    <w:rsid w:val="008000C8"/>
    <w:rsid w:val="00800D64"/>
    <w:rsid w:val="008012E9"/>
    <w:rsid w:val="00801A65"/>
    <w:rsid w:val="00801F39"/>
    <w:rsid w:val="008044A2"/>
    <w:rsid w:val="00804F33"/>
    <w:rsid w:val="00807716"/>
    <w:rsid w:val="00812B55"/>
    <w:rsid w:val="00812EC0"/>
    <w:rsid w:val="00812F0E"/>
    <w:rsid w:val="008131C6"/>
    <w:rsid w:val="00813312"/>
    <w:rsid w:val="00813B5D"/>
    <w:rsid w:val="00815105"/>
    <w:rsid w:val="0081610A"/>
    <w:rsid w:val="008164D1"/>
    <w:rsid w:val="0081687B"/>
    <w:rsid w:val="00817E3C"/>
    <w:rsid w:val="00825AE7"/>
    <w:rsid w:val="00831A45"/>
    <w:rsid w:val="00832376"/>
    <w:rsid w:val="00833409"/>
    <w:rsid w:val="00833805"/>
    <w:rsid w:val="008354EC"/>
    <w:rsid w:val="008369AE"/>
    <w:rsid w:val="00840310"/>
    <w:rsid w:val="008405B5"/>
    <w:rsid w:val="00841312"/>
    <w:rsid w:val="00841D7E"/>
    <w:rsid w:val="00842EFC"/>
    <w:rsid w:val="008432AC"/>
    <w:rsid w:val="008447C3"/>
    <w:rsid w:val="0084536E"/>
    <w:rsid w:val="0084616C"/>
    <w:rsid w:val="008462E2"/>
    <w:rsid w:val="008469CA"/>
    <w:rsid w:val="00846FAE"/>
    <w:rsid w:val="00847E3C"/>
    <w:rsid w:val="00851841"/>
    <w:rsid w:val="00852D5C"/>
    <w:rsid w:val="008541A3"/>
    <w:rsid w:val="0085671E"/>
    <w:rsid w:val="00856A66"/>
    <w:rsid w:val="008578F7"/>
    <w:rsid w:val="00861CDD"/>
    <w:rsid w:val="0086534F"/>
    <w:rsid w:val="00866684"/>
    <w:rsid w:val="00871162"/>
    <w:rsid w:val="00871D7A"/>
    <w:rsid w:val="008748E9"/>
    <w:rsid w:val="00877338"/>
    <w:rsid w:val="0087786E"/>
    <w:rsid w:val="00880BAF"/>
    <w:rsid w:val="00880E6D"/>
    <w:rsid w:val="008827ED"/>
    <w:rsid w:val="00883FEC"/>
    <w:rsid w:val="0088537B"/>
    <w:rsid w:val="0088610C"/>
    <w:rsid w:val="0088626A"/>
    <w:rsid w:val="00886C73"/>
    <w:rsid w:val="00887583"/>
    <w:rsid w:val="00887CDA"/>
    <w:rsid w:val="0089153B"/>
    <w:rsid w:val="0089176A"/>
    <w:rsid w:val="008920C4"/>
    <w:rsid w:val="00892D02"/>
    <w:rsid w:val="00893E69"/>
    <w:rsid w:val="00896CB9"/>
    <w:rsid w:val="00897910"/>
    <w:rsid w:val="008A27A6"/>
    <w:rsid w:val="008A2E5E"/>
    <w:rsid w:val="008A361A"/>
    <w:rsid w:val="008A3B6E"/>
    <w:rsid w:val="008A3E8E"/>
    <w:rsid w:val="008A6B5A"/>
    <w:rsid w:val="008B3ACD"/>
    <w:rsid w:val="008B5008"/>
    <w:rsid w:val="008B71F8"/>
    <w:rsid w:val="008C01C4"/>
    <w:rsid w:val="008C04A9"/>
    <w:rsid w:val="008C1C11"/>
    <w:rsid w:val="008C1D1D"/>
    <w:rsid w:val="008C2155"/>
    <w:rsid w:val="008C26B5"/>
    <w:rsid w:val="008C3271"/>
    <w:rsid w:val="008C4FCC"/>
    <w:rsid w:val="008D04B4"/>
    <w:rsid w:val="008D2D6E"/>
    <w:rsid w:val="008D32DB"/>
    <w:rsid w:val="008D4FDF"/>
    <w:rsid w:val="008D5600"/>
    <w:rsid w:val="008D63C6"/>
    <w:rsid w:val="008D6DA8"/>
    <w:rsid w:val="008D7F55"/>
    <w:rsid w:val="008E16FB"/>
    <w:rsid w:val="008E2FC8"/>
    <w:rsid w:val="008E3597"/>
    <w:rsid w:val="008E456F"/>
    <w:rsid w:val="008E4651"/>
    <w:rsid w:val="008E4C8E"/>
    <w:rsid w:val="008E59EB"/>
    <w:rsid w:val="008F0949"/>
    <w:rsid w:val="008F2096"/>
    <w:rsid w:val="008F20AD"/>
    <w:rsid w:val="008F35F4"/>
    <w:rsid w:val="008F3C58"/>
    <w:rsid w:val="008F3E6F"/>
    <w:rsid w:val="008F54AD"/>
    <w:rsid w:val="008F6005"/>
    <w:rsid w:val="008F7BFD"/>
    <w:rsid w:val="008F7C9A"/>
    <w:rsid w:val="00903893"/>
    <w:rsid w:val="00903A1B"/>
    <w:rsid w:val="00903FC3"/>
    <w:rsid w:val="0090684F"/>
    <w:rsid w:val="00906A6F"/>
    <w:rsid w:val="00907236"/>
    <w:rsid w:val="00907A13"/>
    <w:rsid w:val="0091180A"/>
    <w:rsid w:val="00912C78"/>
    <w:rsid w:val="0091415D"/>
    <w:rsid w:val="00914531"/>
    <w:rsid w:val="00916723"/>
    <w:rsid w:val="009203B5"/>
    <w:rsid w:val="0092123D"/>
    <w:rsid w:val="00922030"/>
    <w:rsid w:val="00922792"/>
    <w:rsid w:val="00922BC8"/>
    <w:rsid w:val="009236E2"/>
    <w:rsid w:val="009260AD"/>
    <w:rsid w:val="009264F1"/>
    <w:rsid w:val="00930E7B"/>
    <w:rsid w:val="00931594"/>
    <w:rsid w:val="009316D8"/>
    <w:rsid w:val="009330C0"/>
    <w:rsid w:val="00934972"/>
    <w:rsid w:val="00935443"/>
    <w:rsid w:val="00937587"/>
    <w:rsid w:val="009378CC"/>
    <w:rsid w:val="00940E7F"/>
    <w:rsid w:val="009448E5"/>
    <w:rsid w:val="0094515E"/>
    <w:rsid w:val="00945993"/>
    <w:rsid w:val="00947122"/>
    <w:rsid w:val="00950733"/>
    <w:rsid w:val="0095282B"/>
    <w:rsid w:val="00952886"/>
    <w:rsid w:val="009544E1"/>
    <w:rsid w:val="00955992"/>
    <w:rsid w:val="00957A45"/>
    <w:rsid w:val="00957B0C"/>
    <w:rsid w:val="0096070F"/>
    <w:rsid w:val="0096294A"/>
    <w:rsid w:val="00963F2E"/>
    <w:rsid w:val="00964763"/>
    <w:rsid w:val="00964CE5"/>
    <w:rsid w:val="009655DC"/>
    <w:rsid w:val="009677FD"/>
    <w:rsid w:val="00967E90"/>
    <w:rsid w:val="0097007A"/>
    <w:rsid w:val="00970AE6"/>
    <w:rsid w:val="00971427"/>
    <w:rsid w:val="009736D1"/>
    <w:rsid w:val="00973901"/>
    <w:rsid w:val="00973CC3"/>
    <w:rsid w:val="00973CF6"/>
    <w:rsid w:val="00974489"/>
    <w:rsid w:val="00975C56"/>
    <w:rsid w:val="0097679C"/>
    <w:rsid w:val="00977369"/>
    <w:rsid w:val="00977E85"/>
    <w:rsid w:val="00980AB2"/>
    <w:rsid w:val="00980C20"/>
    <w:rsid w:val="009848F4"/>
    <w:rsid w:val="00985C03"/>
    <w:rsid w:val="00986C5D"/>
    <w:rsid w:val="00990291"/>
    <w:rsid w:val="00996D46"/>
    <w:rsid w:val="00997B36"/>
    <w:rsid w:val="009A0315"/>
    <w:rsid w:val="009A04F1"/>
    <w:rsid w:val="009A0B4E"/>
    <w:rsid w:val="009A10DF"/>
    <w:rsid w:val="009A1597"/>
    <w:rsid w:val="009A35F5"/>
    <w:rsid w:val="009A3B88"/>
    <w:rsid w:val="009A4648"/>
    <w:rsid w:val="009A4BEC"/>
    <w:rsid w:val="009A503A"/>
    <w:rsid w:val="009A7AB0"/>
    <w:rsid w:val="009B468D"/>
    <w:rsid w:val="009B483A"/>
    <w:rsid w:val="009B5105"/>
    <w:rsid w:val="009B6068"/>
    <w:rsid w:val="009B769B"/>
    <w:rsid w:val="009C176A"/>
    <w:rsid w:val="009C45E8"/>
    <w:rsid w:val="009C4C54"/>
    <w:rsid w:val="009C4DEA"/>
    <w:rsid w:val="009C7139"/>
    <w:rsid w:val="009D11FF"/>
    <w:rsid w:val="009D29B5"/>
    <w:rsid w:val="009E0221"/>
    <w:rsid w:val="009E19CE"/>
    <w:rsid w:val="009E2170"/>
    <w:rsid w:val="009E4ACB"/>
    <w:rsid w:val="009E5A0E"/>
    <w:rsid w:val="009E5F00"/>
    <w:rsid w:val="009E6CBC"/>
    <w:rsid w:val="009E794F"/>
    <w:rsid w:val="009E7C0C"/>
    <w:rsid w:val="009F02ED"/>
    <w:rsid w:val="009F1DE5"/>
    <w:rsid w:val="009F2807"/>
    <w:rsid w:val="009F45B5"/>
    <w:rsid w:val="009F4B8E"/>
    <w:rsid w:val="009F4B9F"/>
    <w:rsid w:val="009F5D29"/>
    <w:rsid w:val="009F6EB1"/>
    <w:rsid w:val="00A00113"/>
    <w:rsid w:val="00A016D0"/>
    <w:rsid w:val="00A01E6B"/>
    <w:rsid w:val="00A0267B"/>
    <w:rsid w:val="00A0343A"/>
    <w:rsid w:val="00A03B9C"/>
    <w:rsid w:val="00A053D8"/>
    <w:rsid w:val="00A05902"/>
    <w:rsid w:val="00A0617B"/>
    <w:rsid w:val="00A10B0D"/>
    <w:rsid w:val="00A11158"/>
    <w:rsid w:val="00A11D40"/>
    <w:rsid w:val="00A11DB3"/>
    <w:rsid w:val="00A13079"/>
    <w:rsid w:val="00A14193"/>
    <w:rsid w:val="00A14521"/>
    <w:rsid w:val="00A14FE4"/>
    <w:rsid w:val="00A15FD2"/>
    <w:rsid w:val="00A16B59"/>
    <w:rsid w:val="00A16BF9"/>
    <w:rsid w:val="00A20464"/>
    <w:rsid w:val="00A206DF"/>
    <w:rsid w:val="00A209FA"/>
    <w:rsid w:val="00A20C1A"/>
    <w:rsid w:val="00A21B81"/>
    <w:rsid w:val="00A22DFA"/>
    <w:rsid w:val="00A24DE7"/>
    <w:rsid w:val="00A24E16"/>
    <w:rsid w:val="00A26842"/>
    <w:rsid w:val="00A32507"/>
    <w:rsid w:val="00A32601"/>
    <w:rsid w:val="00A363D5"/>
    <w:rsid w:val="00A403D0"/>
    <w:rsid w:val="00A40B95"/>
    <w:rsid w:val="00A413CA"/>
    <w:rsid w:val="00A41845"/>
    <w:rsid w:val="00A41F81"/>
    <w:rsid w:val="00A448EA"/>
    <w:rsid w:val="00A44E64"/>
    <w:rsid w:val="00A45CF4"/>
    <w:rsid w:val="00A45F86"/>
    <w:rsid w:val="00A4671D"/>
    <w:rsid w:val="00A470D6"/>
    <w:rsid w:val="00A47C77"/>
    <w:rsid w:val="00A503F4"/>
    <w:rsid w:val="00A509B9"/>
    <w:rsid w:val="00A51EC7"/>
    <w:rsid w:val="00A53EEA"/>
    <w:rsid w:val="00A5423F"/>
    <w:rsid w:val="00A545A9"/>
    <w:rsid w:val="00A547D6"/>
    <w:rsid w:val="00A54A5A"/>
    <w:rsid w:val="00A559D7"/>
    <w:rsid w:val="00A56891"/>
    <w:rsid w:val="00A601E9"/>
    <w:rsid w:val="00A60463"/>
    <w:rsid w:val="00A627EA"/>
    <w:rsid w:val="00A635BB"/>
    <w:rsid w:val="00A650DD"/>
    <w:rsid w:val="00A653D1"/>
    <w:rsid w:val="00A71453"/>
    <w:rsid w:val="00A71983"/>
    <w:rsid w:val="00A77644"/>
    <w:rsid w:val="00A80544"/>
    <w:rsid w:val="00A81343"/>
    <w:rsid w:val="00A81F8F"/>
    <w:rsid w:val="00A82547"/>
    <w:rsid w:val="00A86C5E"/>
    <w:rsid w:val="00A86F17"/>
    <w:rsid w:val="00A8784E"/>
    <w:rsid w:val="00A90129"/>
    <w:rsid w:val="00A901F3"/>
    <w:rsid w:val="00A922A6"/>
    <w:rsid w:val="00A92B25"/>
    <w:rsid w:val="00A94645"/>
    <w:rsid w:val="00A95284"/>
    <w:rsid w:val="00A964F2"/>
    <w:rsid w:val="00A974B1"/>
    <w:rsid w:val="00AA19C9"/>
    <w:rsid w:val="00AA276F"/>
    <w:rsid w:val="00AA2DDF"/>
    <w:rsid w:val="00AA310C"/>
    <w:rsid w:val="00AA3D0B"/>
    <w:rsid w:val="00AA57DB"/>
    <w:rsid w:val="00AA61EA"/>
    <w:rsid w:val="00AA6404"/>
    <w:rsid w:val="00AA6E69"/>
    <w:rsid w:val="00AB30DC"/>
    <w:rsid w:val="00AB381B"/>
    <w:rsid w:val="00AB4949"/>
    <w:rsid w:val="00AB6587"/>
    <w:rsid w:val="00AB7747"/>
    <w:rsid w:val="00AB793C"/>
    <w:rsid w:val="00AC0523"/>
    <w:rsid w:val="00AC4286"/>
    <w:rsid w:val="00AC6DCE"/>
    <w:rsid w:val="00AD275A"/>
    <w:rsid w:val="00AD3CB9"/>
    <w:rsid w:val="00AD4410"/>
    <w:rsid w:val="00AD7224"/>
    <w:rsid w:val="00AE0413"/>
    <w:rsid w:val="00AE06C8"/>
    <w:rsid w:val="00AE1AA9"/>
    <w:rsid w:val="00AE471F"/>
    <w:rsid w:val="00AE496E"/>
    <w:rsid w:val="00AE5F6E"/>
    <w:rsid w:val="00AE6FB3"/>
    <w:rsid w:val="00AF2BD1"/>
    <w:rsid w:val="00AF2F6C"/>
    <w:rsid w:val="00AF2F72"/>
    <w:rsid w:val="00AF31E6"/>
    <w:rsid w:val="00AF61C1"/>
    <w:rsid w:val="00AF728F"/>
    <w:rsid w:val="00B0016F"/>
    <w:rsid w:val="00B00A6F"/>
    <w:rsid w:val="00B01E58"/>
    <w:rsid w:val="00B031F8"/>
    <w:rsid w:val="00B04DF6"/>
    <w:rsid w:val="00B07E6B"/>
    <w:rsid w:val="00B11FB1"/>
    <w:rsid w:val="00B12ED2"/>
    <w:rsid w:val="00B134DC"/>
    <w:rsid w:val="00B153F6"/>
    <w:rsid w:val="00B17CAF"/>
    <w:rsid w:val="00B21D8B"/>
    <w:rsid w:val="00B27687"/>
    <w:rsid w:val="00B313CD"/>
    <w:rsid w:val="00B3243F"/>
    <w:rsid w:val="00B32552"/>
    <w:rsid w:val="00B325F8"/>
    <w:rsid w:val="00B32AC6"/>
    <w:rsid w:val="00B33BA5"/>
    <w:rsid w:val="00B353F5"/>
    <w:rsid w:val="00B35516"/>
    <w:rsid w:val="00B35E36"/>
    <w:rsid w:val="00B370EC"/>
    <w:rsid w:val="00B41E4E"/>
    <w:rsid w:val="00B42754"/>
    <w:rsid w:val="00B4456C"/>
    <w:rsid w:val="00B46EB6"/>
    <w:rsid w:val="00B471D5"/>
    <w:rsid w:val="00B508B7"/>
    <w:rsid w:val="00B5370F"/>
    <w:rsid w:val="00B53CAB"/>
    <w:rsid w:val="00B53E82"/>
    <w:rsid w:val="00B54F76"/>
    <w:rsid w:val="00B623DD"/>
    <w:rsid w:val="00B64195"/>
    <w:rsid w:val="00B64198"/>
    <w:rsid w:val="00B71310"/>
    <w:rsid w:val="00B75D1A"/>
    <w:rsid w:val="00B77862"/>
    <w:rsid w:val="00B77C3D"/>
    <w:rsid w:val="00B80F9F"/>
    <w:rsid w:val="00B820CE"/>
    <w:rsid w:val="00B82296"/>
    <w:rsid w:val="00B836A3"/>
    <w:rsid w:val="00B84B1C"/>
    <w:rsid w:val="00B84FA7"/>
    <w:rsid w:val="00B85AE8"/>
    <w:rsid w:val="00B867EE"/>
    <w:rsid w:val="00B875A7"/>
    <w:rsid w:val="00B93303"/>
    <w:rsid w:val="00B93DCC"/>
    <w:rsid w:val="00B94D8B"/>
    <w:rsid w:val="00B9645F"/>
    <w:rsid w:val="00BA250A"/>
    <w:rsid w:val="00BA2943"/>
    <w:rsid w:val="00BA3F12"/>
    <w:rsid w:val="00BA4A86"/>
    <w:rsid w:val="00BA6294"/>
    <w:rsid w:val="00BB0984"/>
    <w:rsid w:val="00BB4284"/>
    <w:rsid w:val="00BB4A8A"/>
    <w:rsid w:val="00BB4DE3"/>
    <w:rsid w:val="00BB4E25"/>
    <w:rsid w:val="00BB717A"/>
    <w:rsid w:val="00BB7BEB"/>
    <w:rsid w:val="00BC1141"/>
    <w:rsid w:val="00BC1E93"/>
    <w:rsid w:val="00BC30C6"/>
    <w:rsid w:val="00BC37CF"/>
    <w:rsid w:val="00BC4161"/>
    <w:rsid w:val="00BC4B92"/>
    <w:rsid w:val="00BC4FE0"/>
    <w:rsid w:val="00BC6348"/>
    <w:rsid w:val="00BC6856"/>
    <w:rsid w:val="00BC7682"/>
    <w:rsid w:val="00BD02FB"/>
    <w:rsid w:val="00BD0A88"/>
    <w:rsid w:val="00BD0DD1"/>
    <w:rsid w:val="00BD2626"/>
    <w:rsid w:val="00BD2962"/>
    <w:rsid w:val="00BD35E9"/>
    <w:rsid w:val="00BD39AA"/>
    <w:rsid w:val="00BD66C3"/>
    <w:rsid w:val="00BD7B65"/>
    <w:rsid w:val="00BE08CB"/>
    <w:rsid w:val="00BE762E"/>
    <w:rsid w:val="00BF20C8"/>
    <w:rsid w:val="00BF2F37"/>
    <w:rsid w:val="00BF381B"/>
    <w:rsid w:val="00BF3CA8"/>
    <w:rsid w:val="00BF6BE8"/>
    <w:rsid w:val="00C06056"/>
    <w:rsid w:val="00C109B7"/>
    <w:rsid w:val="00C10EF5"/>
    <w:rsid w:val="00C114BE"/>
    <w:rsid w:val="00C135B9"/>
    <w:rsid w:val="00C14A8C"/>
    <w:rsid w:val="00C24598"/>
    <w:rsid w:val="00C24E84"/>
    <w:rsid w:val="00C26A22"/>
    <w:rsid w:val="00C30627"/>
    <w:rsid w:val="00C330CB"/>
    <w:rsid w:val="00C337F3"/>
    <w:rsid w:val="00C34069"/>
    <w:rsid w:val="00C34882"/>
    <w:rsid w:val="00C34BC1"/>
    <w:rsid w:val="00C359A8"/>
    <w:rsid w:val="00C35A97"/>
    <w:rsid w:val="00C36818"/>
    <w:rsid w:val="00C3783B"/>
    <w:rsid w:val="00C40511"/>
    <w:rsid w:val="00C41A9A"/>
    <w:rsid w:val="00C44863"/>
    <w:rsid w:val="00C4637D"/>
    <w:rsid w:val="00C468E0"/>
    <w:rsid w:val="00C50354"/>
    <w:rsid w:val="00C504D5"/>
    <w:rsid w:val="00C514A4"/>
    <w:rsid w:val="00C57E36"/>
    <w:rsid w:val="00C608C4"/>
    <w:rsid w:val="00C60F61"/>
    <w:rsid w:val="00C615EE"/>
    <w:rsid w:val="00C62F07"/>
    <w:rsid w:val="00C63130"/>
    <w:rsid w:val="00C63BD5"/>
    <w:rsid w:val="00C643A2"/>
    <w:rsid w:val="00C667AB"/>
    <w:rsid w:val="00C71FCD"/>
    <w:rsid w:val="00C73538"/>
    <w:rsid w:val="00C74296"/>
    <w:rsid w:val="00C74751"/>
    <w:rsid w:val="00C74D6F"/>
    <w:rsid w:val="00C75D56"/>
    <w:rsid w:val="00C773F3"/>
    <w:rsid w:val="00C77A51"/>
    <w:rsid w:val="00C77CAD"/>
    <w:rsid w:val="00C81E33"/>
    <w:rsid w:val="00C81F69"/>
    <w:rsid w:val="00C8482F"/>
    <w:rsid w:val="00C90EB5"/>
    <w:rsid w:val="00C9411A"/>
    <w:rsid w:val="00C94B5D"/>
    <w:rsid w:val="00C95FF4"/>
    <w:rsid w:val="00C9619E"/>
    <w:rsid w:val="00C96CC5"/>
    <w:rsid w:val="00CA19C6"/>
    <w:rsid w:val="00CA277A"/>
    <w:rsid w:val="00CA5D1A"/>
    <w:rsid w:val="00CB0826"/>
    <w:rsid w:val="00CB2CFC"/>
    <w:rsid w:val="00CB33C9"/>
    <w:rsid w:val="00CB34A3"/>
    <w:rsid w:val="00CB3DD8"/>
    <w:rsid w:val="00CB4A28"/>
    <w:rsid w:val="00CB5CAE"/>
    <w:rsid w:val="00CC2B63"/>
    <w:rsid w:val="00CC3CF8"/>
    <w:rsid w:val="00CC5197"/>
    <w:rsid w:val="00CC603A"/>
    <w:rsid w:val="00CC6F39"/>
    <w:rsid w:val="00CD0A7A"/>
    <w:rsid w:val="00CD0B92"/>
    <w:rsid w:val="00CD2D29"/>
    <w:rsid w:val="00CD37E2"/>
    <w:rsid w:val="00CD4BC1"/>
    <w:rsid w:val="00CD6005"/>
    <w:rsid w:val="00CD7993"/>
    <w:rsid w:val="00CE0406"/>
    <w:rsid w:val="00CE15E8"/>
    <w:rsid w:val="00CE2F53"/>
    <w:rsid w:val="00CE2FB5"/>
    <w:rsid w:val="00CE347F"/>
    <w:rsid w:val="00CE3951"/>
    <w:rsid w:val="00CE3F2F"/>
    <w:rsid w:val="00CE4F74"/>
    <w:rsid w:val="00CE7371"/>
    <w:rsid w:val="00CE7C13"/>
    <w:rsid w:val="00CF0739"/>
    <w:rsid w:val="00CF2F08"/>
    <w:rsid w:val="00CF34C7"/>
    <w:rsid w:val="00CF3EEE"/>
    <w:rsid w:val="00CF43ED"/>
    <w:rsid w:val="00CF4E65"/>
    <w:rsid w:val="00D002FF"/>
    <w:rsid w:val="00D01560"/>
    <w:rsid w:val="00D030A9"/>
    <w:rsid w:val="00D03BFB"/>
    <w:rsid w:val="00D04C6B"/>
    <w:rsid w:val="00D05D0A"/>
    <w:rsid w:val="00D064B5"/>
    <w:rsid w:val="00D07087"/>
    <w:rsid w:val="00D10A57"/>
    <w:rsid w:val="00D11503"/>
    <w:rsid w:val="00D13680"/>
    <w:rsid w:val="00D145F9"/>
    <w:rsid w:val="00D14780"/>
    <w:rsid w:val="00D14ADA"/>
    <w:rsid w:val="00D17C28"/>
    <w:rsid w:val="00D2019B"/>
    <w:rsid w:val="00D20C64"/>
    <w:rsid w:val="00D22E31"/>
    <w:rsid w:val="00D230F4"/>
    <w:rsid w:val="00D234F5"/>
    <w:rsid w:val="00D253AF"/>
    <w:rsid w:val="00D254CB"/>
    <w:rsid w:val="00D27136"/>
    <w:rsid w:val="00D30FF6"/>
    <w:rsid w:val="00D3146D"/>
    <w:rsid w:val="00D32946"/>
    <w:rsid w:val="00D32A52"/>
    <w:rsid w:val="00D34392"/>
    <w:rsid w:val="00D376EA"/>
    <w:rsid w:val="00D37D78"/>
    <w:rsid w:val="00D419DD"/>
    <w:rsid w:val="00D44185"/>
    <w:rsid w:val="00D445EC"/>
    <w:rsid w:val="00D462CF"/>
    <w:rsid w:val="00D50DCF"/>
    <w:rsid w:val="00D51AF1"/>
    <w:rsid w:val="00D51CA5"/>
    <w:rsid w:val="00D53455"/>
    <w:rsid w:val="00D53CFF"/>
    <w:rsid w:val="00D56382"/>
    <w:rsid w:val="00D61D11"/>
    <w:rsid w:val="00D633FE"/>
    <w:rsid w:val="00D63833"/>
    <w:rsid w:val="00D63B19"/>
    <w:rsid w:val="00D64863"/>
    <w:rsid w:val="00D65F4C"/>
    <w:rsid w:val="00D66495"/>
    <w:rsid w:val="00D665CA"/>
    <w:rsid w:val="00D66CEB"/>
    <w:rsid w:val="00D673DE"/>
    <w:rsid w:val="00D71011"/>
    <w:rsid w:val="00D71C24"/>
    <w:rsid w:val="00D729A2"/>
    <w:rsid w:val="00D75F37"/>
    <w:rsid w:val="00D81055"/>
    <w:rsid w:val="00D819B0"/>
    <w:rsid w:val="00D82A89"/>
    <w:rsid w:val="00D836CB"/>
    <w:rsid w:val="00D83856"/>
    <w:rsid w:val="00D84DA4"/>
    <w:rsid w:val="00D867D1"/>
    <w:rsid w:val="00D91A44"/>
    <w:rsid w:val="00D92508"/>
    <w:rsid w:val="00D9308C"/>
    <w:rsid w:val="00D9493D"/>
    <w:rsid w:val="00D94A7F"/>
    <w:rsid w:val="00D957F1"/>
    <w:rsid w:val="00D97B53"/>
    <w:rsid w:val="00DA0200"/>
    <w:rsid w:val="00DA0CFB"/>
    <w:rsid w:val="00DA1E39"/>
    <w:rsid w:val="00DA20D3"/>
    <w:rsid w:val="00DA4612"/>
    <w:rsid w:val="00DA4AFB"/>
    <w:rsid w:val="00DA5D4C"/>
    <w:rsid w:val="00DA74EB"/>
    <w:rsid w:val="00DB0BFB"/>
    <w:rsid w:val="00DB51D7"/>
    <w:rsid w:val="00DB6200"/>
    <w:rsid w:val="00DB623C"/>
    <w:rsid w:val="00DB753B"/>
    <w:rsid w:val="00DB75B0"/>
    <w:rsid w:val="00DC06EF"/>
    <w:rsid w:val="00DC26E9"/>
    <w:rsid w:val="00DC44C9"/>
    <w:rsid w:val="00DC674A"/>
    <w:rsid w:val="00DD29D9"/>
    <w:rsid w:val="00DD2C1D"/>
    <w:rsid w:val="00DD3A7F"/>
    <w:rsid w:val="00DD4555"/>
    <w:rsid w:val="00DD4694"/>
    <w:rsid w:val="00DD4EBA"/>
    <w:rsid w:val="00DD6897"/>
    <w:rsid w:val="00DD7FA8"/>
    <w:rsid w:val="00DE09AB"/>
    <w:rsid w:val="00DE2CA9"/>
    <w:rsid w:val="00DE3E17"/>
    <w:rsid w:val="00DE4491"/>
    <w:rsid w:val="00DE4CB4"/>
    <w:rsid w:val="00DE5EB2"/>
    <w:rsid w:val="00DE5F9E"/>
    <w:rsid w:val="00DE63AE"/>
    <w:rsid w:val="00DE7C3C"/>
    <w:rsid w:val="00DF1A7B"/>
    <w:rsid w:val="00DF4B23"/>
    <w:rsid w:val="00DF53E2"/>
    <w:rsid w:val="00DF6567"/>
    <w:rsid w:val="00DF71B3"/>
    <w:rsid w:val="00E01993"/>
    <w:rsid w:val="00E01A67"/>
    <w:rsid w:val="00E03458"/>
    <w:rsid w:val="00E06035"/>
    <w:rsid w:val="00E078C7"/>
    <w:rsid w:val="00E107D4"/>
    <w:rsid w:val="00E11AD9"/>
    <w:rsid w:val="00E14091"/>
    <w:rsid w:val="00E148EA"/>
    <w:rsid w:val="00E17360"/>
    <w:rsid w:val="00E20EB4"/>
    <w:rsid w:val="00E21B8D"/>
    <w:rsid w:val="00E22721"/>
    <w:rsid w:val="00E26372"/>
    <w:rsid w:val="00E3096A"/>
    <w:rsid w:val="00E31A5F"/>
    <w:rsid w:val="00E31D9C"/>
    <w:rsid w:val="00E32776"/>
    <w:rsid w:val="00E349E6"/>
    <w:rsid w:val="00E359E2"/>
    <w:rsid w:val="00E36124"/>
    <w:rsid w:val="00E36A29"/>
    <w:rsid w:val="00E37F61"/>
    <w:rsid w:val="00E40010"/>
    <w:rsid w:val="00E4351C"/>
    <w:rsid w:val="00E45C23"/>
    <w:rsid w:val="00E47D08"/>
    <w:rsid w:val="00E50402"/>
    <w:rsid w:val="00E50554"/>
    <w:rsid w:val="00E50D7E"/>
    <w:rsid w:val="00E518BF"/>
    <w:rsid w:val="00E52210"/>
    <w:rsid w:val="00E5263C"/>
    <w:rsid w:val="00E52EC9"/>
    <w:rsid w:val="00E52F4C"/>
    <w:rsid w:val="00E57751"/>
    <w:rsid w:val="00E6316E"/>
    <w:rsid w:val="00E638DD"/>
    <w:rsid w:val="00E63DE8"/>
    <w:rsid w:val="00E6517D"/>
    <w:rsid w:val="00E66D36"/>
    <w:rsid w:val="00E70049"/>
    <w:rsid w:val="00E72030"/>
    <w:rsid w:val="00E73123"/>
    <w:rsid w:val="00E74584"/>
    <w:rsid w:val="00E74AC2"/>
    <w:rsid w:val="00E75C66"/>
    <w:rsid w:val="00E80408"/>
    <w:rsid w:val="00E81785"/>
    <w:rsid w:val="00E81ED7"/>
    <w:rsid w:val="00E823AE"/>
    <w:rsid w:val="00E824B9"/>
    <w:rsid w:val="00E828E9"/>
    <w:rsid w:val="00E83400"/>
    <w:rsid w:val="00E841C2"/>
    <w:rsid w:val="00E8453D"/>
    <w:rsid w:val="00E8574B"/>
    <w:rsid w:val="00E85F08"/>
    <w:rsid w:val="00E860D1"/>
    <w:rsid w:val="00E90167"/>
    <w:rsid w:val="00E902D0"/>
    <w:rsid w:val="00E912AD"/>
    <w:rsid w:val="00E91B54"/>
    <w:rsid w:val="00E92EB5"/>
    <w:rsid w:val="00E95671"/>
    <w:rsid w:val="00E965A9"/>
    <w:rsid w:val="00E973D3"/>
    <w:rsid w:val="00E976EC"/>
    <w:rsid w:val="00EA01B8"/>
    <w:rsid w:val="00EA0C65"/>
    <w:rsid w:val="00EA450C"/>
    <w:rsid w:val="00EA655C"/>
    <w:rsid w:val="00EA6710"/>
    <w:rsid w:val="00EA6FA4"/>
    <w:rsid w:val="00EA73D1"/>
    <w:rsid w:val="00EB0686"/>
    <w:rsid w:val="00EB0E85"/>
    <w:rsid w:val="00EB22D3"/>
    <w:rsid w:val="00EB563B"/>
    <w:rsid w:val="00EB65CF"/>
    <w:rsid w:val="00EB66DE"/>
    <w:rsid w:val="00EB6960"/>
    <w:rsid w:val="00EB6D0D"/>
    <w:rsid w:val="00EB7D13"/>
    <w:rsid w:val="00EC2989"/>
    <w:rsid w:val="00EC2CCE"/>
    <w:rsid w:val="00EC3197"/>
    <w:rsid w:val="00EC47E9"/>
    <w:rsid w:val="00EC48D9"/>
    <w:rsid w:val="00EC6052"/>
    <w:rsid w:val="00EC7B20"/>
    <w:rsid w:val="00ED06A9"/>
    <w:rsid w:val="00ED0FE8"/>
    <w:rsid w:val="00ED233D"/>
    <w:rsid w:val="00ED2EA8"/>
    <w:rsid w:val="00ED47DA"/>
    <w:rsid w:val="00ED4E98"/>
    <w:rsid w:val="00ED61D4"/>
    <w:rsid w:val="00ED62E9"/>
    <w:rsid w:val="00ED75DB"/>
    <w:rsid w:val="00EE0808"/>
    <w:rsid w:val="00EE0E7A"/>
    <w:rsid w:val="00EE1311"/>
    <w:rsid w:val="00EE2D57"/>
    <w:rsid w:val="00EE3547"/>
    <w:rsid w:val="00EE4DC4"/>
    <w:rsid w:val="00EE4F3F"/>
    <w:rsid w:val="00EE559F"/>
    <w:rsid w:val="00EE6F84"/>
    <w:rsid w:val="00EE71F9"/>
    <w:rsid w:val="00EF0D75"/>
    <w:rsid w:val="00EF0DC7"/>
    <w:rsid w:val="00EF2A60"/>
    <w:rsid w:val="00EF2FAA"/>
    <w:rsid w:val="00EF310D"/>
    <w:rsid w:val="00EF4C97"/>
    <w:rsid w:val="00EF5356"/>
    <w:rsid w:val="00EF677A"/>
    <w:rsid w:val="00EF68F8"/>
    <w:rsid w:val="00EF6AB4"/>
    <w:rsid w:val="00EF702E"/>
    <w:rsid w:val="00EF73DC"/>
    <w:rsid w:val="00F02D44"/>
    <w:rsid w:val="00F02E80"/>
    <w:rsid w:val="00F036A5"/>
    <w:rsid w:val="00F03BF9"/>
    <w:rsid w:val="00F03DF5"/>
    <w:rsid w:val="00F0401B"/>
    <w:rsid w:val="00F062C2"/>
    <w:rsid w:val="00F06674"/>
    <w:rsid w:val="00F11872"/>
    <w:rsid w:val="00F1239E"/>
    <w:rsid w:val="00F12E30"/>
    <w:rsid w:val="00F12F11"/>
    <w:rsid w:val="00F14284"/>
    <w:rsid w:val="00F15998"/>
    <w:rsid w:val="00F203F6"/>
    <w:rsid w:val="00F205EB"/>
    <w:rsid w:val="00F20F3B"/>
    <w:rsid w:val="00F21547"/>
    <w:rsid w:val="00F22175"/>
    <w:rsid w:val="00F247DF"/>
    <w:rsid w:val="00F25DC5"/>
    <w:rsid w:val="00F25FCA"/>
    <w:rsid w:val="00F27CDF"/>
    <w:rsid w:val="00F3033B"/>
    <w:rsid w:val="00F32FD6"/>
    <w:rsid w:val="00F3440B"/>
    <w:rsid w:val="00F34646"/>
    <w:rsid w:val="00F347EC"/>
    <w:rsid w:val="00F3493C"/>
    <w:rsid w:val="00F35163"/>
    <w:rsid w:val="00F35EDA"/>
    <w:rsid w:val="00F36431"/>
    <w:rsid w:val="00F3647D"/>
    <w:rsid w:val="00F417CD"/>
    <w:rsid w:val="00F444E3"/>
    <w:rsid w:val="00F45764"/>
    <w:rsid w:val="00F45816"/>
    <w:rsid w:val="00F45D0B"/>
    <w:rsid w:val="00F50407"/>
    <w:rsid w:val="00F50A7A"/>
    <w:rsid w:val="00F537C9"/>
    <w:rsid w:val="00F53919"/>
    <w:rsid w:val="00F53C35"/>
    <w:rsid w:val="00F54699"/>
    <w:rsid w:val="00F552FE"/>
    <w:rsid w:val="00F56C2F"/>
    <w:rsid w:val="00F573AC"/>
    <w:rsid w:val="00F579B3"/>
    <w:rsid w:val="00F61012"/>
    <w:rsid w:val="00F625D3"/>
    <w:rsid w:val="00F62D1D"/>
    <w:rsid w:val="00F644B8"/>
    <w:rsid w:val="00F64595"/>
    <w:rsid w:val="00F646F4"/>
    <w:rsid w:val="00F653EB"/>
    <w:rsid w:val="00F66EA7"/>
    <w:rsid w:val="00F67265"/>
    <w:rsid w:val="00F70717"/>
    <w:rsid w:val="00F720A5"/>
    <w:rsid w:val="00F7224D"/>
    <w:rsid w:val="00F731F5"/>
    <w:rsid w:val="00F73936"/>
    <w:rsid w:val="00F743DF"/>
    <w:rsid w:val="00F74803"/>
    <w:rsid w:val="00F75D03"/>
    <w:rsid w:val="00F75D68"/>
    <w:rsid w:val="00F7623D"/>
    <w:rsid w:val="00F7788E"/>
    <w:rsid w:val="00F77CB1"/>
    <w:rsid w:val="00F852F5"/>
    <w:rsid w:val="00F8694A"/>
    <w:rsid w:val="00F87A70"/>
    <w:rsid w:val="00F94DAD"/>
    <w:rsid w:val="00F9542A"/>
    <w:rsid w:val="00F95BA8"/>
    <w:rsid w:val="00F96A45"/>
    <w:rsid w:val="00F9704C"/>
    <w:rsid w:val="00FA0BDF"/>
    <w:rsid w:val="00FA3564"/>
    <w:rsid w:val="00FA4195"/>
    <w:rsid w:val="00FA4AFA"/>
    <w:rsid w:val="00FA730C"/>
    <w:rsid w:val="00FB0157"/>
    <w:rsid w:val="00FB0488"/>
    <w:rsid w:val="00FB116B"/>
    <w:rsid w:val="00FB19DE"/>
    <w:rsid w:val="00FB2A71"/>
    <w:rsid w:val="00FB2FA9"/>
    <w:rsid w:val="00FB385F"/>
    <w:rsid w:val="00FB3CD5"/>
    <w:rsid w:val="00FB3FCE"/>
    <w:rsid w:val="00FB4244"/>
    <w:rsid w:val="00FB449B"/>
    <w:rsid w:val="00FB6195"/>
    <w:rsid w:val="00FB6FB4"/>
    <w:rsid w:val="00FB7EDC"/>
    <w:rsid w:val="00FC0BF8"/>
    <w:rsid w:val="00FC0C04"/>
    <w:rsid w:val="00FC11A0"/>
    <w:rsid w:val="00FC13F9"/>
    <w:rsid w:val="00FC4163"/>
    <w:rsid w:val="00FC4F6F"/>
    <w:rsid w:val="00FC5D00"/>
    <w:rsid w:val="00FC5E16"/>
    <w:rsid w:val="00FC6A6A"/>
    <w:rsid w:val="00FC6DC7"/>
    <w:rsid w:val="00FD16FE"/>
    <w:rsid w:val="00FD26D2"/>
    <w:rsid w:val="00FD2B7E"/>
    <w:rsid w:val="00FD4CC6"/>
    <w:rsid w:val="00FD579D"/>
    <w:rsid w:val="00FD5E33"/>
    <w:rsid w:val="00FD75F4"/>
    <w:rsid w:val="00FE3D41"/>
    <w:rsid w:val="00FE4342"/>
    <w:rsid w:val="00FE7CE2"/>
    <w:rsid w:val="00FF028B"/>
    <w:rsid w:val="00FF23A3"/>
    <w:rsid w:val="00FF54DA"/>
    <w:rsid w:val="00FF597A"/>
    <w:rsid w:val="00FF61C7"/>
    <w:rsid w:val="00FF6DFB"/>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8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AC6"/>
    <w:pPr>
      <w:widowControl w:val="0"/>
      <w:autoSpaceDE w:val="0"/>
      <w:autoSpaceDN w:val="0"/>
      <w:adjustRightInd w:val="0"/>
    </w:pPr>
    <w:rPr>
      <w:sz w:val="26"/>
      <w:szCs w:val="24"/>
    </w:rPr>
  </w:style>
  <w:style w:type="paragraph" w:styleId="Heading1">
    <w:name w:val="heading 1"/>
    <w:basedOn w:val="Normal"/>
    <w:next w:val="FERCparanumber"/>
    <w:link w:val="Heading1Char"/>
    <w:qFormat/>
    <w:rsid w:val="00F062C2"/>
    <w:pPr>
      <w:keepNext/>
      <w:keepLines/>
      <w:widowControl/>
      <w:numPr>
        <w:numId w:val="13"/>
      </w:numPr>
      <w:spacing w:after="260"/>
      <w:outlineLvl w:val="0"/>
    </w:pPr>
    <w:rPr>
      <w:b/>
      <w:bCs/>
      <w:kern w:val="32"/>
      <w:szCs w:val="32"/>
      <w:u w:val="single"/>
    </w:rPr>
  </w:style>
  <w:style w:type="paragraph" w:styleId="Heading2">
    <w:name w:val="heading 2"/>
    <w:basedOn w:val="Normal"/>
    <w:next w:val="FERCparanumber"/>
    <w:link w:val="Heading2Char"/>
    <w:qFormat/>
    <w:rsid w:val="00F062C2"/>
    <w:pPr>
      <w:keepNext/>
      <w:keepLines/>
      <w:widowControl/>
      <w:numPr>
        <w:ilvl w:val="1"/>
        <w:numId w:val="13"/>
      </w:numPr>
      <w:spacing w:after="260"/>
      <w:outlineLvl w:val="1"/>
    </w:pPr>
    <w:rPr>
      <w:b/>
      <w:bCs/>
      <w:iCs/>
      <w:kern w:val="32"/>
      <w:szCs w:val="28"/>
      <w:u w:val="single"/>
    </w:rPr>
  </w:style>
  <w:style w:type="paragraph" w:styleId="Heading3">
    <w:name w:val="heading 3"/>
    <w:basedOn w:val="Normal"/>
    <w:next w:val="FERCparanumber"/>
    <w:link w:val="Heading3Char"/>
    <w:qFormat/>
    <w:rsid w:val="00F062C2"/>
    <w:pPr>
      <w:keepNext/>
      <w:keepLines/>
      <w:widowControl/>
      <w:numPr>
        <w:ilvl w:val="2"/>
        <w:numId w:val="13"/>
      </w:numPr>
      <w:spacing w:after="260"/>
      <w:outlineLvl w:val="2"/>
    </w:pPr>
    <w:rPr>
      <w:b/>
      <w:bCs/>
      <w:kern w:val="32"/>
      <w:szCs w:val="26"/>
      <w:u w:val="single"/>
    </w:rPr>
  </w:style>
  <w:style w:type="paragraph" w:styleId="Heading4">
    <w:name w:val="heading 4"/>
    <w:basedOn w:val="Normal"/>
    <w:next w:val="FERCparanumber"/>
    <w:link w:val="Heading4Char"/>
    <w:qFormat/>
    <w:rsid w:val="00F062C2"/>
    <w:pPr>
      <w:keepNext/>
      <w:keepLines/>
      <w:widowControl/>
      <w:numPr>
        <w:ilvl w:val="3"/>
        <w:numId w:val="13"/>
      </w:numPr>
      <w:spacing w:after="260"/>
      <w:outlineLvl w:val="3"/>
    </w:pPr>
    <w:rPr>
      <w:b/>
      <w:bCs/>
      <w:kern w:val="32"/>
      <w:szCs w:val="28"/>
      <w:u w:val="single"/>
    </w:rPr>
  </w:style>
  <w:style w:type="paragraph" w:styleId="Heading5">
    <w:name w:val="heading 5"/>
    <w:basedOn w:val="Normal"/>
    <w:next w:val="FERCparanumber"/>
    <w:link w:val="Heading5Char"/>
    <w:qFormat/>
    <w:rsid w:val="00F062C2"/>
    <w:pPr>
      <w:keepNext/>
      <w:keepLines/>
      <w:widowControl/>
      <w:numPr>
        <w:ilvl w:val="4"/>
        <w:numId w:val="13"/>
      </w:numPr>
      <w:spacing w:after="260"/>
      <w:outlineLvl w:val="4"/>
    </w:pPr>
    <w:rPr>
      <w:b/>
      <w:bCs/>
      <w:iCs/>
      <w:kern w:val="32"/>
      <w:szCs w:val="26"/>
      <w:u w:val="single"/>
    </w:rPr>
  </w:style>
  <w:style w:type="paragraph" w:styleId="Heading6">
    <w:name w:val="heading 6"/>
    <w:basedOn w:val="Normal"/>
    <w:next w:val="FERCparanumber"/>
    <w:link w:val="Heading6Char"/>
    <w:qFormat/>
    <w:rsid w:val="00F062C2"/>
    <w:pPr>
      <w:keepNext/>
      <w:keepLines/>
      <w:widowControl/>
      <w:numPr>
        <w:ilvl w:val="5"/>
        <w:numId w:val="13"/>
      </w:numPr>
      <w:spacing w:after="260"/>
      <w:outlineLvl w:val="5"/>
    </w:pPr>
    <w:rPr>
      <w:b/>
      <w:bCs/>
      <w:kern w:val="32"/>
      <w:szCs w:val="22"/>
      <w:u w:val="single"/>
    </w:rPr>
  </w:style>
  <w:style w:type="paragraph" w:styleId="Heading7">
    <w:name w:val="heading 7"/>
    <w:basedOn w:val="Normal"/>
    <w:next w:val="FERCparanumber"/>
    <w:link w:val="Heading7Char"/>
    <w:qFormat/>
    <w:rsid w:val="00F062C2"/>
    <w:pPr>
      <w:numPr>
        <w:ilvl w:val="6"/>
        <w:numId w:val="13"/>
      </w:numPr>
      <w:spacing w:after="260"/>
      <w:outlineLvl w:val="6"/>
    </w:pPr>
    <w:rPr>
      <w:b/>
      <w:kern w:val="32"/>
      <w:u w:val="single"/>
    </w:rPr>
  </w:style>
  <w:style w:type="paragraph" w:styleId="Heading8">
    <w:name w:val="heading 8"/>
    <w:basedOn w:val="Normal"/>
    <w:next w:val="FERCparanumber"/>
    <w:link w:val="Heading8Char"/>
    <w:qFormat/>
    <w:rsid w:val="00F062C2"/>
    <w:pPr>
      <w:keepNext/>
      <w:keepLines/>
      <w:widowControl/>
      <w:numPr>
        <w:ilvl w:val="7"/>
        <w:numId w:val="13"/>
      </w:numPr>
      <w:spacing w:after="260"/>
      <w:outlineLvl w:val="7"/>
    </w:pPr>
    <w:rPr>
      <w:b/>
      <w:iCs/>
      <w:kern w:val="32"/>
      <w:u w:val="single"/>
    </w:rPr>
  </w:style>
  <w:style w:type="paragraph" w:styleId="Heading9">
    <w:name w:val="heading 9"/>
    <w:basedOn w:val="Normal"/>
    <w:next w:val="FERCparanumber"/>
    <w:link w:val="Heading9Char"/>
    <w:qFormat/>
    <w:rsid w:val="00F062C2"/>
    <w:pPr>
      <w:keepNext/>
      <w:keepLines/>
      <w:widowControl/>
      <w:numPr>
        <w:ilvl w:val="8"/>
        <w:numId w:val="13"/>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518B0"/>
    <w:rPr>
      <w:b/>
      <w:bCs/>
      <w:kern w:val="32"/>
      <w:sz w:val="26"/>
      <w:szCs w:val="32"/>
      <w:u w:val="single"/>
      <w:lang w:val="en-US" w:eastAsia="en-US" w:bidi="ar-SA"/>
    </w:rPr>
  </w:style>
  <w:style w:type="character" w:customStyle="1" w:styleId="Heading2Char">
    <w:name w:val="Heading 2 Char"/>
    <w:link w:val="Heading2"/>
    <w:locked/>
    <w:rsid w:val="006518B0"/>
    <w:rPr>
      <w:b/>
      <w:bCs/>
      <w:iCs/>
      <w:kern w:val="32"/>
      <w:sz w:val="26"/>
      <w:szCs w:val="28"/>
      <w:u w:val="single"/>
      <w:lang w:val="en-US" w:eastAsia="en-US" w:bidi="ar-SA"/>
    </w:rPr>
  </w:style>
  <w:style w:type="character" w:customStyle="1" w:styleId="Heading3Char">
    <w:name w:val="Heading 3 Char"/>
    <w:link w:val="Heading3"/>
    <w:locked/>
    <w:rsid w:val="006518B0"/>
    <w:rPr>
      <w:b/>
      <w:bCs/>
      <w:kern w:val="32"/>
      <w:sz w:val="26"/>
      <w:szCs w:val="26"/>
      <w:u w:val="single"/>
      <w:lang w:val="en-US" w:eastAsia="en-US" w:bidi="ar-SA"/>
    </w:rPr>
  </w:style>
  <w:style w:type="character" w:customStyle="1" w:styleId="Heading4Char">
    <w:name w:val="Heading 4 Char"/>
    <w:link w:val="Heading4"/>
    <w:locked/>
    <w:rsid w:val="006518B0"/>
    <w:rPr>
      <w:b/>
      <w:bCs/>
      <w:kern w:val="32"/>
      <w:sz w:val="26"/>
      <w:szCs w:val="28"/>
      <w:u w:val="single"/>
      <w:lang w:val="en-US" w:eastAsia="en-US" w:bidi="ar-SA"/>
    </w:rPr>
  </w:style>
  <w:style w:type="character" w:customStyle="1" w:styleId="Heading5Char">
    <w:name w:val="Heading 5 Char"/>
    <w:link w:val="Heading5"/>
    <w:locked/>
    <w:rsid w:val="006518B0"/>
    <w:rPr>
      <w:b/>
      <w:bCs/>
      <w:iCs/>
      <w:kern w:val="32"/>
      <w:sz w:val="26"/>
      <w:szCs w:val="26"/>
      <w:u w:val="single"/>
      <w:lang w:val="en-US" w:eastAsia="en-US" w:bidi="ar-SA"/>
    </w:rPr>
  </w:style>
  <w:style w:type="character" w:customStyle="1" w:styleId="Heading6Char">
    <w:name w:val="Heading 6 Char"/>
    <w:link w:val="Heading6"/>
    <w:locked/>
    <w:rsid w:val="006518B0"/>
    <w:rPr>
      <w:b/>
      <w:bCs/>
      <w:kern w:val="32"/>
      <w:sz w:val="26"/>
      <w:szCs w:val="22"/>
      <w:u w:val="single"/>
      <w:lang w:val="en-US" w:eastAsia="en-US" w:bidi="ar-SA"/>
    </w:rPr>
  </w:style>
  <w:style w:type="character" w:customStyle="1" w:styleId="Heading7Char">
    <w:name w:val="Heading 7 Char"/>
    <w:link w:val="Heading7"/>
    <w:locked/>
    <w:rsid w:val="006518B0"/>
    <w:rPr>
      <w:b/>
      <w:kern w:val="32"/>
      <w:sz w:val="26"/>
      <w:szCs w:val="24"/>
      <w:u w:val="single"/>
      <w:lang w:val="en-US" w:eastAsia="en-US" w:bidi="ar-SA"/>
    </w:rPr>
  </w:style>
  <w:style w:type="character" w:customStyle="1" w:styleId="Heading8Char">
    <w:name w:val="Heading 8 Char"/>
    <w:link w:val="Heading8"/>
    <w:locked/>
    <w:rsid w:val="006518B0"/>
    <w:rPr>
      <w:b/>
      <w:iCs/>
      <w:kern w:val="32"/>
      <w:sz w:val="26"/>
      <w:szCs w:val="24"/>
      <w:u w:val="single"/>
      <w:lang w:val="en-US" w:eastAsia="en-US" w:bidi="ar-SA"/>
    </w:rPr>
  </w:style>
  <w:style w:type="character" w:customStyle="1" w:styleId="Heading9Char">
    <w:name w:val="Heading 9 Char"/>
    <w:link w:val="Heading9"/>
    <w:locked/>
    <w:rsid w:val="006518B0"/>
    <w:rPr>
      <w:b/>
      <w:kern w:val="32"/>
      <w:sz w:val="26"/>
      <w:szCs w:val="22"/>
      <w:u w:val="single"/>
      <w:lang w:val="en-US" w:eastAsia="en-US" w:bidi="ar-SA"/>
    </w:rPr>
  </w:style>
  <w:style w:type="paragraph" w:styleId="BalloonText">
    <w:name w:val="Balloon Text"/>
    <w:basedOn w:val="Normal"/>
    <w:link w:val="BalloonTextChar"/>
    <w:semiHidden/>
    <w:rsid w:val="00765689"/>
    <w:rPr>
      <w:sz w:val="2"/>
      <w:szCs w:val="20"/>
    </w:rPr>
  </w:style>
  <w:style w:type="character" w:customStyle="1" w:styleId="BalloonTextChar">
    <w:name w:val="Balloon Text Char"/>
    <w:link w:val="BalloonText"/>
    <w:semiHidden/>
    <w:locked/>
    <w:rsid w:val="006518B0"/>
    <w:rPr>
      <w:sz w:val="2"/>
      <w:lang w:val="en-US" w:eastAsia="en-US" w:bidi="ar-SA"/>
    </w:rPr>
  </w:style>
  <w:style w:type="paragraph" w:customStyle="1" w:styleId="BodyFootnote">
    <w:name w:val="Body Footnote"/>
    <w:basedOn w:val="FootnoteText"/>
    <w:rsid w:val="00B32AC6"/>
    <w:rPr>
      <w:szCs w:val="26"/>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
    <w:basedOn w:val="Normal"/>
    <w:link w:val="FootnoteTextChar"/>
    <w:uiPriority w:val="99"/>
    <w:rsid w:val="00B32AC6"/>
    <w:pPr>
      <w:spacing w:after="240"/>
      <w:ind w:firstLine="720"/>
    </w:pPr>
    <w:rPr>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link w:val="FootnoteText"/>
    <w:uiPriority w:val="99"/>
    <w:locked/>
    <w:rsid w:val="00B32AC6"/>
    <w:rPr>
      <w:rFonts w:cs="Times New Roman"/>
      <w:sz w:val="26"/>
      <w:lang w:val="en-US" w:eastAsia="en-US"/>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rsid w:val="00B32AC6"/>
    <w:rPr>
      <w:rFonts w:ascii="Times New Roman" w:hAnsi="Times New Roman" w:cs="Times New Roman"/>
      <w:b/>
      <w:sz w:val="26"/>
      <w:vertAlign w:val="superscript"/>
    </w:rPr>
  </w:style>
  <w:style w:type="paragraph" w:styleId="ListContinue">
    <w:name w:val="List Continue"/>
    <w:basedOn w:val="Normal"/>
    <w:semiHidden/>
    <w:rsid w:val="00B32AC6"/>
    <w:pPr>
      <w:widowControl/>
      <w:autoSpaceDE/>
      <w:autoSpaceDN/>
      <w:adjustRightInd/>
      <w:spacing w:after="120"/>
      <w:ind w:left="360"/>
    </w:pPr>
  </w:style>
  <w:style w:type="character" w:styleId="Hyperlink">
    <w:name w:val="Hyperlink"/>
    <w:rsid w:val="00F062C2"/>
    <w:rPr>
      <w:rFonts w:cs="Times New Roman"/>
      <w:color w:val="0000FF"/>
      <w:u w:val="single"/>
    </w:rPr>
  </w:style>
  <w:style w:type="paragraph" w:styleId="Footer">
    <w:name w:val="footer"/>
    <w:basedOn w:val="Normal"/>
    <w:link w:val="FooterChar"/>
    <w:rsid w:val="00765689"/>
    <w:pPr>
      <w:tabs>
        <w:tab w:val="center" w:pos="4320"/>
        <w:tab w:val="right" w:pos="8640"/>
      </w:tabs>
    </w:pPr>
    <w:rPr>
      <w:sz w:val="24"/>
    </w:rPr>
  </w:style>
  <w:style w:type="character" w:customStyle="1" w:styleId="FooterChar">
    <w:name w:val="Footer Char"/>
    <w:link w:val="Footer"/>
    <w:semiHidden/>
    <w:locked/>
    <w:rsid w:val="006518B0"/>
    <w:rPr>
      <w:sz w:val="24"/>
      <w:szCs w:val="24"/>
      <w:lang w:val="en-US" w:eastAsia="en-US" w:bidi="ar-SA"/>
    </w:rPr>
  </w:style>
  <w:style w:type="paragraph" w:styleId="Header">
    <w:name w:val="header"/>
    <w:basedOn w:val="Normal"/>
    <w:link w:val="HeaderChar"/>
    <w:uiPriority w:val="99"/>
    <w:rsid w:val="00765689"/>
    <w:pPr>
      <w:tabs>
        <w:tab w:val="right" w:pos="8640"/>
      </w:tabs>
      <w:spacing w:after="120"/>
    </w:pPr>
    <w:rPr>
      <w:sz w:val="24"/>
    </w:rPr>
  </w:style>
  <w:style w:type="character" w:customStyle="1" w:styleId="HeaderChar">
    <w:name w:val="Header Char"/>
    <w:link w:val="Header"/>
    <w:uiPriority w:val="99"/>
    <w:locked/>
    <w:rsid w:val="006518B0"/>
    <w:rPr>
      <w:sz w:val="24"/>
      <w:szCs w:val="24"/>
      <w:lang w:val="en-US" w:eastAsia="en-US" w:bidi="ar-SA"/>
    </w:rPr>
  </w:style>
  <w:style w:type="character" w:styleId="PageNumber">
    <w:name w:val="page number"/>
    <w:rsid w:val="00B32AC6"/>
    <w:rPr>
      <w:rFonts w:cs="Times New Roman"/>
    </w:rPr>
  </w:style>
  <w:style w:type="paragraph" w:customStyle="1" w:styleId="FERCparanumber">
    <w:name w:val="FERC paranumber"/>
    <w:basedOn w:val="Normal"/>
    <w:link w:val="FERCparanumberChar1"/>
    <w:qFormat/>
    <w:rsid w:val="00656F15"/>
    <w:pPr>
      <w:widowControl/>
      <w:numPr>
        <w:numId w:val="11"/>
      </w:numPr>
      <w:spacing w:line="480" w:lineRule="auto"/>
    </w:pPr>
    <w:rPr>
      <w:szCs w:val="26"/>
    </w:rPr>
  </w:style>
  <w:style w:type="paragraph" w:styleId="BlockText">
    <w:name w:val="Block Text"/>
    <w:basedOn w:val="Normal"/>
    <w:link w:val="BlockTextChar"/>
    <w:uiPriority w:val="99"/>
    <w:rsid w:val="00360B03"/>
    <w:pPr>
      <w:widowControl/>
      <w:spacing w:after="240"/>
      <w:ind w:left="1440" w:right="1440"/>
    </w:pPr>
  </w:style>
  <w:style w:type="paragraph" w:styleId="BodyText">
    <w:name w:val="Body Text"/>
    <w:basedOn w:val="Normal"/>
    <w:link w:val="BodyTextChar"/>
    <w:rsid w:val="00765689"/>
    <w:pPr>
      <w:spacing w:after="120"/>
    </w:pPr>
    <w:rPr>
      <w:sz w:val="24"/>
    </w:rPr>
  </w:style>
  <w:style w:type="character" w:customStyle="1" w:styleId="BodyTextChar">
    <w:name w:val="Body Text Char"/>
    <w:link w:val="BodyText"/>
    <w:semiHidden/>
    <w:locked/>
    <w:rsid w:val="006518B0"/>
    <w:rPr>
      <w:sz w:val="24"/>
      <w:szCs w:val="24"/>
      <w:lang w:val="en-US" w:eastAsia="en-US" w:bidi="ar-SA"/>
    </w:rPr>
  </w:style>
  <w:style w:type="paragraph" w:styleId="BodyText2">
    <w:name w:val="Body Text 2"/>
    <w:basedOn w:val="Normal"/>
    <w:link w:val="BodyText2Char"/>
    <w:rsid w:val="00765689"/>
    <w:pPr>
      <w:spacing w:after="120" w:line="480" w:lineRule="auto"/>
    </w:pPr>
    <w:rPr>
      <w:sz w:val="24"/>
    </w:rPr>
  </w:style>
  <w:style w:type="character" w:customStyle="1" w:styleId="BodyText2Char">
    <w:name w:val="Body Text 2 Char"/>
    <w:link w:val="BodyText2"/>
    <w:semiHidden/>
    <w:locked/>
    <w:rsid w:val="006518B0"/>
    <w:rPr>
      <w:sz w:val="24"/>
      <w:szCs w:val="24"/>
      <w:lang w:val="en-US" w:eastAsia="en-US" w:bidi="ar-SA"/>
    </w:rPr>
  </w:style>
  <w:style w:type="paragraph" w:styleId="BodyText3">
    <w:name w:val="Body Text 3"/>
    <w:basedOn w:val="Normal"/>
    <w:link w:val="BodyText3Char"/>
    <w:rsid w:val="00B32AC6"/>
    <w:pPr>
      <w:spacing w:after="120"/>
    </w:pPr>
    <w:rPr>
      <w:sz w:val="16"/>
      <w:szCs w:val="16"/>
    </w:rPr>
  </w:style>
  <w:style w:type="character" w:customStyle="1" w:styleId="BodyText3Char">
    <w:name w:val="Body Text 3 Char"/>
    <w:link w:val="BodyText3"/>
    <w:semiHidden/>
    <w:locked/>
    <w:rsid w:val="006518B0"/>
    <w:rPr>
      <w:rFonts w:cs="Times New Roman"/>
      <w:sz w:val="16"/>
    </w:rPr>
  </w:style>
  <w:style w:type="paragraph" w:styleId="BodyTextFirstIndent">
    <w:name w:val="Body Text First Indent"/>
    <w:basedOn w:val="BodyText"/>
    <w:link w:val="BodyTextFirstIndentChar"/>
    <w:rsid w:val="00765689"/>
    <w:pPr>
      <w:ind w:firstLine="210"/>
    </w:pPr>
  </w:style>
  <w:style w:type="character" w:customStyle="1" w:styleId="BodyTextFirstIndentChar">
    <w:name w:val="Body Text First Indent Char"/>
    <w:basedOn w:val="BodyTextChar"/>
    <w:link w:val="BodyTextFirstIndent"/>
    <w:semiHidden/>
    <w:locked/>
    <w:rsid w:val="006518B0"/>
    <w:rPr>
      <w:sz w:val="24"/>
      <w:szCs w:val="24"/>
      <w:lang w:val="en-US" w:eastAsia="en-US" w:bidi="ar-SA"/>
    </w:rPr>
  </w:style>
  <w:style w:type="paragraph" w:styleId="BodyTextIndent">
    <w:name w:val="Body Text Indent"/>
    <w:basedOn w:val="Normal"/>
    <w:link w:val="BodyTextIndentChar"/>
    <w:rsid w:val="00765689"/>
    <w:pPr>
      <w:spacing w:after="120"/>
      <w:ind w:left="360"/>
    </w:pPr>
    <w:rPr>
      <w:sz w:val="24"/>
    </w:rPr>
  </w:style>
  <w:style w:type="character" w:customStyle="1" w:styleId="BodyTextIndentChar">
    <w:name w:val="Body Text Indent Char"/>
    <w:link w:val="BodyTextIndent"/>
    <w:semiHidden/>
    <w:locked/>
    <w:rsid w:val="006518B0"/>
    <w:rPr>
      <w:sz w:val="24"/>
      <w:szCs w:val="24"/>
      <w:lang w:val="en-US" w:eastAsia="en-US" w:bidi="ar-SA"/>
    </w:rPr>
  </w:style>
  <w:style w:type="paragraph" w:styleId="BodyTextFirstIndent2">
    <w:name w:val="Body Text First Indent 2"/>
    <w:basedOn w:val="BodyTextIndent"/>
    <w:link w:val="BodyTextFirstIndent2Char"/>
    <w:rsid w:val="00765689"/>
    <w:pPr>
      <w:ind w:firstLine="210"/>
    </w:pPr>
  </w:style>
  <w:style w:type="character" w:customStyle="1" w:styleId="BodyTextFirstIndent2Char">
    <w:name w:val="Body Text First Indent 2 Char"/>
    <w:basedOn w:val="BodyTextIndentChar"/>
    <w:link w:val="BodyTextFirstIndent2"/>
    <w:semiHidden/>
    <w:locked/>
    <w:rsid w:val="006518B0"/>
    <w:rPr>
      <w:sz w:val="24"/>
      <w:szCs w:val="24"/>
      <w:lang w:val="en-US" w:eastAsia="en-US" w:bidi="ar-SA"/>
    </w:rPr>
  </w:style>
  <w:style w:type="paragraph" w:styleId="BodyTextIndent2">
    <w:name w:val="Body Text Indent 2"/>
    <w:basedOn w:val="Normal"/>
    <w:link w:val="BodyTextIndent2Char"/>
    <w:rsid w:val="00765689"/>
    <w:pPr>
      <w:spacing w:after="120" w:line="480" w:lineRule="auto"/>
      <w:ind w:left="360"/>
    </w:pPr>
    <w:rPr>
      <w:sz w:val="24"/>
    </w:rPr>
  </w:style>
  <w:style w:type="character" w:customStyle="1" w:styleId="BodyTextIndent2Char">
    <w:name w:val="Body Text Indent 2 Char"/>
    <w:link w:val="BodyTextIndent2"/>
    <w:semiHidden/>
    <w:locked/>
    <w:rsid w:val="006518B0"/>
    <w:rPr>
      <w:sz w:val="24"/>
      <w:szCs w:val="24"/>
      <w:lang w:val="en-US" w:eastAsia="en-US" w:bidi="ar-SA"/>
    </w:rPr>
  </w:style>
  <w:style w:type="paragraph" w:styleId="BodyTextIndent3">
    <w:name w:val="Body Text Indent 3"/>
    <w:basedOn w:val="Normal"/>
    <w:link w:val="BodyTextIndent3Char"/>
    <w:rsid w:val="00B32AC6"/>
    <w:pPr>
      <w:spacing w:after="120"/>
      <w:ind w:left="360"/>
    </w:pPr>
    <w:rPr>
      <w:sz w:val="16"/>
      <w:szCs w:val="16"/>
    </w:rPr>
  </w:style>
  <w:style w:type="character" w:customStyle="1" w:styleId="BodyTextIndent3Char">
    <w:name w:val="Body Text Indent 3 Char"/>
    <w:link w:val="BodyTextIndent3"/>
    <w:semiHidden/>
    <w:locked/>
    <w:rsid w:val="006518B0"/>
    <w:rPr>
      <w:rFonts w:cs="Times New Roman"/>
      <w:sz w:val="16"/>
    </w:rPr>
  </w:style>
  <w:style w:type="paragraph" w:styleId="Caption">
    <w:name w:val="caption"/>
    <w:basedOn w:val="Normal"/>
    <w:next w:val="Normal"/>
    <w:qFormat/>
    <w:rsid w:val="00B32AC6"/>
    <w:pPr>
      <w:spacing w:before="120" w:after="120"/>
    </w:pPr>
    <w:rPr>
      <w:b/>
      <w:bCs/>
      <w:sz w:val="20"/>
      <w:szCs w:val="20"/>
    </w:rPr>
  </w:style>
  <w:style w:type="paragraph" w:styleId="Closing">
    <w:name w:val="Closing"/>
    <w:basedOn w:val="Normal"/>
    <w:link w:val="ClosingChar"/>
    <w:rsid w:val="00765689"/>
    <w:pPr>
      <w:ind w:left="4320"/>
    </w:pPr>
    <w:rPr>
      <w:sz w:val="24"/>
    </w:rPr>
  </w:style>
  <w:style w:type="character" w:customStyle="1" w:styleId="ClosingChar">
    <w:name w:val="Closing Char"/>
    <w:link w:val="Closing"/>
    <w:semiHidden/>
    <w:locked/>
    <w:rsid w:val="006518B0"/>
    <w:rPr>
      <w:sz w:val="24"/>
      <w:szCs w:val="24"/>
      <w:lang w:val="en-US" w:eastAsia="en-US" w:bidi="ar-SA"/>
    </w:rPr>
  </w:style>
  <w:style w:type="paragraph" w:styleId="CommentText">
    <w:name w:val="annotation text"/>
    <w:basedOn w:val="Normal"/>
    <w:link w:val="CommentTextChar"/>
    <w:semiHidden/>
    <w:rsid w:val="00B32AC6"/>
    <w:rPr>
      <w:sz w:val="20"/>
      <w:szCs w:val="20"/>
    </w:rPr>
  </w:style>
  <w:style w:type="character" w:customStyle="1" w:styleId="CommentTextChar">
    <w:name w:val="Comment Text Char"/>
    <w:link w:val="CommentText"/>
    <w:semiHidden/>
    <w:locked/>
    <w:rsid w:val="006518B0"/>
    <w:rPr>
      <w:rFonts w:cs="Times New Roman"/>
      <w:sz w:val="20"/>
    </w:rPr>
  </w:style>
  <w:style w:type="paragraph" w:styleId="CommentSubject">
    <w:name w:val="annotation subject"/>
    <w:basedOn w:val="CommentText"/>
    <w:next w:val="CommentText"/>
    <w:link w:val="CommentSubjectChar"/>
    <w:semiHidden/>
    <w:rsid w:val="00B32AC6"/>
    <w:rPr>
      <w:b/>
      <w:bCs/>
    </w:rPr>
  </w:style>
  <w:style w:type="character" w:customStyle="1" w:styleId="CommentSubjectChar">
    <w:name w:val="Comment Subject Char"/>
    <w:link w:val="CommentSubject"/>
    <w:semiHidden/>
    <w:locked/>
    <w:rsid w:val="006518B0"/>
    <w:rPr>
      <w:rFonts w:cs="Times New Roman"/>
      <w:b/>
      <w:sz w:val="20"/>
    </w:rPr>
  </w:style>
  <w:style w:type="paragraph" w:styleId="Date">
    <w:name w:val="Date"/>
    <w:basedOn w:val="Normal"/>
    <w:next w:val="Normal"/>
    <w:link w:val="DateChar"/>
    <w:rsid w:val="00765689"/>
    <w:rPr>
      <w:sz w:val="24"/>
    </w:rPr>
  </w:style>
  <w:style w:type="character" w:customStyle="1" w:styleId="DateChar">
    <w:name w:val="Date Char"/>
    <w:link w:val="Date"/>
    <w:semiHidden/>
    <w:locked/>
    <w:rsid w:val="006518B0"/>
    <w:rPr>
      <w:sz w:val="24"/>
      <w:szCs w:val="24"/>
      <w:lang w:val="en-US" w:eastAsia="en-US" w:bidi="ar-SA"/>
    </w:rPr>
  </w:style>
  <w:style w:type="paragraph" w:styleId="DocumentMap">
    <w:name w:val="Document Map"/>
    <w:basedOn w:val="Normal"/>
    <w:link w:val="DocumentMapChar"/>
    <w:semiHidden/>
    <w:rsid w:val="00765689"/>
    <w:pPr>
      <w:shd w:val="clear" w:color="auto" w:fill="000080"/>
    </w:pPr>
    <w:rPr>
      <w:sz w:val="2"/>
      <w:szCs w:val="20"/>
    </w:rPr>
  </w:style>
  <w:style w:type="character" w:customStyle="1" w:styleId="DocumentMapChar">
    <w:name w:val="Document Map Char"/>
    <w:link w:val="DocumentMap"/>
    <w:semiHidden/>
    <w:locked/>
    <w:rsid w:val="006518B0"/>
    <w:rPr>
      <w:sz w:val="2"/>
      <w:lang w:val="en-US" w:eastAsia="en-US" w:bidi="ar-SA"/>
    </w:rPr>
  </w:style>
  <w:style w:type="paragraph" w:styleId="E-mailSignature">
    <w:name w:val="E-mail Signature"/>
    <w:basedOn w:val="Normal"/>
    <w:link w:val="E-mailSignatureChar"/>
    <w:rsid w:val="00765689"/>
    <w:rPr>
      <w:sz w:val="24"/>
    </w:rPr>
  </w:style>
  <w:style w:type="character" w:customStyle="1" w:styleId="E-mailSignatureChar">
    <w:name w:val="E-mail Signature Char"/>
    <w:link w:val="E-mailSignature"/>
    <w:semiHidden/>
    <w:locked/>
    <w:rsid w:val="006518B0"/>
    <w:rPr>
      <w:sz w:val="24"/>
      <w:szCs w:val="24"/>
      <w:lang w:val="en-US" w:eastAsia="en-US" w:bidi="ar-SA"/>
    </w:rPr>
  </w:style>
  <w:style w:type="paragraph" w:styleId="EndnoteText">
    <w:name w:val="endnote text"/>
    <w:basedOn w:val="Normal"/>
    <w:link w:val="EndnoteTextChar"/>
    <w:semiHidden/>
    <w:rsid w:val="00B32AC6"/>
    <w:rPr>
      <w:sz w:val="20"/>
      <w:szCs w:val="20"/>
    </w:rPr>
  </w:style>
  <w:style w:type="character" w:customStyle="1" w:styleId="EndnoteTextChar">
    <w:name w:val="Endnote Text Char"/>
    <w:link w:val="EndnoteText"/>
    <w:semiHidden/>
    <w:locked/>
    <w:rsid w:val="006518B0"/>
    <w:rPr>
      <w:rFonts w:cs="Times New Roman"/>
      <w:sz w:val="20"/>
    </w:rPr>
  </w:style>
  <w:style w:type="paragraph" w:styleId="EnvelopeAddress">
    <w:name w:val="envelope address"/>
    <w:basedOn w:val="Normal"/>
    <w:rsid w:val="002677E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B32AC6"/>
    <w:rPr>
      <w:rFonts w:ascii="Arial" w:hAnsi="Arial" w:cs="Arial"/>
      <w:sz w:val="20"/>
      <w:szCs w:val="20"/>
    </w:rPr>
  </w:style>
  <w:style w:type="paragraph" w:styleId="HTMLAddress">
    <w:name w:val="HTML Address"/>
    <w:basedOn w:val="Normal"/>
    <w:link w:val="HTMLAddressChar"/>
    <w:rsid w:val="00765689"/>
    <w:rPr>
      <w:i/>
      <w:iCs/>
      <w:sz w:val="24"/>
    </w:rPr>
  </w:style>
  <w:style w:type="character" w:customStyle="1" w:styleId="HTMLAddressChar">
    <w:name w:val="HTML Address Char"/>
    <w:link w:val="HTMLAddress"/>
    <w:semiHidden/>
    <w:locked/>
    <w:rsid w:val="006518B0"/>
    <w:rPr>
      <w:i/>
      <w:iCs/>
      <w:sz w:val="24"/>
      <w:szCs w:val="24"/>
      <w:lang w:val="en-US" w:eastAsia="en-US" w:bidi="ar-SA"/>
    </w:rPr>
  </w:style>
  <w:style w:type="paragraph" w:styleId="HTMLPreformatted">
    <w:name w:val="HTML Preformatted"/>
    <w:basedOn w:val="Normal"/>
    <w:link w:val="HTMLPreformattedChar"/>
    <w:rsid w:val="00B32AC6"/>
    <w:rPr>
      <w:rFonts w:ascii="Courier New" w:hAnsi="Courier New"/>
      <w:sz w:val="20"/>
      <w:szCs w:val="20"/>
    </w:rPr>
  </w:style>
  <w:style w:type="character" w:customStyle="1" w:styleId="HTMLPreformattedChar">
    <w:name w:val="HTML Preformatted Char"/>
    <w:link w:val="HTMLPreformatted"/>
    <w:semiHidden/>
    <w:locked/>
    <w:rsid w:val="006518B0"/>
    <w:rPr>
      <w:rFonts w:ascii="Courier New" w:hAnsi="Courier New" w:cs="Times New Roman"/>
      <w:sz w:val="20"/>
    </w:rPr>
  </w:style>
  <w:style w:type="paragraph" w:styleId="Index1">
    <w:name w:val="index 1"/>
    <w:basedOn w:val="Normal"/>
    <w:next w:val="Normal"/>
    <w:semiHidden/>
    <w:rsid w:val="00B32AC6"/>
    <w:pPr>
      <w:ind w:left="260" w:hanging="260"/>
    </w:pPr>
  </w:style>
  <w:style w:type="paragraph" w:styleId="Index2">
    <w:name w:val="index 2"/>
    <w:basedOn w:val="Normal"/>
    <w:next w:val="Normal"/>
    <w:semiHidden/>
    <w:rsid w:val="00B32AC6"/>
    <w:pPr>
      <w:ind w:left="520" w:hanging="260"/>
    </w:pPr>
  </w:style>
  <w:style w:type="paragraph" w:styleId="Index3">
    <w:name w:val="index 3"/>
    <w:basedOn w:val="Normal"/>
    <w:next w:val="Normal"/>
    <w:semiHidden/>
    <w:rsid w:val="00B32AC6"/>
    <w:pPr>
      <w:ind w:left="780" w:hanging="260"/>
    </w:pPr>
  </w:style>
  <w:style w:type="paragraph" w:styleId="Index4">
    <w:name w:val="index 4"/>
    <w:basedOn w:val="Normal"/>
    <w:next w:val="Normal"/>
    <w:semiHidden/>
    <w:rsid w:val="00B32AC6"/>
    <w:pPr>
      <w:ind w:left="1040" w:hanging="260"/>
    </w:pPr>
  </w:style>
  <w:style w:type="paragraph" w:styleId="Index5">
    <w:name w:val="index 5"/>
    <w:basedOn w:val="Normal"/>
    <w:next w:val="Normal"/>
    <w:semiHidden/>
    <w:rsid w:val="00B32AC6"/>
    <w:pPr>
      <w:ind w:left="1300" w:hanging="260"/>
    </w:pPr>
  </w:style>
  <w:style w:type="paragraph" w:styleId="Index6">
    <w:name w:val="index 6"/>
    <w:basedOn w:val="Normal"/>
    <w:next w:val="Normal"/>
    <w:semiHidden/>
    <w:rsid w:val="00B32AC6"/>
    <w:pPr>
      <w:ind w:left="1560" w:hanging="260"/>
    </w:pPr>
  </w:style>
  <w:style w:type="paragraph" w:styleId="Index7">
    <w:name w:val="index 7"/>
    <w:basedOn w:val="Normal"/>
    <w:next w:val="Normal"/>
    <w:semiHidden/>
    <w:rsid w:val="00B32AC6"/>
    <w:pPr>
      <w:ind w:left="1820" w:hanging="260"/>
    </w:pPr>
  </w:style>
  <w:style w:type="paragraph" w:styleId="Index8">
    <w:name w:val="index 8"/>
    <w:basedOn w:val="Normal"/>
    <w:next w:val="Normal"/>
    <w:semiHidden/>
    <w:rsid w:val="00B32AC6"/>
    <w:pPr>
      <w:ind w:left="2080" w:hanging="260"/>
    </w:pPr>
  </w:style>
  <w:style w:type="paragraph" w:styleId="Index9">
    <w:name w:val="index 9"/>
    <w:basedOn w:val="Normal"/>
    <w:next w:val="Normal"/>
    <w:semiHidden/>
    <w:rsid w:val="00B32AC6"/>
    <w:pPr>
      <w:ind w:left="2340" w:hanging="260"/>
    </w:pPr>
  </w:style>
  <w:style w:type="paragraph" w:styleId="IndexHeading">
    <w:name w:val="index heading"/>
    <w:basedOn w:val="Normal"/>
    <w:next w:val="Index1"/>
    <w:semiHidden/>
    <w:rsid w:val="00B32AC6"/>
    <w:rPr>
      <w:rFonts w:ascii="Arial" w:hAnsi="Arial" w:cs="Arial"/>
      <w:b/>
      <w:bCs/>
    </w:rPr>
  </w:style>
  <w:style w:type="paragraph" w:styleId="List">
    <w:name w:val="List"/>
    <w:basedOn w:val="Normal"/>
    <w:rsid w:val="00B32AC6"/>
    <w:pPr>
      <w:ind w:left="360" w:hanging="360"/>
    </w:pPr>
  </w:style>
  <w:style w:type="paragraph" w:styleId="List2">
    <w:name w:val="List 2"/>
    <w:basedOn w:val="Normal"/>
    <w:rsid w:val="00B32AC6"/>
    <w:pPr>
      <w:ind w:left="720" w:hanging="360"/>
    </w:pPr>
  </w:style>
  <w:style w:type="paragraph" w:styleId="List3">
    <w:name w:val="List 3"/>
    <w:basedOn w:val="Normal"/>
    <w:rsid w:val="00B32AC6"/>
    <w:pPr>
      <w:ind w:left="1080" w:hanging="360"/>
    </w:pPr>
  </w:style>
  <w:style w:type="paragraph" w:styleId="List4">
    <w:name w:val="List 4"/>
    <w:basedOn w:val="Normal"/>
    <w:rsid w:val="00B32AC6"/>
    <w:pPr>
      <w:ind w:left="1440" w:hanging="360"/>
    </w:pPr>
  </w:style>
  <w:style w:type="paragraph" w:styleId="List5">
    <w:name w:val="List 5"/>
    <w:basedOn w:val="Normal"/>
    <w:rsid w:val="00B32AC6"/>
    <w:pPr>
      <w:ind w:left="1800" w:hanging="360"/>
    </w:pPr>
  </w:style>
  <w:style w:type="paragraph" w:styleId="ListBullet">
    <w:name w:val="List Bullet"/>
    <w:basedOn w:val="Normal"/>
    <w:rsid w:val="00B32AC6"/>
    <w:pPr>
      <w:tabs>
        <w:tab w:val="num" w:pos="360"/>
      </w:tabs>
      <w:ind w:left="360" w:hanging="360"/>
    </w:pPr>
  </w:style>
  <w:style w:type="paragraph" w:styleId="ListBullet2">
    <w:name w:val="List Bullet 2"/>
    <w:basedOn w:val="Normal"/>
    <w:rsid w:val="00765689"/>
    <w:pPr>
      <w:numPr>
        <w:numId w:val="1"/>
      </w:numPr>
      <w:tabs>
        <w:tab w:val="clear" w:pos="360"/>
        <w:tab w:val="num" w:pos="720"/>
      </w:tabs>
      <w:ind w:left="720"/>
    </w:pPr>
  </w:style>
  <w:style w:type="paragraph" w:styleId="ListBullet3">
    <w:name w:val="List Bullet 3"/>
    <w:basedOn w:val="Normal"/>
    <w:rsid w:val="00765689"/>
    <w:pPr>
      <w:numPr>
        <w:numId w:val="2"/>
      </w:numPr>
      <w:tabs>
        <w:tab w:val="clear" w:pos="720"/>
        <w:tab w:val="num" w:pos="1080"/>
      </w:tabs>
      <w:ind w:left="1080"/>
    </w:pPr>
  </w:style>
  <w:style w:type="paragraph" w:styleId="ListBullet4">
    <w:name w:val="List Bullet 4"/>
    <w:basedOn w:val="Normal"/>
    <w:rsid w:val="00765689"/>
    <w:pPr>
      <w:numPr>
        <w:numId w:val="3"/>
      </w:numPr>
      <w:tabs>
        <w:tab w:val="clear" w:pos="1080"/>
        <w:tab w:val="num" w:pos="1440"/>
      </w:tabs>
      <w:ind w:left="1440"/>
    </w:pPr>
  </w:style>
  <w:style w:type="paragraph" w:styleId="ListBullet5">
    <w:name w:val="List Bullet 5"/>
    <w:basedOn w:val="Normal"/>
    <w:rsid w:val="00765689"/>
    <w:pPr>
      <w:numPr>
        <w:numId w:val="4"/>
      </w:numPr>
      <w:tabs>
        <w:tab w:val="clear" w:pos="1440"/>
        <w:tab w:val="num" w:pos="1800"/>
      </w:tabs>
      <w:ind w:left="1800"/>
    </w:pPr>
  </w:style>
  <w:style w:type="paragraph" w:styleId="ListContinue2">
    <w:name w:val="List Continue 2"/>
    <w:basedOn w:val="Normal"/>
    <w:rsid w:val="00B32AC6"/>
    <w:pPr>
      <w:spacing w:after="120"/>
      <w:ind w:left="720"/>
    </w:pPr>
  </w:style>
  <w:style w:type="paragraph" w:styleId="ListContinue3">
    <w:name w:val="List Continue 3"/>
    <w:basedOn w:val="Normal"/>
    <w:rsid w:val="00B32AC6"/>
    <w:pPr>
      <w:spacing w:after="120"/>
      <w:ind w:left="1080"/>
    </w:pPr>
  </w:style>
  <w:style w:type="paragraph" w:styleId="ListContinue4">
    <w:name w:val="List Continue 4"/>
    <w:basedOn w:val="Normal"/>
    <w:rsid w:val="00B32AC6"/>
    <w:pPr>
      <w:spacing w:after="120"/>
      <w:ind w:left="1440"/>
    </w:pPr>
  </w:style>
  <w:style w:type="paragraph" w:styleId="ListContinue5">
    <w:name w:val="List Continue 5"/>
    <w:basedOn w:val="Normal"/>
    <w:rsid w:val="00B32AC6"/>
    <w:pPr>
      <w:spacing w:after="120"/>
      <w:ind w:left="1800"/>
    </w:pPr>
  </w:style>
  <w:style w:type="paragraph" w:styleId="ListNumber">
    <w:name w:val="List Number"/>
    <w:basedOn w:val="Normal"/>
    <w:rsid w:val="00765689"/>
    <w:pPr>
      <w:numPr>
        <w:numId w:val="5"/>
      </w:numPr>
      <w:tabs>
        <w:tab w:val="clear" w:pos="1800"/>
        <w:tab w:val="num" w:pos="360"/>
      </w:tabs>
      <w:ind w:left="360"/>
    </w:pPr>
  </w:style>
  <w:style w:type="paragraph" w:styleId="ListNumber2">
    <w:name w:val="List Number 2"/>
    <w:basedOn w:val="Normal"/>
    <w:rsid w:val="00765689"/>
    <w:pPr>
      <w:numPr>
        <w:numId w:val="6"/>
      </w:numPr>
      <w:tabs>
        <w:tab w:val="clear" w:pos="360"/>
        <w:tab w:val="num" w:pos="720"/>
      </w:tabs>
      <w:ind w:left="720"/>
    </w:pPr>
  </w:style>
  <w:style w:type="paragraph" w:styleId="ListNumber3">
    <w:name w:val="List Number 3"/>
    <w:basedOn w:val="Normal"/>
    <w:rsid w:val="00765689"/>
    <w:pPr>
      <w:numPr>
        <w:numId w:val="7"/>
      </w:numPr>
      <w:tabs>
        <w:tab w:val="clear" w:pos="720"/>
        <w:tab w:val="num" w:pos="1080"/>
      </w:tabs>
      <w:ind w:left="1080"/>
    </w:pPr>
  </w:style>
  <w:style w:type="paragraph" w:styleId="ListNumber4">
    <w:name w:val="List Number 4"/>
    <w:basedOn w:val="Normal"/>
    <w:rsid w:val="00765689"/>
    <w:pPr>
      <w:numPr>
        <w:numId w:val="8"/>
      </w:numPr>
      <w:tabs>
        <w:tab w:val="clear" w:pos="1080"/>
        <w:tab w:val="num" w:pos="1440"/>
      </w:tabs>
      <w:ind w:left="1440"/>
    </w:pPr>
  </w:style>
  <w:style w:type="paragraph" w:styleId="ListNumber5">
    <w:name w:val="List Number 5"/>
    <w:basedOn w:val="Normal"/>
    <w:rsid w:val="00765689"/>
    <w:pPr>
      <w:numPr>
        <w:numId w:val="9"/>
      </w:numPr>
      <w:tabs>
        <w:tab w:val="clear" w:pos="1440"/>
        <w:tab w:val="num" w:pos="1800"/>
      </w:tabs>
      <w:ind w:left="1800"/>
    </w:pPr>
  </w:style>
  <w:style w:type="paragraph" w:styleId="MacroText">
    <w:name w:val="macro"/>
    <w:link w:val="MacroTextChar"/>
    <w:semiHidden/>
    <w:rsid w:val="00B32AC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link w:val="MacroText"/>
    <w:semiHidden/>
    <w:locked/>
    <w:rsid w:val="006518B0"/>
    <w:rPr>
      <w:rFonts w:ascii="Courier New" w:hAnsi="Courier New" w:cs="Courier New"/>
      <w:lang w:val="en-US" w:eastAsia="en-US" w:bidi="ar-SA"/>
    </w:rPr>
  </w:style>
  <w:style w:type="paragraph" w:styleId="MessageHeader">
    <w:name w:val="Message Header"/>
    <w:basedOn w:val="Normal"/>
    <w:link w:val="MessageHeaderChar"/>
    <w:rsid w:val="0076568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link w:val="MessageHeader"/>
    <w:semiHidden/>
    <w:locked/>
    <w:rsid w:val="006518B0"/>
    <w:rPr>
      <w:rFonts w:ascii="Cambria" w:hAnsi="Cambria"/>
      <w:sz w:val="24"/>
      <w:szCs w:val="24"/>
      <w:lang w:val="en-US" w:eastAsia="en-US" w:bidi="ar-SA"/>
    </w:rPr>
  </w:style>
  <w:style w:type="paragraph" w:styleId="NormalWeb">
    <w:name w:val="Normal (Web)"/>
    <w:basedOn w:val="Normal"/>
    <w:rsid w:val="00B32AC6"/>
    <w:rPr>
      <w:sz w:val="24"/>
    </w:rPr>
  </w:style>
  <w:style w:type="paragraph" w:styleId="NormalIndent">
    <w:name w:val="Normal Indent"/>
    <w:basedOn w:val="Normal"/>
    <w:rsid w:val="00B32AC6"/>
    <w:pPr>
      <w:ind w:left="720"/>
    </w:pPr>
  </w:style>
  <w:style w:type="paragraph" w:styleId="NoteHeading">
    <w:name w:val="Note Heading"/>
    <w:basedOn w:val="Normal"/>
    <w:next w:val="Normal"/>
    <w:link w:val="NoteHeadingChar"/>
    <w:rsid w:val="00765689"/>
    <w:rPr>
      <w:sz w:val="24"/>
    </w:rPr>
  </w:style>
  <w:style w:type="character" w:customStyle="1" w:styleId="NoteHeadingChar">
    <w:name w:val="Note Heading Char"/>
    <w:link w:val="NoteHeading"/>
    <w:semiHidden/>
    <w:locked/>
    <w:rsid w:val="006518B0"/>
    <w:rPr>
      <w:sz w:val="24"/>
      <w:szCs w:val="24"/>
      <w:lang w:val="en-US" w:eastAsia="en-US" w:bidi="ar-SA"/>
    </w:rPr>
  </w:style>
  <w:style w:type="paragraph" w:styleId="PlainText">
    <w:name w:val="Plain Text"/>
    <w:basedOn w:val="Normal"/>
    <w:link w:val="PlainTextChar"/>
    <w:rsid w:val="00B32AC6"/>
    <w:rPr>
      <w:rFonts w:ascii="Courier New" w:hAnsi="Courier New"/>
      <w:sz w:val="20"/>
      <w:szCs w:val="20"/>
    </w:rPr>
  </w:style>
  <w:style w:type="character" w:customStyle="1" w:styleId="PlainTextChar">
    <w:name w:val="Plain Text Char"/>
    <w:link w:val="PlainText"/>
    <w:semiHidden/>
    <w:locked/>
    <w:rsid w:val="006518B0"/>
    <w:rPr>
      <w:rFonts w:ascii="Courier New" w:hAnsi="Courier New" w:cs="Times New Roman"/>
      <w:sz w:val="20"/>
    </w:rPr>
  </w:style>
  <w:style w:type="paragraph" w:styleId="Salutation">
    <w:name w:val="Salutation"/>
    <w:basedOn w:val="Normal"/>
    <w:next w:val="Normal"/>
    <w:link w:val="SalutationChar"/>
    <w:rsid w:val="00765689"/>
    <w:rPr>
      <w:sz w:val="24"/>
    </w:rPr>
  </w:style>
  <w:style w:type="character" w:customStyle="1" w:styleId="SalutationChar">
    <w:name w:val="Salutation Char"/>
    <w:link w:val="Salutation"/>
    <w:semiHidden/>
    <w:locked/>
    <w:rsid w:val="006518B0"/>
    <w:rPr>
      <w:sz w:val="24"/>
      <w:szCs w:val="24"/>
      <w:lang w:val="en-US" w:eastAsia="en-US" w:bidi="ar-SA"/>
    </w:rPr>
  </w:style>
  <w:style w:type="paragraph" w:styleId="Signature">
    <w:name w:val="Signature"/>
    <w:basedOn w:val="Normal"/>
    <w:link w:val="SignatureChar"/>
    <w:rsid w:val="00765689"/>
    <w:pPr>
      <w:ind w:left="4320"/>
    </w:pPr>
    <w:rPr>
      <w:sz w:val="24"/>
    </w:rPr>
  </w:style>
  <w:style w:type="character" w:customStyle="1" w:styleId="SignatureChar">
    <w:name w:val="Signature Char"/>
    <w:link w:val="Signature"/>
    <w:semiHidden/>
    <w:locked/>
    <w:rsid w:val="006518B0"/>
    <w:rPr>
      <w:sz w:val="24"/>
      <w:szCs w:val="24"/>
      <w:lang w:val="en-US" w:eastAsia="en-US" w:bidi="ar-SA"/>
    </w:rPr>
  </w:style>
  <w:style w:type="paragraph" w:styleId="Subtitle">
    <w:name w:val="Subtitle"/>
    <w:basedOn w:val="Normal"/>
    <w:link w:val="SubtitleChar"/>
    <w:qFormat/>
    <w:rsid w:val="00765689"/>
    <w:pPr>
      <w:spacing w:after="60"/>
      <w:jc w:val="center"/>
      <w:outlineLvl w:val="1"/>
    </w:pPr>
    <w:rPr>
      <w:rFonts w:ascii="Cambria" w:hAnsi="Cambria"/>
      <w:sz w:val="24"/>
    </w:rPr>
  </w:style>
  <w:style w:type="character" w:customStyle="1" w:styleId="SubtitleChar">
    <w:name w:val="Subtitle Char"/>
    <w:link w:val="Subtitle"/>
    <w:locked/>
    <w:rsid w:val="006518B0"/>
    <w:rPr>
      <w:rFonts w:ascii="Cambria" w:hAnsi="Cambria"/>
      <w:sz w:val="24"/>
      <w:szCs w:val="24"/>
      <w:lang w:val="en-US" w:eastAsia="en-US" w:bidi="ar-SA"/>
    </w:rPr>
  </w:style>
  <w:style w:type="paragraph" w:styleId="TableofAuthorities">
    <w:name w:val="table of authorities"/>
    <w:basedOn w:val="Normal"/>
    <w:next w:val="Normal"/>
    <w:semiHidden/>
    <w:rsid w:val="00B32AC6"/>
    <w:pPr>
      <w:ind w:left="260" w:hanging="260"/>
    </w:pPr>
  </w:style>
  <w:style w:type="paragraph" w:styleId="TableofFigures">
    <w:name w:val="table of figures"/>
    <w:basedOn w:val="Normal"/>
    <w:next w:val="Normal"/>
    <w:semiHidden/>
    <w:rsid w:val="00B32AC6"/>
    <w:pPr>
      <w:ind w:left="520" w:hanging="520"/>
    </w:pPr>
  </w:style>
  <w:style w:type="paragraph" w:styleId="Title">
    <w:name w:val="Title"/>
    <w:basedOn w:val="Normal"/>
    <w:link w:val="TitleChar"/>
    <w:qFormat/>
    <w:rsid w:val="00765689"/>
    <w:pPr>
      <w:spacing w:before="240" w:after="60"/>
      <w:jc w:val="center"/>
      <w:outlineLvl w:val="0"/>
    </w:pPr>
    <w:rPr>
      <w:rFonts w:ascii="Cambria" w:hAnsi="Cambria"/>
      <w:b/>
      <w:bCs/>
      <w:kern w:val="28"/>
      <w:sz w:val="32"/>
      <w:szCs w:val="32"/>
    </w:rPr>
  </w:style>
  <w:style w:type="character" w:customStyle="1" w:styleId="TitleChar">
    <w:name w:val="Title Char"/>
    <w:link w:val="Title"/>
    <w:locked/>
    <w:rsid w:val="006518B0"/>
    <w:rPr>
      <w:rFonts w:ascii="Cambria" w:hAnsi="Cambria"/>
      <w:b/>
      <w:bCs/>
      <w:kern w:val="28"/>
      <w:sz w:val="32"/>
      <w:szCs w:val="32"/>
      <w:lang w:val="en-US" w:eastAsia="en-US" w:bidi="ar-SA"/>
    </w:rPr>
  </w:style>
  <w:style w:type="paragraph" w:styleId="TOAHeading">
    <w:name w:val="toa heading"/>
    <w:basedOn w:val="Normal"/>
    <w:next w:val="Normal"/>
    <w:semiHidden/>
    <w:rsid w:val="00B32AC6"/>
    <w:pPr>
      <w:spacing w:before="120"/>
    </w:pPr>
    <w:rPr>
      <w:rFonts w:ascii="Arial" w:hAnsi="Arial" w:cs="Arial"/>
      <w:b/>
      <w:bCs/>
      <w:sz w:val="24"/>
    </w:rPr>
  </w:style>
  <w:style w:type="paragraph" w:styleId="TOC1">
    <w:name w:val="toc 1"/>
    <w:basedOn w:val="Normal"/>
    <w:next w:val="Normal"/>
    <w:semiHidden/>
    <w:rsid w:val="00B32AC6"/>
  </w:style>
  <w:style w:type="paragraph" w:styleId="TOC2">
    <w:name w:val="toc 2"/>
    <w:basedOn w:val="Normal"/>
    <w:next w:val="Normal"/>
    <w:semiHidden/>
    <w:rsid w:val="00B32AC6"/>
    <w:pPr>
      <w:ind w:left="260"/>
    </w:pPr>
  </w:style>
  <w:style w:type="paragraph" w:styleId="TOC3">
    <w:name w:val="toc 3"/>
    <w:basedOn w:val="Normal"/>
    <w:next w:val="Normal"/>
    <w:semiHidden/>
    <w:rsid w:val="00B32AC6"/>
    <w:pPr>
      <w:ind w:left="520"/>
    </w:pPr>
  </w:style>
  <w:style w:type="paragraph" w:styleId="TOC4">
    <w:name w:val="toc 4"/>
    <w:basedOn w:val="Normal"/>
    <w:next w:val="Normal"/>
    <w:semiHidden/>
    <w:rsid w:val="00B32AC6"/>
    <w:pPr>
      <w:ind w:left="780"/>
    </w:pPr>
  </w:style>
  <w:style w:type="paragraph" w:styleId="TOC5">
    <w:name w:val="toc 5"/>
    <w:basedOn w:val="Normal"/>
    <w:next w:val="Normal"/>
    <w:semiHidden/>
    <w:rsid w:val="00B32AC6"/>
    <w:pPr>
      <w:ind w:left="1040"/>
    </w:pPr>
  </w:style>
  <w:style w:type="paragraph" w:styleId="TOC6">
    <w:name w:val="toc 6"/>
    <w:basedOn w:val="Normal"/>
    <w:next w:val="Normal"/>
    <w:semiHidden/>
    <w:rsid w:val="00B32AC6"/>
    <w:pPr>
      <w:ind w:left="1300"/>
    </w:pPr>
  </w:style>
  <w:style w:type="paragraph" w:styleId="TOC7">
    <w:name w:val="toc 7"/>
    <w:basedOn w:val="Normal"/>
    <w:next w:val="Normal"/>
    <w:semiHidden/>
    <w:rsid w:val="00B32AC6"/>
    <w:pPr>
      <w:ind w:left="1560"/>
    </w:pPr>
  </w:style>
  <w:style w:type="paragraph" w:styleId="TOC8">
    <w:name w:val="toc 8"/>
    <w:basedOn w:val="Normal"/>
    <w:next w:val="Normal"/>
    <w:semiHidden/>
    <w:rsid w:val="00B32AC6"/>
    <w:pPr>
      <w:ind w:left="1820"/>
    </w:pPr>
  </w:style>
  <w:style w:type="paragraph" w:styleId="TOC9">
    <w:name w:val="toc 9"/>
    <w:basedOn w:val="Normal"/>
    <w:next w:val="Normal"/>
    <w:semiHidden/>
    <w:rsid w:val="00B32AC6"/>
    <w:pPr>
      <w:ind w:left="2080"/>
    </w:pPr>
  </w:style>
  <w:style w:type="table" w:styleId="TableGrid">
    <w:name w:val="Table Grid"/>
    <w:basedOn w:val="TableNormal"/>
    <w:rsid w:val="00B32AC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TOCStyle">
    <w:name w:val="Non-TOC Style"/>
    <w:basedOn w:val="Normal"/>
    <w:next w:val="FERCparanumber"/>
    <w:rsid w:val="00B32AC6"/>
    <w:pPr>
      <w:spacing w:after="240"/>
      <w:ind w:left="1440"/>
    </w:pPr>
    <w:rPr>
      <w:b/>
      <w:szCs w:val="26"/>
      <w:u w:val="single"/>
    </w:rPr>
  </w:style>
  <w:style w:type="paragraph" w:customStyle="1" w:styleId="myTOC1">
    <w:name w:val="myTOC 1"/>
    <w:basedOn w:val="Normal"/>
    <w:next w:val="Normal"/>
    <w:rsid w:val="00B32AC6"/>
    <w:pPr>
      <w:tabs>
        <w:tab w:val="left" w:leader="dot" w:pos="9648"/>
      </w:tabs>
      <w:spacing w:before="120"/>
    </w:pPr>
    <w:rPr>
      <w:szCs w:val="26"/>
    </w:rPr>
  </w:style>
  <w:style w:type="paragraph" w:customStyle="1" w:styleId="myTOC2">
    <w:name w:val="myTOC 2"/>
    <w:basedOn w:val="Normal"/>
    <w:next w:val="Normal"/>
    <w:rsid w:val="00B32AC6"/>
    <w:pPr>
      <w:tabs>
        <w:tab w:val="left" w:leader="dot" w:pos="9648"/>
      </w:tabs>
      <w:ind w:left="288"/>
    </w:pPr>
    <w:rPr>
      <w:szCs w:val="26"/>
    </w:rPr>
  </w:style>
  <w:style w:type="paragraph" w:customStyle="1" w:styleId="myTOC3">
    <w:name w:val="myTOC 3"/>
    <w:basedOn w:val="Normal"/>
    <w:next w:val="Normal"/>
    <w:rsid w:val="00B32AC6"/>
    <w:pPr>
      <w:tabs>
        <w:tab w:val="left" w:leader="dot" w:pos="9648"/>
      </w:tabs>
      <w:ind w:left="576"/>
    </w:pPr>
    <w:rPr>
      <w:szCs w:val="26"/>
    </w:rPr>
  </w:style>
  <w:style w:type="paragraph" w:customStyle="1" w:styleId="myTOC4">
    <w:name w:val="myTOC 4"/>
    <w:basedOn w:val="Normal"/>
    <w:next w:val="Normal"/>
    <w:rsid w:val="00B32AC6"/>
    <w:pPr>
      <w:tabs>
        <w:tab w:val="left" w:leader="dot" w:pos="9648"/>
      </w:tabs>
      <w:ind w:left="864"/>
    </w:pPr>
    <w:rPr>
      <w:szCs w:val="26"/>
    </w:rPr>
  </w:style>
  <w:style w:type="paragraph" w:customStyle="1" w:styleId="myTOC5">
    <w:name w:val="myTOC 5"/>
    <w:basedOn w:val="Normal"/>
    <w:next w:val="Normal"/>
    <w:rsid w:val="00B32AC6"/>
    <w:pPr>
      <w:tabs>
        <w:tab w:val="left" w:leader="dot" w:pos="9648"/>
      </w:tabs>
      <w:ind w:left="1152"/>
    </w:pPr>
    <w:rPr>
      <w:szCs w:val="26"/>
    </w:rPr>
  </w:style>
  <w:style w:type="paragraph" w:customStyle="1" w:styleId="BlockIndent">
    <w:name w:val="Block Indent"/>
    <w:basedOn w:val="Normal"/>
    <w:next w:val="FERCparanumber"/>
    <w:rsid w:val="00B32AC6"/>
    <w:pPr>
      <w:widowControl/>
      <w:spacing w:after="240"/>
      <w:ind w:left="1440" w:right="1440"/>
    </w:pPr>
  </w:style>
  <w:style w:type="paragraph" w:customStyle="1" w:styleId="myTOC6">
    <w:name w:val="myTOC 6"/>
    <w:basedOn w:val="Normal"/>
    <w:next w:val="Normal"/>
    <w:rsid w:val="00B32AC6"/>
    <w:pPr>
      <w:widowControl/>
      <w:tabs>
        <w:tab w:val="left" w:leader="dot" w:pos="9648"/>
      </w:tabs>
      <w:autoSpaceDE/>
      <w:autoSpaceDN/>
      <w:adjustRightInd/>
      <w:ind w:left="1440"/>
    </w:pPr>
    <w:rPr>
      <w:szCs w:val="26"/>
    </w:rPr>
  </w:style>
  <w:style w:type="paragraph" w:customStyle="1" w:styleId="myTOC7">
    <w:name w:val="myTOC 7"/>
    <w:basedOn w:val="Normal"/>
    <w:next w:val="Normal"/>
    <w:rsid w:val="00B32AC6"/>
    <w:pPr>
      <w:widowControl/>
      <w:tabs>
        <w:tab w:val="left" w:leader="dot" w:pos="9648"/>
      </w:tabs>
      <w:autoSpaceDE/>
      <w:autoSpaceDN/>
      <w:adjustRightInd/>
      <w:ind w:left="1728"/>
    </w:pPr>
    <w:rPr>
      <w:szCs w:val="26"/>
    </w:rPr>
  </w:style>
  <w:style w:type="paragraph" w:customStyle="1" w:styleId="myTOC8">
    <w:name w:val="myTOC 8"/>
    <w:basedOn w:val="Normal"/>
    <w:next w:val="Normal"/>
    <w:rsid w:val="00B32AC6"/>
    <w:pPr>
      <w:widowControl/>
      <w:tabs>
        <w:tab w:val="left" w:leader="dot" w:pos="9648"/>
      </w:tabs>
      <w:autoSpaceDE/>
      <w:autoSpaceDN/>
      <w:adjustRightInd/>
      <w:ind w:left="2016"/>
    </w:pPr>
    <w:rPr>
      <w:szCs w:val="26"/>
    </w:rPr>
  </w:style>
  <w:style w:type="paragraph" w:customStyle="1" w:styleId="myTOC9">
    <w:name w:val="myTOC 9"/>
    <w:basedOn w:val="Normal"/>
    <w:next w:val="Normal"/>
    <w:rsid w:val="00B32AC6"/>
    <w:pPr>
      <w:widowControl/>
      <w:tabs>
        <w:tab w:val="left" w:leader="dot" w:pos="9648"/>
      </w:tabs>
      <w:autoSpaceDE/>
      <w:autoSpaceDN/>
      <w:adjustRightInd/>
      <w:ind w:left="2304"/>
    </w:pPr>
    <w:rPr>
      <w:szCs w:val="26"/>
    </w:rPr>
  </w:style>
  <w:style w:type="character" w:customStyle="1" w:styleId="FERCparanumberChar1">
    <w:name w:val="FERC paranumber Char1"/>
    <w:link w:val="FERCparanumber"/>
    <w:locked/>
    <w:rsid w:val="00656F15"/>
    <w:rPr>
      <w:sz w:val="26"/>
      <w:szCs w:val="26"/>
    </w:rPr>
  </w:style>
  <w:style w:type="character" w:styleId="HTMLCite">
    <w:name w:val="HTML Cite"/>
    <w:rsid w:val="00B32AC6"/>
    <w:rPr>
      <w:rFonts w:cs="Times New Roman"/>
      <w:i/>
    </w:rPr>
  </w:style>
  <w:style w:type="paragraph" w:customStyle="1" w:styleId="LegalFormat">
    <w:name w:val="Legal Format"/>
    <w:basedOn w:val="ListContinue"/>
    <w:rsid w:val="00B32AC6"/>
    <w:pPr>
      <w:tabs>
        <w:tab w:val="num" w:pos="720"/>
      </w:tabs>
      <w:spacing w:after="0"/>
      <w:ind w:left="720" w:hanging="720"/>
    </w:pPr>
  </w:style>
  <w:style w:type="paragraph" w:customStyle="1" w:styleId="Default">
    <w:name w:val="Default"/>
    <w:rsid w:val="00B32AC6"/>
    <w:pPr>
      <w:autoSpaceDE w:val="0"/>
      <w:autoSpaceDN w:val="0"/>
      <w:adjustRightInd w:val="0"/>
    </w:pPr>
    <w:rPr>
      <w:color w:val="000000"/>
      <w:sz w:val="24"/>
      <w:szCs w:val="24"/>
    </w:rPr>
  </w:style>
  <w:style w:type="paragraph" w:styleId="Bibliography">
    <w:name w:val="Bibliography"/>
    <w:basedOn w:val="Normal"/>
    <w:next w:val="Normal"/>
    <w:semiHidden/>
    <w:rsid w:val="00097085"/>
  </w:style>
  <w:style w:type="paragraph" w:styleId="IntenseQuote">
    <w:name w:val="Intense Quote"/>
    <w:basedOn w:val="Normal"/>
    <w:next w:val="Normal"/>
    <w:link w:val="IntenseQuoteChar"/>
    <w:qFormat/>
    <w:rsid w:val="00765689"/>
    <w:pPr>
      <w:pBdr>
        <w:bottom w:val="single" w:sz="4" w:space="4" w:color="4F81BD"/>
      </w:pBdr>
      <w:spacing w:before="200" w:after="280"/>
      <w:ind w:left="936" w:right="936"/>
    </w:pPr>
    <w:rPr>
      <w:b/>
      <w:bCs/>
      <w:i/>
      <w:iCs/>
      <w:color w:val="4F81BD"/>
      <w:sz w:val="24"/>
    </w:rPr>
  </w:style>
  <w:style w:type="character" w:customStyle="1" w:styleId="IntenseQuoteChar">
    <w:name w:val="Intense Quote Char"/>
    <w:link w:val="IntenseQuote"/>
    <w:locked/>
    <w:rsid w:val="00097085"/>
    <w:rPr>
      <w:b/>
      <w:bCs/>
      <w:i/>
      <w:iCs/>
      <w:color w:val="4F81BD"/>
      <w:sz w:val="24"/>
      <w:szCs w:val="24"/>
      <w:lang w:val="en-US" w:eastAsia="en-US" w:bidi="ar-SA"/>
    </w:rPr>
  </w:style>
  <w:style w:type="paragraph" w:styleId="ListParagraph">
    <w:name w:val="List Paragraph"/>
    <w:basedOn w:val="Normal"/>
    <w:uiPriority w:val="34"/>
    <w:qFormat/>
    <w:rsid w:val="00097085"/>
    <w:pPr>
      <w:ind w:left="720"/>
    </w:pPr>
  </w:style>
  <w:style w:type="paragraph" w:styleId="NoSpacing">
    <w:name w:val="No Spacing"/>
    <w:qFormat/>
    <w:rsid w:val="00097085"/>
    <w:pPr>
      <w:widowControl w:val="0"/>
      <w:autoSpaceDE w:val="0"/>
      <w:autoSpaceDN w:val="0"/>
      <w:adjustRightInd w:val="0"/>
    </w:pPr>
    <w:rPr>
      <w:sz w:val="26"/>
      <w:szCs w:val="24"/>
    </w:rPr>
  </w:style>
  <w:style w:type="paragraph" w:styleId="Quote">
    <w:name w:val="Quote"/>
    <w:basedOn w:val="Normal"/>
    <w:next w:val="Normal"/>
    <w:link w:val="QuoteChar"/>
    <w:qFormat/>
    <w:rsid w:val="00765689"/>
    <w:rPr>
      <w:i/>
      <w:iCs/>
      <w:color w:val="000000"/>
      <w:sz w:val="24"/>
    </w:rPr>
  </w:style>
  <w:style w:type="character" w:customStyle="1" w:styleId="QuoteChar">
    <w:name w:val="Quote Char"/>
    <w:link w:val="Quote"/>
    <w:locked/>
    <w:rsid w:val="00097085"/>
    <w:rPr>
      <w:i/>
      <w:iCs/>
      <w:color w:val="000000"/>
      <w:sz w:val="24"/>
      <w:szCs w:val="24"/>
      <w:lang w:val="en-US" w:eastAsia="en-US" w:bidi="ar-SA"/>
    </w:rPr>
  </w:style>
  <w:style w:type="paragraph" w:styleId="TOCHeading">
    <w:name w:val="TOC Heading"/>
    <w:basedOn w:val="Heading1"/>
    <w:next w:val="Normal"/>
    <w:qFormat/>
    <w:rsid w:val="00097085"/>
    <w:pPr>
      <w:keepLines w:val="0"/>
      <w:widowControl w:val="0"/>
      <w:numPr>
        <w:numId w:val="0"/>
      </w:numPr>
      <w:spacing w:before="240" w:after="60"/>
      <w:outlineLvl w:val="9"/>
    </w:pPr>
    <w:rPr>
      <w:rFonts w:ascii="Cambria" w:eastAsia="MS Gothic" w:hAnsi="Cambria"/>
      <w:sz w:val="32"/>
      <w:u w:val="none"/>
    </w:rPr>
  </w:style>
  <w:style w:type="character" w:styleId="CommentReference">
    <w:name w:val="annotation reference"/>
    <w:semiHidden/>
    <w:locked/>
    <w:rsid w:val="00F552FE"/>
    <w:rPr>
      <w:rFonts w:cs="Times New Roman"/>
      <w:sz w:val="18"/>
    </w:rPr>
  </w:style>
  <w:style w:type="character" w:customStyle="1" w:styleId="CharChar36">
    <w:name w:val="Char Char36"/>
    <w:locked/>
    <w:rsid w:val="00765689"/>
    <w:rPr>
      <w:b/>
      <w:bCs/>
      <w:kern w:val="32"/>
      <w:sz w:val="26"/>
      <w:szCs w:val="32"/>
      <w:u w:val="single"/>
      <w:lang w:val="en-US" w:eastAsia="en-US" w:bidi="ar-SA"/>
    </w:rPr>
  </w:style>
  <w:style w:type="character" w:customStyle="1" w:styleId="CharChar35">
    <w:name w:val="Char Char35"/>
    <w:locked/>
    <w:rsid w:val="00765689"/>
    <w:rPr>
      <w:b/>
      <w:bCs/>
      <w:iCs/>
      <w:kern w:val="32"/>
      <w:sz w:val="26"/>
      <w:szCs w:val="28"/>
      <w:u w:val="single"/>
      <w:lang w:val="en-US" w:eastAsia="en-US" w:bidi="ar-SA"/>
    </w:rPr>
  </w:style>
  <w:style w:type="character" w:customStyle="1" w:styleId="CharChar34">
    <w:name w:val="Char Char34"/>
    <w:locked/>
    <w:rsid w:val="00765689"/>
    <w:rPr>
      <w:b/>
      <w:bCs/>
      <w:kern w:val="32"/>
      <w:sz w:val="26"/>
      <w:szCs w:val="26"/>
      <w:u w:val="single"/>
      <w:lang w:val="en-US" w:eastAsia="en-US" w:bidi="ar-SA"/>
    </w:rPr>
  </w:style>
  <w:style w:type="character" w:customStyle="1" w:styleId="CharChar33">
    <w:name w:val="Char Char33"/>
    <w:locked/>
    <w:rsid w:val="00765689"/>
    <w:rPr>
      <w:b/>
      <w:bCs/>
      <w:kern w:val="32"/>
      <w:sz w:val="26"/>
      <w:szCs w:val="28"/>
      <w:u w:val="single"/>
      <w:lang w:val="en-US" w:eastAsia="en-US" w:bidi="ar-SA"/>
    </w:rPr>
  </w:style>
  <w:style w:type="character" w:customStyle="1" w:styleId="CharChar32">
    <w:name w:val="Char Char32"/>
    <w:locked/>
    <w:rsid w:val="00765689"/>
    <w:rPr>
      <w:b/>
      <w:bCs/>
      <w:iCs/>
      <w:kern w:val="32"/>
      <w:sz w:val="26"/>
      <w:szCs w:val="26"/>
      <w:u w:val="single"/>
      <w:lang w:val="en-US" w:eastAsia="en-US" w:bidi="ar-SA"/>
    </w:rPr>
  </w:style>
  <w:style w:type="character" w:customStyle="1" w:styleId="CharChar31">
    <w:name w:val="Char Char31"/>
    <w:locked/>
    <w:rsid w:val="00765689"/>
    <w:rPr>
      <w:b/>
      <w:bCs/>
      <w:kern w:val="32"/>
      <w:sz w:val="26"/>
      <w:szCs w:val="22"/>
      <w:u w:val="single"/>
      <w:lang w:val="en-US" w:eastAsia="en-US" w:bidi="ar-SA"/>
    </w:rPr>
  </w:style>
  <w:style w:type="character" w:customStyle="1" w:styleId="CharChar30">
    <w:name w:val="Char Char30"/>
    <w:locked/>
    <w:rsid w:val="00765689"/>
    <w:rPr>
      <w:b/>
      <w:kern w:val="32"/>
      <w:sz w:val="26"/>
      <w:szCs w:val="24"/>
      <w:u w:val="single"/>
      <w:lang w:val="en-US" w:eastAsia="en-US" w:bidi="ar-SA"/>
    </w:rPr>
  </w:style>
  <w:style w:type="character" w:customStyle="1" w:styleId="CharChar29">
    <w:name w:val="Char Char29"/>
    <w:locked/>
    <w:rsid w:val="00765689"/>
    <w:rPr>
      <w:b/>
      <w:iCs/>
      <w:kern w:val="32"/>
      <w:sz w:val="26"/>
      <w:szCs w:val="24"/>
      <w:u w:val="single"/>
      <w:lang w:val="en-US" w:eastAsia="en-US" w:bidi="ar-SA"/>
    </w:rPr>
  </w:style>
  <w:style w:type="character" w:customStyle="1" w:styleId="CharChar28">
    <w:name w:val="Char Char28"/>
    <w:locked/>
    <w:rsid w:val="00765689"/>
    <w:rPr>
      <w:b/>
      <w:kern w:val="32"/>
      <w:sz w:val="26"/>
      <w:szCs w:val="22"/>
      <w:u w:val="single"/>
      <w:lang w:val="en-US" w:eastAsia="en-US" w:bidi="ar-SA"/>
    </w:rPr>
  </w:style>
  <w:style w:type="character" w:customStyle="1" w:styleId="CharChar27">
    <w:name w:val="Char Char27"/>
    <w:semiHidden/>
    <w:locked/>
    <w:rsid w:val="00765689"/>
    <w:rPr>
      <w:rFonts w:cs="Times New Roman"/>
      <w:sz w:val="2"/>
    </w:rPr>
  </w:style>
  <w:style w:type="character" w:customStyle="1" w:styleId="CharChar26">
    <w:name w:val="Char Char26"/>
    <w:semiHidden/>
    <w:locked/>
    <w:rsid w:val="00765689"/>
    <w:rPr>
      <w:rFonts w:cs="Times New Roman"/>
      <w:sz w:val="24"/>
      <w:szCs w:val="24"/>
    </w:rPr>
  </w:style>
  <w:style w:type="character" w:customStyle="1" w:styleId="CharChar25">
    <w:name w:val="Char Char25"/>
    <w:semiHidden/>
    <w:locked/>
    <w:rsid w:val="00765689"/>
    <w:rPr>
      <w:rFonts w:cs="Times New Roman"/>
      <w:sz w:val="24"/>
      <w:szCs w:val="24"/>
    </w:rPr>
  </w:style>
  <w:style w:type="character" w:customStyle="1" w:styleId="CharChar24">
    <w:name w:val="Char Char24"/>
    <w:semiHidden/>
    <w:locked/>
    <w:rsid w:val="00765689"/>
    <w:rPr>
      <w:rFonts w:cs="Times New Roman"/>
      <w:sz w:val="24"/>
      <w:szCs w:val="24"/>
    </w:rPr>
  </w:style>
  <w:style w:type="character" w:customStyle="1" w:styleId="CharChar23">
    <w:name w:val="Char Char23"/>
    <w:semiHidden/>
    <w:locked/>
    <w:rsid w:val="00765689"/>
    <w:rPr>
      <w:rFonts w:cs="Times New Roman"/>
      <w:sz w:val="24"/>
      <w:szCs w:val="24"/>
    </w:rPr>
  </w:style>
  <w:style w:type="character" w:customStyle="1" w:styleId="CharChar22">
    <w:name w:val="Char Char22"/>
    <w:semiHidden/>
    <w:locked/>
    <w:rsid w:val="00765689"/>
    <w:rPr>
      <w:rFonts w:cs="Times New Roman"/>
      <w:sz w:val="16"/>
      <w:szCs w:val="16"/>
    </w:rPr>
  </w:style>
  <w:style w:type="character" w:customStyle="1" w:styleId="CharChar21">
    <w:name w:val="Char Char21"/>
    <w:basedOn w:val="CharChar24"/>
    <w:semiHidden/>
    <w:locked/>
    <w:rsid w:val="00765689"/>
    <w:rPr>
      <w:rFonts w:cs="Times New Roman"/>
      <w:sz w:val="24"/>
      <w:szCs w:val="24"/>
    </w:rPr>
  </w:style>
  <w:style w:type="character" w:customStyle="1" w:styleId="CharChar20">
    <w:name w:val="Char Char20"/>
    <w:semiHidden/>
    <w:locked/>
    <w:rsid w:val="00765689"/>
    <w:rPr>
      <w:rFonts w:cs="Times New Roman"/>
      <w:sz w:val="24"/>
      <w:szCs w:val="24"/>
    </w:rPr>
  </w:style>
  <w:style w:type="character" w:customStyle="1" w:styleId="CharChar19">
    <w:name w:val="Char Char19"/>
    <w:basedOn w:val="CharChar20"/>
    <w:semiHidden/>
    <w:locked/>
    <w:rsid w:val="00765689"/>
    <w:rPr>
      <w:rFonts w:cs="Times New Roman"/>
      <w:sz w:val="24"/>
      <w:szCs w:val="24"/>
    </w:rPr>
  </w:style>
  <w:style w:type="character" w:customStyle="1" w:styleId="CharChar18">
    <w:name w:val="Char Char18"/>
    <w:semiHidden/>
    <w:locked/>
    <w:rsid w:val="00765689"/>
    <w:rPr>
      <w:rFonts w:cs="Times New Roman"/>
      <w:sz w:val="24"/>
      <w:szCs w:val="24"/>
    </w:rPr>
  </w:style>
  <w:style w:type="character" w:customStyle="1" w:styleId="CharChar17">
    <w:name w:val="Char Char17"/>
    <w:semiHidden/>
    <w:locked/>
    <w:rsid w:val="00765689"/>
    <w:rPr>
      <w:rFonts w:cs="Times New Roman"/>
      <w:sz w:val="16"/>
      <w:szCs w:val="16"/>
    </w:rPr>
  </w:style>
  <w:style w:type="character" w:customStyle="1" w:styleId="CharChar16">
    <w:name w:val="Char Char16"/>
    <w:semiHidden/>
    <w:locked/>
    <w:rsid w:val="00765689"/>
    <w:rPr>
      <w:rFonts w:cs="Times New Roman"/>
      <w:sz w:val="24"/>
      <w:szCs w:val="24"/>
    </w:rPr>
  </w:style>
  <w:style w:type="character" w:customStyle="1" w:styleId="CharChar15">
    <w:name w:val="Char Char15"/>
    <w:semiHidden/>
    <w:locked/>
    <w:rsid w:val="00765689"/>
    <w:rPr>
      <w:rFonts w:cs="Times New Roman"/>
      <w:sz w:val="20"/>
      <w:szCs w:val="20"/>
    </w:rPr>
  </w:style>
  <w:style w:type="character" w:customStyle="1" w:styleId="CharChar14">
    <w:name w:val="Char Char14"/>
    <w:semiHidden/>
    <w:locked/>
    <w:rsid w:val="00765689"/>
    <w:rPr>
      <w:rFonts w:cs="Times New Roman"/>
      <w:b/>
      <w:bCs/>
      <w:sz w:val="20"/>
      <w:szCs w:val="20"/>
    </w:rPr>
  </w:style>
  <w:style w:type="character" w:customStyle="1" w:styleId="CharChar13">
    <w:name w:val="Char Char13"/>
    <w:semiHidden/>
    <w:locked/>
    <w:rsid w:val="00765689"/>
    <w:rPr>
      <w:rFonts w:cs="Times New Roman"/>
      <w:sz w:val="24"/>
      <w:szCs w:val="24"/>
    </w:rPr>
  </w:style>
  <w:style w:type="character" w:customStyle="1" w:styleId="CharChar12">
    <w:name w:val="Char Char12"/>
    <w:semiHidden/>
    <w:locked/>
    <w:rsid w:val="00765689"/>
    <w:rPr>
      <w:rFonts w:cs="Times New Roman"/>
      <w:sz w:val="2"/>
    </w:rPr>
  </w:style>
  <w:style w:type="character" w:customStyle="1" w:styleId="CharChar11">
    <w:name w:val="Char Char11"/>
    <w:semiHidden/>
    <w:locked/>
    <w:rsid w:val="00765689"/>
    <w:rPr>
      <w:rFonts w:cs="Times New Roman"/>
      <w:sz w:val="24"/>
      <w:szCs w:val="24"/>
    </w:rPr>
  </w:style>
  <w:style w:type="character" w:customStyle="1" w:styleId="CharChar10">
    <w:name w:val="Char Char10"/>
    <w:semiHidden/>
    <w:locked/>
    <w:rsid w:val="00765689"/>
    <w:rPr>
      <w:rFonts w:cs="Times New Roman"/>
      <w:sz w:val="20"/>
      <w:szCs w:val="20"/>
    </w:rPr>
  </w:style>
  <w:style w:type="character" w:customStyle="1" w:styleId="CharChar9">
    <w:name w:val="Char Char9"/>
    <w:semiHidden/>
    <w:locked/>
    <w:rsid w:val="00765689"/>
    <w:rPr>
      <w:rFonts w:cs="Times New Roman"/>
      <w:i/>
      <w:iCs/>
      <w:sz w:val="24"/>
      <w:szCs w:val="24"/>
    </w:rPr>
  </w:style>
  <w:style w:type="character" w:customStyle="1" w:styleId="CharChar8">
    <w:name w:val="Char Char8"/>
    <w:semiHidden/>
    <w:locked/>
    <w:rsid w:val="00765689"/>
    <w:rPr>
      <w:rFonts w:ascii="Courier New" w:hAnsi="Courier New" w:cs="Courier New"/>
      <w:sz w:val="20"/>
      <w:szCs w:val="20"/>
    </w:rPr>
  </w:style>
  <w:style w:type="character" w:customStyle="1" w:styleId="CharChar7">
    <w:name w:val="Char Char7"/>
    <w:semiHidden/>
    <w:locked/>
    <w:rsid w:val="00765689"/>
    <w:rPr>
      <w:rFonts w:ascii="Courier New" w:hAnsi="Courier New" w:cs="Courier New"/>
      <w:lang w:val="en-US" w:eastAsia="en-US" w:bidi="ar-SA"/>
    </w:rPr>
  </w:style>
  <w:style w:type="character" w:customStyle="1" w:styleId="CharChar6">
    <w:name w:val="Char Char6"/>
    <w:semiHidden/>
    <w:locked/>
    <w:rsid w:val="00765689"/>
    <w:rPr>
      <w:rFonts w:ascii="Cambria" w:hAnsi="Cambria" w:cs="Times New Roman"/>
      <w:sz w:val="24"/>
      <w:szCs w:val="24"/>
      <w:shd w:val="pct20" w:color="auto" w:fill="auto"/>
    </w:rPr>
  </w:style>
  <w:style w:type="character" w:customStyle="1" w:styleId="CharChar5">
    <w:name w:val="Char Char5"/>
    <w:semiHidden/>
    <w:locked/>
    <w:rsid w:val="00765689"/>
    <w:rPr>
      <w:rFonts w:cs="Times New Roman"/>
      <w:sz w:val="24"/>
      <w:szCs w:val="24"/>
    </w:rPr>
  </w:style>
  <w:style w:type="character" w:customStyle="1" w:styleId="CharChar4">
    <w:name w:val="Char Char4"/>
    <w:semiHidden/>
    <w:locked/>
    <w:rsid w:val="00765689"/>
    <w:rPr>
      <w:rFonts w:ascii="Courier New" w:hAnsi="Courier New" w:cs="Courier New"/>
      <w:sz w:val="20"/>
      <w:szCs w:val="20"/>
    </w:rPr>
  </w:style>
  <w:style w:type="character" w:customStyle="1" w:styleId="CharChar3">
    <w:name w:val="Char Char3"/>
    <w:semiHidden/>
    <w:locked/>
    <w:rsid w:val="00765689"/>
    <w:rPr>
      <w:rFonts w:cs="Times New Roman"/>
      <w:sz w:val="24"/>
      <w:szCs w:val="24"/>
    </w:rPr>
  </w:style>
  <w:style w:type="character" w:customStyle="1" w:styleId="CharChar2">
    <w:name w:val="Char Char2"/>
    <w:semiHidden/>
    <w:locked/>
    <w:rsid w:val="00765689"/>
    <w:rPr>
      <w:rFonts w:cs="Times New Roman"/>
      <w:sz w:val="24"/>
      <w:szCs w:val="24"/>
    </w:rPr>
  </w:style>
  <w:style w:type="character" w:customStyle="1" w:styleId="CharChar1">
    <w:name w:val="Char Char1"/>
    <w:locked/>
    <w:rsid w:val="00765689"/>
    <w:rPr>
      <w:rFonts w:ascii="Cambria" w:hAnsi="Cambria" w:cs="Times New Roman"/>
      <w:sz w:val="24"/>
      <w:szCs w:val="24"/>
    </w:rPr>
  </w:style>
  <w:style w:type="character" w:customStyle="1" w:styleId="CharChar">
    <w:name w:val="Char Char"/>
    <w:locked/>
    <w:rsid w:val="00765689"/>
    <w:rPr>
      <w:rFonts w:ascii="Cambria" w:hAnsi="Cambria" w:cs="Times New Roman"/>
      <w:b/>
      <w:bCs/>
      <w:kern w:val="28"/>
      <w:sz w:val="32"/>
      <w:szCs w:val="32"/>
    </w:rPr>
  </w:style>
  <w:style w:type="paragraph" w:styleId="Revision">
    <w:name w:val="Revision"/>
    <w:hidden/>
    <w:uiPriority w:val="99"/>
    <w:semiHidden/>
    <w:rsid w:val="006C32AC"/>
    <w:rPr>
      <w:sz w:val="26"/>
      <w:szCs w:val="24"/>
    </w:rPr>
  </w:style>
  <w:style w:type="character" w:customStyle="1" w:styleId="BlockTextChar">
    <w:name w:val="Block Text Char"/>
    <w:link w:val="BlockText"/>
    <w:uiPriority w:val="99"/>
    <w:locked/>
    <w:rsid w:val="00360B03"/>
    <w:rPr>
      <w:sz w:val="26"/>
      <w:szCs w:val="24"/>
    </w:rPr>
  </w:style>
  <w:style w:type="character" w:styleId="BookTitle">
    <w:name w:val="Book Title"/>
    <w:basedOn w:val="DefaultParagraphFont"/>
    <w:uiPriority w:val="33"/>
    <w:qFormat/>
    <w:rsid w:val="002223D1"/>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8892088">
      <w:bodyDiv w:val="1"/>
      <w:marLeft w:val="0"/>
      <w:marRight w:val="0"/>
      <w:marTop w:val="0"/>
      <w:marBottom w:val="0"/>
      <w:divBdr>
        <w:top w:val="none" w:sz="0" w:space="0" w:color="auto"/>
        <w:left w:val="none" w:sz="0" w:space="0" w:color="auto"/>
        <w:bottom w:val="none" w:sz="0" w:space="0" w:color="auto"/>
        <w:right w:val="none" w:sz="0" w:space="0" w:color="auto"/>
      </w:divBdr>
    </w:div>
    <w:div w:id="133451674">
      <w:bodyDiv w:val="1"/>
      <w:marLeft w:val="0"/>
      <w:marRight w:val="0"/>
      <w:marTop w:val="0"/>
      <w:marBottom w:val="0"/>
      <w:divBdr>
        <w:top w:val="none" w:sz="0" w:space="0" w:color="auto"/>
        <w:left w:val="none" w:sz="0" w:space="0" w:color="auto"/>
        <w:bottom w:val="none" w:sz="0" w:space="0" w:color="auto"/>
        <w:right w:val="none" w:sz="0" w:space="0" w:color="auto"/>
      </w:divBdr>
    </w:div>
    <w:div w:id="153835682">
      <w:bodyDiv w:val="1"/>
      <w:marLeft w:val="0"/>
      <w:marRight w:val="0"/>
      <w:marTop w:val="0"/>
      <w:marBottom w:val="0"/>
      <w:divBdr>
        <w:top w:val="none" w:sz="0" w:space="0" w:color="auto"/>
        <w:left w:val="none" w:sz="0" w:space="0" w:color="auto"/>
        <w:bottom w:val="none" w:sz="0" w:space="0" w:color="auto"/>
        <w:right w:val="none" w:sz="0" w:space="0" w:color="auto"/>
      </w:divBdr>
    </w:div>
    <w:div w:id="383798869">
      <w:bodyDiv w:val="1"/>
      <w:marLeft w:val="0"/>
      <w:marRight w:val="0"/>
      <w:marTop w:val="0"/>
      <w:marBottom w:val="0"/>
      <w:divBdr>
        <w:top w:val="none" w:sz="0" w:space="0" w:color="auto"/>
        <w:left w:val="none" w:sz="0" w:space="0" w:color="auto"/>
        <w:bottom w:val="none" w:sz="0" w:space="0" w:color="auto"/>
        <w:right w:val="none" w:sz="0" w:space="0" w:color="auto"/>
      </w:divBdr>
    </w:div>
    <w:div w:id="514346742">
      <w:bodyDiv w:val="1"/>
      <w:marLeft w:val="0"/>
      <w:marRight w:val="0"/>
      <w:marTop w:val="0"/>
      <w:marBottom w:val="0"/>
      <w:divBdr>
        <w:top w:val="none" w:sz="0" w:space="0" w:color="auto"/>
        <w:left w:val="none" w:sz="0" w:space="0" w:color="auto"/>
        <w:bottom w:val="none" w:sz="0" w:space="0" w:color="auto"/>
        <w:right w:val="none" w:sz="0" w:space="0" w:color="auto"/>
      </w:divBdr>
    </w:div>
    <w:div w:id="101850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e.Greenisen@ferc.gov" TargetMode="External"/><Relationship Id="rId18" Type="http://schemas.openxmlformats.org/officeDocument/2006/relationships/hyperlink" Target="mailto:ferconlinesupport@ferc.gov"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Syed.Ahmad@ferc.gov" TargetMode="External"/><Relationship Id="rId17" Type="http://schemas.openxmlformats.org/officeDocument/2006/relationships/hyperlink" Target="http://www.ferc.gov" TargetMode="External"/><Relationship Id="rId2" Type="http://schemas.openxmlformats.org/officeDocument/2006/relationships/customXml" Target="../customXml/item2.xml"/><Relationship Id="rId16" Type="http://schemas.openxmlformats.org/officeDocument/2006/relationships/hyperlink" Target="http://www.ferc.go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rc.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ublic.referenceroom@fer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59BD-2795-4D94-BCC1-295ECC22365A}">
  <ds:schemaRefs>
    <ds:schemaRef ds:uri="http://schemas.microsoft.com/office/2006/metadata/properties"/>
  </ds:schemaRefs>
</ds:datastoreItem>
</file>

<file path=customXml/itemProps2.xml><?xml version="1.0" encoding="utf-8"?>
<ds:datastoreItem xmlns:ds="http://schemas.openxmlformats.org/officeDocument/2006/customXml" ds:itemID="{D802EAAD-E722-48C8-8240-8743F4FAF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836481-6743-4E38-AAF2-3ADCB28691D9}">
  <ds:schemaRefs>
    <ds:schemaRef ds:uri="http://schemas.microsoft.com/sharepoint/v3/contenttype/forms"/>
  </ds:schemaRefs>
</ds:datastoreItem>
</file>

<file path=customXml/itemProps4.xml><?xml version="1.0" encoding="utf-8"?>
<ds:datastoreItem xmlns:ds="http://schemas.openxmlformats.org/officeDocument/2006/customXml" ds:itemID="{6FE7263B-8C03-4371-9825-9CC99003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6282</Words>
  <Characters>35810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42008</CharactersWithSpaces>
  <SharedDoc>false</SharedDoc>
  <HyperlinkBase/>
  <HLinks>
    <vt:vector size="60" baseType="variant">
      <vt:variant>
        <vt:i4>8060938</vt:i4>
      </vt:variant>
      <vt:variant>
        <vt:i4>18</vt:i4>
      </vt:variant>
      <vt:variant>
        <vt:i4>0</vt:i4>
      </vt:variant>
      <vt:variant>
        <vt:i4>5</vt:i4>
      </vt:variant>
      <vt:variant>
        <vt:lpwstr>mailto:public.referenceroom@ferc.gov</vt:lpwstr>
      </vt:variant>
      <vt:variant>
        <vt:lpwstr/>
      </vt:variant>
      <vt:variant>
        <vt:i4>5636216</vt:i4>
      </vt:variant>
      <vt:variant>
        <vt:i4>15</vt:i4>
      </vt:variant>
      <vt:variant>
        <vt:i4>0</vt:i4>
      </vt:variant>
      <vt:variant>
        <vt:i4>5</vt:i4>
      </vt:variant>
      <vt:variant>
        <vt:lpwstr>mailto:ferconlinesupport@ferc.gov</vt:lpwstr>
      </vt:variant>
      <vt:variant>
        <vt:lpwstr/>
      </vt:variant>
      <vt:variant>
        <vt:i4>5308487</vt:i4>
      </vt:variant>
      <vt:variant>
        <vt:i4>12</vt:i4>
      </vt:variant>
      <vt:variant>
        <vt:i4>0</vt:i4>
      </vt:variant>
      <vt:variant>
        <vt:i4>5</vt:i4>
      </vt:variant>
      <vt:variant>
        <vt:lpwstr>http://www.ferc.gov/</vt:lpwstr>
      </vt:variant>
      <vt:variant>
        <vt:lpwstr/>
      </vt:variant>
      <vt:variant>
        <vt:i4>5308487</vt:i4>
      </vt:variant>
      <vt:variant>
        <vt:i4>9</vt:i4>
      </vt:variant>
      <vt:variant>
        <vt:i4>0</vt:i4>
      </vt:variant>
      <vt:variant>
        <vt:i4>5</vt:i4>
      </vt:variant>
      <vt:variant>
        <vt:lpwstr>http://www.ferc.gov/</vt:lpwstr>
      </vt:variant>
      <vt:variant>
        <vt:lpwstr/>
      </vt:variant>
      <vt:variant>
        <vt:i4>8060936</vt:i4>
      </vt:variant>
      <vt:variant>
        <vt:i4>6</vt:i4>
      </vt:variant>
      <vt:variant>
        <vt:i4>0</vt:i4>
      </vt:variant>
      <vt:variant>
        <vt:i4>5</vt:i4>
      </vt:variant>
      <vt:variant>
        <vt:lpwstr>mailto:Mark.Bennett@ferc.gov</vt:lpwstr>
      </vt:variant>
      <vt:variant>
        <vt:lpwstr/>
      </vt:variant>
      <vt:variant>
        <vt:i4>4194349</vt:i4>
      </vt:variant>
      <vt:variant>
        <vt:i4>3</vt:i4>
      </vt:variant>
      <vt:variant>
        <vt:i4>0</vt:i4>
      </vt:variant>
      <vt:variant>
        <vt:i4>5</vt:i4>
      </vt:variant>
      <vt:variant>
        <vt:lpwstr>mailto:Enakpodia.Agbedia@ferc.gov</vt:lpwstr>
      </vt:variant>
      <vt:variant>
        <vt:lpwstr/>
      </vt:variant>
      <vt:variant>
        <vt:i4>5308487</vt:i4>
      </vt:variant>
      <vt:variant>
        <vt:i4>0</vt:i4>
      </vt:variant>
      <vt:variant>
        <vt:i4>0</vt:i4>
      </vt:variant>
      <vt:variant>
        <vt:i4>5</vt:i4>
      </vt:variant>
      <vt:variant>
        <vt:lpwstr>http://www.ferc.gov/</vt:lpwstr>
      </vt:variant>
      <vt:variant>
        <vt:lpwstr/>
      </vt:variant>
      <vt:variant>
        <vt:i4>2818054</vt:i4>
      </vt:variant>
      <vt:variant>
        <vt:i4>6</vt:i4>
      </vt:variant>
      <vt:variant>
        <vt:i4>0</vt:i4>
      </vt:variant>
      <vt:variant>
        <vt:i4>5</vt:i4>
      </vt:variant>
      <vt:variant>
        <vt:lpwstr>http://www.bls.gov/oes/current/naics2_22.htm</vt:lpwstr>
      </vt:variant>
      <vt:variant>
        <vt:lpwstr/>
      </vt:variant>
      <vt:variant>
        <vt:i4>1507407</vt:i4>
      </vt:variant>
      <vt:variant>
        <vt:i4>3</vt:i4>
      </vt:variant>
      <vt:variant>
        <vt:i4>0</vt:i4>
      </vt:variant>
      <vt:variant>
        <vt:i4>5</vt:i4>
      </vt:variant>
      <vt:variant>
        <vt:lpwstr>http://www.nerc.com/pa/Stand/Reliability Standards/BAL-001-1.pdf</vt:lpwstr>
      </vt:variant>
      <vt:variant>
        <vt:lpwstr/>
      </vt:variant>
      <vt:variant>
        <vt:i4>5832792</vt:i4>
      </vt:variant>
      <vt:variant>
        <vt:i4>0</vt:i4>
      </vt:variant>
      <vt:variant>
        <vt:i4>0</vt:i4>
      </vt:variant>
      <vt:variant>
        <vt:i4>5</vt:i4>
      </vt:variant>
      <vt:variant>
        <vt:lpwstr>http://www.nerc.com/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2016-09-27T17:48:00Z</dcterms:created>
  <dcterms:modified xsi:type="dcterms:W3CDTF">2016-09-27T17:48:00Z</dcterms:modified>
  <cp:category/>
  <dc:identifier/>
  <cp:contentStatus/>
  <cp:version/>
</cp:coreProperties>
</file>