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9ADF" w14:textId="77777777" w:rsidR="009D6B6D" w:rsidRPr="001D2EC1" w:rsidRDefault="001D2EC1" w:rsidP="001D2EC1">
      <w:pPr>
        <w:widowControl/>
        <w:tabs>
          <w:tab w:val="center" w:pos="5040"/>
        </w:tabs>
        <w:jc w:val="center"/>
      </w:pPr>
      <w:r w:rsidRPr="001D2EC1">
        <w:t>Supporting Statement for</w:t>
      </w:r>
    </w:p>
    <w:p w14:paraId="3443459D" w14:textId="5F2E89B1" w:rsidR="009D6B6D" w:rsidRPr="001D2EC1" w:rsidRDefault="007F788C" w:rsidP="001D2EC1">
      <w:pPr>
        <w:widowControl/>
        <w:tabs>
          <w:tab w:val="center" w:pos="5040"/>
        </w:tabs>
        <w:jc w:val="center"/>
        <w:rPr>
          <w:b/>
        </w:rPr>
      </w:pPr>
      <w:r>
        <w:rPr>
          <w:b/>
          <w:bCs/>
        </w:rPr>
        <w:t>FERC-604</w:t>
      </w:r>
      <w:r w:rsidR="009D6B6D" w:rsidRPr="001D2EC1">
        <w:rPr>
          <w:b/>
          <w:bCs/>
        </w:rPr>
        <w:t xml:space="preserve">, </w:t>
      </w:r>
      <w:r>
        <w:rPr>
          <w:b/>
          <w:bCs/>
        </w:rPr>
        <w:t>Cash Management Agreements</w:t>
      </w:r>
    </w:p>
    <w:p w14:paraId="13D26165" w14:textId="77777777" w:rsidR="009D6B6D" w:rsidRPr="001D2EC1" w:rsidRDefault="009D6B6D" w:rsidP="001D2EC1">
      <w:pPr>
        <w:widowControl/>
        <w:tabs>
          <w:tab w:val="center" w:pos="5040"/>
        </w:tabs>
        <w:jc w:val="center"/>
      </w:pPr>
    </w:p>
    <w:p w14:paraId="08EF0C81" w14:textId="159CC628" w:rsidR="009D6B6D" w:rsidRPr="00CC615D" w:rsidRDefault="009D6B6D" w:rsidP="001F3ADE">
      <w:pPr>
        <w:widowControl/>
        <w:tabs>
          <w:tab w:val="center" w:pos="5040"/>
        </w:tabs>
        <w:rPr>
          <w:b/>
        </w:rPr>
      </w:pPr>
      <w:r w:rsidRPr="001D2EC1">
        <w:rPr>
          <w:bCs/>
        </w:rPr>
        <w:t xml:space="preserve">The Federal Energy Regulatory Commission (Commission or FERC) requests that the Office of Management and Budget (OMB) review and approve </w:t>
      </w:r>
      <w:r w:rsidR="007F788C">
        <w:rPr>
          <w:b/>
          <w:bCs/>
        </w:rPr>
        <w:t>FERC-604 (Cash Management Agreements)</w:t>
      </w:r>
      <w:r w:rsidR="0064706B">
        <w:rPr>
          <w:b/>
          <w:bCs/>
        </w:rPr>
        <w:t xml:space="preserve"> </w:t>
      </w:r>
      <w:r w:rsidR="0035481D" w:rsidRPr="001D2EC1">
        <w:rPr>
          <w:bCs/>
        </w:rPr>
        <w:t>(</w:t>
      </w:r>
      <w:r w:rsidR="007F788C">
        <w:rPr>
          <w:bCs/>
        </w:rPr>
        <w:t>OMB Control No. 1902-0267</w:t>
      </w:r>
      <w:r w:rsidR="00E32773" w:rsidRPr="001D2EC1">
        <w:rPr>
          <w:bCs/>
        </w:rPr>
        <w:t>)</w:t>
      </w:r>
      <w:r w:rsidR="005D6791" w:rsidRPr="001D2EC1">
        <w:rPr>
          <w:bCs/>
        </w:rPr>
        <w:t>,</w:t>
      </w:r>
      <w:r w:rsidR="00E32773" w:rsidRPr="001D2EC1">
        <w:rPr>
          <w:bCs/>
        </w:rPr>
        <w:t xml:space="preserve"> for a three-</w:t>
      </w:r>
      <w:r w:rsidRPr="001D2EC1">
        <w:rPr>
          <w:bCs/>
        </w:rPr>
        <w:t xml:space="preserve">year period.  </w:t>
      </w:r>
      <w:r w:rsidR="0021208A">
        <w:rPr>
          <w:bCs/>
        </w:rPr>
        <w:t>FERC-</w:t>
      </w:r>
      <w:r w:rsidR="007F788C">
        <w:rPr>
          <w:bCs/>
        </w:rPr>
        <w:t>604</w:t>
      </w:r>
      <w:r w:rsidR="007D3EF2">
        <w:t xml:space="preserve"> </w:t>
      </w:r>
      <w:r w:rsidR="00CC615D">
        <w:t xml:space="preserve">is an existing data collection with </w:t>
      </w:r>
      <w:r w:rsidRPr="001D2EC1">
        <w:t xml:space="preserve">reporting requirement in 18 Code of Federal Regulations (CFR) </w:t>
      </w:r>
      <w:r w:rsidR="00A57E47">
        <w:t>Parts 141.500, 260.400, and 357.5</w:t>
      </w:r>
      <w:r w:rsidR="00D14D54" w:rsidRPr="00F1670E">
        <w:rPr>
          <w:rStyle w:val="FootnoteReference"/>
          <w:vertAlign w:val="superscript"/>
        </w:rPr>
        <w:footnoteReference w:id="1"/>
      </w:r>
      <w:r w:rsidR="0021208A">
        <w:t>.</w:t>
      </w:r>
    </w:p>
    <w:p w14:paraId="55BF55CD" w14:textId="77777777" w:rsidR="009D6B6D" w:rsidRPr="001D2EC1" w:rsidRDefault="009D6B6D" w:rsidP="001D2EC1">
      <w:pPr>
        <w:widowControl/>
      </w:pPr>
    </w:p>
    <w:p w14:paraId="284B885E" w14:textId="77777777" w:rsidR="009D6B6D" w:rsidRPr="001D2EC1" w:rsidRDefault="009D6B6D" w:rsidP="001D2EC1">
      <w:pPr>
        <w:widowControl/>
        <w:rPr>
          <w:b/>
        </w:rPr>
      </w:pPr>
      <w:r w:rsidRPr="001D2EC1">
        <w:rPr>
          <w:b/>
        </w:rPr>
        <w:t>1.</w:t>
      </w:r>
      <w:r w:rsidRPr="001D2EC1">
        <w:rPr>
          <w:b/>
        </w:rPr>
        <w:tab/>
        <w:t xml:space="preserve">CIRCUMSTANCES THAT MAKE THE COLLECTION OF INFORMATION </w:t>
      </w:r>
      <w:r w:rsidR="001D2EC1">
        <w:rPr>
          <w:b/>
        </w:rPr>
        <w:tab/>
      </w:r>
      <w:r w:rsidRPr="001D2EC1">
        <w:rPr>
          <w:b/>
        </w:rPr>
        <w:t>NECESSARY</w:t>
      </w:r>
    </w:p>
    <w:p w14:paraId="74BB5164" w14:textId="77777777" w:rsidR="009D6B6D" w:rsidRPr="001D2EC1" w:rsidRDefault="009D6B6D" w:rsidP="001D2EC1">
      <w:pPr>
        <w:widowControl/>
        <w:ind w:left="1440"/>
        <w:rPr>
          <w:b/>
        </w:rPr>
      </w:pPr>
    </w:p>
    <w:p w14:paraId="33BA2662" w14:textId="77777777" w:rsidR="000541E0" w:rsidRDefault="000541E0" w:rsidP="000541E0">
      <w:r>
        <w:t>FERC issued rules regarding cash management programs in 2003 in order to protect customers of jurisdictional companies.  The underlying premise of reporting cash management agreements to the Commission</w:t>
      </w:r>
      <w:r w:rsidRPr="00402F2A">
        <w:t xml:space="preserve"> is that additional transparency of cash management activities between FERC-regulated entities and</w:t>
      </w:r>
      <w:r>
        <w:t xml:space="preserve"> their affiliates </w:t>
      </w:r>
      <w:r w:rsidRPr="00402F2A">
        <w:t>allow</w:t>
      </w:r>
      <w:r>
        <w:t>s</w:t>
      </w:r>
      <w:r w:rsidRPr="00402F2A">
        <w:t xml:space="preserve"> the Commission and other users of financial information to </w:t>
      </w:r>
      <w:r>
        <w:t>be aware of the agreements and review through audit the operations of the money pool</w:t>
      </w:r>
      <w:r w:rsidRPr="00402F2A">
        <w:t xml:space="preserve">.  </w:t>
      </w:r>
      <w:r>
        <w:t>FERC achieves this transparency by requiring</w:t>
      </w:r>
      <w:r w:rsidRPr="00402F2A">
        <w:t xml:space="preserve"> FERC-regulated entities to file their cash management documents </w:t>
      </w:r>
      <w:r>
        <w:t xml:space="preserve">with the Commission, which </w:t>
      </w:r>
      <w:r w:rsidRPr="00402F2A">
        <w:t>consequently make</w:t>
      </w:r>
      <w:r>
        <w:t>s</w:t>
      </w:r>
      <w:r w:rsidRPr="00402F2A">
        <w:t xml:space="preserve"> them available to the public.  In addition, the requirement that any subsequent changes to an existing agreement be filed within 10 days of the </w:t>
      </w:r>
      <w:r>
        <w:t xml:space="preserve">date of the change is </w:t>
      </w:r>
      <w:r w:rsidRPr="00402F2A">
        <w:t xml:space="preserve">to provide users of financial information with knowledge of </w:t>
      </w:r>
      <w:r>
        <w:t>changes to the agreements.</w:t>
      </w:r>
      <w:r w:rsidRPr="00402F2A">
        <w:t xml:space="preserve">  </w:t>
      </w:r>
    </w:p>
    <w:p w14:paraId="075F5EF0" w14:textId="77777777" w:rsidR="000541E0" w:rsidRDefault="000541E0" w:rsidP="000541E0"/>
    <w:p w14:paraId="70C9CECA" w14:textId="77777777" w:rsidR="000541E0" w:rsidRDefault="000541E0" w:rsidP="000541E0">
      <w:r w:rsidRPr="00402F2A">
        <w:t xml:space="preserve">The provisions in the Federal Power Act (FPA), Natural Gas Act (NGA), and Interstate Commerce Act (ICA) that authorize the Commission to require reports and documentation to administer these statutes provide ample authority for </w:t>
      </w:r>
      <w:r>
        <w:t>this information collection</w:t>
      </w:r>
      <w:r w:rsidRPr="00402F2A">
        <w:t>.</w:t>
      </w:r>
      <w:r w:rsidRPr="00402F2A">
        <w:rPr>
          <w:b/>
          <w:vertAlign w:val="superscript"/>
        </w:rPr>
        <w:footnoteReference w:id="2"/>
      </w:r>
    </w:p>
    <w:p w14:paraId="090EFEAB" w14:textId="77777777" w:rsidR="000541E0" w:rsidRDefault="000541E0" w:rsidP="000541E0"/>
    <w:p w14:paraId="1F4C8D29" w14:textId="77777777" w:rsidR="000541E0" w:rsidRPr="00402F2A" w:rsidRDefault="000541E0" w:rsidP="000541E0">
      <w:r w:rsidRPr="00402F2A">
        <w:t>Specifically, NGA Section 8 provides that “[e]very natural-gas company shall make, keep, and preserve for such periods, such accounts, records of cost-accounting procedures,  correspondence, memoranda, papers, books, and other records as the Commission may by rules and regulations prescribe as necessary or appropriate for purposes of the administration of this Act . . . ,”</w:t>
      </w:r>
      <w:r w:rsidRPr="00402F2A">
        <w:rPr>
          <w:b/>
          <w:vertAlign w:val="superscript"/>
        </w:rPr>
        <w:footnoteReference w:id="3"/>
      </w:r>
      <w:r w:rsidRPr="00402F2A">
        <w:t xml:space="preserve"> and NGA Section 10 provides that</w:t>
      </w:r>
      <w:r>
        <w:t>,</w:t>
      </w:r>
      <w:r w:rsidRPr="00402F2A">
        <w:t xml:space="preserve"> “[e]very natural-gas company shall file with the Commission such annual and other periodic or special reports as the Commission may by rules and regulations or order prescribe as necessary or appropriate to assist the Commission in the proper administration of this act.”</w:t>
      </w:r>
      <w:r w:rsidRPr="00402F2A">
        <w:rPr>
          <w:b/>
          <w:vertAlign w:val="superscript"/>
        </w:rPr>
        <w:footnoteReference w:id="4"/>
      </w:r>
      <w:r w:rsidRPr="00402F2A">
        <w:t xml:space="preserve">  FPA Section 301 provides that</w:t>
      </w:r>
      <w:r>
        <w:t>,</w:t>
      </w:r>
      <w:r w:rsidRPr="00402F2A">
        <w:t xml:space="preserve"> “[e]very licensee and public utility shall make, keep and preserve for such periods, such accounts, records of cost-accounting procedures, correspondence, memoranda, papers, books, and other records as the Commission may by rules and regulations prescribe as necessary or appropriate for purposes of the </w:t>
      </w:r>
      <w:r w:rsidRPr="00402F2A">
        <w:lastRenderedPageBreak/>
        <w:t>administration of this Act . . .,”</w:t>
      </w:r>
      <w:r w:rsidRPr="00402F2A">
        <w:rPr>
          <w:b/>
          <w:vertAlign w:val="superscript"/>
        </w:rPr>
        <w:footnoteReference w:id="5"/>
      </w:r>
      <w:r w:rsidRPr="00402F2A">
        <w:t xml:space="preserve"> and FPA Section 304 provides that “[e]very licensee and every public utility shall file with the Commission such annual and other periodic or special reports as the Commission may by rules and regulations or order prescribe as necessary or appropriate to assist the Commission in the proper administration of this Act.”</w:t>
      </w:r>
      <w:r w:rsidRPr="00402F2A">
        <w:rPr>
          <w:b/>
          <w:vertAlign w:val="superscript"/>
        </w:rPr>
        <w:footnoteReference w:id="6"/>
      </w:r>
      <w:r w:rsidRPr="00402F2A">
        <w:t xml:space="preserve">  Section 20(1) of the ICA provides that</w:t>
      </w:r>
      <w:r>
        <w:t>,</w:t>
      </w:r>
      <w:r w:rsidRPr="00402F2A">
        <w:t xml:space="preserve"> “[t]he Commission is authorized to require annual, periodical, or special reports from  [oil pipeline] carriers . . . and full, true, and correct answers to all questions upon which the Commission may deem information to be necessary . . .,”</w:t>
      </w:r>
      <w:r w:rsidRPr="00402F2A">
        <w:rPr>
          <w:b/>
          <w:vertAlign w:val="superscript"/>
        </w:rPr>
        <w:footnoteReference w:id="7"/>
      </w:r>
      <w:r w:rsidRPr="00402F2A">
        <w:t xml:space="preserve"> and Section 20(5) of the ICA authorizes the Commission “in its discretion, [to] prescribe the forms of any and all accounts, records, and memoranda to be kept by carriers and their lessors, including the accounts, records, and memoranda of the movement of traffic, as well as of the receipts and expenditures of moneys . . . .”</w:t>
      </w:r>
      <w:r w:rsidRPr="00402F2A">
        <w:rPr>
          <w:b/>
          <w:vertAlign w:val="superscript"/>
        </w:rPr>
        <w:footnoteReference w:id="8"/>
      </w:r>
      <w:r w:rsidRPr="00402F2A">
        <w:t xml:space="preserve"> </w:t>
      </w:r>
    </w:p>
    <w:p w14:paraId="56D029B9" w14:textId="77777777" w:rsidR="000541E0" w:rsidRDefault="000541E0" w:rsidP="000541E0"/>
    <w:p w14:paraId="0ADD7128" w14:textId="77777777" w:rsidR="000541E0" w:rsidRDefault="000541E0" w:rsidP="000541E0">
      <w:r w:rsidRPr="00402F2A">
        <w:t>In sum, the Commission is entrusted with the responsibility to ensure that rates are just and reasonable and that FERC-regulated entities provide the services to which they have committed.</w:t>
      </w:r>
      <w:r w:rsidRPr="00402F2A">
        <w:rPr>
          <w:b/>
          <w:vertAlign w:val="superscript"/>
        </w:rPr>
        <w:footnoteReference w:id="9"/>
      </w:r>
      <w:r w:rsidRPr="00402F2A">
        <w:t xml:space="preserve">  </w:t>
      </w:r>
    </w:p>
    <w:p w14:paraId="6C4AC1ED" w14:textId="77777777" w:rsidR="000541E0" w:rsidRDefault="000541E0" w:rsidP="000541E0">
      <w:r w:rsidRPr="00402F2A">
        <w:t xml:space="preserve">The transparency-enhancing reporting requirements </w:t>
      </w:r>
      <w:r>
        <w:t>imposed by the Commission</w:t>
      </w:r>
      <w:r w:rsidRPr="00402F2A">
        <w:t xml:space="preserve"> for cash management programs will help ensure that both goals are achieved.</w:t>
      </w:r>
    </w:p>
    <w:p w14:paraId="0AFE9C5C" w14:textId="77777777" w:rsidR="000541E0" w:rsidRDefault="000541E0" w:rsidP="000541E0"/>
    <w:p w14:paraId="64C12141" w14:textId="77777777" w:rsidR="000541E0" w:rsidRDefault="000541E0" w:rsidP="000541E0">
      <w:r w:rsidRPr="00367F9A">
        <w:t>The Commission implemented these requirements in 18 CFR Parts 141.500, 260.400, and 357.5.</w:t>
      </w:r>
    </w:p>
    <w:p w14:paraId="095CE0E8" w14:textId="77777777" w:rsidR="001F3ADE" w:rsidRDefault="001F3ADE" w:rsidP="001F3ADE">
      <w:pPr>
        <w:pStyle w:val="FERCparanumber"/>
        <w:numPr>
          <w:ilvl w:val="0"/>
          <w:numId w:val="0"/>
        </w:numPr>
        <w:tabs>
          <w:tab w:val="left" w:pos="720"/>
          <w:tab w:val="left" w:pos="4860"/>
        </w:tabs>
        <w:rPr>
          <w:sz w:val="24"/>
        </w:rPr>
      </w:pPr>
    </w:p>
    <w:p w14:paraId="31D7969C" w14:textId="77777777" w:rsidR="009D6B6D" w:rsidRPr="00980E8E" w:rsidRDefault="009D6B6D" w:rsidP="001D2EC1">
      <w:pPr>
        <w:pStyle w:val="FERCparanumber"/>
        <w:numPr>
          <w:ilvl w:val="0"/>
          <w:numId w:val="7"/>
        </w:numPr>
        <w:tabs>
          <w:tab w:val="left" w:pos="720"/>
          <w:tab w:val="left" w:pos="4860"/>
        </w:tabs>
        <w:rPr>
          <w:sz w:val="24"/>
        </w:rPr>
      </w:pPr>
      <w:r w:rsidRPr="001D2EC1">
        <w:rPr>
          <w:b/>
          <w:sz w:val="24"/>
        </w:rPr>
        <w:t>HOW, BY WHOM AND FOR WHAT P</w:t>
      </w:r>
      <w:r w:rsidR="00980E8E">
        <w:rPr>
          <w:b/>
          <w:sz w:val="24"/>
        </w:rPr>
        <w:t xml:space="preserve">URPOSE IS THE INFORMATION </w:t>
      </w:r>
      <w:r w:rsidR="00980E8E" w:rsidRPr="00980E8E">
        <w:rPr>
          <w:b/>
          <w:sz w:val="24"/>
        </w:rPr>
        <w:t>USED AND THE CONSEQUENCES OF NOT COLLECTING THE INFORMATION</w:t>
      </w:r>
    </w:p>
    <w:p w14:paraId="36B9A4E1" w14:textId="77777777" w:rsidR="00980E8E" w:rsidRDefault="00980E8E" w:rsidP="00980E8E">
      <w:pPr>
        <w:pStyle w:val="FERCparanumber"/>
        <w:numPr>
          <w:ilvl w:val="0"/>
          <w:numId w:val="0"/>
        </w:numPr>
        <w:tabs>
          <w:tab w:val="left" w:pos="720"/>
          <w:tab w:val="left" w:pos="4860"/>
        </w:tabs>
        <w:rPr>
          <w:b/>
          <w:sz w:val="24"/>
        </w:rPr>
      </w:pPr>
    </w:p>
    <w:p w14:paraId="794C626B" w14:textId="77777777" w:rsidR="000541E0" w:rsidRDefault="000541E0" w:rsidP="000541E0">
      <w:r>
        <w:t xml:space="preserve">The Commission requires regulated entities to submit their cash management agreements to the Commission.  The Commission requires this cash management information in order to ensure that rates are just and reasonable and that FERC-regulated entities provide the services to which they have committed.  </w:t>
      </w:r>
    </w:p>
    <w:p w14:paraId="02689A76" w14:textId="77777777" w:rsidR="000541E0" w:rsidRDefault="000541E0" w:rsidP="000541E0"/>
    <w:p w14:paraId="597CEEF6" w14:textId="730052A6" w:rsidR="008060D2" w:rsidRPr="00FC04B5" w:rsidRDefault="000541E0" w:rsidP="007722E7">
      <w:r>
        <w:t xml:space="preserve">If FERC did not collect the information the Commission, </w:t>
      </w:r>
      <w:r w:rsidRPr="00402F2A">
        <w:t>users of financial information</w:t>
      </w:r>
      <w:r>
        <w:t>, and the public</w:t>
      </w:r>
      <w:r w:rsidRPr="00402F2A">
        <w:t xml:space="preserve"> </w:t>
      </w:r>
      <w:r>
        <w:t>would not be able to monitor the cash management agreements</w:t>
      </w:r>
      <w:r w:rsidR="008060D2" w:rsidRPr="00AE5B29">
        <w:t xml:space="preserve">.  </w:t>
      </w:r>
    </w:p>
    <w:p w14:paraId="32B2D492" w14:textId="77777777" w:rsidR="00980E8E" w:rsidRPr="00980E8E" w:rsidRDefault="00980E8E" w:rsidP="00980E8E">
      <w:pPr>
        <w:pStyle w:val="FERCparanumber"/>
        <w:numPr>
          <w:ilvl w:val="0"/>
          <w:numId w:val="0"/>
        </w:numPr>
        <w:tabs>
          <w:tab w:val="left" w:pos="720"/>
          <w:tab w:val="left" w:pos="4860"/>
        </w:tabs>
        <w:rPr>
          <w:sz w:val="24"/>
        </w:rPr>
      </w:pPr>
    </w:p>
    <w:p w14:paraId="1191C360" w14:textId="77777777" w:rsidR="00980E8E" w:rsidRPr="00980E8E" w:rsidRDefault="00980E8E" w:rsidP="005240A1">
      <w:pPr>
        <w:widowControl/>
        <w:numPr>
          <w:ilvl w:val="0"/>
          <w:numId w:val="7"/>
        </w:numPr>
      </w:pPr>
      <w:r w:rsidRPr="001D2EC1">
        <w:rPr>
          <w:b/>
        </w:rPr>
        <w:t>DESCRIBE ANY CONSIDERATION OF THE USE OF IMPROVED INFORMATION TECHNOLOGY TO REDUCE BURDEN AND THE TECHNICAL OR LE</w:t>
      </w:r>
      <w:r>
        <w:rPr>
          <w:b/>
        </w:rPr>
        <w:t>GAL OBSTACLES TO REDUCING BURDEN</w:t>
      </w:r>
    </w:p>
    <w:p w14:paraId="200107A7" w14:textId="77777777" w:rsidR="00980E8E" w:rsidRPr="00980E8E" w:rsidRDefault="00980E8E" w:rsidP="00980E8E"/>
    <w:p w14:paraId="0EA87705" w14:textId="0DC85611" w:rsidR="00042ECE" w:rsidRPr="00E838DA" w:rsidRDefault="000541E0" w:rsidP="00042ECE">
      <w:r>
        <w:t>The Commission allows for respondents to file the cash management agreements electronically.  Based on the Commission’s eLibrary, the Commission estimates that all respondents are utilizing eFiling to submit their agreements.</w:t>
      </w:r>
    </w:p>
    <w:p w14:paraId="1133AECD" w14:textId="77777777" w:rsidR="00042ECE" w:rsidRDefault="00042ECE" w:rsidP="00042ECE"/>
    <w:p w14:paraId="0E702588" w14:textId="77777777" w:rsidR="009D6B6D" w:rsidRPr="00BD4039" w:rsidRDefault="009D6B6D" w:rsidP="005240A1">
      <w:pPr>
        <w:pStyle w:val="FERCparanumber"/>
        <w:numPr>
          <w:ilvl w:val="0"/>
          <w:numId w:val="7"/>
        </w:numPr>
        <w:rPr>
          <w:sz w:val="24"/>
        </w:rPr>
      </w:pPr>
      <w:r w:rsidRPr="001D2EC1">
        <w:rPr>
          <w:b/>
          <w:sz w:val="24"/>
        </w:rPr>
        <w:t xml:space="preserve">DESCRIBE EFFORTS TO IDENTIFY DUPLICATON AND SHOW SPECIFICALLY WHY ANY SIMILAR INFORMATION ALREADY </w:t>
      </w:r>
      <w:r w:rsidRPr="001D2EC1">
        <w:rPr>
          <w:b/>
          <w:sz w:val="24"/>
        </w:rPr>
        <w:lastRenderedPageBreak/>
        <w:t>AVAILABLE CANNOT BE USED OR MODIFIED FOR USE FOR THE PURPOSE(S) DESCRIBED IN INSTRUCTION NO. 2.</w:t>
      </w:r>
    </w:p>
    <w:p w14:paraId="7F5C95B0" w14:textId="77777777" w:rsidR="00BD4039" w:rsidRDefault="00BD4039" w:rsidP="00BD4039">
      <w:pPr>
        <w:pStyle w:val="FERCparanumber"/>
        <w:numPr>
          <w:ilvl w:val="0"/>
          <w:numId w:val="0"/>
        </w:numPr>
        <w:rPr>
          <w:b/>
          <w:sz w:val="24"/>
        </w:rPr>
      </w:pPr>
    </w:p>
    <w:p w14:paraId="6F49B1C4" w14:textId="77777777" w:rsidR="000541E0" w:rsidRDefault="000541E0" w:rsidP="000541E0">
      <w:r>
        <w:t>The Commission initiated cash management program documentation and filing rules because the information was not available from other sources.  The Securities Exchange Commission sometimes requires holding companies (a small subset of the respondent universe) to file cash management agreements.  The Commission does not believe that any potential duplication is overly burdensome or unjustified.</w:t>
      </w:r>
    </w:p>
    <w:p w14:paraId="79358CC8" w14:textId="77777777" w:rsidR="000541E0" w:rsidRDefault="000541E0" w:rsidP="000541E0"/>
    <w:p w14:paraId="44C363AB" w14:textId="02CA049F" w:rsidR="00BD4039" w:rsidRDefault="000541E0" w:rsidP="000541E0">
      <w:r w:rsidRPr="00BC1C8D">
        <w:t xml:space="preserve">In response to </w:t>
      </w:r>
      <w:r>
        <w:t>questions regarding</w:t>
      </w:r>
      <w:r w:rsidRPr="00BC1C8D">
        <w:t xml:space="preserve"> duplication of effort, the Commission</w:t>
      </w:r>
      <w:r>
        <w:t xml:space="preserve"> stated in Order 634-A</w:t>
      </w:r>
      <w:r w:rsidRPr="00BC1C8D">
        <w:t xml:space="preserve"> </w:t>
      </w:r>
      <w:r>
        <w:t>that it</w:t>
      </w:r>
      <w:r w:rsidRPr="00BC1C8D">
        <w:t xml:space="preserve"> need</w:t>
      </w:r>
      <w:r>
        <w:t>s</w:t>
      </w:r>
      <w:r w:rsidRPr="00BC1C8D">
        <w:t xml:space="preserve"> this information </w:t>
      </w:r>
      <w:r>
        <w:t>to</w:t>
      </w:r>
      <w:r w:rsidRPr="00BC1C8D">
        <w:t xml:space="preserve"> carrying out its statutory obligations to customers.  The burden imposed on regulated entities by the </w:t>
      </w:r>
      <w:r>
        <w:t>Order 634-A</w:t>
      </w:r>
      <w:r w:rsidRPr="00BC1C8D">
        <w:t xml:space="preserve"> is extremely low while the benefits to the Commission and the public of documenting over $25 billion worth of regulated assets is high.  The Commission </w:t>
      </w:r>
      <w:r>
        <w:t xml:space="preserve">said it </w:t>
      </w:r>
      <w:r w:rsidRPr="00BC1C8D">
        <w:t>would be remiss in its obligation to ensure just and reasonable rates if it were to ignore the effects on its jurisdictional entities of having these large sums in cash management programs</w:t>
      </w:r>
      <w:r w:rsidR="008060D2">
        <w:t xml:space="preserve">. </w:t>
      </w:r>
    </w:p>
    <w:p w14:paraId="01E02908" w14:textId="77777777" w:rsidR="008060D2" w:rsidRPr="00BD4039" w:rsidRDefault="008060D2" w:rsidP="00BD4039">
      <w:pPr>
        <w:pStyle w:val="FERCparanumber"/>
        <w:numPr>
          <w:ilvl w:val="0"/>
          <w:numId w:val="0"/>
        </w:numPr>
        <w:rPr>
          <w:sz w:val="24"/>
        </w:rPr>
      </w:pPr>
    </w:p>
    <w:p w14:paraId="16D376F5" w14:textId="77777777" w:rsidR="009D6B6D" w:rsidRPr="001D2EC1" w:rsidRDefault="009D6B6D" w:rsidP="005240A1">
      <w:pPr>
        <w:pStyle w:val="FERCparanumber"/>
        <w:numPr>
          <w:ilvl w:val="0"/>
          <w:numId w:val="7"/>
        </w:numPr>
        <w:rPr>
          <w:sz w:val="24"/>
        </w:rPr>
      </w:pPr>
      <w:r w:rsidRPr="00BD4039">
        <w:rPr>
          <w:b/>
          <w:sz w:val="24"/>
        </w:rPr>
        <w:t>METHODS USED TO MINIMIZE BURDEN IN COLLECTION OF INFORMATION INVOLVING SMALL ENTITIES</w:t>
      </w:r>
      <w:r w:rsidRPr="001D2EC1">
        <w:rPr>
          <w:sz w:val="24"/>
        </w:rPr>
        <w:t xml:space="preserve"> </w:t>
      </w:r>
    </w:p>
    <w:p w14:paraId="498754B1" w14:textId="77777777" w:rsidR="009D6B6D" w:rsidRPr="001D2EC1" w:rsidRDefault="009D6B6D" w:rsidP="001D2EC1">
      <w:pPr>
        <w:widowControl/>
        <w:ind w:left="1440"/>
      </w:pPr>
    </w:p>
    <w:p w14:paraId="6A972740" w14:textId="5427EBC8" w:rsidR="008060D2" w:rsidRPr="00AE5B29" w:rsidRDefault="000541E0" w:rsidP="008060D2">
      <w:r>
        <w:t>The Commission estimates that this collection requires only 1.5 hours of burden per year per respondent.  In fact, if a company does not participate in a cash management agreement or makes no changes to its existing agreement, there is no burden.  While the Commission does regulate small entities, it does not consider the minimal burden harmful to small entities</w:t>
      </w:r>
      <w:r w:rsidR="00042ECE">
        <w:t>.</w:t>
      </w:r>
    </w:p>
    <w:p w14:paraId="2329B0A1" w14:textId="77777777" w:rsidR="005240A1" w:rsidRDefault="005240A1" w:rsidP="000541E0">
      <w:pPr>
        <w:pStyle w:val="FERCparanumber"/>
        <w:numPr>
          <w:ilvl w:val="0"/>
          <w:numId w:val="0"/>
        </w:numPr>
        <w:tabs>
          <w:tab w:val="num" w:pos="0"/>
        </w:tabs>
        <w:jc w:val="center"/>
        <w:rPr>
          <w:sz w:val="24"/>
        </w:rPr>
      </w:pPr>
    </w:p>
    <w:p w14:paraId="1169CF0E" w14:textId="77777777" w:rsidR="009D6B6D" w:rsidRPr="00BB6095" w:rsidRDefault="009D6B6D" w:rsidP="005240A1">
      <w:pPr>
        <w:pStyle w:val="FERCparanumber"/>
        <w:numPr>
          <w:ilvl w:val="0"/>
          <w:numId w:val="7"/>
        </w:numPr>
        <w:rPr>
          <w:sz w:val="24"/>
        </w:rPr>
      </w:pPr>
      <w:r w:rsidRPr="001D2EC1">
        <w:rPr>
          <w:b/>
          <w:sz w:val="24"/>
        </w:rPr>
        <w:t>CONSEQUENCE TO FEDERAL PROGRAM IF COLLECTION WERE CONDUCTED LESS FREQUENTLY</w:t>
      </w:r>
    </w:p>
    <w:p w14:paraId="23391944" w14:textId="77777777" w:rsidR="00BB6095" w:rsidRDefault="00BB6095" w:rsidP="00BB6095">
      <w:pPr>
        <w:pStyle w:val="FERCparanumber"/>
        <w:numPr>
          <w:ilvl w:val="0"/>
          <w:numId w:val="0"/>
        </w:numPr>
        <w:rPr>
          <w:b/>
          <w:sz w:val="24"/>
        </w:rPr>
      </w:pPr>
    </w:p>
    <w:p w14:paraId="621621A2" w14:textId="26E2F6F2" w:rsidR="00042ECE" w:rsidRPr="00E77B24" w:rsidRDefault="000541E0" w:rsidP="00042ECE">
      <w:r>
        <w:t>The Commission requires entities to file cash management agreements when such agreements are entered into or when there are changes to the agreements.  If the Commission delayed the filings neither Commission nor would interested parties have access to current information regarding cash management agreements</w:t>
      </w:r>
      <w:r w:rsidR="00042ECE">
        <w:t>.</w:t>
      </w:r>
      <w:r w:rsidR="00042ECE" w:rsidRPr="00E77B24">
        <w:t xml:space="preserve">  </w:t>
      </w:r>
    </w:p>
    <w:p w14:paraId="4F0A656F" w14:textId="77777777" w:rsidR="00BB6095" w:rsidRPr="00BB6095" w:rsidRDefault="00BB6095" w:rsidP="00BB6095">
      <w:pPr>
        <w:pStyle w:val="FERCparanumber"/>
        <w:numPr>
          <w:ilvl w:val="0"/>
          <w:numId w:val="0"/>
        </w:numPr>
        <w:rPr>
          <w:sz w:val="24"/>
        </w:rPr>
      </w:pPr>
    </w:p>
    <w:p w14:paraId="5CE22EF6" w14:textId="77777777" w:rsidR="00BB6095" w:rsidRPr="00BB6095" w:rsidRDefault="00BB6095" w:rsidP="005240A1">
      <w:pPr>
        <w:pStyle w:val="FERCparanumber"/>
        <w:numPr>
          <w:ilvl w:val="0"/>
          <w:numId w:val="7"/>
        </w:numPr>
        <w:rPr>
          <w:sz w:val="24"/>
        </w:rPr>
      </w:pPr>
      <w:r w:rsidRPr="001D2EC1">
        <w:rPr>
          <w:b/>
          <w:sz w:val="24"/>
        </w:rPr>
        <w:t>EXPLAIN ANY SPECIAL CIRCUMSTANCES RELATING TO THE INFORMATION</w:t>
      </w:r>
    </w:p>
    <w:p w14:paraId="6C3072D3" w14:textId="77777777" w:rsidR="00BB6095" w:rsidRDefault="00BB6095" w:rsidP="00BB6095">
      <w:pPr>
        <w:pStyle w:val="FERCparanumber"/>
        <w:numPr>
          <w:ilvl w:val="0"/>
          <w:numId w:val="0"/>
        </w:numPr>
        <w:rPr>
          <w:b/>
          <w:sz w:val="24"/>
        </w:rPr>
      </w:pPr>
    </w:p>
    <w:p w14:paraId="19B1F23B" w14:textId="62373FA9" w:rsidR="00BB6095" w:rsidRPr="001D2EC1" w:rsidRDefault="000541E0" w:rsidP="00042ECE">
      <w:r>
        <w:t>There is one special circumstance pertaining to 5 CFR 1320.5(d).  Specifically, if there are multiple changes to a cash management agreement in a short period of time a respondent may have to file with the Commission more often than quarterly.</w:t>
      </w:r>
      <w:r w:rsidR="00BB6095" w:rsidRPr="001D2EC1">
        <w:t xml:space="preserve"> </w:t>
      </w:r>
    </w:p>
    <w:p w14:paraId="5AA6725C" w14:textId="77777777" w:rsidR="00BB6095" w:rsidRPr="00BB6095" w:rsidRDefault="00BB6095" w:rsidP="00BB6095">
      <w:pPr>
        <w:pStyle w:val="FERCparanumber"/>
        <w:numPr>
          <w:ilvl w:val="0"/>
          <w:numId w:val="0"/>
        </w:numPr>
        <w:rPr>
          <w:sz w:val="24"/>
        </w:rPr>
      </w:pPr>
    </w:p>
    <w:p w14:paraId="3E7E24B7" w14:textId="77777777" w:rsidR="009D6B6D" w:rsidRPr="00BB6095" w:rsidRDefault="00BB6095" w:rsidP="001D2EC1">
      <w:pPr>
        <w:pStyle w:val="FERCparanumber"/>
        <w:numPr>
          <w:ilvl w:val="0"/>
          <w:numId w:val="7"/>
        </w:numPr>
        <w:rPr>
          <w:sz w:val="24"/>
        </w:rPr>
      </w:pPr>
      <w:r w:rsidRPr="001D2EC1">
        <w:rPr>
          <w:b/>
          <w:sz w:val="24"/>
        </w:rPr>
        <w:t>DESCRIBE EFFORTS TO CONSULT OUTSIDE THE AGENCY: SUMMARIZE PUBLIC COMMENTS AND THE AGENCY’S RESPONSE TO THESE COMMENTS</w:t>
      </w:r>
    </w:p>
    <w:p w14:paraId="08534C89" w14:textId="77777777" w:rsidR="00BB6095" w:rsidRDefault="00BB6095" w:rsidP="00BB6095">
      <w:pPr>
        <w:pStyle w:val="FERCparanumber"/>
        <w:numPr>
          <w:ilvl w:val="0"/>
          <w:numId w:val="0"/>
        </w:numPr>
        <w:rPr>
          <w:b/>
          <w:sz w:val="24"/>
        </w:rPr>
      </w:pPr>
    </w:p>
    <w:p w14:paraId="7EABE541" w14:textId="1999D53B" w:rsidR="00BB6095" w:rsidRPr="001D2EC1" w:rsidRDefault="00BB6095" w:rsidP="00BB6095">
      <w:r w:rsidRPr="00E138E1">
        <w:t>In accordance with OMB requirements, the Commission published a 60-day notice</w:t>
      </w:r>
      <w:bookmarkStart w:id="1" w:name="_Ref332712251"/>
      <w:r w:rsidRPr="00E138E1">
        <w:rPr>
          <w:rStyle w:val="FootnoteReference"/>
          <w:vertAlign w:val="superscript"/>
        </w:rPr>
        <w:footnoteReference w:id="10"/>
      </w:r>
      <w:bookmarkEnd w:id="1"/>
      <w:r w:rsidRPr="00E138E1">
        <w:t xml:space="preserve"> and a 30-</w:t>
      </w:r>
      <w:r w:rsidRPr="00E138E1">
        <w:lastRenderedPageBreak/>
        <w:t>day notice</w:t>
      </w:r>
      <w:r w:rsidRPr="00E138E1">
        <w:rPr>
          <w:rStyle w:val="FootnoteReference"/>
          <w:vertAlign w:val="superscript"/>
        </w:rPr>
        <w:footnoteReference w:id="11"/>
      </w:r>
      <w:r w:rsidRPr="00E138E1">
        <w:t xml:space="preserve"> to the public regarding this information collection on </w:t>
      </w:r>
      <w:r w:rsidR="000541E0">
        <w:t>8/16</w:t>
      </w:r>
      <w:r w:rsidR="00CB3EA0">
        <w:t>/2016</w:t>
      </w:r>
      <w:r w:rsidRPr="006C1E96">
        <w:t xml:space="preserve"> </w:t>
      </w:r>
      <w:r w:rsidRPr="000C21B6">
        <w:t xml:space="preserve">and </w:t>
      </w:r>
      <w:r w:rsidR="000C21B6" w:rsidRPr="000C21B6">
        <w:t>10/24</w:t>
      </w:r>
      <w:r w:rsidR="006C1E96" w:rsidRPr="000C21B6">
        <w:t>/2016</w:t>
      </w:r>
      <w:r w:rsidRPr="000C21B6">
        <w:t>,</w:t>
      </w:r>
      <w:r w:rsidRPr="00E138E1">
        <w:t xml:space="preserve"> respectively. Within the public notice, the Commission noted that it would be requesting a three-year extension of the public reporting burden with no change to the existing requirements concerning the collection of data.  The Commission received no comments.</w:t>
      </w:r>
      <w:r w:rsidRPr="001D2EC1">
        <w:t xml:space="preserve">  </w:t>
      </w:r>
    </w:p>
    <w:p w14:paraId="2386E560" w14:textId="77777777" w:rsidR="00BB6095" w:rsidRPr="00BB6095" w:rsidRDefault="00BB6095" w:rsidP="00BB6095">
      <w:pPr>
        <w:pStyle w:val="FERCparanumber"/>
        <w:numPr>
          <w:ilvl w:val="0"/>
          <w:numId w:val="0"/>
        </w:numPr>
        <w:rPr>
          <w:sz w:val="24"/>
        </w:rPr>
      </w:pPr>
    </w:p>
    <w:p w14:paraId="091A69F9" w14:textId="77777777" w:rsidR="009D6B6D" w:rsidRPr="00BB6095" w:rsidRDefault="00BB6095" w:rsidP="001D2EC1">
      <w:pPr>
        <w:pStyle w:val="FERCparanumber"/>
        <w:numPr>
          <w:ilvl w:val="0"/>
          <w:numId w:val="7"/>
        </w:numPr>
        <w:rPr>
          <w:sz w:val="24"/>
        </w:rPr>
      </w:pPr>
      <w:r w:rsidRPr="001D2EC1">
        <w:rPr>
          <w:b/>
          <w:sz w:val="24"/>
        </w:rPr>
        <w:t>EXPLAIN ANY PAYMENT OR GIFTS TO RESPONDENTS</w:t>
      </w:r>
    </w:p>
    <w:p w14:paraId="55601D9E" w14:textId="77777777" w:rsidR="00BB6095" w:rsidRDefault="00BB6095" w:rsidP="00BB6095">
      <w:pPr>
        <w:pStyle w:val="FERCparanumber"/>
        <w:numPr>
          <w:ilvl w:val="0"/>
          <w:numId w:val="0"/>
        </w:numPr>
        <w:rPr>
          <w:b/>
          <w:sz w:val="24"/>
        </w:rPr>
      </w:pPr>
    </w:p>
    <w:p w14:paraId="635D1E06" w14:textId="520716E5" w:rsidR="00BB6095" w:rsidRPr="001D2EC1" w:rsidRDefault="00BB6095" w:rsidP="00BB6095">
      <w:pPr>
        <w:widowControl/>
      </w:pPr>
      <w:r w:rsidRPr="001D2EC1">
        <w:t xml:space="preserve">There are no payments or gifts to respondents </w:t>
      </w:r>
      <w:r w:rsidR="007B025D">
        <w:t>of</w:t>
      </w:r>
      <w:r w:rsidRPr="001D2EC1">
        <w:t xml:space="preserve"> this collection.</w:t>
      </w:r>
    </w:p>
    <w:p w14:paraId="0655AE0A" w14:textId="77777777" w:rsidR="00BB6095" w:rsidRDefault="00BB6095" w:rsidP="00BB6095">
      <w:pPr>
        <w:pStyle w:val="FERCparanumber"/>
        <w:numPr>
          <w:ilvl w:val="0"/>
          <w:numId w:val="0"/>
        </w:numPr>
        <w:rPr>
          <w:b/>
          <w:sz w:val="24"/>
        </w:rPr>
      </w:pPr>
    </w:p>
    <w:p w14:paraId="200271A7" w14:textId="77777777" w:rsidR="00BB6095" w:rsidRPr="00BB6095" w:rsidRDefault="00BB6095" w:rsidP="00BB6095">
      <w:pPr>
        <w:pStyle w:val="FERCparanumber"/>
        <w:numPr>
          <w:ilvl w:val="0"/>
          <w:numId w:val="0"/>
        </w:numPr>
        <w:rPr>
          <w:sz w:val="24"/>
        </w:rPr>
      </w:pPr>
    </w:p>
    <w:p w14:paraId="18CEDA1A" w14:textId="77777777" w:rsidR="009D6B6D" w:rsidRPr="00BB6095" w:rsidRDefault="00BB6095" w:rsidP="001D2EC1">
      <w:pPr>
        <w:pStyle w:val="FERCparanumber"/>
        <w:numPr>
          <w:ilvl w:val="0"/>
          <w:numId w:val="7"/>
        </w:numPr>
        <w:rPr>
          <w:sz w:val="24"/>
        </w:rPr>
      </w:pPr>
      <w:r w:rsidRPr="001D2EC1">
        <w:rPr>
          <w:b/>
          <w:sz w:val="24"/>
        </w:rPr>
        <w:t>DESCRIBE ANY ASSURANCE OF CONFIDENTIALITY PROVIDED TO RESPONDENTS</w:t>
      </w:r>
    </w:p>
    <w:p w14:paraId="5291E765" w14:textId="77777777" w:rsidR="00BB6095" w:rsidRDefault="00BB6095" w:rsidP="00BB6095">
      <w:pPr>
        <w:pStyle w:val="FERCparanumber"/>
        <w:numPr>
          <w:ilvl w:val="0"/>
          <w:numId w:val="0"/>
        </w:numPr>
        <w:rPr>
          <w:b/>
          <w:sz w:val="24"/>
        </w:rPr>
      </w:pPr>
    </w:p>
    <w:p w14:paraId="05E69610" w14:textId="77777777" w:rsidR="000541E0" w:rsidRPr="00367F9A" w:rsidRDefault="000541E0" w:rsidP="000541E0">
      <w:r>
        <w:t>T</w:t>
      </w:r>
      <w:r w:rsidRPr="00367F9A">
        <w:t xml:space="preserve">he Commission </w:t>
      </w:r>
      <w:r>
        <w:t xml:space="preserve">considers the information </w:t>
      </w:r>
      <w:r w:rsidRPr="00367F9A">
        <w:t>collected to be non-confidential in nature and</w:t>
      </w:r>
      <w:r>
        <w:t>, therefore,</w:t>
      </w:r>
      <w:r w:rsidRPr="00367F9A">
        <w:t xml:space="preserve"> it </w:t>
      </w:r>
      <w:r>
        <w:t>is</w:t>
      </w:r>
      <w:r w:rsidRPr="00367F9A">
        <w:t xml:space="preserve"> made available to the public.  The Commission has determined that release of the information is “necessary to carry out its jurisdictional responsibilities.”</w:t>
      </w:r>
      <w:r w:rsidRPr="00367F9A">
        <w:rPr>
          <w:rStyle w:val="FootnoteReference"/>
          <w:vertAlign w:val="superscript"/>
        </w:rPr>
        <w:footnoteReference w:id="12"/>
      </w:r>
      <w:r w:rsidRPr="00367F9A">
        <w:t xml:space="preserve">  The information provide</w:t>
      </w:r>
      <w:r>
        <w:t>s</w:t>
      </w:r>
      <w:r w:rsidRPr="00367F9A">
        <w:t xml:space="preserve"> the Commission with relevant and accurate information on which to make decisions.</w:t>
      </w:r>
    </w:p>
    <w:p w14:paraId="7A178D18" w14:textId="77777777" w:rsidR="000541E0" w:rsidRDefault="000541E0" w:rsidP="000541E0"/>
    <w:p w14:paraId="748CD524" w14:textId="77777777" w:rsidR="000541E0" w:rsidRPr="00367F9A" w:rsidRDefault="000541E0" w:rsidP="000541E0">
      <w:r w:rsidRPr="00367F9A">
        <w:t>Allowing only the Commission and not the public to review the cash management agreements would not meet the goal of providing greater transparency for the protection of rate</w:t>
      </w:r>
      <w:r>
        <w:t>-</w:t>
      </w:r>
      <w:r w:rsidRPr="00367F9A">
        <w:t xml:space="preserve">paying customers.  This transparency, in turn, will lessen the chance of an acute financial reversal that would harm utility rate paying customers and energy markets.  </w:t>
      </w:r>
      <w:r>
        <w:t>Respondents</w:t>
      </w:r>
      <w:r w:rsidRPr="00367F9A">
        <w:t xml:space="preserve"> that believe the information they submit should be withheld from public view on account of unique circumstances may still request confidential treatment pursuant to § 388.112 of our regulations, stating the rationale for their requests.  However, </w:t>
      </w:r>
      <w:r>
        <w:t xml:space="preserve">in </w:t>
      </w:r>
      <w:r w:rsidRPr="00367F9A">
        <w:t xml:space="preserve">general, unsubstantiated assertions that future harm will occur if information contained in cash management agreements is released </w:t>
      </w:r>
      <w:r>
        <w:t>are</w:t>
      </w:r>
      <w:r w:rsidRPr="00367F9A">
        <w:t xml:space="preserve"> insufficient for a specific company to acquire confidential status.</w:t>
      </w:r>
    </w:p>
    <w:p w14:paraId="7FB64A9E" w14:textId="77777777" w:rsidR="00BB6095" w:rsidRPr="00BB6095" w:rsidRDefault="00BB6095" w:rsidP="00BB6095">
      <w:pPr>
        <w:pStyle w:val="FERCparanumber"/>
        <w:numPr>
          <w:ilvl w:val="0"/>
          <w:numId w:val="0"/>
        </w:numPr>
        <w:rPr>
          <w:sz w:val="24"/>
        </w:rPr>
      </w:pPr>
    </w:p>
    <w:p w14:paraId="0F599F44" w14:textId="6387DEE9" w:rsidR="009D6B6D" w:rsidRPr="00BB6095" w:rsidRDefault="00BB6095" w:rsidP="001D2EC1">
      <w:pPr>
        <w:pStyle w:val="FERCparanumber"/>
        <w:numPr>
          <w:ilvl w:val="0"/>
          <w:numId w:val="7"/>
        </w:numPr>
        <w:rPr>
          <w:sz w:val="24"/>
        </w:rPr>
      </w:pPr>
      <w:r w:rsidRPr="001D2EC1">
        <w:rPr>
          <w:b/>
          <w:sz w:val="24"/>
        </w:rPr>
        <w:t>PROVIDE ADDITIONAL JUSTIFICATION FOR ANY QUESTIONS OF A SENSITIVE NATURE</w:t>
      </w:r>
      <w:r w:rsidR="00860C58">
        <w:rPr>
          <w:b/>
          <w:sz w:val="24"/>
        </w:rPr>
        <w:t xml:space="preserve">, </w:t>
      </w:r>
      <w:r w:rsidR="00860C58" w:rsidRPr="00C62F55">
        <w:rPr>
          <w:b/>
          <w:sz w:val="24"/>
        </w:rPr>
        <w:t>SUCH AS SEXUAL BEHAVIOR AND ATTITUDES, RELIGIOUS BELIEFS, AND OTHER MATTERS THAT ARE COMMONLY CONSIDERED PRIVATE</w:t>
      </w:r>
    </w:p>
    <w:p w14:paraId="7C3F9D96" w14:textId="77777777" w:rsidR="00BB6095" w:rsidRDefault="00BB6095" w:rsidP="00BB6095">
      <w:pPr>
        <w:pStyle w:val="FERCparanumber"/>
        <w:numPr>
          <w:ilvl w:val="0"/>
          <w:numId w:val="0"/>
        </w:numPr>
        <w:rPr>
          <w:b/>
          <w:sz w:val="24"/>
        </w:rPr>
      </w:pPr>
    </w:p>
    <w:p w14:paraId="2F8D71F0" w14:textId="77777777" w:rsidR="00BB6095" w:rsidRPr="001D2EC1" w:rsidRDefault="00BB6095" w:rsidP="00BB6095">
      <w:pPr>
        <w:widowControl/>
        <w:rPr>
          <w:b/>
        </w:rPr>
      </w:pPr>
      <w:r w:rsidRPr="001D2EC1">
        <w:t xml:space="preserve">There are no questions of a sensitive nature associated with the reporting requirements.  </w:t>
      </w:r>
    </w:p>
    <w:p w14:paraId="6058D422" w14:textId="77777777" w:rsidR="00BB6095" w:rsidRPr="00BB6095" w:rsidRDefault="00BB6095" w:rsidP="00BB6095">
      <w:pPr>
        <w:pStyle w:val="FERCparanumber"/>
        <w:numPr>
          <w:ilvl w:val="0"/>
          <w:numId w:val="0"/>
        </w:numPr>
        <w:rPr>
          <w:sz w:val="24"/>
        </w:rPr>
      </w:pPr>
    </w:p>
    <w:p w14:paraId="4ACF1549" w14:textId="77777777" w:rsidR="00BB6095" w:rsidRPr="00BB6095" w:rsidRDefault="00BB6095" w:rsidP="001D2EC1">
      <w:pPr>
        <w:pStyle w:val="FERCparanumber"/>
        <w:numPr>
          <w:ilvl w:val="0"/>
          <w:numId w:val="7"/>
        </w:numPr>
        <w:rPr>
          <w:sz w:val="24"/>
        </w:rPr>
      </w:pPr>
      <w:r w:rsidRPr="001D2EC1">
        <w:rPr>
          <w:b/>
          <w:sz w:val="24"/>
        </w:rPr>
        <w:t>ESTIMATED BURDEN COLLECTION OF INFORMATION</w:t>
      </w:r>
    </w:p>
    <w:p w14:paraId="057071CE" w14:textId="77777777" w:rsidR="00BB6095" w:rsidRDefault="00BB6095" w:rsidP="00BB6095">
      <w:pPr>
        <w:pStyle w:val="FERCparanumber"/>
        <w:numPr>
          <w:ilvl w:val="0"/>
          <w:numId w:val="0"/>
        </w:numPr>
        <w:rPr>
          <w:b/>
          <w:sz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495"/>
        <w:gridCol w:w="1409"/>
        <w:gridCol w:w="1310"/>
        <w:gridCol w:w="2551"/>
        <w:gridCol w:w="1759"/>
      </w:tblGrid>
      <w:tr w:rsidR="00D14D54" w:rsidRPr="00D77538" w14:paraId="43816FBD" w14:textId="77777777" w:rsidTr="00FA530B">
        <w:trPr>
          <w:cantSplit/>
        </w:trPr>
        <w:tc>
          <w:tcPr>
            <w:tcW w:w="5000" w:type="pct"/>
            <w:gridSpan w:val="6"/>
            <w:tcBorders>
              <w:bottom w:val="single" w:sz="4" w:space="0" w:color="auto"/>
            </w:tcBorders>
            <w:shd w:val="clear" w:color="auto" w:fill="D9D9D9"/>
          </w:tcPr>
          <w:p w14:paraId="30A84C3C" w14:textId="77777777" w:rsidR="00D14D54" w:rsidRPr="006A60CF" w:rsidRDefault="00D14D54" w:rsidP="00FA530B">
            <w:pPr>
              <w:tabs>
                <w:tab w:val="left" w:pos="720"/>
              </w:tabs>
              <w:jc w:val="center"/>
              <w:rPr>
                <w:rFonts w:eastAsia="Calibri"/>
                <w:b/>
                <w:sz w:val="20"/>
                <w:szCs w:val="20"/>
              </w:rPr>
            </w:pPr>
            <w:r>
              <w:rPr>
                <w:b/>
                <w:sz w:val="20"/>
                <w:szCs w:val="20"/>
              </w:rPr>
              <w:t>FERC-604</w:t>
            </w:r>
            <w:r w:rsidRPr="0077685B">
              <w:rPr>
                <w:b/>
                <w:sz w:val="20"/>
                <w:szCs w:val="20"/>
              </w:rPr>
              <w:t xml:space="preserve">, </w:t>
            </w:r>
            <w:r>
              <w:rPr>
                <w:b/>
                <w:sz w:val="20"/>
                <w:szCs w:val="20"/>
              </w:rPr>
              <w:t>Cash Management Agreements</w:t>
            </w:r>
          </w:p>
        </w:tc>
      </w:tr>
      <w:tr w:rsidR="00D14D54" w:rsidRPr="00D77538" w14:paraId="46CA175F" w14:textId="77777777" w:rsidTr="00FA530B">
        <w:trPr>
          <w:cantSplit/>
        </w:trPr>
        <w:tc>
          <w:tcPr>
            <w:tcW w:w="746" w:type="pct"/>
            <w:shd w:val="clear" w:color="auto" w:fill="D9D9D9"/>
            <w:vAlign w:val="bottom"/>
          </w:tcPr>
          <w:p w14:paraId="57A88C9C" w14:textId="77777777" w:rsidR="00D14D54" w:rsidRPr="006A60CF" w:rsidRDefault="00D14D54" w:rsidP="00FA530B">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78272C89" w14:textId="77777777" w:rsidR="00D14D54" w:rsidRPr="006A60CF" w:rsidRDefault="00D14D54" w:rsidP="00FA530B">
            <w:pPr>
              <w:jc w:val="center"/>
              <w:rPr>
                <w:rFonts w:eastAsia="Calibri"/>
                <w:b/>
                <w:sz w:val="20"/>
                <w:szCs w:val="20"/>
              </w:rPr>
            </w:pPr>
            <w:r w:rsidRPr="006A60CF">
              <w:rPr>
                <w:rFonts w:eastAsia="Calibri"/>
                <w:b/>
                <w:sz w:val="20"/>
                <w:szCs w:val="20"/>
              </w:rPr>
              <w:t>Annual Number of Responses per Respondent</w:t>
            </w:r>
          </w:p>
          <w:p w14:paraId="11E48B3E" w14:textId="77777777" w:rsidR="00D14D54" w:rsidRPr="006A60CF" w:rsidRDefault="00D14D54" w:rsidP="00FA530B">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07BE8C97" w14:textId="77777777" w:rsidR="00D14D54" w:rsidRPr="006A60CF" w:rsidRDefault="00D14D54" w:rsidP="00FA530B">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34241FC6" w14:textId="77777777" w:rsidR="00D14D54" w:rsidRPr="006A60CF" w:rsidRDefault="00D14D54" w:rsidP="00FA530B">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6A60CF">
              <w:rPr>
                <w:rFonts w:eastAsia="Calibri"/>
                <w:b/>
                <w:sz w:val="20"/>
                <w:szCs w:val="20"/>
                <w:vertAlign w:val="superscript"/>
              </w:rPr>
              <w:footnoteReference w:id="13"/>
            </w:r>
          </w:p>
          <w:p w14:paraId="68E3BB21" w14:textId="77777777" w:rsidR="00D14D54" w:rsidRPr="006A60CF" w:rsidRDefault="00D14D54" w:rsidP="00FA530B">
            <w:pPr>
              <w:jc w:val="center"/>
              <w:rPr>
                <w:rFonts w:eastAsia="Calibri"/>
                <w:b/>
                <w:sz w:val="20"/>
                <w:szCs w:val="20"/>
              </w:rPr>
            </w:pPr>
            <w:r w:rsidRPr="006A60CF">
              <w:rPr>
                <w:rFonts w:eastAsia="Calibri"/>
                <w:b/>
                <w:sz w:val="20"/>
                <w:szCs w:val="20"/>
              </w:rPr>
              <w:t>(4)</w:t>
            </w:r>
          </w:p>
        </w:tc>
        <w:tc>
          <w:tcPr>
            <w:tcW w:w="1273" w:type="pct"/>
            <w:shd w:val="clear" w:color="auto" w:fill="D9D9D9"/>
            <w:vAlign w:val="bottom"/>
          </w:tcPr>
          <w:p w14:paraId="038ED6C8" w14:textId="77777777" w:rsidR="00D14D54" w:rsidRPr="006A60CF" w:rsidRDefault="00D14D54" w:rsidP="00FA530B">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19D25874" w14:textId="77777777" w:rsidR="00D14D54" w:rsidRPr="006A60CF" w:rsidRDefault="00D14D54" w:rsidP="00FA530B">
            <w:pPr>
              <w:jc w:val="center"/>
              <w:rPr>
                <w:rFonts w:eastAsia="Calibri"/>
                <w:b/>
                <w:sz w:val="20"/>
                <w:szCs w:val="20"/>
              </w:rPr>
            </w:pPr>
            <w:r w:rsidRPr="006A60CF">
              <w:rPr>
                <w:rFonts w:eastAsia="Calibri"/>
                <w:b/>
                <w:sz w:val="20"/>
                <w:szCs w:val="20"/>
              </w:rPr>
              <w:t>(3)*(4)=(5)</w:t>
            </w:r>
          </w:p>
        </w:tc>
        <w:tc>
          <w:tcPr>
            <w:tcW w:w="878" w:type="pct"/>
            <w:shd w:val="clear" w:color="auto" w:fill="D9D9D9"/>
            <w:vAlign w:val="bottom"/>
          </w:tcPr>
          <w:p w14:paraId="35980A8C" w14:textId="77777777" w:rsidR="00D14D54" w:rsidRPr="006A60CF" w:rsidRDefault="00D14D54" w:rsidP="00FA530B">
            <w:pPr>
              <w:jc w:val="center"/>
              <w:rPr>
                <w:rFonts w:eastAsia="Calibri"/>
                <w:b/>
                <w:sz w:val="20"/>
                <w:szCs w:val="20"/>
              </w:rPr>
            </w:pPr>
            <w:r w:rsidRPr="006A60CF">
              <w:rPr>
                <w:rFonts w:eastAsia="Calibri"/>
                <w:b/>
                <w:sz w:val="20"/>
                <w:szCs w:val="20"/>
              </w:rPr>
              <w:t>Cost per Respondent</w:t>
            </w:r>
          </w:p>
          <w:p w14:paraId="24D95D60" w14:textId="77777777" w:rsidR="00D14D54" w:rsidRPr="006A60CF" w:rsidRDefault="00D14D54" w:rsidP="00FA530B">
            <w:pPr>
              <w:jc w:val="center"/>
              <w:rPr>
                <w:rFonts w:eastAsia="Calibri"/>
                <w:b/>
                <w:sz w:val="20"/>
                <w:szCs w:val="20"/>
              </w:rPr>
            </w:pPr>
            <w:r w:rsidRPr="006A60CF">
              <w:rPr>
                <w:rFonts w:eastAsia="Calibri"/>
                <w:b/>
                <w:sz w:val="20"/>
                <w:szCs w:val="20"/>
              </w:rPr>
              <w:t xml:space="preserve"> ($)</w:t>
            </w:r>
          </w:p>
          <w:p w14:paraId="41DFEE69" w14:textId="77777777" w:rsidR="00D14D54" w:rsidRPr="006A60CF" w:rsidRDefault="00D14D54" w:rsidP="00FA530B">
            <w:pPr>
              <w:jc w:val="center"/>
              <w:rPr>
                <w:rFonts w:eastAsia="Calibri"/>
                <w:b/>
                <w:sz w:val="20"/>
                <w:szCs w:val="20"/>
              </w:rPr>
            </w:pPr>
            <w:r w:rsidRPr="006A60CF">
              <w:rPr>
                <w:rFonts w:eastAsia="Calibri"/>
                <w:b/>
                <w:sz w:val="20"/>
                <w:szCs w:val="20"/>
              </w:rPr>
              <w:t>(5)÷(1)</w:t>
            </w:r>
          </w:p>
        </w:tc>
      </w:tr>
      <w:tr w:rsidR="00D14D54" w:rsidRPr="00D77538" w14:paraId="67DF34E3" w14:textId="77777777" w:rsidTr="00FA530B">
        <w:trPr>
          <w:cantSplit/>
        </w:trPr>
        <w:tc>
          <w:tcPr>
            <w:tcW w:w="746" w:type="pct"/>
          </w:tcPr>
          <w:p w14:paraId="51EF808F" w14:textId="77777777" w:rsidR="00D14D54" w:rsidRPr="006A60CF" w:rsidRDefault="00D14D54" w:rsidP="00FA530B">
            <w:pPr>
              <w:jc w:val="right"/>
              <w:rPr>
                <w:rFonts w:eastAsia="Calibri"/>
                <w:sz w:val="20"/>
                <w:szCs w:val="20"/>
              </w:rPr>
            </w:pPr>
            <w:r>
              <w:rPr>
                <w:rFonts w:eastAsia="Calibri"/>
                <w:sz w:val="20"/>
                <w:szCs w:val="20"/>
              </w:rPr>
              <w:lastRenderedPageBreak/>
              <w:t>25</w:t>
            </w:r>
          </w:p>
          <w:p w14:paraId="6C23E11D" w14:textId="77777777" w:rsidR="00D14D54" w:rsidRPr="006A60CF" w:rsidRDefault="00D14D54" w:rsidP="00FA530B">
            <w:pPr>
              <w:jc w:val="right"/>
              <w:rPr>
                <w:rFonts w:eastAsia="Calibri"/>
                <w:sz w:val="20"/>
                <w:szCs w:val="20"/>
              </w:rPr>
            </w:pPr>
          </w:p>
        </w:tc>
        <w:tc>
          <w:tcPr>
            <w:tcW w:w="746" w:type="pct"/>
          </w:tcPr>
          <w:p w14:paraId="377FF658" w14:textId="77777777" w:rsidR="00D14D54" w:rsidRPr="006A60CF" w:rsidRDefault="00D14D54" w:rsidP="00FA530B">
            <w:pPr>
              <w:jc w:val="right"/>
              <w:rPr>
                <w:rFonts w:eastAsia="Calibri"/>
                <w:sz w:val="20"/>
                <w:szCs w:val="20"/>
              </w:rPr>
            </w:pPr>
            <w:r>
              <w:rPr>
                <w:rFonts w:eastAsia="Calibri"/>
                <w:sz w:val="20"/>
                <w:szCs w:val="20"/>
              </w:rPr>
              <w:t>1</w:t>
            </w:r>
          </w:p>
        </w:tc>
        <w:tc>
          <w:tcPr>
            <w:tcW w:w="703" w:type="pct"/>
          </w:tcPr>
          <w:p w14:paraId="431A5B85" w14:textId="77777777" w:rsidR="00D14D54" w:rsidRPr="006A60CF" w:rsidRDefault="00D14D54" w:rsidP="00FA530B">
            <w:pPr>
              <w:jc w:val="right"/>
              <w:rPr>
                <w:rFonts w:eastAsia="Calibri"/>
                <w:sz w:val="20"/>
                <w:szCs w:val="20"/>
              </w:rPr>
            </w:pPr>
            <w:r>
              <w:rPr>
                <w:rFonts w:eastAsia="Calibri"/>
                <w:sz w:val="20"/>
                <w:szCs w:val="20"/>
              </w:rPr>
              <w:t>25</w:t>
            </w:r>
          </w:p>
        </w:tc>
        <w:tc>
          <w:tcPr>
            <w:tcW w:w="654" w:type="pct"/>
          </w:tcPr>
          <w:p w14:paraId="6535D714" w14:textId="77777777" w:rsidR="00D14D54" w:rsidRPr="006A60CF" w:rsidRDefault="00D14D54" w:rsidP="00FA530B">
            <w:pPr>
              <w:jc w:val="right"/>
              <w:rPr>
                <w:rFonts w:eastAsia="Calibri"/>
                <w:sz w:val="20"/>
                <w:szCs w:val="20"/>
              </w:rPr>
            </w:pPr>
            <w:r>
              <w:rPr>
                <w:rFonts w:eastAsia="Calibri"/>
                <w:sz w:val="20"/>
                <w:szCs w:val="20"/>
              </w:rPr>
              <w:t>1.5 hrs.;</w:t>
            </w:r>
          </w:p>
          <w:p w14:paraId="5D890B55" w14:textId="77777777" w:rsidR="00D14D54" w:rsidRPr="006A60CF" w:rsidRDefault="00D14D54" w:rsidP="00FA530B">
            <w:pPr>
              <w:jc w:val="right"/>
              <w:rPr>
                <w:rFonts w:eastAsia="Calibri"/>
                <w:sz w:val="20"/>
                <w:szCs w:val="20"/>
              </w:rPr>
            </w:pPr>
            <w:r>
              <w:rPr>
                <w:rFonts w:eastAsia="Calibri"/>
                <w:sz w:val="20"/>
                <w:szCs w:val="20"/>
              </w:rPr>
              <w:t>$111.75</w:t>
            </w:r>
          </w:p>
        </w:tc>
        <w:tc>
          <w:tcPr>
            <w:tcW w:w="1273" w:type="pct"/>
          </w:tcPr>
          <w:p w14:paraId="6D849963" w14:textId="77777777" w:rsidR="00D14D54" w:rsidRPr="006A60CF" w:rsidRDefault="00D14D54" w:rsidP="00FA530B">
            <w:pPr>
              <w:jc w:val="right"/>
              <w:rPr>
                <w:rFonts w:eastAsia="Calibri"/>
                <w:sz w:val="20"/>
                <w:szCs w:val="20"/>
              </w:rPr>
            </w:pPr>
            <w:r>
              <w:rPr>
                <w:rFonts w:eastAsia="Calibri"/>
                <w:sz w:val="20"/>
                <w:szCs w:val="20"/>
              </w:rPr>
              <w:t xml:space="preserve"> 37.5 hrs.;</w:t>
            </w:r>
          </w:p>
          <w:p w14:paraId="12FD5F2F" w14:textId="77777777" w:rsidR="00D14D54" w:rsidRPr="006A60CF" w:rsidRDefault="00D14D54" w:rsidP="00FA530B">
            <w:pPr>
              <w:jc w:val="right"/>
              <w:rPr>
                <w:rFonts w:eastAsia="Calibri"/>
                <w:sz w:val="20"/>
                <w:szCs w:val="20"/>
              </w:rPr>
            </w:pPr>
            <w:r>
              <w:rPr>
                <w:rFonts w:eastAsia="Calibri"/>
                <w:sz w:val="20"/>
                <w:szCs w:val="20"/>
              </w:rPr>
              <w:t>$2,793.75</w:t>
            </w:r>
            <w:r w:rsidRPr="006A60CF">
              <w:rPr>
                <w:rFonts w:eastAsia="Calibri"/>
                <w:sz w:val="20"/>
                <w:szCs w:val="20"/>
              </w:rPr>
              <w:t xml:space="preserve"> </w:t>
            </w:r>
          </w:p>
        </w:tc>
        <w:tc>
          <w:tcPr>
            <w:tcW w:w="878" w:type="pct"/>
          </w:tcPr>
          <w:p w14:paraId="1D393710" w14:textId="77777777" w:rsidR="00D14D54" w:rsidRPr="006A60CF" w:rsidRDefault="00D14D54" w:rsidP="00FA530B">
            <w:pPr>
              <w:jc w:val="right"/>
              <w:rPr>
                <w:rFonts w:eastAsia="Calibri"/>
                <w:sz w:val="20"/>
                <w:szCs w:val="20"/>
              </w:rPr>
            </w:pPr>
            <w:r>
              <w:rPr>
                <w:rFonts w:eastAsia="Calibri"/>
                <w:sz w:val="20"/>
                <w:szCs w:val="20"/>
              </w:rPr>
              <w:t>$111.75</w:t>
            </w:r>
            <w:r w:rsidRPr="006A60CF">
              <w:rPr>
                <w:rFonts w:eastAsia="Calibri"/>
                <w:sz w:val="20"/>
                <w:szCs w:val="20"/>
              </w:rPr>
              <w:t xml:space="preserve"> </w:t>
            </w:r>
          </w:p>
          <w:p w14:paraId="37022200" w14:textId="77777777" w:rsidR="00D14D54" w:rsidRPr="006A60CF" w:rsidRDefault="00D14D54" w:rsidP="00FA530B">
            <w:pPr>
              <w:jc w:val="right"/>
              <w:rPr>
                <w:rFonts w:eastAsia="Calibri"/>
                <w:sz w:val="20"/>
                <w:szCs w:val="20"/>
              </w:rPr>
            </w:pPr>
          </w:p>
        </w:tc>
      </w:tr>
    </w:tbl>
    <w:p w14:paraId="1C3AB85B" w14:textId="77777777" w:rsidR="00BB6095" w:rsidRPr="00BB6095" w:rsidRDefault="00BB6095" w:rsidP="00BB6095">
      <w:pPr>
        <w:pStyle w:val="FERCparanumber"/>
        <w:numPr>
          <w:ilvl w:val="0"/>
          <w:numId w:val="0"/>
        </w:numPr>
        <w:rPr>
          <w:sz w:val="24"/>
        </w:rPr>
      </w:pPr>
    </w:p>
    <w:p w14:paraId="13BF2A57" w14:textId="77777777" w:rsidR="009D6B6D" w:rsidRPr="00EF40FF" w:rsidRDefault="00BB6095" w:rsidP="001D2EC1">
      <w:pPr>
        <w:pStyle w:val="FERCparanumber"/>
        <w:numPr>
          <w:ilvl w:val="0"/>
          <w:numId w:val="7"/>
        </w:numPr>
        <w:rPr>
          <w:sz w:val="24"/>
        </w:rPr>
      </w:pPr>
      <w:r w:rsidRPr="001D2EC1">
        <w:rPr>
          <w:b/>
          <w:sz w:val="24"/>
        </w:rPr>
        <w:t>ESTIMATE OF THE TOTAL ANNUAL COST BURDEN TO RESPONDENTS</w:t>
      </w:r>
    </w:p>
    <w:p w14:paraId="27C816AF" w14:textId="77777777" w:rsidR="00EF40FF" w:rsidRDefault="00EF40FF" w:rsidP="00EF40FF">
      <w:pPr>
        <w:pStyle w:val="FERCparanumber"/>
        <w:numPr>
          <w:ilvl w:val="0"/>
          <w:numId w:val="0"/>
        </w:numPr>
        <w:rPr>
          <w:b/>
          <w:sz w:val="24"/>
        </w:rPr>
      </w:pPr>
    </w:p>
    <w:p w14:paraId="421B1190" w14:textId="77777777" w:rsidR="00432DA3" w:rsidRDefault="00432DA3" w:rsidP="00432DA3">
      <w:pPr>
        <w:widowControl/>
      </w:pPr>
      <w:r>
        <w:t>There are no non-labor start-up costs. All costs are related to burden hours and are addressed in Questions #12 and #15.</w:t>
      </w:r>
    </w:p>
    <w:p w14:paraId="237DA0EC" w14:textId="77777777" w:rsidR="00EF40FF" w:rsidRPr="00EF40FF" w:rsidRDefault="00EF40FF" w:rsidP="00EF40FF">
      <w:pPr>
        <w:pStyle w:val="FERCparanumber"/>
        <w:numPr>
          <w:ilvl w:val="0"/>
          <w:numId w:val="0"/>
        </w:numPr>
        <w:rPr>
          <w:sz w:val="24"/>
        </w:rPr>
      </w:pPr>
    </w:p>
    <w:p w14:paraId="25934EE2" w14:textId="77777777" w:rsidR="00EF40FF" w:rsidRDefault="00EF40FF" w:rsidP="001D2EC1">
      <w:pPr>
        <w:pStyle w:val="FERCparanumber"/>
        <w:numPr>
          <w:ilvl w:val="0"/>
          <w:numId w:val="7"/>
        </w:numPr>
        <w:rPr>
          <w:b/>
          <w:sz w:val="24"/>
        </w:rPr>
      </w:pPr>
      <w:r w:rsidRPr="00EF40FF">
        <w:rPr>
          <w:b/>
          <w:sz w:val="24"/>
        </w:rPr>
        <w:t>ESTIMATED ANNUALIZED COST TO FEDERAL GOVERNMENT</w:t>
      </w:r>
    </w:p>
    <w:p w14:paraId="1F460314" w14:textId="77777777" w:rsidR="00EF40FF" w:rsidRDefault="00EF40FF" w:rsidP="00EF40FF">
      <w:pPr>
        <w:pStyle w:val="FERCparanumber"/>
        <w:numPr>
          <w:ilvl w:val="0"/>
          <w:numId w:val="0"/>
        </w:numPr>
        <w:rPr>
          <w:b/>
          <w:sz w:val="24"/>
        </w:rPr>
      </w:pPr>
    </w:p>
    <w:p w14:paraId="5BF0DAF9" w14:textId="77777777" w:rsidR="00EF40FF" w:rsidRPr="001D2EC1" w:rsidRDefault="00EF40FF" w:rsidP="00EF40FF">
      <w:pPr>
        <w:pStyle w:val="ListParagraph"/>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42"/>
        <w:gridCol w:w="3024"/>
      </w:tblGrid>
      <w:tr w:rsidR="00EF40FF" w:rsidRPr="001D2EC1" w14:paraId="6C55F3AE" w14:textId="77777777" w:rsidTr="00D97B44">
        <w:tc>
          <w:tcPr>
            <w:tcW w:w="1756" w:type="pct"/>
            <w:shd w:val="clear" w:color="auto" w:fill="D9D9D9"/>
            <w:vAlign w:val="center"/>
          </w:tcPr>
          <w:p w14:paraId="420D71F3" w14:textId="77777777" w:rsidR="00EF40FF" w:rsidRPr="001D2EC1" w:rsidRDefault="00EF40FF" w:rsidP="00D97B44">
            <w:pPr>
              <w:pStyle w:val="ListParagraph"/>
              <w:spacing w:after="0" w:line="240" w:lineRule="auto"/>
              <w:ind w:left="0"/>
              <w:rPr>
                <w:rFonts w:ascii="Times New Roman" w:hAnsi="Times New Roman"/>
                <w:b/>
                <w:sz w:val="24"/>
                <w:szCs w:val="24"/>
              </w:rPr>
            </w:pPr>
          </w:p>
        </w:tc>
        <w:tc>
          <w:tcPr>
            <w:tcW w:w="1627" w:type="pct"/>
            <w:shd w:val="clear" w:color="auto" w:fill="D9D9D9"/>
            <w:vAlign w:val="center"/>
          </w:tcPr>
          <w:p w14:paraId="18D95BE9"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Number of Employees (FTE)</w:t>
            </w:r>
          </w:p>
        </w:tc>
        <w:tc>
          <w:tcPr>
            <w:tcW w:w="1617" w:type="pct"/>
            <w:shd w:val="clear" w:color="auto" w:fill="D9D9D9"/>
            <w:vAlign w:val="center"/>
          </w:tcPr>
          <w:p w14:paraId="65A7AAF2"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Estimated Annual Federal Cost</w:t>
            </w:r>
          </w:p>
        </w:tc>
      </w:tr>
      <w:tr w:rsidR="00EF40FF" w:rsidRPr="001D2EC1" w14:paraId="73366A6A" w14:textId="77777777" w:rsidTr="00D97B44">
        <w:tc>
          <w:tcPr>
            <w:tcW w:w="1756" w:type="pct"/>
            <w:shd w:val="clear" w:color="auto" w:fill="auto"/>
            <w:vAlign w:val="center"/>
          </w:tcPr>
          <w:p w14:paraId="38725E63"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Analysis and Processing of Filings</w:t>
            </w:r>
            <w:r w:rsidRPr="001D2EC1">
              <w:rPr>
                <w:rStyle w:val="FootnoteReference"/>
                <w:rFonts w:ascii="Times New Roman" w:hAnsi="Times New Roman"/>
                <w:sz w:val="24"/>
                <w:szCs w:val="24"/>
                <w:vertAlign w:val="superscript"/>
              </w:rPr>
              <w:footnoteReference w:id="14"/>
            </w:r>
          </w:p>
        </w:tc>
        <w:tc>
          <w:tcPr>
            <w:tcW w:w="1627" w:type="pct"/>
            <w:shd w:val="clear" w:color="auto" w:fill="auto"/>
            <w:vAlign w:val="center"/>
          </w:tcPr>
          <w:p w14:paraId="169BBF54" w14:textId="67E8F0D2" w:rsidR="00EF40FF" w:rsidRPr="001D2EC1" w:rsidRDefault="00730509"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0.</w:t>
            </w:r>
            <w:r w:rsidR="000541E0">
              <w:rPr>
                <w:rFonts w:ascii="Times New Roman" w:hAnsi="Times New Roman"/>
                <w:sz w:val="24"/>
                <w:szCs w:val="24"/>
              </w:rPr>
              <w:t>3</w:t>
            </w:r>
          </w:p>
        </w:tc>
        <w:tc>
          <w:tcPr>
            <w:tcW w:w="1617" w:type="pct"/>
            <w:shd w:val="clear" w:color="auto" w:fill="auto"/>
            <w:vAlign w:val="center"/>
          </w:tcPr>
          <w:p w14:paraId="7007B84E" w14:textId="08BE1C2D" w:rsidR="00EF40FF" w:rsidRPr="001D2EC1" w:rsidRDefault="006B0369"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730509">
              <w:rPr>
                <w:rFonts w:ascii="Times New Roman" w:hAnsi="Times New Roman"/>
                <w:sz w:val="24"/>
                <w:szCs w:val="24"/>
              </w:rPr>
              <w:t>46,394</w:t>
            </w:r>
          </w:p>
        </w:tc>
      </w:tr>
      <w:tr w:rsidR="00EF40FF" w:rsidRPr="001D2EC1" w14:paraId="7009D51E" w14:textId="77777777" w:rsidTr="00D97B44">
        <w:tc>
          <w:tcPr>
            <w:tcW w:w="1756" w:type="pct"/>
            <w:shd w:val="clear" w:color="auto" w:fill="auto"/>
            <w:vAlign w:val="center"/>
          </w:tcPr>
          <w:p w14:paraId="099D5BDF"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PRA</w:t>
            </w:r>
            <w:r w:rsidRPr="001D2EC1">
              <w:rPr>
                <w:rStyle w:val="FootnoteReference"/>
                <w:rFonts w:ascii="Times New Roman" w:hAnsi="Times New Roman"/>
                <w:sz w:val="24"/>
                <w:szCs w:val="24"/>
                <w:vertAlign w:val="superscript"/>
              </w:rPr>
              <w:footnoteReference w:id="15"/>
            </w:r>
            <w:r w:rsidRPr="001D2EC1">
              <w:rPr>
                <w:rFonts w:ascii="Times New Roman" w:hAnsi="Times New Roman"/>
                <w:sz w:val="24"/>
                <w:szCs w:val="24"/>
              </w:rPr>
              <w:t xml:space="preserve"> Administrative Cost</w:t>
            </w:r>
            <w:r w:rsidRPr="001D2EC1">
              <w:rPr>
                <w:rStyle w:val="FootnoteReference"/>
                <w:rFonts w:ascii="Times New Roman" w:hAnsi="Times New Roman"/>
                <w:sz w:val="24"/>
                <w:szCs w:val="24"/>
                <w:vertAlign w:val="superscript"/>
              </w:rPr>
              <w:footnoteReference w:id="16"/>
            </w:r>
          </w:p>
        </w:tc>
        <w:tc>
          <w:tcPr>
            <w:tcW w:w="1627" w:type="pct"/>
            <w:shd w:val="clear" w:color="auto" w:fill="D9D9D9"/>
            <w:vAlign w:val="center"/>
          </w:tcPr>
          <w:p w14:paraId="74DA3B1F"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731B0E8B" w14:textId="675225F8" w:rsidR="00EF40FF" w:rsidRPr="001D2EC1" w:rsidRDefault="006441AD"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$5,481</w:t>
            </w:r>
          </w:p>
        </w:tc>
      </w:tr>
      <w:tr w:rsidR="00EF40FF" w:rsidRPr="001D2EC1" w14:paraId="0A5B5FA9" w14:textId="77777777" w:rsidTr="00D97B44">
        <w:tc>
          <w:tcPr>
            <w:tcW w:w="1756" w:type="pct"/>
            <w:shd w:val="clear" w:color="auto" w:fill="auto"/>
            <w:vAlign w:val="center"/>
          </w:tcPr>
          <w:p w14:paraId="4441CC05"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FERC Total</w:t>
            </w:r>
          </w:p>
        </w:tc>
        <w:tc>
          <w:tcPr>
            <w:tcW w:w="1627" w:type="pct"/>
            <w:shd w:val="clear" w:color="auto" w:fill="D9D9D9"/>
            <w:vAlign w:val="center"/>
          </w:tcPr>
          <w:p w14:paraId="2B3CB9DA"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53B2B876" w14:textId="1B5AA15B" w:rsidR="00EF40FF" w:rsidRPr="001D2EC1" w:rsidRDefault="00714117"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730509">
              <w:rPr>
                <w:rFonts w:ascii="Times New Roman" w:hAnsi="Times New Roman"/>
                <w:sz w:val="24"/>
                <w:szCs w:val="24"/>
              </w:rPr>
              <w:t>51,875</w:t>
            </w:r>
          </w:p>
        </w:tc>
      </w:tr>
    </w:tbl>
    <w:p w14:paraId="6E71933C" w14:textId="77777777" w:rsidR="00EF40FF" w:rsidRPr="001D2EC1" w:rsidRDefault="00EF40FF" w:rsidP="00EF40FF">
      <w:pPr>
        <w:pStyle w:val="ListParagraph"/>
        <w:spacing w:after="0" w:line="240" w:lineRule="auto"/>
        <w:rPr>
          <w:rFonts w:ascii="Times New Roman" w:hAnsi="Times New Roman"/>
          <w:b/>
          <w:sz w:val="24"/>
          <w:szCs w:val="24"/>
        </w:rPr>
      </w:pPr>
    </w:p>
    <w:p w14:paraId="162A5185" w14:textId="77777777" w:rsidR="00EF40FF" w:rsidRPr="00EF40FF" w:rsidRDefault="00EF40FF" w:rsidP="00EF40FF">
      <w:r w:rsidRPr="001D2EC1">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7086245E" w14:textId="77777777" w:rsidR="00EF40FF" w:rsidRDefault="00EF40FF" w:rsidP="00EF40FF">
      <w:pPr>
        <w:pStyle w:val="FERCparanumber"/>
        <w:numPr>
          <w:ilvl w:val="0"/>
          <w:numId w:val="0"/>
        </w:numPr>
        <w:rPr>
          <w:b/>
          <w:sz w:val="24"/>
        </w:rPr>
      </w:pPr>
    </w:p>
    <w:p w14:paraId="652E2E2C" w14:textId="77777777" w:rsidR="00EF40FF" w:rsidRDefault="00EF40FF" w:rsidP="001D2EC1">
      <w:pPr>
        <w:pStyle w:val="FERCparanumber"/>
        <w:numPr>
          <w:ilvl w:val="0"/>
          <w:numId w:val="7"/>
        </w:numPr>
        <w:rPr>
          <w:b/>
          <w:sz w:val="24"/>
        </w:rPr>
      </w:pPr>
      <w:r w:rsidRPr="001D2EC1">
        <w:rPr>
          <w:b/>
          <w:sz w:val="24"/>
        </w:rPr>
        <w:t>REASONS FOR CHANGES IN BURDEN INCLUDING THE NEED FOR ANY INCREASE</w:t>
      </w:r>
    </w:p>
    <w:p w14:paraId="37AE29EC" w14:textId="77777777" w:rsidR="00EF40FF" w:rsidRDefault="00EF40FF" w:rsidP="00EF40FF">
      <w:pPr>
        <w:pStyle w:val="FERCparanumber"/>
        <w:numPr>
          <w:ilvl w:val="0"/>
          <w:numId w:val="0"/>
        </w:numPr>
        <w:rPr>
          <w:b/>
          <w:sz w:val="24"/>
        </w:rPr>
      </w:pPr>
    </w:p>
    <w:p w14:paraId="06192D7C" w14:textId="3AD03E2B" w:rsidR="00545B62" w:rsidRDefault="000541E0" w:rsidP="001D1355">
      <w:r>
        <w:t>The Commission is making no changes to reporting requirements or the resultant burden estimate.</w:t>
      </w:r>
    </w:p>
    <w:p w14:paraId="37F0AF8F" w14:textId="77777777" w:rsidR="00F9384F" w:rsidRDefault="00F9384F" w:rsidP="00EF40FF">
      <w:pPr>
        <w:widowControl/>
      </w:pPr>
    </w:p>
    <w:p w14:paraId="0EF2A067" w14:textId="48B6D972" w:rsidR="00545B62" w:rsidRPr="00545B62" w:rsidRDefault="00545B62" w:rsidP="00545B62">
      <w:pPr>
        <w:rPr>
          <w:szCs w:val="26"/>
        </w:rPr>
      </w:pPr>
      <w:r>
        <w:rPr>
          <w:szCs w:val="26"/>
        </w:rPr>
        <w:t xml:space="preserve">The following table shows the </w:t>
      </w:r>
      <w:r w:rsidR="00607DF1">
        <w:rPr>
          <w:szCs w:val="26"/>
        </w:rPr>
        <w:t xml:space="preserve">annual </w:t>
      </w:r>
      <w:r>
        <w:rPr>
          <w:szCs w:val="26"/>
        </w:rPr>
        <w:t>total burden of the collection of information.  The format, labels, and definitions of the table follow the ROCIS submission system’s “Information Collection Request Summary of Burden” for the metadata.</w:t>
      </w:r>
    </w:p>
    <w:p w14:paraId="0D00454B" w14:textId="77777777" w:rsidR="00EF40FF" w:rsidRPr="001D2EC1" w:rsidRDefault="00EF40FF" w:rsidP="00EF40FF">
      <w:pPr>
        <w:widowControl/>
        <w:tabs>
          <w:tab w:val="left" w:pos="2394"/>
        </w:tabs>
      </w:pPr>
      <w:r w:rsidRPr="001D2EC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550"/>
        <w:gridCol w:w="1597"/>
        <w:gridCol w:w="1889"/>
        <w:gridCol w:w="1618"/>
      </w:tblGrid>
      <w:tr w:rsidR="00EF40FF" w:rsidRPr="001D2EC1" w14:paraId="46C4A5B4" w14:textId="77777777" w:rsidTr="00D97B44">
        <w:trPr>
          <w:trHeight w:val="870"/>
        </w:trPr>
        <w:tc>
          <w:tcPr>
            <w:tcW w:w="1442" w:type="pct"/>
            <w:shd w:val="clear" w:color="auto" w:fill="D9D9D9"/>
            <w:vAlign w:val="bottom"/>
          </w:tcPr>
          <w:p w14:paraId="5E6F18B9" w14:textId="7C6103D6" w:rsidR="00EF40FF" w:rsidRPr="001D2EC1" w:rsidRDefault="001D1355" w:rsidP="00D97B44">
            <w:pPr>
              <w:jc w:val="center"/>
              <w:rPr>
                <w:b/>
              </w:rPr>
            </w:pPr>
            <w:r>
              <w:rPr>
                <w:b/>
              </w:rPr>
              <w:t>F</w:t>
            </w:r>
            <w:r w:rsidR="000541E0">
              <w:rPr>
                <w:b/>
              </w:rPr>
              <w:t>ERC-604</w:t>
            </w:r>
          </w:p>
        </w:tc>
        <w:tc>
          <w:tcPr>
            <w:tcW w:w="829" w:type="pct"/>
            <w:shd w:val="clear" w:color="auto" w:fill="D9D9D9"/>
            <w:vAlign w:val="bottom"/>
          </w:tcPr>
          <w:p w14:paraId="6714602C" w14:textId="77777777" w:rsidR="00EF40FF" w:rsidRPr="001D2EC1" w:rsidRDefault="00EF40FF" w:rsidP="00D97B44">
            <w:pPr>
              <w:jc w:val="center"/>
              <w:rPr>
                <w:b/>
              </w:rPr>
            </w:pPr>
            <w:r w:rsidRPr="001D2EC1">
              <w:rPr>
                <w:b/>
              </w:rPr>
              <w:t>Total Request</w:t>
            </w:r>
          </w:p>
        </w:tc>
        <w:tc>
          <w:tcPr>
            <w:tcW w:w="854" w:type="pct"/>
            <w:shd w:val="clear" w:color="auto" w:fill="D9D9D9"/>
            <w:vAlign w:val="bottom"/>
          </w:tcPr>
          <w:p w14:paraId="13BA7890" w14:textId="77777777" w:rsidR="00EF40FF" w:rsidRPr="001D2EC1" w:rsidRDefault="00EF40FF" w:rsidP="00D97B44">
            <w:pPr>
              <w:jc w:val="center"/>
              <w:rPr>
                <w:b/>
              </w:rPr>
            </w:pPr>
            <w:r w:rsidRPr="001D2EC1">
              <w:rPr>
                <w:b/>
              </w:rPr>
              <w:t>Previously Approved</w:t>
            </w:r>
          </w:p>
        </w:tc>
        <w:tc>
          <w:tcPr>
            <w:tcW w:w="1010" w:type="pct"/>
            <w:shd w:val="clear" w:color="auto" w:fill="D9D9D9"/>
            <w:vAlign w:val="bottom"/>
          </w:tcPr>
          <w:p w14:paraId="73AFFA76" w14:textId="77777777" w:rsidR="00EF40FF" w:rsidRPr="001D2EC1" w:rsidRDefault="00EF40FF" w:rsidP="00D97B44">
            <w:pPr>
              <w:jc w:val="center"/>
              <w:rPr>
                <w:b/>
              </w:rPr>
            </w:pPr>
            <w:r w:rsidRPr="001D2EC1">
              <w:rPr>
                <w:b/>
              </w:rPr>
              <w:t>Change due to Adjustment in Estimate</w:t>
            </w:r>
          </w:p>
        </w:tc>
        <w:tc>
          <w:tcPr>
            <w:tcW w:w="865" w:type="pct"/>
            <w:shd w:val="clear" w:color="auto" w:fill="D9D9D9"/>
            <w:vAlign w:val="bottom"/>
          </w:tcPr>
          <w:p w14:paraId="41286C04" w14:textId="77777777" w:rsidR="00EF40FF" w:rsidRPr="001D2EC1" w:rsidRDefault="00EF40FF" w:rsidP="00D97B44">
            <w:pPr>
              <w:jc w:val="center"/>
              <w:rPr>
                <w:b/>
              </w:rPr>
            </w:pPr>
            <w:r w:rsidRPr="001D2EC1">
              <w:rPr>
                <w:b/>
              </w:rPr>
              <w:t>Change Due to Agency Discretion</w:t>
            </w:r>
          </w:p>
        </w:tc>
      </w:tr>
      <w:tr w:rsidR="00EF40FF" w:rsidRPr="001D2EC1" w14:paraId="17214C13" w14:textId="77777777" w:rsidTr="00D97B44">
        <w:trPr>
          <w:trHeight w:val="591"/>
        </w:trPr>
        <w:tc>
          <w:tcPr>
            <w:tcW w:w="1442" w:type="pct"/>
            <w:shd w:val="clear" w:color="auto" w:fill="auto"/>
          </w:tcPr>
          <w:p w14:paraId="0115B27A" w14:textId="77777777" w:rsidR="00EF40FF" w:rsidRPr="001D2EC1" w:rsidRDefault="00EF40FF" w:rsidP="00D97B44">
            <w:pPr>
              <w:jc w:val="center"/>
            </w:pPr>
            <w:r w:rsidRPr="001D2EC1">
              <w:t>Annual Number of Responses</w:t>
            </w:r>
          </w:p>
        </w:tc>
        <w:tc>
          <w:tcPr>
            <w:tcW w:w="829" w:type="pct"/>
            <w:shd w:val="clear" w:color="auto" w:fill="auto"/>
            <w:vAlign w:val="center"/>
          </w:tcPr>
          <w:p w14:paraId="386C9BC2" w14:textId="30DD2653" w:rsidR="00EF40FF" w:rsidRPr="001D2EC1" w:rsidRDefault="000541E0" w:rsidP="00D97B44">
            <w:pPr>
              <w:jc w:val="right"/>
            </w:pPr>
            <w:r>
              <w:t>25</w:t>
            </w:r>
          </w:p>
        </w:tc>
        <w:tc>
          <w:tcPr>
            <w:tcW w:w="854" w:type="pct"/>
            <w:shd w:val="clear" w:color="auto" w:fill="auto"/>
            <w:vAlign w:val="center"/>
          </w:tcPr>
          <w:p w14:paraId="39A0261D" w14:textId="2F14021D" w:rsidR="00EF40FF" w:rsidRPr="001D2EC1" w:rsidRDefault="000541E0" w:rsidP="00D97B44">
            <w:pPr>
              <w:jc w:val="right"/>
            </w:pPr>
            <w:r>
              <w:t>25</w:t>
            </w:r>
          </w:p>
        </w:tc>
        <w:tc>
          <w:tcPr>
            <w:tcW w:w="1010" w:type="pct"/>
            <w:shd w:val="clear" w:color="auto" w:fill="auto"/>
            <w:vAlign w:val="center"/>
          </w:tcPr>
          <w:p w14:paraId="4FE2F429" w14:textId="7EE3BF90" w:rsidR="00EF40FF" w:rsidRPr="001D2EC1" w:rsidRDefault="00184AC4" w:rsidP="00D97B44">
            <w:pPr>
              <w:jc w:val="right"/>
            </w:pPr>
            <w:r>
              <w:t>0</w:t>
            </w:r>
          </w:p>
        </w:tc>
        <w:tc>
          <w:tcPr>
            <w:tcW w:w="865" w:type="pct"/>
            <w:shd w:val="clear" w:color="auto" w:fill="auto"/>
            <w:vAlign w:val="center"/>
          </w:tcPr>
          <w:p w14:paraId="50BDA9A0" w14:textId="77777777" w:rsidR="00EF40FF" w:rsidRPr="001D2EC1" w:rsidRDefault="00EF40FF" w:rsidP="00D97B44">
            <w:pPr>
              <w:jc w:val="right"/>
            </w:pPr>
            <w:r w:rsidRPr="001D2EC1">
              <w:t>0</w:t>
            </w:r>
          </w:p>
        </w:tc>
      </w:tr>
      <w:tr w:rsidR="00EF40FF" w:rsidRPr="001D2EC1" w14:paraId="7258AFC0" w14:textId="77777777" w:rsidTr="00D97B44">
        <w:trPr>
          <w:trHeight w:val="575"/>
        </w:trPr>
        <w:tc>
          <w:tcPr>
            <w:tcW w:w="1442" w:type="pct"/>
            <w:shd w:val="clear" w:color="auto" w:fill="auto"/>
          </w:tcPr>
          <w:p w14:paraId="73702C6C" w14:textId="77777777" w:rsidR="00EF40FF" w:rsidRPr="001D2EC1" w:rsidRDefault="00EF40FF" w:rsidP="00D97B44">
            <w:pPr>
              <w:jc w:val="center"/>
            </w:pPr>
            <w:r w:rsidRPr="001D2EC1">
              <w:lastRenderedPageBreak/>
              <w:t>Annual Time Burden (Hours)</w:t>
            </w:r>
          </w:p>
        </w:tc>
        <w:tc>
          <w:tcPr>
            <w:tcW w:w="829" w:type="pct"/>
            <w:shd w:val="clear" w:color="auto" w:fill="auto"/>
            <w:vAlign w:val="center"/>
          </w:tcPr>
          <w:p w14:paraId="31651BEE" w14:textId="2DA1E2B6" w:rsidR="00EF40FF" w:rsidRPr="001D2EC1" w:rsidRDefault="000541E0" w:rsidP="00D97B44">
            <w:pPr>
              <w:jc w:val="right"/>
            </w:pPr>
            <w:r>
              <w:t>38</w:t>
            </w:r>
          </w:p>
        </w:tc>
        <w:tc>
          <w:tcPr>
            <w:tcW w:w="854" w:type="pct"/>
            <w:shd w:val="clear" w:color="auto" w:fill="auto"/>
            <w:vAlign w:val="center"/>
          </w:tcPr>
          <w:p w14:paraId="0EED3422" w14:textId="3683213B" w:rsidR="00EF40FF" w:rsidRPr="001D2EC1" w:rsidRDefault="000541E0" w:rsidP="00D97B44">
            <w:pPr>
              <w:jc w:val="right"/>
            </w:pPr>
            <w:r>
              <w:t>38</w:t>
            </w:r>
          </w:p>
        </w:tc>
        <w:tc>
          <w:tcPr>
            <w:tcW w:w="1010" w:type="pct"/>
            <w:shd w:val="clear" w:color="auto" w:fill="auto"/>
            <w:vAlign w:val="center"/>
          </w:tcPr>
          <w:p w14:paraId="3CF5B872" w14:textId="11EF6691" w:rsidR="00EF40FF" w:rsidRPr="001D2EC1" w:rsidRDefault="00184AC4" w:rsidP="00D97B44">
            <w:pPr>
              <w:jc w:val="right"/>
            </w:pPr>
            <w:r>
              <w:t>0</w:t>
            </w:r>
          </w:p>
        </w:tc>
        <w:tc>
          <w:tcPr>
            <w:tcW w:w="865" w:type="pct"/>
            <w:shd w:val="clear" w:color="auto" w:fill="auto"/>
            <w:vAlign w:val="center"/>
          </w:tcPr>
          <w:p w14:paraId="39B1BAD1" w14:textId="77777777" w:rsidR="00EF40FF" w:rsidRPr="001D2EC1" w:rsidRDefault="00EF40FF" w:rsidP="00D97B44">
            <w:pPr>
              <w:jc w:val="right"/>
            </w:pPr>
            <w:r w:rsidRPr="001D2EC1">
              <w:t>0</w:t>
            </w:r>
          </w:p>
        </w:tc>
      </w:tr>
      <w:tr w:rsidR="00EF40FF" w:rsidRPr="001D2EC1" w14:paraId="32861EA7" w14:textId="77777777" w:rsidTr="00D97B44">
        <w:trPr>
          <w:trHeight w:val="295"/>
        </w:trPr>
        <w:tc>
          <w:tcPr>
            <w:tcW w:w="1442" w:type="pct"/>
            <w:tcBorders>
              <w:bottom w:val="single" w:sz="4" w:space="0" w:color="auto"/>
            </w:tcBorders>
            <w:shd w:val="clear" w:color="auto" w:fill="auto"/>
          </w:tcPr>
          <w:p w14:paraId="4F5B520F" w14:textId="77777777" w:rsidR="00EF40FF" w:rsidRPr="001D2EC1" w:rsidRDefault="00EF40FF" w:rsidP="00D97B44">
            <w:pPr>
              <w:jc w:val="center"/>
            </w:pPr>
            <w:r w:rsidRPr="001D2EC1">
              <w:t>Annual Cost Burden ($)</w:t>
            </w:r>
          </w:p>
        </w:tc>
        <w:tc>
          <w:tcPr>
            <w:tcW w:w="829" w:type="pct"/>
            <w:tcBorders>
              <w:bottom w:val="single" w:sz="4" w:space="0" w:color="auto"/>
            </w:tcBorders>
            <w:shd w:val="clear" w:color="auto" w:fill="auto"/>
            <w:vAlign w:val="center"/>
          </w:tcPr>
          <w:p w14:paraId="7D67E648" w14:textId="77777777" w:rsidR="00EF40FF" w:rsidRPr="001D2EC1" w:rsidRDefault="00EF40FF" w:rsidP="00D97B44">
            <w:pPr>
              <w:jc w:val="right"/>
            </w:pPr>
            <w:r w:rsidRPr="001D2EC1">
              <w:t>$0</w:t>
            </w:r>
          </w:p>
        </w:tc>
        <w:tc>
          <w:tcPr>
            <w:tcW w:w="854" w:type="pct"/>
            <w:tcBorders>
              <w:bottom w:val="single" w:sz="4" w:space="0" w:color="auto"/>
            </w:tcBorders>
            <w:shd w:val="clear" w:color="auto" w:fill="auto"/>
            <w:vAlign w:val="center"/>
          </w:tcPr>
          <w:p w14:paraId="15FA5A62" w14:textId="77777777" w:rsidR="00EF40FF" w:rsidRPr="001D2EC1" w:rsidRDefault="00EF40FF" w:rsidP="00D97B44">
            <w:pPr>
              <w:jc w:val="right"/>
            </w:pPr>
            <w:r w:rsidRPr="001D2EC1">
              <w:t>$0</w:t>
            </w:r>
          </w:p>
        </w:tc>
        <w:tc>
          <w:tcPr>
            <w:tcW w:w="1010" w:type="pct"/>
            <w:tcBorders>
              <w:bottom w:val="single" w:sz="4" w:space="0" w:color="auto"/>
            </w:tcBorders>
            <w:shd w:val="clear" w:color="auto" w:fill="auto"/>
            <w:vAlign w:val="center"/>
          </w:tcPr>
          <w:p w14:paraId="406A2FC1" w14:textId="77777777" w:rsidR="00EF40FF" w:rsidRPr="001D2EC1" w:rsidRDefault="00EF40FF" w:rsidP="00D97B44">
            <w:pPr>
              <w:jc w:val="right"/>
            </w:pPr>
            <w:r w:rsidRPr="001D2EC1">
              <w:t>$0</w:t>
            </w:r>
          </w:p>
        </w:tc>
        <w:tc>
          <w:tcPr>
            <w:tcW w:w="865" w:type="pct"/>
            <w:tcBorders>
              <w:bottom w:val="single" w:sz="4" w:space="0" w:color="auto"/>
            </w:tcBorders>
            <w:shd w:val="clear" w:color="auto" w:fill="auto"/>
            <w:vAlign w:val="center"/>
          </w:tcPr>
          <w:p w14:paraId="44B6C3E6" w14:textId="77777777" w:rsidR="00EF40FF" w:rsidRPr="001D2EC1" w:rsidRDefault="00545B62" w:rsidP="00D97B44">
            <w:pPr>
              <w:jc w:val="right"/>
            </w:pPr>
            <w:r>
              <w:t>$</w:t>
            </w:r>
            <w:r w:rsidR="00EF40FF" w:rsidRPr="001D2EC1">
              <w:t>0</w:t>
            </w:r>
          </w:p>
        </w:tc>
      </w:tr>
    </w:tbl>
    <w:p w14:paraId="5E52CD2D" w14:textId="77777777" w:rsidR="00EF40FF" w:rsidRPr="001D2EC1" w:rsidRDefault="00EF40FF" w:rsidP="00EF40FF">
      <w:pPr>
        <w:widowControl/>
        <w:rPr>
          <w:b/>
        </w:rPr>
      </w:pPr>
    </w:p>
    <w:p w14:paraId="29960F64" w14:textId="77777777" w:rsidR="00EF40FF" w:rsidRDefault="00EF40FF" w:rsidP="00EF40FF">
      <w:pPr>
        <w:pStyle w:val="FERCparanumber"/>
        <w:numPr>
          <w:ilvl w:val="0"/>
          <w:numId w:val="0"/>
        </w:numPr>
        <w:rPr>
          <w:b/>
          <w:sz w:val="24"/>
        </w:rPr>
      </w:pPr>
    </w:p>
    <w:p w14:paraId="7CD93336" w14:textId="77777777" w:rsidR="009D6B6D" w:rsidRDefault="00EF40FF" w:rsidP="00EF40FF">
      <w:pPr>
        <w:pStyle w:val="FERCparanumber"/>
        <w:numPr>
          <w:ilvl w:val="0"/>
          <w:numId w:val="7"/>
        </w:numPr>
        <w:rPr>
          <w:b/>
          <w:sz w:val="24"/>
        </w:rPr>
      </w:pPr>
      <w:r w:rsidRPr="001D2EC1">
        <w:rPr>
          <w:b/>
          <w:sz w:val="24"/>
        </w:rPr>
        <w:t>TIME SCHEDULE FOR PUBLICATION OF DATA</w:t>
      </w:r>
    </w:p>
    <w:p w14:paraId="338E8E30" w14:textId="77777777" w:rsidR="00EF40FF" w:rsidRDefault="00EF40FF" w:rsidP="00EF40FF">
      <w:pPr>
        <w:pStyle w:val="FERCparanumber"/>
        <w:numPr>
          <w:ilvl w:val="0"/>
          <w:numId w:val="0"/>
        </w:numPr>
        <w:rPr>
          <w:b/>
          <w:sz w:val="24"/>
        </w:rPr>
      </w:pPr>
    </w:p>
    <w:p w14:paraId="7EF18CBE" w14:textId="77777777" w:rsidR="00545B62" w:rsidRPr="008449DF" w:rsidRDefault="00545B62" w:rsidP="00545B62">
      <w:pPr>
        <w:widowControl/>
      </w:pPr>
      <w:r w:rsidRPr="008449DF">
        <w:t>There are no tabulating, statistical or tabulating analysis or publication plans for the collection of information.  The data are used for regulatory purposes only.</w:t>
      </w:r>
    </w:p>
    <w:p w14:paraId="13B155E7" w14:textId="77777777" w:rsidR="00EF40FF" w:rsidRDefault="00EF40FF" w:rsidP="00EF40FF">
      <w:pPr>
        <w:pStyle w:val="FERCparanumber"/>
        <w:numPr>
          <w:ilvl w:val="0"/>
          <w:numId w:val="0"/>
        </w:numPr>
        <w:rPr>
          <w:b/>
          <w:sz w:val="24"/>
        </w:rPr>
      </w:pPr>
    </w:p>
    <w:p w14:paraId="15394295" w14:textId="77777777" w:rsidR="009D6B6D" w:rsidRDefault="00EF40FF" w:rsidP="001D2EC1">
      <w:pPr>
        <w:pStyle w:val="FERCparanumber"/>
        <w:numPr>
          <w:ilvl w:val="0"/>
          <w:numId w:val="7"/>
        </w:numPr>
        <w:rPr>
          <w:b/>
          <w:sz w:val="24"/>
        </w:rPr>
      </w:pPr>
      <w:r>
        <w:rPr>
          <w:b/>
          <w:sz w:val="24"/>
        </w:rPr>
        <w:t>DISPLAY OF EXPIRATION DATE</w:t>
      </w:r>
    </w:p>
    <w:p w14:paraId="50BC026E" w14:textId="77777777" w:rsidR="00EF40FF" w:rsidRDefault="00EF40FF" w:rsidP="00EF40FF">
      <w:pPr>
        <w:pStyle w:val="FERCparanumber"/>
        <w:numPr>
          <w:ilvl w:val="0"/>
          <w:numId w:val="0"/>
        </w:numPr>
        <w:rPr>
          <w:b/>
          <w:sz w:val="24"/>
        </w:rPr>
      </w:pPr>
    </w:p>
    <w:p w14:paraId="587C08CA" w14:textId="18CF467A" w:rsidR="006441AD" w:rsidRDefault="006441AD" w:rsidP="006441AD">
      <w:r>
        <w:t xml:space="preserve">The expiration date is displayed in a table posted on ferc.gov at </w:t>
      </w:r>
      <w:hyperlink r:id="rId12" w:history="1">
        <w:r w:rsidRPr="00C90564">
          <w:rPr>
            <w:rStyle w:val="Hyperlink"/>
          </w:rPr>
          <w:t>http://www.ferc.gov/docs-filing/info-collections.asp</w:t>
        </w:r>
      </w:hyperlink>
      <w:r>
        <w:t>.</w:t>
      </w:r>
    </w:p>
    <w:p w14:paraId="00403C61" w14:textId="77777777" w:rsidR="00EF40FF" w:rsidRDefault="00EF40FF" w:rsidP="00EF40FF">
      <w:pPr>
        <w:pStyle w:val="FERCparanumber"/>
        <w:numPr>
          <w:ilvl w:val="0"/>
          <w:numId w:val="0"/>
        </w:numPr>
        <w:rPr>
          <w:b/>
          <w:sz w:val="24"/>
        </w:rPr>
      </w:pPr>
    </w:p>
    <w:p w14:paraId="3B590558" w14:textId="77777777" w:rsidR="00EF40FF" w:rsidRPr="00EF40FF" w:rsidRDefault="00EF40FF" w:rsidP="00E138E1">
      <w:pPr>
        <w:widowControl/>
        <w:numPr>
          <w:ilvl w:val="0"/>
          <w:numId w:val="7"/>
        </w:numPr>
        <w:ind w:hanging="720"/>
        <w:rPr>
          <w:b/>
        </w:rPr>
      </w:pPr>
      <w:r w:rsidRPr="001D2EC1">
        <w:rPr>
          <w:b/>
        </w:rPr>
        <w:t>EXCEPTIONS TO THE CERTIFICATION STATEMENT</w:t>
      </w:r>
    </w:p>
    <w:p w14:paraId="612ECBF9" w14:textId="77777777" w:rsidR="009D6B6D" w:rsidRPr="001D2EC1" w:rsidRDefault="009D6B6D" w:rsidP="001D2EC1">
      <w:pPr>
        <w:widowControl/>
        <w:ind w:left="720"/>
        <w:rPr>
          <w:b/>
        </w:rPr>
      </w:pPr>
    </w:p>
    <w:p w14:paraId="5B53F0DD" w14:textId="77777777" w:rsidR="00000F54" w:rsidRPr="001D2EC1" w:rsidRDefault="00545B62" w:rsidP="001D2EC1">
      <w:pPr>
        <w:widowControl/>
      </w:pPr>
      <w:r>
        <w:t>There are no exceptions.</w:t>
      </w:r>
    </w:p>
    <w:sectPr w:rsidR="00000F54" w:rsidRPr="001D2EC1" w:rsidSect="0070312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F1AC7" w14:textId="77777777" w:rsidR="003A6A4F" w:rsidRDefault="003A6A4F" w:rsidP="009D6B6D">
      <w:r>
        <w:separator/>
      </w:r>
    </w:p>
  </w:endnote>
  <w:endnote w:type="continuationSeparator" w:id="0">
    <w:p w14:paraId="3E6B93D9" w14:textId="77777777" w:rsidR="003A6A4F" w:rsidRDefault="003A6A4F"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0493"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11515">
          <w:rPr>
            <w:noProof/>
          </w:rPr>
          <w:t>6</w:t>
        </w:r>
        <w:r>
          <w:rPr>
            <w:noProof/>
          </w:rPr>
          <w:fldChar w:fldCharType="end"/>
        </w:r>
      </w:sdtContent>
    </w:sdt>
  </w:p>
  <w:p w14:paraId="7CE16875"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7D2A9" w14:textId="77777777" w:rsidR="003A6A4F" w:rsidRDefault="003A6A4F" w:rsidP="009D6B6D">
      <w:r>
        <w:separator/>
      </w:r>
    </w:p>
  </w:footnote>
  <w:footnote w:type="continuationSeparator" w:id="0">
    <w:p w14:paraId="160ADDD0" w14:textId="77777777" w:rsidR="003A6A4F" w:rsidRDefault="003A6A4F" w:rsidP="009D6B6D">
      <w:r>
        <w:continuationSeparator/>
      </w:r>
    </w:p>
  </w:footnote>
  <w:footnote w:id="1">
    <w:p w14:paraId="3A6A99B7" w14:textId="575DDE4D" w:rsidR="00D14D54" w:rsidRDefault="00D14D54" w:rsidP="00F1670E">
      <w:pPr>
        <w:pStyle w:val="FootnoteText"/>
      </w:pPr>
      <w:r w:rsidRPr="00F1670E">
        <w:rPr>
          <w:rStyle w:val="FootnoteReference"/>
          <w:b/>
          <w:vertAlign w:val="superscript"/>
        </w:rPr>
        <w:footnoteRef/>
      </w:r>
      <w:r w:rsidRPr="00F1670E">
        <w:rPr>
          <w:b/>
          <w:vertAlign w:val="superscript"/>
        </w:rPr>
        <w:t xml:space="preserve"> </w:t>
      </w:r>
      <w:r w:rsidRPr="00D14D54">
        <w:t xml:space="preserve">In 2003, the Commission issued a final rule, requiring FERC-regulated entities to file their cash management agreements with the Commission.  This reporting requirement was first approved under OMB Control Number 1902-0098 (FERC-555, Records Retention Requirements) because of a related record retention requirement.  In subsequent FERC-555 extension requests, FERC </w:t>
      </w:r>
      <w:r w:rsidR="00BD5BFC">
        <w:t xml:space="preserve">had inadevertently </w:t>
      </w:r>
      <w:r w:rsidRPr="00D14D54">
        <w:t>not include</w:t>
      </w:r>
      <w:r w:rsidR="00BD5BFC">
        <w:t>d</w:t>
      </w:r>
      <w:r w:rsidRPr="00D14D54">
        <w:t xml:space="preserve"> the cash management agreement reporting requirements with the FERC-555 requirements.  </w:t>
      </w:r>
      <w:r w:rsidR="00BD5BFC">
        <w:t xml:space="preserve">In 2013, FERC submitted the requirements for OMB review and approval under a new collection number, </w:t>
      </w:r>
      <w:bookmarkStart w:id="0" w:name="_GoBack"/>
      <w:bookmarkEnd w:id="0"/>
      <w:r w:rsidR="00BD5BFC">
        <w:t>FERC-604.</w:t>
      </w:r>
    </w:p>
  </w:footnote>
  <w:footnote w:id="2">
    <w:p w14:paraId="60259E6B" w14:textId="77777777" w:rsidR="000541E0" w:rsidRPr="000451DC" w:rsidRDefault="000541E0" w:rsidP="00F1670E">
      <w:pPr>
        <w:pStyle w:val="FootnoteText"/>
      </w:pPr>
      <w:r w:rsidRPr="00F1670E">
        <w:rPr>
          <w:rStyle w:val="FootnoteReference"/>
          <w:b/>
          <w:vertAlign w:val="superscript"/>
        </w:rPr>
        <w:footnoteRef/>
      </w:r>
      <w:r w:rsidRPr="000451DC">
        <w:t xml:space="preserve"> </w:t>
      </w:r>
      <w:r w:rsidRPr="000451DC">
        <w:rPr>
          <w:u w:val="single"/>
        </w:rPr>
        <w:t>See</w:t>
      </w:r>
      <w:r w:rsidRPr="000451DC">
        <w:t xml:space="preserve"> 15 U.S.C. 717g (2000); 15 U.S.C. 717i (2000); 16 U.S.C. 825 (2000); 16 U.S.C. 825c (2000); 49 App. U.S.C. 20(1) (1988); 49 App. U.S.C. 20(5) (1988).</w:t>
      </w:r>
    </w:p>
  </w:footnote>
  <w:footnote w:id="3">
    <w:p w14:paraId="1E3B469D" w14:textId="77777777" w:rsidR="000541E0" w:rsidRPr="000451DC" w:rsidRDefault="000541E0" w:rsidP="00F1670E">
      <w:pPr>
        <w:pStyle w:val="FootnoteText"/>
      </w:pPr>
      <w:r w:rsidRPr="00F1670E">
        <w:rPr>
          <w:rStyle w:val="FootnoteReference"/>
          <w:b/>
          <w:vertAlign w:val="superscript"/>
        </w:rPr>
        <w:footnoteRef/>
      </w:r>
      <w:r w:rsidRPr="000451DC">
        <w:t xml:space="preserve"> 15 U.S.C. 717g (2000).</w:t>
      </w:r>
    </w:p>
  </w:footnote>
  <w:footnote w:id="4">
    <w:p w14:paraId="6310C369" w14:textId="77777777" w:rsidR="000541E0" w:rsidRPr="000451DC" w:rsidRDefault="000541E0" w:rsidP="00F1670E">
      <w:pPr>
        <w:pStyle w:val="FootnoteText"/>
      </w:pPr>
      <w:r w:rsidRPr="00F1670E">
        <w:rPr>
          <w:rStyle w:val="FootnoteReference"/>
          <w:b/>
          <w:vertAlign w:val="superscript"/>
        </w:rPr>
        <w:footnoteRef/>
      </w:r>
      <w:r w:rsidRPr="000451DC">
        <w:t xml:space="preserve"> 15 U.S.C. 717i (2000).</w:t>
      </w:r>
    </w:p>
  </w:footnote>
  <w:footnote w:id="5">
    <w:p w14:paraId="15256CD6" w14:textId="77777777" w:rsidR="000541E0" w:rsidRPr="000451DC" w:rsidRDefault="000541E0" w:rsidP="00F1670E">
      <w:pPr>
        <w:pStyle w:val="FootnoteText"/>
      </w:pPr>
      <w:r w:rsidRPr="000451DC">
        <w:rPr>
          <w:rStyle w:val="FootnoteReference"/>
          <w:b/>
          <w:vertAlign w:val="superscript"/>
        </w:rPr>
        <w:footnoteRef/>
      </w:r>
      <w:r w:rsidRPr="000451DC">
        <w:t xml:space="preserve"> 16 U.S.C. 825 (2000).</w:t>
      </w:r>
    </w:p>
  </w:footnote>
  <w:footnote w:id="6">
    <w:p w14:paraId="57CD117A" w14:textId="77777777" w:rsidR="000541E0" w:rsidRPr="000451DC" w:rsidRDefault="000541E0" w:rsidP="00F1670E">
      <w:pPr>
        <w:pStyle w:val="FootnoteText"/>
      </w:pPr>
      <w:r w:rsidRPr="000451DC">
        <w:rPr>
          <w:rStyle w:val="FootnoteReference"/>
          <w:b/>
          <w:vertAlign w:val="superscript"/>
        </w:rPr>
        <w:footnoteRef/>
      </w:r>
      <w:r w:rsidRPr="000451DC">
        <w:t xml:space="preserve"> 16 U.S.C. 825c (2000).</w:t>
      </w:r>
    </w:p>
  </w:footnote>
  <w:footnote w:id="7">
    <w:p w14:paraId="712456F3" w14:textId="77777777" w:rsidR="000541E0" w:rsidRPr="000451DC" w:rsidRDefault="000541E0" w:rsidP="00F1670E">
      <w:pPr>
        <w:pStyle w:val="FootnoteText"/>
      </w:pPr>
      <w:r w:rsidRPr="000451DC">
        <w:rPr>
          <w:rStyle w:val="FootnoteReference"/>
          <w:b/>
          <w:vertAlign w:val="superscript"/>
        </w:rPr>
        <w:footnoteRef/>
      </w:r>
      <w:r w:rsidRPr="000451DC">
        <w:t xml:space="preserve"> 49 App. U.S.C. 20(1) (1988).  </w:t>
      </w:r>
    </w:p>
  </w:footnote>
  <w:footnote w:id="8">
    <w:p w14:paraId="1A289C1E" w14:textId="77777777" w:rsidR="000541E0" w:rsidRPr="000451DC" w:rsidRDefault="000541E0" w:rsidP="00F1670E">
      <w:pPr>
        <w:pStyle w:val="FootnoteText"/>
      </w:pPr>
      <w:r w:rsidRPr="000451DC">
        <w:rPr>
          <w:rStyle w:val="FootnoteReference"/>
          <w:b/>
          <w:vertAlign w:val="superscript"/>
        </w:rPr>
        <w:footnoteRef/>
      </w:r>
      <w:r w:rsidRPr="000451DC">
        <w:t xml:space="preserve"> 49 App.U.S.C. 20(5) (1988).</w:t>
      </w:r>
    </w:p>
  </w:footnote>
  <w:footnote w:id="9">
    <w:p w14:paraId="22F9FDD9" w14:textId="77777777" w:rsidR="000541E0" w:rsidRPr="000451DC" w:rsidRDefault="000541E0" w:rsidP="00F1670E">
      <w:pPr>
        <w:pStyle w:val="FootnoteText"/>
      </w:pPr>
      <w:r w:rsidRPr="000451DC">
        <w:rPr>
          <w:rStyle w:val="FootnoteReference"/>
          <w:b/>
          <w:vertAlign w:val="superscript"/>
        </w:rPr>
        <w:footnoteRef/>
      </w:r>
      <w:r w:rsidRPr="000451DC">
        <w:rPr>
          <w:u w:val="single"/>
        </w:rPr>
        <w:t>See</w:t>
      </w:r>
      <w:r w:rsidRPr="000451DC">
        <w:t xml:space="preserve"> FPA Sections 205 and 206, NGA Sections 4 and 5, and ICA Title 49 App. Sections 1(5) and 15(1).  </w:t>
      </w:r>
    </w:p>
  </w:footnote>
  <w:footnote w:id="10">
    <w:p w14:paraId="18216F1D" w14:textId="0118DA7E" w:rsidR="00BB6095" w:rsidRPr="00E138E1" w:rsidRDefault="00BB6095" w:rsidP="00F1670E">
      <w:pPr>
        <w:pStyle w:val="FootnoteText"/>
      </w:pPr>
      <w:r w:rsidRPr="00F1670E">
        <w:rPr>
          <w:rStyle w:val="FootnoteReference"/>
          <w:b/>
          <w:vertAlign w:val="superscript"/>
        </w:rPr>
        <w:footnoteRef/>
      </w:r>
      <w:r w:rsidRPr="00E138E1">
        <w:rPr>
          <w:vertAlign w:val="superscript"/>
        </w:rPr>
        <w:t xml:space="preserve"> </w:t>
      </w:r>
      <w:r w:rsidR="00CB3EA0">
        <w:t>81</w:t>
      </w:r>
      <w:r w:rsidRPr="00E138E1">
        <w:t xml:space="preserve"> FR </w:t>
      </w:r>
      <w:r w:rsidR="000541E0">
        <w:t>54574</w:t>
      </w:r>
    </w:p>
  </w:footnote>
  <w:footnote w:id="11">
    <w:p w14:paraId="55B071AB" w14:textId="2EDD654B" w:rsidR="00BB6095" w:rsidRPr="00E138E1" w:rsidRDefault="00BB6095" w:rsidP="00F1670E">
      <w:pPr>
        <w:pStyle w:val="FootnoteText"/>
      </w:pPr>
      <w:r w:rsidRPr="00F1670E">
        <w:rPr>
          <w:rStyle w:val="FootnoteReference"/>
          <w:b/>
          <w:vertAlign w:val="superscript"/>
        </w:rPr>
        <w:footnoteRef/>
      </w:r>
      <w:r w:rsidRPr="00E138E1">
        <w:rPr>
          <w:vertAlign w:val="superscript"/>
        </w:rPr>
        <w:t xml:space="preserve"> </w:t>
      </w:r>
      <w:r w:rsidR="00CB3EA0">
        <w:t xml:space="preserve">81 </w:t>
      </w:r>
      <w:r w:rsidR="00CB3EA0" w:rsidRPr="000C21B6">
        <w:t xml:space="preserve">FR </w:t>
      </w:r>
      <w:r w:rsidR="000C21B6" w:rsidRPr="000C21B6">
        <w:t>73092</w:t>
      </w:r>
    </w:p>
  </w:footnote>
  <w:footnote w:id="12">
    <w:p w14:paraId="59D9B6FE" w14:textId="77777777" w:rsidR="000541E0" w:rsidRPr="000451DC" w:rsidRDefault="000541E0" w:rsidP="00F1670E">
      <w:pPr>
        <w:pStyle w:val="FootnoteText"/>
      </w:pPr>
      <w:r w:rsidRPr="00F1670E">
        <w:rPr>
          <w:rStyle w:val="FootnoteReference"/>
          <w:b/>
          <w:vertAlign w:val="superscript"/>
        </w:rPr>
        <w:footnoteRef/>
      </w:r>
      <w:r w:rsidRPr="000451DC">
        <w:t xml:space="preserve"> </w:t>
      </w:r>
      <w:r w:rsidRPr="000451DC">
        <w:rPr>
          <w:u w:val="single"/>
        </w:rPr>
        <w:t>See</w:t>
      </w:r>
      <w:r w:rsidRPr="000451DC">
        <w:t xml:space="preserve"> 18 C.F.R. § 388.112(c)(2003)</w:t>
      </w:r>
    </w:p>
  </w:footnote>
  <w:footnote w:id="13">
    <w:p w14:paraId="78FCCEF7" w14:textId="77777777" w:rsidR="00D14D54" w:rsidRPr="00964732" w:rsidRDefault="00D14D54" w:rsidP="00F1670E">
      <w:pPr>
        <w:pStyle w:val="FootnoteText"/>
      </w:pPr>
      <w:r w:rsidRPr="00F1670E">
        <w:rPr>
          <w:rStyle w:val="FootnoteReference"/>
          <w:b/>
          <w:vertAlign w:val="superscript"/>
        </w:rPr>
        <w:footnoteRef/>
      </w:r>
      <w:r w:rsidRPr="00F1670E">
        <w:rPr>
          <w:b/>
          <w:vertAlign w:val="superscript"/>
        </w:rPr>
        <w:t xml:space="preserve"> </w:t>
      </w:r>
      <w:r w:rsidRPr="00964732">
        <w:t xml:space="preserve">The estimates for cost per response are derived using the following formula: Average Burden Hours per Response * </w:t>
      </w:r>
      <w:r>
        <w:t>$</w:t>
      </w:r>
      <w:r w:rsidRPr="00964732">
        <w:t>74.50 per Hour = Average Cost per Response.</w:t>
      </w:r>
      <w:r>
        <w:t xml:space="preserve"> </w:t>
      </w:r>
      <w:r w:rsidRPr="008F4977">
        <w:t>The Commission staff believes that the industry’s level and skill set is comparable to FERC</w:t>
      </w:r>
      <w:r>
        <w:t>’s with an average hourly cost (wages plus benefits) of $74.50</w:t>
      </w:r>
      <w:r w:rsidRPr="008F4977">
        <w:t>.</w:t>
      </w:r>
    </w:p>
  </w:footnote>
  <w:footnote w:id="14">
    <w:p w14:paraId="758C714B" w14:textId="1C0A2463" w:rsidR="00EF40FF" w:rsidRPr="00E138E1" w:rsidRDefault="00EF40FF" w:rsidP="00F1670E">
      <w:pPr>
        <w:rPr>
          <w:sz w:val="20"/>
          <w:szCs w:val="20"/>
        </w:rPr>
      </w:pPr>
      <w:r w:rsidRPr="00F1670E">
        <w:rPr>
          <w:rStyle w:val="FootnoteReference"/>
          <w:b/>
          <w:sz w:val="20"/>
          <w:szCs w:val="20"/>
          <w:vertAlign w:val="superscript"/>
        </w:rPr>
        <w:footnoteRef/>
      </w:r>
      <w:r w:rsidR="006441AD" w:rsidRPr="00F1670E">
        <w:rPr>
          <w:b/>
          <w:sz w:val="20"/>
          <w:szCs w:val="20"/>
        </w:rPr>
        <w:t xml:space="preserve"> </w:t>
      </w:r>
      <w:r w:rsidR="006441AD">
        <w:rPr>
          <w:sz w:val="20"/>
          <w:szCs w:val="20"/>
        </w:rPr>
        <w:t>Based upon 2016</w:t>
      </w:r>
      <w:r w:rsidRPr="00E138E1">
        <w:rPr>
          <w:sz w:val="20"/>
          <w:szCs w:val="20"/>
        </w:rPr>
        <w:t xml:space="preserve"> FTE average </w:t>
      </w:r>
      <w:r w:rsidR="00ED3A92">
        <w:rPr>
          <w:sz w:val="20"/>
          <w:szCs w:val="20"/>
        </w:rPr>
        <w:t xml:space="preserve">annual </w:t>
      </w:r>
      <w:r w:rsidRPr="00E138E1">
        <w:rPr>
          <w:sz w:val="20"/>
          <w:szCs w:val="20"/>
        </w:rPr>
        <w:t>s</w:t>
      </w:r>
      <w:r w:rsidR="006441AD">
        <w:rPr>
          <w:sz w:val="20"/>
          <w:szCs w:val="20"/>
        </w:rPr>
        <w:t>alary plus benefits ($154,647</w:t>
      </w:r>
      <w:r w:rsidRPr="00E138E1">
        <w:rPr>
          <w:sz w:val="20"/>
          <w:szCs w:val="20"/>
        </w:rPr>
        <w:t>).</w:t>
      </w:r>
    </w:p>
  </w:footnote>
  <w:footnote w:id="15">
    <w:p w14:paraId="27E34FC5" w14:textId="77777777" w:rsidR="00EF40FF" w:rsidRPr="00E138E1" w:rsidRDefault="00EF40FF" w:rsidP="00F1670E">
      <w:pPr>
        <w:pStyle w:val="FootnoteText"/>
      </w:pPr>
      <w:r w:rsidRPr="00F1670E">
        <w:rPr>
          <w:rStyle w:val="FootnoteReference"/>
          <w:b/>
          <w:vertAlign w:val="superscript"/>
        </w:rPr>
        <w:footnoteRef/>
      </w:r>
      <w:r w:rsidRPr="00E138E1">
        <w:rPr>
          <w:vertAlign w:val="superscript"/>
        </w:rPr>
        <w:t xml:space="preserve"> </w:t>
      </w:r>
      <w:r w:rsidRPr="00E138E1">
        <w:t>Paperwork Reduction Act of 1995 (PRA).</w:t>
      </w:r>
    </w:p>
  </w:footnote>
  <w:footnote w:id="16">
    <w:p w14:paraId="5678066A" w14:textId="0C79C1DC" w:rsidR="00EF40FF" w:rsidRPr="00E138E1" w:rsidRDefault="00EF40FF" w:rsidP="00F1670E">
      <w:pPr>
        <w:pStyle w:val="FootnoteText"/>
      </w:pPr>
      <w:r w:rsidRPr="00F1670E">
        <w:rPr>
          <w:rStyle w:val="FootnoteReference"/>
          <w:b/>
          <w:vertAlign w:val="superscript"/>
        </w:rPr>
        <w:footnoteRef/>
      </w:r>
      <w:r w:rsidRPr="00E138E1">
        <w:rPr>
          <w:vertAlign w:val="superscript"/>
        </w:rPr>
        <w:t xml:space="preserve"> </w:t>
      </w:r>
      <w:r w:rsidR="00860C58" w:rsidRPr="00CA20F9">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28C5" w14:textId="1F3C1048" w:rsidR="003A5BA7" w:rsidRDefault="007F788C">
    <w:pPr>
      <w:pStyle w:val="Header"/>
    </w:pPr>
    <w:r>
      <w:t>FERC-604</w:t>
    </w:r>
    <w:r w:rsidR="00703122">
      <w:t xml:space="preserve"> (OMB </w:t>
    </w:r>
    <w:r>
      <w:t>Control No. 1902-0267</w:t>
    </w:r>
    <w:r w:rsidR="00703122">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D"/>
    <w:rsid w:val="00021084"/>
    <w:rsid w:val="000218B7"/>
    <w:rsid w:val="00042ECE"/>
    <w:rsid w:val="000541E0"/>
    <w:rsid w:val="000806CF"/>
    <w:rsid w:val="0009152C"/>
    <w:rsid w:val="000969B5"/>
    <w:rsid w:val="000C21B6"/>
    <w:rsid w:val="000C5C56"/>
    <w:rsid w:val="000D0EEE"/>
    <w:rsid w:val="000F53A6"/>
    <w:rsid w:val="0011793D"/>
    <w:rsid w:val="001352B5"/>
    <w:rsid w:val="00147917"/>
    <w:rsid w:val="00181B4A"/>
    <w:rsid w:val="00184AC4"/>
    <w:rsid w:val="001922FC"/>
    <w:rsid w:val="00192A85"/>
    <w:rsid w:val="001A07E0"/>
    <w:rsid w:val="001B1350"/>
    <w:rsid w:val="001B6647"/>
    <w:rsid w:val="001C042A"/>
    <w:rsid w:val="001D1355"/>
    <w:rsid w:val="001D2EC1"/>
    <w:rsid w:val="001E6D2B"/>
    <w:rsid w:val="001F3ADE"/>
    <w:rsid w:val="001F42E7"/>
    <w:rsid w:val="001F60CC"/>
    <w:rsid w:val="001F703D"/>
    <w:rsid w:val="002000AA"/>
    <w:rsid w:val="0021208A"/>
    <w:rsid w:val="002142A2"/>
    <w:rsid w:val="0024137A"/>
    <w:rsid w:val="00250B5D"/>
    <w:rsid w:val="002565F8"/>
    <w:rsid w:val="002643FB"/>
    <w:rsid w:val="00267F92"/>
    <w:rsid w:val="002766FC"/>
    <w:rsid w:val="00295C38"/>
    <w:rsid w:val="002A2B8E"/>
    <w:rsid w:val="002B0890"/>
    <w:rsid w:val="002B4900"/>
    <w:rsid w:val="002D5138"/>
    <w:rsid w:val="002F353A"/>
    <w:rsid w:val="00307F28"/>
    <w:rsid w:val="0032225E"/>
    <w:rsid w:val="00342459"/>
    <w:rsid w:val="003431A7"/>
    <w:rsid w:val="0035481D"/>
    <w:rsid w:val="003A4AD2"/>
    <w:rsid w:val="003A6A4F"/>
    <w:rsid w:val="003B7DB9"/>
    <w:rsid w:val="003C429A"/>
    <w:rsid w:val="003D3487"/>
    <w:rsid w:val="00426B6E"/>
    <w:rsid w:val="00432DA3"/>
    <w:rsid w:val="004445CE"/>
    <w:rsid w:val="004472EB"/>
    <w:rsid w:val="00454D32"/>
    <w:rsid w:val="004970F6"/>
    <w:rsid w:val="004B0930"/>
    <w:rsid w:val="004D6DEB"/>
    <w:rsid w:val="004F7BFA"/>
    <w:rsid w:val="00506697"/>
    <w:rsid w:val="005240A1"/>
    <w:rsid w:val="00541938"/>
    <w:rsid w:val="00545B62"/>
    <w:rsid w:val="00560503"/>
    <w:rsid w:val="00592E82"/>
    <w:rsid w:val="00593CC7"/>
    <w:rsid w:val="005C5DE2"/>
    <w:rsid w:val="005C6866"/>
    <w:rsid w:val="005C6964"/>
    <w:rsid w:val="005D6791"/>
    <w:rsid w:val="005F62ED"/>
    <w:rsid w:val="00607DF1"/>
    <w:rsid w:val="00614D21"/>
    <w:rsid w:val="006441AD"/>
    <w:rsid w:val="0064706B"/>
    <w:rsid w:val="006A1A2E"/>
    <w:rsid w:val="006A6928"/>
    <w:rsid w:val="006B0369"/>
    <w:rsid w:val="006C0F70"/>
    <w:rsid w:val="006C1E96"/>
    <w:rsid w:val="006E61A4"/>
    <w:rsid w:val="00703122"/>
    <w:rsid w:val="00714117"/>
    <w:rsid w:val="00730509"/>
    <w:rsid w:val="0075420C"/>
    <w:rsid w:val="007544A8"/>
    <w:rsid w:val="007625CD"/>
    <w:rsid w:val="007722E7"/>
    <w:rsid w:val="00785BAA"/>
    <w:rsid w:val="00790DB8"/>
    <w:rsid w:val="007B025D"/>
    <w:rsid w:val="007D3EF2"/>
    <w:rsid w:val="007E19EB"/>
    <w:rsid w:val="007F788C"/>
    <w:rsid w:val="00803D8D"/>
    <w:rsid w:val="008060D2"/>
    <w:rsid w:val="0081220C"/>
    <w:rsid w:val="00851D29"/>
    <w:rsid w:val="00860C58"/>
    <w:rsid w:val="00865702"/>
    <w:rsid w:val="00867774"/>
    <w:rsid w:val="00870A54"/>
    <w:rsid w:val="00891C89"/>
    <w:rsid w:val="00893289"/>
    <w:rsid w:val="0089369D"/>
    <w:rsid w:val="008A38B5"/>
    <w:rsid w:val="008B1A17"/>
    <w:rsid w:val="008E2C0D"/>
    <w:rsid w:val="00907A71"/>
    <w:rsid w:val="0091154B"/>
    <w:rsid w:val="00933292"/>
    <w:rsid w:val="00957DA2"/>
    <w:rsid w:val="00980E8E"/>
    <w:rsid w:val="009B263A"/>
    <w:rsid w:val="009D6B6D"/>
    <w:rsid w:val="00A37A1E"/>
    <w:rsid w:val="00A57E47"/>
    <w:rsid w:val="00A61BDB"/>
    <w:rsid w:val="00A75D13"/>
    <w:rsid w:val="00A94615"/>
    <w:rsid w:val="00AA3F59"/>
    <w:rsid w:val="00AC0958"/>
    <w:rsid w:val="00AF3118"/>
    <w:rsid w:val="00AF66E0"/>
    <w:rsid w:val="00B11515"/>
    <w:rsid w:val="00B13159"/>
    <w:rsid w:val="00B4017A"/>
    <w:rsid w:val="00B61F02"/>
    <w:rsid w:val="00BA2EE0"/>
    <w:rsid w:val="00BB6095"/>
    <w:rsid w:val="00BC5BC5"/>
    <w:rsid w:val="00BD2A12"/>
    <w:rsid w:val="00BD4039"/>
    <w:rsid w:val="00BD5BFC"/>
    <w:rsid w:val="00BF493B"/>
    <w:rsid w:val="00C07FC8"/>
    <w:rsid w:val="00C12DC0"/>
    <w:rsid w:val="00C13C94"/>
    <w:rsid w:val="00C3086A"/>
    <w:rsid w:val="00C33FDE"/>
    <w:rsid w:val="00C604C0"/>
    <w:rsid w:val="00C651D2"/>
    <w:rsid w:val="00C7666C"/>
    <w:rsid w:val="00C909A2"/>
    <w:rsid w:val="00C97FEE"/>
    <w:rsid w:val="00CA5AF7"/>
    <w:rsid w:val="00CB3EA0"/>
    <w:rsid w:val="00CC615D"/>
    <w:rsid w:val="00D00D07"/>
    <w:rsid w:val="00D05C1E"/>
    <w:rsid w:val="00D14D54"/>
    <w:rsid w:val="00D26BE1"/>
    <w:rsid w:val="00D9097D"/>
    <w:rsid w:val="00D93813"/>
    <w:rsid w:val="00DA4553"/>
    <w:rsid w:val="00DE0C3A"/>
    <w:rsid w:val="00DE5423"/>
    <w:rsid w:val="00DE6B6F"/>
    <w:rsid w:val="00E138E1"/>
    <w:rsid w:val="00E16543"/>
    <w:rsid w:val="00E32773"/>
    <w:rsid w:val="00E355FA"/>
    <w:rsid w:val="00E40D6E"/>
    <w:rsid w:val="00E46B67"/>
    <w:rsid w:val="00E56439"/>
    <w:rsid w:val="00E76211"/>
    <w:rsid w:val="00E82BDC"/>
    <w:rsid w:val="00EA026E"/>
    <w:rsid w:val="00EB052D"/>
    <w:rsid w:val="00ED3A92"/>
    <w:rsid w:val="00EF40FF"/>
    <w:rsid w:val="00F14D3D"/>
    <w:rsid w:val="00F1670E"/>
    <w:rsid w:val="00F205D2"/>
    <w:rsid w:val="00F3663C"/>
    <w:rsid w:val="00F528CE"/>
    <w:rsid w:val="00F620F6"/>
    <w:rsid w:val="00F9384F"/>
    <w:rsid w:val="00FA33AC"/>
    <w:rsid w:val="00FA5F94"/>
    <w:rsid w:val="00FC7C5C"/>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F0AE0"/>
  <w15:docId w15:val="{D6EC3B21-BBB4-49FE-A6D9-D41BE7DF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604</_x0031__x002e__x0020_Collection_x0020_Number>
    <Date xmlns="d6eefc7d-9817-4fa6-84d5-3bc009be21b8">2016-10-26T00:00:00-04:00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IC16-14</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28AE-6DAC-4876-9557-9B350D67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3.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4.xml><?xml version="1.0" encoding="utf-8"?>
<ds:datastoreItem xmlns:ds="http://schemas.openxmlformats.org/officeDocument/2006/customXml" ds:itemID="{31AC678A-27A8-4A1F-8D0C-B3A31E55376D}">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d6eefc7d-9817-4fa6-84d5-3bc009be21b8"/>
  </ds:schemaRefs>
</ds:datastoreItem>
</file>

<file path=customXml/itemProps5.xml><?xml version="1.0" encoding="utf-8"?>
<ds:datastoreItem xmlns:ds="http://schemas.openxmlformats.org/officeDocument/2006/customXml" ds:itemID="{8F781FFC-977A-4D26-BF3A-0B144026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FERC-604 supporting statement</vt:lpstr>
    </vt:vector>
  </TitlesOfParts>
  <Company>Federal Energy Regulatory Commission</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FERC-604 supporting statement</dc:title>
  <dc:creator>Nishi Parekh</dc:creator>
  <cp:lastModifiedBy>Ellen Brown</cp:lastModifiedBy>
  <cp:revision>3</cp:revision>
  <cp:lastPrinted>2015-11-12T19:39:00Z</cp:lastPrinted>
  <dcterms:created xsi:type="dcterms:W3CDTF">2016-10-26T19:36:00Z</dcterms:created>
  <dcterms:modified xsi:type="dcterms:W3CDTF">2016-10-26T19:38:00Z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