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D33" w:rsidRDefault="004B020C" w:rsidP="007A422D">
      <w:pPr>
        <w:tabs>
          <w:tab w:val="left" w:pos="1530"/>
          <w:tab w:val="center" w:pos="4725"/>
        </w:tabs>
        <w:jc w:val="center"/>
        <w:rPr>
          <w:b/>
          <w:bCs/>
          <w:sz w:val="24"/>
        </w:rPr>
      </w:pPr>
      <w:bookmarkStart w:id="0" w:name="_GoBack"/>
      <w:bookmarkEnd w:id="0"/>
      <w:r>
        <w:rPr>
          <w:b/>
          <w:bCs/>
          <w:sz w:val="24"/>
        </w:rPr>
        <w:t>Department of Transportation</w:t>
      </w:r>
    </w:p>
    <w:p w:rsidR="004B020C" w:rsidRDefault="004B020C" w:rsidP="007A422D">
      <w:pPr>
        <w:jc w:val="center"/>
        <w:rPr>
          <w:b/>
          <w:bCs/>
          <w:sz w:val="24"/>
        </w:rPr>
      </w:pPr>
      <w:r>
        <w:rPr>
          <w:b/>
          <w:bCs/>
          <w:sz w:val="24"/>
        </w:rPr>
        <w:t>Office of the Chief Information Officer</w:t>
      </w:r>
    </w:p>
    <w:p w:rsidR="00774D33" w:rsidRDefault="00774D33" w:rsidP="007A422D">
      <w:pPr>
        <w:jc w:val="center"/>
        <w:rPr>
          <w:b/>
          <w:bCs/>
          <w:sz w:val="24"/>
        </w:rPr>
      </w:pPr>
    </w:p>
    <w:p w:rsidR="0081710F" w:rsidRDefault="0081710F" w:rsidP="007A422D">
      <w:pPr>
        <w:jc w:val="center"/>
        <w:rPr>
          <w:b/>
          <w:bCs/>
          <w:sz w:val="24"/>
        </w:rPr>
      </w:pPr>
    </w:p>
    <w:p w:rsidR="00D968F0" w:rsidRDefault="004B020C" w:rsidP="007A422D">
      <w:pPr>
        <w:tabs>
          <w:tab w:val="center" w:pos="5085"/>
          <w:tab w:val="left" w:pos="7725"/>
        </w:tabs>
        <w:jc w:val="center"/>
        <w:rPr>
          <w:b/>
          <w:bCs/>
          <w:sz w:val="24"/>
        </w:rPr>
      </w:pPr>
      <w:r>
        <w:rPr>
          <w:b/>
          <w:bCs/>
          <w:sz w:val="24"/>
        </w:rPr>
        <w:t>SUPPORTING STATEMENT</w:t>
      </w:r>
    </w:p>
    <w:p w:rsidR="00D968F0" w:rsidRDefault="00D968F0" w:rsidP="007A422D">
      <w:pPr>
        <w:pStyle w:val="Heading3"/>
        <w:rPr>
          <w:b/>
          <w:bCs/>
        </w:rPr>
      </w:pPr>
      <w:r>
        <w:rPr>
          <w:b/>
          <w:bCs/>
        </w:rPr>
        <w:t>Licensing Applications for Motor Carrier Operating Authority</w:t>
      </w:r>
    </w:p>
    <w:p w:rsidR="007A422D" w:rsidRPr="007A422D" w:rsidRDefault="007A422D" w:rsidP="007A422D">
      <w:pPr>
        <w:jc w:val="center"/>
        <w:rPr>
          <w:b/>
          <w:sz w:val="24"/>
        </w:rPr>
      </w:pPr>
      <w:r w:rsidRPr="007A422D">
        <w:rPr>
          <w:b/>
          <w:sz w:val="24"/>
        </w:rPr>
        <w:t>2126-0016</w:t>
      </w:r>
    </w:p>
    <w:p w:rsidR="003F3F69" w:rsidRDefault="003F3F69">
      <w:pPr>
        <w:rPr>
          <w:sz w:val="24"/>
        </w:rPr>
      </w:pPr>
    </w:p>
    <w:p w:rsidR="0081710F" w:rsidRDefault="0081710F">
      <w:pPr>
        <w:rPr>
          <w:sz w:val="24"/>
        </w:rPr>
      </w:pPr>
    </w:p>
    <w:p w:rsidR="007C75D9" w:rsidRDefault="008F1B09" w:rsidP="007C75D9">
      <w:pPr>
        <w:widowControl/>
        <w:autoSpaceDE/>
        <w:autoSpaceDN/>
        <w:adjustRightInd/>
        <w:rPr>
          <w:rFonts w:eastAsia="Calibri"/>
          <w:sz w:val="24"/>
        </w:rPr>
      </w:pPr>
      <w:r w:rsidRPr="008F1B09">
        <w:rPr>
          <w:b/>
          <w:sz w:val="24"/>
          <w:u w:val="single"/>
        </w:rPr>
        <w:t>Introduction</w:t>
      </w:r>
      <w:r w:rsidRPr="008F1B09">
        <w:rPr>
          <w:b/>
          <w:sz w:val="24"/>
        </w:rPr>
        <w:t>:</w:t>
      </w:r>
      <w:r>
        <w:rPr>
          <w:sz w:val="24"/>
        </w:rPr>
        <w:t xml:space="preserve">  </w:t>
      </w:r>
      <w:r w:rsidR="00D968F0">
        <w:rPr>
          <w:sz w:val="24"/>
        </w:rPr>
        <w:t>Th</w:t>
      </w:r>
      <w:r w:rsidR="00ED6F48">
        <w:rPr>
          <w:sz w:val="24"/>
        </w:rPr>
        <w:t xml:space="preserve">is </w:t>
      </w:r>
      <w:r w:rsidR="00870B2F">
        <w:rPr>
          <w:sz w:val="24"/>
        </w:rPr>
        <w:t xml:space="preserve">supporting statement </w:t>
      </w:r>
      <w:r w:rsidR="00E333F1">
        <w:rPr>
          <w:sz w:val="24"/>
        </w:rPr>
        <w:t xml:space="preserve">is </w:t>
      </w:r>
      <w:r w:rsidR="00870B2F">
        <w:rPr>
          <w:sz w:val="24"/>
        </w:rPr>
        <w:t xml:space="preserve">submitted </w:t>
      </w:r>
      <w:r w:rsidR="00E333F1">
        <w:rPr>
          <w:sz w:val="24"/>
        </w:rPr>
        <w:t xml:space="preserve">to request the Office of Management and Budget’s (OMB) approval </w:t>
      </w:r>
      <w:r w:rsidR="00ED6F48">
        <w:rPr>
          <w:sz w:val="24"/>
        </w:rPr>
        <w:t xml:space="preserve">for </w:t>
      </w:r>
      <w:r w:rsidR="000C6029">
        <w:rPr>
          <w:sz w:val="24"/>
        </w:rPr>
        <w:t xml:space="preserve">the </w:t>
      </w:r>
      <w:r w:rsidR="00870B2F">
        <w:rPr>
          <w:sz w:val="24"/>
        </w:rPr>
        <w:t>re</w:t>
      </w:r>
      <w:r w:rsidR="004252CC">
        <w:rPr>
          <w:sz w:val="24"/>
        </w:rPr>
        <w:t xml:space="preserve">newal </w:t>
      </w:r>
      <w:r w:rsidR="00ED6F48">
        <w:rPr>
          <w:sz w:val="24"/>
        </w:rPr>
        <w:t>of the OMB Control Number 2126-0016</w:t>
      </w:r>
      <w:r w:rsidR="00773898">
        <w:rPr>
          <w:sz w:val="24"/>
        </w:rPr>
        <w:t xml:space="preserve"> titled</w:t>
      </w:r>
      <w:r w:rsidR="00ED6F48">
        <w:rPr>
          <w:sz w:val="24"/>
        </w:rPr>
        <w:t xml:space="preserve">, </w:t>
      </w:r>
      <w:r w:rsidR="00774D33">
        <w:rPr>
          <w:sz w:val="24"/>
        </w:rPr>
        <w:t xml:space="preserve">“Licensing Applications for Motor Carrier Operating Authority,” </w:t>
      </w:r>
      <w:r w:rsidR="00ED6F48">
        <w:rPr>
          <w:sz w:val="24"/>
        </w:rPr>
        <w:t xml:space="preserve">information collection request (ICR), which is due to expire on </w:t>
      </w:r>
      <w:r w:rsidR="00B40CF9">
        <w:rPr>
          <w:sz w:val="24"/>
        </w:rPr>
        <w:t>October 31, 201</w:t>
      </w:r>
      <w:r w:rsidR="00216A26">
        <w:rPr>
          <w:sz w:val="24"/>
        </w:rPr>
        <w:t>6</w:t>
      </w:r>
      <w:r w:rsidR="00160E3A">
        <w:rPr>
          <w:sz w:val="24"/>
        </w:rPr>
        <w:t>.</w:t>
      </w:r>
      <w:r w:rsidR="00ED6F48">
        <w:rPr>
          <w:sz w:val="24"/>
        </w:rPr>
        <w:t xml:space="preserve"> </w:t>
      </w:r>
      <w:r w:rsidR="00806AB0">
        <w:rPr>
          <w:sz w:val="24"/>
        </w:rPr>
        <w:t xml:space="preserve"> </w:t>
      </w:r>
      <w:r w:rsidR="00AF1D49">
        <w:rPr>
          <w:sz w:val="24"/>
        </w:rPr>
        <w:t>This ICR is being re</w:t>
      </w:r>
      <w:r w:rsidR="004252CC">
        <w:rPr>
          <w:sz w:val="24"/>
        </w:rPr>
        <w:t>newed</w:t>
      </w:r>
      <w:r w:rsidR="00AF1D49">
        <w:rPr>
          <w:sz w:val="24"/>
        </w:rPr>
        <w:t xml:space="preserve"> due to a Final Rule title</w:t>
      </w:r>
      <w:r w:rsidR="00F65584">
        <w:rPr>
          <w:sz w:val="24"/>
        </w:rPr>
        <w:t>d</w:t>
      </w:r>
      <w:r w:rsidR="00AF1D49">
        <w:rPr>
          <w:sz w:val="24"/>
        </w:rPr>
        <w:t>, “Uni</w:t>
      </w:r>
      <w:r w:rsidR="008623FD">
        <w:rPr>
          <w:sz w:val="24"/>
        </w:rPr>
        <w:t>fi</w:t>
      </w:r>
      <w:r w:rsidR="00AF1D49">
        <w:rPr>
          <w:sz w:val="24"/>
        </w:rPr>
        <w:t>ed Registration System</w:t>
      </w:r>
      <w:r w:rsidR="000066DA">
        <w:rPr>
          <w:sz w:val="24"/>
        </w:rPr>
        <w:t>; Correction”</w:t>
      </w:r>
      <w:r w:rsidR="00773898">
        <w:rPr>
          <w:sz w:val="24"/>
        </w:rPr>
        <w:t xml:space="preserve"> </w:t>
      </w:r>
      <w:r w:rsidR="00AF1D49">
        <w:rPr>
          <w:sz w:val="24"/>
        </w:rPr>
        <w:t>(</w:t>
      </w:r>
      <w:r w:rsidR="000C6029">
        <w:rPr>
          <w:sz w:val="24"/>
        </w:rPr>
        <w:t>8</w:t>
      </w:r>
      <w:r w:rsidR="00ED3E92">
        <w:rPr>
          <w:sz w:val="24"/>
        </w:rPr>
        <w:t>1</w:t>
      </w:r>
      <w:r w:rsidR="00AF1D49">
        <w:rPr>
          <w:sz w:val="24"/>
        </w:rPr>
        <w:t xml:space="preserve"> FR </w:t>
      </w:r>
      <w:r w:rsidR="008A1CE9">
        <w:rPr>
          <w:sz w:val="24"/>
        </w:rPr>
        <w:t>49553</w:t>
      </w:r>
      <w:r w:rsidR="00AF1D49">
        <w:rPr>
          <w:sz w:val="24"/>
        </w:rPr>
        <w:t>) dated</w:t>
      </w:r>
      <w:r w:rsidR="00ED3E92">
        <w:rPr>
          <w:sz w:val="24"/>
        </w:rPr>
        <w:t xml:space="preserve"> July 28, 2016</w:t>
      </w:r>
      <w:r w:rsidR="009231BB">
        <w:rPr>
          <w:sz w:val="24"/>
        </w:rPr>
        <w:t>,</w:t>
      </w:r>
      <w:r w:rsidR="00ED3E92">
        <w:rPr>
          <w:sz w:val="24"/>
        </w:rPr>
        <w:t xml:space="preserve"> </w:t>
      </w:r>
      <w:r w:rsidR="0002678C">
        <w:rPr>
          <w:sz w:val="24"/>
        </w:rPr>
        <w:t>(Attachment A)</w:t>
      </w:r>
      <w:r w:rsidR="000C6029">
        <w:rPr>
          <w:sz w:val="24"/>
        </w:rPr>
        <w:t xml:space="preserve"> which changed the </w:t>
      </w:r>
      <w:r w:rsidR="004674D5">
        <w:rPr>
          <w:sz w:val="24"/>
        </w:rPr>
        <w:t>effective and compliance dates</w:t>
      </w:r>
      <w:r w:rsidR="000C6029">
        <w:rPr>
          <w:sz w:val="24"/>
        </w:rPr>
        <w:t xml:space="preserve"> for the </w:t>
      </w:r>
      <w:r w:rsidR="001978BB">
        <w:rPr>
          <w:sz w:val="24"/>
        </w:rPr>
        <w:t>on-line Unified Registration System (</w:t>
      </w:r>
      <w:r w:rsidR="000C6029">
        <w:rPr>
          <w:sz w:val="24"/>
        </w:rPr>
        <w:t>URS</w:t>
      </w:r>
      <w:r w:rsidR="001978BB">
        <w:rPr>
          <w:sz w:val="24"/>
        </w:rPr>
        <w:t>)</w:t>
      </w:r>
      <w:r w:rsidR="000C6029">
        <w:rPr>
          <w:sz w:val="24"/>
        </w:rPr>
        <w:t xml:space="preserve"> from </w:t>
      </w:r>
      <w:r w:rsidR="0024341A">
        <w:rPr>
          <w:sz w:val="24"/>
        </w:rPr>
        <w:t>September 30, 2016</w:t>
      </w:r>
      <w:r w:rsidR="009231BB">
        <w:rPr>
          <w:sz w:val="24"/>
        </w:rPr>
        <w:t>,</w:t>
      </w:r>
      <w:r w:rsidR="000C6029">
        <w:rPr>
          <w:sz w:val="24"/>
        </w:rPr>
        <w:t xml:space="preserve"> </w:t>
      </w:r>
      <w:r w:rsidR="00ED3E92">
        <w:rPr>
          <w:sz w:val="24"/>
        </w:rPr>
        <w:t xml:space="preserve">to </w:t>
      </w:r>
      <w:r w:rsidR="00FC59ED">
        <w:rPr>
          <w:sz w:val="24"/>
        </w:rPr>
        <w:t xml:space="preserve">January 14, 2017 as the effective date, and </w:t>
      </w:r>
      <w:r w:rsidR="00D86478">
        <w:rPr>
          <w:sz w:val="24"/>
        </w:rPr>
        <w:t xml:space="preserve">April </w:t>
      </w:r>
      <w:r w:rsidR="006A0E2E">
        <w:rPr>
          <w:sz w:val="24"/>
        </w:rPr>
        <w:t>14, 2017</w:t>
      </w:r>
      <w:r w:rsidR="00FC59ED">
        <w:rPr>
          <w:sz w:val="24"/>
        </w:rPr>
        <w:t>, as the date for full compliance</w:t>
      </w:r>
      <w:r w:rsidR="00773898">
        <w:rPr>
          <w:sz w:val="24"/>
        </w:rPr>
        <w:t>.</w:t>
      </w:r>
      <w:r w:rsidR="00F33269" w:rsidRPr="00C650C6">
        <w:rPr>
          <w:rStyle w:val="FootnoteReference"/>
          <w:sz w:val="24"/>
          <w:vertAlign w:val="superscript"/>
        </w:rPr>
        <w:footnoteReference w:id="1"/>
      </w:r>
      <w:r w:rsidR="00773898" w:rsidRPr="00C650C6">
        <w:rPr>
          <w:sz w:val="24"/>
          <w:vertAlign w:val="superscript"/>
        </w:rPr>
        <w:t xml:space="preserve"> </w:t>
      </w:r>
      <w:r w:rsidR="002B265A">
        <w:rPr>
          <w:sz w:val="24"/>
        </w:rPr>
        <w:t xml:space="preserve"> </w:t>
      </w:r>
      <w:r w:rsidR="0087124C">
        <w:rPr>
          <w:sz w:val="24"/>
        </w:rPr>
        <w:t>In t</w:t>
      </w:r>
      <w:r w:rsidR="00B7684F">
        <w:rPr>
          <w:sz w:val="24"/>
        </w:rPr>
        <w:t>his request</w:t>
      </w:r>
      <w:r w:rsidR="0091525D">
        <w:rPr>
          <w:sz w:val="24"/>
        </w:rPr>
        <w:t>, FMCSA is requesting that</w:t>
      </w:r>
      <w:r w:rsidR="009A2C50">
        <w:rPr>
          <w:sz w:val="24"/>
        </w:rPr>
        <w:t xml:space="preserve"> registration forms </w:t>
      </w:r>
      <w:r w:rsidR="009A2C50" w:rsidRPr="00924255">
        <w:rPr>
          <w:rFonts w:eastAsia="Calibri"/>
          <w:sz w:val="24"/>
        </w:rPr>
        <w:t>OP-1(NNA), OP-1(FF), OP-1, and OP-1(P)</w:t>
      </w:r>
      <w:r w:rsidR="0091525D">
        <w:rPr>
          <w:rFonts w:eastAsia="Calibri"/>
          <w:sz w:val="24"/>
        </w:rPr>
        <w:t>, (which will be</w:t>
      </w:r>
      <w:r w:rsidR="009A2C50">
        <w:rPr>
          <w:rFonts w:eastAsia="Calibri"/>
          <w:sz w:val="24"/>
        </w:rPr>
        <w:t xml:space="preserve"> </w:t>
      </w:r>
      <w:r w:rsidR="0087124C">
        <w:rPr>
          <w:rFonts w:eastAsia="Calibri"/>
          <w:sz w:val="24"/>
        </w:rPr>
        <w:t xml:space="preserve">incorporated </w:t>
      </w:r>
      <w:r w:rsidR="009A2C50">
        <w:rPr>
          <w:rFonts w:eastAsia="Calibri"/>
          <w:sz w:val="24"/>
        </w:rPr>
        <w:t xml:space="preserve">into new </w:t>
      </w:r>
      <w:r w:rsidR="0091525D">
        <w:rPr>
          <w:rFonts w:eastAsia="Calibri"/>
          <w:sz w:val="24"/>
        </w:rPr>
        <w:t xml:space="preserve">online </w:t>
      </w:r>
      <w:r w:rsidR="009A2C50">
        <w:rPr>
          <w:rFonts w:eastAsia="Calibri"/>
          <w:sz w:val="24"/>
        </w:rPr>
        <w:t>Form MCSA-1</w:t>
      </w:r>
      <w:r w:rsidR="0091525D">
        <w:rPr>
          <w:rFonts w:eastAsia="Calibri"/>
          <w:sz w:val="24"/>
        </w:rPr>
        <w:t>, covered under</w:t>
      </w:r>
      <w:r w:rsidR="009A2C50">
        <w:rPr>
          <w:rFonts w:eastAsia="Calibri"/>
          <w:sz w:val="24"/>
        </w:rPr>
        <w:t xml:space="preserve"> OMB Control Number 2126-00</w:t>
      </w:r>
      <w:r w:rsidR="007A422D">
        <w:rPr>
          <w:rFonts w:eastAsia="Calibri"/>
          <w:sz w:val="24"/>
        </w:rPr>
        <w:t>5</w:t>
      </w:r>
      <w:r w:rsidR="009A2C50">
        <w:rPr>
          <w:rFonts w:eastAsia="Calibri"/>
          <w:sz w:val="24"/>
        </w:rPr>
        <w:t>1 titled, “FMCSA Registration/Updates,” ICR</w:t>
      </w:r>
      <w:r w:rsidR="0091525D">
        <w:rPr>
          <w:rFonts w:eastAsia="Calibri"/>
          <w:sz w:val="24"/>
        </w:rPr>
        <w:t xml:space="preserve">) </w:t>
      </w:r>
      <w:r w:rsidR="00325CD9" w:rsidRPr="00325CD9">
        <w:rPr>
          <w:rFonts w:eastAsia="Calibri"/>
          <w:sz w:val="24"/>
        </w:rPr>
        <w:t>to account for revisions to the effective and im</w:t>
      </w:r>
      <w:r w:rsidR="00325CD9">
        <w:rPr>
          <w:rFonts w:eastAsia="Calibri"/>
          <w:sz w:val="24"/>
        </w:rPr>
        <w:t>plementation dates of the URS</w:t>
      </w:r>
      <w:r w:rsidR="00183EE3">
        <w:rPr>
          <w:rFonts w:eastAsia="Calibri"/>
          <w:sz w:val="24"/>
        </w:rPr>
        <w:t>,</w:t>
      </w:r>
      <w:r w:rsidR="00325CD9">
        <w:rPr>
          <w:rFonts w:eastAsia="Calibri"/>
          <w:sz w:val="24"/>
        </w:rPr>
        <w:t xml:space="preserve"> </w:t>
      </w:r>
      <w:r w:rsidR="00D86478">
        <w:rPr>
          <w:rFonts w:eastAsia="Calibri"/>
          <w:sz w:val="24"/>
        </w:rPr>
        <w:t xml:space="preserve">and that </w:t>
      </w:r>
      <w:r w:rsidR="00183EE3">
        <w:rPr>
          <w:rFonts w:eastAsia="Calibri"/>
          <w:sz w:val="24"/>
        </w:rPr>
        <w:t xml:space="preserve">the </w:t>
      </w:r>
      <w:r w:rsidR="00D86478">
        <w:rPr>
          <w:rFonts w:eastAsia="Calibri"/>
          <w:sz w:val="24"/>
        </w:rPr>
        <w:t>OP-1(MX)</w:t>
      </w:r>
      <w:r w:rsidR="00183EE3">
        <w:rPr>
          <w:rFonts w:eastAsia="Calibri"/>
          <w:sz w:val="24"/>
        </w:rPr>
        <w:t xml:space="preserve"> which will not be eliminated,</w:t>
      </w:r>
      <w:r w:rsidR="00D86478">
        <w:rPr>
          <w:rFonts w:eastAsia="Calibri"/>
          <w:sz w:val="24"/>
        </w:rPr>
        <w:t xml:space="preserve"> </w:t>
      </w:r>
      <w:r w:rsidR="00183EE3">
        <w:rPr>
          <w:rFonts w:eastAsia="Calibri"/>
          <w:sz w:val="24"/>
        </w:rPr>
        <w:t xml:space="preserve">continue to be effective  </w:t>
      </w:r>
      <w:r w:rsidR="00D86478">
        <w:rPr>
          <w:rFonts w:eastAsia="Calibri"/>
          <w:sz w:val="24"/>
        </w:rPr>
        <w:t xml:space="preserve">for the 3-year term until October </w:t>
      </w:r>
      <w:r w:rsidR="009231BB">
        <w:rPr>
          <w:rFonts w:eastAsia="Calibri"/>
          <w:sz w:val="24"/>
        </w:rPr>
        <w:t>31</w:t>
      </w:r>
      <w:r w:rsidR="00D86478">
        <w:rPr>
          <w:rFonts w:eastAsia="Calibri"/>
          <w:sz w:val="24"/>
        </w:rPr>
        <w:t>, 2019.</w:t>
      </w:r>
      <w:r w:rsidR="00325CD9" w:rsidRPr="00325CD9">
        <w:rPr>
          <w:rFonts w:eastAsia="Calibri"/>
          <w:sz w:val="24"/>
        </w:rPr>
        <w:t xml:space="preserve"> </w:t>
      </w:r>
    </w:p>
    <w:p w:rsidR="00594EFA" w:rsidRPr="000C6029" w:rsidRDefault="00594EFA">
      <w:pPr>
        <w:rPr>
          <w:sz w:val="24"/>
          <w:u w:val="single"/>
        </w:rPr>
      </w:pPr>
    </w:p>
    <w:p w:rsidR="008F1B09" w:rsidRPr="008F1B09" w:rsidRDefault="008F1B09" w:rsidP="007A422D">
      <w:pPr>
        <w:rPr>
          <w:b/>
          <w:sz w:val="24"/>
        </w:rPr>
      </w:pPr>
      <w:r w:rsidRPr="008F1B09">
        <w:rPr>
          <w:b/>
          <w:sz w:val="24"/>
          <w:u w:val="single"/>
        </w:rPr>
        <w:t xml:space="preserve">Part A.  </w:t>
      </w:r>
      <w:proofErr w:type="gramStart"/>
      <w:r w:rsidRPr="008F1B09">
        <w:rPr>
          <w:b/>
          <w:sz w:val="24"/>
          <w:u w:val="single"/>
        </w:rPr>
        <w:t>Justification</w:t>
      </w:r>
      <w:r w:rsidRPr="008F1B09">
        <w:rPr>
          <w:b/>
          <w:sz w:val="24"/>
        </w:rPr>
        <w:t>.</w:t>
      </w:r>
      <w:proofErr w:type="gramEnd"/>
    </w:p>
    <w:p w:rsidR="008F1B09" w:rsidRDefault="008F1B09">
      <w:pPr>
        <w:rPr>
          <w:sz w:val="24"/>
        </w:rPr>
      </w:pPr>
    </w:p>
    <w:p w:rsidR="00D968F0" w:rsidRDefault="00DA6270">
      <w:pPr>
        <w:rPr>
          <w:b/>
          <w:bCs/>
          <w:sz w:val="24"/>
        </w:rPr>
      </w:pPr>
      <w:r>
        <w:rPr>
          <w:b/>
          <w:bCs/>
          <w:sz w:val="24"/>
        </w:rPr>
        <w:t>1.</w:t>
      </w:r>
      <w:r w:rsidR="00D968F0">
        <w:rPr>
          <w:b/>
          <w:bCs/>
          <w:sz w:val="24"/>
        </w:rPr>
        <w:tab/>
        <w:t>Circumstances that make coll</w:t>
      </w:r>
      <w:r w:rsidR="00A15320">
        <w:rPr>
          <w:b/>
          <w:bCs/>
          <w:sz w:val="24"/>
        </w:rPr>
        <w:t>ection of information necessary</w:t>
      </w:r>
      <w:r w:rsidR="004252CC">
        <w:rPr>
          <w:b/>
          <w:bCs/>
          <w:sz w:val="24"/>
        </w:rPr>
        <w:t>:</w:t>
      </w:r>
    </w:p>
    <w:p w:rsidR="00D968F0" w:rsidRDefault="00D968F0">
      <w:pPr>
        <w:rPr>
          <w:sz w:val="24"/>
        </w:rPr>
      </w:pPr>
    </w:p>
    <w:p w:rsidR="00D968F0" w:rsidRDefault="00D968F0">
      <w:pPr>
        <w:rPr>
          <w:sz w:val="24"/>
        </w:rPr>
      </w:pPr>
      <w:r>
        <w:rPr>
          <w:sz w:val="24"/>
        </w:rPr>
        <w:t xml:space="preserve">The FMCSA registers </w:t>
      </w:r>
      <w:r w:rsidR="00E80AFB">
        <w:rPr>
          <w:sz w:val="24"/>
        </w:rPr>
        <w:t xml:space="preserve">certain </w:t>
      </w:r>
      <w:r>
        <w:rPr>
          <w:sz w:val="24"/>
        </w:rPr>
        <w:t xml:space="preserve">for-hire </w:t>
      </w:r>
      <w:r w:rsidR="00773898">
        <w:rPr>
          <w:sz w:val="24"/>
        </w:rPr>
        <w:t xml:space="preserve">Mexico-domiciled </w:t>
      </w:r>
      <w:r>
        <w:rPr>
          <w:sz w:val="24"/>
        </w:rPr>
        <w:t xml:space="preserve">motor carriers under 49 U.S.C. </w:t>
      </w:r>
      <w:r w:rsidR="00E1166B">
        <w:rPr>
          <w:sz w:val="24"/>
        </w:rPr>
        <w:t xml:space="preserve">§ </w:t>
      </w:r>
      <w:r>
        <w:rPr>
          <w:sz w:val="24"/>
        </w:rPr>
        <w:t>13902(c)</w:t>
      </w:r>
      <w:r w:rsidR="002A3790">
        <w:rPr>
          <w:sz w:val="24"/>
        </w:rPr>
        <w:t xml:space="preserve"> (Attachment </w:t>
      </w:r>
      <w:r w:rsidR="00673742">
        <w:rPr>
          <w:sz w:val="24"/>
        </w:rPr>
        <w:t>C</w:t>
      </w:r>
      <w:r w:rsidR="002A3790">
        <w:rPr>
          <w:sz w:val="24"/>
        </w:rPr>
        <w:t>)</w:t>
      </w:r>
      <w:r>
        <w:rPr>
          <w:sz w:val="24"/>
        </w:rPr>
        <w:t>.  These motor carriers may conduct transportation services in the United States only if they are registered</w:t>
      </w:r>
      <w:r w:rsidR="00E1166B">
        <w:rPr>
          <w:sz w:val="24"/>
        </w:rPr>
        <w:t xml:space="preserve"> with the FMCSA</w:t>
      </w:r>
      <w:r>
        <w:rPr>
          <w:sz w:val="24"/>
        </w:rPr>
        <w:t>.  Each registration is effective from the date specified and remains in effect for such period as the Secretary of Transportation (Secretary) determines by regulations.  The ICC Termination Act of 1995 (ICCTA), Public Law No. 104-88, 109 Stat. 803</w:t>
      </w:r>
      <w:r w:rsidR="004213CB">
        <w:rPr>
          <w:sz w:val="24"/>
        </w:rPr>
        <w:t xml:space="preserve"> (</w:t>
      </w:r>
      <w:r w:rsidR="00F87000">
        <w:rPr>
          <w:sz w:val="24"/>
        </w:rPr>
        <w:t>December 29, 1995</w:t>
      </w:r>
      <w:r w:rsidR="004213CB">
        <w:rPr>
          <w:sz w:val="24"/>
        </w:rPr>
        <w:t>)</w:t>
      </w:r>
      <w:r w:rsidR="002A3790">
        <w:rPr>
          <w:sz w:val="24"/>
        </w:rPr>
        <w:t xml:space="preserve"> (Attachment </w:t>
      </w:r>
      <w:r w:rsidR="0081710F">
        <w:rPr>
          <w:sz w:val="24"/>
        </w:rPr>
        <w:t>D</w:t>
      </w:r>
      <w:r w:rsidR="002A3790">
        <w:rPr>
          <w:sz w:val="24"/>
        </w:rPr>
        <w:t>)</w:t>
      </w:r>
      <w:r w:rsidR="00F87000">
        <w:rPr>
          <w:sz w:val="24"/>
        </w:rPr>
        <w:t xml:space="preserve">, </w:t>
      </w:r>
      <w:r>
        <w:rPr>
          <w:sz w:val="24"/>
        </w:rPr>
        <w:t xml:space="preserve">transferred this registration authority from </w:t>
      </w:r>
      <w:r>
        <w:rPr>
          <w:sz w:val="24"/>
        </w:rPr>
        <w:lastRenderedPageBreak/>
        <w:t xml:space="preserve">the former Interstate Commerce Commission (ICC) to the Secretary who subsequently delegated the registration function to the </w:t>
      </w:r>
      <w:r w:rsidR="00E1166B">
        <w:rPr>
          <w:sz w:val="24"/>
        </w:rPr>
        <w:t>Federal Highway Administration (</w:t>
      </w:r>
      <w:r>
        <w:rPr>
          <w:sz w:val="24"/>
        </w:rPr>
        <w:t>FHWA</w:t>
      </w:r>
      <w:r w:rsidR="00E1166B">
        <w:rPr>
          <w:sz w:val="24"/>
        </w:rPr>
        <w:t>)</w:t>
      </w:r>
      <w:r w:rsidR="00A94431">
        <w:rPr>
          <w:sz w:val="24"/>
        </w:rPr>
        <w:t xml:space="preserve"> (FMCSA’s predecessor agency)</w:t>
      </w:r>
      <w:r>
        <w:rPr>
          <w:sz w:val="24"/>
        </w:rPr>
        <w:t>, then to the FMCSA at the time that agency was created.</w:t>
      </w:r>
    </w:p>
    <w:p w:rsidR="0081710F" w:rsidRDefault="0081710F">
      <w:pPr>
        <w:rPr>
          <w:sz w:val="24"/>
        </w:rPr>
      </w:pPr>
    </w:p>
    <w:p w:rsidR="001978BB" w:rsidRDefault="001978BB" w:rsidP="001978BB">
      <w:pPr>
        <w:rPr>
          <w:sz w:val="24"/>
        </w:rPr>
      </w:pPr>
      <w:r w:rsidRPr="00803C93">
        <w:rPr>
          <w:sz w:val="24"/>
        </w:rPr>
        <w:t xml:space="preserve">On March 19, 2002, the FMCSA published an </w:t>
      </w:r>
      <w:r>
        <w:rPr>
          <w:sz w:val="24"/>
        </w:rPr>
        <w:t>i</w:t>
      </w:r>
      <w:r w:rsidRPr="00803C93">
        <w:rPr>
          <w:sz w:val="24"/>
        </w:rPr>
        <w:t xml:space="preserve">nterim </w:t>
      </w:r>
      <w:r>
        <w:rPr>
          <w:sz w:val="24"/>
        </w:rPr>
        <w:t>f</w:t>
      </w:r>
      <w:r w:rsidRPr="00803C93">
        <w:rPr>
          <w:sz w:val="24"/>
        </w:rPr>
        <w:t xml:space="preserve">inal </w:t>
      </w:r>
      <w:r>
        <w:rPr>
          <w:sz w:val="24"/>
        </w:rPr>
        <w:t>r</w:t>
      </w:r>
      <w:r w:rsidRPr="00803C93">
        <w:rPr>
          <w:sz w:val="24"/>
        </w:rPr>
        <w:t xml:space="preserve">ule </w:t>
      </w:r>
      <w:r>
        <w:rPr>
          <w:sz w:val="24"/>
        </w:rPr>
        <w:t xml:space="preserve">(IFR) </w:t>
      </w:r>
      <w:r w:rsidRPr="00803C93">
        <w:rPr>
          <w:sz w:val="24"/>
        </w:rPr>
        <w:t>at 67 FR 12702</w:t>
      </w:r>
      <w:r>
        <w:rPr>
          <w:sz w:val="24"/>
        </w:rPr>
        <w:t xml:space="preserve"> (Attachment </w:t>
      </w:r>
      <w:r w:rsidR="0081710F">
        <w:rPr>
          <w:sz w:val="24"/>
        </w:rPr>
        <w:t>E</w:t>
      </w:r>
      <w:r>
        <w:rPr>
          <w:sz w:val="24"/>
        </w:rPr>
        <w:t xml:space="preserve">) </w:t>
      </w:r>
      <w:r w:rsidRPr="00803C93">
        <w:rPr>
          <w:sz w:val="24"/>
        </w:rPr>
        <w:t>which proposed to amend 49 C</w:t>
      </w:r>
      <w:r w:rsidR="007A422D">
        <w:rPr>
          <w:sz w:val="24"/>
        </w:rPr>
        <w:t>.</w:t>
      </w:r>
      <w:r w:rsidRPr="00803C93">
        <w:rPr>
          <w:sz w:val="24"/>
        </w:rPr>
        <w:t>F</w:t>
      </w:r>
      <w:r w:rsidR="007A422D">
        <w:rPr>
          <w:sz w:val="24"/>
        </w:rPr>
        <w:t>.</w:t>
      </w:r>
      <w:r w:rsidRPr="00803C93">
        <w:rPr>
          <w:sz w:val="24"/>
        </w:rPr>
        <w:t>R</w:t>
      </w:r>
      <w:r w:rsidR="007A422D">
        <w:rPr>
          <w:sz w:val="24"/>
        </w:rPr>
        <w:t>.</w:t>
      </w:r>
      <w:r w:rsidRPr="00803C93">
        <w:rPr>
          <w:sz w:val="24"/>
        </w:rPr>
        <w:t xml:space="preserve"> </w:t>
      </w:r>
      <w:proofErr w:type="gramStart"/>
      <w:r>
        <w:rPr>
          <w:sz w:val="24"/>
        </w:rPr>
        <w:t>p</w:t>
      </w:r>
      <w:r w:rsidRPr="00803C93">
        <w:rPr>
          <w:sz w:val="24"/>
        </w:rPr>
        <w:t>art</w:t>
      </w:r>
      <w:proofErr w:type="gramEnd"/>
      <w:r w:rsidRPr="00803C93">
        <w:rPr>
          <w:sz w:val="24"/>
        </w:rPr>
        <w:t xml:space="preserve"> 365 and revise Form OP-1(MX).  Under the amended regulations, Mexico-domiciled </w:t>
      </w:r>
      <w:r>
        <w:rPr>
          <w:sz w:val="24"/>
        </w:rPr>
        <w:t xml:space="preserve">long-haul </w:t>
      </w:r>
      <w:r w:rsidRPr="00803C93">
        <w:rPr>
          <w:sz w:val="24"/>
        </w:rPr>
        <w:t xml:space="preserve">motor carriers seeking to operate within the United States beyond the </w:t>
      </w:r>
      <w:r>
        <w:rPr>
          <w:sz w:val="24"/>
        </w:rPr>
        <w:t xml:space="preserve">commercial </w:t>
      </w:r>
      <w:r w:rsidRPr="00803C93">
        <w:rPr>
          <w:sz w:val="24"/>
        </w:rPr>
        <w:t>border zones, including carriers that previously filed pending Form OP-1(MX) applications, would be required to submit the revised Form OP-1(MX).  Under the revised Form OP-1(MX), the FMCSA w</w:t>
      </w:r>
      <w:r>
        <w:rPr>
          <w:sz w:val="24"/>
        </w:rPr>
        <w:t>ould</w:t>
      </w:r>
      <w:r w:rsidRPr="00803C93">
        <w:rPr>
          <w:sz w:val="24"/>
        </w:rPr>
        <w:t xml:space="preserve"> collect more detailed information on an applicant motor carrier’s size, operations and history than could be collected </w:t>
      </w:r>
      <w:r>
        <w:rPr>
          <w:sz w:val="24"/>
        </w:rPr>
        <w:t xml:space="preserve">previously by </w:t>
      </w:r>
      <w:r w:rsidRPr="00803C93">
        <w:rPr>
          <w:sz w:val="24"/>
        </w:rPr>
        <w:t xml:space="preserve">using the </w:t>
      </w:r>
      <w:r>
        <w:rPr>
          <w:sz w:val="24"/>
        </w:rPr>
        <w:t xml:space="preserve">existing </w:t>
      </w:r>
      <w:r w:rsidRPr="00803C93">
        <w:rPr>
          <w:sz w:val="24"/>
        </w:rPr>
        <w:t>form.</w:t>
      </w:r>
    </w:p>
    <w:p w:rsidR="001978BB" w:rsidRDefault="001978BB" w:rsidP="001978BB">
      <w:pPr>
        <w:rPr>
          <w:sz w:val="24"/>
        </w:rPr>
      </w:pPr>
    </w:p>
    <w:p w:rsidR="00E80AFB" w:rsidRDefault="00E80AFB">
      <w:pPr>
        <w:rPr>
          <w:sz w:val="24"/>
        </w:rPr>
      </w:pPr>
      <w:r>
        <w:rPr>
          <w:sz w:val="24"/>
        </w:rPr>
        <w:t>The Final Rule titled, “</w:t>
      </w:r>
      <w:r w:rsidR="008623FD">
        <w:rPr>
          <w:sz w:val="24"/>
        </w:rPr>
        <w:t xml:space="preserve">Unified Registration System,” </w:t>
      </w:r>
      <w:r w:rsidR="00AB5C16">
        <w:rPr>
          <w:sz w:val="24"/>
        </w:rPr>
        <w:t>(78 FR 52608) dated August 23, 2013</w:t>
      </w:r>
      <w:r w:rsidR="00E143E8">
        <w:rPr>
          <w:sz w:val="24"/>
        </w:rPr>
        <w:t>,</w:t>
      </w:r>
      <w:r w:rsidR="0081710F">
        <w:rPr>
          <w:sz w:val="24"/>
        </w:rPr>
        <w:t xml:space="preserve"> </w:t>
      </w:r>
      <w:r w:rsidR="008623FD">
        <w:rPr>
          <w:sz w:val="24"/>
        </w:rPr>
        <w:t>implement</w:t>
      </w:r>
      <w:r w:rsidR="001978BB">
        <w:rPr>
          <w:sz w:val="24"/>
        </w:rPr>
        <w:t>ed</w:t>
      </w:r>
      <w:r w:rsidR="008623FD">
        <w:rPr>
          <w:sz w:val="24"/>
        </w:rPr>
        <w:t xml:space="preserve"> statutory provisions </w:t>
      </w:r>
      <w:r w:rsidR="001978BB">
        <w:rPr>
          <w:sz w:val="24"/>
        </w:rPr>
        <w:t xml:space="preserve">for an on-line registration system </w:t>
      </w:r>
      <w:r w:rsidR="008623FD">
        <w:rPr>
          <w:sz w:val="24"/>
        </w:rPr>
        <w:t>in the ICCTA</w:t>
      </w:r>
      <w:r w:rsidR="0081710F">
        <w:rPr>
          <w:sz w:val="24"/>
        </w:rPr>
        <w:t xml:space="preserve"> </w:t>
      </w:r>
      <w:r w:rsidR="008623FD">
        <w:rPr>
          <w:sz w:val="24"/>
        </w:rPr>
        <w:t>and the Safe, Accountable, Flexible, Efficient Transportation Equity Act: A Legacy for Users, 2005 (SAFETEA-LU).  The URS streamline</w:t>
      </w:r>
      <w:r w:rsidR="00F33269">
        <w:rPr>
          <w:sz w:val="24"/>
        </w:rPr>
        <w:t>s</w:t>
      </w:r>
      <w:r w:rsidR="008623FD">
        <w:rPr>
          <w:sz w:val="24"/>
        </w:rPr>
        <w:t xml:space="preserve"> the registration process and serve</w:t>
      </w:r>
      <w:r w:rsidR="00F33269">
        <w:rPr>
          <w:sz w:val="24"/>
        </w:rPr>
        <w:t>s</w:t>
      </w:r>
      <w:r w:rsidR="008623FD">
        <w:rPr>
          <w:sz w:val="24"/>
        </w:rPr>
        <w:t xml:space="preserve"> as a clearinghouse and </w:t>
      </w:r>
      <w:r w:rsidR="00773898">
        <w:rPr>
          <w:sz w:val="24"/>
        </w:rPr>
        <w:t>re</w:t>
      </w:r>
      <w:r w:rsidR="008623FD">
        <w:rPr>
          <w:sz w:val="24"/>
        </w:rPr>
        <w:t>pository of information on and identification of</w:t>
      </w:r>
      <w:r w:rsidR="001978BB">
        <w:rPr>
          <w:sz w:val="24"/>
        </w:rPr>
        <w:t xml:space="preserve"> </w:t>
      </w:r>
      <w:r w:rsidR="008623FD">
        <w:rPr>
          <w:sz w:val="24"/>
        </w:rPr>
        <w:t xml:space="preserve">motor carriers, brokers, freight forwarders, </w:t>
      </w:r>
      <w:r w:rsidR="00773898">
        <w:rPr>
          <w:sz w:val="24"/>
        </w:rPr>
        <w:t>intermodal equipment providers (</w:t>
      </w:r>
      <w:r w:rsidR="008623FD">
        <w:rPr>
          <w:sz w:val="24"/>
        </w:rPr>
        <w:t>IEPs</w:t>
      </w:r>
      <w:r w:rsidR="00773898">
        <w:rPr>
          <w:sz w:val="24"/>
        </w:rPr>
        <w:t>)</w:t>
      </w:r>
      <w:r w:rsidR="008623FD">
        <w:rPr>
          <w:sz w:val="24"/>
        </w:rPr>
        <w:t xml:space="preserve">, </w:t>
      </w:r>
      <w:r w:rsidR="00773898">
        <w:rPr>
          <w:sz w:val="24"/>
        </w:rPr>
        <w:t>hazardous materials safety permit (</w:t>
      </w:r>
      <w:r w:rsidR="008623FD">
        <w:rPr>
          <w:sz w:val="24"/>
        </w:rPr>
        <w:t>HMSP</w:t>
      </w:r>
      <w:r w:rsidR="00773898">
        <w:rPr>
          <w:sz w:val="24"/>
        </w:rPr>
        <w:t>)</w:t>
      </w:r>
      <w:r w:rsidR="008623FD">
        <w:rPr>
          <w:sz w:val="24"/>
        </w:rPr>
        <w:t xml:space="preserve"> applicants, and cargo tank facilities required to register with FMCSA.</w:t>
      </w:r>
      <w:r w:rsidR="000B5A3D">
        <w:rPr>
          <w:sz w:val="24"/>
        </w:rPr>
        <w:t xml:space="preserve">  This ICR previously covered registration requirements</w:t>
      </w:r>
      <w:r w:rsidR="00D05049">
        <w:rPr>
          <w:sz w:val="24"/>
        </w:rPr>
        <w:t xml:space="preserve"> </w:t>
      </w:r>
      <w:r w:rsidR="00F33269">
        <w:rPr>
          <w:sz w:val="24"/>
        </w:rPr>
        <w:t xml:space="preserve">for </w:t>
      </w:r>
      <w:r w:rsidR="00773898">
        <w:rPr>
          <w:sz w:val="24"/>
        </w:rPr>
        <w:t xml:space="preserve">non-exempt </w:t>
      </w:r>
      <w:r w:rsidR="000B5A3D">
        <w:rPr>
          <w:sz w:val="24"/>
        </w:rPr>
        <w:t>for-hire carriers, freight forwarders, and property brokers.  Under the URS, all forms</w:t>
      </w:r>
      <w:r w:rsidR="0091525D" w:rsidRPr="0091525D">
        <w:rPr>
          <w:sz w:val="24"/>
        </w:rPr>
        <w:t xml:space="preserve"> </w:t>
      </w:r>
      <w:r w:rsidR="0091525D">
        <w:rPr>
          <w:sz w:val="24"/>
        </w:rPr>
        <w:t>in this ICR</w:t>
      </w:r>
      <w:r w:rsidR="00773898">
        <w:rPr>
          <w:sz w:val="24"/>
        </w:rPr>
        <w:t>,</w:t>
      </w:r>
      <w:r w:rsidR="000B5A3D">
        <w:rPr>
          <w:sz w:val="24"/>
        </w:rPr>
        <w:t xml:space="preserve"> except the OP-1 (MX)</w:t>
      </w:r>
      <w:r w:rsidR="00773898">
        <w:rPr>
          <w:sz w:val="24"/>
        </w:rPr>
        <w:t>,</w:t>
      </w:r>
      <w:r w:rsidR="000B5A3D">
        <w:rPr>
          <w:sz w:val="24"/>
        </w:rPr>
        <w:t xml:space="preserve"> are folded into the Form MCSA-1 </w:t>
      </w:r>
      <w:r w:rsidR="00E143E8">
        <w:rPr>
          <w:sz w:val="24"/>
        </w:rPr>
        <w:t xml:space="preserve">under </w:t>
      </w:r>
      <w:r w:rsidR="000B5A3D">
        <w:rPr>
          <w:sz w:val="24"/>
        </w:rPr>
        <w:t>the OMB Control Number 2126-0051</w:t>
      </w:r>
      <w:r w:rsidR="00773898">
        <w:rPr>
          <w:sz w:val="24"/>
        </w:rPr>
        <w:t xml:space="preserve"> titled</w:t>
      </w:r>
      <w:r w:rsidR="000B5A3D">
        <w:rPr>
          <w:sz w:val="24"/>
        </w:rPr>
        <w:t>, “FMCSA Registration/Updates</w:t>
      </w:r>
      <w:r w:rsidR="00ED3E92">
        <w:rPr>
          <w:sz w:val="24"/>
        </w:rPr>
        <w:t>.”</w:t>
      </w:r>
      <w:r w:rsidR="00D05049">
        <w:rPr>
          <w:sz w:val="24"/>
        </w:rPr>
        <w:t xml:space="preserve"> </w:t>
      </w:r>
      <w:r w:rsidR="007A422D">
        <w:rPr>
          <w:sz w:val="24"/>
        </w:rPr>
        <w:t xml:space="preserve"> </w:t>
      </w:r>
      <w:r w:rsidR="00D05049">
        <w:rPr>
          <w:sz w:val="24"/>
        </w:rPr>
        <w:t>The Form OP-1(MX) w</w:t>
      </w:r>
      <w:r w:rsidR="000D531A">
        <w:rPr>
          <w:sz w:val="24"/>
        </w:rPr>
        <w:t>ould</w:t>
      </w:r>
      <w:r w:rsidR="00D05049">
        <w:rPr>
          <w:sz w:val="24"/>
        </w:rPr>
        <w:t xml:space="preserve"> be retained for the small number of Mexico-domiciled carriers that seek authority to operate beyond the United States municipalities on the United States-Mexico border and their commercial zones because they are not included within the scope of the URS rule.</w:t>
      </w:r>
    </w:p>
    <w:p w:rsidR="00E80AFB" w:rsidRDefault="00E80AFB">
      <w:pPr>
        <w:rPr>
          <w:sz w:val="24"/>
        </w:rPr>
      </w:pPr>
    </w:p>
    <w:p w:rsidR="00AB5C16" w:rsidRDefault="00AB5C16">
      <w:pPr>
        <w:rPr>
          <w:sz w:val="24"/>
        </w:rPr>
      </w:pPr>
      <w:r>
        <w:rPr>
          <w:sz w:val="24"/>
        </w:rPr>
        <w:t>The Final Rule titled, “Unified Registration System</w:t>
      </w:r>
      <w:r w:rsidR="000066DA">
        <w:rPr>
          <w:sz w:val="24"/>
        </w:rPr>
        <w:t>; Correction</w:t>
      </w:r>
      <w:r>
        <w:rPr>
          <w:sz w:val="24"/>
        </w:rPr>
        <w:t xml:space="preserve">” dated </w:t>
      </w:r>
      <w:r w:rsidR="0024341A">
        <w:rPr>
          <w:sz w:val="24"/>
        </w:rPr>
        <w:t>July 28, 2016</w:t>
      </w:r>
      <w:r w:rsidR="0081710F">
        <w:rPr>
          <w:sz w:val="24"/>
        </w:rPr>
        <w:t xml:space="preserve"> </w:t>
      </w:r>
      <w:r w:rsidR="004674D5">
        <w:rPr>
          <w:sz w:val="24"/>
        </w:rPr>
        <w:t xml:space="preserve">changed the effective and compliance dates </w:t>
      </w:r>
      <w:r>
        <w:rPr>
          <w:sz w:val="24"/>
        </w:rPr>
        <w:t xml:space="preserve">of the 2013 </w:t>
      </w:r>
      <w:r w:rsidR="000D531A">
        <w:rPr>
          <w:sz w:val="24"/>
        </w:rPr>
        <w:t>URS F</w:t>
      </w:r>
      <w:r>
        <w:rPr>
          <w:sz w:val="24"/>
        </w:rPr>
        <w:t xml:space="preserve">inal </w:t>
      </w:r>
      <w:r w:rsidR="000D531A">
        <w:rPr>
          <w:sz w:val="24"/>
        </w:rPr>
        <w:t>R</w:t>
      </w:r>
      <w:r>
        <w:rPr>
          <w:sz w:val="24"/>
        </w:rPr>
        <w:t>ule in order to allow FMCSA additional time to complete the information technology (IT) systems work required to fully implement that rule.  This revision will restore</w:t>
      </w:r>
      <w:r w:rsidR="00AA7A73">
        <w:rPr>
          <w:sz w:val="24"/>
        </w:rPr>
        <w:t xml:space="preserve"> the Forms OP-1, OP-1(P), OP-1(FF), and OP-1(NNA) to this ICR </w:t>
      </w:r>
      <w:r w:rsidR="000D531A">
        <w:rPr>
          <w:sz w:val="24"/>
        </w:rPr>
        <w:t xml:space="preserve">because </w:t>
      </w:r>
      <w:r w:rsidR="000D531A" w:rsidRPr="00924255">
        <w:rPr>
          <w:rFonts w:eastAsia="Calibri"/>
          <w:sz w:val="24"/>
        </w:rPr>
        <w:t xml:space="preserve">these forms </w:t>
      </w:r>
      <w:r w:rsidR="000D531A">
        <w:rPr>
          <w:rFonts w:eastAsia="Calibri"/>
          <w:sz w:val="24"/>
        </w:rPr>
        <w:t xml:space="preserve">are still </w:t>
      </w:r>
      <w:r w:rsidR="000D531A" w:rsidRPr="00924255">
        <w:rPr>
          <w:rFonts w:eastAsia="Calibri"/>
          <w:sz w:val="24"/>
        </w:rPr>
        <w:t xml:space="preserve">needed to support registration processes for entities </w:t>
      </w:r>
      <w:r w:rsidR="000D531A">
        <w:rPr>
          <w:rFonts w:eastAsia="Calibri"/>
          <w:sz w:val="24"/>
        </w:rPr>
        <w:t>subject to FMCSA’s regulations</w:t>
      </w:r>
      <w:r w:rsidR="00AA7A73">
        <w:rPr>
          <w:sz w:val="24"/>
        </w:rPr>
        <w:t>.</w:t>
      </w:r>
      <w:r w:rsidR="000D531A">
        <w:rPr>
          <w:sz w:val="24"/>
        </w:rPr>
        <w:t xml:space="preserve">  </w:t>
      </w:r>
      <w:r w:rsidR="000066DA" w:rsidRPr="000066DA">
        <w:rPr>
          <w:sz w:val="24"/>
        </w:rPr>
        <w:t xml:space="preserve">After </w:t>
      </w:r>
      <w:r w:rsidR="00F11199">
        <w:rPr>
          <w:sz w:val="24"/>
        </w:rPr>
        <w:t>full compliance</w:t>
      </w:r>
      <w:r w:rsidR="00AB4161">
        <w:rPr>
          <w:sz w:val="24"/>
        </w:rPr>
        <w:t>,</w:t>
      </w:r>
      <w:r w:rsidR="00F11199">
        <w:rPr>
          <w:sz w:val="24"/>
        </w:rPr>
        <w:t xml:space="preserve"> </w:t>
      </w:r>
      <w:r w:rsidR="00AB4161">
        <w:rPr>
          <w:sz w:val="24"/>
        </w:rPr>
        <w:t xml:space="preserve">scheduled for </w:t>
      </w:r>
      <w:r w:rsidR="00F11199">
        <w:rPr>
          <w:sz w:val="24"/>
        </w:rPr>
        <w:t>April</w:t>
      </w:r>
      <w:r w:rsidR="00F11199" w:rsidRPr="000066DA">
        <w:rPr>
          <w:sz w:val="24"/>
        </w:rPr>
        <w:t xml:space="preserve"> </w:t>
      </w:r>
      <w:r w:rsidR="000066DA" w:rsidRPr="000066DA">
        <w:rPr>
          <w:sz w:val="24"/>
        </w:rPr>
        <w:t>14, 2017,</w:t>
      </w:r>
      <w:r w:rsidR="000D531A">
        <w:rPr>
          <w:sz w:val="24"/>
        </w:rPr>
        <w:t xml:space="preserve"> all forms, except the OP-1 (MX), in this ICR will be folded into the Form MCSA-1 </w:t>
      </w:r>
      <w:r w:rsidR="00AB4161">
        <w:rPr>
          <w:sz w:val="24"/>
        </w:rPr>
        <w:t xml:space="preserve">under </w:t>
      </w:r>
      <w:r w:rsidR="000D531A">
        <w:rPr>
          <w:sz w:val="24"/>
        </w:rPr>
        <w:t>the OMB Control Number 2126-0051 titled, “FMCSA Registration/Updates</w:t>
      </w:r>
      <w:r w:rsidR="00F33269">
        <w:rPr>
          <w:sz w:val="24"/>
        </w:rPr>
        <w:t>.</w:t>
      </w:r>
      <w:r w:rsidR="000D531A">
        <w:rPr>
          <w:sz w:val="24"/>
        </w:rPr>
        <w:t>”</w:t>
      </w:r>
    </w:p>
    <w:p w:rsidR="00AB5C16" w:rsidRDefault="00AB5C16">
      <w:pPr>
        <w:rPr>
          <w:sz w:val="24"/>
        </w:rPr>
      </w:pPr>
    </w:p>
    <w:p w:rsidR="00D968F0" w:rsidRDefault="00D968F0">
      <w:pPr>
        <w:rPr>
          <w:b/>
          <w:bCs/>
          <w:sz w:val="24"/>
        </w:rPr>
      </w:pPr>
      <w:r>
        <w:rPr>
          <w:b/>
          <w:bCs/>
          <w:sz w:val="24"/>
        </w:rPr>
        <w:t>2.</w:t>
      </w:r>
      <w:r>
        <w:rPr>
          <w:b/>
          <w:bCs/>
          <w:sz w:val="24"/>
        </w:rPr>
        <w:tab/>
        <w:t xml:space="preserve">How, by whom, and for what </w:t>
      </w:r>
      <w:r w:rsidR="00A15320">
        <w:rPr>
          <w:b/>
          <w:bCs/>
          <w:sz w:val="24"/>
        </w:rPr>
        <w:t>purpose is the information used</w:t>
      </w:r>
      <w:r w:rsidR="004252CC">
        <w:rPr>
          <w:b/>
          <w:bCs/>
          <w:sz w:val="24"/>
        </w:rPr>
        <w:t>:</w:t>
      </w:r>
    </w:p>
    <w:p w:rsidR="00D968F0" w:rsidRPr="007A422D" w:rsidRDefault="00D968F0">
      <w:pPr>
        <w:rPr>
          <w:bCs/>
          <w:sz w:val="24"/>
        </w:rPr>
      </w:pPr>
    </w:p>
    <w:p w:rsidR="00D968F0" w:rsidRDefault="00D968F0">
      <w:pPr>
        <w:rPr>
          <w:sz w:val="24"/>
        </w:rPr>
      </w:pPr>
      <w:r>
        <w:rPr>
          <w:sz w:val="24"/>
        </w:rPr>
        <w:t xml:space="preserve">Data contained on the completed </w:t>
      </w:r>
      <w:r w:rsidR="001F2386">
        <w:rPr>
          <w:sz w:val="24"/>
        </w:rPr>
        <w:t>F</w:t>
      </w:r>
      <w:r>
        <w:rPr>
          <w:sz w:val="24"/>
        </w:rPr>
        <w:t>orm</w:t>
      </w:r>
      <w:r w:rsidR="00AA7A73">
        <w:rPr>
          <w:sz w:val="24"/>
        </w:rPr>
        <w:t>s OP-1, OP-1(P), OP-1(FF),</w:t>
      </w:r>
      <w:r>
        <w:rPr>
          <w:sz w:val="24"/>
        </w:rPr>
        <w:t xml:space="preserve"> OP-1(MX)</w:t>
      </w:r>
      <w:r w:rsidR="00AA7A73">
        <w:rPr>
          <w:sz w:val="24"/>
        </w:rPr>
        <w:t>, and OP-1(NNA)</w:t>
      </w:r>
      <w:r>
        <w:rPr>
          <w:sz w:val="24"/>
        </w:rPr>
        <w:t xml:space="preserve"> provide</w:t>
      </w:r>
      <w:r w:rsidR="00245FA4">
        <w:rPr>
          <w:sz w:val="24"/>
        </w:rPr>
        <w:t>s</w:t>
      </w:r>
      <w:r>
        <w:rPr>
          <w:sz w:val="24"/>
        </w:rPr>
        <w:t xml:space="preserve"> information to the FMCSA on the type of surface transportation operations which the registration applicant proposes to conduct.  </w:t>
      </w:r>
      <w:r w:rsidR="005B3323">
        <w:rPr>
          <w:sz w:val="24"/>
        </w:rPr>
        <w:t>In addition, t</w:t>
      </w:r>
      <w:r>
        <w:rPr>
          <w:sz w:val="24"/>
        </w:rPr>
        <w:t>he form</w:t>
      </w:r>
      <w:r w:rsidR="00AA7A73">
        <w:rPr>
          <w:sz w:val="24"/>
        </w:rPr>
        <w:t>s also</w:t>
      </w:r>
      <w:r w:rsidR="005B3323">
        <w:rPr>
          <w:sz w:val="24"/>
        </w:rPr>
        <w:t xml:space="preserve"> </w:t>
      </w:r>
      <w:r>
        <w:rPr>
          <w:sz w:val="24"/>
        </w:rPr>
        <w:t xml:space="preserve">enable FMCSA staff to make a determination concerning the level of insurance coverage which the applicant will be required to obtain to maintain its registration, the </w:t>
      </w:r>
      <w:r>
        <w:rPr>
          <w:color w:val="000000"/>
          <w:sz w:val="24"/>
        </w:rPr>
        <w:t>applicant’s</w:t>
      </w:r>
      <w:r>
        <w:rPr>
          <w:sz w:val="24"/>
        </w:rPr>
        <w:t xml:space="preserve"> familiarity with relevant safety requirements and its willingness to comply with those requirements </w:t>
      </w:r>
      <w:r w:rsidR="005B3323">
        <w:rPr>
          <w:sz w:val="24"/>
        </w:rPr>
        <w:t xml:space="preserve">during </w:t>
      </w:r>
      <w:r>
        <w:rPr>
          <w:sz w:val="24"/>
        </w:rPr>
        <w:t xml:space="preserve">its operations, and </w:t>
      </w:r>
      <w:r>
        <w:rPr>
          <w:sz w:val="24"/>
        </w:rPr>
        <w:lastRenderedPageBreak/>
        <w:t>applicant</w:t>
      </w:r>
      <w:r w:rsidRPr="006F2DD4">
        <w:rPr>
          <w:sz w:val="24"/>
        </w:rPr>
        <w:t>’</w:t>
      </w:r>
      <w:r>
        <w:rPr>
          <w:sz w:val="24"/>
        </w:rPr>
        <w:t>s ability to meet any specific statutory and regulatory requirements applicable to its particular proposed operations.</w:t>
      </w:r>
    </w:p>
    <w:p w:rsidR="00D968F0" w:rsidRDefault="00D968F0">
      <w:pPr>
        <w:rPr>
          <w:sz w:val="24"/>
        </w:rPr>
      </w:pPr>
    </w:p>
    <w:p w:rsidR="008C580E" w:rsidRDefault="00D968F0" w:rsidP="00C50026">
      <w:pPr>
        <w:rPr>
          <w:sz w:val="24"/>
        </w:rPr>
      </w:pPr>
      <w:r>
        <w:rPr>
          <w:sz w:val="24"/>
        </w:rPr>
        <w:t>Information on the form</w:t>
      </w:r>
      <w:r w:rsidR="00AA7A73">
        <w:rPr>
          <w:sz w:val="24"/>
        </w:rPr>
        <w:t>s</w:t>
      </w:r>
      <w:r>
        <w:rPr>
          <w:sz w:val="24"/>
        </w:rPr>
        <w:t xml:space="preserve"> is also used to prepare a notice of the registration application, which is published in the </w:t>
      </w:r>
      <w:r>
        <w:rPr>
          <w:color w:val="000000"/>
          <w:sz w:val="24"/>
        </w:rPr>
        <w:t>“</w:t>
      </w:r>
      <w:r>
        <w:rPr>
          <w:sz w:val="24"/>
        </w:rPr>
        <w:t>FMCSA Register.</w:t>
      </w:r>
      <w:r>
        <w:rPr>
          <w:color w:val="000000"/>
          <w:sz w:val="24"/>
        </w:rPr>
        <w:t>”</w:t>
      </w:r>
      <w:r>
        <w:rPr>
          <w:sz w:val="24"/>
        </w:rPr>
        <w:t xml:space="preserve">  </w:t>
      </w:r>
      <w:r w:rsidR="008C580E">
        <w:rPr>
          <w:sz w:val="24"/>
        </w:rPr>
        <w:t>Publication of this notice initiates a 10-day period during which an interested party may file a complaint seeking denial of the registration on a limited number of statutory grounds.</w:t>
      </w:r>
    </w:p>
    <w:p w:rsidR="008C580E" w:rsidRDefault="008C580E" w:rsidP="00C50026">
      <w:pPr>
        <w:rPr>
          <w:sz w:val="24"/>
        </w:rPr>
      </w:pPr>
    </w:p>
    <w:p w:rsidR="008C580E" w:rsidRDefault="008C580E" w:rsidP="00C50026">
      <w:pPr>
        <w:rPr>
          <w:sz w:val="24"/>
        </w:rPr>
      </w:pPr>
      <w:r>
        <w:rPr>
          <w:sz w:val="24"/>
        </w:rPr>
        <w:t>At the end of the 10-day period, the FMCSA will issue the registration authorizing surface transportation operations if no complaints have been filed; if</w:t>
      </w:r>
      <w:r w:rsidR="001C0EA0">
        <w:rPr>
          <w:sz w:val="24"/>
        </w:rPr>
        <w:t xml:space="preserve"> the</w:t>
      </w:r>
      <w:r>
        <w:rPr>
          <w:sz w:val="24"/>
        </w:rPr>
        <w:t xml:space="preserve"> applicant is willing and able to comply with all applicable statutory and regulatory provisions and safety fitness requirements; and if </w:t>
      </w:r>
      <w:r w:rsidR="001C0EA0">
        <w:rPr>
          <w:sz w:val="24"/>
        </w:rPr>
        <w:t xml:space="preserve">the </w:t>
      </w:r>
      <w:r>
        <w:rPr>
          <w:sz w:val="24"/>
        </w:rPr>
        <w:t>applicant has made the required insurance and process agent filings.</w:t>
      </w:r>
    </w:p>
    <w:p w:rsidR="007A422D" w:rsidRDefault="007A422D" w:rsidP="00C50026">
      <w:pPr>
        <w:rPr>
          <w:sz w:val="24"/>
        </w:rPr>
      </w:pPr>
    </w:p>
    <w:p w:rsidR="007A422D" w:rsidRDefault="00E67E20" w:rsidP="00C50026">
      <w:pPr>
        <w:rPr>
          <w:sz w:val="24"/>
        </w:rPr>
      </w:pPr>
      <w:r>
        <w:rPr>
          <w:sz w:val="24"/>
        </w:rPr>
        <w:t xml:space="preserve">For Form OP-1(MX) applications, such FMCSA publication will occur only after the motor carrier successfully completes the </w:t>
      </w:r>
      <w:r w:rsidR="005B3323">
        <w:rPr>
          <w:sz w:val="24"/>
        </w:rPr>
        <w:t>Pre-authorization Safety Audit (</w:t>
      </w:r>
      <w:r>
        <w:rPr>
          <w:sz w:val="24"/>
        </w:rPr>
        <w:t>PASA</w:t>
      </w:r>
      <w:r w:rsidR="005B3323">
        <w:rPr>
          <w:sz w:val="24"/>
        </w:rPr>
        <w:t>)</w:t>
      </w:r>
      <w:r>
        <w:rPr>
          <w:sz w:val="24"/>
        </w:rPr>
        <w:t xml:space="preserve"> and FMCSA approves the application.  Such publication of </w:t>
      </w:r>
      <w:r w:rsidR="005B3323">
        <w:rPr>
          <w:sz w:val="24"/>
        </w:rPr>
        <w:t xml:space="preserve">a summary of </w:t>
      </w:r>
      <w:r>
        <w:rPr>
          <w:sz w:val="24"/>
        </w:rPr>
        <w:t xml:space="preserve">the application as a preliminary grant of authority in the FMCSA Register is not an issuance of </w:t>
      </w:r>
      <w:r w:rsidR="005B3323">
        <w:rPr>
          <w:sz w:val="24"/>
        </w:rPr>
        <w:t xml:space="preserve">registration </w:t>
      </w:r>
      <w:r>
        <w:rPr>
          <w:sz w:val="24"/>
        </w:rPr>
        <w:t>authority, but notice to the public</w:t>
      </w:r>
      <w:r w:rsidR="00C50026">
        <w:rPr>
          <w:sz w:val="24"/>
        </w:rPr>
        <w:t xml:space="preserve"> to permit interested parties wishing to oppose the authority </w:t>
      </w:r>
      <w:r w:rsidR="007A422D">
        <w:rPr>
          <w:sz w:val="24"/>
        </w:rPr>
        <w:t>to submit a protest to FMCSA.</w:t>
      </w:r>
    </w:p>
    <w:p w:rsidR="007A422D" w:rsidRDefault="007A422D" w:rsidP="00C50026">
      <w:pPr>
        <w:rPr>
          <w:sz w:val="24"/>
        </w:rPr>
      </w:pPr>
    </w:p>
    <w:p w:rsidR="00E67E20" w:rsidRDefault="00C50026" w:rsidP="00C50026">
      <w:pPr>
        <w:rPr>
          <w:sz w:val="24"/>
        </w:rPr>
      </w:pPr>
      <w:r>
        <w:rPr>
          <w:sz w:val="24"/>
        </w:rPr>
        <w:t xml:space="preserve">A preliminary grant of authority cannot become effective </w:t>
      </w:r>
      <w:r w:rsidR="00981989">
        <w:rPr>
          <w:sz w:val="24"/>
        </w:rPr>
        <w:t xml:space="preserve">as an </w:t>
      </w:r>
      <w:r>
        <w:rPr>
          <w:sz w:val="24"/>
        </w:rPr>
        <w:t>active operating authority for a minimum of 10 days after publication.</w:t>
      </w:r>
    </w:p>
    <w:p w:rsidR="00CE0DF9" w:rsidRDefault="00CE0DF9">
      <w:pPr>
        <w:rPr>
          <w:sz w:val="24"/>
        </w:rPr>
      </w:pPr>
    </w:p>
    <w:p w:rsidR="00D968F0" w:rsidRDefault="00D968F0">
      <w:pPr>
        <w:rPr>
          <w:b/>
          <w:bCs/>
          <w:sz w:val="24"/>
        </w:rPr>
      </w:pPr>
      <w:r>
        <w:rPr>
          <w:b/>
          <w:bCs/>
          <w:sz w:val="24"/>
        </w:rPr>
        <w:t>3.</w:t>
      </w:r>
      <w:r>
        <w:rPr>
          <w:b/>
          <w:bCs/>
          <w:sz w:val="24"/>
        </w:rPr>
        <w:tab/>
        <w:t>Extent of au</w:t>
      </w:r>
      <w:r w:rsidR="00A15320">
        <w:rPr>
          <w:b/>
          <w:bCs/>
          <w:sz w:val="24"/>
        </w:rPr>
        <w:t>tomated information collections</w:t>
      </w:r>
      <w:r w:rsidR="004252CC">
        <w:rPr>
          <w:b/>
          <w:bCs/>
          <w:sz w:val="24"/>
        </w:rPr>
        <w:t>:</w:t>
      </w:r>
    </w:p>
    <w:p w:rsidR="00D968F0" w:rsidRPr="007A422D" w:rsidRDefault="00D968F0">
      <w:pPr>
        <w:rPr>
          <w:bCs/>
          <w:sz w:val="24"/>
        </w:rPr>
      </w:pPr>
    </w:p>
    <w:p w:rsidR="006A308E" w:rsidRDefault="006A308E" w:rsidP="006A308E">
      <w:pPr>
        <w:rPr>
          <w:sz w:val="24"/>
        </w:rPr>
      </w:pPr>
      <w:r>
        <w:rPr>
          <w:sz w:val="24"/>
        </w:rPr>
        <w:t>Applicants for registration authority file forms in the OP-1 series on a voluntary and, for the most part, one-time basis.  Except for Form</w:t>
      </w:r>
      <w:r w:rsidR="00F33269">
        <w:rPr>
          <w:sz w:val="24"/>
        </w:rPr>
        <w:t>s</w:t>
      </w:r>
      <w:r>
        <w:rPr>
          <w:sz w:val="24"/>
        </w:rPr>
        <w:t xml:space="preserve"> OP-1(MX) and OP-1(NNA), the forms call for a limited amount of information to identify the applicant and the nature and scope of its proposed operations.  Forms OP-1(MX) and OP-1(NNA) include narrative descriptions of the </w:t>
      </w:r>
      <w:r>
        <w:rPr>
          <w:color w:val="000000"/>
          <w:sz w:val="24"/>
        </w:rPr>
        <w:t>applicant’s</w:t>
      </w:r>
      <w:r>
        <w:rPr>
          <w:sz w:val="24"/>
        </w:rPr>
        <w:t xml:space="preserve"> safety policies and procedures and information regarding the drivers and vehicles it plans to use in the U.S. operations.  Currently, the Form OP-1(MX) can only be filed by using the paper format.  It is anticipated that 80 percent (80%) of </w:t>
      </w:r>
      <w:r w:rsidR="00972829">
        <w:rPr>
          <w:sz w:val="24"/>
        </w:rPr>
        <w:t xml:space="preserve">all </w:t>
      </w:r>
      <w:r>
        <w:rPr>
          <w:sz w:val="24"/>
        </w:rPr>
        <w:t>responses will be collected electronically.</w:t>
      </w:r>
    </w:p>
    <w:p w:rsidR="006A308E" w:rsidRDefault="006A308E">
      <w:pPr>
        <w:rPr>
          <w:sz w:val="24"/>
        </w:rPr>
      </w:pPr>
    </w:p>
    <w:p w:rsidR="00D968F0" w:rsidRDefault="00D968F0">
      <w:pPr>
        <w:rPr>
          <w:b/>
          <w:bCs/>
          <w:sz w:val="24"/>
        </w:rPr>
      </w:pPr>
      <w:r>
        <w:rPr>
          <w:b/>
          <w:bCs/>
          <w:sz w:val="24"/>
        </w:rPr>
        <w:t>4.</w:t>
      </w:r>
      <w:r>
        <w:rPr>
          <w:b/>
          <w:bCs/>
          <w:sz w:val="24"/>
        </w:rPr>
        <w:tab/>
        <w:t>Efforts to</w:t>
      </w:r>
      <w:r w:rsidR="00A15320">
        <w:rPr>
          <w:b/>
          <w:bCs/>
          <w:sz w:val="24"/>
        </w:rPr>
        <w:t xml:space="preserve"> identify duplication</w:t>
      </w:r>
      <w:r w:rsidR="004252CC">
        <w:rPr>
          <w:b/>
          <w:bCs/>
          <w:sz w:val="24"/>
        </w:rPr>
        <w:t>:</w:t>
      </w:r>
    </w:p>
    <w:p w:rsidR="00D968F0" w:rsidRPr="007A422D" w:rsidRDefault="00D968F0">
      <w:pPr>
        <w:rPr>
          <w:bCs/>
          <w:sz w:val="24"/>
        </w:rPr>
      </w:pPr>
    </w:p>
    <w:p w:rsidR="00D968F0" w:rsidRDefault="00D968F0">
      <w:pPr>
        <w:rPr>
          <w:sz w:val="24"/>
        </w:rPr>
      </w:pPr>
      <w:r>
        <w:rPr>
          <w:sz w:val="24"/>
        </w:rPr>
        <w:t>There are no similar filings made with any other Federal agency or within the Department of Transportation that would result in duplication of this information.</w:t>
      </w:r>
    </w:p>
    <w:p w:rsidR="006A308E" w:rsidRDefault="006A308E">
      <w:pPr>
        <w:rPr>
          <w:sz w:val="24"/>
        </w:rPr>
      </w:pPr>
    </w:p>
    <w:p w:rsidR="00D968F0" w:rsidRDefault="00D968F0">
      <w:pPr>
        <w:rPr>
          <w:b/>
          <w:bCs/>
          <w:sz w:val="24"/>
        </w:rPr>
      </w:pPr>
      <w:r>
        <w:rPr>
          <w:b/>
          <w:bCs/>
          <w:sz w:val="24"/>
        </w:rPr>
        <w:t>5.</w:t>
      </w:r>
      <w:r>
        <w:rPr>
          <w:b/>
          <w:bCs/>
          <w:sz w:val="24"/>
        </w:rPr>
        <w:tab/>
        <w:t>Efforts to minimize</w:t>
      </w:r>
      <w:r w:rsidR="00A15320">
        <w:rPr>
          <w:b/>
          <w:bCs/>
          <w:sz w:val="24"/>
        </w:rPr>
        <w:t xml:space="preserve"> the burden on small businesses</w:t>
      </w:r>
      <w:r w:rsidR="004252CC">
        <w:rPr>
          <w:b/>
          <w:bCs/>
          <w:sz w:val="24"/>
        </w:rPr>
        <w:t>:</w:t>
      </w:r>
    </w:p>
    <w:p w:rsidR="00D968F0" w:rsidRPr="007A422D" w:rsidRDefault="00D968F0">
      <w:pPr>
        <w:rPr>
          <w:bCs/>
          <w:sz w:val="24"/>
        </w:rPr>
      </w:pPr>
    </w:p>
    <w:p w:rsidR="00D968F0" w:rsidRDefault="00C0559B">
      <w:pPr>
        <w:rPr>
          <w:sz w:val="24"/>
        </w:rPr>
      </w:pPr>
      <w:r>
        <w:rPr>
          <w:sz w:val="24"/>
        </w:rPr>
        <w:t>The p</w:t>
      </w:r>
      <w:r w:rsidR="00D968F0">
        <w:rPr>
          <w:sz w:val="24"/>
        </w:rPr>
        <w:t xml:space="preserve">aperwork burdens associated with completing </w:t>
      </w:r>
      <w:r w:rsidR="006A308E">
        <w:rPr>
          <w:sz w:val="24"/>
        </w:rPr>
        <w:t xml:space="preserve">most forms in </w:t>
      </w:r>
      <w:r>
        <w:rPr>
          <w:sz w:val="24"/>
        </w:rPr>
        <w:t xml:space="preserve">the </w:t>
      </w:r>
      <w:r w:rsidR="006A308E">
        <w:rPr>
          <w:sz w:val="24"/>
        </w:rPr>
        <w:t xml:space="preserve">OP-1 series </w:t>
      </w:r>
      <w:r w:rsidR="00D968F0">
        <w:rPr>
          <w:sz w:val="24"/>
        </w:rPr>
        <w:t>are minimal for small businesses, as the form</w:t>
      </w:r>
      <w:r w:rsidR="006A308E">
        <w:rPr>
          <w:sz w:val="24"/>
        </w:rPr>
        <w:t>s are</w:t>
      </w:r>
      <w:r w:rsidR="00D968F0">
        <w:rPr>
          <w:sz w:val="24"/>
        </w:rPr>
        <w:t xml:space="preserve"> easy to understand and complete.  Most applicants are required only to check appropriate boxes on the forms and to fill in blank spaces with information on their identity and on the nature of the transportation operations </w:t>
      </w:r>
      <w:r w:rsidR="001F2386">
        <w:rPr>
          <w:sz w:val="24"/>
        </w:rPr>
        <w:t xml:space="preserve">and/or services </w:t>
      </w:r>
      <w:r w:rsidR="00D968F0">
        <w:rPr>
          <w:sz w:val="24"/>
        </w:rPr>
        <w:t xml:space="preserve">they propose to register. </w:t>
      </w:r>
      <w:r w:rsidR="007A422D">
        <w:rPr>
          <w:sz w:val="24"/>
        </w:rPr>
        <w:t xml:space="preserve"> </w:t>
      </w:r>
      <w:r w:rsidR="00D968F0">
        <w:rPr>
          <w:sz w:val="24"/>
        </w:rPr>
        <w:t>This information is readily available to the applicants and is the minimum necessary to accomplish the purpose of the filing.  Mexic</w:t>
      </w:r>
      <w:r w:rsidR="005B3323">
        <w:rPr>
          <w:sz w:val="24"/>
        </w:rPr>
        <w:t xml:space="preserve">o-domiciled </w:t>
      </w:r>
      <w:r w:rsidR="00D968F0">
        <w:rPr>
          <w:sz w:val="24"/>
        </w:rPr>
        <w:t>applicants, however</w:t>
      </w:r>
      <w:r w:rsidR="00D968F0" w:rsidRPr="00A169BE">
        <w:rPr>
          <w:sz w:val="24"/>
        </w:rPr>
        <w:t>,</w:t>
      </w:r>
      <w:r w:rsidR="00D968F0">
        <w:rPr>
          <w:sz w:val="24"/>
        </w:rPr>
        <w:t xml:space="preserve"> are required to </w:t>
      </w:r>
      <w:r w:rsidR="00D968F0">
        <w:rPr>
          <w:sz w:val="24"/>
        </w:rPr>
        <w:lastRenderedPageBreak/>
        <w:t xml:space="preserve">provide additional safety information and certifications of compliance to demonstrate their willingness and ability to comply with applicable safety regulations. </w:t>
      </w:r>
      <w:r w:rsidR="007A422D">
        <w:rPr>
          <w:sz w:val="24"/>
        </w:rPr>
        <w:t xml:space="preserve"> </w:t>
      </w:r>
      <w:r w:rsidR="00D968F0">
        <w:rPr>
          <w:sz w:val="24"/>
        </w:rPr>
        <w:t xml:space="preserve">The requested information cannot be obtained from any other source since all </w:t>
      </w:r>
      <w:r w:rsidR="005B3323">
        <w:rPr>
          <w:sz w:val="24"/>
        </w:rPr>
        <w:t xml:space="preserve">Mexico-domiciled </w:t>
      </w:r>
      <w:r>
        <w:rPr>
          <w:sz w:val="24"/>
        </w:rPr>
        <w:t>app</w:t>
      </w:r>
      <w:r w:rsidR="00D968F0">
        <w:rPr>
          <w:sz w:val="24"/>
        </w:rPr>
        <w:t xml:space="preserve">licants will be </w:t>
      </w:r>
      <w:r w:rsidR="005B3323">
        <w:rPr>
          <w:sz w:val="24"/>
        </w:rPr>
        <w:t xml:space="preserve">located </w:t>
      </w:r>
      <w:r w:rsidR="00D32D90">
        <w:rPr>
          <w:sz w:val="24"/>
        </w:rPr>
        <w:t>outside of the United States</w:t>
      </w:r>
      <w:r w:rsidR="00D968F0">
        <w:rPr>
          <w:sz w:val="24"/>
        </w:rPr>
        <w:t xml:space="preserve">, and we are requesting no more information than is absolutely necessary to </w:t>
      </w:r>
      <w:r w:rsidR="00BE3D22">
        <w:rPr>
          <w:sz w:val="24"/>
        </w:rPr>
        <w:t>e</w:t>
      </w:r>
      <w:r w:rsidR="00D968F0">
        <w:rPr>
          <w:sz w:val="24"/>
        </w:rPr>
        <w:t>nsure compliance with applicable safety regulations.</w:t>
      </w:r>
    </w:p>
    <w:p w:rsidR="001C0EA0" w:rsidRDefault="001C0EA0">
      <w:pPr>
        <w:rPr>
          <w:sz w:val="24"/>
        </w:rPr>
      </w:pPr>
    </w:p>
    <w:p w:rsidR="00D968F0" w:rsidRDefault="00D968F0">
      <w:pPr>
        <w:rPr>
          <w:b/>
          <w:bCs/>
          <w:sz w:val="24"/>
        </w:rPr>
      </w:pPr>
      <w:r>
        <w:rPr>
          <w:b/>
          <w:bCs/>
          <w:sz w:val="24"/>
        </w:rPr>
        <w:t>6.</w:t>
      </w:r>
      <w:r w:rsidR="00817A9E">
        <w:rPr>
          <w:b/>
          <w:bCs/>
          <w:sz w:val="24"/>
        </w:rPr>
        <w:tab/>
      </w:r>
      <w:r>
        <w:rPr>
          <w:b/>
          <w:bCs/>
          <w:sz w:val="24"/>
        </w:rPr>
        <w:t>Impact of less fre</w:t>
      </w:r>
      <w:r w:rsidR="00A15320">
        <w:rPr>
          <w:b/>
          <w:bCs/>
          <w:sz w:val="24"/>
        </w:rPr>
        <w:t>quent collection of information</w:t>
      </w:r>
      <w:r w:rsidR="004252CC">
        <w:rPr>
          <w:b/>
          <w:bCs/>
          <w:sz w:val="24"/>
        </w:rPr>
        <w:t>:</w:t>
      </w:r>
    </w:p>
    <w:p w:rsidR="00D968F0" w:rsidRPr="007A422D" w:rsidRDefault="00D968F0">
      <w:pPr>
        <w:rPr>
          <w:bCs/>
          <w:sz w:val="24"/>
        </w:rPr>
      </w:pPr>
    </w:p>
    <w:p w:rsidR="00D968F0" w:rsidRDefault="00D968F0">
      <w:pPr>
        <w:rPr>
          <w:sz w:val="24"/>
        </w:rPr>
      </w:pPr>
      <w:r>
        <w:rPr>
          <w:sz w:val="24"/>
        </w:rPr>
        <w:t xml:space="preserve">There is no requirement that </w:t>
      </w:r>
      <w:r w:rsidR="00553E9E">
        <w:rPr>
          <w:sz w:val="24"/>
        </w:rPr>
        <w:t xml:space="preserve">the </w:t>
      </w:r>
      <w:r w:rsidR="006A308E">
        <w:rPr>
          <w:sz w:val="24"/>
        </w:rPr>
        <w:t xml:space="preserve">forms in the </w:t>
      </w:r>
      <w:r>
        <w:rPr>
          <w:sz w:val="24"/>
        </w:rPr>
        <w:t>OP-1</w:t>
      </w:r>
      <w:r w:rsidR="006A308E">
        <w:rPr>
          <w:sz w:val="24"/>
        </w:rPr>
        <w:t xml:space="preserve"> series be filed</w:t>
      </w:r>
      <w:r>
        <w:rPr>
          <w:sz w:val="24"/>
        </w:rPr>
        <w:t xml:space="preserve"> on a periodic basis.  Th</w:t>
      </w:r>
      <w:r w:rsidR="006A308E">
        <w:rPr>
          <w:sz w:val="24"/>
        </w:rPr>
        <w:t>e</w:t>
      </w:r>
      <w:r>
        <w:rPr>
          <w:sz w:val="24"/>
        </w:rPr>
        <w:t xml:space="preserve"> form</w:t>
      </w:r>
      <w:r w:rsidR="006A308E">
        <w:rPr>
          <w:sz w:val="24"/>
        </w:rPr>
        <w:t>s are</w:t>
      </w:r>
      <w:r>
        <w:rPr>
          <w:sz w:val="24"/>
        </w:rPr>
        <w:t xml:space="preserve"> filed on </w:t>
      </w:r>
      <w:r>
        <w:rPr>
          <w:color w:val="000000"/>
          <w:sz w:val="24"/>
        </w:rPr>
        <w:t>an “as needed”</w:t>
      </w:r>
      <w:r>
        <w:rPr>
          <w:sz w:val="24"/>
        </w:rPr>
        <w:t xml:space="preserve"> and usually one-time basis.</w:t>
      </w:r>
      <w:r w:rsidR="007A422D">
        <w:rPr>
          <w:sz w:val="24"/>
        </w:rPr>
        <w:t xml:space="preserve">  </w:t>
      </w:r>
      <w:r>
        <w:rPr>
          <w:sz w:val="24"/>
        </w:rPr>
        <w:t>The purpose of th</w:t>
      </w:r>
      <w:r w:rsidR="001C0EA0">
        <w:rPr>
          <w:sz w:val="24"/>
        </w:rPr>
        <w:t>ese</w:t>
      </w:r>
      <w:r>
        <w:rPr>
          <w:sz w:val="24"/>
        </w:rPr>
        <w:t xml:space="preserve"> form</w:t>
      </w:r>
      <w:r w:rsidR="006A308E">
        <w:rPr>
          <w:sz w:val="24"/>
        </w:rPr>
        <w:t>s</w:t>
      </w:r>
      <w:r w:rsidR="006172BD">
        <w:rPr>
          <w:sz w:val="24"/>
        </w:rPr>
        <w:t>,</w:t>
      </w:r>
      <w:r w:rsidR="00CD059D">
        <w:rPr>
          <w:sz w:val="24"/>
        </w:rPr>
        <w:t xml:space="preserve"> </w:t>
      </w:r>
      <w:r w:rsidR="00553E9E">
        <w:rPr>
          <w:sz w:val="24"/>
        </w:rPr>
        <w:t xml:space="preserve">which </w:t>
      </w:r>
      <w:r w:rsidR="00CD059D">
        <w:rPr>
          <w:sz w:val="24"/>
        </w:rPr>
        <w:t>is</w:t>
      </w:r>
      <w:r>
        <w:rPr>
          <w:sz w:val="24"/>
        </w:rPr>
        <w:t xml:space="preserve"> to allow transportation entities to meet statutory registration requirements</w:t>
      </w:r>
      <w:r w:rsidR="00CD059D">
        <w:rPr>
          <w:sz w:val="24"/>
        </w:rPr>
        <w:t xml:space="preserve">, </w:t>
      </w:r>
      <w:r>
        <w:rPr>
          <w:sz w:val="24"/>
        </w:rPr>
        <w:t>would be defeated if the information was collected less frequently.</w:t>
      </w:r>
    </w:p>
    <w:p w:rsidR="00D968F0" w:rsidRDefault="00D968F0">
      <w:pPr>
        <w:rPr>
          <w:sz w:val="24"/>
        </w:rPr>
      </w:pPr>
    </w:p>
    <w:p w:rsidR="00D968F0" w:rsidRDefault="00D968F0">
      <w:pPr>
        <w:rPr>
          <w:sz w:val="24"/>
        </w:rPr>
      </w:pPr>
      <w:r>
        <w:rPr>
          <w:sz w:val="24"/>
        </w:rPr>
        <w:t xml:space="preserve">When </w:t>
      </w:r>
      <w:r w:rsidR="006172BD">
        <w:rPr>
          <w:sz w:val="24"/>
        </w:rPr>
        <w:t xml:space="preserve">Mexico-domiciled </w:t>
      </w:r>
      <w:r>
        <w:rPr>
          <w:sz w:val="24"/>
        </w:rPr>
        <w:t xml:space="preserve">motor carriers who have previously filed an OP-1(MX) application form are required to comply </w:t>
      </w:r>
      <w:r w:rsidR="00E95E9C">
        <w:rPr>
          <w:sz w:val="24"/>
        </w:rPr>
        <w:t xml:space="preserve">with the registration provisions, they may do so </w:t>
      </w:r>
      <w:r>
        <w:rPr>
          <w:sz w:val="24"/>
        </w:rPr>
        <w:t xml:space="preserve">by </w:t>
      </w:r>
      <w:r w:rsidR="006172BD">
        <w:rPr>
          <w:sz w:val="24"/>
        </w:rPr>
        <w:t xml:space="preserve">completing </w:t>
      </w:r>
      <w:r>
        <w:rPr>
          <w:sz w:val="24"/>
        </w:rPr>
        <w:t>a one-time, re</w:t>
      </w:r>
      <w:r w:rsidR="00245FA4">
        <w:rPr>
          <w:sz w:val="24"/>
        </w:rPr>
        <w:t>-</w:t>
      </w:r>
      <w:r>
        <w:rPr>
          <w:sz w:val="24"/>
        </w:rPr>
        <w:t xml:space="preserve">filing of the revised form.  There will be no $300 filing fee required for this one-time </w:t>
      </w:r>
      <w:r w:rsidR="00245FA4">
        <w:rPr>
          <w:sz w:val="24"/>
        </w:rPr>
        <w:t>re-filing</w:t>
      </w:r>
      <w:r w:rsidR="00CE4B19">
        <w:rPr>
          <w:sz w:val="24"/>
        </w:rPr>
        <w:t xml:space="preserve"> of the Form OP-1(MX)</w:t>
      </w:r>
      <w:r>
        <w:rPr>
          <w:sz w:val="24"/>
        </w:rPr>
        <w:t>.  All Mexic</w:t>
      </w:r>
      <w:r w:rsidR="006172BD">
        <w:rPr>
          <w:sz w:val="24"/>
        </w:rPr>
        <w:t xml:space="preserve">o-domiciled </w:t>
      </w:r>
      <w:r>
        <w:rPr>
          <w:sz w:val="24"/>
        </w:rPr>
        <w:t xml:space="preserve">carriers will be required to report changes in basic identifying information, such as addresses and telephone numbers, through supplemental filings as the changes occur.  The FMCSA does not require </w:t>
      </w:r>
      <w:r w:rsidR="00CE4B19">
        <w:rPr>
          <w:sz w:val="24"/>
        </w:rPr>
        <w:t>Mexic</w:t>
      </w:r>
      <w:r w:rsidR="006172BD">
        <w:rPr>
          <w:sz w:val="24"/>
        </w:rPr>
        <w:t xml:space="preserve">o-domiciled </w:t>
      </w:r>
      <w:r>
        <w:rPr>
          <w:sz w:val="24"/>
        </w:rPr>
        <w:t xml:space="preserve">registrants to </w:t>
      </w:r>
      <w:r w:rsidR="00245FA4">
        <w:rPr>
          <w:sz w:val="24"/>
        </w:rPr>
        <w:t>re-file</w:t>
      </w:r>
      <w:r>
        <w:rPr>
          <w:sz w:val="24"/>
        </w:rPr>
        <w:t xml:space="preserve"> the entire form in these circumstances</w:t>
      </w:r>
      <w:r w:rsidR="004A4741">
        <w:rPr>
          <w:sz w:val="24"/>
        </w:rPr>
        <w:t xml:space="preserve">.  </w:t>
      </w:r>
      <w:r>
        <w:rPr>
          <w:sz w:val="24"/>
        </w:rPr>
        <w:t xml:space="preserve">A new application form is currently required only if the </w:t>
      </w:r>
      <w:r w:rsidR="00CE4B19">
        <w:rPr>
          <w:sz w:val="24"/>
        </w:rPr>
        <w:t>Mexic</w:t>
      </w:r>
      <w:r w:rsidR="006172BD">
        <w:rPr>
          <w:sz w:val="24"/>
        </w:rPr>
        <w:t xml:space="preserve">o-domiciled </w:t>
      </w:r>
      <w:r>
        <w:rPr>
          <w:sz w:val="24"/>
        </w:rPr>
        <w:t xml:space="preserve">carrier wishes to extend the scope of its authority or is applying for new authority.  Under </w:t>
      </w:r>
      <w:r w:rsidR="0024341A">
        <w:rPr>
          <w:sz w:val="24"/>
        </w:rPr>
        <w:t>the current registration rules</w:t>
      </w:r>
      <w:r>
        <w:rPr>
          <w:sz w:val="24"/>
        </w:rPr>
        <w:t>, where a Mexic</w:t>
      </w:r>
      <w:r w:rsidR="006172BD">
        <w:rPr>
          <w:sz w:val="24"/>
        </w:rPr>
        <w:t xml:space="preserve">o-domiciled </w:t>
      </w:r>
      <w:r>
        <w:rPr>
          <w:sz w:val="24"/>
        </w:rPr>
        <w:t xml:space="preserve">carrier wishes to expand its authority, it must make </w:t>
      </w:r>
      <w:r>
        <w:rPr>
          <w:color w:val="000000"/>
          <w:sz w:val="24"/>
        </w:rPr>
        <w:t>an “initial filing”</w:t>
      </w:r>
      <w:r>
        <w:rPr>
          <w:color w:val="FF0000"/>
          <w:sz w:val="24"/>
        </w:rPr>
        <w:t xml:space="preserve"> </w:t>
      </w:r>
      <w:r>
        <w:rPr>
          <w:sz w:val="24"/>
        </w:rPr>
        <w:t>of the Form OP-1(MX) and go through the full application process to obtain the additional authority.</w:t>
      </w:r>
    </w:p>
    <w:p w:rsidR="004A4741" w:rsidRDefault="004A4741">
      <w:pPr>
        <w:rPr>
          <w:sz w:val="24"/>
        </w:rPr>
      </w:pPr>
    </w:p>
    <w:p w:rsidR="00D968F0" w:rsidRDefault="00A15320">
      <w:pPr>
        <w:rPr>
          <w:b/>
          <w:bCs/>
          <w:sz w:val="24"/>
        </w:rPr>
      </w:pPr>
      <w:r>
        <w:rPr>
          <w:b/>
          <w:bCs/>
          <w:sz w:val="24"/>
        </w:rPr>
        <w:t>7.</w:t>
      </w:r>
      <w:r>
        <w:rPr>
          <w:b/>
          <w:bCs/>
          <w:sz w:val="24"/>
        </w:rPr>
        <w:tab/>
        <w:t>Special circumstances</w:t>
      </w:r>
      <w:r w:rsidR="004252CC">
        <w:rPr>
          <w:b/>
          <w:bCs/>
          <w:sz w:val="24"/>
        </w:rPr>
        <w:t>:</w:t>
      </w:r>
    </w:p>
    <w:p w:rsidR="00D968F0" w:rsidRPr="007A422D" w:rsidRDefault="00D968F0">
      <w:pPr>
        <w:rPr>
          <w:bCs/>
          <w:sz w:val="24"/>
        </w:rPr>
      </w:pPr>
    </w:p>
    <w:p w:rsidR="00D968F0" w:rsidRDefault="00A15320" w:rsidP="007A422D">
      <w:pPr>
        <w:rPr>
          <w:sz w:val="24"/>
        </w:rPr>
      </w:pPr>
      <w:r>
        <w:rPr>
          <w:sz w:val="24"/>
        </w:rPr>
        <w:t>N</w:t>
      </w:r>
      <w:r w:rsidR="00D968F0">
        <w:rPr>
          <w:sz w:val="24"/>
        </w:rPr>
        <w:t xml:space="preserve">o special circumstances </w:t>
      </w:r>
      <w:r>
        <w:rPr>
          <w:sz w:val="24"/>
        </w:rPr>
        <w:t xml:space="preserve">apply to </w:t>
      </w:r>
      <w:r w:rsidR="00D968F0">
        <w:rPr>
          <w:sz w:val="24"/>
        </w:rPr>
        <w:t>this information collection.</w:t>
      </w:r>
    </w:p>
    <w:p w:rsidR="00B35D19" w:rsidRDefault="00B35D19" w:rsidP="007A422D">
      <w:pPr>
        <w:rPr>
          <w:sz w:val="24"/>
        </w:rPr>
      </w:pPr>
    </w:p>
    <w:p w:rsidR="009402F0" w:rsidRDefault="00D968F0" w:rsidP="007A422D">
      <w:pPr>
        <w:pStyle w:val="NormalWeb"/>
        <w:spacing w:before="0" w:beforeAutospacing="0" w:after="0" w:afterAutospacing="0"/>
        <w:rPr>
          <w:b/>
          <w:bCs/>
        </w:rPr>
      </w:pPr>
      <w:r>
        <w:rPr>
          <w:b/>
          <w:bCs/>
        </w:rPr>
        <w:t>8.</w:t>
      </w:r>
      <w:r>
        <w:rPr>
          <w:b/>
          <w:bCs/>
        </w:rPr>
        <w:tab/>
        <w:t xml:space="preserve">Compliance with 5 CFR </w:t>
      </w:r>
      <w:r w:rsidR="00E95E9C">
        <w:t xml:space="preserve">§ </w:t>
      </w:r>
      <w:r>
        <w:rPr>
          <w:b/>
          <w:bCs/>
        </w:rPr>
        <w:t>1320.8</w:t>
      </w:r>
      <w:r w:rsidR="004252CC">
        <w:rPr>
          <w:b/>
          <w:bCs/>
        </w:rPr>
        <w:t>:</w:t>
      </w:r>
    </w:p>
    <w:p w:rsidR="00BE4907" w:rsidRDefault="00BE4907" w:rsidP="007A422D">
      <w:pPr>
        <w:pStyle w:val="NormalWeb"/>
        <w:spacing w:before="0" w:beforeAutospacing="0" w:after="0" w:afterAutospacing="0"/>
        <w:rPr>
          <w:color w:val="000000"/>
        </w:rPr>
      </w:pPr>
    </w:p>
    <w:p w:rsidR="00BE4907" w:rsidRDefault="00BE4907" w:rsidP="00BE4907">
      <w:pPr>
        <w:pStyle w:val="BodyText"/>
      </w:pPr>
      <w:r w:rsidRPr="005F5FF9">
        <w:t xml:space="preserve">On </w:t>
      </w:r>
      <w:r>
        <w:t>December 30</w:t>
      </w:r>
      <w:r w:rsidRPr="005F5FF9">
        <w:t>, 20</w:t>
      </w:r>
      <w:r>
        <w:t>15</w:t>
      </w:r>
      <w:r w:rsidRPr="005F5FF9">
        <w:t>, FMCSA published a notice in the Federal Register (</w:t>
      </w:r>
      <w:r>
        <w:t>80</w:t>
      </w:r>
      <w:r w:rsidRPr="005F5FF9">
        <w:t xml:space="preserve"> FR </w:t>
      </w:r>
      <w:r>
        <w:t xml:space="preserve">81670) that provided notice and requested comments on an </w:t>
      </w:r>
      <w:r w:rsidRPr="00F75E2A">
        <w:t xml:space="preserve">emergency ICR revision request due to </w:t>
      </w:r>
      <w:r>
        <w:t>the</w:t>
      </w:r>
      <w:r w:rsidRPr="00F75E2A">
        <w:t xml:space="preserve"> Final Rule titled “Unified Registration System,” (80 FR 63695) dated October 21, 2015</w:t>
      </w:r>
      <w:r>
        <w:t xml:space="preserve">.  This </w:t>
      </w:r>
      <w:r w:rsidRPr="00F75E2A">
        <w:t xml:space="preserve">changed the effective and compliance dates of the 2013 </w:t>
      </w:r>
      <w:r>
        <w:t xml:space="preserve">URS </w:t>
      </w:r>
      <w:r w:rsidRPr="00F75E2A">
        <w:t xml:space="preserve">Final Rule from October 23, 2015, to September 30, 2016.  </w:t>
      </w:r>
      <w:r>
        <w:t>No comments were received from the public in response to this FR notice.</w:t>
      </w:r>
    </w:p>
    <w:p w:rsidR="00BE4907" w:rsidRDefault="00BE4907" w:rsidP="00B716AC">
      <w:pPr>
        <w:pStyle w:val="BodyText"/>
      </w:pPr>
    </w:p>
    <w:p w:rsidR="00B716AC" w:rsidRDefault="00B716AC" w:rsidP="00B716AC">
      <w:pPr>
        <w:pStyle w:val="BodyText"/>
      </w:pPr>
      <w:r w:rsidRPr="001C764D">
        <w:t xml:space="preserve">On </w:t>
      </w:r>
      <w:r>
        <w:t>August 12</w:t>
      </w:r>
      <w:r w:rsidRPr="001C764D">
        <w:t>, 2016, FMCSA published a notice in the Federal Register requesting public comments on “</w:t>
      </w:r>
      <w:r w:rsidRPr="00B716AC">
        <w:t>Licensing Applications for Motor Carrier Operating Authority</w:t>
      </w:r>
      <w:r w:rsidRPr="001C764D">
        <w:t>” Information Collection Request OMB Control Number 2126-001</w:t>
      </w:r>
      <w:r>
        <w:t>6</w:t>
      </w:r>
      <w:r w:rsidRPr="001C764D">
        <w:t xml:space="preserve"> (81 FR </w:t>
      </w:r>
      <w:r>
        <w:t>53539</w:t>
      </w:r>
      <w:r w:rsidRPr="001C764D">
        <w:t>)</w:t>
      </w:r>
      <w:r>
        <w:t xml:space="preserve"> (Attachment F)</w:t>
      </w:r>
      <w:r w:rsidRPr="001C764D">
        <w:t>.  No comments were received</w:t>
      </w:r>
      <w:r w:rsidR="00F11199">
        <w:t xml:space="preserve"> from the public in response to the FR notice</w:t>
      </w:r>
    </w:p>
    <w:p w:rsidR="00745C59" w:rsidRDefault="00745C59" w:rsidP="00745C59">
      <w:pPr>
        <w:rPr>
          <w:sz w:val="24"/>
        </w:rPr>
      </w:pPr>
    </w:p>
    <w:p w:rsidR="00D968F0" w:rsidRDefault="00D968F0">
      <w:pPr>
        <w:rPr>
          <w:sz w:val="24"/>
        </w:rPr>
      </w:pPr>
      <w:r>
        <w:rPr>
          <w:b/>
          <w:bCs/>
          <w:sz w:val="24"/>
        </w:rPr>
        <w:t>9.</w:t>
      </w:r>
      <w:r>
        <w:rPr>
          <w:b/>
          <w:bCs/>
          <w:sz w:val="24"/>
        </w:rPr>
        <w:tab/>
        <w:t>Payments or gifts to respondents</w:t>
      </w:r>
      <w:r w:rsidR="004252CC">
        <w:rPr>
          <w:sz w:val="24"/>
        </w:rPr>
        <w:t>:</w:t>
      </w:r>
    </w:p>
    <w:p w:rsidR="00D968F0" w:rsidRDefault="00D968F0">
      <w:pPr>
        <w:rPr>
          <w:sz w:val="24"/>
        </w:rPr>
      </w:pPr>
    </w:p>
    <w:p w:rsidR="00D968F0" w:rsidRDefault="00D968F0">
      <w:pPr>
        <w:rPr>
          <w:sz w:val="24"/>
        </w:rPr>
      </w:pPr>
      <w:r>
        <w:rPr>
          <w:sz w:val="24"/>
        </w:rPr>
        <w:t>Respondents are not provided with any payment or gift for this information collection.</w:t>
      </w:r>
    </w:p>
    <w:p w:rsidR="00B35D19" w:rsidRDefault="00B35D19">
      <w:pPr>
        <w:rPr>
          <w:sz w:val="24"/>
        </w:rPr>
      </w:pPr>
    </w:p>
    <w:p w:rsidR="00D968F0" w:rsidRDefault="00A06D2F">
      <w:pPr>
        <w:rPr>
          <w:b/>
          <w:bCs/>
          <w:sz w:val="24"/>
        </w:rPr>
      </w:pPr>
      <w:r>
        <w:rPr>
          <w:b/>
          <w:bCs/>
          <w:sz w:val="24"/>
        </w:rPr>
        <w:t>10</w:t>
      </w:r>
      <w:r w:rsidR="00A15320">
        <w:rPr>
          <w:b/>
          <w:bCs/>
          <w:sz w:val="24"/>
        </w:rPr>
        <w:t>.</w:t>
      </w:r>
      <w:r w:rsidR="00A15320">
        <w:rPr>
          <w:b/>
          <w:bCs/>
          <w:sz w:val="24"/>
        </w:rPr>
        <w:tab/>
        <w:t>Assurance of confidentiality</w:t>
      </w:r>
      <w:r w:rsidR="004252CC">
        <w:rPr>
          <w:b/>
          <w:bCs/>
          <w:sz w:val="24"/>
        </w:rPr>
        <w:t>:</w:t>
      </w:r>
    </w:p>
    <w:p w:rsidR="00D968F0" w:rsidRPr="007A422D" w:rsidRDefault="00D968F0">
      <w:pPr>
        <w:rPr>
          <w:bCs/>
          <w:sz w:val="24"/>
        </w:rPr>
      </w:pPr>
    </w:p>
    <w:p w:rsidR="00D968F0" w:rsidRDefault="00D968F0">
      <w:pPr>
        <w:rPr>
          <w:sz w:val="24"/>
        </w:rPr>
      </w:pPr>
      <w:r>
        <w:rPr>
          <w:sz w:val="24"/>
        </w:rPr>
        <w:t xml:space="preserve">There is no assurance of confidentiality.  The </w:t>
      </w:r>
      <w:r w:rsidR="00CE4B19">
        <w:rPr>
          <w:sz w:val="24"/>
        </w:rPr>
        <w:t>OP-1</w:t>
      </w:r>
      <w:r w:rsidR="00F576B7">
        <w:rPr>
          <w:sz w:val="24"/>
        </w:rPr>
        <w:t xml:space="preserve"> series forms </w:t>
      </w:r>
      <w:r>
        <w:rPr>
          <w:sz w:val="24"/>
        </w:rPr>
        <w:t xml:space="preserve">call for information identifying the applicant and the scope of its proposed operations. </w:t>
      </w:r>
      <w:r w:rsidR="00BE3D22">
        <w:rPr>
          <w:sz w:val="24"/>
        </w:rPr>
        <w:t xml:space="preserve"> </w:t>
      </w:r>
      <w:r>
        <w:rPr>
          <w:sz w:val="24"/>
        </w:rPr>
        <w:t xml:space="preserve">All registration applications filed with the FMCSA become part of a public docket and are open to the public for </w:t>
      </w:r>
      <w:r w:rsidR="00BE3D22">
        <w:rPr>
          <w:sz w:val="24"/>
        </w:rPr>
        <w:t xml:space="preserve">inspection and </w:t>
      </w:r>
      <w:r>
        <w:rPr>
          <w:sz w:val="24"/>
        </w:rPr>
        <w:t>review.</w:t>
      </w:r>
    </w:p>
    <w:p w:rsidR="000D531A" w:rsidRPr="007A422D" w:rsidRDefault="000D531A">
      <w:pPr>
        <w:rPr>
          <w:bCs/>
          <w:sz w:val="24"/>
        </w:rPr>
      </w:pPr>
    </w:p>
    <w:p w:rsidR="00D968F0" w:rsidRDefault="00D968F0">
      <w:pPr>
        <w:rPr>
          <w:b/>
          <w:bCs/>
          <w:sz w:val="24"/>
        </w:rPr>
      </w:pPr>
      <w:r>
        <w:rPr>
          <w:b/>
          <w:bCs/>
          <w:sz w:val="24"/>
        </w:rPr>
        <w:t>11.</w:t>
      </w:r>
      <w:r>
        <w:rPr>
          <w:b/>
          <w:bCs/>
          <w:sz w:val="24"/>
        </w:rPr>
        <w:tab/>
        <w:t>Justification for coll</w:t>
      </w:r>
      <w:r w:rsidR="00A15320">
        <w:rPr>
          <w:b/>
          <w:bCs/>
          <w:sz w:val="24"/>
        </w:rPr>
        <w:t>ection of sensitive information</w:t>
      </w:r>
      <w:r w:rsidR="004252CC">
        <w:rPr>
          <w:b/>
          <w:bCs/>
          <w:sz w:val="24"/>
        </w:rPr>
        <w:t>:</w:t>
      </w:r>
    </w:p>
    <w:p w:rsidR="00D968F0" w:rsidRPr="007A422D" w:rsidRDefault="00D968F0">
      <w:pPr>
        <w:rPr>
          <w:bCs/>
          <w:sz w:val="24"/>
        </w:rPr>
      </w:pPr>
    </w:p>
    <w:p w:rsidR="00924255" w:rsidRDefault="00D968F0">
      <w:pPr>
        <w:rPr>
          <w:b/>
          <w:bCs/>
          <w:sz w:val="24"/>
        </w:rPr>
      </w:pPr>
      <w:r>
        <w:rPr>
          <w:sz w:val="24"/>
        </w:rPr>
        <w:t>The information requested and collected is not of a sensitive nature.</w:t>
      </w:r>
    </w:p>
    <w:p w:rsidR="00A56628" w:rsidRDefault="00A56628">
      <w:pPr>
        <w:rPr>
          <w:bCs/>
          <w:sz w:val="24"/>
        </w:rPr>
      </w:pPr>
    </w:p>
    <w:p w:rsidR="00D968F0" w:rsidRDefault="00D968F0">
      <w:pPr>
        <w:rPr>
          <w:b/>
          <w:bCs/>
          <w:sz w:val="24"/>
        </w:rPr>
      </w:pPr>
      <w:r>
        <w:rPr>
          <w:b/>
          <w:bCs/>
          <w:sz w:val="24"/>
        </w:rPr>
        <w:t>12.</w:t>
      </w:r>
      <w:r>
        <w:rPr>
          <w:b/>
          <w:bCs/>
          <w:sz w:val="24"/>
        </w:rPr>
        <w:tab/>
        <w:t xml:space="preserve">Estimate of burden </w:t>
      </w:r>
      <w:r w:rsidR="00A15320">
        <w:rPr>
          <w:b/>
          <w:bCs/>
          <w:sz w:val="24"/>
        </w:rPr>
        <w:t>hours for information requested</w:t>
      </w:r>
      <w:r w:rsidR="004252CC">
        <w:rPr>
          <w:b/>
          <w:bCs/>
          <w:sz w:val="24"/>
        </w:rPr>
        <w:t>:</w:t>
      </w:r>
    </w:p>
    <w:p w:rsidR="00D968F0" w:rsidRPr="00C23BAC" w:rsidRDefault="00D968F0">
      <w:pPr>
        <w:rPr>
          <w:sz w:val="24"/>
        </w:rPr>
      </w:pPr>
    </w:p>
    <w:p w:rsidR="00567C37" w:rsidRPr="00C23BAC" w:rsidRDefault="00567C37" w:rsidP="00107950">
      <w:pPr>
        <w:rPr>
          <w:rFonts w:eastAsia="Calibri"/>
          <w:sz w:val="24"/>
        </w:rPr>
      </w:pPr>
      <w:r w:rsidRPr="00C23BAC">
        <w:rPr>
          <w:rFonts w:eastAsia="Calibri"/>
          <w:sz w:val="24"/>
        </w:rPr>
        <w:t xml:space="preserve">After </w:t>
      </w:r>
      <w:r w:rsidR="00F11199">
        <w:rPr>
          <w:rFonts w:eastAsia="Calibri"/>
          <w:sz w:val="24"/>
        </w:rPr>
        <w:t>full compliance</w:t>
      </w:r>
      <w:r w:rsidR="00325CD9">
        <w:rPr>
          <w:rFonts w:eastAsia="Calibri"/>
          <w:sz w:val="24"/>
        </w:rPr>
        <w:t xml:space="preserve"> of the URS</w:t>
      </w:r>
      <w:r w:rsidR="00593D40">
        <w:rPr>
          <w:rFonts w:eastAsia="Calibri"/>
          <w:sz w:val="24"/>
        </w:rPr>
        <w:t>, scheduled for</w:t>
      </w:r>
      <w:r w:rsidR="00F11199">
        <w:rPr>
          <w:rFonts w:eastAsia="Calibri"/>
          <w:sz w:val="24"/>
        </w:rPr>
        <w:t xml:space="preserve"> April </w:t>
      </w:r>
      <w:r w:rsidR="001C0EA0">
        <w:rPr>
          <w:rFonts w:eastAsia="Calibri"/>
          <w:sz w:val="24"/>
        </w:rPr>
        <w:t>14, 2017</w:t>
      </w:r>
      <w:r w:rsidRPr="00C23BAC">
        <w:rPr>
          <w:rFonts w:eastAsia="Calibri"/>
          <w:sz w:val="24"/>
        </w:rPr>
        <w:t>, all new and existing entities will use the URS Online Application Process Form MCSA-1</w:t>
      </w:r>
      <w:r w:rsidR="00410517">
        <w:rPr>
          <w:rFonts w:eastAsia="Calibri"/>
          <w:sz w:val="24"/>
        </w:rPr>
        <w:t>, covered by</w:t>
      </w:r>
      <w:r w:rsidRPr="00C23BAC">
        <w:rPr>
          <w:rFonts w:eastAsia="Calibri"/>
          <w:sz w:val="24"/>
        </w:rPr>
        <w:t xml:space="preserve"> OMB Control Number 2126-0051, “FMCSA Registration/Updates,” </w:t>
      </w:r>
      <w:r w:rsidR="00410517">
        <w:rPr>
          <w:rFonts w:eastAsia="Calibri"/>
          <w:sz w:val="24"/>
        </w:rPr>
        <w:t xml:space="preserve">for all registration purposes </w:t>
      </w:r>
      <w:r w:rsidRPr="00C23BAC">
        <w:rPr>
          <w:rFonts w:eastAsia="Calibri"/>
          <w:sz w:val="24"/>
        </w:rPr>
        <w:t xml:space="preserve">except for the OP-1(MX). </w:t>
      </w:r>
      <w:r w:rsidR="0087124C">
        <w:rPr>
          <w:rFonts w:eastAsia="Calibri"/>
          <w:sz w:val="24"/>
        </w:rPr>
        <w:t xml:space="preserve"> </w:t>
      </w:r>
      <w:r w:rsidR="001A7269">
        <w:rPr>
          <w:rFonts w:eastAsia="Calibri"/>
          <w:sz w:val="24"/>
        </w:rPr>
        <w:t>Therefore, t</w:t>
      </w:r>
      <w:r w:rsidRPr="00C23BAC">
        <w:rPr>
          <w:rFonts w:eastAsia="Calibri"/>
          <w:sz w:val="24"/>
        </w:rPr>
        <w:t xml:space="preserve">he following estimate includes years </w:t>
      </w:r>
      <w:r w:rsidR="0097333B">
        <w:rPr>
          <w:rFonts w:eastAsia="Calibri"/>
          <w:sz w:val="24"/>
        </w:rPr>
        <w:t xml:space="preserve">1, </w:t>
      </w:r>
      <w:r w:rsidRPr="00C23BAC">
        <w:rPr>
          <w:rFonts w:eastAsia="Calibri"/>
          <w:sz w:val="24"/>
        </w:rPr>
        <w:t xml:space="preserve">2 and 3 where only OP-1(MX) will be </w:t>
      </w:r>
      <w:r w:rsidR="008B5436">
        <w:rPr>
          <w:rFonts w:eastAsia="Calibri"/>
          <w:sz w:val="24"/>
        </w:rPr>
        <w:t xml:space="preserve">used for </w:t>
      </w:r>
      <w:r w:rsidR="00593D40">
        <w:rPr>
          <w:rFonts w:eastAsia="Calibri"/>
          <w:sz w:val="24"/>
        </w:rPr>
        <w:t xml:space="preserve">the full </w:t>
      </w:r>
      <w:r w:rsidR="008B5436">
        <w:rPr>
          <w:rFonts w:eastAsia="Calibri"/>
          <w:sz w:val="24"/>
        </w:rPr>
        <w:t xml:space="preserve">3 years and </w:t>
      </w:r>
      <w:r w:rsidR="00325CD9">
        <w:rPr>
          <w:rFonts w:eastAsia="Calibri"/>
          <w:sz w:val="24"/>
        </w:rPr>
        <w:t xml:space="preserve">use of </w:t>
      </w:r>
      <w:r w:rsidR="008B5436">
        <w:rPr>
          <w:rFonts w:eastAsia="Calibri"/>
          <w:sz w:val="24"/>
        </w:rPr>
        <w:t xml:space="preserve">the other OP-1 forms </w:t>
      </w:r>
      <w:r w:rsidR="00325CD9">
        <w:rPr>
          <w:rFonts w:eastAsia="Calibri"/>
          <w:sz w:val="24"/>
        </w:rPr>
        <w:t>are to be extended</w:t>
      </w:r>
      <w:r w:rsidR="00593D40">
        <w:rPr>
          <w:rFonts w:eastAsia="Calibri"/>
          <w:sz w:val="24"/>
        </w:rPr>
        <w:t xml:space="preserve"> for only year 1</w:t>
      </w:r>
      <w:r w:rsidR="00325CD9">
        <w:rPr>
          <w:rFonts w:eastAsia="Calibri"/>
          <w:sz w:val="24"/>
        </w:rPr>
        <w:t xml:space="preserve"> to </w:t>
      </w:r>
      <w:r w:rsidR="00325CD9" w:rsidRPr="00325CD9">
        <w:rPr>
          <w:rFonts w:eastAsia="Calibri"/>
          <w:sz w:val="24"/>
        </w:rPr>
        <w:t>account for revisions to the effective and implementation dates of the URS,</w:t>
      </w:r>
    </w:p>
    <w:p w:rsidR="00567C37" w:rsidRDefault="00567C37" w:rsidP="00107950">
      <w:pPr>
        <w:rPr>
          <w:sz w:val="24"/>
        </w:rPr>
      </w:pPr>
    </w:p>
    <w:p w:rsidR="008B5436" w:rsidRDefault="008B5436" w:rsidP="008B5436">
      <w:pPr>
        <w:rPr>
          <w:sz w:val="24"/>
        </w:rPr>
      </w:pPr>
      <w:r>
        <w:rPr>
          <w:sz w:val="24"/>
        </w:rPr>
        <w:t xml:space="preserve">This ICR currently comprises all of the forms in the </w:t>
      </w:r>
      <w:r>
        <w:rPr>
          <w:color w:val="000000"/>
          <w:sz w:val="24"/>
        </w:rPr>
        <w:t>“</w:t>
      </w:r>
      <w:r>
        <w:rPr>
          <w:sz w:val="24"/>
        </w:rPr>
        <w:t xml:space="preserve">OP-1" series: OP-1, OP-1(FF), OP-1(P), OP-1(MX), and OP-1 (NNA).  Forms OP-1, OP-1(P), and OP-1(FF) are estimated to take 2 hours to complete.  Forms OP-1(MX) and OP-1(NNA) are estimated to take 4 hours to complete.  For Form OP-1 (MX), FMCSA anticipates that 12 respondents will submit forms annually.  All told, FMCSA estimates 37,216 responses for all OP-1 series forms in year 1, and that the associated annual burden is 74,464 hours.  </w:t>
      </w:r>
    </w:p>
    <w:p w:rsidR="008B5436" w:rsidRDefault="008B5436" w:rsidP="008B5436">
      <w:pPr>
        <w:rPr>
          <w:sz w:val="24"/>
        </w:rPr>
      </w:pPr>
    </w:p>
    <w:p w:rsidR="00415EF8" w:rsidRDefault="008B5436" w:rsidP="008960EF">
      <w:pPr>
        <w:rPr>
          <w:sz w:val="24"/>
        </w:rPr>
      </w:pPr>
      <w:r>
        <w:rPr>
          <w:sz w:val="24"/>
        </w:rPr>
        <w:t>In years 2 and 3 FMCSA anticipates that 12 respondents will submit 12 Form OP-1(MX) responses annually, and the associated annual burden is 48 hours. Table 1 shows the annual responses for the Forms and the total annual burden for the ICR.</w:t>
      </w:r>
    </w:p>
    <w:p w:rsidR="00A91FD9" w:rsidRDefault="00A91FD9" w:rsidP="00491FC3">
      <w:pPr>
        <w:rPr>
          <w:b/>
          <w:bCs/>
          <w:sz w:val="24"/>
        </w:rPr>
      </w:pPr>
    </w:p>
    <w:tbl>
      <w:tblPr>
        <w:tblW w:w="9573" w:type="dxa"/>
        <w:jc w:val="center"/>
        <w:tblInd w:w="93" w:type="dxa"/>
        <w:tblLook w:val="04A0" w:firstRow="1" w:lastRow="0" w:firstColumn="1" w:lastColumn="0" w:noHBand="0" w:noVBand="1"/>
      </w:tblPr>
      <w:tblGrid>
        <w:gridCol w:w="2132"/>
        <w:gridCol w:w="1270"/>
        <w:gridCol w:w="1260"/>
        <w:gridCol w:w="1262"/>
        <w:gridCol w:w="1348"/>
        <w:gridCol w:w="1311"/>
        <w:gridCol w:w="990"/>
      </w:tblGrid>
      <w:tr w:rsidR="00A91FD9" w:rsidRPr="00884B0D" w:rsidTr="00A91FD9">
        <w:trPr>
          <w:trHeight w:val="315"/>
          <w:jc w:val="center"/>
        </w:trPr>
        <w:tc>
          <w:tcPr>
            <w:tcW w:w="9573" w:type="dxa"/>
            <w:gridSpan w:val="7"/>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hideMark/>
          </w:tcPr>
          <w:p w:rsidR="00A91FD9" w:rsidRPr="00884B0D" w:rsidRDefault="00A91FD9" w:rsidP="00DF5EC8">
            <w:pPr>
              <w:widowControl/>
              <w:autoSpaceDE/>
              <w:autoSpaceDN/>
              <w:adjustRightInd/>
              <w:jc w:val="center"/>
              <w:rPr>
                <w:b/>
                <w:bCs/>
                <w:sz w:val="24"/>
              </w:rPr>
            </w:pPr>
            <w:r w:rsidRPr="00884B0D">
              <w:rPr>
                <w:b/>
                <w:bCs/>
                <w:sz w:val="24"/>
              </w:rPr>
              <w:t xml:space="preserve">Table 1: Annual Burden for OP-1 </w:t>
            </w:r>
            <w:r>
              <w:rPr>
                <w:b/>
                <w:bCs/>
                <w:sz w:val="24"/>
              </w:rPr>
              <w:t>Series of Forms</w:t>
            </w:r>
          </w:p>
        </w:tc>
      </w:tr>
      <w:tr w:rsidR="00A91FD9" w:rsidRPr="00884B0D" w:rsidTr="00673742">
        <w:trPr>
          <w:trHeight w:val="332"/>
          <w:jc w:val="center"/>
        </w:trPr>
        <w:tc>
          <w:tcPr>
            <w:tcW w:w="2132" w:type="dxa"/>
            <w:tcBorders>
              <w:top w:val="nil"/>
              <w:left w:val="single" w:sz="8" w:space="0" w:color="auto"/>
              <w:bottom w:val="single" w:sz="4" w:space="0" w:color="auto"/>
              <w:right w:val="single" w:sz="4" w:space="0" w:color="auto"/>
            </w:tcBorders>
            <w:shd w:val="clear" w:color="auto" w:fill="D9D9D9" w:themeFill="background1" w:themeFillShade="D9"/>
            <w:noWrap/>
            <w:vAlign w:val="bottom"/>
          </w:tcPr>
          <w:p w:rsidR="00A91FD9" w:rsidRPr="00884B0D" w:rsidRDefault="00A91FD9" w:rsidP="00DF5EC8">
            <w:pPr>
              <w:widowControl/>
              <w:autoSpaceDE/>
              <w:autoSpaceDN/>
              <w:adjustRightInd/>
              <w:jc w:val="center"/>
              <w:rPr>
                <w:b/>
                <w:bCs/>
                <w:sz w:val="24"/>
              </w:rPr>
            </w:pPr>
            <w:r>
              <w:rPr>
                <w:b/>
                <w:bCs/>
                <w:sz w:val="24"/>
              </w:rPr>
              <w:t>Form</w:t>
            </w:r>
          </w:p>
        </w:tc>
        <w:tc>
          <w:tcPr>
            <w:tcW w:w="3782" w:type="dxa"/>
            <w:gridSpan w:val="3"/>
            <w:tcBorders>
              <w:top w:val="nil"/>
              <w:left w:val="nil"/>
              <w:bottom w:val="single" w:sz="4" w:space="0" w:color="auto"/>
              <w:right w:val="single" w:sz="8" w:space="0" w:color="auto"/>
            </w:tcBorders>
            <w:shd w:val="clear" w:color="auto" w:fill="D9D9D9" w:themeFill="background1" w:themeFillShade="D9"/>
            <w:vAlign w:val="bottom"/>
          </w:tcPr>
          <w:p w:rsidR="00A91FD9" w:rsidRPr="00884B0D" w:rsidRDefault="00A91FD9" w:rsidP="00DF5EC8">
            <w:pPr>
              <w:widowControl/>
              <w:autoSpaceDE/>
              <w:autoSpaceDN/>
              <w:adjustRightInd/>
              <w:jc w:val="center"/>
              <w:rPr>
                <w:b/>
                <w:bCs/>
                <w:sz w:val="24"/>
              </w:rPr>
            </w:pPr>
            <w:r>
              <w:rPr>
                <w:b/>
                <w:bCs/>
                <w:sz w:val="24"/>
              </w:rPr>
              <w:t>Year 1</w:t>
            </w:r>
          </w:p>
        </w:tc>
        <w:tc>
          <w:tcPr>
            <w:tcW w:w="3659" w:type="dxa"/>
            <w:gridSpan w:val="3"/>
            <w:tcBorders>
              <w:top w:val="nil"/>
              <w:left w:val="nil"/>
              <w:bottom w:val="single" w:sz="4" w:space="0" w:color="auto"/>
              <w:right w:val="single" w:sz="8" w:space="0" w:color="auto"/>
            </w:tcBorders>
            <w:shd w:val="clear" w:color="auto" w:fill="D9D9D9" w:themeFill="background1" w:themeFillShade="D9"/>
            <w:vAlign w:val="bottom"/>
          </w:tcPr>
          <w:p w:rsidR="00A91FD9" w:rsidRPr="00884B0D" w:rsidRDefault="00A91FD9" w:rsidP="00DF5EC8">
            <w:pPr>
              <w:widowControl/>
              <w:autoSpaceDE/>
              <w:autoSpaceDN/>
              <w:adjustRightInd/>
              <w:jc w:val="center"/>
              <w:rPr>
                <w:b/>
                <w:bCs/>
                <w:sz w:val="24"/>
              </w:rPr>
            </w:pPr>
            <w:r>
              <w:rPr>
                <w:b/>
                <w:bCs/>
                <w:sz w:val="24"/>
              </w:rPr>
              <w:t>Years 2 and 3</w:t>
            </w:r>
          </w:p>
        </w:tc>
      </w:tr>
      <w:tr w:rsidR="00A91FD9" w:rsidRPr="00884B0D" w:rsidTr="00673742">
        <w:trPr>
          <w:trHeight w:val="630"/>
          <w:jc w:val="center"/>
        </w:trPr>
        <w:tc>
          <w:tcPr>
            <w:tcW w:w="2132" w:type="dxa"/>
            <w:tcBorders>
              <w:top w:val="nil"/>
              <w:left w:val="single" w:sz="8" w:space="0" w:color="auto"/>
              <w:bottom w:val="single" w:sz="4" w:space="0" w:color="auto"/>
              <w:right w:val="single" w:sz="4" w:space="0" w:color="auto"/>
            </w:tcBorders>
            <w:shd w:val="clear" w:color="auto" w:fill="auto"/>
            <w:noWrap/>
            <w:vAlign w:val="bottom"/>
            <w:hideMark/>
          </w:tcPr>
          <w:p w:rsidR="00A91FD9" w:rsidRPr="00884B0D" w:rsidRDefault="00A91FD9" w:rsidP="00DF5EC8">
            <w:pPr>
              <w:widowControl/>
              <w:autoSpaceDE/>
              <w:autoSpaceDN/>
              <w:adjustRightInd/>
              <w:jc w:val="right"/>
              <w:rPr>
                <w:b/>
                <w:bCs/>
                <w:sz w:val="24"/>
              </w:rPr>
            </w:pPr>
            <w:r w:rsidRPr="00884B0D">
              <w:rPr>
                <w:b/>
                <w:bCs/>
                <w:sz w:val="24"/>
              </w:rPr>
              <w:t> </w:t>
            </w:r>
          </w:p>
        </w:tc>
        <w:tc>
          <w:tcPr>
            <w:tcW w:w="1260" w:type="dxa"/>
            <w:tcBorders>
              <w:top w:val="nil"/>
              <w:left w:val="nil"/>
              <w:bottom w:val="single" w:sz="4" w:space="0" w:color="auto"/>
              <w:right w:val="single" w:sz="4" w:space="0" w:color="auto"/>
            </w:tcBorders>
            <w:shd w:val="clear" w:color="auto" w:fill="auto"/>
            <w:vAlign w:val="bottom"/>
            <w:hideMark/>
          </w:tcPr>
          <w:p w:rsidR="00A91FD9" w:rsidRDefault="00A91FD9" w:rsidP="00DF5EC8">
            <w:pPr>
              <w:widowControl/>
              <w:autoSpaceDE/>
              <w:autoSpaceDN/>
              <w:adjustRightInd/>
              <w:jc w:val="right"/>
              <w:rPr>
                <w:b/>
                <w:bCs/>
                <w:sz w:val="24"/>
              </w:rPr>
            </w:pPr>
            <w:r>
              <w:rPr>
                <w:b/>
                <w:bCs/>
                <w:sz w:val="24"/>
              </w:rPr>
              <w:t>Annual</w:t>
            </w:r>
          </w:p>
          <w:p w:rsidR="00A91FD9" w:rsidRPr="00884B0D" w:rsidRDefault="00A91FD9" w:rsidP="00DF5EC8">
            <w:pPr>
              <w:widowControl/>
              <w:autoSpaceDE/>
              <w:autoSpaceDN/>
              <w:adjustRightInd/>
              <w:jc w:val="right"/>
              <w:rPr>
                <w:b/>
                <w:bCs/>
                <w:sz w:val="24"/>
              </w:rPr>
            </w:pPr>
            <w:r w:rsidRPr="00884B0D">
              <w:rPr>
                <w:b/>
                <w:bCs/>
                <w:sz w:val="24"/>
              </w:rPr>
              <w:t>Responses</w:t>
            </w:r>
          </w:p>
        </w:tc>
        <w:tc>
          <w:tcPr>
            <w:tcW w:w="1260" w:type="dxa"/>
            <w:tcBorders>
              <w:top w:val="nil"/>
              <w:left w:val="nil"/>
              <w:bottom w:val="single" w:sz="4" w:space="0" w:color="auto"/>
              <w:right w:val="single" w:sz="4" w:space="0" w:color="auto"/>
            </w:tcBorders>
            <w:shd w:val="clear" w:color="auto" w:fill="auto"/>
            <w:vAlign w:val="bottom"/>
            <w:hideMark/>
          </w:tcPr>
          <w:p w:rsidR="00A91FD9" w:rsidRPr="00884B0D" w:rsidRDefault="00A91FD9" w:rsidP="00DF5EC8">
            <w:pPr>
              <w:widowControl/>
              <w:autoSpaceDE/>
              <w:autoSpaceDN/>
              <w:adjustRightInd/>
              <w:jc w:val="right"/>
              <w:rPr>
                <w:b/>
                <w:bCs/>
                <w:sz w:val="24"/>
              </w:rPr>
            </w:pPr>
            <w:r w:rsidRPr="00884B0D">
              <w:rPr>
                <w:b/>
                <w:bCs/>
                <w:sz w:val="24"/>
              </w:rPr>
              <w:t>Hours per Response</w:t>
            </w:r>
          </w:p>
        </w:tc>
        <w:tc>
          <w:tcPr>
            <w:tcW w:w="1262" w:type="dxa"/>
            <w:tcBorders>
              <w:top w:val="nil"/>
              <w:left w:val="nil"/>
              <w:bottom w:val="single" w:sz="4" w:space="0" w:color="auto"/>
              <w:right w:val="single" w:sz="8" w:space="0" w:color="auto"/>
            </w:tcBorders>
            <w:shd w:val="clear" w:color="auto" w:fill="auto"/>
            <w:vAlign w:val="bottom"/>
            <w:hideMark/>
          </w:tcPr>
          <w:p w:rsidR="00A91FD9" w:rsidRDefault="00A91FD9" w:rsidP="00DF5EC8">
            <w:pPr>
              <w:widowControl/>
              <w:autoSpaceDE/>
              <w:autoSpaceDN/>
              <w:adjustRightInd/>
              <w:jc w:val="right"/>
              <w:rPr>
                <w:b/>
                <w:bCs/>
                <w:sz w:val="24"/>
              </w:rPr>
            </w:pPr>
            <w:r w:rsidRPr="00884B0D">
              <w:rPr>
                <w:b/>
                <w:bCs/>
                <w:sz w:val="24"/>
              </w:rPr>
              <w:t>Annual Burden</w:t>
            </w:r>
          </w:p>
          <w:p w:rsidR="00A91FD9" w:rsidRPr="00884B0D" w:rsidRDefault="00A91FD9" w:rsidP="00DF5EC8">
            <w:pPr>
              <w:widowControl/>
              <w:autoSpaceDE/>
              <w:autoSpaceDN/>
              <w:adjustRightInd/>
              <w:jc w:val="right"/>
              <w:rPr>
                <w:b/>
                <w:bCs/>
                <w:sz w:val="24"/>
              </w:rPr>
            </w:pPr>
            <w:r>
              <w:rPr>
                <w:b/>
                <w:bCs/>
                <w:sz w:val="24"/>
              </w:rPr>
              <w:t>Hours</w:t>
            </w:r>
          </w:p>
        </w:tc>
        <w:tc>
          <w:tcPr>
            <w:tcW w:w="1348" w:type="dxa"/>
            <w:tcBorders>
              <w:top w:val="nil"/>
              <w:left w:val="nil"/>
              <w:bottom w:val="single" w:sz="4" w:space="0" w:color="auto"/>
              <w:right w:val="single" w:sz="8" w:space="0" w:color="auto"/>
            </w:tcBorders>
            <w:vAlign w:val="bottom"/>
          </w:tcPr>
          <w:p w:rsidR="00A91FD9" w:rsidRDefault="00A91FD9" w:rsidP="00DF5EC8">
            <w:pPr>
              <w:widowControl/>
              <w:autoSpaceDE/>
              <w:autoSpaceDN/>
              <w:adjustRightInd/>
              <w:jc w:val="right"/>
              <w:rPr>
                <w:b/>
                <w:bCs/>
                <w:sz w:val="24"/>
              </w:rPr>
            </w:pPr>
            <w:r>
              <w:rPr>
                <w:b/>
                <w:bCs/>
                <w:sz w:val="24"/>
              </w:rPr>
              <w:t>Annual</w:t>
            </w:r>
          </w:p>
          <w:p w:rsidR="00A91FD9" w:rsidRPr="00884B0D" w:rsidRDefault="00A91FD9" w:rsidP="00DF5EC8">
            <w:pPr>
              <w:widowControl/>
              <w:autoSpaceDE/>
              <w:autoSpaceDN/>
              <w:adjustRightInd/>
              <w:jc w:val="right"/>
              <w:rPr>
                <w:b/>
                <w:bCs/>
                <w:sz w:val="24"/>
              </w:rPr>
            </w:pPr>
            <w:r w:rsidRPr="00884B0D">
              <w:rPr>
                <w:b/>
                <w:bCs/>
                <w:sz w:val="24"/>
              </w:rPr>
              <w:t>Responses</w:t>
            </w:r>
          </w:p>
        </w:tc>
        <w:tc>
          <w:tcPr>
            <w:tcW w:w="1321" w:type="dxa"/>
            <w:tcBorders>
              <w:top w:val="nil"/>
              <w:left w:val="nil"/>
              <w:bottom w:val="single" w:sz="4" w:space="0" w:color="auto"/>
              <w:right w:val="single" w:sz="8" w:space="0" w:color="auto"/>
            </w:tcBorders>
            <w:vAlign w:val="bottom"/>
          </w:tcPr>
          <w:p w:rsidR="00A91FD9" w:rsidRPr="00884B0D" w:rsidRDefault="00A91FD9" w:rsidP="00DF5EC8">
            <w:pPr>
              <w:widowControl/>
              <w:autoSpaceDE/>
              <w:autoSpaceDN/>
              <w:adjustRightInd/>
              <w:jc w:val="right"/>
              <w:rPr>
                <w:b/>
                <w:bCs/>
                <w:sz w:val="24"/>
              </w:rPr>
            </w:pPr>
            <w:r w:rsidRPr="00884B0D">
              <w:rPr>
                <w:b/>
                <w:bCs/>
                <w:sz w:val="24"/>
              </w:rPr>
              <w:t>Hours per Response</w:t>
            </w:r>
          </w:p>
        </w:tc>
        <w:tc>
          <w:tcPr>
            <w:tcW w:w="990" w:type="dxa"/>
            <w:tcBorders>
              <w:top w:val="nil"/>
              <w:left w:val="nil"/>
              <w:bottom w:val="single" w:sz="4" w:space="0" w:color="auto"/>
              <w:right w:val="single" w:sz="8" w:space="0" w:color="auto"/>
            </w:tcBorders>
            <w:vAlign w:val="bottom"/>
          </w:tcPr>
          <w:p w:rsidR="00A91FD9" w:rsidRDefault="00A91FD9" w:rsidP="00DF5EC8">
            <w:pPr>
              <w:widowControl/>
              <w:autoSpaceDE/>
              <w:autoSpaceDN/>
              <w:adjustRightInd/>
              <w:jc w:val="right"/>
              <w:rPr>
                <w:b/>
                <w:bCs/>
                <w:sz w:val="24"/>
              </w:rPr>
            </w:pPr>
            <w:r w:rsidRPr="00884B0D">
              <w:rPr>
                <w:b/>
                <w:bCs/>
                <w:sz w:val="24"/>
              </w:rPr>
              <w:t>Annual Burden</w:t>
            </w:r>
          </w:p>
          <w:p w:rsidR="00A91FD9" w:rsidRPr="00884B0D" w:rsidRDefault="00A91FD9" w:rsidP="00DF5EC8">
            <w:pPr>
              <w:widowControl/>
              <w:autoSpaceDE/>
              <w:autoSpaceDN/>
              <w:adjustRightInd/>
              <w:jc w:val="right"/>
              <w:rPr>
                <w:b/>
                <w:bCs/>
                <w:sz w:val="24"/>
              </w:rPr>
            </w:pPr>
            <w:r>
              <w:rPr>
                <w:b/>
                <w:bCs/>
                <w:sz w:val="24"/>
              </w:rPr>
              <w:t>Hours</w:t>
            </w:r>
          </w:p>
        </w:tc>
      </w:tr>
      <w:tr w:rsidR="00A91FD9" w:rsidRPr="00884B0D" w:rsidTr="00673742">
        <w:trPr>
          <w:trHeight w:val="315"/>
          <w:jc w:val="center"/>
        </w:trPr>
        <w:tc>
          <w:tcPr>
            <w:tcW w:w="2132" w:type="dxa"/>
            <w:tcBorders>
              <w:top w:val="nil"/>
              <w:left w:val="single" w:sz="8" w:space="0" w:color="auto"/>
              <w:bottom w:val="single" w:sz="4" w:space="0" w:color="auto"/>
              <w:right w:val="single" w:sz="4" w:space="0" w:color="auto"/>
            </w:tcBorders>
            <w:shd w:val="clear" w:color="auto" w:fill="auto"/>
            <w:noWrap/>
          </w:tcPr>
          <w:p w:rsidR="00A91FD9" w:rsidRPr="006D1D76" w:rsidRDefault="00A91FD9" w:rsidP="00673742">
            <w:pPr>
              <w:widowControl/>
              <w:autoSpaceDE/>
              <w:autoSpaceDN/>
              <w:adjustRightInd/>
              <w:rPr>
                <w:b/>
                <w:bCs/>
                <w:sz w:val="24"/>
              </w:rPr>
            </w:pPr>
            <w:r w:rsidRPr="00884B0D">
              <w:rPr>
                <w:b/>
                <w:bCs/>
                <w:sz w:val="24"/>
              </w:rPr>
              <w:t>IC</w:t>
            </w:r>
            <w:r>
              <w:rPr>
                <w:b/>
                <w:bCs/>
                <w:sz w:val="24"/>
              </w:rPr>
              <w:t>-</w:t>
            </w:r>
            <w:r w:rsidRPr="00884B0D">
              <w:rPr>
                <w:b/>
                <w:bCs/>
                <w:sz w:val="24"/>
              </w:rPr>
              <w:t>1: OP-1</w:t>
            </w:r>
          </w:p>
        </w:tc>
        <w:tc>
          <w:tcPr>
            <w:tcW w:w="1260" w:type="dxa"/>
            <w:tcBorders>
              <w:top w:val="nil"/>
              <w:left w:val="nil"/>
              <w:bottom w:val="single" w:sz="4" w:space="0" w:color="auto"/>
              <w:right w:val="single" w:sz="4" w:space="0" w:color="auto"/>
            </w:tcBorders>
            <w:shd w:val="clear" w:color="auto" w:fill="auto"/>
            <w:noWrap/>
            <w:vAlign w:val="center"/>
          </w:tcPr>
          <w:p w:rsidR="00A91FD9" w:rsidRDefault="00A91FD9" w:rsidP="00DF5EC8">
            <w:pPr>
              <w:widowControl/>
              <w:autoSpaceDE/>
              <w:autoSpaceDN/>
              <w:adjustRightInd/>
              <w:jc w:val="right"/>
              <w:rPr>
                <w:sz w:val="24"/>
              </w:rPr>
            </w:pPr>
            <w:r w:rsidRPr="00884B0D">
              <w:rPr>
                <w:sz w:val="24"/>
              </w:rPr>
              <w:t>35,700</w:t>
            </w:r>
          </w:p>
        </w:tc>
        <w:tc>
          <w:tcPr>
            <w:tcW w:w="1260" w:type="dxa"/>
            <w:tcBorders>
              <w:top w:val="nil"/>
              <w:left w:val="nil"/>
              <w:bottom w:val="single" w:sz="4" w:space="0" w:color="auto"/>
              <w:right w:val="single" w:sz="4" w:space="0" w:color="auto"/>
            </w:tcBorders>
            <w:shd w:val="clear" w:color="auto" w:fill="auto"/>
            <w:noWrap/>
            <w:vAlign w:val="center"/>
          </w:tcPr>
          <w:p w:rsidR="00A91FD9" w:rsidRDefault="00A91FD9" w:rsidP="00DF5EC8">
            <w:pPr>
              <w:widowControl/>
              <w:autoSpaceDE/>
              <w:autoSpaceDN/>
              <w:adjustRightInd/>
              <w:jc w:val="right"/>
              <w:rPr>
                <w:sz w:val="24"/>
              </w:rPr>
            </w:pPr>
            <w:r w:rsidRPr="00884B0D">
              <w:rPr>
                <w:sz w:val="24"/>
              </w:rPr>
              <w:t>2</w:t>
            </w:r>
          </w:p>
        </w:tc>
        <w:tc>
          <w:tcPr>
            <w:tcW w:w="1262" w:type="dxa"/>
            <w:tcBorders>
              <w:top w:val="nil"/>
              <w:left w:val="nil"/>
              <w:bottom w:val="single" w:sz="4" w:space="0" w:color="auto"/>
              <w:right w:val="single" w:sz="8" w:space="0" w:color="auto"/>
            </w:tcBorders>
            <w:shd w:val="clear" w:color="auto" w:fill="auto"/>
            <w:noWrap/>
            <w:vAlign w:val="center"/>
          </w:tcPr>
          <w:p w:rsidR="00A91FD9" w:rsidRDefault="00A91FD9" w:rsidP="00DF5EC8">
            <w:pPr>
              <w:widowControl/>
              <w:autoSpaceDE/>
              <w:autoSpaceDN/>
              <w:adjustRightInd/>
              <w:jc w:val="right"/>
              <w:rPr>
                <w:sz w:val="24"/>
              </w:rPr>
            </w:pPr>
            <w:r w:rsidRPr="00884B0D">
              <w:rPr>
                <w:sz w:val="24"/>
              </w:rPr>
              <w:t>71,400</w:t>
            </w:r>
          </w:p>
        </w:tc>
        <w:tc>
          <w:tcPr>
            <w:tcW w:w="1348" w:type="dxa"/>
            <w:tcBorders>
              <w:top w:val="nil"/>
              <w:left w:val="nil"/>
              <w:bottom w:val="single" w:sz="4" w:space="0" w:color="auto"/>
              <w:right w:val="single" w:sz="8" w:space="0" w:color="auto"/>
            </w:tcBorders>
            <w:vAlign w:val="center"/>
          </w:tcPr>
          <w:p w:rsidR="00A91FD9" w:rsidRPr="00884B0D" w:rsidRDefault="00A91FD9" w:rsidP="00DF5EC8">
            <w:pPr>
              <w:widowControl/>
              <w:autoSpaceDE/>
              <w:autoSpaceDN/>
              <w:adjustRightInd/>
              <w:jc w:val="right"/>
              <w:rPr>
                <w:sz w:val="24"/>
              </w:rPr>
            </w:pPr>
            <w:r>
              <w:rPr>
                <w:sz w:val="24"/>
              </w:rPr>
              <w:t>0</w:t>
            </w:r>
          </w:p>
        </w:tc>
        <w:tc>
          <w:tcPr>
            <w:tcW w:w="1321" w:type="dxa"/>
            <w:tcBorders>
              <w:top w:val="nil"/>
              <w:left w:val="nil"/>
              <w:bottom w:val="single" w:sz="4" w:space="0" w:color="auto"/>
              <w:right w:val="single" w:sz="8" w:space="0" w:color="auto"/>
            </w:tcBorders>
            <w:vAlign w:val="center"/>
          </w:tcPr>
          <w:p w:rsidR="00A91FD9" w:rsidRPr="00884B0D" w:rsidRDefault="00A91FD9" w:rsidP="00DF5EC8">
            <w:pPr>
              <w:widowControl/>
              <w:autoSpaceDE/>
              <w:autoSpaceDN/>
              <w:adjustRightInd/>
              <w:jc w:val="right"/>
              <w:rPr>
                <w:sz w:val="24"/>
              </w:rPr>
            </w:pPr>
            <w:r>
              <w:rPr>
                <w:sz w:val="24"/>
              </w:rPr>
              <w:t>0</w:t>
            </w:r>
          </w:p>
        </w:tc>
        <w:tc>
          <w:tcPr>
            <w:tcW w:w="990" w:type="dxa"/>
            <w:tcBorders>
              <w:top w:val="nil"/>
              <w:left w:val="nil"/>
              <w:bottom w:val="single" w:sz="4" w:space="0" w:color="auto"/>
              <w:right w:val="single" w:sz="8" w:space="0" w:color="auto"/>
            </w:tcBorders>
            <w:vAlign w:val="center"/>
          </w:tcPr>
          <w:p w:rsidR="00A91FD9" w:rsidRPr="00884B0D" w:rsidRDefault="00A91FD9" w:rsidP="00DF5EC8">
            <w:pPr>
              <w:widowControl/>
              <w:autoSpaceDE/>
              <w:autoSpaceDN/>
              <w:adjustRightInd/>
              <w:jc w:val="right"/>
              <w:rPr>
                <w:sz w:val="24"/>
              </w:rPr>
            </w:pPr>
            <w:r>
              <w:rPr>
                <w:sz w:val="24"/>
              </w:rPr>
              <w:t>0</w:t>
            </w:r>
          </w:p>
        </w:tc>
      </w:tr>
      <w:tr w:rsidR="00A91FD9" w:rsidRPr="00884B0D" w:rsidTr="00673742">
        <w:trPr>
          <w:trHeight w:val="315"/>
          <w:jc w:val="center"/>
        </w:trPr>
        <w:tc>
          <w:tcPr>
            <w:tcW w:w="2132" w:type="dxa"/>
            <w:tcBorders>
              <w:top w:val="nil"/>
              <w:left w:val="single" w:sz="8" w:space="0" w:color="auto"/>
              <w:bottom w:val="single" w:sz="4" w:space="0" w:color="auto"/>
              <w:right w:val="single" w:sz="4" w:space="0" w:color="auto"/>
            </w:tcBorders>
            <w:shd w:val="clear" w:color="auto" w:fill="auto"/>
            <w:noWrap/>
          </w:tcPr>
          <w:p w:rsidR="00A91FD9" w:rsidRPr="006D1D76" w:rsidRDefault="00A91FD9" w:rsidP="00673742">
            <w:pPr>
              <w:widowControl/>
              <w:autoSpaceDE/>
              <w:autoSpaceDN/>
              <w:adjustRightInd/>
              <w:rPr>
                <w:b/>
                <w:bCs/>
                <w:sz w:val="24"/>
              </w:rPr>
            </w:pPr>
            <w:r w:rsidRPr="00884B0D">
              <w:rPr>
                <w:b/>
                <w:bCs/>
                <w:sz w:val="24"/>
              </w:rPr>
              <w:t>IC</w:t>
            </w:r>
            <w:r>
              <w:rPr>
                <w:b/>
                <w:bCs/>
                <w:sz w:val="24"/>
              </w:rPr>
              <w:t>-</w:t>
            </w:r>
            <w:r w:rsidRPr="00884B0D">
              <w:rPr>
                <w:b/>
                <w:bCs/>
                <w:sz w:val="24"/>
              </w:rPr>
              <w:t xml:space="preserve"> 2: OP-1(P)</w:t>
            </w:r>
          </w:p>
        </w:tc>
        <w:tc>
          <w:tcPr>
            <w:tcW w:w="1260" w:type="dxa"/>
            <w:tcBorders>
              <w:top w:val="nil"/>
              <w:left w:val="nil"/>
              <w:bottom w:val="single" w:sz="4" w:space="0" w:color="auto"/>
              <w:right w:val="single" w:sz="4" w:space="0" w:color="auto"/>
            </w:tcBorders>
            <w:shd w:val="clear" w:color="auto" w:fill="auto"/>
            <w:noWrap/>
            <w:vAlign w:val="center"/>
          </w:tcPr>
          <w:p w:rsidR="00A91FD9" w:rsidRDefault="00A91FD9" w:rsidP="00DF5EC8">
            <w:pPr>
              <w:widowControl/>
              <w:autoSpaceDE/>
              <w:autoSpaceDN/>
              <w:adjustRightInd/>
              <w:jc w:val="right"/>
              <w:rPr>
                <w:sz w:val="24"/>
              </w:rPr>
            </w:pPr>
            <w:r w:rsidRPr="00884B0D">
              <w:rPr>
                <w:sz w:val="24"/>
              </w:rPr>
              <w:t>1,000</w:t>
            </w:r>
          </w:p>
        </w:tc>
        <w:tc>
          <w:tcPr>
            <w:tcW w:w="1260" w:type="dxa"/>
            <w:tcBorders>
              <w:top w:val="nil"/>
              <w:left w:val="nil"/>
              <w:bottom w:val="single" w:sz="4" w:space="0" w:color="auto"/>
              <w:right w:val="single" w:sz="4" w:space="0" w:color="auto"/>
            </w:tcBorders>
            <w:shd w:val="clear" w:color="auto" w:fill="auto"/>
            <w:noWrap/>
            <w:vAlign w:val="center"/>
          </w:tcPr>
          <w:p w:rsidR="00A91FD9" w:rsidRDefault="00A91FD9" w:rsidP="00DF5EC8">
            <w:pPr>
              <w:widowControl/>
              <w:autoSpaceDE/>
              <w:autoSpaceDN/>
              <w:adjustRightInd/>
              <w:jc w:val="right"/>
              <w:rPr>
                <w:sz w:val="24"/>
              </w:rPr>
            </w:pPr>
            <w:r w:rsidRPr="00884B0D">
              <w:rPr>
                <w:sz w:val="24"/>
              </w:rPr>
              <w:t>2</w:t>
            </w:r>
          </w:p>
        </w:tc>
        <w:tc>
          <w:tcPr>
            <w:tcW w:w="1262" w:type="dxa"/>
            <w:tcBorders>
              <w:top w:val="nil"/>
              <w:left w:val="nil"/>
              <w:bottom w:val="single" w:sz="4" w:space="0" w:color="auto"/>
              <w:right w:val="single" w:sz="8" w:space="0" w:color="auto"/>
            </w:tcBorders>
            <w:shd w:val="clear" w:color="auto" w:fill="auto"/>
            <w:noWrap/>
            <w:vAlign w:val="center"/>
          </w:tcPr>
          <w:p w:rsidR="00A91FD9" w:rsidRDefault="00A91FD9" w:rsidP="00DF5EC8">
            <w:pPr>
              <w:widowControl/>
              <w:autoSpaceDE/>
              <w:autoSpaceDN/>
              <w:adjustRightInd/>
              <w:jc w:val="right"/>
              <w:rPr>
                <w:sz w:val="24"/>
              </w:rPr>
            </w:pPr>
            <w:r w:rsidRPr="00884B0D">
              <w:rPr>
                <w:sz w:val="24"/>
              </w:rPr>
              <w:t>2,000</w:t>
            </w:r>
          </w:p>
        </w:tc>
        <w:tc>
          <w:tcPr>
            <w:tcW w:w="1348" w:type="dxa"/>
            <w:tcBorders>
              <w:top w:val="nil"/>
              <w:left w:val="nil"/>
              <w:bottom w:val="single" w:sz="4" w:space="0" w:color="auto"/>
              <w:right w:val="single" w:sz="8" w:space="0" w:color="auto"/>
            </w:tcBorders>
            <w:vAlign w:val="center"/>
          </w:tcPr>
          <w:p w:rsidR="00A91FD9" w:rsidRPr="00884B0D" w:rsidRDefault="00A91FD9" w:rsidP="00DF5EC8">
            <w:pPr>
              <w:widowControl/>
              <w:autoSpaceDE/>
              <w:autoSpaceDN/>
              <w:adjustRightInd/>
              <w:jc w:val="right"/>
              <w:rPr>
                <w:sz w:val="24"/>
              </w:rPr>
            </w:pPr>
            <w:r>
              <w:rPr>
                <w:sz w:val="24"/>
              </w:rPr>
              <w:t>0</w:t>
            </w:r>
          </w:p>
        </w:tc>
        <w:tc>
          <w:tcPr>
            <w:tcW w:w="1321" w:type="dxa"/>
            <w:tcBorders>
              <w:top w:val="nil"/>
              <w:left w:val="nil"/>
              <w:bottom w:val="single" w:sz="4" w:space="0" w:color="auto"/>
              <w:right w:val="single" w:sz="8" w:space="0" w:color="auto"/>
            </w:tcBorders>
            <w:vAlign w:val="center"/>
          </w:tcPr>
          <w:p w:rsidR="00A91FD9" w:rsidRPr="00884B0D" w:rsidRDefault="00A91FD9" w:rsidP="00DF5EC8">
            <w:pPr>
              <w:widowControl/>
              <w:autoSpaceDE/>
              <w:autoSpaceDN/>
              <w:adjustRightInd/>
              <w:jc w:val="right"/>
              <w:rPr>
                <w:sz w:val="24"/>
              </w:rPr>
            </w:pPr>
            <w:r>
              <w:rPr>
                <w:sz w:val="24"/>
              </w:rPr>
              <w:t>0</w:t>
            </w:r>
          </w:p>
        </w:tc>
        <w:tc>
          <w:tcPr>
            <w:tcW w:w="990" w:type="dxa"/>
            <w:tcBorders>
              <w:top w:val="nil"/>
              <w:left w:val="nil"/>
              <w:bottom w:val="single" w:sz="4" w:space="0" w:color="auto"/>
              <w:right w:val="single" w:sz="8" w:space="0" w:color="auto"/>
            </w:tcBorders>
            <w:vAlign w:val="center"/>
          </w:tcPr>
          <w:p w:rsidR="00A91FD9" w:rsidRPr="00884B0D" w:rsidRDefault="00A91FD9" w:rsidP="00DF5EC8">
            <w:pPr>
              <w:widowControl/>
              <w:autoSpaceDE/>
              <w:autoSpaceDN/>
              <w:adjustRightInd/>
              <w:jc w:val="right"/>
              <w:rPr>
                <w:sz w:val="24"/>
              </w:rPr>
            </w:pPr>
            <w:r>
              <w:rPr>
                <w:sz w:val="24"/>
              </w:rPr>
              <w:t>0</w:t>
            </w:r>
          </w:p>
        </w:tc>
      </w:tr>
      <w:tr w:rsidR="00A91FD9" w:rsidRPr="00884B0D" w:rsidTr="00673742">
        <w:trPr>
          <w:trHeight w:val="315"/>
          <w:jc w:val="center"/>
        </w:trPr>
        <w:tc>
          <w:tcPr>
            <w:tcW w:w="2132" w:type="dxa"/>
            <w:tcBorders>
              <w:top w:val="nil"/>
              <w:left w:val="single" w:sz="8" w:space="0" w:color="auto"/>
              <w:bottom w:val="single" w:sz="4" w:space="0" w:color="auto"/>
              <w:right w:val="single" w:sz="4" w:space="0" w:color="auto"/>
            </w:tcBorders>
            <w:shd w:val="clear" w:color="auto" w:fill="auto"/>
            <w:noWrap/>
          </w:tcPr>
          <w:p w:rsidR="00A91FD9" w:rsidRPr="006D1D76" w:rsidRDefault="00A91FD9" w:rsidP="00673742">
            <w:pPr>
              <w:widowControl/>
              <w:autoSpaceDE/>
              <w:autoSpaceDN/>
              <w:adjustRightInd/>
              <w:rPr>
                <w:b/>
                <w:bCs/>
                <w:sz w:val="24"/>
              </w:rPr>
            </w:pPr>
            <w:r w:rsidRPr="00884B0D">
              <w:rPr>
                <w:b/>
                <w:bCs/>
                <w:sz w:val="24"/>
              </w:rPr>
              <w:t>IC</w:t>
            </w:r>
            <w:r>
              <w:rPr>
                <w:b/>
                <w:bCs/>
                <w:sz w:val="24"/>
              </w:rPr>
              <w:t>-</w:t>
            </w:r>
            <w:r w:rsidRPr="00884B0D">
              <w:rPr>
                <w:b/>
                <w:bCs/>
                <w:sz w:val="24"/>
              </w:rPr>
              <w:t xml:space="preserve"> 3: OP-1(FF)</w:t>
            </w:r>
          </w:p>
        </w:tc>
        <w:tc>
          <w:tcPr>
            <w:tcW w:w="1260" w:type="dxa"/>
            <w:tcBorders>
              <w:top w:val="nil"/>
              <w:left w:val="nil"/>
              <w:bottom w:val="single" w:sz="4" w:space="0" w:color="auto"/>
              <w:right w:val="single" w:sz="4" w:space="0" w:color="auto"/>
            </w:tcBorders>
            <w:shd w:val="clear" w:color="auto" w:fill="auto"/>
            <w:noWrap/>
            <w:vAlign w:val="center"/>
          </w:tcPr>
          <w:p w:rsidR="00A91FD9" w:rsidRDefault="00A91FD9" w:rsidP="00DF5EC8">
            <w:pPr>
              <w:widowControl/>
              <w:autoSpaceDE/>
              <w:autoSpaceDN/>
              <w:adjustRightInd/>
              <w:jc w:val="right"/>
              <w:rPr>
                <w:sz w:val="24"/>
              </w:rPr>
            </w:pPr>
            <w:r w:rsidRPr="00884B0D">
              <w:rPr>
                <w:sz w:val="24"/>
              </w:rPr>
              <w:t>500</w:t>
            </w:r>
          </w:p>
        </w:tc>
        <w:tc>
          <w:tcPr>
            <w:tcW w:w="1260" w:type="dxa"/>
            <w:tcBorders>
              <w:top w:val="nil"/>
              <w:left w:val="nil"/>
              <w:bottom w:val="single" w:sz="4" w:space="0" w:color="auto"/>
              <w:right w:val="single" w:sz="4" w:space="0" w:color="auto"/>
            </w:tcBorders>
            <w:shd w:val="clear" w:color="auto" w:fill="auto"/>
            <w:noWrap/>
            <w:vAlign w:val="center"/>
          </w:tcPr>
          <w:p w:rsidR="00A91FD9" w:rsidRDefault="00A91FD9" w:rsidP="00DF5EC8">
            <w:pPr>
              <w:widowControl/>
              <w:autoSpaceDE/>
              <w:autoSpaceDN/>
              <w:adjustRightInd/>
              <w:jc w:val="right"/>
              <w:rPr>
                <w:sz w:val="24"/>
              </w:rPr>
            </w:pPr>
            <w:r w:rsidRPr="00884B0D">
              <w:rPr>
                <w:sz w:val="24"/>
              </w:rPr>
              <w:t>2</w:t>
            </w:r>
          </w:p>
        </w:tc>
        <w:tc>
          <w:tcPr>
            <w:tcW w:w="1262" w:type="dxa"/>
            <w:tcBorders>
              <w:top w:val="nil"/>
              <w:left w:val="nil"/>
              <w:bottom w:val="single" w:sz="4" w:space="0" w:color="auto"/>
              <w:right w:val="single" w:sz="8" w:space="0" w:color="auto"/>
            </w:tcBorders>
            <w:shd w:val="clear" w:color="auto" w:fill="auto"/>
            <w:noWrap/>
            <w:vAlign w:val="center"/>
          </w:tcPr>
          <w:p w:rsidR="00A91FD9" w:rsidRDefault="00A91FD9" w:rsidP="00DF5EC8">
            <w:pPr>
              <w:widowControl/>
              <w:autoSpaceDE/>
              <w:autoSpaceDN/>
              <w:adjustRightInd/>
              <w:jc w:val="right"/>
              <w:rPr>
                <w:sz w:val="24"/>
              </w:rPr>
            </w:pPr>
            <w:r w:rsidRPr="00884B0D">
              <w:rPr>
                <w:sz w:val="24"/>
              </w:rPr>
              <w:t>1,000</w:t>
            </w:r>
          </w:p>
        </w:tc>
        <w:tc>
          <w:tcPr>
            <w:tcW w:w="1348" w:type="dxa"/>
            <w:tcBorders>
              <w:top w:val="nil"/>
              <w:left w:val="nil"/>
              <w:bottom w:val="single" w:sz="4" w:space="0" w:color="auto"/>
              <w:right w:val="single" w:sz="8" w:space="0" w:color="auto"/>
            </w:tcBorders>
            <w:vAlign w:val="center"/>
          </w:tcPr>
          <w:p w:rsidR="00A91FD9" w:rsidRPr="00884B0D" w:rsidRDefault="00A91FD9" w:rsidP="00DF5EC8">
            <w:pPr>
              <w:widowControl/>
              <w:autoSpaceDE/>
              <w:autoSpaceDN/>
              <w:adjustRightInd/>
              <w:jc w:val="right"/>
              <w:rPr>
                <w:sz w:val="24"/>
              </w:rPr>
            </w:pPr>
            <w:r>
              <w:rPr>
                <w:sz w:val="24"/>
              </w:rPr>
              <w:t>0</w:t>
            </w:r>
          </w:p>
        </w:tc>
        <w:tc>
          <w:tcPr>
            <w:tcW w:w="1321" w:type="dxa"/>
            <w:tcBorders>
              <w:top w:val="nil"/>
              <w:left w:val="nil"/>
              <w:bottom w:val="single" w:sz="4" w:space="0" w:color="auto"/>
              <w:right w:val="single" w:sz="8" w:space="0" w:color="auto"/>
            </w:tcBorders>
            <w:vAlign w:val="center"/>
          </w:tcPr>
          <w:p w:rsidR="00A91FD9" w:rsidRPr="00884B0D" w:rsidRDefault="00A91FD9" w:rsidP="00DF5EC8">
            <w:pPr>
              <w:widowControl/>
              <w:autoSpaceDE/>
              <w:autoSpaceDN/>
              <w:adjustRightInd/>
              <w:jc w:val="right"/>
              <w:rPr>
                <w:sz w:val="24"/>
              </w:rPr>
            </w:pPr>
            <w:r>
              <w:rPr>
                <w:sz w:val="24"/>
              </w:rPr>
              <w:t>0</w:t>
            </w:r>
          </w:p>
        </w:tc>
        <w:tc>
          <w:tcPr>
            <w:tcW w:w="990" w:type="dxa"/>
            <w:tcBorders>
              <w:top w:val="nil"/>
              <w:left w:val="nil"/>
              <w:bottom w:val="single" w:sz="4" w:space="0" w:color="auto"/>
              <w:right w:val="single" w:sz="8" w:space="0" w:color="auto"/>
            </w:tcBorders>
            <w:vAlign w:val="center"/>
          </w:tcPr>
          <w:p w:rsidR="00A91FD9" w:rsidRPr="00884B0D" w:rsidRDefault="00A91FD9" w:rsidP="00DF5EC8">
            <w:pPr>
              <w:widowControl/>
              <w:autoSpaceDE/>
              <w:autoSpaceDN/>
              <w:adjustRightInd/>
              <w:jc w:val="right"/>
              <w:rPr>
                <w:sz w:val="24"/>
              </w:rPr>
            </w:pPr>
            <w:r>
              <w:rPr>
                <w:sz w:val="24"/>
              </w:rPr>
              <w:t>0</w:t>
            </w:r>
          </w:p>
        </w:tc>
      </w:tr>
      <w:tr w:rsidR="00A91FD9" w:rsidTr="00673742">
        <w:trPr>
          <w:trHeight w:val="315"/>
          <w:jc w:val="center"/>
        </w:trPr>
        <w:tc>
          <w:tcPr>
            <w:tcW w:w="2132" w:type="dxa"/>
            <w:tcBorders>
              <w:top w:val="nil"/>
              <w:left w:val="single" w:sz="8" w:space="0" w:color="auto"/>
              <w:bottom w:val="single" w:sz="4" w:space="0" w:color="auto"/>
              <w:right w:val="single" w:sz="4" w:space="0" w:color="auto"/>
            </w:tcBorders>
            <w:shd w:val="clear" w:color="auto" w:fill="auto"/>
            <w:noWrap/>
            <w:hideMark/>
          </w:tcPr>
          <w:p w:rsidR="00A91FD9" w:rsidRPr="00884B0D" w:rsidRDefault="00A91FD9" w:rsidP="00673742">
            <w:pPr>
              <w:widowControl/>
              <w:autoSpaceDE/>
              <w:autoSpaceDN/>
              <w:adjustRightInd/>
              <w:rPr>
                <w:b/>
                <w:bCs/>
                <w:sz w:val="24"/>
              </w:rPr>
            </w:pPr>
            <w:r w:rsidRPr="006D1D76">
              <w:rPr>
                <w:b/>
                <w:bCs/>
                <w:sz w:val="24"/>
              </w:rPr>
              <w:t xml:space="preserve">IC- </w:t>
            </w:r>
            <w:r>
              <w:rPr>
                <w:b/>
                <w:bCs/>
                <w:sz w:val="24"/>
              </w:rPr>
              <w:t>4</w:t>
            </w:r>
            <w:r w:rsidRPr="006D1D76">
              <w:rPr>
                <w:b/>
                <w:bCs/>
                <w:sz w:val="24"/>
              </w:rPr>
              <w:t>:</w:t>
            </w:r>
            <w:r w:rsidRPr="00884B0D">
              <w:rPr>
                <w:b/>
                <w:bCs/>
                <w:sz w:val="24"/>
              </w:rPr>
              <w:t xml:space="preserve"> OP-1(MX)</w:t>
            </w:r>
          </w:p>
        </w:tc>
        <w:tc>
          <w:tcPr>
            <w:tcW w:w="1260" w:type="dxa"/>
            <w:tcBorders>
              <w:top w:val="nil"/>
              <w:left w:val="nil"/>
              <w:bottom w:val="single" w:sz="4" w:space="0" w:color="auto"/>
              <w:right w:val="single" w:sz="4" w:space="0" w:color="auto"/>
            </w:tcBorders>
            <w:shd w:val="clear" w:color="auto" w:fill="auto"/>
            <w:noWrap/>
            <w:vAlign w:val="center"/>
            <w:hideMark/>
          </w:tcPr>
          <w:p w:rsidR="00A91FD9" w:rsidRPr="00884B0D" w:rsidRDefault="00A91FD9" w:rsidP="00DF5EC8">
            <w:pPr>
              <w:widowControl/>
              <w:autoSpaceDE/>
              <w:autoSpaceDN/>
              <w:adjustRightInd/>
              <w:jc w:val="right"/>
              <w:rPr>
                <w:sz w:val="24"/>
              </w:rPr>
            </w:pPr>
            <w:r>
              <w:rPr>
                <w:sz w:val="24"/>
              </w:rPr>
              <w:t>12</w:t>
            </w:r>
          </w:p>
        </w:tc>
        <w:tc>
          <w:tcPr>
            <w:tcW w:w="1260" w:type="dxa"/>
            <w:tcBorders>
              <w:top w:val="nil"/>
              <w:left w:val="nil"/>
              <w:bottom w:val="single" w:sz="4" w:space="0" w:color="auto"/>
              <w:right w:val="single" w:sz="4" w:space="0" w:color="auto"/>
            </w:tcBorders>
            <w:shd w:val="clear" w:color="auto" w:fill="auto"/>
            <w:noWrap/>
            <w:vAlign w:val="center"/>
            <w:hideMark/>
          </w:tcPr>
          <w:p w:rsidR="00A91FD9" w:rsidRPr="00884B0D" w:rsidRDefault="00A91FD9" w:rsidP="00DF5EC8">
            <w:pPr>
              <w:widowControl/>
              <w:autoSpaceDE/>
              <w:autoSpaceDN/>
              <w:adjustRightInd/>
              <w:jc w:val="right"/>
              <w:rPr>
                <w:sz w:val="24"/>
              </w:rPr>
            </w:pPr>
            <w:r>
              <w:rPr>
                <w:sz w:val="24"/>
              </w:rPr>
              <w:t>4</w:t>
            </w:r>
          </w:p>
        </w:tc>
        <w:tc>
          <w:tcPr>
            <w:tcW w:w="1262" w:type="dxa"/>
            <w:tcBorders>
              <w:top w:val="nil"/>
              <w:left w:val="nil"/>
              <w:bottom w:val="single" w:sz="4" w:space="0" w:color="auto"/>
              <w:right w:val="single" w:sz="8" w:space="0" w:color="auto"/>
            </w:tcBorders>
            <w:shd w:val="clear" w:color="auto" w:fill="auto"/>
            <w:noWrap/>
            <w:vAlign w:val="center"/>
            <w:hideMark/>
          </w:tcPr>
          <w:p w:rsidR="00A91FD9" w:rsidRPr="00884B0D" w:rsidRDefault="00A91FD9" w:rsidP="00DF5EC8">
            <w:pPr>
              <w:widowControl/>
              <w:autoSpaceDE/>
              <w:autoSpaceDN/>
              <w:adjustRightInd/>
              <w:jc w:val="right"/>
              <w:rPr>
                <w:sz w:val="24"/>
              </w:rPr>
            </w:pPr>
            <w:r>
              <w:rPr>
                <w:sz w:val="24"/>
              </w:rPr>
              <w:t>48</w:t>
            </w:r>
          </w:p>
        </w:tc>
        <w:tc>
          <w:tcPr>
            <w:tcW w:w="1348" w:type="dxa"/>
            <w:tcBorders>
              <w:top w:val="nil"/>
              <w:left w:val="nil"/>
              <w:bottom w:val="single" w:sz="4" w:space="0" w:color="auto"/>
              <w:right w:val="single" w:sz="8" w:space="0" w:color="auto"/>
            </w:tcBorders>
            <w:vAlign w:val="center"/>
          </w:tcPr>
          <w:p w:rsidR="00A91FD9" w:rsidRDefault="00A91FD9" w:rsidP="00DF5EC8">
            <w:pPr>
              <w:widowControl/>
              <w:autoSpaceDE/>
              <w:autoSpaceDN/>
              <w:adjustRightInd/>
              <w:jc w:val="right"/>
              <w:rPr>
                <w:sz w:val="24"/>
              </w:rPr>
            </w:pPr>
            <w:r>
              <w:rPr>
                <w:sz w:val="24"/>
              </w:rPr>
              <w:t>12</w:t>
            </w:r>
          </w:p>
        </w:tc>
        <w:tc>
          <w:tcPr>
            <w:tcW w:w="1321" w:type="dxa"/>
            <w:tcBorders>
              <w:top w:val="nil"/>
              <w:left w:val="nil"/>
              <w:bottom w:val="single" w:sz="4" w:space="0" w:color="auto"/>
              <w:right w:val="single" w:sz="8" w:space="0" w:color="auto"/>
            </w:tcBorders>
            <w:vAlign w:val="center"/>
          </w:tcPr>
          <w:p w:rsidR="00A91FD9" w:rsidRDefault="00A91FD9" w:rsidP="00DF5EC8">
            <w:pPr>
              <w:widowControl/>
              <w:autoSpaceDE/>
              <w:autoSpaceDN/>
              <w:adjustRightInd/>
              <w:jc w:val="right"/>
              <w:rPr>
                <w:sz w:val="24"/>
              </w:rPr>
            </w:pPr>
            <w:r>
              <w:rPr>
                <w:sz w:val="24"/>
              </w:rPr>
              <w:t>4</w:t>
            </w:r>
          </w:p>
        </w:tc>
        <w:tc>
          <w:tcPr>
            <w:tcW w:w="990" w:type="dxa"/>
            <w:tcBorders>
              <w:top w:val="nil"/>
              <w:left w:val="nil"/>
              <w:bottom w:val="single" w:sz="4" w:space="0" w:color="auto"/>
              <w:right w:val="single" w:sz="8" w:space="0" w:color="auto"/>
            </w:tcBorders>
            <w:vAlign w:val="center"/>
          </w:tcPr>
          <w:p w:rsidR="00A91FD9" w:rsidRDefault="00A91FD9" w:rsidP="00DF5EC8">
            <w:pPr>
              <w:widowControl/>
              <w:autoSpaceDE/>
              <w:autoSpaceDN/>
              <w:adjustRightInd/>
              <w:jc w:val="right"/>
              <w:rPr>
                <w:sz w:val="24"/>
              </w:rPr>
            </w:pPr>
            <w:r>
              <w:rPr>
                <w:sz w:val="24"/>
              </w:rPr>
              <w:t>48</w:t>
            </w:r>
          </w:p>
        </w:tc>
      </w:tr>
      <w:tr w:rsidR="00A91FD9" w:rsidRPr="00884B0D" w:rsidTr="00673742">
        <w:trPr>
          <w:trHeight w:val="315"/>
          <w:jc w:val="center"/>
        </w:trPr>
        <w:tc>
          <w:tcPr>
            <w:tcW w:w="2132" w:type="dxa"/>
            <w:tcBorders>
              <w:top w:val="single" w:sz="4" w:space="0" w:color="auto"/>
              <w:left w:val="single" w:sz="8" w:space="0" w:color="auto"/>
              <w:bottom w:val="single" w:sz="4" w:space="0" w:color="auto"/>
              <w:right w:val="single" w:sz="4" w:space="0" w:color="auto"/>
            </w:tcBorders>
            <w:shd w:val="clear" w:color="auto" w:fill="auto"/>
            <w:noWrap/>
          </w:tcPr>
          <w:p w:rsidR="00A91FD9" w:rsidRPr="00884B0D" w:rsidRDefault="00A91FD9" w:rsidP="00673742">
            <w:pPr>
              <w:widowControl/>
              <w:autoSpaceDE/>
              <w:autoSpaceDN/>
              <w:adjustRightInd/>
              <w:rPr>
                <w:b/>
                <w:bCs/>
                <w:sz w:val="24"/>
              </w:rPr>
            </w:pPr>
            <w:r w:rsidRPr="00884B0D">
              <w:rPr>
                <w:b/>
                <w:bCs/>
                <w:sz w:val="24"/>
              </w:rPr>
              <w:t>IC</w:t>
            </w:r>
            <w:r>
              <w:rPr>
                <w:b/>
                <w:bCs/>
                <w:sz w:val="24"/>
              </w:rPr>
              <w:t>-</w:t>
            </w:r>
            <w:r w:rsidRPr="00884B0D">
              <w:rPr>
                <w:b/>
                <w:bCs/>
                <w:sz w:val="24"/>
              </w:rPr>
              <w:t xml:space="preserve"> 5: OP-1(NNA)</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A91FD9" w:rsidRDefault="00A91FD9" w:rsidP="00DF5EC8">
            <w:pPr>
              <w:widowControl/>
              <w:autoSpaceDE/>
              <w:autoSpaceDN/>
              <w:adjustRightInd/>
              <w:jc w:val="right"/>
              <w:rPr>
                <w:sz w:val="24"/>
              </w:rPr>
            </w:pPr>
            <w:r w:rsidRPr="00884B0D">
              <w:rPr>
                <w:sz w:val="24"/>
              </w:rPr>
              <w:t>4</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A91FD9" w:rsidRDefault="00A91FD9" w:rsidP="00DF5EC8">
            <w:pPr>
              <w:widowControl/>
              <w:autoSpaceDE/>
              <w:autoSpaceDN/>
              <w:adjustRightInd/>
              <w:jc w:val="right"/>
              <w:rPr>
                <w:sz w:val="24"/>
              </w:rPr>
            </w:pPr>
            <w:r w:rsidRPr="00884B0D">
              <w:rPr>
                <w:sz w:val="24"/>
              </w:rPr>
              <w:t>4</w:t>
            </w:r>
          </w:p>
        </w:tc>
        <w:tc>
          <w:tcPr>
            <w:tcW w:w="1262" w:type="dxa"/>
            <w:tcBorders>
              <w:top w:val="single" w:sz="4" w:space="0" w:color="auto"/>
              <w:left w:val="nil"/>
              <w:bottom w:val="single" w:sz="4" w:space="0" w:color="auto"/>
              <w:right w:val="single" w:sz="8" w:space="0" w:color="auto"/>
            </w:tcBorders>
            <w:shd w:val="clear" w:color="auto" w:fill="auto"/>
            <w:noWrap/>
            <w:vAlign w:val="center"/>
          </w:tcPr>
          <w:p w:rsidR="00A91FD9" w:rsidRDefault="00A91FD9" w:rsidP="00DF5EC8">
            <w:pPr>
              <w:widowControl/>
              <w:autoSpaceDE/>
              <w:autoSpaceDN/>
              <w:adjustRightInd/>
              <w:jc w:val="right"/>
              <w:rPr>
                <w:sz w:val="24"/>
              </w:rPr>
            </w:pPr>
            <w:r w:rsidRPr="00884B0D">
              <w:rPr>
                <w:sz w:val="24"/>
              </w:rPr>
              <w:t>16</w:t>
            </w:r>
          </w:p>
        </w:tc>
        <w:tc>
          <w:tcPr>
            <w:tcW w:w="1348" w:type="dxa"/>
            <w:tcBorders>
              <w:top w:val="single" w:sz="4" w:space="0" w:color="auto"/>
              <w:left w:val="nil"/>
              <w:bottom w:val="single" w:sz="4" w:space="0" w:color="auto"/>
              <w:right w:val="single" w:sz="8" w:space="0" w:color="auto"/>
            </w:tcBorders>
            <w:vAlign w:val="center"/>
          </w:tcPr>
          <w:p w:rsidR="00A91FD9" w:rsidRPr="00884B0D" w:rsidRDefault="00A91FD9" w:rsidP="00DF5EC8">
            <w:pPr>
              <w:widowControl/>
              <w:autoSpaceDE/>
              <w:autoSpaceDN/>
              <w:adjustRightInd/>
              <w:jc w:val="right"/>
              <w:rPr>
                <w:sz w:val="24"/>
              </w:rPr>
            </w:pPr>
            <w:r>
              <w:rPr>
                <w:sz w:val="24"/>
              </w:rPr>
              <w:t>0</w:t>
            </w:r>
          </w:p>
        </w:tc>
        <w:tc>
          <w:tcPr>
            <w:tcW w:w="1321" w:type="dxa"/>
            <w:tcBorders>
              <w:top w:val="single" w:sz="4" w:space="0" w:color="auto"/>
              <w:left w:val="nil"/>
              <w:bottom w:val="single" w:sz="4" w:space="0" w:color="auto"/>
              <w:right w:val="single" w:sz="8" w:space="0" w:color="auto"/>
            </w:tcBorders>
            <w:vAlign w:val="center"/>
          </w:tcPr>
          <w:p w:rsidR="00A91FD9" w:rsidRPr="00884B0D" w:rsidRDefault="00A91FD9" w:rsidP="00DF5EC8">
            <w:pPr>
              <w:widowControl/>
              <w:autoSpaceDE/>
              <w:autoSpaceDN/>
              <w:adjustRightInd/>
              <w:jc w:val="right"/>
              <w:rPr>
                <w:sz w:val="24"/>
              </w:rPr>
            </w:pPr>
            <w:r>
              <w:rPr>
                <w:sz w:val="24"/>
              </w:rPr>
              <w:t>0</w:t>
            </w:r>
          </w:p>
        </w:tc>
        <w:tc>
          <w:tcPr>
            <w:tcW w:w="990" w:type="dxa"/>
            <w:tcBorders>
              <w:top w:val="single" w:sz="4" w:space="0" w:color="auto"/>
              <w:left w:val="nil"/>
              <w:bottom w:val="single" w:sz="4" w:space="0" w:color="auto"/>
              <w:right w:val="single" w:sz="8" w:space="0" w:color="auto"/>
            </w:tcBorders>
            <w:vAlign w:val="center"/>
          </w:tcPr>
          <w:p w:rsidR="00A91FD9" w:rsidRPr="00884B0D" w:rsidRDefault="00A91FD9" w:rsidP="00DF5EC8">
            <w:pPr>
              <w:widowControl/>
              <w:autoSpaceDE/>
              <w:autoSpaceDN/>
              <w:adjustRightInd/>
              <w:jc w:val="right"/>
              <w:rPr>
                <w:sz w:val="24"/>
              </w:rPr>
            </w:pPr>
            <w:r>
              <w:rPr>
                <w:sz w:val="24"/>
              </w:rPr>
              <w:t>0</w:t>
            </w:r>
          </w:p>
        </w:tc>
      </w:tr>
      <w:tr w:rsidR="00A91FD9" w:rsidRPr="00567C37" w:rsidDel="00491FC3" w:rsidTr="00673742">
        <w:trPr>
          <w:trHeight w:val="315"/>
          <w:jc w:val="center"/>
        </w:trPr>
        <w:tc>
          <w:tcPr>
            <w:tcW w:w="2132"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A91FD9" w:rsidRPr="00884B0D" w:rsidRDefault="00A91FD9" w:rsidP="00DF5EC8">
            <w:pPr>
              <w:widowControl/>
              <w:autoSpaceDE/>
              <w:autoSpaceDN/>
              <w:adjustRightInd/>
              <w:jc w:val="right"/>
              <w:rPr>
                <w:b/>
                <w:bCs/>
                <w:sz w:val="24"/>
              </w:rPr>
            </w:pPr>
            <w:r w:rsidRPr="00884B0D">
              <w:rPr>
                <w:b/>
                <w:bCs/>
                <w:sz w:val="24"/>
              </w:rPr>
              <w:t>Total for IC</w:t>
            </w:r>
            <w:r>
              <w:rPr>
                <w:b/>
                <w:bCs/>
                <w:sz w:val="24"/>
              </w:rPr>
              <w:t>R</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A91FD9" w:rsidRPr="00AD35C6" w:rsidRDefault="00A91FD9" w:rsidP="00DF5EC8">
            <w:pPr>
              <w:widowControl/>
              <w:autoSpaceDE/>
              <w:autoSpaceDN/>
              <w:adjustRightInd/>
              <w:jc w:val="right"/>
              <w:rPr>
                <w:b/>
                <w:sz w:val="24"/>
              </w:rPr>
            </w:pPr>
            <w:r w:rsidRPr="00AD35C6">
              <w:rPr>
                <w:b/>
                <w:sz w:val="24"/>
              </w:rPr>
              <w:t>37,216</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A91FD9" w:rsidRPr="00AD35C6" w:rsidRDefault="00A91FD9" w:rsidP="00DF5EC8">
            <w:pPr>
              <w:widowControl/>
              <w:autoSpaceDE/>
              <w:autoSpaceDN/>
              <w:adjustRightInd/>
              <w:jc w:val="right"/>
              <w:rPr>
                <w:sz w:val="24"/>
              </w:rPr>
            </w:pPr>
          </w:p>
        </w:tc>
        <w:tc>
          <w:tcPr>
            <w:tcW w:w="1262" w:type="dxa"/>
            <w:tcBorders>
              <w:top w:val="single" w:sz="4" w:space="0" w:color="auto"/>
              <w:left w:val="nil"/>
              <w:bottom w:val="single" w:sz="4" w:space="0" w:color="auto"/>
              <w:right w:val="single" w:sz="8" w:space="0" w:color="auto"/>
            </w:tcBorders>
            <w:shd w:val="clear" w:color="auto" w:fill="D9D9D9" w:themeFill="background1" w:themeFillShade="D9"/>
            <w:noWrap/>
            <w:vAlign w:val="center"/>
            <w:hideMark/>
          </w:tcPr>
          <w:p w:rsidR="00A91FD9" w:rsidRPr="00567C37" w:rsidRDefault="00A91FD9" w:rsidP="00DF5EC8">
            <w:pPr>
              <w:widowControl/>
              <w:autoSpaceDE/>
              <w:autoSpaceDN/>
              <w:adjustRightInd/>
              <w:jc w:val="right"/>
              <w:rPr>
                <w:b/>
                <w:sz w:val="24"/>
              </w:rPr>
            </w:pPr>
            <w:r w:rsidRPr="00567C37">
              <w:rPr>
                <w:b/>
                <w:sz w:val="24"/>
              </w:rPr>
              <w:t>74,464</w:t>
            </w:r>
          </w:p>
        </w:tc>
        <w:tc>
          <w:tcPr>
            <w:tcW w:w="1348" w:type="dxa"/>
            <w:tcBorders>
              <w:top w:val="single" w:sz="4" w:space="0" w:color="auto"/>
              <w:left w:val="nil"/>
              <w:bottom w:val="single" w:sz="4" w:space="0" w:color="auto"/>
              <w:right w:val="single" w:sz="8" w:space="0" w:color="auto"/>
            </w:tcBorders>
            <w:shd w:val="clear" w:color="auto" w:fill="D9D9D9" w:themeFill="background1" w:themeFillShade="D9"/>
            <w:vAlign w:val="center"/>
          </w:tcPr>
          <w:p w:rsidR="00A91FD9" w:rsidRPr="00567C37" w:rsidDel="00491FC3" w:rsidRDefault="00A91FD9" w:rsidP="00DF5EC8">
            <w:pPr>
              <w:widowControl/>
              <w:autoSpaceDE/>
              <w:autoSpaceDN/>
              <w:adjustRightInd/>
              <w:jc w:val="right"/>
              <w:rPr>
                <w:b/>
                <w:sz w:val="24"/>
              </w:rPr>
            </w:pPr>
            <w:r w:rsidRPr="00567C37">
              <w:rPr>
                <w:b/>
                <w:sz w:val="24"/>
              </w:rPr>
              <w:t>12</w:t>
            </w:r>
          </w:p>
        </w:tc>
        <w:tc>
          <w:tcPr>
            <w:tcW w:w="1321" w:type="dxa"/>
            <w:tcBorders>
              <w:top w:val="single" w:sz="4" w:space="0" w:color="auto"/>
              <w:left w:val="nil"/>
              <w:bottom w:val="single" w:sz="4" w:space="0" w:color="auto"/>
              <w:right w:val="single" w:sz="8" w:space="0" w:color="auto"/>
            </w:tcBorders>
            <w:shd w:val="clear" w:color="auto" w:fill="D9D9D9" w:themeFill="background1" w:themeFillShade="D9"/>
            <w:vAlign w:val="center"/>
          </w:tcPr>
          <w:p w:rsidR="00A91FD9" w:rsidRPr="00567C37" w:rsidDel="00491FC3" w:rsidRDefault="00A91FD9" w:rsidP="00DF5EC8">
            <w:pPr>
              <w:widowControl/>
              <w:autoSpaceDE/>
              <w:autoSpaceDN/>
              <w:adjustRightInd/>
              <w:jc w:val="right"/>
              <w:rPr>
                <w:b/>
                <w:sz w:val="24"/>
              </w:rPr>
            </w:pPr>
          </w:p>
        </w:tc>
        <w:tc>
          <w:tcPr>
            <w:tcW w:w="990" w:type="dxa"/>
            <w:tcBorders>
              <w:top w:val="single" w:sz="4" w:space="0" w:color="auto"/>
              <w:left w:val="nil"/>
              <w:bottom w:val="single" w:sz="4" w:space="0" w:color="auto"/>
              <w:right w:val="single" w:sz="8" w:space="0" w:color="auto"/>
            </w:tcBorders>
            <w:shd w:val="clear" w:color="auto" w:fill="D9D9D9" w:themeFill="background1" w:themeFillShade="D9"/>
            <w:vAlign w:val="center"/>
          </w:tcPr>
          <w:p w:rsidR="00A91FD9" w:rsidRPr="00567C37" w:rsidDel="00491FC3" w:rsidRDefault="00A91FD9" w:rsidP="00DF5EC8">
            <w:pPr>
              <w:widowControl/>
              <w:autoSpaceDE/>
              <w:autoSpaceDN/>
              <w:adjustRightInd/>
              <w:jc w:val="right"/>
              <w:rPr>
                <w:b/>
                <w:sz w:val="24"/>
              </w:rPr>
            </w:pPr>
            <w:r w:rsidRPr="00567C37">
              <w:rPr>
                <w:b/>
                <w:sz w:val="24"/>
              </w:rPr>
              <w:t>48</w:t>
            </w:r>
          </w:p>
        </w:tc>
      </w:tr>
    </w:tbl>
    <w:p w:rsidR="00A91FD9" w:rsidRDefault="00A91FD9" w:rsidP="00491FC3">
      <w:pPr>
        <w:rPr>
          <w:b/>
          <w:bCs/>
          <w:sz w:val="24"/>
        </w:rPr>
      </w:pPr>
    </w:p>
    <w:p w:rsidR="00A91FD9" w:rsidRDefault="00A91FD9" w:rsidP="00491FC3">
      <w:pPr>
        <w:rPr>
          <w:b/>
          <w:bCs/>
          <w:sz w:val="24"/>
        </w:rPr>
      </w:pPr>
    </w:p>
    <w:p w:rsidR="005C0532" w:rsidRDefault="005C0532" w:rsidP="005C0532">
      <w:pPr>
        <w:rPr>
          <w:bCs/>
          <w:sz w:val="24"/>
        </w:rPr>
      </w:pPr>
      <w:r>
        <w:rPr>
          <w:b/>
          <w:bCs/>
          <w:sz w:val="24"/>
        </w:rPr>
        <w:t>Estimated Total Number of Annual Respondents and Responses:</w:t>
      </w:r>
      <w:r w:rsidRPr="00BF7B33">
        <w:rPr>
          <w:bCs/>
          <w:sz w:val="24"/>
        </w:rPr>
        <w:t xml:space="preserve"> </w:t>
      </w:r>
    </w:p>
    <w:p w:rsidR="005C0532" w:rsidRDefault="005C0532" w:rsidP="005C0532">
      <w:pPr>
        <w:rPr>
          <w:bCs/>
          <w:sz w:val="24"/>
        </w:rPr>
      </w:pPr>
    </w:p>
    <w:p w:rsidR="005C0532" w:rsidRDefault="005C0532" w:rsidP="005C0532">
      <w:pPr>
        <w:rPr>
          <w:bCs/>
          <w:sz w:val="24"/>
        </w:rPr>
      </w:pPr>
      <w:r w:rsidRPr="00567C37">
        <w:rPr>
          <w:b/>
          <w:bCs/>
          <w:sz w:val="24"/>
        </w:rPr>
        <w:t>Year 1:</w:t>
      </w:r>
      <w:r>
        <w:rPr>
          <w:bCs/>
          <w:sz w:val="24"/>
        </w:rPr>
        <w:t xml:space="preserve"> </w:t>
      </w:r>
      <w:r w:rsidRPr="00491FC3">
        <w:rPr>
          <w:b/>
          <w:bCs/>
          <w:sz w:val="24"/>
        </w:rPr>
        <w:t>37,216</w:t>
      </w:r>
      <w:r>
        <w:rPr>
          <w:bCs/>
          <w:sz w:val="24"/>
        </w:rPr>
        <w:t xml:space="preserve"> (35,700 IC-1: OP-1 responses + 1,000 IC-2: OP-1(P) responses + 500 IC-3: OP-1(FF) responses + 12 IC-4: OP-1(MX) responses + 4 IC-5: OP-1(NNA) responses).</w:t>
      </w:r>
    </w:p>
    <w:p w:rsidR="005C0532" w:rsidRDefault="005C0532" w:rsidP="005C0532">
      <w:pPr>
        <w:rPr>
          <w:bCs/>
          <w:sz w:val="24"/>
        </w:rPr>
      </w:pPr>
    </w:p>
    <w:p w:rsidR="005C0532" w:rsidRDefault="005C0532" w:rsidP="008960EF">
      <w:pPr>
        <w:rPr>
          <w:b/>
          <w:bCs/>
          <w:sz w:val="24"/>
        </w:rPr>
      </w:pPr>
      <w:r w:rsidRPr="00567C37">
        <w:rPr>
          <w:b/>
          <w:bCs/>
          <w:sz w:val="24"/>
        </w:rPr>
        <w:t>Years 2 and 3:</w:t>
      </w:r>
      <w:r>
        <w:rPr>
          <w:bCs/>
          <w:sz w:val="24"/>
        </w:rPr>
        <w:t xml:space="preserve"> </w:t>
      </w:r>
      <w:r>
        <w:rPr>
          <w:b/>
          <w:bCs/>
          <w:sz w:val="24"/>
        </w:rPr>
        <w:t xml:space="preserve">12 </w:t>
      </w:r>
      <w:r>
        <w:rPr>
          <w:bCs/>
          <w:sz w:val="24"/>
        </w:rPr>
        <w:t>(12 IC-</w:t>
      </w:r>
      <w:r w:rsidR="00593D40">
        <w:rPr>
          <w:bCs/>
          <w:sz w:val="24"/>
        </w:rPr>
        <w:t>4</w:t>
      </w:r>
      <w:r>
        <w:rPr>
          <w:bCs/>
          <w:sz w:val="24"/>
        </w:rPr>
        <w:t>: OP-1(MX) responses)</w:t>
      </w:r>
      <w:r>
        <w:rPr>
          <w:b/>
          <w:bCs/>
          <w:sz w:val="24"/>
        </w:rPr>
        <w:t xml:space="preserve">  </w:t>
      </w:r>
    </w:p>
    <w:p w:rsidR="00E15D7D" w:rsidRDefault="00E15D7D" w:rsidP="008960EF">
      <w:pPr>
        <w:rPr>
          <w:b/>
          <w:bCs/>
          <w:sz w:val="24"/>
        </w:rPr>
      </w:pPr>
    </w:p>
    <w:p w:rsidR="005C0532" w:rsidRPr="000C1649" w:rsidRDefault="005C0532" w:rsidP="005C0532">
      <w:pPr>
        <w:rPr>
          <w:bCs/>
          <w:sz w:val="24"/>
        </w:rPr>
      </w:pPr>
      <w:r>
        <w:rPr>
          <w:b/>
          <w:bCs/>
          <w:sz w:val="24"/>
        </w:rPr>
        <w:t>Estimated Average Number of Annual Respondents and Responses:  12,413 respondents and responses</w:t>
      </w:r>
      <w:r>
        <w:rPr>
          <w:bCs/>
          <w:sz w:val="24"/>
        </w:rPr>
        <w:t xml:space="preserve"> [(37,216 respondents and responses for Year 1) + (12 respondents and responses for Year 2) + (12 respondents and responses for Year 3) = 37,240 respondents and responses/3 year approval for ICR = 12,413].</w:t>
      </w:r>
    </w:p>
    <w:p w:rsidR="005C0532" w:rsidRDefault="005C0532" w:rsidP="005C0532">
      <w:pPr>
        <w:rPr>
          <w:b/>
          <w:bCs/>
          <w:sz w:val="24"/>
        </w:rPr>
      </w:pPr>
    </w:p>
    <w:p w:rsidR="005C0532" w:rsidRDefault="005C0532" w:rsidP="005C0532">
      <w:pPr>
        <w:rPr>
          <w:b/>
          <w:bCs/>
          <w:sz w:val="24"/>
        </w:rPr>
      </w:pPr>
      <w:r>
        <w:rPr>
          <w:b/>
          <w:bCs/>
          <w:sz w:val="24"/>
        </w:rPr>
        <w:t xml:space="preserve">Estimated Total Annual Burden Hours for ICR:  </w:t>
      </w:r>
    </w:p>
    <w:p w:rsidR="005C0532" w:rsidRDefault="005C0532" w:rsidP="005C0532">
      <w:pPr>
        <w:rPr>
          <w:b/>
          <w:bCs/>
          <w:sz w:val="24"/>
        </w:rPr>
      </w:pPr>
    </w:p>
    <w:p w:rsidR="005C0532" w:rsidRDefault="005C0532" w:rsidP="005C0532">
      <w:pPr>
        <w:rPr>
          <w:bCs/>
          <w:sz w:val="24"/>
        </w:rPr>
      </w:pPr>
      <w:r>
        <w:rPr>
          <w:b/>
          <w:bCs/>
          <w:sz w:val="24"/>
        </w:rPr>
        <w:t>Year 1: 74,464 hours</w:t>
      </w:r>
      <w:r>
        <w:rPr>
          <w:bCs/>
          <w:sz w:val="24"/>
        </w:rPr>
        <w:t xml:space="preserve"> (71,400 IC-1: OP-1 burden hours + 2,000 IC-2: OP-1(P) burden hours + 1,000 IC-3: OP-1(FF) burden hours + 48 IC-4: OP-1(MX) burden hours + 16 IC-5: OP-1(NNA) burden hours). </w:t>
      </w:r>
    </w:p>
    <w:p w:rsidR="00E952CE" w:rsidRDefault="00E952CE" w:rsidP="008960EF">
      <w:pPr>
        <w:rPr>
          <w:bCs/>
          <w:sz w:val="24"/>
        </w:rPr>
      </w:pPr>
    </w:p>
    <w:p w:rsidR="005C0532" w:rsidRPr="005C0532" w:rsidRDefault="005C0532" w:rsidP="005C0532">
      <w:pPr>
        <w:rPr>
          <w:bCs/>
          <w:sz w:val="24"/>
        </w:rPr>
      </w:pPr>
      <w:r w:rsidRPr="005C0532">
        <w:rPr>
          <w:b/>
          <w:bCs/>
          <w:sz w:val="24"/>
        </w:rPr>
        <w:t>Years 2 and 3: 48</w:t>
      </w:r>
      <w:r w:rsidRPr="005C0532">
        <w:rPr>
          <w:bCs/>
          <w:sz w:val="24"/>
        </w:rPr>
        <w:t xml:space="preserve"> (12 estimated annual Form OP-1(MX) responses x 4 hours to complete the Form OP-1(MX) = 48).</w:t>
      </w:r>
    </w:p>
    <w:p w:rsidR="005C0532" w:rsidRPr="005C0532" w:rsidRDefault="005C0532" w:rsidP="005C0532">
      <w:pPr>
        <w:rPr>
          <w:bCs/>
          <w:sz w:val="24"/>
        </w:rPr>
      </w:pPr>
    </w:p>
    <w:p w:rsidR="005C0532" w:rsidRDefault="005C0532" w:rsidP="005C0532">
      <w:pPr>
        <w:rPr>
          <w:bCs/>
          <w:sz w:val="24"/>
        </w:rPr>
      </w:pPr>
      <w:r w:rsidRPr="005C0532">
        <w:rPr>
          <w:b/>
          <w:bCs/>
          <w:sz w:val="24"/>
        </w:rPr>
        <w:t>Estimated Average Number of Annual Burden Hours for ICR: 24,853 hours</w:t>
      </w:r>
      <w:r w:rsidRPr="005C0532">
        <w:rPr>
          <w:bCs/>
          <w:sz w:val="24"/>
        </w:rPr>
        <w:t xml:space="preserve"> [74,464 hours for Year 1 + 48 hours for Year 2 + 48 hours for  Year 3 = 74,560 hours/3 year approval for ICR = 24,853 estimated average number of annual burden hours].</w:t>
      </w:r>
    </w:p>
    <w:p w:rsidR="00F75E2A" w:rsidRDefault="00F75E2A">
      <w:pPr>
        <w:widowControl/>
        <w:autoSpaceDE/>
        <w:autoSpaceDN/>
        <w:adjustRightInd/>
        <w:rPr>
          <w:b/>
          <w:sz w:val="24"/>
        </w:rPr>
      </w:pPr>
    </w:p>
    <w:p w:rsidR="00B35D19" w:rsidRDefault="00E952CE" w:rsidP="008960EF">
      <w:pPr>
        <w:rPr>
          <w:sz w:val="24"/>
        </w:rPr>
      </w:pPr>
      <w:r w:rsidRPr="00305D17">
        <w:rPr>
          <w:sz w:val="24"/>
        </w:rPr>
        <w:t>FMCSA expects completion and submissi</w:t>
      </w:r>
      <w:r>
        <w:rPr>
          <w:sz w:val="24"/>
        </w:rPr>
        <w:t>on of an OP-1</w:t>
      </w:r>
      <w:r w:rsidRPr="00305D17">
        <w:rPr>
          <w:sz w:val="24"/>
        </w:rPr>
        <w:t xml:space="preserve"> to be performed by a </w:t>
      </w:r>
      <w:r>
        <w:rPr>
          <w:sz w:val="24"/>
        </w:rPr>
        <w:t xml:space="preserve">carrier </w:t>
      </w:r>
      <w:r w:rsidRPr="00305D17">
        <w:rPr>
          <w:sz w:val="24"/>
        </w:rPr>
        <w:t>compliance officer</w:t>
      </w:r>
      <w:r>
        <w:rPr>
          <w:sz w:val="24"/>
        </w:rPr>
        <w:t xml:space="preserve"> or equivalent.  The Agency estimates the labor cost for this occupation to be about $</w:t>
      </w:r>
      <w:r w:rsidR="009D1C3B">
        <w:rPr>
          <w:sz w:val="24"/>
        </w:rPr>
        <w:t>6</w:t>
      </w:r>
      <w:r w:rsidR="00FD1A81">
        <w:rPr>
          <w:sz w:val="24"/>
        </w:rPr>
        <w:t>5</w:t>
      </w:r>
      <w:r w:rsidR="00B35D19">
        <w:rPr>
          <w:sz w:val="24"/>
        </w:rPr>
        <w:t>.00</w:t>
      </w:r>
      <w:r>
        <w:rPr>
          <w:sz w:val="24"/>
        </w:rPr>
        <w:t xml:space="preserve"> per hour, comprising wages of </w:t>
      </w:r>
      <w:r w:rsidRPr="00305D17">
        <w:rPr>
          <w:sz w:val="24"/>
        </w:rPr>
        <w:t>$</w:t>
      </w:r>
      <w:r w:rsidR="00FD1A81">
        <w:rPr>
          <w:sz w:val="24"/>
        </w:rPr>
        <w:t>32.69</w:t>
      </w:r>
      <w:r>
        <w:rPr>
          <w:sz w:val="24"/>
        </w:rPr>
        <w:t xml:space="preserve"> per hour,</w:t>
      </w:r>
      <w:r w:rsidRPr="00953A5E">
        <w:rPr>
          <w:rStyle w:val="FootnoteReference"/>
          <w:sz w:val="24"/>
          <w:vertAlign w:val="superscript"/>
        </w:rPr>
        <w:footnoteReference w:id="2"/>
      </w:r>
      <w:r w:rsidRPr="00953A5E">
        <w:rPr>
          <w:sz w:val="24"/>
          <w:vertAlign w:val="superscript"/>
        </w:rPr>
        <w:t xml:space="preserve"> </w:t>
      </w:r>
      <w:r w:rsidRPr="00305D17">
        <w:rPr>
          <w:sz w:val="24"/>
        </w:rPr>
        <w:t xml:space="preserve">employee benefits </w:t>
      </w:r>
      <w:r>
        <w:rPr>
          <w:sz w:val="24"/>
        </w:rPr>
        <w:t>equal to</w:t>
      </w:r>
      <w:r w:rsidR="00357194">
        <w:rPr>
          <w:sz w:val="24"/>
        </w:rPr>
        <w:t xml:space="preserve"> 57</w:t>
      </w:r>
      <w:r w:rsidRPr="00305D17">
        <w:rPr>
          <w:sz w:val="24"/>
        </w:rPr>
        <w:t xml:space="preserve"> percent of wage</w:t>
      </w:r>
      <w:r>
        <w:rPr>
          <w:sz w:val="24"/>
        </w:rPr>
        <w:t>s,</w:t>
      </w:r>
      <w:r w:rsidRPr="00953A5E">
        <w:rPr>
          <w:rStyle w:val="FootnoteReference"/>
          <w:sz w:val="24"/>
          <w:vertAlign w:val="superscript"/>
        </w:rPr>
        <w:footnoteReference w:id="3"/>
      </w:r>
      <w:r>
        <w:rPr>
          <w:sz w:val="24"/>
        </w:rPr>
        <w:t xml:space="preserve"> and overhead expenses equal to 27 percent of wages and benefits</w:t>
      </w:r>
      <w:r w:rsidRPr="00305D17">
        <w:rPr>
          <w:sz w:val="24"/>
          <w:vertAlign w:val="superscript"/>
        </w:rPr>
        <w:footnoteReference w:id="4"/>
      </w:r>
      <w:r w:rsidRPr="00305D17">
        <w:rPr>
          <w:sz w:val="24"/>
        </w:rPr>
        <w:t xml:space="preserve"> ($</w:t>
      </w:r>
      <w:r w:rsidR="009D1C3B">
        <w:rPr>
          <w:sz w:val="24"/>
        </w:rPr>
        <w:t>6</w:t>
      </w:r>
      <w:r w:rsidR="00FD1A81">
        <w:rPr>
          <w:sz w:val="24"/>
        </w:rPr>
        <w:t>5</w:t>
      </w:r>
      <w:r w:rsidRPr="00305D17">
        <w:rPr>
          <w:sz w:val="24"/>
        </w:rPr>
        <w:t xml:space="preserve"> = $</w:t>
      </w:r>
      <w:r w:rsidR="00FD1A81">
        <w:rPr>
          <w:sz w:val="24"/>
        </w:rPr>
        <w:t>32.69</w:t>
      </w:r>
      <w:r w:rsidRPr="00305D17">
        <w:rPr>
          <w:sz w:val="24"/>
        </w:rPr>
        <w:t xml:space="preserve"> × (1 + 0.5</w:t>
      </w:r>
      <w:r w:rsidR="00357194">
        <w:rPr>
          <w:sz w:val="24"/>
        </w:rPr>
        <w:t>7</w:t>
      </w:r>
      <w:r w:rsidRPr="00305D17">
        <w:rPr>
          <w:sz w:val="24"/>
        </w:rPr>
        <w:t xml:space="preserve">) × (1 + 0.27)).  </w:t>
      </w:r>
      <w:r w:rsidR="008B5436" w:rsidRPr="008B5436">
        <w:rPr>
          <w:sz w:val="24"/>
        </w:rPr>
        <w:t>Total annual labor cost from filing OP-1 forms is estimated to be $4</w:t>
      </w:r>
      <w:r w:rsidR="008B5436">
        <w:rPr>
          <w:sz w:val="24"/>
        </w:rPr>
        <w:t>,840,160</w:t>
      </w:r>
      <w:r w:rsidR="008B5436" w:rsidRPr="008B5436">
        <w:rPr>
          <w:sz w:val="24"/>
        </w:rPr>
        <w:t xml:space="preserve"> ($6</w:t>
      </w:r>
      <w:r w:rsidR="008B5436">
        <w:rPr>
          <w:sz w:val="24"/>
        </w:rPr>
        <w:t>5</w:t>
      </w:r>
      <w:r w:rsidR="008B5436" w:rsidRPr="008B5436">
        <w:rPr>
          <w:sz w:val="24"/>
        </w:rPr>
        <w:t xml:space="preserve"> × 74,464 hours) in year 1, and $3,</w:t>
      </w:r>
      <w:r w:rsidR="008B5436">
        <w:rPr>
          <w:sz w:val="24"/>
        </w:rPr>
        <w:t>12</w:t>
      </w:r>
      <w:r w:rsidR="008B5436" w:rsidRPr="008B5436">
        <w:rPr>
          <w:sz w:val="24"/>
        </w:rPr>
        <w:t>0 in years 2 and 3 ($6</w:t>
      </w:r>
      <w:r w:rsidR="008B5436">
        <w:rPr>
          <w:sz w:val="24"/>
        </w:rPr>
        <w:t>5</w:t>
      </w:r>
      <w:r w:rsidR="008B5436" w:rsidRPr="008B5436">
        <w:rPr>
          <w:sz w:val="24"/>
        </w:rPr>
        <w:t xml:space="preserve"> x 48 hours).</w:t>
      </w:r>
    </w:p>
    <w:p w:rsidR="0022676D" w:rsidRDefault="0022676D" w:rsidP="008960EF">
      <w:pPr>
        <w:rPr>
          <w:sz w:val="24"/>
        </w:rPr>
      </w:pPr>
    </w:p>
    <w:p w:rsidR="0022676D" w:rsidRPr="00B35D19" w:rsidRDefault="0022676D" w:rsidP="008960EF">
      <w:pPr>
        <w:rPr>
          <w:sz w:val="24"/>
        </w:rPr>
      </w:pPr>
      <w:r w:rsidRPr="0022676D">
        <w:rPr>
          <w:sz w:val="24"/>
        </w:rPr>
        <w:t>The 3-year average annual cost from filing OP-1 forms is estimated to be $1.</w:t>
      </w:r>
      <w:r>
        <w:rPr>
          <w:sz w:val="24"/>
        </w:rPr>
        <w:t>62</w:t>
      </w:r>
      <w:r w:rsidRPr="0022676D">
        <w:rPr>
          <w:sz w:val="24"/>
        </w:rPr>
        <w:t xml:space="preserve"> million ($4.</w:t>
      </w:r>
      <w:r>
        <w:rPr>
          <w:sz w:val="24"/>
        </w:rPr>
        <w:t>84</w:t>
      </w:r>
      <w:r w:rsidRPr="0022676D">
        <w:rPr>
          <w:sz w:val="24"/>
        </w:rPr>
        <w:t xml:space="preserve"> </w:t>
      </w:r>
      <w:r w:rsidRPr="0022676D">
        <w:rPr>
          <w:sz w:val="24"/>
        </w:rPr>
        <w:lastRenderedPageBreak/>
        <w:t>million in year 1, $</w:t>
      </w:r>
      <w:r>
        <w:rPr>
          <w:sz w:val="24"/>
        </w:rPr>
        <w:t>3,120</w:t>
      </w:r>
      <w:r w:rsidRPr="0022676D">
        <w:rPr>
          <w:sz w:val="24"/>
        </w:rPr>
        <w:t xml:space="preserve"> in year 2, and $</w:t>
      </w:r>
      <w:r>
        <w:rPr>
          <w:sz w:val="24"/>
        </w:rPr>
        <w:t>3,120</w:t>
      </w:r>
      <w:r w:rsidRPr="0022676D">
        <w:rPr>
          <w:sz w:val="24"/>
        </w:rPr>
        <w:t xml:space="preserve"> in year 3).</w:t>
      </w:r>
    </w:p>
    <w:p w:rsidR="00601AB8" w:rsidRPr="00B35D19" w:rsidRDefault="00601AB8" w:rsidP="008960EF">
      <w:pPr>
        <w:rPr>
          <w:bCs/>
          <w:sz w:val="24"/>
        </w:rPr>
      </w:pPr>
    </w:p>
    <w:p w:rsidR="008960EF" w:rsidRDefault="008960EF" w:rsidP="008960EF">
      <w:pPr>
        <w:rPr>
          <w:sz w:val="24"/>
        </w:rPr>
      </w:pPr>
      <w:r>
        <w:rPr>
          <w:b/>
          <w:bCs/>
          <w:sz w:val="24"/>
        </w:rPr>
        <w:t>13.</w:t>
      </w:r>
      <w:r>
        <w:rPr>
          <w:b/>
          <w:bCs/>
          <w:sz w:val="24"/>
        </w:rPr>
        <w:tab/>
        <w:t>Estimate of total annual costs to respondents</w:t>
      </w:r>
      <w:r w:rsidR="004252CC">
        <w:rPr>
          <w:b/>
          <w:bCs/>
          <w:sz w:val="24"/>
        </w:rPr>
        <w:t>:</w:t>
      </w:r>
    </w:p>
    <w:p w:rsidR="008960EF" w:rsidRPr="00B35D19" w:rsidRDefault="008960EF" w:rsidP="008960EF">
      <w:pPr>
        <w:rPr>
          <w:b/>
          <w:sz w:val="24"/>
        </w:rPr>
      </w:pPr>
    </w:p>
    <w:p w:rsidR="00357194" w:rsidRDefault="00357194" w:rsidP="00357194">
      <w:pPr>
        <w:rPr>
          <w:sz w:val="24"/>
        </w:rPr>
      </w:pPr>
      <w:r>
        <w:rPr>
          <w:sz w:val="24"/>
        </w:rPr>
        <w:t xml:space="preserve">All OP-1 </w:t>
      </w:r>
      <w:r>
        <w:rPr>
          <w:color w:val="000000"/>
          <w:sz w:val="24"/>
        </w:rPr>
        <w:t>applicants are required to pay a $300 filing fee except OP-1(NNA) applicants that are private carriers</w:t>
      </w:r>
      <w:r w:rsidR="00A15320">
        <w:rPr>
          <w:color w:val="000000"/>
          <w:sz w:val="24"/>
        </w:rPr>
        <w:t>.</w:t>
      </w:r>
    </w:p>
    <w:p w:rsidR="00741A02" w:rsidRDefault="00741A02" w:rsidP="008960EF">
      <w:pPr>
        <w:rPr>
          <w:sz w:val="24"/>
        </w:rPr>
      </w:pPr>
    </w:p>
    <w:p w:rsidR="00924952" w:rsidRPr="00202A86" w:rsidRDefault="00924952" w:rsidP="00924952">
      <w:pPr>
        <w:rPr>
          <w:sz w:val="24"/>
        </w:rPr>
      </w:pPr>
      <w:r w:rsidRPr="00E84283">
        <w:rPr>
          <w:b/>
          <w:sz w:val="24"/>
        </w:rPr>
        <w:t xml:space="preserve">Estimated </w:t>
      </w:r>
      <w:r>
        <w:rPr>
          <w:b/>
          <w:sz w:val="24"/>
        </w:rPr>
        <w:t>Average</w:t>
      </w:r>
      <w:r w:rsidRPr="00E84283">
        <w:rPr>
          <w:b/>
          <w:sz w:val="24"/>
        </w:rPr>
        <w:t xml:space="preserve"> Annual Cost to Respondents:  </w:t>
      </w:r>
      <w:r>
        <w:rPr>
          <w:b/>
          <w:sz w:val="24"/>
        </w:rPr>
        <w:t xml:space="preserve">$3.7 million </w:t>
      </w:r>
      <w:r>
        <w:rPr>
          <w:sz w:val="24"/>
        </w:rPr>
        <w:t>[($300 per Form x 37,21</w:t>
      </w:r>
      <w:r w:rsidR="001F4BD8">
        <w:rPr>
          <w:sz w:val="24"/>
        </w:rPr>
        <w:t xml:space="preserve">6 </w:t>
      </w:r>
      <w:r>
        <w:rPr>
          <w:sz w:val="24"/>
        </w:rPr>
        <w:t>respondents (does not include the 4 private OP-1(NNA)) respondents for Year 1) + ($300 per Form OP-1(MX) x 12 respondents for Year 2) + ($300 per Form OP-1(MX) x 12 respondents for Year 3) = $11.2 million/3 year approval for ICR = 3.7 million].</w:t>
      </w:r>
    </w:p>
    <w:p w:rsidR="00A22F35" w:rsidRDefault="00A22F35" w:rsidP="008960EF">
      <w:pPr>
        <w:rPr>
          <w:sz w:val="24"/>
        </w:rPr>
      </w:pPr>
    </w:p>
    <w:p w:rsidR="008960EF" w:rsidRDefault="008960EF" w:rsidP="008960EF">
      <w:pPr>
        <w:rPr>
          <w:b/>
          <w:bCs/>
          <w:sz w:val="24"/>
        </w:rPr>
      </w:pPr>
      <w:r>
        <w:rPr>
          <w:b/>
          <w:bCs/>
          <w:sz w:val="24"/>
        </w:rPr>
        <w:t>14.</w:t>
      </w:r>
      <w:r>
        <w:rPr>
          <w:b/>
          <w:bCs/>
          <w:sz w:val="24"/>
        </w:rPr>
        <w:tab/>
        <w:t>Estimate of</w:t>
      </w:r>
      <w:r w:rsidR="00A15320">
        <w:rPr>
          <w:b/>
          <w:bCs/>
          <w:sz w:val="24"/>
        </w:rPr>
        <w:t xml:space="preserve"> cost to the Federal government</w:t>
      </w:r>
      <w:r w:rsidR="004252CC">
        <w:rPr>
          <w:b/>
          <w:bCs/>
          <w:sz w:val="24"/>
        </w:rPr>
        <w:t>:</w:t>
      </w:r>
    </w:p>
    <w:p w:rsidR="008960EF" w:rsidRPr="00B35D19" w:rsidRDefault="008960EF" w:rsidP="008960EF">
      <w:pPr>
        <w:rPr>
          <w:bCs/>
          <w:sz w:val="24"/>
        </w:rPr>
      </w:pPr>
    </w:p>
    <w:p w:rsidR="0081710F" w:rsidRDefault="00367F37" w:rsidP="008960EF">
      <w:pPr>
        <w:rPr>
          <w:rFonts w:eastAsia="Calibri"/>
          <w:sz w:val="24"/>
        </w:rPr>
      </w:pPr>
      <w:r w:rsidRPr="00C23BAC">
        <w:rPr>
          <w:rFonts w:eastAsia="Calibri"/>
          <w:sz w:val="24"/>
        </w:rPr>
        <w:t xml:space="preserve">After </w:t>
      </w:r>
      <w:r w:rsidR="00924952">
        <w:rPr>
          <w:rFonts w:eastAsia="Calibri"/>
          <w:sz w:val="24"/>
        </w:rPr>
        <w:t xml:space="preserve">April </w:t>
      </w:r>
      <w:r w:rsidR="00410517">
        <w:rPr>
          <w:rFonts w:eastAsia="Calibri"/>
          <w:sz w:val="24"/>
        </w:rPr>
        <w:t>14,</w:t>
      </w:r>
      <w:r w:rsidR="00ED3E92">
        <w:rPr>
          <w:rFonts w:eastAsia="Calibri"/>
          <w:sz w:val="24"/>
        </w:rPr>
        <w:t xml:space="preserve"> </w:t>
      </w:r>
      <w:r w:rsidR="00410517">
        <w:rPr>
          <w:rFonts w:eastAsia="Calibri"/>
          <w:sz w:val="24"/>
        </w:rPr>
        <w:t>2017</w:t>
      </w:r>
      <w:r w:rsidRPr="00C23BAC">
        <w:rPr>
          <w:rFonts w:eastAsia="Calibri"/>
          <w:sz w:val="24"/>
        </w:rPr>
        <w:t>, all new and existing entities will use the URS Online Application Process Form MCSA-1</w:t>
      </w:r>
      <w:r w:rsidR="00410517">
        <w:rPr>
          <w:rFonts w:eastAsia="Calibri"/>
          <w:sz w:val="24"/>
        </w:rPr>
        <w:t>, covered by</w:t>
      </w:r>
      <w:r w:rsidRPr="00C23BAC">
        <w:rPr>
          <w:rFonts w:eastAsia="Calibri"/>
          <w:sz w:val="24"/>
        </w:rPr>
        <w:t xml:space="preserve"> OMB Control Number 2126-0051, “FMCSA Registration/Updates,” </w:t>
      </w:r>
      <w:r w:rsidR="00410517">
        <w:rPr>
          <w:rFonts w:eastAsia="Calibri"/>
          <w:sz w:val="24"/>
        </w:rPr>
        <w:t xml:space="preserve">for all reasons for filing </w:t>
      </w:r>
      <w:r w:rsidRPr="00C23BAC">
        <w:rPr>
          <w:rFonts w:eastAsia="Calibri"/>
          <w:sz w:val="24"/>
        </w:rPr>
        <w:t xml:space="preserve">except for the OP-1(MX). </w:t>
      </w:r>
      <w:r w:rsidR="00924952" w:rsidRPr="00924952">
        <w:rPr>
          <w:rFonts w:eastAsia="Calibri"/>
          <w:sz w:val="24"/>
        </w:rPr>
        <w:t xml:space="preserve">The following estimate includes year 1, where all forms will be processed, </w:t>
      </w:r>
      <w:r w:rsidR="00325CD9">
        <w:rPr>
          <w:rFonts w:eastAsia="Calibri"/>
          <w:sz w:val="24"/>
        </w:rPr>
        <w:t xml:space="preserve">where they </w:t>
      </w:r>
      <w:r w:rsidR="00325CD9" w:rsidRPr="00325CD9">
        <w:rPr>
          <w:rFonts w:eastAsia="Calibri"/>
          <w:sz w:val="24"/>
        </w:rPr>
        <w:t>account for revisions to the effective and implementation dates of the URS,</w:t>
      </w:r>
      <w:r w:rsidR="00325CD9">
        <w:rPr>
          <w:rFonts w:eastAsia="Calibri"/>
          <w:sz w:val="24"/>
        </w:rPr>
        <w:t xml:space="preserve"> </w:t>
      </w:r>
      <w:r w:rsidR="00924952" w:rsidRPr="00924952">
        <w:rPr>
          <w:rFonts w:eastAsia="Calibri"/>
          <w:sz w:val="24"/>
        </w:rPr>
        <w:t>and years 2 and 3 where only OP-1(MX) will be processed.</w:t>
      </w:r>
      <w:r w:rsidR="00325CD9">
        <w:rPr>
          <w:rFonts w:eastAsia="Calibri"/>
          <w:sz w:val="24"/>
        </w:rPr>
        <w:t xml:space="preserve"> </w:t>
      </w:r>
    </w:p>
    <w:p w:rsidR="001F4BD8" w:rsidRDefault="001F4BD8" w:rsidP="008960EF">
      <w:pPr>
        <w:rPr>
          <w:bCs/>
          <w:sz w:val="24"/>
        </w:rPr>
      </w:pPr>
    </w:p>
    <w:p w:rsidR="00AB4115" w:rsidRDefault="008960EF" w:rsidP="008960EF">
      <w:pPr>
        <w:rPr>
          <w:sz w:val="24"/>
        </w:rPr>
      </w:pPr>
      <w:r>
        <w:rPr>
          <w:sz w:val="24"/>
        </w:rPr>
        <w:t>The</w:t>
      </w:r>
      <w:r w:rsidR="009055F4">
        <w:rPr>
          <w:sz w:val="24"/>
        </w:rPr>
        <w:t xml:space="preserve"> </w:t>
      </w:r>
      <w:r>
        <w:rPr>
          <w:sz w:val="24"/>
        </w:rPr>
        <w:t xml:space="preserve">OP-1 </w:t>
      </w:r>
      <w:r w:rsidR="00277469">
        <w:rPr>
          <w:sz w:val="24"/>
        </w:rPr>
        <w:t xml:space="preserve">(MX) and the OP-1 (NNA) </w:t>
      </w:r>
      <w:r>
        <w:rPr>
          <w:sz w:val="24"/>
        </w:rPr>
        <w:t>forms are processed by Grade 9</w:t>
      </w:r>
      <w:r w:rsidR="00367F37">
        <w:rPr>
          <w:sz w:val="24"/>
        </w:rPr>
        <w:t>, step 5</w:t>
      </w:r>
      <w:r w:rsidR="00602CF8">
        <w:rPr>
          <w:sz w:val="24"/>
        </w:rPr>
        <w:t>,</w:t>
      </w:r>
      <w:r>
        <w:rPr>
          <w:sz w:val="24"/>
        </w:rPr>
        <w:t xml:space="preserve"> Transportation Specialists</w:t>
      </w:r>
      <w:r w:rsidRPr="006A7EF7">
        <w:t xml:space="preserve"> </w:t>
      </w:r>
      <w:r w:rsidRPr="006A7EF7">
        <w:rPr>
          <w:sz w:val="24"/>
        </w:rPr>
        <w:t>at the Trans-Border Office</w:t>
      </w:r>
      <w:r>
        <w:rPr>
          <w:sz w:val="24"/>
        </w:rPr>
        <w:t>.  The labor cost of this activity is estimated to be $</w:t>
      </w:r>
      <w:r w:rsidR="007B2EFC">
        <w:rPr>
          <w:sz w:val="24"/>
        </w:rPr>
        <w:t xml:space="preserve">58 </w:t>
      </w:r>
      <w:r>
        <w:rPr>
          <w:sz w:val="24"/>
        </w:rPr>
        <w:t>per hour, comprising wages of</w:t>
      </w:r>
      <w:r w:rsidR="00BF7B33">
        <w:rPr>
          <w:sz w:val="24"/>
        </w:rPr>
        <w:t xml:space="preserve"> </w:t>
      </w:r>
      <w:r w:rsidR="007B284D">
        <w:rPr>
          <w:sz w:val="24"/>
        </w:rPr>
        <w:t>$</w:t>
      </w:r>
      <w:r w:rsidR="001560D0">
        <w:rPr>
          <w:sz w:val="24"/>
        </w:rPr>
        <w:t>29.02</w:t>
      </w:r>
      <w:r w:rsidR="007B284D">
        <w:rPr>
          <w:sz w:val="24"/>
        </w:rPr>
        <w:t xml:space="preserve"> per hour</w:t>
      </w:r>
      <w:r w:rsidR="00D84616">
        <w:rPr>
          <w:sz w:val="24"/>
        </w:rPr>
        <w:t>,</w:t>
      </w:r>
      <w:r w:rsidRPr="00FB1D22">
        <w:rPr>
          <w:rStyle w:val="FootnoteReference"/>
          <w:sz w:val="24"/>
          <w:vertAlign w:val="superscript"/>
        </w:rPr>
        <w:footnoteReference w:id="5"/>
      </w:r>
      <w:r>
        <w:rPr>
          <w:sz w:val="24"/>
        </w:rPr>
        <w:t xml:space="preserve"> employee benefits equal to </w:t>
      </w:r>
      <w:r w:rsidR="005D4C05">
        <w:rPr>
          <w:sz w:val="24"/>
        </w:rPr>
        <w:t>57</w:t>
      </w:r>
      <w:r>
        <w:rPr>
          <w:sz w:val="24"/>
        </w:rPr>
        <w:t xml:space="preserve"> percent of wages,</w:t>
      </w:r>
      <w:r w:rsidRPr="00472828">
        <w:rPr>
          <w:rStyle w:val="FootnoteReference"/>
          <w:sz w:val="24"/>
          <w:vertAlign w:val="superscript"/>
        </w:rPr>
        <w:footnoteReference w:id="6"/>
      </w:r>
      <w:r>
        <w:rPr>
          <w:sz w:val="24"/>
        </w:rPr>
        <w:t xml:space="preserve"> and overhead expenses equal to </w:t>
      </w:r>
      <w:r w:rsidR="005D4C05">
        <w:rPr>
          <w:sz w:val="24"/>
        </w:rPr>
        <w:t xml:space="preserve">27 </w:t>
      </w:r>
      <w:r w:rsidR="0078389F">
        <w:rPr>
          <w:sz w:val="24"/>
        </w:rPr>
        <w:t>p</w:t>
      </w:r>
      <w:r>
        <w:rPr>
          <w:sz w:val="24"/>
        </w:rPr>
        <w:t>ercent of wages and benefits</w:t>
      </w:r>
      <w:r w:rsidRPr="00472828">
        <w:rPr>
          <w:rStyle w:val="FootnoteReference"/>
          <w:sz w:val="24"/>
          <w:vertAlign w:val="superscript"/>
        </w:rPr>
        <w:footnoteReference w:id="7"/>
      </w:r>
      <w:r>
        <w:rPr>
          <w:sz w:val="24"/>
        </w:rPr>
        <w:t xml:space="preserve"> </w:t>
      </w:r>
      <w:r w:rsidRPr="00305D17">
        <w:rPr>
          <w:sz w:val="24"/>
        </w:rPr>
        <w:t>($</w:t>
      </w:r>
      <w:r w:rsidR="007B2EFC">
        <w:rPr>
          <w:sz w:val="24"/>
        </w:rPr>
        <w:t>58</w:t>
      </w:r>
      <w:r w:rsidR="007B2EFC" w:rsidRPr="00305D17">
        <w:rPr>
          <w:sz w:val="24"/>
        </w:rPr>
        <w:t xml:space="preserve"> </w:t>
      </w:r>
      <w:r w:rsidRPr="00305D17">
        <w:rPr>
          <w:sz w:val="24"/>
        </w:rPr>
        <w:t>= $</w:t>
      </w:r>
      <w:r w:rsidR="008B540B">
        <w:rPr>
          <w:sz w:val="24"/>
        </w:rPr>
        <w:t>29.02</w:t>
      </w:r>
      <w:r w:rsidRPr="00305D17">
        <w:rPr>
          <w:sz w:val="24"/>
        </w:rPr>
        <w:t xml:space="preserve"> × (1 + 0.</w:t>
      </w:r>
      <w:r w:rsidR="007B2EFC">
        <w:rPr>
          <w:sz w:val="24"/>
        </w:rPr>
        <w:t>57</w:t>
      </w:r>
      <w:r w:rsidRPr="00305D17">
        <w:rPr>
          <w:sz w:val="24"/>
        </w:rPr>
        <w:t>) × (1 + 0.</w:t>
      </w:r>
      <w:r w:rsidR="007B2EFC">
        <w:rPr>
          <w:sz w:val="24"/>
        </w:rPr>
        <w:t>27</w:t>
      </w:r>
      <w:r w:rsidRPr="00305D17">
        <w:rPr>
          <w:sz w:val="24"/>
        </w:rPr>
        <w:t>)).</w:t>
      </w:r>
    </w:p>
    <w:p w:rsidR="00924952" w:rsidRDefault="00924952" w:rsidP="008960EF">
      <w:pPr>
        <w:rPr>
          <w:sz w:val="24"/>
        </w:rPr>
      </w:pPr>
    </w:p>
    <w:p w:rsidR="00870FD2" w:rsidRDefault="00870FD2" w:rsidP="00870FD2">
      <w:pPr>
        <w:rPr>
          <w:sz w:val="24"/>
        </w:rPr>
      </w:pPr>
      <w:r>
        <w:rPr>
          <w:sz w:val="24"/>
        </w:rPr>
        <w:t>As shown in table 2, the total cost to the Federal government of collecting and processing the OP-1 series of forms in year 1 is about $15.</w:t>
      </w:r>
      <w:r w:rsidR="00C23DD9">
        <w:rPr>
          <w:sz w:val="24"/>
        </w:rPr>
        <w:t>325</w:t>
      </w:r>
      <w:r>
        <w:rPr>
          <w:sz w:val="24"/>
        </w:rPr>
        <w:t xml:space="preserve"> million per year. In years 2 and 3, the cost to the Federal government of collecting and processing the OP-1(MX) form is $</w:t>
      </w:r>
      <w:r w:rsidR="00C23DD9">
        <w:rPr>
          <w:sz w:val="24"/>
        </w:rPr>
        <w:t>5,916</w:t>
      </w:r>
      <w:r>
        <w:rPr>
          <w:sz w:val="24"/>
        </w:rPr>
        <w:t xml:space="preserve">.  </w:t>
      </w:r>
    </w:p>
    <w:p w:rsidR="00870FD2" w:rsidRDefault="00870FD2" w:rsidP="00870FD2">
      <w:pPr>
        <w:rPr>
          <w:sz w:val="24"/>
        </w:rPr>
      </w:pPr>
    </w:p>
    <w:p w:rsidR="00601AB8" w:rsidRDefault="00870FD2" w:rsidP="00870FD2">
      <w:pPr>
        <w:rPr>
          <w:sz w:val="24"/>
        </w:rPr>
      </w:pPr>
      <w:r>
        <w:rPr>
          <w:sz w:val="24"/>
        </w:rPr>
        <w:t xml:space="preserve">As discussed in item 13 above, $11.2 million of that cost is recouped via fees charged to applicants in year 1, and $3,600 in years 2 and 3.   </w:t>
      </w:r>
    </w:p>
    <w:p w:rsidR="00870FD2" w:rsidRDefault="00870FD2" w:rsidP="008960EF">
      <w:pPr>
        <w:rPr>
          <w:sz w:val="24"/>
        </w:rPr>
      </w:pPr>
    </w:p>
    <w:p w:rsidR="00673742" w:rsidRDefault="00673742" w:rsidP="008960EF">
      <w:pPr>
        <w:rPr>
          <w:sz w:val="24"/>
        </w:rPr>
      </w:pPr>
    </w:p>
    <w:p w:rsidR="00673742" w:rsidRDefault="00673742" w:rsidP="008960EF">
      <w:pPr>
        <w:rPr>
          <w:sz w:val="24"/>
        </w:rPr>
      </w:pPr>
    </w:p>
    <w:p w:rsidR="00673742" w:rsidRDefault="00673742" w:rsidP="008960EF">
      <w:pPr>
        <w:rPr>
          <w:sz w:val="24"/>
        </w:rPr>
      </w:pPr>
    </w:p>
    <w:p w:rsidR="00673742" w:rsidRDefault="00673742" w:rsidP="008960EF">
      <w:pPr>
        <w:rPr>
          <w:sz w:val="24"/>
        </w:rPr>
      </w:pPr>
    </w:p>
    <w:p w:rsidR="00673742" w:rsidRDefault="00673742" w:rsidP="008960EF">
      <w:pPr>
        <w:rPr>
          <w:sz w:val="24"/>
        </w:rPr>
      </w:pPr>
    </w:p>
    <w:tbl>
      <w:tblPr>
        <w:tblW w:w="9666" w:type="dxa"/>
        <w:jc w:val="center"/>
        <w:tblLayout w:type="fixed"/>
        <w:tblLook w:val="04A0" w:firstRow="1" w:lastRow="0" w:firstColumn="1" w:lastColumn="0" w:noHBand="0" w:noVBand="1"/>
      </w:tblPr>
      <w:tblGrid>
        <w:gridCol w:w="1818"/>
        <w:gridCol w:w="1260"/>
        <w:gridCol w:w="1260"/>
        <w:gridCol w:w="720"/>
        <w:gridCol w:w="1170"/>
        <w:gridCol w:w="1170"/>
        <w:gridCol w:w="1080"/>
        <w:gridCol w:w="1188"/>
      </w:tblGrid>
      <w:tr w:rsidR="00870FD2" w:rsidRPr="00866A1A" w:rsidTr="00601AB8">
        <w:trPr>
          <w:trHeight w:val="310"/>
          <w:jc w:val="center"/>
        </w:trPr>
        <w:tc>
          <w:tcPr>
            <w:tcW w:w="9666"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hideMark/>
          </w:tcPr>
          <w:p w:rsidR="00870FD2" w:rsidRPr="00866A1A" w:rsidRDefault="00870FD2" w:rsidP="00DF5EC8">
            <w:pPr>
              <w:widowControl/>
              <w:autoSpaceDE/>
              <w:autoSpaceDN/>
              <w:adjustRightInd/>
              <w:jc w:val="center"/>
              <w:rPr>
                <w:b/>
                <w:bCs/>
                <w:sz w:val="22"/>
                <w:szCs w:val="22"/>
              </w:rPr>
            </w:pPr>
            <w:r w:rsidRPr="00866A1A">
              <w:rPr>
                <w:b/>
                <w:bCs/>
                <w:sz w:val="22"/>
                <w:szCs w:val="22"/>
              </w:rPr>
              <w:lastRenderedPageBreak/>
              <w:t>Table 2: Cost to U. S. Government for OP-1 (MX)  Form</w:t>
            </w:r>
          </w:p>
        </w:tc>
      </w:tr>
      <w:tr w:rsidR="00673742" w:rsidRPr="00A953DB" w:rsidTr="00673742">
        <w:trPr>
          <w:trHeight w:val="620"/>
          <w:jc w:val="center"/>
        </w:trPr>
        <w:tc>
          <w:tcPr>
            <w:tcW w:w="1818" w:type="dxa"/>
            <w:tcBorders>
              <w:top w:val="nil"/>
              <w:left w:val="single" w:sz="8" w:space="0" w:color="auto"/>
              <w:bottom w:val="single" w:sz="4" w:space="0" w:color="auto"/>
              <w:right w:val="single" w:sz="4" w:space="0" w:color="auto"/>
            </w:tcBorders>
            <w:shd w:val="clear" w:color="auto" w:fill="D9D9D9" w:themeFill="background1" w:themeFillShade="D9"/>
            <w:noWrap/>
            <w:hideMark/>
          </w:tcPr>
          <w:p w:rsidR="00870FD2" w:rsidRPr="00A953DB" w:rsidRDefault="00870FD2" w:rsidP="00673742">
            <w:pPr>
              <w:widowControl/>
              <w:autoSpaceDE/>
              <w:autoSpaceDN/>
              <w:adjustRightInd/>
              <w:jc w:val="center"/>
              <w:rPr>
                <w:b/>
                <w:bCs/>
                <w:sz w:val="22"/>
                <w:szCs w:val="22"/>
              </w:rPr>
            </w:pPr>
            <w:r>
              <w:rPr>
                <w:b/>
                <w:bCs/>
                <w:sz w:val="22"/>
                <w:szCs w:val="22"/>
              </w:rPr>
              <w:t>Forms</w:t>
            </w:r>
          </w:p>
        </w:tc>
        <w:tc>
          <w:tcPr>
            <w:tcW w:w="1260" w:type="dxa"/>
            <w:tcBorders>
              <w:top w:val="nil"/>
              <w:left w:val="nil"/>
              <w:bottom w:val="single" w:sz="4" w:space="0" w:color="auto"/>
              <w:right w:val="single" w:sz="4" w:space="0" w:color="auto"/>
            </w:tcBorders>
            <w:shd w:val="clear" w:color="auto" w:fill="D9D9D9" w:themeFill="background1" w:themeFillShade="D9"/>
            <w:hideMark/>
          </w:tcPr>
          <w:p w:rsidR="00870FD2" w:rsidRPr="00A953DB" w:rsidRDefault="00870FD2" w:rsidP="00673742">
            <w:pPr>
              <w:widowControl/>
              <w:autoSpaceDE/>
              <w:autoSpaceDN/>
              <w:adjustRightInd/>
              <w:jc w:val="center"/>
              <w:rPr>
                <w:b/>
                <w:bCs/>
                <w:sz w:val="22"/>
                <w:szCs w:val="22"/>
              </w:rPr>
            </w:pPr>
            <w:r w:rsidRPr="00A953DB">
              <w:rPr>
                <w:b/>
                <w:bCs/>
                <w:sz w:val="22"/>
                <w:szCs w:val="22"/>
              </w:rPr>
              <w:t>Responses Year 1</w:t>
            </w:r>
          </w:p>
        </w:tc>
        <w:tc>
          <w:tcPr>
            <w:tcW w:w="1260" w:type="dxa"/>
            <w:tcBorders>
              <w:top w:val="nil"/>
              <w:left w:val="nil"/>
              <w:bottom w:val="single" w:sz="4" w:space="0" w:color="auto"/>
              <w:right w:val="single" w:sz="4" w:space="0" w:color="auto"/>
            </w:tcBorders>
            <w:shd w:val="clear" w:color="auto" w:fill="D9D9D9" w:themeFill="background1" w:themeFillShade="D9"/>
          </w:tcPr>
          <w:p w:rsidR="00870FD2" w:rsidRDefault="00870FD2" w:rsidP="00673742">
            <w:pPr>
              <w:widowControl/>
              <w:autoSpaceDE/>
              <w:autoSpaceDN/>
              <w:adjustRightInd/>
              <w:jc w:val="center"/>
              <w:rPr>
                <w:b/>
                <w:bCs/>
                <w:sz w:val="22"/>
                <w:szCs w:val="22"/>
              </w:rPr>
            </w:pPr>
            <w:r w:rsidRPr="00A953DB">
              <w:rPr>
                <w:b/>
                <w:bCs/>
                <w:sz w:val="22"/>
                <w:szCs w:val="22"/>
              </w:rPr>
              <w:t>Responses Years</w:t>
            </w:r>
          </w:p>
          <w:p w:rsidR="00870FD2" w:rsidRPr="00A953DB" w:rsidRDefault="00870FD2" w:rsidP="00673742">
            <w:pPr>
              <w:widowControl/>
              <w:autoSpaceDE/>
              <w:autoSpaceDN/>
              <w:adjustRightInd/>
              <w:jc w:val="center"/>
              <w:rPr>
                <w:b/>
                <w:bCs/>
                <w:sz w:val="22"/>
                <w:szCs w:val="22"/>
              </w:rPr>
            </w:pPr>
            <w:r w:rsidRPr="00A953DB">
              <w:rPr>
                <w:b/>
                <w:bCs/>
                <w:sz w:val="22"/>
                <w:szCs w:val="22"/>
              </w:rPr>
              <w:t>2 &amp; 3</w:t>
            </w:r>
          </w:p>
        </w:tc>
        <w:tc>
          <w:tcPr>
            <w:tcW w:w="720" w:type="dxa"/>
            <w:tcBorders>
              <w:top w:val="nil"/>
              <w:left w:val="nil"/>
              <w:bottom w:val="single" w:sz="4" w:space="0" w:color="auto"/>
              <w:right w:val="single" w:sz="4" w:space="0" w:color="auto"/>
            </w:tcBorders>
            <w:shd w:val="clear" w:color="auto" w:fill="D9D9D9" w:themeFill="background1" w:themeFillShade="D9"/>
          </w:tcPr>
          <w:p w:rsidR="00870FD2" w:rsidRPr="00A953DB" w:rsidRDefault="00870FD2" w:rsidP="00673742">
            <w:pPr>
              <w:widowControl/>
              <w:autoSpaceDE/>
              <w:autoSpaceDN/>
              <w:adjustRightInd/>
              <w:jc w:val="center"/>
              <w:rPr>
                <w:b/>
                <w:bCs/>
                <w:sz w:val="22"/>
                <w:szCs w:val="22"/>
              </w:rPr>
            </w:pPr>
            <w:r w:rsidRPr="00A953DB">
              <w:rPr>
                <w:b/>
                <w:bCs/>
                <w:sz w:val="22"/>
                <w:szCs w:val="22"/>
              </w:rPr>
              <w:t>Cost per Hour</w:t>
            </w:r>
          </w:p>
        </w:tc>
        <w:tc>
          <w:tcPr>
            <w:tcW w:w="1170" w:type="dxa"/>
            <w:tcBorders>
              <w:top w:val="nil"/>
              <w:left w:val="nil"/>
              <w:bottom w:val="single" w:sz="4" w:space="0" w:color="auto"/>
              <w:right w:val="single" w:sz="4" w:space="0" w:color="auto"/>
            </w:tcBorders>
            <w:shd w:val="clear" w:color="auto" w:fill="D9D9D9" w:themeFill="background1" w:themeFillShade="D9"/>
          </w:tcPr>
          <w:p w:rsidR="00870FD2" w:rsidRPr="00A953DB" w:rsidRDefault="00870FD2" w:rsidP="00673742">
            <w:pPr>
              <w:widowControl/>
              <w:autoSpaceDE/>
              <w:autoSpaceDN/>
              <w:adjustRightInd/>
              <w:jc w:val="center"/>
              <w:rPr>
                <w:b/>
                <w:bCs/>
                <w:sz w:val="22"/>
                <w:szCs w:val="22"/>
              </w:rPr>
            </w:pPr>
            <w:r w:rsidRPr="00A953DB">
              <w:rPr>
                <w:b/>
                <w:bCs/>
                <w:sz w:val="22"/>
                <w:szCs w:val="22"/>
              </w:rPr>
              <w:t>Hours per Response</w:t>
            </w:r>
          </w:p>
        </w:tc>
        <w:tc>
          <w:tcPr>
            <w:tcW w:w="1170" w:type="dxa"/>
            <w:tcBorders>
              <w:top w:val="nil"/>
              <w:left w:val="nil"/>
              <w:bottom w:val="single" w:sz="4" w:space="0" w:color="auto"/>
              <w:right w:val="single" w:sz="8" w:space="0" w:color="auto"/>
            </w:tcBorders>
            <w:shd w:val="clear" w:color="auto" w:fill="D9D9D9" w:themeFill="background1" w:themeFillShade="D9"/>
          </w:tcPr>
          <w:p w:rsidR="00870FD2" w:rsidRPr="00A953DB" w:rsidRDefault="00870FD2" w:rsidP="00673742">
            <w:pPr>
              <w:widowControl/>
              <w:autoSpaceDE/>
              <w:autoSpaceDN/>
              <w:adjustRightInd/>
              <w:jc w:val="center"/>
              <w:rPr>
                <w:b/>
                <w:bCs/>
                <w:sz w:val="22"/>
                <w:szCs w:val="22"/>
              </w:rPr>
            </w:pPr>
            <w:r w:rsidRPr="00A953DB">
              <w:rPr>
                <w:b/>
                <w:bCs/>
                <w:sz w:val="22"/>
                <w:szCs w:val="22"/>
              </w:rPr>
              <w:t>Cost per Response</w:t>
            </w:r>
          </w:p>
        </w:tc>
        <w:tc>
          <w:tcPr>
            <w:tcW w:w="1080" w:type="dxa"/>
            <w:tcBorders>
              <w:top w:val="nil"/>
              <w:left w:val="nil"/>
              <w:bottom w:val="single" w:sz="4" w:space="0" w:color="auto"/>
              <w:right w:val="single" w:sz="8" w:space="0" w:color="auto"/>
            </w:tcBorders>
            <w:shd w:val="clear" w:color="auto" w:fill="D9D9D9" w:themeFill="background1" w:themeFillShade="D9"/>
          </w:tcPr>
          <w:p w:rsidR="00870FD2" w:rsidRPr="00A953DB" w:rsidRDefault="00870FD2" w:rsidP="00673742">
            <w:pPr>
              <w:widowControl/>
              <w:autoSpaceDE/>
              <w:autoSpaceDN/>
              <w:adjustRightInd/>
              <w:jc w:val="center"/>
              <w:rPr>
                <w:b/>
                <w:bCs/>
                <w:sz w:val="22"/>
                <w:szCs w:val="22"/>
              </w:rPr>
            </w:pPr>
            <w:r w:rsidRPr="00A953DB">
              <w:rPr>
                <w:b/>
                <w:bCs/>
                <w:sz w:val="22"/>
                <w:szCs w:val="22"/>
              </w:rPr>
              <w:t>Annual Cost  Year 1</w:t>
            </w:r>
            <w:r>
              <w:rPr>
                <w:b/>
                <w:bCs/>
                <w:sz w:val="22"/>
                <w:szCs w:val="22"/>
              </w:rPr>
              <w:t xml:space="preserve"> (million)</w:t>
            </w:r>
          </w:p>
        </w:tc>
        <w:tc>
          <w:tcPr>
            <w:tcW w:w="1188" w:type="dxa"/>
            <w:tcBorders>
              <w:top w:val="nil"/>
              <w:left w:val="nil"/>
              <w:bottom w:val="single" w:sz="4" w:space="0" w:color="auto"/>
              <w:right w:val="single" w:sz="8" w:space="0" w:color="auto"/>
            </w:tcBorders>
            <w:shd w:val="clear" w:color="auto" w:fill="D9D9D9" w:themeFill="background1" w:themeFillShade="D9"/>
          </w:tcPr>
          <w:p w:rsidR="00870FD2" w:rsidRPr="00A953DB" w:rsidRDefault="00870FD2" w:rsidP="00673742">
            <w:pPr>
              <w:widowControl/>
              <w:autoSpaceDE/>
              <w:autoSpaceDN/>
              <w:adjustRightInd/>
              <w:jc w:val="center"/>
              <w:rPr>
                <w:b/>
                <w:bCs/>
                <w:sz w:val="22"/>
                <w:szCs w:val="22"/>
              </w:rPr>
            </w:pPr>
            <w:r w:rsidRPr="00A953DB">
              <w:rPr>
                <w:b/>
                <w:bCs/>
                <w:sz w:val="22"/>
                <w:szCs w:val="22"/>
              </w:rPr>
              <w:t>Annual Cost Years 2&amp;3</w:t>
            </w:r>
            <w:r>
              <w:rPr>
                <w:b/>
                <w:bCs/>
                <w:sz w:val="22"/>
                <w:szCs w:val="22"/>
              </w:rPr>
              <w:t xml:space="preserve"> (million)</w:t>
            </w:r>
          </w:p>
        </w:tc>
      </w:tr>
      <w:tr w:rsidR="00673742" w:rsidRPr="00A953DB" w:rsidTr="00673742">
        <w:trPr>
          <w:trHeight w:val="310"/>
          <w:jc w:val="center"/>
        </w:trPr>
        <w:tc>
          <w:tcPr>
            <w:tcW w:w="1818" w:type="dxa"/>
            <w:tcBorders>
              <w:top w:val="nil"/>
              <w:left w:val="single" w:sz="8" w:space="0" w:color="auto"/>
              <w:bottom w:val="single" w:sz="4" w:space="0" w:color="auto"/>
              <w:right w:val="single" w:sz="4" w:space="0" w:color="auto"/>
            </w:tcBorders>
            <w:shd w:val="clear" w:color="auto" w:fill="D9D9D9" w:themeFill="background1" w:themeFillShade="D9"/>
            <w:noWrap/>
          </w:tcPr>
          <w:p w:rsidR="00870FD2" w:rsidRPr="00A953DB" w:rsidRDefault="00870FD2" w:rsidP="00673742">
            <w:pPr>
              <w:widowControl/>
              <w:autoSpaceDE/>
              <w:autoSpaceDN/>
              <w:adjustRightInd/>
              <w:rPr>
                <w:b/>
                <w:bCs/>
                <w:sz w:val="22"/>
                <w:szCs w:val="22"/>
              </w:rPr>
            </w:pPr>
            <w:r w:rsidRPr="00A953DB">
              <w:rPr>
                <w:b/>
                <w:bCs/>
                <w:sz w:val="22"/>
                <w:szCs w:val="22"/>
              </w:rPr>
              <w:t>IC 1: OP-1</w:t>
            </w:r>
          </w:p>
        </w:tc>
        <w:tc>
          <w:tcPr>
            <w:tcW w:w="1260" w:type="dxa"/>
            <w:tcBorders>
              <w:top w:val="nil"/>
              <w:left w:val="nil"/>
              <w:bottom w:val="single" w:sz="4" w:space="0" w:color="auto"/>
              <w:right w:val="single" w:sz="4" w:space="0" w:color="auto"/>
            </w:tcBorders>
            <w:shd w:val="clear" w:color="auto" w:fill="auto"/>
            <w:noWrap/>
            <w:vAlign w:val="bottom"/>
          </w:tcPr>
          <w:p w:rsidR="00870FD2" w:rsidRPr="00A953DB" w:rsidRDefault="00870FD2" w:rsidP="00DF5EC8">
            <w:pPr>
              <w:widowControl/>
              <w:autoSpaceDE/>
              <w:autoSpaceDN/>
              <w:adjustRightInd/>
              <w:jc w:val="right"/>
              <w:rPr>
                <w:sz w:val="22"/>
                <w:szCs w:val="22"/>
              </w:rPr>
            </w:pPr>
            <w:r w:rsidRPr="00A953DB">
              <w:rPr>
                <w:sz w:val="22"/>
                <w:szCs w:val="22"/>
              </w:rPr>
              <w:t>35,700</w:t>
            </w:r>
          </w:p>
        </w:tc>
        <w:tc>
          <w:tcPr>
            <w:tcW w:w="1260" w:type="dxa"/>
            <w:tcBorders>
              <w:top w:val="nil"/>
              <w:left w:val="nil"/>
              <w:bottom w:val="single" w:sz="4" w:space="0" w:color="auto"/>
              <w:right w:val="single" w:sz="4" w:space="0" w:color="auto"/>
            </w:tcBorders>
            <w:shd w:val="clear" w:color="auto" w:fill="auto"/>
            <w:noWrap/>
            <w:vAlign w:val="bottom"/>
          </w:tcPr>
          <w:p w:rsidR="00870FD2" w:rsidRPr="00A953DB" w:rsidRDefault="00870FD2" w:rsidP="00DF5EC8">
            <w:pPr>
              <w:widowControl/>
              <w:autoSpaceDE/>
              <w:autoSpaceDN/>
              <w:adjustRightInd/>
              <w:jc w:val="right"/>
              <w:rPr>
                <w:sz w:val="22"/>
                <w:szCs w:val="22"/>
              </w:rPr>
            </w:pPr>
            <w:r>
              <w:rPr>
                <w:sz w:val="22"/>
                <w:szCs w:val="22"/>
              </w:rPr>
              <w:t>0</w:t>
            </w:r>
          </w:p>
        </w:tc>
        <w:tc>
          <w:tcPr>
            <w:tcW w:w="720" w:type="dxa"/>
            <w:tcBorders>
              <w:top w:val="nil"/>
              <w:left w:val="nil"/>
              <w:bottom w:val="single" w:sz="4" w:space="0" w:color="auto"/>
              <w:right w:val="single" w:sz="4" w:space="0" w:color="auto"/>
            </w:tcBorders>
            <w:shd w:val="clear" w:color="auto" w:fill="auto"/>
            <w:noWrap/>
            <w:vAlign w:val="bottom"/>
          </w:tcPr>
          <w:p w:rsidR="00870FD2" w:rsidRPr="00A953DB" w:rsidRDefault="00870FD2" w:rsidP="00DF5EC8">
            <w:pPr>
              <w:widowControl/>
              <w:autoSpaceDE/>
              <w:autoSpaceDN/>
              <w:adjustRightInd/>
              <w:jc w:val="right"/>
              <w:rPr>
                <w:sz w:val="22"/>
                <w:szCs w:val="22"/>
              </w:rPr>
            </w:pPr>
            <w:r w:rsidRPr="00A953DB">
              <w:rPr>
                <w:sz w:val="22"/>
                <w:szCs w:val="22"/>
              </w:rPr>
              <w:t>$6</w:t>
            </w:r>
            <w:r>
              <w:rPr>
                <w:sz w:val="22"/>
                <w:szCs w:val="22"/>
              </w:rPr>
              <w:t>5</w:t>
            </w:r>
          </w:p>
        </w:tc>
        <w:tc>
          <w:tcPr>
            <w:tcW w:w="1170" w:type="dxa"/>
            <w:tcBorders>
              <w:top w:val="nil"/>
              <w:left w:val="nil"/>
              <w:bottom w:val="single" w:sz="4" w:space="0" w:color="auto"/>
              <w:right w:val="single" w:sz="4" w:space="0" w:color="auto"/>
            </w:tcBorders>
            <w:shd w:val="clear" w:color="auto" w:fill="auto"/>
            <w:noWrap/>
            <w:vAlign w:val="bottom"/>
          </w:tcPr>
          <w:p w:rsidR="00870FD2" w:rsidRPr="00A953DB" w:rsidRDefault="00870FD2" w:rsidP="00DF5EC8">
            <w:pPr>
              <w:widowControl/>
              <w:autoSpaceDE/>
              <w:autoSpaceDN/>
              <w:adjustRightInd/>
              <w:jc w:val="right"/>
              <w:rPr>
                <w:sz w:val="22"/>
                <w:szCs w:val="22"/>
              </w:rPr>
            </w:pPr>
            <w:r w:rsidRPr="00A953DB">
              <w:rPr>
                <w:sz w:val="22"/>
                <w:szCs w:val="22"/>
              </w:rPr>
              <w:t>6.5</w:t>
            </w:r>
          </w:p>
        </w:tc>
        <w:tc>
          <w:tcPr>
            <w:tcW w:w="1170" w:type="dxa"/>
            <w:tcBorders>
              <w:top w:val="nil"/>
              <w:left w:val="nil"/>
              <w:bottom w:val="single" w:sz="4" w:space="0" w:color="auto"/>
              <w:right w:val="single" w:sz="8" w:space="0" w:color="auto"/>
            </w:tcBorders>
            <w:shd w:val="clear" w:color="auto" w:fill="auto"/>
            <w:noWrap/>
            <w:vAlign w:val="bottom"/>
          </w:tcPr>
          <w:p w:rsidR="00870FD2" w:rsidRPr="00A953DB" w:rsidRDefault="00870FD2" w:rsidP="00870FD2">
            <w:pPr>
              <w:widowControl/>
              <w:autoSpaceDE/>
              <w:autoSpaceDN/>
              <w:adjustRightInd/>
              <w:jc w:val="right"/>
              <w:rPr>
                <w:sz w:val="22"/>
                <w:szCs w:val="22"/>
              </w:rPr>
            </w:pPr>
            <w:r w:rsidRPr="00A953DB">
              <w:rPr>
                <w:sz w:val="22"/>
                <w:szCs w:val="22"/>
              </w:rPr>
              <w:t>$4</w:t>
            </w:r>
            <w:r>
              <w:rPr>
                <w:sz w:val="22"/>
                <w:szCs w:val="22"/>
              </w:rPr>
              <w:t>22.50</w:t>
            </w:r>
          </w:p>
        </w:tc>
        <w:tc>
          <w:tcPr>
            <w:tcW w:w="1080" w:type="dxa"/>
            <w:tcBorders>
              <w:top w:val="nil"/>
              <w:left w:val="nil"/>
              <w:bottom w:val="single" w:sz="4" w:space="0" w:color="auto"/>
              <w:right w:val="single" w:sz="8" w:space="0" w:color="auto"/>
            </w:tcBorders>
            <w:vAlign w:val="bottom"/>
          </w:tcPr>
          <w:p w:rsidR="00870FD2" w:rsidRPr="00A953DB" w:rsidRDefault="00870FD2" w:rsidP="00C23DD9">
            <w:pPr>
              <w:widowControl/>
              <w:autoSpaceDE/>
              <w:autoSpaceDN/>
              <w:adjustRightInd/>
              <w:jc w:val="right"/>
              <w:rPr>
                <w:sz w:val="22"/>
                <w:szCs w:val="22"/>
              </w:rPr>
            </w:pPr>
            <w:r w:rsidRPr="00A953DB">
              <w:rPr>
                <w:sz w:val="22"/>
                <w:szCs w:val="22"/>
              </w:rPr>
              <w:t>$</w:t>
            </w:r>
            <w:r w:rsidR="00C23DD9">
              <w:rPr>
                <w:sz w:val="22"/>
                <w:szCs w:val="22"/>
              </w:rPr>
              <w:t>15.1</w:t>
            </w:r>
          </w:p>
        </w:tc>
        <w:tc>
          <w:tcPr>
            <w:tcW w:w="1188" w:type="dxa"/>
            <w:tcBorders>
              <w:top w:val="nil"/>
              <w:left w:val="nil"/>
              <w:bottom w:val="single" w:sz="4" w:space="0" w:color="auto"/>
              <w:right w:val="single" w:sz="8" w:space="0" w:color="auto"/>
            </w:tcBorders>
            <w:vAlign w:val="bottom"/>
          </w:tcPr>
          <w:p w:rsidR="00870FD2" w:rsidRPr="00A953DB" w:rsidRDefault="00870FD2" w:rsidP="00DF5EC8">
            <w:pPr>
              <w:widowControl/>
              <w:autoSpaceDE/>
              <w:autoSpaceDN/>
              <w:adjustRightInd/>
              <w:jc w:val="right"/>
              <w:rPr>
                <w:sz w:val="22"/>
                <w:szCs w:val="22"/>
              </w:rPr>
            </w:pPr>
            <w:r>
              <w:rPr>
                <w:sz w:val="22"/>
                <w:szCs w:val="22"/>
              </w:rPr>
              <w:t>$0</w:t>
            </w:r>
          </w:p>
        </w:tc>
      </w:tr>
      <w:tr w:rsidR="00673742" w:rsidRPr="00A953DB" w:rsidTr="00673742">
        <w:trPr>
          <w:trHeight w:val="310"/>
          <w:jc w:val="center"/>
        </w:trPr>
        <w:tc>
          <w:tcPr>
            <w:tcW w:w="1818" w:type="dxa"/>
            <w:tcBorders>
              <w:top w:val="nil"/>
              <w:left w:val="single" w:sz="8" w:space="0" w:color="auto"/>
              <w:bottom w:val="single" w:sz="4" w:space="0" w:color="auto"/>
              <w:right w:val="single" w:sz="4" w:space="0" w:color="auto"/>
            </w:tcBorders>
            <w:shd w:val="clear" w:color="auto" w:fill="D9D9D9" w:themeFill="background1" w:themeFillShade="D9"/>
            <w:noWrap/>
          </w:tcPr>
          <w:p w:rsidR="00870FD2" w:rsidRPr="00A953DB" w:rsidRDefault="00870FD2" w:rsidP="00673742">
            <w:pPr>
              <w:widowControl/>
              <w:autoSpaceDE/>
              <w:autoSpaceDN/>
              <w:adjustRightInd/>
              <w:rPr>
                <w:b/>
                <w:bCs/>
                <w:sz w:val="22"/>
                <w:szCs w:val="22"/>
              </w:rPr>
            </w:pPr>
            <w:r w:rsidRPr="00A953DB">
              <w:rPr>
                <w:b/>
                <w:bCs/>
                <w:sz w:val="22"/>
                <w:szCs w:val="22"/>
              </w:rPr>
              <w:t>IC 2: OP-1(P)</w:t>
            </w:r>
          </w:p>
        </w:tc>
        <w:tc>
          <w:tcPr>
            <w:tcW w:w="1260" w:type="dxa"/>
            <w:tcBorders>
              <w:top w:val="nil"/>
              <w:left w:val="nil"/>
              <w:bottom w:val="single" w:sz="4" w:space="0" w:color="auto"/>
              <w:right w:val="single" w:sz="4" w:space="0" w:color="auto"/>
            </w:tcBorders>
            <w:shd w:val="clear" w:color="auto" w:fill="auto"/>
            <w:noWrap/>
            <w:vAlign w:val="bottom"/>
          </w:tcPr>
          <w:p w:rsidR="00870FD2" w:rsidRPr="00A953DB" w:rsidRDefault="00870FD2" w:rsidP="00DF5EC8">
            <w:pPr>
              <w:widowControl/>
              <w:autoSpaceDE/>
              <w:autoSpaceDN/>
              <w:adjustRightInd/>
              <w:jc w:val="right"/>
              <w:rPr>
                <w:sz w:val="22"/>
                <w:szCs w:val="22"/>
              </w:rPr>
            </w:pPr>
            <w:r w:rsidRPr="00A953DB">
              <w:rPr>
                <w:sz w:val="22"/>
                <w:szCs w:val="22"/>
              </w:rPr>
              <w:t>1,000</w:t>
            </w:r>
          </w:p>
        </w:tc>
        <w:tc>
          <w:tcPr>
            <w:tcW w:w="1260" w:type="dxa"/>
            <w:tcBorders>
              <w:top w:val="nil"/>
              <w:left w:val="nil"/>
              <w:bottom w:val="single" w:sz="4" w:space="0" w:color="auto"/>
              <w:right w:val="single" w:sz="4" w:space="0" w:color="auto"/>
            </w:tcBorders>
            <w:shd w:val="clear" w:color="auto" w:fill="auto"/>
            <w:noWrap/>
            <w:vAlign w:val="bottom"/>
          </w:tcPr>
          <w:p w:rsidR="00870FD2" w:rsidRPr="00A953DB" w:rsidRDefault="00870FD2" w:rsidP="00DF5EC8">
            <w:pPr>
              <w:widowControl/>
              <w:autoSpaceDE/>
              <w:autoSpaceDN/>
              <w:adjustRightInd/>
              <w:jc w:val="right"/>
              <w:rPr>
                <w:sz w:val="22"/>
                <w:szCs w:val="22"/>
              </w:rPr>
            </w:pPr>
            <w:r>
              <w:rPr>
                <w:sz w:val="22"/>
                <w:szCs w:val="22"/>
              </w:rPr>
              <w:t>0</w:t>
            </w:r>
          </w:p>
        </w:tc>
        <w:tc>
          <w:tcPr>
            <w:tcW w:w="720" w:type="dxa"/>
            <w:tcBorders>
              <w:top w:val="nil"/>
              <w:left w:val="nil"/>
              <w:bottom w:val="single" w:sz="4" w:space="0" w:color="auto"/>
              <w:right w:val="single" w:sz="4" w:space="0" w:color="auto"/>
            </w:tcBorders>
            <w:shd w:val="clear" w:color="auto" w:fill="auto"/>
            <w:noWrap/>
            <w:vAlign w:val="bottom"/>
          </w:tcPr>
          <w:p w:rsidR="00870FD2" w:rsidRPr="00A953DB" w:rsidRDefault="00870FD2" w:rsidP="00DF5EC8">
            <w:pPr>
              <w:widowControl/>
              <w:autoSpaceDE/>
              <w:autoSpaceDN/>
              <w:adjustRightInd/>
              <w:jc w:val="right"/>
              <w:rPr>
                <w:sz w:val="22"/>
                <w:szCs w:val="22"/>
              </w:rPr>
            </w:pPr>
            <w:r w:rsidRPr="00A953DB">
              <w:rPr>
                <w:sz w:val="22"/>
                <w:szCs w:val="22"/>
              </w:rPr>
              <w:t>$6</w:t>
            </w:r>
            <w:r>
              <w:rPr>
                <w:sz w:val="22"/>
                <w:szCs w:val="22"/>
              </w:rPr>
              <w:t>5</w:t>
            </w:r>
          </w:p>
        </w:tc>
        <w:tc>
          <w:tcPr>
            <w:tcW w:w="1170" w:type="dxa"/>
            <w:tcBorders>
              <w:top w:val="nil"/>
              <w:left w:val="nil"/>
              <w:bottom w:val="single" w:sz="4" w:space="0" w:color="auto"/>
              <w:right w:val="single" w:sz="4" w:space="0" w:color="auto"/>
            </w:tcBorders>
            <w:shd w:val="clear" w:color="auto" w:fill="auto"/>
            <w:noWrap/>
            <w:vAlign w:val="bottom"/>
          </w:tcPr>
          <w:p w:rsidR="00870FD2" w:rsidRPr="00A953DB" w:rsidRDefault="00870FD2" w:rsidP="00DF5EC8">
            <w:pPr>
              <w:widowControl/>
              <w:autoSpaceDE/>
              <w:autoSpaceDN/>
              <w:adjustRightInd/>
              <w:jc w:val="right"/>
              <w:rPr>
                <w:sz w:val="22"/>
                <w:szCs w:val="22"/>
              </w:rPr>
            </w:pPr>
            <w:r w:rsidRPr="00A953DB">
              <w:rPr>
                <w:sz w:val="22"/>
                <w:szCs w:val="22"/>
              </w:rPr>
              <w:t>6.5</w:t>
            </w:r>
          </w:p>
        </w:tc>
        <w:tc>
          <w:tcPr>
            <w:tcW w:w="1170" w:type="dxa"/>
            <w:tcBorders>
              <w:top w:val="nil"/>
              <w:left w:val="nil"/>
              <w:bottom w:val="single" w:sz="4" w:space="0" w:color="auto"/>
              <w:right w:val="single" w:sz="8" w:space="0" w:color="auto"/>
            </w:tcBorders>
            <w:shd w:val="clear" w:color="auto" w:fill="auto"/>
            <w:noWrap/>
            <w:vAlign w:val="bottom"/>
          </w:tcPr>
          <w:p w:rsidR="00870FD2" w:rsidRPr="00A953DB" w:rsidRDefault="00870FD2" w:rsidP="00870FD2">
            <w:pPr>
              <w:widowControl/>
              <w:autoSpaceDE/>
              <w:autoSpaceDN/>
              <w:adjustRightInd/>
              <w:jc w:val="right"/>
              <w:rPr>
                <w:sz w:val="22"/>
                <w:szCs w:val="22"/>
              </w:rPr>
            </w:pPr>
            <w:r w:rsidRPr="00A953DB">
              <w:rPr>
                <w:sz w:val="22"/>
                <w:szCs w:val="22"/>
              </w:rPr>
              <w:t>$</w:t>
            </w:r>
            <w:r>
              <w:rPr>
                <w:sz w:val="22"/>
                <w:szCs w:val="22"/>
              </w:rPr>
              <w:t>422.50</w:t>
            </w:r>
          </w:p>
        </w:tc>
        <w:tc>
          <w:tcPr>
            <w:tcW w:w="1080" w:type="dxa"/>
            <w:tcBorders>
              <w:top w:val="nil"/>
              <w:left w:val="nil"/>
              <w:bottom w:val="single" w:sz="4" w:space="0" w:color="auto"/>
              <w:right w:val="single" w:sz="8" w:space="0" w:color="auto"/>
            </w:tcBorders>
            <w:vAlign w:val="bottom"/>
          </w:tcPr>
          <w:p w:rsidR="00870FD2" w:rsidRPr="00A953DB" w:rsidRDefault="00870FD2" w:rsidP="00DF5EC8">
            <w:pPr>
              <w:widowControl/>
              <w:autoSpaceDE/>
              <w:autoSpaceDN/>
              <w:adjustRightInd/>
              <w:jc w:val="right"/>
              <w:rPr>
                <w:sz w:val="22"/>
                <w:szCs w:val="22"/>
              </w:rPr>
            </w:pPr>
            <w:r w:rsidRPr="00A953DB">
              <w:rPr>
                <w:sz w:val="22"/>
                <w:szCs w:val="22"/>
              </w:rPr>
              <w:t>$</w:t>
            </w:r>
            <w:r w:rsidR="00C23DD9">
              <w:rPr>
                <w:sz w:val="22"/>
                <w:szCs w:val="22"/>
              </w:rPr>
              <w:t>0.423</w:t>
            </w:r>
          </w:p>
        </w:tc>
        <w:tc>
          <w:tcPr>
            <w:tcW w:w="1188" w:type="dxa"/>
            <w:tcBorders>
              <w:top w:val="nil"/>
              <w:left w:val="nil"/>
              <w:bottom w:val="single" w:sz="4" w:space="0" w:color="auto"/>
              <w:right w:val="single" w:sz="8" w:space="0" w:color="auto"/>
            </w:tcBorders>
            <w:vAlign w:val="bottom"/>
          </w:tcPr>
          <w:p w:rsidR="00870FD2" w:rsidRPr="00A953DB" w:rsidRDefault="00870FD2" w:rsidP="00DF5EC8">
            <w:pPr>
              <w:widowControl/>
              <w:autoSpaceDE/>
              <w:autoSpaceDN/>
              <w:adjustRightInd/>
              <w:jc w:val="right"/>
              <w:rPr>
                <w:sz w:val="22"/>
                <w:szCs w:val="22"/>
              </w:rPr>
            </w:pPr>
            <w:r>
              <w:rPr>
                <w:sz w:val="22"/>
                <w:szCs w:val="22"/>
              </w:rPr>
              <w:t>$0</w:t>
            </w:r>
          </w:p>
        </w:tc>
      </w:tr>
      <w:tr w:rsidR="00673742" w:rsidRPr="00A953DB" w:rsidTr="00673742">
        <w:trPr>
          <w:trHeight w:val="310"/>
          <w:jc w:val="center"/>
        </w:trPr>
        <w:tc>
          <w:tcPr>
            <w:tcW w:w="1818" w:type="dxa"/>
            <w:tcBorders>
              <w:top w:val="nil"/>
              <w:left w:val="single" w:sz="8" w:space="0" w:color="auto"/>
              <w:bottom w:val="single" w:sz="4" w:space="0" w:color="auto"/>
              <w:right w:val="single" w:sz="4" w:space="0" w:color="auto"/>
            </w:tcBorders>
            <w:shd w:val="clear" w:color="auto" w:fill="D9D9D9" w:themeFill="background1" w:themeFillShade="D9"/>
            <w:noWrap/>
          </w:tcPr>
          <w:p w:rsidR="00870FD2" w:rsidRPr="00A953DB" w:rsidRDefault="00870FD2" w:rsidP="00673742">
            <w:pPr>
              <w:widowControl/>
              <w:autoSpaceDE/>
              <w:autoSpaceDN/>
              <w:adjustRightInd/>
              <w:rPr>
                <w:b/>
                <w:bCs/>
                <w:sz w:val="22"/>
                <w:szCs w:val="22"/>
              </w:rPr>
            </w:pPr>
            <w:r w:rsidRPr="00A953DB">
              <w:rPr>
                <w:b/>
                <w:bCs/>
                <w:sz w:val="22"/>
                <w:szCs w:val="22"/>
              </w:rPr>
              <w:t>IC 3: OP-1(FF)</w:t>
            </w:r>
          </w:p>
        </w:tc>
        <w:tc>
          <w:tcPr>
            <w:tcW w:w="1260" w:type="dxa"/>
            <w:tcBorders>
              <w:top w:val="nil"/>
              <w:left w:val="nil"/>
              <w:bottom w:val="single" w:sz="4" w:space="0" w:color="auto"/>
              <w:right w:val="single" w:sz="4" w:space="0" w:color="auto"/>
            </w:tcBorders>
            <w:shd w:val="clear" w:color="auto" w:fill="auto"/>
            <w:noWrap/>
            <w:vAlign w:val="bottom"/>
          </w:tcPr>
          <w:p w:rsidR="00870FD2" w:rsidRPr="00A953DB" w:rsidRDefault="00870FD2" w:rsidP="00DF5EC8">
            <w:pPr>
              <w:widowControl/>
              <w:autoSpaceDE/>
              <w:autoSpaceDN/>
              <w:adjustRightInd/>
              <w:jc w:val="right"/>
              <w:rPr>
                <w:sz w:val="22"/>
                <w:szCs w:val="22"/>
              </w:rPr>
            </w:pPr>
            <w:r w:rsidRPr="00A953DB">
              <w:rPr>
                <w:sz w:val="22"/>
                <w:szCs w:val="22"/>
              </w:rPr>
              <w:t>500</w:t>
            </w:r>
          </w:p>
        </w:tc>
        <w:tc>
          <w:tcPr>
            <w:tcW w:w="1260" w:type="dxa"/>
            <w:tcBorders>
              <w:top w:val="nil"/>
              <w:left w:val="nil"/>
              <w:bottom w:val="single" w:sz="4" w:space="0" w:color="auto"/>
              <w:right w:val="single" w:sz="4" w:space="0" w:color="auto"/>
            </w:tcBorders>
            <w:shd w:val="clear" w:color="auto" w:fill="auto"/>
            <w:noWrap/>
            <w:vAlign w:val="bottom"/>
          </w:tcPr>
          <w:p w:rsidR="00870FD2" w:rsidRPr="00A953DB" w:rsidRDefault="00870FD2" w:rsidP="00DF5EC8">
            <w:pPr>
              <w:widowControl/>
              <w:autoSpaceDE/>
              <w:autoSpaceDN/>
              <w:adjustRightInd/>
              <w:jc w:val="right"/>
              <w:rPr>
                <w:sz w:val="22"/>
                <w:szCs w:val="22"/>
              </w:rPr>
            </w:pPr>
            <w:r>
              <w:rPr>
                <w:sz w:val="22"/>
                <w:szCs w:val="22"/>
              </w:rPr>
              <w:t>0</w:t>
            </w:r>
          </w:p>
        </w:tc>
        <w:tc>
          <w:tcPr>
            <w:tcW w:w="720" w:type="dxa"/>
            <w:tcBorders>
              <w:top w:val="nil"/>
              <w:left w:val="nil"/>
              <w:bottom w:val="single" w:sz="4" w:space="0" w:color="auto"/>
              <w:right w:val="single" w:sz="4" w:space="0" w:color="auto"/>
            </w:tcBorders>
            <w:shd w:val="clear" w:color="auto" w:fill="auto"/>
            <w:noWrap/>
            <w:vAlign w:val="bottom"/>
          </w:tcPr>
          <w:p w:rsidR="00870FD2" w:rsidRPr="00A953DB" w:rsidRDefault="00870FD2" w:rsidP="00DF5EC8">
            <w:pPr>
              <w:widowControl/>
              <w:autoSpaceDE/>
              <w:autoSpaceDN/>
              <w:adjustRightInd/>
              <w:jc w:val="right"/>
              <w:rPr>
                <w:sz w:val="22"/>
                <w:szCs w:val="22"/>
              </w:rPr>
            </w:pPr>
            <w:r w:rsidRPr="00A953DB">
              <w:rPr>
                <w:sz w:val="22"/>
                <w:szCs w:val="22"/>
              </w:rPr>
              <w:t>$6</w:t>
            </w:r>
            <w:r>
              <w:rPr>
                <w:sz w:val="22"/>
                <w:szCs w:val="22"/>
              </w:rPr>
              <w:t>5</w:t>
            </w:r>
          </w:p>
        </w:tc>
        <w:tc>
          <w:tcPr>
            <w:tcW w:w="1170" w:type="dxa"/>
            <w:tcBorders>
              <w:top w:val="nil"/>
              <w:left w:val="nil"/>
              <w:bottom w:val="single" w:sz="4" w:space="0" w:color="auto"/>
              <w:right w:val="single" w:sz="4" w:space="0" w:color="auto"/>
            </w:tcBorders>
            <w:shd w:val="clear" w:color="auto" w:fill="auto"/>
            <w:noWrap/>
            <w:vAlign w:val="bottom"/>
          </w:tcPr>
          <w:p w:rsidR="00870FD2" w:rsidRPr="00A953DB" w:rsidRDefault="00870FD2" w:rsidP="00DF5EC8">
            <w:pPr>
              <w:widowControl/>
              <w:autoSpaceDE/>
              <w:autoSpaceDN/>
              <w:adjustRightInd/>
              <w:jc w:val="right"/>
              <w:rPr>
                <w:sz w:val="22"/>
                <w:szCs w:val="22"/>
              </w:rPr>
            </w:pPr>
            <w:r w:rsidRPr="00A953DB">
              <w:rPr>
                <w:sz w:val="22"/>
                <w:szCs w:val="22"/>
              </w:rPr>
              <w:t>6.5</w:t>
            </w:r>
          </w:p>
        </w:tc>
        <w:tc>
          <w:tcPr>
            <w:tcW w:w="1170" w:type="dxa"/>
            <w:tcBorders>
              <w:top w:val="nil"/>
              <w:left w:val="nil"/>
              <w:bottom w:val="single" w:sz="4" w:space="0" w:color="auto"/>
              <w:right w:val="single" w:sz="8" w:space="0" w:color="auto"/>
            </w:tcBorders>
            <w:shd w:val="clear" w:color="auto" w:fill="auto"/>
            <w:noWrap/>
            <w:vAlign w:val="bottom"/>
          </w:tcPr>
          <w:p w:rsidR="00870FD2" w:rsidRPr="00A953DB" w:rsidRDefault="00870FD2" w:rsidP="00870FD2">
            <w:pPr>
              <w:widowControl/>
              <w:autoSpaceDE/>
              <w:autoSpaceDN/>
              <w:adjustRightInd/>
              <w:jc w:val="right"/>
              <w:rPr>
                <w:sz w:val="22"/>
                <w:szCs w:val="22"/>
              </w:rPr>
            </w:pPr>
            <w:r w:rsidRPr="00A953DB">
              <w:rPr>
                <w:sz w:val="22"/>
                <w:szCs w:val="22"/>
              </w:rPr>
              <w:t>$4</w:t>
            </w:r>
            <w:r>
              <w:rPr>
                <w:sz w:val="22"/>
                <w:szCs w:val="22"/>
              </w:rPr>
              <w:t>22.50</w:t>
            </w:r>
          </w:p>
        </w:tc>
        <w:tc>
          <w:tcPr>
            <w:tcW w:w="1080" w:type="dxa"/>
            <w:tcBorders>
              <w:top w:val="nil"/>
              <w:left w:val="nil"/>
              <w:bottom w:val="single" w:sz="4" w:space="0" w:color="auto"/>
              <w:right w:val="single" w:sz="8" w:space="0" w:color="auto"/>
            </w:tcBorders>
            <w:vAlign w:val="bottom"/>
          </w:tcPr>
          <w:p w:rsidR="00870FD2" w:rsidRPr="00A953DB" w:rsidRDefault="00870FD2" w:rsidP="00DF5EC8">
            <w:pPr>
              <w:widowControl/>
              <w:autoSpaceDE/>
              <w:autoSpaceDN/>
              <w:adjustRightInd/>
              <w:jc w:val="right"/>
              <w:rPr>
                <w:sz w:val="22"/>
                <w:szCs w:val="22"/>
              </w:rPr>
            </w:pPr>
            <w:r w:rsidRPr="00A953DB">
              <w:rPr>
                <w:sz w:val="22"/>
                <w:szCs w:val="22"/>
              </w:rPr>
              <w:t>$0.2</w:t>
            </w:r>
            <w:r w:rsidR="00C23DD9">
              <w:rPr>
                <w:sz w:val="22"/>
                <w:szCs w:val="22"/>
              </w:rPr>
              <w:t>11</w:t>
            </w:r>
          </w:p>
        </w:tc>
        <w:tc>
          <w:tcPr>
            <w:tcW w:w="1188" w:type="dxa"/>
            <w:tcBorders>
              <w:top w:val="nil"/>
              <w:left w:val="nil"/>
              <w:bottom w:val="single" w:sz="4" w:space="0" w:color="auto"/>
              <w:right w:val="single" w:sz="8" w:space="0" w:color="auto"/>
            </w:tcBorders>
            <w:vAlign w:val="bottom"/>
          </w:tcPr>
          <w:p w:rsidR="00870FD2" w:rsidRPr="00A953DB" w:rsidRDefault="00870FD2" w:rsidP="00DF5EC8">
            <w:pPr>
              <w:widowControl/>
              <w:autoSpaceDE/>
              <w:autoSpaceDN/>
              <w:adjustRightInd/>
              <w:jc w:val="right"/>
              <w:rPr>
                <w:sz w:val="22"/>
                <w:szCs w:val="22"/>
              </w:rPr>
            </w:pPr>
            <w:r>
              <w:rPr>
                <w:sz w:val="22"/>
                <w:szCs w:val="22"/>
              </w:rPr>
              <w:t>$0</w:t>
            </w:r>
          </w:p>
        </w:tc>
      </w:tr>
      <w:tr w:rsidR="00673742" w:rsidRPr="00A953DB" w:rsidTr="00673742">
        <w:trPr>
          <w:trHeight w:val="310"/>
          <w:jc w:val="center"/>
        </w:trPr>
        <w:tc>
          <w:tcPr>
            <w:tcW w:w="1818" w:type="dxa"/>
            <w:tcBorders>
              <w:top w:val="nil"/>
              <w:left w:val="single" w:sz="8" w:space="0" w:color="auto"/>
              <w:bottom w:val="single" w:sz="4" w:space="0" w:color="auto"/>
              <w:right w:val="single" w:sz="4" w:space="0" w:color="auto"/>
            </w:tcBorders>
            <w:shd w:val="clear" w:color="auto" w:fill="D9D9D9" w:themeFill="background1" w:themeFillShade="D9"/>
            <w:noWrap/>
            <w:hideMark/>
          </w:tcPr>
          <w:p w:rsidR="00870FD2" w:rsidRPr="00A953DB" w:rsidRDefault="00870FD2" w:rsidP="00673742">
            <w:pPr>
              <w:widowControl/>
              <w:autoSpaceDE/>
              <w:autoSpaceDN/>
              <w:adjustRightInd/>
              <w:rPr>
                <w:b/>
                <w:bCs/>
                <w:sz w:val="22"/>
                <w:szCs w:val="22"/>
              </w:rPr>
            </w:pPr>
            <w:r w:rsidRPr="00A953DB">
              <w:rPr>
                <w:b/>
                <w:bCs/>
                <w:sz w:val="22"/>
                <w:szCs w:val="22"/>
              </w:rPr>
              <w:t>IC 1: OP-1(MX)</w:t>
            </w:r>
          </w:p>
        </w:tc>
        <w:tc>
          <w:tcPr>
            <w:tcW w:w="1260" w:type="dxa"/>
            <w:tcBorders>
              <w:top w:val="nil"/>
              <w:left w:val="nil"/>
              <w:bottom w:val="single" w:sz="4" w:space="0" w:color="auto"/>
              <w:right w:val="single" w:sz="4" w:space="0" w:color="auto"/>
            </w:tcBorders>
            <w:shd w:val="clear" w:color="auto" w:fill="auto"/>
            <w:noWrap/>
            <w:vAlign w:val="bottom"/>
            <w:hideMark/>
          </w:tcPr>
          <w:p w:rsidR="00870FD2" w:rsidRPr="00A953DB" w:rsidRDefault="00870FD2" w:rsidP="00DF5EC8">
            <w:pPr>
              <w:widowControl/>
              <w:autoSpaceDE/>
              <w:autoSpaceDN/>
              <w:adjustRightInd/>
              <w:jc w:val="right"/>
              <w:rPr>
                <w:sz w:val="22"/>
                <w:szCs w:val="22"/>
              </w:rPr>
            </w:pPr>
            <w:r w:rsidRPr="00A953DB">
              <w:rPr>
                <w:sz w:val="22"/>
                <w:szCs w:val="22"/>
              </w:rPr>
              <w:t>12</w:t>
            </w:r>
          </w:p>
        </w:tc>
        <w:tc>
          <w:tcPr>
            <w:tcW w:w="1260" w:type="dxa"/>
            <w:tcBorders>
              <w:top w:val="nil"/>
              <w:left w:val="nil"/>
              <w:bottom w:val="single" w:sz="4" w:space="0" w:color="auto"/>
              <w:right w:val="single" w:sz="4" w:space="0" w:color="auto"/>
            </w:tcBorders>
            <w:shd w:val="clear" w:color="auto" w:fill="auto"/>
            <w:noWrap/>
            <w:vAlign w:val="bottom"/>
          </w:tcPr>
          <w:p w:rsidR="00870FD2" w:rsidRPr="00A953DB" w:rsidRDefault="00870FD2" w:rsidP="00DF5EC8">
            <w:pPr>
              <w:widowControl/>
              <w:autoSpaceDE/>
              <w:autoSpaceDN/>
              <w:adjustRightInd/>
              <w:jc w:val="right"/>
              <w:rPr>
                <w:sz w:val="22"/>
                <w:szCs w:val="22"/>
              </w:rPr>
            </w:pPr>
            <w:r>
              <w:rPr>
                <w:sz w:val="22"/>
                <w:szCs w:val="22"/>
              </w:rPr>
              <w:t>12</w:t>
            </w:r>
          </w:p>
        </w:tc>
        <w:tc>
          <w:tcPr>
            <w:tcW w:w="720" w:type="dxa"/>
            <w:tcBorders>
              <w:top w:val="nil"/>
              <w:left w:val="nil"/>
              <w:bottom w:val="single" w:sz="4" w:space="0" w:color="auto"/>
              <w:right w:val="single" w:sz="4" w:space="0" w:color="auto"/>
            </w:tcBorders>
            <w:shd w:val="clear" w:color="auto" w:fill="auto"/>
            <w:noWrap/>
            <w:vAlign w:val="bottom"/>
          </w:tcPr>
          <w:p w:rsidR="00870FD2" w:rsidRPr="00A953DB" w:rsidRDefault="00870FD2" w:rsidP="00870FD2">
            <w:pPr>
              <w:widowControl/>
              <w:autoSpaceDE/>
              <w:autoSpaceDN/>
              <w:adjustRightInd/>
              <w:jc w:val="right"/>
              <w:rPr>
                <w:sz w:val="22"/>
                <w:szCs w:val="22"/>
              </w:rPr>
            </w:pPr>
            <w:r w:rsidRPr="00A953DB">
              <w:rPr>
                <w:sz w:val="22"/>
                <w:szCs w:val="22"/>
              </w:rPr>
              <w:t>$</w:t>
            </w:r>
            <w:r>
              <w:rPr>
                <w:sz w:val="22"/>
                <w:szCs w:val="22"/>
              </w:rPr>
              <w:t>58</w:t>
            </w:r>
          </w:p>
        </w:tc>
        <w:tc>
          <w:tcPr>
            <w:tcW w:w="1170" w:type="dxa"/>
            <w:tcBorders>
              <w:top w:val="nil"/>
              <w:left w:val="nil"/>
              <w:bottom w:val="single" w:sz="4" w:space="0" w:color="auto"/>
              <w:right w:val="single" w:sz="4" w:space="0" w:color="auto"/>
            </w:tcBorders>
            <w:shd w:val="clear" w:color="auto" w:fill="auto"/>
            <w:noWrap/>
            <w:vAlign w:val="bottom"/>
          </w:tcPr>
          <w:p w:rsidR="00870FD2" w:rsidRPr="00A953DB" w:rsidRDefault="00870FD2" w:rsidP="00DF5EC8">
            <w:pPr>
              <w:widowControl/>
              <w:autoSpaceDE/>
              <w:autoSpaceDN/>
              <w:adjustRightInd/>
              <w:jc w:val="right"/>
              <w:rPr>
                <w:sz w:val="22"/>
                <w:szCs w:val="22"/>
              </w:rPr>
            </w:pPr>
            <w:r w:rsidRPr="00A953DB">
              <w:rPr>
                <w:sz w:val="22"/>
                <w:szCs w:val="22"/>
              </w:rPr>
              <w:t>8.5</w:t>
            </w:r>
          </w:p>
        </w:tc>
        <w:tc>
          <w:tcPr>
            <w:tcW w:w="1170" w:type="dxa"/>
            <w:tcBorders>
              <w:top w:val="nil"/>
              <w:left w:val="nil"/>
              <w:bottom w:val="single" w:sz="4" w:space="0" w:color="auto"/>
              <w:right w:val="single" w:sz="8" w:space="0" w:color="auto"/>
            </w:tcBorders>
            <w:shd w:val="clear" w:color="auto" w:fill="auto"/>
            <w:noWrap/>
            <w:vAlign w:val="bottom"/>
          </w:tcPr>
          <w:p w:rsidR="00870FD2" w:rsidRPr="00A953DB" w:rsidRDefault="00870FD2" w:rsidP="00870FD2">
            <w:pPr>
              <w:widowControl/>
              <w:autoSpaceDE/>
              <w:autoSpaceDN/>
              <w:adjustRightInd/>
              <w:jc w:val="right"/>
              <w:rPr>
                <w:sz w:val="22"/>
                <w:szCs w:val="22"/>
              </w:rPr>
            </w:pPr>
            <w:r w:rsidRPr="00A953DB">
              <w:rPr>
                <w:sz w:val="22"/>
                <w:szCs w:val="22"/>
              </w:rPr>
              <w:t>$</w:t>
            </w:r>
            <w:r>
              <w:rPr>
                <w:sz w:val="22"/>
                <w:szCs w:val="22"/>
              </w:rPr>
              <w:t>493</w:t>
            </w:r>
          </w:p>
        </w:tc>
        <w:tc>
          <w:tcPr>
            <w:tcW w:w="1080" w:type="dxa"/>
            <w:tcBorders>
              <w:top w:val="nil"/>
              <w:left w:val="nil"/>
              <w:bottom w:val="single" w:sz="4" w:space="0" w:color="auto"/>
              <w:right w:val="single" w:sz="8" w:space="0" w:color="auto"/>
            </w:tcBorders>
            <w:vAlign w:val="bottom"/>
          </w:tcPr>
          <w:p w:rsidR="00870FD2" w:rsidRPr="00A953DB" w:rsidRDefault="00870FD2" w:rsidP="00C23DD9">
            <w:pPr>
              <w:widowControl/>
              <w:autoSpaceDE/>
              <w:autoSpaceDN/>
              <w:adjustRightInd/>
              <w:jc w:val="right"/>
              <w:rPr>
                <w:sz w:val="22"/>
                <w:szCs w:val="22"/>
              </w:rPr>
            </w:pPr>
            <w:r w:rsidRPr="00A953DB">
              <w:rPr>
                <w:sz w:val="22"/>
                <w:szCs w:val="22"/>
              </w:rPr>
              <w:t>$</w:t>
            </w:r>
            <w:r w:rsidR="00C23DD9">
              <w:rPr>
                <w:sz w:val="22"/>
                <w:szCs w:val="22"/>
              </w:rPr>
              <w:t>0.00592</w:t>
            </w:r>
          </w:p>
        </w:tc>
        <w:tc>
          <w:tcPr>
            <w:tcW w:w="1188" w:type="dxa"/>
            <w:tcBorders>
              <w:top w:val="nil"/>
              <w:left w:val="nil"/>
              <w:bottom w:val="single" w:sz="4" w:space="0" w:color="auto"/>
              <w:right w:val="single" w:sz="8" w:space="0" w:color="auto"/>
            </w:tcBorders>
            <w:vAlign w:val="bottom"/>
          </w:tcPr>
          <w:p w:rsidR="00870FD2" w:rsidRPr="00A953DB" w:rsidRDefault="00870FD2" w:rsidP="00DF5EC8">
            <w:pPr>
              <w:widowControl/>
              <w:autoSpaceDE/>
              <w:autoSpaceDN/>
              <w:adjustRightInd/>
              <w:jc w:val="right"/>
              <w:rPr>
                <w:sz w:val="22"/>
                <w:szCs w:val="22"/>
              </w:rPr>
            </w:pPr>
            <w:r>
              <w:rPr>
                <w:sz w:val="22"/>
                <w:szCs w:val="22"/>
              </w:rPr>
              <w:t>$0.0018</w:t>
            </w:r>
          </w:p>
        </w:tc>
      </w:tr>
      <w:tr w:rsidR="00673742" w:rsidRPr="00A953DB" w:rsidTr="00673742">
        <w:trPr>
          <w:trHeight w:val="310"/>
          <w:jc w:val="center"/>
        </w:trPr>
        <w:tc>
          <w:tcPr>
            <w:tcW w:w="1818" w:type="dxa"/>
            <w:tcBorders>
              <w:top w:val="nil"/>
              <w:left w:val="single" w:sz="8" w:space="0" w:color="auto"/>
              <w:bottom w:val="single" w:sz="4" w:space="0" w:color="auto"/>
              <w:right w:val="single" w:sz="4" w:space="0" w:color="auto"/>
            </w:tcBorders>
            <w:shd w:val="clear" w:color="auto" w:fill="D9D9D9" w:themeFill="background1" w:themeFillShade="D9"/>
            <w:noWrap/>
          </w:tcPr>
          <w:p w:rsidR="00870FD2" w:rsidRPr="00F87984" w:rsidRDefault="00870FD2" w:rsidP="00673742">
            <w:pPr>
              <w:widowControl/>
              <w:autoSpaceDE/>
              <w:autoSpaceDN/>
              <w:adjustRightInd/>
              <w:rPr>
                <w:b/>
                <w:bCs/>
                <w:sz w:val="22"/>
                <w:szCs w:val="22"/>
              </w:rPr>
            </w:pPr>
            <w:r w:rsidRPr="00F87984">
              <w:rPr>
                <w:b/>
                <w:bCs/>
                <w:sz w:val="22"/>
                <w:szCs w:val="22"/>
              </w:rPr>
              <w:t>IC 5: OP-1(NNA)</w:t>
            </w:r>
          </w:p>
        </w:tc>
        <w:tc>
          <w:tcPr>
            <w:tcW w:w="1260" w:type="dxa"/>
            <w:tcBorders>
              <w:top w:val="nil"/>
              <w:left w:val="nil"/>
              <w:bottom w:val="single" w:sz="4" w:space="0" w:color="auto"/>
              <w:right w:val="single" w:sz="4" w:space="0" w:color="auto"/>
            </w:tcBorders>
            <w:shd w:val="clear" w:color="auto" w:fill="auto"/>
            <w:noWrap/>
            <w:vAlign w:val="bottom"/>
          </w:tcPr>
          <w:p w:rsidR="00870FD2" w:rsidRPr="00F87984" w:rsidRDefault="00870FD2" w:rsidP="00DF5EC8">
            <w:pPr>
              <w:widowControl/>
              <w:autoSpaceDE/>
              <w:autoSpaceDN/>
              <w:adjustRightInd/>
              <w:jc w:val="right"/>
              <w:rPr>
                <w:sz w:val="22"/>
                <w:szCs w:val="22"/>
              </w:rPr>
            </w:pPr>
            <w:r w:rsidRPr="00F87984">
              <w:rPr>
                <w:sz w:val="22"/>
                <w:szCs w:val="22"/>
              </w:rPr>
              <w:t>4</w:t>
            </w:r>
          </w:p>
        </w:tc>
        <w:tc>
          <w:tcPr>
            <w:tcW w:w="1260" w:type="dxa"/>
            <w:tcBorders>
              <w:top w:val="nil"/>
              <w:left w:val="nil"/>
              <w:bottom w:val="single" w:sz="4" w:space="0" w:color="auto"/>
              <w:right w:val="single" w:sz="4" w:space="0" w:color="auto"/>
            </w:tcBorders>
            <w:shd w:val="clear" w:color="auto" w:fill="auto"/>
            <w:noWrap/>
            <w:vAlign w:val="bottom"/>
          </w:tcPr>
          <w:p w:rsidR="00870FD2" w:rsidRPr="00F87984" w:rsidRDefault="00870FD2" w:rsidP="00DF5EC8">
            <w:pPr>
              <w:widowControl/>
              <w:autoSpaceDE/>
              <w:autoSpaceDN/>
              <w:adjustRightInd/>
              <w:jc w:val="right"/>
              <w:rPr>
                <w:sz w:val="22"/>
                <w:szCs w:val="22"/>
              </w:rPr>
            </w:pPr>
            <w:r>
              <w:rPr>
                <w:sz w:val="22"/>
                <w:szCs w:val="22"/>
              </w:rPr>
              <w:t>0</w:t>
            </w:r>
          </w:p>
        </w:tc>
        <w:tc>
          <w:tcPr>
            <w:tcW w:w="720" w:type="dxa"/>
            <w:tcBorders>
              <w:top w:val="nil"/>
              <w:left w:val="nil"/>
              <w:bottom w:val="single" w:sz="4" w:space="0" w:color="auto"/>
              <w:right w:val="single" w:sz="4" w:space="0" w:color="auto"/>
            </w:tcBorders>
            <w:shd w:val="clear" w:color="auto" w:fill="auto"/>
            <w:noWrap/>
            <w:vAlign w:val="bottom"/>
          </w:tcPr>
          <w:p w:rsidR="00870FD2" w:rsidRPr="00F87984" w:rsidRDefault="00870FD2" w:rsidP="00870FD2">
            <w:pPr>
              <w:widowControl/>
              <w:autoSpaceDE/>
              <w:autoSpaceDN/>
              <w:adjustRightInd/>
              <w:jc w:val="right"/>
              <w:rPr>
                <w:sz w:val="22"/>
                <w:szCs w:val="22"/>
              </w:rPr>
            </w:pPr>
            <w:r w:rsidRPr="00F87984">
              <w:rPr>
                <w:sz w:val="22"/>
                <w:szCs w:val="22"/>
              </w:rPr>
              <w:t>$</w:t>
            </w:r>
            <w:r>
              <w:rPr>
                <w:sz w:val="22"/>
                <w:szCs w:val="22"/>
              </w:rPr>
              <w:t>58</w:t>
            </w:r>
          </w:p>
        </w:tc>
        <w:tc>
          <w:tcPr>
            <w:tcW w:w="1170" w:type="dxa"/>
            <w:tcBorders>
              <w:top w:val="nil"/>
              <w:left w:val="nil"/>
              <w:bottom w:val="single" w:sz="4" w:space="0" w:color="auto"/>
              <w:right w:val="single" w:sz="4" w:space="0" w:color="auto"/>
            </w:tcBorders>
            <w:shd w:val="clear" w:color="auto" w:fill="auto"/>
            <w:noWrap/>
            <w:vAlign w:val="bottom"/>
          </w:tcPr>
          <w:p w:rsidR="00870FD2" w:rsidRPr="00F87984" w:rsidRDefault="00870FD2" w:rsidP="00DF5EC8">
            <w:pPr>
              <w:widowControl/>
              <w:autoSpaceDE/>
              <w:autoSpaceDN/>
              <w:adjustRightInd/>
              <w:jc w:val="right"/>
              <w:rPr>
                <w:sz w:val="22"/>
                <w:szCs w:val="22"/>
              </w:rPr>
            </w:pPr>
            <w:r w:rsidRPr="00F87984">
              <w:rPr>
                <w:sz w:val="22"/>
                <w:szCs w:val="22"/>
              </w:rPr>
              <w:t>8.5</w:t>
            </w:r>
          </w:p>
        </w:tc>
        <w:tc>
          <w:tcPr>
            <w:tcW w:w="1170" w:type="dxa"/>
            <w:tcBorders>
              <w:top w:val="nil"/>
              <w:left w:val="nil"/>
              <w:bottom w:val="single" w:sz="4" w:space="0" w:color="auto"/>
              <w:right w:val="single" w:sz="8" w:space="0" w:color="auto"/>
            </w:tcBorders>
            <w:shd w:val="clear" w:color="auto" w:fill="auto"/>
            <w:noWrap/>
            <w:vAlign w:val="bottom"/>
          </w:tcPr>
          <w:p w:rsidR="00870FD2" w:rsidRPr="00F87984" w:rsidRDefault="00870FD2" w:rsidP="00DF5EC8">
            <w:pPr>
              <w:widowControl/>
              <w:autoSpaceDE/>
              <w:autoSpaceDN/>
              <w:adjustRightInd/>
              <w:jc w:val="right"/>
              <w:rPr>
                <w:sz w:val="22"/>
                <w:szCs w:val="22"/>
              </w:rPr>
            </w:pPr>
            <w:r w:rsidRPr="00F87984">
              <w:rPr>
                <w:sz w:val="22"/>
                <w:szCs w:val="22"/>
              </w:rPr>
              <w:t>$</w:t>
            </w:r>
            <w:r>
              <w:rPr>
                <w:sz w:val="22"/>
                <w:szCs w:val="22"/>
              </w:rPr>
              <w:t>493</w:t>
            </w:r>
          </w:p>
        </w:tc>
        <w:tc>
          <w:tcPr>
            <w:tcW w:w="1080" w:type="dxa"/>
            <w:tcBorders>
              <w:top w:val="nil"/>
              <w:left w:val="nil"/>
              <w:bottom w:val="single" w:sz="4" w:space="0" w:color="auto"/>
              <w:right w:val="single" w:sz="8" w:space="0" w:color="auto"/>
            </w:tcBorders>
            <w:vAlign w:val="bottom"/>
          </w:tcPr>
          <w:p w:rsidR="00870FD2" w:rsidRPr="00F87984" w:rsidRDefault="00870FD2" w:rsidP="00DF5EC8">
            <w:pPr>
              <w:widowControl/>
              <w:autoSpaceDE/>
              <w:autoSpaceDN/>
              <w:adjustRightInd/>
              <w:jc w:val="right"/>
              <w:rPr>
                <w:sz w:val="22"/>
                <w:szCs w:val="22"/>
              </w:rPr>
            </w:pPr>
            <w:r w:rsidRPr="00F87984">
              <w:rPr>
                <w:sz w:val="22"/>
                <w:szCs w:val="22"/>
              </w:rPr>
              <w:t>$0.</w:t>
            </w:r>
            <w:r w:rsidR="00C23DD9">
              <w:rPr>
                <w:sz w:val="22"/>
                <w:szCs w:val="22"/>
              </w:rPr>
              <w:t>197</w:t>
            </w:r>
          </w:p>
        </w:tc>
        <w:tc>
          <w:tcPr>
            <w:tcW w:w="1188" w:type="dxa"/>
            <w:tcBorders>
              <w:top w:val="nil"/>
              <w:left w:val="nil"/>
              <w:bottom w:val="single" w:sz="4" w:space="0" w:color="auto"/>
              <w:right w:val="single" w:sz="8" w:space="0" w:color="auto"/>
            </w:tcBorders>
            <w:vAlign w:val="bottom"/>
          </w:tcPr>
          <w:p w:rsidR="00870FD2" w:rsidRPr="00F87984" w:rsidRDefault="00870FD2" w:rsidP="00DF5EC8">
            <w:pPr>
              <w:widowControl/>
              <w:autoSpaceDE/>
              <w:autoSpaceDN/>
              <w:adjustRightInd/>
              <w:jc w:val="right"/>
              <w:rPr>
                <w:sz w:val="22"/>
                <w:szCs w:val="22"/>
              </w:rPr>
            </w:pPr>
            <w:r>
              <w:rPr>
                <w:sz w:val="22"/>
                <w:szCs w:val="22"/>
              </w:rPr>
              <w:t>$0</w:t>
            </w:r>
          </w:p>
        </w:tc>
      </w:tr>
      <w:tr w:rsidR="00673742" w:rsidRPr="00A953DB" w:rsidTr="00673742">
        <w:trPr>
          <w:trHeight w:val="310"/>
          <w:jc w:val="center"/>
        </w:trPr>
        <w:tc>
          <w:tcPr>
            <w:tcW w:w="1818" w:type="dxa"/>
            <w:tcBorders>
              <w:top w:val="nil"/>
              <w:left w:val="single" w:sz="8" w:space="0" w:color="auto"/>
              <w:bottom w:val="single" w:sz="4" w:space="0" w:color="auto"/>
              <w:right w:val="single" w:sz="4" w:space="0" w:color="auto"/>
            </w:tcBorders>
            <w:shd w:val="clear" w:color="auto" w:fill="D9D9D9" w:themeFill="background1" w:themeFillShade="D9"/>
            <w:noWrap/>
            <w:hideMark/>
          </w:tcPr>
          <w:p w:rsidR="00870FD2" w:rsidRPr="00F87984" w:rsidRDefault="00870FD2" w:rsidP="00673742">
            <w:pPr>
              <w:widowControl/>
              <w:autoSpaceDE/>
              <w:autoSpaceDN/>
              <w:adjustRightInd/>
              <w:rPr>
                <w:b/>
                <w:bCs/>
                <w:sz w:val="22"/>
                <w:szCs w:val="22"/>
              </w:rPr>
            </w:pPr>
            <w:r w:rsidRPr="00F87984">
              <w:rPr>
                <w:b/>
                <w:bCs/>
                <w:sz w:val="22"/>
                <w:szCs w:val="22"/>
              </w:rPr>
              <w:t>Total for ICR</w:t>
            </w:r>
          </w:p>
        </w:tc>
        <w:tc>
          <w:tcPr>
            <w:tcW w:w="1260" w:type="dxa"/>
            <w:tcBorders>
              <w:top w:val="nil"/>
              <w:left w:val="nil"/>
              <w:bottom w:val="single" w:sz="4" w:space="0" w:color="auto"/>
              <w:right w:val="single" w:sz="4" w:space="0" w:color="auto"/>
            </w:tcBorders>
            <w:shd w:val="clear" w:color="auto" w:fill="D9D9D9" w:themeFill="background1" w:themeFillShade="D9"/>
            <w:noWrap/>
            <w:vAlign w:val="bottom"/>
            <w:hideMark/>
          </w:tcPr>
          <w:p w:rsidR="00870FD2" w:rsidRPr="00F87984" w:rsidRDefault="00870FD2" w:rsidP="00DF5EC8">
            <w:pPr>
              <w:widowControl/>
              <w:autoSpaceDE/>
              <w:autoSpaceDN/>
              <w:adjustRightInd/>
              <w:jc w:val="right"/>
              <w:rPr>
                <w:sz w:val="22"/>
                <w:szCs w:val="22"/>
              </w:rPr>
            </w:pPr>
            <w:r w:rsidRPr="00F87984">
              <w:rPr>
                <w:sz w:val="22"/>
                <w:szCs w:val="22"/>
              </w:rPr>
              <w:t>37,217</w:t>
            </w:r>
          </w:p>
        </w:tc>
        <w:tc>
          <w:tcPr>
            <w:tcW w:w="1260" w:type="dxa"/>
            <w:tcBorders>
              <w:top w:val="nil"/>
              <w:left w:val="nil"/>
              <w:bottom w:val="single" w:sz="4" w:space="0" w:color="auto"/>
              <w:right w:val="single" w:sz="4" w:space="0" w:color="auto"/>
            </w:tcBorders>
            <w:shd w:val="clear" w:color="auto" w:fill="D9D9D9" w:themeFill="background1" w:themeFillShade="D9"/>
            <w:noWrap/>
            <w:vAlign w:val="bottom"/>
          </w:tcPr>
          <w:p w:rsidR="00870FD2" w:rsidRPr="00F87984" w:rsidRDefault="00870FD2" w:rsidP="00DF5EC8">
            <w:pPr>
              <w:widowControl/>
              <w:autoSpaceDE/>
              <w:autoSpaceDN/>
              <w:adjustRightInd/>
              <w:jc w:val="right"/>
              <w:rPr>
                <w:sz w:val="22"/>
                <w:szCs w:val="22"/>
              </w:rPr>
            </w:pPr>
            <w:r>
              <w:rPr>
                <w:sz w:val="22"/>
                <w:szCs w:val="22"/>
              </w:rPr>
              <w:t>12</w:t>
            </w:r>
          </w:p>
        </w:tc>
        <w:tc>
          <w:tcPr>
            <w:tcW w:w="720" w:type="dxa"/>
            <w:tcBorders>
              <w:top w:val="nil"/>
              <w:left w:val="nil"/>
              <w:bottom w:val="single" w:sz="4" w:space="0" w:color="auto"/>
              <w:right w:val="single" w:sz="4" w:space="0" w:color="auto"/>
            </w:tcBorders>
            <w:shd w:val="clear" w:color="auto" w:fill="D9D9D9" w:themeFill="background1" w:themeFillShade="D9"/>
            <w:noWrap/>
            <w:vAlign w:val="bottom"/>
          </w:tcPr>
          <w:p w:rsidR="00870FD2" w:rsidRPr="00F87984" w:rsidRDefault="00870FD2" w:rsidP="00DF5EC8">
            <w:pPr>
              <w:widowControl/>
              <w:autoSpaceDE/>
              <w:autoSpaceDN/>
              <w:adjustRightInd/>
              <w:jc w:val="right"/>
              <w:rPr>
                <w:sz w:val="22"/>
                <w:szCs w:val="22"/>
              </w:rPr>
            </w:pPr>
          </w:p>
        </w:tc>
        <w:tc>
          <w:tcPr>
            <w:tcW w:w="1170" w:type="dxa"/>
            <w:tcBorders>
              <w:top w:val="nil"/>
              <w:left w:val="nil"/>
              <w:bottom w:val="single" w:sz="4" w:space="0" w:color="auto"/>
              <w:right w:val="single" w:sz="4" w:space="0" w:color="auto"/>
            </w:tcBorders>
            <w:shd w:val="clear" w:color="auto" w:fill="D9D9D9" w:themeFill="background1" w:themeFillShade="D9"/>
            <w:noWrap/>
            <w:vAlign w:val="bottom"/>
          </w:tcPr>
          <w:p w:rsidR="00870FD2" w:rsidRPr="00F87984" w:rsidRDefault="00870FD2" w:rsidP="00DF5EC8">
            <w:pPr>
              <w:widowControl/>
              <w:autoSpaceDE/>
              <w:autoSpaceDN/>
              <w:adjustRightInd/>
              <w:jc w:val="right"/>
              <w:rPr>
                <w:sz w:val="22"/>
                <w:szCs w:val="22"/>
              </w:rPr>
            </w:pPr>
          </w:p>
        </w:tc>
        <w:tc>
          <w:tcPr>
            <w:tcW w:w="1170" w:type="dxa"/>
            <w:tcBorders>
              <w:top w:val="nil"/>
              <w:left w:val="nil"/>
              <w:bottom w:val="single" w:sz="4" w:space="0" w:color="auto"/>
              <w:right w:val="single" w:sz="8" w:space="0" w:color="auto"/>
            </w:tcBorders>
            <w:shd w:val="clear" w:color="auto" w:fill="D9D9D9" w:themeFill="background1" w:themeFillShade="D9"/>
            <w:noWrap/>
            <w:vAlign w:val="bottom"/>
          </w:tcPr>
          <w:p w:rsidR="00870FD2" w:rsidRPr="00F87984" w:rsidRDefault="00870FD2" w:rsidP="00DF5EC8">
            <w:pPr>
              <w:widowControl/>
              <w:autoSpaceDE/>
              <w:autoSpaceDN/>
              <w:adjustRightInd/>
              <w:jc w:val="right"/>
              <w:rPr>
                <w:sz w:val="22"/>
                <w:szCs w:val="22"/>
              </w:rPr>
            </w:pPr>
          </w:p>
        </w:tc>
        <w:tc>
          <w:tcPr>
            <w:tcW w:w="1080" w:type="dxa"/>
            <w:tcBorders>
              <w:top w:val="nil"/>
              <w:left w:val="nil"/>
              <w:bottom w:val="single" w:sz="4" w:space="0" w:color="auto"/>
              <w:right w:val="single" w:sz="8" w:space="0" w:color="auto"/>
            </w:tcBorders>
            <w:shd w:val="clear" w:color="auto" w:fill="D9D9D9" w:themeFill="background1" w:themeFillShade="D9"/>
            <w:vAlign w:val="bottom"/>
          </w:tcPr>
          <w:p w:rsidR="00870FD2" w:rsidRPr="00F87984" w:rsidRDefault="00870FD2" w:rsidP="00DF5EC8">
            <w:pPr>
              <w:widowControl/>
              <w:autoSpaceDE/>
              <w:autoSpaceDN/>
              <w:adjustRightInd/>
              <w:jc w:val="right"/>
              <w:rPr>
                <w:sz w:val="22"/>
                <w:szCs w:val="22"/>
              </w:rPr>
            </w:pPr>
            <w:r w:rsidRPr="00F87984">
              <w:rPr>
                <w:sz w:val="22"/>
                <w:szCs w:val="22"/>
              </w:rPr>
              <w:t>$15.</w:t>
            </w:r>
            <w:r w:rsidR="00C23DD9">
              <w:rPr>
                <w:sz w:val="22"/>
                <w:szCs w:val="22"/>
              </w:rPr>
              <w:t>325</w:t>
            </w:r>
          </w:p>
        </w:tc>
        <w:tc>
          <w:tcPr>
            <w:tcW w:w="1188" w:type="dxa"/>
            <w:tcBorders>
              <w:top w:val="nil"/>
              <w:left w:val="nil"/>
              <w:bottom w:val="single" w:sz="4" w:space="0" w:color="auto"/>
              <w:right w:val="single" w:sz="8" w:space="0" w:color="auto"/>
            </w:tcBorders>
            <w:shd w:val="clear" w:color="auto" w:fill="D9D9D9" w:themeFill="background1" w:themeFillShade="D9"/>
            <w:vAlign w:val="bottom"/>
          </w:tcPr>
          <w:p w:rsidR="00870FD2" w:rsidRPr="00F87984" w:rsidRDefault="00870FD2" w:rsidP="00DF5EC8">
            <w:pPr>
              <w:widowControl/>
              <w:autoSpaceDE/>
              <w:autoSpaceDN/>
              <w:adjustRightInd/>
              <w:jc w:val="right"/>
              <w:rPr>
                <w:sz w:val="22"/>
                <w:szCs w:val="22"/>
              </w:rPr>
            </w:pPr>
            <w:r>
              <w:rPr>
                <w:sz w:val="22"/>
                <w:szCs w:val="22"/>
              </w:rPr>
              <w:t>$0.0018</w:t>
            </w:r>
          </w:p>
        </w:tc>
      </w:tr>
    </w:tbl>
    <w:p w:rsidR="00870FD2" w:rsidRDefault="00870FD2" w:rsidP="008960EF">
      <w:pPr>
        <w:rPr>
          <w:sz w:val="24"/>
        </w:rPr>
      </w:pPr>
    </w:p>
    <w:p w:rsidR="00870FD2" w:rsidRDefault="00870FD2" w:rsidP="00870FD2">
      <w:pPr>
        <w:rPr>
          <w:bCs/>
          <w:sz w:val="24"/>
        </w:rPr>
      </w:pPr>
      <w:r>
        <w:rPr>
          <w:b/>
          <w:bCs/>
          <w:sz w:val="24"/>
        </w:rPr>
        <w:t>Year 1: $4</w:t>
      </w:r>
      <w:r w:rsidR="00756ACA">
        <w:rPr>
          <w:b/>
          <w:bCs/>
          <w:sz w:val="24"/>
        </w:rPr>
        <w:t>.125</w:t>
      </w:r>
      <w:r>
        <w:rPr>
          <w:b/>
          <w:bCs/>
          <w:sz w:val="24"/>
        </w:rPr>
        <w:t xml:space="preserve"> million </w:t>
      </w:r>
      <w:r w:rsidRPr="00227339">
        <w:rPr>
          <w:bCs/>
          <w:sz w:val="24"/>
        </w:rPr>
        <w:t>[</w:t>
      </w:r>
      <w:r>
        <w:rPr>
          <w:bCs/>
          <w:sz w:val="24"/>
        </w:rPr>
        <w:t>$15.</w:t>
      </w:r>
      <w:r w:rsidR="00C23DD9">
        <w:rPr>
          <w:bCs/>
          <w:sz w:val="24"/>
        </w:rPr>
        <w:t>325</w:t>
      </w:r>
      <w:r>
        <w:rPr>
          <w:bCs/>
          <w:sz w:val="24"/>
        </w:rPr>
        <w:t xml:space="preserve"> million cost to process forms - $11.2 million cost recouped via fees charged to applicants = $4</w:t>
      </w:r>
      <w:r w:rsidR="00C23DD9">
        <w:rPr>
          <w:bCs/>
          <w:sz w:val="24"/>
        </w:rPr>
        <w:t>.125</w:t>
      </w:r>
      <w:r>
        <w:rPr>
          <w:bCs/>
          <w:sz w:val="24"/>
        </w:rPr>
        <w:t xml:space="preserve"> million]</w:t>
      </w:r>
    </w:p>
    <w:p w:rsidR="00870FD2" w:rsidRDefault="00870FD2" w:rsidP="00870FD2">
      <w:pPr>
        <w:rPr>
          <w:bCs/>
          <w:sz w:val="24"/>
        </w:rPr>
      </w:pPr>
    </w:p>
    <w:p w:rsidR="00870FD2" w:rsidRDefault="00870FD2" w:rsidP="00870FD2">
      <w:pPr>
        <w:rPr>
          <w:bCs/>
          <w:sz w:val="24"/>
        </w:rPr>
      </w:pPr>
      <w:r w:rsidRPr="007501BB">
        <w:rPr>
          <w:b/>
          <w:bCs/>
          <w:sz w:val="24"/>
        </w:rPr>
        <w:t>Years 2 and 3: $</w:t>
      </w:r>
      <w:r w:rsidR="00C56DCF">
        <w:rPr>
          <w:b/>
          <w:bCs/>
          <w:sz w:val="24"/>
        </w:rPr>
        <w:t>4,632</w:t>
      </w:r>
      <w:r>
        <w:rPr>
          <w:bCs/>
          <w:sz w:val="24"/>
        </w:rPr>
        <w:t xml:space="preserve"> [($</w:t>
      </w:r>
      <w:r w:rsidR="00756ACA">
        <w:rPr>
          <w:bCs/>
          <w:sz w:val="24"/>
        </w:rPr>
        <w:t>5,916</w:t>
      </w:r>
      <w:r>
        <w:rPr>
          <w:bCs/>
          <w:sz w:val="24"/>
        </w:rPr>
        <w:t>cost to process forms - $3,</w:t>
      </w:r>
      <w:r w:rsidR="00C56DCF">
        <w:rPr>
          <w:bCs/>
          <w:sz w:val="24"/>
        </w:rPr>
        <w:t xml:space="preserve">600 </w:t>
      </w:r>
      <w:r>
        <w:rPr>
          <w:bCs/>
          <w:sz w:val="24"/>
        </w:rPr>
        <w:t>cost recouped via fees charged to applicants for Year 2) + $</w:t>
      </w:r>
      <w:r w:rsidR="00756ACA">
        <w:rPr>
          <w:bCs/>
          <w:sz w:val="24"/>
        </w:rPr>
        <w:t>5,916</w:t>
      </w:r>
      <w:r>
        <w:rPr>
          <w:bCs/>
          <w:sz w:val="24"/>
        </w:rPr>
        <w:t xml:space="preserve"> cost to process forms - $3,</w:t>
      </w:r>
      <w:r w:rsidR="00C56DCF">
        <w:rPr>
          <w:bCs/>
          <w:sz w:val="24"/>
        </w:rPr>
        <w:t xml:space="preserve">600 </w:t>
      </w:r>
      <w:r>
        <w:rPr>
          <w:bCs/>
          <w:sz w:val="24"/>
        </w:rPr>
        <w:t>cost recouped via fees charged to applicants for Year 3) = $</w:t>
      </w:r>
      <w:r w:rsidR="00756ACA">
        <w:rPr>
          <w:bCs/>
          <w:sz w:val="24"/>
        </w:rPr>
        <w:t>5,592</w:t>
      </w:r>
      <w:r>
        <w:rPr>
          <w:bCs/>
          <w:sz w:val="24"/>
        </w:rPr>
        <w:t>]</w:t>
      </w:r>
    </w:p>
    <w:p w:rsidR="00870FD2" w:rsidRPr="00A718A9" w:rsidRDefault="00870FD2" w:rsidP="00870FD2">
      <w:pPr>
        <w:rPr>
          <w:bCs/>
          <w:sz w:val="24"/>
        </w:rPr>
      </w:pPr>
    </w:p>
    <w:p w:rsidR="00870FD2" w:rsidRPr="00D4652A" w:rsidRDefault="00870FD2" w:rsidP="00870FD2">
      <w:pPr>
        <w:rPr>
          <w:bCs/>
          <w:sz w:val="24"/>
        </w:rPr>
      </w:pPr>
      <w:r>
        <w:rPr>
          <w:b/>
          <w:bCs/>
          <w:sz w:val="24"/>
        </w:rPr>
        <w:t>Estimated Average Annual Cost to the Federal Government: $1.3 million [</w:t>
      </w:r>
      <w:r>
        <w:rPr>
          <w:bCs/>
          <w:sz w:val="24"/>
        </w:rPr>
        <w:t>($15.</w:t>
      </w:r>
      <w:r w:rsidR="00756ACA">
        <w:rPr>
          <w:bCs/>
          <w:sz w:val="24"/>
        </w:rPr>
        <w:t>325</w:t>
      </w:r>
      <w:r>
        <w:rPr>
          <w:bCs/>
          <w:sz w:val="24"/>
        </w:rPr>
        <w:t xml:space="preserve"> million cost to process forms - $11.2 million cost recouped via fees charged to applicants for Year 1) + ($</w:t>
      </w:r>
      <w:r w:rsidR="00C56DCF">
        <w:rPr>
          <w:bCs/>
          <w:sz w:val="24"/>
        </w:rPr>
        <w:t>4,632</w:t>
      </w:r>
      <w:r>
        <w:rPr>
          <w:bCs/>
          <w:sz w:val="24"/>
        </w:rPr>
        <w:t xml:space="preserve"> cost to process forms for Year 2 &amp; 3) = </w:t>
      </w:r>
      <w:r w:rsidR="00756ACA">
        <w:rPr>
          <w:bCs/>
          <w:sz w:val="24"/>
        </w:rPr>
        <w:t>$4.</w:t>
      </w:r>
      <w:r w:rsidR="00C56DCF">
        <w:rPr>
          <w:bCs/>
          <w:sz w:val="24"/>
        </w:rPr>
        <w:t xml:space="preserve">129 </w:t>
      </w:r>
      <w:r>
        <w:rPr>
          <w:bCs/>
          <w:sz w:val="24"/>
        </w:rPr>
        <w:t>million/3 year approval for ICR = $1.3</w:t>
      </w:r>
      <w:r w:rsidR="00756ACA">
        <w:rPr>
          <w:bCs/>
          <w:sz w:val="24"/>
        </w:rPr>
        <w:t>7</w:t>
      </w:r>
      <w:r w:rsidR="00C56DCF">
        <w:rPr>
          <w:bCs/>
          <w:sz w:val="24"/>
        </w:rPr>
        <w:t>6</w:t>
      </w:r>
      <w:r>
        <w:rPr>
          <w:bCs/>
          <w:sz w:val="24"/>
        </w:rPr>
        <w:t xml:space="preserve"> million]</w:t>
      </w:r>
    </w:p>
    <w:p w:rsidR="00D4652A" w:rsidRDefault="00D4652A" w:rsidP="008960EF">
      <w:pPr>
        <w:rPr>
          <w:bCs/>
          <w:sz w:val="24"/>
        </w:rPr>
      </w:pPr>
    </w:p>
    <w:p w:rsidR="008960EF" w:rsidRDefault="001D5428" w:rsidP="008960EF">
      <w:pPr>
        <w:rPr>
          <w:b/>
          <w:bCs/>
          <w:sz w:val="24"/>
        </w:rPr>
      </w:pPr>
      <w:r>
        <w:rPr>
          <w:b/>
          <w:color w:val="000000"/>
          <w:sz w:val="24"/>
        </w:rPr>
        <w:t>1</w:t>
      </w:r>
      <w:r w:rsidR="008960EF" w:rsidRPr="00BC3B2C">
        <w:rPr>
          <w:b/>
          <w:color w:val="000000"/>
          <w:sz w:val="24"/>
        </w:rPr>
        <w:t xml:space="preserve">5. </w:t>
      </w:r>
      <w:r w:rsidR="008960EF" w:rsidRPr="00BC3B2C">
        <w:rPr>
          <w:b/>
          <w:bCs/>
          <w:sz w:val="24"/>
        </w:rPr>
        <w:t>E</w:t>
      </w:r>
      <w:r w:rsidR="008960EF">
        <w:rPr>
          <w:b/>
          <w:bCs/>
          <w:sz w:val="24"/>
        </w:rPr>
        <w:t xml:space="preserve">xplanation of </w:t>
      </w:r>
      <w:r w:rsidR="00A15320">
        <w:rPr>
          <w:b/>
          <w:bCs/>
          <w:sz w:val="24"/>
        </w:rPr>
        <w:t>program changes or adjustments</w:t>
      </w:r>
      <w:r w:rsidR="004252CC">
        <w:rPr>
          <w:b/>
          <w:bCs/>
          <w:sz w:val="24"/>
        </w:rPr>
        <w:t>:</w:t>
      </w:r>
    </w:p>
    <w:p w:rsidR="00294811" w:rsidRPr="005F5FF9" w:rsidRDefault="00294811" w:rsidP="008960EF">
      <w:pPr>
        <w:pStyle w:val="BodyText2"/>
      </w:pPr>
    </w:p>
    <w:p w:rsidR="003A0BEF" w:rsidRDefault="006D40B4" w:rsidP="005403A9">
      <w:pPr>
        <w:pStyle w:val="BodyText2"/>
      </w:pPr>
      <w:r>
        <w:t xml:space="preserve">The program </w:t>
      </w:r>
      <w:r w:rsidR="005776A2">
        <w:t xml:space="preserve">shows no increase or decrease in </w:t>
      </w:r>
      <w:r>
        <w:t>adjustment</w:t>
      </w:r>
      <w:r w:rsidR="00D86478">
        <w:t xml:space="preserve"> of burden hours</w:t>
      </w:r>
      <w:r w:rsidR="00C56DCF">
        <w:t>.</w:t>
      </w:r>
      <w:r w:rsidR="005776A2">
        <w:t xml:space="preserve"> Calculations were the same as </w:t>
      </w:r>
      <w:r w:rsidR="00C56DCF">
        <w:t xml:space="preserve">presented in the </w:t>
      </w:r>
      <w:r w:rsidR="00A3543E">
        <w:t xml:space="preserve">approved </w:t>
      </w:r>
      <w:r w:rsidR="00C56DCF">
        <w:t xml:space="preserve">request for the </w:t>
      </w:r>
      <w:r w:rsidR="00A3543E">
        <w:t xml:space="preserve">emergency approval. </w:t>
      </w:r>
      <w:r w:rsidR="005776A2">
        <w:t xml:space="preserve"> However, </w:t>
      </w:r>
      <w:r w:rsidR="00D86478">
        <w:t>there is an increase in annual burden cost to the Federal government due to an increase in labor costs for processing the forms.</w:t>
      </w:r>
    </w:p>
    <w:p w:rsidR="00DB149D" w:rsidRPr="005403A9" w:rsidRDefault="00DB149D" w:rsidP="005403A9">
      <w:pPr>
        <w:pStyle w:val="BodyText2"/>
      </w:pPr>
    </w:p>
    <w:p w:rsidR="00D968F0" w:rsidRDefault="00294811">
      <w:pPr>
        <w:rPr>
          <w:b/>
          <w:bCs/>
          <w:sz w:val="24"/>
        </w:rPr>
      </w:pPr>
      <w:r>
        <w:rPr>
          <w:b/>
          <w:bCs/>
          <w:sz w:val="24"/>
        </w:rPr>
        <w:t>1</w:t>
      </w:r>
      <w:r w:rsidR="00D968F0">
        <w:rPr>
          <w:b/>
          <w:bCs/>
          <w:sz w:val="24"/>
        </w:rPr>
        <w:t>6.</w:t>
      </w:r>
      <w:r w:rsidR="00D968F0">
        <w:rPr>
          <w:b/>
          <w:bCs/>
          <w:sz w:val="24"/>
        </w:rPr>
        <w:tab/>
        <w:t>Publicatio</w:t>
      </w:r>
      <w:r w:rsidR="00A15320">
        <w:rPr>
          <w:b/>
          <w:bCs/>
          <w:sz w:val="24"/>
        </w:rPr>
        <w:t>n of results of data collection</w:t>
      </w:r>
      <w:r w:rsidR="004252CC">
        <w:rPr>
          <w:b/>
          <w:bCs/>
          <w:sz w:val="24"/>
        </w:rPr>
        <w:t>:</w:t>
      </w:r>
    </w:p>
    <w:p w:rsidR="00D968F0" w:rsidRPr="00B35D19" w:rsidRDefault="00D968F0">
      <w:pPr>
        <w:rPr>
          <w:bCs/>
          <w:sz w:val="24"/>
        </w:rPr>
      </w:pPr>
    </w:p>
    <w:p w:rsidR="00D968F0" w:rsidRDefault="00A15320">
      <w:pPr>
        <w:pStyle w:val="BodyText"/>
      </w:pPr>
      <w:r w:rsidRPr="00A15320">
        <w:t>Data provided by this information collection will not be published.</w:t>
      </w:r>
    </w:p>
    <w:p w:rsidR="00136CED" w:rsidRDefault="00136CED">
      <w:pPr>
        <w:rPr>
          <w:bCs/>
          <w:sz w:val="24"/>
        </w:rPr>
      </w:pPr>
    </w:p>
    <w:p w:rsidR="00D968F0" w:rsidRDefault="00D968F0">
      <w:pPr>
        <w:rPr>
          <w:b/>
          <w:bCs/>
          <w:sz w:val="24"/>
        </w:rPr>
      </w:pPr>
      <w:r>
        <w:rPr>
          <w:b/>
          <w:bCs/>
          <w:sz w:val="24"/>
        </w:rPr>
        <w:t>17.</w:t>
      </w:r>
      <w:r>
        <w:rPr>
          <w:b/>
          <w:bCs/>
          <w:sz w:val="24"/>
        </w:rPr>
        <w:tab/>
        <w:t>Approval for not displaying the e</w:t>
      </w:r>
      <w:r w:rsidR="00A15320">
        <w:rPr>
          <w:b/>
          <w:bCs/>
          <w:sz w:val="24"/>
        </w:rPr>
        <w:t>xpiration data for OMB approval</w:t>
      </w:r>
      <w:r w:rsidR="004252CC">
        <w:rPr>
          <w:b/>
          <w:bCs/>
          <w:sz w:val="24"/>
        </w:rPr>
        <w:t>:</w:t>
      </w:r>
    </w:p>
    <w:p w:rsidR="00D968F0" w:rsidRDefault="00D968F0">
      <w:pPr>
        <w:rPr>
          <w:b/>
          <w:bCs/>
          <w:sz w:val="24"/>
        </w:rPr>
      </w:pPr>
    </w:p>
    <w:p w:rsidR="001952D5" w:rsidRDefault="00D968F0">
      <w:pPr>
        <w:rPr>
          <w:b/>
          <w:bCs/>
          <w:sz w:val="24"/>
        </w:rPr>
      </w:pPr>
      <w:r>
        <w:rPr>
          <w:sz w:val="24"/>
        </w:rPr>
        <w:t xml:space="preserve">The FMCSA is </w:t>
      </w:r>
      <w:r w:rsidRPr="00A15320">
        <w:rPr>
          <w:sz w:val="24"/>
          <w:u w:val="single"/>
        </w:rPr>
        <w:t>not</w:t>
      </w:r>
      <w:r>
        <w:rPr>
          <w:sz w:val="24"/>
        </w:rPr>
        <w:t xml:space="preserve"> seeking a</w:t>
      </w:r>
      <w:r w:rsidR="00A15320">
        <w:rPr>
          <w:sz w:val="24"/>
        </w:rPr>
        <w:t xml:space="preserve">n exemption from </w:t>
      </w:r>
      <w:r>
        <w:rPr>
          <w:sz w:val="24"/>
        </w:rPr>
        <w:t>display</w:t>
      </w:r>
      <w:r w:rsidR="00A15320">
        <w:rPr>
          <w:sz w:val="24"/>
        </w:rPr>
        <w:t>ing</w:t>
      </w:r>
      <w:r>
        <w:rPr>
          <w:sz w:val="24"/>
        </w:rPr>
        <w:t xml:space="preserve"> the expiration date.</w:t>
      </w:r>
    </w:p>
    <w:p w:rsidR="00AF4178" w:rsidRDefault="00AF4178">
      <w:pPr>
        <w:rPr>
          <w:bCs/>
          <w:sz w:val="24"/>
        </w:rPr>
      </w:pPr>
    </w:p>
    <w:p w:rsidR="00673742" w:rsidRDefault="00673742">
      <w:pPr>
        <w:rPr>
          <w:bCs/>
          <w:sz w:val="24"/>
        </w:rPr>
      </w:pPr>
    </w:p>
    <w:p w:rsidR="00673742" w:rsidRDefault="00673742">
      <w:pPr>
        <w:rPr>
          <w:bCs/>
          <w:sz w:val="24"/>
        </w:rPr>
      </w:pPr>
    </w:p>
    <w:p w:rsidR="00673742" w:rsidRDefault="00673742">
      <w:pPr>
        <w:rPr>
          <w:bCs/>
          <w:sz w:val="24"/>
        </w:rPr>
      </w:pPr>
    </w:p>
    <w:p w:rsidR="00D968F0" w:rsidRDefault="00D968F0">
      <w:pPr>
        <w:rPr>
          <w:b/>
          <w:bCs/>
          <w:sz w:val="24"/>
        </w:rPr>
      </w:pPr>
      <w:r>
        <w:rPr>
          <w:b/>
          <w:bCs/>
          <w:sz w:val="24"/>
        </w:rPr>
        <w:lastRenderedPageBreak/>
        <w:t>18.</w:t>
      </w:r>
      <w:r>
        <w:rPr>
          <w:b/>
          <w:bCs/>
          <w:sz w:val="24"/>
        </w:rPr>
        <w:tab/>
        <w:t>Except</w:t>
      </w:r>
      <w:r w:rsidR="00A15320">
        <w:rPr>
          <w:b/>
          <w:bCs/>
          <w:sz w:val="24"/>
        </w:rPr>
        <w:t>ions to certification statemen</w:t>
      </w:r>
      <w:r w:rsidR="004252CC">
        <w:rPr>
          <w:b/>
          <w:bCs/>
          <w:sz w:val="24"/>
        </w:rPr>
        <w:t>t:</w:t>
      </w:r>
    </w:p>
    <w:p w:rsidR="00D968F0" w:rsidRPr="00B35D19" w:rsidRDefault="00D968F0">
      <w:pPr>
        <w:rPr>
          <w:bCs/>
          <w:sz w:val="24"/>
        </w:rPr>
      </w:pPr>
    </w:p>
    <w:p w:rsidR="00A15320" w:rsidRDefault="00A15320" w:rsidP="00803C93">
      <w:pPr>
        <w:rPr>
          <w:sz w:val="24"/>
        </w:rPr>
      </w:pPr>
      <w:r w:rsidRPr="00A15320">
        <w:rPr>
          <w:sz w:val="24"/>
        </w:rPr>
        <w:t>There are no exceptions to the certification statement.</w:t>
      </w:r>
    </w:p>
    <w:p w:rsidR="00FA44CA" w:rsidRDefault="00FA44CA" w:rsidP="00A15320">
      <w:pPr>
        <w:rPr>
          <w:sz w:val="24"/>
        </w:rPr>
      </w:pPr>
    </w:p>
    <w:p w:rsidR="00A15320" w:rsidRPr="00A15320" w:rsidRDefault="00A15320" w:rsidP="00A15320">
      <w:pPr>
        <w:rPr>
          <w:sz w:val="24"/>
        </w:rPr>
      </w:pPr>
      <w:r w:rsidRPr="00A15320">
        <w:rPr>
          <w:sz w:val="24"/>
        </w:rPr>
        <w:t>Attachments:</w:t>
      </w:r>
    </w:p>
    <w:p w:rsidR="00A15320" w:rsidRPr="00A15320" w:rsidRDefault="00A15320" w:rsidP="00A15320">
      <w:pPr>
        <w:rPr>
          <w:sz w:val="24"/>
        </w:rPr>
      </w:pPr>
    </w:p>
    <w:p w:rsidR="00A15320" w:rsidRDefault="00A15320" w:rsidP="00A15320">
      <w:pPr>
        <w:pStyle w:val="ListParagraph"/>
        <w:numPr>
          <w:ilvl w:val="0"/>
          <w:numId w:val="12"/>
        </w:numPr>
        <w:rPr>
          <w:szCs w:val="24"/>
        </w:rPr>
      </w:pPr>
      <w:r w:rsidRPr="00E07A6F">
        <w:rPr>
          <w:szCs w:val="24"/>
        </w:rPr>
        <w:t xml:space="preserve">Attachment A:  </w:t>
      </w:r>
      <w:r w:rsidR="00FA44CA" w:rsidRPr="00E07A6F">
        <w:rPr>
          <w:szCs w:val="24"/>
        </w:rPr>
        <w:t>Final Rule</w:t>
      </w:r>
      <w:r w:rsidR="00FA44CA">
        <w:rPr>
          <w:szCs w:val="24"/>
        </w:rPr>
        <w:t>; correction</w:t>
      </w:r>
      <w:r w:rsidR="00FA44CA" w:rsidRPr="00E07A6F">
        <w:rPr>
          <w:szCs w:val="24"/>
        </w:rPr>
        <w:t xml:space="preserve"> entitled, “Unified Registration System” (8</w:t>
      </w:r>
      <w:r w:rsidR="00FA44CA">
        <w:rPr>
          <w:szCs w:val="24"/>
        </w:rPr>
        <w:t>1</w:t>
      </w:r>
      <w:r w:rsidR="00FA44CA" w:rsidRPr="00E07A6F">
        <w:rPr>
          <w:szCs w:val="24"/>
        </w:rPr>
        <w:t xml:space="preserve"> FR </w:t>
      </w:r>
      <w:r w:rsidR="008A1CE9">
        <w:rPr>
          <w:szCs w:val="24"/>
        </w:rPr>
        <w:t>49553</w:t>
      </w:r>
      <w:r w:rsidR="00FA44CA" w:rsidRPr="00E07A6F">
        <w:rPr>
          <w:szCs w:val="24"/>
        </w:rPr>
        <w:t xml:space="preserve"> dated </w:t>
      </w:r>
      <w:r w:rsidR="00FA44CA">
        <w:rPr>
          <w:szCs w:val="24"/>
        </w:rPr>
        <w:t>July 28, 2016</w:t>
      </w:r>
      <w:r w:rsidR="00FA44CA" w:rsidRPr="00E07A6F">
        <w:rPr>
          <w:szCs w:val="24"/>
        </w:rPr>
        <w:t>)</w:t>
      </w:r>
    </w:p>
    <w:p w:rsidR="005920B5" w:rsidRDefault="005920B5" w:rsidP="005920B5">
      <w:pPr>
        <w:pStyle w:val="ListParagraph"/>
        <w:numPr>
          <w:ilvl w:val="0"/>
          <w:numId w:val="12"/>
        </w:numPr>
        <w:rPr>
          <w:szCs w:val="24"/>
        </w:rPr>
      </w:pPr>
      <w:r w:rsidRPr="00E07A6F">
        <w:rPr>
          <w:szCs w:val="24"/>
        </w:rPr>
        <w:t xml:space="preserve">Attachment </w:t>
      </w:r>
      <w:r>
        <w:rPr>
          <w:szCs w:val="24"/>
        </w:rPr>
        <w:t>B</w:t>
      </w:r>
      <w:r w:rsidRPr="00E07A6F">
        <w:rPr>
          <w:szCs w:val="24"/>
        </w:rPr>
        <w:t xml:space="preserve">:  </w:t>
      </w:r>
      <w:r w:rsidR="0024341A" w:rsidRPr="0024341A">
        <w:rPr>
          <w:szCs w:val="24"/>
        </w:rPr>
        <w:t xml:space="preserve"> </w:t>
      </w:r>
      <w:r w:rsidR="00FA44CA" w:rsidRPr="00E07A6F">
        <w:rPr>
          <w:szCs w:val="24"/>
        </w:rPr>
        <w:t>Final Rule</w:t>
      </w:r>
      <w:r w:rsidR="00FA44CA">
        <w:rPr>
          <w:szCs w:val="24"/>
        </w:rPr>
        <w:t>; extension of effective dates</w:t>
      </w:r>
      <w:r w:rsidR="00FA44CA" w:rsidRPr="00E07A6F">
        <w:rPr>
          <w:szCs w:val="24"/>
        </w:rPr>
        <w:t xml:space="preserve"> entitled, “Unified Registration System” (8</w:t>
      </w:r>
      <w:r w:rsidR="00FA44CA">
        <w:rPr>
          <w:szCs w:val="24"/>
        </w:rPr>
        <w:t>0</w:t>
      </w:r>
      <w:r w:rsidR="00FA44CA" w:rsidRPr="00E07A6F">
        <w:rPr>
          <w:szCs w:val="24"/>
        </w:rPr>
        <w:t xml:space="preserve"> FR </w:t>
      </w:r>
      <w:r w:rsidR="00FA44CA">
        <w:rPr>
          <w:szCs w:val="24"/>
        </w:rPr>
        <w:t>63695</w:t>
      </w:r>
      <w:r w:rsidR="00FA44CA" w:rsidRPr="00E07A6F">
        <w:rPr>
          <w:szCs w:val="24"/>
        </w:rPr>
        <w:t xml:space="preserve"> dated </w:t>
      </w:r>
      <w:r w:rsidR="00FA44CA">
        <w:rPr>
          <w:szCs w:val="24"/>
        </w:rPr>
        <w:t xml:space="preserve">October </w:t>
      </w:r>
      <w:r w:rsidR="00FA44CA" w:rsidRPr="00E07A6F">
        <w:rPr>
          <w:szCs w:val="24"/>
        </w:rPr>
        <w:t>2</w:t>
      </w:r>
      <w:r w:rsidR="00FA44CA">
        <w:rPr>
          <w:szCs w:val="24"/>
        </w:rPr>
        <w:t>1</w:t>
      </w:r>
      <w:r w:rsidR="00FA44CA" w:rsidRPr="00E07A6F">
        <w:rPr>
          <w:szCs w:val="24"/>
        </w:rPr>
        <w:t>, 201</w:t>
      </w:r>
      <w:r w:rsidR="00FA44CA">
        <w:rPr>
          <w:szCs w:val="24"/>
        </w:rPr>
        <w:t>5</w:t>
      </w:r>
      <w:r w:rsidR="00FA44CA" w:rsidRPr="00E07A6F">
        <w:rPr>
          <w:szCs w:val="24"/>
        </w:rPr>
        <w:t>)</w:t>
      </w:r>
    </w:p>
    <w:p w:rsidR="005920B5" w:rsidRDefault="005920B5" w:rsidP="005920B5">
      <w:pPr>
        <w:pStyle w:val="ListParagraph"/>
        <w:numPr>
          <w:ilvl w:val="0"/>
          <w:numId w:val="12"/>
        </w:numPr>
        <w:rPr>
          <w:szCs w:val="24"/>
        </w:rPr>
      </w:pPr>
      <w:r>
        <w:rPr>
          <w:szCs w:val="24"/>
        </w:rPr>
        <w:t>Attachment C:</w:t>
      </w:r>
      <w:r w:rsidRPr="00C574F7">
        <w:rPr>
          <w:szCs w:val="24"/>
        </w:rPr>
        <w:t xml:space="preserve"> </w:t>
      </w:r>
      <w:r>
        <w:rPr>
          <w:szCs w:val="24"/>
        </w:rPr>
        <w:t xml:space="preserve"> </w:t>
      </w:r>
      <w:r w:rsidR="0024341A">
        <w:rPr>
          <w:szCs w:val="24"/>
        </w:rPr>
        <w:t xml:space="preserve">49 </w:t>
      </w:r>
      <w:r w:rsidR="0024341A" w:rsidRPr="00C574F7">
        <w:rPr>
          <w:szCs w:val="24"/>
        </w:rPr>
        <w:t>U.S.C. 1390</w:t>
      </w:r>
      <w:r w:rsidR="0024341A">
        <w:rPr>
          <w:szCs w:val="24"/>
        </w:rPr>
        <w:t>2(c)</w:t>
      </w:r>
    </w:p>
    <w:p w:rsidR="0024341A" w:rsidRDefault="005920B5" w:rsidP="0024341A">
      <w:pPr>
        <w:pStyle w:val="ListParagraph"/>
        <w:numPr>
          <w:ilvl w:val="0"/>
          <w:numId w:val="12"/>
        </w:numPr>
        <w:rPr>
          <w:szCs w:val="24"/>
        </w:rPr>
      </w:pPr>
      <w:r>
        <w:rPr>
          <w:szCs w:val="24"/>
        </w:rPr>
        <w:t xml:space="preserve">Attachment D: </w:t>
      </w:r>
      <w:r w:rsidRPr="00C574F7">
        <w:rPr>
          <w:szCs w:val="24"/>
        </w:rPr>
        <w:t xml:space="preserve"> </w:t>
      </w:r>
      <w:r w:rsidR="0024341A" w:rsidRPr="00C574F7">
        <w:rPr>
          <w:szCs w:val="24"/>
        </w:rPr>
        <w:t>ICC Termination Act of 1995 (ICCTA)</w:t>
      </w:r>
      <w:r w:rsidR="0024341A">
        <w:rPr>
          <w:szCs w:val="24"/>
        </w:rPr>
        <w:t xml:space="preserve"> [Pub. L. 104-88, 109 Stat. 803, December 29, 1995]</w:t>
      </w:r>
    </w:p>
    <w:p w:rsidR="004252CC" w:rsidRDefault="007F023A" w:rsidP="00A15320">
      <w:pPr>
        <w:pStyle w:val="ListParagraph"/>
        <w:numPr>
          <w:ilvl w:val="0"/>
          <w:numId w:val="12"/>
        </w:numPr>
        <w:rPr>
          <w:szCs w:val="24"/>
        </w:rPr>
      </w:pPr>
      <w:r>
        <w:rPr>
          <w:szCs w:val="24"/>
        </w:rPr>
        <w:t xml:space="preserve">Attachment E: </w:t>
      </w:r>
      <w:r w:rsidRPr="00C574F7">
        <w:rPr>
          <w:szCs w:val="24"/>
        </w:rPr>
        <w:t xml:space="preserve"> </w:t>
      </w:r>
      <w:r w:rsidR="0024341A">
        <w:rPr>
          <w:szCs w:val="24"/>
        </w:rPr>
        <w:t>Interim Final Rule entitled, “Application by Certain Mexico-Domiciled Motor Carriers to Operate Beyond United States Municipalities and Commercial Zones on the United States-Mexico Border (67 FR 12702 dated March 19, 2002)</w:t>
      </w:r>
    </w:p>
    <w:p w:rsidR="00A22F35" w:rsidRPr="00A22F35" w:rsidRDefault="00A22F35" w:rsidP="00A22F35">
      <w:pPr>
        <w:pStyle w:val="ListParagraph"/>
        <w:numPr>
          <w:ilvl w:val="0"/>
          <w:numId w:val="12"/>
        </w:numPr>
        <w:rPr>
          <w:szCs w:val="24"/>
        </w:rPr>
      </w:pPr>
      <w:r w:rsidRPr="002E7224">
        <w:rPr>
          <w:szCs w:val="24"/>
        </w:rPr>
        <w:t xml:space="preserve">Attachment </w:t>
      </w:r>
      <w:r>
        <w:rPr>
          <w:szCs w:val="24"/>
        </w:rPr>
        <w:t>F</w:t>
      </w:r>
      <w:r w:rsidRPr="002E7224">
        <w:rPr>
          <w:szCs w:val="24"/>
        </w:rPr>
        <w:t xml:space="preserve">:  </w:t>
      </w:r>
      <w:r>
        <w:rPr>
          <w:szCs w:val="24"/>
        </w:rPr>
        <w:t xml:space="preserve">Federal Register Notice </w:t>
      </w:r>
      <w:r w:rsidRPr="001C764D">
        <w:rPr>
          <w:szCs w:val="24"/>
        </w:rPr>
        <w:t>requesting comments on “</w:t>
      </w:r>
      <w:r w:rsidRPr="00A22F35">
        <w:rPr>
          <w:szCs w:val="24"/>
        </w:rPr>
        <w:t>Licensing Applications for Motor Carrier Operating Authority” Information Collection Request OMB Control Number 2126-0016 (81 FR 53539)</w:t>
      </w:r>
    </w:p>
    <w:sectPr w:rsidR="00A22F35" w:rsidRPr="00A22F35" w:rsidSect="00BA6C49">
      <w:footerReference w:type="even" r:id="rId12"/>
      <w:footerReference w:type="default" r:id="rId13"/>
      <w:endnotePr>
        <w:numFmt w:val="decimal"/>
      </w:endnotePr>
      <w:type w:val="continuous"/>
      <w:pgSz w:w="12240" w:h="15840"/>
      <w:pgMar w:top="1440" w:right="135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453" w:rsidRDefault="00823453">
      <w:r>
        <w:separator/>
      </w:r>
    </w:p>
  </w:endnote>
  <w:endnote w:type="continuationSeparator" w:id="0">
    <w:p w:rsidR="00823453" w:rsidRDefault="00823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384" w:rsidRDefault="00874384" w:rsidP="00DB16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4384" w:rsidRDefault="008743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913521"/>
      <w:docPartObj>
        <w:docPartGallery w:val="Page Numbers (Bottom of Page)"/>
        <w:docPartUnique/>
      </w:docPartObj>
    </w:sdtPr>
    <w:sdtEndPr>
      <w:rPr>
        <w:noProof/>
      </w:rPr>
    </w:sdtEndPr>
    <w:sdtContent>
      <w:p w:rsidR="008C2948" w:rsidRDefault="008C2948">
        <w:pPr>
          <w:pStyle w:val="Footer"/>
          <w:jc w:val="center"/>
        </w:pPr>
        <w:r>
          <w:fldChar w:fldCharType="begin"/>
        </w:r>
        <w:r>
          <w:instrText xml:space="preserve"> PAGE   \* MERGEFORMAT </w:instrText>
        </w:r>
        <w:r>
          <w:fldChar w:fldCharType="separate"/>
        </w:r>
        <w:r w:rsidR="00673742">
          <w:rPr>
            <w:noProof/>
          </w:rPr>
          <w:t>1</w:t>
        </w:r>
        <w:r>
          <w:rPr>
            <w:noProof/>
          </w:rPr>
          <w:fldChar w:fldCharType="end"/>
        </w:r>
      </w:p>
    </w:sdtContent>
  </w:sdt>
  <w:p w:rsidR="00874384" w:rsidRDefault="00874384">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453" w:rsidRDefault="00823453">
      <w:r>
        <w:separator/>
      </w:r>
    </w:p>
  </w:footnote>
  <w:footnote w:type="continuationSeparator" w:id="0">
    <w:p w:rsidR="00823453" w:rsidRDefault="00823453">
      <w:r>
        <w:continuationSeparator/>
      </w:r>
    </w:p>
  </w:footnote>
  <w:footnote w:id="1">
    <w:p w:rsidR="00F33269" w:rsidRDefault="00F33269">
      <w:pPr>
        <w:pStyle w:val="FootnoteText"/>
      </w:pPr>
      <w:r>
        <w:rPr>
          <w:rStyle w:val="FootnoteReference"/>
        </w:rPr>
        <w:footnoteRef/>
      </w:r>
      <w:r>
        <w:t xml:space="preserve"> </w:t>
      </w:r>
      <w:r w:rsidRPr="00F75E2A">
        <w:rPr>
          <w:sz w:val="24"/>
        </w:rPr>
        <w:t>The Final Rule titled, “Unified Registration System,” (80 FR 63695) dated October 21, 2015</w:t>
      </w:r>
      <w:r w:rsidR="009231BB">
        <w:rPr>
          <w:sz w:val="24"/>
        </w:rPr>
        <w:t>,</w:t>
      </w:r>
      <w:r w:rsidRPr="00F75E2A">
        <w:rPr>
          <w:sz w:val="24"/>
        </w:rPr>
        <w:t xml:space="preserve"> </w:t>
      </w:r>
      <w:r>
        <w:rPr>
          <w:sz w:val="24"/>
        </w:rPr>
        <w:t xml:space="preserve">(Attachment B) </w:t>
      </w:r>
      <w:r w:rsidRPr="00F75E2A">
        <w:rPr>
          <w:sz w:val="24"/>
        </w:rPr>
        <w:t>changed the effective and compliance dates of the Final Rule</w:t>
      </w:r>
      <w:r>
        <w:rPr>
          <w:sz w:val="24"/>
        </w:rPr>
        <w:t xml:space="preserve"> titled</w:t>
      </w:r>
      <w:r w:rsidRPr="00F75E2A">
        <w:rPr>
          <w:sz w:val="24"/>
        </w:rPr>
        <w:t xml:space="preserve"> </w:t>
      </w:r>
      <w:r w:rsidRPr="00FA44CA">
        <w:rPr>
          <w:sz w:val="24"/>
        </w:rPr>
        <w:t>“Unified Registration System” (78 FR 52608 dated August 23, 2013)</w:t>
      </w:r>
      <w:r>
        <w:rPr>
          <w:sz w:val="24"/>
        </w:rPr>
        <w:t xml:space="preserve"> from October 23, 2015</w:t>
      </w:r>
      <w:r w:rsidR="009231BB">
        <w:rPr>
          <w:sz w:val="24"/>
        </w:rPr>
        <w:t>,</w:t>
      </w:r>
      <w:r>
        <w:rPr>
          <w:sz w:val="24"/>
        </w:rPr>
        <w:t xml:space="preserve"> to September 30, 2016</w:t>
      </w:r>
      <w:r w:rsidR="009231BB">
        <w:rPr>
          <w:sz w:val="24"/>
        </w:rPr>
        <w:t>,</w:t>
      </w:r>
      <w:r>
        <w:rPr>
          <w:sz w:val="24"/>
        </w:rPr>
        <w:t xml:space="preserve"> </w:t>
      </w:r>
      <w:r w:rsidRPr="00F75E2A">
        <w:rPr>
          <w:sz w:val="24"/>
        </w:rPr>
        <w:t xml:space="preserve">in order to allow FMCSA additional time to complete the information technology (IT) systems work required to fully implement that rule.  </w:t>
      </w:r>
      <w:r>
        <w:rPr>
          <w:sz w:val="24"/>
        </w:rPr>
        <w:t>Previously</w:t>
      </w:r>
      <w:r w:rsidRPr="00924255">
        <w:rPr>
          <w:sz w:val="24"/>
        </w:rPr>
        <w:t xml:space="preserve">, </w:t>
      </w:r>
      <w:r w:rsidRPr="00924255">
        <w:rPr>
          <w:rFonts w:eastAsia="Calibri"/>
          <w:sz w:val="24"/>
        </w:rPr>
        <w:t xml:space="preserve">FMCSA </w:t>
      </w:r>
      <w:r>
        <w:rPr>
          <w:rFonts w:eastAsia="Calibri"/>
          <w:sz w:val="24"/>
        </w:rPr>
        <w:t>sought</w:t>
      </w:r>
      <w:r w:rsidRPr="00924255">
        <w:rPr>
          <w:rFonts w:eastAsia="Calibri"/>
          <w:sz w:val="24"/>
        </w:rPr>
        <w:t xml:space="preserve"> emergency approval to continue using the Licensing Applications for Motor Carrier Operatin</w:t>
      </w:r>
      <w:r>
        <w:rPr>
          <w:rFonts w:eastAsia="Calibri"/>
          <w:sz w:val="24"/>
        </w:rPr>
        <w:t>g</w:t>
      </w:r>
      <w:r w:rsidRPr="00924255">
        <w:rPr>
          <w:rFonts w:eastAsia="Calibri"/>
          <w:sz w:val="24"/>
        </w:rPr>
        <w:t xml:space="preserve"> Authority Forms OP-1(NNA), OP-1(FF), OP-1, OP-1(MX) and OP-1(P) thr</w:t>
      </w:r>
      <w:r>
        <w:rPr>
          <w:rFonts w:eastAsia="Calibri"/>
          <w:sz w:val="24"/>
        </w:rPr>
        <w:t>ough</w:t>
      </w:r>
      <w:r w:rsidRPr="00924255">
        <w:rPr>
          <w:rFonts w:eastAsia="Calibri"/>
          <w:sz w:val="24"/>
        </w:rPr>
        <w:t xml:space="preserve"> September 30, 2016</w:t>
      </w:r>
      <w:r w:rsidR="009231BB">
        <w:rPr>
          <w:rFonts w:eastAsia="Calibri"/>
          <w:sz w:val="24"/>
        </w:rPr>
        <w:t>,</w:t>
      </w:r>
      <w:r>
        <w:rPr>
          <w:rFonts w:eastAsia="Calibri"/>
          <w:sz w:val="24"/>
        </w:rPr>
        <w:t xml:space="preserve"> because </w:t>
      </w:r>
      <w:r w:rsidRPr="00924255">
        <w:rPr>
          <w:rFonts w:eastAsia="Calibri"/>
          <w:sz w:val="24"/>
        </w:rPr>
        <w:t xml:space="preserve">these forms </w:t>
      </w:r>
      <w:r>
        <w:rPr>
          <w:rFonts w:eastAsia="Calibri"/>
          <w:sz w:val="24"/>
        </w:rPr>
        <w:t>were</w:t>
      </w:r>
      <w:r w:rsidRPr="00924255">
        <w:rPr>
          <w:rFonts w:eastAsia="Calibri"/>
          <w:sz w:val="24"/>
        </w:rPr>
        <w:t xml:space="preserve"> </w:t>
      </w:r>
      <w:r>
        <w:rPr>
          <w:rFonts w:eastAsia="Calibri"/>
          <w:sz w:val="24"/>
        </w:rPr>
        <w:t xml:space="preserve">still </w:t>
      </w:r>
      <w:r w:rsidRPr="00924255">
        <w:rPr>
          <w:rFonts w:eastAsia="Calibri"/>
          <w:sz w:val="24"/>
        </w:rPr>
        <w:t xml:space="preserve">needed to support registration processes for entities </w:t>
      </w:r>
      <w:r>
        <w:rPr>
          <w:rFonts w:eastAsia="Calibri"/>
          <w:sz w:val="24"/>
        </w:rPr>
        <w:t>subject to FMCSA’s regulations</w:t>
      </w:r>
      <w:r w:rsidRPr="00924255">
        <w:rPr>
          <w:rFonts w:eastAsia="Calibri"/>
          <w:sz w:val="24"/>
        </w:rPr>
        <w:t>.</w:t>
      </w:r>
      <w:r>
        <w:rPr>
          <w:rFonts w:eastAsia="Calibri"/>
          <w:sz w:val="24"/>
        </w:rPr>
        <w:t xml:space="preserve">  S</w:t>
      </w:r>
      <w:r>
        <w:rPr>
          <w:sz w:val="24"/>
        </w:rPr>
        <w:t xml:space="preserve">ince an emergency ICR request is only approved for a maximum of 6 months, the emergency approval for revision </w:t>
      </w:r>
      <w:r w:rsidR="009231BB">
        <w:rPr>
          <w:sz w:val="24"/>
        </w:rPr>
        <w:t>approved by OMB on April 26, 2016,</w:t>
      </w:r>
      <w:r>
        <w:rPr>
          <w:sz w:val="24"/>
        </w:rPr>
        <w:t xml:space="preserve"> is only valid until </w:t>
      </w:r>
      <w:r w:rsidR="009231BB">
        <w:rPr>
          <w:sz w:val="24"/>
        </w:rPr>
        <w:t xml:space="preserve">October </w:t>
      </w:r>
      <w:r>
        <w:rPr>
          <w:sz w:val="24"/>
        </w:rPr>
        <w:t>3</w:t>
      </w:r>
      <w:r w:rsidR="009231BB">
        <w:rPr>
          <w:sz w:val="24"/>
        </w:rPr>
        <w:t>1</w:t>
      </w:r>
      <w:r>
        <w:rPr>
          <w:sz w:val="24"/>
        </w:rPr>
        <w:t xml:space="preserve">, 2016.  </w:t>
      </w:r>
    </w:p>
  </w:footnote>
  <w:footnote w:id="2">
    <w:p w:rsidR="00E952CE" w:rsidRPr="00822E92" w:rsidRDefault="00E952CE" w:rsidP="00E952CE">
      <w:pPr>
        <w:pStyle w:val="FootnoteText"/>
        <w:rPr>
          <w:color w:val="000000"/>
        </w:rPr>
      </w:pPr>
      <w:r w:rsidRPr="00953A5E">
        <w:rPr>
          <w:rStyle w:val="FootnoteReference"/>
          <w:vertAlign w:val="superscript"/>
        </w:rPr>
        <w:footnoteRef/>
      </w:r>
      <w:r>
        <w:t xml:space="preserve"> </w:t>
      </w:r>
      <w:hyperlink r:id="rId1" w:history="1">
        <w:r w:rsidRPr="00B11DFA">
          <w:rPr>
            <w:rStyle w:val="Hyperlink"/>
          </w:rPr>
          <w:t xml:space="preserve">Bureau of Labor Statistics (BLS).  </w:t>
        </w:r>
        <w:proofErr w:type="gramStart"/>
        <w:r w:rsidRPr="00B11DFA">
          <w:rPr>
            <w:rStyle w:val="Hyperlink"/>
          </w:rPr>
          <w:t>Occupational Employment Statistics, May 201</w:t>
        </w:r>
        <w:r w:rsidR="00FD1A81" w:rsidRPr="00B11DFA">
          <w:rPr>
            <w:rStyle w:val="Hyperlink"/>
          </w:rPr>
          <w:t>4</w:t>
        </w:r>
        <w:r w:rsidRPr="00B11DFA">
          <w:rPr>
            <w:rStyle w:val="Hyperlink"/>
          </w:rPr>
          <w:t xml:space="preserve"> National Industry-Specific Occupational Employment and Wage Estimates, 13-1041 Compliance Officers</w:t>
        </w:r>
      </w:hyperlink>
      <w:r>
        <w:t>.</w:t>
      </w:r>
      <w:proofErr w:type="gramEnd"/>
      <w:r>
        <w:t xml:space="preserve">   </w:t>
      </w:r>
      <w:hyperlink r:id="rId2" w:history="1">
        <w:r w:rsidRPr="00CB7691">
          <w:rPr>
            <w:rStyle w:val="Hyperlink"/>
          </w:rPr>
          <w:t>http://www.bls.gov/oes/current/naics4_484100.htm</w:t>
        </w:r>
      </w:hyperlink>
      <w:r>
        <w:t xml:space="preserve">.  </w:t>
      </w:r>
      <w:proofErr w:type="gramStart"/>
      <w:r>
        <w:t xml:space="preserve">Accessed </w:t>
      </w:r>
      <w:r w:rsidR="00357194">
        <w:t>October 21, 2014.</w:t>
      </w:r>
      <w:proofErr w:type="gramEnd"/>
      <w:r w:rsidR="00357194">
        <w:t xml:space="preserve"> </w:t>
      </w:r>
      <w:r>
        <w:t>The BLS does not have a wage estimate for this occupation in the passenger carrier industry, but FMCSA believes that the trucking wage is accurate enough for both property and passenger carriers.</w:t>
      </w:r>
    </w:p>
  </w:footnote>
  <w:footnote w:id="3">
    <w:p w:rsidR="00E952CE" w:rsidRDefault="00E952CE" w:rsidP="00E952CE">
      <w:pPr>
        <w:pStyle w:val="FootnoteText"/>
      </w:pPr>
      <w:r w:rsidRPr="00953A5E">
        <w:rPr>
          <w:rStyle w:val="FootnoteReference"/>
          <w:vertAlign w:val="superscript"/>
        </w:rPr>
        <w:footnoteRef/>
      </w:r>
      <w:r>
        <w:t xml:space="preserve"> FMCSA estimates this 5</w:t>
      </w:r>
      <w:r w:rsidR="00357194">
        <w:t>7</w:t>
      </w:r>
      <w:r w:rsidR="00E333F1">
        <w:t>% employee</w:t>
      </w:r>
      <w:r>
        <w:t xml:space="preserve"> benefit rate by using the private industry average wage ($</w:t>
      </w:r>
      <w:r w:rsidR="00357194">
        <w:t>24.56</w:t>
      </w:r>
      <w:r>
        <w:t xml:space="preserve"> per hour) and benefit information </w:t>
      </w:r>
      <w:r w:rsidR="00E333F1">
        <w:t>($</w:t>
      </w:r>
      <w:r w:rsidR="00357194">
        <w:t>13.99</w:t>
      </w:r>
      <w:r>
        <w:t xml:space="preserve"> per hour) for production, transportation, and moving material workers. Benefits thus amount to </w:t>
      </w:r>
      <w:r w:rsidR="00357194">
        <w:t>57</w:t>
      </w:r>
      <w:r>
        <w:t xml:space="preserve"> percent of wages (0.5</w:t>
      </w:r>
      <w:r w:rsidR="00357194">
        <w:t>7)</w:t>
      </w:r>
      <w:r>
        <w:t xml:space="preserve"> = $</w:t>
      </w:r>
      <w:r w:rsidR="00357194">
        <w:t>13.99</w:t>
      </w:r>
      <w:r>
        <w:t xml:space="preserve"> / $</w:t>
      </w:r>
      <w:r w:rsidR="00357194">
        <w:t>24.56</w:t>
      </w:r>
      <w:r>
        <w:t xml:space="preserve">).  </w:t>
      </w:r>
      <w:proofErr w:type="gramStart"/>
      <w:r>
        <w:t>From “Employer Costs for Empl</w:t>
      </w:r>
      <w:r w:rsidR="00357194">
        <w:t>oyee Compensation—June 2015</w:t>
      </w:r>
      <w:r>
        <w:t>”.</w:t>
      </w:r>
      <w:proofErr w:type="gramEnd"/>
      <w:r>
        <w:t xml:space="preserve"> </w:t>
      </w:r>
      <w:proofErr w:type="gramStart"/>
      <w:r>
        <w:t xml:space="preserve">Accessed on </w:t>
      </w:r>
      <w:r w:rsidR="00357194">
        <w:t>October 21, 2015</w:t>
      </w:r>
      <w:r>
        <w:t xml:space="preserve"> at </w:t>
      </w:r>
      <w:hyperlink r:id="rId3" w:history="1">
        <w:r w:rsidRPr="00822E92">
          <w:rPr>
            <w:rStyle w:val="Hyperlink"/>
            <w:color w:val="000000"/>
          </w:rPr>
          <w:t>http://www.bls.gov/news.release/pdf/ecec.pdf</w:t>
        </w:r>
      </w:hyperlink>
      <w:r w:rsidRPr="00822E92">
        <w:rPr>
          <w:color w:val="000000"/>
        </w:rPr>
        <w:t>.</w:t>
      </w:r>
      <w:proofErr w:type="gramEnd"/>
    </w:p>
  </w:footnote>
  <w:footnote w:id="4">
    <w:p w:rsidR="00E952CE" w:rsidRDefault="00E952CE" w:rsidP="00E952CE">
      <w:pPr>
        <w:pStyle w:val="FootnoteText"/>
      </w:pPr>
      <w:r w:rsidRPr="00953A5E">
        <w:rPr>
          <w:rStyle w:val="FootnoteReference"/>
          <w:vertAlign w:val="superscript"/>
        </w:rPr>
        <w:footnoteRef/>
      </w:r>
      <w:r>
        <w:t xml:space="preserve"> </w:t>
      </w:r>
      <w:r w:rsidRPr="00A4256A">
        <w:t xml:space="preserve">Berwick, Farooq. </w:t>
      </w:r>
      <w:proofErr w:type="gramStart"/>
      <w:r w:rsidRPr="00A4256A">
        <w:t>“Truck Costing Model for Transportation Managers”.</w:t>
      </w:r>
      <w:proofErr w:type="gramEnd"/>
      <w:r w:rsidRPr="00A4256A">
        <w:t xml:space="preserve"> Upper Great Plains Transportation Institute, North</w:t>
      </w:r>
      <w:r>
        <w:t xml:space="preserve"> Dakota State University (2003) accessed on </w:t>
      </w:r>
      <w:r w:rsidR="00357194">
        <w:t>October 21, 2015</w:t>
      </w:r>
      <w:r>
        <w:t xml:space="preserve"> at</w:t>
      </w:r>
      <w:r w:rsidRPr="00A4256A">
        <w:t xml:space="preserve"> </w:t>
      </w:r>
      <w:r w:rsidR="00357194" w:rsidRPr="00357194">
        <w:t>http://ntl.bts.gov/lib/24000/24200/24223/24223.pdf</w:t>
      </w:r>
    </w:p>
  </w:footnote>
  <w:footnote w:id="5">
    <w:p w:rsidR="00874384" w:rsidRPr="006172BD" w:rsidRDefault="00874384" w:rsidP="008960EF">
      <w:pPr>
        <w:pStyle w:val="FootnoteText"/>
      </w:pPr>
      <w:r w:rsidRPr="00FB1D22">
        <w:rPr>
          <w:rStyle w:val="FootnoteReference"/>
          <w:vertAlign w:val="superscript"/>
        </w:rPr>
        <w:footnoteRef/>
      </w:r>
      <w:r>
        <w:t xml:space="preserve"> </w:t>
      </w:r>
      <w:r w:rsidR="006172BD">
        <w:t>See</w:t>
      </w:r>
      <w:r w:rsidR="007B284D" w:rsidRPr="007B284D">
        <w:t xml:space="preserve"> </w:t>
      </w:r>
      <w:r w:rsidR="001560D0" w:rsidRPr="001560D0">
        <w:t>https://www.opm.gov/policy-data-oversight/pay-leave/salaries-wages/salary-tables/pdf/2016/salhrl.pdf</w:t>
      </w:r>
    </w:p>
  </w:footnote>
  <w:footnote w:id="6">
    <w:p w:rsidR="00874384" w:rsidRPr="006172BD" w:rsidRDefault="00874384" w:rsidP="008960EF">
      <w:pPr>
        <w:pStyle w:val="FootnoteText"/>
      </w:pPr>
      <w:r w:rsidRPr="00FB1D22">
        <w:rPr>
          <w:rStyle w:val="FootnoteReference"/>
          <w:vertAlign w:val="superscript"/>
        </w:rPr>
        <w:footnoteRef/>
      </w:r>
      <w:r>
        <w:t xml:space="preserve"> </w:t>
      </w:r>
      <w:proofErr w:type="gramStart"/>
      <w:r w:rsidR="005D4C05">
        <w:t>Bureau of Labor Statistics (BLS).</w:t>
      </w:r>
      <w:proofErr w:type="gramEnd"/>
      <w:r w:rsidR="005D4C05">
        <w:t xml:space="preserve"> </w:t>
      </w:r>
      <w:r w:rsidR="005D4C05">
        <w:rPr>
          <w:i/>
          <w:iCs/>
        </w:rPr>
        <w:t>Table 10:</w:t>
      </w:r>
      <w:r w:rsidR="005D4C05">
        <w:t xml:space="preserve"> </w:t>
      </w:r>
      <w:r w:rsidR="005D4C05">
        <w:rPr>
          <w:i/>
          <w:iCs/>
        </w:rPr>
        <w:t>Employer costs per hour worked for employee compensation and costs as a percent of total compensation: Private industry workers, by industry group, June 2014</w:t>
      </w:r>
      <w:r w:rsidR="005D4C05">
        <w:t>.</w:t>
      </w:r>
      <w:r w:rsidR="005D4C05">
        <w:rPr>
          <w:rStyle w:val="Hyperlink"/>
        </w:rPr>
        <w:t xml:space="preserve"> </w:t>
      </w:r>
      <w:hyperlink r:id="rId4" w:history="1">
        <w:r w:rsidR="005D4C05">
          <w:rPr>
            <w:rStyle w:val="Hyperlink"/>
          </w:rPr>
          <w:t>http://www.bls.gov/news.release/ecec.t10.htm</w:t>
        </w:r>
      </w:hyperlink>
      <w:r w:rsidR="005D4C05">
        <w:t>.</w:t>
      </w:r>
    </w:p>
  </w:footnote>
  <w:footnote w:id="7">
    <w:p w:rsidR="005D4C05" w:rsidRDefault="00874384" w:rsidP="005D4C05">
      <w:r w:rsidRPr="00FB1D22">
        <w:rPr>
          <w:rStyle w:val="FootnoteReference"/>
          <w:vertAlign w:val="superscript"/>
        </w:rPr>
        <w:footnoteRef/>
      </w:r>
      <w:r>
        <w:t xml:space="preserve"> </w:t>
      </w:r>
      <w:r w:rsidR="005D4C05">
        <w:t xml:space="preserve">Berwick, Farooq. </w:t>
      </w:r>
      <w:proofErr w:type="gramStart"/>
      <w:r w:rsidR="005D4C05">
        <w:rPr>
          <w:i/>
          <w:iCs/>
        </w:rPr>
        <w:t>Truck Costing Model for Transportation Managers</w:t>
      </w:r>
      <w:r w:rsidR="005D4C05">
        <w:t>.</w:t>
      </w:r>
      <w:proofErr w:type="gramEnd"/>
      <w:r w:rsidR="005D4C05">
        <w:t xml:space="preserve"> </w:t>
      </w:r>
      <w:proofErr w:type="gramStart"/>
      <w:r w:rsidR="005D4C05">
        <w:t>North Dakota State University.</w:t>
      </w:r>
      <w:proofErr w:type="gramEnd"/>
      <w:r w:rsidR="005D4C05">
        <w:t xml:space="preserve"> Upper Great Plains Transportation Institute. 2003. Appendix A, pp. 42-47.</w:t>
      </w:r>
    </w:p>
    <w:p w:rsidR="00874384" w:rsidRPr="006172BD" w:rsidRDefault="00874384" w:rsidP="008960EF">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A79DD"/>
    <w:multiLevelType w:val="hybridMultilevel"/>
    <w:tmpl w:val="2958736A"/>
    <w:lvl w:ilvl="0" w:tplc="8F80BF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47F0F"/>
    <w:multiLevelType w:val="hybridMultilevel"/>
    <w:tmpl w:val="EB141406"/>
    <w:lvl w:ilvl="0" w:tplc="C324ED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48667C"/>
    <w:multiLevelType w:val="hybridMultilevel"/>
    <w:tmpl w:val="EF0E8C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1E7FB7"/>
    <w:multiLevelType w:val="hybridMultilevel"/>
    <w:tmpl w:val="3808D470"/>
    <w:lvl w:ilvl="0" w:tplc="42B69C8A">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2F5FE3"/>
    <w:multiLevelType w:val="hybridMultilevel"/>
    <w:tmpl w:val="85E081D6"/>
    <w:lvl w:ilvl="0" w:tplc="BEA2E4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BD3617"/>
    <w:multiLevelType w:val="hybridMultilevel"/>
    <w:tmpl w:val="50B8F8FA"/>
    <w:lvl w:ilvl="0" w:tplc="23BC274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7B25644"/>
    <w:multiLevelType w:val="hybridMultilevel"/>
    <w:tmpl w:val="6906957C"/>
    <w:lvl w:ilvl="0" w:tplc="E26E3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C2059B"/>
    <w:multiLevelType w:val="hybridMultilevel"/>
    <w:tmpl w:val="7608B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1F286F"/>
    <w:multiLevelType w:val="hybridMultilevel"/>
    <w:tmpl w:val="C6C646D6"/>
    <w:lvl w:ilvl="0" w:tplc="872660E0">
      <w:start w:val="1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3CA46A4"/>
    <w:multiLevelType w:val="hybridMultilevel"/>
    <w:tmpl w:val="E4BCC330"/>
    <w:lvl w:ilvl="0" w:tplc="04090015">
      <w:start w:val="1"/>
      <w:numFmt w:val="upperLetter"/>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EDA66C8"/>
    <w:multiLevelType w:val="hybridMultilevel"/>
    <w:tmpl w:val="DDDCDF84"/>
    <w:lvl w:ilvl="0" w:tplc="D56E75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746C25"/>
    <w:multiLevelType w:val="hybridMultilevel"/>
    <w:tmpl w:val="AE2C5E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3"/>
  </w:num>
  <w:num w:numId="4">
    <w:abstractNumId w:val="0"/>
  </w:num>
  <w:num w:numId="5">
    <w:abstractNumId w:val="1"/>
  </w:num>
  <w:num w:numId="6">
    <w:abstractNumId w:val="6"/>
  </w:num>
  <w:num w:numId="7">
    <w:abstractNumId w:val="4"/>
  </w:num>
  <w:num w:numId="8">
    <w:abstractNumId w:val="10"/>
  </w:num>
  <w:num w:numId="9">
    <w:abstractNumId w:val="5"/>
  </w:num>
  <w:num w:numId="10">
    <w:abstractNumId w:val="11"/>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70D"/>
    <w:rsid w:val="000017A5"/>
    <w:rsid w:val="000066DA"/>
    <w:rsid w:val="00007ED1"/>
    <w:rsid w:val="00010EAF"/>
    <w:rsid w:val="00011E36"/>
    <w:rsid w:val="00012F9C"/>
    <w:rsid w:val="00021FAB"/>
    <w:rsid w:val="0002548B"/>
    <w:rsid w:val="0002678C"/>
    <w:rsid w:val="000351B9"/>
    <w:rsid w:val="000359B5"/>
    <w:rsid w:val="000734F8"/>
    <w:rsid w:val="00073823"/>
    <w:rsid w:val="000766C6"/>
    <w:rsid w:val="00081569"/>
    <w:rsid w:val="00096499"/>
    <w:rsid w:val="00096DE1"/>
    <w:rsid w:val="000A0879"/>
    <w:rsid w:val="000A4F58"/>
    <w:rsid w:val="000A7FC8"/>
    <w:rsid w:val="000B5A3D"/>
    <w:rsid w:val="000C02EA"/>
    <w:rsid w:val="000C1649"/>
    <w:rsid w:val="000C35E9"/>
    <w:rsid w:val="000C3D10"/>
    <w:rsid w:val="000C4A0F"/>
    <w:rsid w:val="000C6029"/>
    <w:rsid w:val="000C759F"/>
    <w:rsid w:val="000D11BA"/>
    <w:rsid w:val="000D3FB2"/>
    <w:rsid w:val="000D531A"/>
    <w:rsid w:val="000D5E1B"/>
    <w:rsid w:val="000D7187"/>
    <w:rsid w:val="000E370E"/>
    <w:rsid w:val="000E5347"/>
    <w:rsid w:val="000F4A35"/>
    <w:rsid w:val="001061C8"/>
    <w:rsid w:val="00107950"/>
    <w:rsid w:val="00115975"/>
    <w:rsid w:val="00115AD9"/>
    <w:rsid w:val="00134AEC"/>
    <w:rsid w:val="00136CED"/>
    <w:rsid w:val="0014415E"/>
    <w:rsid w:val="00145180"/>
    <w:rsid w:val="00152B57"/>
    <w:rsid w:val="00152FEB"/>
    <w:rsid w:val="001560D0"/>
    <w:rsid w:val="00160E3A"/>
    <w:rsid w:val="001634B2"/>
    <w:rsid w:val="001671D1"/>
    <w:rsid w:val="001674C9"/>
    <w:rsid w:val="00176E06"/>
    <w:rsid w:val="00183EE3"/>
    <w:rsid w:val="001937EB"/>
    <w:rsid w:val="00194939"/>
    <w:rsid w:val="001952D5"/>
    <w:rsid w:val="001978BB"/>
    <w:rsid w:val="001A36AE"/>
    <w:rsid w:val="001A7269"/>
    <w:rsid w:val="001B5C40"/>
    <w:rsid w:val="001B7BD9"/>
    <w:rsid w:val="001C0EA0"/>
    <w:rsid w:val="001C31E8"/>
    <w:rsid w:val="001D3029"/>
    <w:rsid w:val="001D5428"/>
    <w:rsid w:val="001E047B"/>
    <w:rsid w:val="001E0AA2"/>
    <w:rsid w:val="001E365A"/>
    <w:rsid w:val="001F1281"/>
    <w:rsid w:val="001F2386"/>
    <w:rsid w:val="001F4BD8"/>
    <w:rsid w:val="00200463"/>
    <w:rsid w:val="00202024"/>
    <w:rsid w:val="00202A86"/>
    <w:rsid w:val="00206133"/>
    <w:rsid w:val="00210EEB"/>
    <w:rsid w:val="00210F2D"/>
    <w:rsid w:val="002125B0"/>
    <w:rsid w:val="00216A26"/>
    <w:rsid w:val="00221609"/>
    <w:rsid w:val="0022676D"/>
    <w:rsid w:val="00227339"/>
    <w:rsid w:val="0022738D"/>
    <w:rsid w:val="0024341A"/>
    <w:rsid w:val="00244A2E"/>
    <w:rsid w:val="00245FA4"/>
    <w:rsid w:val="00254193"/>
    <w:rsid w:val="00264E52"/>
    <w:rsid w:val="00271DBC"/>
    <w:rsid w:val="00277469"/>
    <w:rsid w:val="0028657A"/>
    <w:rsid w:val="00292729"/>
    <w:rsid w:val="00294811"/>
    <w:rsid w:val="002A3790"/>
    <w:rsid w:val="002A3E49"/>
    <w:rsid w:val="002A5EC5"/>
    <w:rsid w:val="002B01F5"/>
    <w:rsid w:val="002B1546"/>
    <w:rsid w:val="002B265A"/>
    <w:rsid w:val="002B6CAF"/>
    <w:rsid w:val="002C38D8"/>
    <w:rsid w:val="002D16BA"/>
    <w:rsid w:val="002D7852"/>
    <w:rsid w:val="002F1F47"/>
    <w:rsid w:val="002F2CB9"/>
    <w:rsid w:val="0030303E"/>
    <w:rsid w:val="00303B87"/>
    <w:rsid w:val="00304B62"/>
    <w:rsid w:val="00313B6B"/>
    <w:rsid w:val="003155F3"/>
    <w:rsid w:val="0032169D"/>
    <w:rsid w:val="0032250C"/>
    <w:rsid w:val="00322AD7"/>
    <w:rsid w:val="00325CD9"/>
    <w:rsid w:val="00325F49"/>
    <w:rsid w:val="0033188D"/>
    <w:rsid w:val="00331982"/>
    <w:rsid w:val="00331B38"/>
    <w:rsid w:val="003323F1"/>
    <w:rsid w:val="0034043B"/>
    <w:rsid w:val="0034346F"/>
    <w:rsid w:val="00351B74"/>
    <w:rsid w:val="00357194"/>
    <w:rsid w:val="00360163"/>
    <w:rsid w:val="0036024D"/>
    <w:rsid w:val="0036159A"/>
    <w:rsid w:val="003620AE"/>
    <w:rsid w:val="003669C9"/>
    <w:rsid w:val="00367F37"/>
    <w:rsid w:val="00372DD6"/>
    <w:rsid w:val="003766C9"/>
    <w:rsid w:val="00385D7C"/>
    <w:rsid w:val="0038616F"/>
    <w:rsid w:val="00391641"/>
    <w:rsid w:val="00391DC4"/>
    <w:rsid w:val="00395060"/>
    <w:rsid w:val="00397874"/>
    <w:rsid w:val="003A001A"/>
    <w:rsid w:val="003A0BEF"/>
    <w:rsid w:val="003A370D"/>
    <w:rsid w:val="003A4D77"/>
    <w:rsid w:val="003A56B6"/>
    <w:rsid w:val="003B0346"/>
    <w:rsid w:val="003B70CD"/>
    <w:rsid w:val="003C6E0E"/>
    <w:rsid w:val="003D2E5F"/>
    <w:rsid w:val="003D5595"/>
    <w:rsid w:val="003F3F69"/>
    <w:rsid w:val="003F6BBF"/>
    <w:rsid w:val="00402EC6"/>
    <w:rsid w:val="00410517"/>
    <w:rsid w:val="00411031"/>
    <w:rsid w:val="004110B5"/>
    <w:rsid w:val="0041332A"/>
    <w:rsid w:val="00415EF8"/>
    <w:rsid w:val="00417167"/>
    <w:rsid w:val="00417AF6"/>
    <w:rsid w:val="004213CB"/>
    <w:rsid w:val="00421960"/>
    <w:rsid w:val="004252CC"/>
    <w:rsid w:val="00431DBA"/>
    <w:rsid w:val="004333B5"/>
    <w:rsid w:val="0044214A"/>
    <w:rsid w:val="00442187"/>
    <w:rsid w:val="00455179"/>
    <w:rsid w:val="00463298"/>
    <w:rsid w:val="00463C15"/>
    <w:rsid w:val="00463D0C"/>
    <w:rsid w:val="00464C65"/>
    <w:rsid w:val="004674D5"/>
    <w:rsid w:val="00472828"/>
    <w:rsid w:val="00474E68"/>
    <w:rsid w:val="00477917"/>
    <w:rsid w:val="0048031F"/>
    <w:rsid w:val="004917F7"/>
    <w:rsid w:val="00491FC3"/>
    <w:rsid w:val="00494709"/>
    <w:rsid w:val="00495299"/>
    <w:rsid w:val="00496C4C"/>
    <w:rsid w:val="004A2E4E"/>
    <w:rsid w:val="004A4741"/>
    <w:rsid w:val="004B020C"/>
    <w:rsid w:val="004B1013"/>
    <w:rsid w:val="004B11E8"/>
    <w:rsid w:val="004C7409"/>
    <w:rsid w:val="004E7523"/>
    <w:rsid w:val="004F0132"/>
    <w:rsid w:val="004F551D"/>
    <w:rsid w:val="004F5D11"/>
    <w:rsid w:val="00504FCE"/>
    <w:rsid w:val="00507C7F"/>
    <w:rsid w:val="00511CEC"/>
    <w:rsid w:val="00511E9E"/>
    <w:rsid w:val="00513E1D"/>
    <w:rsid w:val="0051455A"/>
    <w:rsid w:val="00525814"/>
    <w:rsid w:val="00532364"/>
    <w:rsid w:val="005375B3"/>
    <w:rsid w:val="005403A9"/>
    <w:rsid w:val="005521A3"/>
    <w:rsid w:val="00553E9E"/>
    <w:rsid w:val="005542D5"/>
    <w:rsid w:val="00554F93"/>
    <w:rsid w:val="00560F51"/>
    <w:rsid w:val="00567C37"/>
    <w:rsid w:val="005727AB"/>
    <w:rsid w:val="005776A2"/>
    <w:rsid w:val="0059176E"/>
    <w:rsid w:val="005920B5"/>
    <w:rsid w:val="00593D40"/>
    <w:rsid w:val="00594EFA"/>
    <w:rsid w:val="00596B5C"/>
    <w:rsid w:val="00596D49"/>
    <w:rsid w:val="00597990"/>
    <w:rsid w:val="005A0A2F"/>
    <w:rsid w:val="005A1294"/>
    <w:rsid w:val="005A23B8"/>
    <w:rsid w:val="005A70C3"/>
    <w:rsid w:val="005B3323"/>
    <w:rsid w:val="005B6943"/>
    <w:rsid w:val="005C0532"/>
    <w:rsid w:val="005C5FE0"/>
    <w:rsid w:val="005D2DB3"/>
    <w:rsid w:val="005D4C05"/>
    <w:rsid w:val="005D70DE"/>
    <w:rsid w:val="005D7539"/>
    <w:rsid w:val="005D79F8"/>
    <w:rsid w:val="005E0895"/>
    <w:rsid w:val="005E0CEA"/>
    <w:rsid w:val="005E6F67"/>
    <w:rsid w:val="005F4CB6"/>
    <w:rsid w:val="005F4E34"/>
    <w:rsid w:val="006003C3"/>
    <w:rsid w:val="00601AB8"/>
    <w:rsid w:val="0060270F"/>
    <w:rsid w:val="00602A8A"/>
    <w:rsid w:val="00602CF8"/>
    <w:rsid w:val="00605C0A"/>
    <w:rsid w:val="00607C75"/>
    <w:rsid w:val="0061094E"/>
    <w:rsid w:val="00612A00"/>
    <w:rsid w:val="00613F84"/>
    <w:rsid w:val="00614B45"/>
    <w:rsid w:val="006172BD"/>
    <w:rsid w:val="00622010"/>
    <w:rsid w:val="00630EA9"/>
    <w:rsid w:val="00631FF5"/>
    <w:rsid w:val="00635396"/>
    <w:rsid w:val="0064003C"/>
    <w:rsid w:val="00641657"/>
    <w:rsid w:val="00654364"/>
    <w:rsid w:val="00654370"/>
    <w:rsid w:val="00657A3A"/>
    <w:rsid w:val="00657E34"/>
    <w:rsid w:val="0066570E"/>
    <w:rsid w:val="00667933"/>
    <w:rsid w:val="00673742"/>
    <w:rsid w:val="006809B9"/>
    <w:rsid w:val="00683F14"/>
    <w:rsid w:val="006862CF"/>
    <w:rsid w:val="0068777E"/>
    <w:rsid w:val="0069199F"/>
    <w:rsid w:val="00693586"/>
    <w:rsid w:val="006A0E2E"/>
    <w:rsid w:val="006A16D0"/>
    <w:rsid w:val="006A1CCD"/>
    <w:rsid w:val="006A240D"/>
    <w:rsid w:val="006A2A8E"/>
    <w:rsid w:val="006A308E"/>
    <w:rsid w:val="006A39C5"/>
    <w:rsid w:val="006A7EF7"/>
    <w:rsid w:val="006B2694"/>
    <w:rsid w:val="006C417F"/>
    <w:rsid w:val="006C4B4F"/>
    <w:rsid w:val="006D1D76"/>
    <w:rsid w:val="006D40B4"/>
    <w:rsid w:val="006E173D"/>
    <w:rsid w:val="006E50A9"/>
    <w:rsid w:val="006F2DD4"/>
    <w:rsid w:val="00700509"/>
    <w:rsid w:val="00706BF4"/>
    <w:rsid w:val="00706ED2"/>
    <w:rsid w:val="00716A49"/>
    <w:rsid w:val="007315BF"/>
    <w:rsid w:val="00733DA1"/>
    <w:rsid w:val="00741A02"/>
    <w:rsid w:val="00745C59"/>
    <w:rsid w:val="007501BB"/>
    <w:rsid w:val="00751C4A"/>
    <w:rsid w:val="00756891"/>
    <w:rsid w:val="00756ACA"/>
    <w:rsid w:val="00756BDD"/>
    <w:rsid w:val="00761A60"/>
    <w:rsid w:val="007660F2"/>
    <w:rsid w:val="00770C07"/>
    <w:rsid w:val="00773898"/>
    <w:rsid w:val="00773FF6"/>
    <w:rsid w:val="00774D33"/>
    <w:rsid w:val="007764B6"/>
    <w:rsid w:val="0077654B"/>
    <w:rsid w:val="007807D6"/>
    <w:rsid w:val="0078389F"/>
    <w:rsid w:val="00786A55"/>
    <w:rsid w:val="0078787B"/>
    <w:rsid w:val="00790BE5"/>
    <w:rsid w:val="007A2F51"/>
    <w:rsid w:val="007A422D"/>
    <w:rsid w:val="007A59C3"/>
    <w:rsid w:val="007A7390"/>
    <w:rsid w:val="007B1A54"/>
    <w:rsid w:val="007B284D"/>
    <w:rsid w:val="007B2EFC"/>
    <w:rsid w:val="007B4BB8"/>
    <w:rsid w:val="007C4039"/>
    <w:rsid w:val="007C5C92"/>
    <w:rsid w:val="007C651C"/>
    <w:rsid w:val="007C6F21"/>
    <w:rsid w:val="007C75D9"/>
    <w:rsid w:val="007D3454"/>
    <w:rsid w:val="007E1453"/>
    <w:rsid w:val="007E1EDD"/>
    <w:rsid w:val="007F023A"/>
    <w:rsid w:val="007F2505"/>
    <w:rsid w:val="007F35CC"/>
    <w:rsid w:val="007F371F"/>
    <w:rsid w:val="007F47D6"/>
    <w:rsid w:val="008018A3"/>
    <w:rsid w:val="00803C93"/>
    <w:rsid w:val="00806AB0"/>
    <w:rsid w:val="00807504"/>
    <w:rsid w:val="00811B6A"/>
    <w:rsid w:val="00815591"/>
    <w:rsid w:val="00816E63"/>
    <w:rsid w:val="00816E78"/>
    <w:rsid w:val="0081710F"/>
    <w:rsid w:val="00817A9E"/>
    <w:rsid w:val="00820F9C"/>
    <w:rsid w:val="00823453"/>
    <w:rsid w:val="00835950"/>
    <w:rsid w:val="00842F3B"/>
    <w:rsid w:val="00850B67"/>
    <w:rsid w:val="0085224B"/>
    <w:rsid w:val="00861BEC"/>
    <w:rsid w:val="008623FD"/>
    <w:rsid w:val="00866A1A"/>
    <w:rsid w:val="00870B2F"/>
    <w:rsid w:val="00870FD2"/>
    <w:rsid w:val="0087124C"/>
    <w:rsid w:val="008717E9"/>
    <w:rsid w:val="00874384"/>
    <w:rsid w:val="0089309F"/>
    <w:rsid w:val="008960EF"/>
    <w:rsid w:val="008A1CA4"/>
    <w:rsid w:val="008A1CE9"/>
    <w:rsid w:val="008A712F"/>
    <w:rsid w:val="008B540B"/>
    <w:rsid w:val="008B5436"/>
    <w:rsid w:val="008C2948"/>
    <w:rsid w:val="008C5703"/>
    <w:rsid w:val="008C580E"/>
    <w:rsid w:val="008D4205"/>
    <w:rsid w:val="008D62DB"/>
    <w:rsid w:val="008E3B9F"/>
    <w:rsid w:val="008E4AE3"/>
    <w:rsid w:val="008F099A"/>
    <w:rsid w:val="008F1B09"/>
    <w:rsid w:val="008F53BB"/>
    <w:rsid w:val="008F7F04"/>
    <w:rsid w:val="00901939"/>
    <w:rsid w:val="0090224B"/>
    <w:rsid w:val="00904352"/>
    <w:rsid w:val="009055F4"/>
    <w:rsid w:val="009142E3"/>
    <w:rsid w:val="00915134"/>
    <w:rsid w:val="0091525D"/>
    <w:rsid w:val="009231BB"/>
    <w:rsid w:val="00924255"/>
    <w:rsid w:val="00924952"/>
    <w:rsid w:val="009315AC"/>
    <w:rsid w:val="009402F0"/>
    <w:rsid w:val="00940CDB"/>
    <w:rsid w:val="0094192C"/>
    <w:rsid w:val="0094402B"/>
    <w:rsid w:val="00945BD0"/>
    <w:rsid w:val="00951C72"/>
    <w:rsid w:val="00952B90"/>
    <w:rsid w:val="00957489"/>
    <w:rsid w:val="00972829"/>
    <w:rsid w:val="0097333B"/>
    <w:rsid w:val="0098096A"/>
    <w:rsid w:val="00981989"/>
    <w:rsid w:val="009836EF"/>
    <w:rsid w:val="00990AB0"/>
    <w:rsid w:val="00991FD0"/>
    <w:rsid w:val="00997CD6"/>
    <w:rsid w:val="009A058A"/>
    <w:rsid w:val="009A0EA1"/>
    <w:rsid w:val="009A152C"/>
    <w:rsid w:val="009A2C50"/>
    <w:rsid w:val="009A5492"/>
    <w:rsid w:val="009A67C3"/>
    <w:rsid w:val="009B2D9E"/>
    <w:rsid w:val="009B3B19"/>
    <w:rsid w:val="009C349D"/>
    <w:rsid w:val="009D0495"/>
    <w:rsid w:val="009D0D61"/>
    <w:rsid w:val="009D1C3B"/>
    <w:rsid w:val="009D3CBB"/>
    <w:rsid w:val="009E4F4B"/>
    <w:rsid w:val="009E778B"/>
    <w:rsid w:val="009F2D02"/>
    <w:rsid w:val="009F7F2D"/>
    <w:rsid w:val="00A04D8B"/>
    <w:rsid w:val="00A0545D"/>
    <w:rsid w:val="00A05E57"/>
    <w:rsid w:val="00A06247"/>
    <w:rsid w:val="00A06D2F"/>
    <w:rsid w:val="00A06F2D"/>
    <w:rsid w:val="00A100C5"/>
    <w:rsid w:val="00A110DE"/>
    <w:rsid w:val="00A13209"/>
    <w:rsid w:val="00A15320"/>
    <w:rsid w:val="00A15DFB"/>
    <w:rsid w:val="00A16088"/>
    <w:rsid w:val="00A169BE"/>
    <w:rsid w:val="00A22F35"/>
    <w:rsid w:val="00A304B4"/>
    <w:rsid w:val="00A33971"/>
    <w:rsid w:val="00A3543E"/>
    <w:rsid w:val="00A36AD0"/>
    <w:rsid w:val="00A45F9A"/>
    <w:rsid w:val="00A56628"/>
    <w:rsid w:val="00A60A9A"/>
    <w:rsid w:val="00A61C73"/>
    <w:rsid w:val="00A63B04"/>
    <w:rsid w:val="00A718A9"/>
    <w:rsid w:val="00A729CD"/>
    <w:rsid w:val="00A75BD4"/>
    <w:rsid w:val="00A80450"/>
    <w:rsid w:val="00A85770"/>
    <w:rsid w:val="00A86EE6"/>
    <w:rsid w:val="00A91FD9"/>
    <w:rsid w:val="00A94431"/>
    <w:rsid w:val="00A953DB"/>
    <w:rsid w:val="00AA170B"/>
    <w:rsid w:val="00AA78D0"/>
    <w:rsid w:val="00AA7A73"/>
    <w:rsid w:val="00AB1815"/>
    <w:rsid w:val="00AB4115"/>
    <w:rsid w:val="00AB4161"/>
    <w:rsid w:val="00AB4BDB"/>
    <w:rsid w:val="00AB5C16"/>
    <w:rsid w:val="00AC2CFB"/>
    <w:rsid w:val="00AC4DA5"/>
    <w:rsid w:val="00AD0A2D"/>
    <w:rsid w:val="00AD35C6"/>
    <w:rsid w:val="00AD3C91"/>
    <w:rsid w:val="00AD74A5"/>
    <w:rsid w:val="00AE6B14"/>
    <w:rsid w:val="00AE7F68"/>
    <w:rsid w:val="00AF06A8"/>
    <w:rsid w:val="00AF1D49"/>
    <w:rsid w:val="00AF20F9"/>
    <w:rsid w:val="00AF4178"/>
    <w:rsid w:val="00AF4EA0"/>
    <w:rsid w:val="00B0361D"/>
    <w:rsid w:val="00B040E9"/>
    <w:rsid w:val="00B1024D"/>
    <w:rsid w:val="00B11DFA"/>
    <w:rsid w:val="00B22146"/>
    <w:rsid w:val="00B26882"/>
    <w:rsid w:val="00B302EA"/>
    <w:rsid w:val="00B35D19"/>
    <w:rsid w:val="00B37058"/>
    <w:rsid w:val="00B400D6"/>
    <w:rsid w:val="00B40CF9"/>
    <w:rsid w:val="00B417A1"/>
    <w:rsid w:val="00B443E0"/>
    <w:rsid w:val="00B44C80"/>
    <w:rsid w:val="00B4633C"/>
    <w:rsid w:val="00B51199"/>
    <w:rsid w:val="00B518BC"/>
    <w:rsid w:val="00B521A0"/>
    <w:rsid w:val="00B53202"/>
    <w:rsid w:val="00B55CF3"/>
    <w:rsid w:val="00B61ED4"/>
    <w:rsid w:val="00B700D2"/>
    <w:rsid w:val="00B716AC"/>
    <w:rsid w:val="00B727D3"/>
    <w:rsid w:val="00B7415F"/>
    <w:rsid w:val="00B7684F"/>
    <w:rsid w:val="00B810DF"/>
    <w:rsid w:val="00B84BE5"/>
    <w:rsid w:val="00B91C11"/>
    <w:rsid w:val="00B9580E"/>
    <w:rsid w:val="00BA244B"/>
    <w:rsid w:val="00BA6C49"/>
    <w:rsid w:val="00BB2563"/>
    <w:rsid w:val="00BB487C"/>
    <w:rsid w:val="00BC3B2C"/>
    <w:rsid w:val="00BC701E"/>
    <w:rsid w:val="00BC7812"/>
    <w:rsid w:val="00BD33B3"/>
    <w:rsid w:val="00BD6E82"/>
    <w:rsid w:val="00BE2BC8"/>
    <w:rsid w:val="00BE33DB"/>
    <w:rsid w:val="00BE3D22"/>
    <w:rsid w:val="00BE4907"/>
    <w:rsid w:val="00BF0429"/>
    <w:rsid w:val="00BF0B93"/>
    <w:rsid w:val="00BF0D81"/>
    <w:rsid w:val="00BF0F7A"/>
    <w:rsid w:val="00BF2517"/>
    <w:rsid w:val="00BF69A9"/>
    <w:rsid w:val="00BF7B33"/>
    <w:rsid w:val="00C01618"/>
    <w:rsid w:val="00C04C69"/>
    <w:rsid w:val="00C0559B"/>
    <w:rsid w:val="00C1177C"/>
    <w:rsid w:val="00C15354"/>
    <w:rsid w:val="00C16A98"/>
    <w:rsid w:val="00C17748"/>
    <w:rsid w:val="00C23BAC"/>
    <w:rsid w:val="00C23DD9"/>
    <w:rsid w:val="00C33ADA"/>
    <w:rsid w:val="00C34820"/>
    <w:rsid w:val="00C34A3A"/>
    <w:rsid w:val="00C367D7"/>
    <w:rsid w:val="00C42CB0"/>
    <w:rsid w:val="00C42DE1"/>
    <w:rsid w:val="00C4505A"/>
    <w:rsid w:val="00C50026"/>
    <w:rsid w:val="00C538D6"/>
    <w:rsid w:val="00C56DCF"/>
    <w:rsid w:val="00C60985"/>
    <w:rsid w:val="00C6300E"/>
    <w:rsid w:val="00C646E5"/>
    <w:rsid w:val="00C650C6"/>
    <w:rsid w:val="00C6609D"/>
    <w:rsid w:val="00C67D46"/>
    <w:rsid w:val="00C7449F"/>
    <w:rsid w:val="00C75159"/>
    <w:rsid w:val="00C776F6"/>
    <w:rsid w:val="00C815B8"/>
    <w:rsid w:val="00C819D5"/>
    <w:rsid w:val="00C81C9B"/>
    <w:rsid w:val="00C912E2"/>
    <w:rsid w:val="00C913CE"/>
    <w:rsid w:val="00C94AD5"/>
    <w:rsid w:val="00C94B2C"/>
    <w:rsid w:val="00CA3F73"/>
    <w:rsid w:val="00CB262F"/>
    <w:rsid w:val="00CB657A"/>
    <w:rsid w:val="00CB722F"/>
    <w:rsid w:val="00CC00C6"/>
    <w:rsid w:val="00CC1141"/>
    <w:rsid w:val="00CC72EB"/>
    <w:rsid w:val="00CC7416"/>
    <w:rsid w:val="00CD059D"/>
    <w:rsid w:val="00CD105B"/>
    <w:rsid w:val="00CD59D8"/>
    <w:rsid w:val="00CE0DF9"/>
    <w:rsid w:val="00CE4B19"/>
    <w:rsid w:val="00CE5067"/>
    <w:rsid w:val="00CF11AC"/>
    <w:rsid w:val="00CF77CF"/>
    <w:rsid w:val="00D0251D"/>
    <w:rsid w:val="00D05049"/>
    <w:rsid w:val="00D06F53"/>
    <w:rsid w:val="00D21FAF"/>
    <w:rsid w:val="00D24C76"/>
    <w:rsid w:val="00D2759F"/>
    <w:rsid w:val="00D30E85"/>
    <w:rsid w:val="00D32D90"/>
    <w:rsid w:val="00D35091"/>
    <w:rsid w:val="00D3611C"/>
    <w:rsid w:val="00D437AC"/>
    <w:rsid w:val="00D4652A"/>
    <w:rsid w:val="00D54540"/>
    <w:rsid w:val="00D57BB8"/>
    <w:rsid w:val="00D60441"/>
    <w:rsid w:val="00D61AC8"/>
    <w:rsid w:val="00D73542"/>
    <w:rsid w:val="00D77E02"/>
    <w:rsid w:val="00D80D3B"/>
    <w:rsid w:val="00D80FD0"/>
    <w:rsid w:val="00D82410"/>
    <w:rsid w:val="00D8275B"/>
    <w:rsid w:val="00D84616"/>
    <w:rsid w:val="00D86478"/>
    <w:rsid w:val="00D968F0"/>
    <w:rsid w:val="00D97F07"/>
    <w:rsid w:val="00DA3FF1"/>
    <w:rsid w:val="00DA5CB2"/>
    <w:rsid w:val="00DA6270"/>
    <w:rsid w:val="00DB149D"/>
    <w:rsid w:val="00DB161B"/>
    <w:rsid w:val="00DB623B"/>
    <w:rsid w:val="00DB6CAA"/>
    <w:rsid w:val="00DC4276"/>
    <w:rsid w:val="00DC587E"/>
    <w:rsid w:val="00DD2457"/>
    <w:rsid w:val="00DD4275"/>
    <w:rsid w:val="00DD4F01"/>
    <w:rsid w:val="00DE0115"/>
    <w:rsid w:val="00DE0FC8"/>
    <w:rsid w:val="00DE1448"/>
    <w:rsid w:val="00DE6DEE"/>
    <w:rsid w:val="00DF731C"/>
    <w:rsid w:val="00E020D7"/>
    <w:rsid w:val="00E04A19"/>
    <w:rsid w:val="00E1166B"/>
    <w:rsid w:val="00E11C33"/>
    <w:rsid w:val="00E143E8"/>
    <w:rsid w:val="00E14E1E"/>
    <w:rsid w:val="00E153C5"/>
    <w:rsid w:val="00E15D7D"/>
    <w:rsid w:val="00E23741"/>
    <w:rsid w:val="00E26157"/>
    <w:rsid w:val="00E333F1"/>
    <w:rsid w:val="00E51FDC"/>
    <w:rsid w:val="00E52A54"/>
    <w:rsid w:val="00E568D5"/>
    <w:rsid w:val="00E61130"/>
    <w:rsid w:val="00E62B8B"/>
    <w:rsid w:val="00E645A0"/>
    <w:rsid w:val="00E67E20"/>
    <w:rsid w:val="00E702C7"/>
    <w:rsid w:val="00E742C9"/>
    <w:rsid w:val="00E80AFB"/>
    <w:rsid w:val="00E82C94"/>
    <w:rsid w:val="00E84283"/>
    <w:rsid w:val="00E90082"/>
    <w:rsid w:val="00E937CF"/>
    <w:rsid w:val="00E952CE"/>
    <w:rsid w:val="00E95869"/>
    <w:rsid w:val="00E95E9C"/>
    <w:rsid w:val="00EA3640"/>
    <w:rsid w:val="00EA4619"/>
    <w:rsid w:val="00EB0903"/>
    <w:rsid w:val="00EC600F"/>
    <w:rsid w:val="00EC6BC2"/>
    <w:rsid w:val="00ED1288"/>
    <w:rsid w:val="00ED31E5"/>
    <w:rsid w:val="00ED3E92"/>
    <w:rsid w:val="00ED5465"/>
    <w:rsid w:val="00ED6F48"/>
    <w:rsid w:val="00EE4B06"/>
    <w:rsid w:val="00EF1A2D"/>
    <w:rsid w:val="00EF6044"/>
    <w:rsid w:val="00F01BF2"/>
    <w:rsid w:val="00F10C46"/>
    <w:rsid w:val="00F11199"/>
    <w:rsid w:val="00F12986"/>
    <w:rsid w:val="00F15953"/>
    <w:rsid w:val="00F17E45"/>
    <w:rsid w:val="00F303FC"/>
    <w:rsid w:val="00F3322B"/>
    <w:rsid w:val="00F33269"/>
    <w:rsid w:val="00F334DA"/>
    <w:rsid w:val="00F347A1"/>
    <w:rsid w:val="00F35D48"/>
    <w:rsid w:val="00F42604"/>
    <w:rsid w:val="00F576B7"/>
    <w:rsid w:val="00F63383"/>
    <w:rsid w:val="00F64739"/>
    <w:rsid w:val="00F65584"/>
    <w:rsid w:val="00F73AC2"/>
    <w:rsid w:val="00F75A86"/>
    <w:rsid w:val="00F75E2A"/>
    <w:rsid w:val="00F853F9"/>
    <w:rsid w:val="00F87000"/>
    <w:rsid w:val="00F87984"/>
    <w:rsid w:val="00FA1860"/>
    <w:rsid w:val="00FA1A75"/>
    <w:rsid w:val="00FA44CA"/>
    <w:rsid w:val="00FB07F1"/>
    <w:rsid w:val="00FB319B"/>
    <w:rsid w:val="00FB510B"/>
    <w:rsid w:val="00FC51B2"/>
    <w:rsid w:val="00FC59ED"/>
    <w:rsid w:val="00FC7B18"/>
    <w:rsid w:val="00FC7FA9"/>
    <w:rsid w:val="00FD1A81"/>
    <w:rsid w:val="00FE7E8C"/>
    <w:rsid w:val="00FF0E2F"/>
    <w:rsid w:val="00FF2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6C49"/>
    <w:pPr>
      <w:widowControl w:val="0"/>
      <w:autoSpaceDE w:val="0"/>
      <w:autoSpaceDN w:val="0"/>
      <w:adjustRightInd w:val="0"/>
    </w:pPr>
    <w:rPr>
      <w:szCs w:val="24"/>
    </w:rPr>
  </w:style>
  <w:style w:type="paragraph" w:styleId="Heading1">
    <w:name w:val="heading 1"/>
    <w:basedOn w:val="Normal"/>
    <w:next w:val="Normal"/>
    <w:qFormat/>
    <w:rsid w:val="00BA6C49"/>
    <w:pPr>
      <w:keepNext/>
      <w:tabs>
        <w:tab w:val="left" w:pos="-1440"/>
      </w:tabs>
      <w:ind w:left="7200" w:hanging="6480"/>
      <w:outlineLvl w:val="0"/>
    </w:pPr>
    <w:rPr>
      <w:b/>
      <w:bCs/>
      <w:color w:val="FF0000"/>
      <w:sz w:val="24"/>
    </w:rPr>
  </w:style>
  <w:style w:type="paragraph" w:styleId="Heading2">
    <w:name w:val="heading 2"/>
    <w:basedOn w:val="Normal"/>
    <w:next w:val="Normal"/>
    <w:qFormat/>
    <w:rsid w:val="00BA6C49"/>
    <w:pPr>
      <w:keepNext/>
      <w:tabs>
        <w:tab w:val="left" w:pos="-1440"/>
      </w:tabs>
      <w:ind w:left="7200" w:right="-90" w:hanging="6480"/>
      <w:outlineLvl w:val="1"/>
    </w:pPr>
    <w:rPr>
      <w:b/>
      <w:bCs/>
      <w:color w:val="FF0000"/>
      <w:sz w:val="24"/>
    </w:rPr>
  </w:style>
  <w:style w:type="paragraph" w:styleId="Heading3">
    <w:name w:val="heading 3"/>
    <w:basedOn w:val="Normal"/>
    <w:next w:val="Normal"/>
    <w:qFormat/>
    <w:rsid w:val="00BA6C49"/>
    <w:pPr>
      <w:keepNext/>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A6C49"/>
  </w:style>
  <w:style w:type="paragraph" w:styleId="BodyText">
    <w:name w:val="Body Text"/>
    <w:basedOn w:val="Normal"/>
    <w:rsid w:val="00BA6C49"/>
    <w:rPr>
      <w:sz w:val="24"/>
    </w:rPr>
  </w:style>
  <w:style w:type="paragraph" w:styleId="BodyText2">
    <w:name w:val="Body Text 2"/>
    <w:basedOn w:val="Normal"/>
    <w:rsid w:val="00BA6C49"/>
    <w:pPr>
      <w:ind w:right="-90"/>
    </w:pPr>
    <w:rPr>
      <w:sz w:val="24"/>
    </w:rPr>
  </w:style>
  <w:style w:type="paragraph" w:styleId="BalloonText">
    <w:name w:val="Balloon Text"/>
    <w:basedOn w:val="Normal"/>
    <w:semiHidden/>
    <w:rsid w:val="003A370D"/>
    <w:rPr>
      <w:rFonts w:ascii="Tahoma" w:hAnsi="Tahoma" w:cs="Tahoma"/>
      <w:sz w:val="16"/>
      <w:szCs w:val="16"/>
    </w:rPr>
  </w:style>
  <w:style w:type="paragraph" w:styleId="NormalWeb">
    <w:name w:val="Normal (Web)"/>
    <w:basedOn w:val="Normal"/>
    <w:rsid w:val="006E50A9"/>
    <w:pPr>
      <w:widowControl/>
      <w:autoSpaceDE/>
      <w:autoSpaceDN/>
      <w:adjustRightInd/>
      <w:spacing w:before="100" w:beforeAutospacing="1" w:after="100" w:afterAutospacing="1"/>
    </w:pPr>
    <w:rPr>
      <w:sz w:val="24"/>
    </w:rPr>
  </w:style>
  <w:style w:type="table" w:styleId="TableGrid">
    <w:name w:val="Table Grid"/>
    <w:basedOn w:val="TableNormal"/>
    <w:rsid w:val="008D62D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E370E"/>
    <w:pPr>
      <w:tabs>
        <w:tab w:val="center" w:pos="4320"/>
        <w:tab w:val="right" w:pos="8640"/>
      </w:tabs>
    </w:pPr>
  </w:style>
  <w:style w:type="character" w:styleId="PageNumber">
    <w:name w:val="page number"/>
    <w:basedOn w:val="DefaultParagraphFont"/>
    <w:rsid w:val="000E370E"/>
  </w:style>
  <w:style w:type="character" w:styleId="CommentReference">
    <w:name w:val="annotation reference"/>
    <w:semiHidden/>
    <w:rsid w:val="00D73542"/>
    <w:rPr>
      <w:sz w:val="16"/>
      <w:szCs w:val="16"/>
    </w:rPr>
  </w:style>
  <w:style w:type="paragraph" w:styleId="CommentText">
    <w:name w:val="annotation text"/>
    <w:basedOn w:val="Normal"/>
    <w:semiHidden/>
    <w:rsid w:val="00D73542"/>
    <w:rPr>
      <w:szCs w:val="20"/>
    </w:rPr>
  </w:style>
  <w:style w:type="paragraph" w:styleId="CommentSubject">
    <w:name w:val="annotation subject"/>
    <w:basedOn w:val="CommentText"/>
    <w:next w:val="CommentText"/>
    <w:semiHidden/>
    <w:rsid w:val="00D73542"/>
    <w:rPr>
      <w:b/>
      <w:bCs/>
    </w:rPr>
  </w:style>
  <w:style w:type="paragraph" w:styleId="DocumentMap">
    <w:name w:val="Document Map"/>
    <w:basedOn w:val="Normal"/>
    <w:semiHidden/>
    <w:rsid w:val="005B6943"/>
    <w:pPr>
      <w:shd w:val="clear" w:color="auto" w:fill="000080"/>
    </w:pPr>
    <w:rPr>
      <w:rFonts w:ascii="Tahoma" w:hAnsi="Tahoma" w:cs="Tahoma"/>
      <w:szCs w:val="20"/>
    </w:rPr>
  </w:style>
  <w:style w:type="paragraph" w:styleId="FootnoteText">
    <w:name w:val="footnote text"/>
    <w:basedOn w:val="Normal"/>
    <w:link w:val="FootnoteTextChar"/>
    <w:uiPriority w:val="99"/>
    <w:rsid w:val="00472828"/>
    <w:rPr>
      <w:szCs w:val="20"/>
    </w:rPr>
  </w:style>
  <w:style w:type="character" w:customStyle="1" w:styleId="FootnoteTextChar">
    <w:name w:val="Footnote Text Char"/>
    <w:basedOn w:val="DefaultParagraphFont"/>
    <w:link w:val="FootnoteText"/>
    <w:uiPriority w:val="99"/>
    <w:rsid w:val="008960EF"/>
  </w:style>
  <w:style w:type="character" w:styleId="Hyperlink">
    <w:name w:val="Hyperlink"/>
    <w:rsid w:val="008960EF"/>
    <w:rPr>
      <w:color w:val="0000FF"/>
      <w:u w:val="single"/>
    </w:rPr>
  </w:style>
  <w:style w:type="paragraph" w:styleId="Header">
    <w:name w:val="header"/>
    <w:basedOn w:val="Normal"/>
    <w:link w:val="HeaderChar"/>
    <w:rsid w:val="00B40CF9"/>
    <w:pPr>
      <w:tabs>
        <w:tab w:val="center" w:pos="4680"/>
        <w:tab w:val="right" w:pos="9360"/>
      </w:tabs>
    </w:pPr>
  </w:style>
  <w:style w:type="character" w:customStyle="1" w:styleId="HeaderChar">
    <w:name w:val="Header Char"/>
    <w:basedOn w:val="DefaultParagraphFont"/>
    <w:link w:val="Header"/>
    <w:rsid w:val="00B40CF9"/>
    <w:rPr>
      <w:szCs w:val="24"/>
    </w:rPr>
  </w:style>
  <w:style w:type="character" w:customStyle="1" w:styleId="FooterChar">
    <w:name w:val="Footer Char"/>
    <w:link w:val="Footer"/>
    <w:uiPriority w:val="99"/>
    <w:rsid w:val="00B40CF9"/>
    <w:rPr>
      <w:szCs w:val="24"/>
    </w:rPr>
  </w:style>
  <w:style w:type="character" w:styleId="FollowedHyperlink">
    <w:name w:val="FollowedHyperlink"/>
    <w:basedOn w:val="DefaultParagraphFont"/>
    <w:rsid w:val="00613F84"/>
    <w:rPr>
      <w:color w:val="800080" w:themeColor="followedHyperlink"/>
      <w:u w:val="single"/>
    </w:rPr>
  </w:style>
  <w:style w:type="paragraph" w:styleId="ListParagraph">
    <w:name w:val="List Paragraph"/>
    <w:basedOn w:val="Normal"/>
    <w:uiPriority w:val="34"/>
    <w:qFormat/>
    <w:rsid w:val="00A15320"/>
    <w:pPr>
      <w:ind w:left="720"/>
      <w:contextualSpacing/>
    </w:pPr>
    <w:rPr>
      <w:sz w:val="24"/>
      <w:szCs w:val="20"/>
    </w:rPr>
  </w:style>
  <w:style w:type="paragraph" w:styleId="EndnoteText">
    <w:name w:val="endnote text"/>
    <w:basedOn w:val="Normal"/>
    <w:link w:val="EndnoteTextChar"/>
    <w:rsid w:val="00997CD6"/>
    <w:rPr>
      <w:szCs w:val="20"/>
    </w:rPr>
  </w:style>
  <w:style w:type="character" w:customStyle="1" w:styleId="EndnoteTextChar">
    <w:name w:val="Endnote Text Char"/>
    <w:basedOn w:val="DefaultParagraphFont"/>
    <w:link w:val="EndnoteText"/>
    <w:rsid w:val="00997CD6"/>
  </w:style>
  <w:style w:type="character" w:styleId="EndnoteReference">
    <w:name w:val="endnote reference"/>
    <w:basedOn w:val="DefaultParagraphFont"/>
    <w:rsid w:val="00997CD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6C49"/>
    <w:pPr>
      <w:widowControl w:val="0"/>
      <w:autoSpaceDE w:val="0"/>
      <w:autoSpaceDN w:val="0"/>
      <w:adjustRightInd w:val="0"/>
    </w:pPr>
    <w:rPr>
      <w:szCs w:val="24"/>
    </w:rPr>
  </w:style>
  <w:style w:type="paragraph" w:styleId="Heading1">
    <w:name w:val="heading 1"/>
    <w:basedOn w:val="Normal"/>
    <w:next w:val="Normal"/>
    <w:qFormat/>
    <w:rsid w:val="00BA6C49"/>
    <w:pPr>
      <w:keepNext/>
      <w:tabs>
        <w:tab w:val="left" w:pos="-1440"/>
      </w:tabs>
      <w:ind w:left="7200" w:hanging="6480"/>
      <w:outlineLvl w:val="0"/>
    </w:pPr>
    <w:rPr>
      <w:b/>
      <w:bCs/>
      <w:color w:val="FF0000"/>
      <w:sz w:val="24"/>
    </w:rPr>
  </w:style>
  <w:style w:type="paragraph" w:styleId="Heading2">
    <w:name w:val="heading 2"/>
    <w:basedOn w:val="Normal"/>
    <w:next w:val="Normal"/>
    <w:qFormat/>
    <w:rsid w:val="00BA6C49"/>
    <w:pPr>
      <w:keepNext/>
      <w:tabs>
        <w:tab w:val="left" w:pos="-1440"/>
      </w:tabs>
      <w:ind w:left="7200" w:right="-90" w:hanging="6480"/>
      <w:outlineLvl w:val="1"/>
    </w:pPr>
    <w:rPr>
      <w:b/>
      <w:bCs/>
      <w:color w:val="FF0000"/>
      <w:sz w:val="24"/>
    </w:rPr>
  </w:style>
  <w:style w:type="paragraph" w:styleId="Heading3">
    <w:name w:val="heading 3"/>
    <w:basedOn w:val="Normal"/>
    <w:next w:val="Normal"/>
    <w:qFormat/>
    <w:rsid w:val="00BA6C49"/>
    <w:pPr>
      <w:keepNext/>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A6C49"/>
  </w:style>
  <w:style w:type="paragraph" w:styleId="BodyText">
    <w:name w:val="Body Text"/>
    <w:basedOn w:val="Normal"/>
    <w:rsid w:val="00BA6C49"/>
    <w:rPr>
      <w:sz w:val="24"/>
    </w:rPr>
  </w:style>
  <w:style w:type="paragraph" w:styleId="BodyText2">
    <w:name w:val="Body Text 2"/>
    <w:basedOn w:val="Normal"/>
    <w:rsid w:val="00BA6C49"/>
    <w:pPr>
      <w:ind w:right="-90"/>
    </w:pPr>
    <w:rPr>
      <w:sz w:val="24"/>
    </w:rPr>
  </w:style>
  <w:style w:type="paragraph" w:styleId="BalloonText">
    <w:name w:val="Balloon Text"/>
    <w:basedOn w:val="Normal"/>
    <w:semiHidden/>
    <w:rsid w:val="003A370D"/>
    <w:rPr>
      <w:rFonts w:ascii="Tahoma" w:hAnsi="Tahoma" w:cs="Tahoma"/>
      <w:sz w:val="16"/>
      <w:szCs w:val="16"/>
    </w:rPr>
  </w:style>
  <w:style w:type="paragraph" w:styleId="NormalWeb">
    <w:name w:val="Normal (Web)"/>
    <w:basedOn w:val="Normal"/>
    <w:rsid w:val="006E50A9"/>
    <w:pPr>
      <w:widowControl/>
      <w:autoSpaceDE/>
      <w:autoSpaceDN/>
      <w:adjustRightInd/>
      <w:spacing w:before="100" w:beforeAutospacing="1" w:after="100" w:afterAutospacing="1"/>
    </w:pPr>
    <w:rPr>
      <w:sz w:val="24"/>
    </w:rPr>
  </w:style>
  <w:style w:type="table" w:styleId="TableGrid">
    <w:name w:val="Table Grid"/>
    <w:basedOn w:val="TableNormal"/>
    <w:rsid w:val="008D62D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E370E"/>
    <w:pPr>
      <w:tabs>
        <w:tab w:val="center" w:pos="4320"/>
        <w:tab w:val="right" w:pos="8640"/>
      </w:tabs>
    </w:pPr>
  </w:style>
  <w:style w:type="character" w:styleId="PageNumber">
    <w:name w:val="page number"/>
    <w:basedOn w:val="DefaultParagraphFont"/>
    <w:rsid w:val="000E370E"/>
  </w:style>
  <w:style w:type="character" w:styleId="CommentReference">
    <w:name w:val="annotation reference"/>
    <w:semiHidden/>
    <w:rsid w:val="00D73542"/>
    <w:rPr>
      <w:sz w:val="16"/>
      <w:szCs w:val="16"/>
    </w:rPr>
  </w:style>
  <w:style w:type="paragraph" w:styleId="CommentText">
    <w:name w:val="annotation text"/>
    <w:basedOn w:val="Normal"/>
    <w:semiHidden/>
    <w:rsid w:val="00D73542"/>
    <w:rPr>
      <w:szCs w:val="20"/>
    </w:rPr>
  </w:style>
  <w:style w:type="paragraph" w:styleId="CommentSubject">
    <w:name w:val="annotation subject"/>
    <w:basedOn w:val="CommentText"/>
    <w:next w:val="CommentText"/>
    <w:semiHidden/>
    <w:rsid w:val="00D73542"/>
    <w:rPr>
      <w:b/>
      <w:bCs/>
    </w:rPr>
  </w:style>
  <w:style w:type="paragraph" w:styleId="DocumentMap">
    <w:name w:val="Document Map"/>
    <w:basedOn w:val="Normal"/>
    <w:semiHidden/>
    <w:rsid w:val="005B6943"/>
    <w:pPr>
      <w:shd w:val="clear" w:color="auto" w:fill="000080"/>
    </w:pPr>
    <w:rPr>
      <w:rFonts w:ascii="Tahoma" w:hAnsi="Tahoma" w:cs="Tahoma"/>
      <w:szCs w:val="20"/>
    </w:rPr>
  </w:style>
  <w:style w:type="paragraph" w:styleId="FootnoteText">
    <w:name w:val="footnote text"/>
    <w:basedOn w:val="Normal"/>
    <w:link w:val="FootnoteTextChar"/>
    <w:uiPriority w:val="99"/>
    <w:rsid w:val="00472828"/>
    <w:rPr>
      <w:szCs w:val="20"/>
    </w:rPr>
  </w:style>
  <w:style w:type="character" w:customStyle="1" w:styleId="FootnoteTextChar">
    <w:name w:val="Footnote Text Char"/>
    <w:basedOn w:val="DefaultParagraphFont"/>
    <w:link w:val="FootnoteText"/>
    <w:uiPriority w:val="99"/>
    <w:rsid w:val="008960EF"/>
  </w:style>
  <w:style w:type="character" w:styleId="Hyperlink">
    <w:name w:val="Hyperlink"/>
    <w:rsid w:val="008960EF"/>
    <w:rPr>
      <w:color w:val="0000FF"/>
      <w:u w:val="single"/>
    </w:rPr>
  </w:style>
  <w:style w:type="paragraph" w:styleId="Header">
    <w:name w:val="header"/>
    <w:basedOn w:val="Normal"/>
    <w:link w:val="HeaderChar"/>
    <w:rsid w:val="00B40CF9"/>
    <w:pPr>
      <w:tabs>
        <w:tab w:val="center" w:pos="4680"/>
        <w:tab w:val="right" w:pos="9360"/>
      </w:tabs>
    </w:pPr>
  </w:style>
  <w:style w:type="character" w:customStyle="1" w:styleId="HeaderChar">
    <w:name w:val="Header Char"/>
    <w:basedOn w:val="DefaultParagraphFont"/>
    <w:link w:val="Header"/>
    <w:rsid w:val="00B40CF9"/>
    <w:rPr>
      <w:szCs w:val="24"/>
    </w:rPr>
  </w:style>
  <w:style w:type="character" w:customStyle="1" w:styleId="FooterChar">
    <w:name w:val="Footer Char"/>
    <w:link w:val="Footer"/>
    <w:uiPriority w:val="99"/>
    <w:rsid w:val="00B40CF9"/>
    <w:rPr>
      <w:szCs w:val="24"/>
    </w:rPr>
  </w:style>
  <w:style w:type="character" w:styleId="FollowedHyperlink">
    <w:name w:val="FollowedHyperlink"/>
    <w:basedOn w:val="DefaultParagraphFont"/>
    <w:rsid w:val="00613F84"/>
    <w:rPr>
      <w:color w:val="800080" w:themeColor="followedHyperlink"/>
      <w:u w:val="single"/>
    </w:rPr>
  </w:style>
  <w:style w:type="paragraph" w:styleId="ListParagraph">
    <w:name w:val="List Paragraph"/>
    <w:basedOn w:val="Normal"/>
    <w:uiPriority w:val="34"/>
    <w:qFormat/>
    <w:rsid w:val="00A15320"/>
    <w:pPr>
      <w:ind w:left="720"/>
      <w:contextualSpacing/>
    </w:pPr>
    <w:rPr>
      <w:sz w:val="24"/>
      <w:szCs w:val="20"/>
    </w:rPr>
  </w:style>
  <w:style w:type="paragraph" w:styleId="EndnoteText">
    <w:name w:val="endnote text"/>
    <w:basedOn w:val="Normal"/>
    <w:link w:val="EndnoteTextChar"/>
    <w:rsid w:val="00997CD6"/>
    <w:rPr>
      <w:szCs w:val="20"/>
    </w:rPr>
  </w:style>
  <w:style w:type="character" w:customStyle="1" w:styleId="EndnoteTextChar">
    <w:name w:val="Endnote Text Char"/>
    <w:basedOn w:val="DefaultParagraphFont"/>
    <w:link w:val="EndnoteText"/>
    <w:rsid w:val="00997CD6"/>
  </w:style>
  <w:style w:type="character" w:styleId="EndnoteReference">
    <w:name w:val="endnote reference"/>
    <w:basedOn w:val="DefaultParagraphFont"/>
    <w:rsid w:val="00997C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07642">
      <w:bodyDiv w:val="1"/>
      <w:marLeft w:val="0"/>
      <w:marRight w:val="0"/>
      <w:marTop w:val="0"/>
      <w:marBottom w:val="0"/>
      <w:divBdr>
        <w:top w:val="none" w:sz="0" w:space="0" w:color="auto"/>
        <w:left w:val="none" w:sz="0" w:space="0" w:color="auto"/>
        <w:bottom w:val="none" w:sz="0" w:space="0" w:color="auto"/>
        <w:right w:val="none" w:sz="0" w:space="0" w:color="auto"/>
      </w:divBdr>
    </w:div>
    <w:div w:id="280259896">
      <w:bodyDiv w:val="1"/>
      <w:marLeft w:val="0"/>
      <w:marRight w:val="0"/>
      <w:marTop w:val="0"/>
      <w:marBottom w:val="0"/>
      <w:divBdr>
        <w:top w:val="none" w:sz="0" w:space="0" w:color="auto"/>
        <w:left w:val="none" w:sz="0" w:space="0" w:color="auto"/>
        <w:bottom w:val="none" w:sz="0" w:space="0" w:color="auto"/>
        <w:right w:val="none" w:sz="0" w:space="0" w:color="auto"/>
      </w:divBdr>
    </w:div>
    <w:div w:id="437484582">
      <w:bodyDiv w:val="1"/>
      <w:marLeft w:val="0"/>
      <w:marRight w:val="0"/>
      <w:marTop w:val="0"/>
      <w:marBottom w:val="0"/>
      <w:divBdr>
        <w:top w:val="none" w:sz="0" w:space="0" w:color="auto"/>
        <w:left w:val="none" w:sz="0" w:space="0" w:color="auto"/>
        <w:bottom w:val="none" w:sz="0" w:space="0" w:color="auto"/>
        <w:right w:val="none" w:sz="0" w:space="0" w:color="auto"/>
      </w:divBdr>
    </w:div>
    <w:div w:id="630867365">
      <w:bodyDiv w:val="1"/>
      <w:marLeft w:val="0"/>
      <w:marRight w:val="0"/>
      <w:marTop w:val="0"/>
      <w:marBottom w:val="0"/>
      <w:divBdr>
        <w:top w:val="none" w:sz="0" w:space="0" w:color="auto"/>
        <w:left w:val="none" w:sz="0" w:space="0" w:color="auto"/>
        <w:bottom w:val="none" w:sz="0" w:space="0" w:color="auto"/>
        <w:right w:val="none" w:sz="0" w:space="0" w:color="auto"/>
      </w:divBdr>
    </w:div>
    <w:div w:id="735593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pdf/ecec.pdf" TargetMode="External"/><Relationship Id="rId2" Type="http://schemas.openxmlformats.org/officeDocument/2006/relationships/hyperlink" Target="http://www.bls.gov/oes/current/naics4_484100.htm" TargetMode="External"/><Relationship Id="rId1" Type="http://schemas.openxmlformats.org/officeDocument/2006/relationships/hyperlink" Target="http://www.bls.gov/oes/current/oes_nat.htm" TargetMode="External"/><Relationship Id="rId4" Type="http://schemas.openxmlformats.org/officeDocument/2006/relationships/hyperlink" Target="http://www.bls.gov/news.release/ecec.t1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F12DC39FF9064D8AB430C793257929" ma:contentTypeVersion="0" ma:contentTypeDescription="Create a new document." ma:contentTypeScope="" ma:versionID="221b066ceaa14a1c9859ed13e924055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9BE96-8F05-4EBB-9D79-3D588822EEA2}">
  <ds:schemaRefs>
    <ds:schemaRef ds:uri="http://purl.org/dc/dcmitype/"/>
    <ds:schemaRef ds:uri="http://purl.org/dc/term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F2868445-3674-43D8-8B4E-CC675C2CF9F2}">
  <ds:schemaRefs>
    <ds:schemaRef ds:uri="http://schemas.microsoft.com/sharepoint/v3/contenttype/forms"/>
  </ds:schemaRefs>
</ds:datastoreItem>
</file>

<file path=customXml/itemProps3.xml><?xml version="1.0" encoding="utf-8"?>
<ds:datastoreItem xmlns:ds="http://schemas.openxmlformats.org/officeDocument/2006/customXml" ds:itemID="{43D04FCA-FED9-4D00-8F71-67296E2AA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E971F47-CE8A-4263-8828-DAFF74AA8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3120</Words>
  <Characters>16737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19818</CharactersWithSpaces>
  <SharedDoc>false</SharedDoc>
  <HLinks>
    <vt:vector size="18" baseType="variant">
      <vt:variant>
        <vt:i4>3342442</vt:i4>
      </vt:variant>
      <vt:variant>
        <vt:i4>6</vt:i4>
      </vt:variant>
      <vt:variant>
        <vt:i4>0</vt:i4>
      </vt:variant>
      <vt:variant>
        <vt:i4>5</vt:i4>
      </vt:variant>
      <vt:variant>
        <vt:lpwstr>http://ntl.bts.gov/lib/24000/24200/24223/24223.pdf</vt:lpwstr>
      </vt:variant>
      <vt:variant>
        <vt:lpwstr/>
      </vt:variant>
      <vt:variant>
        <vt:i4>1900546</vt:i4>
      </vt:variant>
      <vt:variant>
        <vt:i4>3</vt:i4>
      </vt:variant>
      <vt:variant>
        <vt:i4>0</vt:i4>
      </vt:variant>
      <vt:variant>
        <vt:i4>5</vt:i4>
      </vt:variant>
      <vt:variant>
        <vt:lpwstr>http://www.bls.gov/news.release/pdf/ecec.pdf</vt:lpwstr>
      </vt:variant>
      <vt:variant>
        <vt:lpwstr/>
      </vt:variant>
      <vt:variant>
        <vt:i4>2097154</vt:i4>
      </vt:variant>
      <vt:variant>
        <vt:i4>0</vt:i4>
      </vt:variant>
      <vt:variant>
        <vt:i4>0</vt:i4>
      </vt:variant>
      <vt:variant>
        <vt:i4>5</vt:i4>
      </vt:variant>
      <vt:variant>
        <vt:lpwstr>http://www.bls.gov/oes/current/naics4_484100.htm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kray</dc:creator>
  <cp:lastModifiedBy>USDOT_User</cp:lastModifiedBy>
  <cp:revision>3</cp:revision>
  <cp:lastPrinted>2016-10-11T18:45:00Z</cp:lastPrinted>
  <dcterms:created xsi:type="dcterms:W3CDTF">2016-10-13T15:46:00Z</dcterms:created>
  <dcterms:modified xsi:type="dcterms:W3CDTF">2016-10-13T16:01:00Z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0x01010080F12DC39FF9064D8AB430C793257929</vt:lpwstr>
  </property>
</Properties>
</file>