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9C2D7" w14:textId="77777777" w:rsidR="00534B6B" w:rsidRPr="0043450D" w:rsidRDefault="00534B6B" w:rsidP="00534B6B">
      <w:pPr>
        <w:suppressAutoHyphens/>
        <w:jc w:val="center"/>
        <w:rPr>
          <w:rFonts w:ascii="Times New Roman" w:hAnsi="Times New Roman"/>
          <w:b/>
        </w:rPr>
      </w:pPr>
      <w:bookmarkStart w:id="0" w:name="_GoBack"/>
      <w:bookmarkEnd w:id="0"/>
      <w:r w:rsidRPr="0043450D">
        <w:rPr>
          <w:rFonts w:ascii="Times New Roman" w:hAnsi="Times New Roman"/>
          <w:b/>
        </w:rPr>
        <w:t>SUPPORTING STATEMENT FOR NEW AND</w:t>
      </w:r>
    </w:p>
    <w:p w14:paraId="76349A07" w14:textId="77777777" w:rsidR="00534B6B" w:rsidRDefault="00534B6B" w:rsidP="00534B6B">
      <w:pPr>
        <w:suppressAutoHyphens/>
        <w:spacing w:after="240"/>
        <w:jc w:val="center"/>
        <w:rPr>
          <w:rFonts w:ascii="Times New Roman" w:hAnsi="Times New Roman"/>
          <w:b/>
        </w:rPr>
      </w:pPr>
      <w:r w:rsidRPr="0043450D">
        <w:rPr>
          <w:rFonts w:ascii="Times New Roman" w:hAnsi="Times New Roman"/>
          <w:b/>
        </w:rPr>
        <w:t>REVISED INFORMATION COLLECTIONS</w:t>
      </w:r>
    </w:p>
    <w:p w14:paraId="5B05FC45" w14:textId="77777777" w:rsidR="00362C39" w:rsidRPr="00362C39" w:rsidRDefault="00362C39" w:rsidP="00534B6B">
      <w:pPr>
        <w:suppressAutoHyphens/>
        <w:spacing w:after="240"/>
        <w:jc w:val="center"/>
        <w:rPr>
          <w:rFonts w:ascii="Times New Roman" w:hAnsi="Times New Roman"/>
          <w:b/>
          <w:u w:val="single"/>
        </w:rPr>
      </w:pPr>
      <w:r>
        <w:rPr>
          <w:rFonts w:ascii="Times New Roman" w:hAnsi="Times New Roman"/>
          <w:b/>
          <w:u w:val="single"/>
        </w:rPr>
        <w:t>Registration of Swap Dealers and Major Swap Participants</w:t>
      </w:r>
    </w:p>
    <w:p w14:paraId="0FABDB54" w14:textId="77777777" w:rsidR="00534B6B" w:rsidRPr="004261EF" w:rsidRDefault="00534B6B" w:rsidP="00534B6B">
      <w:pPr>
        <w:tabs>
          <w:tab w:val="center" w:pos="4680"/>
        </w:tabs>
        <w:suppressAutoHyphens/>
        <w:spacing w:after="240"/>
        <w:jc w:val="center"/>
        <w:rPr>
          <w:rFonts w:ascii="Times New Roman" w:hAnsi="Times New Roman"/>
          <w:b/>
        </w:rPr>
      </w:pPr>
      <w:r w:rsidRPr="004261EF">
        <w:rPr>
          <w:rFonts w:ascii="Times New Roman" w:hAnsi="Times New Roman"/>
          <w:b/>
        </w:rPr>
        <w:t xml:space="preserve">OMB CONTROL NUMBER </w:t>
      </w:r>
      <w:r w:rsidR="00B26DF3" w:rsidRPr="004261EF">
        <w:rPr>
          <w:rFonts w:ascii="Times New Roman" w:hAnsi="Times New Roman"/>
          <w:b/>
        </w:rPr>
        <w:t>3038</w:t>
      </w:r>
      <w:r w:rsidR="008D4548" w:rsidRPr="004261EF">
        <w:rPr>
          <w:rFonts w:ascii="Times New Roman" w:hAnsi="Times New Roman"/>
          <w:b/>
        </w:rPr>
        <w:t>-</w:t>
      </w:r>
      <w:r w:rsidR="0054134E" w:rsidRPr="004261EF">
        <w:rPr>
          <w:rFonts w:ascii="Times New Roman" w:hAnsi="Times New Roman"/>
          <w:b/>
        </w:rPr>
        <w:t>0072</w:t>
      </w:r>
      <w:r w:rsidR="004261EF" w:rsidRPr="004261EF">
        <w:rPr>
          <w:rFonts w:ascii="Times New Roman" w:hAnsi="Times New Roman"/>
          <w:b/>
        </w:rPr>
        <w:t xml:space="preserve"> </w:t>
      </w:r>
    </w:p>
    <w:p w14:paraId="4F09ED72" w14:textId="77777777" w:rsidR="00534B6B" w:rsidRPr="003E1569" w:rsidRDefault="00534B6B" w:rsidP="00534B6B">
      <w:pPr>
        <w:pStyle w:val="Heading1"/>
        <w:keepNext w:val="0"/>
        <w:spacing w:after="240"/>
        <w:rPr>
          <w:rFonts w:ascii="Times New Roman" w:hAnsi="Times New Roman"/>
          <w:szCs w:val="24"/>
        </w:rPr>
      </w:pPr>
      <w:r w:rsidRPr="003E1569">
        <w:rPr>
          <w:rFonts w:ascii="Times New Roman" w:hAnsi="Times New Roman"/>
          <w:szCs w:val="24"/>
        </w:rPr>
        <w:t>Justification</w:t>
      </w:r>
    </w:p>
    <w:p w14:paraId="4AE716A4" w14:textId="77777777" w:rsidR="00534B6B" w:rsidRPr="003E1569" w:rsidRDefault="00534B6B" w:rsidP="00534B6B">
      <w:pPr>
        <w:tabs>
          <w:tab w:val="left" w:pos="-720"/>
          <w:tab w:val="left" w:pos="0"/>
        </w:tabs>
        <w:spacing w:after="240"/>
        <w:rPr>
          <w:rFonts w:ascii="Times New Roman" w:hAnsi="Times New Roman"/>
        </w:rPr>
      </w:pPr>
      <w:r w:rsidRPr="003E1569">
        <w:rPr>
          <w:rFonts w:ascii="Times New Roman" w:hAnsi="Times New Roman"/>
          <w:b/>
        </w:rPr>
        <w:t>1.</w:t>
      </w:r>
      <w:r w:rsidRPr="003E1569">
        <w:rPr>
          <w:rFonts w:ascii="Times New Roman" w:hAnsi="Times New Roman"/>
          <w:b/>
        </w:rPr>
        <w:tab/>
        <w:t>Explain the circumstances that make the coll</w:t>
      </w:r>
      <w:r w:rsidR="00893A29">
        <w:rPr>
          <w:rFonts w:ascii="Times New Roman" w:hAnsi="Times New Roman"/>
          <w:b/>
        </w:rPr>
        <w:t>ection of information necessary</w:t>
      </w:r>
      <w:r w:rsidRPr="003E1569">
        <w:rPr>
          <w:rFonts w:ascii="Times New Roman" w:hAnsi="Times New Roman"/>
          <w:b/>
        </w:rPr>
        <w:t>.  Identify any legal or administrative requirements that necessitate the collection.  Attach a copy of the appropriate section of each statute and regulation mandating or authorizing the collection of information.</w:t>
      </w:r>
    </w:p>
    <w:p w14:paraId="589F57B8" w14:textId="0221DD97" w:rsidR="00AC2D6A" w:rsidRDefault="00AD6953" w:rsidP="00653915">
      <w:pPr>
        <w:spacing w:after="240"/>
        <w:ind w:firstLine="720"/>
        <w:rPr>
          <w:rFonts w:ascii="Times New Roman" w:hAnsi="Times New Roman"/>
        </w:rPr>
      </w:pPr>
      <w:r>
        <w:rPr>
          <w:rFonts w:ascii="Times New Roman" w:hAnsi="Times New Roman"/>
        </w:rPr>
        <w:t>On July 21, 2010, President Obama signed the Dodd-Frank Wall Street</w:t>
      </w:r>
      <w:r w:rsidR="005B5435">
        <w:rPr>
          <w:rFonts w:ascii="Times New Roman" w:hAnsi="Times New Roman"/>
        </w:rPr>
        <w:t xml:space="preserve"> Reform and Consumer Protection</w:t>
      </w:r>
      <w:r>
        <w:rPr>
          <w:rFonts w:ascii="Times New Roman" w:hAnsi="Times New Roman"/>
        </w:rPr>
        <w:t xml:space="preserve"> Act (“Dodd-Frank Act”).  Title VII of the Dodd-Frank Act amended the Commodity Exchange Act</w:t>
      </w:r>
      <w:r w:rsidR="00714F2C">
        <w:rPr>
          <w:rFonts w:ascii="Times New Roman" w:hAnsi="Times New Roman"/>
        </w:rPr>
        <w:t xml:space="preserve"> (“CEA”)</w:t>
      </w:r>
      <w:r w:rsidR="005B5435">
        <w:rPr>
          <w:rFonts w:ascii="Times New Roman" w:hAnsi="Times New Roman"/>
        </w:rPr>
        <w:t xml:space="preserve"> to establish a comprehensive new regulatory framework for swaps and security-based swaps.  The goal of this legislation was to reduce risk, increase transparency, and promote market integrity within the financial system by, among other thing</w:t>
      </w:r>
      <w:r w:rsidR="008D4548">
        <w:rPr>
          <w:rFonts w:ascii="Times New Roman" w:hAnsi="Times New Roman"/>
        </w:rPr>
        <w:t>s</w:t>
      </w:r>
      <w:r w:rsidR="005B5435">
        <w:rPr>
          <w:rFonts w:ascii="Times New Roman" w:hAnsi="Times New Roman"/>
        </w:rPr>
        <w:t>, providing for the registration and comprehensive regulation of swap dealers (“SDs”) and major swap participants (“MSPs”</w:t>
      </w:r>
      <w:r w:rsidR="006B29D9">
        <w:rPr>
          <w:rFonts w:ascii="Times New Roman" w:hAnsi="Times New Roman"/>
        </w:rPr>
        <w:t xml:space="preserve"> and, together with SDs, “</w:t>
      </w:r>
      <w:r w:rsidR="009D4963">
        <w:rPr>
          <w:rFonts w:ascii="Times New Roman" w:hAnsi="Times New Roman"/>
        </w:rPr>
        <w:t>S</w:t>
      </w:r>
      <w:r w:rsidR="006B29D9">
        <w:rPr>
          <w:rFonts w:ascii="Times New Roman" w:hAnsi="Times New Roman"/>
        </w:rPr>
        <w:t xml:space="preserve">waps </w:t>
      </w:r>
      <w:r w:rsidR="009D4963">
        <w:rPr>
          <w:rFonts w:ascii="Times New Roman" w:hAnsi="Times New Roman"/>
        </w:rPr>
        <w:t>E</w:t>
      </w:r>
      <w:r w:rsidR="006B29D9">
        <w:rPr>
          <w:rFonts w:ascii="Times New Roman" w:hAnsi="Times New Roman"/>
        </w:rPr>
        <w:t>ntities”</w:t>
      </w:r>
      <w:r w:rsidR="000035C3">
        <w:rPr>
          <w:rFonts w:ascii="Times New Roman" w:hAnsi="Times New Roman"/>
        </w:rPr>
        <w:t xml:space="preserve">).   </w:t>
      </w:r>
      <w:r w:rsidR="00E51D99">
        <w:rPr>
          <w:rFonts w:ascii="Times New Roman" w:hAnsi="Times New Roman"/>
        </w:rPr>
        <w:t xml:space="preserve">Section 731(b) of the Dodd-Frank Act </w:t>
      </w:r>
      <w:r w:rsidR="009D4963">
        <w:rPr>
          <w:rFonts w:ascii="Times New Roman" w:hAnsi="Times New Roman"/>
        </w:rPr>
        <w:t xml:space="preserve">added CEA Sections 4s(a) and 4s(b), which </w:t>
      </w:r>
      <w:r w:rsidR="00E51D99">
        <w:rPr>
          <w:rFonts w:ascii="Times New Roman" w:hAnsi="Times New Roman"/>
        </w:rPr>
        <w:t xml:space="preserve">require </w:t>
      </w:r>
      <w:r w:rsidR="009D4963">
        <w:rPr>
          <w:rFonts w:ascii="Times New Roman" w:hAnsi="Times New Roman"/>
        </w:rPr>
        <w:t>S</w:t>
      </w:r>
      <w:r w:rsidR="00E51D99">
        <w:rPr>
          <w:rFonts w:ascii="Times New Roman" w:hAnsi="Times New Roman"/>
        </w:rPr>
        <w:t xml:space="preserve">waps </w:t>
      </w:r>
      <w:r w:rsidR="009D4963">
        <w:rPr>
          <w:rFonts w:ascii="Times New Roman" w:hAnsi="Times New Roman"/>
        </w:rPr>
        <w:t>E</w:t>
      </w:r>
      <w:r w:rsidR="00E51D99">
        <w:rPr>
          <w:rFonts w:ascii="Times New Roman" w:hAnsi="Times New Roman"/>
        </w:rPr>
        <w:t>ntities to register with t</w:t>
      </w:r>
      <w:r w:rsidR="000035C3">
        <w:rPr>
          <w:rFonts w:ascii="Times New Roman" w:hAnsi="Times New Roman"/>
        </w:rPr>
        <w:t>he Commodity Futures Trading Commission (“Commission”)</w:t>
      </w:r>
      <w:r w:rsidR="00E51D99">
        <w:rPr>
          <w:rFonts w:ascii="Times New Roman" w:hAnsi="Times New Roman"/>
        </w:rPr>
        <w:t>.  Section 731(d) of the Dodd-Frank Act requires the Commission to adopt rules for registered swaps entities</w:t>
      </w:r>
      <w:r w:rsidR="009D4963">
        <w:rPr>
          <w:rFonts w:ascii="Times New Roman" w:hAnsi="Times New Roman"/>
        </w:rPr>
        <w:t>, and CEA Section 4s(b)(2) states that a Swaps Entity registration application shall be made in the form and manner prescribed by the Commission</w:t>
      </w:r>
      <w:r w:rsidR="00E51D99">
        <w:rPr>
          <w:rFonts w:ascii="Times New Roman" w:hAnsi="Times New Roman"/>
        </w:rPr>
        <w:t>.  The Commission</w:t>
      </w:r>
      <w:r w:rsidR="000035C3">
        <w:rPr>
          <w:rFonts w:ascii="Times New Roman" w:hAnsi="Times New Roman"/>
        </w:rPr>
        <w:t xml:space="preserve"> </w:t>
      </w:r>
      <w:r w:rsidR="00E51D99">
        <w:rPr>
          <w:rFonts w:ascii="Times New Roman" w:hAnsi="Times New Roman"/>
        </w:rPr>
        <w:t xml:space="preserve">therefore </w:t>
      </w:r>
      <w:r w:rsidR="00E868D4">
        <w:rPr>
          <w:rFonts w:ascii="Times New Roman" w:hAnsi="Times New Roman"/>
        </w:rPr>
        <w:t>adopted</w:t>
      </w:r>
      <w:r w:rsidR="009D4963">
        <w:rPr>
          <w:rFonts w:ascii="Times New Roman" w:hAnsi="Times New Roman"/>
        </w:rPr>
        <w:t xml:space="preserve"> </w:t>
      </w:r>
      <w:r w:rsidR="000035C3">
        <w:rPr>
          <w:rFonts w:ascii="Times New Roman" w:hAnsi="Times New Roman"/>
        </w:rPr>
        <w:t xml:space="preserve">regulations </w:t>
      </w:r>
      <w:r w:rsidR="00563950">
        <w:rPr>
          <w:rFonts w:ascii="Times New Roman" w:hAnsi="Times New Roman"/>
        </w:rPr>
        <w:t>(“</w:t>
      </w:r>
      <w:r w:rsidR="009D4963">
        <w:rPr>
          <w:rFonts w:ascii="Times New Roman" w:hAnsi="Times New Roman"/>
        </w:rPr>
        <w:t>Swaps Entity Registration Regulations</w:t>
      </w:r>
      <w:r w:rsidR="00563950">
        <w:rPr>
          <w:rFonts w:ascii="Times New Roman" w:hAnsi="Times New Roman"/>
        </w:rPr>
        <w:t xml:space="preserve">”) </w:t>
      </w:r>
      <w:r w:rsidR="000035C3">
        <w:rPr>
          <w:rFonts w:ascii="Times New Roman" w:hAnsi="Times New Roman"/>
        </w:rPr>
        <w:t xml:space="preserve">regarding the process for registering </w:t>
      </w:r>
      <w:r w:rsidR="009D4963">
        <w:rPr>
          <w:rFonts w:ascii="Times New Roman" w:hAnsi="Times New Roman"/>
        </w:rPr>
        <w:t>S</w:t>
      </w:r>
      <w:r w:rsidR="004C4EBD">
        <w:rPr>
          <w:rFonts w:ascii="Times New Roman" w:hAnsi="Times New Roman"/>
        </w:rPr>
        <w:t xml:space="preserve">waps </w:t>
      </w:r>
      <w:r w:rsidR="009D4963">
        <w:rPr>
          <w:rFonts w:ascii="Times New Roman" w:hAnsi="Times New Roman"/>
        </w:rPr>
        <w:t>E</w:t>
      </w:r>
      <w:r w:rsidR="004C4EBD">
        <w:rPr>
          <w:rFonts w:ascii="Times New Roman" w:hAnsi="Times New Roman"/>
        </w:rPr>
        <w:t xml:space="preserve">ntities </w:t>
      </w:r>
      <w:r w:rsidR="000035C3">
        <w:rPr>
          <w:rFonts w:ascii="Times New Roman" w:hAnsi="Times New Roman"/>
        </w:rPr>
        <w:t>with the Commission.</w:t>
      </w:r>
      <w:r w:rsidR="00367D2C">
        <w:rPr>
          <w:rStyle w:val="FootnoteReference"/>
          <w:rFonts w:ascii="Times New Roman" w:hAnsi="Times New Roman"/>
        </w:rPr>
        <w:footnoteReference w:id="2"/>
      </w:r>
      <w:r w:rsidR="00563950">
        <w:rPr>
          <w:rFonts w:ascii="Times New Roman" w:hAnsi="Times New Roman"/>
        </w:rPr>
        <w:t xml:space="preserve">    </w:t>
      </w:r>
    </w:p>
    <w:p w14:paraId="1E5C5E75" w14:textId="3745FE3E" w:rsidR="00AD6953" w:rsidRDefault="00951B37" w:rsidP="00653915">
      <w:pPr>
        <w:spacing w:after="240"/>
        <w:ind w:firstLine="720"/>
        <w:rPr>
          <w:rFonts w:ascii="Times New Roman" w:hAnsi="Times New Roman"/>
        </w:rPr>
      </w:pPr>
      <w:r>
        <w:rPr>
          <w:rFonts w:ascii="Times New Roman" w:hAnsi="Times New Roman"/>
        </w:rPr>
        <w:t>T</w:t>
      </w:r>
      <w:r w:rsidR="00463AE9">
        <w:rPr>
          <w:rFonts w:ascii="Times New Roman" w:hAnsi="Times New Roman"/>
        </w:rPr>
        <w:t>he Commission adopted a proposal (“</w:t>
      </w:r>
      <w:r w:rsidR="0042155D" w:rsidRPr="0042155D">
        <w:rPr>
          <w:rFonts w:ascii="Times New Roman" w:hAnsi="Times New Roman"/>
        </w:rPr>
        <w:t>Proposed Rule</w:t>
      </w:r>
      <w:r w:rsidR="00463AE9">
        <w:rPr>
          <w:rFonts w:ascii="Times New Roman" w:hAnsi="Times New Roman"/>
        </w:rPr>
        <w:t>”) that</w:t>
      </w:r>
      <w:r w:rsidR="0042155D" w:rsidRPr="0042155D">
        <w:rPr>
          <w:rFonts w:ascii="Times New Roman" w:hAnsi="Times New Roman"/>
        </w:rPr>
        <w:t xml:space="preserve"> provides for the cross-border application of the SD and MSP registration thresholds and the Commission’s external business conduct standards.</w:t>
      </w:r>
      <w:r w:rsidR="00463AE9">
        <w:rPr>
          <w:rStyle w:val="FootnoteReference"/>
          <w:rFonts w:ascii="Times New Roman" w:hAnsi="Times New Roman"/>
        </w:rPr>
        <w:footnoteReference w:id="3"/>
      </w:r>
      <w:r w:rsidR="0042155D" w:rsidRPr="0042155D">
        <w:rPr>
          <w:rFonts w:ascii="Times New Roman" w:hAnsi="Times New Roman"/>
        </w:rPr>
        <w:t xml:space="preserve">  </w:t>
      </w:r>
      <w:r w:rsidR="00E868D4">
        <w:rPr>
          <w:rFonts w:ascii="Times New Roman" w:hAnsi="Times New Roman"/>
        </w:rPr>
        <w:t>The Commission is proposing to amend Part</w:t>
      </w:r>
      <w:r w:rsidR="00933B47">
        <w:rPr>
          <w:rFonts w:ascii="Times New Roman" w:hAnsi="Times New Roman"/>
        </w:rPr>
        <w:t>s</w:t>
      </w:r>
      <w:r w:rsidR="00E868D4">
        <w:rPr>
          <w:rFonts w:ascii="Times New Roman" w:hAnsi="Times New Roman"/>
        </w:rPr>
        <w:t xml:space="preserve"> 1 </w:t>
      </w:r>
      <w:r w:rsidR="00933B47">
        <w:rPr>
          <w:rFonts w:ascii="Times New Roman" w:hAnsi="Times New Roman"/>
        </w:rPr>
        <w:t xml:space="preserve">and 23 </w:t>
      </w:r>
      <w:r w:rsidR="00E868D4">
        <w:rPr>
          <w:rFonts w:ascii="Times New Roman" w:hAnsi="Times New Roman"/>
        </w:rPr>
        <w:t>of the Commission</w:t>
      </w:r>
      <w:r w:rsidR="00463AE9">
        <w:rPr>
          <w:rFonts w:ascii="Times New Roman" w:hAnsi="Times New Roman"/>
        </w:rPr>
        <w:t>’s</w:t>
      </w:r>
      <w:r w:rsidR="00E868D4">
        <w:rPr>
          <w:rFonts w:ascii="Times New Roman" w:hAnsi="Times New Roman"/>
        </w:rPr>
        <w:t xml:space="preserve"> regulations to </w:t>
      </w:r>
      <w:r w:rsidR="00490A1F" w:rsidRPr="00490A1F">
        <w:rPr>
          <w:rFonts w:ascii="Times New Roman" w:hAnsi="Times New Roman"/>
        </w:rPr>
        <w:t xml:space="preserve">define key terms for purposes of applying the CEA’s swap provisions </w:t>
      </w:r>
      <w:r w:rsidR="00104DFC">
        <w:rPr>
          <w:rFonts w:ascii="Times New Roman" w:hAnsi="Times New Roman"/>
        </w:rPr>
        <w:t>to</w:t>
      </w:r>
      <w:r w:rsidR="00490A1F" w:rsidRPr="00490A1F">
        <w:rPr>
          <w:rFonts w:ascii="Times New Roman" w:hAnsi="Times New Roman"/>
        </w:rPr>
        <w:t xml:space="preserve"> cross-border </w:t>
      </w:r>
      <w:r w:rsidR="00104DFC">
        <w:rPr>
          <w:rFonts w:ascii="Times New Roman" w:hAnsi="Times New Roman"/>
        </w:rPr>
        <w:t xml:space="preserve">transactions </w:t>
      </w:r>
      <w:r w:rsidR="00490A1F" w:rsidRPr="00490A1F">
        <w:rPr>
          <w:rFonts w:ascii="Times New Roman" w:hAnsi="Times New Roman"/>
        </w:rPr>
        <w:t xml:space="preserve">and </w:t>
      </w:r>
      <w:r w:rsidR="00490A1F">
        <w:rPr>
          <w:rFonts w:ascii="Times New Roman" w:hAnsi="Times New Roman"/>
        </w:rPr>
        <w:t xml:space="preserve">to </w:t>
      </w:r>
      <w:r w:rsidR="00490A1F" w:rsidRPr="00490A1F">
        <w:rPr>
          <w:rFonts w:ascii="Times New Roman" w:hAnsi="Times New Roman"/>
        </w:rPr>
        <w:t xml:space="preserve">address the cross-border application of the registration thresholds and external business conduct standards for swap dealers and major swap participants, including the extent to which they would apply </w:t>
      </w:r>
      <w:r w:rsidR="001B6507">
        <w:rPr>
          <w:rFonts w:ascii="Times New Roman" w:hAnsi="Times New Roman"/>
        </w:rPr>
        <w:t xml:space="preserve">to </w:t>
      </w:r>
      <w:r w:rsidR="00104DFC">
        <w:rPr>
          <w:rFonts w:ascii="Times New Roman" w:hAnsi="Times New Roman"/>
        </w:rPr>
        <w:t>swap transactions</w:t>
      </w:r>
      <w:r w:rsidR="001B6507">
        <w:rPr>
          <w:rFonts w:ascii="Times New Roman" w:hAnsi="Times New Roman"/>
        </w:rPr>
        <w:t xml:space="preserve"> that</w:t>
      </w:r>
      <w:r w:rsidR="00104DFC">
        <w:rPr>
          <w:rFonts w:ascii="Times New Roman" w:hAnsi="Times New Roman"/>
        </w:rPr>
        <w:t xml:space="preserve"> are arranged, negotiated, or executed using </w:t>
      </w:r>
      <w:r w:rsidR="00490A1F" w:rsidRPr="00490A1F">
        <w:rPr>
          <w:rFonts w:ascii="Times New Roman" w:hAnsi="Times New Roman"/>
        </w:rPr>
        <w:t xml:space="preserve"> personnel located in the United States.</w:t>
      </w:r>
      <w:r w:rsidR="00490A1F">
        <w:rPr>
          <w:rFonts w:ascii="Times New Roman" w:hAnsi="Times New Roman"/>
        </w:rPr>
        <w:t xml:space="preserve"> </w:t>
      </w:r>
      <w:r w:rsidR="00933B47">
        <w:rPr>
          <w:rFonts w:ascii="Times New Roman" w:hAnsi="Times New Roman"/>
        </w:rPr>
        <w:t xml:space="preserve"> T</w:t>
      </w:r>
      <w:r w:rsidR="00933B47" w:rsidRPr="00933B47">
        <w:rPr>
          <w:rFonts w:ascii="Times New Roman" w:hAnsi="Times New Roman"/>
        </w:rPr>
        <w:t xml:space="preserve">he Commission is proposing to define the key terms of “U.S. person” and “Foreign Consolidated Subsidiary” for broad cross-border </w:t>
      </w:r>
      <w:r w:rsidR="00933B47" w:rsidRPr="00933B47">
        <w:rPr>
          <w:rFonts w:ascii="Times New Roman" w:hAnsi="Times New Roman"/>
        </w:rPr>
        <w:lastRenderedPageBreak/>
        <w:t>application.</w:t>
      </w:r>
      <w:r w:rsidR="00933B47" w:rsidRPr="00933B47">
        <w:rPr>
          <w:rFonts w:ascii="Times New Roman" w:hAnsi="Times New Roman"/>
          <w:bCs/>
          <w:vertAlign w:val="superscript"/>
        </w:rPr>
        <w:footnoteReference w:id="4"/>
      </w:r>
      <w:r w:rsidR="00933B47">
        <w:rPr>
          <w:rFonts w:ascii="Times New Roman" w:hAnsi="Times New Roman"/>
          <w:bCs/>
          <w:vertAlign w:val="superscript"/>
        </w:rPr>
        <w:t xml:space="preserve"> </w:t>
      </w:r>
      <w:r w:rsidR="00933B47">
        <w:rPr>
          <w:rFonts w:ascii="Times New Roman" w:hAnsi="Times New Roman"/>
        </w:rPr>
        <w:t xml:space="preserve"> </w:t>
      </w:r>
      <w:r w:rsidR="00910CA9">
        <w:rPr>
          <w:rFonts w:ascii="Times New Roman" w:hAnsi="Times New Roman"/>
        </w:rPr>
        <w:t xml:space="preserve"> </w:t>
      </w:r>
      <w:r w:rsidR="00AB3685">
        <w:rPr>
          <w:rFonts w:ascii="Times New Roman" w:hAnsi="Times New Roman"/>
        </w:rPr>
        <w:t>As further described in the Proposed Rule, w</w:t>
      </w:r>
      <w:r w:rsidR="00910CA9" w:rsidRPr="00910CA9">
        <w:rPr>
          <w:rFonts w:ascii="Times New Roman" w:hAnsi="Times New Roman"/>
        </w:rPr>
        <w:t xml:space="preserve">hether a potential SD would include a particular swap in its de minimis calculation would depend on whether the potential SD is classified as a U.S. person or a non-U.S. person whose obligations under the relevant swap are guaranteed by a U.S. person (“U.S. Guaranteed Entity”); a Foreign Consolidated Subsidiary; or a non-U.S. person that is neither </w:t>
      </w:r>
      <w:r w:rsidR="00570015">
        <w:rPr>
          <w:rFonts w:ascii="Times New Roman" w:hAnsi="Times New Roman"/>
        </w:rPr>
        <w:t>a Foreign Consolidated Subsidiary</w:t>
      </w:r>
      <w:r w:rsidR="00910CA9" w:rsidRPr="00910CA9">
        <w:rPr>
          <w:rFonts w:ascii="Times New Roman" w:hAnsi="Times New Roman"/>
        </w:rPr>
        <w:t xml:space="preserve"> nor a U.S. Guaranteed Entity.</w:t>
      </w:r>
      <w:r w:rsidR="00910CA9">
        <w:rPr>
          <w:rFonts w:ascii="Times New Roman" w:hAnsi="Times New Roman"/>
        </w:rPr>
        <w:t xml:space="preserve">  </w:t>
      </w:r>
      <w:r w:rsidR="004C4EBD">
        <w:rPr>
          <w:rFonts w:ascii="Times New Roman" w:hAnsi="Times New Roman"/>
        </w:rPr>
        <w:t xml:space="preserve">The collections required by the </w:t>
      </w:r>
      <w:r w:rsidR="00AC2D6A">
        <w:rPr>
          <w:rFonts w:ascii="Times New Roman" w:hAnsi="Times New Roman"/>
        </w:rPr>
        <w:t xml:space="preserve">Proposed Rule </w:t>
      </w:r>
      <w:r w:rsidR="004C4EBD">
        <w:rPr>
          <w:rFonts w:ascii="Times New Roman" w:hAnsi="Times New Roman"/>
        </w:rPr>
        <w:t>are necessary to implement the Dodd-Frank Act</w:t>
      </w:r>
      <w:r w:rsidR="00490A1F">
        <w:rPr>
          <w:rFonts w:ascii="Times New Roman" w:hAnsi="Times New Roman"/>
        </w:rPr>
        <w:t xml:space="preserve">’s registration provisions and </w:t>
      </w:r>
      <w:r w:rsidR="00933B47">
        <w:rPr>
          <w:rFonts w:ascii="Times New Roman" w:hAnsi="Times New Roman"/>
        </w:rPr>
        <w:t xml:space="preserve">the cross-border </w:t>
      </w:r>
      <w:r w:rsidR="00490A1F" w:rsidRPr="00490A1F">
        <w:rPr>
          <w:rFonts w:ascii="Times New Roman" w:hAnsi="Times New Roman"/>
        </w:rPr>
        <w:t xml:space="preserve">swap provisions </w:t>
      </w:r>
      <w:r w:rsidR="00933B47">
        <w:rPr>
          <w:rFonts w:ascii="Times New Roman" w:hAnsi="Times New Roman"/>
        </w:rPr>
        <w:t xml:space="preserve">that </w:t>
      </w:r>
      <w:r w:rsidR="00490A1F" w:rsidRPr="00490A1F">
        <w:rPr>
          <w:rFonts w:ascii="Times New Roman" w:hAnsi="Times New Roman"/>
        </w:rPr>
        <w:t xml:space="preserve">expressly apply to activities that have a direct and significant connection with activities in, or effect on, U.S. commerce or that contravene Commission rules or regulations </w:t>
      </w:r>
      <w:r w:rsidR="00104DFC">
        <w:rPr>
          <w:rFonts w:ascii="Times New Roman" w:hAnsi="Times New Roman"/>
        </w:rPr>
        <w:t xml:space="preserve">as </w:t>
      </w:r>
      <w:r w:rsidR="00490A1F" w:rsidRPr="00490A1F">
        <w:rPr>
          <w:rFonts w:ascii="Times New Roman" w:hAnsi="Times New Roman"/>
        </w:rPr>
        <w:t>necessary or appropriate to prevent evasion</w:t>
      </w:r>
      <w:r w:rsidR="004C4EBD">
        <w:rPr>
          <w:rFonts w:ascii="Times New Roman" w:hAnsi="Times New Roman"/>
        </w:rPr>
        <w:t>.</w:t>
      </w:r>
    </w:p>
    <w:p w14:paraId="58A06FEA" w14:textId="77777777" w:rsidR="00534B6B" w:rsidRPr="003E1569" w:rsidRDefault="00534B6B" w:rsidP="00534B6B">
      <w:pPr>
        <w:tabs>
          <w:tab w:val="left" w:pos="-720"/>
        </w:tabs>
        <w:spacing w:after="240"/>
        <w:rPr>
          <w:rFonts w:ascii="Times New Roman" w:hAnsi="Times New Roman"/>
          <w:b/>
        </w:rPr>
      </w:pPr>
      <w:r w:rsidRPr="003E1569">
        <w:rPr>
          <w:rFonts w:ascii="Times New Roman" w:hAnsi="Times New Roman"/>
          <w:b/>
        </w:rPr>
        <w:t>2.</w:t>
      </w:r>
      <w:r w:rsidRPr="003E1569">
        <w:rPr>
          <w:rFonts w:ascii="Times New Roman" w:hAnsi="Times New Roman"/>
          <w:b/>
        </w:rPr>
        <w:tab/>
        <w:t>Indicate how, by who</w:t>
      </w:r>
      <w:r w:rsidR="00EB6A33">
        <w:rPr>
          <w:rFonts w:ascii="Times New Roman" w:hAnsi="Times New Roman"/>
          <w:b/>
        </w:rPr>
        <w:t>m, and for what purpose the data</w:t>
      </w:r>
      <w:r w:rsidRPr="003E1569">
        <w:rPr>
          <w:rFonts w:ascii="Times New Roman" w:hAnsi="Times New Roman"/>
          <w:b/>
        </w:rPr>
        <w:t xml:space="preserve"> would be used.  Except for a new collection, indicate the actual use the agency has made of the information received from the current collection.</w:t>
      </w:r>
    </w:p>
    <w:p w14:paraId="1DF253CE" w14:textId="77777777" w:rsidR="00534B6B" w:rsidRPr="003E1569" w:rsidRDefault="00534B6B" w:rsidP="00653915">
      <w:pPr>
        <w:spacing w:after="240"/>
        <w:ind w:firstLine="720"/>
        <w:rPr>
          <w:rFonts w:ascii="Times New Roman" w:hAnsi="Times New Roman"/>
        </w:rPr>
      </w:pPr>
      <w:r w:rsidRPr="003E1569">
        <w:rPr>
          <w:rFonts w:ascii="Times New Roman" w:hAnsi="Times New Roman"/>
        </w:rPr>
        <w:t xml:space="preserve">The information received pursuant to </w:t>
      </w:r>
      <w:r w:rsidR="00A53958">
        <w:rPr>
          <w:rFonts w:ascii="Times New Roman" w:hAnsi="Times New Roman"/>
        </w:rPr>
        <w:t xml:space="preserve">the </w:t>
      </w:r>
      <w:r w:rsidR="00331671">
        <w:rPr>
          <w:rFonts w:ascii="Times New Roman" w:hAnsi="Times New Roman"/>
        </w:rPr>
        <w:t>Swaps Entity Registration Regulations</w:t>
      </w:r>
      <w:r w:rsidR="00A53958">
        <w:rPr>
          <w:rFonts w:ascii="Times New Roman" w:hAnsi="Times New Roman"/>
        </w:rPr>
        <w:t xml:space="preserve"> </w:t>
      </w:r>
      <w:r w:rsidRPr="003E1569">
        <w:rPr>
          <w:rFonts w:ascii="Times New Roman" w:hAnsi="Times New Roman"/>
        </w:rPr>
        <w:t>would be analyzed by Commission staff and would form a basis for recommendations to the Commission concerning approval of</w:t>
      </w:r>
      <w:r w:rsidR="00A53958">
        <w:rPr>
          <w:rFonts w:ascii="Times New Roman" w:hAnsi="Times New Roman"/>
        </w:rPr>
        <w:t xml:space="preserve"> registration</w:t>
      </w:r>
      <w:r>
        <w:rPr>
          <w:rFonts w:ascii="Times New Roman" w:hAnsi="Times New Roman"/>
        </w:rPr>
        <w:t xml:space="preserve">, </w:t>
      </w:r>
      <w:r w:rsidRPr="003E1569">
        <w:rPr>
          <w:rFonts w:ascii="Times New Roman" w:hAnsi="Times New Roman"/>
        </w:rPr>
        <w:t xml:space="preserve">compliance with the </w:t>
      </w:r>
      <w:r w:rsidR="00A53958">
        <w:rPr>
          <w:rFonts w:ascii="Times New Roman" w:hAnsi="Times New Roman"/>
        </w:rPr>
        <w:t>CEA</w:t>
      </w:r>
      <w:r w:rsidRPr="003E1569">
        <w:rPr>
          <w:rFonts w:ascii="Times New Roman" w:hAnsi="Times New Roman"/>
        </w:rPr>
        <w:t>’s requirements</w:t>
      </w:r>
      <w:r>
        <w:rPr>
          <w:rFonts w:ascii="Times New Roman" w:hAnsi="Times New Roman"/>
        </w:rPr>
        <w:t xml:space="preserve">, or whether the Commission should take any action regarding lack of compliance with the </w:t>
      </w:r>
      <w:r w:rsidR="00A53958">
        <w:rPr>
          <w:rFonts w:ascii="Times New Roman" w:hAnsi="Times New Roman"/>
        </w:rPr>
        <w:t>CEA</w:t>
      </w:r>
      <w:r>
        <w:rPr>
          <w:rFonts w:ascii="Times New Roman" w:hAnsi="Times New Roman"/>
        </w:rPr>
        <w:t>.</w:t>
      </w:r>
    </w:p>
    <w:p w14:paraId="7485B99C" w14:textId="77777777" w:rsidR="00534B6B" w:rsidRPr="003E1569" w:rsidRDefault="00534B6B" w:rsidP="00534B6B">
      <w:pPr>
        <w:keepNext/>
        <w:tabs>
          <w:tab w:val="left" w:pos="-720"/>
          <w:tab w:val="left" w:pos="0"/>
        </w:tabs>
        <w:spacing w:after="240"/>
        <w:rPr>
          <w:rFonts w:ascii="Times New Roman" w:hAnsi="Times New Roman"/>
          <w:b/>
        </w:rPr>
      </w:pPr>
      <w:r>
        <w:rPr>
          <w:rFonts w:ascii="Times New Roman" w:hAnsi="Times New Roman"/>
          <w:b/>
        </w:rPr>
        <w:t>3</w:t>
      </w:r>
      <w:r w:rsidRPr="003E1569">
        <w:rPr>
          <w:rFonts w:ascii="Times New Roman" w:hAnsi="Times New Roman"/>
          <w:b/>
        </w:rPr>
        <w:t>.</w:t>
      </w:r>
      <w:r w:rsidRPr="003E156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92E8338" w14:textId="77777777" w:rsidR="00534B6B" w:rsidRPr="003E1569" w:rsidRDefault="00534B6B" w:rsidP="00534B6B">
      <w:pPr>
        <w:tabs>
          <w:tab w:val="left" w:pos="-720"/>
          <w:tab w:val="left" w:pos="0"/>
        </w:tabs>
        <w:spacing w:after="240"/>
        <w:rPr>
          <w:rFonts w:ascii="Times New Roman" w:hAnsi="Times New Roman"/>
        </w:rPr>
      </w:pPr>
      <w:r w:rsidRPr="003E1569">
        <w:rPr>
          <w:rFonts w:ascii="Times New Roman" w:hAnsi="Times New Roman"/>
        </w:rPr>
        <w:tab/>
        <w:t xml:space="preserve">Information </w:t>
      </w:r>
      <w:r w:rsidR="00A53958">
        <w:rPr>
          <w:rFonts w:ascii="Times New Roman" w:hAnsi="Times New Roman"/>
        </w:rPr>
        <w:t xml:space="preserve">is required to </w:t>
      </w:r>
      <w:r w:rsidRPr="003E1569">
        <w:rPr>
          <w:rFonts w:ascii="Times New Roman" w:hAnsi="Times New Roman"/>
        </w:rPr>
        <w:t>be submitted electronically.</w:t>
      </w:r>
    </w:p>
    <w:p w14:paraId="186CC440" w14:textId="77777777" w:rsidR="00534B6B" w:rsidRPr="0019376E" w:rsidRDefault="00534B6B" w:rsidP="00534B6B">
      <w:pPr>
        <w:tabs>
          <w:tab w:val="left" w:pos="-720"/>
          <w:tab w:val="left" w:pos="0"/>
        </w:tabs>
        <w:spacing w:after="240"/>
        <w:rPr>
          <w:rFonts w:ascii="Times New Roman" w:hAnsi="Times New Roman"/>
          <w:b/>
        </w:rPr>
      </w:pPr>
      <w:r w:rsidRPr="0019376E">
        <w:rPr>
          <w:rFonts w:ascii="Times New Roman" w:hAnsi="Times New Roman"/>
          <w:b/>
        </w:rPr>
        <w:t>4.</w:t>
      </w:r>
      <w:r w:rsidRPr="0019376E">
        <w:rPr>
          <w:rFonts w:ascii="Times New Roman" w:hAnsi="Times New Roman"/>
          <w:b/>
        </w:rPr>
        <w:tab/>
        <w:t>Describe efforts to identify duplication.  Show specifically why any similar information already available cannot be used or modified for use for the purposes described in Item 2 above.</w:t>
      </w:r>
    </w:p>
    <w:p w14:paraId="1FB19AFA" w14:textId="4F460B79"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r>
      <w:r w:rsidR="00A53958">
        <w:rPr>
          <w:rFonts w:ascii="Times New Roman" w:hAnsi="Times New Roman"/>
        </w:rPr>
        <w:t xml:space="preserve">SDs and MSPs are </w:t>
      </w:r>
      <w:r w:rsidR="00A0579D">
        <w:rPr>
          <w:rFonts w:ascii="Times New Roman" w:hAnsi="Times New Roman"/>
        </w:rPr>
        <w:t>participants in the swaps market</w:t>
      </w:r>
      <w:r w:rsidR="00104DFC">
        <w:rPr>
          <w:rFonts w:ascii="Times New Roman" w:hAnsi="Times New Roman"/>
        </w:rPr>
        <w:t xml:space="preserve"> that are required to register with the Commission</w:t>
      </w:r>
      <w:r w:rsidR="00A53958">
        <w:rPr>
          <w:rFonts w:ascii="Times New Roman" w:hAnsi="Times New Roman"/>
        </w:rPr>
        <w:t>; as such, t</w:t>
      </w:r>
      <w:r w:rsidRPr="003E1569">
        <w:rPr>
          <w:rFonts w:ascii="Times New Roman" w:hAnsi="Times New Roman"/>
        </w:rPr>
        <w:t>he required information is not available from any other source.</w:t>
      </w:r>
      <w:r w:rsidR="00A53958">
        <w:rPr>
          <w:rFonts w:ascii="Times New Roman" w:hAnsi="Times New Roman"/>
        </w:rPr>
        <w:t xml:space="preserve">  </w:t>
      </w:r>
      <w:r w:rsidR="00B873D6">
        <w:rPr>
          <w:rFonts w:ascii="Times New Roman" w:hAnsi="Times New Roman"/>
        </w:rPr>
        <w:t>Section 731(c) of the Dodd-Frank Act requires registration of SDs and MSPs regardless of whether the person also is a depository institution or is registered with the Securities and Exchange Commission.</w:t>
      </w:r>
      <w:r w:rsidR="00816B04">
        <w:rPr>
          <w:rFonts w:ascii="Times New Roman" w:hAnsi="Times New Roman"/>
        </w:rPr>
        <w:t xml:space="preserve">  If an SD or MSP is already registered with the Commission, or if an applicant seeks to register in more than one capacity, it is just a matter of checking off the box on the </w:t>
      </w:r>
      <w:r w:rsidR="008D4548">
        <w:rPr>
          <w:rFonts w:ascii="Times New Roman" w:hAnsi="Times New Roman"/>
        </w:rPr>
        <w:t xml:space="preserve">screen of the </w:t>
      </w:r>
      <w:r w:rsidR="003C4C87">
        <w:rPr>
          <w:rFonts w:ascii="Times New Roman" w:hAnsi="Times New Roman"/>
        </w:rPr>
        <w:t xml:space="preserve">requisite </w:t>
      </w:r>
      <w:r w:rsidR="008D4548">
        <w:rPr>
          <w:rFonts w:ascii="Times New Roman" w:hAnsi="Times New Roman"/>
        </w:rPr>
        <w:t xml:space="preserve">electronic, online </w:t>
      </w:r>
      <w:r w:rsidR="00816B04">
        <w:rPr>
          <w:rFonts w:ascii="Times New Roman" w:hAnsi="Times New Roman"/>
        </w:rPr>
        <w:t>form.</w:t>
      </w:r>
      <w:r w:rsidR="00816B04">
        <w:rPr>
          <w:rStyle w:val="FootnoteReference"/>
          <w:rFonts w:ascii="Times New Roman" w:hAnsi="Times New Roman"/>
        </w:rPr>
        <w:footnoteReference w:id="5"/>
      </w:r>
    </w:p>
    <w:p w14:paraId="7B93267C" w14:textId="77777777" w:rsidR="00534B6B" w:rsidRPr="0019376E" w:rsidRDefault="00534B6B" w:rsidP="00534B6B">
      <w:pPr>
        <w:tabs>
          <w:tab w:val="left" w:pos="-720"/>
          <w:tab w:val="left" w:pos="0"/>
        </w:tabs>
        <w:spacing w:after="240"/>
        <w:rPr>
          <w:rFonts w:ascii="Times New Roman" w:hAnsi="Times New Roman"/>
          <w:b/>
        </w:rPr>
      </w:pPr>
      <w:r w:rsidRPr="0019376E">
        <w:rPr>
          <w:rFonts w:ascii="Times New Roman" w:hAnsi="Times New Roman"/>
          <w:b/>
        </w:rPr>
        <w:lastRenderedPageBreak/>
        <w:t>5.</w:t>
      </w:r>
      <w:r w:rsidRPr="0019376E">
        <w:rPr>
          <w:rFonts w:ascii="Times New Roman" w:hAnsi="Times New Roman"/>
          <w:b/>
        </w:rPr>
        <w:tab/>
        <w:t>If the collection of information involves small business or other small entities (Item 5 of OMB From 83-I), describe the methods used to minimize burden.</w:t>
      </w:r>
    </w:p>
    <w:p w14:paraId="57384FB1" w14:textId="77777777"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t>This collection of information will not have a significant impact on a substantial number of small entities.</w:t>
      </w:r>
      <w:r w:rsidR="00022B65">
        <w:rPr>
          <w:rFonts w:ascii="Times New Roman" w:hAnsi="Times New Roman"/>
        </w:rPr>
        <w:t xml:space="preserve">  </w:t>
      </w:r>
      <w:r w:rsidR="00EB6A33">
        <w:rPr>
          <w:rFonts w:ascii="Times New Roman" w:hAnsi="Times New Roman"/>
        </w:rPr>
        <w:t>The required information does not involve any small busi</w:t>
      </w:r>
      <w:r w:rsidR="00022B65">
        <w:rPr>
          <w:rFonts w:ascii="Times New Roman" w:hAnsi="Times New Roman"/>
        </w:rPr>
        <w:t>nesses or other small entities.</w:t>
      </w:r>
    </w:p>
    <w:p w14:paraId="265621AE" w14:textId="77777777" w:rsidR="00534B6B" w:rsidRPr="0019376E" w:rsidRDefault="00534B6B" w:rsidP="00534B6B">
      <w:pPr>
        <w:tabs>
          <w:tab w:val="left" w:pos="-720"/>
          <w:tab w:val="left" w:pos="0"/>
        </w:tabs>
        <w:spacing w:after="240"/>
        <w:rPr>
          <w:rFonts w:ascii="Times New Roman" w:hAnsi="Times New Roman"/>
          <w:b/>
        </w:rPr>
      </w:pPr>
      <w:r w:rsidRPr="0019376E">
        <w:rPr>
          <w:rFonts w:ascii="Times New Roman" w:hAnsi="Times New Roman"/>
          <w:b/>
        </w:rPr>
        <w:t>6.</w:t>
      </w:r>
      <w:r w:rsidRPr="0019376E">
        <w:rPr>
          <w:rFonts w:ascii="Times New Roman" w:hAnsi="Times New Roman"/>
          <w:b/>
        </w:rPr>
        <w:tab/>
        <w:t>Describe the consequence to the Federal Program or policy activities if the collection were conducted less frequently as well as any technical or legal obstacles to reducing burden.</w:t>
      </w:r>
    </w:p>
    <w:p w14:paraId="5156C4A9" w14:textId="77777777"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t>If the information required under this collection of information were not collected, enforcement of Commission rules would be adversely affected.</w:t>
      </w:r>
    </w:p>
    <w:p w14:paraId="08C366EF" w14:textId="77777777" w:rsidR="00534B6B" w:rsidRPr="0019376E" w:rsidRDefault="00534B6B" w:rsidP="00534B6B">
      <w:pPr>
        <w:tabs>
          <w:tab w:val="left" w:pos="-720"/>
          <w:tab w:val="left" w:pos="0"/>
        </w:tabs>
        <w:spacing w:after="240"/>
        <w:rPr>
          <w:rFonts w:ascii="Times New Roman" w:hAnsi="Times New Roman"/>
          <w:b/>
        </w:rPr>
      </w:pPr>
      <w:r w:rsidRPr="0019376E">
        <w:rPr>
          <w:rFonts w:ascii="Times New Roman" w:hAnsi="Times New Roman"/>
          <w:b/>
        </w:rPr>
        <w:t>7.</w:t>
      </w:r>
      <w:r w:rsidRPr="0019376E">
        <w:rPr>
          <w:rFonts w:ascii="Times New Roman" w:hAnsi="Times New Roman"/>
          <w:b/>
        </w:rPr>
        <w:tab/>
        <w:t>Explain any special circumstances that require the collection to be conducted in a manner:</w:t>
      </w:r>
    </w:p>
    <w:p w14:paraId="4B5082A4" w14:textId="77777777" w:rsidR="0088759B" w:rsidRDefault="00534B6B" w:rsidP="0088759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report information to the agency more often than quarterly;</w:t>
      </w:r>
    </w:p>
    <w:p w14:paraId="6AB0A0AC" w14:textId="77777777" w:rsidR="0088759B" w:rsidRPr="0088759B" w:rsidRDefault="0088759B" w:rsidP="0088759B">
      <w:pPr>
        <w:tabs>
          <w:tab w:val="left" w:pos="-720"/>
          <w:tab w:val="left" w:pos="0"/>
          <w:tab w:val="left" w:pos="720"/>
        </w:tabs>
        <w:spacing w:after="240"/>
        <w:ind w:left="1080"/>
        <w:rPr>
          <w:rFonts w:ascii="Times New Roman" w:hAnsi="Times New Roman"/>
        </w:rPr>
      </w:pPr>
      <w:r>
        <w:rPr>
          <w:rFonts w:ascii="Times New Roman" w:hAnsi="Times New Roman"/>
        </w:rPr>
        <w:t xml:space="preserve">The proposed regulations require </w:t>
      </w:r>
      <w:r w:rsidR="00816B04">
        <w:rPr>
          <w:rFonts w:ascii="Times New Roman" w:hAnsi="Times New Roman"/>
        </w:rPr>
        <w:t>respondents</w:t>
      </w:r>
      <w:r>
        <w:rPr>
          <w:rFonts w:ascii="Times New Roman" w:hAnsi="Times New Roman"/>
        </w:rPr>
        <w:t xml:space="preserve"> to report information to the Commission annually and occasionally.  The proposed regulations do not require </w:t>
      </w:r>
      <w:r w:rsidR="00816B04">
        <w:rPr>
          <w:rFonts w:ascii="Times New Roman" w:hAnsi="Times New Roman"/>
        </w:rPr>
        <w:t>respondents</w:t>
      </w:r>
      <w:r>
        <w:rPr>
          <w:rFonts w:ascii="Times New Roman" w:hAnsi="Times New Roman"/>
        </w:rPr>
        <w:t xml:space="preserve"> to report information to the Commission more often than quarterly.</w:t>
      </w:r>
    </w:p>
    <w:p w14:paraId="1510D12F" w14:textId="77777777"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prepare a written response to a collection of information in fewer than 30 days after receipt of it:</w:t>
      </w:r>
    </w:p>
    <w:p w14:paraId="4135C4BA" w14:textId="393784E7" w:rsidR="00446161" w:rsidRPr="00446161" w:rsidRDefault="00446161" w:rsidP="00446161">
      <w:pPr>
        <w:tabs>
          <w:tab w:val="left" w:pos="-720"/>
          <w:tab w:val="left" w:pos="0"/>
          <w:tab w:val="left" w:pos="720"/>
        </w:tabs>
        <w:spacing w:after="240"/>
        <w:ind w:left="1080"/>
        <w:rPr>
          <w:rFonts w:ascii="Times New Roman" w:hAnsi="Times New Roman"/>
        </w:rPr>
      </w:pPr>
      <w:r>
        <w:rPr>
          <w:rFonts w:ascii="Times New Roman" w:hAnsi="Times New Roman"/>
        </w:rPr>
        <w:t xml:space="preserve">In order for the Commission to adequately assess whether a </w:t>
      </w:r>
      <w:r w:rsidR="00331671">
        <w:rPr>
          <w:rFonts w:ascii="Times New Roman" w:hAnsi="Times New Roman"/>
        </w:rPr>
        <w:t>S</w:t>
      </w:r>
      <w:r>
        <w:rPr>
          <w:rFonts w:ascii="Times New Roman" w:hAnsi="Times New Roman"/>
        </w:rPr>
        <w:t>wap</w:t>
      </w:r>
      <w:r w:rsidR="00022B4E">
        <w:rPr>
          <w:rFonts w:ascii="Times New Roman" w:hAnsi="Times New Roman"/>
        </w:rPr>
        <w:t>s</w:t>
      </w:r>
      <w:r>
        <w:rPr>
          <w:rFonts w:ascii="Times New Roman" w:hAnsi="Times New Roman"/>
        </w:rPr>
        <w:t xml:space="preserve"> </w:t>
      </w:r>
      <w:r w:rsidR="00331671">
        <w:rPr>
          <w:rFonts w:ascii="Times New Roman" w:hAnsi="Times New Roman"/>
        </w:rPr>
        <w:t>E</w:t>
      </w:r>
      <w:r>
        <w:rPr>
          <w:rFonts w:ascii="Times New Roman" w:hAnsi="Times New Roman"/>
        </w:rPr>
        <w:t xml:space="preserve">ntity </w:t>
      </w:r>
      <w:r w:rsidR="00514F4E">
        <w:rPr>
          <w:rFonts w:ascii="Times New Roman" w:hAnsi="Times New Roman"/>
        </w:rPr>
        <w:t>may</w:t>
      </w:r>
      <w:r w:rsidR="0048658D">
        <w:rPr>
          <w:rFonts w:ascii="Times New Roman" w:hAnsi="Times New Roman"/>
        </w:rPr>
        <w:t xml:space="preserve"> be registered, a </w:t>
      </w:r>
      <w:r w:rsidR="00A0579D">
        <w:rPr>
          <w:rFonts w:ascii="Times New Roman" w:hAnsi="Times New Roman"/>
        </w:rPr>
        <w:t xml:space="preserve">Swaps Entity </w:t>
      </w:r>
      <w:r>
        <w:rPr>
          <w:rFonts w:ascii="Times New Roman" w:hAnsi="Times New Roman"/>
        </w:rPr>
        <w:t>might be required to prepare a written response to a collection of information in fewer than 30 days depending on the exigency of the situation.</w:t>
      </w:r>
    </w:p>
    <w:p w14:paraId="46C8E671" w14:textId="77777777"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submit more that an original and two copies of any document;</w:t>
      </w:r>
    </w:p>
    <w:p w14:paraId="243D52D8" w14:textId="77777777" w:rsidR="00446161" w:rsidRPr="00446161" w:rsidRDefault="00542854" w:rsidP="00446161">
      <w:pPr>
        <w:tabs>
          <w:tab w:val="left" w:pos="-720"/>
          <w:tab w:val="left" w:pos="0"/>
          <w:tab w:val="left" w:pos="720"/>
        </w:tabs>
        <w:spacing w:after="240"/>
        <w:ind w:left="1080"/>
        <w:rPr>
          <w:rFonts w:ascii="Times New Roman" w:hAnsi="Times New Roman"/>
        </w:rPr>
      </w:pPr>
      <w:r>
        <w:rPr>
          <w:rFonts w:ascii="Times New Roman" w:hAnsi="Times New Roman"/>
        </w:rPr>
        <w:t xml:space="preserve">Swaps </w:t>
      </w:r>
      <w:r w:rsidR="00295FD0">
        <w:rPr>
          <w:rFonts w:ascii="Times New Roman" w:hAnsi="Times New Roman"/>
        </w:rPr>
        <w:t>E</w:t>
      </w:r>
      <w:r>
        <w:rPr>
          <w:rFonts w:ascii="Times New Roman" w:hAnsi="Times New Roman"/>
        </w:rPr>
        <w:t>ntities</w:t>
      </w:r>
      <w:r w:rsidR="00446161">
        <w:rPr>
          <w:rFonts w:ascii="Times New Roman" w:hAnsi="Times New Roman"/>
        </w:rPr>
        <w:t xml:space="preserve"> are required to submit only single copies of</w:t>
      </w:r>
      <w:r w:rsidR="009635F1">
        <w:rPr>
          <w:rFonts w:ascii="Times New Roman" w:hAnsi="Times New Roman"/>
        </w:rPr>
        <w:t xml:space="preserve"> applications.</w:t>
      </w:r>
      <w:r w:rsidR="001A6F8A">
        <w:rPr>
          <w:rFonts w:ascii="Times New Roman" w:hAnsi="Times New Roman"/>
        </w:rPr>
        <w:t xml:space="preserve"> </w:t>
      </w:r>
    </w:p>
    <w:p w14:paraId="5FA0017B" w14:textId="77777777"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retain records other than health, medical, government contract, grant-in-aid, or tax records, for more than three years;</w:t>
      </w:r>
    </w:p>
    <w:p w14:paraId="1865C3CC" w14:textId="77777777" w:rsidR="00D66F44" w:rsidRDefault="007600AF" w:rsidP="00D66F44">
      <w:pPr>
        <w:tabs>
          <w:tab w:val="left" w:pos="-720"/>
          <w:tab w:val="left" w:pos="0"/>
          <w:tab w:val="left" w:pos="720"/>
        </w:tabs>
        <w:spacing w:after="240"/>
        <w:ind w:left="1080"/>
        <w:rPr>
          <w:rFonts w:ascii="Times New Roman" w:hAnsi="Times New Roman"/>
        </w:rPr>
      </w:pPr>
      <w:r>
        <w:rPr>
          <w:rFonts w:ascii="Times New Roman" w:hAnsi="Times New Roman"/>
        </w:rPr>
        <w:t>The</w:t>
      </w:r>
      <w:r w:rsidR="00295FD0">
        <w:rPr>
          <w:rFonts w:ascii="Times New Roman" w:hAnsi="Times New Roman"/>
        </w:rPr>
        <w:t xml:space="preserve"> Swaps Entity Registration Regulations</w:t>
      </w:r>
      <w:r>
        <w:rPr>
          <w:rFonts w:ascii="Times New Roman" w:hAnsi="Times New Roman"/>
        </w:rPr>
        <w:t xml:space="preserve"> do not </w:t>
      </w:r>
      <w:r w:rsidR="00BC520E">
        <w:rPr>
          <w:rFonts w:ascii="Times New Roman" w:hAnsi="Times New Roman"/>
        </w:rPr>
        <w:t xml:space="preserve">specifically </w:t>
      </w:r>
      <w:r>
        <w:rPr>
          <w:rFonts w:ascii="Times New Roman" w:hAnsi="Times New Roman"/>
        </w:rPr>
        <w:t>mandate retention</w:t>
      </w:r>
      <w:r w:rsidR="00BC520E">
        <w:rPr>
          <w:rFonts w:ascii="Times New Roman" w:hAnsi="Times New Roman"/>
        </w:rPr>
        <w:t xml:space="preserve"> of any registration records</w:t>
      </w:r>
      <w:r>
        <w:rPr>
          <w:rFonts w:ascii="Times New Roman" w:hAnsi="Times New Roman"/>
        </w:rPr>
        <w:t xml:space="preserve">. </w:t>
      </w:r>
      <w:r w:rsidR="00FA0F5C">
        <w:rPr>
          <w:rFonts w:ascii="Times New Roman" w:hAnsi="Times New Roman"/>
        </w:rPr>
        <w:t>However, Commission rule 1.31</w:t>
      </w:r>
      <w:r w:rsidR="00BC520E">
        <w:rPr>
          <w:rFonts w:ascii="Times New Roman" w:hAnsi="Times New Roman"/>
        </w:rPr>
        <w:t xml:space="preserve"> requires that:</w:t>
      </w:r>
    </w:p>
    <w:p w14:paraId="1315231B" w14:textId="21F271C1" w:rsidR="00BC520E" w:rsidRPr="00D66F44" w:rsidRDefault="00BC520E" w:rsidP="006D4D2F">
      <w:pPr>
        <w:tabs>
          <w:tab w:val="left" w:pos="-720"/>
          <w:tab w:val="left" w:pos="0"/>
          <w:tab w:val="left" w:pos="720"/>
        </w:tabs>
        <w:spacing w:after="240"/>
        <w:ind w:left="1440"/>
        <w:rPr>
          <w:rFonts w:ascii="Times New Roman" w:hAnsi="Times New Roman"/>
        </w:rPr>
      </w:pPr>
      <w:r w:rsidRPr="003E1569">
        <w:rPr>
          <w:rFonts w:ascii="Times New Roman" w:hAnsi="Times New Roman"/>
        </w:rPr>
        <w:t>All books and records required to be kept by the (Commodity Exchange) Act or by these regulations shall be kept for a period of five years from the date thereof and shall be readily accessible during the first 2 years of the 5-year period.  All such books and records shall be open to inspection by any representative of the Commission or the U.S. Department of Justice.</w:t>
      </w:r>
    </w:p>
    <w:p w14:paraId="2CF08CEA" w14:textId="77777777"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lastRenderedPageBreak/>
        <w:t xml:space="preserve">in connection with a statistical survey, that is not designed to produce valid and reliable results that can be generalized to the universe of study; </w:t>
      </w:r>
    </w:p>
    <w:p w14:paraId="235AB923" w14:textId="77777777" w:rsidR="0061595D" w:rsidRPr="0061595D" w:rsidRDefault="0061595D" w:rsidP="0061595D">
      <w:pPr>
        <w:tabs>
          <w:tab w:val="left" w:pos="-720"/>
          <w:tab w:val="left" w:pos="0"/>
          <w:tab w:val="left" w:pos="720"/>
        </w:tabs>
        <w:spacing w:after="240"/>
        <w:ind w:left="1080"/>
        <w:rPr>
          <w:rFonts w:ascii="Times New Roman" w:hAnsi="Times New Roman"/>
        </w:rPr>
      </w:pPr>
      <w:r>
        <w:rPr>
          <w:rFonts w:ascii="Times New Roman" w:hAnsi="Times New Roman"/>
        </w:rPr>
        <w:t>No statistical surveys are involved.</w:t>
      </w:r>
    </w:p>
    <w:p w14:paraId="6A7D3C2B" w14:textId="77777777"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the use of a statistical data classification that has not been reviewed and approved by OMB;</w:t>
      </w:r>
    </w:p>
    <w:p w14:paraId="617A3042" w14:textId="77777777" w:rsidR="0061595D" w:rsidRPr="0061595D" w:rsidRDefault="0061595D" w:rsidP="0061595D">
      <w:pPr>
        <w:tabs>
          <w:tab w:val="left" w:pos="-720"/>
          <w:tab w:val="left" w:pos="0"/>
          <w:tab w:val="left" w:pos="720"/>
        </w:tabs>
        <w:spacing w:after="240"/>
        <w:ind w:left="1080"/>
        <w:rPr>
          <w:rFonts w:ascii="Times New Roman" w:hAnsi="Times New Roman"/>
        </w:rPr>
      </w:pPr>
      <w:r>
        <w:rPr>
          <w:rFonts w:ascii="Times New Roman" w:hAnsi="Times New Roman"/>
        </w:rPr>
        <w:t>The requirements do not involve use of any statistical data classification.</w:t>
      </w:r>
    </w:p>
    <w:p w14:paraId="279A50BC" w14:textId="77777777" w:rsidR="00534B6B"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66180054" w14:textId="77777777" w:rsidR="00F51ACE" w:rsidRPr="00F51ACE" w:rsidRDefault="00F51ACE" w:rsidP="00F51ACE">
      <w:pPr>
        <w:tabs>
          <w:tab w:val="left" w:pos="-720"/>
          <w:tab w:val="left" w:pos="0"/>
          <w:tab w:val="left" w:pos="720"/>
        </w:tabs>
        <w:spacing w:after="240"/>
        <w:ind w:left="1080"/>
        <w:rPr>
          <w:rFonts w:ascii="Times New Roman" w:hAnsi="Times New Roman"/>
        </w:rPr>
      </w:pPr>
      <w:r>
        <w:rPr>
          <w:rFonts w:ascii="Times New Roman" w:hAnsi="Times New Roman"/>
        </w:rPr>
        <w:t>The requirements do not involve a pledge of confidentiality regarding the collection of data.</w:t>
      </w:r>
    </w:p>
    <w:p w14:paraId="41D19405" w14:textId="77777777" w:rsidR="00D320F0"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14:paraId="490AD747" w14:textId="5487D3C0" w:rsidR="00AB3685" w:rsidRPr="00D320F0" w:rsidRDefault="003C1649" w:rsidP="00AB3685">
      <w:pPr>
        <w:tabs>
          <w:tab w:val="left" w:pos="-720"/>
          <w:tab w:val="left" w:pos="0"/>
          <w:tab w:val="left" w:pos="720"/>
        </w:tabs>
        <w:spacing w:after="240"/>
        <w:ind w:left="1080"/>
        <w:rPr>
          <w:rFonts w:ascii="Times New Roman" w:hAnsi="Times New Roman"/>
          <w:b/>
        </w:rPr>
      </w:pPr>
      <w:r w:rsidRPr="003C1649">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p>
    <w:p w14:paraId="026D3AA8" w14:textId="21825E6D" w:rsidR="00534B6B" w:rsidRPr="0019376E" w:rsidRDefault="00534B6B" w:rsidP="00534B6B">
      <w:pPr>
        <w:tabs>
          <w:tab w:val="left" w:pos="-720"/>
          <w:tab w:val="left" w:pos="0"/>
        </w:tabs>
        <w:spacing w:after="240"/>
        <w:rPr>
          <w:rFonts w:ascii="Times New Roman" w:hAnsi="Times New Roman"/>
          <w:b/>
        </w:rPr>
      </w:pPr>
      <w:r w:rsidRPr="0019376E">
        <w:rPr>
          <w:rFonts w:ascii="Times New Roman" w:hAnsi="Times New Roman"/>
          <w:b/>
        </w:rPr>
        <w:t>8.</w:t>
      </w:r>
      <w:r w:rsidRPr="0019376E">
        <w:rPr>
          <w:rFonts w:ascii="Times New Roman" w:hAnsi="Times New Roman"/>
          <w:b/>
        </w:rPr>
        <w:tab/>
        <w:t xml:space="preserve">If applicable, provide a copy and identify the date and page number of publication in the </w:t>
      </w:r>
      <w:r w:rsidRPr="0019376E">
        <w:rPr>
          <w:rFonts w:ascii="Times New Roman" w:hAnsi="Times New Roman"/>
          <w:b/>
          <w:i/>
        </w:rPr>
        <w:t>Federal Register</w:t>
      </w:r>
      <w:r w:rsidRPr="0019376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3C1649" w:rsidRPr="003C1649">
        <w:rPr>
          <w:rFonts w:ascii="Times New Roman" w:hAnsi="Times New Roman"/>
          <w:b/>
        </w:rPr>
        <w:t xml:space="preserve">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85B3543" w14:textId="6D02B8CD" w:rsidR="00534B6B" w:rsidRPr="003E1569" w:rsidRDefault="00534B6B" w:rsidP="006D4D2F">
      <w:pPr>
        <w:pStyle w:val="TOC6"/>
        <w:tabs>
          <w:tab w:val="clear" w:pos="9360"/>
          <w:tab w:val="left" w:pos="-720"/>
          <w:tab w:val="left" w:pos="0"/>
        </w:tabs>
        <w:suppressAutoHyphens w:val="0"/>
        <w:spacing w:after="240"/>
        <w:ind w:left="0" w:firstLine="0"/>
        <w:rPr>
          <w:rFonts w:ascii="Times New Roman" w:hAnsi="Times New Roman"/>
        </w:rPr>
      </w:pPr>
      <w:r w:rsidRPr="003E1569">
        <w:rPr>
          <w:rFonts w:ascii="Times New Roman" w:hAnsi="Times New Roman"/>
          <w:szCs w:val="24"/>
        </w:rPr>
        <w:tab/>
      </w:r>
      <w:r w:rsidR="003C1649" w:rsidRPr="003C1649">
        <w:rPr>
          <w:rFonts w:ascii="Times New Roman" w:hAnsi="Times New Roman"/>
          <w:szCs w:val="24"/>
        </w:rPr>
        <w:t>In the Federal Register release</w:t>
      </w:r>
      <w:r w:rsidR="00AB3685">
        <w:rPr>
          <w:rFonts w:ascii="Times New Roman" w:hAnsi="Times New Roman"/>
          <w:szCs w:val="24"/>
        </w:rPr>
        <w:t xml:space="preserve"> for the Pro</w:t>
      </w:r>
      <w:r w:rsidR="00570015">
        <w:rPr>
          <w:rFonts w:ascii="Times New Roman" w:hAnsi="Times New Roman"/>
          <w:szCs w:val="24"/>
        </w:rPr>
        <w:t>p</w:t>
      </w:r>
      <w:r w:rsidR="00AB3685">
        <w:rPr>
          <w:rFonts w:ascii="Times New Roman" w:hAnsi="Times New Roman"/>
          <w:szCs w:val="24"/>
        </w:rPr>
        <w:t>osed Rule</w:t>
      </w:r>
      <w:r w:rsidR="003C1649" w:rsidRPr="003C1649">
        <w:rPr>
          <w:rFonts w:ascii="Times New Roman" w:hAnsi="Times New Roman"/>
          <w:szCs w:val="24"/>
        </w:rPr>
        <w:t>, the Commission seeks public comment on any aspect of the proposed collection of information.</w:t>
      </w:r>
      <w:r w:rsidRPr="00674558">
        <w:rPr>
          <w:rFonts w:ascii="Times New Roman" w:hAnsi="Times New Roman"/>
          <w:b/>
        </w:rPr>
        <w:tab/>
      </w:r>
    </w:p>
    <w:p w14:paraId="1E171F56" w14:textId="1C787973" w:rsidR="00534B6B" w:rsidRPr="00674558" w:rsidRDefault="00534B6B" w:rsidP="00534B6B">
      <w:pPr>
        <w:tabs>
          <w:tab w:val="left" w:pos="-720"/>
          <w:tab w:val="left" w:pos="0"/>
        </w:tabs>
        <w:spacing w:after="240"/>
        <w:rPr>
          <w:rFonts w:ascii="Times New Roman" w:hAnsi="Times New Roman"/>
          <w:b/>
        </w:rPr>
      </w:pPr>
      <w:r w:rsidRPr="00674558">
        <w:rPr>
          <w:rFonts w:ascii="Times New Roman" w:hAnsi="Times New Roman"/>
          <w:b/>
        </w:rPr>
        <w:t>9.</w:t>
      </w:r>
      <w:r w:rsidRPr="00674558">
        <w:rPr>
          <w:rFonts w:ascii="Times New Roman" w:hAnsi="Times New Roman"/>
          <w:b/>
        </w:rPr>
        <w:tab/>
        <w:t xml:space="preserve">Explain any decision to provide any payment or gift to respondents, other than </w:t>
      </w:r>
      <w:r w:rsidR="00FB2970" w:rsidRPr="00674558">
        <w:rPr>
          <w:rFonts w:ascii="Times New Roman" w:hAnsi="Times New Roman"/>
          <w:b/>
        </w:rPr>
        <w:t>re</w:t>
      </w:r>
      <w:r w:rsidR="00FB2970">
        <w:rPr>
          <w:rFonts w:ascii="Times New Roman" w:hAnsi="Times New Roman"/>
          <w:b/>
        </w:rPr>
        <w:t>mun</w:t>
      </w:r>
      <w:r w:rsidR="00FB2970" w:rsidRPr="00674558">
        <w:rPr>
          <w:rFonts w:ascii="Times New Roman" w:hAnsi="Times New Roman"/>
          <w:b/>
        </w:rPr>
        <w:t xml:space="preserve">eration </w:t>
      </w:r>
      <w:r w:rsidRPr="00674558">
        <w:rPr>
          <w:rFonts w:ascii="Times New Roman" w:hAnsi="Times New Roman"/>
          <w:b/>
        </w:rPr>
        <w:t>of contractors or grantees.</w:t>
      </w:r>
    </w:p>
    <w:p w14:paraId="7819F178" w14:textId="77777777"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r>
      <w:r w:rsidR="001278DD">
        <w:rPr>
          <w:rFonts w:ascii="Times New Roman" w:hAnsi="Times New Roman"/>
        </w:rPr>
        <w:t>This question d</w:t>
      </w:r>
      <w:r w:rsidRPr="003E1569">
        <w:rPr>
          <w:rFonts w:ascii="Times New Roman" w:hAnsi="Times New Roman"/>
        </w:rPr>
        <w:t>oes not apply.</w:t>
      </w:r>
    </w:p>
    <w:p w14:paraId="16517086" w14:textId="77777777" w:rsidR="00534B6B" w:rsidRPr="00674558" w:rsidRDefault="00534B6B" w:rsidP="00534B6B">
      <w:pPr>
        <w:tabs>
          <w:tab w:val="left" w:pos="-720"/>
        </w:tabs>
        <w:spacing w:after="240"/>
        <w:rPr>
          <w:rFonts w:ascii="Times New Roman" w:hAnsi="Times New Roman"/>
          <w:b/>
        </w:rPr>
      </w:pPr>
      <w:r w:rsidRPr="00674558">
        <w:rPr>
          <w:rFonts w:ascii="Times New Roman" w:hAnsi="Times New Roman"/>
          <w:b/>
        </w:rPr>
        <w:t>10.</w:t>
      </w:r>
      <w:r w:rsidRPr="00674558">
        <w:rPr>
          <w:rFonts w:ascii="Times New Roman" w:hAnsi="Times New Roman"/>
          <w:b/>
        </w:rPr>
        <w:tab/>
        <w:t>Describe any assurance of confidentiality provided to respondents and the basis for the assurance in statute, regulations, or agency policy.</w:t>
      </w:r>
    </w:p>
    <w:p w14:paraId="56877F53" w14:textId="7C1F8378" w:rsidR="00D7090B" w:rsidRDefault="00534B6B" w:rsidP="00534B6B">
      <w:pPr>
        <w:tabs>
          <w:tab w:val="left" w:pos="-720"/>
        </w:tabs>
        <w:spacing w:after="240"/>
        <w:rPr>
          <w:rFonts w:ascii="Times New Roman" w:hAnsi="Times New Roman"/>
        </w:rPr>
      </w:pPr>
      <w:r w:rsidRPr="003E1569">
        <w:rPr>
          <w:rFonts w:ascii="Times New Roman" w:hAnsi="Times New Roman"/>
        </w:rPr>
        <w:lastRenderedPageBreak/>
        <w:tab/>
      </w:r>
      <w:r w:rsidR="003C1649" w:rsidRPr="003C1649">
        <w:rPr>
          <w:rFonts w:ascii="Times New Roman" w:hAnsi="Times New Roman"/>
        </w:rPr>
        <w:t xml:space="preserve">The Commission does not provide respondents with an assurance of confidentiality beyond that provided by applicable law.  The Commission fully complies with section 8(a)(1) of the </w:t>
      </w:r>
      <w:r w:rsidR="00FB2970">
        <w:rPr>
          <w:rFonts w:ascii="Times New Roman" w:hAnsi="Times New Roman"/>
        </w:rPr>
        <w:t>CEA</w:t>
      </w:r>
      <w:r w:rsidR="003C1649" w:rsidRPr="003C1649">
        <w:rPr>
          <w:rFonts w:ascii="Times New Roman" w:hAnsi="Times New Roman"/>
        </w:rPr>
        <w:t xml:space="preserve">, which strictly prohibits the Commission, unless specifically authorized by the </w:t>
      </w:r>
      <w:r w:rsidR="00FB2970">
        <w:rPr>
          <w:rFonts w:ascii="Times New Roman" w:hAnsi="Times New Roman"/>
        </w:rPr>
        <w:t>CEA</w:t>
      </w:r>
      <w:r w:rsidR="003C1649" w:rsidRPr="003C1649">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14:paraId="08F06C58" w14:textId="272C6B32" w:rsidR="00534B6B" w:rsidRPr="00674558" w:rsidRDefault="00534B6B" w:rsidP="00534B6B">
      <w:pPr>
        <w:tabs>
          <w:tab w:val="left" w:pos="-720"/>
        </w:tabs>
        <w:spacing w:after="240"/>
        <w:rPr>
          <w:rFonts w:ascii="Times New Roman" w:hAnsi="Times New Roman"/>
          <w:b/>
        </w:rPr>
      </w:pPr>
      <w:r w:rsidRPr="00674558">
        <w:rPr>
          <w:rFonts w:ascii="Times New Roman" w:hAnsi="Times New Roman"/>
          <w:b/>
        </w:rPr>
        <w:t>11.</w:t>
      </w:r>
      <w:r w:rsidRPr="00674558">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A792FC8" w14:textId="77777777"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r>
      <w:r w:rsidR="00D673D1">
        <w:rPr>
          <w:rFonts w:ascii="Times New Roman" w:hAnsi="Times New Roman"/>
        </w:rPr>
        <w:t xml:space="preserve">This question does not apply.  </w:t>
      </w:r>
      <w:r w:rsidRPr="003E1569">
        <w:rPr>
          <w:rFonts w:ascii="Times New Roman" w:hAnsi="Times New Roman"/>
        </w:rPr>
        <w:t xml:space="preserve">None of the </w:t>
      </w:r>
      <w:r w:rsidR="00D673D1">
        <w:rPr>
          <w:rFonts w:ascii="Times New Roman" w:hAnsi="Times New Roman"/>
        </w:rPr>
        <w:t>required information is</w:t>
      </w:r>
      <w:r w:rsidRPr="003E1569">
        <w:rPr>
          <w:rFonts w:ascii="Times New Roman" w:hAnsi="Times New Roman"/>
        </w:rPr>
        <w:t xml:space="preserve"> sensitive, as that term is used in Question 11.</w:t>
      </w:r>
    </w:p>
    <w:p w14:paraId="662ACDE4" w14:textId="77777777" w:rsidR="00534B6B" w:rsidRPr="00674558" w:rsidRDefault="00534B6B" w:rsidP="00534B6B">
      <w:pPr>
        <w:tabs>
          <w:tab w:val="left" w:pos="-720"/>
          <w:tab w:val="left" w:pos="0"/>
        </w:tabs>
        <w:spacing w:after="240"/>
        <w:rPr>
          <w:rFonts w:ascii="Times New Roman" w:hAnsi="Times New Roman"/>
          <w:b/>
        </w:rPr>
      </w:pPr>
      <w:r w:rsidRPr="00674558">
        <w:rPr>
          <w:rFonts w:ascii="Times New Roman" w:hAnsi="Times New Roman"/>
          <w:b/>
        </w:rPr>
        <w:t>12.</w:t>
      </w:r>
      <w:r w:rsidRPr="00674558">
        <w:rPr>
          <w:rFonts w:ascii="Times New Roman" w:hAnsi="Times New Roman"/>
          <w:b/>
        </w:rPr>
        <w:tab/>
        <w:t>Provide estimates of the hour burden of the collection of information.  The Statement should:</w:t>
      </w:r>
    </w:p>
    <w:p w14:paraId="1329938D" w14:textId="77777777"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D0E3508" w14:textId="77777777"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If the request for approval covers more than one form, provide separate hour burden estimates for each form and aggregate the hour burdens in Item 13 of OMB Form 83-I.</w:t>
      </w:r>
    </w:p>
    <w:p w14:paraId="65153F35" w14:textId="60038203"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 xml:space="preserve">Provide estimates of annualized cost to respondents for the hours burdens for collections of information, identifying and using appropriate wage rate categories.  The cost of contracting </w:t>
      </w:r>
      <w:r w:rsidR="007A150E" w:rsidRPr="00674558">
        <w:rPr>
          <w:rFonts w:ascii="Times New Roman" w:hAnsi="Times New Roman"/>
          <w:b/>
        </w:rPr>
        <w:t>ou</w:t>
      </w:r>
      <w:r w:rsidR="007A150E">
        <w:rPr>
          <w:rFonts w:ascii="Times New Roman" w:hAnsi="Times New Roman"/>
          <w:b/>
        </w:rPr>
        <w:t>t</w:t>
      </w:r>
      <w:r w:rsidR="007A150E" w:rsidRPr="00674558">
        <w:rPr>
          <w:rFonts w:ascii="Times New Roman" w:hAnsi="Times New Roman"/>
          <w:b/>
        </w:rPr>
        <w:t xml:space="preserve"> </w:t>
      </w:r>
      <w:r w:rsidRPr="00674558">
        <w:rPr>
          <w:rFonts w:ascii="Times New Roman" w:hAnsi="Times New Roman"/>
          <w:b/>
        </w:rPr>
        <w:t>or paying outside parties for information collection activities should not be included here.  Instead, this cost should be included in Item 13.</w:t>
      </w:r>
    </w:p>
    <w:p w14:paraId="7B26C325" w14:textId="609DA368"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t xml:space="preserve">See Attachment A.  </w:t>
      </w:r>
      <w:r w:rsidR="00275650" w:rsidRPr="00275650">
        <w:rPr>
          <w:rFonts w:ascii="Times New Roman" w:hAnsi="Times New Roman"/>
        </w:rPr>
        <w:t xml:space="preserve">The Commission estimates that if the Proposed Rule is adopted, 14 unregistered non-U.S. persons may be classified as “Foreign Consolidated Subsidiaries” and required to register as new SDs because their swap dealing transactions would be in excess of the SD de minimis threshold.  </w:t>
      </w:r>
      <w:r w:rsidRPr="003E1569">
        <w:rPr>
          <w:rFonts w:ascii="Times New Roman" w:hAnsi="Times New Roman"/>
        </w:rPr>
        <w:t xml:space="preserve">The Commission </w:t>
      </w:r>
      <w:r w:rsidR="0038789F">
        <w:rPr>
          <w:rFonts w:ascii="Times New Roman" w:hAnsi="Times New Roman"/>
        </w:rPr>
        <w:t>therefore</w:t>
      </w:r>
      <w:r w:rsidR="008E13EF">
        <w:rPr>
          <w:rFonts w:ascii="Times New Roman" w:hAnsi="Times New Roman"/>
        </w:rPr>
        <w:t xml:space="preserve"> </w:t>
      </w:r>
      <w:r w:rsidRPr="003E1569">
        <w:rPr>
          <w:rFonts w:ascii="Times New Roman" w:hAnsi="Times New Roman"/>
        </w:rPr>
        <w:t xml:space="preserve">estimates that </w:t>
      </w:r>
      <w:r w:rsidR="00F3672F">
        <w:rPr>
          <w:rFonts w:ascii="Times New Roman" w:hAnsi="Times New Roman"/>
        </w:rPr>
        <w:t xml:space="preserve">an aggregate of </w:t>
      </w:r>
      <w:r w:rsidR="000E2A77">
        <w:rPr>
          <w:rFonts w:ascii="Times New Roman" w:hAnsi="Times New Roman"/>
        </w:rPr>
        <w:t>139</w:t>
      </w:r>
      <w:r w:rsidR="00275650">
        <w:rPr>
          <w:rFonts w:ascii="Times New Roman" w:hAnsi="Times New Roman"/>
        </w:rPr>
        <w:t xml:space="preserve"> </w:t>
      </w:r>
      <w:r w:rsidRPr="003E1569">
        <w:rPr>
          <w:rFonts w:ascii="Times New Roman" w:hAnsi="Times New Roman"/>
        </w:rPr>
        <w:t xml:space="preserve">respondents </w:t>
      </w:r>
      <w:r w:rsidR="00275650">
        <w:rPr>
          <w:rFonts w:ascii="Times New Roman" w:hAnsi="Times New Roman"/>
        </w:rPr>
        <w:t xml:space="preserve">(including the estimated 14 additional registrants) </w:t>
      </w:r>
      <w:r w:rsidRPr="003E1569">
        <w:rPr>
          <w:rFonts w:ascii="Times New Roman" w:hAnsi="Times New Roman"/>
        </w:rPr>
        <w:t xml:space="preserve">will file a total </w:t>
      </w:r>
      <w:r w:rsidRPr="006D4D2F">
        <w:rPr>
          <w:rFonts w:ascii="Times New Roman" w:hAnsi="Times New Roman"/>
        </w:rPr>
        <w:t xml:space="preserve">of </w:t>
      </w:r>
      <w:r w:rsidR="00FB2970" w:rsidRPr="006D4D2F">
        <w:rPr>
          <w:rFonts w:ascii="Times New Roman" w:hAnsi="Times New Roman"/>
        </w:rPr>
        <w:t xml:space="preserve">856 </w:t>
      </w:r>
      <w:r w:rsidR="00653915" w:rsidRPr="006D4D2F">
        <w:rPr>
          <w:rFonts w:ascii="Times New Roman" w:hAnsi="Times New Roman"/>
        </w:rPr>
        <w:t>responses</w:t>
      </w:r>
      <w:r w:rsidR="003C1649">
        <w:rPr>
          <w:rFonts w:ascii="Times New Roman" w:hAnsi="Times New Roman"/>
        </w:rPr>
        <w:t xml:space="preserve"> </w:t>
      </w:r>
      <w:r w:rsidR="003C1649">
        <w:rPr>
          <w:rFonts w:ascii="Times New Roman" w:hAnsi="Times New Roman"/>
        </w:rPr>
        <w:lastRenderedPageBreak/>
        <w:t>for the existing registration requirements</w:t>
      </w:r>
      <w:r w:rsidR="0038789F">
        <w:rPr>
          <w:rFonts w:ascii="Times New Roman" w:hAnsi="Times New Roman"/>
        </w:rPr>
        <w:t xml:space="preserve"> for an aggregate of 699.4 burden hours</w:t>
      </w:r>
      <w:r w:rsidRPr="003E1569">
        <w:rPr>
          <w:rFonts w:ascii="Times New Roman" w:hAnsi="Times New Roman"/>
        </w:rPr>
        <w:t xml:space="preserve">.  The estimated average number of hours per response is </w:t>
      </w:r>
      <w:r w:rsidR="00566A28">
        <w:rPr>
          <w:rFonts w:ascii="Times New Roman" w:hAnsi="Times New Roman"/>
        </w:rPr>
        <w:t>1.0</w:t>
      </w:r>
      <w:r w:rsidR="009A585D" w:rsidRPr="009A585D">
        <w:rPr>
          <w:rFonts w:ascii="Times New Roman" w:hAnsi="Times New Roman"/>
        </w:rPr>
        <w:t xml:space="preserve"> hour per response for the Form 7-R; 0.</w:t>
      </w:r>
      <w:r w:rsidR="00566A28">
        <w:rPr>
          <w:rFonts w:ascii="Times New Roman" w:hAnsi="Times New Roman"/>
        </w:rPr>
        <w:t>8</w:t>
      </w:r>
      <w:r w:rsidR="009A585D" w:rsidRPr="009A585D">
        <w:rPr>
          <w:rFonts w:ascii="Times New Roman" w:hAnsi="Times New Roman"/>
        </w:rPr>
        <w:t xml:space="preserve"> hours per response for the Form 8-R; </w:t>
      </w:r>
      <w:r w:rsidR="00566A28">
        <w:rPr>
          <w:rFonts w:ascii="Times New Roman" w:hAnsi="Times New Roman"/>
        </w:rPr>
        <w:t>0.1 hours</w:t>
      </w:r>
      <w:r w:rsidR="009A585D" w:rsidRPr="009A585D">
        <w:rPr>
          <w:rFonts w:ascii="Times New Roman" w:hAnsi="Times New Roman"/>
        </w:rPr>
        <w:t xml:space="preserve"> per response for the Form 7-W; </w:t>
      </w:r>
      <w:r w:rsidR="00566A28">
        <w:rPr>
          <w:rFonts w:ascii="Times New Roman" w:hAnsi="Times New Roman"/>
        </w:rPr>
        <w:t>0.2 hours</w:t>
      </w:r>
      <w:r w:rsidR="009A585D" w:rsidRPr="009A585D">
        <w:rPr>
          <w:rFonts w:ascii="Times New Roman" w:hAnsi="Times New Roman"/>
        </w:rPr>
        <w:t xml:space="preserve"> per response for the Form 8-T</w:t>
      </w:r>
      <w:r w:rsidR="007600AF">
        <w:rPr>
          <w:rFonts w:ascii="Times New Roman" w:hAnsi="Times New Roman"/>
        </w:rPr>
        <w:t xml:space="preserve">; and </w:t>
      </w:r>
      <w:r w:rsidR="00566A28">
        <w:rPr>
          <w:rFonts w:ascii="Times New Roman" w:hAnsi="Times New Roman"/>
        </w:rPr>
        <w:t>0.1 hours</w:t>
      </w:r>
      <w:r w:rsidR="007600AF">
        <w:rPr>
          <w:rFonts w:ascii="Times New Roman" w:hAnsi="Times New Roman"/>
        </w:rPr>
        <w:t xml:space="preserve"> per response for the Form 3-R</w:t>
      </w:r>
      <w:r w:rsidR="00ED7EF8">
        <w:rPr>
          <w:rFonts w:ascii="Times New Roman" w:hAnsi="Times New Roman"/>
        </w:rPr>
        <w:t>.</w:t>
      </w:r>
      <w:r w:rsidR="00DF3E28">
        <w:rPr>
          <w:rStyle w:val="FootnoteReference"/>
          <w:rFonts w:ascii="Times New Roman" w:hAnsi="Times New Roman"/>
        </w:rPr>
        <w:footnoteReference w:id="6"/>
      </w:r>
      <w:r w:rsidR="009A585D">
        <w:rPr>
          <w:i/>
        </w:rPr>
        <w:t xml:space="preserve">  </w:t>
      </w:r>
      <w:r w:rsidRPr="003E1569">
        <w:rPr>
          <w:rFonts w:ascii="Times New Roman" w:hAnsi="Times New Roman"/>
        </w:rPr>
        <w:t>The cost of the hourly burden is estimated to be</w:t>
      </w:r>
      <w:r>
        <w:rPr>
          <w:rFonts w:ascii="Times New Roman" w:hAnsi="Times New Roman"/>
        </w:rPr>
        <w:t xml:space="preserve"> </w:t>
      </w:r>
      <w:r w:rsidR="00D7090B">
        <w:rPr>
          <w:rFonts w:ascii="Times New Roman" w:hAnsi="Times New Roman"/>
        </w:rPr>
        <w:t>$160</w:t>
      </w:r>
      <w:r>
        <w:rPr>
          <w:rFonts w:ascii="Times New Roman" w:hAnsi="Times New Roman"/>
        </w:rPr>
        <w:t xml:space="preserve"> per hour.</w:t>
      </w:r>
      <w:r w:rsidR="00D7090B">
        <w:rPr>
          <w:rStyle w:val="FootnoteReference"/>
          <w:rFonts w:ascii="Times New Roman" w:hAnsi="Times New Roman"/>
        </w:rPr>
        <w:footnoteReference w:id="7"/>
      </w:r>
      <w:r w:rsidR="004D1C1A">
        <w:rPr>
          <w:rFonts w:ascii="Times New Roman" w:hAnsi="Times New Roman"/>
        </w:rPr>
        <w:t xml:space="preserve"> </w:t>
      </w:r>
    </w:p>
    <w:p w14:paraId="19195C0D" w14:textId="77777777" w:rsidR="00534B6B" w:rsidRPr="00674558" w:rsidRDefault="00534B6B" w:rsidP="00534B6B">
      <w:pPr>
        <w:keepNext/>
        <w:tabs>
          <w:tab w:val="left" w:pos="-720"/>
          <w:tab w:val="left" w:pos="0"/>
        </w:tabs>
        <w:spacing w:after="240"/>
        <w:rPr>
          <w:rFonts w:ascii="Times New Roman" w:hAnsi="Times New Roman"/>
          <w:b/>
        </w:rPr>
      </w:pPr>
      <w:r w:rsidRPr="00674558">
        <w:rPr>
          <w:rFonts w:ascii="Times New Roman" w:hAnsi="Times New Roman"/>
          <w:b/>
        </w:rPr>
        <w:t>13.</w:t>
      </w:r>
      <w:r w:rsidRPr="00674558">
        <w:rPr>
          <w:rFonts w:ascii="Times New Roman" w:hAnsi="Times New Roman"/>
          <w:b/>
        </w:rPr>
        <w:tab/>
        <w:t>Provide an estimate of the total annual cost burden to respondents or recordkeepers resulting fr</w:t>
      </w:r>
      <w:r w:rsidR="00295FD0">
        <w:rPr>
          <w:rFonts w:ascii="Times New Roman" w:hAnsi="Times New Roman"/>
          <w:b/>
        </w:rPr>
        <w:t>o</w:t>
      </w:r>
      <w:r w:rsidRPr="00674558">
        <w:rPr>
          <w:rFonts w:ascii="Times New Roman" w:hAnsi="Times New Roman"/>
          <w:b/>
        </w:rPr>
        <w:t>m the collection of information.  (Do not include the cost of any hour burden shown in Items 12 and 14).</w:t>
      </w:r>
    </w:p>
    <w:p w14:paraId="7CED3111" w14:textId="77777777"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2804AEB" w14:textId="77777777"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7EC6E8DE" w14:textId="77777777" w:rsidR="00534B6B" w:rsidRPr="00674558" w:rsidRDefault="00534B6B" w:rsidP="00534B6B">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FE08223" w14:textId="77777777"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r>
      <w:r w:rsidR="00276B3D">
        <w:rPr>
          <w:rFonts w:ascii="Times New Roman" w:hAnsi="Times New Roman"/>
        </w:rPr>
        <w:t>Total costs are included in the answer to question 12.  No new start-up and maintenance costs are involved.</w:t>
      </w:r>
    </w:p>
    <w:p w14:paraId="52ED4B5C" w14:textId="77777777" w:rsidR="00534B6B" w:rsidRPr="00674558" w:rsidRDefault="00534B6B" w:rsidP="00534B6B">
      <w:pPr>
        <w:tabs>
          <w:tab w:val="left" w:pos="-720"/>
        </w:tabs>
        <w:spacing w:after="240"/>
        <w:rPr>
          <w:rFonts w:ascii="Times New Roman" w:hAnsi="Times New Roman"/>
          <w:b/>
        </w:rPr>
      </w:pPr>
      <w:r w:rsidRPr="00674558">
        <w:rPr>
          <w:rFonts w:ascii="Times New Roman" w:hAnsi="Times New Roman"/>
          <w:b/>
        </w:rPr>
        <w:t>14.</w:t>
      </w:r>
      <w:r w:rsidRPr="00674558">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7470EFAC" w14:textId="77777777" w:rsidR="00534B6B" w:rsidRPr="00B23301" w:rsidRDefault="00534B6B" w:rsidP="00534B6B">
      <w:pPr>
        <w:tabs>
          <w:tab w:val="left" w:pos="-720"/>
        </w:tabs>
        <w:spacing w:after="240"/>
        <w:rPr>
          <w:rFonts w:ascii="Times New Roman" w:hAnsi="Times New Roman"/>
        </w:rPr>
      </w:pPr>
      <w:r w:rsidRPr="003E1569">
        <w:rPr>
          <w:rFonts w:ascii="Times New Roman" w:hAnsi="Times New Roman"/>
        </w:rPr>
        <w:tab/>
      </w:r>
      <w:r w:rsidR="008D4548">
        <w:rPr>
          <w:rFonts w:ascii="Times New Roman" w:hAnsi="Times New Roman"/>
        </w:rPr>
        <w:t>There are no new a</w:t>
      </w:r>
      <w:r w:rsidR="00B23301">
        <w:rPr>
          <w:rFonts w:ascii="Times New Roman" w:hAnsi="Times New Roman"/>
        </w:rPr>
        <w:t xml:space="preserve">nnualized costs to the Commission </w:t>
      </w:r>
      <w:r w:rsidR="00FA07DA">
        <w:rPr>
          <w:rFonts w:ascii="Times New Roman" w:hAnsi="Times New Roman"/>
        </w:rPr>
        <w:t xml:space="preserve">that will result </w:t>
      </w:r>
      <w:r w:rsidR="008D4548">
        <w:rPr>
          <w:rFonts w:ascii="Times New Roman" w:hAnsi="Times New Roman"/>
        </w:rPr>
        <w:t>in connection with the adoption of the registration process for SDs and MSPs.</w:t>
      </w:r>
      <w:r w:rsidR="007456F6" w:rsidRPr="00B23301">
        <w:rPr>
          <w:rStyle w:val="FootnoteReference"/>
          <w:rFonts w:ascii="Times New Roman" w:hAnsi="Times New Roman"/>
        </w:rPr>
        <w:footnoteReference w:id="8"/>
      </w:r>
      <w:r w:rsidR="00B23301" w:rsidRPr="00B23301">
        <w:rPr>
          <w:rFonts w:ascii="Times New Roman" w:hAnsi="Times New Roman"/>
        </w:rPr>
        <w:t xml:space="preserve"> </w:t>
      </w:r>
      <w:r w:rsidR="00B23301">
        <w:rPr>
          <w:rFonts w:ascii="Times New Roman" w:hAnsi="Times New Roman"/>
        </w:rPr>
        <w:t xml:space="preserve"> </w:t>
      </w:r>
    </w:p>
    <w:p w14:paraId="2BA77EDD" w14:textId="77777777" w:rsidR="00534B6B" w:rsidRPr="00674558" w:rsidRDefault="00534B6B" w:rsidP="00534B6B">
      <w:pPr>
        <w:tabs>
          <w:tab w:val="left" w:pos="-720"/>
          <w:tab w:val="left" w:pos="0"/>
        </w:tabs>
        <w:spacing w:after="240"/>
        <w:rPr>
          <w:rFonts w:ascii="Times New Roman" w:hAnsi="Times New Roman"/>
          <w:b/>
        </w:rPr>
      </w:pPr>
      <w:r w:rsidRPr="00674558">
        <w:rPr>
          <w:rFonts w:ascii="Times New Roman" w:hAnsi="Times New Roman"/>
          <w:b/>
        </w:rPr>
        <w:t>15.</w:t>
      </w:r>
      <w:r w:rsidRPr="00674558">
        <w:rPr>
          <w:rFonts w:ascii="Times New Roman" w:hAnsi="Times New Roman"/>
          <w:b/>
        </w:rPr>
        <w:tab/>
        <w:t>Explain the reasons for any program changes or adjustments reported in Items 13 or 14 of the OMB Form 83-I.</w:t>
      </w:r>
    </w:p>
    <w:p w14:paraId="53BAB4FB" w14:textId="1A92B60F"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r>
      <w:r w:rsidR="00DE7EBA" w:rsidRPr="00DE7EBA">
        <w:rPr>
          <w:rFonts w:ascii="Times New Roman" w:hAnsi="Times New Roman"/>
        </w:rPr>
        <w:t xml:space="preserve">The Proposed Rule provides for the cross-border application of the SD and MSP registration thresholds and the Commission’s external business conduct standards.  The Commission estimates that if the Proposed Rule is adopted, 14 unregistered non-U.S. persons may be classified as </w:t>
      </w:r>
      <w:r w:rsidR="00570015">
        <w:rPr>
          <w:rFonts w:ascii="Times New Roman" w:hAnsi="Times New Roman"/>
        </w:rPr>
        <w:t xml:space="preserve"> “Foreign Consolidated Subsidiaries”</w:t>
      </w:r>
      <w:r w:rsidR="00DE7EBA" w:rsidRPr="00DE7EBA">
        <w:rPr>
          <w:rFonts w:ascii="Times New Roman" w:hAnsi="Times New Roman"/>
        </w:rPr>
        <w:t xml:space="preserve"> and required to register as new SDs because their swap dealing transactions would be in excess of the SD de minimis threshold.  </w:t>
      </w:r>
      <w:r w:rsidR="00405023">
        <w:rPr>
          <w:rFonts w:ascii="Times New Roman" w:hAnsi="Times New Roman"/>
        </w:rPr>
        <w:t xml:space="preserve">  </w:t>
      </w:r>
    </w:p>
    <w:p w14:paraId="3CBDF313" w14:textId="77777777" w:rsidR="00534B6B" w:rsidRPr="00674558" w:rsidRDefault="00534B6B" w:rsidP="00534B6B">
      <w:pPr>
        <w:tabs>
          <w:tab w:val="left" w:pos="-720"/>
          <w:tab w:val="left" w:pos="0"/>
        </w:tabs>
        <w:spacing w:after="240"/>
        <w:rPr>
          <w:rFonts w:ascii="Times New Roman" w:hAnsi="Times New Roman"/>
          <w:b/>
        </w:rPr>
      </w:pPr>
      <w:r w:rsidRPr="00674558">
        <w:rPr>
          <w:rFonts w:ascii="Times New Roman" w:hAnsi="Times New Roman"/>
          <w:b/>
        </w:rPr>
        <w:t>16.</w:t>
      </w:r>
      <w:r w:rsidRPr="00674558">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5E22FD56" w14:textId="77777777"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t>This question does not apply.</w:t>
      </w:r>
    </w:p>
    <w:p w14:paraId="7F5DB97C" w14:textId="77777777" w:rsidR="00534B6B" w:rsidRPr="00674558" w:rsidRDefault="00534B6B" w:rsidP="00534B6B">
      <w:pPr>
        <w:tabs>
          <w:tab w:val="left" w:pos="-720"/>
          <w:tab w:val="left" w:pos="0"/>
        </w:tabs>
        <w:spacing w:after="240"/>
        <w:rPr>
          <w:rFonts w:ascii="Times New Roman" w:hAnsi="Times New Roman"/>
          <w:b/>
        </w:rPr>
      </w:pPr>
      <w:r w:rsidRPr="00674558">
        <w:rPr>
          <w:rFonts w:ascii="Times New Roman" w:hAnsi="Times New Roman"/>
          <w:b/>
        </w:rPr>
        <w:t>17.</w:t>
      </w:r>
      <w:r w:rsidRPr="00674558">
        <w:rPr>
          <w:rFonts w:ascii="Times New Roman" w:hAnsi="Times New Roman"/>
          <w:b/>
        </w:rPr>
        <w:tab/>
        <w:t>If seeking approval to not display the expiration date for OMB approval of the information collection, explain the reasons that display would be inappropriate.</w:t>
      </w:r>
    </w:p>
    <w:p w14:paraId="49A1C3CE" w14:textId="77777777" w:rsidR="00534B6B" w:rsidRPr="003E1569" w:rsidRDefault="00534B6B" w:rsidP="00534B6B">
      <w:pPr>
        <w:tabs>
          <w:tab w:val="left" w:pos="-720"/>
        </w:tabs>
        <w:spacing w:after="240"/>
        <w:rPr>
          <w:rFonts w:ascii="Times New Roman" w:hAnsi="Times New Roman"/>
        </w:rPr>
      </w:pPr>
      <w:r w:rsidRPr="003E1569">
        <w:rPr>
          <w:rFonts w:ascii="Times New Roman" w:hAnsi="Times New Roman"/>
        </w:rPr>
        <w:tab/>
        <w:t>This question does not apply.</w:t>
      </w:r>
    </w:p>
    <w:p w14:paraId="5DE1961E" w14:textId="77777777" w:rsidR="00534B6B" w:rsidRPr="00674558" w:rsidRDefault="00534B6B" w:rsidP="00534B6B">
      <w:pPr>
        <w:keepNext/>
        <w:tabs>
          <w:tab w:val="left" w:pos="-720"/>
          <w:tab w:val="left" w:pos="0"/>
        </w:tabs>
        <w:spacing w:after="240"/>
        <w:rPr>
          <w:rFonts w:ascii="Times New Roman" w:hAnsi="Times New Roman"/>
          <w:b/>
        </w:rPr>
      </w:pPr>
      <w:r w:rsidRPr="00674558">
        <w:rPr>
          <w:rFonts w:ascii="Times New Roman" w:hAnsi="Times New Roman"/>
          <w:b/>
        </w:rPr>
        <w:lastRenderedPageBreak/>
        <w:t>18.</w:t>
      </w:r>
      <w:r w:rsidRPr="00674558">
        <w:rPr>
          <w:rFonts w:ascii="Times New Roman" w:hAnsi="Times New Roman"/>
          <w:b/>
        </w:rPr>
        <w:tab/>
        <w:t>Explain each exception to the certification statement identified in Item 19, "Certification for Paperwork Reduction Act Submissions," of OMB Form 83-I.</w:t>
      </w:r>
    </w:p>
    <w:p w14:paraId="3248E666" w14:textId="77777777" w:rsidR="00B26DF3" w:rsidRDefault="00534B6B" w:rsidP="00534B6B">
      <w:pPr>
        <w:tabs>
          <w:tab w:val="left" w:pos="-720"/>
        </w:tabs>
        <w:spacing w:after="240"/>
        <w:rPr>
          <w:rFonts w:ascii="Times New Roman" w:hAnsi="Times New Roman"/>
        </w:rPr>
      </w:pPr>
      <w:r w:rsidRPr="003E1569">
        <w:rPr>
          <w:rFonts w:ascii="Times New Roman" w:hAnsi="Times New Roman"/>
        </w:rPr>
        <w:tab/>
        <w:t>This question does not apply.</w:t>
      </w:r>
    </w:p>
    <w:p w14:paraId="31BBA74E" w14:textId="77777777" w:rsidR="00B26DF3" w:rsidRPr="0099405B" w:rsidRDefault="00B26DF3" w:rsidP="0099405B">
      <w:pPr>
        <w:tabs>
          <w:tab w:val="left" w:pos="-720"/>
        </w:tabs>
        <w:spacing w:after="120"/>
        <w:jc w:val="center"/>
        <w:rPr>
          <w:rFonts w:ascii="Times New Roman" w:hAnsi="Times New Roman"/>
          <w:b/>
        </w:rPr>
      </w:pPr>
      <w:r>
        <w:rPr>
          <w:rFonts w:ascii="Times New Roman" w:hAnsi="Times New Roman"/>
        </w:rPr>
        <w:br w:type="page"/>
      </w:r>
      <w:r w:rsidRPr="0099405B">
        <w:rPr>
          <w:rFonts w:ascii="Times New Roman" w:hAnsi="Times New Roman"/>
          <w:b/>
        </w:rPr>
        <w:lastRenderedPageBreak/>
        <w:t>Attachment A</w:t>
      </w:r>
    </w:p>
    <w:p w14:paraId="070E236C" w14:textId="77777777" w:rsidR="00B26DF3" w:rsidRPr="0043756C" w:rsidRDefault="00F3672F" w:rsidP="00B26DF3">
      <w:pPr>
        <w:pStyle w:val="Title"/>
        <w:spacing w:after="240"/>
        <w:rPr>
          <w:sz w:val="24"/>
          <w:szCs w:val="24"/>
        </w:rPr>
      </w:pPr>
      <w:r>
        <w:rPr>
          <w:sz w:val="24"/>
          <w:szCs w:val="24"/>
        </w:rPr>
        <w:t>Section 731</w:t>
      </w:r>
      <w:r w:rsidR="00EF1ADC">
        <w:rPr>
          <w:sz w:val="24"/>
          <w:szCs w:val="24"/>
        </w:rPr>
        <w:t xml:space="preserve"> of the Dodd-Frank Act</w:t>
      </w:r>
      <w:r w:rsidR="00B26DF3" w:rsidRPr="0043756C">
        <w:rPr>
          <w:sz w:val="24"/>
          <w:szCs w:val="24"/>
        </w:rPr>
        <w:t xml:space="preserve"> – Rules Pertaining to </w:t>
      </w:r>
      <w:r w:rsidR="00B26DF3">
        <w:rPr>
          <w:sz w:val="24"/>
          <w:szCs w:val="24"/>
        </w:rPr>
        <w:t>Registration Requirements Applicable to</w:t>
      </w:r>
      <w:r w:rsidR="00B26DF3">
        <w:rPr>
          <w:sz w:val="24"/>
          <w:szCs w:val="24"/>
        </w:rPr>
        <w:br/>
        <w:t>Swap Dealers and Major Swap Participants</w:t>
      </w:r>
    </w:p>
    <w:p w14:paraId="44718FAB" w14:textId="77777777" w:rsidR="00B26DF3" w:rsidRDefault="00B26DF3" w:rsidP="0099405B">
      <w:pPr>
        <w:pStyle w:val="Title"/>
        <w:spacing w:after="240"/>
        <w:rPr>
          <w:sz w:val="24"/>
          <w:szCs w:val="24"/>
        </w:rPr>
      </w:pPr>
      <w:r w:rsidRPr="0043756C">
        <w:rPr>
          <w:sz w:val="24"/>
          <w:szCs w:val="24"/>
        </w:rPr>
        <w:t>OMB Collection File 3038-</w:t>
      </w:r>
      <w:r w:rsidR="007771AE">
        <w:rPr>
          <w:sz w:val="24"/>
          <w:szCs w:val="24"/>
        </w:rPr>
        <w:t>0072</w:t>
      </w:r>
    </w:p>
    <w:p w14:paraId="6B8B70FB" w14:textId="15298648" w:rsidR="007771AE" w:rsidRDefault="0073517E" w:rsidP="007F39B7">
      <w:pPr>
        <w:ind w:firstLine="720"/>
        <w:rPr>
          <w:rFonts w:ascii="Times New Roman" w:hAnsi="Times New Roman"/>
          <w:sz w:val="22"/>
          <w:szCs w:val="22"/>
        </w:rPr>
      </w:pPr>
      <w:r>
        <w:rPr>
          <w:rFonts w:ascii="Times New Roman" w:hAnsi="Times New Roman"/>
          <w:sz w:val="22"/>
          <w:szCs w:val="22"/>
        </w:rPr>
        <w:t>Currently, t</w:t>
      </w:r>
      <w:r w:rsidR="007771AE">
        <w:rPr>
          <w:rFonts w:ascii="Times New Roman" w:hAnsi="Times New Roman"/>
          <w:sz w:val="22"/>
          <w:szCs w:val="22"/>
        </w:rPr>
        <w:t xml:space="preserve">he </w:t>
      </w:r>
      <w:r>
        <w:rPr>
          <w:rFonts w:ascii="Times New Roman" w:hAnsi="Times New Roman"/>
          <w:sz w:val="22"/>
          <w:szCs w:val="22"/>
        </w:rPr>
        <w:t>existing</w:t>
      </w:r>
      <w:r w:rsidR="00AA138C">
        <w:rPr>
          <w:rFonts w:ascii="Times New Roman" w:hAnsi="Times New Roman"/>
          <w:sz w:val="22"/>
          <w:szCs w:val="22"/>
        </w:rPr>
        <w:t xml:space="preserve"> estimates are </w:t>
      </w:r>
      <w:r w:rsidR="007771AE">
        <w:rPr>
          <w:rFonts w:ascii="Times New Roman" w:hAnsi="Times New Roman"/>
          <w:sz w:val="22"/>
          <w:szCs w:val="22"/>
        </w:rPr>
        <w:t>based upon 1</w:t>
      </w:r>
      <w:r w:rsidR="00AA138C">
        <w:rPr>
          <w:rFonts w:ascii="Times New Roman" w:hAnsi="Times New Roman"/>
          <w:sz w:val="22"/>
          <w:szCs w:val="22"/>
        </w:rPr>
        <w:t>25 Respondents/Affected Entities</w:t>
      </w:r>
      <w:r w:rsidR="003916EB">
        <w:rPr>
          <w:rFonts w:ascii="Times New Roman" w:hAnsi="Times New Roman"/>
          <w:sz w:val="22"/>
          <w:szCs w:val="22"/>
        </w:rPr>
        <w:t xml:space="preserve"> and the burden hour estimates for the registration forms</w:t>
      </w:r>
      <w:r w:rsidR="007771AE">
        <w:rPr>
          <w:rFonts w:ascii="Times New Roman" w:hAnsi="Times New Roman"/>
          <w:sz w:val="22"/>
          <w:szCs w:val="22"/>
        </w:rPr>
        <w:t>.</w:t>
      </w:r>
    </w:p>
    <w:p w14:paraId="5F7A4AD6" w14:textId="77777777" w:rsidR="007771AE" w:rsidRDefault="007771AE" w:rsidP="007F39B7">
      <w:pPr>
        <w:ind w:firstLine="720"/>
        <w:rPr>
          <w:rFonts w:ascii="Times New Roman" w:hAnsi="Times New Roman"/>
          <w:sz w:val="22"/>
          <w:szCs w:val="22"/>
        </w:rPr>
      </w:pPr>
    </w:p>
    <w:p w14:paraId="7195E51B" w14:textId="095F2443" w:rsidR="00F3672F" w:rsidRDefault="00AA138C" w:rsidP="007F39B7">
      <w:pPr>
        <w:ind w:firstLine="720"/>
        <w:rPr>
          <w:rFonts w:ascii="Times New Roman" w:hAnsi="Times New Roman"/>
          <w:sz w:val="22"/>
          <w:szCs w:val="22"/>
        </w:rPr>
      </w:pPr>
      <w:r>
        <w:rPr>
          <w:rFonts w:ascii="Times New Roman" w:hAnsi="Times New Roman"/>
          <w:sz w:val="22"/>
          <w:szCs w:val="22"/>
        </w:rPr>
        <w:t xml:space="preserve">The burden associated with this information collection is </w:t>
      </w:r>
      <w:r w:rsidR="0073517E">
        <w:rPr>
          <w:rFonts w:ascii="Times New Roman" w:hAnsi="Times New Roman"/>
          <w:sz w:val="22"/>
          <w:szCs w:val="22"/>
        </w:rPr>
        <w:t xml:space="preserve">currently </w:t>
      </w:r>
      <w:r>
        <w:rPr>
          <w:rFonts w:ascii="Times New Roman" w:hAnsi="Times New Roman"/>
          <w:sz w:val="22"/>
          <w:szCs w:val="22"/>
        </w:rPr>
        <w:t xml:space="preserve">estimated to be 629 hours, </w:t>
      </w:r>
      <w:r w:rsidR="00481D80" w:rsidRPr="007F39B7">
        <w:rPr>
          <w:rFonts w:ascii="Times New Roman" w:hAnsi="Times New Roman"/>
          <w:sz w:val="22"/>
          <w:szCs w:val="22"/>
        </w:rPr>
        <w:t xml:space="preserve">which </w:t>
      </w:r>
      <w:r w:rsidR="00FB2970">
        <w:rPr>
          <w:rFonts w:ascii="Times New Roman" w:hAnsi="Times New Roman"/>
          <w:sz w:val="22"/>
          <w:szCs w:val="22"/>
        </w:rPr>
        <w:t>is based on</w:t>
      </w:r>
      <w:r>
        <w:rPr>
          <w:rFonts w:ascii="Times New Roman" w:hAnsi="Times New Roman"/>
          <w:sz w:val="22"/>
          <w:szCs w:val="22"/>
        </w:rPr>
        <w:t>:</w:t>
      </w:r>
      <w:r w:rsidR="00481D80" w:rsidRPr="007F39B7">
        <w:rPr>
          <w:rFonts w:ascii="Times New Roman" w:hAnsi="Times New Roman"/>
          <w:sz w:val="22"/>
          <w:szCs w:val="22"/>
        </w:rPr>
        <w:t xml:space="preserve"> </w:t>
      </w:r>
      <w:r>
        <w:rPr>
          <w:rFonts w:ascii="Times New Roman" w:hAnsi="Times New Roman"/>
          <w:sz w:val="22"/>
          <w:szCs w:val="22"/>
        </w:rPr>
        <w:t xml:space="preserve"> </w:t>
      </w:r>
      <w:r w:rsidR="00481D80" w:rsidRPr="007F39B7">
        <w:rPr>
          <w:rFonts w:ascii="Times New Roman" w:hAnsi="Times New Roman"/>
          <w:sz w:val="22"/>
          <w:szCs w:val="22"/>
        </w:rPr>
        <w:t>(</w:t>
      </w:r>
      <w:r>
        <w:rPr>
          <w:rFonts w:ascii="Times New Roman" w:hAnsi="Times New Roman"/>
          <w:sz w:val="22"/>
          <w:szCs w:val="22"/>
        </w:rPr>
        <w:t>1</w:t>
      </w:r>
      <w:r w:rsidR="00481D80" w:rsidRPr="007F39B7">
        <w:rPr>
          <w:rFonts w:ascii="Times New Roman" w:hAnsi="Times New Roman"/>
          <w:sz w:val="22"/>
          <w:szCs w:val="22"/>
        </w:rPr>
        <w:t xml:space="preserve">) application for registration by SDs and MSPs and submission of required information on behalf of their respective </w:t>
      </w:r>
      <w:r w:rsidR="000671BD">
        <w:rPr>
          <w:rFonts w:ascii="Times New Roman" w:hAnsi="Times New Roman"/>
          <w:sz w:val="22"/>
          <w:szCs w:val="22"/>
        </w:rPr>
        <w:t>principals</w:t>
      </w:r>
      <w:r w:rsidR="00481D80" w:rsidRPr="007F39B7">
        <w:rPr>
          <w:rFonts w:ascii="Times New Roman" w:hAnsi="Times New Roman"/>
          <w:sz w:val="22"/>
          <w:szCs w:val="22"/>
        </w:rPr>
        <w:t>; (</w:t>
      </w:r>
      <w:r>
        <w:rPr>
          <w:rFonts w:ascii="Times New Roman" w:hAnsi="Times New Roman"/>
          <w:sz w:val="22"/>
          <w:szCs w:val="22"/>
        </w:rPr>
        <w:t>2</w:t>
      </w:r>
      <w:r w:rsidR="00481D80" w:rsidRPr="007F39B7">
        <w:rPr>
          <w:rFonts w:ascii="Times New Roman" w:hAnsi="Times New Roman"/>
          <w:sz w:val="22"/>
          <w:szCs w:val="22"/>
        </w:rPr>
        <w:t>) initially, no withdrawals from registration by SDs and MSPs and a relatively small decrease in the number of their respective principals; and (</w:t>
      </w:r>
      <w:r>
        <w:rPr>
          <w:rFonts w:ascii="Times New Roman" w:hAnsi="Times New Roman"/>
          <w:sz w:val="22"/>
          <w:szCs w:val="22"/>
        </w:rPr>
        <w:t>3</w:t>
      </w:r>
      <w:r w:rsidR="00481D80" w:rsidRPr="007F39B7">
        <w:rPr>
          <w:rFonts w:ascii="Times New Roman" w:hAnsi="Times New Roman"/>
          <w:sz w:val="22"/>
          <w:szCs w:val="22"/>
        </w:rPr>
        <w:t xml:space="preserve">) initially, no reported corrections.  </w:t>
      </w:r>
      <w:r w:rsidR="00F3672F" w:rsidRPr="007F39B7">
        <w:rPr>
          <w:rFonts w:ascii="Times New Roman" w:hAnsi="Times New Roman"/>
          <w:sz w:val="22"/>
          <w:szCs w:val="22"/>
        </w:rPr>
        <w:t xml:space="preserve">The respondent burden for this collection is estimated to average </w:t>
      </w:r>
      <w:r>
        <w:rPr>
          <w:rFonts w:ascii="Times New Roman" w:hAnsi="Times New Roman"/>
          <w:sz w:val="22"/>
          <w:szCs w:val="22"/>
        </w:rPr>
        <w:t>1.0</w:t>
      </w:r>
      <w:r w:rsidR="00F3672F" w:rsidRPr="007F39B7">
        <w:rPr>
          <w:rFonts w:ascii="Times New Roman" w:hAnsi="Times New Roman"/>
          <w:sz w:val="22"/>
          <w:szCs w:val="22"/>
        </w:rPr>
        <w:t xml:space="preserve"> hours per response for the Form 7-R; 0.</w:t>
      </w:r>
      <w:r>
        <w:rPr>
          <w:rFonts w:ascii="Times New Roman" w:hAnsi="Times New Roman"/>
          <w:sz w:val="22"/>
          <w:szCs w:val="22"/>
        </w:rPr>
        <w:t>8</w:t>
      </w:r>
      <w:r w:rsidR="00F3672F" w:rsidRPr="007F39B7">
        <w:rPr>
          <w:rFonts w:ascii="Times New Roman" w:hAnsi="Times New Roman"/>
          <w:sz w:val="22"/>
          <w:szCs w:val="22"/>
        </w:rPr>
        <w:t xml:space="preserve"> hours per response for the Form 8-R; </w:t>
      </w:r>
      <w:r>
        <w:rPr>
          <w:rFonts w:ascii="Times New Roman" w:hAnsi="Times New Roman"/>
          <w:sz w:val="22"/>
          <w:szCs w:val="22"/>
        </w:rPr>
        <w:t>0.1 hours</w:t>
      </w:r>
      <w:r w:rsidR="00F3672F" w:rsidRPr="007F39B7">
        <w:rPr>
          <w:rFonts w:ascii="Times New Roman" w:hAnsi="Times New Roman"/>
          <w:sz w:val="22"/>
          <w:szCs w:val="22"/>
        </w:rPr>
        <w:t xml:space="preserve"> per response for the Form 7-W; </w:t>
      </w:r>
      <w:r>
        <w:rPr>
          <w:rFonts w:ascii="Times New Roman" w:hAnsi="Times New Roman"/>
          <w:sz w:val="22"/>
          <w:szCs w:val="22"/>
        </w:rPr>
        <w:t>0.2 hours</w:t>
      </w:r>
      <w:r w:rsidR="00F3672F" w:rsidRPr="007F39B7">
        <w:rPr>
          <w:rFonts w:ascii="Times New Roman" w:hAnsi="Times New Roman"/>
          <w:sz w:val="22"/>
          <w:szCs w:val="22"/>
        </w:rPr>
        <w:t xml:space="preserve"> per response for the Form 8-T</w:t>
      </w:r>
      <w:r w:rsidR="000E60AA" w:rsidRPr="007F39B7">
        <w:rPr>
          <w:rFonts w:ascii="Times New Roman" w:hAnsi="Times New Roman"/>
          <w:sz w:val="22"/>
          <w:szCs w:val="22"/>
        </w:rPr>
        <w:t xml:space="preserve">; and </w:t>
      </w:r>
      <w:r>
        <w:rPr>
          <w:rFonts w:ascii="Times New Roman" w:hAnsi="Times New Roman"/>
          <w:sz w:val="22"/>
          <w:szCs w:val="22"/>
        </w:rPr>
        <w:t>0.1 hours</w:t>
      </w:r>
      <w:r w:rsidR="00912A9E" w:rsidRPr="007F39B7">
        <w:rPr>
          <w:rFonts w:ascii="Times New Roman" w:hAnsi="Times New Roman"/>
          <w:sz w:val="22"/>
          <w:szCs w:val="22"/>
        </w:rPr>
        <w:t xml:space="preserve"> per response for the Form 3-R</w:t>
      </w:r>
      <w:r w:rsidR="00F3672F" w:rsidRPr="007F39B7">
        <w:rPr>
          <w:rFonts w:ascii="Times New Roman" w:hAnsi="Times New Roman"/>
          <w:i/>
          <w:sz w:val="22"/>
          <w:szCs w:val="22"/>
        </w:rPr>
        <w:t>.</w:t>
      </w:r>
      <w:r w:rsidR="009761BB" w:rsidRPr="006D4D2F">
        <w:rPr>
          <w:rStyle w:val="FootnoteReference"/>
          <w:rFonts w:ascii="Times New Roman" w:hAnsi="Times New Roman"/>
          <w:sz w:val="22"/>
          <w:szCs w:val="22"/>
        </w:rPr>
        <w:footnoteReference w:id="9"/>
      </w:r>
      <w:r w:rsidR="00F3672F" w:rsidRPr="007F39B7">
        <w:rPr>
          <w:rFonts w:ascii="Times New Roman" w:hAnsi="Times New Roman"/>
          <w:i/>
          <w:sz w:val="22"/>
          <w:szCs w:val="22"/>
        </w:rPr>
        <w:t xml:space="preserve">  </w:t>
      </w:r>
      <w:r w:rsidR="00F3672F" w:rsidRPr="007F39B7">
        <w:rPr>
          <w:rFonts w:ascii="Times New Roman" w:hAnsi="Times New Roman"/>
          <w:sz w:val="22"/>
          <w:szCs w:val="22"/>
        </w:rPr>
        <w:t>These estimates include the time needed</w:t>
      </w:r>
      <w:r>
        <w:rPr>
          <w:rFonts w:ascii="Times New Roman" w:hAnsi="Times New Roman"/>
          <w:sz w:val="22"/>
          <w:szCs w:val="22"/>
        </w:rPr>
        <w:t>:</w:t>
      </w:r>
      <w:r w:rsidR="00F3672F" w:rsidRPr="007F39B7">
        <w:rPr>
          <w:rFonts w:ascii="Times New Roman" w:hAnsi="Times New Roman"/>
          <w:sz w:val="22"/>
          <w:szCs w:val="22"/>
        </w:rPr>
        <w:t xml:space="preserve"> </w:t>
      </w:r>
      <w:r>
        <w:rPr>
          <w:rFonts w:ascii="Times New Roman" w:hAnsi="Times New Roman"/>
          <w:sz w:val="22"/>
          <w:szCs w:val="22"/>
        </w:rPr>
        <w:t xml:space="preserve"> </w:t>
      </w:r>
      <w:r w:rsidR="00F3672F" w:rsidRPr="007F39B7">
        <w:rPr>
          <w:rFonts w:ascii="Times New Roman" w:hAnsi="Times New Roman"/>
          <w:sz w:val="22"/>
          <w:szCs w:val="22"/>
        </w:rPr>
        <w:t xml:space="preserve">to review instructions; </w:t>
      </w:r>
      <w:r>
        <w:rPr>
          <w:rFonts w:ascii="Times New Roman" w:hAnsi="Times New Roman"/>
          <w:sz w:val="22"/>
          <w:szCs w:val="22"/>
        </w:rPr>
        <w:t xml:space="preserve">to </w:t>
      </w:r>
      <w:r w:rsidR="00F3672F" w:rsidRPr="007F39B7">
        <w:rPr>
          <w:rFonts w:ascii="Times New Roman" w:hAnsi="Times New Roman"/>
          <w:sz w:val="22"/>
          <w:szCs w:val="22"/>
        </w:rPr>
        <w:t xml:space="preserve">develop, acquire, install, and utilize technology and systems for the purposes of collecting, validating, and verifying information, processing and maintaining information and disclosing and providing information; </w:t>
      </w:r>
      <w:r>
        <w:rPr>
          <w:rFonts w:ascii="Times New Roman" w:hAnsi="Times New Roman"/>
          <w:sz w:val="22"/>
          <w:szCs w:val="22"/>
        </w:rPr>
        <w:t xml:space="preserve">to </w:t>
      </w:r>
      <w:r w:rsidR="00F3672F" w:rsidRPr="007F39B7">
        <w:rPr>
          <w:rFonts w:ascii="Times New Roman" w:hAnsi="Times New Roman"/>
          <w:sz w:val="22"/>
          <w:szCs w:val="22"/>
        </w:rPr>
        <w:t xml:space="preserve">adjust the existing ways to comply with any previously applicable instructions and requirements; </w:t>
      </w:r>
      <w:r>
        <w:rPr>
          <w:rFonts w:ascii="Times New Roman" w:hAnsi="Times New Roman"/>
          <w:sz w:val="22"/>
          <w:szCs w:val="22"/>
        </w:rPr>
        <w:t xml:space="preserve">to </w:t>
      </w:r>
      <w:r w:rsidR="00F3672F" w:rsidRPr="007F39B7">
        <w:rPr>
          <w:rFonts w:ascii="Times New Roman" w:hAnsi="Times New Roman"/>
          <w:sz w:val="22"/>
          <w:szCs w:val="22"/>
        </w:rPr>
        <w:t xml:space="preserve">train personnel to be able to respond to a collection of information; and </w:t>
      </w:r>
      <w:r>
        <w:rPr>
          <w:rFonts w:ascii="Times New Roman" w:hAnsi="Times New Roman"/>
          <w:sz w:val="22"/>
          <w:szCs w:val="22"/>
        </w:rPr>
        <w:t xml:space="preserve">to </w:t>
      </w:r>
      <w:r w:rsidR="00F3672F" w:rsidRPr="007F39B7">
        <w:rPr>
          <w:rFonts w:ascii="Times New Roman" w:hAnsi="Times New Roman"/>
          <w:sz w:val="22"/>
          <w:szCs w:val="22"/>
        </w:rPr>
        <w:t xml:space="preserve">transmit or otherwise disclose the information.  </w:t>
      </w:r>
      <w:r w:rsidR="00D7090B" w:rsidRPr="00D7090B">
        <w:rPr>
          <w:rFonts w:ascii="Times New Roman" w:hAnsi="Times New Roman"/>
          <w:sz w:val="22"/>
          <w:szCs w:val="22"/>
        </w:rPr>
        <w:t>In the Proposed Rule</w:t>
      </w:r>
      <w:r w:rsidR="00FB2970">
        <w:rPr>
          <w:rFonts w:ascii="Times New Roman" w:hAnsi="Times New Roman"/>
          <w:sz w:val="22"/>
          <w:szCs w:val="22"/>
        </w:rPr>
        <w:t>,</w:t>
      </w:r>
      <w:r w:rsidR="00D7090B" w:rsidRPr="00D7090B">
        <w:rPr>
          <w:rFonts w:ascii="Times New Roman" w:hAnsi="Times New Roman"/>
          <w:sz w:val="22"/>
          <w:szCs w:val="22"/>
        </w:rPr>
        <w:t xml:space="preserve"> the Commission estimates that 14 unregistered non-U.S. persons may be classified as “Foreign Consolidated Subsidiaries” and required to register as new SDs because their swap dealing transactions are in excess of the SD de minimis threshold.</w:t>
      </w:r>
      <w:r w:rsidR="00E00992">
        <w:rPr>
          <w:rStyle w:val="FootnoteReference"/>
          <w:rFonts w:ascii="Times New Roman" w:hAnsi="Times New Roman"/>
          <w:sz w:val="22"/>
          <w:szCs w:val="22"/>
        </w:rPr>
        <w:footnoteReference w:id="10"/>
      </w:r>
      <w:r w:rsidR="00D7090B" w:rsidRPr="00D7090B">
        <w:rPr>
          <w:rFonts w:ascii="Times New Roman" w:hAnsi="Times New Roman"/>
          <w:sz w:val="22"/>
          <w:szCs w:val="22"/>
        </w:rPr>
        <w:t xml:space="preserve">  </w:t>
      </w:r>
      <w:r w:rsidR="00F3672F" w:rsidRPr="007F39B7">
        <w:rPr>
          <w:rFonts w:ascii="Times New Roman" w:hAnsi="Times New Roman"/>
          <w:sz w:val="22"/>
          <w:szCs w:val="22"/>
        </w:rPr>
        <w:t xml:space="preserve">The </w:t>
      </w:r>
      <w:r w:rsidR="00D7090B">
        <w:rPr>
          <w:rFonts w:ascii="Times New Roman" w:hAnsi="Times New Roman"/>
          <w:sz w:val="22"/>
          <w:szCs w:val="22"/>
        </w:rPr>
        <w:t xml:space="preserve">new aggregate </w:t>
      </w:r>
      <w:r w:rsidR="00F3672F" w:rsidRPr="007F39B7">
        <w:rPr>
          <w:rFonts w:ascii="Times New Roman" w:hAnsi="Times New Roman"/>
          <w:sz w:val="22"/>
          <w:szCs w:val="22"/>
        </w:rPr>
        <w:t xml:space="preserve">estimate </w:t>
      </w:r>
      <w:r w:rsidR="00D7090B">
        <w:rPr>
          <w:rFonts w:ascii="Times New Roman" w:hAnsi="Times New Roman"/>
          <w:sz w:val="22"/>
          <w:szCs w:val="22"/>
        </w:rPr>
        <w:t xml:space="preserve">for </w:t>
      </w:r>
      <w:r w:rsidR="00F3672F" w:rsidRPr="007F39B7">
        <w:rPr>
          <w:rFonts w:ascii="Times New Roman" w:hAnsi="Times New Roman"/>
          <w:sz w:val="22"/>
          <w:szCs w:val="22"/>
        </w:rPr>
        <w:t xml:space="preserve">burden </w:t>
      </w:r>
      <w:r w:rsidR="00D7090B">
        <w:rPr>
          <w:rFonts w:ascii="Times New Roman" w:hAnsi="Times New Roman"/>
          <w:sz w:val="22"/>
          <w:szCs w:val="22"/>
        </w:rPr>
        <w:t>hours is</w:t>
      </w:r>
      <w:r w:rsidR="00F3672F" w:rsidRPr="007F39B7">
        <w:rPr>
          <w:rFonts w:ascii="Times New Roman" w:hAnsi="Times New Roman"/>
          <w:sz w:val="22"/>
          <w:szCs w:val="22"/>
        </w:rPr>
        <w:t xml:space="preserve"> calculated as follows:</w:t>
      </w:r>
    </w:p>
    <w:p w14:paraId="1E833632" w14:textId="77777777" w:rsidR="007F39B7" w:rsidRPr="007F39B7" w:rsidRDefault="007F39B7" w:rsidP="007F39B7">
      <w:pPr>
        <w:ind w:firstLine="720"/>
        <w:rPr>
          <w:rFonts w:ascii="Times New Roman" w:hAnsi="Times New Roman"/>
          <w:sz w:val="22"/>
          <w:szCs w:val="22"/>
        </w:rPr>
      </w:pPr>
    </w:p>
    <w:p w14:paraId="2AC2D988" w14:textId="77777777" w:rsidR="007F39B7" w:rsidRPr="007F39B7" w:rsidRDefault="00F3672F" w:rsidP="007F39B7">
      <w:pPr>
        <w:rPr>
          <w:rFonts w:ascii="Times New Roman" w:hAnsi="Times New Roman"/>
          <w:sz w:val="22"/>
          <w:szCs w:val="22"/>
          <w:u w:val="single"/>
        </w:rPr>
      </w:pPr>
      <w:r w:rsidRPr="007F39B7">
        <w:rPr>
          <w:rFonts w:ascii="Times New Roman" w:hAnsi="Times New Roman"/>
          <w:sz w:val="22"/>
          <w:szCs w:val="22"/>
          <w:u w:val="single"/>
        </w:rPr>
        <w:t>Form 7-R</w:t>
      </w:r>
    </w:p>
    <w:p w14:paraId="1020072F" w14:textId="755BAC3F" w:rsidR="00F3672F" w:rsidRPr="007F39B7" w:rsidRDefault="00F3672F" w:rsidP="007F39B7">
      <w:pPr>
        <w:rPr>
          <w:rFonts w:ascii="Times New Roman" w:hAnsi="Times New Roman"/>
          <w:sz w:val="22"/>
          <w:szCs w:val="22"/>
        </w:rPr>
      </w:pPr>
      <w:r w:rsidRPr="007F39B7">
        <w:rPr>
          <w:rFonts w:ascii="Times New Roman" w:hAnsi="Times New Roman"/>
          <w:sz w:val="22"/>
          <w:szCs w:val="22"/>
        </w:rPr>
        <w:t xml:space="preserve">Respondents/Affected Entities:  </w:t>
      </w:r>
      <w:r w:rsidR="0073517E">
        <w:rPr>
          <w:rFonts w:ascii="Times New Roman" w:hAnsi="Times New Roman"/>
          <w:sz w:val="22"/>
          <w:szCs w:val="22"/>
        </w:rPr>
        <w:t>139</w:t>
      </w:r>
    </w:p>
    <w:p w14:paraId="37C04235" w14:textId="58EBE3B9" w:rsidR="00F3672F" w:rsidRPr="007F39B7" w:rsidRDefault="00F3672F" w:rsidP="007F39B7">
      <w:pPr>
        <w:rPr>
          <w:rFonts w:ascii="Times New Roman" w:hAnsi="Times New Roman"/>
          <w:sz w:val="22"/>
          <w:szCs w:val="22"/>
        </w:rPr>
      </w:pPr>
      <w:r w:rsidRPr="007F39B7">
        <w:rPr>
          <w:rFonts w:ascii="Times New Roman" w:hAnsi="Times New Roman"/>
          <w:sz w:val="22"/>
          <w:szCs w:val="22"/>
        </w:rPr>
        <w:t xml:space="preserve">Estimated number of responses:  </w:t>
      </w:r>
      <w:r w:rsidR="0073517E">
        <w:rPr>
          <w:rFonts w:ascii="Times New Roman" w:hAnsi="Times New Roman"/>
          <w:sz w:val="22"/>
          <w:szCs w:val="22"/>
        </w:rPr>
        <w:t>139</w:t>
      </w:r>
    </w:p>
    <w:p w14:paraId="65B8C491" w14:textId="77777777" w:rsidR="00F3672F" w:rsidRPr="007F39B7" w:rsidRDefault="00F3672F" w:rsidP="007F39B7">
      <w:pPr>
        <w:rPr>
          <w:rFonts w:ascii="Times New Roman" w:hAnsi="Times New Roman"/>
          <w:sz w:val="22"/>
          <w:szCs w:val="22"/>
        </w:rPr>
      </w:pPr>
      <w:r w:rsidRPr="007F39B7">
        <w:rPr>
          <w:rFonts w:ascii="Times New Roman" w:hAnsi="Times New Roman"/>
          <w:sz w:val="22"/>
          <w:szCs w:val="22"/>
        </w:rPr>
        <w:t xml:space="preserve">Estimated total annual burden on respondents:  </w:t>
      </w:r>
      <w:r w:rsidR="00AA138C">
        <w:rPr>
          <w:rFonts w:ascii="Times New Roman" w:hAnsi="Times New Roman"/>
          <w:sz w:val="22"/>
          <w:szCs w:val="22"/>
        </w:rPr>
        <w:t>1.0</w:t>
      </w:r>
      <w:r w:rsidRPr="007F39B7">
        <w:rPr>
          <w:rFonts w:ascii="Times New Roman" w:hAnsi="Times New Roman"/>
          <w:sz w:val="22"/>
          <w:szCs w:val="22"/>
        </w:rPr>
        <w:t xml:space="preserve"> hours</w:t>
      </w:r>
    </w:p>
    <w:p w14:paraId="7C59DC4B" w14:textId="77777777" w:rsidR="00F3672F" w:rsidRPr="007F39B7" w:rsidRDefault="00F3672F" w:rsidP="007F39B7">
      <w:pPr>
        <w:rPr>
          <w:rFonts w:ascii="Times New Roman" w:hAnsi="Times New Roman"/>
          <w:sz w:val="22"/>
          <w:szCs w:val="22"/>
        </w:rPr>
      </w:pPr>
      <w:r w:rsidRPr="007F39B7">
        <w:rPr>
          <w:rFonts w:ascii="Times New Roman" w:hAnsi="Times New Roman"/>
          <w:sz w:val="22"/>
          <w:szCs w:val="22"/>
        </w:rPr>
        <w:t>Frequency of collection:  On occasion and annually</w:t>
      </w:r>
    </w:p>
    <w:p w14:paraId="1E651F7C" w14:textId="3F2BF65A" w:rsidR="00F3672F" w:rsidRPr="007F39B7" w:rsidRDefault="00F3672F" w:rsidP="007F39B7">
      <w:pPr>
        <w:rPr>
          <w:rFonts w:ascii="Times New Roman" w:hAnsi="Times New Roman"/>
          <w:sz w:val="22"/>
          <w:szCs w:val="22"/>
        </w:rPr>
      </w:pPr>
      <w:r w:rsidRPr="007F39B7">
        <w:rPr>
          <w:rFonts w:ascii="Times New Roman" w:hAnsi="Times New Roman"/>
          <w:sz w:val="22"/>
          <w:szCs w:val="22"/>
        </w:rPr>
        <w:t xml:space="preserve">Burden statement:  </w:t>
      </w:r>
      <w:r w:rsidR="0073517E">
        <w:rPr>
          <w:rFonts w:ascii="Times New Roman" w:hAnsi="Times New Roman"/>
          <w:sz w:val="22"/>
          <w:szCs w:val="22"/>
        </w:rPr>
        <w:t>139</w:t>
      </w:r>
      <w:r w:rsidR="0073517E" w:rsidRPr="007F39B7">
        <w:rPr>
          <w:rFonts w:ascii="Times New Roman" w:hAnsi="Times New Roman"/>
          <w:sz w:val="22"/>
          <w:szCs w:val="22"/>
        </w:rPr>
        <w:t xml:space="preserve"> </w:t>
      </w:r>
      <w:r w:rsidRPr="007F39B7">
        <w:rPr>
          <w:rFonts w:ascii="Times New Roman" w:hAnsi="Times New Roman"/>
          <w:sz w:val="22"/>
          <w:szCs w:val="22"/>
        </w:rPr>
        <w:t xml:space="preserve">respondents </w:t>
      </w:r>
      <w:r w:rsidR="00AA138C">
        <w:rPr>
          <w:rFonts w:ascii="Times New Roman" w:hAnsi="Times New Roman"/>
          <w:sz w:val="22"/>
          <w:szCs w:val="22"/>
        </w:rPr>
        <w:t>x</w:t>
      </w:r>
      <w:r w:rsidRPr="007F39B7">
        <w:rPr>
          <w:rFonts w:ascii="Times New Roman" w:hAnsi="Times New Roman"/>
          <w:sz w:val="22"/>
          <w:szCs w:val="22"/>
        </w:rPr>
        <w:t xml:space="preserve"> </w:t>
      </w:r>
      <w:r w:rsidR="00AA138C">
        <w:rPr>
          <w:rFonts w:ascii="Times New Roman" w:hAnsi="Times New Roman"/>
          <w:sz w:val="22"/>
          <w:szCs w:val="22"/>
        </w:rPr>
        <w:t>1.0</w:t>
      </w:r>
      <w:r w:rsidRPr="007F39B7">
        <w:rPr>
          <w:rFonts w:ascii="Times New Roman" w:hAnsi="Times New Roman"/>
          <w:sz w:val="22"/>
          <w:szCs w:val="22"/>
        </w:rPr>
        <w:t xml:space="preserve"> hours = </w:t>
      </w:r>
      <w:r w:rsidR="0073517E">
        <w:rPr>
          <w:rFonts w:ascii="Times New Roman" w:hAnsi="Times New Roman"/>
          <w:sz w:val="22"/>
          <w:szCs w:val="22"/>
        </w:rPr>
        <w:t>139</w:t>
      </w:r>
      <w:r w:rsidR="0073517E" w:rsidRPr="007F39B7">
        <w:rPr>
          <w:rFonts w:ascii="Times New Roman" w:hAnsi="Times New Roman"/>
          <w:sz w:val="22"/>
          <w:szCs w:val="22"/>
        </w:rPr>
        <w:t xml:space="preserve"> </w:t>
      </w:r>
      <w:r w:rsidRPr="007F39B7">
        <w:rPr>
          <w:rFonts w:ascii="Times New Roman" w:hAnsi="Times New Roman"/>
          <w:sz w:val="22"/>
          <w:szCs w:val="22"/>
        </w:rPr>
        <w:t>Burden Hours</w:t>
      </w:r>
    </w:p>
    <w:p w14:paraId="2875A3A7" w14:textId="77777777" w:rsidR="00F3672F" w:rsidRPr="007F39B7" w:rsidRDefault="00F3672F" w:rsidP="007F39B7">
      <w:pPr>
        <w:rPr>
          <w:rFonts w:ascii="Times New Roman" w:hAnsi="Times New Roman"/>
          <w:sz w:val="22"/>
          <w:szCs w:val="22"/>
        </w:rPr>
      </w:pPr>
    </w:p>
    <w:p w14:paraId="4413FBB5" w14:textId="77777777" w:rsidR="00F3672F" w:rsidRPr="007F39B7" w:rsidRDefault="00F3672F" w:rsidP="007F39B7">
      <w:pPr>
        <w:rPr>
          <w:rFonts w:ascii="Times New Roman" w:hAnsi="Times New Roman"/>
          <w:sz w:val="22"/>
          <w:szCs w:val="22"/>
          <w:u w:val="single"/>
        </w:rPr>
      </w:pPr>
      <w:r w:rsidRPr="007F39B7">
        <w:rPr>
          <w:rFonts w:ascii="Times New Roman" w:hAnsi="Times New Roman"/>
          <w:sz w:val="22"/>
          <w:szCs w:val="22"/>
          <w:u w:val="single"/>
        </w:rPr>
        <w:t>Form 8-R</w:t>
      </w:r>
    </w:p>
    <w:p w14:paraId="4DAC37E1" w14:textId="73510C2F" w:rsidR="00F3672F" w:rsidRPr="007F39B7" w:rsidRDefault="00F3672F" w:rsidP="007F39B7">
      <w:pPr>
        <w:rPr>
          <w:rFonts w:ascii="Times New Roman" w:hAnsi="Times New Roman"/>
          <w:sz w:val="22"/>
          <w:szCs w:val="22"/>
        </w:rPr>
      </w:pPr>
      <w:r w:rsidRPr="007F39B7">
        <w:rPr>
          <w:rFonts w:ascii="Times New Roman" w:hAnsi="Times New Roman"/>
          <w:sz w:val="22"/>
          <w:szCs w:val="22"/>
        </w:rPr>
        <w:t xml:space="preserve">Respondents/Affected Entities:  5 </w:t>
      </w:r>
      <w:r w:rsidR="00653915">
        <w:rPr>
          <w:rFonts w:ascii="Times New Roman" w:hAnsi="Times New Roman"/>
          <w:sz w:val="22"/>
          <w:szCs w:val="22"/>
        </w:rPr>
        <w:t>principal</w:t>
      </w:r>
      <w:r w:rsidRPr="007F39B7">
        <w:rPr>
          <w:rFonts w:ascii="Times New Roman" w:hAnsi="Times New Roman"/>
          <w:sz w:val="22"/>
          <w:szCs w:val="22"/>
        </w:rPr>
        <w:t xml:space="preserve">s per each of </w:t>
      </w:r>
      <w:r w:rsidR="0073517E">
        <w:rPr>
          <w:rFonts w:ascii="Times New Roman" w:hAnsi="Times New Roman"/>
          <w:sz w:val="22"/>
          <w:szCs w:val="22"/>
        </w:rPr>
        <w:t>139</w:t>
      </w:r>
      <w:r w:rsidR="0073517E" w:rsidRPr="007F39B7">
        <w:rPr>
          <w:rFonts w:ascii="Times New Roman" w:hAnsi="Times New Roman"/>
          <w:sz w:val="22"/>
          <w:szCs w:val="22"/>
        </w:rPr>
        <w:t xml:space="preserve"> </w:t>
      </w:r>
      <w:r w:rsidRPr="007F39B7">
        <w:rPr>
          <w:rFonts w:ascii="Times New Roman" w:hAnsi="Times New Roman"/>
          <w:sz w:val="22"/>
          <w:szCs w:val="22"/>
        </w:rPr>
        <w:t>SDs and MSPs</w:t>
      </w:r>
    </w:p>
    <w:p w14:paraId="62E88682" w14:textId="3B19133C" w:rsidR="00F3672F" w:rsidRPr="007F39B7" w:rsidRDefault="00F3672F" w:rsidP="007F39B7">
      <w:pPr>
        <w:rPr>
          <w:rFonts w:ascii="Times New Roman" w:hAnsi="Times New Roman"/>
          <w:sz w:val="22"/>
          <w:szCs w:val="22"/>
        </w:rPr>
      </w:pPr>
      <w:r w:rsidRPr="007F39B7">
        <w:rPr>
          <w:rFonts w:ascii="Times New Roman" w:hAnsi="Times New Roman"/>
          <w:sz w:val="22"/>
          <w:szCs w:val="22"/>
        </w:rPr>
        <w:t xml:space="preserve">Estimated number of responses:  </w:t>
      </w:r>
      <w:r w:rsidR="0073517E">
        <w:rPr>
          <w:rFonts w:ascii="Times New Roman" w:hAnsi="Times New Roman"/>
          <w:sz w:val="22"/>
          <w:szCs w:val="22"/>
        </w:rPr>
        <w:t>695</w:t>
      </w:r>
      <w:r w:rsidR="0073517E" w:rsidRPr="007F39B7">
        <w:rPr>
          <w:rFonts w:ascii="Times New Roman" w:hAnsi="Times New Roman"/>
          <w:sz w:val="22"/>
          <w:szCs w:val="22"/>
        </w:rPr>
        <w:t xml:space="preserve"> </w:t>
      </w:r>
    </w:p>
    <w:p w14:paraId="0D7D05EB" w14:textId="77777777" w:rsidR="00F3672F" w:rsidRPr="007F39B7" w:rsidRDefault="00F3672F" w:rsidP="007F39B7">
      <w:pPr>
        <w:rPr>
          <w:rFonts w:ascii="Times New Roman" w:hAnsi="Times New Roman"/>
          <w:sz w:val="22"/>
          <w:szCs w:val="22"/>
        </w:rPr>
      </w:pPr>
      <w:r w:rsidRPr="007F39B7">
        <w:rPr>
          <w:rFonts w:ascii="Times New Roman" w:hAnsi="Times New Roman"/>
          <w:sz w:val="22"/>
          <w:szCs w:val="22"/>
        </w:rPr>
        <w:t>Estimated total annual burden on respondents:  0.</w:t>
      </w:r>
      <w:r w:rsidR="00AA138C">
        <w:rPr>
          <w:rFonts w:ascii="Times New Roman" w:hAnsi="Times New Roman"/>
          <w:sz w:val="22"/>
          <w:szCs w:val="22"/>
        </w:rPr>
        <w:t>8</w:t>
      </w:r>
      <w:r w:rsidRPr="007F39B7">
        <w:rPr>
          <w:rFonts w:ascii="Times New Roman" w:hAnsi="Times New Roman"/>
          <w:sz w:val="22"/>
          <w:szCs w:val="22"/>
        </w:rPr>
        <w:t xml:space="preserve"> hours</w:t>
      </w:r>
    </w:p>
    <w:p w14:paraId="1058AFF0" w14:textId="77777777" w:rsidR="00F3672F" w:rsidRPr="007F39B7" w:rsidRDefault="00F3672F" w:rsidP="007F39B7">
      <w:pPr>
        <w:rPr>
          <w:rFonts w:ascii="Times New Roman" w:hAnsi="Times New Roman"/>
          <w:sz w:val="22"/>
          <w:szCs w:val="22"/>
        </w:rPr>
      </w:pPr>
      <w:r w:rsidRPr="007F39B7">
        <w:rPr>
          <w:rFonts w:ascii="Times New Roman" w:hAnsi="Times New Roman"/>
          <w:sz w:val="22"/>
          <w:szCs w:val="22"/>
        </w:rPr>
        <w:t>Frequency of collection:  On occasion</w:t>
      </w:r>
    </w:p>
    <w:p w14:paraId="35623A11" w14:textId="5B2919C7" w:rsidR="00F3672F" w:rsidRPr="007F39B7" w:rsidRDefault="00F21D61" w:rsidP="007F39B7">
      <w:pPr>
        <w:rPr>
          <w:rFonts w:ascii="Times New Roman" w:hAnsi="Times New Roman"/>
          <w:sz w:val="22"/>
          <w:szCs w:val="22"/>
        </w:rPr>
      </w:pPr>
      <w:r w:rsidRPr="007F39B7">
        <w:rPr>
          <w:rFonts w:ascii="Times New Roman" w:hAnsi="Times New Roman"/>
          <w:sz w:val="22"/>
          <w:szCs w:val="22"/>
        </w:rPr>
        <w:t xml:space="preserve">Burden statement:  </w:t>
      </w:r>
      <w:r w:rsidR="0073517E">
        <w:rPr>
          <w:rFonts w:ascii="Times New Roman" w:hAnsi="Times New Roman"/>
          <w:sz w:val="22"/>
          <w:szCs w:val="22"/>
        </w:rPr>
        <w:t>695</w:t>
      </w:r>
      <w:r w:rsidR="0073517E" w:rsidRPr="007F39B7">
        <w:rPr>
          <w:rFonts w:ascii="Times New Roman" w:hAnsi="Times New Roman"/>
          <w:sz w:val="22"/>
          <w:szCs w:val="22"/>
        </w:rPr>
        <w:t xml:space="preserve"> </w:t>
      </w:r>
      <w:r w:rsidRPr="007F39B7">
        <w:rPr>
          <w:rFonts w:ascii="Times New Roman" w:hAnsi="Times New Roman"/>
          <w:sz w:val="22"/>
          <w:szCs w:val="22"/>
        </w:rPr>
        <w:t xml:space="preserve">respondents </w:t>
      </w:r>
      <w:r w:rsidR="00AA138C">
        <w:rPr>
          <w:rFonts w:ascii="Times New Roman" w:hAnsi="Times New Roman"/>
          <w:sz w:val="22"/>
          <w:szCs w:val="22"/>
        </w:rPr>
        <w:t>x</w:t>
      </w:r>
      <w:r w:rsidRPr="007F39B7">
        <w:rPr>
          <w:rFonts w:ascii="Times New Roman" w:hAnsi="Times New Roman"/>
          <w:sz w:val="22"/>
          <w:szCs w:val="22"/>
        </w:rPr>
        <w:t xml:space="preserve"> 0.</w:t>
      </w:r>
      <w:r w:rsidR="00AA138C">
        <w:rPr>
          <w:rFonts w:ascii="Times New Roman" w:hAnsi="Times New Roman"/>
          <w:sz w:val="22"/>
          <w:szCs w:val="22"/>
        </w:rPr>
        <w:t>8</w:t>
      </w:r>
      <w:r w:rsidRPr="007F39B7">
        <w:rPr>
          <w:rFonts w:ascii="Times New Roman" w:hAnsi="Times New Roman"/>
          <w:sz w:val="22"/>
          <w:szCs w:val="22"/>
        </w:rPr>
        <w:t xml:space="preserve"> hours = </w:t>
      </w:r>
      <w:r w:rsidR="0073517E">
        <w:rPr>
          <w:rFonts w:ascii="Times New Roman" w:hAnsi="Times New Roman"/>
          <w:sz w:val="22"/>
          <w:szCs w:val="22"/>
        </w:rPr>
        <w:t>556</w:t>
      </w:r>
      <w:r w:rsidR="0073517E" w:rsidRPr="007F39B7">
        <w:rPr>
          <w:rFonts w:ascii="Times New Roman" w:hAnsi="Times New Roman"/>
          <w:sz w:val="22"/>
          <w:szCs w:val="22"/>
        </w:rPr>
        <w:t xml:space="preserve"> </w:t>
      </w:r>
      <w:r w:rsidR="00F3672F" w:rsidRPr="007F39B7">
        <w:rPr>
          <w:rFonts w:ascii="Times New Roman" w:hAnsi="Times New Roman"/>
          <w:sz w:val="22"/>
          <w:szCs w:val="22"/>
        </w:rPr>
        <w:t>Burden Hours</w:t>
      </w:r>
    </w:p>
    <w:p w14:paraId="145A7AA4" w14:textId="77777777" w:rsidR="00F3672F" w:rsidRPr="007F39B7" w:rsidRDefault="00F3672F" w:rsidP="007F39B7">
      <w:pPr>
        <w:rPr>
          <w:rFonts w:ascii="Times New Roman" w:hAnsi="Times New Roman"/>
          <w:sz w:val="22"/>
          <w:szCs w:val="22"/>
        </w:rPr>
      </w:pPr>
    </w:p>
    <w:p w14:paraId="6E1F9E99" w14:textId="77777777" w:rsidR="00F3672F" w:rsidRPr="0099405B" w:rsidRDefault="00F3672F" w:rsidP="0099405B">
      <w:pPr>
        <w:rPr>
          <w:rFonts w:ascii="Times New Roman" w:hAnsi="Times New Roman"/>
          <w:sz w:val="22"/>
          <w:szCs w:val="22"/>
          <w:u w:val="single"/>
        </w:rPr>
      </w:pPr>
      <w:r w:rsidRPr="0099405B">
        <w:rPr>
          <w:rFonts w:ascii="Times New Roman" w:hAnsi="Times New Roman"/>
          <w:sz w:val="22"/>
          <w:szCs w:val="22"/>
          <w:u w:val="single"/>
        </w:rPr>
        <w:t>Form 8-T</w:t>
      </w:r>
    </w:p>
    <w:p w14:paraId="4E143630" w14:textId="3B19A3D5" w:rsidR="00F3672F" w:rsidRPr="007F39B7" w:rsidRDefault="00F973FB" w:rsidP="0099405B">
      <w:pPr>
        <w:rPr>
          <w:rFonts w:ascii="Times New Roman" w:hAnsi="Times New Roman"/>
          <w:sz w:val="22"/>
          <w:szCs w:val="22"/>
        </w:rPr>
      </w:pPr>
      <w:r w:rsidRPr="007F39B7">
        <w:rPr>
          <w:rFonts w:ascii="Times New Roman" w:hAnsi="Times New Roman"/>
          <w:sz w:val="22"/>
          <w:szCs w:val="22"/>
        </w:rPr>
        <w:t xml:space="preserve">Respondents/Affected Entities: </w:t>
      </w:r>
      <w:r w:rsidR="00F3672F" w:rsidRPr="007F39B7">
        <w:rPr>
          <w:rFonts w:ascii="Times New Roman" w:hAnsi="Times New Roman"/>
          <w:sz w:val="22"/>
          <w:szCs w:val="22"/>
        </w:rPr>
        <w:t xml:space="preserve">1 </w:t>
      </w:r>
      <w:r w:rsidR="00653915">
        <w:rPr>
          <w:rFonts w:ascii="Times New Roman" w:hAnsi="Times New Roman"/>
          <w:sz w:val="22"/>
          <w:szCs w:val="22"/>
        </w:rPr>
        <w:t>principal</w:t>
      </w:r>
      <w:r w:rsidR="00F3672F" w:rsidRPr="007F39B7">
        <w:rPr>
          <w:rFonts w:ascii="Times New Roman" w:hAnsi="Times New Roman"/>
          <w:sz w:val="22"/>
          <w:szCs w:val="22"/>
        </w:rPr>
        <w:t xml:space="preserve"> per each of </w:t>
      </w:r>
      <w:r w:rsidR="00247035" w:rsidRPr="007F39B7">
        <w:rPr>
          <w:rFonts w:ascii="Times New Roman" w:hAnsi="Times New Roman"/>
          <w:sz w:val="22"/>
          <w:szCs w:val="22"/>
        </w:rPr>
        <w:t>2</w:t>
      </w:r>
      <w:r w:rsidR="00247035">
        <w:rPr>
          <w:rFonts w:ascii="Times New Roman" w:hAnsi="Times New Roman"/>
          <w:sz w:val="22"/>
          <w:szCs w:val="22"/>
        </w:rPr>
        <w:t>2</w:t>
      </w:r>
      <w:r w:rsidR="00247035" w:rsidRPr="007F39B7">
        <w:rPr>
          <w:rFonts w:ascii="Times New Roman" w:hAnsi="Times New Roman"/>
          <w:sz w:val="22"/>
          <w:szCs w:val="22"/>
        </w:rPr>
        <w:t xml:space="preserve"> </w:t>
      </w:r>
      <w:r w:rsidR="00F3672F" w:rsidRPr="007F39B7">
        <w:rPr>
          <w:rFonts w:ascii="Times New Roman" w:hAnsi="Times New Roman"/>
          <w:sz w:val="22"/>
          <w:szCs w:val="22"/>
        </w:rPr>
        <w:t>SDs and MSPs</w:t>
      </w:r>
    </w:p>
    <w:p w14:paraId="786FAAC6" w14:textId="242B8EA9" w:rsidR="00F3672F" w:rsidRPr="007F39B7" w:rsidRDefault="00F3672F" w:rsidP="0099405B">
      <w:pPr>
        <w:rPr>
          <w:rFonts w:ascii="Times New Roman" w:hAnsi="Times New Roman"/>
          <w:sz w:val="22"/>
          <w:szCs w:val="22"/>
        </w:rPr>
      </w:pPr>
      <w:r w:rsidRPr="007F39B7">
        <w:rPr>
          <w:rFonts w:ascii="Times New Roman" w:hAnsi="Times New Roman"/>
          <w:sz w:val="22"/>
          <w:szCs w:val="22"/>
        </w:rPr>
        <w:t xml:space="preserve">Estimated number of responses:  </w:t>
      </w:r>
      <w:r w:rsidR="00247035" w:rsidRPr="007F39B7">
        <w:rPr>
          <w:rFonts w:ascii="Times New Roman" w:hAnsi="Times New Roman"/>
          <w:sz w:val="22"/>
          <w:szCs w:val="22"/>
        </w:rPr>
        <w:t>2</w:t>
      </w:r>
      <w:r w:rsidR="00247035">
        <w:rPr>
          <w:rFonts w:ascii="Times New Roman" w:hAnsi="Times New Roman"/>
          <w:sz w:val="22"/>
          <w:szCs w:val="22"/>
        </w:rPr>
        <w:t>2</w:t>
      </w:r>
      <w:r w:rsidR="00247035" w:rsidRPr="007F39B7">
        <w:rPr>
          <w:rFonts w:ascii="Times New Roman" w:hAnsi="Times New Roman"/>
          <w:sz w:val="22"/>
          <w:szCs w:val="22"/>
        </w:rPr>
        <w:t xml:space="preserve"> </w:t>
      </w:r>
    </w:p>
    <w:p w14:paraId="6EF757E0" w14:textId="77777777" w:rsidR="00F3672F" w:rsidRPr="007F39B7" w:rsidRDefault="00F3672F" w:rsidP="0099405B">
      <w:pPr>
        <w:rPr>
          <w:rFonts w:ascii="Times New Roman" w:hAnsi="Times New Roman"/>
          <w:sz w:val="22"/>
          <w:szCs w:val="22"/>
        </w:rPr>
      </w:pPr>
      <w:r w:rsidRPr="007F39B7">
        <w:rPr>
          <w:rFonts w:ascii="Times New Roman" w:hAnsi="Times New Roman"/>
          <w:sz w:val="22"/>
          <w:szCs w:val="22"/>
        </w:rPr>
        <w:lastRenderedPageBreak/>
        <w:t xml:space="preserve">Estimated total annual burden on respondents:  </w:t>
      </w:r>
      <w:r w:rsidR="00AA138C">
        <w:rPr>
          <w:rFonts w:ascii="Times New Roman" w:hAnsi="Times New Roman"/>
          <w:sz w:val="22"/>
          <w:szCs w:val="22"/>
        </w:rPr>
        <w:t>0.2 hours</w:t>
      </w:r>
    </w:p>
    <w:p w14:paraId="21F3266F" w14:textId="77777777" w:rsidR="00F3672F" w:rsidRPr="007F39B7" w:rsidRDefault="00F3672F" w:rsidP="0099405B">
      <w:pPr>
        <w:rPr>
          <w:rFonts w:ascii="Times New Roman" w:hAnsi="Times New Roman"/>
          <w:sz w:val="22"/>
          <w:szCs w:val="22"/>
        </w:rPr>
      </w:pPr>
      <w:r w:rsidRPr="007F39B7">
        <w:rPr>
          <w:rFonts w:ascii="Times New Roman" w:hAnsi="Times New Roman"/>
          <w:sz w:val="22"/>
          <w:szCs w:val="22"/>
        </w:rPr>
        <w:t>Frequency of collection:  On occasion</w:t>
      </w:r>
    </w:p>
    <w:p w14:paraId="598CC5E9" w14:textId="21FEC468" w:rsidR="0099405B" w:rsidRPr="007F39B7" w:rsidRDefault="00F3672F" w:rsidP="007F39B7">
      <w:pPr>
        <w:rPr>
          <w:rFonts w:ascii="Times New Roman" w:hAnsi="Times New Roman"/>
          <w:sz w:val="22"/>
          <w:szCs w:val="22"/>
        </w:rPr>
      </w:pPr>
      <w:r w:rsidRPr="007F39B7">
        <w:rPr>
          <w:rFonts w:ascii="Times New Roman" w:hAnsi="Times New Roman"/>
          <w:sz w:val="22"/>
          <w:szCs w:val="22"/>
        </w:rPr>
        <w:t xml:space="preserve">Burden statement:  </w:t>
      </w:r>
      <w:r w:rsidR="00247035" w:rsidRPr="007F39B7">
        <w:rPr>
          <w:rFonts w:ascii="Times New Roman" w:hAnsi="Times New Roman"/>
          <w:sz w:val="22"/>
          <w:szCs w:val="22"/>
        </w:rPr>
        <w:t>2</w:t>
      </w:r>
      <w:r w:rsidR="00247035">
        <w:rPr>
          <w:rFonts w:ascii="Times New Roman" w:hAnsi="Times New Roman"/>
          <w:sz w:val="22"/>
          <w:szCs w:val="22"/>
        </w:rPr>
        <w:t>2</w:t>
      </w:r>
      <w:r w:rsidR="00247035" w:rsidRPr="007F39B7">
        <w:rPr>
          <w:rFonts w:ascii="Times New Roman" w:hAnsi="Times New Roman"/>
          <w:sz w:val="22"/>
          <w:szCs w:val="22"/>
        </w:rPr>
        <w:t xml:space="preserve"> </w:t>
      </w:r>
      <w:r w:rsidRPr="007F39B7">
        <w:rPr>
          <w:rFonts w:ascii="Times New Roman" w:hAnsi="Times New Roman"/>
          <w:sz w:val="22"/>
          <w:szCs w:val="22"/>
        </w:rPr>
        <w:t xml:space="preserve">respondents </w:t>
      </w:r>
      <w:r w:rsidR="00AA138C">
        <w:rPr>
          <w:rFonts w:ascii="Times New Roman" w:hAnsi="Times New Roman"/>
          <w:sz w:val="22"/>
          <w:szCs w:val="22"/>
        </w:rPr>
        <w:t>x</w:t>
      </w:r>
      <w:r w:rsidRPr="007F39B7">
        <w:rPr>
          <w:rFonts w:ascii="Times New Roman" w:hAnsi="Times New Roman"/>
          <w:sz w:val="22"/>
          <w:szCs w:val="22"/>
        </w:rPr>
        <w:t xml:space="preserve"> 0.</w:t>
      </w:r>
      <w:r w:rsidR="00AA138C">
        <w:rPr>
          <w:rFonts w:ascii="Times New Roman" w:hAnsi="Times New Roman"/>
          <w:sz w:val="22"/>
          <w:szCs w:val="22"/>
        </w:rPr>
        <w:t>2</w:t>
      </w:r>
      <w:r w:rsidRPr="007F39B7">
        <w:rPr>
          <w:rFonts w:ascii="Times New Roman" w:hAnsi="Times New Roman"/>
          <w:sz w:val="22"/>
          <w:szCs w:val="22"/>
        </w:rPr>
        <w:t xml:space="preserve"> hours = </w:t>
      </w:r>
      <w:r w:rsidR="00AA138C">
        <w:rPr>
          <w:rFonts w:ascii="Times New Roman" w:hAnsi="Times New Roman"/>
          <w:sz w:val="22"/>
          <w:szCs w:val="22"/>
        </w:rPr>
        <w:t>4</w:t>
      </w:r>
      <w:r w:rsidR="00247035">
        <w:rPr>
          <w:rFonts w:ascii="Times New Roman" w:hAnsi="Times New Roman"/>
          <w:sz w:val="22"/>
          <w:szCs w:val="22"/>
        </w:rPr>
        <w:t>.4</w:t>
      </w:r>
      <w:r w:rsidRPr="007F39B7">
        <w:rPr>
          <w:rFonts w:ascii="Times New Roman" w:hAnsi="Times New Roman"/>
          <w:sz w:val="22"/>
          <w:szCs w:val="22"/>
        </w:rPr>
        <w:t xml:space="preserve"> Burden Hours</w:t>
      </w:r>
    </w:p>
    <w:p w14:paraId="089173C2" w14:textId="000BC8A3" w:rsidR="00AF4A73" w:rsidRDefault="00F3672F">
      <w:pPr>
        <w:rPr>
          <w:rFonts w:ascii="Times New Roman" w:hAnsi="Times New Roman"/>
          <w:sz w:val="22"/>
          <w:szCs w:val="22"/>
        </w:rPr>
      </w:pPr>
      <w:r w:rsidRPr="007F39B7">
        <w:rPr>
          <w:rFonts w:ascii="Times New Roman" w:hAnsi="Times New Roman"/>
          <w:sz w:val="22"/>
          <w:szCs w:val="22"/>
        </w:rPr>
        <w:tab/>
      </w:r>
      <w:r w:rsidR="001A5FE4">
        <w:rPr>
          <w:rFonts w:ascii="Times New Roman" w:hAnsi="Times New Roman"/>
          <w:sz w:val="22"/>
          <w:szCs w:val="22"/>
        </w:rPr>
        <w:t xml:space="preserve"> </w:t>
      </w:r>
    </w:p>
    <w:p w14:paraId="78A87573" w14:textId="77777777" w:rsidR="007C6E98" w:rsidRDefault="007C6E98">
      <w:pPr>
        <w:rPr>
          <w:rFonts w:ascii="Times New Roman" w:hAnsi="Times New Roman"/>
          <w:sz w:val="22"/>
          <w:szCs w:val="22"/>
        </w:rPr>
      </w:pPr>
    </w:p>
    <w:p w14:paraId="2F3C18E9" w14:textId="27E7BD27" w:rsidR="007C6E98" w:rsidRPr="007C6E98" w:rsidRDefault="007C6E98" w:rsidP="007C6E98">
      <w:pPr>
        <w:rPr>
          <w:rFonts w:ascii="Times New Roman" w:hAnsi="Times New Roman"/>
          <w:sz w:val="22"/>
          <w:szCs w:val="22"/>
        </w:rPr>
      </w:pPr>
      <w:r>
        <w:rPr>
          <w:rFonts w:ascii="Times New Roman" w:hAnsi="Times New Roman"/>
          <w:sz w:val="22"/>
          <w:szCs w:val="22"/>
        </w:rPr>
        <w:tab/>
      </w:r>
      <w:r w:rsidR="007409AE" w:rsidRPr="00AB0AA8">
        <w:rPr>
          <w:rFonts w:ascii="Times New Roman" w:hAnsi="Times New Roman"/>
          <w:sz w:val="22"/>
          <w:szCs w:val="22"/>
        </w:rPr>
        <w:t xml:space="preserve">As detailed in the table below, </w:t>
      </w:r>
      <w:r w:rsidRPr="00AB0AA8">
        <w:rPr>
          <w:rFonts w:ascii="Times New Roman" w:hAnsi="Times New Roman"/>
          <w:sz w:val="22"/>
          <w:szCs w:val="22"/>
        </w:rPr>
        <w:t xml:space="preserve">Commission staff estimates that the estimated additional 14 </w:t>
      </w:r>
      <w:r w:rsidRPr="00737582">
        <w:rPr>
          <w:rFonts w:ascii="Times New Roman" w:hAnsi="Times New Roman"/>
          <w:sz w:val="22"/>
          <w:szCs w:val="22"/>
        </w:rPr>
        <w:t xml:space="preserve">respondents that may </w:t>
      </w:r>
      <w:r w:rsidR="00F54D52" w:rsidRPr="005548FD">
        <w:rPr>
          <w:rFonts w:ascii="Times New Roman" w:hAnsi="Times New Roman"/>
          <w:sz w:val="22"/>
          <w:szCs w:val="22"/>
        </w:rPr>
        <w:t xml:space="preserve">be </w:t>
      </w:r>
      <w:r w:rsidRPr="005548FD">
        <w:rPr>
          <w:rFonts w:ascii="Times New Roman" w:hAnsi="Times New Roman"/>
          <w:sz w:val="22"/>
          <w:szCs w:val="22"/>
        </w:rPr>
        <w:t xml:space="preserve">required to register as new SDs under the Proposed Rule could expend in the aggregate </w:t>
      </w:r>
      <w:r w:rsidR="000312D6" w:rsidRPr="0000738C">
        <w:rPr>
          <w:rFonts w:ascii="Times New Roman" w:hAnsi="Times New Roman"/>
          <w:sz w:val="22"/>
          <w:szCs w:val="22"/>
        </w:rPr>
        <w:t>70.4</w:t>
      </w:r>
      <w:r w:rsidRPr="00737582">
        <w:rPr>
          <w:rFonts w:ascii="Times New Roman" w:hAnsi="Times New Roman"/>
          <w:sz w:val="22"/>
          <w:szCs w:val="22"/>
        </w:rPr>
        <w:t xml:space="preserve"> hours annually to comply with the proposed regulations.  As explained in note </w:t>
      </w:r>
      <w:r w:rsidR="00D711AF">
        <w:rPr>
          <w:rFonts w:ascii="Times New Roman" w:hAnsi="Times New Roman"/>
          <w:sz w:val="22"/>
          <w:szCs w:val="22"/>
        </w:rPr>
        <w:t>6</w:t>
      </w:r>
      <w:r w:rsidRPr="005548FD">
        <w:rPr>
          <w:rFonts w:ascii="Times New Roman" w:hAnsi="Times New Roman"/>
          <w:sz w:val="22"/>
          <w:szCs w:val="22"/>
        </w:rPr>
        <w:t xml:space="preserve">, the cost to the public of the hour burdens is estimated to be $160 per hour.  </w:t>
      </w:r>
      <w:r w:rsidR="00AB0AA8">
        <w:rPr>
          <w:rFonts w:ascii="Times New Roman" w:hAnsi="Times New Roman"/>
          <w:sz w:val="22"/>
          <w:szCs w:val="22"/>
        </w:rPr>
        <w:br/>
      </w:r>
      <w:r w:rsidRPr="007C6E98">
        <w:rPr>
          <w:rFonts w:ascii="Times New Roman" w:hAnsi="Times New Roman"/>
          <w:sz w:val="22"/>
          <w:szCs w:val="22"/>
        </w:rPr>
        <w:t xml:space="preserve"> </w:t>
      </w:r>
    </w:p>
    <w:p w14:paraId="7C040363" w14:textId="78C772FC" w:rsidR="00E7373E" w:rsidRPr="006D4D2F" w:rsidRDefault="00E7373E" w:rsidP="003416C3">
      <w:pPr>
        <w:jc w:val="center"/>
        <w:rPr>
          <w:rFonts w:ascii="Times New Roman" w:hAnsi="Times New Roman"/>
          <w:b/>
          <w:sz w:val="22"/>
          <w:szCs w:val="22"/>
        </w:rPr>
      </w:pPr>
      <w:r w:rsidRPr="006D4D2F">
        <w:rPr>
          <w:rFonts w:ascii="Times New Roman" w:hAnsi="Times New Roman"/>
          <w:b/>
          <w:sz w:val="22"/>
          <w:szCs w:val="22"/>
        </w:rPr>
        <w:t xml:space="preserve">Reporting Burden for Proposed Rule </w:t>
      </w:r>
    </w:p>
    <w:p w14:paraId="068EEACE" w14:textId="77777777" w:rsidR="00E7373E" w:rsidRDefault="00E7373E">
      <w:pPr>
        <w:rPr>
          <w:rFonts w:ascii="Times New Roman" w:hAnsi="Times New Roman"/>
          <w:sz w:val="22"/>
          <w:szCs w:val="22"/>
        </w:rPr>
      </w:pPr>
    </w:p>
    <w:p w14:paraId="16B05310" w14:textId="34931929" w:rsidR="00295FD0" w:rsidRDefault="00295FD0">
      <w:pPr>
        <w:rPr>
          <w:rFonts w:ascii="Times New Roman" w:hAnsi="Times New Roman"/>
          <w:sz w:val="22"/>
          <w:szCs w:val="22"/>
        </w:rPr>
      </w:pPr>
      <w:r>
        <w:rPr>
          <w:rFonts w:ascii="Times New Roman" w:hAnsi="Times New Roman"/>
          <w:sz w:val="22"/>
          <w:szCs w:val="22"/>
        </w:rPr>
        <w:tab/>
      </w:r>
    </w:p>
    <w:tbl>
      <w:tblPr>
        <w:tblW w:w="5827"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261"/>
        <w:gridCol w:w="1259"/>
        <w:gridCol w:w="1080"/>
        <w:gridCol w:w="1259"/>
        <w:gridCol w:w="991"/>
        <w:gridCol w:w="1167"/>
        <w:gridCol w:w="1080"/>
        <w:gridCol w:w="904"/>
        <w:gridCol w:w="1167"/>
      </w:tblGrid>
      <w:tr w:rsidR="005548FD" w:rsidRPr="008F6D4A" w:rsidDel="009C6DB4" w14:paraId="561416D4" w14:textId="77777777" w:rsidTr="0000738C">
        <w:trPr>
          <w:trHeight w:val="1433"/>
        </w:trPr>
        <w:tc>
          <w:tcPr>
            <w:tcW w:w="444" w:type="pct"/>
          </w:tcPr>
          <w:p w14:paraId="5DE8CE6F" w14:textId="77777777" w:rsidR="005548FD" w:rsidRDefault="005548FD" w:rsidP="008E2162">
            <w:pPr>
              <w:tabs>
                <w:tab w:val="left" w:pos="-720"/>
                <w:tab w:val="left" w:pos="0"/>
              </w:tabs>
              <w:suppressAutoHyphens/>
              <w:jc w:val="center"/>
              <w:rPr>
                <w:b/>
                <w:sz w:val="16"/>
                <w:szCs w:val="16"/>
              </w:rPr>
            </w:pPr>
            <w:r>
              <w:rPr>
                <w:b/>
                <w:sz w:val="16"/>
                <w:szCs w:val="16"/>
              </w:rPr>
              <w:t>1.</w:t>
            </w:r>
          </w:p>
          <w:p w14:paraId="47446AE4" w14:textId="77777777" w:rsidR="005548FD" w:rsidRPr="005E41B2" w:rsidRDefault="005548FD" w:rsidP="008E2162">
            <w:pPr>
              <w:tabs>
                <w:tab w:val="left" w:pos="-720"/>
                <w:tab w:val="left" w:pos="0"/>
              </w:tabs>
              <w:suppressAutoHyphens/>
              <w:jc w:val="center"/>
              <w:rPr>
                <w:b/>
                <w:sz w:val="16"/>
                <w:szCs w:val="16"/>
              </w:rPr>
            </w:pPr>
            <w:r>
              <w:rPr>
                <w:b/>
                <w:sz w:val="16"/>
                <w:szCs w:val="16"/>
              </w:rPr>
              <w:t>Forms</w:t>
            </w:r>
          </w:p>
        </w:tc>
        <w:tc>
          <w:tcPr>
            <w:tcW w:w="565" w:type="pct"/>
          </w:tcPr>
          <w:p w14:paraId="26C57C41" w14:textId="77777777" w:rsidR="005548FD" w:rsidRDefault="005548FD" w:rsidP="008E2162">
            <w:pPr>
              <w:tabs>
                <w:tab w:val="left" w:pos="-720"/>
                <w:tab w:val="left" w:pos="0"/>
              </w:tabs>
              <w:suppressAutoHyphens/>
              <w:jc w:val="center"/>
              <w:rPr>
                <w:b/>
                <w:sz w:val="16"/>
                <w:szCs w:val="16"/>
              </w:rPr>
            </w:pPr>
            <w:r>
              <w:rPr>
                <w:b/>
                <w:sz w:val="16"/>
                <w:szCs w:val="16"/>
              </w:rPr>
              <w:t>2.</w:t>
            </w:r>
          </w:p>
          <w:p w14:paraId="013C91C6" w14:textId="77777777" w:rsidR="005548FD" w:rsidRDefault="005548FD" w:rsidP="008E2162">
            <w:pPr>
              <w:tabs>
                <w:tab w:val="left" w:pos="-720"/>
                <w:tab w:val="left" w:pos="0"/>
              </w:tabs>
              <w:suppressAutoHyphens/>
              <w:jc w:val="center"/>
              <w:rPr>
                <w:b/>
                <w:sz w:val="16"/>
                <w:szCs w:val="16"/>
              </w:rPr>
            </w:pPr>
            <w:r w:rsidRPr="005E41B2">
              <w:rPr>
                <w:b/>
                <w:sz w:val="16"/>
                <w:szCs w:val="16"/>
              </w:rPr>
              <w:t xml:space="preserve">Estimated Number of Respondents </w:t>
            </w:r>
          </w:p>
          <w:p w14:paraId="0BB10956" w14:textId="77777777" w:rsidR="005548FD" w:rsidRPr="005E41B2" w:rsidRDefault="005548FD" w:rsidP="008E2162">
            <w:pPr>
              <w:tabs>
                <w:tab w:val="left" w:pos="-720"/>
                <w:tab w:val="left" w:pos="0"/>
              </w:tabs>
              <w:suppressAutoHyphens/>
              <w:jc w:val="center"/>
              <w:rPr>
                <w:b/>
                <w:sz w:val="16"/>
                <w:szCs w:val="16"/>
              </w:rPr>
            </w:pPr>
          </w:p>
        </w:tc>
        <w:tc>
          <w:tcPr>
            <w:tcW w:w="564" w:type="pct"/>
          </w:tcPr>
          <w:p w14:paraId="21BFE8C2" w14:textId="77777777" w:rsidR="005548FD" w:rsidRDefault="005548FD" w:rsidP="008E2162">
            <w:pPr>
              <w:tabs>
                <w:tab w:val="left" w:pos="-720"/>
                <w:tab w:val="left" w:pos="0"/>
              </w:tabs>
              <w:suppressAutoHyphens/>
              <w:jc w:val="center"/>
              <w:rPr>
                <w:b/>
                <w:sz w:val="16"/>
                <w:szCs w:val="16"/>
              </w:rPr>
            </w:pPr>
            <w:r>
              <w:rPr>
                <w:b/>
                <w:sz w:val="16"/>
                <w:szCs w:val="16"/>
              </w:rPr>
              <w:t>3.</w:t>
            </w:r>
          </w:p>
          <w:p w14:paraId="5A512883" w14:textId="77777777" w:rsidR="005548FD" w:rsidRPr="005E41B2" w:rsidRDefault="005548FD" w:rsidP="008E2162">
            <w:pPr>
              <w:tabs>
                <w:tab w:val="left" w:pos="-720"/>
                <w:tab w:val="left" w:pos="0"/>
              </w:tabs>
              <w:suppressAutoHyphens/>
              <w:jc w:val="center"/>
              <w:rPr>
                <w:b/>
                <w:sz w:val="16"/>
                <w:szCs w:val="16"/>
              </w:rPr>
            </w:pPr>
            <w:r>
              <w:rPr>
                <w:b/>
                <w:sz w:val="16"/>
                <w:szCs w:val="16"/>
              </w:rPr>
              <w:t xml:space="preserve">Estimated </w:t>
            </w:r>
            <w:r w:rsidRPr="005E41B2">
              <w:rPr>
                <w:b/>
                <w:sz w:val="16"/>
                <w:szCs w:val="16"/>
              </w:rPr>
              <w:t>Number of Reports</w:t>
            </w:r>
          </w:p>
          <w:p w14:paraId="768C1D77" w14:textId="77777777" w:rsidR="005548FD" w:rsidRPr="005E41B2" w:rsidRDefault="005548FD" w:rsidP="008E2162">
            <w:pPr>
              <w:tabs>
                <w:tab w:val="left" w:pos="-720"/>
                <w:tab w:val="left" w:pos="0"/>
              </w:tabs>
              <w:suppressAutoHyphens/>
              <w:jc w:val="center"/>
              <w:rPr>
                <w:b/>
                <w:sz w:val="16"/>
                <w:szCs w:val="16"/>
              </w:rPr>
            </w:pPr>
            <w:r w:rsidRPr="005E41B2">
              <w:rPr>
                <w:b/>
                <w:sz w:val="16"/>
                <w:szCs w:val="16"/>
              </w:rPr>
              <w:t>by Each Respondent</w:t>
            </w:r>
          </w:p>
        </w:tc>
        <w:tc>
          <w:tcPr>
            <w:tcW w:w="484" w:type="pct"/>
          </w:tcPr>
          <w:p w14:paraId="785347BA" w14:textId="77777777" w:rsidR="005548FD" w:rsidRDefault="005548FD" w:rsidP="008E2162">
            <w:pPr>
              <w:tabs>
                <w:tab w:val="left" w:pos="-720"/>
                <w:tab w:val="left" w:pos="0"/>
              </w:tabs>
              <w:suppressAutoHyphens/>
              <w:jc w:val="center"/>
              <w:rPr>
                <w:b/>
                <w:sz w:val="16"/>
                <w:szCs w:val="16"/>
              </w:rPr>
            </w:pPr>
            <w:r>
              <w:rPr>
                <w:b/>
                <w:sz w:val="16"/>
                <w:szCs w:val="16"/>
              </w:rPr>
              <w:t>4.</w:t>
            </w:r>
          </w:p>
          <w:p w14:paraId="2DF3A12F" w14:textId="77777777" w:rsidR="005548FD" w:rsidRPr="005E41B2" w:rsidRDefault="005548FD" w:rsidP="008E2162">
            <w:pPr>
              <w:tabs>
                <w:tab w:val="left" w:pos="-720"/>
                <w:tab w:val="left" w:pos="0"/>
              </w:tabs>
              <w:suppressAutoHyphens/>
              <w:jc w:val="center"/>
              <w:rPr>
                <w:b/>
                <w:sz w:val="16"/>
                <w:szCs w:val="16"/>
              </w:rPr>
            </w:pPr>
            <w:r w:rsidRPr="005E41B2">
              <w:rPr>
                <w:b/>
                <w:sz w:val="16"/>
                <w:szCs w:val="16"/>
              </w:rPr>
              <w:t>Estimated Average Number of Burden Hours per Response</w:t>
            </w:r>
          </w:p>
        </w:tc>
        <w:tc>
          <w:tcPr>
            <w:tcW w:w="564" w:type="pct"/>
          </w:tcPr>
          <w:p w14:paraId="767B503A" w14:textId="77777777" w:rsidR="005548FD" w:rsidRDefault="005548FD" w:rsidP="008E2162">
            <w:pPr>
              <w:tabs>
                <w:tab w:val="left" w:pos="-720"/>
                <w:tab w:val="left" w:pos="0"/>
              </w:tabs>
              <w:suppressAutoHyphens/>
              <w:jc w:val="center"/>
              <w:rPr>
                <w:b/>
                <w:sz w:val="16"/>
                <w:szCs w:val="16"/>
              </w:rPr>
            </w:pPr>
            <w:r>
              <w:rPr>
                <w:b/>
                <w:sz w:val="16"/>
                <w:szCs w:val="16"/>
              </w:rPr>
              <w:t>5.</w:t>
            </w:r>
          </w:p>
          <w:p w14:paraId="73C1BE33" w14:textId="77777777" w:rsidR="005548FD" w:rsidRDefault="005548FD" w:rsidP="008E2162">
            <w:pPr>
              <w:tabs>
                <w:tab w:val="left" w:pos="-720"/>
                <w:tab w:val="left" w:pos="0"/>
              </w:tabs>
              <w:suppressAutoHyphens/>
              <w:jc w:val="center"/>
              <w:rPr>
                <w:b/>
                <w:sz w:val="16"/>
                <w:szCs w:val="16"/>
              </w:rPr>
            </w:pPr>
            <w:r w:rsidRPr="005E41B2">
              <w:rPr>
                <w:b/>
                <w:sz w:val="16"/>
                <w:szCs w:val="16"/>
              </w:rPr>
              <w:t>Annual  Number of Burden Hours per Respondent</w:t>
            </w:r>
          </w:p>
          <w:p w14:paraId="6AAA9167" w14:textId="77777777" w:rsidR="005548FD" w:rsidRPr="005E41B2" w:rsidRDefault="005548FD" w:rsidP="008E2162">
            <w:pPr>
              <w:tabs>
                <w:tab w:val="left" w:pos="-720"/>
                <w:tab w:val="left" w:pos="0"/>
              </w:tabs>
              <w:suppressAutoHyphens/>
              <w:jc w:val="center"/>
              <w:rPr>
                <w:b/>
                <w:sz w:val="16"/>
                <w:szCs w:val="16"/>
              </w:rPr>
            </w:pPr>
            <w:r>
              <w:rPr>
                <w:b/>
                <w:sz w:val="16"/>
                <w:szCs w:val="16"/>
              </w:rPr>
              <w:t>(3 x 4)</w:t>
            </w:r>
          </w:p>
        </w:tc>
        <w:tc>
          <w:tcPr>
            <w:tcW w:w="444" w:type="pct"/>
          </w:tcPr>
          <w:p w14:paraId="2C990565" w14:textId="77777777" w:rsidR="005548FD" w:rsidRDefault="005548FD" w:rsidP="008E2162">
            <w:pPr>
              <w:tabs>
                <w:tab w:val="left" w:pos="-720"/>
                <w:tab w:val="left" w:pos="0"/>
              </w:tabs>
              <w:suppressAutoHyphens/>
              <w:jc w:val="center"/>
              <w:rPr>
                <w:b/>
                <w:sz w:val="16"/>
                <w:szCs w:val="16"/>
              </w:rPr>
            </w:pPr>
            <w:r>
              <w:rPr>
                <w:b/>
                <w:sz w:val="16"/>
                <w:szCs w:val="16"/>
              </w:rPr>
              <w:t>6.</w:t>
            </w:r>
            <w:r w:rsidRPr="005E41B2">
              <w:rPr>
                <w:b/>
                <w:sz w:val="16"/>
                <w:szCs w:val="16"/>
              </w:rPr>
              <w:t xml:space="preserve"> </w:t>
            </w:r>
          </w:p>
          <w:p w14:paraId="0570B987" w14:textId="77777777" w:rsidR="005548FD" w:rsidRDefault="005548FD" w:rsidP="008E2162">
            <w:pPr>
              <w:tabs>
                <w:tab w:val="left" w:pos="-720"/>
                <w:tab w:val="left" w:pos="0"/>
              </w:tabs>
              <w:suppressAutoHyphens/>
              <w:jc w:val="center"/>
              <w:rPr>
                <w:b/>
                <w:sz w:val="16"/>
                <w:szCs w:val="16"/>
              </w:rPr>
            </w:pPr>
            <w:r>
              <w:rPr>
                <w:b/>
                <w:sz w:val="16"/>
                <w:szCs w:val="16"/>
              </w:rPr>
              <w:t xml:space="preserve">Estimated </w:t>
            </w:r>
            <w:r w:rsidRPr="005E41B2">
              <w:rPr>
                <w:b/>
                <w:sz w:val="16"/>
                <w:szCs w:val="16"/>
              </w:rPr>
              <w:t>Average Burden Hour Cost</w:t>
            </w:r>
          </w:p>
          <w:p w14:paraId="508A2E9B" w14:textId="77777777" w:rsidR="005548FD" w:rsidRPr="005E41B2" w:rsidRDefault="005548FD" w:rsidP="008E2162">
            <w:pPr>
              <w:tabs>
                <w:tab w:val="left" w:pos="-720"/>
                <w:tab w:val="left" w:pos="0"/>
              </w:tabs>
              <w:suppressAutoHyphens/>
              <w:jc w:val="center"/>
              <w:rPr>
                <w:b/>
                <w:sz w:val="16"/>
                <w:szCs w:val="16"/>
              </w:rPr>
            </w:pPr>
          </w:p>
        </w:tc>
        <w:tc>
          <w:tcPr>
            <w:tcW w:w="523" w:type="pct"/>
          </w:tcPr>
          <w:p w14:paraId="602AE3D9" w14:textId="77777777" w:rsidR="005548FD" w:rsidRDefault="005548FD" w:rsidP="008E2162">
            <w:pPr>
              <w:jc w:val="center"/>
              <w:rPr>
                <w:rFonts w:cs="Arial"/>
                <w:b/>
                <w:sz w:val="16"/>
                <w:szCs w:val="16"/>
              </w:rPr>
            </w:pPr>
            <w:r>
              <w:rPr>
                <w:rFonts w:cs="Arial"/>
                <w:b/>
                <w:sz w:val="16"/>
                <w:szCs w:val="16"/>
              </w:rPr>
              <w:t>7.</w:t>
            </w:r>
          </w:p>
          <w:p w14:paraId="6873D91E" w14:textId="77777777" w:rsidR="005548FD" w:rsidRDefault="005548FD" w:rsidP="008E2162">
            <w:pPr>
              <w:jc w:val="center"/>
              <w:rPr>
                <w:rFonts w:cs="Arial"/>
                <w:b/>
                <w:sz w:val="16"/>
                <w:szCs w:val="16"/>
              </w:rPr>
            </w:pPr>
            <w:r w:rsidRPr="005E41B2">
              <w:rPr>
                <w:rFonts w:cs="Arial"/>
                <w:b/>
                <w:sz w:val="16"/>
                <w:szCs w:val="16"/>
              </w:rPr>
              <w:t xml:space="preserve">Total Average Hour Burden Cost Per </w:t>
            </w:r>
            <w:r>
              <w:rPr>
                <w:rFonts w:cs="Arial"/>
                <w:b/>
                <w:sz w:val="16"/>
                <w:szCs w:val="16"/>
              </w:rPr>
              <w:t>Respondent</w:t>
            </w:r>
          </w:p>
          <w:p w14:paraId="3F5D3335" w14:textId="77777777" w:rsidR="005548FD" w:rsidRPr="005E41B2" w:rsidRDefault="005548FD" w:rsidP="008E2162">
            <w:pPr>
              <w:jc w:val="center"/>
              <w:rPr>
                <w:rFonts w:cs="Arial"/>
                <w:b/>
                <w:sz w:val="16"/>
                <w:szCs w:val="16"/>
              </w:rPr>
            </w:pPr>
            <w:r>
              <w:rPr>
                <w:rFonts w:cs="Arial"/>
                <w:b/>
                <w:sz w:val="16"/>
                <w:szCs w:val="16"/>
              </w:rPr>
              <w:t>(5 x 6)</w:t>
            </w:r>
          </w:p>
        </w:tc>
        <w:tc>
          <w:tcPr>
            <w:tcW w:w="484" w:type="pct"/>
          </w:tcPr>
          <w:p w14:paraId="758253E3" w14:textId="77777777" w:rsidR="005548FD" w:rsidRDefault="005548FD" w:rsidP="008E2162">
            <w:pPr>
              <w:tabs>
                <w:tab w:val="left" w:pos="-720"/>
                <w:tab w:val="left" w:pos="0"/>
              </w:tabs>
              <w:suppressAutoHyphens/>
              <w:jc w:val="center"/>
              <w:rPr>
                <w:b/>
                <w:sz w:val="16"/>
                <w:szCs w:val="16"/>
              </w:rPr>
            </w:pPr>
            <w:r>
              <w:rPr>
                <w:b/>
                <w:sz w:val="16"/>
                <w:szCs w:val="16"/>
              </w:rPr>
              <w:t>8.</w:t>
            </w:r>
          </w:p>
          <w:p w14:paraId="23D9314A" w14:textId="77777777" w:rsidR="005548FD" w:rsidRPr="005E41B2" w:rsidRDefault="005548FD" w:rsidP="008E2162">
            <w:pPr>
              <w:tabs>
                <w:tab w:val="left" w:pos="-720"/>
                <w:tab w:val="left" w:pos="0"/>
              </w:tabs>
              <w:suppressAutoHyphens/>
              <w:jc w:val="center"/>
              <w:rPr>
                <w:b/>
                <w:sz w:val="16"/>
                <w:szCs w:val="16"/>
              </w:rPr>
            </w:pPr>
            <w:r w:rsidRPr="005E41B2">
              <w:rPr>
                <w:b/>
                <w:sz w:val="16"/>
                <w:szCs w:val="16"/>
              </w:rPr>
              <w:t>Total Annual</w:t>
            </w:r>
          </w:p>
          <w:p w14:paraId="5E44A718" w14:textId="77777777" w:rsidR="005548FD" w:rsidRPr="005E41B2" w:rsidRDefault="005548FD" w:rsidP="008E2162">
            <w:pPr>
              <w:tabs>
                <w:tab w:val="left" w:pos="-720"/>
                <w:tab w:val="left" w:pos="0"/>
              </w:tabs>
              <w:suppressAutoHyphens/>
              <w:jc w:val="center"/>
              <w:rPr>
                <w:b/>
                <w:sz w:val="16"/>
                <w:szCs w:val="16"/>
              </w:rPr>
            </w:pPr>
            <w:r w:rsidRPr="005E41B2">
              <w:rPr>
                <w:b/>
                <w:sz w:val="16"/>
                <w:szCs w:val="16"/>
              </w:rPr>
              <w:t>Responses</w:t>
            </w:r>
          </w:p>
          <w:p w14:paraId="0ACB1AF0" w14:textId="77777777" w:rsidR="005548FD" w:rsidRPr="005E41B2" w:rsidRDefault="005548FD" w:rsidP="008E2162">
            <w:pPr>
              <w:tabs>
                <w:tab w:val="left" w:pos="-720"/>
                <w:tab w:val="left" w:pos="0"/>
              </w:tabs>
              <w:suppressAutoHyphens/>
              <w:jc w:val="center"/>
              <w:rPr>
                <w:b/>
                <w:sz w:val="16"/>
                <w:szCs w:val="16"/>
              </w:rPr>
            </w:pPr>
            <w:r w:rsidRPr="005E41B2">
              <w:rPr>
                <w:b/>
                <w:sz w:val="16"/>
                <w:szCs w:val="16"/>
              </w:rPr>
              <w:t>(2 x 3)</w:t>
            </w:r>
          </w:p>
        </w:tc>
        <w:tc>
          <w:tcPr>
            <w:tcW w:w="405" w:type="pct"/>
          </w:tcPr>
          <w:p w14:paraId="2CD52D26" w14:textId="77777777" w:rsidR="005548FD" w:rsidRPr="00C91CB5" w:rsidRDefault="005548FD" w:rsidP="008E2162">
            <w:pPr>
              <w:tabs>
                <w:tab w:val="left" w:pos="-720"/>
                <w:tab w:val="left" w:pos="0"/>
              </w:tabs>
              <w:suppressAutoHyphens/>
              <w:jc w:val="center"/>
              <w:rPr>
                <w:b/>
                <w:sz w:val="16"/>
                <w:szCs w:val="16"/>
              </w:rPr>
            </w:pPr>
            <w:r>
              <w:rPr>
                <w:b/>
                <w:sz w:val="16"/>
                <w:szCs w:val="16"/>
              </w:rPr>
              <w:t>9</w:t>
            </w:r>
            <w:r w:rsidRPr="00C91CB5">
              <w:rPr>
                <w:b/>
                <w:sz w:val="16"/>
                <w:szCs w:val="16"/>
              </w:rPr>
              <w:t>.</w:t>
            </w:r>
          </w:p>
          <w:p w14:paraId="0931DAFB" w14:textId="77777777" w:rsidR="005548FD" w:rsidRDefault="005548FD" w:rsidP="008E2162">
            <w:pPr>
              <w:tabs>
                <w:tab w:val="left" w:pos="-720"/>
                <w:tab w:val="left" w:pos="0"/>
              </w:tabs>
              <w:suppressAutoHyphens/>
              <w:jc w:val="center"/>
              <w:rPr>
                <w:b/>
                <w:sz w:val="16"/>
                <w:szCs w:val="16"/>
              </w:rPr>
            </w:pPr>
            <w:r w:rsidRPr="00C91CB5">
              <w:rPr>
                <w:b/>
                <w:sz w:val="16"/>
                <w:szCs w:val="16"/>
              </w:rPr>
              <w:t>Total Annual  Number of Burden Hours</w:t>
            </w:r>
          </w:p>
          <w:p w14:paraId="58AA904C" w14:textId="77777777" w:rsidR="005548FD" w:rsidRDefault="005548FD" w:rsidP="008E2162">
            <w:pPr>
              <w:tabs>
                <w:tab w:val="left" w:pos="-720"/>
                <w:tab w:val="left" w:pos="0"/>
              </w:tabs>
              <w:suppressAutoHyphens/>
              <w:jc w:val="center"/>
              <w:rPr>
                <w:b/>
                <w:sz w:val="16"/>
                <w:szCs w:val="16"/>
              </w:rPr>
            </w:pPr>
            <w:r>
              <w:rPr>
                <w:b/>
                <w:sz w:val="16"/>
                <w:szCs w:val="16"/>
              </w:rPr>
              <w:t>(2 x 5)</w:t>
            </w:r>
          </w:p>
        </w:tc>
        <w:tc>
          <w:tcPr>
            <w:tcW w:w="523" w:type="pct"/>
          </w:tcPr>
          <w:p w14:paraId="226E8788" w14:textId="77777777" w:rsidR="005548FD" w:rsidRDefault="005548FD" w:rsidP="008E2162">
            <w:pPr>
              <w:tabs>
                <w:tab w:val="left" w:pos="-720"/>
                <w:tab w:val="left" w:pos="0"/>
              </w:tabs>
              <w:suppressAutoHyphens/>
              <w:jc w:val="center"/>
              <w:rPr>
                <w:b/>
                <w:sz w:val="16"/>
                <w:szCs w:val="16"/>
              </w:rPr>
            </w:pPr>
            <w:r>
              <w:rPr>
                <w:b/>
                <w:sz w:val="16"/>
                <w:szCs w:val="16"/>
              </w:rPr>
              <w:t>10.</w:t>
            </w:r>
          </w:p>
          <w:p w14:paraId="055230AB" w14:textId="77777777" w:rsidR="005548FD" w:rsidRDefault="005548FD" w:rsidP="008E2162">
            <w:pPr>
              <w:tabs>
                <w:tab w:val="left" w:pos="-720"/>
                <w:tab w:val="left" w:pos="0"/>
              </w:tabs>
              <w:suppressAutoHyphens/>
              <w:jc w:val="center"/>
              <w:rPr>
                <w:b/>
                <w:sz w:val="16"/>
                <w:szCs w:val="16"/>
              </w:rPr>
            </w:pPr>
            <w:r w:rsidRPr="005E41B2">
              <w:rPr>
                <w:b/>
                <w:sz w:val="16"/>
                <w:szCs w:val="16"/>
              </w:rPr>
              <w:t xml:space="preserve">Total Annual </w:t>
            </w:r>
            <w:r>
              <w:rPr>
                <w:b/>
                <w:sz w:val="16"/>
                <w:szCs w:val="16"/>
              </w:rPr>
              <w:t>Burden Hour Cost of A</w:t>
            </w:r>
            <w:r w:rsidRPr="005E41B2">
              <w:rPr>
                <w:b/>
                <w:sz w:val="16"/>
                <w:szCs w:val="16"/>
              </w:rPr>
              <w:t xml:space="preserve">ll </w:t>
            </w:r>
            <w:r>
              <w:rPr>
                <w:b/>
                <w:sz w:val="16"/>
                <w:szCs w:val="16"/>
              </w:rPr>
              <w:t>R</w:t>
            </w:r>
            <w:r w:rsidRPr="005E41B2">
              <w:rPr>
                <w:b/>
                <w:sz w:val="16"/>
                <w:szCs w:val="16"/>
              </w:rPr>
              <w:t>esponses</w:t>
            </w:r>
          </w:p>
          <w:p w14:paraId="3D21D5CE" w14:textId="77777777" w:rsidR="005548FD" w:rsidRPr="005E41B2" w:rsidDel="009C6DB4" w:rsidRDefault="005548FD" w:rsidP="008E2162">
            <w:pPr>
              <w:tabs>
                <w:tab w:val="left" w:pos="-720"/>
                <w:tab w:val="left" w:pos="0"/>
              </w:tabs>
              <w:suppressAutoHyphens/>
              <w:jc w:val="center"/>
              <w:rPr>
                <w:b/>
                <w:sz w:val="16"/>
                <w:szCs w:val="16"/>
              </w:rPr>
            </w:pPr>
            <w:r>
              <w:rPr>
                <w:b/>
                <w:sz w:val="16"/>
                <w:szCs w:val="16"/>
              </w:rPr>
              <w:t>(2 x 7)</w:t>
            </w:r>
          </w:p>
        </w:tc>
      </w:tr>
      <w:tr w:rsidR="005548FD" w:rsidRPr="008F6D4A" w14:paraId="7133FAFB" w14:textId="77777777" w:rsidTr="0000738C">
        <w:trPr>
          <w:trHeight w:val="981"/>
        </w:trPr>
        <w:tc>
          <w:tcPr>
            <w:tcW w:w="444" w:type="pct"/>
          </w:tcPr>
          <w:p w14:paraId="5BBC986F" w14:textId="77777777" w:rsidR="005548FD" w:rsidRPr="008F6D4A" w:rsidRDefault="005548FD" w:rsidP="008E2162">
            <w:pPr>
              <w:tabs>
                <w:tab w:val="left" w:pos="-720"/>
                <w:tab w:val="left" w:pos="0"/>
              </w:tabs>
              <w:suppressAutoHyphens/>
              <w:jc w:val="center"/>
              <w:rPr>
                <w:b/>
                <w:sz w:val="16"/>
                <w:szCs w:val="16"/>
              </w:rPr>
            </w:pPr>
            <w:r>
              <w:rPr>
                <w:b/>
                <w:sz w:val="16"/>
                <w:szCs w:val="16"/>
              </w:rPr>
              <w:t>Form 7-R</w:t>
            </w:r>
          </w:p>
        </w:tc>
        <w:tc>
          <w:tcPr>
            <w:tcW w:w="565" w:type="pct"/>
          </w:tcPr>
          <w:p w14:paraId="6D30B6DC" w14:textId="77777777" w:rsidR="005548FD" w:rsidRPr="008F6D4A" w:rsidRDefault="005548FD" w:rsidP="008E2162">
            <w:pPr>
              <w:tabs>
                <w:tab w:val="left" w:pos="-720"/>
                <w:tab w:val="left" w:pos="0"/>
              </w:tabs>
              <w:suppressAutoHyphens/>
              <w:jc w:val="center"/>
              <w:rPr>
                <w:b/>
                <w:sz w:val="16"/>
                <w:szCs w:val="16"/>
              </w:rPr>
            </w:pPr>
            <w:r>
              <w:rPr>
                <w:b/>
                <w:sz w:val="16"/>
                <w:szCs w:val="16"/>
              </w:rPr>
              <w:t>14</w:t>
            </w:r>
          </w:p>
        </w:tc>
        <w:tc>
          <w:tcPr>
            <w:tcW w:w="564" w:type="pct"/>
          </w:tcPr>
          <w:p w14:paraId="00E3FC47" w14:textId="77777777" w:rsidR="005548FD" w:rsidRPr="008F6D4A" w:rsidRDefault="005548FD" w:rsidP="008E2162">
            <w:pPr>
              <w:tabs>
                <w:tab w:val="left" w:pos="-720"/>
                <w:tab w:val="left" w:pos="0"/>
              </w:tabs>
              <w:suppressAutoHyphens/>
              <w:jc w:val="center"/>
              <w:rPr>
                <w:b/>
                <w:sz w:val="16"/>
                <w:szCs w:val="16"/>
              </w:rPr>
            </w:pPr>
            <w:r>
              <w:rPr>
                <w:b/>
                <w:sz w:val="16"/>
                <w:szCs w:val="16"/>
              </w:rPr>
              <w:t>1</w:t>
            </w:r>
          </w:p>
        </w:tc>
        <w:tc>
          <w:tcPr>
            <w:tcW w:w="484" w:type="pct"/>
          </w:tcPr>
          <w:p w14:paraId="4551E7EA" w14:textId="77777777" w:rsidR="005548FD" w:rsidRPr="008F6D4A" w:rsidRDefault="005548FD" w:rsidP="008E2162">
            <w:pPr>
              <w:tabs>
                <w:tab w:val="left" w:pos="-720"/>
                <w:tab w:val="left" w:pos="0"/>
              </w:tabs>
              <w:suppressAutoHyphens/>
              <w:jc w:val="center"/>
              <w:rPr>
                <w:b/>
                <w:sz w:val="16"/>
                <w:szCs w:val="16"/>
              </w:rPr>
            </w:pPr>
            <w:r>
              <w:rPr>
                <w:b/>
                <w:sz w:val="16"/>
                <w:szCs w:val="16"/>
              </w:rPr>
              <w:t>1</w:t>
            </w:r>
          </w:p>
        </w:tc>
        <w:tc>
          <w:tcPr>
            <w:tcW w:w="564" w:type="pct"/>
          </w:tcPr>
          <w:p w14:paraId="723AD7B8" w14:textId="77777777" w:rsidR="005548FD" w:rsidRPr="008F6D4A" w:rsidRDefault="005548FD" w:rsidP="008E2162">
            <w:pPr>
              <w:tabs>
                <w:tab w:val="left" w:pos="-720"/>
                <w:tab w:val="left" w:pos="0"/>
              </w:tabs>
              <w:suppressAutoHyphens/>
              <w:jc w:val="center"/>
              <w:rPr>
                <w:b/>
                <w:sz w:val="16"/>
                <w:szCs w:val="16"/>
              </w:rPr>
            </w:pPr>
            <w:r>
              <w:rPr>
                <w:b/>
                <w:sz w:val="16"/>
                <w:szCs w:val="16"/>
              </w:rPr>
              <w:t>1</w:t>
            </w:r>
          </w:p>
        </w:tc>
        <w:tc>
          <w:tcPr>
            <w:tcW w:w="444" w:type="pct"/>
          </w:tcPr>
          <w:p w14:paraId="56729FBC" w14:textId="77777777" w:rsidR="005548FD" w:rsidRPr="008F6D4A" w:rsidRDefault="005548FD" w:rsidP="008E2162">
            <w:pPr>
              <w:tabs>
                <w:tab w:val="left" w:pos="-720"/>
                <w:tab w:val="left" w:pos="0"/>
              </w:tabs>
              <w:suppressAutoHyphens/>
              <w:jc w:val="center"/>
              <w:rPr>
                <w:b/>
                <w:sz w:val="16"/>
                <w:szCs w:val="16"/>
              </w:rPr>
            </w:pPr>
            <w:r>
              <w:rPr>
                <w:b/>
                <w:sz w:val="16"/>
                <w:szCs w:val="16"/>
              </w:rPr>
              <w:t>$160</w:t>
            </w:r>
          </w:p>
        </w:tc>
        <w:tc>
          <w:tcPr>
            <w:tcW w:w="523" w:type="pct"/>
          </w:tcPr>
          <w:p w14:paraId="0666CCBC" w14:textId="77777777" w:rsidR="005548FD" w:rsidRPr="005E41B2" w:rsidRDefault="005548FD" w:rsidP="008E2162">
            <w:pPr>
              <w:jc w:val="center"/>
              <w:rPr>
                <w:rFonts w:cs="Arial"/>
                <w:b/>
                <w:sz w:val="16"/>
                <w:szCs w:val="16"/>
              </w:rPr>
            </w:pPr>
            <w:r>
              <w:rPr>
                <w:rFonts w:cs="Arial"/>
                <w:b/>
                <w:sz w:val="16"/>
                <w:szCs w:val="16"/>
              </w:rPr>
              <w:t>$160</w:t>
            </w:r>
          </w:p>
        </w:tc>
        <w:tc>
          <w:tcPr>
            <w:tcW w:w="484" w:type="pct"/>
          </w:tcPr>
          <w:p w14:paraId="30C90F2E" w14:textId="77777777" w:rsidR="005548FD" w:rsidRPr="008F6D4A" w:rsidRDefault="005548FD" w:rsidP="008E2162">
            <w:pPr>
              <w:tabs>
                <w:tab w:val="left" w:pos="-720"/>
                <w:tab w:val="left" w:pos="0"/>
              </w:tabs>
              <w:suppressAutoHyphens/>
              <w:jc w:val="center"/>
              <w:rPr>
                <w:b/>
                <w:sz w:val="16"/>
                <w:szCs w:val="16"/>
              </w:rPr>
            </w:pPr>
            <w:r>
              <w:rPr>
                <w:b/>
                <w:sz w:val="16"/>
                <w:szCs w:val="16"/>
              </w:rPr>
              <w:t>14</w:t>
            </w:r>
          </w:p>
        </w:tc>
        <w:tc>
          <w:tcPr>
            <w:tcW w:w="405" w:type="pct"/>
          </w:tcPr>
          <w:p w14:paraId="2C582B1C" w14:textId="77777777" w:rsidR="005548FD" w:rsidRPr="008F6D4A" w:rsidRDefault="005548FD" w:rsidP="008E2162">
            <w:pPr>
              <w:tabs>
                <w:tab w:val="left" w:pos="-720"/>
                <w:tab w:val="left" w:pos="0"/>
              </w:tabs>
              <w:suppressAutoHyphens/>
              <w:jc w:val="center"/>
              <w:rPr>
                <w:b/>
                <w:sz w:val="16"/>
                <w:szCs w:val="16"/>
              </w:rPr>
            </w:pPr>
            <w:r>
              <w:rPr>
                <w:b/>
                <w:sz w:val="16"/>
                <w:szCs w:val="16"/>
              </w:rPr>
              <w:t>14</w:t>
            </w:r>
          </w:p>
        </w:tc>
        <w:tc>
          <w:tcPr>
            <w:tcW w:w="523" w:type="pct"/>
          </w:tcPr>
          <w:p w14:paraId="4D7A8B04" w14:textId="77777777" w:rsidR="005548FD" w:rsidRPr="008F6D4A" w:rsidRDefault="005548FD" w:rsidP="008E2162">
            <w:pPr>
              <w:tabs>
                <w:tab w:val="left" w:pos="-720"/>
                <w:tab w:val="left" w:pos="0"/>
              </w:tabs>
              <w:suppressAutoHyphens/>
              <w:jc w:val="center"/>
              <w:rPr>
                <w:b/>
                <w:sz w:val="16"/>
                <w:szCs w:val="16"/>
              </w:rPr>
            </w:pPr>
            <w:r>
              <w:rPr>
                <w:b/>
                <w:sz w:val="16"/>
                <w:szCs w:val="16"/>
              </w:rPr>
              <w:t>$2240</w:t>
            </w:r>
          </w:p>
        </w:tc>
      </w:tr>
      <w:tr w:rsidR="005548FD" w:rsidRPr="008F6D4A" w14:paraId="7EBC77CA" w14:textId="77777777" w:rsidTr="0000738C">
        <w:trPr>
          <w:trHeight w:val="981"/>
        </w:trPr>
        <w:tc>
          <w:tcPr>
            <w:tcW w:w="444" w:type="pct"/>
          </w:tcPr>
          <w:p w14:paraId="723069EA" w14:textId="77777777" w:rsidR="005548FD" w:rsidRDefault="005548FD" w:rsidP="008E2162">
            <w:pPr>
              <w:tabs>
                <w:tab w:val="left" w:pos="-720"/>
                <w:tab w:val="left" w:pos="0"/>
              </w:tabs>
              <w:suppressAutoHyphens/>
              <w:jc w:val="center"/>
              <w:rPr>
                <w:b/>
                <w:sz w:val="16"/>
                <w:szCs w:val="16"/>
              </w:rPr>
            </w:pPr>
            <w:r>
              <w:rPr>
                <w:b/>
                <w:sz w:val="16"/>
                <w:szCs w:val="16"/>
              </w:rPr>
              <w:t>Form 8-R</w:t>
            </w:r>
          </w:p>
        </w:tc>
        <w:tc>
          <w:tcPr>
            <w:tcW w:w="565" w:type="pct"/>
          </w:tcPr>
          <w:p w14:paraId="465C2414" w14:textId="77777777" w:rsidR="005548FD" w:rsidRDefault="005548FD" w:rsidP="008E2162">
            <w:pPr>
              <w:tabs>
                <w:tab w:val="left" w:pos="-720"/>
                <w:tab w:val="left" w:pos="0"/>
              </w:tabs>
              <w:suppressAutoHyphens/>
              <w:jc w:val="center"/>
              <w:rPr>
                <w:b/>
                <w:sz w:val="16"/>
                <w:szCs w:val="16"/>
              </w:rPr>
            </w:pPr>
            <w:r>
              <w:rPr>
                <w:b/>
                <w:sz w:val="16"/>
                <w:szCs w:val="16"/>
              </w:rPr>
              <w:t>14</w:t>
            </w:r>
          </w:p>
        </w:tc>
        <w:tc>
          <w:tcPr>
            <w:tcW w:w="564" w:type="pct"/>
          </w:tcPr>
          <w:p w14:paraId="57E0E6A9" w14:textId="77777777" w:rsidR="005548FD" w:rsidRDefault="005548FD" w:rsidP="008E2162">
            <w:pPr>
              <w:tabs>
                <w:tab w:val="left" w:pos="-720"/>
                <w:tab w:val="left" w:pos="0"/>
              </w:tabs>
              <w:suppressAutoHyphens/>
              <w:jc w:val="center"/>
              <w:rPr>
                <w:b/>
                <w:sz w:val="16"/>
                <w:szCs w:val="16"/>
              </w:rPr>
            </w:pPr>
            <w:r>
              <w:rPr>
                <w:b/>
                <w:sz w:val="16"/>
                <w:szCs w:val="16"/>
              </w:rPr>
              <w:t>5</w:t>
            </w:r>
          </w:p>
        </w:tc>
        <w:tc>
          <w:tcPr>
            <w:tcW w:w="484" w:type="pct"/>
          </w:tcPr>
          <w:p w14:paraId="69FDC19A" w14:textId="77777777" w:rsidR="005548FD" w:rsidRDefault="005548FD" w:rsidP="008E2162">
            <w:pPr>
              <w:tabs>
                <w:tab w:val="left" w:pos="-720"/>
                <w:tab w:val="left" w:pos="0"/>
              </w:tabs>
              <w:suppressAutoHyphens/>
              <w:jc w:val="center"/>
              <w:rPr>
                <w:b/>
                <w:sz w:val="16"/>
                <w:szCs w:val="16"/>
              </w:rPr>
            </w:pPr>
            <w:r>
              <w:rPr>
                <w:b/>
                <w:sz w:val="16"/>
                <w:szCs w:val="16"/>
              </w:rPr>
              <w:t>.8</w:t>
            </w:r>
          </w:p>
        </w:tc>
        <w:tc>
          <w:tcPr>
            <w:tcW w:w="564" w:type="pct"/>
          </w:tcPr>
          <w:p w14:paraId="46F9137A" w14:textId="77777777" w:rsidR="005548FD" w:rsidRDefault="005548FD" w:rsidP="008E2162">
            <w:pPr>
              <w:tabs>
                <w:tab w:val="left" w:pos="-720"/>
                <w:tab w:val="left" w:pos="0"/>
              </w:tabs>
              <w:suppressAutoHyphens/>
              <w:jc w:val="center"/>
              <w:rPr>
                <w:b/>
                <w:sz w:val="16"/>
                <w:szCs w:val="16"/>
              </w:rPr>
            </w:pPr>
            <w:r>
              <w:rPr>
                <w:b/>
                <w:sz w:val="16"/>
                <w:szCs w:val="16"/>
              </w:rPr>
              <w:t>4</w:t>
            </w:r>
          </w:p>
        </w:tc>
        <w:tc>
          <w:tcPr>
            <w:tcW w:w="444" w:type="pct"/>
          </w:tcPr>
          <w:p w14:paraId="5C6D03B0" w14:textId="77777777" w:rsidR="005548FD" w:rsidRDefault="005548FD" w:rsidP="008E2162">
            <w:pPr>
              <w:tabs>
                <w:tab w:val="left" w:pos="-720"/>
                <w:tab w:val="left" w:pos="0"/>
              </w:tabs>
              <w:suppressAutoHyphens/>
              <w:jc w:val="center"/>
              <w:rPr>
                <w:b/>
                <w:sz w:val="16"/>
                <w:szCs w:val="16"/>
              </w:rPr>
            </w:pPr>
            <w:r>
              <w:rPr>
                <w:b/>
                <w:sz w:val="16"/>
                <w:szCs w:val="16"/>
              </w:rPr>
              <w:t>$160</w:t>
            </w:r>
          </w:p>
        </w:tc>
        <w:tc>
          <w:tcPr>
            <w:tcW w:w="523" w:type="pct"/>
          </w:tcPr>
          <w:p w14:paraId="5D336501" w14:textId="77777777" w:rsidR="005548FD" w:rsidRDefault="005548FD" w:rsidP="008E2162">
            <w:pPr>
              <w:jc w:val="center"/>
              <w:rPr>
                <w:rFonts w:cs="Arial"/>
                <w:b/>
                <w:sz w:val="16"/>
                <w:szCs w:val="16"/>
              </w:rPr>
            </w:pPr>
            <w:r>
              <w:rPr>
                <w:rFonts w:cs="Arial"/>
                <w:b/>
                <w:sz w:val="16"/>
                <w:szCs w:val="16"/>
              </w:rPr>
              <w:t>$640</w:t>
            </w:r>
          </w:p>
        </w:tc>
        <w:tc>
          <w:tcPr>
            <w:tcW w:w="484" w:type="pct"/>
          </w:tcPr>
          <w:p w14:paraId="17B6D10D" w14:textId="77777777" w:rsidR="005548FD" w:rsidRDefault="005548FD" w:rsidP="008E2162">
            <w:pPr>
              <w:tabs>
                <w:tab w:val="left" w:pos="-720"/>
                <w:tab w:val="left" w:pos="0"/>
              </w:tabs>
              <w:suppressAutoHyphens/>
              <w:jc w:val="center"/>
              <w:rPr>
                <w:b/>
                <w:sz w:val="16"/>
                <w:szCs w:val="16"/>
              </w:rPr>
            </w:pPr>
            <w:r>
              <w:rPr>
                <w:b/>
                <w:sz w:val="16"/>
                <w:szCs w:val="16"/>
              </w:rPr>
              <w:t>70</w:t>
            </w:r>
          </w:p>
        </w:tc>
        <w:tc>
          <w:tcPr>
            <w:tcW w:w="405" w:type="pct"/>
          </w:tcPr>
          <w:p w14:paraId="5B7E9299" w14:textId="77777777" w:rsidR="005548FD" w:rsidRDefault="005548FD" w:rsidP="008E2162">
            <w:pPr>
              <w:tabs>
                <w:tab w:val="left" w:pos="-720"/>
                <w:tab w:val="left" w:pos="0"/>
              </w:tabs>
              <w:suppressAutoHyphens/>
              <w:jc w:val="center"/>
              <w:rPr>
                <w:b/>
                <w:sz w:val="16"/>
                <w:szCs w:val="16"/>
              </w:rPr>
            </w:pPr>
            <w:r>
              <w:rPr>
                <w:b/>
                <w:sz w:val="16"/>
                <w:szCs w:val="16"/>
              </w:rPr>
              <w:t>56</w:t>
            </w:r>
          </w:p>
        </w:tc>
        <w:tc>
          <w:tcPr>
            <w:tcW w:w="523" w:type="pct"/>
          </w:tcPr>
          <w:p w14:paraId="21CADE3C" w14:textId="77777777" w:rsidR="005548FD" w:rsidRDefault="005548FD" w:rsidP="008E2162">
            <w:pPr>
              <w:tabs>
                <w:tab w:val="left" w:pos="-720"/>
                <w:tab w:val="left" w:pos="0"/>
              </w:tabs>
              <w:suppressAutoHyphens/>
              <w:jc w:val="center"/>
              <w:rPr>
                <w:b/>
                <w:sz w:val="16"/>
                <w:szCs w:val="16"/>
              </w:rPr>
            </w:pPr>
            <w:r>
              <w:rPr>
                <w:b/>
                <w:sz w:val="16"/>
                <w:szCs w:val="16"/>
              </w:rPr>
              <w:t>$8960</w:t>
            </w:r>
          </w:p>
        </w:tc>
      </w:tr>
      <w:tr w:rsidR="005548FD" w:rsidRPr="008F6D4A" w14:paraId="764C080D" w14:textId="77777777" w:rsidTr="0000738C">
        <w:trPr>
          <w:trHeight w:val="981"/>
        </w:trPr>
        <w:tc>
          <w:tcPr>
            <w:tcW w:w="444" w:type="pct"/>
          </w:tcPr>
          <w:p w14:paraId="1F4C71FA" w14:textId="77777777" w:rsidR="005548FD" w:rsidRDefault="005548FD" w:rsidP="008E2162">
            <w:pPr>
              <w:tabs>
                <w:tab w:val="left" w:pos="-720"/>
                <w:tab w:val="left" w:pos="0"/>
              </w:tabs>
              <w:suppressAutoHyphens/>
              <w:jc w:val="center"/>
              <w:rPr>
                <w:b/>
                <w:sz w:val="16"/>
                <w:szCs w:val="16"/>
              </w:rPr>
            </w:pPr>
            <w:r>
              <w:rPr>
                <w:b/>
                <w:sz w:val="16"/>
                <w:szCs w:val="16"/>
              </w:rPr>
              <w:t>Form 8-T</w:t>
            </w:r>
          </w:p>
        </w:tc>
        <w:tc>
          <w:tcPr>
            <w:tcW w:w="565" w:type="pct"/>
          </w:tcPr>
          <w:p w14:paraId="52BD4562" w14:textId="77777777" w:rsidR="005548FD" w:rsidRDefault="005548FD" w:rsidP="008E2162">
            <w:pPr>
              <w:tabs>
                <w:tab w:val="left" w:pos="-720"/>
                <w:tab w:val="left" w:pos="0"/>
              </w:tabs>
              <w:suppressAutoHyphens/>
              <w:jc w:val="center"/>
              <w:rPr>
                <w:b/>
                <w:sz w:val="16"/>
                <w:szCs w:val="16"/>
              </w:rPr>
            </w:pPr>
            <w:r>
              <w:rPr>
                <w:b/>
                <w:sz w:val="16"/>
                <w:szCs w:val="16"/>
              </w:rPr>
              <w:t>2</w:t>
            </w:r>
            <w:r>
              <w:rPr>
                <w:rStyle w:val="FootnoteReference"/>
                <w:b/>
                <w:sz w:val="16"/>
                <w:szCs w:val="16"/>
              </w:rPr>
              <w:footnoteReference w:id="11"/>
            </w:r>
          </w:p>
        </w:tc>
        <w:tc>
          <w:tcPr>
            <w:tcW w:w="564" w:type="pct"/>
          </w:tcPr>
          <w:p w14:paraId="421B97F8" w14:textId="77777777" w:rsidR="005548FD" w:rsidRDefault="005548FD" w:rsidP="008E2162">
            <w:pPr>
              <w:tabs>
                <w:tab w:val="left" w:pos="-720"/>
                <w:tab w:val="left" w:pos="0"/>
              </w:tabs>
              <w:suppressAutoHyphens/>
              <w:jc w:val="center"/>
              <w:rPr>
                <w:b/>
                <w:sz w:val="16"/>
                <w:szCs w:val="16"/>
              </w:rPr>
            </w:pPr>
            <w:r>
              <w:rPr>
                <w:b/>
                <w:sz w:val="16"/>
                <w:szCs w:val="16"/>
              </w:rPr>
              <w:t>1</w:t>
            </w:r>
          </w:p>
        </w:tc>
        <w:tc>
          <w:tcPr>
            <w:tcW w:w="484" w:type="pct"/>
          </w:tcPr>
          <w:p w14:paraId="37A1D6FE" w14:textId="77777777" w:rsidR="005548FD" w:rsidRDefault="005548FD" w:rsidP="008E2162">
            <w:pPr>
              <w:tabs>
                <w:tab w:val="left" w:pos="-720"/>
                <w:tab w:val="left" w:pos="0"/>
              </w:tabs>
              <w:suppressAutoHyphens/>
              <w:jc w:val="center"/>
              <w:rPr>
                <w:b/>
                <w:sz w:val="16"/>
                <w:szCs w:val="16"/>
              </w:rPr>
            </w:pPr>
            <w:r>
              <w:rPr>
                <w:b/>
                <w:sz w:val="16"/>
                <w:szCs w:val="16"/>
              </w:rPr>
              <w:t>.2</w:t>
            </w:r>
          </w:p>
        </w:tc>
        <w:tc>
          <w:tcPr>
            <w:tcW w:w="564" w:type="pct"/>
          </w:tcPr>
          <w:p w14:paraId="56C19634" w14:textId="77777777" w:rsidR="005548FD" w:rsidRDefault="005548FD" w:rsidP="008E2162">
            <w:pPr>
              <w:tabs>
                <w:tab w:val="left" w:pos="-720"/>
                <w:tab w:val="left" w:pos="0"/>
              </w:tabs>
              <w:suppressAutoHyphens/>
              <w:jc w:val="center"/>
              <w:rPr>
                <w:b/>
                <w:sz w:val="16"/>
                <w:szCs w:val="16"/>
              </w:rPr>
            </w:pPr>
            <w:r>
              <w:rPr>
                <w:b/>
                <w:sz w:val="16"/>
                <w:szCs w:val="16"/>
              </w:rPr>
              <w:t>.2</w:t>
            </w:r>
          </w:p>
        </w:tc>
        <w:tc>
          <w:tcPr>
            <w:tcW w:w="444" w:type="pct"/>
          </w:tcPr>
          <w:p w14:paraId="5BAC311D" w14:textId="77777777" w:rsidR="005548FD" w:rsidRDefault="005548FD" w:rsidP="008E2162">
            <w:pPr>
              <w:tabs>
                <w:tab w:val="left" w:pos="-720"/>
                <w:tab w:val="left" w:pos="0"/>
              </w:tabs>
              <w:suppressAutoHyphens/>
              <w:jc w:val="center"/>
              <w:rPr>
                <w:b/>
                <w:sz w:val="16"/>
                <w:szCs w:val="16"/>
              </w:rPr>
            </w:pPr>
            <w:r>
              <w:rPr>
                <w:b/>
                <w:sz w:val="16"/>
                <w:szCs w:val="16"/>
              </w:rPr>
              <w:t>$160</w:t>
            </w:r>
          </w:p>
        </w:tc>
        <w:tc>
          <w:tcPr>
            <w:tcW w:w="523" w:type="pct"/>
          </w:tcPr>
          <w:p w14:paraId="77E518C6" w14:textId="77777777" w:rsidR="005548FD" w:rsidRDefault="005548FD" w:rsidP="008E2162">
            <w:pPr>
              <w:jc w:val="center"/>
              <w:rPr>
                <w:rFonts w:cs="Arial"/>
                <w:b/>
                <w:sz w:val="16"/>
                <w:szCs w:val="16"/>
              </w:rPr>
            </w:pPr>
            <w:r>
              <w:rPr>
                <w:rFonts w:cs="Arial"/>
                <w:b/>
                <w:sz w:val="16"/>
                <w:szCs w:val="16"/>
              </w:rPr>
              <w:t>$32</w:t>
            </w:r>
          </w:p>
        </w:tc>
        <w:tc>
          <w:tcPr>
            <w:tcW w:w="484" w:type="pct"/>
          </w:tcPr>
          <w:p w14:paraId="2AF44BB5" w14:textId="77777777" w:rsidR="005548FD" w:rsidRDefault="005548FD" w:rsidP="008E2162">
            <w:pPr>
              <w:tabs>
                <w:tab w:val="left" w:pos="-720"/>
                <w:tab w:val="left" w:pos="0"/>
              </w:tabs>
              <w:suppressAutoHyphens/>
              <w:jc w:val="center"/>
              <w:rPr>
                <w:b/>
                <w:sz w:val="16"/>
                <w:szCs w:val="16"/>
              </w:rPr>
            </w:pPr>
            <w:r>
              <w:rPr>
                <w:b/>
                <w:sz w:val="16"/>
                <w:szCs w:val="16"/>
              </w:rPr>
              <w:t>2</w:t>
            </w:r>
          </w:p>
        </w:tc>
        <w:tc>
          <w:tcPr>
            <w:tcW w:w="405" w:type="pct"/>
          </w:tcPr>
          <w:p w14:paraId="79092841" w14:textId="77777777" w:rsidR="005548FD" w:rsidRDefault="005548FD" w:rsidP="008E2162">
            <w:pPr>
              <w:tabs>
                <w:tab w:val="left" w:pos="-720"/>
                <w:tab w:val="left" w:pos="0"/>
              </w:tabs>
              <w:suppressAutoHyphens/>
              <w:jc w:val="center"/>
              <w:rPr>
                <w:b/>
                <w:sz w:val="16"/>
                <w:szCs w:val="16"/>
              </w:rPr>
            </w:pPr>
            <w:r>
              <w:rPr>
                <w:b/>
                <w:sz w:val="16"/>
                <w:szCs w:val="16"/>
              </w:rPr>
              <w:t>.4</w:t>
            </w:r>
          </w:p>
        </w:tc>
        <w:tc>
          <w:tcPr>
            <w:tcW w:w="523" w:type="pct"/>
          </w:tcPr>
          <w:p w14:paraId="6F5A4D15" w14:textId="77777777" w:rsidR="005548FD" w:rsidRDefault="005548FD" w:rsidP="008E2162">
            <w:pPr>
              <w:tabs>
                <w:tab w:val="left" w:pos="-720"/>
                <w:tab w:val="left" w:pos="0"/>
              </w:tabs>
              <w:suppressAutoHyphens/>
              <w:jc w:val="center"/>
              <w:rPr>
                <w:b/>
                <w:sz w:val="16"/>
                <w:szCs w:val="16"/>
              </w:rPr>
            </w:pPr>
            <w:r>
              <w:rPr>
                <w:b/>
                <w:sz w:val="16"/>
                <w:szCs w:val="16"/>
              </w:rPr>
              <w:t>$64</w:t>
            </w:r>
          </w:p>
        </w:tc>
      </w:tr>
    </w:tbl>
    <w:p w14:paraId="5DDDCA70" w14:textId="77777777" w:rsidR="005548FD" w:rsidRDefault="005548FD" w:rsidP="005548FD">
      <w:r>
        <w:rPr>
          <w:rFonts w:ascii="Times New Roman" w:hAnsi="Times New Roman"/>
          <w:sz w:val="22"/>
          <w:szCs w:val="22"/>
        </w:rPr>
        <w:tab/>
      </w:r>
    </w:p>
    <w:p w14:paraId="7150C85D" w14:textId="77777777" w:rsidR="005548FD" w:rsidRDefault="005548FD"/>
    <w:sectPr w:rsidR="005548FD" w:rsidSect="006D4D2F">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225DA" w14:textId="77777777" w:rsidR="006D4D2F" w:rsidRDefault="006D4D2F" w:rsidP="000F5E97">
      <w:r>
        <w:separator/>
      </w:r>
    </w:p>
  </w:endnote>
  <w:endnote w:type="continuationSeparator" w:id="0">
    <w:p w14:paraId="0B9B085F" w14:textId="77777777" w:rsidR="006D4D2F" w:rsidRDefault="006D4D2F" w:rsidP="000F5E97">
      <w:r>
        <w:continuationSeparator/>
      </w:r>
    </w:p>
  </w:endnote>
  <w:endnote w:type="continuationNotice" w:id="1">
    <w:p w14:paraId="7D9DF080" w14:textId="77777777" w:rsidR="006D4D2F" w:rsidRDefault="006D4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F15C7" w14:textId="21DCDD7B" w:rsidR="00711DD2" w:rsidRPr="00FD496F" w:rsidRDefault="00FD496F" w:rsidP="00FD496F">
    <w:pPr>
      <w:pStyle w:val="Footer"/>
      <w:jc w:val="center"/>
      <w:rPr>
        <w:rFonts w:ascii="Times New Roman" w:hAnsi="Times New Roman"/>
      </w:rPr>
    </w:pPr>
    <w:r w:rsidRPr="00FD496F">
      <w:rPr>
        <w:rFonts w:ascii="Times New Roman" w:hAnsi="Times New Roman"/>
      </w:rPr>
      <w:fldChar w:fldCharType="begin"/>
    </w:r>
    <w:r w:rsidRPr="00FD496F">
      <w:rPr>
        <w:rFonts w:ascii="Times New Roman" w:hAnsi="Times New Roman"/>
      </w:rPr>
      <w:instrText xml:space="preserve"> PAGE   \* MERGEFORMAT </w:instrText>
    </w:r>
    <w:r w:rsidRPr="00FD496F">
      <w:rPr>
        <w:rFonts w:ascii="Times New Roman" w:hAnsi="Times New Roman"/>
      </w:rPr>
      <w:fldChar w:fldCharType="separate"/>
    </w:r>
    <w:r w:rsidR="00AB5F52">
      <w:rPr>
        <w:rFonts w:ascii="Times New Roman" w:hAnsi="Times New Roman"/>
        <w:noProof/>
      </w:rPr>
      <w:t>10</w:t>
    </w:r>
    <w:r w:rsidRPr="00FD496F">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2903C" w14:textId="77777777" w:rsidR="006D4D2F" w:rsidRDefault="006D4D2F" w:rsidP="000F5E97">
      <w:r>
        <w:separator/>
      </w:r>
    </w:p>
  </w:footnote>
  <w:footnote w:type="continuationSeparator" w:id="0">
    <w:p w14:paraId="0AC30463" w14:textId="77777777" w:rsidR="006D4D2F" w:rsidRDefault="006D4D2F" w:rsidP="000F5E97">
      <w:r>
        <w:continuationSeparator/>
      </w:r>
    </w:p>
  </w:footnote>
  <w:footnote w:type="continuationNotice" w:id="1">
    <w:p w14:paraId="72953495" w14:textId="77777777" w:rsidR="006D4D2F" w:rsidRDefault="006D4D2F"/>
  </w:footnote>
  <w:footnote w:id="2">
    <w:p w14:paraId="431D360B" w14:textId="24BD790A" w:rsidR="00367D2C" w:rsidRPr="006D4D2F" w:rsidRDefault="00367D2C" w:rsidP="006D4D2F">
      <w:pPr>
        <w:pStyle w:val="FootnoteText"/>
        <w:spacing w:after="120"/>
        <w:rPr>
          <w:rFonts w:ascii="Times New Roman" w:hAnsi="Times New Roman"/>
        </w:rPr>
      </w:pPr>
      <w:r w:rsidRPr="006D4D2F">
        <w:rPr>
          <w:rStyle w:val="FootnoteReference"/>
          <w:rFonts w:ascii="Times New Roman" w:hAnsi="Times New Roman"/>
        </w:rPr>
        <w:footnoteRef/>
      </w:r>
      <w:r w:rsidRPr="006D4D2F">
        <w:rPr>
          <w:rFonts w:ascii="Times New Roman" w:hAnsi="Times New Roman"/>
        </w:rPr>
        <w:t xml:space="preserve"> </w:t>
      </w:r>
      <w:r w:rsidRPr="00D711AF">
        <w:rPr>
          <w:rFonts w:ascii="Times New Roman" w:hAnsi="Times New Roman"/>
        </w:rPr>
        <w:t xml:space="preserve">The Commission’s existing registration process for futures, commodity options and retail forex intermediaries, as well as for floor traders and floor brokers, is extensively set forth in </w:t>
      </w:r>
      <w:r w:rsidR="00D711AF" w:rsidRPr="00D711AF">
        <w:rPr>
          <w:rFonts w:ascii="Times New Roman" w:hAnsi="Times New Roman"/>
        </w:rPr>
        <w:t>p</w:t>
      </w:r>
      <w:r w:rsidRPr="002E0ECB">
        <w:rPr>
          <w:rFonts w:ascii="Times New Roman" w:hAnsi="Times New Roman"/>
        </w:rPr>
        <w:t>art 3 of the regulations under the CEA</w:t>
      </w:r>
      <w:r w:rsidRPr="006D4D2F">
        <w:rPr>
          <w:rFonts w:ascii="Times New Roman" w:hAnsi="Times New Roman"/>
        </w:rPr>
        <w:t>.</w:t>
      </w:r>
    </w:p>
  </w:footnote>
  <w:footnote w:id="3">
    <w:p w14:paraId="2048CDBC" w14:textId="51E3D6A0" w:rsidR="00463AE9" w:rsidRPr="006D4D2F" w:rsidRDefault="00463AE9" w:rsidP="00D711AF">
      <w:pPr>
        <w:widowControl w:val="0"/>
        <w:adjustRightInd w:val="0"/>
        <w:spacing w:after="120"/>
        <w:textAlignment w:val="baseline"/>
        <w:rPr>
          <w:rFonts w:ascii="Times New Roman" w:hAnsi="Times New Roman"/>
          <w:b/>
          <w:sz w:val="20"/>
          <w:szCs w:val="20"/>
        </w:rPr>
      </w:pPr>
      <w:r w:rsidRPr="006D4D2F">
        <w:rPr>
          <w:rStyle w:val="FootnoteReference"/>
          <w:rFonts w:ascii="Times New Roman" w:hAnsi="Times New Roman"/>
          <w:sz w:val="20"/>
          <w:szCs w:val="20"/>
        </w:rPr>
        <w:footnoteRef/>
      </w:r>
      <w:r w:rsidRPr="006D4D2F">
        <w:rPr>
          <w:rFonts w:ascii="Times New Roman" w:hAnsi="Times New Roman"/>
          <w:sz w:val="20"/>
          <w:szCs w:val="20"/>
        </w:rPr>
        <w:t xml:space="preserve"> </w:t>
      </w:r>
      <w:r w:rsidRPr="006D4D2F">
        <w:rPr>
          <w:rFonts w:ascii="Times New Roman" w:hAnsi="Times New Roman"/>
          <w:sz w:val="20"/>
          <w:szCs w:val="20"/>
          <w:u w:val="single"/>
        </w:rPr>
        <w:t>See</w:t>
      </w:r>
      <w:r w:rsidRPr="006D4D2F">
        <w:rPr>
          <w:rFonts w:ascii="Times New Roman" w:hAnsi="Times New Roman"/>
          <w:sz w:val="20"/>
          <w:szCs w:val="20"/>
        </w:rPr>
        <w:t xml:space="preserve"> Cross-Border Application of the Registration Thresholds and External Business Conduct Standards Applicable to Swap Dealers and Major Swap Participants</w:t>
      </w:r>
      <w:r w:rsidR="00DF3E28" w:rsidRPr="006D4D2F">
        <w:rPr>
          <w:rFonts w:ascii="Times New Roman" w:hAnsi="Times New Roman"/>
          <w:sz w:val="20"/>
          <w:szCs w:val="20"/>
        </w:rPr>
        <w:t>.</w:t>
      </w:r>
    </w:p>
    <w:p w14:paraId="2409625E" w14:textId="77777777" w:rsidR="00463AE9" w:rsidRPr="006D4D2F" w:rsidRDefault="00463AE9" w:rsidP="00D711AF">
      <w:pPr>
        <w:pStyle w:val="FootnoteText"/>
        <w:spacing w:after="120"/>
        <w:rPr>
          <w:rFonts w:ascii="Times New Roman" w:hAnsi="Times New Roman"/>
        </w:rPr>
      </w:pPr>
    </w:p>
  </w:footnote>
  <w:footnote w:id="4">
    <w:p w14:paraId="170F650D" w14:textId="77777777" w:rsidR="00933B47" w:rsidRPr="006D4D2F" w:rsidRDefault="00933B47" w:rsidP="00D711AF">
      <w:pPr>
        <w:pStyle w:val="FootnoteText"/>
        <w:spacing w:after="120"/>
        <w:rPr>
          <w:rFonts w:ascii="Times New Roman" w:hAnsi="Times New Roman"/>
        </w:rPr>
      </w:pPr>
      <w:r w:rsidRPr="006D4D2F">
        <w:rPr>
          <w:rStyle w:val="FootnoteReference"/>
          <w:rFonts w:ascii="Times New Roman" w:hAnsi="Times New Roman"/>
        </w:rPr>
        <w:footnoteRef/>
      </w:r>
      <w:r w:rsidRPr="006D4D2F">
        <w:rPr>
          <w:rFonts w:ascii="Times New Roman" w:hAnsi="Times New Roman"/>
        </w:rPr>
        <w:t xml:space="preserve"> Nearly identical terms were adopted in the context of cross-border margin requirements.  </w:t>
      </w:r>
      <w:r w:rsidRPr="006D4D2F">
        <w:rPr>
          <w:rFonts w:ascii="Times New Roman" w:hAnsi="Times New Roman"/>
          <w:u w:val="single"/>
        </w:rPr>
        <w:t>See</w:t>
      </w:r>
      <w:r w:rsidRPr="006D4D2F">
        <w:rPr>
          <w:rFonts w:ascii="Times New Roman" w:hAnsi="Times New Roman"/>
        </w:rPr>
        <w:t xml:space="preserve"> Cross-Border Margin Rule, 81 FR 34818; 17 CFR 23.160(a).</w:t>
      </w:r>
    </w:p>
  </w:footnote>
  <w:footnote w:id="5">
    <w:p w14:paraId="44A46057" w14:textId="2DD8C588" w:rsidR="00AA138C" w:rsidRPr="006D4D2F" w:rsidRDefault="00AA138C" w:rsidP="002E0ECB">
      <w:pPr>
        <w:pStyle w:val="FootnoteText"/>
        <w:spacing w:after="120"/>
        <w:rPr>
          <w:rFonts w:ascii="Times New Roman" w:hAnsi="Times New Roman"/>
        </w:rPr>
      </w:pPr>
      <w:r w:rsidRPr="006D4D2F">
        <w:rPr>
          <w:rStyle w:val="FootnoteReference"/>
          <w:rFonts w:ascii="Times New Roman" w:hAnsi="Times New Roman"/>
        </w:rPr>
        <w:footnoteRef/>
      </w:r>
      <w:r w:rsidRPr="006D4D2F">
        <w:rPr>
          <w:rFonts w:ascii="Times New Roman" w:hAnsi="Times New Roman"/>
        </w:rPr>
        <w:t xml:space="preserve">   These forms are available on the website of the National Futures Association (“NFA”), a registered futures association to whom the Commission previously has delegated processing responsibility for existing categories of registrants under the CEA.  The Commission </w:t>
      </w:r>
      <w:r w:rsidR="00572A2B" w:rsidRPr="006D4D2F">
        <w:rPr>
          <w:rFonts w:ascii="Times New Roman" w:hAnsi="Times New Roman"/>
        </w:rPr>
        <w:t>has</w:t>
      </w:r>
      <w:r w:rsidRPr="006D4D2F">
        <w:rPr>
          <w:rFonts w:ascii="Times New Roman" w:hAnsi="Times New Roman"/>
        </w:rPr>
        <w:t xml:space="preserve"> delegate</w:t>
      </w:r>
      <w:r w:rsidR="00572A2B" w:rsidRPr="006D4D2F">
        <w:rPr>
          <w:rFonts w:ascii="Times New Roman" w:hAnsi="Times New Roman"/>
        </w:rPr>
        <w:t>d</w:t>
      </w:r>
      <w:r w:rsidRPr="006D4D2F">
        <w:rPr>
          <w:rFonts w:ascii="Times New Roman" w:hAnsi="Times New Roman"/>
        </w:rPr>
        <w:t xml:space="preserve"> to NFA the authority to process registration forms filed by SDs and MSPs.  </w:t>
      </w:r>
    </w:p>
  </w:footnote>
  <w:footnote w:id="6">
    <w:p w14:paraId="1DB954E2" w14:textId="63C5D5A6" w:rsidR="00DF3E28" w:rsidRPr="006D4D2F" w:rsidRDefault="00DF3E28" w:rsidP="006D4D2F">
      <w:pPr>
        <w:pStyle w:val="FootnoteText"/>
        <w:spacing w:after="120"/>
        <w:rPr>
          <w:rFonts w:ascii="Times New Roman" w:hAnsi="Times New Roman"/>
        </w:rPr>
      </w:pPr>
      <w:r w:rsidRPr="006D4D2F">
        <w:rPr>
          <w:rStyle w:val="FootnoteReference"/>
          <w:rFonts w:ascii="Times New Roman" w:hAnsi="Times New Roman"/>
        </w:rPr>
        <w:footnoteRef/>
      </w:r>
      <w:r w:rsidRPr="006D4D2F">
        <w:rPr>
          <w:rFonts w:ascii="Times New Roman" w:hAnsi="Times New Roman"/>
        </w:rPr>
        <w:t xml:space="preserve">  As noted in Registration </w:t>
      </w:r>
      <w:r w:rsidR="009761BB" w:rsidRPr="006D4D2F">
        <w:rPr>
          <w:rFonts w:ascii="Times New Roman" w:hAnsi="Times New Roman"/>
        </w:rPr>
        <w:t>of Swap Dealers and Major Swap Participants, 77 FR 2613, 2622 (Jan</w:t>
      </w:r>
      <w:r w:rsidR="00A72F0E" w:rsidRPr="006D4D2F">
        <w:rPr>
          <w:rFonts w:ascii="Times New Roman" w:hAnsi="Times New Roman"/>
        </w:rPr>
        <w:t>.</w:t>
      </w:r>
      <w:r w:rsidR="009761BB" w:rsidRPr="006D4D2F">
        <w:rPr>
          <w:rFonts w:ascii="Times New Roman" w:hAnsi="Times New Roman"/>
        </w:rPr>
        <w:t xml:space="preserve"> 19, 2012), the Commission estimates that there will be a de minimis burden for withdrawals from registration by SDs or MSPs and their respective principals and for reported corrections.  </w:t>
      </w:r>
    </w:p>
  </w:footnote>
  <w:footnote w:id="7">
    <w:p w14:paraId="5BC7D75C" w14:textId="00CF1782" w:rsidR="00D7090B" w:rsidRPr="006D4D2F" w:rsidRDefault="00D7090B" w:rsidP="006D4D2F">
      <w:pPr>
        <w:pStyle w:val="FootnoteText"/>
        <w:spacing w:after="120"/>
        <w:rPr>
          <w:rFonts w:ascii="Times New Roman" w:hAnsi="Times New Roman"/>
        </w:rPr>
      </w:pPr>
      <w:r w:rsidRPr="006D4D2F">
        <w:rPr>
          <w:rStyle w:val="FootnoteReference"/>
          <w:rFonts w:ascii="Times New Roman" w:hAnsi="Times New Roman"/>
        </w:rPr>
        <w:footnoteRef/>
      </w:r>
      <w:r w:rsidRPr="006D4D2F">
        <w:rPr>
          <w:rFonts w:ascii="Times New Roman" w:hAnsi="Times New Roman"/>
        </w:rPr>
        <w:t xml:space="preserve"> The Commission’s estimates concerning wage rates are based on 2013 salary information for the securities industry compiled by the Securities Industry and Financial Markets Association (“SIFMA”).  The Commission is using a figure of $160 per hour, which is derived from a weighted average of salaries across different professions from the SIFMA Report on Management &amp; Professional Earnings in the Securities Industry 2013, modified to account for an 1800-hour work-year, adjusted to account for the average rate of inflation in through April 2016.  This figure was then multiplied by 1.33 to account for benefits and further by 1.5 to account for overhead and administrative expenses, and rounded to the nearest ten dollars.  The Commission anticipates that compliance with the provisions would require the work of an information technology professional; a compliance manager; an accounting professional; and an associate general counsel.  Thus, the wage rate is a weighted national average of salary for professionals with the following titles (and their relative weight); “programmer (average of senior and non-senior)” (15 percent weight), “senior accountant” (15 percent) “compliance manager” (30 percent), and “assistant/associate general counsel” (40 percent).</w:t>
      </w:r>
    </w:p>
    <w:p w14:paraId="20A9498E" w14:textId="1AC31D1B" w:rsidR="00D7090B" w:rsidRPr="006D4D2F" w:rsidRDefault="00D7090B" w:rsidP="006D4D2F">
      <w:pPr>
        <w:pStyle w:val="FootnoteText"/>
        <w:spacing w:after="120"/>
        <w:rPr>
          <w:rFonts w:ascii="Times New Roman" w:hAnsi="Times New Roman"/>
        </w:rPr>
      </w:pPr>
    </w:p>
  </w:footnote>
  <w:footnote w:id="8">
    <w:p w14:paraId="7110C16B" w14:textId="24FB689A" w:rsidR="00AA138C" w:rsidRPr="006D4D2F" w:rsidRDefault="00AA138C" w:rsidP="006D4D2F">
      <w:pPr>
        <w:tabs>
          <w:tab w:val="left" w:pos="-720"/>
        </w:tabs>
        <w:suppressAutoHyphens/>
        <w:spacing w:after="120"/>
        <w:rPr>
          <w:rFonts w:ascii="Times New Roman" w:hAnsi="Times New Roman"/>
          <w:sz w:val="20"/>
          <w:szCs w:val="20"/>
        </w:rPr>
      </w:pPr>
      <w:r w:rsidRPr="006D4D2F">
        <w:rPr>
          <w:rStyle w:val="FootnoteReference"/>
          <w:rFonts w:ascii="Times New Roman" w:hAnsi="Times New Roman"/>
          <w:sz w:val="20"/>
          <w:szCs w:val="20"/>
        </w:rPr>
        <w:footnoteRef/>
      </w:r>
      <w:r w:rsidRPr="006D4D2F">
        <w:rPr>
          <w:rFonts w:ascii="Times New Roman" w:hAnsi="Times New Roman"/>
          <w:sz w:val="20"/>
          <w:szCs w:val="20"/>
        </w:rPr>
        <w:t xml:space="preserve"> This is because, as is stated in n</w:t>
      </w:r>
      <w:r w:rsidR="00572A2B" w:rsidRPr="006D4D2F">
        <w:rPr>
          <w:rFonts w:ascii="Times New Roman" w:hAnsi="Times New Roman"/>
          <w:sz w:val="20"/>
          <w:szCs w:val="20"/>
        </w:rPr>
        <w:t>ote</w:t>
      </w:r>
      <w:r w:rsidRPr="006D4D2F">
        <w:rPr>
          <w:rFonts w:ascii="Times New Roman" w:hAnsi="Times New Roman"/>
          <w:sz w:val="20"/>
          <w:szCs w:val="20"/>
        </w:rPr>
        <w:t xml:space="preserve"> </w:t>
      </w:r>
      <w:r w:rsidR="00C200B2" w:rsidRPr="006D4D2F">
        <w:rPr>
          <w:rFonts w:ascii="Times New Roman" w:hAnsi="Times New Roman"/>
          <w:sz w:val="20"/>
          <w:szCs w:val="20"/>
        </w:rPr>
        <w:t>4</w:t>
      </w:r>
      <w:r w:rsidR="00572A2B" w:rsidRPr="006D4D2F">
        <w:rPr>
          <w:rFonts w:ascii="Times New Roman" w:hAnsi="Times New Roman"/>
          <w:sz w:val="20"/>
          <w:szCs w:val="20"/>
        </w:rPr>
        <w:t xml:space="preserve"> </w:t>
      </w:r>
      <w:r w:rsidRPr="006D4D2F">
        <w:rPr>
          <w:rFonts w:ascii="Times New Roman" w:hAnsi="Times New Roman"/>
          <w:sz w:val="20"/>
          <w:szCs w:val="20"/>
        </w:rPr>
        <w:t xml:space="preserve">above, the Commission </w:t>
      </w:r>
      <w:r w:rsidR="00FB2970" w:rsidRPr="006D4D2F">
        <w:rPr>
          <w:rFonts w:ascii="Times New Roman" w:hAnsi="Times New Roman"/>
          <w:sz w:val="20"/>
          <w:szCs w:val="20"/>
        </w:rPr>
        <w:t>has</w:t>
      </w:r>
      <w:r w:rsidRPr="006D4D2F">
        <w:rPr>
          <w:rFonts w:ascii="Times New Roman" w:hAnsi="Times New Roman"/>
          <w:sz w:val="20"/>
          <w:szCs w:val="20"/>
        </w:rPr>
        <w:t xml:space="preserve"> delegate</w:t>
      </w:r>
      <w:r w:rsidR="00FB2970" w:rsidRPr="006D4D2F">
        <w:rPr>
          <w:rFonts w:ascii="Times New Roman" w:hAnsi="Times New Roman"/>
          <w:sz w:val="20"/>
          <w:szCs w:val="20"/>
        </w:rPr>
        <w:t>d</w:t>
      </w:r>
      <w:r w:rsidRPr="006D4D2F">
        <w:rPr>
          <w:rFonts w:ascii="Times New Roman" w:hAnsi="Times New Roman"/>
          <w:sz w:val="20"/>
          <w:szCs w:val="20"/>
        </w:rPr>
        <w:t xml:space="preserve"> to NFA the authority to process registration forms filed by SDs and MSPs.  Commission staff periodically conducts reviews of NFA’s registration processing program.  </w:t>
      </w:r>
    </w:p>
    <w:p w14:paraId="2AD92194" w14:textId="77777777" w:rsidR="00AA138C" w:rsidRPr="006D4D2F" w:rsidRDefault="00AA138C" w:rsidP="006D4D2F">
      <w:pPr>
        <w:pStyle w:val="FootnoteText"/>
        <w:spacing w:after="120"/>
        <w:rPr>
          <w:rFonts w:ascii="Times New Roman" w:hAnsi="Times New Roman"/>
        </w:rPr>
      </w:pPr>
    </w:p>
  </w:footnote>
  <w:footnote w:id="9">
    <w:p w14:paraId="454FB086" w14:textId="13D9414A" w:rsidR="009761BB" w:rsidRPr="006D4D2F" w:rsidRDefault="009761BB" w:rsidP="006D4D2F">
      <w:pPr>
        <w:pStyle w:val="FootnoteText"/>
        <w:spacing w:after="120"/>
        <w:rPr>
          <w:rFonts w:ascii="Times New Roman" w:hAnsi="Times New Roman"/>
        </w:rPr>
      </w:pPr>
      <w:r w:rsidRPr="006D4D2F">
        <w:rPr>
          <w:rStyle w:val="FootnoteReference"/>
          <w:rFonts w:ascii="Times New Roman" w:hAnsi="Times New Roman"/>
        </w:rPr>
        <w:footnoteRef/>
      </w:r>
      <w:r w:rsidRPr="006D4D2F">
        <w:rPr>
          <w:rFonts w:ascii="Times New Roman" w:hAnsi="Times New Roman"/>
        </w:rPr>
        <w:t xml:space="preserve"> </w:t>
      </w:r>
      <w:r w:rsidRPr="006D4D2F">
        <w:rPr>
          <w:rFonts w:ascii="Times New Roman" w:hAnsi="Times New Roman"/>
          <w:u w:val="single"/>
        </w:rPr>
        <w:t>See</w:t>
      </w:r>
      <w:r w:rsidRPr="006D4D2F">
        <w:rPr>
          <w:rFonts w:ascii="Times New Roman" w:hAnsi="Times New Roman"/>
        </w:rPr>
        <w:t xml:space="preserve"> </w:t>
      </w:r>
      <w:r w:rsidRPr="006D4D2F">
        <w:rPr>
          <w:rFonts w:ascii="Times New Roman" w:hAnsi="Times New Roman"/>
          <w:u w:val="single"/>
        </w:rPr>
        <w:t>supra</w:t>
      </w:r>
      <w:r w:rsidRPr="006D4D2F">
        <w:rPr>
          <w:rFonts w:ascii="Times New Roman" w:hAnsi="Times New Roman"/>
        </w:rPr>
        <w:t xml:space="preserve">, note </w:t>
      </w:r>
      <w:r w:rsidR="00D711AF">
        <w:rPr>
          <w:rFonts w:ascii="Times New Roman" w:hAnsi="Times New Roman"/>
        </w:rPr>
        <w:t>5</w:t>
      </w:r>
      <w:r w:rsidRPr="006D4D2F">
        <w:rPr>
          <w:rFonts w:ascii="Times New Roman" w:hAnsi="Times New Roman"/>
        </w:rPr>
        <w:t>.</w:t>
      </w:r>
    </w:p>
  </w:footnote>
  <w:footnote w:id="10">
    <w:p w14:paraId="1C4AF38E" w14:textId="79330BA1" w:rsidR="00E00992" w:rsidRPr="006D4D2F" w:rsidRDefault="00E00992" w:rsidP="006D4D2F">
      <w:pPr>
        <w:pStyle w:val="FootnoteText"/>
        <w:spacing w:after="120"/>
        <w:rPr>
          <w:rFonts w:ascii="Times New Roman" w:hAnsi="Times New Roman"/>
        </w:rPr>
      </w:pPr>
      <w:r w:rsidRPr="006D4D2F">
        <w:rPr>
          <w:rStyle w:val="FootnoteReference"/>
          <w:rFonts w:ascii="Times New Roman" w:hAnsi="Times New Roman"/>
        </w:rPr>
        <w:footnoteRef/>
      </w:r>
      <w:r w:rsidRPr="006D4D2F">
        <w:rPr>
          <w:rFonts w:ascii="Times New Roman" w:hAnsi="Times New Roman"/>
        </w:rPr>
        <w:t xml:space="preserve"> </w:t>
      </w:r>
      <w:r w:rsidR="00FC2493" w:rsidRPr="006D4D2F">
        <w:rPr>
          <w:rFonts w:ascii="Times New Roman" w:hAnsi="Times New Roman"/>
        </w:rPr>
        <w:t>T</w:t>
      </w:r>
      <w:r w:rsidRPr="006D4D2F">
        <w:rPr>
          <w:rFonts w:ascii="Times New Roman" w:hAnsi="Times New Roman"/>
        </w:rPr>
        <w:t>he Commission has not included any discussion of registration costs for MSPs because it believes that few (if any) market participants will be required to register as an MSP under the Proposed Rule.</w:t>
      </w:r>
    </w:p>
  </w:footnote>
  <w:footnote w:id="11">
    <w:p w14:paraId="795B065D" w14:textId="281AC110" w:rsidR="005548FD" w:rsidRPr="006D4D2F" w:rsidRDefault="005548FD" w:rsidP="006D4D2F">
      <w:pPr>
        <w:pStyle w:val="FootnoteText"/>
        <w:spacing w:after="120"/>
        <w:rPr>
          <w:rFonts w:ascii="Times New Roman" w:hAnsi="Times New Roman"/>
        </w:rPr>
      </w:pPr>
      <w:r w:rsidRPr="006D4D2F">
        <w:rPr>
          <w:rStyle w:val="FootnoteReference"/>
          <w:rFonts w:ascii="Times New Roman" w:hAnsi="Times New Roman"/>
        </w:rPr>
        <w:footnoteRef/>
      </w:r>
      <w:r w:rsidRPr="006D4D2F">
        <w:rPr>
          <w:rFonts w:ascii="Times New Roman" w:hAnsi="Times New Roman"/>
        </w:rPr>
        <w:t xml:space="preserve"> The Commission estimates that, based on the additional 14 respondents that the Proposed Rule would add, there would be two respondents and one response per respondent for Form 8-T.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F59CB" w14:textId="77777777" w:rsidR="006D4D2F" w:rsidRDefault="006D4D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57"/>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4B6B"/>
    <w:rsid w:val="000035C3"/>
    <w:rsid w:val="0000738C"/>
    <w:rsid w:val="000175EB"/>
    <w:rsid w:val="00022B4E"/>
    <w:rsid w:val="00022B65"/>
    <w:rsid w:val="000232F0"/>
    <w:rsid w:val="0002390B"/>
    <w:rsid w:val="000277A5"/>
    <w:rsid w:val="00030EBB"/>
    <w:rsid w:val="000312D6"/>
    <w:rsid w:val="000341C4"/>
    <w:rsid w:val="00057324"/>
    <w:rsid w:val="00057576"/>
    <w:rsid w:val="000600B6"/>
    <w:rsid w:val="000605D8"/>
    <w:rsid w:val="00063FBB"/>
    <w:rsid w:val="00065329"/>
    <w:rsid w:val="000671BD"/>
    <w:rsid w:val="00076AC6"/>
    <w:rsid w:val="00081341"/>
    <w:rsid w:val="00082E9F"/>
    <w:rsid w:val="000835F6"/>
    <w:rsid w:val="0008745D"/>
    <w:rsid w:val="000939F0"/>
    <w:rsid w:val="000A4158"/>
    <w:rsid w:val="000B26DF"/>
    <w:rsid w:val="000B37A1"/>
    <w:rsid w:val="000C30AD"/>
    <w:rsid w:val="000E216C"/>
    <w:rsid w:val="000E2A77"/>
    <w:rsid w:val="000E60AA"/>
    <w:rsid w:val="000E6F66"/>
    <w:rsid w:val="000E7317"/>
    <w:rsid w:val="000E7373"/>
    <w:rsid w:val="000E7646"/>
    <w:rsid w:val="000F413A"/>
    <w:rsid w:val="000F43CF"/>
    <w:rsid w:val="000F5E97"/>
    <w:rsid w:val="000F7C4A"/>
    <w:rsid w:val="00100FFF"/>
    <w:rsid w:val="00104DFC"/>
    <w:rsid w:val="00124A68"/>
    <w:rsid w:val="001278DD"/>
    <w:rsid w:val="00132FB8"/>
    <w:rsid w:val="0013795F"/>
    <w:rsid w:val="00146E9A"/>
    <w:rsid w:val="0015188C"/>
    <w:rsid w:val="0015194E"/>
    <w:rsid w:val="001525B7"/>
    <w:rsid w:val="001601F6"/>
    <w:rsid w:val="001625CC"/>
    <w:rsid w:val="0016662F"/>
    <w:rsid w:val="0016738E"/>
    <w:rsid w:val="00171C64"/>
    <w:rsid w:val="00173613"/>
    <w:rsid w:val="001737C1"/>
    <w:rsid w:val="00173E2B"/>
    <w:rsid w:val="0017660A"/>
    <w:rsid w:val="0017723B"/>
    <w:rsid w:val="00182FBB"/>
    <w:rsid w:val="00184A5F"/>
    <w:rsid w:val="00187502"/>
    <w:rsid w:val="00190146"/>
    <w:rsid w:val="00190250"/>
    <w:rsid w:val="00192BF1"/>
    <w:rsid w:val="00193363"/>
    <w:rsid w:val="00196D55"/>
    <w:rsid w:val="00197DE9"/>
    <w:rsid w:val="001A1542"/>
    <w:rsid w:val="001A21D2"/>
    <w:rsid w:val="001A315C"/>
    <w:rsid w:val="001A5FE4"/>
    <w:rsid w:val="001A6F8A"/>
    <w:rsid w:val="001B1D9B"/>
    <w:rsid w:val="001B6507"/>
    <w:rsid w:val="001C06D6"/>
    <w:rsid w:val="001D0FB2"/>
    <w:rsid w:val="001D1FAF"/>
    <w:rsid w:val="001E0D04"/>
    <w:rsid w:val="001F37B3"/>
    <w:rsid w:val="001F4DED"/>
    <w:rsid w:val="001F7B06"/>
    <w:rsid w:val="002037F6"/>
    <w:rsid w:val="00206095"/>
    <w:rsid w:val="0021787A"/>
    <w:rsid w:val="002331B0"/>
    <w:rsid w:val="00234AC6"/>
    <w:rsid w:val="00241951"/>
    <w:rsid w:val="00246329"/>
    <w:rsid w:val="002469B1"/>
    <w:rsid w:val="00247035"/>
    <w:rsid w:val="00247D20"/>
    <w:rsid w:val="00256058"/>
    <w:rsid w:val="0026473C"/>
    <w:rsid w:val="00266723"/>
    <w:rsid w:val="002716B7"/>
    <w:rsid w:val="00275650"/>
    <w:rsid w:val="00276B3D"/>
    <w:rsid w:val="00276D34"/>
    <w:rsid w:val="002907FA"/>
    <w:rsid w:val="00295FD0"/>
    <w:rsid w:val="00296AC1"/>
    <w:rsid w:val="002A3DCA"/>
    <w:rsid w:val="002C013D"/>
    <w:rsid w:val="002D3E29"/>
    <w:rsid w:val="002D50DC"/>
    <w:rsid w:val="002D69B6"/>
    <w:rsid w:val="002E0ECB"/>
    <w:rsid w:val="002E1502"/>
    <w:rsid w:val="002F1336"/>
    <w:rsid w:val="002F1530"/>
    <w:rsid w:val="002F2092"/>
    <w:rsid w:val="002F2398"/>
    <w:rsid w:val="002F498B"/>
    <w:rsid w:val="002F7400"/>
    <w:rsid w:val="0030293E"/>
    <w:rsid w:val="00310FAD"/>
    <w:rsid w:val="00315A5F"/>
    <w:rsid w:val="00315A79"/>
    <w:rsid w:val="003168A3"/>
    <w:rsid w:val="0033019B"/>
    <w:rsid w:val="00331671"/>
    <w:rsid w:val="003416C3"/>
    <w:rsid w:val="00346CCF"/>
    <w:rsid w:val="00355CD8"/>
    <w:rsid w:val="0036037F"/>
    <w:rsid w:val="00362C39"/>
    <w:rsid w:val="00367D2C"/>
    <w:rsid w:val="00372F94"/>
    <w:rsid w:val="003742D1"/>
    <w:rsid w:val="00380D74"/>
    <w:rsid w:val="00383EE8"/>
    <w:rsid w:val="00386537"/>
    <w:rsid w:val="0038789F"/>
    <w:rsid w:val="00387DE0"/>
    <w:rsid w:val="00390223"/>
    <w:rsid w:val="003909C8"/>
    <w:rsid w:val="003916EB"/>
    <w:rsid w:val="00395196"/>
    <w:rsid w:val="003A04C2"/>
    <w:rsid w:val="003A65CB"/>
    <w:rsid w:val="003B60A5"/>
    <w:rsid w:val="003B6A86"/>
    <w:rsid w:val="003C1649"/>
    <w:rsid w:val="003C4655"/>
    <w:rsid w:val="003C4C87"/>
    <w:rsid w:val="003C7654"/>
    <w:rsid w:val="003D32C7"/>
    <w:rsid w:val="003D3577"/>
    <w:rsid w:val="003D4314"/>
    <w:rsid w:val="003D49DE"/>
    <w:rsid w:val="003D597E"/>
    <w:rsid w:val="003E256B"/>
    <w:rsid w:val="003E3BD8"/>
    <w:rsid w:val="003F0037"/>
    <w:rsid w:val="003F308D"/>
    <w:rsid w:val="003F4662"/>
    <w:rsid w:val="003F7037"/>
    <w:rsid w:val="004024C0"/>
    <w:rsid w:val="00405023"/>
    <w:rsid w:val="004056E1"/>
    <w:rsid w:val="004134B4"/>
    <w:rsid w:val="00415146"/>
    <w:rsid w:val="00420535"/>
    <w:rsid w:val="0042155D"/>
    <w:rsid w:val="004261EF"/>
    <w:rsid w:val="00427241"/>
    <w:rsid w:val="004435EB"/>
    <w:rsid w:val="00443786"/>
    <w:rsid w:val="0044398D"/>
    <w:rsid w:val="00446161"/>
    <w:rsid w:val="00457CD5"/>
    <w:rsid w:val="00461BE7"/>
    <w:rsid w:val="00463AE9"/>
    <w:rsid w:val="00476940"/>
    <w:rsid w:val="00481D80"/>
    <w:rsid w:val="00484030"/>
    <w:rsid w:val="00484368"/>
    <w:rsid w:val="0048658D"/>
    <w:rsid w:val="00490A1F"/>
    <w:rsid w:val="00492081"/>
    <w:rsid w:val="0049540F"/>
    <w:rsid w:val="004A282C"/>
    <w:rsid w:val="004A3B8F"/>
    <w:rsid w:val="004B7C1F"/>
    <w:rsid w:val="004C1386"/>
    <w:rsid w:val="004C4EBD"/>
    <w:rsid w:val="004C6EA1"/>
    <w:rsid w:val="004C7A01"/>
    <w:rsid w:val="004D1C1A"/>
    <w:rsid w:val="004D2250"/>
    <w:rsid w:val="004D2594"/>
    <w:rsid w:val="004D36F7"/>
    <w:rsid w:val="004D6171"/>
    <w:rsid w:val="004D6909"/>
    <w:rsid w:val="004E2B3C"/>
    <w:rsid w:val="004E77DC"/>
    <w:rsid w:val="004F44F9"/>
    <w:rsid w:val="004F5BCC"/>
    <w:rsid w:val="004F5F97"/>
    <w:rsid w:val="004F77C5"/>
    <w:rsid w:val="00500BDE"/>
    <w:rsid w:val="00503C27"/>
    <w:rsid w:val="00505DAB"/>
    <w:rsid w:val="00510626"/>
    <w:rsid w:val="0051332A"/>
    <w:rsid w:val="00514F4E"/>
    <w:rsid w:val="00517B58"/>
    <w:rsid w:val="00524271"/>
    <w:rsid w:val="0052481F"/>
    <w:rsid w:val="00525E95"/>
    <w:rsid w:val="0052625D"/>
    <w:rsid w:val="00526447"/>
    <w:rsid w:val="00534983"/>
    <w:rsid w:val="00534B6B"/>
    <w:rsid w:val="0054134E"/>
    <w:rsid w:val="00542723"/>
    <w:rsid w:val="00542854"/>
    <w:rsid w:val="005548FD"/>
    <w:rsid w:val="00556B45"/>
    <w:rsid w:val="00563950"/>
    <w:rsid w:val="005652AC"/>
    <w:rsid w:val="00565921"/>
    <w:rsid w:val="00566A28"/>
    <w:rsid w:val="00570015"/>
    <w:rsid w:val="00572A2B"/>
    <w:rsid w:val="00574C2F"/>
    <w:rsid w:val="00576890"/>
    <w:rsid w:val="00583E5B"/>
    <w:rsid w:val="00586F7E"/>
    <w:rsid w:val="00591252"/>
    <w:rsid w:val="00592165"/>
    <w:rsid w:val="0059221E"/>
    <w:rsid w:val="00596D53"/>
    <w:rsid w:val="005A4D99"/>
    <w:rsid w:val="005A56CC"/>
    <w:rsid w:val="005B0BE6"/>
    <w:rsid w:val="005B27BA"/>
    <w:rsid w:val="005B49F4"/>
    <w:rsid w:val="005B5435"/>
    <w:rsid w:val="005C0DD3"/>
    <w:rsid w:val="005C479A"/>
    <w:rsid w:val="005D0314"/>
    <w:rsid w:val="005D1AFD"/>
    <w:rsid w:val="005D1B0F"/>
    <w:rsid w:val="005D3FD5"/>
    <w:rsid w:val="005E536C"/>
    <w:rsid w:val="005F12C0"/>
    <w:rsid w:val="005F4138"/>
    <w:rsid w:val="005F449F"/>
    <w:rsid w:val="005F6628"/>
    <w:rsid w:val="00602973"/>
    <w:rsid w:val="0060418F"/>
    <w:rsid w:val="006046B6"/>
    <w:rsid w:val="006101E5"/>
    <w:rsid w:val="0061595D"/>
    <w:rsid w:val="0061735C"/>
    <w:rsid w:val="0062259E"/>
    <w:rsid w:val="00624DC7"/>
    <w:rsid w:val="00625474"/>
    <w:rsid w:val="00634796"/>
    <w:rsid w:val="006371A5"/>
    <w:rsid w:val="0064375A"/>
    <w:rsid w:val="00645D59"/>
    <w:rsid w:val="006500E8"/>
    <w:rsid w:val="00653915"/>
    <w:rsid w:val="00653F69"/>
    <w:rsid w:val="00660E17"/>
    <w:rsid w:val="00664257"/>
    <w:rsid w:val="00666AAF"/>
    <w:rsid w:val="00675296"/>
    <w:rsid w:val="00677F55"/>
    <w:rsid w:val="00692A25"/>
    <w:rsid w:val="006A05A1"/>
    <w:rsid w:val="006A3336"/>
    <w:rsid w:val="006A6FCF"/>
    <w:rsid w:val="006B29D9"/>
    <w:rsid w:val="006C002A"/>
    <w:rsid w:val="006C1D44"/>
    <w:rsid w:val="006C5EE1"/>
    <w:rsid w:val="006D0492"/>
    <w:rsid w:val="006D38A6"/>
    <w:rsid w:val="006D4D2F"/>
    <w:rsid w:val="006D4EA5"/>
    <w:rsid w:val="006D759D"/>
    <w:rsid w:val="006E3F07"/>
    <w:rsid w:val="006E5ADD"/>
    <w:rsid w:val="006E756C"/>
    <w:rsid w:val="006F4F75"/>
    <w:rsid w:val="006F6771"/>
    <w:rsid w:val="006F7274"/>
    <w:rsid w:val="007003B8"/>
    <w:rsid w:val="00701D5C"/>
    <w:rsid w:val="00711DD2"/>
    <w:rsid w:val="00714F2C"/>
    <w:rsid w:val="0072782D"/>
    <w:rsid w:val="007303F4"/>
    <w:rsid w:val="0073517E"/>
    <w:rsid w:val="00737582"/>
    <w:rsid w:val="007409AE"/>
    <w:rsid w:val="007448AF"/>
    <w:rsid w:val="0074513D"/>
    <w:rsid w:val="007456F6"/>
    <w:rsid w:val="007536D5"/>
    <w:rsid w:val="00753B6E"/>
    <w:rsid w:val="00756626"/>
    <w:rsid w:val="007600AF"/>
    <w:rsid w:val="007602AC"/>
    <w:rsid w:val="007616A9"/>
    <w:rsid w:val="00770946"/>
    <w:rsid w:val="00772264"/>
    <w:rsid w:val="00773F48"/>
    <w:rsid w:val="00775781"/>
    <w:rsid w:val="007771AE"/>
    <w:rsid w:val="00793467"/>
    <w:rsid w:val="00794BD7"/>
    <w:rsid w:val="00796330"/>
    <w:rsid w:val="007A150E"/>
    <w:rsid w:val="007A49AE"/>
    <w:rsid w:val="007B2CE3"/>
    <w:rsid w:val="007C4349"/>
    <w:rsid w:val="007C6E98"/>
    <w:rsid w:val="007D270C"/>
    <w:rsid w:val="007F2D28"/>
    <w:rsid w:val="007F39B7"/>
    <w:rsid w:val="007F5475"/>
    <w:rsid w:val="007F58B4"/>
    <w:rsid w:val="00803774"/>
    <w:rsid w:val="00807DB0"/>
    <w:rsid w:val="00810F14"/>
    <w:rsid w:val="008159FE"/>
    <w:rsid w:val="00816B04"/>
    <w:rsid w:val="00817709"/>
    <w:rsid w:val="008207B9"/>
    <w:rsid w:val="00831354"/>
    <w:rsid w:val="00834DD7"/>
    <w:rsid w:val="00837BB2"/>
    <w:rsid w:val="00847761"/>
    <w:rsid w:val="008519D2"/>
    <w:rsid w:val="0085370C"/>
    <w:rsid w:val="00860CE6"/>
    <w:rsid w:val="00863A6C"/>
    <w:rsid w:val="00864576"/>
    <w:rsid w:val="00866362"/>
    <w:rsid w:val="00876379"/>
    <w:rsid w:val="008827E0"/>
    <w:rsid w:val="00882E1C"/>
    <w:rsid w:val="0088759B"/>
    <w:rsid w:val="0088767B"/>
    <w:rsid w:val="00893A29"/>
    <w:rsid w:val="008A1115"/>
    <w:rsid w:val="008A4669"/>
    <w:rsid w:val="008A5D5E"/>
    <w:rsid w:val="008B4817"/>
    <w:rsid w:val="008C1109"/>
    <w:rsid w:val="008C3257"/>
    <w:rsid w:val="008C3CA7"/>
    <w:rsid w:val="008D0546"/>
    <w:rsid w:val="008D4548"/>
    <w:rsid w:val="008D761A"/>
    <w:rsid w:val="008E13EF"/>
    <w:rsid w:val="008E3461"/>
    <w:rsid w:val="008E7AF8"/>
    <w:rsid w:val="008F1930"/>
    <w:rsid w:val="008F7E0C"/>
    <w:rsid w:val="009025A4"/>
    <w:rsid w:val="0090417E"/>
    <w:rsid w:val="00910CA9"/>
    <w:rsid w:val="00911EE7"/>
    <w:rsid w:val="00912A9E"/>
    <w:rsid w:val="0092012D"/>
    <w:rsid w:val="009220A1"/>
    <w:rsid w:val="00924694"/>
    <w:rsid w:val="0092581A"/>
    <w:rsid w:val="00925FF4"/>
    <w:rsid w:val="00932277"/>
    <w:rsid w:val="00933B47"/>
    <w:rsid w:val="009367E2"/>
    <w:rsid w:val="00943BB2"/>
    <w:rsid w:val="00944106"/>
    <w:rsid w:val="00945C50"/>
    <w:rsid w:val="00951B37"/>
    <w:rsid w:val="0095732F"/>
    <w:rsid w:val="009635F1"/>
    <w:rsid w:val="00964BFD"/>
    <w:rsid w:val="009761BB"/>
    <w:rsid w:val="00986B86"/>
    <w:rsid w:val="0099405B"/>
    <w:rsid w:val="00995D04"/>
    <w:rsid w:val="009A24BB"/>
    <w:rsid w:val="009A585D"/>
    <w:rsid w:val="009B5165"/>
    <w:rsid w:val="009C0842"/>
    <w:rsid w:val="009D187B"/>
    <w:rsid w:val="009D3A33"/>
    <w:rsid w:val="009D4963"/>
    <w:rsid w:val="009E20E0"/>
    <w:rsid w:val="009F5BE2"/>
    <w:rsid w:val="00A0346E"/>
    <w:rsid w:val="00A0579D"/>
    <w:rsid w:val="00A05E23"/>
    <w:rsid w:val="00A06CDC"/>
    <w:rsid w:val="00A11B9C"/>
    <w:rsid w:val="00A123D6"/>
    <w:rsid w:val="00A20639"/>
    <w:rsid w:val="00A23539"/>
    <w:rsid w:val="00A31CC4"/>
    <w:rsid w:val="00A45371"/>
    <w:rsid w:val="00A45957"/>
    <w:rsid w:val="00A47D54"/>
    <w:rsid w:val="00A50199"/>
    <w:rsid w:val="00A53958"/>
    <w:rsid w:val="00A61170"/>
    <w:rsid w:val="00A61F7A"/>
    <w:rsid w:val="00A72F0E"/>
    <w:rsid w:val="00A73D49"/>
    <w:rsid w:val="00A80D36"/>
    <w:rsid w:val="00A8414C"/>
    <w:rsid w:val="00A8752C"/>
    <w:rsid w:val="00A87E91"/>
    <w:rsid w:val="00A938FE"/>
    <w:rsid w:val="00A95253"/>
    <w:rsid w:val="00AA0461"/>
    <w:rsid w:val="00AA138C"/>
    <w:rsid w:val="00AA7567"/>
    <w:rsid w:val="00AB0AA8"/>
    <w:rsid w:val="00AB0BBC"/>
    <w:rsid w:val="00AB143A"/>
    <w:rsid w:val="00AB3685"/>
    <w:rsid w:val="00AB5F52"/>
    <w:rsid w:val="00AC00CC"/>
    <w:rsid w:val="00AC1D40"/>
    <w:rsid w:val="00AC2D6A"/>
    <w:rsid w:val="00AD1B32"/>
    <w:rsid w:val="00AD6953"/>
    <w:rsid w:val="00AD716A"/>
    <w:rsid w:val="00AD72CD"/>
    <w:rsid w:val="00AE4C42"/>
    <w:rsid w:val="00AE609D"/>
    <w:rsid w:val="00AF4A73"/>
    <w:rsid w:val="00B05FA4"/>
    <w:rsid w:val="00B14DF4"/>
    <w:rsid w:val="00B165A8"/>
    <w:rsid w:val="00B206A6"/>
    <w:rsid w:val="00B22DD7"/>
    <w:rsid w:val="00B22FB7"/>
    <w:rsid w:val="00B23301"/>
    <w:rsid w:val="00B24F98"/>
    <w:rsid w:val="00B26DF3"/>
    <w:rsid w:val="00B31D59"/>
    <w:rsid w:val="00B36E33"/>
    <w:rsid w:val="00B47C83"/>
    <w:rsid w:val="00B50EEE"/>
    <w:rsid w:val="00B66F38"/>
    <w:rsid w:val="00B67914"/>
    <w:rsid w:val="00B72015"/>
    <w:rsid w:val="00B7451C"/>
    <w:rsid w:val="00B800F8"/>
    <w:rsid w:val="00B82BCC"/>
    <w:rsid w:val="00B839EF"/>
    <w:rsid w:val="00B873D6"/>
    <w:rsid w:val="00B90175"/>
    <w:rsid w:val="00BA7889"/>
    <w:rsid w:val="00BB4C1A"/>
    <w:rsid w:val="00BB6563"/>
    <w:rsid w:val="00BC38B9"/>
    <w:rsid w:val="00BC4975"/>
    <w:rsid w:val="00BC520E"/>
    <w:rsid w:val="00BC5447"/>
    <w:rsid w:val="00BD2F93"/>
    <w:rsid w:val="00BD4837"/>
    <w:rsid w:val="00BD48BD"/>
    <w:rsid w:val="00BE1714"/>
    <w:rsid w:val="00BF0C81"/>
    <w:rsid w:val="00BF20CC"/>
    <w:rsid w:val="00BF54BE"/>
    <w:rsid w:val="00BF703F"/>
    <w:rsid w:val="00C13A1C"/>
    <w:rsid w:val="00C200B2"/>
    <w:rsid w:val="00C2325B"/>
    <w:rsid w:val="00C33FC9"/>
    <w:rsid w:val="00C37E53"/>
    <w:rsid w:val="00C424BC"/>
    <w:rsid w:val="00C4280C"/>
    <w:rsid w:val="00C4283A"/>
    <w:rsid w:val="00C4606F"/>
    <w:rsid w:val="00C50F6D"/>
    <w:rsid w:val="00C50FAC"/>
    <w:rsid w:val="00C52CA5"/>
    <w:rsid w:val="00C5632B"/>
    <w:rsid w:val="00C60B24"/>
    <w:rsid w:val="00C6498B"/>
    <w:rsid w:val="00C649BE"/>
    <w:rsid w:val="00C64A99"/>
    <w:rsid w:val="00C747F8"/>
    <w:rsid w:val="00C83F82"/>
    <w:rsid w:val="00C902A1"/>
    <w:rsid w:val="00CB0347"/>
    <w:rsid w:val="00CB24FF"/>
    <w:rsid w:val="00CB6056"/>
    <w:rsid w:val="00CB7148"/>
    <w:rsid w:val="00CD542F"/>
    <w:rsid w:val="00CF7673"/>
    <w:rsid w:val="00D03F7B"/>
    <w:rsid w:val="00D04857"/>
    <w:rsid w:val="00D05B93"/>
    <w:rsid w:val="00D14348"/>
    <w:rsid w:val="00D14455"/>
    <w:rsid w:val="00D20989"/>
    <w:rsid w:val="00D21740"/>
    <w:rsid w:val="00D24617"/>
    <w:rsid w:val="00D320F0"/>
    <w:rsid w:val="00D40FE0"/>
    <w:rsid w:val="00D41450"/>
    <w:rsid w:val="00D4197D"/>
    <w:rsid w:val="00D443F5"/>
    <w:rsid w:val="00D52101"/>
    <w:rsid w:val="00D55CAE"/>
    <w:rsid w:val="00D56D12"/>
    <w:rsid w:val="00D66F44"/>
    <w:rsid w:val="00D673D1"/>
    <w:rsid w:val="00D67916"/>
    <w:rsid w:val="00D7090B"/>
    <w:rsid w:val="00D711AF"/>
    <w:rsid w:val="00D719D5"/>
    <w:rsid w:val="00D72B95"/>
    <w:rsid w:val="00D74286"/>
    <w:rsid w:val="00D77105"/>
    <w:rsid w:val="00D8025D"/>
    <w:rsid w:val="00D83ED0"/>
    <w:rsid w:val="00D86FE9"/>
    <w:rsid w:val="00D9298D"/>
    <w:rsid w:val="00D93BA9"/>
    <w:rsid w:val="00DA5853"/>
    <w:rsid w:val="00DB03AA"/>
    <w:rsid w:val="00DB2157"/>
    <w:rsid w:val="00DC2B99"/>
    <w:rsid w:val="00DC522E"/>
    <w:rsid w:val="00DE297F"/>
    <w:rsid w:val="00DE7EBA"/>
    <w:rsid w:val="00DF3E28"/>
    <w:rsid w:val="00E00992"/>
    <w:rsid w:val="00E013D8"/>
    <w:rsid w:val="00E05D75"/>
    <w:rsid w:val="00E11EED"/>
    <w:rsid w:val="00E1421F"/>
    <w:rsid w:val="00E17DE8"/>
    <w:rsid w:val="00E22E82"/>
    <w:rsid w:val="00E2335E"/>
    <w:rsid w:val="00E236E5"/>
    <w:rsid w:val="00E240FB"/>
    <w:rsid w:val="00E268D0"/>
    <w:rsid w:val="00E313D8"/>
    <w:rsid w:val="00E33EDE"/>
    <w:rsid w:val="00E366FA"/>
    <w:rsid w:val="00E36FCD"/>
    <w:rsid w:val="00E417BB"/>
    <w:rsid w:val="00E42631"/>
    <w:rsid w:val="00E51D99"/>
    <w:rsid w:val="00E54A26"/>
    <w:rsid w:val="00E55422"/>
    <w:rsid w:val="00E605B7"/>
    <w:rsid w:val="00E639DE"/>
    <w:rsid w:val="00E7373E"/>
    <w:rsid w:val="00E868D4"/>
    <w:rsid w:val="00E90F3F"/>
    <w:rsid w:val="00E93DA6"/>
    <w:rsid w:val="00E944C1"/>
    <w:rsid w:val="00EA260E"/>
    <w:rsid w:val="00EB4997"/>
    <w:rsid w:val="00EB6A33"/>
    <w:rsid w:val="00EB7F98"/>
    <w:rsid w:val="00EC0E5E"/>
    <w:rsid w:val="00EC0E78"/>
    <w:rsid w:val="00EC2551"/>
    <w:rsid w:val="00EC255F"/>
    <w:rsid w:val="00EC2A0B"/>
    <w:rsid w:val="00EC7005"/>
    <w:rsid w:val="00EC798F"/>
    <w:rsid w:val="00ED0361"/>
    <w:rsid w:val="00ED609B"/>
    <w:rsid w:val="00ED7EF8"/>
    <w:rsid w:val="00EE04E5"/>
    <w:rsid w:val="00EE2608"/>
    <w:rsid w:val="00EE44CA"/>
    <w:rsid w:val="00EE4BEA"/>
    <w:rsid w:val="00EE4E0D"/>
    <w:rsid w:val="00EE677F"/>
    <w:rsid w:val="00EE7872"/>
    <w:rsid w:val="00EE7D31"/>
    <w:rsid w:val="00EF1ADC"/>
    <w:rsid w:val="00EF3B9C"/>
    <w:rsid w:val="00F12BA6"/>
    <w:rsid w:val="00F14880"/>
    <w:rsid w:val="00F2098B"/>
    <w:rsid w:val="00F21D61"/>
    <w:rsid w:val="00F24E01"/>
    <w:rsid w:val="00F264B6"/>
    <w:rsid w:val="00F31702"/>
    <w:rsid w:val="00F3672F"/>
    <w:rsid w:val="00F36F82"/>
    <w:rsid w:val="00F45CC6"/>
    <w:rsid w:val="00F50479"/>
    <w:rsid w:val="00F51ACE"/>
    <w:rsid w:val="00F52D41"/>
    <w:rsid w:val="00F54D52"/>
    <w:rsid w:val="00F570E2"/>
    <w:rsid w:val="00F62252"/>
    <w:rsid w:val="00F6587A"/>
    <w:rsid w:val="00F67B56"/>
    <w:rsid w:val="00F706E4"/>
    <w:rsid w:val="00F80680"/>
    <w:rsid w:val="00F83694"/>
    <w:rsid w:val="00F83D3B"/>
    <w:rsid w:val="00F85FEA"/>
    <w:rsid w:val="00F86BB6"/>
    <w:rsid w:val="00F86F2A"/>
    <w:rsid w:val="00F91BB4"/>
    <w:rsid w:val="00F940C0"/>
    <w:rsid w:val="00F973FB"/>
    <w:rsid w:val="00F978BB"/>
    <w:rsid w:val="00FA07DA"/>
    <w:rsid w:val="00FA0989"/>
    <w:rsid w:val="00FA0F5C"/>
    <w:rsid w:val="00FA241F"/>
    <w:rsid w:val="00FB2970"/>
    <w:rsid w:val="00FB404A"/>
    <w:rsid w:val="00FC2493"/>
    <w:rsid w:val="00FC5158"/>
    <w:rsid w:val="00FC59D7"/>
    <w:rsid w:val="00FC64FD"/>
    <w:rsid w:val="00FD0FBE"/>
    <w:rsid w:val="00FD496F"/>
    <w:rsid w:val="00FE6D02"/>
    <w:rsid w:val="00FF01C2"/>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paragraph" w:styleId="Heading2">
    <w:name w:val="heading 2"/>
    <w:basedOn w:val="Normal"/>
    <w:next w:val="Normal"/>
    <w:link w:val="Heading2Char"/>
    <w:semiHidden/>
    <w:unhideWhenUsed/>
    <w:qFormat/>
    <w:rsid w:val="00B26DF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FootnoteText">
    <w:name w:val="footnote text"/>
    <w:basedOn w:val="Normal"/>
    <w:link w:val="FootnoteTextChar"/>
    <w:uiPriority w:val="99"/>
    <w:rsid w:val="000F5E97"/>
    <w:rPr>
      <w:sz w:val="20"/>
      <w:szCs w:val="20"/>
    </w:rPr>
  </w:style>
  <w:style w:type="character" w:customStyle="1" w:styleId="FootnoteTextChar">
    <w:name w:val="Footnote Text Char"/>
    <w:link w:val="FootnoteText"/>
    <w:uiPriority w:val="99"/>
    <w:rsid w:val="000F5E97"/>
    <w:rPr>
      <w:rFonts w:ascii="Arial" w:hAnsi="Arial"/>
    </w:rPr>
  </w:style>
  <w:style w:type="character" w:styleId="FootnoteReference">
    <w:name w:val="footnote reference"/>
    <w:aliases w:val="fr,Style 35,Style 19,Style 16,Style 39,Style 14,12,Nota,Footnote symbol,Footnote,Appel note de bas de p,BVI fnr,SUPERS,Footnote Reference Superscript,(Footnote Reference),Footnote reference number,note TESI,EN Footnote Reference"/>
    <w:qFormat/>
    <w:rsid w:val="000F5E97"/>
    <w:rPr>
      <w:vertAlign w:val="superscript"/>
    </w:rPr>
  </w:style>
  <w:style w:type="character" w:customStyle="1" w:styleId="Heading2Char">
    <w:name w:val="Heading 2 Char"/>
    <w:link w:val="Heading2"/>
    <w:semiHidden/>
    <w:rsid w:val="00B26DF3"/>
    <w:rPr>
      <w:rFonts w:ascii="Cambria" w:eastAsia="Times New Roman" w:hAnsi="Cambria" w:cs="Times New Roman"/>
      <w:b/>
      <w:bCs/>
      <w:i/>
      <w:iCs/>
      <w:sz w:val="28"/>
      <w:szCs w:val="28"/>
    </w:rPr>
  </w:style>
  <w:style w:type="paragraph" w:styleId="Title">
    <w:name w:val="Title"/>
    <w:basedOn w:val="Normal"/>
    <w:link w:val="TitleChar"/>
    <w:qFormat/>
    <w:rsid w:val="00B26DF3"/>
    <w:pPr>
      <w:jc w:val="center"/>
    </w:pPr>
    <w:rPr>
      <w:rFonts w:ascii="Times New Roman" w:hAnsi="Times New Roman"/>
      <w:b/>
      <w:sz w:val="40"/>
      <w:szCs w:val="20"/>
    </w:rPr>
  </w:style>
  <w:style w:type="character" w:customStyle="1" w:styleId="TitleChar">
    <w:name w:val="Title Char"/>
    <w:link w:val="Title"/>
    <w:rsid w:val="00B26DF3"/>
    <w:rPr>
      <w:b/>
      <w:sz w:val="40"/>
    </w:rPr>
  </w:style>
  <w:style w:type="character" w:styleId="CommentReference">
    <w:name w:val="annotation reference"/>
    <w:uiPriority w:val="99"/>
    <w:rsid w:val="00924694"/>
    <w:rPr>
      <w:sz w:val="16"/>
      <w:szCs w:val="16"/>
    </w:rPr>
  </w:style>
  <w:style w:type="character" w:styleId="EndnoteReference">
    <w:name w:val="endnote reference"/>
    <w:rsid w:val="007600AF"/>
    <w:rPr>
      <w:vertAlign w:val="superscript"/>
    </w:rPr>
  </w:style>
  <w:style w:type="paragraph" w:styleId="CommentText">
    <w:name w:val="annotation text"/>
    <w:basedOn w:val="Normal"/>
    <w:link w:val="CommentTextChar"/>
    <w:uiPriority w:val="99"/>
    <w:unhideWhenUsed/>
    <w:rsid w:val="00B23301"/>
    <w:pPr>
      <w:overflowPunct w:val="0"/>
      <w:autoSpaceDE w:val="0"/>
      <w:autoSpaceDN w:val="0"/>
      <w:adjustRightInd w:val="0"/>
      <w:textAlignment w:val="baseline"/>
    </w:pPr>
    <w:rPr>
      <w:rFonts w:ascii="Times New Roman" w:hAnsi="Times New Roman"/>
      <w:sz w:val="20"/>
      <w:szCs w:val="20"/>
    </w:rPr>
  </w:style>
  <w:style w:type="character" w:customStyle="1" w:styleId="CommentTextChar">
    <w:name w:val="Comment Text Char"/>
    <w:basedOn w:val="DefaultParagraphFont"/>
    <w:link w:val="CommentText"/>
    <w:uiPriority w:val="99"/>
    <w:rsid w:val="00B23301"/>
  </w:style>
  <w:style w:type="paragraph" w:styleId="BalloonText">
    <w:name w:val="Balloon Text"/>
    <w:basedOn w:val="Normal"/>
    <w:link w:val="BalloonTextChar"/>
    <w:rsid w:val="00B23301"/>
    <w:rPr>
      <w:rFonts w:ascii="Tahoma" w:hAnsi="Tahoma" w:cs="Tahoma"/>
      <w:sz w:val="16"/>
      <w:szCs w:val="16"/>
    </w:rPr>
  </w:style>
  <w:style w:type="character" w:customStyle="1" w:styleId="BalloonTextChar">
    <w:name w:val="Balloon Text Char"/>
    <w:link w:val="BalloonText"/>
    <w:rsid w:val="00B23301"/>
    <w:rPr>
      <w:rFonts w:ascii="Tahoma" w:hAnsi="Tahoma" w:cs="Tahoma"/>
      <w:sz w:val="16"/>
      <w:szCs w:val="16"/>
    </w:rPr>
  </w:style>
  <w:style w:type="paragraph" w:styleId="CommentSubject">
    <w:name w:val="annotation subject"/>
    <w:basedOn w:val="CommentText"/>
    <w:next w:val="CommentText"/>
    <w:link w:val="CommentSubjectChar"/>
    <w:rsid w:val="00331671"/>
    <w:pPr>
      <w:overflowPunct/>
      <w:autoSpaceDE/>
      <w:autoSpaceDN/>
      <w:adjustRightInd/>
      <w:textAlignment w:val="auto"/>
    </w:pPr>
    <w:rPr>
      <w:rFonts w:ascii="Arial" w:hAnsi="Arial"/>
      <w:b/>
      <w:bCs/>
    </w:rPr>
  </w:style>
  <w:style w:type="character" w:customStyle="1" w:styleId="CommentSubjectChar">
    <w:name w:val="Comment Subject Char"/>
    <w:link w:val="CommentSubject"/>
    <w:rsid w:val="00331671"/>
    <w:rPr>
      <w:rFonts w:ascii="Arial" w:hAnsi="Arial"/>
      <w:b/>
      <w:bCs/>
    </w:rPr>
  </w:style>
  <w:style w:type="paragraph" w:styleId="Header">
    <w:name w:val="header"/>
    <w:basedOn w:val="Normal"/>
    <w:link w:val="HeaderChar"/>
    <w:rsid w:val="00331671"/>
    <w:pPr>
      <w:tabs>
        <w:tab w:val="center" w:pos="4680"/>
        <w:tab w:val="right" w:pos="9360"/>
      </w:tabs>
    </w:pPr>
  </w:style>
  <w:style w:type="character" w:customStyle="1" w:styleId="HeaderChar">
    <w:name w:val="Header Char"/>
    <w:link w:val="Header"/>
    <w:rsid w:val="00331671"/>
    <w:rPr>
      <w:rFonts w:ascii="Arial" w:hAnsi="Arial"/>
      <w:sz w:val="24"/>
      <w:szCs w:val="24"/>
    </w:rPr>
  </w:style>
  <w:style w:type="paragraph" w:styleId="Footer">
    <w:name w:val="footer"/>
    <w:basedOn w:val="Normal"/>
    <w:link w:val="FooterChar"/>
    <w:rsid w:val="00331671"/>
    <w:pPr>
      <w:tabs>
        <w:tab w:val="center" w:pos="4680"/>
        <w:tab w:val="right" w:pos="9360"/>
      </w:tabs>
    </w:pPr>
  </w:style>
  <w:style w:type="character" w:customStyle="1" w:styleId="FooterChar">
    <w:name w:val="Footer Char"/>
    <w:link w:val="Footer"/>
    <w:rsid w:val="00331671"/>
    <w:rPr>
      <w:rFonts w:ascii="Arial" w:hAnsi="Arial"/>
      <w:sz w:val="24"/>
      <w:szCs w:val="24"/>
    </w:rPr>
  </w:style>
  <w:style w:type="character" w:styleId="Hyperlink">
    <w:name w:val="Hyperlink"/>
    <w:uiPriority w:val="99"/>
    <w:unhideWhenUsed/>
    <w:rsid w:val="00B67914"/>
    <w:rPr>
      <w:color w:val="0000FF"/>
      <w:u w:val="single"/>
    </w:rPr>
  </w:style>
  <w:style w:type="paragraph" w:styleId="Revision">
    <w:name w:val="Revision"/>
    <w:hidden/>
    <w:uiPriority w:val="99"/>
    <w:semiHidden/>
    <w:rsid w:val="00AB3685"/>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paragraph" w:styleId="Heading2">
    <w:name w:val="heading 2"/>
    <w:basedOn w:val="Normal"/>
    <w:next w:val="Normal"/>
    <w:link w:val="Heading2Char"/>
    <w:semiHidden/>
    <w:unhideWhenUsed/>
    <w:qFormat/>
    <w:rsid w:val="00B26DF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FootnoteText">
    <w:name w:val="footnote text"/>
    <w:basedOn w:val="Normal"/>
    <w:link w:val="FootnoteTextChar"/>
    <w:uiPriority w:val="99"/>
    <w:rsid w:val="000F5E97"/>
    <w:rPr>
      <w:sz w:val="20"/>
      <w:szCs w:val="20"/>
    </w:rPr>
  </w:style>
  <w:style w:type="character" w:customStyle="1" w:styleId="FootnoteTextChar">
    <w:name w:val="Footnote Text Char"/>
    <w:link w:val="FootnoteText"/>
    <w:uiPriority w:val="99"/>
    <w:rsid w:val="000F5E97"/>
    <w:rPr>
      <w:rFonts w:ascii="Arial" w:hAnsi="Arial"/>
    </w:rPr>
  </w:style>
  <w:style w:type="character" w:styleId="FootnoteReference">
    <w:name w:val="footnote reference"/>
    <w:aliases w:val="fr,Style 35,Style 19,Style 16,Style 39,Style 14,12,Nota,Footnote symbol,Footnote,Appel note de bas de p,BVI fnr,SUPERS,Footnote Reference Superscript,(Footnote Reference),Footnote reference number,note TESI,EN Footnote Reference"/>
    <w:qFormat/>
    <w:rsid w:val="000F5E97"/>
    <w:rPr>
      <w:vertAlign w:val="superscript"/>
    </w:rPr>
  </w:style>
  <w:style w:type="character" w:customStyle="1" w:styleId="Heading2Char">
    <w:name w:val="Heading 2 Char"/>
    <w:link w:val="Heading2"/>
    <w:semiHidden/>
    <w:rsid w:val="00B26DF3"/>
    <w:rPr>
      <w:rFonts w:ascii="Cambria" w:eastAsia="Times New Roman" w:hAnsi="Cambria" w:cs="Times New Roman"/>
      <w:b/>
      <w:bCs/>
      <w:i/>
      <w:iCs/>
      <w:sz w:val="28"/>
      <w:szCs w:val="28"/>
    </w:rPr>
  </w:style>
  <w:style w:type="paragraph" w:styleId="Title">
    <w:name w:val="Title"/>
    <w:basedOn w:val="Normal"/>
    <w:link w:val="TitleChar"/>
    <w:qFormat/>
    <w:rsid w:val="00B26DF3"/>
    <w:pPr>
      <w:jc w:val="center"/>
    </w:pPr>
    <w:rPr>
      <w:rFonts w:ascii="Times New Roman" w:hAnsi="Times New Roman"/>
      <w:b/>
      <w:sz w:val="40"/>
      <w:szCs w:val="20"/>
    </w:rPr>
  </w:style>
  <w:style w:type="character" w:customStyle="1" w:styleId="TitleChar">
    <w:name w:val="Title Char"/>
    <w:link w:val="Title"/>
    <w:rsid w:val="00B26DF3"/>
    <w:rPr>
      <w:b/>
      <w:sz w:val="40"/>
    </w:rPr>
  </w:style>
  <w:style w:type="character" w:styleId="CommentReference">
    <w:name w:val="annotation reference"/>
    <w:uiPriority w:val="99"/>
    <w:rsid w:val="00924694"/>
    <w:rPr>
      <w:sz w:val="16"/>
      <w:szCs w:val="16"/>
    </w:rPr>
  </w:style>
  <w:style w:type="character" w:styleId="EndnoteReference">
    <w:name w:val="endnote reference"/>
    <w:rsid w:val="007600AF"/>
    <w:rPr>
      <w:vertAlign w:val="superscript"/>
    </w:rPr>
  </w:style>
  <w:style w:type="paragraph" w:styleId="CommentText">
    <w:name w:val="annotation text"/>
    <w:basedOn w:val="Normal"/>
    <w:link w:val="CommentTextChar"/>
    <w:uiPriority w:val="99"/>
    <w:unhideWhenUsed/>
    <w:rsid w:val="00B23301"/>
    <w:pPr>
      <w:overflowPunct w:val="0"/>
      <w:autoSpaceDE w:val="0"/>
      <w:autoSpaceDN w:val="0"/>
      <w:adjustRightInd w:val="0"/>
      <w:textAlignment w:val="baseline"/>
    </w:pPr>
    <w:rPr>
      <w:rFonts w:ascii="Times New Roman" w:hAnsi="Times New Roman"/>
      <w:sz w:val="20"/>
      <w:szCs w:val="20"/>
    </w:rPr>
  </w:style>
  <w:style w:type="character" w:customStyle="1" w:styleId="CommentTextChar">
    <w:name w:val="Comment Text Char"/>
    <w:basedOn w:val="DefaultParagraphFont"/>
    <w:link w:val="CommentText"/>
    <w:uiPriority w:val="99"/>
    <w:rsid w:val="00B23301"/>
  </w:style>
  <w:style w:type="paragraph" w:styleId="BalloonText">
    <w:name w:val="Balloon Text"/>
    <w:basedOn w:val="Normal"/>
    <w:link w:val="BalloonTextChar"/>
    <w:rsid w:val="00B23301"/>
    <w:rPr>
      <w:rFonts w:ascii="Tahoma" w:hAnsi="Tahoma" w:cs="Tahoma"/>
      <w:sz w:val="16"/>
      <w:szCs w:val="16"/>
    </w:rPr>
  </w:style>
  <w:style w:type="character" w:customStyle="1" w:styleId="BalloonTextChar">
    <w:name w:val="Balloon Text Char"/>
    <w:link w:val="BalloonText"/>
    <w:rsid w:val="00B23301"/>
    <w:rPr>
      <w:rFonts w:ascii="Tahoma" w:hAnsi="Tahoma" w:cs="Tahoma"/>
      <w:sz w:val="16"/>
      <w:szCs w:val="16"/>
    </w:rPr>
  </w:style>
  <w:style w:type="paragraph" w:styleId="CommentSubject">
    <w:name w:val="annotation subject"/>
    <w:basedOn w:val="CommentText"/>
    <w:next w:val="CommentText"/>
    <w:link w:val="CommentSubjectChar"/>
    <w:rsid w:val="00331671"/>
    <w:pPr>
      <w:overflowPunct/>
      <w:autoSpaceDE/>
      <w:autoSpaceDN/>
      <w:adjustRightInd/>
      <w:textAlignment w:val="auto"/>
    </w:pPr>
    <w:rPr>
      <w:rFonts w:ascii="Arial" w:hAnsi="Arial"/>
      <w:b/>
      <w:bCs/>
    </w:rPr>
  </w:style>
  <w:style w:type="character" w:customStyle="1" w:styleId="CommentSubjectChar">
    <w:name w:val="Comment Subject Char"/>
    <w:link w:val="CommentSubject"/>
    <w:rsid w:val="00331671"/>
    <w:rPr>
      <w:rFonts w:ascii="Arial" w:hAnsi="Arial"/>
      <w:b/>
      <w:bCs/>
    </w:rPr>
  </w:style>
  <w:style w:type="paragraph" w:styleId="Header">
    <w:name w:val="header"/>
    <w:basedOn w:val="Normal"/>
    <w:link w:val="HeaderChar"/>
    <w:rsid w:val="00331671"/>
    <w:pPr>
      <w:tabs>
        <w:tab w:val="center" w:pos="4680"/>
        <w:tab w:val="right" w:pos="9360"/>
      </w:tabs>
    </w:pPr>
  </w:style>
  <w:style w:type="character" w:customStyle="1" w:styleId="HeaderChar">
    <w:name w:val="Header Char"/>
    <w:link w:val="Header"/>
    <w:rsid w:val="00331671"/>
    <w:rPr>
      <w:rFonts w:ascii="Arial" w:hAnsi="Arial"/>
      <w:sz w:val="24"/>
      <w:szCs w:val="24"/>
    </w:rPr>
  </w:style>
  <w:style w:type="paragraph" w:styleId="Footer">
    <w:name w:val="footer"/>
    <w:basedOn w:val="Normal"/>
    <w:link w:val="FooterChar"/>
    <w:rsid w:val="00331671"/>
    <w:pPr>
      <w:tabs>
        <w:tab w:val="center" w:pos="4680"/>
        <w:tab w:val="right" w:pos="9360"/>
      </w:tabs>
    </w:pPr>
  </w:style>
  <w:style w:type="character" w:customStyle="1" w:styleId="FooterChar">
    <w:name w:val="Footer Char"/>
    <w:link w:val="Footer"/>
    <w:rsid w:val="00331671"/>
    <w:rPr>
      <w:rFonts w:ascii="Arial" w:hAnsi="Arial"/>
      <w:sz w:val="24"/>
      <w:szCs w:val="24"/>
    </w:rPr>
  </w:style>
  <w:style w:type="character" w:styleId="Hyperlink">
    <w:name w:val="Hyperlink"/>
    <w:uiPriority w:val="99"/>
    <w:unhideWhenUsed/>
    <w:rsid w:val="00B67914"/>
    <w:rPr>
      <w:color w:val="0000FF"/>
      <w:u w:val="single"/>
    </w:rPr>
  </w:style>
  <w:style w:type="paragraph" w:styleId="Revision">
    <w:name w:val="Revision"/>
    <w:hidden/>
    <w:uiPriority w:val="99"/>
    <w:semiHidden/>
    <w:rsid w:val="00AB368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61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D2B7E-7053-4AA2-B65D-E516B1E6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3123</Words>
  <Characters>17802</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HCastro</cp:lastModifiedBy>
  <cp:revision>2</cp:revision>
  <cp:lastPrinted>2016-10-04T15:14:00Z</cp:lastPrinted>
  <dcterms:created xsi:type="dcterms:W3CDTF">2016-10-06T20:26:00Z</dcterms:created>
  <dcterms:modified xsi:type="dcterms:W3CDTF">2016-10-06T20:26:00Z</dcterms:modified>
</cp:coreProperties>
</file>