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70B419" w14:textId="25C6B5EE" w:rsidR="00530CB6" w:rsidRPr="00E745D0" w:rsidRDefault="00A94AB6" w:rsidP="007A0CC3">
      <w:pPr>
        <w:spacing w:after="0" w:line="240" w:lineRule="auto"/>
        <w:jc w:val="both"/>
        <w:rPr>
          <w:rFonts w:ascii="Times New Roman" w:hAnsi="Times New Roman" w:cs="Times New Roman"/>
          <w:b/>
          <w:u w:val="single"/>
        </w:rPr>
      </w:pPr>
      <w:bookmarkStart w:id="0" w:name="_GoBack"/>
      <w:bookmarkEnd w:id="0"/>
      <w:r w:rsidRPr="00E745D0">
        <w:rPr>
          <w:rFonts w:ascii="Times New Roman" w:hAnsi="Times New Roman" w:cs="Times New Roman"/>
          <w:b/>
          <w:u w:val="single"/>
        </w:rPr>
        <w:t>Attachment 1: Estimated</w:t>
      </w:r>
      <w:r w:rsidR="003370F8" w:rsidRPr="00E745D0">
        <w:rPr>
          <w:rFonts w:ascii="Times New Roman" w:hAnsi="Times New Roman" w:cs="Times New Roman"/>
          <w:b/>
          <w:u w:val="single"/>
        </w:rPr>
        <w:t xml:space="preserve"> burden cost</w:t>
      </w:r>
    </w:p>
    <w:p w14:paraId="0F70B41A" w14:textId="012735DF" w:rsidR="003370F8" w:rsidRPr="00E745D0" w:rsidRDefault="003370F8" w:rsidP="007A0CC3">
      <w:pPr>
        <w:spacing w:after="0" w:line="240" w:lineRule="auto"/>
        <w:jc w:val="both"/>
        <w:rPr>
          <w:rFonts w:ascii="Times New Roman" w:hAnsi="Times New Roman" w:cs="Times New Roman"/>
        </w:rPr>
      </w:pPr>
      <w:r w:rsidRPr="00E745D0">
        <w:rPr>
          <w:rFonts w:ascii="Times New Roman" w:hAnsi="Times New Roman" w:cs="Times New Roman"/>
        </w:rPr>
        <w:t>(Each regulation is described in the response to Question 12)</w:t>
      </w:r>
    </w:p>
    <w:p w14:paraId="38EFD101" w14:textId="77777777" w:rsidR="007A0CC3" w:rsidRPr="00E745D0" w:rsidRDefault="007A0CC3" w:rsidP="007A0CC3">
      <w:pPr>
        <w:spacing w:after="0" w:line="240" w:lineRule="auto"/>
        <w:jc w:val="both"/>
        <w:rPr>
          <w:rFonts w:ascii="Times New Roman" w:hAnsi="Times New Roman" w:cs="Times New Roman"/>
        </w:rPr>
      </w:pPr>
    </w:p>
    <w:tbl>
      <w:tblPr>
        <w:tblW w:w="117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1620"/>
        <w:gridCol w:w="2070"/>
        <w:gridCol w:w="1620"/>
        <w:gridCol w:w="1710"/>
        <w:gridCol w:w="2430"/>
      </w:tblGrid>
      <w:tr w:rsidR="00241BFD" w:rsidRPr="00E745D0" w14:paraId="0238AF06" w14:textId="77777777" w:rsidTr="007F319A">
        <w:trPr>
          <w:trHeight w:val="530"/>
        </w:trPr>
        <w:tc>
          <w:tcPr>
            <w:tcW w:w="11718" w:type="dxa"/>
            <w:gridSpan w:val="6"/>
            <w:shd w:val="clear" w:color="auto" w:fill="D9D9D9" w:themeFill="background1" w:themeFillShade="D9"/>
            <w:vAlign w:val="center"/>
          </w:tcPr>
          <w:p w14:paraId="06FBBAC4" w14:textId="0C20B89F" w:rsidR="00241BFD" w:rsidRPr="00E745D0" w:rsidRDefault="00241BFD" w:rsidP="00241BFD">
            <w:pPr>
              <w:jc w:val="center"/>
              <w:rPr>
                <w:rFonts w:ascii="Times New Roman" w:hAnsi="Times New Roman" w:cs="Times New Roman"/>
                <w:color w:val="000000"/>
              </w:rPr>
            </w:pPr>
            <w:r w:rsidRPr="00E745D0">
              <w:rPr>
                <w:rFonts w:ascii="Times New Roman" w:hAnsi="Times New Roman" w:cs="Times New Roman"/>
                <w:color w:val="000000"/>
              </w:rPr>
              <w:t>Annual Burden Hours</w:t>
            </w:r>
          </w:p>
        </w:tc>
      </w:tr>
      <w:tr w:rsidR="00970DB9" w:rsidRPr="00E745D0" w14:paraId="7F5A0444" w14:textId="77777777" w:rsidTr="007F319A">
        <w:trPr>
          <w:trHeight w:val="845"/>
        </w:trPr>
        <w:tc>
          <w:tcPr>
            <w:tcW w:w="2268" w:type="dxa"/>
            <w:shd w:val="clear" w:color="auto" w:fill="auto"/>
            <w:vAlign w:val="center"/>
            <w:hideMark/>
          </w:tcPr>
          <w:p w14:paraId="192F906F" w14:textId="77777777" w:rsidR="00970DB9" w:rsidRPr="00E745D0" w:rsidRDefault="00970DB9">
            <w:pPr>
              <w:rPr>
                <w:rFonts w:ascii="Times New Roman" w:hAnsi="Times New Roman" w:cs="Times New Roman"/>
                <w:color w:val="000000"/>
              </w:rPr>
            </w:pPr>
            <w:r w:rsidRPr="00E745D0">
              <w:rPr>
                <w:rFonts w:ascii="Times New Roman" w:hAnsi="Times New Roman" w:cs="Times New Roman"/>
                <w:color w:val="000000"/>
              </w:rPr>
              <w:t>Entity</w:t>
            </w:r>
          </w:p>
        </w:tc>
        <w:tc>
          <w:tcPr>
            <w:tcW w:w="1620" w:type="dxa"/>
            <w:shd w:val="clear" w:color="auto" w:fill="auto"/>
            <w:vAlign w:val="center"/>
            <w:hideMark/>
          </w:tcPr>
          <w:p w14:paraId="50C4AF8A" w14:textId="64A90434" w:rsidR="00970DB9" w:rsidRPr="00E745D0" w:rsidRDefault="00970DB9">
            <w:pPr>
              <w:jc w:val="center"/>
              <w:rPr>
                <w:rFonts w:ascii="Times New Roman" w:hAnsi="Times New Roman" w:cs="Times New Roman"/>
                <w:color w:val="000000"/>
              </w:rPr>
            </w:pPr>
            <w:r w:rsidRPr="00E745D0">
              <w:rPr>
                <w:rFonts w:ascii="Times New Roman" w:hAnsi="Times New Roman" w:cs="Times New Roman"/>
                <w:color w:val="000000"/>
              </w:rPr>
              <w:t>Prior annual burden hours      (per entity)</w:t>
            </w:r>
            <w:r w:rsidRPr="00E745D0">
              <w:rPr>
                <w:rStyle w:val="FootnoteReference"/>
                <w:rFonts w:ascii="Times New Roman" w:hAnsi="Times New Roman" w:cs="Times New Roman"/>
                <w:color w:val="000000"/>
              </w:rPr>
              <w:footnoteReference w:id="1"/>
            </w:r>
          </w:p>
        </w:tc>
        <w:tc>
          <w:tcPr>
            <w:tcW w:w="2070" w:type="dxa"/>
          </w:tcPr>
          <w:p w14:paraId="39193AD4" w14:textId="338FA8D7" w:rsidR="00970DB9" w:rsidRPr="00E745D0" w:rsidRDefault="00970DB9">
            <w:pPr>
              <w:jc w:val="center"/>
              <w:rPr>
                <w:rFonts w:ascii="Times New Roman" w:hAnsi="Times New Roman" w:cs="Times New Roman"/>
                <w:color w:val="000000"/>
              </w:rPr>
            </w:pPr>
            <w:r w:rsidRPr="00E745D0">
              <w:rPr>
                <w:rFonts w:ascii="Times New Roman" w:hAnsi="Times New Roman" w:cs="Times New Roman"/>
                <w:color w:val="000000"/>
              </w:rPr>
              <w:t>Prior aggregate annual burden hours (all entities)</w:t>
            </w:r>
          </w:p>
        </w:tc>
        <w:tc>
          <w:tcPr>
            <w:tcW w:w="1620" w:type="dxa"/>
            <w:shd w:val="clear" w:color="auto" w:fill="auto"/>
            <w:vAlign w:val="center"/>
            <w:hideMark/>
          </w:tcPr>
          <w:p w14:paraId="248F2A56" w14:textId="4521B493" w:rsidR="00970DB9" w:rsidRPr="00E745D0" w:rsidRDefault="00970DB9">
            <w:pPr>
              <w:jc w:val="center"/>
              <w:rPr>
                <w:rFonts w:ascii="Times New Roman" w:hAnsi="Times New Roman" w:cs="Times New Roman"/>
                <w:color w:val="000000"/>
              </w:rPr>
            </w:pPr>
            <w:r w:rsidRPr="00E745D0">
              <w:rPr>
                <w:rFonts w:ascii="Times New Roman" w:hAnsi="Times New Roman" w:cs="Times New Roman"/>
                <w:color w:val="000000"/>
              </w:rPr>
              <w:t>Additional burden hours (per entity)</w:t>
            </w:r>
          </w:p>
        </w:tc>
        <w:tc>
          <w:tcPr>
            <w:tcW w:w="1710" w:type="dxa"/>
            <w:shd w:val="clear" w:color="auto" w:fill="auto"/>
            <w:vAlign w:val="center"/>
            <w:hideMark/>
          </w:tcPr>
          <w:p w14:paraId="2357D99F" w14:textId="77777777" w:rsidR="00970DB9" w:rsidRPr="00E745D0" w:rsidRDefault="00970DB9">
            <w:pPr>
              <w:jc w:val="center"/>
              <w:rPr>
                <w:rFonts w:ascii="Times New Roman" w:hAnsi="Times New Roman" w:cs="Times New Roman"/>
                <w:color w:val="000000"/>
              </w:rPr>
            </w:pPr>
            <w:r w:rsidRPr="00E745D0">
              <w:rPr>
                <w:rFonts w:ascii="Times New Roman" w:hAnsi="Times New Roman" w:cs="Times New Roman"/>
                <w:color w:val="000000"/>
              </w:rPr>
              <w:t>Amended total burden hours (per entity)</w:t>
            </w:r>
          </w:p>
        </w:tc>
        <w:tc>
          <w:tcPr>
            <w:tcW w:w="2430" w:type="dxa"/>
            <w:vAlign w:val="center"/>
          </w:tcPr>
          <w:p w14:paraId="7D7E71D0" w14:textId="7331F1C9" w:rsidR="00970DB9" w:rsidRPr="00E745D0" w:rsidRDefault="00970DB9">
            <w:pPr>
              <w:jc w:val="center"/>
              <w:rPr>
                <w:rFonts w:ascii="Times New Roman" w:hAnsi="Times New Roman" w:cs="Times New Roman"/>
                <w:color w:val="000000"/>
              </w:rPr>
            </w:pPr>
            <w:r w:rsidRPr="00E745D0">
              <w:rPr>
                <w:rFonts w:ascii="Times New Roman" w:hAnsi="Times New Roman" w:cs="Times New Roman"/>
                <w:color w:val="000000"/>
              </w:rPr>
              <w:t>Aggregate annual burden hours  (all entities)</w:t>
            </w:r>
          </w:p>
        </w:tc>
      </w:tr>
      <w:tr w:rsidR="00970DB9" w:rsidRPr="00E745D0" w14:paraId="08948777" w14:textId="77777777" w:rsidTr="007F319A">
        <w:trPr>
          <w:trHeight w:val="329"/>
        </w:trPr>
        <w:tc>
          <w:tcPr>
            <w:tcW w:w="2268" w:type="dxa"/>
            <w:shd w:val="clear" w:color="auto" w:fill="auto"/>
            <w:hideMark/>
          </w:tcPr>
          <w:p w14:paraId="3B62AEF2" w14:textId="1A8BE7E6"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4 SDRs</w:t>
            </w:r>
            <w:r w:rsidRPr="00E745D0">
              <w:rPr>
                <w:rStyle w:val="FootnoteReference"/>
                <w:rFonts w:ascii="Times New Roman" w:hAnsi="Times New Roman" w:cs="Times New Roman"/>
                <w:color w:val="000000"/>
              </w:rPr>
              <w:footnoteReference w:id="2"/>
            </w:r>
          </w:p>
        </w:tc>
        <w:tc>
          <w:tcPr>
            <w:tcW w:w="1620" w:type="dxa"/>
            <w:shd w:val="clear" w:color="auto" w:fill="auto"/>
            <w:hideMark/>
          </w:tcPr>
          <w:p w14:paraId="53DE58B3"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235</w:t>
            </w:r>
          </w:p>
        </w:tc>
        <w:tc>
          <w:tcPr>
            <w:tcW w:w="2070" w:type="dxa"/>
          </w:tcPr>
          <w:p w14:paraId="51D131C0" w14:textId="294D0F75"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3,525</w:t>
            </w:r>
          </w:p>
        </w:tc>
        <w:tc>
          <w:tcPr>
            <w:tcW w:w="1620" w:type="dxa"/>
            <w:shd w:val="clear" w:color="auto" w:fill="auto"/>
            <w:hideMark/>
          </w:tcPr>
          <w:p w14:paraId="13FD9C41" w14:textId="17F29F2D"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200</w:t>
            </w:r>
          </w:p>
        </w:tc>
        <w:tc>
          <w:tcPr>
            <w:tcW w:w="1710" w:type="dxa"/>
            <w:shd w:val="clear" w:color="auto" w:fill="auto"/>
            <w:hideMark/>
          </w:tcPr>
          <w:p w14:paraId="03601932" w14:textId="5CB32D93"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435</w:t>
            </w:r>
          </w:p>
        </w:tc>
        <w:tc>
          <w:tcPr>
            <w:tcW w:w="2430" w:type="dxa"/>
          </w:tcPr>
          <w:p w14:paraId="380F572D" w14:textId="5E15996A"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1,410</w:t>
            </w:r>
          </w:p>
        </w:tc>
      </w:tr>
      <w:tr w:rsidR="00970DB9" w:rsidRPr="00E745D0" w14:paraId="164DB273" w14:textId="77777777" w:rsidTr="007F319A">
        <w:trPr>
          <w:trHeight w:val="329"/>
        </w:trPr>
        <w:tc>
          <w:tcPr>
            <w:tcW w:w="2268" w:type="dxa"/>
            <w:shd w:val="clear" w:color="auto" w:fill="auto"/>
            <w:hideMark/>
          </w:tcPr>
          <w:p w14:paraId="451D895E"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40 SEFs</w:t>
            </w:r>
          </w:p>
        </w:tc>
        <w:tc>
          <w:tcPr>
            <w:tcW w:w="1620" w:type="dxa"/>
            <w:shd w:val="clear" w:color="auto" w:fill="auto"/>
            <w:hideMark/>
          </w:tcPr>
          <w:p w14:paraId="192BAA47"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1,790</w:t>
            </w:r>
          </w:p>
        </w:tc>
        <w:tc>
          <w:tcPr>
            <w:tcW w:w="2070" w:type="dxa"/>
          </w:tcPr>
          <w:p w14:paraId="663CD806" w14:textId="0C56BCB2"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71,600</w:t>
            </w:r>
          </w:p>
        </w:tc>
        <w:tc>
          <w:tcPr>
            <w:tcW w:w="1620" w:type="dxa"/>
            <w:shd w:val="clear" w:color="auto" w:fill="auto"/>
            <w:hideMark/>
          </w:tcPr>
          <w:p w14:paraId="3B301214" w14:textId="616E79A0"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200</w:t>
            </w:r>
          </w:p>
        </w:tc>
        <w:tc>
          <w:tcPr>
            <w:tcW w:w="1710" w:type="dxa"/>
            <w:shd w:val="clear" w:color="auto" w:fill="auto"/>
            <w:hideMark/>
          </w:tcPr>
          <w:p w14:paraId="3E324A27" w14:textId="7E9C24BE"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1,990</w:t>
            </w:r>
          </w:p>
        </w:tc>
        <w:tc>
          <w:tcPr>
            <w:tcW w:w="2430" w:type="dxa"/>
          </w:tcPr>
          <w:p w14:paraId="19F74AE3" w14:textId="7DAB58D6"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85,600</w:t>
            </w:r>
          </w:p>
        </w:tc>
      </w:tr>
      <w:tr w:rsidR="00970DB9" w:rsidRPr="00E745D0" w14:paraId="66414C8F" w14:textId="77777777" w:rsidTr="007F319A">
        <w:trPr>
          <w:trHeight w:val="329"/>
        </w:trPr>
        <w:tc>
          <w:tcPr>
            <w:tcW w:w="2268" w:type="dxa"/>
            <w:shd w:val="clear" w:color="auto" w:fill="auto"/>
            <w:hideMark/>
          </w:tcPr>
          <w:p w14:paraId="3DC3B43A"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18 DCMs</w:t>
            </w:r>
          </w:p>
        </w:tc>
        <w:tc>
          <w:tcPr>
            <w:tcW w:w="1620" w:type="dxa"/>
            <w:shd w:val="clear" w:color="auto" w:fill="auto"/>
            <w:hideMark/>
          </w:tcPr>
          <w:p w14:paraId="17E5F5BB"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1,790</w:t>
            </w:r>
          </w:p>
        </w:tc>
        <w:tc>
          <w:tcPr>
            <w:tcW w:w="2070" w:type="dxa"/>
          </w:tcPr>
          <w:p w14:paraId="547ED5D4" w14:textId="7691AD30"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32,220</w:t>
            </w:r>
          </w:p>
        </w:tc>
        <w:tc>
          <w:tcPr>
            <w:tcW w:w="1620" w:type="dxa"/>
            <w:shd w:val="clear" w:color="auto" w:fill="auto"/>
            <w:hideMark/>
          </w:tcPr>
          <w:p w14:paraId="6C10C68C" w14:textId="47384368"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200</w:t>
            </w:r>
          </w:p>
        </w:tc>
        <w:tc>
          <w:tcPr>
            <w:tcW w:w="1710" w:type="dxa"/>
            <w:shd w:val="clear" w:color="auto" w:fill="auto"/>
            <w:hideMark/>
          </w:tcPr>
          <w:p w14:paraId="5A9DCADD" w14:textId="2844E2C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1,990</w:t>
            </w:r>
          </w:p>
        </w:tc>
        <w:tc>
          <w:tcPr>
            <w:tcW w:w="2430" w:type="dxa"/>
          </w:tcPr>
          <w:p w14:paraId="18C1DA53" w14:textId="317C0813"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38,520</w:t>
            </w:r>
          </w:p>
        </w:tc>
      </w:tr>
      <w:tr w:rsidR="00970DB9" w:rsidRPr="00E745D0" w14:paraId="6757C0D5" w14:textId="77777777" w:rsidTr="007F319A">
        <w:trPr>
          <w:trHeight w:val="329"/>
        </w:trPr>
        <w:tc>
          <w:tcPr>
            <w:tcW w:w="2268" w:type="dxa"/>
            <w:shd w:val="clear" w:color="auto" w:fill="auto"/>
            <w:hideMark/>
          </w:tcPr>
          <w:p w14:paraId="722303B4"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12 DCOs</w:t>
            </w:r>
          </w:p>
        </w:tc>
        <w:tc>
          <w:tcPr>
            <w:tcW w:w="1620" w:type="dxa"/>
            <w:shd w:val="clear" w:color="auto" w:fill="auto"/>
            <w:hideMark/>
          </w:tcPr>
          <w:p w14:paraId="445216F6"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3,870</w:t>
            </w:r>
          </w:p>
        </w:tc>
        <w:tc>
          <w:tcPr>
            <w:tcW w:w="2070" w:type="dxa"/>
          </w:tcPr>
          <w:p w14:paraId="0378DA86" w14:textId="4DADF0F0"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46,440</w:t>
            </w:r>
          </w:p>
        </w:tc>
        <w:tc>
          <w:tcPr>
            <w:tcW w:w="1620" w:type="dxa"/>
            <w:shd w:val="clear" w:color="auto" w:fill="auto"/>
            <w:hideMark/>
          </w:tcPr>
          <w:p w14:paraId="1C47BDE7" w14:textId="0B9165BF" w:rsidR="00970DB9" w:rsidRPr="00E745D0" w:rsidRDefault="00E745D0" w:rsidP="00970DB9">
            <w:pPr>
              <w:jc w:val="right"/>
              <w:rPr>
                <w:rFonts w:ascii="Times New Roman" w:hAnsi="Times New Roman" w:cs="Times New Roman"/>
                <w:color w:val="000000"/>
              </w:rPr>
            </w:pPr>
            <w:r w:rsidRPr="00E745D0">
              <w:rPr>
                <w:rFonts w:ascii="Times New Roman" w:hAnsi="Times New Roman" w:cs="Times New Roman"/>
                <w:color w:val="000000"/>
              </w:rPr>
              <w:t>425</w:t>
            </w:r>
            <w:r w:rsidRPr="00E745D0">
              <w:rPr>
                <w:rStyle w:val="FootnoteReference"/>
                <w:rFonts w:ascii="Times New Roman" w:hAnsi="Times New Roman" w:cs="Times New Roman"/>
                <w:color w:val="000000"/>
              </w:rPr>
              <w:footnoteReference w:id="3"/>
            </w:r>
          </w:p>
        </w:tc>
        <w:tc>
          <w:tcPr>
            <w:tcW w:w="1710" w:type="dxa"/>
            <w:shd w:val="clear" w:color="auto" w:fill="auto"/>
            <w:hideMark/>
          </w:tcPr>
          <w:p w14:paraId="074CF4ED" w14:textId="63D0DE8D" w:rsidR="00970DB9" w:rsidRPr="00E745D0" w:rsidRDefault="00241BFD" w:rsidP="00E745D0">
            <w:pPr>
              <w:jc w:val="right"/>
              <w:rPr>
                <w:rFonts w:ascii="Times New Roman" w:hAnsi="Times New Roman" w:cs="Times New Roman"/>
                <w:color w:val="000000"/>
              </w:rPr>
            </w:pPr>
            <w:r w:rsidRPr="00E745D0">
              <w:rPr>
                <w:rFonts w:ascii="Times New Roman" w:hAnsi="Times New Roman" w:cs="Times New Roman"/>
                <w:color w:val="000000"/>
              </w:rPr>
              <w:t>4,</w:t>
            </w:r>
            <w:r w:rsidR="00E745D0" w:rsidRPr="00E745D0">
              <w:rPr>
                <w:rFonts w:ascii="Times New Roman" w:hAnsi="Times New Roman" w:cs="Times New Roman"/>
                <w:color w:val="000000"/>
              </w:rPr>
              <w:t>295</w:t>
            </w:r>
          </w:p>
        </w:tc>
        <w:tc>
          <w:tcPr>
            <w:tcW w:w="2430" w:type="dxa"/>
          </w:tcPr>
          <w:p w14:paraId="63AD0700" w14:textId="4025101C" w:rsidR="00970DB9" w:rsidRPr="00E745D0" w:rsidRDefault="00E745D0" w:rsidP="003C3CEE">
            <w:pPr>
              <w:jc w:val="right"/>
              <w:rPr>
                <w:rFonts w:ascii="Times New Roman" w:hAnsi="Times New Roman" w:cs="Times New Roman"/>
                <w:color w:val="000000"/>
              </w:rPr>
            </w:pPr>
            <w:r w:rsidRPr="00E745D0">
              <w:rPr>
                <w:rFonts w:ascii="Times New Roman" w:hAnsi="Times New Roman" w:cs="Times New Roman"/>
                <w:color w:val="000000"/>
              </w:rPr>
              <w:t>51,540</w:t>
            </w:r>
          </w:p>
        </w:tc>
      </w:tr>
      <w:tr w:rsidR="00970DB9" w:rsidRPr="00E745D0" w14:paraId="556A3449" w14:textId="77777777" w:rsidTr="007F319A">
        <w:trPr>
          <w:trHeight w:val="329"/>
        </w:trPr>
        <w:tc>
          <w:tcPr>
            <w:tcW w:w="2268" w:type="dxa"/>
            <w:shd w:val="clear" w:color="auto" w:fill="auto"/>
            <w:hideMark/>
          </w:tcPr>
          <w:p w14:paraId="2C8D934E"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125 SD/MSPs</w:t>
            </w:r>
          </w:p>
        </w:tc>
        <w:tc>
          <w:tcPr>
            <w:tcW w:w="1620" w:type="dxa"/>
            <w:shd w:val="clear" w:color="auto" w:fill="auto"/>
            <w:hideMark/>
          </w:tcPr>
          <w:p w14:paraId="4E58EEB4"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1,411</w:t>
            </w:r>
          </w:p>
        </w:tc>
        <w:tc>
          <w:tcPr>
            <w:tcW w:w="2070" w:type="dxa"/>
          </w:tcPr>
          <w:p w14:paraId="6AA93769" w14:textId="2501139C"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176,375</w:t>
            </w:r>
          </w:p>
        </w:tc>
        <w:tc>
          <w:tcPr>
            <w:tcW w:w="1620" w:type="dxa"/>
            <w:shd w:val="clear" w:color="auto" w:fill="auto"/>
            <w:hideMark/>
          </w:tcPr>
          <w:p w14:paraId="44CA414A" w14:textId="317E86CB"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200</w:t>
            </w:r>
          </w:p>
        </w:tc>
        <w:tc>
          <w:tcPr>
            <w:tcW w:w="1710" w:type="dxa"/>
            <w:shd w:val="clear" w:color="auto" w:fill="auto"/>
            <w:hideMark/>
          </w:tcPr>
          <w:p w14:paraId="1E377BD1" w14:textId="456D93A4"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1,611</w:t>
            </w:r>
          </w:p>
        </w:tc>
        <w:tc>
          <w:tcPr>
            <w:tcW w:w="2430" w:type="dxa"/>
          </w:tcPr>
          <w:p w14:paraId="163222CF" w14:textId="243DAE9E"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220,125</w:t>
            </w:r>
          </w:p>
        </w:tc>
      </w:tr>
      <w:tr w:rsidR="00970DB9" w:rsidRPr="00E745D0" w14:paraId="769B85F0" w14:textId="77777777" w:rsidTr="007F319A">
        <w:trPr>
          <w:trHeight w:val="323"/>
        </w:trPr>
        <w:tc>
          <w:tcPr>
            <w:tcW w:w="2268" w:type="dxa"/>
            <w:shd w:val="clear" w:color="auto" w:fill="auto"/>
            <w:hideMark/>
          </w:tcPr>
          <w:p w14:paraId="6664C429" w14:textId="4CC7090C"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250 Non-SD/MSPs</w:t>
            </w:r>
            <w:r w:rsidRPr="00E745D0">
              <w:rPr>
                <w:rStyle w:val="FootnoteReference"/>
                <w:rFonts w:ascii="Times New Roman" w:hAnsi="Times New Roman" w:cs="Times New Roman"/>
                <w:color w:val="000000"/>
              </w:rPr>
              <w:footnoteReference w:id="4"/>
            </w:r>
          </w:p>
        </w:tc>
        <w:tc>
          <w:tcPr>
            <w:tcW w:w="1620" w:type="dxa"/>
            <w:shd w:val="clear" w:color="auto" w:fill="auto"/>
            <w:hideMark/>
          </w:tcPr>
          <w:p w14:paraId="42C64B76" w14:textId="77777777"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463</w:t>
            </w:r>
          </w:p>
        </w:tc>
        <w:tc>
          <w:tcPr>
            <w:tcW w:w="2070" w:type="dxa"/>
          </w:tcPr>
          <w:p w14:paraId="6BA4FD20" w14:textId="355A1B25"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115,750</w:t>
            </w:r>
          </w:p>
        </w:tc>
        <w:tc>
          <w:tcPr>
            <w:tcW w:w="1620" w:type="dxa"/>
            <w:shd w:val="clear" w:color="auto" w:fill="auto"/>
            <w:hideMark/>
          </w:tcPr>
          <w:p w14:paraId="4C49BD4A" w14:textId="78BFA835"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200</w:t>
            </w:r>
          </w:p>
        </w:tc>
        <w:tc>
          <w:tcPr>
            <w:tcW w:w="1710" w:type="dxa"/>
            <w:shd w:val="clear" w:color="auto" w:fill="auto"/>
            <w:hideMark/>
          </w:tcPr>
          <w:p w14:paraId="43EFAE67" w14:textId="22B737F4" w:rsidR="00970DB9" w:rsidRPr="00E745D0" w:rsidRDefault="00970DB9" w:rsidP="00970DB9">
            <w:pPr>
              <w:jc w:val="right"/>
              <w:rPr>
                <w:rFonts w:ascii="Times New Roman" w:hAnsi="Times New Roman" w:cs="Times New Roman"/>
                <w:color w:val="000000"/>
              </w:rPr>
            </w:pPr>
            <w:r w:rsidRPr="00E745D0">
              <w:rPr>
                <w:rFonts w:ascii="Times New Roman" w:hAnsi="Times New Roman" w:cs="Times New Roman"/>
                <w:color w:val="000000"/>
              </w:rPr>
              <w:t>663</w:t>
            </w:r>
          </w:p>
        </w:tc>
        <w:tc>
          <w:tcPr>
            <w:tcW w:w="2430" w:type="dxa"/>
          </w:tcPr>
          <w:p w14:paraId="45D50843" w14:textId="7FF06527" w:rsidR="00970DB9" w:rsidRPr="00E745D0" w:rsidRDefault="00970DB9" w:rsidP="00740199">
            <w:pPr>
              <w:jc w:val="right"/>
              <w:rPr>
                <w:rFonts w:ascii="Times New Roman" w:hAnsi="Times New Roman" w:cs="Times New Roman"/>
                <w:color w:val="000000"/>
              </w:rPr>
            </w:pPr>
            <w:r w:rsidRPr="00E745D0">
              <w:rPr>
                <w:rFonts w:ascii="Times New Roman" w:hAnsi="Times New Roman" w:cs="Times New Roman"/>
                <w:color w:val="000000"/>
              </w:rPr>
              <w:t>1</w:t>
            </w:r>
            <w:r w:rsidR="00740199" w:rsidRPr="00E745D0">
              <w:rPr>
                <w:rFonts w:ascii="Times New Roman" w:hAnsi="Times New Roman" w:cs="Times New Roman"/>
                <w:color w:val="000000"/>
              </w:rPr>
              <w:t>6</w:t>
            </w:r>
            <w:r w:rsidRPr="00E745D0">
              <w:rPr>
                <w:rFonts w:ascii="Times New Roman" w:hAnsi="Times New Roman" w:cs="Times New Roman"/>
                <w:color w:val="000000"/>
              </w:rPr>
              <w:t>5,750</w:t>
            </w:r>
          </w:p>
        </w:tc>
      </w:tr>
      <w:tr w:rsidR="008D0446" w:rsidRPr="00E745D0" w14:paraId="68CC1427" w14:textId="77777777" w:rsidTr="007F319A">
        <w:trPr>
          <w:trHeight w:val="375"/>
        </w:trPr>
        <w:tc>
          <w:tcPr>
            <w:tcW w:w="2268" w:type="dxa"/>
            <w:shd w:val="clear" w:color="auto" w:fill="auto"/>
          </w:tcPr>
          <w:p w14:paraId="65212109" w14:textId="782E1D44" w:rsidR="008D0446" w:rsidRPr="00E745D0" w:rsidRDefault="008D0446" w:rsidP="00970DB9">
            <w:pPr>
              <w:jc w:val="right"/>
              <w:rPr>
                <w:rFonts w:ascii="Times New Roman" w:hAnsi="Times New Roman" w:cs="Times New Roman"/>
                <w:color w:val="000000"/>
              </w:rPr>
            </w:pPr>
            <w:r w:rsidRPr="00E745D0">
              <w:rPr>
                <w:rFonts w:ascii="Times New Roman" w:hAnsi="Times New Roman" w:cs="Times New Roman"/>
                <w:color w:val="000000"/>
              </w:rPr>
              <w:lastRenderedPageBreak/>
              <w:t>All Entities</w:t>
            </w:r>
          </w:p>
        </w:tc>
        <w:tc>
          <w:tcPr>
            <w:tcW w:w="1620" w:type="dxa"/>
            <w:shd w:val="clear" w:color="auto" w:fill="auto"/>
          </w:tcPr>
          <w:p w14:paraId="42FD40BE" w14:textId="77777777" w:rsidR="008D0446" w:rsidRPr="00E745D0" w:rsidRDefault="008D0446" w:rsidP="00970DB9">
            <w:pPr>
              <w:jc w:val="right"/>
              <w:rPr>
                <w:rFonts w:ascii="Times New Roman" w:hAnsi="Times New Roman" w:cs="Times New Roman"/>
                <w:color w:val="000000"/>
              </w:rPr>
            </w:pPr>
          </w:p>
        </w:tc>
        <w:tc>
          <w:tcPr>
            <w:tcW w:w="2070" w:type="dxa"/>
          </w:tcPr>
          <w:p w14:paraId="08A99723" w14:textId="462DEE6E" w:rsidR="008D0446" w:rsidRPr="00E745D0" w:rsidRDefault="008D0446" w:rsidP="00970DB9">
            <w:pPr>
              <w:jc w:val="right"/>
              <w:rPr>
                <w:rFonts w:ascii="Times New Roman" w:hAnsi="Times New Roman" w:cs="Times New Roman"/>
                <w:color w:val="000000"/>
              </w:rPr>
            </w:pPr>
            <w:r w:rsidRPr="00E745D0">
              <w:rPr>
                <w:rFonts w:ascii="Times New Roman" w:hAnsi="Times New Roman" w:cs="Times New Roman"/>
                <w:color w:val="000000"/>
              </w:rPr>
              <w:t>445,910</w:t>
            </w:r>
          </w:p>
        </w:tc>
        <w:tc>
          <w:tcPr>
            <w:tcW w:w="1620" w:type="dxa"/>
            <w:shd w:val="clear" w:color="auto" w:fill="auto"/>
          </w:tcPr>
          <w:p w14:paraId="6D17D295" w14:textId="77777777" w:rsidR="008D0446" w:rsidRPr="00E745D0" w:rsidRDefault="008D0446" w:rsidP="00970DB9">
            <w:pPr>
              <w:jc w:val="right"/>
              <w:rPr>
                <w:rFonts w:ascii="Times New Roman" w:hAnsi="Times New Roman" w:cs="Times New Roman"/>
                <w:color w:val="000000"/>
              </w:rPr>
            </w:pPr>
          </w:p>
        </w:tc>
        <w:tc>
          <w:tcPr>
            <w:tcW w:w="1710" w:type="dxa"/>
            <w:shd w:val="clear" w:color="auto" w:fill="auto"/>
          </w:tcPr>
          <w:p w14:paraId="45F69929" w14:textId="77777777" w:rsidR="008D0446" w:rsidRPr="00E745D0" w:rsidRDefault="008D0446" w:rsidP="00970DB9">
            <w:pPr>
              <w:jc w:val="right"/>
              <w:rPr>
                <w:rFonts w:ascii="Times New Roman" w:hAnsi="Times New Roman" w:cs="Times New Roman"/>
                <w:color w:val="000000"/>
              </w:rPr>
            </w:pPr>
          </w:p>
        </w:tc>
        <w:tc>
          <w:tcPr>
            <w:tcW w:w="2430" w:type="dxa"/>
          </w:tcPr>
          <w:p w14:paraId="205E9D7A" w14:textId="205DC2DF" w:rsidR="008D0446" w:rsidRPr="00E745D0" w:rsidRDefault="00740199" w:rsidP="00E745D0">
            <w:pPr>
              <w:jc w:val="right"/>
              <w:rPr>
                <w:rFonts w:ascii="Times New Roman" w:hAnsi="Times New Roman" w:cs="Times New Roman"/>
                <w:color w:val="000000"/>
              </w:rPr>
            </w:pPr>
            <w:r w:rsidRPr="00E745D0">
              <w:rPr>
                <w:rFonts w:ascii="Times New Roman" w:hAnsi="Times New Roman" w:cs="Times New Roman"/>
                <w:color w:val="000000"/>
              </w:rPr>
              <w:t>56</w:t>
            </w:r>
            <w:r w:rsidR="00E745D0" w:rsidRPr="00E745D0">
              <w:rPr>
                <w:rFonts w:ascii="Times New Roman" w:hAnsi="Times New Roman" w:cs="Times New Roman"/>
                <w:color w:val="000000"/>
              </w:rPr>
              <w:t>2</w:t>
            </w:r>
            <w:r w:rsidRPr="00E745D0">
              <w:rPr>
                <w:rFonts w:ascii="Times New Roman" w:hAnsi="Times New Roman" w:cs="Times New Roman"/>
                <w:color w:val="000000"/>
              </w:rPr>
              <w:t>,</w:t>
            </w:r>
            <w:r w:rsidR="00E745D0" w:rsidRPr="00E745D0">
              <w:rPr>
                <w:rFonts w:ascii="Times New Roman" w:hAnsi="Times New Roman" w:cs="Times New Roman"/>
                <w:color w:val="000000"/>
              </w:rPr>
              <w:t>9</w:t>
            </w:r>
            <w:r w:rsidRPr="00E745D0">
              <w:rPr>
                <w:rFonts w:ascii="Times New Roman" w:hAnsi="Times New Roman" w:cs="Times New Roman"/>
                <w:color w:val="000000"/>
              </w:rPr>
              <w:t>45</w:t>
            </w:r>
          </w:p>
        </w:tc>
      </w:tr>
    </w:tbl>
    <w:tbl>
      <w:tblPr>
        <w:tblpPr w:leftFromText="180" w:rightFromText="180" w:vertAnchor="text" w:horzAnchor="margin" w:tblpY="91"/>
        <w:tblW w:w="106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3"/>
        <w:gridCol w:w="1703"/>
        <w:gridCol w:w="1686"/>
        <w:gridCol w:w="1686"/>
        <w:gridCol w:w="1749"/>
        <w:gridCol w:w="2126"/>
      </w:tblGrid>
      <w:tr w:rsidR="00241BFD" w:rsidRPr="00E745D0" w14:paraId="79FFDD73" w14:textId="77777777" w:rsidTr="00241BFD">
        <w:trPr>
          <w:trHeight w:val="530"/>
        </w:trPr>
        <w:tc>
          <w:tcPr>
            <w:tcW w:w="10653" w:type="dxa"/>
            <w:gridSpan w:val="6"/>
            <w:shd w:val="clear" w:color="auto" w:fill="D9D9D9" w:themeFill="background1" w:themeFillShade="D9"/>
            <w:vAlign w:val="center"/>
          </w:tcPr>
          <w:p w14:paraId="24A21B59" w14:textId="2FAB81B1" w:rsidR="00241BFD" w:rsidRPr="00E745D0" w:rsidRDefault="00241BFD" w:rsidP="00970DB9">
            <w:pPr>
              <w:jc w:val="center"/>
              <w:rPr>
                <w:rFonts w:ascii="Times New Roman" w:hAnsi="Times New Roman" w:cs="Times New Roman"/>
                <w:color w:val="000000"/>
              </w:rPr>
            </w:pPr>
            <w:r w:rsidRPr="00E745D0">
              <w:rPr>
                <w:rFonts w:ascii="Times New Roman" w:hAnsi="Times New Roman" w:cs="Times New Roman"/>
                <w:color w:val="000000"/>
              </w:rPr>
              <w:t>Annual Costs</w:t>
            </w:r>
          </w:p>
        </w:tc>
      </w:tr>
      <w:tr w:rsidR="00A964ED" w:rsidRPr="00E745D0" w14:paraId="09A44D58" w14:textId="77777777" w:rsidTr="0002765D">
        <w:trPr>
          <w:trHeight w:val="1171"/>
        </w:trPr>
        <w:tc>
          <w:tcPr>
            <w:tcW w:w="1703" w:type="dxa"/>
            <w:vAlign w:val="center"/>
          </w:tcPr>
          <w:p w14:paraId="6D2B6CFD" w14:textId="1964F9BF" w:rsidR="00A964ED" w:rsidRPr="00E745D0" w:rsidRDefault="00A964ED" w:rsidP="00970DB9">
            <w:pPr>
              <w:jc w:val="center"/>
              <w:rPr>
                <w:rFonts w:ascii="Times New Roman" w:hAnsi="Times New Roman" w:cs="Times New Roman"/>
                <w:color w:val="000000"/>
              </w:rPr>
            </w:pPr>
            <w:r w:rsidRPr="007F319A">
              <w:rPr>
                <w:rFonts w:ascii="Times New Roman" w:hAnsi="Times New Roman" w:cs="Times New Roman"/>
                <w:color w:val="000000"/>
              </w:rPr>
              <w:t>Entity</w:t>
            </w:r>
          </w:p>
        </w:tc>
        <w:tc>
          <w:tcPr>
            <w:tcW w:w="1703" w:type="dxa"/>
            <w:shd w:val="clear" w:color="auto" w:fill="auto"/>
            <w:vAlign w:val="center"/>
            <w:hideMark/>
          </w:tcPr>
          <w:p w14:paraId="360115B4" w14:textId="5EF7B544" w:rsidR="00A964ED" w:rsidRPr="00E745D0" w:rsidRDefault="00A964ED" w:rsidP="00970DB9">
            <w:pPr>
              <w:jc w:val="center"/>
              <w:rPr>
                <w:rFonts w:ascii="Times New Roman" w:hAnsi="Times New Roman" w:cs="Times New Roman"/>
                <w:color w:val="000000"/>
              </w:rPr>
            </w:pPr>
            <w:r w:rsidRPr="00E745D0">
              <w:rPr>
                <w:rFonts w:ascii="Times New Roman" w:hAnsi="Times New Roman" w:cs="Times New Roman"/>
                <w:color w:val="000000"/>
              </w:rPr>
              <w:t>Prior annual cost (per entity)</w:t>
            </w:r>
          </w:p>
        </w:tc>
        <w:tc>
          <w:tcPr>
            <w:tcW w:w="1686" w:type="dxa"/>
            <w:vAlign w:val="center"/>
          </w:tcPr>
          <w:p w14:paraId="5F431011" w14:textId="5B9B93D6" w:rsidR="00A964ED" w:rsidRPr="00E745D0" w:rsidRDefault="00A964ED" w:rsidP="00970DB9">
            <w:pPr>
              <w:jc w:val="center"/>
              <w:rPr>
                <w:rFonts w:ascii="Times New Roman" w:hAnsi="Times New Roman" w:cs="Times New Roman"/>
                <w:color w:val="000000"/>
              </w:rPr>
            </w:pPr>
            <w:r w:rsidRPr="00E745D0">
              <w:rPr>
                <w:rFonts w:ascii="Times New Roman" w:hAnsi="Times New Roman" w:cs="Times New Roman"/>
                <w:color w:val="000000"/>
              </w:rPr>
              <w:t>Prior aggregate annual cost    (all entities)</w:t>
            </w:r>
          </w:p>
        </w:tc>
        <w:tc>
          <w:tcPr>
            <w:tcW w:w="1686" w:type="dxa"/>
            <w:vAlign w:val="center"/>
          </w:tcPr>
          <w:p w14:paraId="62AA7487" w14:textId="4836E0A0" w:rsidR="00A964ED" w:rsidRPr="00E745D0" w:rsidRDefault="00A964ED" w:rsidP="00224374">
            <w:pPr>
              <w:jc w:val="center"/>
              <w:rPr>
                <w:rFonts w:ascii="Times New Roman" w:hAnsi="Times New Roman" w:cs="Times New Roman"/>
                <w:color w:val="000000"/>
              </w:rPr>
            </w:pPr>
            <w:r w:rsidRPr="00E745D0">
              <w:rPr>
                <w:rFonts w:ascii="Times New Roman" w:hAnsi="Times New Roman" w:cs="Times New Roman"/>
              </w:rPr>
              <w:footnoteReference w:customMarkFollows="1" w:id="5"/>
              <w:t>Additional annual costs (per entity)</w:t>
            </w:r>
          </w:p>
        </w:tc>
        <w:tc>
          <w:tcPr>
            <w:tcW w:w="1749" w:type="dxa"/>
            <w:shd w:val="clear" w:color="auto" w:fill="auto"/>
            <w:vAlign w:val="center"/>
            <w:hideMark/>
          </w:tcPr>
          <w:p w14:paraId="40454C97" w14:textId="6FE46D84" w:rsidR="00A964ED" w:rsidRPr="00E745D0" w:rsidRDefault="00A964ED" w:rsidP="00970DB9">
            <w:pPr>
              <w:jc w:val="center"/>
              <w:rPr>
                <w:rFonts w:ascii="Times New Roman" w:hAnsi="Times New Roman" w:cs="Times New Roman"/>
                <w:color w:val="000000"/>
              </w:rPr>
            </w:pPr>
            <w:r w:rsidRPr="00E745D0">
              <w:rPr>
                <w:rFonts w:ascii="Times New Roman" w:hAnsi="Times New Roman" w:cs="Times New Roman"/>
                <w:color w:val="000000"/>
              </w:rPr>
              <w:t>Amended annual cost (per entity)</w:t>
            </w:r>
          </w:p>
        </w:tc>
        <w:tc>
          <w:tcPr>
            <w:tcW w:w="2126" w:type="dxa"/>
            <w:shd w:val="clear" w:color="auto" w:fill="auto"/>
            <w:vAlign w:val="center"/>
            <w:hideMark/>
          </w:tcPr>
          <w:p w14:paraId="0C21D991" w14:textId="21CC57C1" w:rsidR="00A964ED" w:rsidRPr="00E745D0" w:rsidRDefault="00A964ED" w:rsidP="00970DB9">
            <w:pPr>
              <w:jc w:val="center"/>
              <w:rPr>
                <w:rFonts w:ascii="Times New Roman" w:hAnsi="Times New Roman" w:cs="Times New Roman"/>
                <w:color w:val="000000"/>
              </w:rPr>
            </w:pPr>
            <w:r w:rsidRPr="00E745D0">
              <w:rPr>
                <w:rFonts w:ascii="Times New Roman" w:hAnsi="Times New Roman" w:cs="Times New Roman"/>
                <w:color w:val="000000"/>
              </w:rPr>
              <w:t>Amended aggregate cost (all entities)</w:t>
            </w:r>
          </w:p>
        </w:tc>
      </w:tr>
      <w:tr w:rsidR="00A964ED" w:rsidRPr="00E745D0" w14:paraId="0E976D85" w14:textId="77777777" w:rsidTr="00EE1367">
        <w:trPr>
          <w:trHeight w:val="402"/>
        </w:trPr>
        <w:tc>
          <w:tcPr>
            <w:tcW w:w="1703" w:type="dxa"/>
            <w:vAlign w:val="center"/>
          </w:tcPr>
          <w:p w14:paraId="7F37EF3F" w14:textId="14A9261F" w:rsidR="00A964ED" w:rsidRPr="00E745D0" w:rsidRDefault="00A964ED" w:rsidP="0002765D">
            <w:pPr>
              <w:jc w:val="right"/>
              <w:rPr>
                <w:rFonts w:ascii="Times New Roman" w:hAnsi="Times New Roman" w:cs="Times New Roman"/>
                <w:color w:val="000000"/>
              </w:rPr>
            </w:pPr>
            <w:r w:rsidRPr="00E745D0">
              <w:rPr>
                <w:rFonts w:ascii="Times New Roman" w:hAnsi="Times New Roman" w:cs="Times New Roman"/>
                <w:color w:val="000000"/>
              </w:rPr>
              <w:t>4 SDRs</w:t>
            </w:r>
            <w:r w:rsidR="00224374" w:rsidRPr="00E745D0">
              <w:rPr>
                <w:rStyle w:val="FootnoteReference"/>
                <w:rFonts w:ascii="Times New Roman" w:hAnsi="Times New Roman" w:cs="Times New Roman"/>
                <w:color w:val="000000"/>
              </w:rPr>
              <w:footnoteReference w:id="6"/>
            </w:r>
          </w:p>
        </w:tc>
        <w:tc>
          <w:tcPr>
            <w:tcW w:w="1703" w:type="dxa"/>
            <w:shd w:val="clear" w:color="auto" w:fill="auto"/>
            <w:vAlign w:val="center"/>
            <w:hideMark/>
          </w:tcPr>
          <w:p w14:paraId="1FE252A1" w14:textId="5C554AD1"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$17,855 </w:t>
            </w:r>
          </w:p>
        </w:tc>
        <w:tc>
          <w:tcPr>
            <w:tcW w:w="1686" w:type="dxa"/>
            <w:vAlign w:val="center"/>
          </w:tcPr>
          <w:p w14:paraId="78C517AA" w14:textId="35E041FD"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$267,823 </w:t>
            </w:r>
          </w:p>
        </w:tc>
        <w:tc>
          <w:tcPr>
            <w:tcW w:w="1686" w:type="dxa"/>
            <w:vAlign w:val="center"/>
          </w:tcPr>
          <w:p w14:paraId="48889F03" w14:textId="5E5DBCCC"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$15,196 </w:t>
            </w:r>
          </w:p>
        </w:tc>
        <w:tc>
          <w:tcPr>
            <w:tcW w:w="1749" w:type="dxa"/>
            <w:shd w:val="clear" w:color="auto" w:fill="auto"/>
            <w:vAlign w:val="center"/>
            <w:hideMark/>
          </w:tcPr>
          <w:p w14:paraId="3C491C98" w14:textId="7B71749E"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$33,051 </w:t>
            </w:r>
          </w:p>
        </w:tc>
        <w:tc>
          <w:tcPr>
            <w:tcW w:w="2126" w:type="dxa"/>
            <w:shd w:val="clear" w:color="auto" w:fill="auto"/>
            <w:noWrap/>
            <w:vAlign w:val="center"/>
            <w:hideMark/>
          </w:tcPr>
          <w:p w14:paraId="7102AC43" w14:textId="242D4F13"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$132,204 </w:t>
            </w:r>
          </w:p>
        </w:tc>
      </w:tr>
      <w:tr w:rsidR="00A964ED" w:rsidRPr="00E745D0" w14:paraId="64071F97" w14:textId="77777777" w:rsidTr="00EE1367">
        <w:trPr>
          <w:trHeight w:val="402"/>
        </w:trPr>
        <w:tc>
          <w:tcPr>
            <w:tcW w:w="1703" w:type="dxa"/>
            <w:vAlign w:val="center"/>
          </w:tcPr>
          <w:p w14:paraId="62513F70" w14:textId="0B5DD32E"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40 SEFs</w:t>
            </w:r>
          </w:p>
        </w:tc>
        <w:tc>
          <w:tcPr>
            <w:tcW w:w="1703" w:type="dxa"/>
            <w:shd w:val="clear" w:color="auto" w:fill="auto"/>
            <w:vAlign w:val="center"/>
            <w:hideMark/>
          </w:tcPr>
          <w:p w14:paraId="61FB8766" w14:textId="78A12131"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$286,004 </w:t>
            </w:r>
          </w:p>
        </w:tc>
        <w:tc>
          <w:tcPr>
            <w:tcW w:w="1686" w:type="dxa"/>
            <w:vAlign w:val="center"/>
          </w:tcPr>
          <w:p w14:paraId="28E7B50E" w14:textId="40D6DF51"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$11,440,168 </w:t>
            </w:r>
          </w:p>
        </w:tc>
        <w:tc>
          <w:tcPr>
            <w:tcW w:w="1686" w:type="dxa"/>
            <w:vAlign w:val="center"/>
          </w:tcPr>
          <w:p w14:paraId="09863A7C" w14:textId="16F10CC8"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$15,196 </w:t>
            </w:r>
          </w:p>
        </w:tc>
        <w:tc>
          <w:tcPr>
            <w:tcW w:w="1749" w:type="dxa"/>
            <w:shd w:val="clear" w:color="auto" w:fill="auto"/>
            <w:vAlign w:val="center"/>
            <w:hideMark/>
          </w:tcPr>
          <w:p w14:paraId="7D7E6622" w14:textId="3C80AECA"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$301,200 </w:t>
            </w:r>
          </w:p>
        </w:tc>
        <w:tc>
          <w:tcPr>
            <w:tcW w:w="2126" w:type="dxa"/>
            <w:shd w:val="clear" w:color="auto" w:fill="auto"/>
            <w:noWrap/>
            <w:vAlign w:val="center"/>
            <w:hideMark/>
          </w:tcPr>
          <w:p w14:paraId="137AAB37" w14:textId="3595C956"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$12,048,000 </w:t>
            </w:r>
          </w:p>
        </w:tc>
      </w:tr>
      <w:tr w:rsidR="00A964ED" w:rsidRPr="00E745D0" w14:paraId="55F9A54B" w14:textId="77777777" w:rsidTr="00EE1367">
        <w:trPr>
          <w:trHeight w:val="402"/>
        </w:trPr>
        <w:tc>
          <w:tcPr>
            <w:tcW w:w="1703" w:type="dxa"/>
            <w:vAlign w:val="center"/>
          </w:tcPr>
          <w:p w14:paraId="0053D00E" w14:textId="60A8FD24"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18 DCMs</w:t>
            </w:r>
          </w:p>
        </w:tc>
        <w:tc>
          <w:tcPr>
            <w:tcW w:w="1703" w:type="dxa"/>
            <w:shd w:val="clear" w:color="auto" w:fill="auto"/>
            <w:vAlign w:val="center"/>
            <w:hideMark/>
          </w:tcPr>
          <w:p w14:paraId="2A6167A7" w14:textId="12CF3947"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$286,004 </w:t>
            </w:r>
          </w:p>
        </w:tc>
        <w:tc>
          <w:tcPr>
            <w:tcW w:w="1686" w:type="dxa"/>
            <w:vAlign w:val="center"/>
          </w:tcPr>
          <w:p w14:paraId="5CBA2F13" w14:textId="30D7752A"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$5,148,076 </w:t>
            </w:r>
          </w:p>
        </w:tc>
        <w:tc>
          <w:tcPr>
            <w:tcW w:w="1686" w:type="dxa"/>
            <w:vAlign w:val="center"/>
          </w:tcPr>
          <w:p w14:paraId="75D23ED8" w14:textId="7BEF9731"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$15,196 </w:t>
            </w:r>
          </w:p>
        </w:tc>
        <w:tc>
          <w:tcPr>
            <w:tcW w:w="1749" w:type="dxa"/>
            <w:shd w:val="clear" w:color="auto" w:fill="auto"/>
            <w:vAlign w:val="center"/>
            <w:hideMark/>
          </w:tcPr>
          <w:p w14:paraId="1DC1D025" w14:textId="52C5CBC4"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$301,200 </w:t>
            </w:r>
          </w:p>
        </w:tc>
        <w:tc>
          <w:tcPr>
            <w:tcW w:w="2126" w:type="dxa"/>
            <w:shd w:val="clear" w:color="auto" w:fill="auto"/>
            <w:noWrap/>
            <w:vAlign w:val="center"/>
            <w:hideMark/>
          </w:tcPr>
          <w:p w14:paraId="49DD9DC0" w14:textId="36ECB0D5"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$5,421,600 </w:t>
            </w:r>
          </w:p>
        </w:tc>
      </w:tr>
      <w:tr w:rsidR="00A964ED" w:rsidRPr="00E745D0" w14:paraId="063FE22E" w14:textId="77777777" w:rsidTr="00EE1367">
        <w:trPr>
          <w:trHeight w:val="402"/>
        </w:trPr>
        <w:tc>
          <w:tcPr>
            <w:tcW w:w="1703" w:type="dxa"/>
            <w:vAlign w:val="center"/>
          </w:tcPr>
          <w:p w14:paraId="65470037" w14:textId="4D1AD9FD"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12 DCOs</w:t>
            </w:r>
          </w:p>
        </w:tc>
        <w:tc>
          <w:tcPr>
            <w:tcW w:w="1703" w:type="dxa"/>
            <w:shd w:val="clear" w:color="auto" w:fill="auto"/>
            <w:vAlign w:val="center"/>
            <w:hideMark/>
          </w:tcPr>
          <w:p w14:paraId="6FE0333E" w14:textId="4B795108"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$444,043 </w:t>
            </w:r>
          </w:p>
        </w:tc>
        <w:tc>
          <w:tcPr>
            <w:tcW w:w="1686" w:type="dxa"/>
            <w:vAlign w:val="center"/>
          </w:tcPr>
          <w:p w14:paraId="1CA0085B" w14:textId="45A0D700"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$5,328,511 </w:t>
            </w:r>
          </w:p>
        </w:tc>
        <w:tc>
          <w:tcPr>
            <w:tcW w:w="1686" w:type="dxa"/>
            <w:vAlign w:val="center"/>
          </w:tcPr>
          <w:p w14:paraId="071AB5A2" w14:textId="07382801" w:rsidR="00A964ED" w:rsidRPr="00E745D0" w:rsidRDefault="00A964ED" w:rsidP="00A91765">
            <w:pPr>
              <w:jc w:val="right"/>
              <w:rPr>
                <w:rFonts w:ascii="Times New Roman" w:hAnsi="Times New Roman" w:cs="Times New Roman"/>
                <w:color w:val="000000"/>
              </w:rPr>
            </w:pPr>
            <w:r w:rsidRPr="00E745D0">
              <w:rPr>
                <w:rFonts w:ascii="Times New Roman" w:hAnsi="Times New Roman" w:cs="Times New Roman"/>
                <w:color w:val="000000"/>
              </w:rPr>
              <w:t>$407,291</w:t>
            </w:r>
            <w:r w:rsidR="00E745D0">
              <w:rPr>
                <w:rStyle w:val="FootnoteReference"/>
                <w:rFonts w:ascii="Times New Roman" w:hAnsi="Times New Roman" w:cs="Times New Roman"/>
                <w:color w:val="000000"/>
              </w:rPr>
              <w:footnoteReference w:id="7"/>
            </w:r>
            <w:r w:rsidRPr="00E745D0">
              <w:rPr>
                <w:rFonts w:ascii="Times New Roman" w:hAnsi="Times New Roman" w:cs="Times New Roman"/>
                <w:color w:val="000000"/>
              </w:rPr>
              <w:t xml:space="preserve"> </w:t>
            </w:r>
          </w:p>
        </w:tc>
        <w:tc>
          <w:tcPr>
            <w:tcW w:w="1749" w:type="dxa"/>
            <w:shd w:val="clear" w:color="auto" w:fill="auto"/>
            <w:vAlign w:val="center"/>
            <w:hideMark/>
          </w:tcPr>
          <w:p w14:paraId="26B6AEBE" w14:textId="5CE0B215"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$851,334 </w:t>
            </w:r>
          </w:p>
        </w:tc>
        <w:tc>
          <w:tcPr>
            <w:tcW w:w="2126" w:type="dxa"/>
            <w:shd w:val="clear" w:color="auto" w:fill="auto"/>
            <w:noWrap/>
            <w:vAlign w:val="center"/>
            <w:hideMark/>
          </w:tcPr>
          <w:p w14:paraId="2D112832" w14:textId="72249E25"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$10,216,008 </w:t>
            </w:r>
          </w:p>
        </w:tc>
      </w:tr>
      <w:tr w:rsidR="00A964ED" w:rsidRPr="00E745D0" w14:paraId="3D947342" w14:textId="77777777" w:rsidTr="00EE1367">
        <w:trPr>
          <w:trHeight w:val="402"/>
        </w:trPr>
        <w:tc>
          <w:tcPr>
            <w:tcW w:w="1703" w:type="dxa"/>
            <w:vAlign w:val="center"/>
          </w:tcPr>
          <w:p w14:paraId="5BD4B449" w14:textId="392C8CA9"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125 SD/MSPs</w:t>
            </w:r>
          </w:p>
        </w:tc>
        <w:tc>
          <w:tcPr>
            <w:tcW w:w="1703" w:type="dxa"/>
            <w:shd w:val="clear" w:color="auto" w:fill="auto"/>
            <w:vAlign w:val="center"/>
            <w:hideMark/>
          </w:tcPr>
          <w:p w14:paraId="0A15297E" w14:textId="5BE46365"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$207,208 </w:t>
            </w:r>
          </w:p>
        </w:tc>
        <w:tc>
          <w:tcPr>
            <w:tcW w:w="1686" w:type="dxa"/>
            <w:vAlign w:val="center"/>
          </w:tcPr>
          <w:p w14:paraId="75FEC8AD" w14:textId="3FB450B2"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$25,900,973 </w:t>
            </w:r>
          </w:p>
        </w:tc>
        <w:tc>
          <w:tcPr>
            <w:tcW w:w="1686" w:type="dxa"/>
            <w:vAlign w:val="center"/>
          </w:tcPr>
          <w:p w14:paraId="68E5797F" w14:textId="27C97E25"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$15,196 </w:t>
            </w:r>
          </w:p>
        </w:tc>
        <w:tc>
          <w:tcPr>
            <w:tcW w:w="1749" w:type="dxa"/>
            <w:shd w:val="clear" w:color="auto" w:fill="auto"/>
            <w:vAlign w:val="center"/>
            <w:hideMark/>
          </w:tcPr>
          <w:p w14:paraId="4672FC37" w14:textId="28B9EBF9"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$222,404 </w:t>
            </w:r>
          </w:p>
        </w:tc>
        <w:tc>
          <w:tcPr>
            <w:tcW w:w="2126" w:type="dxa"/>
            <w:shd w:val="clear" w:color="auto" w:fill="auto"/>
            <w:noWrap/>
            <w:vAlign w:val="center"/>
            <w:hideMark/>
          </w:tcPr>
          <w:p w14:paraId="4BEF7CD2" w14:textId="7EEC46F4"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$27,800,500 </w:t>
            </w:r>
          </w:p>
        </w:tc>
      </w:tr>
      <w:tr w:rsidR="00A964ED" w:rsidRPr="00E745D0" w14:paraId="2D70BFAE" w14:textId="77777777" w:rsidTr="00EE1367">
        <w:trPr>
          <w:trHeight w:val="459"/>
        </w:trPr>
        <w:tc>
          <w:tcPr>
            <w:tcW w:w="1703" w:type="dxa"/>
            <w:vAlign w:val="center"/>
          </w:tcPr>
          <w:p w14:paraId="03168532" w14:textId="25F6964A"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250 Non-SD/MSPs</w:t>
            </w:r>
          </w:p>
        </w:tc>
        <w:tc>
          <w:tcPr>
            <w:tcW w:w="1703" w:type="dxa"/>
            <w:shd w:val="clear" w:color="auto" w:fill="auto"/>
            <w:vAlign w:val="center"/>
            <w:hideMark/>
          </w:tcPr>
          <w:p w14:paraId="120076F4" w14:textId="44BDAD6C"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$160,179 </w:t>
            </w:r>
          </w:p>
        </w:tc>
        <w:tc>
          <w:tcPr>
            <w:tcW w:w="1686" w:type="dxa"/>
            <w:vAlign w:val="center"/>
          </w:tcPr>
          <w:p w14:paraId="368CA00A" w14:textId="5AF3696A"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$40,044,685 </w:t>
            </w:r>
          </w:p>
        </w:tc>
        <w:tc>
          <w:tcPr>
            <w:tcW w:w="1686" w:type="dxa"/>
            <w:vAlign w:val="center"/>
          </w:tcPr>
          <w:p w14:paraId="36E0336E" w14:textId="2F8D488E"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$15,196 </w:t>
            </w:r>
          </w:p>
        </w:tc>
        <w:tc>
          <w:tcPr>
            <w:tcW w:w="1749" w:type="dxa"/>
            <w:shd w:val="clear" w:color="auto" w:fill="auto"/>
            <w:vAlign w:val="center"/>
            <w:hideMark/>
          </w:tcPr>
          <w:p w14:paraId="5221C3B3" w14:textId="5FCA16F2"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$175,375 </w:t>
            </w:r>
          </w:p>
        </w:tc>
        <w:tc>
          <w:tcPr>
            <w:tcW w:w="2126" w:type="dxa"/>
            <w:shd w:val="clear" w:color="auto" w:fill="auto"/>
            <w:noWrap/>
            <w:vAlign w:val="center"/>
            <w:hideMark/>
          </w:tcPr>
          <w:p w14:paraId="423CB175" w14:textId="1ABC6FD2" w:rsidR="00A964ED" w:rsidRPr="00E745D0" w:rsidRDefault="00A964ED" w:rsidP="00DC68F0">
            <w:pPr>
              <w:jc w:val="right"/>
              <w:rPr>
                <w:rFonts w:ascii="Times New Roman" w:hAnsi="Times New Roman" w:cs="Times New Roman"/>
                <w:color w:val="000000"/>
              </w:rPr>
            </w:pPr>
            <w:r w:rsidRPr="00E745D0">
              <w:rPr>
                <w:rFonts w:ascii="Times New Roman" w:hAnsi="Times New Roman" w:cs="Times New Roman"/>
                <w:color w:val="000000"/>
              </w:rPr>
              <w:t xml:space="preserve">$43,843,750 </w:t>
            </w:r>
          </w:p>
        </w:tc>
      </w:tr>
      <w:tr w:rsidR="00A964ED" w:rsidRPr="00E745D0" w14:paraId="44AD58C2" w14:textId="77777777" w:rsidTr="00EE1367">
        <w:trPr>
          <w:trHeight w:val="459"/>
        </w:trPr>
        <w:tc>
          <w:tcPr>
            <w:tcW w:w="1703" w:type="dxa"/>
            <w:vAlign w:val="center"/>
          </w:tcPr>
          <w:p w14:paraId="17087258" w14:textId="7510BBC9"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All Entities</w:t>
            </w:r>
          </w:p>
        </w:tc>
        <w:tc>
          <w:tcPr>
            <w:tcW w:w="1703" w:type="dxa"/>
            <w:shd w:val="clear" w:color="auto" w:fill="auto"/>
            <w:vAlign w:val="center"/>
          </w:tcPr>
          <w:p w14:paraId="3A176AF8" w14:textId="1E0110EC"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w:t>
            </w:r>
          </w:p>
        </w:tc>
        <w:tc>
          <w:tcPr>
            <w:tcW w:w="1686" w:type="dxa"/>
            <w:vAlign w:val="center"/>
          </w:tcPr>
          <w:p w14:paraId="2F6F6D22" w14:textId="6799908F"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xml:space="preserve">$88,130,236 </w:t>
            </w:r>
          </w:p>
        </w:tc>
        <w:tc>
          <w:tcPr>
            <w:tcW w:w="1686" w:type="dxa"/>
            <w:vAlign w:val="center"/>
          </w:tcPr>
          <w:p w14:paraId="60BA7E4D" w14:textId="094BBBE8"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w:t>
            </w:r>
          </w:p>
        </w:tc>
        <w:tc>
          <w:tcPr>
            <w:tcW w:w="1749" w:type="dxa"/>
            <w:shd w:val="clear" w:color="auto" w:fill="auto"/>
            <w:vAlign w:val="center"/>
          </w:tcPr>
          <w:p w14:paraId="6D8C3EB7" w14:textId="397473B8" w:rsidR="00A964ED" w:rsidRPr="00E745D0" w:rsidRDefault="00A964ED" w:rsidP="00970DB9">
            <w:pPr>
              <w:jc w:val="right"/>
              <w:rPr>
                <w:rFonts w:ascii="Times New Roman" w:hAnsi="Times New Roman" w:cs="Times New Roman"/>
                <w:color w:val="000000"/>
              </w:rPr>
            </w:pPr>
            <w:r w:rsidRPr="00E745D0">
              <w:rPr>
                <w:rFonts w:ascii="Times New Roman" w:hAnsi="Times New Roman" w:cs="Times New Roman"/>
                <w:color w:val="000000"/>
              </w:rPr>
              <w:t> </w:t>
            </w:r>
          </w:p>
        </w:tc>
        <w:tc>
          <w:tcPr>
            <w:tcW w:w="2126" w:type="dxa"/>
            <w:shd w:val="clear" w:color="auto" w:fill="auto"/>
            <w:noWrap/>
            <w:vAlign w:val="center"/>
          </w:tcPr>
          <w:p w14:paraId="384EDE27" w14:textId="5C6A0447" w:rsidR="00A964ED" w:rsidRPr="00E745D0" w:rsidRDefault="00A964ED" w:rsidP="007A0CC3">
            <w:pPr>
              <w:jc w:val="right"/>
              <w:rPr>
                <w:rFonts w:ascii="Times New Roman" w:hAnsi="Times New Roman" w:cs="Times New Roman"/>
                <w:color w:val="000000"/>
              </w:rPr>
            </w:pPr>
            <w:r w:rsidRPr="00E745D0">
              <w:rPr>
                <w:rFonts w:ascii="Times New Roman" w:hAnsi="Times New Roman" w:cs="Times New Roman"/>
                <w:color w:val="000000"/>
              </w:rPr>
              <w:t xml:space="preserve">$99,462,062 </w:t>
            </w:r>
          </w:p>
        </w:tc>
      </w:tr>
    </w:tbl>
    <w:p w14:paraId="0F70B462" w14:textId="77777777" w:rsidR="003370F8" w:rsidRPr="00E745D0" w:rsidRDefault="003370F8">
      <w:pPr>
        <w:rPr>
          <w:rFonts w:ascii="Times New Roman" w:hAnsi="Times New Roman" w:cs="Times New Roman"/>
        </w:rPr>
      </w:pPr>
    </w:p>
    <w:p w14:paraId="55A39886" w14:textId="77777777" w:rsidR="00063DEE" w:rsidRPr="00E745D0" w:rsidRDefault="00063DEE">
      <w:pPr>
        <w:rPr>
          <w:rFonts w:ascii="Times New Roman" w:hAnsi="Times New Roman" w:cs="Times New Roman"/>
        </w:rPr>
      </w:pPr>
    </w:p>
    <w:p w14:paraId="001F367C" w14:textId="619B1E7E" w:rsidR="00241BFD" w:rsidRPr="00E745D0" w:rsidRDefault="00241BFD">
      <w:pPr>
        <w:rPr>
          <w:rFonts w:ascii="Times New Roman" w:hAnsi="Times New Roman" w:cs="Times New Roman"/>
        </w:rPr>
      </w:pPr>
    </w:p>
    <w:p w14:paraId="55B96A5F" w14:textId="77777777" w:rsidR="00241BFD" w:rsidRPr="00E745D0" w:rsidRDefault="00241BFD" w:rsidP="00241BFD">
      <w:pPr>
        <w:rPr>
          <w:rFonts w:ascii="Times New Roman" w:hAnsi="Times New Roman" w:cs="Times New Roman"/>
        </w:rPr>
      </w:pPr>
    </w:p>
    <w:p w14:paraId="42111A99" w14:textId="77777777" w:rsidR="00241BFD" w:rsidRPr="00E745D0" w:rsidRDefault="00241BFD" w:rsidP="00241BFD">
      <w:pPr>
        <w:rPr>
          <w:rFonts w:ascii="Times New Roman" w:hAnsi="Times New Roman" w:cs="Times New Roman"/>
        </w:rPr>
      </w:pPr>
    </w:p>
    <w:p w14:paraId="2D7F07D0" w14:textId="77777777" w:rsidR="00241BFD" w:rsidRPr="00E745D0" w:rsidRDefault="00241BFD" w:rsidP="00241BFD">
      <w:pPr>
        <w:rPr>
          <w:rFonts w:ascii="Times New Roman" w:hAnsi="Times New Roman" w:cs="Times New Roman"/>
        </w:rPr>
      </w:pPr>
    </w:p>
    <w:p w14:paraId="389AE0D0" w14:textId="77777777" w:rsidR="00241BFD" w:rsidRPr="00E745D0" w:rsidRDefault="00241BFD" w:rsidP="00241BFD">
      <w:pPr>
        <w:rPr>
          <w:rFonts w:ascii="Times New Roman" w:hAnsi="Times New Roman" w:cs="Times New Roman"/>
        </w:rPr>
      </w:pPr>
    </w:p>
    <w:p w14:paraId="69AFCAA9" w14:textId="77777777" w:rsidR="00241BFD" w:rsidRPr="00E745D0" w:rsidRDefault="00241BFD" w:rsidP="00241BFD">
      <w:pPr>
        <w:rPr>
          <w:rFonts w:ascii="Times New Roman" w:hAnsi="Times New Roman" w:cs="Times New Roman"/>
        </w:rPr>
      </w:pPr>
    </w:p>
    <w:p w14:paraId="1E142817" w14:textId="77777777" w:rsidR="00241BFD" w:rsidRPr="00E745D0" w:rsidRDefault="00241BFD" w:rsidP="00241BFD">
      <w:pPr>
        <w:rPr>
          <w:rFonts w:ascii="Times New Roman" w:hAnsi="Times New Roman" w:cs="Times New Roman"/>
        </w:rPr>
      </w:pPr>
    </w:p>
    <w:p w14:paraId="2D50D123" w14:textId="77777777" w:rsidR="00241BFD" w:rsidRPr="00E745D0" w:rsidRDefault="00241BFD" w:rsidP="00241BFD">
      <w:pPr>
        <w:rPr>
          <w:rFonts w:ascii="Times New Roman" w:hAnsi="Times New Roman" w:cs="Times New Roman"/>
        </w:rPr>
      </w:pPr>
    </w:p>
    <w:p w14:paraId="4D7BF077" w14:textId="77777777" w:rsidR="00063DEE" w:rsidRPr="00E745D0" w:rsidRDefault="00063DEE" w:rsidP="00241BFD">
      <w:pPr>
        <w:rPr>
          <w:rFonts w:ascii="Times New Roman" w:hAnsi="Times New Roman" w:cs="Times New Roman"/>
        </w:rPr>
      </w:pPr>
    </w:p>
    <w:sectPr w:rsidR="00063DEE" w:rsidRPr="00E745D0" w:rsidSect="003370F8">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CE2ED5" w14:textId="77777777" w:rsidR="001D46FF" w:rsidRDefault="001D46FF" w:rsidP="00AD36EE">
      <w:pPr>
        <w:spacing w:after="0" w:line="240" w:lineRule="auto"/>
      </w:pPr>
      <w:r>
        <w:separator/>
      </w:r>
    </w:p>
  </w:endnote>
  <w:endnote w:type="continuationSeparator" w:id="0">
    <w:p w14:paraId="43E49434" w14:textId="77777777" w:rsidR="001D46FF" w:rsidRDefault="001D46FF" w:rsidP="00AD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C432F5" w14:textId="77777777" w:rsidR="001D46FF" w:rsidRDefault="001D46FF" w:rsidP="00AD36EE">
      <w:pPr>
        <w:spacing w:after="0" w:line="240" w:lineRule="auto"/>
      </w:pPr>
      <w:r>
        <w:separator/>
      </w:r>
    </w:p>
  </w:footnote>
  <w:footnote w:type="continuationSeparator" w:id="0">
    <w:p w14:paraId="4501E56E" w14:textId="77777777" w:rsidR="001D46FF" w:rsidRDefault="001D46FF" w:rsidP="00AD36EE">
      <w:pPr>
        <w:spacing w:after="0" w:line="240" w:lineRule="auto"/>
      </w:pPr>
      <w:r>
        <w:continuationSeparator/>
      </w:r>
    </w:p>
  </w:footnote>
  <w:footnote w:id="1">
    <w:p w14:paraId="431339C6" w14:textId="009A9C86" w:rsidR="00970DB9" w:rsidRPr="00E745D0" w:rsidRDefault="00970DB9" w:rsidP="00B900C5">
      <w:pPr>
        <w:pStyle w:val="FootnoteText"/>
        <w:rPr>
          <w:rFonts w:ascii="Times New Roman" w:hAnsi="Times New Roman" w:cs="Times New Roman"/>
        </w:rPr>
      </w:pPr>
      <w:r w:rsidRPr="00E745D0">
        <w:rPr>
          <w:rStyle w:val="FootnoteReference"/>
          <w:rFonts w:ascii="Times New Roman" w:hAnsi="Times New Roman" w:cs="Times New Roman"/>
        </w:rPr>
        <w:footnoteRef/>
      </w:r>
      <w:r w:rsidRPr="00E745D0">
        <w:rPr>
          <w:rFonts w:ascii="Times New Roman" w:hAnsi="Times New Roman" w:cs="Times New Roman"/>
        </w:rPr>
        <w:t xml:space="preserve"> The “Prior annual burden hours (per entity)”,</w:t>
      </w:r>
      <w:r w:rsidR="0002765D" w:rsidRPr="00E745D0">
        <w:rPr>
          <w:rFonts w:ascii="Times New Roman" w:hAnsi="Times New Roman" w:cs="Times New Roman"/>
        </w:rPr>
        <w:t xml:space="preserve"> “Prior aggregate annual burden hours (all entities)”,</w:t>
      </w:r>
      <w:r w:rsidRPr="00E745D0">
        <w:rPr>
          <w:rFonts w:ascii="Times New Roman" w:hAnsi="Times New Roman" w:cs="Times New Roman"/>
        </w:rPr>
        <w:t xml:space="preserve"> “Prior annual cost (per entity)”, and “Prior aggregate annual cost (all entities)” are drawn from the Attachment 1 supporting statement to the most recent renewal of collection 3038-0096, dated October 22, 2015.  For SDRs, the prior aggregate</w:t>
      </w:r>
      <w:r w:rsidR="0002765D" w:rsidRPr="00E745D0">
        <w:rPr>
          <w:rFonts w:ascii="Times New Roman" w:hAnsi="Times New Roman" w:cs="Times New Roman"/>
        </w:rPr>
        <w:t xml:space="preserve"> amounts were based on an assumption of 15 SDRs.</w:t>
      </w:r>
    </w:p>
  </w:footnote>
  <w:footnote w:id="2">
    <w:p w14:paraId="044C1FB3" w14:textId="4D6632C6" w:rsidR="00970DB9" w:rsidRPr="00E745D0" w:rsidRDefault="00970DB9" w:rsidP="00B900C5">
      <w:pPr>
        <w:pStyle w:val="FootnoteText"/>
        <w:rPr>
          <w:rFonts w:ascii="Times New Roman" w:hAnsi="Times New Roman" w:cs="Times New Roman"/>
        </w:rPr>
      </w:pPr>
      <w:r w:rsidRPr="00E745D0">
        <w:rPr>
          <w:rStyle w:val="FootnoteReference"/>
          <w:rFonts w:ascii="Times New Roman" w:hAnsi="Times New Roman" w:cs="Times New Roman"/>
        </w:rPr>
        <w:footnoteRef/>
      </w:r>
      <w:r w:rsidRPr="00E745D0">
        <w:rPr>
          <w:rFonts w:ascii="Times New Roman" w:hAnsi="Times New Roman" w:cs="Times New Roman"/>
        </w:rPr>
        <w:t xml:space="preserve"> As noted in the PRA Notice</w:t>
      </w:r>
      <w:r w:rsidR="00C31D7F" w:rsidRPr="00E745D0">
        <w:rPr>
          <w:rFonts w:ascii="Times New Roman" w:hAnsi="Times New Roman" w:cs="Times New Roman"/>
        </w:rPr>
        <w:t xml:space="preserve"> and in response to question 12 in the Supplemental Statement</w:t>
      </w:r>
      <w:r w:rsidRPr="00E745D0">
        <w:rPr>
          <w:rFonts w:ascii="Times New Roman" w:hAnsi="Times New Roman" w:cs="Times New Roman"/>
        </w:rPr>
        <w:t xml:space="preserve">, the Commission proposed to reduce the number of SDRs in collection 3038-0096 from 15 to 4.  </w:t>
      </w:r>
    </w:p>
  </w:footnote>
  <w:footnote w:id="3">
    <w:p w14:paraId="3807DA87" w14:textId="2F5EE29A" w:rsidR="00E745D0" w:rsidRPr="00E745D0" w:rsidRDefault="00E745D0">
      <w:pPr>
        <w:pStyle w:val="FootnoteText"/>
        <w:rPr>
          <w:rFonts w:ascii="Times New Roman" w:hAnsi="Times New Roman" w:cs="Times New Roman"/>
        </w:rPr>
      </w:pPr>
      <w:r w:rsidRPr="00E745D0">
        <w:rPr>
          <w:rStyle w:val="FootnoteReference"/>
          <w:rFonts w:ascii="Times New Roman" w:hAnsi="Times New Roman" w:cs="Times New Roman"/>
        </w:rPr>
        <w:footnoteRef/>
      </w:r>
      <w:r w:rsidRPr="00E745D0">
        <w:rPr>
          <w:rFonts w:ascii="Times New Roman" w:hAnsi="Times New Roman" w:cs="Times New Roman"/>
        </w:rPr>
        <w:t xml:space="preserve"> The additional burden</w:t>
      </w:r>
      <w:r>
        <w:rPr>
          <w:rFonts w:ascii="Times New Roman" w:hAnsi="Times New Roman" w:cs="Times New Roman"/>
        </w:rPr>
        <w:t xml:space="preserve"> hours for DCOs includes both an annual burden of 200 hours to account for changes to reporting fields, as well as an annualized burden of 225 hours to account for connections to SDRs.  As discussed in the Supporting Statement, DCOs will incur a one-time burden of 4,500 per DCO to establish connections to SDRs for purposes of terminating original swaps accepted for clearing.  The Commission estimates that such connections will be maintained for 20 years, and therefore annualizes the burdens associated with those connections across 20 years.</w:t>
      </w:r>
    </w:p>
  </w:footnote>
  <w:footnote w:id="4">
    <w:p w14:paraId="30237D6C" w14:textId="5C8F6AA7" w:rsidR="00970DB9" w:rsidRPr="007A0CC3" w:rsidRDefault="00970DB9" w:rsidP="00B900C5">
      <w:pPr>
        <w:tabs>
          <w:tab w:val="left" w:pos="0"/>
        </w:tabs>
        <w:spacing w:after="0" w:line="240" w:lineRule="auto"/>
        <w:rPr>
          <w:rFonts w:ascii="Times New Roman" w:hAnsi="Times New Roman" w:cs="Times New Roman"/>
          <w:sz w:val="20"/>
          <w:szCs w:val="20"/>
        </w:rPr>
      </w:pPr>
      <w:r w:rsidRPr="00E745D0">
        <w:rPr>
          <w:rStyle w:val="FootnoteReference"/>
          <w:rFonts w:ascii="Times New Roman" w:hAnsi="Times New Roman" w:cs="Times New Roman"/>
          <w:sz w:val="20"/>
          <w:szCs w:val="20"/>
        </w:rPr>
        <w:footnoteRef/>
      </w:r>
      <w:r w:rsidRPr="00E745D0">
        <w:rPr>
          <w:rFonts w:ascii="Times New Roman" w:hAnsi="Times New Roman" w:cs="Times New Roman"/>
          <w:sz w:val="20"/>
          <w:szCs w:val="20"/>
        </w:rPr>
        <w:t xml:space="preserve"> As explained in response to questions 5 and 12, there are an estimated 30,000 non-SD/MSP counterparties.  However, the Commission estimates that only 1,000 of these non-SD/MSP counterparties serve as reporting counterparties and that  the majority of these reporting non-SD/MSP counterparties, estimated to be 75% (or 750 counterparties), contract with a third-party service provider to fulfill their reporting obligations.  The Commission cannot readily quantify the fees charged by third-party</w:t>
      </w:r>
      <w:r w:rsidRPr="007A0CC3">
        <w:rPr>
          <w:rFonts w:ascii="Times New Roman" w:hAnsi="Times New Roman" w:cs="Times New Roman"/>
          <w:sz w:val="20"/>
          <w:szCs w:val="20"/>
        </w:rPr>
        <w:t xml:space="preserve"> vendors to provide this service; however, the costs to the estimated 250 non-SD/MSP reporting counterparties that will perform their own reporting are presented in this table.</w:t>
      </w:r>
    </w:p>
    <w:p w14:paraId="0AB2EBE0" w14:textId="2E7A97EF" w:rsidR="00970DB9" w:rsidRPr="007A0CC3" w:rsidRDefault="00970DB9" w:rsidP="00063DEE">
      <w:pPr>
        <w:pStyle w:val="FootnoteText"/>
        <w:spacing w:after="120"/>
        <w:rPr>
          <w:rFonts w:ascii="Times New Roman" w:hAnsi="Times New Roman" w:cs="Times New Roman"/>
        </w:rPr>
      </w:pPr>
    </w:p>
  </w:footnote>
  <w:footnote w:id="5">
    <w:p w14:paraId="74B1239F" w14:textId="77777777" w:rsidR="00A964ED" w:rsidRPr="001E7A9B" w:rsidRDefault="00A964ED">
      <w:pPr>
        <w:rPr>
          <w:rFonts w:ascii="Times New Roman" w:hAnsi="Times New Roman" w:cs="Times New Roman"/>
        </w:rPr>
      </w:pPr>
    </w:p>
  </w:footnote>
  <w:footnote w:id="6">
    <w:p w14:paraId="382828FC" w14:textId="498F1597" w:rsidR="00224374" w:rsidRPr="001E7A9B" w:rsidRDefault="00224374">
      <w:pPr>
        <w:pStyle w:val="FootnoteText"/>
        <w:rPr>
          <w:rFonts w:ascii="Times New Roman" w:hAnsi="Times New Roman" w:cs="Times New Roman"/>
        </w:rPr>
      </w:pPr>
      <w:r w:rsidRPr="001E7A9B">
        <w:rPr>
          <w:rStyle w:val="FootnoteReference"/>
          <w:rFonts w:ascii="Times New Roman" w:hAnsi="Times New Roman" w:cs="Times New Roman"/>
        </w:rPr>
        <w:footnoteRef/>
      </w:r>
      <w:r w:rsidRPr="001E7A9B">
        <w:rPr>
          <w:rFonts w:ascii="Times New Roman" w:hAnsi="Times New Roman" w:cs="Times New Roman"/>
        </w:rPr>
        <w:t xml:space="preserve"> The “Prior aggregate annual cost (all entities)” for SDRs is based on the previous estimate of 15 SDRs.  The new “Amended aggregate cost (all entities)” is based on the current estimate of 4 SDRs.  Therefore, the aggregate cost of this collection to SDRs decreased, even though the per entity cost increased.</w:t>
      </w:r>
    </w:p>
  </w:footnote>
  <w:footnote w:id="7">
    <w:p w14:paraId="1063563A" w14:textId="290AC141" w:rsidR="00E745D0" w:rsidRDefault="00E745D0">
      <w:pPr>
        <w:pStyle w:val="FootnoteText"/>
      </w:pPr>
      <w:r>
        <w:rPr>
          <w:rStyle w:val="FootnoteReference"/>
        </w:rPr>
        <w:footnoteRef/>
      </w:r>
      <w:r>
        <w:t xml:space="preserve"> </w:t>
      </w:r>
      <w:r w:rsidRPr="00E745D0">
        <w:rPr>
          <w:rFonts w:ascii="Times New Roman" w:hAnsi="Times New Roman" w:cs="Times New Roman"/>
        </w:rPr>
        <w:t xml:space="preserve">The additional </w:t>
      </w:r>
      <w:r>
        <w:rPr>
          <w:rFonts w:ascii="Times New Roman" w:hAnsi="Times New Roman" w:cs="Times New Roman"/>
        </w:rPr>
        <w:t xml:space="preserve">costs for DCOs includes both an annual cost of $15,196 to account for changes to reporting fields, an annualized burden of </w:t>
      </w:r>
      <w:r w:rsidR="00886846">
        <w:rPr>
          <w:rFonts w:ascii="Times New Roman" w:hAnsi="Times New Roman" w:cs="Times New Roman"/>
        </w:rPr>
        <w:t>$</w:t>
      </w:r>
      <w:r>
        <w:rPr>
          <w:rFonts w:ascii="Times New Roman" w:hAnsi="Times New Roman" w:cs="Times New Roman"/>
        </w:rPr>
        <w:t xml:space="preserve">17,095 to account for </w:t>
      </w:r>
      <w:r w:rsidR="00886846">
        <w:rPr>
          <w:rFonts w:ascii="Times New Roman" w:hAnsi="Times New Roman" w:cs="Times New Roman"/>
        </w:rPr>
        <w:t xml:space="preserve">establishing </w:t>
      </w:r>
      <w:r>
        <w:rPr>
          <w:rFonts w:ascii="Times New Roman" w:hAnsi="Times New Roman" w:cs="Times New Roman"/>
        </w:rPr>
        <w:t>connections to SDRs</w:t>
      </w:r>
      <w:r w:rsidR="00886846">
        <w:rPr>
          <w:rFonts w:ascii="Times New Roman" w:hAnsi="Times New Roman" w:cs="Times New Roman"/>
        </w:rPr>
        <w:t>, and a recurring annual cost of $325,000 to maintain SDR connections</w:t>
      </w:r>
      <w:r>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0F8"/>
    <w:rsid w:val="000112F5"/>
    <w:rsid w:val="0002765D"/>
    <w:rsid w:val="00040399"/>
    <w:rsid w:val="00063DEE"/>
    <w:rsid w:val="00065BEA"/>
    <w:rsid w:val="000B574F"/>
    <w:rsid w:val="000F73BA"/>
    <w:rsid w:val="001D46FF"/>
    <w:rsid w:val="001E7A9B"/>
    <w:rsid w:val="00224374"/>
    <w:rsid w:val="00241BFD"/>
    <w:rsid w:val="002C4BBA"/>
    <w:rsid w:val="002C7A0A"/>
    <w:rsid w:val="003370F8"/>
    <w:rsid w:val="003C3CEE"/>
    <w:rsid w:val="0046685B"/>
    <w:rsid w:val="004B4557"/>
    <w:rsid w:val="005315CD"/>
    <w:rsid w:val="00551F1C"/>
    <w:rsid w:val="00632DC4"/>
    <w:rsid w:val="00740199"/>
    <w:rsid w:val="0076615A"/>
    <w:rsid w:val="007872C8"/>
    <w:rsid w:val="007A0CC3"/>
    <w:rsid w:val="007D334E"/>
    <w:rsid w:val="007F319A"/>
    <w:rsid w:val="008835DA"/>
    <w:rsid w:val="00886846"/>
    <w:rsid w:val="008D0446"/>
    <w:rsid w:val="008F7788"/>
    <w:rsid w:val="009470B9"/>
    <w:rsid w:val="00970DB9"/>
    <w:rsid w:val="00A91765"/>
    <w:rsid w:val="00A94AB6"/>
    <w:rsid w:val="00A964ED"/>
    <w:rsid w:val="00AD36EE"/>
    <w:rsid w:val="00B3298B"/>
    <w:rsid w:val="00B900C5"/>
    <w:rsid w:val="00C222BC"/>
    <w:rsid w:val="00C31D7F"/>
    <w:rsid w:val="00C9707C"/>
    <w:rsid w:val="00D32655"/>
    <w:rsid w:val="00DC68F0"/>
    <w:rsid w:val="00DD0292"/>
    <w:rsid w:val="00DD6BD1"/>
    <w:rsid w:val="00E745D0"/>
    <w:rsid w:val="00EB50FF"/>
    <w:rsid w:val="00EE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70B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AD36EE"/>
    <w:pPr>
      <w:spacing w:after="0" w:line="240" w:lineRule="auto"/>
    </w:pPr>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AD36EE"/>
    <w:rPr>
      <w:sz w:val="20"/>
      <w:szCs w:val="20"/>
    </w:rPr>
  </w:style>
  <w:style w:type="character" w:styleId="FootnoteReference">
    <w:name w:val="footnote reference"/>
    <w:basedOn w:val="DefaultParagraphFont"/>
    <w:uiPriority w:val="99"/>
    <w:semiHidden/>
    <w:unhideWhenUsed/>
    <w:rsid w:val="00AD36EE"/>
    <w:rPr>
      <w:vertAlign w:val="superscript"/>
    </w:rPr>
  </w:style>
  <w:style w:type="paragraph" w:styleId="BalloonText">
    <w:name w:val="Balloon Text"/>
    <w:basedOn w:val="Normal"/>
    <w:link w:val="BalloonTextChar"/>
    <w:uiPriority w:val="99"/>
    <w:semiHidden/>
    <w:unhideWhenUsed/>
    <w:rsid w:val="00E7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D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70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 Char Char Char Char Char Char Char Char Char Char Char Char Char Char Char Char,Footnote Text Char Char Char Char Char Char Char Char Char Char Char Char Char Char Char Char Char Char Char Char,Footnote Text Char1,ft,fn"/>
    <w:basedOn w:val="Normal"/>
    <w:link w:val="FootnoteTextChar"/>
    <w:uiPriority w:val="99"/>
    <w:unhideWhenUsed/>
    <w:rsid w:val="00AD36EE"/>
    <w:pPr>
      <w:spacing w:after="0" w:line="240" w:lineRule="auto"/>
    </w:pPr>
    <w:rPr>
      <w:sz w:val="20"/>
      <w:szCs w:val="20"/>
    </w:rPr>
  </w:style>
  <w:style w:type="character" w:customStyle="1" w:styleId="FootnoteTextChar">
    <w:name w:val="Footnote Text Char"/>
    <w:aliases w:val="Footnote Text Char Char Char Char Char Char Char Char Char Char Char Char Char Char Char Char Char Char,Footnote Text Char Char Char Char Char Char Char Char Char Char Char Char Char Char Char Char Char Char Char Char Char,ft Char"/>
    <w:basedOn w:val="DefaultParagraphFont"/>
    <w:link w:val="FootnoteText"/>
    <w:uiPriority w:val="99"/>
    <w:rsid w:val="00AD36EE"/>
    <w:rPr>
      <w:sz w:val="20"/>
      <w:szCs w:val="20"/>
    </w:rPr>
  </w:style>
  <w:style w:type="character" w:styleId="FootnoteReference">
    <w:name w:val="footnote reference"/>
    <w:basedOn w:val="DefaultParagraphFont"/>
    <w:uiPriority w:val="99"/>
    <w:semiHidden/>
    <w:unhideWhenUsed/>
    <w:rsid w:val="00AD36EE"/>
    <w:rPr>
      <w:vertAlign w:val="superscript"/>
    </w:rPr>
  </w:style>
  <w:style w:type="paragraph" w:styleId="BalloonText">
    <w:name w:val="Balloon Text"/>
    <w:basedOn w:val="Normal"/>
    <w:link w:val="BalloonTextChar"/>
    <w:uiPriority w:val="99"/>
    <w:semiHidden/>
    <w:unhideWhenUsed/>
    <w:rsid w:val="00E745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45D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275773">
      <w:bodyDiv w:val="1"/>
      <w:marLeft w:val="0"/>
      <w:marRight w:val="0"/>
      <w:marTop w:val="0"/>
      <w:marBottom w:val="0"/>
      <w:divBdr>
        <w:top w:val="none" w:sz="0" w:space="0" w:color="auto"/>
        <w:left w:val="none" w:sz="0" w:space="0" w:color="auto"/>
        <w:bottom w:val="none" w:sz="0" w:space="0" w:color="auto"/>
        <w:right w:val="none" w:sz="0" w:space="0" w:color="auto"/>
      </w:divBdr>
    </w:div>
    <w:div w:id="12422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B2AD1B2ACBCCC4D815BAE92FC2B009A" ma:contentTypeVersion="0" ma:contentTypeDescription="Create a new document." ma:contentTypeScope="" ma:versionID="6801f4579ace57c7162c8aa84bc23067">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376E1-A1E2-40C1-9BF6-EC3428DDAC51}">
  <ds:schemaRefs>
    <ds:schemaRef ds:uri="http://purl.org/dc/elements/1.1/"/>
    <ds:schemaRef ds:uri="http://purl.org/dc/dcmitype/"/>
    <ds:schemaRef ds:uri="http://www.w3.org/XML/1998/namespace"/>
    <ds:schemaRef ds:uri="http://schemas.microsoft.com/office/2006/documentManagement/types"/>
    <ds:schemaRef ds:uri="http://schemas.openxmlformats.org/package/2006/metadata/core-properties"/>
    <ds:schemaRef ds:uri="http://schemas.microsoft.com/office/infopath/2007/PartnerControls"/>
    <ds:schemaRef ds:uri="http://purl.org/dc/terms/"/>
    <ds:schemaRef ds:uri="http://schemas.microsoft.com/office/2006/metadata/properties"/>
  </ds:schemaRefs>
</ds:datastoreItem>
</file>

<file path=customXml/itemProps2.xml><?xml version="1.0" encoding="utf-8"?>
<ds:datastoreItem xmlns:ds="http://schemas.openxmlformats.org/officeDocument/2006/customXml" ds:itemID="{C9A2DEAA-A828-4459-9E1B-C611766B1C2D}">
  <ds:schemaRefs>
    <ds:schemaRef ds:uri="http://schemas.microsoft.com/sharepoint/v3/contenttype/forms"/>
  </ds:schemaRefs>
</ds:datastoreItem>
</file>

<file path=customXml/itemProps3.xml><?xml version="1.0" encoding="utf-8"?>
<ds:datastoreItem xmlns:ds="http://schemas.openxmlformats.org/officeDocument/2006/customXml" ds:itemID="{46B24913-FC82-4128-833D-ACF3252C53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14D5F0A-6C9E-4148-A273-0DC9E2EB85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190</Words>
  <Characters>1083</Characters>
  <Application>Microsoft Office Word</Application>
  <DocSecurity>4</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CFTC</Company>
  <LinksUpToDate>false</LinksUpToDate>
  <CharactersWithSpaces>1271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Guerin, Thomas</dc:creator>
  <cp:lastModifiedBy>Saverson, La Shunda</cp:lastModifiedBy>
  <cp:revision>2</cp:revision>
  <cp:lastPrinted>2016-10-11T13:02:00Z</cp:lastPrinted>
  <dcterms:created xsi:type="dcterms:W3CDTF">2016-10-18T12:32:00Z</dcterms:created>
  <dcterms:modified xsi:type="dcterms:W3CDTF">2016-10-18T12:32:00Z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0x010100BB2AD1B2ACBCCC4D815BAE92FC2B009A</vt:lpwstr>
  </property>
</Properties>
</file>