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0D850" w14:textId="32492B44" w:rsidR="00C70867" w:rsidRPr="008805F3" w:rsidRDefault="00D672F3" w:rsidP="00D672F3">
      <w:pPr>
        <w:pStyle w:val="DocTitle-IPR"/>
        <w:spacing w:before="1320" w:after="480"/>
        <w:rPr>
          <w:rFonts w:ascii="Candara" w:hAnsi="Candara" w:cs="Arial"/>
        </w:rPr>
      </w:pPr>
      <w:bookmarkStart w:id="0" w:name="OLE_LINK1"/>
      <w:bookmarkStart w:id="1" w:name="_GoBack"/>
      <w:bookmarkEnd w:id="1"/>
      <w:r w:rsidRPr="008805F3">
        <w:rPr>
          <w:rFonts w:ascii="Candara" w:hAnsi="Candara" w:cs="Arial"/>
        </w:rPr>
        <w:t>Supporting Statement Part B</w:t>
      </w:r>
    </w:p>
    <w:p w14:paraId="3F237E62" w14:textId="77777777" w:rsidR="00795065" w:rsidRPr="008805F3" w:rsidRDefault="00795065" w:rsidP="00795065">
      <w:pPr>
        <w:pStyle w:val="DocSubtitle-IPR"/>
        <w:rPr>
          <w:rFonts w:ascii="Candara" w:hAnsi="Candara"/>
          <w:b w:val="0"/>
        </w:rPr>
      </w:pPr>
      <w:r w:rsidRPr="008805F3">
        <w:rPr>
          <w:rFonts w:ascii="Candara" w:hAnsi="Candara"/>
          <w:b w:val="0"/>
        </w:rPr>
        <w:t>OMB No. 0584-NEW</w:t>
      </w:r>
    </w:p>
    <w:p w14:paraId="16CD2916" w14:textId="7A4DBBE7" w:rsidR="00602C6D" w:rsidRPr="008805F3" w:rsidRDefault="00FE48F1" w:rsidP="009762B0">
      <w:pPr>
        <w:pStyle w:val="DocSubtitle-IPR"/>
        <w:spacing w:after="2760"/>
        <w:rPr>
          <w:rFonts w:ascii="Candara" w:hAnsi="Candara"/>
          <w:i/>
        </w:rPr>
      </w:pPr>
      <w:r w:rsidRPr="008805F3">
        <w:rPr>
          <w:rFonts w:ascii="Candara" w:hAnsi="Candara"/>
          <w:i/>
        </w:rPr>
        <w:t>Study of WIC Food Package Costs and Cost Containment</w:t>
      </w:r>
    </w:p>
    <w:p w14:paraId="4AB69A80" w14:textId="34862B3A" w:rsidR="00B13C20" w:rsidRPr="009762B0" w:rsidRDefault="00DC23B9" w:rsidP="009762B0">
      <w:pPr>
        <w:pStyle w:val="DocDate-IPR"/>
        <w:spacing w:after="2760"/>
      </w:pPr>
      <w:r>
        <w:t>September</w:t>
      </w:r>
      <w:r w:rsidR="00E10520">
        <w:t xml:space="preserve"> 2017</w:t>
      </w:r>
    </w:p>
    <w:p w14:paraId="5726A612" w14:textId="197A0B0A" w:rsidR="00C70867" w:rsidRPr="009762B0" w:rsidRDefault="00FE48F1" w:rsidP="00D672F3">
      <w:pPr>
        <w:pStyle w:val="TableText-IPR"/>
        <w:spacing w:after="120"/>
        <w:jc w:val="center"/>
        <w:rPr>
          <w:b/>
          <w:sz w:val="24"/>
          <w:szCs w:val="24"/>
        </w:rPr>
      </w:pPr>
      <w:r>
        <w:rPr>
          <w:b/>
          <w:sz w:val="24"/>
          <w:szCs w:val="24"/>
        </w:rPr>
        <w:t xml:space="preserve">Project Officer: </w:t>
      </w:r>
      <w:r w:rsidR="00F665D1">
        <w:rPr>
          <w:b/>
          <w:sz w:val="24"/>
          <w:szCs w:val="24"/>
        </w:rPr>
        <w:t>Ruth Morgan</w:t>
      </w:r>
    </w:p>
    <w:p w14:paraId="00BDF030" w14:textId="77777777" w:rsidR="00C70867" w:rsidRPr="00D672F3" w:rsidRDefault="00C70867" w:rsidP="009762B0">
      <w:pPr>
        <w:pStyle w:val="TableText-IPR"/>
        <w:jc w:val="center"/>
        <w:rPr>
          <w:sz w:val="22"/>
          <w:szCs w:val="24"/>
        </w:rPr>
      </w:pPr>
      <w:r w:rsidRPr="00D672F3">
        <w:rPr>
          <w:sz w:val="22"/>
          <w:szCs w:val="24"/>
        </w:rPr>
        <w:t>Office of Policy Support</w:t>
      </w:r>
    </w:p>
    <w:p w14:paraId="11B40748" w14:textId="77777777" w:rsidR="00C70867" w:rsidRPr="00D672F3" w:rsidRDefault="00C70867" w:rsidP="009762B0">
      <w:pPr>
        <w:pStyle w:val="TableText-IPR"/>
        <w:jc w:val="center"/>
        <w:rPr>
          <w:sz w:val="22"/>
          <w:szCs w:val="24"/>
        </w:rPr>
      </w:pPr>
      <w:r w:rsidRPr="00D672F3">
        <w:rPr>
          <w:sz w:val="22"/>
          <w:szCs w:val="24"/>
        </w:rPr>
        <w:t>Food and Nutrition Service</w:t>
      </w:r>
    </w:p>
    <w:p w14:paraId="4287FE38" w14:textId="77777777" w:rsidR="00C70867" w:rsidRPr="00D672F3" w:rsidRDefault="00C70867" w:rsidP="009762B0">
      <w:pPr>
        <w:pStyle w:val="TableText-IPR"/>
        <w:jc w:val="center"/>
        <w:rPr>
          <w:sz w:val="22"/>
          <w:szCs w:val="24"/>
        </w:rPr>
      </w:pPr>
      <w:r w:rsidRPr="00D672F3">
        <w:rPr>
          <w:sz w:val="22"/>
          <w:szCs w:val="24"/>
        </w:rPr>
        <w:t>U.S. Department of Agriculture</w:t>
      </w:r>
    </w:p>
    <w:p w14:paraId="76307E00" w14:textId="77777777" w:rsidR="00C70867" w:rsidRPr="00D672F3" w:rsidRDefault="00C70867" w:rsidP="009762B0">
      <w:pPr>
        <w:pStyle w:val="TableText-IPR"/>
        <w:jc w:val="center"/>
        <w:rPr>
          <w:sz w:val="22"/>
          <w:szCs w:val="24"/>
        </w:rPr>
      </w:pPr>
      <w:r w:rsidRPr="00D672F3">
        <w:rPr>
          <w:sz w:val="22"/>
          <w:szCs w:val="24"/>
        </w:rPr>
        <w:t>3101 Park Center Drive</w:t>
      </w:r>
    </w:p>
    <w:p w14:paraId="3D5EAB74" w14:textId="77777777" w:rsidR="00C70867" w:rsidRPr="00D672F3" w:rsidRDefault="00C70867" w:rsidP="009762B0">
      <w:pPr>
        <w:pStyle w:val="TableText-IPR"/>
        <w:jc w:val="center"/>
        <w:rPr>
          <w:sz w:val="22"/>
          <w:szCs w:val="24"/>
        </w:rPr>
      </w:pPr>
      <w:r w:rsidRPr="00D672F3">
        <w:rPr>
          <w:sz w:val="22"/>
          <w:szCs w:val="24"/>
        </w:rPr>
        <w:t>Alexandria, VA 22303</w:t>
      </w:r>
    </w:p>
    <w:p w14:paraId="73E458E1" w14:textId="1934140C" w:rsidR="00C70867" w:rsidRPr="00D672F3" w:rsidRDefault="00AB147C" w:rsidP="009762B0">
      <w:pPr>
        <w:pStyle w:val="TableText-IPR"/>
        <w:jc w:val="center"/>
        <w:rPr>
          <w:sz w:val="22"/>
          <w:szCs w:val="24"/>
        </w:rPr>
      </w:pPr>
      <w:r w:rsidRPr="00D672F3">
        <w:rPr>
          <w:sz w:val="22"/>
          <w:szCs w:val="24"/>
        </w:rPr>
        <w:t>T</w:t>
      </w:r>
      <w:r w:rsidR="000F6037" w:rsidRPr="00D672F3">
        <w:rPr>
          <w:sz w:val="22"/>
          <w:szCs w:val="24"/>
        </w:rPr>
        <w:t xml:space="preserve">elephone </w:t>
      </w:r>
      <w:r w:rsidR="00C70867" w:rsidRPr="00D672F3">
        <w:rPr>
          <w:sz w:val="22"/>
          <w:szCs w:val="24"/>
        </w:rPr>
        <w:t>703</w:t>
      </w:r>
      <w:r w:rsidR="009B0FF7">
        <w:rPr>
          <w:sz w:val="22"/>
          <w:szCs w:val="24"/>
        </w:rPr>
        <w:t>-</w:t>
      </w:r>
      <w:r w:rsidR="00F665D1">
        <w:rPr>
          <w:sz w:val="22"/>
          <w:szCs w:val="24"/>
        </w:rPr>
        <w:t>457-7759</w:t>
      </w:r>
    </w:p>
    <w:p w14:paraId="1A32A47B" w14:textId="7DF1DE35" w:rsidR="00C70867" w:rsidRPr="00D672F3" w:rsidRDefault="00F665D1" w:rsidP="009762B0">
      <w:pPr>
        <w:pStyle w:val="TableText-IPR"/>
        <w:jc w:val="center"/>
        <w:rPr>
          <w:sz w:val="22"/>
          <w:szCs w:val="24"/>
        </w:rPr>
      </w:pPr>
      <w:r>
        <w:rPr>
          <w:sz w:val="22"/>
          <w:szCs w:val="24"/>
        </w:rPr>
        <w:t>ruth.morgan</w:t>
      </w:r>
      <w:r w:rsidR="00C70867" w:rsidRPr="00D672F3">
        <w:rPr>
          <w:sz w:val="22"/>
          <w:szCs w:val="24"/>
        </w:rPr>
        <w:t>@fns.usda.gov</w:t>
      </w:r>
    </w:p>
    <w:p w14:paraId="23DCB629" w14:textId="77777777" w:rsidR="00D6378E" w:rsidRPr="00D672F3" w:rsidRDefault="00D6378E" w:rsidP="00984A9C">
      <w:pPr>
        <w:pStyle w:val="TableText-IPR"/>
        <w:rPr>
          <w:sz w:val="18"/>
        </w:rPr>
      </w:pPr>
    </w:p>
    <w:p w14:paraId="65451490" w14:textId="77777777" w:rsidR="00D6378E" w:rsidRPr="00B83463" w:rsidRDefault="00D6378E" w:rsidP="00324408">
      <w:pPr>
        <w:pStyle w:val="Body12ptCalibri-IPR"/>
        <w:sectPr w:rsidR="00D6378E" w:rsidRPr="00B83463" w:rsidSect="00CB01E8">
          <w:footerReference w:type="default" r:id="rId9"/>
          <w:pgSz w:w="12240" w:h="15840" w:code="1"/>
          <w:pgMar w:top="1440" w:right="1440" w:bottom="1440" w:left="1440" w:header="720" w:footer="720" w:gutter="0"/>
          <w:cols w:space="720"/>
          <w:docGrid w:linePitch="326"/>
        </w:sectPr>
      </w:pPr>
    </w:p>
    <w:bookmarkEnd w:id="0"/>
    <w:p w14:paraId="0E2E9192" w14:textId="77777777" w:rsidR="00D672F3" w:rsidRDefault="00D672F3" w:rsidP="00D672F3">
      <w:pPr>
        <w:pStyle w:val="NewHeading10"/>
      </w:pPr>
      <w:r>
        <w:lastRenderedPageBreak/>
        <w:t>Contents</w:t>
      </w:r>
    </w:p>
    <w:p w14:paraId="7F420AC3" w14:textId="77777777" w:rsidR="005B230E" w:rsidRPr="00D672F3" w:rsidRDefault="00321A1B">
      <w:pPr>
        <w:pStyle w:val="TOC1"/>
        <w:tabs>
          <w:tab w:val="right" w:leader="dot" w:pos="9350"/>
        </w:tabs>
        <w:rPr>
          <w:rFonts w:asciiTheme="minorHAnsi" w:eastAsiaTheme="minorEastAsia" w:hAnsiTheme="minorHAnsi" w:cstheme="minorBidi"/>
          <w:b w:val="0"/>
          <w:bCs w:val="0"/>
          <w:caps w:val="0"/>
          <w:noProof/>
          <w:sz w:val="22"/>
          <w:szCs w:val="24"/>
        </w:rPr>
      </w:pPr>
      <w:r w:rsidRPr="00D672F3">
        <w:rPr>
          <w:rFonts w:asciiTheme="minorHAnsi" w:hAnsiTheme="minorHAnsi"/>
          <w:bCs w:val="0"/>
          <w:caps w:val="0"/>
          <w:sz w:val="22"/>
          <w:szCs w:val="24"/>
        </w:rPr>
        <w:fldChar w:fldCharType="begin"/>
      </w:r>
      <w:r w:rsidRPr="00D672F3">
        <w:rPr>
          <w:rFonts w:asciiTheme="minorHAnsi" w:hAnsiTheme="minorHAnsi"/>
          <w:bCs w:val="0"/>
          <w:caps w:val="0"/>
          <w:sz w:val="22"/>
          <w:szCs w:val="24"/>
        </w:rPr>
        <w:instrText xml:space="preserve"> TOC \t "Hdng3-IPR,2,Hdng2-IPR,1" </w:instrText>
      </w:r>
      <w:r w:rsidRPr="00D672F3">
        <w:rPr>
          <w:rFonts w:asciiTheme="minorHAnsi" w:hAnsiTheme="minorHAnsi"/>
          <w:bCs w:val="0"/>
          <w:caps w:val="0"/>
          <w:sz w:val="22"/>
          <w:szCs w:val="24"/>
        </w:rPr>
        <w:fldChar w:fldCharType="separate"/>
      </w:r>
      <w:r w:rsidR="005B230E" w:rsidRPr="00D672F3">
        <w:rPr>
          <w:rFonts w:asciiTheme="minorHAnsi" w:hAnsiTheme="minorHAnsi"/>
          <w:caps w:val="0"/>
          <w:noProof/>
          <w:sz w:val="22"/>
          <w:szCs w:val="24"/>
        </w:rPr>
        <w:t>Part B: Collection of Information Employing Statistical Methods</w:t>
      </w:r>
      <w:r w:rsidR="005B230E" w:rsidRPr="00D672F3">
        <w:rPr>
          <w:rFonts w:asciiTheme="minorHAnsi" w:hAnsiTheme="minorHAnsi"/>
          <w:caps w:val="0"/>
          <w:noProof/>
          <w:sz w:val="22"/>
          <w:szCs w:val="24"/>
        </w:rPr>
        <w:tab/>
      </w:r>
      <w:r w:rsidR="005B230E" w:rsidRPr="00D672F3">
        <w:rPr>
          <w:rFonts w:asciiTheme="minorHAnsi" w:hAnsiTheme="minorHAnsi"/>
          <w:caps w:val="0"/>
          <w:noProof/>
          <w:sz w:val="22"/>
          <w:szCs w:val="24"/>
        </w:rPr>
        <w:fldChar w:fldCharType="begin"/>
      </w:r>
      <w:r w:rsidR="005B230E" w:rsidRPr="00D672F3">
        <w:rPr>
          <w:rFonts w:asciiTheme="minorHAnsi" w:hAnsiTheme="minorHAnsi"/>
          <w:caps w:val="0"/>
          <w:noProof/>
          <w:sz w:val="22"/>
          <w:szCs w:val="24"/>
        </w:rPr>
        <w:instrText xml:space="preserve"> PAGEREF _Toc430003422 \h </w:instrText>
      </w:r>
      <w:r w:rsidR="005B230E" w:rsidRPr="00D672F3">
        <w:rPr>
          <w:rFonts w:asciiTheme="minorHAnsi" w:hAnsiTheme="minorHAnsi"/>
          <w:caps w:val="0"/>
          <w:noProof/>
          <w:sz w:val="22"/>
          <w:szCs w:val="24"/>
        </w:rPr>
      </w:r>
      <w:r w:rsidR="005B230E" w:rsidRPr="00D672F3">
        <w:rPr>
          <w:rFonts w:asciiTheme="minorHAnsi" w:hAnsiTheme="minorHAnsi"/>
          <w:caps w:val="0"/>
          <w:noProof/>
          <w:sz w:val="22"/>
          <w:szCs w:val="24"/>
        </w:rPr>
        <w:fldChar w:fldCharType="separate"/>
      </w:r>
      <w:r w:rsidR="004F5E34">
        <w:rPr>
          <w:rFonts w:asciiTheme="minorHAnsi" w:hAnsiTheme="minorHAnsi"/>
          <w:caps w:val="0"/>
          <w:noProof/>
          <w:sz w:val="22"/>
          <w:szCs w:val="24"/>
        </w:rPr>
        <w:t>1</w:t>
      </w:r>
      <w:r w:rsidR="005B230E" w:rsidRPr="00D672F3">
        <w:rPr>
          <w:rFonts w:asciiTheme="minorHAnsi" w:hAnsiTheme="minorHAnsi"/>
          <w:caps w:val="0"/>
          <w:noProof/>
          <w:sz w:val="22"/>
          <w:szCs w:val="24"/>
        </w:rPr>
        <w:fldChar w:fldCharType="end"/>
      </w:r>
    </w:p>
    <w:p w14:paraId="23A3DD38" w14:textId="7758D329" w:rsidR="005B230E" w:rsidRPr="00D672F3" w:rsidRDefault="005B230E" w:rsidP="00916AC3">
      <w:pPr>
        <w:pStyle w:val="TOC2"/>
        <w:tabs>
          <w:tab w:val="left" w:pos="1080"/>
          <w:tab w:val="right" w:leader="dot" w:pos="9350"/>
        </w:tabs>
        <w:ind w:left="547" w:hanging="547"/>
        <w:rPr>
          <w:rFonts w:asciiTheme="minorHAnsi" w:eastAsiaTheme="minorEastAsia" w:hAnsiTheme="minorHAnsi" w:cstheme="minorBidi"/>
          <w:caps w:val="0"/>
          <w:noProof/>
          <w:sz w:val="22"/>
          <w:szCs w:val="24"/>
        </w:rPr>
      </w:pPr>
      <w:r w:rsidRPr="00D672F3">
        <w:rPr>
          <w:rFonts w:asciiTheme="minorHAnsi" w:hAnsiTheme="minorHAnsi"/>
          <w:caps w:val="0"/>
          <w:noProof/>
          <w:sz w:val="22"/>
          <w:szCs w:val="24"/>
        </w:rPr>
        <w:t>B.1</w:t>
      </w:r>
      <w:r w:rsidRPr="00D672F3">
        <w:rPr>
          <w:rFonts w:asciiTheme="minorHAnsi" w:eastAsiaTheme="minorEastAsia" w:hAnsiTheme="minorHAnsi" w:cstheme="minorBidi"/>
          <w:caps w:val="0"/>
          <w:noProof/>
          <w:sz w:val="22"/>
          <w:szCs w:val="24"/>
        </w:rPr>
        <w:tab/>
      </w:r>
      <w:r w:rsidRPr="00D672F3">
        <w:rPr>
          <w:rFonts w:asciiTheme="minorHAnsi" w:hAnsiTheme="minorHAnsi"/>
          <w:caps w:val="0"/>
          <w:noProof/>
          <w:sz w:val="22"/>
          <w:szCs w:val="24"/>
        </w:rPr>
        <w:t>Respondent Universe and Selection Methods</w:t>
      </w:r>
      <w:r w:rsidRPr="00D672F3">
        <w:rPr>
          <w:rFonts w:asciiTheme="minorHAnsi" w:hAnsiTheme="minorHAnsi"/>
          <w:caps w:val="0"/>
          <w:noProof/>
          <w:sz w:val="22"/>
          <w:szCs w:val="24"/>
        </w:rPr>
        <w:tab/>
      </w:r>
      <w:r w:rsidRPr="00D672F3">
        <w:rPr>
          <w:rFonts w:asciiTheme="minorHAnsi" w:hAnsiTheme="minorHAnsi"/>
          <w:caps w:val="0"/>
          <w:noProof/>
          <w:sz w:val="22"/>
          <w:szCs w:val="24"/>
        </w:rPr>
        <w:fldChar w:fldCharType="begin"/>
      </w:r>
      <w:r w:rsidRPr="00D672F3">
        <w:rPr>
          <w:rFonts w:asciiTheme="minorHAnsi" w:hAnsiTheme="minorHAnsi"/>
          <w:caps w:val="0"/>
          <w:noProof/>
          <w:sz w:val="22"/>
          <w:szCs w:val="24"/>
        </w:rPr>
        <w:instrText xml:space="preserve"> PAGEREF _Toc430003423 \h </w:instrText>
      </w:r>
      <w:r w:rsidRPr="00D672F3">
        <w:rPr>
          <w:rFonts w:asciiTheme="minorHAnsi" w:hAnsiTheme="minorHAnsi"/>
          <w:caps w:val="0"/>
          <w:noProof/>
          <w:sz w:val="22"/>
          <w:szCs w:val="24"/>
        </w:rPr>
      </w:r>
      <w:r w:rsidRPr="00D672F3">
        <w:rPr>
          <w:rFonts w:asciiTheme="minorHAnsi" w:hAnsiTheme="minorHAnsi"/>
          <w:caps w:val="0"/>
          <w:noProof/>
          <w:sz w:val="22"/>
          <w:szCs w:val="24"/>
        </w:rPr>
        <w:fldChar w:fldCharType="separate"/>
      </w:r>
      <w:r w:rsidR="004F5E34">
        <w:rPr>
          <w:rFonts w:asciiTheme="minorHAnsi" w:hAnsiTheme="minorHAnsi"/>
          <w:caps w:val="0"/>
          <w:noProof/>
          <w:sz w:val="22"/>
          <w:szCs w:val="24"/>
        </w:rPr>
        <w:t>1</w:t>
      </w:r>
      <w:r w:rsidRPr="00D672F3">
        <w:rPr>
          <w:rFonts w:asciiTheme="minorHAnsi" w:hAnsiTheme="minorHAnsi"/>
          <w:caps w:val="0"/>
          <w:noProof/>
          <w:sz w:val="22"/>
          <w:szCs w:val="24"/>
        </w:rPr>
        <w:fldChar w:fldCharType="end"/>
      </w:r>
    </w:p>
    <w:p w14:paraId="606A62EA" w14:textId="59968876" w:rsidR="005B230E" w:rsidRPr="00D672F3" w:rsidRDefault="005B230E" w:rsidP="00916AC3">
      <w:pPr>
        <w:pStyle w:val="TOC2"/>
        <w:tabs>
          <w:tab w:val="left" w:pos="1080"/>
          <w:tab w:val="right" w:leader="dot" w:pos="9350"/>
        </w:tabs>
        <w:ind w:left="547" w:hanging="547"/>
        <w:rPr>
          <w:rFonts w:asciiTheme="minorHAnsi" w:eastAsiaTheme="minorEastAsia" w:hAnsiTheme="minorHAnsi" w:cstheme="minorBidi"/>
          <w:caps w:val="0"/>
          <w:noProof/>
          <w:sz w:val="22"/>
          <w:szCs w:val="24"/>
        </w:rPr>
      </w:pPr>
      <w:r w:rsidRPr="00D672F3">
        <w:rPr>
          <w:rFonts w:asciiTheme="minorHAnsi" w:hAnsiTheme="minorHAnsi"/>
          <w:caps w:val="0"/>
          <w:noProof/>
          <w:sz w:val="22"/>
          <w:szCs w:val="24"/>
        </w:rPr>
        <w:t>B.2</w:t>
      </w:r>
      <w:r w:rsidRPr="00D672F3">
        <w:rPr>
          <w:rFonts w:asciiTheme="minorHAnsi" w:eastAsiaTheme="minorEastAsia" w:hAnsiTheme="minorHAnsi" w:cstheme="minorBidi"/>
          <w:caps w:val="0"/>
          <w:noProof/>
          <w:sz w:val="22"/>
          <w:szCs w:val="24"/>
        </w:rPr>
        <w:tab/>
      </w:r>
      <w:r w:rsidRPr="00D672F3">
        <w:rPr>
          <w:rFonts w:asciiTheme="minorHAnsi" w:hAnsiTheme="minorHAnsi"/>
          <w:caps w:val="0"/>
          <w:noProof/>
          <w:sz w:val="22"/>
          <w:szCs w:val="24"/>
        </w:rPr>
        <w:t>Procedures for the Collection of Information</w:t>
      </w:r>
      <w:r w:rsidRPr="00D672F3">
        <w:rPr>
          <w:rFonts w:asciiTheme="minorHAnsi" w:hAnsiTheme="minorHAnsi"/>
          <w:caps w:val="0"/>
          <w:noProof/>
          <w:sz w:val="22"/>
          <w:szCs w:val="24"/>
        </w:rPr>
        <w:tab/>
      </w:r>
      <w:r w:rsidRPr="00D672F3">
        <w:rPr>
          <w:rFonts w:asciiTheme="minorHAnsi" w:hAnsiTheme="minorHAnsi"/>
          <w:caps w:val="0"/>
          <w:noProof/>
          <w:sz w:val="22"/>
          <w:szCs w:val="24"/>
        </w:rPr>
        <w:fldChar w:fldCharType="begin"/>
      </w:r>
      <w:r w:rsidRPr="00D672F3">
        <w:rPr>
          <w:rFonts w:asciiTheme="minorHAnsi" w:hAnsiTheme="minorHAnsi"/>
          <w:caps w:val="0"/>
          <w:noProof/>
          <w:sz w:val="22"/>
          <w:szCs w:val="24"/>
        </w:rPr>
        <w:instrText xml:space="preserve"> PAGEREF _Toc430003424 \h </w:instrText>
      </w:r>
      <w:r w:rsidRPr="00D672F3">
        <w:rPr>
          <w:rFonts w:asciiTheme="minorHAnsi" w:hAnsiTheme="minorHAnsi"/>
          <w:caps w:val="0"/>
          <w:noProof/>
          <w:sz w:val="22"/>
          <w:szCs w:val="24"/>
        </w:rPr>
      </w:r>
      <w:r w:rsidRPr="00D672F3">
        <w:rPr>
          <w:rFonts w:asciiTheme="minorHAnsi" w:hAnsiTheme="minorHAnsi"/>
          <w:caps w:val="0"/>
          <w:noProof/>
          <w:sz w:val="22"/>
          <w:szCs w:val="24"/>
        </w:rPr>
        <w:fldChar w:fldCharType="separate"/>
      </w:r>
      <w:r w:rsidR="004F5E34">
        <w:rPr>
          <w:rFonts w:asciiTheme="minorHAnsi" w:hAnsiTheme="minorHAnsi"/>
          <w:caps w:val="0"/>
          <w:noProof/>
          <w:sz w:val="22"/>
          <w:szCs w:val="24"/>
        </w:rPr>
        <w:t>7</w:t>
      </w:r>
      <w:r w:rsidRPr="00D672F3">
        <w:rPr>
          <w:rFonts w:asciiTheme="minorHAnsi" w:hAnsiTheme="minorHAnsi"/>
          <w:caps w:val="0"/>
          <w:noProof/>
          <w:sz w:val="22"/>
          <w:szCs w:val="24"/>
        </w:rPr>
        <w:fldChar w:fldCharType="end"/>
      </w:r>
    </w:p>
    <w:p w14:paraId="6C61A656" w14:textId="7EFDFFD7" w:rsidR="005B230E" w:rsidRPr="00D672F3" w:rsidRDefault="005B230E" w:rsidP="00916AC3">
      <w:pPr>
        <w:pStyle w:val="TOC2"/>
        <w:tabs>
          <w:tab w:val="left" w:pos="1080"/>
          <w:tab w:val="right" w:leader="dot" w:pos="9350"/>
        </w:tabs>
        <w:ind w:left="547" w:hanging="547"/>
        <w:rPr>
          <w:rFonts w:asciiTheme="minorHAnsi" w:eastAsiaTheme="minorEastAsia" w:hAnsiTheme="minorHAnsi" w:cstheme="minorBidi"/>
          <w:caps w:val="0"/>
          <w:noProof/>
          <w:sz w:val="22"/>
          <w:szCs w:val="24"/>
        </w:rPr>
      </w:pPr>
      <w:r w:rsidRPr="00D672F3">
        <w:rPr>
          <w:rFonts w:asciiTheme="minorHAnsi" w:hAnsiTheme="minorHAnsi"/>
          <w:caps w:val="0"/>
          <w:noProof/>
          <w:sz w:val="22"/>
          <w:szCs w:val="24"/>
        </w:rPr>
        <w:t>B.3</w:t>
      </w:r>
      <w:r w:rsidRPr="00D672F3">
        <w:rPr>
          <w:rFonts w:asciiTheme="minorHAnsi" w:eastAsiaTheme="minorEastAsia" w:hAnsiTheme="minorHAnsi" w:cstheme="minorBidi"/>
          <w:caps w:val="0"/>
          <w:noProof/>
          <w:sz w:val="22"/>
          <w:szCs w:val="24"/>
        </w:rPr>
        <w:tab/>
      </w:r>
      <w:r w:rsidRPr="00D672F3">
        <w:rPr>
          <w:rFonts w:asciiTheme="minorHAnsi" w:hAnsiTheme="minorHAnsi"/>
          <w:caps w:val="0"/>
          <w:noProof/>
          <w:sz w:val="22"/>
          <w:szCs w:val="24"/>
        </w:rPr>
        <w:t xml:space="preserve">Methods </w:t>
      </w:r>
      <w:r w:rsidR="00B05064" w:rsidRPr="00D672F3">
        <w:rPr>
          <w:rFonts w:asciiTheme="minorHAnsi" w:hAnsiTheme="minorHAnsi"/>
          <w:caps w:val="0"/>
          <w:noProof/>
          <w:sz w:val="22"/>
          <w:szCs w:val="24"/>
        </w:rPr>
        <w:t>T</w:t>
      </w:r>
      <w:r w:rsidRPr="00D672F3">
        <w:rPr>
          <w:rFonts w:asciiTheme="minorHAnsi" w:hAnsiTheme="minorHAnsi"/>
          <w:caps w:val="0"/>
          <w:noProof/>
          <w:sz w:val="22"/>
          <w:szCs w:val="24"/>
        </w:rPr>
        <w:t>o Maximize Response Rates and the Issue of Nonresponse</w:t>
      </w:r>
      <w:r w:rsidRPr="00D672F3">
        <w:rPr>
          <w:rFonts w:asciiTheme="minorHAnsi" w:hAnsiTheme="minorHAnsi"/>
          <w:caps w:val="0"/>
          <w:noProof/>
          <w:sz w:val="22"/>
          <w:szCs w:val="24"/>
        </w:rPr>
        <w:tab/>
      </w:r>
      <w:r w:rsidRPr="00D672F3">
        <w:rPr>
          <w:rFonts w:asciiTheme="minorHAnsi" w:hAnsiTheme="minorHAnsi"/>
          <w:caps w:val="0"/>
          <w:noProof/>
          <w:sz w:val="22"/>
          <w:szCs w:val="24"/>
        </w:rPr>
        <w:fldChar w:fldCharType="begin"/>
      </w:r>
      <w:r w:rsidRPr="00D672F3">
        <w:rPr>
          <w:rFonts w:asciiTheme="minorHAnsi" w:hAnsiTheme="minorHAnsi"/>
          <w:caps w:val="0"/>
          <w:noProof/>
          <w:sz w:val="22"/>
          <w:szCs w:val="24"/>
        </w:rPr>
        <w:instrText xml:space="preserve"> PAGEREF _Toc430003425 \h </w:instrText>
      </w:r>
      <w:r w:rsidRPr="00D672F3">
        <w:rPr>
          <w:rFonts w:asciiTheme="minorHAnsi" w:hAnsiTheme="minorHAnsi"/>
          <w:caps w:val="0"/>
          <w:noProof/>
          <w:sz w:val="22"/>
          <w:szCs w:val="24"/>
        </w:rPr>
      </w:r>
      <w:r w:rsidRPr="00D672F3">
        <w:rPr>
          <w:rFonts w:asciiTheme="minorHAnsi" w:hAnsiTheme="minorHAnsi"/>
          <w:caps w:val="0"/>
          <w:noProof/>
          <w:sz w:val="22"/>
          <w:szCs w:val="24"/>
        </w:rPr>
        <w:fldChar w:fldCharType="separate"/>
      </w:r>
      <w:r w:rsidR="004F5E34">
        <w:rPr>
          <w:rFonts w:asciiTheme="minorHAnsi" w:hAnsiTheme="minorHAnsi"/>
          <w:caps w:val="0"/>
          <w:noProof/>
          <w:sz w:val="22"/>
          <w:szCs w:val="24"/>
        </w:rPr>
        <w:t>10</w:t>
      </w:r>
      <w:r w:rsidRPr="00D672F3">
        <w:rPr>
          <w:rFonts w:asciiTheme="minorHAnsi" w:hAnsiTheme="minorHAnsi"/>
          <w:caps w:val="0"/>
          <w:noProof/>
          <w:sz w:val="22"/>
          <w:szCs w:val="24"/>
        </w:rPr>
        <w:fldChar w:fldCharType="end"/>
      </w:r>
    </w:p>
    <w:p w14:paraId="793730B1" w14:textId="714CC74D" w:rsidR="005B230E" w:rsidRPr="00D672F3" w:rsidRDefault="005B230E" w:rsidP="00916AC3">
      <w:pPr>
        <w:pStyle w:val="TOC2"/>
        <w:tabs>
          <w:tab w:val="left" w:pos="1080"/>
          <w:tab w:val="right" w:leader="dot" w:pos="9350"/>
        </w:tabs>
        <w:ind w:left="547" w:hanging="547"/>
        <w:rPr>
          <w:rFonts w:asciiTheme="minorHAnsi" w:eastAsiaTheme="minorEastAsia" w:hAnsiTheme="minorHAnsi" w:cstheme="minorBidi"/>
          <w:caps w:val="0"/>
          <w:noProof/>
          <w:sz w:val="22"/>
          <w:szCs w:val="24"/>
        </w:rPr>
      </w:pPr>
      <w:r w:rsidRPr="00D672F3">
        <w:rPr>
          <w:rFonts w:asciiTheme="minorHAnsi" w:hAnsiTheme="minorHAnsi"/>
          <w:caps w:val="0"/>
          <w:noProof/>
          <w:sz w:val="22"/>
          <w:szCs w:val="24"/>
        </w:rPr>
        <w:t>B.4</w:t>
      </w:r>
      <w:r w:rsidRPr="00D672F3">
        <w:rPr>
          <w:rFonts w:asciiTheme="minorHAnsi" w:eastAsiaTheme="minorEastAsia" w:hAnsiTheme="minorHAnsi" w:cstheme="minorBidi"/>
          <w:caps w:val="0"/>
          <w:noProof/>
          <w:sz w:val="22"/>
          <w:szCs w:val="24"/>
        </w:rPr>
        <w:tab/>
      </w:r>
      <w:r w:rsidRPr="00D672F3">
        <w:rPr>
          <w:rFonts w:asciiTheme="minorHAnsi" w:hAnsiTheme="minorHAnsi"/>
          <w:caps w:val="0"/>
          <w:noProof/>
          <w:sz w:val="22"/>
          <w:szCs w:val="24"/>
        </w:rPr>
        <w:t>Tests of Procedures</w:t>
      </w:r>
      <w:r w:rsidRPr="00D672F3">
        <w:rPr>
          <w:rFonts w:asciiTheme="minorHAnsi" w:hAnsiTheme="minorHAnsi"/>
          <w:caps w:val="0"/>
          <w:noProof/>
          <w:sz w:val="22"/>
          <w:szCs w:val="24"/>
        </w:rPr>
        <w:tab/>
      </w:r>
      <w:r w:rsidRPr="00D672F3">
        <w:rPr>
          <w:rFonts w:asciiTheme="minorHAnsi" w:hAnsiTheme="minorHAnsi"/>
          <w:caps w:val="0"/>
          <w:noProof/>
          <w:sz w:val="22"/>
          <w:szCs w:val="24"/>
        </w:rPr>
        <w:fldChar w:fldCharType="begin"/>
      </w:r>
      <w:r w:rsidRPr="00D672F3">
        <w:rPr>
          <w:rFonts w:asciiTheme="minorHAnsi" w:hAnsiTheme="minorHAnsi"/>
          <w:caps w:val="0"/>
          <w:noProof/>
          <w:sz w:val="22"/>
          <w:szCs w:val="24"/>
        </w:rPr>
        <w:instrText xml:space="preserve"> PAGEREF _Toc430003426 \h </w:instrText>
      </w:r>
      <w:r w:rsidRPr="00D672F3">
        <w:rPr>
          <w:rFonts w:asciiTheme="minorHAnsi" w:hAnsiTheme="minorHAnsi"/>
          <w:caps w:val="0"/>
          <w:noProof/>
          <w:sz w:val="22"/>
          <w:szCs w:val="24"/>
        </w:rPr>
      </w:r>
      <w:r w:rsidRPr="00D672F3">
        <w:rPr>
          <w:rFonts w:asciiTheme="minorHAnsi" w:hAnsiTheme="minorHAnsi"/>
          <w:caps w:val="0"/>
          <w:noProof/>
          <w:sz w:val="22"/>
          <w:szCs w:val="24"/>
        </w:rPr>
        <w:fldChar w:fldCharType="separate"/>
      </w:r>
      <w:r w:rsidR="004F5E34">
        <w:rPr>
          <w:rFonts w:asciiTheme="minorHAnsi" w:hAnsiTheme="minorHAnsi"/>
          <w:caps w:val="0"/>
          <w:noProof/>
          <w:sz w:val="22"/>
          <w:szCs w:val="24"/>
        </w:rPr>
        <w:t>12</w:t>
      </w:r>
      <w:r w:rsidRPr="00D672F3">
        <w:rPr>
          <w:rFonts w:asciiTheme="minorHAnsi" w:hAnsiTheme="minorHAnsi"/>
          <w:caps w:val="0"/>
          <w:noProof/>
          <w:sz w:val="22"/>
          <w:szCs w:val="24"/>
        </w:rPr>
        <w:fldChar w:fldCharType="end"/>
      </w:r>
    </w:p>
    <w:p w14:paraId="5553F574" w14:textId="2986B9E7" w:rsidR="005B230E" w:rsidRPr="00D672F3" w:rsidRDefault="005B230E" w:rsidP="00916AC3">
      <w:pPr>
        <w:pStyle w:val="TOC2"/>
        <w:tabs>
          <w:tab w:val="left" w:pos="1080"/>
          <w:tab w:val="right" w:leader="dot" w:pos="9350"/>
        </w:tabs>
        <w:ind w:left="547" w:hanging="547"/>
        <w:rPr>
          <w:rFonts w:asciiTheme="minorHAnsi" w:eastAsiaTheme="minorEastAsia" w:hAnsiTheme="minorHAnsi" w:cstheme="minorBidi"/>
          <w:caps w:val="0"/>
          <w:noProof/>
          <w:sz w:val="22"/>
          <w:szCs w:val="24"/>
        </w:rPr>
      </w:pPr>
      <w:r w:rsidRPr="00D672F3">
        <w:rPr>
          <w:rFonts w:asciiTheme="minorHAnsi" w:hAnsiTheme="minorHAnsi"/>
          <w:caps w:val="0"/>
          <w:noProof/>
          <w:sz w:val="22"/>
          <w:szCs w:val="24"/>
        </w:rPr>
        <w:t>B.5</w:t>
      </w:r>
      <w:r w:rsidRPr="00D672F3">
        <w:rPr>
          <w:rFonts w:asciiTheme="minorHAnsi" w:eastAsiaTheme="minorEastAsia" w:hAnsiTheme="minorHAnsi" w:cstheme="minorBidi"/>
          <w:caps w:val="0"/>
          <w:noProof/>
          <w:sz w:val="22"/>
          <w:szCs w:val="24"/>
        </w:rPr>
        <w:tab/>
      </w:r>
      <w:r w:rsidRPr="00D672F3">
        <w:rPr>
          <w:rFonts w:asciiTheme="minorHAnsi" w:hAnsiTheme="minorHAnsi"/>
          <w:caps w:val="0"/>
          <w:noProof/>
          <w:sz w:val="22"/>
          <w:szCs w:val="24"/>
        </w:rPr>
        <w:t>Consultants</w:t>
      </w:r>
      <w:r w:rsidRPr="00D672F3">
        <w:rPr>
          <w:rFonts w:asciiTheme="minorHAnsi" w:hAnsiTheme="minorHAnsi"/>
          <w:caps w:val="0"/>
          <w:noProof/>
          <w:sz w:val="22"/>
          <w:szCs w:val="24"/>
        </w:rPr>
        <w:tab/>
      </w:r>
      <w:r w:rsidRPr="00D672F3">
        <w:rPr>
          <w:rFonts w:asciiTheme="minorHAnsi" w:hAnsiTheme="minorHAnsi"/>
          <w:caps w:val="0"/>
          <w:noProof/>
          <w:sz w:val="22"/>
          <w:szCs w:val="24"/>
        </w:rPr>
        <w:fldChar w:fldCharType="begin"/>
      </w:r>
      <w:r w:rsidRPr="00D672F3">
        <w:rPr>
          <w:rFonts w:asciiTheme="minorHAnsi" w:hAnsiTheme="minorHAnsi"/>
          <w:caps w:val="0"/>
          <w:noProof/>
          <w:sz w:val="22"/>
          <w:szCs w:val="24"/>
        </w:rPr>
        <w:instrText xml:space="preserve"> PAGEREF _Toc430003427 \h </w:instrText>
      </w:r>
      <w:r w:rsidRPr="00D672F3">
        <w:rPr>
          <w:rFonts w:asciiTheme="minorHAnsi" w:hAnsiTheme="minorHAnsi"/>
          <w:caps w:val="0"/>
          <w:noProof/>
          <w:sz w:val="22"/>
          <w:szCs w:val="24"/>
        </w:rPr>
      </w:r>
      <w:r w:rsidRPr="00D672F3">
        <w:rPr>
          <w:rFonts w:asciiTheme="minorHAnsi" w:hAnsiTheme="minorHAnsi"/>
          <w:caps w:val="0"/>
          <w:noProof/>
          <w:sz w:val="22"/>
          <w:szCs w:val="24"/>
        </w:rPr>
        <w:fldChar w:fldCharType="separate"/>
      </w:r>
      <w:r w:rsidR="004F5E34">
        <w:rPr>
          <w:rFonts w:asciiTheme="minorHAnsi" w:hAnsiTheme="minorHAnsi"/>
          <w:caps w:val="0"/>
          <w:noProof/>
          <w:sz w:val="22"/>
          <w:szCs w:val="24"/>
        </w:rPr>
        <w:t>13</w:t>
      </w:r>
      <w:r w:rsidRPr="00D672F3">
        <w:rPr>
          <w:rFonts w:asciiTheme="minorHAnsi" w:hAnsiTheme="minorHAnsi"/>
          <w:caps w:val="0"/>
          <w:noProof/>
          <w:sz w:val="22"/>
          <w:szCs w:val="24"/>
        </w:rPr>
        <w:fldChar w:fldCharType="end"/>
      </w:r>
    </w:p>
    <w:p w14:paraId="1F446840" w14:textId="71A280FA" w:rsidR="0007730B" w:rsidRPr="000D64A5" w:rsidRDefault="00321A1B" w:rsidP="00EB0CF6">
      <w:pPr>
        <w:pStyle w:val="TOCListText-IPR"/>
        <w:ind w:left="1080" w:hanging="720"/>
        <w:rPr>
          <w:rFonts w:asciiTheme="minorHAnsi" w:hAnsiTheme="minorHAnsi"/>
          <w:bCs w:val="0"/>
        </w:rPr>
      </w:pPr>
      <w:r w:rsidRPr="00D672F3">
        <w:rPr>
          <w:rFonts w:asciiTheme="minorHAnsi" w:hAnsiTheme="minorHAnsi"/>
          <w:bCs w:val="0"/>
          <w:sz w:val="22"/>
        </w:rPr>
        <w:fldChar w:fldCharType="end"/>
      </w:r>
    </w:p>
    <w:p w14:paraId="51DAAE99" w14:textId="52BA4848" w:rsidR="00453955" w:rsidRDefault="00453955" w:rsidP="00B24845">
      <w:pPr>
        <w:pStyle w:val="TOCChapterPage-IPR"/>
        <w:spacing w:after="120"/>
        <w:rPr>
          <w:rFonts w:ascii="Candara" w:hAnsi="Candara"/>
          <w:caps w:val="0"/>
          <w:color w:val="B12732"/>
        </w:rPr>
      </w:pPr>
      <w:r>
        <w:rPr>
          <w:rFonts w:ascii="Candara" w:hAnsi="Candara"/>
          <w:caps w:val="0"/>
          <w:color w:val="B12732"/>
        </w:rPr>
        <w:t>Appendices</w:t>
      </w:r>
    </w:p>
    <w:p w14:paraId="3DF849FE" w14:textId="77777777" w:rsidR="00556CFF" w:rsidRDefault="00556CFF" w:rsidP="00F15303">
      <w:pPr>
        <w:pStyle w:val="TOCListText-IPR"/>
        <w:rPr>
          <w:rFonts w:asciiTheme="minorHAnsi" w:hAnsiTheme="minorHAnsi"/>
          <w:sz w:val="22"/>
          <w:szCs w:val="22"/>
        </w:rPr>
      </w:pPr>
      <w:r>
        <w:rPr>
          <w:rFonts w:asciiTheme="minorHAnsi" w:hAnsiTheme="minorHAnsi"/>
          <w:sz w:val="22"/>
          <w:szCs w:val="22"/>
        </w:rPr>
        <w:t xml:space="preserve">AA.1. Code of Federal Regulations 7 CFR </w:t>
      </w:r>
      <w:r w:rsidRPr="00DC79A9">
        <w:rPr>
          <w:rFonts w:asciiTheme="minorHAnsi" w:hAnsiTheme="minorHAnsi"/>
          <w:sz w:val="22"/>
          <w:szCs w:val="22"/>
        </w:rPr>
        <w:t>§ 246.10</w:t>
      </w:r>
    </w:p>
    <w:p w14:paraId="793B61B2" w14:textId="77777777" w:rsidR="00556CFF" w:rsidRDefault="00556CFF" w:rsidP="00BB5AAC">
      <w:pPr>
        <w:pStyle w:val="TOCListText-IPR"/>
        <w:ind w:left="576" w:hanging="576"/>
        <w:rPr>
          <w:rFonts w:asciiTheme="minorHAnsi" w:hAnsiTheme="minorHAnsi"/>
          <w:sz w:val="22"/>
          <w:szCs w:val="22"/>
        </w:rPr>
      </w:pPr>
      <w:r>
        <w:rPr>
          <w:rFonts w:asciiTheme="minorHAnsi" w:hAnsiTheme="minorHAnsi"/>
          <w:sz w:val="22"/>
          <w:szCs w:val="22"/>
        </w:rPr>
        <w:t>AA.2 OIG Audit report: State Agencies’ Food Costs for Food and Nutrition Service’s WIC Audit Report 27004-0001-22</w:t>
      </w:r>
    </w:p>
    <w:p w14:paraId="0B498710" w14:textId="1ECF2710" w:rsidR="004F5E34" w:rsidRDefault="004F5E34" w:rsidP="00BB5AAC">
      <w:pPr>
        <w:pStyle w:val="TOCListText-IPR"/>
        <w:ind w:left="576" w:hanging="576"/>
        <w:rPr>
          <w:rFonts w:asciiTheme="minorHAnsi" w:hAnsiTheme="minorHAnsi"/>
          <w:sz w:val="22"/>
          <w:szCs w:val="22"/>
        </w:rPr>
      </w:pPr>
      <w:r>
        <w:rPr>
          <w:rFonts w:asciiTheme="minorHAnsi" w:hAnsiTheme="minorHAnsi"/>
          <w:sz w:val="22"/>
          <w:szCs w:val="22"/>
        </w:rPr>
        <w:t xml:space="preserve">AA.3 Additional Authorizing Statutes </w:t>
      </w:r>
    </w:p>
    <w:p w14:paraId="761FF45A" w14:textId="6B963BFE"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A.1. WIC State Agency (</w:t>
      </w:r>
      <w:r w:rsidR="00A27DAC">
        <w:rPr>
          <w:rFonts w:asciiTheme="minorHAnsi" w:hAnsiTheme="minorHAnsi"/>
          <w:sz w:val="22"/>
          <w:szCs w:val="22"/>
        </w:rPr>
        <w:t>5</w:t>
      </w:r>
      <w:r w:rsidRPr="007E1DBD">
        <w:rPr>
          <w:rFonts w:asciiTheme="minorHAnsi" w:hAnsiTheme="minorHAnsi"/>
          <w:sz w:val="22"/>
          <w:szCs w:val="22"/>
        </w:rPr>
        <w:t xml:space="preserve">8) Advance Letter </w:t>
      </w:r>
    </w:p>
    <w:p w14:paraId="42EE294A"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 xml:space="preserve">A.2. Study of WIC Food Package Costs and Cost Containment Study </w:t>
      </w:r>
      <w:r>
        <w:rPr>
          <w:rFonts w:asciiTheme="minorHAnsi" w:hAnsiTheme="minorHAnsi"/>
          <w:sz w:val="22"/>
          <w:szCs w:val="22"/>
        </w:rPr>
        <w:t>Information Sheet</w:t>
      </w:r>
    </w:p>
    <w:p w14:paraId="45B2DAD1"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A.3. Summary of Cost</w:t>
      </w:r>
      <w:r>
        <w:rPr>
          <w:rFonts w:asciiTheme="minorHAnsi" w:hAnsiTheme="minorHAnsi"/>
          <w:sz w:val="22"/>
          <w:szCs w:val="22"/>
        </w:rPr>
        <w:t>-</w:t>
      </w:r>
      <w:r w:rsidRPr="007E1DBD">
        <w:rPr>
          <w:rFonts w:asciiTheme="minorHAnsi" w:hAnsiTheme="minorHAnsi"/>
          <w:sz w:val="22"/>
          <w:szCs w:val="22"/>
        </w:rPr>
        <w:t>Containment Practices</w:t>
      </w:r>
    </w:p>
    <w:p w14:paraId="79816315" w14:textId="77777777" w:rsidR="00556CFF" w:rsidRDefault="00556CFF" w:rsidP="00F15303">
      <w:pPr>
        <w:pStyle w:val="TOCListText-IPR"/>
        <w:rPr>
          <w:rFonts w:asciiTheme="minorHAnsi" w:hAnsiTheme="minorHAnsi"/>
          <w:sz w:val="22"/>
          <w:szCs w:val="22"/>
        </w:rPr>
      </w:pPr>
      <w:r w:rsidRPr="007E1DBD">
        <w:rPr>
          <w:rFonts w:asciiTheme="minorHAnsi" w:hAnsiTheme="minorHAnsi"/>
          <w:sz w:val="22"/>
          <w:szCs w:val="22"/>
        </w:rPr>
        <w:t>A.4 WIC State Agency Semi-Structured Interview Instrument</w:t>
      </w:r>
    </w:p>
    <w:p w14:paraId="4CF3668F" w14:textId="3FBE86E3" w:rsidR="004F5E34" w:rsidRPr="007E1DBD" w:rsidRDefault="004F5E34" w:rsidP="004F5E34">
      <w:pPr>
        <w:pStyle w:val="TOCListText-IPR"/>
        <w:rPr>
          <w:rFonts w:asciiTheme="minorHAnsi" w:hAnsiTheme="minorHAnsi"/>
          <w:sz w:val="22"/>
          <w:szCs w:val="22"/>
        </w:rPr>
      </w:pPr>
      <w:r>
        <w:rPr>
          <w:rFonts w:asciiTheme="minorHAnsi" w:hAnsiTheme="minorHAnsi"/>
          <w:sz w:val="22"/>
          <w:szCs w:val="22"/>
        </w:rPr>
        <w:t xml:space="preserve">A.5 </w:t>
      </w:r>
      <w:r w:rsidRPr="004F5E34">
        <w:rPr>
          <w:rFonts w:asciiTheme="minorHAnsi" w:hAnsiTheme="minorHAnsi"/>
          <w:sz w:val="22"/>
          <w:szCs w:val="22"/>
        </w:rPr>
        <w:t xml:space="preserve">Spreadsheet of WIC State Agency Cost Containment Practices </w:t>
      </w:r>
    </w:p>
    <w:p w14:paraId="73C310B1"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 xml:space="preserve">B.1. WIC State Agency EBT (12) Advance Letter </w:t>
      </w:r>
    </w:p>
    <w:p w14:paraId="1D643E14" w14:textId="000F6931"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 xml:space="preserve">B.2. Agenda for Conference Call </w:t>
      </w:r>
      <w:r w:rsidR="005C0A37">
        <w:rPr>
          <w:rFonts w:asciiTheme="minorHAnsi" w:hAnsiTheme="minorHAnsi"/>
          <w:sz w:val="22"/>
          <w:szCs w:val="22"/>
        </w:rPr>
        <w:t>w</w:t>
      </w:r>
      <w:r w:rsidRPr="007E1DBD">
        <w:rPr>
          <w:rFonts w:asciiTheme="minorHAnsi" w:hAnsiTheme="minorHAnsi"/>
          <w:sz w:val="22"/>
          <w:szCs w:val="22"/>
        </w:rPr>
        <w:t xml:space="preserve">ith WIC </w:t>
      </w:r>
      <w:r>
        <w:rPr>
          <w:rFonts w:asciiTheme="minorHAnsi" w:hAnsiTheme="minorHAnsi"/>
          <w:sz w:val="22"/>
          <w:szCs w:val="22"/>
        </w:rPr>
        <w:t xml:space="preserve">State </w:t>
      </w:r>
      <w:r w:rsidRPr="007E1DBD">
        <w:rPr>
          <w:rFonts w:asciiTheme="minorHAnsi" w:hAnsiTheme="minorHAnsi"/>
          <w:sz w:val="22"/>
          <w:szCs w:val="22"/>
        </w:rPr>
        <w:t>Agencies</w:t>
      </w:r>
    </w:p>
    <w:p w14:paraId="29AE4EC6" w14:textId="6A433E83"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C.1. Administrative Costs of Cost</w:t>
      </w:r>
      <w:r w:rsidR="00D279D0">
        <w:rPr>
          <w:rFonts w:asciiTheme="minorHAnsi" w:hAnsiTheme="minorHAnsi"/>
          <w:sz w:val="22"/>
          <w:szCs w:val="22"/>
        </w:rPr>
        <w:t xml:space="preserve"> </w:t>
      </w:r>
      <w:r w:rsidRPr="007E1DBD">
        <w:rPr>
          <w:rFonts w:asciiTheme="minorHAnsi" w:hAnsiTheme="minorHAnsi"/>
          <w:sz w:val="22"/>
          <w:szCs w:val="22"/>
        </w:rPr>
        <w:t xml:space="preserve">Containment Practices </w:t>
      </w:r>
    </w:p>
    <w:p w14:paraId="1F10BCAD"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D.1. Instruction Sheet for Submitting WIC Participant Certification Data Files</w:t>
      </w:r>
    </w:p>
    <w:p w14:paraId="6022FBE8"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D.2. Sample Reminder Email for WIC Participant Certification Data</w:t>
      </w:r>
    </w:p>
    <w:p w14:paraId="3926E2ED" w14:textId="77777777" w:rsidR="00556CFF" w:rsidRDefault="00556CFF" w:rsidP="00F15303">
      <w:pPr>
        <w:pStyle w:val="TOCListText-IPR"/>
        <w:rPr>
          <w:rFonts w:asciiTheme="minorHAnsi" w:hAnsiTheme="minorHAnsi"/>
          <w:sz w:val="22"/>
          <w:szCs w:val="22"/>
        </w:rPr>
      </w:pPr>
      <w:r w:rsidRPr="007E1DBD">
        <w:rPr>
          <w:rFonts w:asciiTheme="minorHAnsi" w:hAnsiTheme="minorHAnsi"/>
          <w:sz w:val="22"/>
          <w:szCs w:val="22"/>
        </w:rPr>
        <w:t>D.3. Sample Follow-Up Email for WIC Participant Certification Data</w:t>
      </w:r>
    </w:p>
    <w:p w14:paraId="23DC6A4D" w14:textId="77777777" w:rsidR="00556CFF" w:rsidRPr="007E1DBD" w:rsidRDefault="00556CFF" w:rsidP="00037333">
      <w:pPr>
        <w:pStyle w:val="TOCListText-IPR"/>
        <w:ind w:left="0" w:firstLine="0"/>
        <w:rPr>
          <w:rFonts w:asciiTheme="minorHAnsi" w:hAnsiTheme="minorHAnsi"/>
          <w:sz w:val="22"/>
          <w:szCs w:val="22"/>
        </w:rPr>
      </w:pPr>
      <w:r>
        <w:rPr>
          <w:rFonts w:asciiTheme="minorHAnsi" w:hAnsiTheme="minorHAnsi"/>
          <w:sz w:val="22"/>
          <w:szCs w:val="22"/>
        </w:rPr>
        <w:t xml:space="preserve">D.4. </w:t>
      </w:r>
      <w:r w:rsidRPr="00037333">
        <w:rPr>
          <w:rFonts w:asciiTheme="minorHAnsi" w:hAnsiTheme="minorHAnsi"/>
          <w:sz w:val="22"/>
          <w:szCs w:val="22"/>
        </w:rPr>
        <w:t>FTP Site Instructions for State Agencies Submitting Data Files</w:t>
      </w:r>
    </w:p>
    <w:p w14:paraId="59E6DB65"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E.1. Instruction Sheet for Submitting Former WIC Participants Certification Data File</w:t>
      </w:r>
    </w:p>
    <w:p w14:paraId="087BA037"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E.2. Sample Reminder Email for Former WIC Certification Data</w:t>
      </w:r>
    </w:p>
    <w:p w14:paraId="09BE0E63"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E.3. Sample Follow-Up Email for Former WIC Participant Certification Data</w:t>
      </w:r>
    </w:p>
    <w:p w14:paraId="5B3AAC7A"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F.1. Instruction Sheet for Submitting EBT Transaction Data Files</w:t>
      </w:r>
    </w:p>
    <w:p w14:paraId="74F7AD38"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F.2. Sample Reminder Email for WIC EBT Data Request</w:t>
      </w:r>
    </w:p>
    <w:p w14:paraId="5CBD2292"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F.3. Sample Follow-Up Email for WIC EBT Data Submission</w:t>
      </w:r>
    </w:p>
    <w:p w14:paraId="5EE42429" w14:textId="77777777" w:rsidR="00556CFF" w:rsidRDefault="00556CFF" w:rsidP="00F15303">
      <w:pPr>
        <w:pStyle w:val="TOCListText-IPR"/>
        <w:rPr>
          <w:rFonts w:asciiTheme="minorHAnsi" w:hAnsiTheme="minorHAnsi"/>
          <w:sz w:val="22"/>
          <w:szCs w:val="22"/>
        </w:rPr>
      </w:pPr>
      <w:r w:rsidRPr="007E1DBD">
        <w:rPr>
          <w:rFonts w:asciiTheme="minorHAnsi" w:hAnsiTheme="minorHAnsi"/>
          <w:sz w:val="22"/>
          <w:szCs w:val="22"/>
        </w:rPr>
        <w:t>G.1.</w:t>
      </w:r>
      <w:r>
        <w:rPr>
          <w:rFonts w:asciiTheme="minorHAnsi" w:hAnsiTheme="minorHAnsi"/>
          <w:sz w:val="22"/>
          <w:szCs w:val="22"/>
        </w:rPr>
        <w:t xml:space="preserve">WIC </w:t>
      </w:r>
      <w:r w:rsidRPr="007E1DBD">
        <w:rPr>
          <w:rFonts w:asciiTheme="minorHAnsi" w:hAnsiTheme="minorHAnsi"/>
          <w:sz w:val="22"/>
          <w:szCs w:val="22"/>
        </w:rPr>
        <w:t>Participant Advance Letter (English)</w:t>
      </w:r>
    </w:p>
    <w:p w14:paraId="714C3306" w14:textId="77777777" w:rsidR="00556CFF" w:rsidRPr="007E1DBD" w:rsidRDefault="00556CFF" w:rsidP="00F15303">
      <w:pPr>
        <w:pStyle w:val="TOCListText-IPR"/>
        <w:rPr>
          <w:rFonts w:asciiTheme="minorHAnsi" w:hAnsiTheme="minorHAnsi"/>
          <w:sz w:val="22"/>
          <w:szCs w:val="22"/>
        </w:rPr>
      </w:pPr>
      <w:r>
        <w:rPr>
          <w:rFonts w:asciiTheme="minorHAnsi" w:hAnsiTheme="minorHAnsi"/>
          <w:sz w:val="22"/>
          <w:szCs w:val="22"/>
        </w:rPr>
        <w:t>G.1a. WIC Participant Advance Letter (Spanish)</w:t>
      </w:r>
    </w:p>
    <w:p w14:paraId="134E703B" w14:textId="77777777" w:rsidR="00556CFF" w:rsidRDefault="00556CFF" w:rsidP="00DB7EA1">
      <w:pPr>
        <w:pStyle w:val="TOCListText-IPR"/>
        <w:rPr>
          <w:rFonts w:asciiTheme="minorHAnsi" w:hAnsiTheme="minorHAnsi"/>
          <w:sz w:val="22"/>
          <w:szCs w:val="22"/>
        </w:rPr>
      </w:pPr>
      <w:r w:rsidRPr="007E1DBD">
        <w:rPr>
          <w:rFonts w:asciiTheme="minorHAnsi" w:hAnsiTheme="minorHAnsi"/>
          <w:sz w:val="22"/>
          <w:szCs w:val="22"/>
        </w:rPr>
        <w:t>G.2.Survey of WIC Participants (English)</w:t>
      </w:r>
    </w:p>
    <w:p w14:paraId="4334556F" w14:textId="77777777" w:rsidR="00556CFF" w:rsidRPr="007E1DBD" w:rsidRDefault="00556CFF" w:rsidP="00DB7EA1">
      <w:pPr>
        <w:pStyle w:val="TOCListText-IPR"/>
        <w:rPr>
          <w:rFonts w:asciiTheme="minorHAnsi" w:hAnsiTheme="minorHAnsi"/>
          <w:sz w:val="22"/>
          <w:szCs w:val="22"/>
        </w:rPr>
      </w:pPr>
      <w:r>
        <w:rPr>
          <w:rFonts w:asciiTheme="minorHAnsi" w:hAnsiTheme="minorHAnsi"/>
          <w:sz w:val="22"/>
          <w:szCs w:val="22"/>
        </w:rPr>
        <w:t>G.2a. Survey of WIC Participants (Spanish)</w:t>
      </w:r>
    </w:p>
    <w:p w14:paraId="49BE6089" w14:textId="77777777" w:rsidR="00556CFF" w:rsidRDefault="00556CFF" w:rsidP="00DB7EA1">
      <w:pPr>
        <w:pStyle w:val="TOCListText-IPR"/>
        <w:rPr>
          <w:rFonts w:asciiTheme="minorHAnsi" w:hAnsiTheme="minorHAnsi"/>
          <w:sz w:val="22"/>
          <w:szCs w:val="22"/>
        </w:rPr>
      </w:pPr>
      <w:r w:rsidRPr="007E1DBD">
        <w:rPr>
          <w:rFonts w:asciiTheme="minorHAnsi" w:hAnsiTheme="minorHAnsi"/>
          <w:sz w:val="22"/>
          <w:szCs w:val="22"/>
        </w:rPr>
        <w:t>G.3.</w:t>
      </w:r>
      <w:r>
        <w:rPr>
          <w:rFonts w:asciiTheme="minorHAnsi" w:hAnsiTheme="minorHAnsi"/>
          <w:sz w:val="22"/>
          <w:szCs w:val="22"/>
        </w:rPr>
        <w:t xml:space="preserve">WIC </w:t>
      </w:r>
      <w:r w:rsidRPr="007E1DBD">
        <w:rPr>
          <w:rFonts w:asciiTheme="minorHAnsi" w:hAnsiTheme="minorHAnsi"/>
          <w:sz w:val="22"/>
          <w:szCs w:val="22"/>
        </w:rPr>
        <w:t xml:space="preserve">Participant/Former Participant Reminder Postcard (English) </w:t>
      </w:r>
    </w:p>
    <w:p w14:paraId="278A401D" w14:textId="30C20CE5" w:rsidR="00556CFF" w:rsidRPr="007E1DBD" w:rsidRDefault="00556CFF" w:rsidP="00DB7EA1">
      <w:pPr>
        <w:pStyle w:val="TOCListText-IPR"/>
        <w:rPr>
          <w:rFonts w:asciiTheme="minorHAnsi" w:hAnsiTheme="minorHAnsi"/>
          <w:sz w:val="22"/>
          <w:szCs w:val="22"/>
        </w:rPr>
      </w:pPr>
      <w:r>
        <w:rPr>
          <w:rFonts w:asciiTheme="minorHAnsi" w:hAnsiTheme="minorHAnsi"/>
          <w:sz w:val="22"/>
          <w:szCs w:val="22"/>
        </w:rPr>
        <w:t>G.3a. WIC Partic</w:t>
      </w:r>
      <w:r w:rsidR="005C0A37">
        <w:rPr>
          <w:rFonts w:asciiTheme="minorHAnsi" w:hAnsiTheme="minorHAnsi"/>
          <w:sz w:val="22"/>
          <w:szCs w:val="22"/>
        </w:rPr>
        <w:t>i</w:t>
      </w:r>
      <w:r>
        <w:rPr>
          <w:rFonts w:asciiTheme="minorHAnsi" w:hAnsiTheme="minorHAnsi"/>
          <w:sz w:val="22"/>
          <w:szCs w:val="22"/>
        </w:rPr>
        <w:t>pant/Former Participant Reminder Postcard (Spanish)</w:t>
      </w:r>
    </w:p>
    <w:p w14:paraId="7DCA51ED" w14:textId="77777777" w:rsidR="00556CFF" w:rsidRDefault="00556CFF" w:rsidP="00DB7EA1">
      <w:pPr>
        <w:pStyle w:val="TOCListText-IPR"/>
        <w:rPr>
          <w:rFonts w:asciiTheme="minorHAnsi" w:hAnsiTheme="minorHAnsi"/>
          <w:sz w:val="22"/>
          <w:szCs w:val="22"/>
        </w:rPr>
      </w:pPr>
      <w:r w:rsidRPr="007E1DBD">
        <w:rPr>
          <w:rFonts w:asciiTheme="minorHAnsi" w:hAnsiTheme="minorHAnsi"/>
          <w:sz w:val="22"/>
          <w:szCs w:val="22"/>
        </w:rPr>
        <w:t xml:space="preserve">G.4 </w:t>
      </w:r>
      <w:r>
        <w:rPr>
          <w:rFonts w:asciiTheme="minorHAnsi" w:hAnsiTheme="minorHAnsi"/>
          <w:sz w:val="22"/>
          <w:szCs w:val="22"/>
        </w:rPr>
        <w:t xml:space="preserve">WIC </w:t>
      </w:r>
      <w:r w:rsidRPr="007E1DBD">
        <w:rPr>
          <w:rFonts w:asciiTheme="minorHAnsi" w:hAnsiTheme="minorHAnsi"/>
          <w:sz w:val="22"/>
          <w:szCs w:val="22"/>
        </w:rPr>
        <w:t>Participant/Former Participant Reminder Letter (English)</w:t>
      </w:r>
    </w:p>
    <w:p w14:paraId="55B5F68B" w14:textId="77777777" w:rsidR="00556CFF" w:rsidRPr="007E1DBD" w:rsidRDefault="00556CFF" w:rsidP="00DB7EA1">
      <w:pPr>
        <w:pStyle w:val="TOCListText-IPR"/>
        <w:rPr>
          <w:rFonts w:asciiTheme="minorHAnsi" w:hAnsiTheme="minorHAnsi"/>
          <w:sz w:val="22"/>
          <w:szCs w:val="22"/>
        </w:rPr>
      </w:pPr>
      <w:r>
        <w:rPr>
          <w:rFonts w:asciiTheme="minorHAnsi" w:hAnsiTheme="minorHAnsi"/>
          <w:sz w:val="22"/>
          <w:szCs w:val="22"/>
        </w:rPr>
        <w:t>G.4a. WIC Participant/Former Participant Reminder Letter (Spanish)</w:t>
      </w:r>
    </w:p>
    <w:p w14:paraId="40C01FAB" w14:textId="77777777" w:rsidR="00556CFF" w:rsidRDefault="00556CFF" w:rsidP="007C5170">
      <w:pPr>
        <w:pStyle w:val="TOCListText-IPR"/>
        <w:rPr>
          <w:rFonts w:asciiTheme="minorHAnsi" w:hAnsiTheme="minorHAnsi"/>
          <w:sz w:val="22"/>
          <w:szCs w:val="22"/>
        </w:rPr>
      </w:pPr>
      <w:r w:rsidRPr="007E1DBD">
        <w:rPr>
          <w:rFonts w:asciiTheme="minorHAnsi" w:hAnsiTheme="minorHAnsi"/>
          <w:sz w:val="22"/>
          <w:szCs w:val="22"/>
        </w:rPr>
        <w:t>G.5</w:t>
      </w:r>
      <w:r>
        <w:rPr>
          <w:rFonts w:asciiTheme="minorHAnsi" w:hAnsiTheme="minorHAnsi"/>
          <w:sz w:val="22"/>
          <w:szCs w:val="22"/>
        </w:rPr>
        <w:t>.</w:t>
      </w:r>
      <w:r w:rsidRPr="007E1DBD">
        <w:rPr>
          <w:rFonts w:asciiTheme="minorHAnsi" w:hAnsiTheme="minorHAnsi"/>
          <w:sz w:val="22"/>
          <w:szCs w:val="22"/>
        </w:rPr>
        <w:t xml:space="preserve"> </w:t>
      </w:r>
      <w:r>
        <w:rPr>
          <w:rFonts w:asciiTheme="minorHAnsi" w:hAnsiTheme="minorHAnsi"/>
          <w:sz w:val="22"/>
          <w:szCs w:val="22"/>
        </w:rPr>
        <w:t xml:space="preserve">WIC </w:t>
      </w:r>
      <w:r w:rsidRPr="007E1DBD">
        <w:rPr>
          <w:rFonts w:asciiTheme="minorHAnsi" w:hAnsiTheme="minorHAnsi"/>
          <w:sz w:val="22"/>
          <w:szCs w:val="22"/>
        </w:rPr>
        <w:t>Participant/Former Participant Refusal Letter (English)</w:t>
      </w:r>
    </w:p>
    <w:p w14:paraId="258BAF8D" w14:textId="77777777" w:rsidR="00556CFF" w:rsidRPr="007E1DBD" w:rsidRDefault="00556CFF" w:rsidP="007C5170">
      <w:pPr>
        <w:pStyle w:val="TOCListText-IPR"/>
        <w:rPr>
          <w:rFonts w:asciiTheme="minorHAnsi" w:hAnsiTheme="minorHAnsi"/>
          <w:sz w:val="22"/>
          <w:szCs w:val="22"/>
        </w:rPr>
      </w:pPr>
      <w:r>
        <w:rPr>
          <w:rFonts w:asciiTheme="minorHAnsi" w:hAnsiTheme="minorHAnsi"/>
          <w:sz w:val="22"/>
          <w:szCs w:val="22"/>
        </w:rPr>
        <w:t>G.5a. WIC Participant/Former Participant Refusal Letter (Spanish)</w:t>
      </w:r>
    </w:p>
    <w:p w14:paraId="7ADA722F" w14:textId="77777777" w:rsidR="00556CFF" w:rsidRDefault="00556CFF" w:rsidP="007C5170">
      <w:pPr>
        <w:pStyle w:val="TOCListText-IPR"/>
        <w:rPr>
          <w:rFonts w:asciiTheme="minorHAnsi" w:hAnsiTheme="minorHAnsi"/>
          <w:sz w:val="22"/>
          <w:szCs w:val="22"/>
        </w:rPr>
      </w:pPr>
      <w:r w:rsidRPr="007E1DBD">
        <w:rPr>
          <w:rFonts w:asciiTheme="minorHAnsi" w:hAnsiTheme="minorHAnsi"/>
          <w:sz w:val="22"/>
          <w:szCs w:val="22"/>
        </w:rPr>
        <w:t xml:space="preserve">H.1. Former </w:t>
      </w:r>
      <w:r>
        <w:rPr>
          <w:rFonts w:asciiTheme="minorHAnsi" w:hAnsiTheme="minorHAnsi"/>
          <w:sz w:val="22"/>
          <w:szCs w:val="22"/>
        </w:rPr>
        <w:t xml:space="preserve">WIC </w:t>
      </w:r>
      <w:r w:rsidRPr="007E1DBD">
        <w:rPr>
          <w:rFonts w:asciiTheme="minorHAnsi" w:hAnsiTheme="minorHAnsi"/>
          <w:sz w:val="22"/>
          <w:szCs w:val="22"/>
        </w:rPr>
        <w:t>Participant Advance Letter (English)</w:t>
      </w:r>
    </w:p>
    <w:p w14:paraId="295B7D98" w14:textId="77777777" w:rsidR="00556CFF" w:rsidRPr="007E1DBD" w:rsidRDefault="00556CFF" w:rsidP="007C5170">
      <w:pPr>
        <w:pStyle w:val="TOCListText-IPR"/>
        <w:rPr>
          <w:rFonts w:asciiTheme="minorHAnsi" w:hAnsiTheme="minorHAnsi"/>
          <w:sz w:val="22"/>
          <w:szCs w:val="22"/>
        </w:rPr>
      </w:pPr>
      <w:r>
        <w:rPr>
          <w:rFonts w:asciiTheme="minorHAnsi" w:hAnsiTheme="minorHAnsi"/>
          <w:sz w:val="22"/>
          <w:szCs w:val="22"/>
        </w:rPr>
        <w:t>H.1a. Former WIC Participant Advance Letter (Spanish)</w:t>
      </w:r>
    </w:p>
    <w:p w14:paraId="35EE081C" w14:textId="77777777" w:rsidR="00556CFF" w:rsidRDefault="00556CFF" w:rsidP="007C5170">
      <w:pPr>
        <w:pStyle w:val="TOCListText-IPR"/>
        <w:rPr>
          <w:rFonts w:asciiTheme="minorHAnsi" w:hAnsiTheme="minorHAnsi"/>
          <w:sz w:val="22"/>
          <w:szCs w:val="22"/>
        </w:rPr>
      </w:pPr>
      <w:r w:rsidRPr="007E1DBD">
        <w:rPr>
          <w:rFonts w:asciiTheme="minorHAnsi" w:hAnsiTheme="minorHAnsi"/>
          <w:sz w:val="22"/>
          <w:szCs w:val="22"/>
        </w:rPr>
        <w:t>H.2. Survey of Former WIC Participants (English)</w:t>
      </w:r>
    </w:p>
    <w:p w14:paraId="07B9F67D" w14:textId="77777777" w:rsidR="00556CFF" w:rsidRPr="007E1DBD" w:rsidRDefault="00556CFF" w:rsidP="007C5170">
      <w:pPr>
        <w:pStyle w:val="TOCListText-IPR"/>
        <w:rPr>
          <w:rFonts w:asciiTheme="minorHAnsi" w:hAnsiTheme="minorHAnsi"/>
          <w:sz w:val="22"/>
          <w:szCs w:val="22"/>
        </w:rPr>
      </w:pPr>
      <w:r>
        <w:rPr>
          <w:rFonts w:asciiTheme="minorHAnsi" w:hAnsiTheme="minorHAnsi"/>
          <w:sz w:val="22"/>
          <w:szCs w:val="22"/>
        </w:rPr>
        <w:t>H.2a. Survey of Former WIC Participants (Spanish)</w:t>
      </w:r>
    </w:p>
    <w:p w14:paraId="0431C47F" w14:textId="77777777" w:rsidR="00556CFF" w:rsidRPr="007E1DBD" w:rsidRDefault="00556CFF" w:rsidP="00F15303">
      <w:pPr>
        <w:pStyle w:val="TOCListText-IPR"/>
        <w:rPr>
          <w:rFonts w:asciiTheme="minorHAnsi" w:hAnsiTheme="minorHAnsi"/>
          <w:sz w:val="22"/>
          <w:szCs w:val="22"/>
        </w:rPr>
      </w:pPr>
      <w:r w:rsidRPr="007E1DBD">
        <w:rPr>
          <w:rFonts w:asciiTheme="minorHAnsi" w:hAnsiTheme="minorHAnsi"/>
          <w:sz w:val="22"/>
          <w:szCs w:val="22"/>
        </w:rPr>
        <w:t>I.1. Insight Policy Research Confidentiality Pledge</w:t>
      </w:r>
    </w:p>
    <w:p w14:paraId="044C00A0" w14:textId="7A6853F9" w:rsidR="00556CFF" w:rsidRDefault="00556CFF" w:rsidP="00F15303">
      <w:pPr>
        <w:pStyle w:val="TOCListText-IPR"/>
        <w:rPr>
          <w:rFonts w:asciiTheme="minorHAnsi" w:hAnsiTheme="minorHAnsi"/>
          <w:sz w:val="22"/>
          <w:szCs w:val="22"/>
        </w:rPr>
      </w:pPr>
      <w:r>
        <w:rPr>
          <w:rFonts w:asciiTheme="minorHAnsi" w:hAnsiTheme="minorHAnsi"/>
          <w:sz w:val="22"/>
          <w:szCs w:val="22"/>
        </w:rPr>
        <w:t xml:space="preserve">J.1. Comment to Federal Register Notice </w:t>
      </w:r>
    </w:p>
    <w:p w14:paraId="72C0AE59" w14:textId="525829A6" w:rsidR="00556CFF" w:rsidRPr="007E1DBD" w:rsidRDefault="00556CFF" w:rsidP="00F15303">
      <w:pPr>
        <w:pStyle w:val="TOCListText-IPR"/>
        <w:rPr>
          <w:rFonts w:asciiTheme="minorHAnsi" w:hAnsiTheme="minorHAnsi"/>
          <w:sz w:val="22"/>
          <w:szCs w:val="22"/>
        </w:rPr>
      </w:pPr>
      <w:r>
        <w:rPr>
          <w:rFonts w:asciiTheme="minorHAnsi" w:hAnsiTheme="minorHAnsi"/>
          <w:sz w:val="22"/>
          <w:szCs w:val="22"/>
        </w:rPr>
        <w:t>J.2</w:t>
      </w:r>
      <w:r w:rsidR="009B0FF7">
        <w:rPr>
          <w:rFonts w:asciiTheme="minorHAnsi" w:hAnsiTheme="minorHAnsi"/>
          <w:sz w:val="22"/>
          <w:szCs w:val="22"/>
        </w:rPr>
        <w:t xml:space="preserve">. </w:t>
      </w:r>
      <w:r>
        <w:rPr>
          <w:rFonts w:asciiTheme="minorHAnsi" w:hAnsiTheme="minorHAnsi"/>
          <w:sz w:val="22"/>
          <w:szCs w:val="22"/>
        </w:rPr>
        <w:t>FNS Response to Comment</w:t>
      </w:r>
    </w:p>
    <w:p w14:paraId="64ED7D52" w14:textId="0A935CB4" w:rsidR="00556CFF" w:rsidRDefault="00556CFF" w:rsidP="00A77B9B">
      <w:pPr>
        <w:pStyle w:val="TOCListText-IPR"/>
        <w:rPr>
          <w:rFonts w:asciiTheme="minorHAnsi" w:hAnsiTheme="minorHAnsi"/>
          <w:sz w:val="22"/>
          <w:szCs w:val="22"/>
        </w:rPr>
      </w:pPr>
      <w:r w:rsidRPr="007E1DBD">
        <w:rPr>
          <w:rFonts w:asciiTheme="minorHAnsi" w:hAnsiTheme="minorHAnsi"/>
          <w:sz w:val="22"/>
          <w:szCs w:val="22"/>
        </w:rPr>
        <w:t xml:space="preserve">K.1. National Agricultural Statistics Service Comments and Responses to Comments </w:t>
      </w:r>
    </w:p>
    <w:p w14:paraId="05EDAFB3" w14:textId="1B42B15B" w:rsidR="00556CFF" w:rsidRDefault="00556CFF" w:rsidP="00A77B9B">
      <w:pPr>
        <w:pStyle w:val="TOCListText-IPR"/>
        <w:rPr>
          <w:rFonts w:asciiTheme="minorHAnsi" w:hAnsiTheme="minorHAnsi"/>
          <w:sz w:val="22"/>
          <w:szCs w:val="22"/>
        </w:rPr>
      </w:pPr>
      <w:r w:rsidRPr="00A77B9B">
        <w:rPr>
          <w:rFonts w:asciiTheme="minorHAnsi" w:hAnsiTheme="minorHAnsi"/>
          <w:sz w:val="22"/>
          <w:szCs w:val="22"/>
        </w:rPr>
        <w:t xml:space="preserve">L.1. Pretest Methods and Summary of Findings  </w:t>
      </w:r>
    </w:p>
    <w:p w14:paraId="0A7A11A4" w14:textId="77777777" w:rsidR="00556CFF" w:rsidRPr="00A77B9B" w:rsidRDefault="00556CFF" w:rsidP="00A77B9B">
      <w:pPr>
        <w:pStyle w:val="TOCListText-IPR"/>
        <w:rPr>
          <w:rFonts w:asciiTheme="minorHAnsi" w:hAnsiTheme="minorHAnsi"/>
          <w:sz w:val="22"/>
          <w:szCs w:val="22"/>
        </w:rPr>
      </w:pPr>
      <w:r>
        <w:rPr>
          <w:rFonts w:asciiTheme="minorHAnsi" w:hAnsiTheme="minorHAnsi"/>
          <w:sz w:val="22"/>
          <w:szCs w:val="22"/>
        </w:rPr>
        <w:t>M.1. OMB Burden Table-EXCEL</w:t>
      </w:r>
    </w:p>
    <w:p w14:paraId="0803691E" w14:textId="77777777" w:rsidR="00556CFF" w:rsidRDefault="00556CFF"/>
    <w:p w14:paraId="4D6910E7" w14:textId="77777777" w:rsidR="00453955" w:rsidRDefault="00453955" w:rsidP="00B24845">
      <w:pPr>
        <w:pStyle w:val="TOCChapterPage-IPR"/>
        <w:spacing w:after="120"/>
        <w:rPr>
          <w:rFonts w:ascii="Candara" w:hAnsi="Candara"/>
          <w:caps w:val="0"/>
          <w:color w:val="B12732"/>
        </w:rPr>
      </w:pPr>
    </w:p>
    <w:p w14:paraId="068B1A56" w14:textId="7E9EF282" w:rsidR="00D672F3" w:rsidRPr="00B24845" w:rsidRDefault="00D672F3" w:rsidP="00B24845">
      <w:pPr>
        <w:pStyle w:val="TOCChapterPage-IPR"/>
        <w:spacing w:after="120"/>
        <w:rPr>
          <w:rFonts w:ascii="Candara" w:hAnsi="Candara"/>
          <w:caps w:val="0"/>
          <w:color w:val="B12732"/>
        </w:rPr>
      </w:pPr>
      <w:r w:rsidRPr="00B24845">
        <w:rPr>
          <w:rFonts w:ascii="Candara" w:hAnsi="Candara"/>
          <w:caps w:val="0"/>
          <w:color w:val="B12732"/>
        </w:rPr>
        <w:t>Table</w:t>
      </w:r>
      <w:r w:rsidR="00B24845">
        <w:rPr>
          <w:rFonts w:ascii="Candara" w:hAnsi="Candara"/>
          <w:caps w:val="0"/>
          <w:color w:val="B12732"/>
        </w:rPr>
        <w:t>s</w:t>
      </w:r>
    </w:p>
    <w:p w14:paraId="38059DC5" w14:textId="1D8B75E1" w:rsidR="00764F47" w:rsidRPr="00413B66" w:rsidRDefault="00B24845">
      <w:pPr>
        <w:pStyle w:val="TableofFigures"/>
        <w:tabs>
          <w:tab w:val="right" w:leader="dot" w:pos="9350"/>
        </w:tabs>
        <w:rPr>
          <w:rFonts w:eastAsiaTheme="minorEastAsia" w:cstheme="minorBidi"/>
          <w:smallCaps w:val="0"/>
          <w:noProof/>
          <w:sz w:val="22"/>
          <w:szCs w:val="22"/>
        </w:rPr>
      </w:pPr>
      <w:r w:rsidRPr="00D279D0">
        <w:rPr>
          <w:b/>
          <w:smallCaps w:val="0"/>
          <w:sz w:val="22"/>
          <w:szCs w:val="22"/>
        </w:rPr>
        <w:fldChar w:fldCharType="begin"/>
      </w:r>
      <w:r w:rsidRPr="009B0FF7">
        <w:rPr>
          <w:b/>
          <w:smallCaps w:val="0"/>
          <w:sz w:val="22"/>
          <w:szCs w:val="22"/>
        </w:rPr>
        <w:instrText xml:space="preserve"> TOC \h \z \t "TableTitle-IPR" \c </w:instrText>
      </w:r>
      <w:r w:rsidRPr="00D279D0">
        <w:rPr>
          <w:b/>
          <w:smallCaps w:val="0"/>
          <w:sz w:val="22"/>
          <w:szCs w:val="22"/>
        </w:rPr>
        <w:fldChar w:fldCharType="separate"/>
      </w:r>
      <w:hyperlink w:anchor="_Toc466024596" w:history="1">
        <w:r w:rsidR="00764F47" w:rsidRPr="00413B66">
          <w:rPr>
            <w:rStyle w:val="Hyperlink"/>
            <w:rFonts w:eastAsia="Calibri"/>
            <w:noProof/>
            <w:sz w:val="22"/>
            <w:szCs w:val="22"/>
          </w:rPr>
          <w:t>Table B.1.1. Estimated Universe and Sample Sizes for the Survey of WIC Participants</w:t>
        </w:r>
        <w:r w:rsidR="00764F47" w:rsidRPr="00413B66">
          <w:rPr>
            <w:noProof/>
            <w:webHidden/>
            <w:sz w:val="22"/>
            <w:szCs w:val="22"/>
          </w:rPr>
          <w:tab/>
        </w:r>
        <w:r w:rsidR="00764F47" w:rsidRPr="00026813">
          <w:rPr>
            <w:noProof/>
            <w:webHidden/>
            <w:sz w:val="22"/>
            <w:szCs w:val="22"/>
          </w:rPr>
          <w:fldChar w:fldCharType="begin"/>
        </w:r>
        <w:r w:rsidR="00764F47" w:rsidRPr="00413B66">
          <w:rPr>
            <w:noProof/>
            <w:webHidden/>
            <w:sz w:val="22"/>
            <w:szCs w:val="22"/>
          </w:rPr>
          <w:instrText xml:space="preserve"> PAGEREF _Toc466024596 \h </w:instrText>
        </w:r>
        <w:r w:rsidR="00764F47" w:rsidRPr="00026813">
          <w:rPr>
            <w:noProof/>
            <w:webHidden/>
            <w:sz w:val="22"/>
            <w:szCs w:val="22"/>
          </w:rPr>
        </w:r>
        <w:r w:rsidR="00764F47" w:rsidRPr="00026813">
          <w:rPr>
            <w:noProof/>
            <w:webHidden/>
            <w:sz w:val="22"/>
            <w:szCs w:val="22"/>
          </w:rPr>
          <w:fldChar w:fldCharType="separate"/>
        </w:r>
        <w:r w:rsidR="00413B66">
          <w:rPr>
            <w:noProof/>
            <w:webHidden/>
            <w:sz w:val="22"/>
            <w:szCs w:val="22"/>
          </w:rPr>
          <w:t>5</w:t>
        </w:r>
        <w:r w:rsidR="00764F47" w:rsidRPr="00026813">
          <w:rPr>
            <w:noProof/>
            <w:webHidden/>
            <w:sz w:val="22"/>
            <w:szCs w:val="22"/>
          </w:rPr>
          <w:fldChar w:fldCharType="end"/>
        </w:r>
      </w:hyperlink>
    </w:p>
    <w:p w14:paraId="4A826D33" w14:textId="0A35ED91" w:rsidR="00764F47" w:rsidRPr="00413B66" w:rsidRDefault="004A3029">
      <w:pPr>
        <w:pStyle w:val="TableofFigures"/>
        <w:tabs>
          <w:tab w:val="right" w:leader="dot" w:pos="9350"/>
        </w:tabs>
        <w:rPr>
          <w:rFonts w:eastAsiaTheme="minorEastAsia" w:cstheme="minorBidi"/>
          <w:smallCaps w:val="0"/>
          <w:noProof/>
          <w:sz w:val="22"/>
          <w:szCs w:val="22"/>
        </w:rPr>
      </w:pPr>
      <w:hyperlink w:anchor="_Toc466024597" w:history="1">
        <w:r w:rsidR="00764F47" w:rsidRPr="00413B66">
          <w:rPr>
            <w:rStyle w:val="Hyperlink"/>
            <w:rFonts w:eastAsia="Calibri"/>
            <w:noProof/>
            <w:sz w:val="22"/>
            <w:szCs w:val="22"/>
          </w:rPr>
          <w:t>Table B.1.2. Expected Response Rates</w:t>
        </w:r>
        <w:r w:rsidR="00764F47" w:rsidRPr="00413B66">
          <w:rPr>
            <w:noProof/>
            <w:webHidden/>
            <w:sz w:val="22"/>
            <w:szCs w:val="22"/>
          </w:rPr>
          <w:tab/>
        </w:r>
        <w:r w:rsidR="00764F47" w:rsidRPr="00026813">
          <w:rPr>
            <w:noProof/>
            <w:webHidden/>
            <w:sz w:val="22"/>
            <w:szCs w:val="22"/>
          </w:rPr>
          <w:fldChar w:fldCharType="begin"/>
        </w:r>
        <w:r w:rsidR="00764F47" w:rsidRPr="00413B66">
          <w:rPr>
            <w:noProof/>
            <w:webHidden/>
            <w:sz w:val="22"/>
            <w:szCs w:val="22"/>
          </w:rPr>
          <w:instrText xml:space="preserve"> PAGEREF _Toc466024597 \h </w:instrText>
        </w:r>
        <w:r w:rsidR="00764F47" w:rsidRPr="00026813">
          <w:rPr>
            <w:noProof/>
            <w:webHidden/>
            <w:sz w:val="22"/>
            <w:szCs w:val="22"/>
          </w:rPr>
        </w:r>
        <w:r w:rsidR="00764F47" w:rsidRPr="00026813">
          <w:rPr>
            <w:noProof/>
            <w:webHidden/>
            <w:sz w:val="22"/>
            <w:szCs w:val="22"/>
          </w:rPr>
          <w:fldChar w:fldCharType="separate"/>
        </w:r>
        <w:r w:rsidR="00413B66">
          <w:rPr>
            <w:noProof/>
            <w:webHidden/>
            <w:sz w:val="22"/>
            <w:szCs w:val="22"/>
          </w:rPr>
          <w:t>6</w:t>
        </w:r>
        <w:r w:rsidR="00764F47" w:rsidRPr="00026813">
          <w:rPr>
            <w:noProof/>
            <w:webHidden/>
            <w:sz w:val="22"/>
            <w:szCs w:val="22"/>
          </w:rPr>
          <w:fldChar w:fldCharType="end"/>
        </w:r>
      </w:hyperlink>
    </w:p>
    <w:p w14:paraId="08A4272E" w14:textId="51E78953" w:rsidR="00764F47" w:rsidRPr="009B0FF7" w:rsidRDefault="004A3029">
      <w:pPr>
        <w:pStyle w:val="TableofFigures"/>
        <w:tabs>
          <w:tab w:val="right" w:leader="dot" w:pos="9350"/>
        </w:tabs>
        <w:rPr>
          <w:rFonts w:eastAsiaTheme="minorEastAsia" w:cstheme="minorBidi"/>
          <w:smallCaps w:val="0"/>
          <w:noProof/>
          <w:sz w:val="22"/>
          <w:szCs w:val="22"/>
        </w:rPr>
      </w:pPr>
      <w:hyperlink w:anchor="_Toc466024598" w:history="1">
        <w:r w:rsidR="00764F47" w:rsidRPr="00413B66">
          <w:rPr>
            <w:rStyle w:val="Hyperlink"/>
            <w:rFonts w:eastAsia="Calibri"/>
            <w:noProof/>
            <w:sz w:val="22"/>
            <w:szCs w:val="22"/>
          </w:rPr>
          <w:t>Table B.5.1. Individuals Responsible for Statistical Aspects and Data Collection and Analysis</w:t>
        </w:r>
        <w:r w:rsidR="00764F47" w:rsidRPr="00413B66">
          <w:rPr>
            <w:noProof/>
            <w:webHidden/>
            <w:sz w:val="22"/>
            <w:szCs w:val="22"/>
          </w:rPr>
          <w:tab/>
        </w:r>
        <w:r w:rsidR="00764F47" w:rsidRPr="00026813">
          <w:rPr>
            <w:noProof/>
            <w:webHidden/>
            <w:sz w:val="22"/>
            <w:szCs w:val="22"/>
          </w:rPr>
          <w:fldChar w:fldCharType="begin"/>
        </w:r>
        <w:r w:rsidR="00764F47" w:rsidRPr="00413B66">
          <w:rPr>
            <w:noProof/>
            <w:webHidden/>
            <w:sz w:val="22"/>
            <w:szCs w:val="22"/>
          </w:rPr>
          <w:instrText xml:space="preserve"> PAGEREF _Toc466024598 \h </w:instrText>
        </w:r>
        <w:r w:rsidR="00764F47" w:rsidRPr="00026813">
          <w:rPr>
            <w:noProof/>
            <w:webHidden/>
            <w:sz w:val="22"/>
            <w:szCs w:val="22"/>
          </w:rPr>
        </w:r>
        <w:r w:rsidR="00764F47" w:rsidRPr="00026813">
          <w:rPr>
            <w:noProof/>
            <w:webHidden/>
            <w:sz w:val="22"/>
            <w:szCs w:val="22"/>
          </w:rPr>
          <w:fldChar w:fldCharType="separate"/>
        </w:r>
        <w:r w:rsidR="00413B66">
          <w:rPr>
            <w:noProof/>
            <w:webHidden/>
            <w:sz w:val="22"/>
            <w:szCs w:val="22"/>
          </w:rPr>
          <w:t>13</w:t>
        </w:r>
        <w:r w:rsidR="00764F47" w:rsidRPr="00026813">
          <w:rPr>
            <w:noProof/>
            <w:webHidden/>
            <w:sz w:val="22"/>
            <w:szCs w:val="22"/>
          </w:rPr>
          <w:fldChar w:fldCharType="end"/>
        </w:r>
      </w:hyperlink>
    </w:p>
    <w:p w14:paraId="76658E5E" w14:textId="3C326087" w:rsidR="006B16D4" w:rsidRDefault="00B24845" w:rsidP="000D64A5">
      <w:pPr>
        <w:pStyle w:val="TOCListText-IPR"/>
        <w:rPr>
          <w:b/>
        </w:rPr>
      </w:pPr>
      <w:r w:rsidRPr="00D279D0">
        <w:rPr>
          <w:rFonts w:asciiTheme="minorHAnsi" w:hAnsiTheme="minorHAnsi"/>
          <w:b/>
          <w:sz w:val="22"/>
          <w:szCs w:val="22"/>
        </w:rPr>
        <w:fldChar w:fldCharType="end"/>
      </w:r>
    </w:p>
    <w:p w14:paraId="64CDEDD7" w14:textId="77777777" w:rsidR="00CB0F1D" w:rsidRDefault="00CB0F1D" w:rsidP="00CB0F1D">
      <w:pPr>
        <w:pStyle w:val="TOCListText-IPR"/>
        <w:ind w:left="0" w:firstLine="0"/>
        <w:rPr>
          <w:b/>
        </w:rPr>
      </w:pPr>
    </w:p>
    <w:p w14:paraId="4B2A36EF" w14:textId="77777777" w:rsidR="00CB0F1D" w:rsidRPr="00EB41EC" w:rsidRDefault="00CB0F1D" w:rsidP="00CB0F1D">
      <w:pPr>
        <w:pStyle w:val="TOCListText-IPR"/>
        <w:ind w:left="0" w:firstLine="0"/>
        <w:sectPr w:rsidR="00CB0F1D" w:rsidRPr="00EB41EC" w:rsidSect="00CB01E8">
          <w:headerReference w:type="default" r:id="rId10"/>
          <w:footerReference w:type="default" r:id="rId11"/>
          <w:pgSz w:w="12240" w:h="15840" w:code="1"/>
          <w:pgMar w:top="1440" w:right="1440" w:bottom="1440" w:left="1440" w:header="720" w:footer="720" w:gutter="0"/>
          <w:cols w:space="720"/>
          <w:docGrid w:linePitch="360"/>
        </w:sectPr>
      </w:pPr>
    </w:p>
    <w:p w14:paraId="0ABDD39D" w14:textId="1F927437" w:rsidR="00752810" w:rsidRPr="00D672F3" w:rsidRDefault="00500C20" w:rsidP="00742BA3">
      <w:pPr>
        <w:pStyle w:val="NewHeading1"/>
        <w:rPr>
          <w:caps/>
          <w:sz w:val="32"/>
        </w:rPr>
      </w:pPr>
      <w:bookmarkStart w:id="2" w:name="_Toc405791584"/>
      <w:bookmarkStart w:id="3" w:name="_Toc430003422"/>
      <w:r w:rsidRPr="00D672F3">
        <w:rPr>
          <w:sz w:val="32"/>
        </w:rPr>
        <w:t>P</w:t>
      </w:r>
      <w:r w:rsidR="005B230E" w:rsidRPr="00D672F3">
        <w:rPr>
          <w:sz w:val="32"/>
        </w:rPr>
        <w:t>art</w:t>
      </w:r>
      <w:r w:rsidRPr="00D672F3">
        <w:rPr>
          <w:sz w:val="32"/>
        </w:rPr>
        <w:t xml:space="preserve"> B:</w:t>
      </w:r>
      <w:bookmarkEnd w:id="2"/>
      <w:r w:rsidRPr="00D672F3">
        <w:rPr>
          <w:sz w:val="32"/>
        </w:rPr>
        <w:t xml:space="preserve"> Collection of </w:t>
      </w:r>
      <w:r w:rsidR="005B230E" w:rsidRPr="00D672F3">
        <w:rPr>
          <w:sz w:val="32"/>
        </w:rPr>
        <w:t>I</w:t>
      </w:r>
      <w:r w:rsidRPr="00D672F3">
        <w:rPr>
          <w:sz w:val="32"/>
        </w:rPr>
        <w:t>nformation Employing Statistical Methods</w:t>
      </w:r>
      <w:bookmarkEnd w:id="3"/>
    </w:p>
    <w:p w14:paraId="2F6BE449" w14:textId="01E6D7F3" w:rsidR="001776C5" w:rsidRPr="00CC5E63" w:rsidRDefault="00500C20" w:rsidP="00D672F3">
      <w:pPr>
        <w:pStyle w:val="NewHeading2"/>
      </w:pPr>
      <w:bookmarkStart w:id="4" w:name="_Toc430003423"/>
      <w:r w:rsidRPr="00CC5E63">
        <w:t>Respondent Universe and Selection Methods</w:t>
      </w:r>
      <w:bookmarkEnd w:id="4"/>
    </w:p>
    <w:p w14:paraId="0B8EE35C" w14:textId="0324A569" w:rsidR="00500C20" w:rsidRPr="00742BA3" w:rsidRDefault="00500C20" w:rsidP="00742BA3">
      <w:pPr>
        <w:pStyle w:val="Instructions"/>
      </w:pPr>
      <w:r w:rsidRPr="00742BA3">
        <w:t>Describe (including a numerical estimate) the potential respondent universe and any sampling or other respondent selection method to be used</w:t>
      </w:r>
      <w:r w:rsidR="00AC0A3D" w:rsidRPr="00742BA3">
        <w:t xml:space="preserve">. </w:t>
      </w:r>
      <w:r w:rsidRPr="00742BA3">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AC0A3D" w:rsidRPr="00742BA3">
        <w:t xml:space="preserve">. </w:t>
      </w:r>
      <w:r w:rsidRPr="00742BA3">
        <w:t>Indicate expected response rates for the collection as a whole.</w:t>
      </w:r>
      <w:r w:rsidR="005B230E" w:rsidRPr="00742BA3">
        <w:t xml:space="preserve"> </w:t>
      </w:r>
      <w:r w:rsidRPr="00742BA3">
        <w:t>If the collection had been conducted previously, include the actual response rate achieved during the last collection.</w:t>
      </w:r>
    </w:p>
    <w:p w14:paraId="11B51211" w14:textId="417048E2" w:rsidR="00447DCC" w:rsidRDefault="005D1888" w:rsidP="00201BE0">
      <w:pPr>
        <w:pStyle w:val="Body12ptCalibri-IPR"/>
        <w:spacing w:line="480" w:lineRule="auto"/>
      </w:pPr>
      <w:r>
        <w:t>This study has four components: (1) a Survey of WIC Participants, (2) a Survey of Former WIC Participants, (3) analysis of administrative data, and (4) in-depth, semi</w:t>
      </w:r>
      <w:r w:rsidR="00026813">
        <w:t>-</w:t>
      </w:r>
      <w:r>
        <w:t xml:space="preserve">structured </w:t>
      </w:r>
      <w:r w:rsidR="00B94E27">
        <w:t xml:space="preserve">qualitative </w:t>
      </w:r>
      <w:r>
        <w:t xml:space="preserve">interviews with WIC State agency </w:t>
      </w:r>
      <w:r w:rsidR="000E6934">
        <w:t xml:space="preserve">(SA) </w:t>
      </w:r>
      <w:r w:rsidR="00A2649E">
        <w:t>directors</w:t>
      </w:r>
      <w:r>
        <w:t>.</w:t>
      </w:r>
      <w:r w:rsidR="00161FD9">
        <w:t xml:space="preserve"> We </w:t>
      </w:r>
      <w:r w:rsidR="00447DCC">
        <w:t>plan to collect</w:t>
      </w:r>
      <w:r w:rsidR="00DE3C1D">
        <w:t xml:space="preserve"> administrative data from </w:t>
      </w:r>
      <w:r w:rsidR="00161FD9">
        <w:t>12 States that have implemented EBT for WIC statewide</w:t>
      </w:r>
      <w:r w:rsidR="00DE3C1D">
        <w:t xml:space="preserve">. See </w:t>
      </w:r>
      <w:r w:rsidR="005513AC">
        <w:t>A</w:t>
      </w:r>
      <w:r w:rsidR="00DE3C1D">
        <w:t xml:space="preserve">ppendix D.1 for additional information on the certification information being requested on current WIC participants, </w:t>
      </w:r>
      <w:r w:rsidR="005513AC">
        <w:t>A</w:t>
      </w:r>
      <w:r w:rsidR="00DE3C1D">
        <w:t>ppendix E.1 for additional information on the certification information being requested</w:t>
      </w:r>
      <w:r w:rsidR="00447DCC">
        <w:t xml:space="preserve"> on former WIC participants,</w:t>
      </w:r>
      <w:r w:rsidR="00DE3C1D">
        <w:t xml:space="preserve"> </w:t>
      </w:r>
      <w:r w:rsidR="005513AC">
        <w:t>A</w:t>
      </w:r>
      <w:r w:rsidR="00DE3C1D">
        <w:t>ppendix F.1 for additional information on the EBT issuance and redemption information being requested</w:t>
      </w:r>
      <w:r w:rsidR="00447DCC">
        <w:t xml:space="preserve">, and </w:t>
      </w:r>
      <w:r w:rsidR="005513AC">
        <w:t>A</w:t>
      </w:r>
      <w:r w:rsidR="00447DCC">
        <w:t>ppendix C.1 for additional information on the administrative cost information being collected</w:t>
      </w:r>
      <w:r w:rsidR="00DE3C1D">
        <w:t>.</w:t>
      </w:r>
      <w:r w:rsidR="00447DCC">
        <w:t xml:space="preserve"> </w:t>
      </w:r>
      <w:r w:rsidR="00AD42A7">
        <w:t>The in-depth, semi</w:t>
      </w:r>
      <w:r w:rsidR="00026813">
        <w:t>-</w:t>
      </w:r>
      <w:r w:rsidR="00AD42A7">
        <w:t xml:space="preserve">structured interviews will be conducted with </w:t>
      </w:r>
      <w:r w:rsidR="00E10520">
        <w:t>WIC SA directors in all 50 States</w:t>
      </w:r>
      <w:r w:rsidR="00B814B5">
        <w:t xml:space="preserve">, </w:t>
      </w:r>
      <w:r w:rsidR="000E6934">
        <w:t>the District of Columbia</w:t>
      </w:r>
      <w:r w:rsidR="00B814B5">
        <w:t xml:space="preserve">, the 5 territories, and </w:t>
      </w:r>
      <w:r w:rsidR="00E10520">
        <w:t>14 ITOs</w:t>
      </w:r>
      <w:r w:rsidR="00B814B5">
        <w:t>.</w:t>
      </w:r>
      <w:r w:rsidR="00E10520">
        <w:t xml:space="preserve"> </w:t>
      </w:r>
      <w:r w:rsidR="00AD42A7">
        <w:t xml:space="preserve"> These </w:t>
      </w:r>
      <w:r w:rsidR="00D35817">
        <w:t xml:space="preserve">qualitative </w:t>
      </w:r>
      <w:r w:rsidR="00AD42A7">
        <w:t xml:space="preserve">interviews will be conducted by phone and will cover the reasons State agencies select some cost containment practices and not others (see Appendix A.4 for the protocol). </w:t>
      </w:r>
      <w:r w:rsidR="00A13C73">
        <w:t>S</w:t>
      </w:r>
      <w:r w:rsidR="000E6934">
        <w:t xml:space="preserve">tatistical procedures will be used </w:t>
      </w:r>
      <w:r w:rsidR="00A13C73">
        <w:t>to select the ITOs that will</w:t>
      </w:r>
      <w:r w:rsidR="00026813">
        <w:t xml:space="preserve"> be contacted to participate in</w:t>
      </w:r>
      <w:r w:rsidR="00046A23">
        <w:t xml:space="preserve"> </w:t>
      </w:r>
      <w:r w:rsidR="00B814B5">
        <w:t>qualitative interviews</w:t>
      </w:r>
      <w:r w:rsidR="00A13C73">
        <w:t>; however, the findings from these interviews will not be generalizable to all WIC SAs, given the complexity and type of data collected</w:t>
      </w:r>
      <w:r w:rsidR="00B814B5">
        <w:t xml:space="preserve">. </w:t>
      </w:r>
      <w:r w:rsidR="00E10520" w:rsidRPr="00E10520">
        <w:t xml:space="preserve"> </w:t>
      </w:r>
    </w:p>
    <w:p w14:paraId="5B4BECC0" w14:textId="57587636" w:rsidR="004A18B4" w:rsidRDefault="00D87A5D" w:rsidP="00201BE0">
      <w:pPr>
        <w:pStyle w:val="Body12ptCalibri-IPR"/>
        <w:spacing w:line="480" w:lineRule="auto"/>
      </w:pPr>
      <w:r>
        <w:t>T</w:t>
      </w:r>
      <w:r w:rsidR="00447DCC">
        <w:t>he remainder of t</w:t>
      </w:r>
      <w:r>
        <w:t xml:space="preserve">his section </w:t>
      </w:r>
      <w:r w:rsidR="00DA6164">
        <w:t xml:space="preserve">primarily </w:t>
      </w:r>
      <w:r>
        <w:t xml:space="preserve">documents the statistical procedures to be used for the Survey of </w:t>
      </w:r>
      <w:r w:rsidR="00F616C5">
        <w:t xml:space="preserve">WIC </w:t>
      </w:r>
      <w:r>
        <w:t xml:space="preserve">Participants and the Survey of Former </w:t>
      </w:r>
      <w:r w:rsidR="00F616C5">
        <w:t xml:space="preserve">WIC </w:t>
      </w:r>
      <w:r>
        <w:t>Participants</w:t>
      </w:r>
      <w:r w:rsidR="00322660">
        <w:t xml:space="preserve">, the components of the study that require statistical sampling </w:t>
      </w:r>
      <w:r w:rsidR="00A13C73">
        <w:t xml:space="preserve">and analysis </w:t>
      </w:r>
      <w:r w:rsidR="00322660">
        <w:t>procedures</w:t>
      </w:r>
      <w:r>
        <w:t xml:space="preserve">. </w:t>
      </w:r>
      <w:r w:rsidR="004A18B4">
        <w:t xml:space="preserve">These surveys will be used to assess the </w:t>
      </w:r>
      <w:r w:rsidR="007B1199">
        <w:t xml:space="preserve">relationships between </w:t>
      </w:r>
      <w:r w:rsidR="004A18B4">
        <w:t>certain</w:t>
      </w:r>
      <w:r w:rsidR="00084255">
        <w:t xml:space="preserve"> WIC State agency (SA) cost</w:t>
      </w:r>
      <w:r w:rsidR="00F834D5">
        <w:t>-</w:t>
      </w:r>
      <w:r w:rsidR="00084255">
        <w:t>containment</w:t>
      </w:r>
      <w:r w:rsidR="004A18B4">
        <w:t xml:space="preserve"> practices </w:t>
      </w:r>
      <w:r w:rsidR="007B1199">
        <w:t>and</w:t>
      </w:r>
      <w:r w:rsidR="004A18B4">
        <w:t xml:space="preserve"> </w:t>
      </w:r>
      <w:r w:rsidR="00084255">
        <w:t>outcomes</w:t>
      </w:r>
      <w:r w:rsidR="00F834D5">
        <w:t>,</w:t>
      </w:r>
      <w:r w:rsidR="00084255">
        <w:t xml:space="preserve"> such as </w:t>
      </w:r>
      <w:r w:rsidR="004A18B4">
        <w:t>participa</w:t>
      </w:r>
      <w:r w:rsidR="007B1199">
        <w:t>nt satisfaction with WIC foods, the availability of appropriate foods for participants with special diets, and continued participation in WIC.</w:t>
      </w:r>
      <w:r w:rsidR="009A0250">
        <w:t xml:space="preserve"> </w:t>
      </w:r>
    </w:p>
    <w:p w14:paraId="43C75F6E" w14:textId="1CFFB149" w:rsidR="00F616C5" w:rsidRDefault="00D87A5D" w:rsidP="00201BE0">
      <w:pPr>
        <w:pStyle w:val="Body12ptCalibri-IPR"/>
        <w:spacing w:line="480" w:lineRule="auto"/>
      </w:pPr>
      <w:r>
        <w:t xml:space="preserve">These surveys will be based on a randomly selected sample of </w:t>
      </w:r>
      <w:r w:rsidR="00D87E4E">
        <w:t>individuals</w:t>
      </w:r>
      <w:r>
        <w:t xml:space="preserve"> who currently participate or recently participated in WIC</w:t>
      </w:r>
      <w:r w:rsidR="00F616C5">
        <w:t xml:space="preserve"> in </w:t>
      </w:r>
      <w:r w:rsidR="00D87E4E">
        <w:t xml:space="preserve">12 </w:t>
      </w:r>
      <w:r w:rsidR="00F616C5">
        <w:t>States</w:t>
      </w:r>
      <w:r w:rsidR="00C70ACA">
        <w:t xml:space="preserve"> that use electronic balance transfer (EBT)</w:t>
      </w:r>
      <w:r>
        <w:t xml:space="preserve">. </w:t>
      </w:r>
      <w:r w:rsidR="00F616C5">
        <w:t>The sampling plan is probability</w:t>
      </w:r>
      <w:r w:rsidR="00F834D5">
        <w:t xml:space="preserve"> </w:t>
      </w:r>
      <w:r w:rsidR="00F616C5">
        <w:t>based</w:t>
      </w:r>
      <w:r w:rsidR="004F137A">
        <w:t>,</w:t>
      </w:r>
      <w:r w:rsidR="00F616C5">
        <w:t xml:space="preserve"> so study findings can be used to make statistically defensible inferences about the entire populations of WIC participants or former WIC participants in the States from which the samples are drawn. The respondent universes and selection methods for the two surveys are described separately below.</w:t>
      </w:r>
    </w:p>
    <w:p w14:paraId="3AAE8BD4" w14:textId="03971EDA" w:rsidR="00F21A80" w:rsidRPr="00D87E4E" w:rsidRDefault="00F616C5" w:rsidP="00F21A80">
      <w:pPr>
        <w:pStyle w:val="Body12ptCalibri-IPR"/>
        <w:spacing w:line="480" w:lineRule="auto"/>
        <w:rPr>
          <w:b/>
        </w:rPr>
      </w:pPr>
      <w:r w:rsidRPr="00F616C5">
        <w:rPr>
          <w:b/>
        </w:rPr>
        <w:t>Survey of WIC Participants</w:t>
      </w:r>
      <w:r w:rsidR="00D87E4E">
        <w:rPr>
          <w:b/>
        </w:rPr>
        <w:t xml:space="preserve">. </w:t>
      </w:r>
      <w:r>
        <w:t xml:space="preserve">The Survey of WIC Participants will be conducted in the 12 States that have implemented EBT statewide as of the beginning of </w:t>
      </w:r>
      <w:r w:rsidR="00F834D5">
        <w:t>fiscal year (</w:t>
      </w:r>
      <w:r>
        <w:t>FY</w:t>
      </w:r>
      <w:r w:rsidR="00F834D5">
        <w:t>)</w:t>
      </w:r>
      <w:r>
        <w:t xml:space="preserve"> 2016: Florida, Kentucky, Massachusetts, Michigan, Nevada, New Mexico, Ohio, Texas, </w:t>
      </w:r>
      <w:r w:rsidR="008F3E74">
        <w:t>Virginia, West Virginia, Wisconsin, and Wyoming</w:t>
      </w:r>
      <w:r>
        <w:t xml:space="preserve">. </w:t>
      </w:r>
      <w:r w:rsidR="00D87A5D">
        <w:t xml:space="preserve">Current participants will be selected from a list of </w:t>
      </w:r>
      <w:r w:rsidR="008F3E74">
        <w:t xml:space="preserve">all </w:t>
      </w:r>
      <w:r w:rsidR="00D87A5D">
        <w:t>WIC participants</w:t>
      </w:r>
      <w:r w:rsidR="008F3E74">
        <w:t xml:space="preserve"> in those States</w:t>
      </w:r>
      <w:r w:rsidR="00D87A5D">
        <w:t xml:space="preserve"> with an active certification as of February 1, 2017. </w:t>
      </w:r>
      <w:r w:rsidR="00F21A80">
        <w:t>These lists will be provided by the WIC S</w:t>
      </w:r>
      <w:r w:rsidR="00F834D5">
        <w:t>A</w:t>
      </w:r>
      <w:r w:rsidR="00F21A80">
        <w:t xml:space="preserve"> in each State. </w:t>
      </w:r>
    </w:p>
    <w:p w14:paraId="51A170E1" w14:textId="34F9E6F7" w:rsidR="00F21A80" w:rsidRDefault="00F21A80" w:rsidP="00F21A80">
      <w:pPr>
        <w:pStyle w:val="Body12ptCalibri-IPR"/>
        <w:spacing w:line="480" w:lineRule="auto"/>
      </w:pPr>
      <w:r>
        <w:t>The study team will request the participant name, parent/guardian name</w:t>
      </w:r>
      <w:r w:rsidR="00B30C17">
        <w:t xml:space="preserve"> (if appropriate)</w:t>
      </w:r>
      <w:r>
        <w:t xml:space="preserve">, contact information, WIC participant ID, </w:t>
      </w:r>
      <w:r w:rsidR="007B1199">
        <w:t>household</w:t>
      </w:r>
      <w:r>
        <w:t xml:space="preserve"> ID (linking multiple participants in a </w:t>
      </w:r>
      <w:r w:rsidR="007B1199">
        <w:t>household</w:t>
      </w:r>
      <w:r>
        <w:t xml:space="preserve">), </w:t>
      </w:r>
      <w:r w:rsidR="00D65C58">
        <w:t>and</w:t>
      </w:r>
      <w:r>
        <w:t xml:space="preserve"> certain demographic, economic, and nutrition characteristics for all participants</w:t>
      </w:r>
      <w:r w:rsidR="00064E28">
        <w:t xml:space="preserve"> (see </w:t>
      </w:r>
      <w:r w:rsidR="005513AC">
        <w:t>A</w:t>
      </w:r>
      <w:r w:rsidR="00064E28">
        <w:t>ppendix D.1 for a complete list of variables)</w:t>
      </w:r>
      <w:r>
        <w:t xml:space="preserve">. After compiling these participant-level lists, the </w:t>
      </w:r>
      <w:r w:rsidR="007B1199">
        <w:t xml:space="preserve">team will </w:t>
      </w:r>
      <w:r w:rsidR="00213790">
        <w:t xml:space="preserve">collapse the records into a file of </w:t>
      </w:r>
      <w:r w:rsidR="007B1199">
        <w:t>unique household</w:t>
      </w:r>
      <w:r>
        <w:t xml:space="preserve"> units. </w:t>
      </w:r>
      <w:r w:rsidR="007B1199">
        <w:t>Household</w:t>
      </w:r>
      <w:r>
        <w:t xml:space="preserve"> units in which the only WIC participants are infants who receive only formula</w:t>
      </w:r>
      <w:r w:rsidR="00672604">
        <w:rPr>
          <w:rStyle w:val="FootnoteReference"/>
        </w:rPr>
        <w:footnoteReference w:id="2"/>
      </w:r>
      <w:r>
        <w:t xml:space="preserve"> or no food package at all will be removed from the sample</w:t>
      </w:r>
      <w:r w:rsidR="007B17D9">
        <w:t>, as will households in which all WIC participants receive a medical food package</w:t>
      </w:r>
      <w:r>
        <w:t>.</w:t>
      </w:r>
      <w:r w:rsidR="00C9372A">
        <w:t xml:space="preserve"> Similarly, households in which the head of household is younger than 18 will be removed from the sample.</w:t>
      </w:r>
      <w:r>
        <w:t xml:space="preserve"> </w:t>
      </w:r>
      <w:r w:rsidR="00A40CB8">
        <w:t xml:space="preserve">A few screening questions included at the beginning of the survey will ensure </w:t>
      </w:r>
      <w:r w:rsidR="00064E28">
        <w:t>that</w:t>
      </w:r>
      <w:r w:rsidR="00A40CB8">
        <w:t xml:space="preserve"> households </w:t>
      </w:r>
      <w:r w:rsidR="00064E28">
        <w:t>that meet these criteria but were not identified in the data fi</w:t>
      </w:r>
      <w:r w:rsidR="005513AC">
        <w:t>l</w:t>
      </w:r>
      <w:r w:rsidR="00064E28">
        <w:t xml:space="preserve">e </w:t>
      </w:r>
      <w:r w:rsidR="00A40CB8">
        <w:t>are not included in the survey.</w:t>
      </w:r>
    </w:p>
    <w:p w14:paraId="2E20BEAE" w14:textId="5191C4A9" w:rsidR="002F43F7" w:rsidRDefault="0082184B" w:rsidP="00862855">
      <w:pPr>
        <w:pStyle w:val="Body12ptCalibri-IPR"/>
        <w:spacing w:line="480" w:lineRule="auto"/>
      </w:pPr>
      <w:r>
        <w:t>Overall, t</w:t>
      </w:r>
      <w:r w:rsidR="00F21A80">
        <w:t xml:space="preserve">he study team will </w:t>
      </w:r>
      <w:r>
        <w:t xml:space="preserve">interview </w:t>
      </w:r>
      <w:r w:rsidR="005B102C">
        <w:t xml:space="preserve">250 WIC </w:t>
      </w:r>
      <w:r>
        <w:t>respondents</w:t>
      </w:r>
      <w:r w:rsidR="006C49B7">
        <w:t xml:space="preserve"> in each of the 12 States</w:t>
      </w:r>
      <w:r>
        <w:t xml:space="preserve"> (a total of 3,000 respondents)</w:t>
      </w:r>
      <w:r w:rsidR="006C49B7">
        <w:t>. Cost</w:t>
      </w:r>
      <w:r w:rsidR="00D65C58">
        <w:t>-</w:t>
      </w:r>
      <w:r w:rsidR="006C49B7">
        <w:t xml:space="preserve">containment practices are determined at the State level, so </w:t>
      </w:r>
      <w:r w:rsidR="002F43F7">
        <w:t xml:space="preserve">obtaining </w:t>
      </w:r>
      <w:r w:rsidR="006C49B7">
        <w:t>250 respondents per State will ensure sufficient statistical power to analy</w:t>
      </w:r>
      <w:r w:rsidR="00D66339">
        <w:t>z</w:t>
      </w:r>
      <w:r w:rsidR="006C49B7">
        <w:t>e</w:t>
      </w:r>
      <w:r w:rsidR="008F00DA">
        <w:t xml:space="preserve"> study outcomes</w:t>
      </w:r>
      <w:r w:rsidR="00E8139E">
        <w:t xml:space="preserve"> w</w:t>
      </w:r>
      <w:r>
        <w:t xml:space="preserve">ithin </w:t>
      </w:r>
      <w:r w:rsidR="002F43F7">
        <w:t>each of the</w:t>
      </w:r>
      <w:r>
        <w:t xml:space="preserve"> </w:t>
      </w:r>
      <w:r w:rsidR="00E8139E">
        <w:t>States</w:t>
      </w:r>
      <w:r w:rsidR="006C49B7">
        <w:t xml:space="preserve">. </w:t>
      </w:r>
      <w:r w:rsidR="002F43F7">
        <w:t xml:space="preserve">Within </w:t>
      </w:r>
      <w:r w:rsidR="005237A6">
        <w:t xml:space="preserve">the </w:t>
      </w:r>
      <w:r w:rsidR="002F43F7">
        <w:t xml:space="preserve">State, estimates of percentages (such as the percentage of WIC participants satisfied with </w:t>
      </w:r>
      <w:r w:rsidR="00E908EB">
        <w:t>the available choices for</w:t>
      </w:r>
      <w:r w:rsidR="002F43F7">
        <w:t xml:space="preserve"> a particular food) will have 95 percent, two-tailed confidence intervals of at most 6.2 percent</w:t>
      </w:r>
      <w:r w:rsidR="00D65C58">
        <w:t>age</w:t>
      </w:r>
      <w:r w:rsidR="002F43F7">
        <w:t xml:space="preserve"> points. </w:t>
      </w:r>
    </w:p>
    <w:p w14:paraId="1BE6A0C6" w14:textId="12986471" w:rsidR="00862855" w:rsidRDefault="002F43F7" w:rsidP="00862855">
      <w:pPr>
        <w:pStyle w:val="Body12ptCalibri-IPR"/>
        <w:spacing w:line="480" w:lineRule="auto"/>
      </w:pPr>
      <w:r>
        <w:t>To examine the effects of a given cost</w:t>
      </w:r>
      <w:r w:rsidR="00D65C58">
        <w:t>-</w:t>
      </w:r>
      <w:r>
        <w:t xml:space="preserve">containment practice across States, States with the same practice will be combined for analysis. </w:t>
      </w:r>
      <w:r w:rsidR="00862855">
        <w:t xml:space="preserve">Since at least two </w:t>
      </w:r>
      <w:r w:rsidR="00D65C58">
        <w:t>S</w:t>
      </w:r>
      <w:r w:rsidR="00862855">
        <w:t xml:space="preserve">tates have </w:t>
      </w:r>
      <w:r w:rsidR="00B30C17">
        <w:t xml:space="preserve">each </w:t>
      </w:r>
      <w:r w:rsidR="00862855">
        <w:t>given cost</w:t>
      </w:r>
      <w:r w:rsidR="00D65C58">
        <w:t>-</w:t>
      </w:r>
      <w:r w:rsidR="00862855">
        <w:t>containment practice</w:t>
      </w:r>
      <w:r w:rsidR="00B30C17">
        <w:t xml:space="preserve"> in this study</w:t>
      </w:r>
      <w:r w:rsidR="00862855">
        <w:t>, within a given cost-containment practice, estimates of percentages (such as the percentage of WIC participants satisfied with the</w:t>
      </w:r>
      <w:r w:rsidR="00C763C9">
        <w:t xml:space="preserve"> available choices for</w:t>
      </w:r>
      <w:r w:rsidR="00862855">
        <w:t xml:space="preserve"> a particular food) will have 95 percent, two-tailed confidence intervals of at most 4.4 percent</w:t>
      </w:r>
      <w:r w:rsidR="00D65C58">
        <w:t>age</w:t>
      </w:r>
      <w:r w:rsidR="00862855">
        <w:t xml:space="preserve"> points. </w:t>
      </w:r>
    </w:p>
    <w:p w14:paraId="0B86D795" w14:textId="25379012" w:rsidR="005B102C" w:rsidRDefault="00A27EC1" w:rsidP="00F21A80">
      <w:pPr>
        <w:pStyle w:val="Body12ptCalibri-IPR"/>
        <w:spacing w:line="480" w:lineRule="auto"/>
      </w:pPr>
      <w:r>
        <w:t>We expect to achieve a response rate of 70 percent current WIC participants. We will select a total sample of 4,284 households (or 357 in each State) to achieve 3,000 survey responses (or 250 in each State).</w:t>
      </w:r>
      <w:r w:rsidDel="00A27EC1">
        <w:t xml:space="preserve"> </w:t>
      </w:r>
    </w:p>
    <w:p w14:paraId="43E6B9EF" w14:textId="40EBB16F" w:rsidR="00C60A15" w:rsidRDefault="00064E28" w:rsidP="00F21A80">
      <w:pPr>
        <w:pStyle w:val="Body12ptCalibri-IPR"/>
        <w:spacing w:line="480" w:lineRule="auto"/>
      </w:pPr>
      <w:r>
        <w:t>We plan to select a stratified, random sample of WIC participants in each State. Prior to sample selection, we will stratify the State</w:t>
      </w:r>
      <w:r w:rsidR="00F21A80">
        <w:t xml:space="preserve"> geographically</w:t>
      </w:r>
      <w:r w:rsidR="00A310BD">
        <w:t xml:space="preserve"> (urban/rural)</w:t>
      </w:r>
      <w:r w:rsidR="00F21A80">
        <w:t xml:space="preserve"> </w:t>
      </w:r>
      <w:r w:rsidR="00C60A15">
        <w:t xml:space="preserve">to ensure sufficient respondents from </w:t>
      </w:r>
      <w:r w:rsidR="00A310BD">
        <w:t>these</w:t>
      </w:r>
      <w:r w:rsidR="00C60A15">
        <w:t xml:space="preserve"> areas. </w:t>
      </w:r>
      <w:r>
        <w:t>Substrata will be defined within each strata</w:t>
      </w:r>
      <w:r w:rsidR="00C60A15">
        <w:t xml:space="preserve"> by the presence in the household of a WIC participant infant between the ages of 6 and 12 months as of March 2017. This will ensure a sufficient number of responses to questions about infant food fruits and vegetables, meat, and cereal, which are only provided to infants in that age range. Women and children participants receive all the same categories of food, with the exception of canned fish, which is not included in the survey.</w:t>
      </w:r>
    </w:p>
    <w:p w14:paraId="7B9EA627" w14:textId="4F4367C2" w:rsidR="00327FD3" w:rsidRDefault="006F5B6C" w:rsidP="00F21A80">
      <w:pPr>
        <w:pStyle w:val="Body12ptCalibri-IPR"/>
        <w:spacing w:line="480" w:lineRule="auto"/>
      </w:pPr>
      <w:r>
        <w:t xml:space="preserve">Prior to selecting the sample within each State, a sample allocation program will be run to determine the sample sizes within each of the substrata. </w:t>
      </w:r>
      <w:r w:rsidR="0082184B">
        <w:t xml:space="preserve">The sample size for each </w:t>
      </w:r>
      <w:r w:rsidR="00E908EB">
        <w:t>S</w:t>
      </w:r>
      <w:r w:rsidR="0082184B">
        <w:t>tate will be proportionally allocated to each stratum based on the size of the stratum.</w:t>
      </w:r>
      <w:r>
        <w:t xml:space="preserve"> The benefits of this procedure include the fact that all weights are exactly the same; as such, there is no “oversampling” of certain strata causing variation in the weights. As a result, the variance</w:t>
      </w:r>
      <w:r w:rsidR="00327FD3">
        <w:t>s</w:t>
      </w:r>
      <w:r>
        <w:t xml:space="preserve"> of the overall estimates </w:t>
      </w:r>
      <w:r w:rsidR="00327FD3">
        <w:t>wil</w:t>
      </w:r>
      <w:r w:rsidR="00082314">
        <w:t>l</w:t>
      </w:r>
      <w:r w:rsidR="00327FD3">
        <w:t xml:space="preserve"> be smaller than they would be otherwise. </w:t>
      </w:r>
      <w:r w:rsidR="0082184B">
        <w:t xml:space="preserve"> </w:t>
      </w:r>
    </w:p>
    <w:p w14:paraId="47D4FE93" w14:textId="60934D73" w:rsidR="00327FD3" w:rsidRDefault="00327FD3" w:rsidP="00F21A80">
      <w:pPr>
        <w:pStyle w:val="Body12ptCalibri-IPR"/>
        <w:spacing w:line="480" w:lineRule="auto"/>
      </w:pPr>
      <w:r>
        <w:t xml:space="preserve">After the appropriate sample size is allocated within each substratum, </w:t>
      </w:r>
      <w:r w:rsidR="00A310BD">
        <w:t xml:space="preserve">records </w:t>
      </w:r>
      <w:r>
        <w:t xml:space="preserve">in each substratum </w:t>
      </w:r>
      <w:r w:rsidR="00A310BD">
        <w:t>will be sorted by</w:t>
      </w:r>
      <w:r w:rsidR="00F21A80">
        <w:t xml:space="preserve"> the number of WIC participants in the family</w:t>
      </w:r>
      <w:r w:rsidR="00A310BD">
        <w:t>. Then, a systematic random sample will be selected from each</w:t>
      </w:r>
      <w:r w:rsidR="00F21A80">
        <w:t xml:space="preserve"> stratum</w:t>
      </w:r>
      <w:r w:rsidR="0082184B">
        <w:t>.</w:t>
      </w:r>
      <w:r>
        <w:t xml:space="preserve"> This method involves numbering the WIC households in the population from 1 to N (N = total records in the population). To select a sample of n participating households, we take a household at random from the first k households and every k</w:t>
      </w:r>
      <w:r w:rsidRPr="0028492D">
        <w:rPr>
          <w:vertAlign w:val="superscript"/>
        </w:rPr>
        <w:t>th</w:t>
      </w:r>
      <w:r>
        <w:t xml:space="preserve"> household thereafter until the appropriate number of households is achieved in the stratum. In this way, each household in the sampling frame will be given a known, nonzero probability of selection so that weighted inferences can be made about the entire population of hous</w:t>
      </w:r>
      <w:r w:rsidR="000B6214">
        <w:t>e</w:t>
      </w:r>
      <w:r>
        <w:t>holds.</w:t>
      </w:r>
    </w:p>
    <w:p w14:paraId="058B9E05" w14:textId="5F9EC047" w:rsidR="00E85FE0" w:rsidRDefault="00862855" w:rsidP="00F21A80">
      <w:pPr>
        <w:pStyle w:val="Body12ptCalibri-IPR"/>
        <w:spacing w:line="480" w:lineRule="auto"/>
      </w:pPr>
      <w:r>
        <w:t xml:space="preserve">Estimates of the universe presented in </w:t>
      </w:r>
      <w:r w:rsidR="007C0E38">
        <w:t>T</w:t>
      </w:r>
      <w:r>
        <w:t>able B.1</w:t>
      </w:r>
      <w:r w:rsidR="007C0E38">
        <w:t>.1</w:t>
      </w:r>
      <w:r>
        <w:t xml:space="preserve"> are based on data from </w:t>
      </w:r>
      <w:r w:rsidR="00D65C58">
        <w:t xml:space="preserve">the </w:t>
      </w:r>
      <w:r>
        <w:t xml:space="preserve">WIC Participant and Program Characteristics 2014 </w:t>
      </w:r>
      <w:r w:rsidR="00D65C58">
        <w:t>study</w:t>
      </w:r>
      <w:r w:rsidR="009334F7">
        <w:t xml:space="preserve"> (Tho</w:t>
      </w:r>
      <w:r w:rsidR="003F4B9E">
        <w:t>rn</w:t>
      </w:r>
      <w:r w:rsidR="009334F7">
        <w:t xml:space="preserve"> et al., 2015)</w:t>
      </w:r>
      <w:r w:rsidR="00D65C58">
        <w:t xml:space="preserve"> </w:t>
      </w:r>
      <w:r>
        <w:t>and will be updated upon receipt of current participant data in February 2017.</w:t>
      </w:r>
      <w:r>
        <w:rPr>
          <w:rStyle w:val="FootnoteReference"/>
        </w:rPr>
        <w:footnoteReference w:id="3"/>
      </w:r>
      <w:r w:rsidR="00490414">
        <w:t xml:space="preserve"> Analysis weights will account for probability of selection and nonresponse; see section B.2, Procedures for the Collection of Information, for more detail on weighting.</w:t>
      </w:r>
    </w:p>
    <w:p w14:paraId="284E677C" w14:textId="7AF957F3" w:rsidR="00077F8D" w:rsidRPr="00672604" w:rsidRDefault="0047365C" w:rsidP="00D672F3">
      <w:pPr>
        <w:pStyle w:val="TableTitle-IPR"/>
      </w:pPr>
      <w:bookmarkStart w:id="5" w:name="_Toc442342198"/>
      <w:bookmarkStart w:id="6" w:name="_Toc466024596"/>
      <w:r w:rsidRPr="00672604">
        <w:t>Table B.1</w:t>
      </w:r>
      <w:r w:rsidR="007C0E38">
        <w:t>.1</w:t>
      </w:r>
      <w:r w:rsidRPr="00672604">
        <w:t>. Estimated Universe and Sample Size</w:t>
      </w:r>
      <w:r w:rsidR="00077F8D" w:rsidRPr="00672604">
        <w:t>s</w:t>
      </w:r>
      <w:r w:rsidRPr="00672604">
        <w:t xml:space="preserve"> for the Survey of WIC Participants</w:t>
      </w:r>
      <w:bookmarkEnd w:id="5"/>
      <w:bookmarkEnd w:id="6"/>
      <w:r w:rsidRPr="00672604">
        <w:t xml:space="preserve"> </w:t>
      </w:r>
    </w:p>
    <w:tbl>
      <w:tblPr>
        <w:tblStyle w:val="TableGrid"/>
        <w:tblW w:w="4934" w:type="pct"/>
        <w:tblInd w:w="86" w:type="dxa"/>
        <w:tblBorders>
          <w:top w:val="single" w:sz="8" w:space="0" w:color="B12732"/>
          <w:left w:val="none" w:sz="0" w:space="0" w:color="auto"/>
          <w:bottom w:val="single" w:sz="8" w:space="0" w:color="B12732"/>
          <w:right w:val="none" w:sz="0" w:space="0" w:color="auto"/>
          <w:insideH w:val="single" w:sz="4" w:space="0" w:color="A6A6A6"/>
          <w:insideV w:val="single" w:sz="4" w:space="0" w:color="A6A6A6"/>
        </w:tblBorders>
        <w:tblCellMar>
          <w:left w:w="58" w:type="dxa"/>
          <w:right w:w="58" w:type="dxa"/>
        </w:tblCellMar>
        <w:tblLook w:val="04A0" w:firstRow="1" w:lastRow="0" w:firstColumn="1" w:lastColumn="0" w:noHBand="0" w:noVBand="1"/>
      </w:tblPr>
      <w:tblGrid>
        <w:gridCol w:w="1651"/>
        <w:gridCol w:w="1906"/>
        <w:gridCol w:w="1906"/>
        <w:gridCol w:w="1906"/>
        <w:gridCol w:w="1982"/>
      </w:tblGrid>
      <w:tr w:rsidR="00A310BD" w:rsidRPr="00742BA3" w14:paraId="51801CB7" w14:textId="77777777" w:rsidTr="00C01D1E">
        <w:trPr>
          <w:tblHeader/>
        </w:trPr>
        <w:tc>
          <w:tcPr>
            <w:tcW w:w="883" w:type="pct"/>
            <w:tcBorders>
              <w:top w:val="single" w:sz="8" w:space="0" w:color="B12732"/>
              <w:bottom w:val="single" w:sz="8" w:space="0" w:color="B12732"/>
              <w:right w:val="nil"/>
            </w:tcBorders>
            <w:vAlign w:val="center"/>
          </w:tcPr>
          <w:p w14:paraId="1E0FC090" w14:textId="2F617F4C" w:rsidR="00A310BD" w:rsidRPr="00742BA3" w:rsidRDefault="00A310BD" w:rsidP="00742BA3">
            <w:pPr>
              <w:pStyle w:val="Body12ptCalibri-IPR"/>
              <w:spacing w:after="0"/>
              <w:jc w:val="center"/>
              <w:rPr>
                <w:rFonts w:ascii="Lucida Sans" w:hAnsi="Lucida Sans"/>
                <w:sz w:val="18"/>
              </w:rPr>
            </w:pPr>
            <w:r w:rsidRPr="00742BA3">
              <w:rPr>
                <w:rFonts w:ascii="Lucida Sans" w:hAnsi="Lucida Sans"/>
                <w:sz w:val="18"/>
              </w:rPr>
              <w:t>Strata</w:t>
            </w:r>
          </w:p>
        </w:tc>
        <w:tc>
          <w:tcPr>
            <w:tcW w:w="1019" w:type="pct"/>
            <w:tcBorders>
              <w:top w:val="single" w:sz="8" w:space="0" w:color="B12732"/>
              <w:left w:val="nil"/>
              <w:bottom w:val="single" w:sz="8" w:space="0" w:color="B12732"/>
              <w:right w:val="nil"/>
            </w:tcBorders>
            <w:vAlign w:val="center"/>
          </w:tcPr>
          <w:p w14:paraId="067C469A" w14:textId="65E87A50" w:rsidR="00A310BD" w:rsidRPr="00742BA3" w:rsidRDefault="00A310BD" w:rsidP="00742BA3">
            <w:pPr>
              <w:pStyle w:val="Body12ptCalibri-IPR"/>
              <w:spacing w:after="0"/>
              <w:jc w:val="center"/>
              <w:rPr>
                <w:rFonts w:ascii="Lucida Sans" w:hAnsi="Lucida Sans"/>
                <w:sz w:val="18"/>
              </w:rPr>
            </w:pPr>
            <w:r w:rsidRPr="00742BA3">
              <w:rPr>
                <w:rFonts w:ascii="Lucida Sans" w:hAnsi="Lucida Sans"/>
                <w:sz w:val="18"/>
              </w:rPr>
              <w:t>Estimated Number of Participants in Universe</w:t>
            </w:r>
          </w:p>
        </w:tc>
        <w:tc>
          <w:tcPr>
            <w:tcW w:w="1019" w:type="pct"/>
            <w:tcBorders>
              <w:top w:val="single" w:sz="8" w:space="0" w:color="B12732"/>
              <w:left w:val="nil"/>
              <w:bottom w:val="single" w:sz="8" w:space="0" w:color="B12732"/>
              <w:right w:val="nil"/>
            </w:tcBorders>
            <w:vAlign w:val="center"/>
          </w:tcPr>
          <w:p w14:paraId="5D5B16B3" w14:textId="3016B494" w:rsidR="00A310BD" w:rsidRPr="00742BA3" w:rsidRDefault="00A310BD" w:rsidP="00742BA3">
            <w:pPr>
              <w:pStyle w:val="Body12ptCalibri-IPR"/>
              <w:spacing w:after="0"/>
              <w:jc w:val="center"/>
              <w:rPr>
                <w:rFonts w:ascii="Lucida Sans" w:hAnsi="Lucida Sans"/>
                <w:sz w:val="18"/>
              </w:rPr>
            </w:pPr>
            <w:r w:rsidRPr="00742BA3">
              <w:rPr>
                <w:rFonts w:ascii="Lucida Sans" w:hAnsi="Lucida Sans"/>
                <w:sz w:val="18"/>
              </w:rPr>
              <w:t>Estimated Number of Households in Universe</w:t>
            </w:r>
          </w:p>
        </w:tc>
        <w:tc>
          <w:tcPr>
            <w:tcW w:w="1019" w:type="pct"/>
            <w:tcBorders>
              <w:top w:val="single" w:sz="8" w:space="0" w:color="B12732"/>
              <w:left w:val="nil"/>
              <w:bottom w:val="single" w:sz="8" w:space="0" w:color="B12732"/>
              <w:right w:val="nil"/>
            </w:tcBorders>
            <w:vAlign w:val="center"/>
          </w:tcPr>
          <w:p w14:paraId="6E3722EB" w14:textId="2AE80264" w:rsidR="00A310BD" w:rsidRPr="00742BA3" w:rsidRDefault="00A310BD" w:rsidP="00742BA3">
            <w:pPr>
              <w:pStyle w:val="Body12ptCalibri-IPR"/>
              <w:spacing w:after="0"/>
              <w:jc w:val="center"/>
              <w:rPr>
                <w:rFonts w:ascii="Lucida Sans" w:hAnsi="Lucida Sans"/>
                <w:sz w:val="18"/>
              </w:rPr>
            </w:pPr>
            <w:r w:rsidRPr="00742BA3">
              <w:rPr>
                <w:rFonts w:ascii="Lucida Sans" w:hAnsi="Lucida Sans"/>
                <w:sz w:val="18"/>
              </w:rPr>
              <w:t>Number of Households Selected</w:t>
            </w:r>
          </w:p>
        </w:tc>
        <w:tc>
          <w:tcPr>
            <w:tcW w:w="1061" w:type="pct"/>
            <w:tcBorders>
              <w:top w:val="single" w:sz="8" w:space="0" w:color="B12732"/>
              <w:left w:val="nil"/>
              <w:bottom w:val="single" w:sz="8" w:space="0" w:color="B12732"/>
            </w:tcBorders>
            <w:vAlign w:val="center"/>
          </w:tcPr>
          <w:p w14:paraId="0A82A853" w14:textId="7A7D1052" w:rsidR="00A310BD" w:rsidRPr="00742BA3" w:rsidRDefault="00A310BD" w:rsidP="00742BA3">
            <w:pPr>
              <w:pStyle w:val="Body12ptCalibri-IPR"/>
              <w:spacing w:after="0"/>
              <w:jc w:val="center"/>
              <w:rPr>
                <w:rFonts w:ascii="Lucida Sans" w:hAnsi="Lucida Sans"/>
                <w:sz w:val="18"/>
              </w:rPr>
            </w:pPr>
            <w:r w:rsidRPr="00742BA3">
              <w:rPr>
                <w:rFonts w:ascii="Lucida Sans" w:hAnsi="Lucida Sans"/>
                <w:sz w:val="18"/>
              </w:rPr>
              <w:t>Expected Number of Responses</w:t>
            </w:r>
          </w:p>
        </w:tc>
      </w:tr>
      <w:tr w:rsidR="00A310BD" w14:paraId="711E49C8" w14:textId="77777777" w:rsidTr="00CC5E63">
        <w:trPr>
          <w:trHeight w:val="288"/>
        </w:trPr>
        <w:tc>
          <w:tcPr>
            <w:tcW w:w="883" w:type="pct"/>
            <w:tcBorders>
              <w:top w:val="single" w:sz="8" w:space="0" w:color="B12732"/>
            </w:tcBorders>
          </w:tcPr>
          <w:p w14:paraId="3ADA8AE6" w14:textId="7CC79654"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Florida</w:t>
            </w:r>
          </w:p>
        </w:tc>
        <w:tc>
          <w:tcPr>
            <w:tcW w:w="1019" w:type="pct"/>
            <w:tcBorders>
              <w:top w:val="single" w:sz="8" w:space="0" w:color="B12732"/>
            </w:tcBorders>
          </w:tcPr>
          <w:p w14:paraId="5A14E8D1" w14:textId="062B0AE4"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570,437</w:t>
            </w:r>
          </w:p>
        </w:tc>
        <w:tc>
          <w:tcPr>
            <w:tcW w:w="1019" w:type="pct"/>
            <w:tcBorders>
              <w:top w:val="single" w:sz="8" w:space="0" w:color="B12732"/>
            </w:tcBorders>
          </w:tcPr>
          <w:p w14:paraId="6D0F5B0A" w14:textId="05FD8DF7"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N/A</w:t>
            </w:r>
          </w:p>
        </w:tc>
        <w:tc>
          <w:tcPr>
            <w:tcW w:w="1019" w:type="pct"/>
            <w:tcBorders>
              <w:top w:val="single" w:sz="8" w:space="0" w:color="B12732"/>
            </w:tcBorders>
          </w:tcPr>
          <w:p w14:paraId="3BE76C2C" w14:textId="21B08B39"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tcBorders>
              <w:top w:val="single" w:sz="8" w:space="0" w:color="B12732"/>
            </w:tcBorders>
            <w:vAlign w:val="bottom"/>
          </w:tcPr>
          <w:p w14:paraId="01248566" w14:textId="54437B8B"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6B34F570" w14:textId="77777777" w:rsidTr="00CC5E63">
        <w:trPr>
          <w:trHeight w:val="288"/>
        </w:trPr>
        <w:tc>
          <w:tcPr>
            <w:tcW w:w="883" w:type="pct"/>
          </w:tcPr>
          <w:p w14:paraId="3201728C" w14:textId="313331C2"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Kentucky</w:t>
            </w:r>
          </w:p>
        </w:tc>
        <w:tc>
          <w:tcPr>
            <w:tcW w:w="1019" w:type="pct"/>
          </w:tcPr>
          <w:p w14:paraId="4B246E0C" w14:textId="3C4D8BEB"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144,803</w:t>
            </w:r>
          </w:p>
        </w:tc>
        <w:tc>
          <w:tcPr>
            <w:tcW w:w="1019" w:type="pct"/>
          </w:tcPr>
          <w:p w14:paraId="7C9431A8" w14:textId="6B3BFD2B"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N/A</w:t>
            </w:r>
          </w:p>
        </w:tc>
        <w:tc>
          <w:tcPr>
            <w:tcW w:w="1019" w:type="pct"/>
          </w:tcPr>
          <w:p w14:paraId="4A0539C0" w14:textId="6D05F70E"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vAlign w:val="bottom"/>
          </w:tcPr>
          <w:p w14:paraId="5C420133" w14:textId="382DA44F"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1509676F" w14:textId="77777777" w:rsidTr="00CC5E63">
        <w:trPr>
          <w:trHeight w:val="288"/>
        </w:trPr>
        <w:tc>
          <w:tcPr>
            <w:tcW w:w="883" w:type="pct"/>
          </w:tcPr>
          <w:p w14:paraId="154736BD" w14:textId="3B5CB57F"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Massachusetts</w:t>
            </w:r>
          </w:p>
        </w:tc>
        <w:tc>
          <w:tcPr>
            <w:tcW w:w="1019" w:type="pct"/>
          </w:tcPr>
          <w:p w14:paraId="11D86DD7" w14:textId="776C3C8D"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129,825</w:t>
            </w:r>
          </w:p>
        </w:tc>
        <w:tc>
          <w:tcPr>
            <w:tcW w:w="1019" w:type="pct"/>
          </w:tcPr>
          <w:p w14:paraId="680BA2B6" w14:textId="0E5BD6A6"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86,318</w:t>
            </w:r>
          </w:p>
        </w:tc>
        <w:tc>
          <w:tcPr>
            <w:tcW w:w="1019" w:type="pct"/>
          </w:tcPr>
          <w:p w14:paraId="24EBAEF9" w14:textId="18E3C874"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vAlign w:val="bottom"/>
          </w:tcPr>
          <w:p w14:paraId="216E06D9" w14:textId="4585466D"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5A58560B" w14:textId="77777777" w:rsidTr="00CC5E63">
        <w:trPr>
          <w:trHeight w:val="288"/>
        </w:trPr>
        <w:tc>
          <w:tcPr>
            <w:tcW w:w="883" w:type="pct"/>
          </w:tcPr>
          <w:p w14:paraId="5A3E27DC" w14:textId="6EABA599"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Michigan</w:t>
            </w:r>
          </w:p>
        </w:tc>
        <w:tc>
          <w:tcPr>
            <w:tcW w:w="1019" w:type="pct"/>
          </w:tcPr>
          <w:p w14:paraId="4782EE59" w14:textId="744667A8"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267,331</w:t>
            </w:r>
          </w:p>
        </w:tc>
        <w:tc>
          <w:tcPr>
            <w:tcW w:w="1019" w:type="pct"/>
          </w:tcPr>
          <w:p w14:paraId="1D8C0442" w14:textId="3FF432FB"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176, 730</w:t>
            </w:r>
          </w:p>
        </w:tc>
        <w:tc>
          <w:tcPr>
            <w:tcW w:w="1019" w:type="pct"/>
          </w:tcPr>
          <w:p w14:paraId="38FBA43A" w14:textId="758DC10F"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vAlign w:val="bottom"/>
          </w:tcPr>
          <w:p w14:paraId="1F8C0995" w14:textId="00A4451A"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5822FCD9" w14:textId="77777777" w:rsidTr="00CC5E63">
        <w:trPr>
          <w:trHeight w:val="288"/>
        </w:trPr>
        <w:tc>
          <w:tcPr>
            <w:tcW w:w="883" w:type="pct"/>
          </w:tcPr>
          <w:p w14:paraId="69B8C9D0" w14:textId="49FCBDF7"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Nevada</w:t>
            </w:r>
          </w:p>
        </w:tc>
        <w:tc>
          <w:tcPr>
            <w:tcW w:w="1019" w:type="pct"/>
          </w:tcPr>
          <w:p w14:paraId="379E7EA4" w14:textId="6357F9FA"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74,596</w:t>
            </w:r>
          </w:p>
        </w:tc>
        <w:tc>
          <w:tcPr>
            <w:tcW w:w="1019" w:type="pct"/>
          </w:tcPr>
          <w:p w14:paraId="712321A0" w14:textId="411DD8B1"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48,900</w:t>
            </w:r>
          </w:p>
        </w:tc>
        <w:tc>
          <w:tcPr>
            <w:tcW w:w="1019" w:type="pct"/>
          </w:tcPr>
          <w:p w14:paraId="060CCEF3" w14:textId="5A34621F"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vAlign w:val="bottom"/>
          </w:tcPr>
          <w:p w14:paraId="6BCDFAFF" w14:textId="28D81E3D"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3AA2BC64" w14:textId="77777777" w:rsidTr="00CC5E63">
        <w:trPr>
          <w:trHeight w:val="288"/>
        </w:trPr>
        <w:tc>
          <w:tcPr>
            <w:tcW w:w="883" w:type="pct"/>
          </w:tcPr>
          <w:p w14:paraId="514B068B" w14:textId="00108F6A"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New Mexico</w:t>
            </w:r>
          </w:p>
        </w:tc>
        <w:tc>
          <w:tcPr>
            <w:tcW w:w="1019" w:type="pct"/>
          </w:tcPr>
          <w:p w14:paraId="3523EF83" w14:textId="310ED538"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57,356</w:t>
            </w:r>
          </w:p>
        </w:tc>
        <w:tc>
          <w:tcPr>
            <w:tcW w:w="1019" w:type="pct"/>
          </w:tcPr>
          <w:p w14:paraId="4646EA0C" w14:textId="211693CC"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38,805</w:t>
            </w:r>
          </w:p>
        </w:tc>
        <w:tc>
          <w:tcPr>
            <w:tcW w:w="1019" w:type="pct"/>
          </w:tcPr>
          <w:p w14:paraId="2AFD5599" w14:textId="26A51AE7"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vAlign w:val="bottom"/>
          </w:tcPr>
          <w:p w14:paraId="298DA940" w14:textId="346BEA03"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1847C8EA" w14:textId="77777777" w:rsidTr="00CC5E63">
        <w:trPr>
          <w:trHeight w:val="288"/>
        </w:trPr>
        <w:tc>
          <w:tcPr>
            <w:tcW w:w="883" w:type="pct"/>
          </w:tcPr>
          <w:p w14:paraId="10220E64" w14:textId="165A9174"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Ohio</w:t>
            </w:r>
          </w:p>
        </w:tc>
        <w:tc>
          <w:tcPr>
            <w:tcW w:w="1019" w:type="pct"/>
          </w:tcPr>
          <w:p w14:paraId="5779FECA" w14:textId="7A30B366"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261,805</w:t>
            </w:r>
          </w:p>
        </w:tc>
        <w:tc>
          <w:tcPr>
            <w:tcW w:w="1019" w:type="pct"/>
          </w:tcPr>
          <w:p w14:paraId="058EBF70" w14:textId="395F5C65"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N/A</w:t>
            </w:r>
          </w:p>
        </w:tc>
        <w:tc>
          <w:tcPr>
            <w:tcW w:w="1019" w:type="pct"/>
          </w:tcPr>
          <w:p w14:paraId="7A0A0C02" w14:textId="2705C904"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vAlign w:val="bottom"/>
          </w:tcPr>
          <w:p w14:paraId="5052EC80" w14:textId="53C9A69F"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459DEC3C" w14:textId="77777777" w:rsidTr="00CC5E63">
        <w:trPr>
          <w:trHeight w:val="288"/>
        </w:trPr>
        <w:tc>
          <w:tcPr>
            <w:tcW w:w="883" w:type="pct"/>
          </w:tcPr>
          <w:p w14:paraId="14F36764" w14:textId="2B8ACE9C"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Texas</w:t>
            </w:r>
          </w:p>
        </w:tc>
        <w:tc>
          <w:tcPr>
            <w:tcW w:w="1019" w:type="pct"/>
          </w:tcPr>
          <w:p w14:paraId="24CCE92B" w14:textId="5EC3FC8F"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1,018,175</w:t>
            </w:r>
          </w:p>
        </w:tc>
        <w:tc>
          <w:tcPr>
            <w:tcW w:w="1019" w:type="pct"/>
          </w:tcPr>
          <w:p w14:paraId="58D22B83" w14:textId="2D295A9F"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615,267</w:t>
            </w:r>
          </w:p>
        </w:tc>
        <w:tc>
          <w:tcPr>
            <w:tcW w:w="1019" w:type="pct"/>
          </w:tcPr>
          <w:p w14:paraId="168E60EC" w14:textId="23FD61AA"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vAlign w:val="bottom"/>
          </w:tcPr>
          <w:p w14:paraId="11DC25AC" w14:textId="6E7B984B"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5A3868CE" w14:textId="77777777" w:rsidTr="00CC5E63">
        <w:trPr>
          <w:trHeight w:val="288"/>
        </w:trPr>
        <w:tc>
          <w:tcPr>
            <w:tcW w:w="883" w:type="pct"/>
          </w:tcPr>
          <w:p w14:paraId="567C8ED7" w14:textId="0724F20A"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Virginia</w:t>
            </w:r>
          </w:p>
        </w:tc>
        <w:tc>
          <w:tcPr>
            <w:tcW w:w="1019" w:type="pct"/>
          </w:tcPr>
          <w:p w14:paraId="51A6767D" w14:textId="26864E85"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155,542</w:t>
            </w:r>
          </w:p>
        </w:tc>
        <w:tc>
          <w:tcPr>
            <w:tcW w:w="1019" w:type="pct"/>
          </w:tcPr>
          <w:p w14:paraId="0380AE2B" w14:textId="097F061B"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75,503</w:t>
            </w:r>
          </w:p>
        </w:tc>
        <w:tc>
          <w:tcPr>
            <w:tcW w:w="1019" w:type="pct"/>
          </w:tcPr>
          <w:p w14:paraId="10D73500" w14:textId="4A988DF9"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vAlign w:val="bottom"/>
          </w:tcPr>
          <w:p w14:paraId="7AA655D9" w14:textId="6F28F1F5"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784F2243" w14:textId="77777777" w:rsidTr="00CC5E63">
        <w:trPr>
          <w:trHeight w:val="288"/>
        </w:trPr>
        <w:tc>
          <w:tcPr>
            <w:tcW w:w="883" w:type="pct"/>
          </w:tcPr>
          <w:p w14:paraId="280269FF" w14:textId="0EE2515D"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West Virginia</w:t>
            </w:r>
          </w:p>
        </w:tc>
        <w:tc>
          <w:tcPr>
            <w:tcW w:w="1019" w:type="pct"/>
          </w:tcPr>
          <w:p w14:paraId="7FA921FE" w14:textId="6919FFB7"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43,965</w:t>
            </w:r>
          </w:p>
        </w:tc>
        <w:tc>
          <w:tcPr>
            <w:tcW w:w="1019" w:type="pct"/>
          </w:tcPr>
          <w:p w14:paraId="1689FC9F" w14:textId="2573FB61"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28,456</w:t>
            </w:r>
          </w:p>
        </w:tc>
        <w:tc>
          <w:tcPr>
            <w:tcW w:w="1019" w:type="pct"/>
          </w:tcPr>
          <w:p w14:paraId="76E943AE" w14:textId="598B73C7"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vAlign w:val="bottom"/>
          </w:tcPr>
          <w:p w14:paraId="46AD1017" w14:textId="2B18F12E"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482560A4" w14:textId="77777777" w:rsidTr="00CC5E63">
        <w:trPr>
          <w:trHeight w:val="288"/>
        </w:trPr>
        <w:tc>
          <w:tcPr>
            <w:tcW w:w="883" w:type="pct"/>
          </w:tcPr>
          <w:p w14:paraId="28A10D03" w14:textId="5CF943C0" w:rsidR="00A310BD" w:rsidRPr="00D672F3" w:rsidRDefault="00A310BD" w:rsidP="00C60A15">
            <w:pPr>
              <w:pStyle w:val="Body12ptCalibri-IPR"/>
              <w:spacing w:after="0"/>
              <w:rPr>
                <w:rFonts w:asciiTheme="minorHAnsi" w:hAnsiTheme="minorHAnsi"/>
                <w:sz w:val="18"/>
                <w:szCs w:val="18"/>
              </w:rPr>
            </w:pPr>
            <w:r w:rsidRPr="00D672F3">
              <w:rPr>
                <w:rFonts w:asciiTheme="minorHAnsi" w:hAnsiTheme="minorHAnsi"/>
                <w:sz w:val="18"/>
                <w:szCs w:val="18"/>
              </w:rPr>
              <w:t>Wisconsin</w:t>
            </w:r>
          </w:p>
        </w:tc>
        <w:tc>
          <w:tcPr>
            <w:tcW w:w="1019" w:type="pct"/>
          </w:tcPr>
          <w:p w14:paraId="457CE52F" w14:textId="6D7F814A"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118,487</w:t>
            </w:r>
          </w:p>
        </w:tc>
        <w:tc>
          <w:tcPr>
            <w:tcW w:w="1019" w:type="pct"/>
          </w:tcPr>
          <w:p w14:paraId="637125A5" w14:textId="4F8FF7E8"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N/A</w:t>
            </w:r>
          </w:p>
        </w:tc>
        <w:tc>
          <w:tcPr>
            <w:tcW w:w="1019" w:type="pct"/>
          </w:tcPr>
          <w:p w14:paraId="54198923" w14:textId="55E58FD4"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357</w:t>
            </w:r>
          </w:p>
        </w:tc>
        <w:tc>
          <w:tcPr>
            <w:tcW w:w="1061" w:type="pct"/>
            <w:vAlign w:val="bottom"/>
          </w:tcPr>
          <w:p w14:paraId="06BE2886" w14:textId="6DD65F79" w:rsidR="00A310BD" w:rsidRPr="00D672F3" w:rsidRDefault="00A310BD" w:rsidP="00C60A15">
            <w:pPr>
              <w:pStyle w:val="Body12ptCalibri-IPR"/>
              <w:spacing w:after="0"/>
              <w:jc w:val="right"/>
              <w:rPr>
                <w:rFonts w:asciiTheme="minorHAnsi" w:hAnsiTheme="minorHAnsi"/>
                <w:sz w:val="18"/>
                <w:szCs w:val="18"/>
              </w:rPr>
            </w:pPr>
            <w:r w:rsidRPr="00D672F3">
              <w:rPr>
                <w:rFonts w:asciiTheme="minorHAnsi" w:hAnsiTheme="minorHAnsi"/>
                <w:sz w:val="18"/>
                <w:szCs w:val="18"/>
              </w:rPr>
              <w:t>250</w:t>
            </w:r>
          </w:p>
        </w:tc>
      </w:tr>
      <w:tr w:rsidR="00A310BD" w14:paraId="3EE7A098" w14:textId="77777777" w:rsidTr="00CC5E63">
        <w:trPr>
          <w:trHeight w:val="288"/>
        </w:trPr>
        <w:tc>
          <w:tcPr>
            <w:tcW w:w="883" w:type="pct"/>
            <w:tcBorders>
              <w:bottom w:val="single" w:sz="4" w:space="0" w:color="A6A6A6"/>
            </w:tcBorders>
          </w:tcPr>
          <w:p w14:paraId="53357E22" w14:textId="5708C2EE" w:rsidR="00A310BD" w:rsidRPr="00D672F3" w:rsidRDefault="00A310BD" w:rsidP="00C60A15">
            <w:pPr>
              <w:pStyle w:val="Body12ptCalibri-IPR"/>
              <w:spacing w:after="0"/>
              <w:rPr>
                <w:sz w:val="18"/>
              </w:rPr>
            </w:pPr>
            <w:r w:rsidRPr="00D672F3">
              <w:rPr>
                <w:sz w:val="18"/>
              </w:rPr>
              <w:t>Wyoming</w:t>
            </w:r>
          </w:p>
        </w:tc>
        <w:tc>
          <w:tcPr>
            <w:tcW w:w="1019" w:type="pct"/>
            <w:tcBorders>
              <w:bottom w:val="single" w:sz="4" w:space="0" w:color="A6A6A6"/>
            </w:tcBorders>
          </w:tcPr>
          <w:p w14:paraId="4634B3C5" w14:textId="61265B11" w:rsidR="00A310BD" w:rsidRPr="00D672F3" w:rsidRDefault="00A310BD" w:rsidP="00C60A15">
            <w:pPr>
              <w:pStyle w:val="Body12ptCalibri-IPR"/>
              <w:spacing w:after="0"/>
              <w:jc w:val="right"/>
              <w:rPr>
                <w:sz w:val="18"/>
              </w:rPr>
            </w:pPr>
            <w:r w:rsidRPr="00D672F3">
              <w:rPr>
                <w:sz w:val="18"/>
              </w:rPr>
              <w:t>10,675</w:t>
            </w:r>
          </w:p>
        </w:tc>
        <w:tc>
          <w:tcPr>
            <w:tcW w:w="1019" w:type="pct"/>
            <w:tcBorders>
              <w:bottom w:val="single" w:sz="4" w:space="0" w:color="A6A6A6"/>
            </w:tcBorders>
          </w:tcPr>
          <w:p w14:paraId="6EE1691A" w14:textId="17808893" w:rsidR="00A310BD" w:rsidRPr="00D672F3" w:rsidRDefault="00A310BD" w:rsidP="00C60A15">
            <w:pPr>
              <w:pStyle w:val="Body12ptCalibri-IPR"/>
              <w:spacing w:after="0"/>
              <w:jc w:val="right"/>
              <w:rPr>
                <w:sz w:val="18"/>
              </w:rPr>
            </w:pPr>
            <w:r w:rsidRPr="00D672F3">
              <w:rPr>
                <w:sz w:val="18"/>
              </w:rPr>
              <w:t>6,380</w:t>
            </w:r>
          </w:p>
        </w:tc>
        <w:tc>
          <w:tcPr>
            <w:tcW w:w="1019" w:type="pct"/>
            <w:tcBorders>
              <w:bottom w:val="single" w:sz="4" w:space="0" w:color="A6A6A6"/>
            </w:tcBorders>
          </w:tcPr>
          <w:p w14:paraId="38A1ABD4" w14:textId="62CB9F7D" w:rsidR="00A310BD" w:rsidRPr="00D672F3" w:rsidRDefault="00A310BD" w:rsidP="00C60A15">
            <w:pPr>
              <w:pStyle w:val="Body12ptCalibri-IPR"/>
              <w:spacing w:after="0"/>
              <w:jc w:val="right"/>
              <w:rPr>
                <w:sz w:val="18"/>
              </w:rPr>
            </w:pPr>
            <w:r w:rsidRPr="00D672F3">
              <w:rPr>
                <w:sz w:val="18"/>
              </w:rPr>
              <w:t>357</w:t>
            </w:r>
          </w:p>
        </w:tc>
        <w:tc>
          <w:tcPr>
            <w:tcW w:w="1061" w:type="pct"/>
            <w:tcBorders>
              <w:bottom w:val="single" w:sz="4" w:space="0" w:color="A6A6A6"/>
            </w:tcBorders>
            <w:vAlign w:val="bottom"/>
          </w:tcPr>
          <w:p w14:paraId="5889F0CC" w14:textId="72AED802" w:rsidR="00A310BD" w:rsidRPr="00D672F3" w:rsidRDefault="00A310BD" w:rsidP="00C60A15">
            <w:pPr>
              <w:pStyle w:val="Body12ptCalibri-IPR"/>
              <w:spacing w:after="0"/>
              <w:jc w:val="right"/>
              <w:rPr>
                <w:sz w:val="18"/>
              </w:rPr>
            </w:pPr>
            <w:r w:rsidRPr="00D672F3">
              <w:rPr>
                <w:sz w:val="18"/>
              </w:rPr>
              <w:t>250</w:t>
            </w:r>
          </w:p>
        </w:tc>
      </w:tr>
      <w:tr w:rsidR="00A310BD" w14:paraId="5B67C8BF" w14:textId="77777777" w:rsidTr="00CC5E63">
        <w:tc>
          <w:tcPr>
            <w:tcW w:w="883" w:type="pct"/>
            <w:tcBorders>
              <w:top w:val="single" w:sz="4" w:space="0" w:color="A6A6A6"/>
              <w:bottom w:val="single" w:sz="18" w:space="0" w:color="66706C"/>
            </w:tcBorders>
          </w:tcPr>
          <w:p w14:paraId="03BDD2BF" w14:textId="378D1EFB" w:rsidR="00A310BD" w:rsidRPr="00D672F3" w:rsidRDefault="00A310BD" w:rsidP="00C60A15">
            <w:pPr>
              <w:pStyle w:val="Body12ptCalibri-IPR"/>
              <w:spacing w:after="0"/>
              <w:rPr>
                <w:sz w:val="18"/>
              </w:rPr>
            </w:pPr>
            <w:r w:rsidRPr="00D672F3">
              <w:rPr>
                <w:sz w:val="18"/>
              </w:rPr>
              <w:t>Total</w:t>
            </w:r>
          </w:p>
        </w:tc>
        <w:tc>
          <w:tcPr>
            <w:tcW w:w="1019" w:type="pct"/>
            <w:tcBorders>
              <w:top w:val="single" w:sz="4" w:space="0" w:color="A6A6A6"/>
              <w:bottom w:val="single" w:sz="18" w:space="0" w:color="66706C"/>
            </w:tcBorders>
          </w:tcPr>
          <w:p w14:paraId="244AA961" w14:textId="3219C402" w:rsidR="00A310BD" w:rsidRPr="00D672F3" w:rsidRDefault="00A310BD" w:rsidP="00C60A15">
            <w:pPr>
              <w:pStyle w:val="Body12ptCalibri-IPR"/>
              <w:spacing w:after="0"/>
              <w:jc w:val="right"/>
              <w:rPr>
                <w:sz w:val="18"/>
              </w:rPr>
            </w:pPr>
            <w:r w:rsidRPr="00D672F3">
              <w:rPr>
                <w:sz w:val="18"/>
              </w:rPr>
              <w:t>2,852,997</w:t>
            </w:r>
          </w:p>
        </w:tc>
        <w:tc>
          <w:tcPr>
            <w:tcW w:w="1019" w:type="pct"/>
            <w:tcBorders>
              <w:top w:val="single" w:sz="4" w:space="0" w:color="A6A6A6"/>
              <w:bottom w:val="single" w:sz="18" w:space="0" w:color="66706C"/>
            </w:tcBorders>
          </w:tcPr>
          <w:p w14:paraId="5F50A65C" w14:textId="218156E5" w:rsidR="00A310BD" w:rsidRPr="00D672F3" w:rsidRDefault="00A310BD" w:rsidP="00C60A15">
            <w:pPr>
              <w:pStyle w:val="Body12ptCalibri-IPR"/>
              <w:spacing w:after="0"/>
              <w:jc w:val="right"/>
              <w:rPr>
                <w:sz w:val="18"/>
              </w:rPr>
            </w:pPr>
            <w:r w:rsidRPr="00D672F3">
              <w:rPr>
                <w:sz w:val="18"/>
              </w:rPr>
              <w:t>N/A</w:t>
            </w:r>
          </w:p>
        </w:tc>
        <w:tc>
          <w:tcPr>
            <w:tcW w:w="1019" w:type="pct"/>
            <w:tcBorders>
              <w:top w:val="single" w:sz="4" w:space="0" w:color="A6A6A6"/>
              <w:bottom w:val="single" w:sz="18" w:space="0" w:color="66706C"/>
            </w:tcBorders>
          </w:tcPr>
          <w:p w14:paraId="340AF323" w14:textId="5C5CEE7F" w:rsidR="00A310BD" w:rsidRPr="00D672F3" w:rsidRDefault="00A310BD" w:rsidP="00C60A15">
            <w:pPr>
              <w:pStyle w:val="Body12ptCalibri-IPR"/>
              <w:spacing w:after="0"/>
              <w:jc w:val="right"/>
              <w:rPr>
                <w:sz w:val="18"/>
              </w:rPr>
            </w:pPr>
            <w:r w:rsidRPr="00D672F3">
              <w:rPr>
                <w:sz w:val="18"/>
              </w:rPr>
              <w:t>4,284</w:t>
            </w:r>
          </w:p>
        </w:tc>
        <w:tc>
          <w:tcPr>
            <w:tcW w:w="1061" w:type="pct"/>
            <w:tcBorders>
              <w:top w:val="single" w:sz="4" w:space="0" w:color="A6A6A6"/>
              <w:bottom w:val="single" w:sz="18" w:space="0" w:color="66706C"/>
            </w:tcBorders>
            <w:vAlign w:val="bottom"/>
          </w:tcPr>
          <w:p w14:paraId="231E45C8" w14:textId="74365D11" w:rsidR="00A310BD" w:rsidRPr="00D672F3" w:rsidRDefault="00A310BD" w:rsidP="00C60A15">
            <w:pPr>
              <w:pStyle w:val="Body12ptCalibri-IPR"/>
              <w:spacing w:after="0"/>
              <w:jc w:val="right"/>
              <w:rPr>
                <w:sz w:val="18"/>
              </w:rPr>
            </w:pPr>
            <w:r w:rsidRPr="00D672F3">
              <w:rPr>
                <w:sz w:val="18"/>
              </w:rPr>
              <w:t>3,000</w:t>
            </w:r>
          </w:p>
        </w:tc>
      </w:tr>
    </w:tbl>
    <w:p w14:paraId="5E00FC37" w14:textId="42B69719" w:rsidR="00C60A15" w:rsidRDefault="00C60A15" w:rsidP="00742BA3">
      <w:pPr>
        <w:pStyle w:val="Body12ptCalibri-IPR"/>
        <w:spacing w:before="480" w:line="480" w:lineRule="auto"/>
      </w:pPr>
      <w:r w:rsidRPr="00F616C5">
        <w:rPr>
          <w:b/>
        </w:rPr>
        <w:t xml:space="preserve">Survey of </w:t>
      </w:r>
      <w:r>
        <w:rPr>
          <w:b/>
        </w:rPr>
        <w:t xml:space="preserve">Former </w:t>
      </w:r>
      <w:r w:rsidRPr="00F616C5">
        <w:rPr>
          <w:b/>
        </w:rPr>
        <w:t>WIC Participants</w:t>
      </w:r>
      <w:r w:rsidR="00D87E4E">
        <w:t xml:space="preserve">. </w:t>
      </w:r>
      <w:r>
        <w:t xml:space="preserve">The Survey of </w:t>
      </w:r>
      <w:r w:rsidR="00D50405">
        <w:t xml:space="preserve">Former </w:t>
      </w:r>
      <w:r>
        <w:t>WIC Participants will be conducted in 3 of the 12 States that have implemented EBT statewide as of the beginning of FY 2016</w:t>
      </w:r>
      <w:r w:rsidR="00490414">
        <w:t>;</w:t>
      </w:r>
      <w:r>
        <w:t xml:space="preserve"> Ohio, Texas, and </w:t>
      </w:r>
      <w:r w:rsidR="00070EB9">
        <w:t>Virginia</w:t>
      </w:r>
      <w:r w:rsidR="00490414">
        <w:t xml:space="preserve"> have been selected because of their relatively restrictive practices</w:t>
      </w:r>
      <w:r w:rsidR="00070EB9">
        <w:t>.</w:t>
      </w:r>
      <w:r>
        <w:t xml:space="preserve"> </w:t>
      </w:r>
      <w:r w:rsidR="006948B2">
        <w:t>Former</w:t>
      </w:r>
      <w:r>
        <w:t xml:space="preserve"> participants will be selected from a list of all WIC participants in those States with an active certification as of </w:t>
      </w:r>
      <w:r w:rsidR="006948B2">
        <w:t>October 31, 2016</w:t>
      </w:r>
      <w:r w:rsidR="00D65C58">
        <w:t>,</w:t>
      </w:r>
      <w:r w:rsidR="006948B2">
        <w:t xml:space="preserve"> who were due to recertify between November 1, 2016</w:t>
      </w:r>
      <w:r w:rsidR="00D65C58">
        <w:t>,</w:t>
      </w:r>
      <w:r w:rsidR="006948B2">
        <w:t xml:space="preserve"> and January 31, 2017, but ha</w:t>
      </w:r>
      <w:r w:rsidR="00D65C58">
        <w:t>ve</w:t>
      </w:r>
      <w:r w:rsidR="006948B2">
        <w:t xml:space="preserve"> not done so.</w:t>
      </w:r>
      <w:r>
        <w:t xml:space="preserve"> These lists will be provided by the WIC S</w:t>
      </w:r>
      <w:r w:rsidR="00F834D5">
        <w:t>A</w:t>
      </w:r>
      <w:r>
        <w:t xml:space="preserve"> in each State. </w:t>
      </w:r>
    </w:p>
    <w:p w14:paraId="3D383AFA" w14:textId="593EF232" w:rsidR="00A52C6A" w:rsidRDefault="00C60A15" w:rsidP="00C60A15">
      <w:pPr>
        <w:pStyle w:val="Body12ptCalibri-IPR"/>
        <w:spacing w:line="480" w:lineRule="auto"/>
      </w:pPr>
      <w:r>
        <w:t xml:space="preserve">The study team will request the </w:t>
      </w:r>
      <w:r w:rsidR="006948B2">
        <w:t xml:space="preserve">same information as for the </w:t>
      </w:r>
      <w:r w:rsidR="00D50405">
        <w:t xml:space="preserve">Survey of WIC </w:t>
      </w:r>
      <w:r w:rsidR="006948B2">
        <w:t>Participant</w:t>
      </w:r>
      <w:r w:rsidR="00D50405">
        <w:t>s</w:t>
      </w:r>
      <w:r w:rsidR="006948B2">
        <w:t xml:space="preserve">, plus the date of the end of the last certification period. </w:t>
      </w:r>
      <w:r>
        <w:t xml:space="preserve">After compiling these participant-level lists, the team will identify unique household units. </w:t>
      </w:r>
      <w:r w:rsidR="006948B2">
        <w:t xml:space="preserve">As </w:t>
      </w:r>
      <w:r w:rsidR="00D50405">
        <w:t>for</w:t>
      </w:r>
      <w:r w:rsidR="006948B2">
        <w:t xml:space="preserve"> the </w:t>
      </w:r>
      <w:r w:rsidR="00D50405">
        <w:t xml:space="preserve">Survey of WIC </w:t>
      </w:r>
      <w:r w:rsidR="006948B2">
        <w:t>Participant</w:t>
      </w:r>
      <w:r w:rsidR="00D50405">
        <w:t>s</w:t>
      </w:r>
      <w:r w:rsidR="006948B2">
        <w:t>, h</w:t>
      </w:r>
      <w:r>
        <w:t xml:space="preserve">ousehold units in which the only WIC participants </w:t>
      </w:r>
      <w:r w:rsidR="00D50405">
        <w:t>are</w:t>
      </w:r>
      <w:r>
        <w:t xml:space="preserve"> infants who receive</w:t>
      </w:r>
      <w:r w:rsidR="00721D4B">
        <w:t>d</w:t>
      </w:r>
      <w:r>
        <w:t xml:space="preserve"> only formula or no food package at all </w:t>
      </w:r>
      <w:r w:rsidR="006948B2">
        <w:t>and</w:t>
      </w:r>
      <w:r>
        <w:t xml:space="preserve"> households in which all WIC participants receive</w:t>
      </w:r>
      <w:r w:rsidR="00721D4B">
        <w:t>d</w:t>
      </w:r>
      <w:r>
        <w:t xml:space="preserve"> a medical food package</w:t>
      </w:r>
      <w:r w:rsidR="006948B2">
        <w:t xml:space="preserve"> will be removed from the sample.</w:t>
      </w:r>
      <w:r w:rsidR="00A40CB8" w:rsidRPr="00A40CB8">
        <w:t xml:space="preserve"> </w:t>
      </w:r>
      <w:r w:rsidR="00A40CB8">
        <w:t>As in the Survey of Current Participants, a few screening questions will be included at the beginning of the survey to ensure these households are not included in the survey.</w:t>
      </w:r>
    </w:p>
    <w:p w14:paraId="0861CDC8" w14:textId="15349F30" w:rsidR="00C356A9" w:rsidRDefault="0021657E" w:rsidP="00821069">
      <w:pPr>
        <w:pStyle w:val="Body12ptCalibri-IPR"/>
        <w:spacing w:line="480" w:lineRule="auto"/>
      </w:pPr>
      <w:r>
        <w:t xml:space="preserve">We expect to achieve a response rate of 60 percent of the former participants. We will select a total sample of 625 former participants to reach 375 completed responses. </w:t>
      </w:r>
      <w:r w:rsidR="00032BB8">
        <w:t xml:space="preserve">The study team will sort </w:t>
      </w:r>
      <w:r w:rsidR="007F0B92">
        <w:t xml:space="preserve">the data file by State, </w:t>
      </w:r>
      <w:r w:rsidR="00032BB8">
        <w:t>urban/rural</w:t>
      </w:r>
      <w:r w:rsidR="007F0B92">
        <w:t xml:space="preserve"> status</w:t>
      </w:r>
      <w:r w:rsidR="00C763C9">
        <w:t>,</w:t>
      </w:r>
      <w:r w:rsidR="00032BB8">
        <w:t xml:space="preserve"> and the number of WIC participants in the family</w:t>
      </w:r>
      <w:r w:rsidR="007F0B92">
        <w:t>. Then,</w:t>
      </w:r>
      <w:r w:rsidR="00032BB8">
        <w:t xml:space="preserve"> </w:t>
      </w:r>
      <w:r w:rsidR="00C763C9">
        <w:t xml:space="preserve">a </w:t>
      </w:r>
      <w:r w:rsidR="007F0B92">
        <w:t>systematic</w:t>
      </w:r>
      <w:r w:rsidR="00032BB8">
        <w:t xml:space="preserve"> random sample</w:t>
      </w:r>
      <w:r w:rsidR="007F0B92">
        <w:t xml:space="preserve"> of </w:t>
      </w:r>
      <w:r w:rsidR="00272C74">
        <w:t>625</w:t>
      </w:r>
      <w:r w:rsidR="002F43F7">
        <w:t xml:space="preserve"> households</w:t>
      </w:r>
      <w:r w:rsidR="007F0B92">
        <w:t xml:space="preserve"> will be selected.</w:t>
      </w:r>
      <w:r w:rsidR="00DB0FEB">
        <w:t xml:space="preserve"> </w:t>
      </w:r>
      <w:r w:rsidR="00327FD3">
        <w:t xml:space="preserve">Stratification and sampling will follow the same procedures described for the Survey of WIC Participants above. </w:t>
      </w:r>
      <w:r w:rsidR="00DB0FEB">
        <w:t>Analysis</w:t>
      </w:r>
      <w:r w:rsidR="00490414">
        <w:t xml:space="preserve"> weights will account for probability of selection and nonresponse; see section B.2, Procedures for the Collection of Information, for more detail on weighting.</w:t>
      </w:r>
      <w:r w:rsidR="00FA76CB">
        <w:t xml:space="preserve">  </w:t>
      </w:r>
    </w:p>
    <w:p w14:paraId="75872A7F" w14:textId="00D03268" w:rsidR="00AD42A7" w:rsidRDefault="00FA76CB" w:rsidP="00821069">
      <w:pPr>
        <w:pStyle w:val="Body12ptCalibri-IPR"/>
        <w:spacing w:line="480" w:lineRule="auto"/>
      </w:pPr>
      <w:r>
        <w:t xml:space="preserve">The overall response rate for the entire study is estimated to be </w:t>
      </w:r>
      <w:r w:rsidR="00AD42A7">
        <w:t>69.3 percent</w:t>
      </w:r>
      <w:r w:rsidR="000B6214">
        <w:t xml:space="preserve">. </w:t>
      </w:r>
      <w:r w:rsidR="00AD42A7">
        <w:t>This estimate includes anticipated response rates of 70.0 percent for the</w:t>
      </w:r>
      <w:r w:rsidR="002F66AD">
        <w:t xml:space="preserve"> </w:t>
      </w:r>
      <w:r w:rsidR="00AD42A7">
        <w:t>WIC Participant Survey, 60.0 percent for the Former WIC Participant Survey, and 100.0 percent for the WIC State Agency Director Interviews (Table B.</w:t>
      </w:r>
      <w:r w:rsidR="007C0E38">
        <w:t>1.</w:t>
      </w:r>
      <w:r w:rsidR="00AD42A7">
        <w:t>2).</w:t>
      </w:r>
      <w:r w:rsidR="00082314">
        <w:t xml:space="preserve"> </w:t>
      </w:r>
    </w:p>
    <w:p w14:paraId="09FA7752" w14:textId="4AAFED94" w:rsidR="00AD42A7" w:rsidRPr="00672604" w:rsidRDefault="00AD42A7" w:rsidP="00AD42A7">
      <w:pPr>
        <w:pStyle w:val="TableTitle-IPR"/>
      </w:pPr>
      <w:bookmarkStart w:id="7" w:name="_Toc466024597"/>
      <w:r>
        <w:t>Table B.</w:t>
      </w:r>
      <w:r w:rsidR="007C0E38">
        <w:t>1.</w:t>
      </w:r>
      <w:r>
        <w:t>2</w:t>
      </w:r>
      <w:r w:rsidRPr="00672604">
        <w:t xml:space="preserve">. </w:t>
      </w:r>
      <w:r>
        <w:t>Expected Response Rates</w:t>
      </w:r>
      <w:bookmarkEnd w:id="7"/>
      <w:r w:rsidRPr="00672604">
        <w:t xml:space="preserve"> </w:t>
      </w:r>
    </w:p>
    <w:tbl>
      <w:tblPr>
        <w:tblStyle w:val="TableGrid"/>
        <w:tblW w:w="4616" w:type="pct"/>
        <w:tblInd w:w="86" w:type="dxa"/>
        <w:tblBorders>
          <w:top w:val="single" w:sz="8" w:space="0" w:color="B12732"/>
          <w:left w:val="none" w:sz="0" w:space="0" w:color="auto"/>
          <w:bottom w:val="single" w:sz="8" w:space="0" w:color="B12732"/>
          <w:right w:val="none" w:sz="0" w:space="0" w:color="auto"/>
          <w:insideH w:val="single" w:sz="4" w:space="0" w:color="A6A6A6"/>
          <w:insideV w:val="single" w:sz="4" w:space="0" w:color="A6A6A6"/>
        </w:tblBorders>
        <w:tblCellMar>
          <w:left w:w="58" w:type="dxa"/>
          <w:right w:w="58" w:type="dxa"/>
        </w:tblCellMar>
        <w:tblLook w:val="04A0" w:firstRow="1" w:lastRow="0" w:firstColumn="1" w:lastColumn="0" w:noHBand="0" w:noVBand="1"/>
      </w:tblPr>
      <w:tblGrid>
        <w:gridCol w:w="3033"/>
        <w:gridCol w:w="1905"/>
        <w:gridCol w:w="1905"/>
        <w:gridCol w:w="1905"/>
      </w:tblGrid>
      <w:tr w:rsidR="00AD42A7" w:rsidRPr="00742BA3" w14:paraId="5C548700" w14:textId="77777777" w:rsidTr="00AD42A7">
        <w:trPr>
          <w:tblHeader/>
        </w:trPr>
        <w:tc>
          <w:tcPr>
            <w:tcW w:w="1733" w:type="pct"/>
            <w:tcBorders>
              <w:top w:val="single" w:sz="8" w:space="0" w:color="B12732"/>
              <w:bottom w:val="single" w:sz="8" w:space="0" w:color="B12732"/>
              <w:right w:val="nil"/>
            </w:tcBorders>
            <w:vAlign w:val="center"/>
          </w:tcPr>
          <w:p w14:paraId="68C0490C" w14:textId="4B38E12D" w:rsidR="00AD42A7" w:rsidRPr="00742BA3" w:rsidRDefault="00AD42A7" w:rsidP="005B7DF1">
            <w:pPr>
              <w:pStyle w:val="Body12ptCalibri-IPR"/>
              <w:spacing w:after="0"/>
              <w:jc w:val="center"/>
              <w:rPr>
                <w:rFonts w:ascii="Lucida Sans" w:hAnsi="Lucida Sans"/>
                <w:sz w:val="18"/>
              </w:rPr>
            </w:pPr>
            <w:r>
              <w:rPr>
                <w:rFonts w:ascii="Lucida Sans" w:hAnsi="Lucida Sans"/>
                <w:sz w:val="18"/>
              </w:rPr>
              <w:t>Study Component</w:t>
            </w:r>
          </w:p>
        </w:tc>
        <w:tc>
          <w:tcPr>
            <w:tcW w:w="1089" w:type="pct"/>
            <w:tcBorders>
              <w:top w:val="single" w:sz="8" w:space="0" w:color="B12732"/>
              <w:left w:val="nil"/>
              <w:bottom w:val="single" w:sz="8" w:space="0" w:color="B12732"/>
              <w:right w:val="nil"/>
            </w:tcBorders>
            <w:vAlign w:val="center"/>
          </w:tcPr>
          <w:p w14:paraId="33BF3D68" w14:textId="71B037F1" w:rsidR="00AD42A7" w:rsidRPr="00742BA3" w:rsidRDefault="00AD42A7" w:rsidP="005B7DF1">
            <w:pPr>
              <w:pStyle w:val="Body12ptCalibri-IPR"/>
              <w:spacing w:after="0"/>
              <w:jc w:val="center"/>
              <w:rPr>
                <w:rFonts w:ascii="Lucida Sans" w:hAnsi="Lucida Sans"/>
                <w:sz w:val="18"/>
              </w:rPr>
            </w:pPr>
            <w:r>
              <w:rPr>
                <w:rFonts w:ascii="Lucida Sans" w:hAnsi="Lucida Sans"/>
                <w:sz w:val="18"/>
              </w:rPr>
              <w:t>Number Selected for Study</w:t>
            </w:r>
          </w:p>
        </w:tc>
        <w:tc>
          <w:tcPr>
            <w:tcW w:w="1089" w:type="pct"/>
            <w:tcBorders>
              <w:top w:val="single" w:sz="8" w:space="0" w:color="B12732"/>
              <w:left w:val="nil"/>
              <w:bottom w:val="single" w:sz="8" w:space="0" w:color="B12732"/>
              <w:right w:val="nil"/>
            </w:tcBorders>
            <w:vAlign w:val="center"/>
          </w:tcPr>
          <w:p w14:paraId="4AA395C6" w14:textId="7D89863B" w:rsidR="00AD42A7" w:rsidRPr="00742BA3" w:rsidRDefault="00AD42A7" w:rsidP="005B7DF1">
            <w:pPr>
              <w:pStyle w:val="Body12ptCalibri-IPR"/>
              <w:spacing w:after="0"/>
              <w:jc w:val="center"/>
              <w:rPr>
                <w:rFonts w:ascii="Lucida Sans" w:hAnsi="Lucida Sans"/>
                <w:sz w:val="18"/>
              </w:rPr>
            </w:pPr>
            <w:r>
              <w:rPr>
                <w:rFonts w:ascii="Lucida Sans" w:hAnsi="Lucida Sans"/>
                <w:sz w:val="18"/>
              </w:rPr>
              <w:t>Number Expected to Respond</w:t>
            </w:r>
          </w:p>
        </w:tc>
        <w:tc>
          <w:tcPr>
            <w:tcW w:w="1089" w:type="pct"/>
            <w:tcBorders>
              <w:top w:val="single" w:sz="8" w:space="0" w:color="B12732"/>
              <w:left w:val="nil"/>
              <w:bottom w:val="single" w:sz="8" w:space="0" w:color="B12732"/>
              <w:right w:val="nil"/>
            </w:tcBorders>
            <w:vAlign w:val="center"/>
          </w:tcPr>
          <w:p w14:paraId="00B5A25A" w14:textId="30389BD1" w:rsidR="00AD42A7" w:rsidRPr="00742BA3" w:rsidRDefault="00AD42A7" w:rsidP="005B7DF1">
            <w:pPr>
              <w:pStyle w:val="Body12ptCalibri-IPR"/>
              <w:spacing w:after="0"/>
              <w:jc w:val="center"/>
              <w:rPr>
                <w:rFonts w:ascii="Lucida Sans" w:hAnsi="Lucida Sans"/>
                <w:sz w:val="18"/>
              </w:rPr>
            </w:pPr>
            <w:r>
              <w:rPr>
                <w:rFonts w:ascii="Lucida Sans" w:hAnsi="Lucida Sans"/>
                <w:sz w:val="18"/>
              </w:rPr>
              <w:t>Expected Response Rate</w:t>
            </w:r>
          </w:p>
        </w:tc>
      </w:tr>
      <w:tr w:rsidR="00AD42A7" w14:paraId="2230E4EF" w14:textId="77777777" w:rsidTr="00AD42A7">
        <w:trPr>
          <w:trHeight w:val="288"/>
        </w:trPr>
        <w:tc>
          <w:tcPr>
            <w:tcW w:w="1733" w:type="pct"/>
            <w:tcBorders>
              <w:top w:val="single" w:sz="8" w:space="0" w:color="B12732"/>
            </w:tcBorders>
          </w:tcPr>
          <w:p w14:paraId="31CBF4F3" w14:textId="60A3602B" w:rsidR="00AD42A7" w:rsidRPr="00D672F3" w:rsidRDefault="00AD42A7" w:rsidP="005B7DF1">
            <w:pPr>
              <w:pStyle w:val="Body12ptCalibri-IPR"/>
              <w:spacing w:after="0"/>
              <w:rPr>
                <w:rFonts w:asciiTheme="minorHAnsi" w:hAnsiTheme="minorHAnsi"/>
                <w:sz w:val="18"/>
                <w:szCs w:val="18"/>
              </w:rPr>
            </w:pPr>
            <w:r>
              <w:rPr>
                <w:rFonts w:asciiTheme="minorHAnsi" w:hAnsiTheme="minorHAnsi"/>
                <w:sz w:val="18"/>
                <w:szCs w:val="18"/>
              </w:rPr>
              <w:t>WIC Participant Survey</w:t>
            </w:r>
          </w:p>
        </w:tc>
        <w:tc>
          <w:tcPr>
            <w:tcW w:w="1089" w:type="pct"/>
            <w:tcBorders>
              <w:top w:val="single" w:sz="8" w:space="0" w:color="B12732"/>
            </w:tcBorders>
          </w:tcPr>
          <w:p w14:paraId="7880E1F8" w14:textId="2791F540" w:rsidR="00AD42A7" w:rsidRPr="00D672F3" w:rsidRDefault="00AD42A7" w:rsidP="005B7DF1">
            <w:pPr>
              <w:pStyle w:val="Body12ptCalibri-IPR"/>
              <w:spacing w:after="0"/>
              <w:jc w:val="right"/>
              <w:rPr>
                <w:rFonts w:asciiTheme="minorHAnsi" w:hAnsiTheme="minorHAnsi"/>
                <w:sz w:val="18"/>
                <w:szCs w:val="18"/>
              </w:rPr>
            </w:pPr>
            <w:r>
              <w:rPr>
                <w:rFonts w:asciiTheme="minorHAnsi" w:hAnsiTheme="minorHAnsi"/>
                <w:sz w:val="18"/>
                <w:szCs w:val="18"/>
              </w:rPr>
              <w:t>4,284</w:t>
            </w:r>
          </w:p>
        </w:tc>
        <w:tc>
          <w:tcPr>
            <w:tcW w:w="1089" w:type="pct"/>
            <w:tcBorders>
              <w:top w:val="single" w:sz="8" w:space="0" w:color="B12732"/>
            </w:tcBorders>
          </w:tcPr>
          <w:p w14:paraId="0369E32E" w14:textId="257A4F66" w:rsidR="00AD42A7" w:rsidRPr="00D672F3" w:rsidRDefault="00AD42A7" w:rsidP="005B7DF1">
            <w:pPr>
              <w:pStyle w:val="Body12ptCalibri-IPR"/>
              <w:spacing w:after="0"/>
              <w:jc w:val="right"/>
              <w:rPr>
                <w:rFonts w:asciiTheme="minorHAnsi" w:hAnsiTheme="minorHAnsi"/>
                <w:sz w:val="18"/>
                <w:szCs w:val="18"/>
              </w:rPr>
            </w:pPr>
            <w:r>
              <w:rPr>
                <w:rFonts w:asciiTheme="minorHAnsi" w:hAnsiTheme="minorHAnsi"/>
                <w:sz w:val="18"/>
                <w:szCs w:val="18"/>
              </w:rPr>
              <w:t>3,000</w:t>
            </w:r>
          </w:p>
        </w:tc>
        <w:tc>
          <w:tcPr>
            <w:tcW w:w="1089" w:type="pct"/>
            <w:tcBorders>
              <w:top w:val="single" w:sz="8" w:space="0" w:color="B12732"/>
            </w:tcBorders>
          </w:tcPr>
          <w:p w14:paraId="103D0766" w14:textId="7866CF44" w:rsidR="00AD42A7" w:rsidRPr="00D672F3" w:rsidRDefault="00AD42A7" w:rsidP="005B7DF1">
            <w:pPr>
              <w:pStyle w:val="Body12ptCalibri-IPR"/>
              <w:spacing w:after="0"/>
              <w:jc w:val="right"/>
              <w:rPr>
                <w:rFonts w:asciiTheme="minorHAnsi" w:hAnsiTheme="minorHAnsi"/>
                <w:sz w:val="18"/>
                <w:szCs w:val="18"/>
              </w:rPr>
            </w:pPr>
            <w:r>
              <w:rPr>
                <w:rFonts w:asciiTheme="minorHAnsi" w:hAnsiTheme="minorHAnsi"/>
                <w:sz w:val="18"/>
                <w:szCs w:val="18"/>
              </w:rPr>
              <w:t>70.0%</w:t>
            </w:r>
          </w:p>
        </w:tc>
      </w:tr>
      <w:tr w:rsidR="00AD42A7" w14:paraId="5B3476A3" w14:textId="77777777" w:rsidTr="00AD42A7">
        <w:trPr>
          <w:trHeight w:val="288"/>
        </w:trPr>
        <w:tc>
          <w:tcPr>
            <w:tcW w:w="1733" w:type="pct"/>
          </w:tcPr>
          <w:p w14:paraId="48CB7273" w14:textId="76AD30A1" w:rsidR="00AD42A7" w:rsidRPr="00D672F3" w:rsidRDefault="00AD42A7" w:rsidP="005B7DF1">
            <w:pPr>
              <w:pStyle w:val="Body12ptCalibri-IPR"/>
              <w:spacing w:after="0"/>
              <w:rPr>
                <w:rFonts w:asciiTheme="minorHAnsi" w:hAnsiTheme="minorHAnsi"/>
                <w:sz w:val="18"/>
                <w:szCs w:val="18"/>
              </w:rPr>
            </w:pPr>
            <w:r>
              <w:rPr>
                <w:rFonts w:asciiTheme="minorHAnsi" w:hAnsiTheme="minorHAnsi"/>
                <w:sz w:val="18"/>
                <w:szCs w:val="18"/>
              </w:rPr>
              <w:t>Former WIC Participant Survey</w:t>
            </w:r>
          </w:p>
        </w:tc>
        <w:tc>
          <w:tcPr>
            <w:tcW w:w="1089" w:type="pct"/>
          </w:tcPr>
          <w:p w14:paraId="3FF28683" w14:textId="6D2F769D" w:rsidR="00AD42A7" w:rsidRPr="00D672F3" w:rsidRDefault="00AD42A7" w:rsidP="005B7DF1">
            <w:pPr>
              <w:pStyle w:val="Body12ptCalibri-IPR"/>
              <w:spacing w:after="0"/>
              <w:jc w:val="right"/>
              <w:rPr>
                <w:rFonts w:asciiTheme="minorHAnsi" w:hAnsiTheme="minorHAnsi"/>
                <w:sz w:val="18"/>
                <w:szCs w:val="18"/>
              </w:rPr>
            </w:pPr>
            <w:r>
              <w:rPr>
                <w:rFonts w:asciiTheme="minorHAnsi" w:hAnsiTheme="minorHAnsi"/>
                <w:sz w:val="18"/>
                <w:szCs w:val="18"/>
              </w:rPr>
              <w:t>625</w:t>
            </w:r>
          </w:p>
        </w:tc>
        <w:tc>
          <w:tcPr>
            <w:tcW w:w="1089" w:type="pct"/>
          </w:tcPr>
          <w:p w14:paraId="561F162C" w14:textId="50E6550D" w:rsidR="00AD42A7" w:rsidRPr="00D672F3" w:rsidRDefault="00AD42A7" w:rsidP="005B7DF1">
            <w:pPr>
              <w:pStyle w:val="Body12ptCalibri-IPR"/>
              <w:spacing w:after="0"/>
              <w:jc w:val="right"/>
              <w:rPr>
                <w:rFonts w:asciiTheme="minorHAnsi" w:hAnsiTheme="minorHAnsi"/>
                <w:sz w:val="18"/>
                <w:szCs w:val="18"/>
              </w:rPr>
            </w:pPr>
            <w:r>
              <w:rPr>
                <w:rFonts w:asciiTheme="minorHAnsi" w:hAnsiTheme="minorHAnsi"/>
                <w:sz w:val="18"/>
                <w:szCs w:val="18"/>
              </w:rPr>
              <w:t>375</w:t>
            </w:r>
          </w:p>
        </w:tc>
        <w:tc>
          <w:tcPr>
            <w:tcW w:w="1089" w:type="pct"/>
          </w:tcPr>
          <w:p w14:paraId="01A273E0" w14:textId="62A1E8A4" w:rsidR="00AD42A7" w:rsidRPr="00D672F3" w:rsidRDefault="00AD42A7" w:rsidP="005B7DF1">
            <w:pPr>
              <w:pStyle w:val="Body12ptCalibri-IPR"/>
              <w:spacing w:after="0"/>
              <w:jc w:val="right"/>
              <w:rPr>
                <w:rFonts w:asciiTheme="minorHAnsi" w:hAnsiTheme="minorHAnsi"/>
                <w:sz w:val="18"/>
                <w:szCs w:val="18"/>
              </w:rPr>
            </w:pPr>
            <w:r>
              <w:rPr>
                <w:rFonts w:asciiTheme="minorHAnsi" w:hAnsiTheme="minorHAnsi"/>
                <w:sz w:val="18"/>
                <w:szCs w:val="18"/>
              </w:rPr>
              <w:t>60.0%</w:t>
            </w:r>
          </w:p>
        </w:tc>
      </w:tr>
      <w:tr w:rsidR="00AD42A7" w14:paraId="599E95F7" w14:textId="77777777" w:rsidTr="00AD42A7">
        <w:trPr>
          <w:trHeight w:val="288"/>
        </w:trPr>
        <w:tc>
          <w:tcPr>
            <w:tcW w:w="1733" w:type="pct"/>
          </w:tcPr>
          <w:p w14:paraId="06B83923" w14:textId="21949A42" w:rsidR="00AD42A7" w:rsidRPr="00D672F3" w:rsidRDefault="00AD42A7" w:rsidP="005B7DF1">
            <w:pPr>
              <w:pStyle w:val="Body12ptCalibri-IPR"/>
              <w:spacing w:after="0"/>
              <w:rPr>
                <w:rFonts w:asciiTheme="minorHAnsi" w:hAnsiTheme="minorHAnsi"/>
                <w:sz w:val="18"/>
                <w:szCs w:val="18"/>
              </w:rPr>
            </w:pPr>
            <w:r>
              <w:rPr>
                <w:rFonts w:asciiTheme="minorHAnsi" w:hAnsiTheme="minorHAnsi"/>
                <w:sz w:val="18"/>
                <w:szCs w:val="18"/>
              </w:rPr>
              <w:t>WIC State Agency Director Interviews</w:t>
            </w:r>
          </w:p>
        </w:tc>
        <w:tc>
          <w:tcPr>
            <w:tcW w:w="1089" w:type="pct"/>
          </w:tcPr>
          <w:p w14:paraId="6474B919" w14:textId="55C90593" w:rsidR="00AD42A7" w:rsidRPr="00D672F3" w:rsidRDefault="007C393C" w:rsidP="007C393C">
            <w:pPr>
              <w:pStyle w:val="Body12ptCalibri-IPR"/>
              <w:spacing w:after="0"/>
              <w:jc w:val="right"/>
              <w:rPr>
                <w:rFonts w:asciiTheme="minorHAnsi" w:hAnsiTheme="minorHAnsi"/>
                <w:sz w:val="18"/>
                <w:szCs w:val="18"/>
              </w:rPr>
            </w:pPr>
            <w:r>
              <w:rPr>
                <w:rFonts w:asciiTheme="minorHAnsi" w:hAnsiTheme="minorHAnsi"/>
                <w:sz w:val="18"/>
                <w:szCs w:val="18"/>
              </w:rPr>
              <w:t>70</w:t>
            </w:r>
          </w:p>
        </w:tc>
        <w:tc>
          <w:tcPr>
            <w:tcW w:w="1089" w:type="pct"/>
          </w:tcPr>
          <w:p w14:paraId="6CEDD590" w14:textId="1BE7CD98" w:rsidR="00AD42A7" w:rsidRPr="00D672F3" w:rsidRDefault="007C393C" w:rsidP="007C393C">
            <w:pPr>
              <w:pStyle w:val="Body12ptCalibri-IPR"/>
              <w:spacing w:after="0"/>
              <w:jc w:val="right"/>
              <w:rPr>
                <w:rFonts w:asciiTheme="minorHAnsi" w:hAnsiTheme="minorHAnsi"/>
                <w:sz w:val="18"/>
                <w:szCs w:val="18"/>
              </w:rPr>
            </w:pPr>
            <w:r>
              <w:rPr>
                <w:rFonts w:asciiTheme="minorHAnsi" w:hAnsiTheme="minorHAnsi"/>
                <w:sz w:val="18"/>
                <w:szCs w:val="18"/>
              </w:rPr>
              <w:t>70</w:t>
            </w:r>
          </w:p>
        </w:tc>
        <w:tc>
          <w:tcPr>
            <w:tcW w:w="1089" w:type="pct"/>
          </w:tcPr>
          <w:p w14:paraId="7B26DB36" w14:textId="04FC6B02" w:rsidR="00AD42A7" w:rsidRPr="00D672F3" w:rsidRDefault="00AD42A7" w:rsidP="005B7DF1">
            <w:pPr>
              <w:pStyle w:val="Body12ptCalibri-IPR"/>
              <w:spacing w:after="0"/>
              <w:jc w:val="right"/>
              <w:rPr>
                <w:rFonts w:asciiTheme="minorHAnsi" w:hAnsiTheme="minorHAnsi"/>
                <w:sz w:val="18"/>
                <w:szCs w:val="18"/>
              </w:rPr>
            </w:pPr>
            <w:r>
              <w:rPr>
                <w:rFonts w:asciiTheme="minorHAnsi" w:hAnsiTheme="minorHAnsi"/>
                <w:sz w:val="18"/>
                <w:szCs w:val="18"/>
              </w:rPr>
              <w:t>100.0%</w:t>
            </w:r>
          </w:p>
        </w:tc>
      </w:tr>
      <w:tr w:rsidR="00AD42A7" w:rsidRPr="00AD42A7" w14:paraId="41D0D422" w14:textId="77777777" w:rsidTr="00AD42A7">
        <w:trPr>
          <w:trHeight w:val="288"/>
        </w:trPr>
        <w:tc>
          <w:tcPr>
            <w:tcW w:w="1733" w:type="pct"/>
          </w:tcPr>
          <w:p w14:paraId="64B9E49D" w14:textId="68299CBF" w:rsidR="00AD42A7" w:rsidRPr="00AD42A7" w:rsidRDefault="00AD42A7" w:rsidP="005B7DF1">
            <w:pPr>
              <w:pStyle w:val="Body12ptCalibri-IPR"/>
              <w:spacing w:after="0"/>
              <w:rPr>
                <w:rFonts w:asciiTheme="minorHAnsi" w:hAnsiTheme="minorHAnsi"/>
                <w:b/>
                <w:sz w:val="18"/>
                <w:szCs w:val="18"/>
              </w:rPr>
            </w:pPr>
            <w:r w:rsidRPr="00AD42A7">
              <w:rPr>
                <w:rFonts w:asciiTheme="minorHAnsi" w:hAnsiTheme="minorHAnsi"/>
                <w:b/>
                <w:sz w:val="18"/>
                <w:szCs w:val="18"/>
              </w:rPr>
              <w:t>Total</w:t>
            </w:r>
          </w:p>
        </w:tc>
        <w:tc>
          <w:tcPr>
            <w:tcW w:w="1089" w:type="pct"/>
          </w:tcPr>
          <w:p w14:paraId="4A8454DE" w14:textId="26C6F6FE" w:rsidR="00AD42A7" w:rsidRPr="00AD42A7" w:rsidRDefault="00AD42A7" w:rsidP="007C393C">
            <w:pPr>
              <w:pStyle w:val="Body12ptCalibri-IPR"/>
              <w:spacing w:after="0"/>
              <w:jc w:val="right"/>
              <w:rPr>
                <w:rFonts w:asciiTheme="minorHAnsi" w:hAnsiTheme="minorHAnsi"/>
                <w:b/>
                <w:sz w:val="18"/>
                <w:szCs w:val="18"/>
              </w:rPr>
            </w:pPr>
            <w:r w:rsidRPr="00AD42A7">
              <w:rPr>
                <w:rFonts w:asciiTheme="minorHAnsi" w:hAnsiTheme="minorHAnsi"/>
                <w:b/>
                <w:sz w:val="18"/>
                <w:szCs w:val="18"/>
              </w:rPr>
              <w:t>4,9</w:t>
            </w:r>
            <w:r w:rsidR="007C393C">
              <w:rPr>
                <w:rFonts w:asciiTheme="minorHAnsi" w:hAnsiTheme="minorHAnsi"/>
                <w:b/>
                <w:sz w:val="18"/>
                <w:szCs w:val="18"/>
              </w:rPr>
              <w:t>79</w:t>
            </w:r>
          </w:p>
        </w:tc>
        <w:tc>
          <w:tcPr>
            <w:tcW w:w="1089" w:type="pct"/>
          </w:tcPr>
          <w:p w14:paraId="51B8AFD3" w14:textId="39FE3FA5" w:rsidR="00AD42A7" w:rsidRPr="00AD42A7" w:rsidRDefault="00AD42A7" w:rsidP="007C393C">
            <w:pPr>
              <w:pStyle w:val="Body12ptCalibri-IPR"/>
              <w:spacing w:after="0"/>
              <w:jc w:val="right"/>
              <w:rPr>
                <w:rFonts w:asciiTheme="minorHAnsi" w:hAnsiTheme="minorHAnsi"/>
                <w:b/>
                <w:sz w:val="18"/>
                <w:szCs w:val="18"/>
              </w:rPr>
            </w:pPr>
            <w:r w:rsidRPr="00AD42A7">
              <w:rPr>
                <w:rFonts w:asciiTheme="minorHAnsi" w:hAnsiTheme="minorHAnsi"/>
                <w:b/>
                <w:sz w:val="18"/>
                <w:szCs w:val="18"/>
              </w:rPr>
              <w:t>3,4</w:t>
            </w:r>
            <w:r w:rsidR="007C393C">
              <w:rPr>
                <w:rFonts w:asciiTheme="minorHAnsi" w:hAnsiTheme="minorHAnsi"/>
                <w:b/>
                <w:sz w:val="18"/>
                <w:szCs w:val="18"/>
              </w:rPr>
              <w:t>36</w:t>
            </w:r>
          </w:p>
        </w:tc>
        <w:tc>
          <w:tcPr>
            <w:tcW w:w="1089" w:type="pct"/>
          </w:tcPr>
          <w:p w14:paraId="353E1010" w14:textId="69DC80D2" w:rsidR="00AD42A7" w:rsidRPr="00AD42A7" w:rsidRDefault="00AD42A7" w:rsidP="005B7DF1">
            <w:pPr>
              <w:pStyle w:val="Body12ptCalibri-IPR"/>
              <w:spacing w:after="0"/>
              <w:jc w:val="right"/>
              <w:rPr>
                <w:rFonts w:asciiTheme="minorHAnsi" w:hAnsiTheme="minorHAnsi"/>
                <w:b/>
                <w:sz w:val="18"/>
                <w:szCs w:val="18"/>
              </w:rPr>
            </w:pPr>
            <w:r w:rsidRPr="00AD42A7">
              <w:rPr>
                <w:rFonts w:asciiTheme="minorHAnsi" w:hAnsiTheme="minorHAnsi"/>
                <w:b/>
                <w:sz w:val="18"/>
                <w:szCs w:val="18"/>
              </w:rPr>
              <w:t>69.</w:t>
            </w:r>
            <w:r w:rsidR="007C393C">
              <w:rPr>
                <w:rFonts w:asciiTheme="minorHAnsi" w:hAnsiTheme="minorHAnsi"/>
                <w:b/>
                <w:sz w:val="18"/>
                <w:szCs w:val="18"/>
              </w:rPr>
              <w:t>0</w:t>
            </w:r>
            <w:r w:rsidRPr="00AD42A7">
              <w:rPr>
                <w:rFonts w:asciiTheme="minorHAnsi" w:hAnsiTheme="minorHAnsi"/>
                <w:b/>
                <w:sz w:val="18"/>
                <w:szCs w:val="18"/>
              </w:rPr>
              <w:t>%</w:t>
            </w:r>
          </w:p>
        </w:tc>
      </w:tr>
    </w:tbl>
    <w:p w14:paraId="1CDE0B10" w14:textId="77777777" w:rsidR="00AD42A7" w:rsidRDefault="00AD42A7" w:rsidP="00821069">
      <w:pPr>
        <w:pStyle w:val="Body12ptCalibri-IPR"/>
        <w:spacing w:line="480" w:lineRule="auto"/>
      </w:pPr>
    </w:p>
    <w:p w14:paraId="4C6B311E" w14:textId="714D087D" w:rsidR="00821069" w:rsidRDefault="002F66AD" w:rsidP="00821069">
      <w:pPr>
        <w:pStyle w:val="Body12ptCalibri-IPR"/>
        <w:spacing w:line="480" w:lineRule="auto"/>
      </w:pPr>
      <w:r>
        <w:t>See section B.3</w:t>
      </w:r>
      <w:r w:rsidR="00C356A9">
        <w:t>, Methods to</w:t>
      </w:r>
      <w:r w:rsidR="00C356A9" w:rsidRPr="00C356A9">
        <w:t xml:space="preserve"> Maximize Response Rates and the Issue of Non-Response</w:t>
      </w:r>
      <w:r w:rsidR="00C356A9">
        <w:t>, for more information on our strategies for maximizing response rates</w:t>
      </w:r>
      <w:r w:rsidR="00447DCC">
        <w:t xml:space="preserve"> for these surveys</w:t>
      </w:r>
      <w:r w:rsidR="00C356A9">
        <w:t>.</w:t>
      </w:r>
      <w:r w:rsidR="00447DCC">
        <w:t xml:space="preserve"> We expect all WIC State agency directors to participate in the in-depth, semi</w:t>
      </w:r>
      <w:r w:rsidR="00026813">
        <w:t>-</w:t>
      </w:r>
      <w:r w:rsidR="00447DCC">
        <w:t>structured interv</w:t>
      </w:r>
      <w:r w:rsidR="00082314">
        <w:t>i</w:t>
      </w:r>
      <w:r w:rsidR="00447DCC">
        <w:t>ews.</w:t>
      </w:r>
    </w:p>
    <w:p w14:paraId="087792AA" w14:textId="32072191" w:rsidR="001776C5" w:rsidRDefault="001776C5" w:rsidP="00D672F3">
      <w:pPr>
        <w:pStyle w:val="NewHeading2"/>
      </w:pPr>
      <w:bookmarkStart w:id="8" w:name="_Toc430003424"/>
      <w:r>
        <w:t>P</w:t>
      </w:r>
      <w:r w:rsidR="00500C20">
        <w:t xml:space="preserve">rocedures for the </w:t>
      </w:r>
      <w:r w:rsidR="003B0C3F">
        <w:t>C</w:t>
      </w:r>
      <w:r w:rsidR="00500C20">
        <w:t xml:space="preserve">ollection of </w:t>
      </w:r>
      <w:r w:rsidR="003B0C3F">
        <w:t>I</w:t>
      </w:r>
      <w:r w:rsidR="00500C20">
        <w:t>nformation</w:t>
      </w:r>
      <w:bookmarkEnd w:id="8"/>
    </w:p>
    <w:p w14:paraId="50FF9EBC" w14:textId="77777777" w:rsidR="00500C20" w:rsidRPr="00742BA3" w:rsidRDefault="00500C20" w:rsidP="00201BE0">
      <w:pPr>
        <w:pStyle w:val="Hdng4Calibri-IPR"/>
        <w:spacing w:line="480" w:lineRule="auto"/>
        <w:rPr>
          <w:rFonts w:ascii="Candara" w:hAnsi="Candara"/>
          <w:sz w:val="22"/>
          <w:szCs w:val="22"/>
        </w:rPr>
      </w:pPr>
      <w:r w:rsidRPr="00742BA3">
        <w:rPr>
          <w:rFonts w:ascii="Candara" w:hAnsi="Candara"/>
          <w:sz w:val="22"/>
          <w:szCs w:val="22"/>
        </w:rPr>
        <w:t>Describe the procedures for the collection of information including:</w:t>
      </w:r>
    </w:p>
    <w:p w14:paraId="79796C48" w14:textId="77777777" w:rsidR="00500C20" w:rsidRPr="00742BA3" w:rsidRDefault="00500C20" w:rsidP="00D672F3">
      <w:pPr>
        <w:pStyle w:val="BulletsRed-IPR"/>
        <w:spacing w:after="0"/>
        <w:rPr>
          <w:rFonts w:ascii="Candara" w:hAnsi="Candara"/>
          <w:b/>
          <w:szCs w:val="22"/>
        </w:rPr>
      </w:pPr>
      <w:r w:rsidRPr="00742BA3">
        <w:rPr>
          <w:rFonts w:ascii="Candara" w:hAnsi="Candara"/>
          <w:b/>
          <w:szCs w:val="22"/>
        </w:rPr>
        <w:t>Statistical methodology for stratification and sample selection</w:t>
      </w:r>
    </w:p>
    <w:p w14:paraId="423C0C21" w14:textId="77777777" w:rsidR="00500C20" w:rsidRPr="00742BA3" w:rsidRDefault="00500C20" w:rsidP="00742BA3">
      <w:pPr>
        <w:pStyle w:val="BulletsRed-IPR"/>
        <w:rPr>
          <w:rFonts w:ascii="Candara" w:hAnsi="Candara"/>
          <w:b/>
          <w:szCs w:val="22"/>
        </w:rPr>
      </w:pPr>
      <w:r w:rsidRPr="00742BA3">
        <w:rPr>
          <w:rFonts w:ascii="Candara" w:hAnsi="Candara"/>
          <w:b/>
          <w:szCs w:val="22"/>
        </w:rPr>
        <w:t>Estimation procedure</w:t>
      </w:r>
    </w:p>
    <w:p w14:paraId="14AA1F23" w14:textId="77777777" w:rsidR="00500C20" w:rsidRPr="00742BA3" w:rsidRDefault="00500C20" w:rsidP="00D672F3">
      <w:pPr>
        <w:pStyle w:val="BulletsRed-IPR"/>
        <w:spacing w:after="0"/>
        <w:rPr>
          <w:rFonts w:ascii="Candara" w:hAnsi="Candara"/>
          <w:b/>
          <w:szCs w:val="22"/>
        </w:rPr>
      </w:pPr>
      <w:r w:rsidRPr="00742BA3">
        <w:rPr>
          <w:rFonts w:ascii="Candara" w:hAnsi="Candara"/>
          <w:b/>
          <w:szCs w:val="22"/>
        </w:rPr>
        <w:t>Degree of accuracy needed for the purpose described in the justification</w:t>
      </w:r>
    </w:p>
    <w:p w14:paraId="5D7950B0" w14:textId="77777777" w:rsidR="00500C20" w:rsidRPr="00742BA3" w:rsidRDefault="00500C20" w:rsidP="00D672F3">
      <w:pPr>
        <w:pStyle w:val="BulletsRed-IPR"/>
        <w:spacing w:after="0"/>
        <w:rPr>
          <w:rFonts w:ascii="Candara" w:hAnsi="Candara"/>
          <w:b/>
          <w:szCs w:val="22"/>
        </w:rPr>
      </w:pPr>
      <w:r w:rsidRPr="00742BA3">
        <w:rPr>
          <w:rFonts w:ascii="Candara" w:hAnsi="Candara"/>
          <w:b/>
          <w:szCs w:val="22"/>
        </w:rPr>
        <w:t>Unusual problems requiring specialized sampling procedures</w:t>
      </w:r>
    </w:p>
    <w:p w14:paraId="0C1A0746" w14:textId="3E01DB2C" w:rsidR="003F4B9E" w:rsidRDefault="00500C20" w:rsidP="003F4B9E">
      <w:pPr>
        <w:pStyle w:val="BulletsRed-IPR"/>
        <w:spacing w:after="240"/>
        <w:rPr>
          <w:rFonts w:ascii="Candara" w:hAnsi="Candara"/>
          <w:b/>
          <w:szCs w:val="22"/>
        </w:rPr>
      </w:pPr>
      <w:r w:rsidRPr="00742BA3">
        <w:rPr>
          <w:rFonts w:ascii="Candara" w:hAnsi="Candara"/>
          <w:b/>
          <w:szCs w:val="22"/>
        </w:rPr>
        <w:t>Any use of periodic (less frequent than annual) data collection cycles to reduce burden</w:t>
      </w:r>
    </w:p>
    <w:p w14:paraId="557C2A68" w14:textId="48D2C257" w:rsidR="003F4B9E" w:rsidRPr="00C17A64" w:rsidRDefault="00874638" w:rsidP="00846124">
      <w:pPr>
        <w:pStyle w:val="BulletsRed-IPR"/>
        <w:numPr>
          <w:ilvl w:val="0"/>
          <w:numId w:val="0"/>
        </w:numPr>
        <w:spacing w:after="240"/>
        <w:rPr>
          <w:rFonts w:eastAsia="Times New Roman"/>
        </w:rPr>
      </w:pPr>
      <w:r>
        <w:rPr>
          <w:rFonts w:eastAsia="Times New Roman"/>
        </w:rPr>
        <w:t>Sample members for t</w:t>
      </w:r>
      <w:r w:rsidR="003F4B9E">
        <w:rPr>
          <w:rFonts w:eastAsia="Times New Roman"/>
        </w:rPr>
        <w:t>he Survey of WIC Participants and the Survey of Former WI</w:t>
      </w:r>
      <w:r>
        <w:rPr>
          <w:rFonts w:eastAsia="Times New Roman"/>
        </w:rPr>
        <w:t>C Participants will initially receive an advance letter informing them about the study, describing the types of questions that will be asked, and indicating the incentive (</w:t>
      </w:r>
      <w:r w:rsidR="00A5095C">
        <w:rPr>
          <w:rFonts w:eastAsia="Times New Roman"/>
        </w:rPr>
        <w:t>A</w:t>
      </w:r>
      <w:r w:rsidR="00C17A64">
        <w:rPr>
          <w:rFonts w:eastAsia="Times New Roman"/>
        </w:rPr>
        <w:t>ppendices</w:t>
      </w:r>
      <w:r>
        <w:rPr>
          <w:rFonts w:eastAsia="Times New Roman"/>
        </w:rPr>
        <w:t xml:space="preserve"> G.1</w:t>
      </w:r>
      <w:r w:rsidR="00C17A64">
        <w:rPr>
          <w:rFonts w:eastAsia="Times New Roman"/>
        </w:rPr>
        <w:t xml:space="preserve"> and H.1</w:t>
      </w:r>
      <w:r>
        <w:rPr>
          <w:rFonts w:eastAsia="Times New Roman"/>
        </w:rPr>
        <w:t>). This letter will</w:t>
      </w:r>
      <w:r w:rsidR="003130B6">
        <w:rPr>
          <w:rFonts w:eastAsia="Times New Roman"/>
        </w:rPr>
        <w:t xml:space="preserve"> inform sample members </w:t>
      </w:r>
      <w:r w:rsidR="00A5095C">
        <w:rPr>
          <w:rFonts w:eastAsia="Times New Roman"/>
        </w:rPr>
        <w:t xml:space="preserve">that </w:t>
      </w:r>
      <w:r w:rsidR="003130B6">
        <w:rPr>
          <w:rFonts w:eastAsia="Times New Roman"/>
        </w:rPr>
        <w:t>they will receive a call from the survey center</w:t>
      </w:r>
      <w:r w:rsidR="00881763">
        <w:rPr>
          <w:rFonts w:eastAsia="Times New Roman"/>
        </w:rPr>
        <w:t>; sample members may also call the survey center at their convenience if they prefer</w:t>
      </w:r>
      <w:r>
        <w:rPr>
          <w:rFonts w:eastAsia="Times New Roman"/>
        </w:rPr>
        <w:t xml:space="preserve">. </w:t>
      </w:r>
      <w:r w:rsidR="00294029">
        <w:rPr>
          <w:rFonts w:eastAsia="Times New Roman"/>
        </w:rPr>
        <w:t>The interview will be conducted via CATI by trained interviewers (see section B.3 below for more information on the training recei</w:t>
      </w:r>
      <w:r w:rsidR="00C17A64">
        <w:rPr>
          <w:rFonts w:eastAsia="Times New Roman"/>
        </w:rPr>
        <w:t xml:space="preserve">ved by interviewers and </w:t>
      </w:r>
      <w:r w:rsidR="00A5095C">
        <w:rPr>
          <w:rFonts w:eastAsia="Times New Roman"/>
        </w:rPr>
        <w:t>A</w:t>
      </w:r>
      <w:r w:rsidR="00C17A64">
        <w:rPr>
          <w:rFonts w:eastAsia="Times New Roman"/>
        </w:rPr>
        <w:t>ppendice</w:t>
      </w:r>
      <w:r w:rsidR="00473636">
        <w:rPr>
          <w:rFonts w:eastAsia="Times New Roman"/>
        </w:rPr>
        <w:t>s</w:t>
      </w:r>
      <w:r w:rsidR="00294029">
        <w:rPr>
          <w:rFonts w:eastAsia="Times New Roman"/>
        </w:rPr>
        <w:t xml:space="preserve"> G.2</w:t>
      </w:r>
      <w:r w:rsidR="00C17A64">
        <w:rPr>
          <w:rFonts w:eastAsia="Times New Roman"/>
        </w:rPr>
        <w:t xml:space="preserve"> and H.2</w:t>
      </w:r>
      <w:r w:rsidR="00294029">
        <w:rPr>
          <w:rFonts w:eastAsia="Times New Roman"/>
        </w:rPr>
        <w:t xml:space="preserve"> for the survey </w:t>
      </w:r>
      <w:r w:rsidR="00336FA8">
        <w:rPr>
          <w:rFonts w:eastAsia="Times New Roman"/>
        </w:rPr>
        <w:t>instrument). To maximize response rates, n</w:t>
      </w:r>
      <w:r w:rsidR="00294029">
        <w:rPr>
          <w:rFonts w:eastAsia="Times New Roman"/>
        </w:rPr>
        <w:t>on-re</w:t>
      </w:r>
      <w:r w:rsidR="00473636">
        <w:rPr>
          <w:rFonts w:eastAsia="Times New Roman"/>
        </w:rPr>
        <w:t>s</w:t>
      </w:r>
      <w:r w:rsidR="00294029">
        <w:rPr>
          <w:rFonts w:eastAsia="Times New Roman"/>
        </w:rPr>
        <w:t xml:space="preserve">pondents will receive a </w:t>
      </w:r>
      <w:r w:rsidR="00C17A64">
        <w:rPr>
          <w:rFonts w:eastAsia="Times New Roman"/>
        </w:rPr>
        <w:t>reminder postcard (</w:t>
      </w:r>
      <w:r w:rsidR="00A5095C">
        <w:rPr>
          <w:rFonts w:eastAsia="Times New Roman"/>
        </w:rPr>
        <w:t xml:space="preserve">Appendix </w:t>
      </w:r>
      <w:r w:rsidR="00294029">
        <w:rPr>
          <w:rFonts w:eastAsia="Times New Roman"/>
        </w:rPr>
        <w:t xml:space="preserve"> G.3</w:t>
      </w:r>
      <w:r w:rsidR="00C17A64">
        <w:rPr>
          <w:rFonts w:eastAsia="Times New Roman"/>
        </w:rPr>
        <w:t xml:space="preserve"> </w:t>
      </w:r>
      <w:r w:rsidR="00294029">
        <w:rPr>
          <w:rFonts w:eastAsia="Times New Roman"/>
        </w:rPr>
        <w:t>, a reminder letter (</w:t>
      </w:r>
      <w:r w:rsidR="00A5095C">
        <w:rPr>
          <w:rFonts w:eastAsia="Times New Roman"/>
        </w:rPr>
        <w:t xml:space="preserve">Appendix </w:t>
      </w:r>
      <w:r w:rsidR="00C17A64">
        <w:rPr>
          <w:rFonts w:eastAsia="Times New Roman"/>
        </w:rPr>
        <w:t xml:space="preserve"> </w:t>
      </w:r>
      <w:r w:rsidR="00294029">
        <w:rPr>
          <w:rFonts w:eastAsia="Times New Roman"/>
        </w:rPr>
        <w:t>G.4</w:t>
      </w:r>
      <w:r w:rsidR="00C17A64">
        <w:rPr>
          <w:rFonts w:eastAsia="Times New Roman"/>
        </w:rPr>
        <w:t xml:space="preserve"> </w:t>
      </w:r>
      <w:r w:rsidR="00294029">
        <w:rPr>
          <w:rFonts w:eastAsia="Times New Roman"/>
        </w:rPr>
        <w:t xml:space="preserve">), and </w:t>
      </w:r>
      <w:r w:rsidR="00336FA8">
        <w:rPr>
          <w:rFonts w:eastAsia="Times New Roman"/>
        </w:rPr>
        <w:t>a refusal letter (</w:t>
      </w:r>
      <w:r w:rsidR="00A5095C">
        <w:rPr>
          <w:rFonts w:eastAsia="Times New Roman"/>
        </w:rPr>
        <w:t xml:space="preserve">Appendix </w:t>
      </w:r>
      <w:r w:rsidR="00C17A64">
        <w:rPr>
          <w:rFonts w:eastAsia="Times New Roman"/>
        </w:rPr>
        <w:t xml:space="preserve"> </w:t>
      </w:r>
      <w:r w:rsidR="00336FA8">
        <w:rPr>
          <w:rFonts w:eastAsia="Times New Roman"/>
        </w:rPr>
        <w:t>G.5</w:t>
      </w:r>
      <w:r w:rsidR="00C17A64">
        <w:rPr>
          <w:rFonts w:eastAsia="Times New Roman"/>
        </w:rPr>
        <w:t xml:space="preserve"> </w:t>
      </w:r>
      <w:r w:rsidR="00336FA8">
        <w:rPr>
          <w:rFonts w:eastAsia="Times New Roman"/>
        </w:rPr>
        <w:t xml:space="preserve">), each of which will encourage survey participation. See section B.3 </w:t>
      </w:r>
      <w:r w:rsidR="00A978C8">
        <w:rPr>
          <w:rFonts w:eastAsia="Times New Roman"/>
        </w:rPr>
        <w:t>for additional information on strategies to increase response rates</w:t>
      </w:r>
      <w:r w:rsidR="00846124">
        <w:rPr>
          <w:rFonts w:eastAsia="Times New Roman"/>
        </w:rPr>
        <w:t xml:space="preserve"> and quality control procedures used during survey administration</w:t>
      </w:r>
      <w:r w:rsidR="00A978C8">
        <w:rPr>
          <w:rFonts w:eastAsia="Times New Roman"/>
        </w:rPr>
        <w:t>. The subsections of B.2 each discuss the topics listed in the bullets above.</w:t>
      </w:r>
    </w:p>
    <w:p w14:paraId="55BBD076" w14:textId="52B4355B" w:rsidR="008D526C" w:rsidRPr="00D672F3" w:rsidRDefault="002E611B" w:rsidP="00D672F3">
      <w:pPr>
        <w:pStyle w:val="Newheading3"/>
      </w:pPr>
      <w:r w:rsidRPr="00D672F3">
        <w:t xml:space="preserve">B.2.1 </w:t>
      </w:r>
      <w:r w:rsidR="00742BA3" w:rsidRPr="00D672F3">
        <w:tab/>
      </w:r>
      <w:r w:rsidR="008D526C" w:rsidRPr="00D672F3">
        <w:t>Statistical Methodology for Stratification and Sample Selection</w:t>
      </w:r>
      <w:r w:rsidRPr="00D672F3">
        <w:t xml:space="preserve"> </w:t>
      </w:r>
    </w:p>
    <w:p w14:paraId="30FFE383" w14:textId="538530F1" w:rsidR="00E8139E" w:rsidRDefault="00E8139E" w:rsidP="00E8139E">
      <w:pPr>
        <w:pStyle w:val="Body12ptCalibri-IPR"/>
        <w:spacing w:line="480" w:lineRule="auto"/>
      </w:pPr>
      <w:r w:rsidRPr="00F616C5">
        <w:rPr>
          <w:b/>
        </w:rPr>
        <w:t>Survey of WIC Participants</w:t>
      </w:r>
      <w:r w:rsidR="00F064FC">
        <w:rPr>
          <w:b/>
        </w:rPr>
        <w:t xml:space="preserve">. </w:t>
      </w:r>
      <w:r>
        <w:t>Within States, the sample will be stratified geographically (urban/rural) to ensure sufficient respondents from these areas. The sample will also be stratified by the presence in the household of a WIC participant infant between the ages of 6 and 12 months as of March 2017. This will ensure that a sufficient number of responses to questions about infant food fruits and vegetables, meat, and cereal, which are only provided to infants in that age range. Women and children participants receive all the same categories of food, with the exception of canned fish, which is not included in the survey.</w:t>
      </w:r>
      <w:r w:rsidR="00B82B14">
        <w:t xml:space="preserve"> </w:t>
      </w:r>
      <w:r>
        <w:t xml:space="preserve">Within each of the four strata, records will be sorted by the number of WIC participants in the family. </w:t>
      </w:r>
      <w:r w:rsidR="00B82B14">
        <w:t xml:space="preserve">The sample of 357 records will be proportionally allocated to each stratum. </w:t>
      </w:r>
      <w:r>
        <w:t>Then, a systematic random sample will be selected from each strat</w:t>
      </w:r>
      <w:r w:rsidR="00C9372A">
        <w:t>um, for a total sample of 4,284 participants.</w:t>
      </w:r>
    </w:p>
    <w:p w14:paraId="15427509" w14:textId="4FDB3CCC" w:rsidR="003F4B9E" w:rsidRDefault="00E8139E" w:rsidP="00E8139E">
      <w:pPr>
        <w:pStyle w:val="Body12ptCalibri-IPR"/>
        <w:spacing w:line="480" w:lineRule="auto"/>
      </w:pPr>
      <w:r w:rsidRPr="00F616C5">
        <w:rPr>
          <w:b/>
        </w:rPr>
        <w:t xml:space="preserve">Survey of </w:t>
      </w:r>
      <w:r>
        <w:rPr>
          <w:b/>
        </w:rPr>
        <w:t xml:space="preserve">Former </w:t>
      </w:r>
      <w:r w:rsidRPr="00F616C5">
        <w:rPr>
          <w:b/>
        </w:rPr>
        <w:t>WIC Participants</w:t>
      </w:r>
      <w:r w:rsidR="00F064FC">
        <w:t xml:space="preserve">. </w:t>
      </w:r>
      <w:r w:rsidR="00B82B14">
        <w:t>The study team will sort the data file by State, urban/rural status</w:t>
      </w:r>
      <w:r w:rsidR="00624433">
        <w:t>,</w:t>
      </w:r>
      <w:r w:rsidR="00B82B14">
        <w:t xml:space="preserve"> and the number of WIC participants in the family. Then, </w:t>
      </w:r>
      <w:r w:rsidR="00C763C9">
        <w:t xml:space="preserve">a </w:t>
      </w:r>
      <w:r w:rsidR="00B82B14">
        <w:t xml:space="preserve">systematic random sample of </w:t>
      </w:r>
      <w:r w:rsidR="00272C74">
        <w:t>62</w:t>
      </w:r>
      <w:r w:rsidR="00B82B14">
        <w:t xml:space="preserve">5 households will be selected. </w:t>
      </w:r>
    </w:p>
    <w:p w14:paraId="1C04D661" w14:textId="334BA603" w:rsidR="00046A23" w:rsidRPr="00046A23" w:rsidRDefault="00AC009A" w:rsidP="00046A23">
      <w:pPr>
        <w:pStyle w:val="Body12ptCalibri-IPR"/>
        <w:spacing w:line="480" w:lineRule="auto"/>
      </w:pPr>
      <w:r>
        <w:rPr>
          <w:b/>
        </w:rPr>
        <w:t>In-depth, Semi</w:t>
      </w:r>
      <w:r w:rsidR="00026813">
        <w:rPr>
          <w:b/>
        </w:rPr>
        <w:t>-</w:t>
      </w:r>
      <w:r>
        <w:rPr>
          <w:b/>
        </w:rPr>
        <w:t>structured Interviews</w:t>
      </w:r>
      <w:r w:rsidR="00E06BBB">
        <w:rPr>
          <w:b/>
        </w:rPr>
        <w:t xml:space="preserve"> with WIC State Agency Directors</w:t>
      </w:r>
      <w:r>
        <w:rPr>
          <w:b/>
        </w:rPr>
        <w:t>.</w:t>
      </w:r>
      <w:r>
        <w:t xml:space="preserve"> The study team will conduct interviews with WIC State agency directors</w:t>
      </w:r>
      <w:r w:rsidR="00062547">
        <w:t xml:space="preserve"> in all </w:t>
      </w:r>
      <w:r w:rsidR="00B814B5">
        <w:t xml:space="preserve">50 </w:t>
      </w:r>
      <w:r w:rsidR="00062547">
        <w:t>States</w:t>
      </w:r>
      <w:r w:rsidR="00B814B5">
        <w:t>, the District of Columbia, 5 territories,</w:t>
      </w:r>
      <w:r w:rsidR="00062547">
        <w:t xml:space="preserve"> </w:t>
      </w:r>
      <w:r w:rsidR="00B814B5">
        <w:t xml:space="preserve">and </w:t>
      </w:r>
      <w:r w:rsidR="00062547">
        <w:t xml:space="preserve">14 of the 34 ITOs.  </w:t>
      </w:r>
      <w:r w:rsidR="00046A23" w:rsidRPr="00046A23">
        <w:t>The ITO sampling will reduce interview burden by reducing the total number of SA respondents from 90 to 70. The goal of the sample methodology will be to oversample the larger ITOs while ensuring geographic representation across all regions. To meet these goals, the team will first sort the ITOs by the size of the ITO WIC population and create three strata: 1) large ITOs, defined as those with more than 5,149 WIC participants; 2) medium ITOs, defined as those with between 1,043 and 5,149 WIC participants; and 3) small ITOs, defined as those with fewer than 1,951 WIC participants.</w:t>
      </w:r>
      <w:r w:rsidR="00046A23" w:rsidRPr="00046A23">
        <w:rPr>
          <w:vertAlign w:val="superscript"/>
        </w:rPr>
        <w:footnoteReference w:id="4"/>
      </w:r>
      <w:r w:rsidR="00046A23" w:rsidRPr="00046A23">
        <w:t xml:space="preserve"> The 14 ITOs will then be randomly selected in each strata using proportional allocation by size. Once the initial sample of ITOs is selected, the team will review the geographic distribution and make minor revisions as needed. </w:t>
      </w:r>
    </w:p>
    <w:p w14:paraId="587E6BCE" w14:textId="6990EFD6" w:rsidR="00B814B5" w:rsidRPr="00AC009A" w:rsidRDefault="00B814B5" w:rsidP="00E8139E">
      <w:pPr>
        <w:pStyle w:val="Body12ptCalibri-IPR"/>
        <w:spacing w:line="480" w:lineRule="auto"/>
      </w:pPr>
    </w:p>
    <w:p w14:paraId="7F21667C" w14:textId="688A0A14" w:rsidR="001D4A26" w:rsidRDefault="001D4A26" w:rsidP="00D672F3">
      <w:pPr>
        <w:pStyle w:val="Newheading3"/>
      </w:pPr>
      <w:r>
        <w:t>B.2.</w:t>
      </w:r>
      <w:r w:rsidR="008D526C">
        <w:t>2</w:t>
      </w:r>
      <w:r w:rsidRPr="00827144">
        <w:t xml:space="preserve"> </w:t>
      </w:r>
      <w:r w:rsidR="001D12C0">
        <w:tab/>
      </w:r>
      <w:r w:rsidRPr="00827144">
        <w:t>Estimation Procedure</w:t>
      </w:r>
      <w:r>
        <w:t xml:space="preserve"> </w:t>
      </w:r>
    </w:p>
    <w:p w14:paraId="051B56F3" w14:textId="2BB6139D" w:rsidR="00E8139E" w:rsidRDefault="00123454" w:rsidP="00201BE0">
      <w:pPr>
        <w:pStyle w:val="Body12ptCalibri-IPR"/>
        <w:spacing w:line="480" w:lineRule="auto"/>
      </w:pPr>
      <w:r>
        <w:t>Sample weights</w:t>
      </w:r>
      <w:r w:rsidR="000E62A9">
        <w:t xml:space="preserve"> for</w:t>
      </w:r>
      <w:r>
        <w:t xml:space="preserve"> WIC participants and former participants will account for (1) the initial probability of selection, (2) unit nonresponse, and (3) multiple selection opportunities (if needed). The product of these three weights will result in final weights suitable for use in analysis of responses. The final survey response rates will adjust the initial sample weights for nonresponse </w:t>
      </w:r>
      <w:r w:rsidR="000B1B77">
        <w:t xml:space="preserve">(and potential duplication) </w:t>
      </w:r>
      <w:r>
        <w:t xml:space="preserve">based on relevant variables in the certification records used for sampling. The weighting scheme inflates the respondents’ data to represent the entire universe of WIC participants in EBT States and former WIC participants in the three States included in the survey. </w:t>
      </w:r>
      <w:r w:rsidR="00062547">
        <w:t xml:space="preserve"> </w:t>
      </w:r>
    </w:p>
    <w:p w14:paraId="4E91F2F6" w14:textId="12B18393" w:rsidR="00A303D7" w:rsidRDefault="002E611B" w:rsidP="00D672F3">
      <w:pPr>
        <w:pStyle w:val="Newheading3"/>
      </w:pPr>
      <w:r>
        <w:t>B.2.</w:t>
      </w:r>
      <w:r w:rsidR="008D526C">
        <w:t>3</w:t>
      </w:r>
      <w:r w:rsidRPr="00827144">
        <w:t xml:space="preserve"> </w:t>
      </w:r>
      <w:r w:rsidR="001D12C0">
        <w:tab/>
      </w:r>
      <w:r w:rsidR="00F921D2">
        <w:t>Degree of Accuracy Needed for the Purpose Described in the Justification</w:t>
      </w:r>
    </w:p>
    <w:p w14:paraId="63B01928" w14:textId="24D6A399" w:rsidR="00E8139E" w:rsidRPr="001F4C37" w:rsidRDefault="000B1B77" w:rsidP="00201BE0">
      <w:pPr>
        <w:pStyle w:val="Body12ptCalibri-IPR"/>
        <w:spacing w:line="480" w:lineRule="auto"/>
      </w:pPr>
      <w:r>
        <w:t xml:space="preserve">Since at least two </w:t>
      </w:r>
      <w:r w:rsidR="00624433">
        <w:t>S</w:t>
      </w:r>
      <w:r>
        <w:t>tates have a given cost</w:t>
      </w:r>
      <w:r w:rsidR="00624433">
        <w:t>-</w:t>
      </w:r>
      <w:r>
        <w:t xml:space="preserve">containment practice, </w:t>
      </w:r>
      <w:r w:rsidR="00E8139E">
        <w:t xml:space="preserve">estimates of percentages (such as the percentage of WIC participants satisfied with </w:t>
      </w:r>
      <w:r w:rsidR="00C763C9">
        <w:t>the available choices for</w:t>
      </w:r>
      <w:r>
        <w:t xml:space="preserve"> </w:t>
      </w:r>
      <w:r w:rsidR="00E8139E">
        <w:t>a particular food) will have 95 percent, two-tailed confidence intervals of at most 4.4 percent</w:t>
      </w:r>
      <w:r w:rsidR="00624433">
        <w:t>age</w:t>
      </w:r>
      <w:r w:rsidR="00E8139E">
        <w:t xml:space="preserve"> points</w:t>
      </w:r>
      <w:r>
        <w:t xml:space="preserve"> (e.g., a minimum sample size of </w:t>
      </w:r>
      <w:r w:rsidRPr="00672604">
        <w:rPr>
          <w:i/>
        </w:rPr>
        <w:t>n</w:t>
      </w:r>
      <w:r w:rsidR="00624433">
        <w:t xml:space="preserve"> </w:t>
      </w:r>
      <w:r>
        <w:t>=</w:t>
      </w:r>
      <w:r w:rsidR="00624433">
        <w:t xml:space="preserve"> </w:t>
      </w:r>
      <w:r>
        <w:t xml:space="preserve">500 will be obtained across </w:t>
      </w:r>
      <w:r w:rsidR="00624433">
        <w:t>two</w:t>
      </w:r>
      <w:r>
        <w:t xml:space="preserve"> </w:t>
      </w:r>
      <w:r w:rsidR="00624433">
        <w:t>S</w:t>
      </w:r>
      <w:r>
        <w:t>tates)</w:t>
      </w:r>
      <w:r w:rsidR="00E8139E">
        <w:t>.</w:t>
      </w:r>
      <w:r w:rsidR="001F413B">
        <w:t xml:space="preserve"> The confidence interval will be larger for subgroup estimates and will vary with the size of the subgroup analyzed.</w:t>
      </w:r>
      <w:r>
        <w:t xml:space="preserve"> Estimates of percentages of former participants (such as the percentage of WIC participants </w:t>
      </w:r>
      <w:r w:rsidR="00C763C9">
        <w:t>who</w:t>
      </w:r>
      <w:r>
        <w:t xml:space="preserve"> dropped out </w:t>
      </w:r>
      <w:r w:rsidR="00C763C9">
        <w:t>for a particular reason</w:t>
      </w:r>
      <w:r>
        <w:t>) will have 95 percent, two-tailed confidence intervals of at most 5.1 percent</w:t>
      </w:r>
      <w:r w:rsidR="00624433">
        <w:t>age</w:t>
      </w:r>
      <w:r>
        <w:t xml:space="preserve"> points.</w:t>
      </w:r>
    </w:p>
    <w:p w14:paraId="2DD1EF8A" w14:textId="3F115DDE" w:rsidR="008D526C" w:rsidRDefault="008D526C" w:rsidP="00D672F3">
      <w:pPr>
        <w:pStyle w:val="Newheading3"/>
      </w:pPr>
      <w:r>
        <w:t>B.2.4.</w:t>
      </w:r>
      <w:r w:rsidR="001D12C0">
        <w:tab/>
      </w:r>
      <w:r>
        <w:t xml:space="preserve"> Unusual Problems Requiring Specialized Sampling Procedures. </w:t>
      </w:r>
    </w:p>
    <w:p w14:paraId="677A69A2" w14:textId="6F690429" w:rsidR="00A5095C" w:rsidRDefault="004B5969" w:rsidP="00201BE0">
      <w:pPr>
        <w:pStyle w:val="Body12ptCalibri-IPR"/>
        <w:spacing w:line="480" w:lineRule="auto"/>
      </w:pPr>
      <w:r>
        <w:t>There are no unusual problems that require specialized sampling procedures.</w:t>
      </w:r>
    </w:p>
    <w:p w14:paraId="0C0F9928" w14:textId="7659E8FD" w:rsidR="00370473" w:rsidRDefault="00370473" w:rsidP="00D672F3">
      <w:pPr>
        <w:pStyle w:val="Newheading3"/>
      </w:pPr>
      <w:r>
        <w:t xml:space="preserve">B.2.5. </w:t>
      </w:r>
      <w:r w:rsidR="001D12C0">
        <w:tab/>
      </w:r>
      <w:r>
        <w:t xml:space="preserve">Any Use of Periodic Data Collection Cycles to Reduce Burden. </w:t>
      </w:r>
    </w:p>
    <w:p w14:paraId="481A2D9D" w14:textId="2F54B814" w:rsidR="004B5969" w:rsidRPr="00370473" w:rsidRDefault="004B5969" w:rsidP="00201BE0">
      <w:pPr>
        <w:pStyle w:val="Body12ptCalibri-IPR"/>
        <w:spacing w:line="480" w:lineRule="auto"/>
      </w:pPr>
      <w:r>
        <w:t>This is a one-time data collection, so periodic data collection cycles are not applicable.</w:t>
      </w:r>
    </w:p>
    <w:p w14:paraId="672E4E8A" w14:textId="39C7C8DC" w:rsidR="001776C5" w:rsidRPr="003264EB" w:rsidRDefault="00500C20" w:rsidP="00D672F3">
      <w:pPr>
        <w:pStyle w:val="NewHeading2"/>
      </w:pPr>
      <w:bookmarkStart w:id="9" w:name="_Toc430003425"/>
      <w:r w:rsidRPr="003264EB">
        <w:t xml:space="preserve">Methods </w:t>
      </w:r>
      <w:r w:rsidR="005B230E" w:rsidRPr="003264EB">
        <w:t>T</w:t>
      </w:r>
      <w:r w:rsidRPr="003264EB">
        <w:t xml:space="preserve">o </w:t>
      </w:r>
      <w:r w:rsidR="003B0C3F" w:rsidRPr="003264EB">
        <w:t>M</w:t>
      </w:r>
      <w:r w:rsidRPr="003264EB">
        <w:t xml:space="preserve">aximize </w:t>
      </w:r>
      <w:r w:rsidR="003B0C3F" w:rsidRPr="003264EB">
        <w:t>R</w:t>
      </w:r>
      <w:r w:rsidRPr="003264EB">
        <w:t xml:space="preserve">esponse </w:t>
      </w:r>
      <w:r w:rsidR="003B0C3F" w:rsidRPr="003264EB">
        <w:t>R</w:t>
      </w:r>
      <w:r w:rsidRPr="003264EB">
        <w:t xml:space="preserve">ates and the </w:t>
      </w:r>
      <w:r w:rsidR="003B0C3F" w:rsidRPr="003264EB">
        <w:t>I</w:t>
      </w:r>
      <w:r w:rsidRPr="003264EB">
        <w:t xml:space="preserve">ssue of </w:t>
      </w:r>
      <w:r w:rsidR="003B0C3F" w:rsidRPr="003264EB">
        <w:t>N</w:t>
      </w:r>
      <w:r w:rsidRPr="003264EB">
        <w:t>on</w:t>
      </w:r>
      <w:r w:rsidR="0090333E" w:rsidRPr="003264EB">
        <w:t>-R</w:t>
      </w:r>
      <w:r w:rsidRPr="003264EB">
        <w:t>esponse</w:t>
      </w:r>
      <w:bookmarkEnd w:id="9"/>
    </w:p>
    <w:p w14:paraId="7052FEEC" w14:textId="77777777" w:rsidR="00525AAC" w:rsidRPr="003264EB" w:rsidRDefault="00525AAC" w:rsidP="00201BE0">
      <w:pPr>
        <w:pStyle w:val="Hdng4Calibri-IPR"/>
        <w:spacing w:line="480" w:lineRule="auto"/>
        <w:rPr>
          <w:rFonts w:ascii="Candara" w:hAnsi="Candara"/>
          <w:sz w:val="22"/>
        </w:rPr>
      </w:pPr>
      <w:r w:rsidRPr="003264EB">
        <w:rPr>
          <w:rFonts w:ascii="Candara" w:hAnsi="Candara"/>
          <w:sz w:val="22"/>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1C4C7B1B" w14:textId="6413A084" w:rsidR="004B5969" w:rsidRDefault="004B5969" w:rsidP="00201BE0">
      <w:pPr>
        <w:pStyle w:val="Body12ptCalibri-IPR"/>
        <w:spacing w:line="480" w:lineRule="auto"/>
      </w:pPr>
      <w:r>
        <w:t>Insight’s subcontractor Mathematica Policy Research</w:t>
      </w:r>
      <w:r w:rsidR="0078148A">
        <w:t xml:space="preserve"> (Mathematica)</w:t>
      </w:r>
      <w:r>
        <w:t xml:space="preserve"> will conduct all participant and former participant interviews using computer</w:t>
      </w:r>
      <w:r w:rsidR="00624433">
        <w:t>-</w:t>
      </w:r>
      <w:r>
        <w:t xml:space="preserve">assisted telephone interviewing (CATI). </w:t>
      </w:r>
      <w:r w:rsidR="00DB0FEB">
        <w:t>Members of the sample frame who are selected for participation in the survey</w:t>
      </w:r>
      <w:r>
        <w:t xml:space="preserve"> will first receive an advance letter describing the purpose and importance of the survey. Sample members will be called during the 6-month period between March 15, 2017, and September 15, 2017. </w:t>
      </w:r>
      <w:r w:rsidR="004E7256">
        <w:t>The letter will include a toll-free number so sample members who prefer not to wait for a call may call the survey center at a time convenient to them.</w:t>
      </w:r>
    </w:p>
    <w:p w14:paraId="3B4674EB" w14:textId="5C2C9E5C" w:rsidR="00B6530A" w:rsidRDefault="004B5969" w:rsidP="00201BE0">
      <w:pPr>
        <w:pStyle w:val="Body12ptCalibri-IPR"/>
        <w:spacing w:line="480" w:lineRule="auto"/>
      </w:pPr>
      <w:r>
        <w:t xml:space="preserve">The study team will make strategic use of </w:t>
      </w:r>
      <w:r w:rsidR="00566287">
        <w:t xml:space="preserve">the following </w:t>
      </w:r>
      <w:r>
        <w:t>incentives, refusal conversion techniques, certified bilingual staff, and tools to help achieve the best possible response rate</w:t>
      </w:r>
      <w:r w:rsidR="00566287">
        <w:t xml:space="preserve"> —</w:t>
      </w:r>
    </w:p>
    <w:p w14:paraId="3371DA67" w14:textId="33A5F98F" w:rsidR="00CA3717" w:rsidRPr="003264EB" w:rsidRDefault="00CA3717" w:rsidP="00D672F3">
      <w:pPr>
        <w:pStyle w:val="BulletsRed-IPR"/>
        <w:spacing w:after="0"/>
      </w:pPr>
      <w:r w:rsidRPr="003264EB">
        <w:rPr>
          <w:b/>
        </w:rPr>
        <w:t xml:space="preserve">Obtain </w:t>
      </w:r>
      <w:r w:rsidR="006065A9" w:rsidRPr="003264EB">
        <w:rPr>
          <w:b/>
        </w:rPr>
        <w:t>C</w:t>
      </w:r>
      <w:r w:rsidRPr="003264EB">
        <w:rPr>
          <w:b/>
        </w:rPr>
        <w:t xml:space="preserve">omplete and </w:t>
      </w:r>
      <w:r w:rsidR="006065A9" w:rsidRPr="003264EB">
        <w:rPr>
          <w:b/>
        </w:rPr>
        <w:t>A</w:t>
      </w:r>
      <w:r w:rsidRPr="003264EB">
        <w:rPr>
          <w:b/>
        </w:rPr>
        <w:t xml:space="preserve">ccurate </w:t>
      </w:r>
      <w:r w:rsidR="006065A9" w:rsidRPr="003264EB">
        <w:rPr>
          <w:b/>
        </w:rPr>
        <w:t>C</w:t>
      </w:r>
      <w:r w:rsidRPr="003264EB">
        <w:rPr>
          <w:b/>
        </w:rPr>
        <w:t xml:space="preserve">ontact </w:t>
      </w:r>
      <w:r w:rsidR="006065A9" w:rsidRPr="003264EB">
        <w:rPr>
          <w:b/>
        </w:rPr>
        <w:t>I</w:t>
      </w:r>
      <w:r w:rsidRPr="003264EB">
        <w:rPr>
          <w:b/>
        </w:rPr>
        <w:t xml:space="preserve">nformation. </w:t>
      </w:r>
      <w:r w:rsidRPr="003264EB">
        <w:t xml:space="preserve">The study team will follow a multipronged approach to obtain current contact information in the case of incomplete or out-of-date records. First, the team will send records with missing contact information to Accurint, which uses a comprehensive database to locate missing contact information. If that is unsuccessful, Mathematica’s locating department will </w:t>
      </w:r>
      <w:r w:rsidR="00D06D4F" w:rsidRPr="003264EB">
        <w:t>search additional specialized databases.</w:t>
      </w:r>
    </w:p>
    <w:p w14:paraId="320D6570" w14:textId="4DC5AFB1" w:rsidR="00D06D4F" w:rsidRDefault="00D06D4F" w:rsidP="00B052FE">
      <w:pPr>
        <w:pStyle w:val="BulletsRed-IPR"/>
      </w:pPr>
      <w:r w:rsidRPr="003264EB">
        <w:rPr>
          <w:b/>
        </w:rPr>
        <w:t xml:space="preserve">Make </w:t>
      </w:r>
      <w:r w:rsidR="006065A9" w:rsidRPr="003264EB">
        <w:rPr>
          <w:b/>
        </w:rPr>
        <w:t>E</w:t>
      </w:r>
      <w:r w:rsidRPr="003264EB">
        <w:rPr>
          <w:b/>
        </w:rPr>
        <w:t xml:space="preserve">arly and </w:t>
      </w:r>
      <w:r w:rsidR="006065A9" w:rsidRPr="003264EB">
        <w:rPr>
          <w:b/>
        </w:rPr>
        <w:t>E</w:t>
      </w:r>
      <w:r w:rsidRPr="003264EB">
        <w:rPr>
          <w:b/>
        </w:rPr>
        <w:t xml:space="preserve">fficient </w:t>
      </w:r>
      <w:r w:rsidR="006065A9" w:rsidRPr="003264EB">
        <w:rPr>
          <w:b/>
        </w:rPr>
        <w:t>C</w:t>
      </w:r>
      <w:r w:rsidRPr="003264EB">
        <w:rPr>
          <w:b/>
        </w:rPr>
        <w:t xml:space="preserve">ontact </w:t>
      </w:r>
      <w:r w:rsidR="006065A9" w:rsidRPr="003264EB">
        <w:rPr>
          <w:b/>
        </w:rPr>
        <w:t>W</w:t>
      </w:r>
      <w:r w:rsidRPr="003264EB">
        <w:rPr>
          <w:b/>
        </w:rPr>
        <w:t xml:space="preserve">ith </w:t>
      </w:r>
      <w:r w:rsidR="006065A9" w:rsidRPr="003264EB">
        <w:rPr>
          <w:b/>
        </w:rPr>
        <w:t>S</w:t>
      </w:r>
      <w:r w:rsidRPr="003264EB">
        <w:rPr>
          <w:b/>
        </w:rPr>
        <w:t xml:space="preserve">ample </w:t>
      </w:r>
      <w:r w:rsidR="006065A9" w:rsidRPr="003264EB">
        <w:rPr>
          <w:b/>
        </w:rPr>
        <w:t>M</w:t>
      </w:r>
      <w:r w:rsidRPr="003264EB">
        <w:rPr>
          <w:b/>
        </w:rPr>
        <w:t xml:space="preserve">embers. </w:t>
      </w:r>
      <w:r w:rsidRPr="003264EB">
        <w:t xml:space="preserve">The study team will attempt all interviews according to optimal contact schedules, based on existing data from similar studies. </w:t>
      </w:r>
      <w:r w:rsidR="00B052FE" w:rsidRPr="00B052FE">
        <w:t xml:space="preserve">Cases will </w:t>
      </w:r>
      <w:r w:rsidR="00086441">
        <w:t xml:space="preserve">be </w:t>
      </w:r>
      <w:r w:rsidR="00B052FE" w:rsidRPr="00B052FE">
        <w:t>delivered to interviewers via the call scheduler. The scheduler reads the call record for the sample cases, determines its current status, sorts them into appropriate queues, schedules calls on active cases, and delivers cases to interviewers in accordance with a predetermined priority system. The scheduler ensures that sample cases are called during the day, in the evening, and on weekends.</w:t>
      </w:r>
    </w:p>
    <w:p w14:paraId="2469B09C" w14:textId="5717B19F" w:rsidR="00FF2E08" w:rsidRDefault="00FF2E08" w:rsidP="00D672F3">
      <w:pPr>
        <w:pStyle w:val="BulletsRed-IPR"/>
        <w:spacing w:after="0"/>
      </w:pPr>
      <w:r>
        <w:rPr>
          <w:b/>
        </w:rPr>
        <w:t>Use a Straightforward, Undemanding Survey.</w:t>
      </w:r>
      <w:r>
        <w:t xml:space="preserve"> The surveys are designed to be easy to complete. The questions use clear and straightforward language</w:t>
      </w:r>
      <w:r w:rsidR="00D00F92">
        <w:t>. The CATI instrument will include definitions for terms and examples so interviewers are able to answer respondents’ questions.</w:t>
      </w:r>
    </w:p>
    <w:p w14:paraId="29D7CE72" w14:textId="404C671B" w:rsidR="00D00F92" w:rsidRDefault="00D00F92" w:rsidP="00D672F3">
      <w:pPr>
        <w:pStyle w:val="BulletsRed-IPR"/>
        <w:spacing w:after="0"/>
      </w:pPr>
      <w:r>
        <w:rPr>
          <w:b/>
        </w:rPr>
        <w:t>Administer the Surveys Using CATI.</w:t>
      </w:r>
      <w:r>
        <w:t xml:space="preserve"> Administering the surveys via CATI maximizes the reliability of the data entered by telephone interviewers through skip-pattern logic and checks for consistency and validity.</w:t>
      </w:r>
    </w:p>
    <w:p w14:paraId="10A99D9E" w14:textId="551BCD4F" w:rsidR="004854A7" w:rsidRPr="003264EB" w:rsidRDefault="00FC4B8F" w:rsidP="004854A7">
      <w:pPr>
        <w:pStyle w:val="BulletsRed-IPR"/>
        <w:spacing w:after="0"/>
      </w:pPr>
      <w:r>
        <w:rPr>
          <w:b/>
        </w:rPr>
        <w:t>Use Trained Interviewers.</w:t>
      </w:r>
      <w:r>
        <w:t xml:space="preserve"> Respondents will be interviewed by trained members of Mathematica Policy Research’s survey operations center staff, many of whom have significant experience worki</w:t>
      </w:r>
      <w:r w:rsidR="00086441">
        <w:t>ng</w:t>
      </w:r>
      <w:r>
        <w:t xml:space="preserve"> on similar studies. All survey staff assigned to the study participate in both general training (if they are not already trained) and </w:t>
      </w:r>
      <w:r w:rsidR="004854A7">
        <w:t>an extensive project-specific training. Interviewers do not work on the study until they have been certified as prepared. The project-specific training includes role playing with scenarios and other techniques to ensure interviewers are ready to respond effectively to respondents’ questions. They also focus on developing skills for securing respondents’ cooperation and averting and converting refusals.</w:t>
      </w:r>
    </w:p>
    <w:p w14:paraId="352B84B4" w14:textId="60A09060" w:rsidR="00D06D4F" w:rsidRDefault="00D06D4F" w:rsidP="00CA3717">
      <w:pPr>
        <w:pStyle w:val="BulletsRed-IPR"/>
      </w:pPr>
      <w:r w:rsidRPr="003264EB">
        <w:rPr>
          <w:b/>
        </w:rPr>
        <w:t xml:space="preserve">Obtain </w:t>
      </w:r>
      <w:r w:rsidR="006065A9" w:rsidRPr="003264EB">
        <w:rPr>
          <w:b/>
        </w:rPr>
        <w:t>C</w:t>
      </w:r>
      <w:r w:rsidRPr="003264EB">
        <w:rPr>
          <w:b/>
        </w:rPr>
        <w:t>ooperation.</w:t>
      </w:r>
      <w:r w:rsidR="0078148A" w:rsidRPr="003264EB">
        <w:rPr>
          <w:b/>
        </w:rPr>
        <w:t xml:space="preserve"> </w:t>
      </w:r>
      <w:r w:rsidRPr="003264EB">
        <w:t xml:space="preserve">Interviewers will use several strategies to obtain cooperation, including emphasizing the </w:t>
      </w:r>
      <w:r w:rsidR="00E67C94">
        <w:t>privacy</w:t>
      </w:r>
      <w:r w:rsidR="00E67C94" w:rsidRPr="003264EB">
        <w:t xml:space="preserve"> </w:t>
      </w:r>
      <w:r w:rsidRPr="003264EB">
        <w:t>of respons</w:t>
      </w:r>
      <w:r w:rsidR="00A3644A" w:rsidRPr="003264EB">
        <w:t>es</w:t>
      </w:r>
      <w:r w:rsidRPr="003264EB">
        <w:t xml:space="preserve"> offering to conduct the interview in Spanish, and convincing potential respondents of the importance of the interview. </w:t>
      </w:r>
    </w:p>
    <w:p w14:paraId="1A32B9DF" w14:textId="0D4A7E62" w:rsidR="00A759A8" w:rsidRDefault="004854A7" w:rsidP="00A759A8">
      <w:pPr>
        <w:pStyle w:val="BulletsRed-IPR"/>
      </w:pPr>
      <w:r>
        <w:rPr>
          <w:b/>
        </w:rPr>
        <w:t>Provide Payments for Survey Participants.</w:t>
      </w:r>
      <w:r>
        <w:t xml:space="preserve"> We offer a $30 payment to survey respondents to increase agreement to participate in the study. </w:t>
      </w:r>
    </w:p>
    <w:p w14:paraId="426557FA" w14:textId="51E8D9E7" w:rsidR="00A759A8" w:rsidRDefault="00A759A8" w:rsidP="00E06BBB">
      <w:pPr>
        <w:pStyle w:val="BulletsRed-IPR"/>
        <w:numPr>
          <w:ilvl w:val="0"/>
          <w:numId w:val="0"/>
        </w:numPr>
      </w:pPr>
      <w:r>
        <w:t>In the event that the response rate is below 70 percent for the Survey of WIC Participants or 60 percent for the Survey of Former WIC Participants, Insight will conduct a nonresponse bias analysis. This analysis will examine any known differences between respondents and nonrespondents to illuminate any potential bias introduced by nonresponse. Results of this analysis will be included in the final report.</w:t>
      </w:r>
    </w:p>
    <w:p w14:paraId="4B253014" w14:textId="782C8BA4" w:rsidR="00E06BBB" w:rsidRPr="003264EB" w:rsidRDefault="00E06BBB" w:rsidP="00E06BBB">
      <w:pPr>
        <w:pStyle w:val="BulletsRed-IPR"/>
        <w:numPr>
          <w:ilvl w:val="0"/>
          <w:numId w:val="0"/>
        </w:numPr>
      </w:pPr>
      <w:r>
        <w:t>It is anticipated that all WIC State agency directors will participate in the in-depth, semi</w:t>
      </w:r>
      <w:r w:rsidR="00026813">
        <w:t>-</w:t>
      </w:r>
      <w:r>
        <w:t xml:space="preserve">structured </w:t>
      </w:r>
      <w:r w:rsidR="00C0370B">
        <w:t xml:space="preserve">qualitative </w:t>
      </w:r>
      <w:r>
        <w:t xml:space="preserve">interviews. </w:t>
      </w:r>
      <w:r w:rsidR="007E0D89">
        <w:t xml:space="preserve">Prior experience working with these directors in data collection for other projects indicates that nonresponse is unlikely to be a problem. </w:t>
      </w:r>
    </w:p>
    <w:p w14:paraId="6C2967E0" w14:textId="7E4E5E97" w:rsidR="001776C5" w:rsidRDefault="00500C20" w:rsidP="00D672F3">
      <w:pPr>
        <w:pStyle w:val="NewHeading2"/>
      </w:pPr>
      <w:bookmarkStart w:id="10" w:name="_Toc430003426"/>
      <w:r>
        <w:t xml:space="preserve">Tests of </w:t>
      </w:r>
      <w:r w:rsidR="003B0C3F">
        <w:t>P</w:t>
      </w:r>
      <w:r>
        <w:t>rocedures</w:t>
      </w:r>
      <w:bookmarkEnd w:id="10"/>
    </w:p>
    <w:p w14:paraId="43FFF069" w14:textId="5D1996D8" w:rsidR="00525AAC" w:rsidRPr="003264EB" w:rsidRDefault="00525AAC" w:rsidP="00201BE0">
      <w:pPr>
        <w:pStyle w:val="Hdng4Calibri-IPR"/>
        <w:spacing w:line="480" w:lineRule="auto"/>
        <w:rPr>
          <w:rFonts w:ascii="Candara" w:hAnsi="Candara"/>
          <w:sz w:val="22"/>
        </w:rPr>
      </w:pPr>
      <w:r w:rsidRPr="003264EB">
        <w:rPr>
          <w:rFonts w:ascii="Candara" w:hAnsi="Candara"/>
          <w:sz w:val="22"/>
        </w:rPr>
        <w:t>Describe any tests of procedures or methods to be undertaken.</w:t>
      </w:r>
      <w:r w:rsidR="005B230E" w:rsidRPr="003264EB">
        <w:rPr>
          <w:rFonts w:ascii="Candara" w:hAnsi="Candara"/>
          <w:sz w:val="22"/>
        </w:rPr>
        <w:t xml:space="preserve"> </w:t>
      </w:r>
      <w:r w:rsidRPr="003264EB">
        <w:rPr>
          <w:rFonts w:ascii="Candara" w:hAnsi="Candara"/>
          <w:sz w:val="22"/>
        </w:rPr>
        <w:t>Testing is encouraged as an effective means of refining collections of information to minimize burden and improve utility.</w:t>
      </w:r>
      <w:r w:rsidR="005B230E" w:rsidRPr="003264EB">
        <w:rPr>
          <w:rFonts w:ascii="Candara" w:hAnsi="Candara"/>
          <w:sz w:val="22"/>
        </w:rPr>
        <w:t xml:space="preserve"> </w:t>
      </w:r>
      <w:r w:rsidRPr="003264EB">
        <w:rPr>
          <w:rFonts w:ascii="Candara" w:hAnsi="Candara"/>
          <w:sz w:val="22"/>
        </w:rPr>
        <w:t>Tests must be approved if they call for answers to identical questions from 10 or more respondents</w:t>
      </w:r>
      <w:r w:rsidR="0090333E" w:rsidRPr="003264EB">
        <w:rPr>
          <w:rFonts w:ascii="Candara" w:hAnsi="Candara"/>
          <w:sz w:val="22"/>
        </w:rPr>
        <w:t xml:space="preserve">. </w:t>
      </w:r>
      <w:r w:rsidRPr="003264EB">
        <w:rPr>
          <w:rFonts w:ascii="Candara" w:hAnsi="Candara"/>
          <w:sz w:val="22"/>
        </w:rPr>
        <w:t>A proposed test or set of tests may be submitted for approval separately or in combination with the main collection of information.</w:t>
      </w:r>
    </w:p>
    <w:p w14:paraId="7A86D019" w14:textId="11BC69A8" w:rsidR="001776C5" w:rsidRDefault="00095899" w:rsidP="00201BE0">
      <w:pPr>
        <w:pStyle w:val="Body12ptCalibri-IPR"/>
        <w:spacing w:line="480" w:lineRule="auto"/>
      </w:pPr>
      <w:r>
        <w:t xml:space="preserve">Both surveys </w:t>
      </w:r>
      <w:r w:rsidR="00F064FC">
        <w:t>were</w:t>
      </w:r>
      <w:r w:rsidR="0078148A">
        <w:t xml:space="preserve"> </w:t>
      </w:r>
      <w:r>
        <w:t xml:space="preserve">pretested during development. The </w:t>
      </w:r>
      <w:r w:rsidR="006065A9">
        <w:t xml:space="preserve">Survey of </w:t>
      </w:r>
      <w:r>
        <w:t>WIC Participant</w:t>
      </w:r>
      <w:r w:rsidR="006065A9">
        <w:t>s</w:t>
      </w:r>
      <w:r>
        <w:t xml:space="preserve"> w</w:t>
      </w:r>
      <w:r w:rsidR="00F064FC">
        <w:t>as</w:t>
      </w:r>
      <w:r>
        <w:t xml:space="preserve"> pretested with five respondents from WIC households</w:t>
      </w:r>
      <w:r w:rsidR="0078148A">
        <w:t>,</w:t>
      </w:r>
      <w:r>
        <w:t xml:space="preserve"> and the </w:t>
      </w:r>
      <w:r w:rsidR="006065A9">
        <w:t xml:space="preserve">Survey of </w:t>
      </w:r>
      <w:r>
        <w:t>Former WIC Participant</w:t>
      </w:r>
      <w:r w:rsidR="006065A9">
        <w:t>s</w:t>
      </w:r>
      <w:r>
        <w:t xml:space="preserve"> w</w:t>
      </w:r>
      <w:r w:rsidR="00F064FC">
        <w:t>as</w:t>
      </w:r>
      <w:r>
        <w:t xml:space="preserve"> pretested with </w:t>
      </w:r>
      <w:r w:rsidR="00A51EE2">
        <w:t>four</w:t>
      </w:r>
      <w:r>
        <w:t xml:space="preserve"> former WIC participants. </w:t>
      </w:r>
      <w:r w:rsidR="00A51EE2">
        <w:t>Pretest respondents were identified by two WIC State agencies</w:t>
      </w:r>
      <w:r w:rsidR="00DF3143">
        <w:t xml:space="preserve"> (Oregon and Florida). See </w:t>
      </w:r>
      <w:r w:rsidR="00086441">
        <w:t>A</w:t>
      </w:r>
      <w:r w:rsidR="00DF3143">
        <w:t>ppendix L.1 for additional information on participant recruitment.</w:t>
      </w:r>
      <w:r w:rsidR="00A51EE2">
        <w:t xml:space="preserve"> </w:t>
      </w:r>
      <w:r>
        <w:t xml:space="preserve">During the pretests, the interviewer </w:t>
      </w:r>
      <w:r w:rsidR="00F064FC">
        <w:t>asked</w:t>
      </w:r>
      <w:r>
        <w:t xml:space="preserve"> the questions exactly as worded, followed by specific probes if any questions </w:t>
      </w:r>
      <w:r w:rsidR="006065A9">
        <w:t>seemed</w:t>
      </w:r>
      <w:r>
        <w:t xml:space="preserve"> confusing. The pretest </w:t>
      </w:r>
      <w:r w:rsidR="00F064FC">
        <w:t>was</w:t>
      </w:r>
      <w:r w:rsidR="00C763C9">
        <w:t xml:space="preserve"> </w:t>
      </w:r>
      <w:r>
        <w:t>audio-recorded and include</w:t>
      </w:r>
      <w:r w:rsidR="00F064FC">
        <w:t>d</w:t>
      </w:r>
      <w:r>
        <w:t xml:space="preserve"> a structured debriefing in which the interviewer discuss</w:t>
      </w:r>
      <w:r w:rsidR="00F064FC">
        <w:t>ed</w:t>
      </w:r>
      <w:r>
        <w:t xml:space="preserve"> questions that appeared difficult to the respondent. </w:t>
      </w:r>
    </w:p>
    <w:p w14:paraId="4C69C5C1" w14:textId="3AB7A878" w:rsidR="00095899" w:rsidRDefault="00095899" w:rsidP="00201BE0">
      <w:pPr>
        <w:pStyle w:val="Body12ptCalibri-IPR"/>
        <w:spacing w:line="480" w:lineRule="auto"/>
      </w:pPr>
      <w:r>
        <w:t>The study team track</w:t>
      </w:r>
      <w:r w:rsidR="00F064FC">
        <w:t>ed</w:t>
      </w:r>
      <w:r>
        <w:t xml:space="preserve"> the questionnaire length by topic area to ensure the amount of interview time </w:t>
      </w:r>
      <w:r w:rsidR="006065A9">
        <w:t>was</w:t>
      </w:r>
      <w:r>
        <w:t xml:space="preserve"> proportionate to a topic’s analytical importance. Based on the pretest findings, the study team suggest</w:t>
      </w:r>
      <w:r w:rsidR="00F064FC">
        <w:t>ed</w:t>
      </w:r>
      <w:r>
        <w:t xml:space="preserve"> changes to the survey and the protocol for administering it. </w:t>
      </w:r>
      <w:r w:rsidR="00DF3143">
        <w:t xml:space="preserve">See </w:t>
      </w:r>
      <w:r w:rsidR="00086441">
        <w:t>A</w:t>
      </w:r>
      <w:r w:rsidR="00DF3143">
        <w:t>ppendix L.1 for specific details about these changes.</w:t>
      </w:r>
    </w:p>
    <w:p w14:paraId="20EA3FB4" w14:textId="59CB7B6B" w:rsidR="001776C5" w:rsidRPr="00C01D1E" w:rsidRDefault="00525AAC" w:rsidP="00D672F3">
      <w:pPr>
        <w:pStyle w:val="NewHeading2"/>
      </w:pPr>
      <w:bookmarkStart w:id="11" w:name="_Toc430003427"/>
      <w:r w:rsidRPr="00C01D1E">
        <w:t>Consultants</w:t>
      </w:r>
      <w:bookmarkEnd w:id="11"/>
    </w:p>
    <w:p w14:paraId="3048E0AE" w14:textId="77777777" w:rsidR="00B7365B" w:rsidRPr="003264EB" w:rsidRDefault="00B7365B" w:rsidP="00201BE0">
      <w:pPr>
        <w:pStyle w:val="Hdng4Calibri-IPR"/>
        <w:spacing w:line="480" w:lineRule="auto"/>
        <w:rPr>
          <w:rFonts w:ascii="Candara" w:hAnsi="Candara"/>
          <w:sz w:val="22"/>
        </w:rPr>
      </w:pPr>
      <w:r w:rsidRPr="003264EB">
        <w:rPr>
          <w:rFonts w:ascii="Candara" w:hAnsi="Candara"/>
          <w:sz w:val="22"/>
        </w:rPr>
        <w:t>Provide the name and telephone number of individuals consulted on statistical aspects of the design and the name of the agency unit, contractor(s), grantee(s), or other person(s) who will actually collect and/or analyze the information for the agency.</w:t>
      </w:r>
    </w:p>
    <w:p w14:paraId="488E2AA8" w14:textId="61752F6C" w:rsidR="00BA7478" w:rsidRDefault="00BA7478" w:rsidP="00201BE0">
      <w:pPr>
        <w:pStyle w:val="Body12ptCalibri-IPR"/>
        <w:spacing w:line="480" w:lineRule="auto"/>
      </w:pPr>
      <w:r>
        <w:t xml:space="preserve">Carole Trippe and Betsy Thorn of Insight Policy Research </w:t>
      </w:r>
      <w:r w:rsidR="00A81946">
        <w:t xml:space="preserve">(Insight) </w:t>
      </w:r>
      <w:r>
        <w:t xml:space="preserve">will provide consultation on the statistical aspects of the design. </w:t>
      </w:r>
      <w:r w:rsidR="00D87E4E">
        <w:t xml:space="preserve">Richard Griffiths </w:t>
      </w:r>
      <w:r w:rsidR="0023102C">
        <w:t>and Chrystine Tadler</w:t>
      </w:r>
      <w:r w:rsidR="0078148A">
        <w:t xml:space="preserve"> (also </w:t>
      </w:r>
      <w:r w:rsidR="00B05064">
        <w:t xml:space="preserve">with </w:t>
      </w:r>
      <w:r w:rsidR="0078148A">
        <w:t xml:space="preserve">Insight) </w:t>
      </w:r>
      <w:r w:rsidR="00D87E4E">
        <w:t xml:space="preserve">will conduct the sampling procedures. </w:t>
      </w:r>
      <w:r>
        <w:t>Insight is also responsible for collecting and analyzing all data for this study. Table B.5.1 identifies the individuals responsible for collecting and analyzing the data.</w:t>
      </w:r>
    </w:p>
    <w:p w14:paraId="4AEC9ED6" w14:textId="0693A6A5" w:rsidR="00BA7478" w:rsidRPr="008805F3" w:rsidRDefault="00BA7478" w:rsidP="008805F3">
      <w:pPr>
        <w:pStyle w:val="TableTitle-IPR"/>
      </w:pPr>
      <w:bookmarkStart w:id="12" w:name="_Toc430005199"/>
      <w:bookmarkStart w:id="13" w:name="_Toc442342199"/>
      <w:bookmarkStart w:id="14" w:name="_Toc466024598"/>
      <w:r w:rsidRPr="008805F3">
        <w:t>Table B.5.1</w:t>
      </w:r>
      <w:r w:rsidR="00A81946" w:rsidRPr="008805F3">
        <w:t>.</w:t>
      </w:r>
      <w:bookmarkEnd w:id="12"/>
      <w:r w:rsidR="00A81946" w:rsidRPr="008805F3">
        <w:t xml:space="preserve"> </w:t>
      </w:r>
      <w:r w:rsidRPr="008805F3">
        <w:t>Individuals Responsible for Statistical Aspects and Data Collection and Analysis</w:t>
      </w:r>
      <w:bookmarkEnd w:id="13"/>
      <w:bookmarkEnd w:id="14"/>
    </w:p>
    <w:tbl>
      <w:tblPr>
        <w:tblStyle w:val="TableGrid"/>
        <w:tblW w:w="5000" w:type="pct"/>
        <w:tblInd w:w="58" w:type="dxa"/>
        <w:tblBorders>
          <w:top w:val="single" w:sz="8" w:space="0" w:color="B32732"/>
          <w:left w:val="none" w:sz="0" w:space="0" w:color="auto"/>
          <w:bottom w:val="single" w:sz="18" w:space="0" w:color="66706C"/>
          <w:right w:val="none" w:sz="0" w:space="0" w:color="auto"/>
          <w:insideH w:val="single" w:sz="4" w:space="0" w:color="A6A6A6"/>
          <w:insideV w:val="single" w:sz="4" w:space="0" w:color="A6A6A6"/>
        </w:tblBorders>
        <w:tblCellMar>
          <w:left w:w="58" w:type="dxa"/>
          <w:right w:w="58" w:type="dxa"/>
        </w:tblCellMar>
        <w:tblLook w:val="04A0" w:firstRow="1" w:lastRow="0" w:firstColumn="1" w:lastColumn="0" w:noHBand="0" w:noVBand="1"/>
      </w:tblPr>
      <w:tblGrid>
        <w:gridCol w:w="2057"/>
        <w:gridCol w:w="2058"/>
        <w:gridCol w:w="3290"/>
        <w:gridCol w:w="2071"/>
      </w:tblGrid>
      <w:tr w:rsidR="009762B0" w:rsidRPr="008805F3" w14:paraId="7763C01F" w14:textId="77777777" w:rsidTr="00C01D1E">
        <w:trPr>
          <w:trHeight w:val="432"/>
          <w:tblHeader/>
        </w:trPr>
        <w:tc>
          <w:tcPr>
            <w:tcW w:w="1085" w:type="pct"/>
            <w:tcBorders>
              <w:top w:val="single" w:sz="8" w:space="0" w:color="B12732"/>
              <w:bottom w:val="single" w:sz="8" w:space="0" w:color="B12732"/>
              <w:right w:val="nil"/>
            </w:tcBorders>
            <w:shd w:val="clear" w:color="auto" w:fill="auto"/>
            <w:vAlign w:val="center"/>
            <w:hideMark/>
          </w:tcPr>
          <w:p w14:paraId="7296515B" w14:textId="77777777" w:rsidR="00BA7478" w:rsidRPr="008805F3" w:rsidRDefault="00BA7478" w:rsidP="009762B0">
            <w:pPr>
              <w:pStyle w:val="TableText-IPR"/>
              <w:keepNext/>
              <w:keepLines/>
              <w:jc w:val="center"/>
              <w:rPr>
                <w:rFonts w:ascii="Lucida Sans" w:hAnsi="Lucida Sans" w:cs="Arial"/>
                <w:b/>
                <w:sz w:val="18"/>
                <w:szCs w:val="18"/>
              </w:rPr>
            </w:pPr>
            <w:r w:rsidRPr="008805F3">
              <w:rPr>
                <w:rFonts w:ascii="Lucida Sans" w:hAnsi="Lucida Sans" w:cs="Arial"/>
                <w:b/>
                <w:sz w:val="18"/>
                <w:szCs w:val="18"/>
              </w:rPr>
              <w:t>Name</w:t>
            </w:r>
          </w:p>
        </w:tc>
        <w:tc>
          <w:tcPr>
            <w:tcW w:w="1086" w:type="pct"/>
            <w:tcBorders>
              <w:top w:val="single" w:sz="8" w:space="0" w:color="B12732"/>
              <w:left w:val="nil"/>
              <w:bottom w:val="single" w:sz="8" w:space="0" w:color="B12732"/>
              <w:right w:val="nil"/>
            </w:tcBorders>
            <w:shd w:val="clear" w:color="auto" w:fill="auto"/>
            <w:vAlign w:val="center"/>
            <w:hideMark/>
          </w:tcPr>
          <w:p w14:paraId="0BBBF331" w14:textId="77777777" w:rsidR="00BA7478" w:rsidRPr="008805F3" w:rsidRDefault="00BA7478" w:rsidP="009762B0">
            <w:pPr>
              <w:pStyle w:val="TableText-IPR"/>
              <w:keepNext/>
              <w:keepLines/>
              <w:jc w:val="center"/>
              <w:rPr>
                <w:rFonts w:ascii="Lucida Sans" w:hAnsi="Lucida Sans" w:cs="Arial"/>
                <w:b/>
                <w:sz w:val="18"/>
                <w:szCs w:val="18"/>
              </w:rPr>
            </w:pPr>
            <w:r w:rsidRPr="008805F3">
              <w:rPr>
                <w:rFonts w:ascii="Lucida Sans" w:hAnsi="Lucida Sans" w:cs="Arial"/>
                <w:b/>
                <w:sz w:val="18"/>
                <w:szCs w:val="18"/>
              </w:rPr>
              <w:t>Title (Project Role)</w:t>
            </w:r>
          </w:p>
        </w:tc>
        <w:tc>
          <w:tcPr>
            <w:tcW w:w="1736" w:type="pct"/>
            <w:tcBorders>
              <w:top w:val="single" w:sz="8" w:space="0" w:color="B12732"/>
              <w:left w:val="nil"/>
              <w:bottom w:val="single" w:sz="8" w:space="0" w:color="B12732"/>
              <w:right w:val="nil"/>
            </w:tcBorders>
            <w:shd w:val="clear" w:color="auto" w:fill="auto"/>
            <w:vAlign w:val="center"/>
            <w:hideMark/>
          </w:tcPr>
          <w:p w14:paraId="446D5E44" w14:textId="77777777" w:rsidR="00BA7478" w:rsidRPr="008805F3" w:rsidRDefault="00BA7478" w:rsidP="009762B0">
            <w:pPr>
              <w:pStyle w:val="TableText-IPR"/>
              <w:keepNext/>
              <w:keepLines/>
              <w:jc w:val="center"/>
              <w:rPr>
                <w:rFonts w:ascii="Lucida Sans" w:hAnsi="Lucida Sans" w:cs="Arial"/>
                <w:b/>
                <w:sz w:val="18"/>
                <w:szCs w:val="18"/>
              </w:rPr>
            </w:pPr>
            <w:r w:rsidRPr="008805F3">
              <w:rPr>
                <w:rFonts w:ascii="Lucida Sans" w:hAnsi="Lucida Sans" w:cs="Arial"/>
                <w:b/>
                <w:sz w:val="18"/>
                <w:szCs w:val="18"/>
              </w:rPr>
              <w:t>Organizational Affiliation and Address</w:t>
            </w:r>
          </w:p>
        </w:tc>
        <w:tc>
          <w:tcPr>
            <w:tcW w:w="1093" w:type="pct"/>
            <w:tcBorders>
              <w:top w:val="single" w:sz="8" w:space="0" w:color="B12732"/>
              <w:left w:val="nil"/>
              <w:bottom w:val="single" w:sz="8" w:space="0" w:color="B12732"/>
            </w:tcBorders>
            <w:shd w:val="clear" w:color="auto" w:fill="auto"/>
            <w:vAlign w:val="center"/>
            <w:hideMark/>
          </w:tcPr>
          <w:p w14:paraId="32C62AC6" w14:textId="77777777" w:rsidR="00BA7478" w:rsidRPr="008805F3" w:rsidRDefault="00BA7478" w:rsidP="009762B0">
            <w:pPr>
              <w:pStyle w:val="TableText-IPR"/>
              <w:keepNext/>
              <w:keepLines/>
              <w:jc w:val="center"/>
              <w:rPr>
                <w:rFonts w:ascii="Lucida Sans" w:hAnsi="Lucida Sans" w:cs="Arial"/>
                <w:b/>
                <w:sz w:val="18"/>
                <w:szCs w:val="18"/>
              </w:rPr>
            </w:pPr>
            <w:r w:rsidRPr="008805F3">
              <w:rPr>
                <w:rFonts w:ascii="Lucida Sans" w:hAnsi="Lucida Sans" w:cs="Arial"/>
                <w:b/>
                <w:sz w:val="18"/>
                <w:szCs w:val="18"/>
              </w:rPr>
              <w:t>Phone Number</w:t>
            </w:r>
          </w:p>
        </w:tc>
      </w:tr>
      <w:tr w:rsidR="00220070" w:rsidRPr="009762B0" w14:paraId="79DE238F" w14:textId="77777777" w:rsidTr="00C01D1E">
        <w:trPr>
          <w:trHeight w:val="432"/>
        </w:trPr>
        <w:tc>
          <w:tcPr>
            <w:tcW w:w="1085" w:type="pct"/>
            <w:tcBorders>
              <w:top w:val="single" w:sz="8" w:space="0" w:color="B12732"/>
            </w:tcBorders>
            <w:vAlign w:val="center"/>
          </w:tcPr>
          <w:p w14:paraId="22E66BFD" w14:textId="777E5062" w:rsidR="00220070" w:rsidRPr="003264EB" w:rsidRDefault="00D87E4E"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Richard Griffiths</w:t>
            </w:r>
          </w:p>
        </w:tc>
        <w:tc>
          <w:tcPr>
            <w:tcW w:w="1086" w:type="pct"/>
            <w:tcBorders>
              <w:top w:val="single" w:sz="8" w:space="0" w:color="B12732"/>
            </w:tcBorders>
            <w:vAlign w:val="center"/>
          </w:tcPr>
          <w:p w14:paraId="7CC97D22" w14:textId="43DEB251" w:rsidR="00220070" w:rsidRPr="003264EB" w:rsidRDefault="00220070"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Sampling Statistician</w:t>
            </w:r>
          </w:p>
        </w:tc>
        <w:tc>
          <w:tcPr>
            <w:tcW w:w="1736" w:type="pct"/>
            <w:tcBorders>
              <w:top w:val="single" w:sz="8" w:space="0" w:color="B12732"/>
            </w:tcBorders>
            <w:vAlign w:val="center"/>
          </w:tcPr>
          <w:p w14:paraId="70825F27" w14:textId="77777777" w:rsidR="00220070" w:rsidRPr="003264EB" w:rsidRDefault="00220070" w:rsidP="00D12D3C">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Insight Policy Research, Inc.</w:t>
            </w:r>
          </w:p>
          <w:p w14:paraId="548940FF" w14:textId="3267ED3A" w:rsidR="00220070" w:rsidRPr="003264EB" w:rsidRDefault="00220070" w:rsidP="00D12D3C">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1901 N</w:t>
            </w:r>
            <w:r w:rsidR="0078148A" w:rsidRPr="003264EB">
              <w:rPr>
                <w:rFonts w:asciiTheme="minorHAnsi" w:hAnsiTheme="minorHAnsi" w:cs="Arial"/>
                <w:sz w:val="18"/>
                <w:szCs w:val="18"/>
              </w:rPr>
              <w:t>orth</w:t>
            </w:r>
            <w:r w:rsidRPr="003264EB">
              <w:rPr>
                <w:rFonts w:asciiTheme="minorHAnsi" w:hAnsiTheme="minorHAnsi" w:cs="Arial"/>
                <w:sz w:val="18"/>
                <w:szCs w:val="18"/>
              </w:rPr>
              <w:t xml:space="preserve"> Moore Street, Suite 1100</w:t>
            </w:r>
          </w:p>
          <w:p w14:paraId="58D27258" w14:textId="308F4AC8" w:rsidR="00220070" w:rsidRPr="003264EB" w:rsidRDefault="00220070"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Arlington, VA 22209</w:t>
            </w:r>
          </w:p>
        </w:tc>
        <w:tc>
          <w:tcPr>
            <w:tcW w:w="1093" w:type="pct"/>
            <w:tcBorders>
              <w:top w:val="single" w:sz="8" w:space="0" w:color="B12732"/>
            </w:tcBorders>
            <w:vAlign w:val="center"/>
          </w:tcPr>
          <w:p w14:paraId="1C797083" w14:textId="20A35ADF" w:rsidR="00220070" w:rsidRPr="003264EB" w:rsidRDefault="00220070"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703.504.948</w:t>
            </w:r>
            <w:r w:rsidR="00D87E4E" w:rsidRPr="003264EB">
              <w:rPr>
                <w:rFonts w:asciiTheme="minorHAnsi" w:hAnsiTheme="minorHAnsi" w:cs="Arial"/>
                <w:sz w:val="18"/>
                <w:szCs w:val="18"/>
              </w:rPr>
              <w:t>0</w:t>
            </w:r>
          </w:p>
        </w:tc>
      </w:tr>
      <w:tr w:rsidR="0023102C" w:rsidRPr="009762B0" w14:paraId="1A5534DB" w14:textId="77777777" w:rsidTr="008805F3">
        <w:trPr>
          <w:trHeight w:val="432"/>
        </w:trPr>
        <w:tc>
          <w:tcPr>
            <w:tcW w:w="1085" w:type="pct"/>
            <w:vAlign w:val="center"/>
          </w:tcPr>
          <w:p w14:paraId="01F7B3FD" w14:textId="285C9208" w:rsidR="0023102C" w:rsidRPr="003264EB" w:rsidRDefault="00C9372A" w:rsidP="009762B0">
            <w:pPr>
              <w:pStyle w:val="TableText-IPR"/>
              <w:keepNext/>
              <w:keepLines/>
              <w:spacing w:line="240" w:lineRule="exact"/>
              <w:rPr>
                <w:rFonts w:asciiTheme="minorHAnsi" w:hAnsiTheme="minorHAnsi" w:cs="Arial"/>
                <w:sz w:val="18"/>
                <w:szCs w:val="18"/>
              </w:rPr>
            </w:pPr>
            <w:r>
              <w:rPr>
                <w:rFonts w:asciiTheme="minorHAnsi" w:hAnsiTheme="minorHAnsi" w:cs="Arial"/>
                <w:sz w:val="18"/>
                <w:szCs w:val="18"/>
              </w:rPr>
              <w:t>Chrystine Ta</w:t>
            </w:r>
            <w:r w:rsidR="0023102C" w:rsidRPr="003264EB">
              <w:rPr>
                <w:rFonts w:asciiTheme="minorHAnsi" w:hAnsiTheme="minorHAnsi" w:cs="Arial"/>
                <w:sz w:val="18"/>
                <w:szCs w:val="18"/>
              </w:rPr>
              <w:t>dler</w:t>
            </w:r>
          </w:p>
        </w:tc>
        <w:tc>
          <w:tcPr>
            <w:tcW w:w="1086" w:type="pct"/>
            <w:vAlign w:val="center"/>
          </w:tcPr>
          <w:p w14:paraId="16C09F98" w14:textId="1FAD2CC4" w:rsidR="0023102C" w:rsidRPr="003264EB" w:rsidRDefault="0023102C"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Sampling Statistician</w:t>
            </w:r>
          </w:p>
        </w:tc>
        <w:tc>
          <w:tcPr>
            <w:tcW w:w="1736" w:type="pct"/>
            <w:vAlign w:val="center"/>
          </w:tcPr>
          <w:p w14:paraId="30465B5D" w14:textId="77777777" w:rsidR="0023102C" w:rsidRPr="003264EB" w:rsidRDefault="0023102C" w:rsidP="009A48FA">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Insight Policy Research, Inc.</w:t>
            </w:r>
          </w:p>
          <w:p w14:paraId="162BCDEA" w14:textId="580499A5" w:rsidR="0023102C" w:rsidRPr="003264EB" w:rsidRDefault="0023102C" w:rsidP="009A48FA">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1901 N</w:t>
            </w:r>
            <w:r w:rsidR="0078148A" w:rsidRPr="003264EB">
              <w:rPr>
                <w:rFonts w:asciiTheme="minorHAnsi" w:hAnsiTheme="minorHAnsi" w:cs="Arial"/>
                <w:sz w:val="18"/>
                <w:szCs w:val="18"/>
              </w:rPr>
              <w:t>orth</w:t>
            </w:r>
            <w:r w:rsidRPr="003264EB">
              <w:rPr>
                <w:rFonts w:asciiTheme="minorHAnsi" w:hAnsiTheme="minorHAnsi" w:cs="Arial"/>
                <w:sz w:val="18"/>
                <w:szCs w:val="18"/>
              </w:rPr>
              <w:t xml:space="preserve"> Moore Street, Suite 1100</w:t>
            </w:r>
          </w:p>
          <w:p w14:paraId="76B743EA" w14:textId="2987364B" w:rsidR="0023102C" w:rsidRPr="003264EB" w:rsidRDefault="0023102C"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Arlington, VA 22209</w:t>
            </w:r>
          </w:p>
        </w:tc>
        <w:tc>
          <w:tcPr>
            <w:tcW w:w="1093" w:type="pct"/>
            <w:vAlign w:val="center"/>
          </w:tcPr>
          <w:p w14:paraId="6FB5539A" w14:textId="0E703B8F" w:rsidR="0023102C" w:rsidRPr="003264EB" w:rsidRDefault="0023102C"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703.504.9490</w:t>
            </w:r>
          </w:p>
        </w:tc>
      </w:tr>
      <w:tr w:rsidR="0023102C" w:rsidRPr="009762B0" w14:paraId="77067568" w14:textId="77777777" w:rsidTr="008805F3">
        <w:trPr>
          <w:trHeight w:val="432"/>
        </w:trPr>
        <w:tc>
          <w:tcPr>
            <w:tcW w:w="1085" w:type="pct"/>
            <w:vAlign w:val="center"/>
            <w:hideMark/>
          </w:tcPr>
          <w:p w14:paraId="48CE6F6E" w14:textId="77777777" w:rsidR="0023102C" w:rsidRPr="003264EB" w:rsidRDefault="0023102C"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Carole Trippe</w:t>
            </w:r>
          </w:p>
        </w:tc>
        <w:tc>
          <w:tcPr>
            <w:tcW w:w="1086" w:type="pct"/>
            <w:vAlign w:val="center"/>
            <w:hideMark/>
          </w:tcPr>
          <w:p w14:paraId="3295A6B4" w14:textId="175E1ABD" w:rsidR="0023102C" w:rsidRPr="003264EB" w:rsidRDefault="0023102C"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Project Director</w:t>
            </w:r>
          </w:p>
        </w:tc>
        <w:tc>
          <w:tcPr>
            <w:tcW w:w="1736" w:type="pct"/>
            <w:vAlign w:val="center"/>
            <w:hideMark/>
          </w:tcPr>
          <w:p w14:paraId="322915C4" w14:textId="0DF87BF7" w:rsidR="0023102C" w:rsidRPr="003264EB" w:rsidRDefault="0023102C"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Insight Policy Research, Inc.</w:t>
            </w:r>
          </w:p>
          <w:p w14:paraId="6D34D9E4" w14:textId="43872509" w:rsidR="0023102C" w:rsidRPr="003264EB" w:rsidRDefault="0023102C"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1901 N</w:t>
            </w:r>
            <w:r w:rsidR="0078148A" w:rsidRPr="003264EB">
              <w:rPr>
                <w:rFonts w:asciiTheme="minorHAnsi" w:hAnsiTheme="minorHAnsi" w:cs="Arial"/>
                <w:sz w:val="18"/>
                <w:szCs w:val="18"/>
              </w:rPr>
              <w:t>orth</w:t>
            </w:r>
            <w:r w:rsidRPr="003264EB">
              <w:rPr>
                <w:rFonts w:asciiTheme="minorHAnsi" w:hAnsiTheme="minorHAnsi" w:cs="Arial"/>
                <w:sz w:val="18"/>
                <w:szCs w:val="18"/>
              </w:rPr>
              <w:t xml:space="preserve"> Moore Street, Suite 1100</w:t>
            </w:r>
          </w:p>
          <w:p w14:paraId="1F97E9EE" w14:textId="77777777" w:rsidR="0023102C" w:rsidRPr="003264EB" w:rsidRDefault="0023102C"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Arlington, VA 22209</w:t>
            </w:r>
          </w:p>
        </w:tc>
        <w:tc>
          <w:tcPr>
            <w:tcW w:w="1093" w:type="pct"/>
            <w:vAlign w:val="center"/>
            <w:hideMark/>
          </w:tcPr>
          <w:p w14:paraId="21F60ABB" w14:textId="77777777" w:rsidR="0023102C" w:rsidRPr="003264EB" w:rsidRDefault="0023102C" w:rsidP="009762B0">
            <w:pPr>
              <w:pStyle w:val="TableText-IPR"/>
              <w:keepNext/>
              <w:keepLines/>
              <w:spacing w:line="240" w:lineRule="exact"/>
              <w:rPr>
                <w:rFonts w:asciiTheme="minorHAnsi" w:hAnsiTheme="minorHAnsi" w:cs="Arial"/>
                <w:sz w:val="18"/>
                <w:szCs w:val="18"/>
              </w:rPr>
            </w:pPr>
            <w:r w:rsidRPr="003264EB">
              <w:rPr>
                <w:rFonts w:asciiTheme="minorHAnsi" w:hAnsiTheme="minorHAnsi" w:cs="Arial"/>
                <w:sz w:val="18"/>
                <w:szCs w:val="18"/>
              </w:rPr>
              <w:t>703.504.9498</w:t>
            </w:r>
          </w:p>
        </w:tc>
      </w:tr>
      <w:tr w:rsidR="0023102C" w:rsidRPr="009762B0" w14:paraId="1FD0BB3F" w14:textId="77777777" w:rsidTr="008805F3">
        <w:trPr>
          <w:trHeight w:val="432"/>
        </w:trPr>
        <w:tc>
          <w:tcPr>
            <w:tcW w:w="1085" w:type="pct"/>
            <w:vAlign w:val="center"/>
            <w:hideMark/>
          </w:tcPr>
          <w:p w14:paraId="4DD30FF1" w14:textId="77777777" w:rsidR="0023102C" w:rsidRPr="003264EB" w:rsidRDefault="0023102C" w:rsidP="009762B0">
            <w:pPr>
              <w:pStyle w:val="TableText-IPR"/>
              <w:keepLines/>
              <w:spacing w:line="240" w:lineRule="exact"/>
              <w:rPr>
                <w:rFonts w:asciiTheme="minorHAnsi" w:hAnsiTheme="minorHAnsi" w:cs="Arial"/>
                <w:sz w:val="18"/>
                <w:szCs w:val="18"/>
              </w:rPr>
            </w:pPr>
            <w:r w:rsidRPr="003264EB">
              <w:rPr>
                <w:rFonts w:asciiTheme="minorHAnsi" w:hAnsiTheme="minorHAnsi" w:cs="Arial"/>
                <w:sz w:val="18"/>
                <w:szCs w:val="18"/>
              </w:rPr>
              <w:t>Betsy Thorn</w:t>
            </w:r>
          </w:p>
        </w:tc>
        <w:tc>
          <w:tcPr>
            <w:tcW w:w="1086" w:type="pct"/>
            <w:vAlign w:val="center"/>
            <w:hideMark/>
          </w:tcPr>
          <w:p w14:paraId="35175F74" w14:textId="2739CEB7" w:rsidR="0023102C" w:rsidRPr="003264EB" w:rsidRDefault="0023102C" w:rsidP="009762B0">
            <w:pPr>
              <w:pStyle w:val="TableText-IPR"/>
              <w:keepLines/>
              <w:spacing w:line="240" w:lineRule="exact"/>
              <w:rPr>
                <w:rFonts w:asciiTheme="minorHAnsi" w:hAnsiTheme="minorHAnsi" w:cs="Arial"/>
                <w:sz w:val="18"/>
                <w:szCs w:val="18"/>
              </w:rPr>
            </w:pPr>
            <w:r w:rsidRPr="003264EB">
              <w:rPr>
                <w:rFonts w:asciiTheme="minorHAnsi" w:hAnsiTheme="minorHAnsi" w:cs="Arial"/>
                <w:sz w:val="18"/>
                <w:szCs w:val="18"/>
              </w:rPr>
              <w:t>Primary Investigator</w:t>
            </w:r>
          </w:p>
        </w:tc>
        <w:tc>
          <w:tcPr>
            <w:tcW w:w="1736" w:type="pct"/>
            <w:vAlign w:val="center"/>
            <w:hideMark/>
          </w:tcPr>
          <w:p w14:paraId="5CB5A2E1" w14:textId="10B86144" w:rsidR="0023102C" w:rsidRPr="003264EB" w:rsidRDefault="0023102C" w:rsidP="009762B0">
            <w:pPr>
              <w:pStyle w:val="TableText-IPR"/>
              <w:keepLines/>
              <w:spacing w:line="240" w:lineRule="exact"/>
              <w:rPr>
                <w:rFonts w:asciiTheme="minorHAnsi" w:hAnsiTheme="minorHAnsi" w:cs="Arial"/>
                <w:sz w:val="18"/>
                <w:szCs w:val="18"/>
              </w:rPr>
            </w:pPr>
            <w:r w:rsidRPr="003264EB">
              <w:rPr>
                <w:rFonts w:asciiTheme="minorHAnsi" w:hAnsiTheme="minorHAnsi" w:cs="Arial"/>
                <w:sz w:val="18"/>
                <w:szCs w:val="18"/>
              </w:rPr>
              <w:t>Insight Policy Research, Inc.</w:t>
            </w:r>
          </w:p>
          <w:p w14:paraId="3F36855A" w14:textId="32A498CC" w:rsidR="0023102C" w:rsidRPr="003264EB" w:rsidRDefault="0023102C" w:rsidP="009762B0">
            <w:pPr>
              <w:pStyle w:val="TableText-IPR"/>
              <w:keepLines/>
              <w:spacing w:line="240" w:lineRule="exact"/>
              <w:rPr>
                <w:rFonts w:asciiTheme="minorHAnsi" w:hAnsiTheme="minorHAnsi" w:cs="Arial"/>
                <w:sz w:val="18"/>
                <w:szCs w:val="18"/>
              </w:rPr>
            </w:pPr>
            <w:r w:rsidRPr="003264EB">
              <w:rPr>
                <w:rFonts w:asciiTheme="minorHAnsi" w:hAnsiTheme="minorHAnsi" w:cs="Arial"/>
                <w:sz w:val="18"/>
                <w:szCs w:val="18"/>
              </w:rPr>
              <w:t>1901 N</w:t>
            </w:r>
            <w:r w:rsidR="0078148A" w:rsidRPr="003264EB">
              <w:rPr>
                <w:rFonts w:asciiTheme="minorHAnsi" w:hAnsiTheme="minorHAnsi" w:cs="Arial"/>
                <w:sz w:val="18"/>
                <w:szCs w:val="18"/>
              </w:rPr>
              <w:t xml:space="preserve">orth </w:t>
            </w:r>
            <w:r w:rsidRPr="003264EB">
              <w:rPr>
                <w:rFonts w:asciiTheme="minorHAnsi" w:hAnsiTheme="minorHAnsi" w:cs="Arial"/>
                <w:sz w:val="18"/>
                <w:szCs w:val="18"/>
              </w:rPr>
              <w:t>Moore Street, Suite 1100</w:t>
            </w:r>
          </w:p>
          <w:p w14:paraId="29A6B1F3" w14:textId="77777777" w:rsidR="0023102C" w:rsidRPr="003264EB" w:rsidRDefault="0023102C" w:rsidP="009762B0">
            <w:pPr>
              <w:pStyle w:val="TableText-IPR"/>
              <w:keepLines/>
              <w:spacing w:line="240" w:lineRule="exact"/>
              <w:rPr>
                <w:rFonts w:asciiTheme="minorHAnsi" w:hAnsiTheme="minorHAnsi" w:cs="Arial"/>
                <w:sz w:val="18"/>
                <w:szCs w:val="18"/>
              </w:rPr>
            </w:pPr>
            <w:r w:rsidRPr="003264EB">
              <w:rPr>
                <w:rFonts w:asciiTheme="minorHAnsi" w:hAnsiTheme="minorHAnsi" w:cs="Arial"/>
                <w:sz w:val="18"/>
                <w:szCs w:val="18"/>
              </w:rPr>
              <w:t>Arlington, VA 22209</w:t>
            </w:r>
          </w:p>
        </w:tc>
        <w:tc>
          <w:tcPr>
            <w:tcW w:w="1093" w:type="pct"/>
            <w:vAlign w:val="center"/>
            <w:hideMark/>
          </w:tcPr>
          <w:p w14:paraId="7B059276" w14:textId="77777777" w:rsidR="0023102C" w:rsidRPr="003264EB" w:rsidRDefault="0023102C" w:rsidP="009762B0">
            <w:pPr>
              <w:pStyle w:val="TableText-IPR"/>
              <w:keepLines/>
              <w:spacing w:line="240" w:lineRule="exact"/>
              <w:rPr>
                <w:rFonts w:asciiTheme="minorHAnsi" w:hAnsiTheme="minorHAnsi" w:cs="Arial"/>
                <w:sz w:val="18"/>
                <w:szCs w:val="18"/>
              </w:rPr>
            </w:pPr>
            <w:r w:rsidRPr="003264EB">
              <w:rPr>
                <w:rFonts w:asciiTheme="minorHAnsi" w:hAnsiTheme="minorHAnsi" w:cs="Arial"/>
                <w:sz w:val="18"/>
                <w:szCs w:val="18"/>
              </w:rPr>
              <w:t>703.504.9488</w:t>
            </w:r>
          </w:p>
        </w:tc>
      </w:tr>
      <w:tr w:rsidR="007029CE" w:rsidRPr="009762B0" w14:paraId="67D8D308" w14:textId="77777777" w:rsidTr="008805F3">
        <w:trPr>
          <w:trHeight w:val="432"/>
        </w:trPr>
        <w:tc>
          <w:tcPr>
            <w:tcW w:w="1085" w:type="pct"/>
            <w:vAlign w:val="center"/>
          </w:tcPr>
          <w:p w14:paraId="3A1F23A1" w14:textId="5759D7F8" w:rsidR="007029CE" w:rsidRPr="003264EB" w:rsidRDefault="007029CE"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Betsy Santos</w:t>
            </w:r>
          </w:p>
        </w:tc>
        <w:tc>
          <w:tcPr>
            <w:tcW w:w="1086" w:type="pct"/>
            <w:vAlign w:val="center"/>
          </w:tcPr>
          <w:p w14:paraId="57A6ABB5" w14:textId="05EFC94D" w:rsidR="007029CE" w:rsidRPr="003264EB" w:rsidRDefault="00BB111A"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Survey Director</w:t>
            </w:r>
          </w:p>
        </w:tc>
        <w:tc>
          <w:tcPr>
            <w:tcW w:w="1736" w:type="pct"/>
            <w:vAlign w:val="center"/>
          </w:tcPr>
          <w:p w14:paraId="46C66A03" w14:textId="77777777" w:rsidR="007029CE" w:rsidRDefault="007F4D99"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Mathematica Policy Research</w:t>
            </w:r>
          </w:p>
          <w:p w14:paraId="1BE57971" w14:textId="77777777" w:rsidR="007F4D99" w:rsidRDefault="007F4D99"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PO Box 2393</w:t>
            </w:r>
          </w:p>
          <w:p w14:paraId="30161EE3" w14:textId="53B1585A" w:rsidR="007F4D99" w:rsidRPr="003264EB" w:rsidRDefault="007F4D99"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Princeton, NJ 08543</w:t>
            </w:r>
          </w:p>
        </w:tc>
        <w:tc>
          <w:tcPr>
            <w:tcW w:w="1093" w:type="pct"/>
            <w:vAlign w:val="center"/>
          </w:tcPr>
          <w:p w14:paraId="5BABC607" w14:textId="7827B8C3" w:rsidR="007029CE" w:rsidRPr="003264EB" w:rsidRDefault="007F4D99"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609.750.2018</w:t>
            </w:r>
          </w:p>
        </w:tc>
      </w:tr>
      <w:tr w:rsidR="00BB111A" w:rsidRPr="009762B0" w14:paraId="5A104387" w14:textId="77777777" w:rsidTr="008805F3">
        <w:trPr>
          <w:trHeight w:val="432"/>
        </w:trPr>
        <w:tc>
          <w:tcPr>
            <w:tcW w:w="1085" w:type="pct"/>
            <w:vAlign w:val="center"/>
          </w:tcPr>
          <w:p w14:paraId="2C1BD068" w14:textId="4D70B08D" w:rsidR="00BB111A" w:rsidRDefault="00BB111A"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Nancy Cole</w:t>
            </w:r>
          </w:p>
        </w:tc>
        <w:tc>
          <w:tcPr>
            <w:tcW w:w="1086" w:type="pct"/>
            <w:vAlign w:val="center"/>
          </w:tcPr>
          <w:p w14:paraId="4217004B" w14:textId="22AC810C" w:rsidR="00BB111A" w:rsidRDefault="00BB111A"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Principal Investigator</w:t>
            </w:r>
          </w:p>
        </w:tc>
        <w:tc>
          <w:tcPr>
            <w:tcW w:w="1736" w:type="pct"/>
            <w:vAlign w:val="center"/>
          </w:tcPr>
          <w:p w14:paraId="69D5CCA0" w14:textId="77777777" w:rsidR="00BB111A" w:rsidRDefault="007F4D99"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Mathematica Policy Research</w:t>
            </w:r>
          </w:p>
          <w:p w14:paraId="176713BA" w14:textId="77777777" w:rsidR="007F4D99" w:rsidRDefault="007F4D99"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1100 1</w:t>
            </w:r>
            <w:r w:rsidRPr="007F4D99">
              <w:rPr>
                <w:rFonts w:asciiTheme="minorHAnsi" w:hAnsiTheme="minorHAnsi" w:cs="Arial"/>
                <w:sz w:val="18"/>
                <w:szCs w:val="18"/>
              </w:rPr>
              <w:t>st</w:t>
            </w:r>
            <w:r>
              <w:rPr>
                <w:rFonts w:asciiTheme="minorHAnsi" w:hAnsiTheme="minorHAnsi" w:cs="Arial"/>
                <w:sz w:val="18"/>
                <w:szCs w:val="18"/>
              </w:rPr>
              <w:t xml:space="preserve"> Street, NE, 12</w:t>
            </w:r>
            <w:r w:rsidRPr="007F4D99">
              <w:rPr>
                <w:rFonts w:asciiTheme="minorHAnsi" w:hAnsiTheme="minorHAnsi" w:cs="Arial"/>
                <w:sz w:val="18"/>
                <w:szCs w:val="18"/>
              </w:rPr>
              <w:t>th</w:t>
            </w:r>
            <w:r>
              <w:rPr>
                <w:rFonts w:asciiTheme="minorHAnsi" w:hAnsiTheme="minorHAnsi" w:cs="Arial"/>
                <w:sz w:val="18"/>
                <w:szCs w:val="18"/>
              </w:rPr>
              <w:t xml:space="preserve"> Floor</w:t>
            </w:r>
          </w:p>
          <w:p w14:paraId="07732746" w14:textId="4F6A63D5" w:rsidR="007F4D99" w:rsidRPr="003264EB" w:rsidRDefault="007F4D99"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Washington, DC 20002</w:t>
            </w:r>
          </w:p>
        </w:tc>
        <w:tc>
          <w:tcPr>
            <w:tcW w:w="1093" w:type="pct"/>
            <w:vAlign w:val="center"/>
          </w:tcPr>
          <w:p w14:paraId="67B65CBA" w14:textId="5CCADACB" w:rsidR="00BB111A" w:rsidRPr="003264EB" w:rsidRDefault="007F4D99"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202.484.9220</w:t>
            </w:r>
          </w:p>
        </w:tc>
      </w:tr>
      <w:tr w:rsidR="00BB111A" w:rsidRPr="009762B0" w14:paraId="32E34D62" w14:textId="77777777" w:rsidTr="008805F3">
        <w:trPr>
          <w:trHeight w:val="432"/>
        </w:trPr>
        <w:tc>
          <w:tcPr>
            <w:tcW w:w="1085" w:type="pct"/>
            <w:vAlign w:val="center"/>
          </w:tcPr>
          <w:p w14:paraId="37F720F2" w14:textId="059BC028" w:rsidR="00BB111A" w:rsidRDefault="00E945E7"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Chunlin Dong</w:t>
            </w:r>
          </w:p>
        </w:tc>
        <w:tc>
          <w:tcPr>
            <w:tcW w:w="1086" w:type="pct"/>
            <w:vAlign w:val="center"/>
          </w:tcPr>
          <w:p w14:paraId="1EB7ADDF" w14:textId="430E5EE9" w:rsidR="00BB111A" w:rsidRDefault="00E945E7"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Mathematical Statistician</w:t>
            </w:r>
          </w:p>
        </w:tc>
        <w:tc>
          <w:tcPr>
            <w:tcW w:w="1736" w:type="pct"/>
            <w:vAlign w:val="center"/>
          </w:tcPr>
          <w:p w14:paraId="38F7107A" w14:textId="77777777" w:rsidR="00BB111A" w:rsidRDefault="00E945E7" w:rsidP="009762B0">
            <w:pPr>
              <w:pStyle w:val="TableText-IPR"/>
              <w:keepLines/>
              <w:spacing w:line="240" w:lineRule="exact"/>
              <w:rPr>
                <w:rFonts w:asciiTheme="minorHAnsi" w:hAnsiTheme="minorHAnsi" w:cs="Arial"/>
                <w:sz w:val="18"/>
                <w:szCs w:val="18"/>
              </w:rPr>
            </w:pPr>
            <w:r>
              <w:rPr>
                <w:rFonts w:asciiTheme="minorHAnsi" w:hAnsiTheme="minorHAnsi" w:cs="Arial"/>
                <w:sz w:val="18"/>
                <w:szCs w:val="18"/>
              </w:rPr>
              <w:t>USDA-NASS</w:t>
            </w:r>
          </w:p>
          <w:p w14:paraId="4A768BF4" w14:textId="77777777" w:rsidR="00E945E7" w:rsidRPr="00E945E7" w:rsidRDefault="00E945E7" w:rsidP="00E945E7">
            <w:pPr>
              <w:pStyle w:val="TableText-IPR"/>
              <w:keepLines/>
              <w:spacing w:line="240" w:lineRule="exact"/>
              <w:rPr>
                <w:rFonts w:asciiTheme="minorHAnsi" w:hAnsiTheme="minorHAnsi" w:cs="Arial"/>
                <w:sz w:val="18"/>
                <w:szCs w:val="18"/>
              </w:rPr>
            </w:pPr>
            <w:r w:rsidRPr="00E945E7">
              <w:rPr>
                <w:rFonts w:asciiTheme="minorHAnsi" w:hAnsiTheme="minorHAnsi" w:cs="Arial"/>
                <w:sz w:val="18"/>
                <w:szCs w:val="18"/>
              </w:rPr>
              <w:t>1400 Independence Ave., SW</w:t>
            </w:r>
          </w:p>
          <w:p w14:paraId="07960235" w14:textId="40E3E12A" w:rsidR="00E945E7" w:rsidRPr="003264EB" w:rsidRDefault="00E945E7" w:rsidP="00E945E7">
            <w:pPr>
              <w:pStyle w:val="TableText-IPR"/>
              <w:keepLines/>
              <w:spacing w:line="240" w:lineRule="exact"/>
              <w:rPr>
                <w:rFonts w:asciiTheme="minorHAnsi" w:hAnsiTheme="minorHAnsi" w:cs="Arial"/>
                <w:sz w:val="18"/>
                <w:szCs w:val="18"/>
              </w:rPr>
            </w:pPr>
            <w:r w:rsidRPr="00E945E7">
              <w:rPr>
                <w:rFonts w:asciiTheme="minorHAnsi" w:hAnsiTheme="minorHAnsi" w:cs="Arial"/>
                <w:sz w:val="18"/>
                <w:szCs w:val="18"/>
              </w:rPr>
              <w:t>Washington, DC 20250</w:t>
            </w:r>
          </w:p>
        </w:tc>
        <w:tc>
          <w:tcPr>
            <w:tcW w:w="1093" w:type="pct"/>
            <w:vAlign w:val="center"/>
          </w:tcPr>
          <w:p w14:paraId="20DF5597" w14:textId="4BC46CE0" w:rsidR="00BB111A" w:rsidRPr="003264EB" w:rsidRDefault="00E945E7" w:rsidP="009762B0">
            <w:pPr>
              <w:pStyle w:val="TableText-IPR"/>
              <w:keepLines/>
              <w:spacing w:line="240" w:lineRule="exact"/>
              <w:rPr>
                <w:rFonts w:asciiTheme="minorHAnsi" w:hAnsiTheme="minorHAnsi" w:cs="Arial"/>
                <w:sz w:val="18"/>
                <w:szCs w:val="18"/>
              </w:rPr>
            </w:pPr>
            <w:r w:rsidRPr="00E945E7">
              <w:rPr>
                <w:rFonts w:asciiTheme="minorHAnsi" w:hAnsiTheme="minorHAnsi" w:cs="Arial"/>
                <w:sz w:val="18"/>
                <w:szCs w:val="18"/>
              </w:rPr>
              <w:t>202-720-8951</w:t>
            </w:r>
          </w:p>
        </w:tc>
      </w:tr>
    </w:tbl>
    <w:p w14:paraId="7FC77DE4" w14:textId="793FD7A2" w:rsidR="00B7365B" w:rsidRPr="00B24845" w:rsidRDefault="009334F7" w:rsidP="001D12C0">
      <w:pPr>
        <w:pStyle w:val="NewHeading2"/>
        <w:numPr>
          <w:ilvl w:val="0"/>
          <w:numId w:val="0"/>
        </w:numPr>
        <w:spacing w:before="480"/>
        <w:rPr>
          <w:rFonts w:asciiTheme="minorHAnsi" w:hAnsiTheme="minorHAnsi"/>
          <w:color w:val="auto"/>
          <w:sz w:val="24"/>
        </w:rPr>
      </w:pPr>
      <w:r w:rsidRPr="00B24845">
        <w:rPr>
          <w:rFonts w:asciiTheme="minorHAnsi" w:hAnsiTheme="minorHAnsi"/>
          <w:color w:val="auto"/>
          <w:sz w:val="24"/>
        </w:rPr>
        <w:t>References</w:t>
      </w:r>
    </w:p>
    <w:p w14:paraId="43F1CA4A" w14:textId="1BC337BB" w:rsidR="009334F7" w:rsidRPr="00672604" w:rsidRDefault="009334F7" w:rsidP="00AB55AA">
      <w:pPr>
        <w:pStyle w:val="CommentText"/>
        <w:ind w:left="288" w:hanging="288"/>
        <w:rPr>
          <w:rFonts w:asciiTheme="minorHAnsi" w:hAnsiTheme="minorHAnsi"/>
        </w:rPr>
      </w:pPr>
      <w:r w:rsidRPr="001D12C0">
        <w:rPr>
          <w:rFonts w:ascii="Calibri" w:hAnsi="Calibri"/>
          <w:sz w:val="22"/>
          <w:szCs w:val="24"/>
        </w:rPr>
        <w:t xml:space="preserve">Thorn, B., Tadler, C., Huret, N., Trippe, C., Ayo, E., Mendelson, M., . . . Tran, V. (2015). </w:t>
      </w:r>
      <w:r w:rsidRPr="001D12C0">
        <w:rPr>
          <w:rFonts w:ascii="Calibri" w:hAnsi="Calibri"/>
          <w:i/>
          <w:sz w:val="22"/>
          <w:szCs w:val="24"/>
        </w:rPr>
        <w:t>WIC Participant and Program Characteristics 2014</w:t>
      </w:r>
      <w:r w:rsidRPr="001D12C0">
        <w:rPr>
          <w:rFonts w:ascii="Calibri" w:hAnsi="Calibri"/>
          <w:sz w:val="22"/>
          <w:szCs w:val="24"/>
        </w:rPr>
        <w:t>. Prepared by Insight Policy Research. Alexandria, VA: U.S. Department of Agriculture, Food and Nutrition Service.</w:t>
      </w:r>
    </w:p>
    <w:sectPr w:rsidR="009334F7" w:rsidRPr="00672604" w:rsidSect="00916AC3">
      <w:headerReference w:type="default" r:id="rId12"/>
      <w:footerReference w:type="default" r:id="rId13"/>
      <w:pgSz w:w="12240" w:h="15840" w:code="1"/>
      <w:pgMar w:top="1440" w:right="1440" w:bottom="1008"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9BBFE4" w15:done="0"/>
  <w15:commentEx w15:paraId="687D8D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76D47" w14:textId="77777777" w:rsidR="009E430B" w:rsidRDefault="009E430B" w:rsidP="00CF5E31">
      <w:r>
        <w:separator/>
      </w:r>
    </w:p>
    <w:p w14:paraId="38B838F3" w14:textId="77777777" w:rsidR="009E430B" w:rsidRDefault="009E430B"/>
    <w:p w14:paraId="0E6D9B5F" w14:textId="77777777" w:rsidR="009E430B" w:rsidRDefault="009E430B"/>
    <w:p w14:paraId="1DEE3DDE" w14:textId="77777777" w:rsidR="009E430B" w:rsidRDefault="009E430B"/>
    <w:p w14:paraId="57C82385" w14:textId="77777777" w:rsidR="009E430B" w:rsidRDefault="009E430B"/>
  </w:endnote>
  <w:endnote w:type="continuationSeparator" w:id="0">
    <w:p w14:paraId="22186B81" w14:textId="77777777" w:rsidR="009E430B" w:rsidRDefault="009E430B" w:rsidP="00CF5E31">
      <w:r>
        <w:continuationSeparator/>
      </w:r>
    </w:p>
    <w:p w14:paraId="1DE0E7B7" w14:textId="77777777" w:rsidR="009E430B" w:rsidRDefault="009E430B"/>
    <w:p w14:paraId="582625A1" w14:textId="77777777" w:rsidR="009E430B" w:rsidRDefault="009E430B"/>
    <w:p w14:paraId="4A7E7CA3" w14:textId="77777777" w:rsidR="009E430B" w:rsidRDefault="009E430B"/>
    <w:p w14:paraId="7180494F" w14:textId="77777777" w:rsidR="009E430B" w:rsidRDefault="009E4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7A721" w14:textId="77777777" w:rsidR="00095899" w:rsidRDefault="00095899" w:rsidP="00AE2F04">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EA35B" w14:textId="3F46E6FF" w:rsidR="00095899" w:rsidRPr="00B24845" w:rsidRDefault="00B24845" w:rsidP="00B24845">
    <w:pPr>
      <w:pStyle w:val="FooterReport-IPR"/>
      <w:pBdr>
        <w:top w:val="single" w:sz="8" w:space="1" w:color="B32732"/>
      </w:pBdr>
      <w:tabs>
        <w:tab w:val="right" w:pos="9360"/>
      </w:tabs>
      <w:spacing w:before="0" w:after="0"/>
      <w:jc w:val="left"/>
      <w:rPr>
        <w:rFonts w:asciiTheme="minorHAnsi" w:hAnsiTheme="minorHAnsi"/>
        <w:i/>
      </w:rPr>
    </w:pPr>
    <w:r w:rsidRPr="00D672F3">
      <w:rPr>
        <w:rFonts w:asciiTheme="minorHAnsi" w:hAnsiTheme="minorHAnsi"/>
        <w:i/>
      </w:rPr>
      <w:t>Supporting Statement Part B</w:t>
    </w:r>
    <w:r w:rsidRPr="00D672F3">
      <w:rPr>
        <w:rFonts w:asciiTheme="minorHAnsi" w:hAnsiTheme="minorHAnsi"/>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11DE2" w14:textId="0204EE91" w:rsidR="00095899" w:rsidRPr="00D672F3" w:rsidRDefault="00095899" w:rsidP="00D672F3">
    <w:pPr>
      <w:pStyle w:val="FooterReport-IPR"/>
      <w:pBdr>
        <w:top w:val="single" w:sz="8" w:space="1" w:color="B32732"/>
      </w:pBdr>
      <w:tabs>
        <w:tab w:val="right" w:pos="9360"/>
      </w:tabs>
      <w:spacing w:before="0" w:after="0"/>
      <w:jc w:val="left"/>
      <w:rPr>
        <w:rFonts w:asciiTheme="minorHAnsi" w:hAnsiTheme="minorHAnsi"/>
        <w:i/>
      </w:rPr>
    </w:pPr>
    <w:r w:rsidRPr="00D672F3">
      <w:rPr>
        <w:rFonts w:asciiTheme="minorHAnsi" w:hAnsiTheme="minorHAnsi"/>
        <w:i/>
      </w:rPr>
      <w:t>Supporting Statement Part B</w:t>
    </w:r>
    <w:r w:rsidRPr="00D672F3">
      <w:rPr>
        <w:rFonts w:asciiTheme="minorHAnsi" w:hAnsiTheme="minorHAnsi"/>
        <w:i/>
      </w:rPr>
      <w:tab/>
    </w:r>
    <w:r w:rsidRPr="00D672F3">
      <w:rPr>
        <w:rFonts w:asciiTheme="minorHAnsi" w:hAnsiTheme="minorHAnsi"/>
        <w:i/>
      </w:rPr>
      <w:fldChar w:fldCharType="begin"/>
    </w:r>
    <w:r w:rsidRPr="00D672F3">
      <w:rPr>
        <w:rFonts w:asciiTheme="minorHAnsi" w:hAnsiTheme="minorHAnsi"/>
        <w:i/>
      </w:rPr>
      <w:instrText xml:space="preserve"> PAGE   \* MERGEFORMAT </w:instrText>
    </w:r>
    <w:r w:rsidRPr="00D672F3">
      <w:rPr>
        <w:rFonts w:asciiTheme="minorHAnsi" w:hAnsiTheme="minorHAnsi"/>
        <w:i/>
      </w:rPr>
      <w:fldChar w:fldCharType="separate"/>
    </w:r>
    <w:r w:rsidR="00A27DAC">
      <w:rPr>
        <w:rFonts w:asciiTheme="minorHAnsi" w:hAnsiTheme="minorHAnsi"/>
        <w:i/>
        <w:noProof/>
      </w:rPr>
      <w:t>13</w:t>
    </w:r>
    <w:r w:rsidRPr="00D672F3">
      <w:rPr>
        <w:rFonts w:asciiTheme="minorHAnsi" w:hAnsiTheme="minorHAnsi"/>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3F118" w14:textId="77777777" w:rsidR="009E430B" w:rsidRDefault="009E430B" w:rsidP="00942AE2">
      <w:pPr>
        <w:pStyle w:val="FtnteBodyText-IPR"/>
      </w:pPr>
      <w:r>
        <w:separator/>
      </w:r>
    </w:p>
  </w:footnote>
  <w:footnote w:type="continuationSeparator" w:id="0">
    <w:p w14:paraId="203758CB" w14:textId="77777777" w:rsidR="009E430B" w:rsidRDefault="009E430B" w:rsidP="00942AE2">
      <w:pPr>
        <w:pStyle w:val="FtnteBodyText-IPR"/>
      </w:pPr>
      <w:r>
        <w:continuationSeparator/>
      </w:r>
    </w:p>
  </w:footnote>
  <w:footnote w:type="continuationNotice" w:id="1">
    <w:p w14:paraId="3482C0CE" w14:textId="77777777" w:rsidR="009E430B" w:rsidRDefault="009E430B" w:rsidP="00942AE2">
      <w:pPr>
        <w:pStyle w:val="FtnteBodyText-IPR"/>
      </w:pPr>
    </w:p>
  </w:footnote>
  <w:footnote w:id="2">
    <w:p w14:paraId="39BD9638" w14:textId="25B52B27" w:rsidR="00672604" w:rsidRPr="00742BA3" w:rsidRDefault="00672604" w:rsidP="00672604">
      <w:pPr>
        <w:pStyle w:val="FootnoteText"/>
        <w:rPr>
          <w:rFonts w:asciiTheme="minorHAnsi" w:hAnsiTheme="minorHAnsi"/>
          <w:sz w:val="18"/>
        </w:rPr>
      </w:pPr>
      <w:r w:rsidRPr="00742BA3">
        <w:rPr>
          <w:rStyle w:val="FootnoteReference"/>
          <w:rFonts w:asciiTheme="minorHAnsi" w:hAnsiTheme="minorHAnsi"/>
          <w:sz w:val="18"/>
        </w:rPr>
        <w:footnoteRef/>
      </w:r>
      <w:r w:rsidRPr="00742BA3">
        <w:rPr>
          <w:rFonts w:asciiTheme="minorHAnsi" w:hAnsiTheme="minorHAnsi"/>
          <w:sz w:val="18"/>
        </w:rPr>
        <w:t xml:space="preserve"> The focus of the survey is participant satisfaction with WIC foods other than infant formula</w:t>
      </w:r>
      <w:r w:rsidR="00B30C17">
        <w:rPr>
          <w:rFonts w:asciiTheme="minorHAnsi" w:hAnsiTheme="minorHAnsi"/>
          <w:sz w:val="18"/>
        </w:rPr>
        <w:t xml:space="preserve"> because infant formula is subject to different cost containment laws tha</w:t>
      </w:r>
      <w:r w:rsidR="00D4054B">
        <w:rPr>
          <w:rFonts w:asciiTheme="minorHAnsi" w:hAnsiTheme="minorHAnsi"/>
          <w:sz w:val="18"/>
        </w:rPr>
        <w:t>n</w:t>
      </w:r>
      <w:r w:rsidR="00B30C17">
        <w:rPr>
          <w:rFonts w:asciiTheme="minorHAnsi" w:hAnsiTheme="minorHAnsi"/>
          <w:sz w:val="18"/>
        </w:rPr>
        <w:t xml:space="preserve"> other WIC foods</w:t>
      </w:r>
      <w:r w:rsidRPr="00742BA3">
        <w:rPr>
          <w:rFonts w:asciiTheme="minorHAnsi" w:hAnsiTheme="minorHAnsi"/>
          <w:sz w:val="18"/>
        </w:rPr>
        <w:t>.</w:t>
      </w:r>
    </w:p>
  </w:footnote>
  <w:footnote w:id="3">
    <w:p w14:paraId="14C883FC" w14:textId="77777777" w:rsidR="00862855" w:rsidRPr="00742BA3" w:rsidRDefault="00862855" w:rsidP="00862855">
      <w:pPr>
        <w:pStyle w:val="FootnoteText"/>
        <w:rPr>
          <w:rFonts w:asciiTheme="minorHAnsi" w:hAnsiTheme="minorHAnsi"/>
          <w:sz w:val="18"/>
        </w:rPr>
      </w:pPr>
      <w:r w:rsidRPr="00742BA3">
        <w:rPr>
          <w:rStyle w:val="FootnoteReference"/>
          <w:rFonts w:asciiTheme="minorHAnsi" w:hAnsiTheme="minorHAnsi"/>
          <w:sz w:val="18"/>
        </w:rPr>
        <w:footnoteRef/>
      </w:r>
      <w:r w:rsidRPr="00742BA3">
        <w:rPr>
          <w:rFonts w:asciiTheme="minorHAnsi" w:hAnsiTheme="minorHAnsi"/>
          <w:sz w:val="18"/>
        </w:rPr>
        <w:t xml:space="preserve"> The variable needed to estimate the number of households in the universe was not available for Florida, Kentucky, Ohio, or Wisconsin.</w:t>
      </w:r>
    </w:p>
  </w:footnote>
  <w:footnote w:id="4">
    <w:p w14:paraId="00A0FDB7" w14:textId="77777777" w:rsidR="00046A23" w:rsidRDefault="00046A23" w:rsidP="00046A23">
      <w:pPr>
        <w:pStyle w:val="FootnoteText"/>
      </w:pPr>
      <w:r>
        <w:rPr>
          <w:rStyle w:val="FootnoteReference"/>
        </w:rPr>
        <w:footnoteRef/>
      </w:r>
      <w:r>
        <w:t xml:space="preserve">The recommended cut points for the three strata are based on large gaps in the distribution of ITOs by WIC population size between 6,633 and 3,664 and between 1,236 and 850. We chose the threshold of the cut points to fall at the median of these gaps (5,149 and 1,043). </w:t>
      </w:r>
    </w:p>
    <w:p w14:paraId="3B320AFB" w14:textId="77777777" w:rsidR="00046A23" w:rsidRDefault="00046A23" w:rsidP="00046A2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0422" w14:textId="77777777" w:rsidR="00095899" w:rsidRPr="0075442C" w:rsidRDefault="00095899" w:rsidP="008348FA">
    <w:pPr>
      <w:pStyle w:val="BlankHeaderFooter-I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752E9" w14:textId="77777777" w:rsidR="00095899" w:rsidRPr="0075442C" w:rsidRDefault="00095899" w:rsidP="008348FA">
    <w:pPr>
      <w:pStyle w:val="BlankHeaderFooter-I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pStyle w:val="Numbers12ptCalibri-IPR"/>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18167BF"/>
    <w:multiLevelType w:val="multilevel"/>
    <w:tmpl w:val="C51AF388"/>
    <w:numStyleLink w:val="Numbers12ptCalibriList"/>
  </w:abstractNum>
  <w:abstractNum w:abstractNumId="2">
    <w:nsid w:val="026B7E20"/>
    <w:multiLevelType w:val="multilevel"/>
    <w:tmpl w:val="749643F6"/>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nsid w:val="0D692962"/>
    <w:multiLevelType w:val="multilevel"/>
    <w:tmpl w:val="EA4C04F6"/>
    <w:styleLink w:val="TableBlackNumbersList-IPR"/>
    <w:lvl w:ilvl="0">
      <w:start w:val="1"/>
      <w:numFmt w:val="decimal"/>
      <w:pStyle w:val="TableNumbers-IPR"/>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5">
    <w:nsid w:val="14036FA4"/>
    <w:multiLevelType w:val="hybridMultilevel"/>
    <w:tmpl w:val="3FA2A1E6"/>
    <w:lvl w:ilvl="0" w:tplc="8B3271C2">
      <w:start w:val="1"/>
      <w:numFmt w:val="decimal"/>
      <w:pStyle w:val="Hdng3-IPR"/>
      <w:lvlText w:val="B.%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40C8B"/>
    <w:multiLevelType w:val="multilevel"/>
    <w:tmpl w:val="FEDA94D8"/>
    <w:numStyleLink w:val="Bullets12ptCalibriList"/>
  </w:abstractNum>
  <w:abstractNum w:abstractNumId="7">
    <w:nsid w:val="15115E88"/>
    <w:multiLevelType w:val="multilevel"/>
    <w:tmpl w:val="D778BBDE"/>
    <w:numStyleLink w:val="TableBlackBulletsList-IPR"/>
  </w:abstractNum>
  <w:abstractNum w:abstractNumId="8">
    <w:nsid w:val="15520F3F"/>
    <w:multiLevelType w:val="multilevel"/>
    <w:tmpl w:val="808E5508"/>
    <w:numStyleLink w:val="Bullets11ptCalibriList"/>
  </w:abstractNum>
  <w:abstractNum w:abstractNumId="9">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nsid w:val="1B681125"/>
    <w:multiLevelType w:val="hybridMultilevel"/>
    <w:tmpl w:val="C704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44319"/>
    <w:multiLevelType w:val="multilevel"/>
    <w:tmpl w:val="0B40D75C"/>
    <w:styleLink w:val="Numbers12ptTNRList"/>
    <w:lvl w:ilvl="0">
      <w:start w:val="1"/>
      <w:numFmt w:val="decimal"/>
      <w:lvlText w:val="%1."/>
      <w:lvlJc w:val="left"/>
      <w:pPr>
        <w:ind w:left="720" w:hanging="360"/>
      </w:pPr>
      <w:rPr>
        <w:rFonts w:ascii="Times New Roman" w:hAnsi="Times New Roman" w:hint="default"/>
        <w:b w:val="0"/>
        <w:i w:val="0"/>
        <w:color w:val="auto"/>
        <w:sz w:val="24"/>
      </w:rPr>
    </w:lvl>
    <w:lvl w:ilvl="1">
      <w:start w:val="1"/>
      <w:numFmt w:val="lowerLetter"/>
      <w:lvlText w:val="%2."/>
      <w:lvlJc w:val="left"/>
      <w:pPr>
        <w:ind w:left="1080" w:hanging="360"/>
      </w:pPr>
      <w:rPr>
        <w:rFonts w:ascii="Times New Roman" w:hAnsi="Times New Roman" w:hint="default"/>
        <w:b w:val="0"/>
        <w:i w:val="0"/>
        <w:color w:val="auto"/>
        <w:sz w:val="24"/>
      </w:rPr>
    </w:lvl>
    <w:lvl w:ilvl="2">
      <w:start w:val="1"/>
      <w:numFmt w:val="lowerRoman"/>
      <w:lvlText w:val="%3."/>
      <w:lvlJc w:val="left"/>
      <w:pPr>
        <w:ind w:left="1440" w:hanging="360"/>
      </w:pPr>
      <w:rPr>
        <w:rFonts w:ascii="Times New Roman" w:hAnsi="Times New Roman" w:hint="default"/>
        <w:b w:val="0"/>
        <w:i w:val="0"/>
        <w:color w:val="auto"/>
        <w:sz w:val="24"/>
      </w:rPr>
    </w:lvl>
    <w:lvl w:ilvl="3">
      <w:start w:val="1"/>
      <w:numFmt w:val="decimal"/>
      <w:lvlText w:val="%4."/>
      <w:lvlJc w:val="left"/>
      <w:pPr>
        <w:ind w:left="1800" w:hanging="360"/>
      </w:pPr>
      <w:rPr>
        <w:rFonts w:ascii="Times New Roman" w:hAnsi="Times New Roman" w:hint="default"/>
        <w:b w:val="0"/>
        <w:i w:val="0"/>
        <w:color w:val="auto"/>
        <w:sz w:val="24"/>
      </w:rPr>
    </w:lvl>
    <w:lvl w:ilvl="4">
      <w:start w:val="1"/>
      <w:numFmt w:val="none"/>
      <w:lvlText w:val="a."/>
      <w:lvlJc w:val="left"/>
      <w:pPr>
        <w:ind w:left="2160" w:hanging="360"/>
      </w:pPr>
      <w:rPr>
        <w:rFonts w:ascii="Times New Roman" w:hAnsi="Times New Roman" w:hint="default"/>
        <w:b w:val="0"/>
        <w:i w:val="0"/>
        <w:color w:val="auto"/>
        <w:sz w:val="24"/>
      </w:rPr>
    </w:lvl>
    <w:lvl w:ilvl="5">
      <w:start w:val="1"/>
      <w:numFmt w:val="lowerRoman"/>
      <w:lvlText w:val="%6."/>
      <w:lvlJc w:val="right"/>
      <w:pPr>
        <w:ind w:left="2520" w:hanging="360"/>
      </w:pPr>
      <w:rPr>
        <w:rFonts w:ascii="Times New Roman" w:hAnsi="Times New Roman" w:hint="default"/>
        <w:b w:val="0"/>
        <w:i w:val="0"/>
        <w:color w:val="auto"/>
        <w:sz w:val="24"/>
      </w:rPr>
    </w:lvl>
    <w:lvl w:ilvl="6">
      <w:start w:val="1"/>
      <w:numFmt w:val="decimal"/>
      <w:lvlText w:val="%7."/>
      <w:lvlJc w:val="left"/>
      <w:pPr>
        <w:ind w:left="2880" w:hanging="360"/>
      </w:pPr>
      <w:rPr>
        <w:rFonts w:ascii="Times New Roman" w:hAnsi="Times New Roman" w:hint="default"/>
        <w:b w:val="0"/>
        <w:i w:val="0"/>
        <w:color w:val="auto"/>
        <w:sz w:val="24"/>
      </w:rPr>
    </w:lvl>
    <w:lvl w:ilvl="7">
      <w:start w:val="1"/>
      <w:numFmt w:val="lowerLetter"/>
      <w:lvlText w:val="%8."/>
      <w:lvlJc w:val="left"/>
      <w:pPr>
        <w:ind w:left="3240" w:hanging="360"/>
      </w:pPr>
      <w:rPr>
        <w:rFonts w:ascii="Times New Roman" w:hAnsi="Times New Roman" w:hint="default"/>
        <w:b w:val="0"/>
        <w:i w:val="0"/>
        <w:color w:val="auto"/>
        <w:sz w:val="24"/>
      </w:rPr>
    </w:lvl>
    <w:lvl w:ilvl="8">
      <w:start w:val="1"/>
      <w:numFmt w:val="lowerRoman"/>
      <w:lvlText w:val="%9."/>
      <w:lvlJc w:val="right"/>
      <w:pPr>
        <w:ind w:left="3600" w:hanging="360"/>
      </w:pPr>
      <w:rPr>
        <w:rFonts w:ascii="Times New Roman" w:hAnsi="Times New Roman" w:hint="default"/>
        <w:b w:val="0"/>
        <w:i w:val="0"/>
        <w:color w:val="auto"/>
        <w:sz w:val="24"/>
      </w:rPr>
    </w:lvl>
  </w:abstractNum>
  <w:abstractNum w:abstractNumId="12">
    <w:nsid w:val="1E5B4E92"/>
    <w:multiLevelType w:val="hybridMultilevel"/>
    <w:tmpl w:val="D3B445C0"/>
    <w:lvl w:ilvl="0" w:tplc="23328E9E">
      <w:start w:val="1"/>
      <w:numFmt w:val="upperRoman"/>
      <w:pStyle w:val="Hdng1Report-IP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72BD3"/>
    <w:multiLevelType w:val="hybridMultilevel"/>
    <w:tmpl w:val="0F5E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F6889"/>
    <w:multiLevelType w:val="singleLevel"/>
    <w:tmpl w:val="0C3EF25E"/>
    <w:lvl w:ilvl="0">
      <w:start w:val="1"/>
      <w:numFmt w:val="bullet"/>
      <w:pStyle w:val="BulletsRed-IPR"/>
      <w:lvlText w:val="}"/>
      <w:lvlJc w:val="left"/>
      <w:pPr>
        <w:ind w:left="720" w:hanging="360"/>
      </w:pPr>
      <w:rPr>
        <w:rFonts w:ascii="Wingdings 3" w:hAnsi="Wingdings 3" w:hint="default"/>
        <w:color w:val="C0504D"/>
      </w:rPr>
    </w:lvl>
  </w:abstractNum>
  <w:abstractNum w:abstractNumId="15">
    <w:nsid w:val="2867253F"/>
    <w:multiLevelType w:val="hybridMultilevel"/>
    <w:tmpl w:val="6AB2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C26EF"/>
    <w:multiLevelType w:val="hybridMultilevel"/>
    <w:tmpl w:val="8C0E9EF0"/>
    <w:lvl w:ilvl="0" w:tplc="925AE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F4513"/>
    <w:multiLevelType w:val="multilevel"/>
    <w:tmpl w:val="808E5508"/>
    <w:styleLink w:val="Bullets11ptCalibriList"/>
    <w:lvl w:ilvl="0">
      <w:start w:val="1"/>
      <w:numFmt w:val="bullet"/>
      <w:pStyle w:val="Bullets11ptCalibri-IPR"/>
      <w:lvlText w:val=""/>
      <w:lvlJc w:val="left"/>
      <w:pPr>
        <w:ind w:left="720" w:hanging="360"/>
      </w:pPr>
      <w:rPr>
        <w:rFonts w:ascii="Symbol" w:hAnsi="Symbol" w:hint="default"/>
        <w:b w:val="0"/>
        <w:i w:val="0"/>
        <w:color w:val="auto"/>
        <w:sz w:val="22"/>
      </w:rPr>
    </w:lvl>
    <w:lvl w:ilvl="1">
      <w:start w:val="1"/>
      <w:numFmt w:val="bullet"/>
      <w:lvlText w:val=""/>
      <w:lvlJc w:val="left"/>
      <w:pPr>
        <w:ind w:left="1080" w:hanging="360"/>
      </w:pPr>
      <w:rPr>
        <w:rFonts w:ascii="Wingdings 3" w:hAnsi="Wingdings 3" w:hint="default"/>
        <w:b w:val="0"/>
        <w:i w:val="0"/>
        <w:color w:val="auto"/>
        <w:sz w:val="22"/>
      </w:rPr>
    </w:lvl>
    <w:lvl w:ilvl="2">
      <w:start w:val="1"/>
      <w:numFmt w:val="bullet"/>
      <w:lvlText w:val=""/>
      <w:lvlJc w:val="left"/>
      <w:pPr>
        <w:ind w:left="1440" w:hanging="360"/>
      </w:pPr>
      <w:rPr>
        <w:rFonts w:ascii="Wingdings" w:hAnsi="Wingdings" w:hint="default"/>
        <w:b w:val="0"/>
        <w:i w:val="0"/>
        <w:color w:val="auto"/>
        <w:sz w:val="22"/>
      </w:rPr>
    </w:lvl>
    <w:lvl w:ilvl="3">
      <w:start w:val="1"/>
      <w:numFmt w:val="bullet"/>
      <w:lvlText w:val=""/>
      <w:lvlJc w:val="left"/>
      <w:pPr>
        <w:ind w:left="1800" w:hanging="360"/>
      </w:pPr>
      <w:rPr>
        <w:rFonts w:ascii="Symbol" w:hAnsi="Symbol" w:hint="default"/>
        <w:b w:val="0"/>
        <w:i w:val="0"/>
        <w:color w:val="auto"/>
        <w:sz w:val="22"/>
      </w:rPr>
    </w:lvl>
    <w:lvl w:ilvl="4">
      <w:start w:val="1"/>
      <w:numFmt w:val="bullet"/>
      <w:lvlText w:val="o"/>
      <w:lvlJc w:val="left"/>
      <w:pPr>
        <w:ind w:left="2160" w:hanging="360"/>
      </w:pPr>
      <w:rPr>
        <w:rFonts w:ascii="Symbol" w:hAnsi="Symbol" w:hint="default"/>
        <w:b w:val="0"/>
        <w:i w:val="0"/>
        <w:color w:val="auto"/>
        <w:sz w:val="22"/>
      </w:rPr>
    </w:lvl>
    <w:lvl w:ilvl="5">
      <w:start w:val="1"/>
      <w:numFmt w:val="bullet"/>
      <w:lvlText w:val=""/>
      <w:lvlJc w:val="left"/>
      <w:pPr>
        <w:ind w:left="2520" w:hanging="360"/>
      </w:pPr>
      <w:rPr>
        <w:rFonts w:ascii="Wingdings" w:hAnsi="Wingdings" w:hint="default"/>
        <w:b w:val="0"/>
        <w:i w:val="0"/>
        <w:color w:val="auto"/>
        <w:sz w:val="22"/>
      </w:rPr>
    </w:lvl>
    <w:lvl w:ilvl="6">
      <w:start w:val="1"/>
      <w:numFmt w:val="bullet"/>
      <w:lvlText w:val=""/>
      <w:lvlJc w:val="left"/>
      <w:pPr>
        <w:ind w:left="2880" w:hanging="360"/>
      </w:pPr>
      <w:rPr>
        <w:rFonts w:ascii="Symbol" w:hAnsi="Symbol" w:hint="default"/>
        <w:b w:val="0"/>
        <w:i w:val="0"/>
        <w:color w:val="auto"/>
        <w:sz w:val="22"/>
      </w:rPr>
    </w:lvl>
    <w:lvl w:ilvl="7">
      <w:start w:val="1"/>
      <w:numFmt w:val="bullet"/>
      <w:lvlText w:val="o"/>
      <w:lvlJc w:val="left"/>
      <w:pPr>
        <w:ind w:left="3240" w:hanging="360"/>
      </w:pPr>
      <w:rPr>
        <w:rFonts w:ascii="Symbol" w:hAnsi="Symbol" w:hint="default"/>
        <w:b w:val="0"/>
        <w:i w:val="0"/>
        <w:color w:val="auto"/>
        <w:sz w:val="22"/>
      </w:rPr>
    </w:lvl>
    <w:lvl w:ilvl="8">
      <w:start w:val="1"/>
      <w:numFmt w:val="bullet"/>
      <w:lvlText w:val=""/>
      <w:lvlJc w:val="left"/>
      <w:pPr>
        <w:ind w:left="3600" w:hanging="360"/>
      </w:pPr>
      <w:rPr>
        <w:rFonts w:ascii="Wingdings" w:hAnsi="Wingdings" w:hint="default"/>
        <w:b w:val="0"/>
        <w:i w:val="0"/>
        <w:color w:val="auto"/>
        <w:sz w:val="22"/>
      </w:rPr>
    </w:lvl>
  </w:abstractNum>
  <w:abstractNum w:abstractNumId="18">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9">
    <w:nsid w:val="316E14A6"/>
    <w:multiLevelType w:val="multilevel"/>
    <w:tmpl w:val="D778BBDE"/>
    <w:styleLink w:val="TableBlackBulletsList-IPR"/>
    <w:lvl w:ilvl="0">
      <w:start w:val="1"/>
      <w:numFmt w:val="bullet"/>
      <w:pStyle w:val="TableBullets-IPR"/>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0">
    <w:nsid w:val="3B375A99"/>
    <w:multiLevelType w:val="multilevel"/>
    <w:tmpl w:val="4F76BF4C"/>
    <w:styleLink w:val="Numbers11ptTNRList"/>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ascii="Times New Roman" w:hAnsi="Times New Roman" w:hint="default"/>
        <w:b w:val="0"/>
        <w:i w:val="0"/>
        <w:color w:val="auto"/>
        <w:sz w:val="22"/>
      </w:rPr>
    </w:lvl>
    <w:lvl w:ilvl="2">
      <w:start w:val="1"/>
      <w:numFmt w:val="lowerRoman"/>
      <w:lvlText w:val="%3."/>
      <w:lvlJc w:val="left"/>
      <w:pPr>
        <w:ind w:left="1080" w:hanging="360"/>
      </w:pPr>
      <w:rPr>
        <w:rFonts w:ascii="Times New Roman" w:hAnsi="Times New Roman" w:hint="default"/>
        <w:b w:val="0"/>
        <w:i w:val="0"/>
        <w:color w:val="auto"/>
        <w:sz w:val="22"/>
      </w:rPr>
    </w:lvl>
    <w:lvl w:ilvl="3">
      <w:start w:val="1"/>
      <w:numFmt w:val="none"/>
      <w:lvlText w:val="1."/>
      <w:lvlJc w:val="left"/>
      <w:pPr>
        <w:ind w:left="1440" w:hanging="360"/>
      </w:pPr>
      <w:rPr>
        <w:rFonts w:ascii="Times New Roman" w:hAnsi="Times New Roman" w:hint="default"/>
        <w:b w:val="0"/>
        <w:i w:val="0"/>
        <w:color w:val="auto"/>
        <w:sz w:val="22"/>
      </w:rPr>
    </w:lvl>
    <w:lvl w:ilvl="4">
      <w:start w:val="1"/>
      <w:numFmt w:val="none"/>
      <w:lvlText w:val="a."/>
      <w:lvlJc w:val="left"/>
      <w:pPr>
        <w:ind w:left="1800" w:hanging="360"/>
      </w:pPr>
      <w:rPr>
        <w:rFonts w:ascii="Times New Roman" w:hAnsi="Times New Roman" w:hint="default"/>
        <w:b w:val="0"/>
        <w:i w:val="0"/>
        <w:color w:val="auto"/>
        <w:sz w:val="22"/>
      </w:rPr>
    </w:lvl>
    <w:lvl w:ilvl="5">
      <w:start w:val="1"/>
      <w:numFmt w:val="none"/>
      <w:lvlText w:val="i."/>
      <w:lvlJc w:val="left"/>
      <w:pPr>
        <w:ind w:left="2160" w:hanging="360"/>
      </w:pPr>
      <w:rPr>
        <w:rFonts w:ascii="Times New Roman" w:hAnsi="Times New Roman" w:hint="default"/>
        <w:b w:val="0"/>
        <w:i w:val="0"/>
        <w:color w:val="auto"/>
        <w:sz w:val="22"/>
      </w:rPr>
    </w:lvl>
    <w:lvl w:ilvl="6">
      <w:start w:val="1"/>
      <w:numFmt w:val="decimal"/>
      <w:lvlText w:val="%7."/>
      <w:lvlJc w:val="left"/>
      <w:pPr>
        <w:ind w:left="2520" w:hanging="360"/>
      </w:pPr>
      <w:rPr>
        <w:rFonts w:ascii="Times New Roman" w:hAnsi="Times New Roman" w:hint="default"/>
        <w:b w:val="0"/>
        <w:i w:val="0"/>
        <w:color w:val="auto"/>
        <w:sz w:val="22"/>
      </w:rPr>
    </w:lvl>
    <w:lvl w:ilvl="7">
      <w:start w:val="1"/>
      <w:numFmt w:val="lowerLetter"/>
      <w:lvlText w:val="%8."/>
      <w:lvlJc w:val="left"/>
      <w:pPr>
        <w:ind w:left="2880" w:hanging="360"/>
      </w:pPr>
      <w:rPr>
        <w:rFonts w:ascii="Times New Roman" w:hAnsi="Times New Roman" w:hint="default"/>
        <w:b w:val="0"/>
        <w:i w:val="0"/>
        <w:color w:val="auto"/>
        <w:sz w:val="22"/>
      </w:rPr>
    </w:lvl>
    <w:lvl w:ilvl="8">
      <w:start w:val="1"/>
      <w:numFmt w:val="lowerRoman"/>
      <w:lvlText w:val="%9."/>
      <w:lvlJc w:val="left"/>
      <w:pPr>
        <w:ind w:left="3240" w:hanging="360"/>
      </w:pPr>
      <w:rPr>
        <w:rFonts w:ascii="Times New Roman" w:hAnsi="Times New Roman" w:hint="default"/>
        <w:b w:val="0"/>
        <w:i w:val="0"/>
        <w:color w:val="auto"/>
        <w:sz w:val="22"/>
      </w:rPr>
    </w:lvl>
  </w:abstractNum>
  <w:abstractNum w:abstractNumId="21">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2">
    <w:nsid w:val="43B6726F"/>
    <w:multiLevelType w:val="hybridMultilevel"/>
    <w:tmpl w:val="9A10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24">
    <w:nsid w:val="52C51912"/>
    <w:multiLevelType w:val="hybridMultilevel"/>
    <w:tmpl w:val="E71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BC6EB8"/>
    <w:multiLevelType w:val="multilevel"/>
    <w:tmpl w:val="B84CE8A6"/>
    <w:numStyleLink w:val="TableRedNumbersList-IPR"/>
  </w:abstractNum>
  <w:abstractNum w:abstractNumId="26">
    <w:nsid w:val="56D01F5B"/>
    <w:multiLevelType w:val="hybridMultilevel"/>
    <w:tmpl w:val="B77822CE"/>
    <w:lvl w:ilvl="0" w:tplc="BE08F434">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FB472D"/>
    <w:multiLevelType w:val="hybridMultilevel"/>
    <w:tmpl w:val="8A88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333561"/>
    <w:multiLevelType w:val="multilevel"/>
    <w:tmpl w:val="0F64D042"/>
    <w:numStyleLink w:val="Numbers11ptCalibriList"/>
  </w:abstractNum>
  <w:abstractNum w:abstractNumId="29">
    <w:nsid w:val="679A4D49"/>
    <w:multiLevelType w:val="multilevel"/>
    <w:tmpl w:val="E0FE1110"/>
    <w:numStyleLink w:val="TableRedBulletsList-IPR"/>
  </w:abstractNum>
  <w:abstractNum w:abstractNumId="30">
    <w:nsid w:val="6FAB3F4F"/>
    <w:multiLevelType w:val="hybridMultilevel"/>
    <w:tmpl w:val="F47E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4571F3"/>
    <w:multiLevelType w:val="multilevel"/>
    <w:tmpl w:val="7C36BA8E"/>
    <w:lvl w:ilvl="0">
      <w:start w:val="1"/>
      <w:numFmt w:val="bullet"/>
      <w:lvlText w:val="}"/>
      <w:lvlJc w:val="left"/>
      <w:pPr>
        <w:ind w:left="720" w:hanging="360"/>
      </w:pPr>
      <w:rPr>
        <w:rFonts w:ascii="Wingdings 3" w:hAnsi="Wingdings 3" w:hint="default"/>
        <w:color w:val="CC0000"/>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32">
    <w:nsid w:val="7FF412F3"/>
    <w:multiLevelType w:val="hybridMultilevel"/>
    <w:tmpl w:val="4806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1"/>
  </w:num>
  <w:num w:numId="4">
    <w:abstractNumId w:val="3"/>
  </w:num>
  <w:num w:numId="5">
    <w:abstractNumId w:val="9"/>
  </w:num>
  <w:num w:numId="6">
    <w:abstractNumId w:val="19"/>
  </w:num>
  <w:num w:numId="7">
    <w:abstractNumId w:val="2"/>
  </w:num>
  <w:num w:numId="8">
    <w:abstractNumId w:val="4"/>
  </w:num>
  <w:num w:numId="9">
    <w:abstractNumId w:val="25"/>
  </w:num>
  <w:num w:numId="10">
    <w:abstractNumId w:val="12"/>
  </w:num>
  <w:num w:numId="11">
    <w:abstractNumId w:val="23"/>
  </w:num>
  <w:num w:numId="12">
    <w:abstractNumId w:val="0"/>
  </w:num>
  <w:num w:numId="13">
    <w:abstractNumId w:val="17"/>
  </w:num>
  <w:num w:numId="14">
    <w:abstractNumId w:val="18"/>
  </w:num>
  <w:num w:numId="15">
    <w:abstractNumId w:val="21"/>
  </w:num>
  <w:num w:numId="16">
    <w:abstractNumId w:val="28"/>
  </w:num>
  <w:num w:numId="17">
    <w:abstractNumId w:val="1"/>
  </w:num>
  <w:num w:numId="18">
    <w:abstractNumId w:val="29"/>
  </w:num>
  <w:num w:numId="19">
    <w:abstractNumId w:val="20"/>
  </w:num>
  <w:num w:numId="20">
    <w:abstractNumId w:val="7"/>
  </w:num>
  <w:num w:numId="21">
    <w:abstractNumId w:val="6"/>
  </w:num>
  <w:num w:numId="22">
    <w:abstractNumId w:val="8"/>
  </w:num>
  <w:num w:numId="23">
    <w:abstractNumId w:val="10"/>
  </w:num>
  <w:num w:numId="24">
    <w:abstractNumId w:val="16"/>
  </w:num>
  <w:num w:numId="25">
    <w:abstractNumId w:val="24"/>
  </w:num>
  <w:num w:numId="26">
    <w:abstractNumId w:val="32"/>
  </w:num>
  <w:num w:numId="27">
    <w:abstractNumId w:val="22"/>
  </w:num>
  <w:num w:numId="28">
    <w:abstractNumId w:val="13"/>
  </w:num>
  <w:num w:numId="29">
    <w:abstractNumId w:val="14"/>
  </w:num>
  <w:num w:numId="30">
    <w:abstractNumId w:val="31"/>
  </w:num>
  <w:num w:numId="31">
    <w:abstractNumId w:val="27"/>
  </w:num>
  <w:num w:numId="32">
    <w:abstractNumId w:val="30"/>
  </w:num>
  <w:num w:numId="33">
    <w:abstractNumId w:val="1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haddix">
    <w15:presenceInfo w15:providerId="None" w15:userId="dhaddix"/>
  </w15:person>
  <w15:person w15:author="Schulz, Evan - NASS">
    <w15:presenceInfo w15:providerId="AD" w15:userId="S-1-5-21-1939566638-2556909063-4162681916-21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activeWritingStyle w:appName="MSWord" w:lang="es-PR" w:vendorID="64" w:dllVersion="131078" w:nlCheck="1" w:checkStyle="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6625"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77"/>
    <w:rsid w:val="000008D7"/>
    <w:rsid w:val="00000D72"/>
    <w:rsid w:val="0000164D"/>
    <w:rsid w:val="0000167D"/>
    <w:rsid w:val="000020D7"/>
    <w:rsid w:val="000028B3"/>
    <w:rsid w:val="00002FEA"/>
    <w:rsid w:val="000035E7"/>
    <w:rsid w:val="00003C72"/>
    <w:rsid w:val="00004316"/>
    <w:rsid w:val="00004C72"/>
    <w:rsid w:val="00004FA1"/>
    <w:rsid w:val="00005A75"/>
    <w:rsid w:val="00006749"/>
    <w:rsid w:val="000105FD"/>
    <w:rsid w:val="00010818"/>
    <w:rsid w:val="000109B3"/>
    <w:rsid w:val="00010FBC"/>
    <w:rsid w:val="00011199"/>
    <w:rsid w:val="00011367"/>
    <w:rsid w:val="000117EE"/>
    <w:rsid w:val="00011FA0"/>
    <w:rsid w:val="00012663"/>
    <w:rsid w:val="00012994"/>
    <w:rsid w:val="0001308A"/>
    <w:rsid w:val="00013DE2"/>
    <w:rsid w:val="00014294"/>
    <w:rsid w:val="00014451"/>
    <w:rsid w:val="00015D8D"/>
    <w:rsid w:val="000162E6"/>
    <w:rsid w:val="0001673E"/>
    <w:rsid w:val="00016B98"/>
    <w:rsid w:val="00016C61"/>
    <w:rsid w:val="00017136"/>
    <w:rsid w:val="00017CEE"/>
    <w:rsid w:val="000208D1"/>
    <w:rsid w:val="00021CFC"/>
    <w:rsid w:val="000225DE"/>
    <w:rsid w:val="0002359A"/>
    <w:rsid w:val="0002495F"/>
    <w:rsid w:val="00024A86"/>
    <w:rsid w:val="00025B1C"/>
    <w:rsid w:val="00025C27"/>
    <w:rsid w:val="00026813"/>
    <w:rsid w:val="00027680"/>
    <w:rsid w:val="00027C57"/>
    <w:rsid w:val="00027FC3"/>
    <w:rsid w:val="00032BB8"/>
    <w:rsid w:val="000333BF"/>
    <w:rsid w:val="00033F7E"/>
    <w:rsid w:val="00034184"/>
    <w:rsid w:val="00034442"/>
    <w:rsid w:val="00035110"/>
    <w:rsid w:val="00035825"/>
    <w:rsid w:val="000364BC"/>
    <w:rsid w:val="0003654E"/>
    <w:rsid w:val="000371C3"/>
    <w:rsid w:val="000373FB"/>
    <w:rsid w:val="00037DD9"/>
    <w:rsid w:val="000418DB"/>
    <w:rsid w:val="00041AA2"/>
    <w:rsid w:val="00041AAD"/>
    <w:rsid w:val="00042240"/>
    <w:rsid w:val="00043375"/>
    <w:rsid w:val="0004375B"/>
    <w:rsid w:val="00043ECE"/>
    <w:rsid w:val="00044F90"/>
    <w:rsid w:val="000451CB"/>
    <w:rsid w:val="00045355"/>
    <w:rsid w:val="00045F22"/>
    <w:rsid w:val="00046A23"/>
    <w:rsid w:val="00047ECD"/>
    <w:rsid w:val="00050050"/>
    <w:rsid w:val="00050760"/>
    <w:rsid w:val="000510B6"/>
    <w:rsid w:val="00051C42"/>
    <w:rsid w:val="00051E16"/>
    <w:rsid w:val="00052584"/>
    <w:rsid w:val="000537C6"/>
    <w:rsid w:val="00053EED"/>
    <w:rsid w:val="00054805"/>
    <w:rsid w:val="000550B6"/>
    <w:rsid w:val="00057F37"/>
    <w:rsid w:val="00061425"/>
    <w:rsid w:val="00061518"/>
    <w:rsid w:val="000615D5"/>
    <w:rsid w:val="00061B2E"/>
    <w:rsid w:val="00062078"/>
    <w:rsid w:val="00062547"/>
    <w:rsid w:val="00062FBA"/>
    <w:rsid w:val="000644D1"/>
    <w:rsid w:val="00064E28"/>
    <w:rsid w:val="0006706F"/>
    <w:rsid w:val="00067757"/>
    <w:rsid w:val="0006788E"/>
    <w:rsid w:val="00067D28"/>
    <w:rsid w:val="00067E89"/>
    <w:rsid w:val="00067EB6"/>
    <w:rsid w:val="00067F19"/>
    <w:rsid w:val="000706EA"/>
    <w:rsid w:val="00070880"/>
    <w:rsid w:val="00070EB9"/>
    <w:rsid w:val="0007162B"/>
    <w:rsid w:val="000726F1"/>
    <w:rsid w:val="000730E7"/>
    <w:rsid w:val="00073D29"/>
    <w:rsid w:val="00074A0C"/>
    <w:rsid w:val="000752C5"/>
    <w:rsid w:val="0007730B"/>
    <w:rsid w:val="000778F2"/>
    <w:rsid w:val="00077DD8"/>
    <w:rsid w:val="00077F51"/>
    <w:rsid w:val="00077F8D"/>
    <w:rsid w:val="00080DC1"/>
    <w:rsid w:val="00081793"/>
    <w:rsid w:val="00082314"/>
    <w:rsid w:val="00082618"/>
    <w:rsid w:val="00083F26"/>
    <w:rsid w:val="00084255"/>
    <w:rsid w:val="000858AB"/>
    <w:rsid w:val="00086441"/>
    <w:rsid w:val="00087F61"/>
    <w:rsid w:val="000901B1"/>
    <w:rsid w:val="00090F03"/>
    <w:rsid w:val="00092AC7"/>
    <w:rsid w:val="0009352C"/>
    <w:rsid w:val="00093614"/>
    <w:rsid w:val="00093878"/>
    <w:rsid w:val="00093F41"/>
    <w:rsid w:val="00094A94"/>
    <w:rsid w:val="00094B9B"/>
    <w:rsid w:val="0009551A"/>
    <w:rsid w:val="00095899"/>
    <w:rsid w:val="0009702F"/>
    <w:rsid w:val="0009743C"/>
    <w:rsid w:val="000A10B2"/>
    <w:rsid w:val="000A1E3B"/>
    <w:rsid w:val="000A2606"/>
    <w:rsid w:val="000A2880"/>
    <w:rsid w:val="000A35B4"/>
    <w:rsid w:val="000A4461"/>
    <w:rsid w:val="000A4844"/>
    <w:rsid w:val="000A6774"/>
    <w:rsid w:val="000B0A72"/>
    <w:rsid w:val="000B0C79"/>
    <w:rsid w:val="000B1B77"/>
    <w:rsid w:val="000B1EDC"/>
    <w:rsid w:val="000B3462"/>
    <w:rsid w:val="000B3575"/>
    <w:rsid w:val="000B4DAD"/>
    <w:rsid w:val="000B50B3"/>
    <w:rsid w:val="000B5407"/>
    <w:rsid w:val="000B6214"/>
    <w:rsid w:val="000B72CA"/>
    <w:rsid w:val="000B7407"/>
    <w:rsid w:val="000C11E5"/>
    <w:rsid w:val="000C1572"/>
    <w:rsid w:val="000C2197"/>
    <w:rsid w:val="000C2294"/>
    <w:rsid w:val="000C2702"/>
    <w:rsid w:val="000C2B57"/>
    <w:rsid w:val="000C2C63"/>
    <w:rsid w:val="000C3A2D"/>
    <w:rsid w:val="000C3A59"/>
    <w:rsid w:val="000C44B7"/>
    <w:rsid w:val="000C4B5D"/>
    <w:rsid w:val="000C5DD4"/>
    <w:rsid w:val="000C62A4"/>
    <w:rsid w:val="000C688D"/>
    <w:rsid w:val="000C692F"/>
    <w:rsid w:val="000C6B41"/>
    <w:rsid w:val="000C7FC6"/>
    <w:rsid w:val="000C7FF1"/>
    <w:rsid w:val="000D10A0"/>
    <w:rsid w:val="000D11C2"/>
    <w:rsid w:val="000D1542"/>
    <w:rsid w:val="000D2BDC"/>
    <w:rsid w:val="000D31CD"/>
    <w:rsid w:val="000D3407"/>
    <w:rsid w:val="000D400A"/>
    <w:rsid w:val="000D5FBB"/>
    <w:rsid w:val="000D62CD"/>
    <w:rsid w:val="000D64A5"/>
    <w:rsid w:val="000D7756"/>
    <w:rsid w:val="000E02F0"/>
    <w:rsid w:val="000E0A3E"/>
    <w:rsid w:val="000E1621"/>
    <w:rsid w:val="000E25B3"/>
    <w:rsid w:val="000E2693"/>
    <w:rsid w:val="000E38E4"/>
    <w:rsid w:val="000E3C70"/>
    <w:rsid w:val="000E4AA4"/>
    <w:rsid w:val="000E523D"/>
    <w:rsid w:val="000E5AD4"/>
    <w:rsid w:val="000E62A9"/>
    <w:rsid w:val="000E668C"/>
    <w:rsid w:val="000E6934"/>
    <w:rsid w:val="000E6E72"/>
    <w:rsid w:val="000E7677"/>
    <w:rsid w:val="000E7CC2"/>
    <w:rsid w:val="000F1D52"/>
    <w:rsid w:val="000F1F29"/>
    <w:rsid w:val="000F2986"/>
    <w:rsid w:val="000F31F3"/>
    <w:rsid w:val="000F377E"/>
    <w:rsid w:val="000F3885"/>
    <w:rsid w:val="000F3ABA"/>
    <w:rsid w:val="000F49AE"/>
    <w:rsid w:val="000F4AC3"/>
    <w:rsid w:val="000F4C86"/>
    <w:rsid w:val="000F6037"/>
    <w:rsid w:val="000F6303"/>
    <w:rsid w:val="000F7769"/>
    <w:rsid w:val="000F779B"/>
    <w:rsid w:val="0010069D"/>
    <w:rsid w:val="001011EE"/>
    <w:rsid w:val="00101E56"/>
    <w:rsid w:val="00101EDF"/>
    <w:rsid w:val="001024D3"/>
    <w:rsid w:val="0010302A"/>
    <w:rsid w:val="0010396B"/>
    <w:rsid w:val="00103F11"/>
    <w:rsid w:val="00106710"/>
    <w:rsid w:val="00107F80"/>
    <w:rsid w:val="00110119"/>
    <w:rsid w:val="001106D1"/>
    <w:rsid w:val="00110E72"/>
    <w:rsid w:val="001112E5"/>
    <w:rsid w:val="001118A2"/>
    <w:rsid w:val="0011259F"/>
    <w:rsid w:val="00112C47"/>
    <w:rsid w:val="001141D4"/>
    <w:rsid w:val="001158AC"/>
    <w:rsid w:val="00115B01"/>
    <w:rsid w:val="00116422"/>
    <w:rsid w:val="00116ACD"/>
    <w:rsid w:val="001171BC"/>
    <w:rsid w:val="001200A5"/>
    <w:rsid w:val="00120268"/>
    <w:rsid w:val="001202DE"/>
    <w:rsid w:val="00120931"/>
    <w:rsid w:val="00121C76"/>
    <w:rsid w:val="00122C14"/>
    <w:rsid w:val="001230FE"/>
    <w:rsid w:val="00123454"/>
    <w:rsid w:val="001234B5"/>
    <w:rsid w:val="001239F4"/>
    <w:rsid w:val="00124128"/>
    <w:rsid w:val="00124459"/>
    <w:rsid w:val="00124BB3"/>
    <w:rsid w:val="001253B5"/>
    <w:rsid w:val="001257B8"/>
    <w:rsid w:val="00125EF7"/>
    <w:rsid w:val="00126C04"/>
    <w:rsid w:val="001278EB"/>
    <w:rsid w:val="00127ADC"/>
    <w:rsid w:val="00127B6B"/>
    <w:rsid w:val="00130755"/>
    <w:rsid w:val="0013148E"/>
    <w:rsid w:val="00132CDF"/>
    <w:rsid w:val="00132EB8"/>
    <w:rsid w:val="00133CE8"/>
    <w:rsid w:val="001342DD"/>
    <w:rsid w:val="00134FD1"/>
    <w:rsid w:val="0013500C"/>
    <w:rsid w:val="0013567F"/>
    <w:rsid w:val="00136A4D"/>
    <w:rsid w:val="00136EBE"/>
    <w:rsid w:val="00137AAA"/>
    <w:rsid w:val="00137D01"/>
    <w:rsid w:val="00140CC1"/>
    <w:rsid w:val="00141B1D"/>
    <w:rsid w:val="001421A5"/>
    <w:rsid w:val="001434FA"/>
    <w:rsid w:val="00144062"/>
    <w:rsid w:val="001441BB"/>
    <w:rsid w:val="00144379"/>
    <w:rsid w:val="00144711"/>
    <w:rsid w:val="00146AE9"/>
    <w:rsid w:val="00147500"/>
    <w:rsid w:val="001475C1"/>
    <w:rsid w:val="00150DE8"/>
    <w:rsid w:val="00150E92"/>
    <w:rsid w:val="001520AE"/>
    <w:rsid w:val="0015212B"/>
    <w:rsid w:val="00152160"/>
    <w:rsid w:val="00152990"/>
    <w:rsid w:val="001529F2"/>
    <w:rsid w:val="00153708"/>
    <w:rsid w:val="001540AB"/>
    <w:rsid w:val="0015558D"/>
    <w:rsid w:val="0015608C"/>
    <w:rsid w:val="00157054"/>
    <w:rsid w:val="00157154"/>
    <w:rsid w:val="00157B91"/>
    <w:rsid w:val="001604B3"/>
    <w:rsid w:val="00160BE5"/>
    <w:rsid w:val="0016150D"/>
    <w:rsid w:val="0016159F"/>
    <w:rsid w:val="00161BA3"/>
    <w:rsid w:val="00161FD9"/>
    <w:rsid w:val="00162309"/>
    <w:rsid w:val="001625A2"/>
    <w:rsid w:val="001630C4"/>
    <w:rsid w:val="001631FB"/>
    <w:rsid w:val="00165090"/>
    <w:rsid w:val="00165521"/>
    <w:rsid w:val="00165B87"/>
    <w:rsid w:val="00165E5C"/>
    <w:rsid w:val="00167287"/>
    <w:rsid w:val="00167483"/>
    <w:rsid w:val="00167E92"/>
    <w:rsid w:val="0017199F"/>
    <w:rsid w:val="00172CCD"/>
    <w:rsid w:val="00172E98"/>
    <w:rsid w:val="00172F9C"/>
    <w:rsid w:val="001731A7"/>
    <w:rsid w:val="0017356D"/>
    <w:rsid w:val="0017418D"/>
    <w:rsid w:val="001743EA"/>
    <w:rsid w:val="00175091"/>
    <w:rsid w:val="0017567B"/>
    <w:rsid w:val="00175E2D"/>
    <w:rsid w:val="00176ABC"/>
    <w:rsid w:val="00176F4F"/>
    <w:rsid w:val="001776C5"/>
    <w:rsid w:val="00177CFB"/>
    <w:rsid w:val="0018094C"/>
    <w:rsid w:val="0018143D"/>
    <w:rsid w:val="001816F3"/>
    <w:rsid w:val="00181932"/>
    <w:rsid w:val="00181DC7"/>
    <w:rsid w:val="00182600"/>
    <w:rsid w:val="00182776"/>
    <w:rsid w:val="0018280E"/>
    <w:rsid w:val="00182C37"/>
    <w:rsid w:val="00183B3B"/>
    <w:rsid w:val="0018411B"/>
    <w:rsid w:val="001853E0"/>
    <w:rsid w:val="0018553A"/>
    <w:rsid w:val="0018558F"/>
    <w:rsid w:val="001856D5"/>
    <w:rsid w:val="00185CA1"/>
    <w:rsid w:val="00187EDD"/>
    <w:rsid w:val="0019110E"/>
    <w:rsid w:val="001924A3"/>
    <w:rsid w:val="00192684"/>
    <w:rsid w:val="00193847"/>
    <w:rsid w:val="0019436B"/>
    <w:rsid w:val="001949D4"/>
    <w:rsid w:val="001956CF"/>
    <w:rsid w:val="00195B28"/>
    <w:rsid w:val="00195C3D"/>
    <w:rsid w:val="00195C95"/>
    <w:rsid w:val="001973C7"/>
    <w:rsid w:val="00197B07"/>
    <w:rsid w:val="001A01E6"/>
    <w:rsid w:val="001A06F6"/>
    <w:rsid w:val="001A0FAC"/>
    <w:rsid w:val="001A1CB1"/>
    <w:rsid w:val="001A1F55"/>
    <w:rsid w:val="001A22B7"/>
    <w:rsid w:val="001A23D3"/>
    <w:rsid w:val="001A2C75"/>
    <w:rsid w:val="001A335E"/>
    <w:rsid w:val="001A347B"/>
    <w:rsid w:val="001A3CF4"/>
    <w:rsid w:val="001A41B2"/>
    <w:rsid w:val="001A4A21"/>
    <w:rsid w:val="001A6203"/>
    <w:rsid w:val="001A681A"/>
    <w:rsid w:val="001A7550"/>
    <w:rsid w:val="001B1237"/>
    <w:rsid w:val="001B18C7"/>
    <w:rsid w:val="001B2979"/>
    <w:rsid w:val="001B33A1"/>
    <w:rsid w:val="001B3595"/>
    <w:rsid w:val="001B4732"/>
    <w:rsid w:val="001B4998"/>
    <w:rsid w:val="001B5932"/>
    <w:rsid w:val="001B5D8E"/>
    <w:rsid w:val="001B6727"/>
    <w:rsid w:val="001B6730"/>
    <w:rsid w:val="001B70D7"/>
    <w:rsid w:val="001B78B8"/>
    <w:rsid w:val="001C113F"/>
    <w:rsid w:val="001C191A"/>
    <w:rsid w:val="001C2A25"/>
    <w:rsid w:val="001C2C1A"/>
    <w:rsid w:val="001C3208"/>
    <w:rsid w:val="001C34FF"/>
    <w:rsid w:val="001C4272"/>
    <w:rsid w:val="001C4306"/>
    <w:rsid w:val="001C47B1"/>
    <w:rsid w:val="001C4C96"/>
    <w:rsid w:val="001C7131"/>
    <w:rsid w:val="001C77AD"/>
    <w:rsid w:val="001C7CF0"/>
    <w:rsid w:val="001D03CB"/>
    <w:rsid w:val="001D0A6E"/>
    <w:rsid w:val="001D112D"/>
    <w:rsid w:val="001D12C0"/>
    <w:rsid w:val="001D190D"/>
    <w:rsid w:val="001D1C2C"/>
    <w:rsid w:val="001D2BA6"/>
    <w:rsid w:val="001D2E5B"/>
    <w:rsid w:val="001D3D2D"/>
    <w:rsid w:val="001D429F"/>
    <w:rsid w:val="001D4A26"/>
    <w:rsid w:val="001D4D2B"/>
    <w:rsid w:val="001D54C8"/>
    <w:rsid w:val="001D637C"/>
    <w:rsid w:val="001D66BF"/>
    <w:rsid w:val="001D6B84"/>
    <w:rsid w:val="001D6F3D"/>
    <w:rsid w:val="001D7414"/>
    <w:rsid w:val="001D78E4"/>
    <w:rsid w:val="001E0262"/>
    <w:rsid w:val="001E1125"/>
    <w:rsid w:val="001E1294"/>
    <w:rsid w:val="001E1E38"/>
    <w:rsid w:val="001E22E7"/>
    <w:rsid w:val="001E2605"/>
    <w:rsid w:val="001E2896"/>
    <w:rsid w:val="001E2C44"/>
    <w:rsid w:val="001E3311"/>
    <w:rsid w:val="001E3E9D"/>
    <w:rsid w:val="001E545F"/>
    <w:rsid w:val="001E61F4"/>
    <w:rsid w:val="001E62C5"/>
    <w:rsid w:val="001E77A5"/>
    <w:rsid w:val="001F10F3"/>
    <w:rsid w:val="001F12E9"/>
    <w:rsid w:val="001F1853"/>
    <w:rsid w:val="001F1CE5"/>
    <w:rsid w:val="001F1DD5"/>
    <w:rsid w:val="001F1F38"/>
    <w:rsid w:val="001F23DE"/>
    <w:rsid w:val="001F2693"/>
    <w:rsid w:val="001F2E63"/>
    <w:rsid w:val="001F3D81"/>
    <w:rsid w:val="001F40D1"/>
    <w:rsid w:val="001F413B"/>
    <w:rsid w:val="001F4C37"/>
    <w:rsid w:val="001F4FC2"/>
    <w:rsid w:val="001F5255"/>
    <w:rsid w:val="001F5E01"/>
    <w:rsid w:val="001F5E88"/>
    <w:rsid w:val="001F6C25"/>
    <w:rsid w:val="001F6CEF"/>
    <w:rsid w:val="001F7DC4"/>
    <w:rsid w:val="001F7EA0"/>
    <w:rsid w:val="002002B8"/>
    <w:rsid w:val="0020088E"/>
    <w:rsid w:val="00200BB9"/>
    <w:rsid w:val="00201036"/>
    <w:rsid w:val="002012E6"/>
    <w:rsid w:val="00201BE0"/>
    <w:rsid w:val="002020C4"/>
    <w:rsid w:val="00203AD9"/>
    <w:rsid w:val="0020530B"/>
    <w:rsid w:val="00205541"/>
    <w:rsid w:val="00206163"/>
    <w:rsid w:val="00206172"/>
    <w:rsid w:val="00206267"/>
    <w:rsid w:val="00206BA5"/>
    <w:rsid w:val="0020757D"/>
    <w:rsid w:val="002077B1"/>
    <w:rsid w:val="002077FC"/>
    <w:rsid w:val="0021062A"/>
    <w:rsid w:val="00210DD9"/>
    <w:rsid w:val="00211C97"/>
    <w:rsid w:val="00212609"/>
    <w:rsid w:val="00213790"/>
    <w:rsid w:val="00213F7D"/>
    <w:rsid w:val="00214536"/>
    <w:rsid w:val="00214CC0"/>
    <w:rsid w:val="00214DDB"/>
    <w:rsid w:val="00214F41"/>
    <w:rsid w:val="0021657E"/>
    <w:rsid w:val="00217029"/>
    <w:rsid w:val="0021707D"/>
    <w:rsid w:val="00220070"/>
    <w:rsid w:val="002218F2"/>
    <w:rsid w:val="00222D66"/>
    <w:rsid w:val="00223267"/>
    <w:rsid w:val="00223F4F"/>
    <w:rsid w:val="00224FBB"/>
    <w:rsid w:val="00225968"/>
    <w:rsid w:val="0022664D"/>
    <w:rsid w:val="00226DAB"/>
    <w:rsid w:val="00227663"/>
    <w:rsid w:val="0023102C"/>
    <w:rsid w:val="0023152F"/>
    <w:rsid w:val="002325B4"/>
    <w:rsid w:val="002329B7"/>
    <w:rsid w:val="0023324C"/>
    <w:rsid w:val="00233DE3"/>
    <w:rsid w:val="00234E97"/>
    <w:rsid w:val="00234F2E"/>
    <w:rsid w:val="002355D5"/>
    <w:rsid w:val="00235A05"/>
    <w:rsid w:val="0023642D"/>
    <w:rsid w:val="002372E8"/>
    <w:rsid w:val="00237C18"/>
    <w:rsid w:val="00240484"/>
    <w:rsid w:val="00241031"/>
    <w:rsid w:val="002410D2"/>
    <w:rsid w:val="0024173C"/>
    <w:rsid w:val="002429E0"/>
    <w:rsid w:val="002449B9"/>
    <w:rsid w:val="00244B86"/>
    <w:rsid w:val="00245075"/>
    <w:rsid w:val="00245896"/>
    <w:rsid w:val="00245EDE"/>
    <w:rsid w:val="002475C7"/>
    <w:rsid w:val="002511C3"/>
    <w:rsid w:val="00251E53"/>
    <w:rsid w:val="00252314"/>
    <w:rsid w:val="00252D12"/>
    <w:rsid w:val="0025344D"/>
    <w:rsid w:val="00255464"/>
    <w:rsid w:val="00256206"/>
    <w:rsid w:val="00256D23"/>
    <w:rsid w:val="0026025E"/>
    <w:rsid w:val="002624FF"/>
    <w:rsid w:val="00262BA7"/>
    <w:rsid w:val="002636BF"/>
    <w:rsid w:val="00263988"/>
    <w:rsid w:val="00263FAA"/>
    <w:rsid w:val="00266A71"/>
    <w:rsid w:val="00267E26"/>
    <w:rsid w:val="0027096A"/>
    <w:rsid w:val="0027211E"/>
    <w:rsid w:val="002721E1"/>
    <w:rsid w:val="0027221C"/>
    <w:rsid w:val="002728FC"/>
    <w:rsid w:val="00272C74"/>
    <w:rsid w:val="002746B4"/>
    <w:rsid w:val="0027487D"/>
    <w:rsid w:val="00274BC6"/>
    <w:rsid w:val="00274ECD"/>
    <w:rsid w:val="00274F47"/>
    <w:rsid w:val="0027515E"/>
    <w:rsid w:val="002757C0"/>
    <w:rsid w:val="00276DA0"/>
    <w:rsid w:val="00277EC6"/>
    <w:rsid w:val="00277EFB"/>
    <w:rsid w:val="0028027F"/>
    <w:rsid w:val="00280A14"/>
    <w:rsid w:val="00282F65"/>
    <w:rsid w:val="0028492D"/>
    <w:rsid w:val="00284BA9"/>
    <w:rsid w:val="002850A6"/>
    <w:rsid w:val="0028663C"/>
    <w:rsid w:val="00286AA9"/>
    <w:rsid w:val="00286DBB"/>
    <w:rsid w:val="0028705B"/>
    <w:rsid w:val="00287490"/>
    <w:rsid w:val="00287561"/>
    <w:rsid w:val="002875E5"/>
    <w:rsid w:val="00287A2B"/>
    <w:rsid w:val="002902B4"/>
    <w:rsid w:val="0029061A"/>
    <w:rsid w:val="00290952"/>
    <w:rsid w:val="00290E4A"/>
    <w:rsid w:val="00290EBB"/>
    <w:rsid w:val="002914D0"/>
    <w:rsid w:val="00293245"/>
    <w:rsid w:val="00293E60"/>
    <w:rsid w:val="00294029"/>
    <w:rsid w:val="0029427C"/>
    <w:rsid w:val="00294339"/>
    <w:rsid w:val="0029461A"/>
    <w:rsid w:val="00294935"/>
    <w:rsid w:val="00294C4A"/>
    <w:rsid w:val="00295397"/>
    <w:rsid w:val="002957FF"/>
    <w:rsid w:val="002965CB"/>
    <w:rsid w:val="00296F6D"/>
    <w:rsid w:val="00297377"/>
    <w:rsid w:val="002978FA"/>
    <w:rsid w:val="00297F75"/>
    <w:rsid w:val="002A1151"/>
    <w:rsid w:val="002A162D"/>
    <w:rsid w:val="002A1B19"/>
    <w:rsid w:val="002A26CA"/>
    <w:rsid w:val="002A2A95"/>
    <w:rsid w:val="002A3109"/>
    <w:rsid w:val="002A32D7"/>
    <w:rsid w:val="002A3763"/>
    <w:rsid w:val="002A4714"/>
    <w:rsid w:val="002A5734"/>
    <w:rsid w:val="002A5EAA"/>
    <w:rsid w:val="002A630E"/>
    <w:rsid w:val="002A7F99"/>
    <w:rsid w:val="002B0510"/>
    <w:rsid w:val="002B07A3"/>
    <w:rsid w:val="002B1E26"/>
    <w:rsid w:val="002B22F5"/>
    <w:rsid w:val="002B3E8C"/>
    <w:rsid w:val="002B466D"/>
    <w:rsid w:val="002B5104"/>
    <w:rsid w:val="002C0FFB"/>
    <w:rsid w:val="002C175A"/>
    <w:rsid w:val="002C2062"/>
    <w:rsid w:val="002C3EE6"/>
    <w:rsid w:val="002C4120"/>
    <w:rsid w:val="002C43FA"/>
    <w:rsid w:val="002C4AA7"/>
    <w:rsid w:val="002C68E9"/>
    <w:rsid w:val="002C7B9B"/>
    <w:rsid w:val="002D0FBC"/>
    <w:rsid w:val="002D3FEF"/>
    <w:rsid w:val="002D41F1"/>
    <w:rsid w:val="002D4735"/>
    <w:rsid w:val="002D481E"/>
    <w:rsid w:val="002D64BC"/>
    <w:rsid w:val="002D6DF6"/>
    <w:rsid w:val="002D71AA"/>
    <w:rsid w:val="002D7740"/>
    <w:rsid w:val="002E022D"/>
    <w:rsid w:val="002E2AF9"/>
    <w:rsid w:val="002E3629"/>
    <w:rsid w:val="002E3B8C"/>
    <w:rsid w:val="002E44E8"/>
    <w:rsid w:val="002E4576"/>
    <w:rsid w:val="002E54DB"/>
    <w:rsid w:val="002E5812"/>
    <w:rsid w:val="002E611B"/>
    <w:rsid w:val="002E7DAC"/>
    <w:rsid w:val="002F0CA4"/>
    <w:rsid w:val="002F0ECF"/>
    <w:rsid w:val="002F189C"/>
    <w:rsid w:val="002F1D3A"/>
    <w:rsid w:val="002F251A"/>
    <w:rsid w:val="002F295D"/>
    <w:rsid w:val="002F3DD3"/>
    <w:rsid w:val="002F43F7"/>
    <w:rsid w:val="002F4561"/>
    <w:rsid w:val="002F482B"/>
    <w:rsid w:val="002F48C8"/>
    <w:rsid w:val="002F5AB3"/>
    <w:rsid w:val="002F66AD"/>
    <w:rsid w:val="002F685F"/>
    <w:rsid w:val="002F73AE"/>
    <w:rsid w:val="002F7DC3"/>
    <w:rsid w:val="003004A1"/>
    <w:rsid w:val="003027A3"/>
    <w:rsid w:val="00302820"/>
    <w:rsid w:val="00304859"/>
    <w:rsid w:val="003049C8"/>
    <w:rsid w:val="00304A09"/>
    <w:rsid w:val="00304EC8"/>
    <w:rsid w:val="003053F4"/>
    <w:rsid w:val="00305BEB"/>
    <w:rsid w:val="0031042E"/>
    <w:rsid w:val="003107E9"/>
    <w:rsid w:val="00311A37"/>
    <w:rsid w:val="00311DAA"/>
    <w:rsid w:val="00312BF9"/>
    <w:rsid w:val="003130B6"/>
    <w:rsid w:val="00313316"/>
    <w:rsid w:val="003168F9"/>
    <w:rsid w:val="00316951"/>
    <w:rsid w:val="00317DD1"/>
    <w:rsid w:val="00320A95"/>
    <w:rsid w:val="00321A1B"/>
    <w:rsid w:val="003224D5"/>
    <w:rsid w:val="0032262F"/>
    <w:rsid w:val="00322660"/>
    <w:rsid w:val="00322C60"/>
    <w:rsid w:val="003238E5"/>
    <w:rsid w:val="00323BE2"/>
    <w:rsid w:val="00324408"/>
    <w:rsid w:val="00325927"/>
    <w:rsid w:val="003264EB"/>
    <w:rsid w:val="00326C01"/>
    <w:rsid w:val="00326D1A"/>
    <w:rsid w:val="00326E01"/>
    <w:rsid w:val="00326F1D"/>
    <w:rsid w:val="00327FD3"/>
    <w:rsid w:val="00330132"/>
    <w:rsid w:val="00332029"/>
    <w:rsid w:val="003321BF"/>
    <w:rsid w:val="00333457"/>
    <w:rsid w:val="00333CCB"/>
    <w:rsid w:val="00333DB0"/>
    <w:rsid w:val="00333E41"/>
    <w:rsid w:val="00334228"/>
    <w:rsid w:val="00334CAA"/>
    <w:rsid w:val="00335043"/>
    <w:rsid w:val="0033544F"/>
    <w:rsid w:val="00335D22"/>
    <w:rsid w:val="00336385"/>
    <w:rsid w:val="00336722"/>
    <w:rsid w:val="00336CC7"/>
    <w:rsid w:val="00336FA8"/>
    <w:rsid w:val="0033707F"/>
    <w:rsid w:val="003416E0"/>
    <w:rsid w:val="003420D6"/>
    <w:rsid w:val="00342309"/>
    <w:rsid w:val="00343694"/>
    <w:rsid w:val="0034394D"/>
    <w:rsid w:val="003440CE"/>
    <w:rsid w:val="00344448"/>
    <w:rsid w:val="00345B69"/>
    <w:rsid w:val="003463D5"/>
    <w:rsid w:val="00347708"/>
    <w:rsid w:val="00347F51"/>
    <w:rsid w:val="0035108F"/>
    <w:rsid w:val="00351BFA"/>
    <w:rsid w:val="00351E03"/>
    <w:rsid w:val="0035229C"/>
    <w:rsid w:val="00352938"/>
    <w:rsid w:val="00352E29"/>
    <w:rsid w:val="00354AF4"/>
    <w:rsid w:val="00354B9E"/>
    <w:rsid w:val="003550B6"/>
    <w:rsid w:val="00355537"/>
    <w:rsid w:val="003560C0"/>
    <w:rsid w:val="003561DC"/>
    <w:rsid w:val="003564B9"/>
    <w:rsid w:val="00356B90"/>
    <w:rsid w:val="00356C43"/>
    <w:rsid w:val="0036012F"/>
    <w:rsid w:val="003604E8"/>
    <w:rsid w:val="0036233F"/>
    <w:rsid w:val="003632B4"/>
    <w:rsid w:val="00363B4A"/>
    <w:rsid w:val="00364C61"/>
    <w:rsid w:val="00366996"/>
    <w:rsid w:val="00367439"/>
    <w:rsid w:val="00367A3A"/>
    <w:rsid w:val="00370473"/>
    <w:rsid w:val="0037203A"/>
    <w:rsid w:val="00372833"/>
    <w:rsid w:val="00372A03"/>
    <w:rsid w:val="00372C71"/>
    <w:rsid w:val="00372F9D"/>
    <w:rsid w:val="00373822"/>
    <w:rsid w:val="00373C7D"/>
    <w:rsid w:val="0037427A"/>
    <w:rsid w:val="00375107"/>
    <w:rsid w:val="00375321"/>
    <w:rsid w:val="00375870"/>
    <w:rsid w:val="003759F4"/>
    <w:rsid w:val="00375C70"/>
    <w:rsid w:val="003763C5"/>
    <w:rsid w:val="003765F9"/>
    <w:rsid w:val="00376946"/>
    <w:rsid w:val="0037771A"/>
    <w:rsid w:val="00377B71"/>
    <w:rsid w:val="00377DD4"/>
    <w:rsid w:val="00380276"/>
    <w:rsid w:val="00380A00"/>
    <w:rsid w:val="00380E2D"/>
    <w:rsid w:val="00381476"/>
    <w:rsid w:val="00381766"/>
    <w:rsid w:val="0038188B"/>
    <w:rsid w:val="00382849"/>
    <w:rsid w:val="00383EF2"/>
    <w:rsid w:val="00386048"/>
    <w:rsid w:val="00391B1A"/>
    <w:rsid w:val="003920F7"/>
    <w:rsid w:val="00392FE7"/>
    <w:rsid w:val="00393C1E"/>
    <w:rsid w:val="003958E5"/>
    <w:rsid w:val="00395E9C"/>
    <w:rsid w:val="003963A0"/>
    <w:rsid w:val="003977A2"/>
    <w:rsid w:val="003978C3"/>
    <w:rsid w:val="003A01C7"/>
    <w:rsid w:val="003A03E8"/>
    <w:rsid w:val="003A06D4"/>
    <w:rsid w:val="003A07CE"/>
    <w:rsid w:val="003A0A6A"/>
    <w:rsid w:val="003A0C21"/>
    <w:rsid w:val="003A1426"/>
    <w:rsid w:val="003A145B"/>
    <w:rsid w:val="003A18C7"/>
    <w:rsid w:val="003A1D4E"/>
    <w:rsid w:val="003A344D"/>
    <w:rsid w:val="003A3623"/>
    <w:rsid w:val="003A3A45"/>
    <w:rsid w:val="003A3AFB"/>
    <w:rsid w:val="003A4ACE"/>
    <w:rsid w:val="003A4BEE"/>
    <w:rsid w:val="003A4EBF"/>
    <w:rsid w:val="003A5A51"/>
    <w:rsid w:val="003A6611"/>
    <w:rsid w:val="003A6EF0"/>
    <w:rsid w:val="003B0447"/>
    <w:rsid w:val="003B08C2"/>
    <w:rsid w:val="003B0C3F"/>
    <w:rsid w:val="003B117A"/>
    <w:rsid w:val="003B13A3"/>
    <w:rsid w:val="003B189B"/>
    <w:rsid w:val="003B1F14"/>
    <w:rsid w:val="003B2399"/>
    <w:rsid w:val="003B24EF"/>
    <w:rsid w:val="003B3030"/>
    <w:rsid w:val="003B41C3"/>
    <w:rsid w:val="003B4B2C"/>
    <w:rsid w:val="003B5EDB"/>
    <w:rsid w:val="003B67DA"/>
    <w:rsid w:val="003C2FC7"/>
    <w:rsid w:val="003C425F"/>
    <w:rsid w:val="003C4A4A"/>
    <w:rsid w:val="003C4DBD"/>
    <w:rsid w:val="003C4F45"/>
    <w:rsid w:val="003C6F80"/>
    <w:rsid w:val="003C756E"/>
    <w:rsid w:val="003D0A36"/>
    <w:rsid w:val="003D0CE5"/>
    <w:rsid w:val="003D19FF"/>
    <w:rsid w:val="003D243C"/>
    <w:rsid w:val="003D3714"/>
    <w:rsid w:val="003D3AB5"/>
    <w:rsid w:val="003D3BCB"/>
    <w:rsid w:val="003D4385"/>
    <w:rsid w:val="003D5BA9"/>
    <w:rsid w:val="003D7D5E"/>
    <w:rsid w:val="003E1110"/>
    <w:rsid w:val="003E20D2"/>
    <w:rsid w:val="003E23D0"/>
    <w:rsid w:val="003E3A3D"/>
    <w:rsid w:val="003E3B28"/>
    <w:rsid w:val="003E3C1B"/>
    <w:rsid w:val="003E44E3"/>
    <w:rsid w:val="003E4D98"/>
    <w:rsid w:val="003E5A61"/>
    <w:rsid w:val="003E6618"/>
    <w:rsid w:val="003E69CB"/>
    <w:rsid w:val="003E7087"/>
    <w:rsid w:val="003E71E5"/>
    <w:rsid w:val="003E76FF"/>
    <w:rsid w:val="003E7B35"/>
    <w:rsid w:val="003F1ABA"/>
    <w:rsid w:val="003F1DA6"/>
    <w:rsid w:val="003F23E6"/>
    <w:rsid w:val="003F2DE5"/>
    <w:rsid w:val="003F3A03"/>
    <w:rsid w:val="003F3C56"/>
    <w:rsid w:val="003F3D44"/>
    <w:rsid w:val="003F400F"/>
    <w:rsid w:val="003F41E3"/>
    <w:rsid w:val="003F46E3"/>
    <w:rsid w:val="003F4B9E"/>
    <w:rsid w:val="003F5C92"/>
    <w:rsid w:val="003F5F2B"/>
    <w:rsid w:val="003F6125"/>
    <w:rsid w:val="003F768C"/>
    <w:rsid w:val="00400A33"/>
    <w:rsid w:val="00401E69"/>
    <w:rsid w:val="00403785"/>
    <w:rsid w:val="00404F7C"/>
    <w:rsid w:val="00405606"/>
    <w:rsid w:val="00405F70"/>
    <w:rsid w:val="004106EE"/>
    <w:rsid w:val="00410CFC"/>
    <w:rsid w:val="00411142"/>
    <w:rsid w:val="00411150"/>
    <w:rsid w:val="004131AB"/>
    <w:rsid w:val="004131F9"/>
    <w:rsid w:val="00413B66"/>
    <w:rsid w:val="004140B8"/>
    <w:rsid w:val="004142A3"/>
    <w:rsid w:val="004147A9"/>
    <w:rsid w:val="004147F2"/>
    <w:rsid w:val="0041552A"/>
    <w:rsid w:val="00415639"/>
    <w:rsid w:val="004215EB"/>
    <w:rsid w:val="004218AE"/>
    <w:rsid w:val="004227E9"/>
    <w:rsid w:val="00423485"/>
    <w:rsid w:val="004236E1"/>
    <w:rsid w:val="004238E3"/>
    <w:rsid w:val="00423B63"/>
    <w:rsid w:val="00423C5E"/>
    <w:rsid w:val="004241CF"/>
    <w:rsid w:val="004251DE"/>
    <w:rsid w:val="004252D6"/>
    <w:rsid w:val="00425488"/>
    <w:rsid w:val="004303CB"/>
    <w:rsid w:val="00430A6F"/>
    <w:rsid w:val="00431284"/>
    <w:rsid w:val="004331CA"/>
    <w:rsid w:val="00433A0B"/>
    <w:rsid w:val="004365AA"/>
    <w:rsid w:val="00437A43"/>
    <w:rsid w:val="00437C77"/>
    <w:rsid w:val="00440170"/>
    <w:rsid w:val="00440259"/>
    <w:rsid w:val="00440882"/>
    <w:rsid w:val="00440B72"/>
    <w:rsid w:val="00441937"/>
    <w:rsid w:val="00441A06"/>
    <w:rsid w:val="00441ACF"/>
    <w:rsid w:val="00441E14"/>
    <w:rsid w:val="0044300B"/>
    <w:rsid w:val="00443F1A"/>
    <w:rsid w:val="00445367"/>
    <w:rsid w:val="00446219"/>
    <w:rsid w:val="004469B2"/>
    <w:rsid w:val="00446D4E"/>
    <w:rsid w:val="00446EB6"/>
    <w:rsid w:val="0044785A"/>
    <w:rsid w:val="00447DCC"/>
    <w:rsid w:val="004514CE"/>
    <w:rsid w:val="004518F9"/>
    <w:rsid w:val="00451D9E"/>
    <w:rsid w:val="00451E92"/>
    <w:rsid w:val="00453955"/>
    <w:rsid w:val="00454AFA"/>
    <w:rsid w:val="00455399"/>
    <w:rsid w:val="00455584"/>
    <w:rsid w:val="004558A3"/>
    <w:rsid w:val="00455CAE"/>
    <w:rsid w:val="00455CE2"/>
    <w:rsid w:val="00456733"/>
    <w:rsid w:val="00456E4A"/>
    <w:rsid w:val="0045715A"/>
    <w:rsid w:val="004573D4"/>
    <w:rsid w:val="00457BD1"/>
    <w:rsid w:val="00460876"/>
    <w:rsid w:val="00462002"/>
    <w:rsid w:val="00462500"/>
    <w:rsid w:val="00463B72"/>
    <w:rsid w:val="004659E2"/>
    <w:rsid w:val="00465E92"/>
    <w:rsid w:val="00466FD8"/>
    <w:rsid w:val="004704CA"/>
    <w:rsid w:val="00471153"/>
    <w:rsid w:val="004711E6"/>
    <w:rsid w:val="004718AD"/>
    <w:rsid w:val="0047225A"/>
    <w:rsid w:val="004728C7"/>
    <w:rsid w:val="00473636"/>
    <w:rsid w:val="0047365C"/>
    <w:rsid w:val="00473718"/>
    <w:rsid w:val="00474830"/>
    <w:rsid w:val="00475029"/>
    <w:rsid w:val="00475E7E"/>
    <w:rsid w:val="00476B80"/>
    <w:rsid w:val="00476EC6"/>
    <w:rsid w:val="00476EFF"/>
    <w:rsid w:val="00477A39"/>
    <w:rsid w:val="00477F24"/>
    <w:rsid w:val="00480420"/>
    <w:rsid w:val="00481999"/>
    <w:rsid w:val="00481F1B"/>
    <w:rsid w:val="00482562"/>
    <w:rsid w:val="0048300B"/>
    <w:rsid w:val="00483303"/>
    <w:rsid w:val="00483E83"/>
    <w:rsid w:val="0048456A"/>
    <w:rsid w:val="00484662"/>
    <w:rsid w:val="004854A7"/>
    <w:rsid w:val="00485D40"/>
    <w:rsid w:val="0048698B"/>
    <w:rsid w:val="00486DF7"/>
    <w:rsid w:val="004875FB"/>
    <w:rsid w:val="00487663"/>
    <w:rsid w:val="0049029C"/>
    <w:rsid w:val="00490414"/>
    <w:rsid w:val="00490659"/>
    <w:rsid w:val="00491B79"/>
    <w:rsid w:val="00492570"/>
    <w:rsid w:val="0049281A"/>
    <w:rsid w:val="0049282D"/>
    <w:rsid w:val="00494014"/>
    <w:rsid w:val="00494457"/>
    <w:rsid w:val="0049446A"/>
    <w:rsid w:val="00494477"/>
    <w:rsid w:val="004949FC"/>
    <w:rsid w:val="00495FAF"/>
    <w:rsid w:val="00496935"/>
    <w:rsid w:val="0049750C"/>
    <w:rsid w:val="00497546"/>
    <w:rsid w:val="0049763C"/>
    <w:rsid w:val="00497731"/>
    <w:rsid w:val="00497AE8"/>
    <w:rsid w:val="00497AF6"/>
    <w:rsid w:val="004A0559"/>
    <w:rsid w:val="004A07FE"/>
    <w:rsid w:val="004A096C"/>
    <w:rsid w:val="004A0BAA"/>
    <w:rsid w:val="004A177A"/>
    <w:rsid w:val="004A18B4"/>
    <w:rsid w:val="004A1C3C"/>
    <w:rsid w:val="004A206D"/>
    <w:rsid w:val="004A2097"/>
    <w:rsid w:val="004A21A5"/>
    <w:rsid w:val="004A2DE7"/>
    <w:rsid w:val="004A3029"/>
    <w:rsid w:val="004A309C"/>
    <w:rsid w:val="004A3764"/>
    <w:rsid w:val="004A4809"/>
    <w:rsid w:val="004A5256"/>
    <w:rsid w:val="004A5DB4"/>
    <w:rsid w:val="004A7EA1"/>
    <w:rsid w:val="004B241A"/>
    <w:rsid w:val="004B2665"/>
    <w:rsid w:val="004B329E"/>
    <w:rsid w:val="004B3E47"/>
    <w:rsid w:val="004B4147"/>
    <w:rsid w:val="004B57C0"/>
    <w:rsid w:val="004B5969"/>
    <w:rsid w:val="004B5F9A"/>
    <w:rsid w:val="004B7B1C"/>
    <w:rsid w:val="004C05BF"/>
    <w:rsid w:val="004C093A"/>
    <w:rsid w:val="004C0F66"/>
    <w:rsid w:val="004C1319"/>
    <w:rsid w:val="004C2BA8"/>
    <w:rsid w:val="004C41DB"/>
    <w:rsid w:val="004C4549"/>
    <w:rsid w:val="004C4E7B"/>
    <w:rsid w:val="004C51A8"/>
    <w:rsid w:val="004C543F"/>
    <w:rsid w:val="004C59B4"/>
    <w:rsid w:val="004C5AD1"/>
    <w:rsid w:val="004C653E"/>
    <w:rsid w:val="004D16F1"/>
    <w:rsid w:val="004D172C"/>
    <w:rsid w:val="004D1FD0"/>
    <w:rsid w:val="004D2D05"/>
    <w:rsid w:val="004D57CE"/>
    <w:rsid w:val="004D6774"/>
    <w:rsid w:val="004D6E1B"/>
    <w:rsid w:val="004D70A2"/>
    <w:rsid w:val="004D77DC"/>
    <w:rsid w:val="004D7815"/>
    <w:rsid w:val="004E0408"/>
    <w:rsid w:val="004E1BA5"/>
    <w:rsid w:val="004E320E"/>
    <w:rsid w:val="004E3578"/>
    <w:rsid w:val="004E3985"/>
    <w:rsid w:val="004E3FC2"/>
    <w:rsid w:val="004E4EA4"/>
    <w:rsid w:val="004E54FA"/>
    <w:rsid w:val="004E5827"/>
    <w:rsid w:val="004E7256"/>
    <w:rsid w:val="004F01A2"/>
    <w:rsid w:val="004F022B"/>
    <w:rsid w:val="004F137A"/>
    <w:rsid w:val="004F1C8B"/>
    <w:rsid w:val="004F2FCF"/>
    <w:rsid w:val="004F4300"/>
    <w:rsid w:val="004F4A50"/>
    <w:rsid w:val="004F4F01"/>
    <w:rsid w:val="004F5E34"/>
    <w:rsid w:val="004F7BB7"/>
    <w:rsid w:val="004F7E9C"/>
    <w:rsid w:val="0050076D"/>
    <w:rsid w:val="00500C20"/>
    <w:rsid w:val="005017EE"/>
    <w:rsid w:val="00502982"/>
    <w:rsid w:val="00502E2C"/>
    <w:rsid w:val="0050362B"/>
    <w:rsid w:val="00503979"/>
    <w:rsid w:val="00503B44"/>
    <w:rsid w:val="00504001"/>
    <w:rsid w:val="00504FA2"/>
    <w:rsid w:val="005053A5"/>
    <w:rsid w:val="005053D5"/>
    <w:rsid w:val="00506E0F"/>
    <w:rsid w:val="0050771A"/>
    <w:rsid w:val="005103D3"/>
    <w:rsid w:val="00511660"/>
    <w:rsid w:val="00511DE9"/>
    <w:rsid w:val="0051216F"/>
    <w:rsid w:val="005132E7"/>
    <w:rsid w:val="005141A6"/>
    <w:rsid w:val="0051453C"/>
    <w:rsid w:val="0051515D"/>
    <w:rsid w:val="005156C4"/>
    <w:rsid w:val="00517949"/>
    <w:rsid w:val="0052058C"/>
    <w:rsid w:val="00520A3D"/>
    <w:rsid w:val="005210C7"/>
    <w:rsid w:val="005214A1"/>
    <w:rsid w:val="00522D58"/>
    <w:rsid w:val="0052312D"/>
    <w:rsid w:val="005237A6"/>
    <w:rsid w:val="00523F6F"/>
    <w:rsid w:val="00523FC8"/>
    <w:rsid w:val="00525AAC"/>
    <w:rsid w:val="00526D69"/>
    <w:rsid w:val="00527A6E"/>
    <w:rsid w:val="005305FA"/>
    <w:rsid w:val="0053096F"/>
    <w:rsid w:val="00531D8C"/>
    <w:rsid w:val="005359E7"/>
    <w:rsid w:val="005367EE"/>
    <w:rsid w:val="00537E0B"/>
    <w:rsid w:val="00540F3B"/>
    <w:rsid w:val="00541370"/>
    <w:rsid w:val="0054190A"/>
    <w:rsid w:val="00542A9A"/>
    <w:rsid w:val="00543242"/>
    <w:rsid w:val="0054385D"/>
    <w:rsid w:val="00543BB4"/>
    <w:rsid w:val="00544786"/>
    <w:rsid w:val="00544D7B"/>
    <w:rsid w:val="00544E19"/>
    <w:rsid w:val="00546DBF"/>
    <w:rsid w:val="00547097"/>
    <w:rsid w:val="00547119"/>
    <w:rsid w:val="00550157"/>
    <w:rsid w:val="0055074C"/>
    <w:rsid w:val="005513AC"/>
    <w:rsid w:val="00552167"/>
    <w:rsid w:val="005524A4"/>
    <w:rsid w:val="00552AA3"/>
    <w:rsid w:val="0055326E"/>
    <w:rsid w:val="005538C2"/>
    <w:rsid w:val="005556BE"/>
    <w:rsid w:val="00555B7F"/>
    <w:rsid w:val="00556B2A"/>
    <w:rsid w:val="00556CFF"/>
    <w:rsid w:val="00560E77"/>
    <w:rsid w:val="005623CA"/>
    <w:rsid w:val="0056247E"/>
    <w:rsid w:val="00563AAA"/>
    <w:rsid w:val="00563EB7"/>
    <w:rsid w:val="005646B1"/>
    <w:rsid w:val="00565B6C"/>
    <w:rsid w:val="00566287"/>
    <w:rsid w:val="0056635B"/>
    <w:rsid w:val="00567303"/>
    <w:rsid w:val="00567445"/>
    <w:rsid w:val="00567E10"/>
    <w:rsid w:val="005700A6"/>
    <w:rsid w:val="00570255"/>
    <w:rsid w:val="005707D3"/>
    <w:rsid w:val="00571013"/>
    <w:rsid w:val="005710CC"/>
    <w:rsid w:val="00571C6A"/>
    <w:rsid w:val="005726B6"/>
    <w:rsid w:val="00573E33"/>
    <w:rsid w:val="00573FAA"/>
    <w:rsid w:val="005749C6"/>
    <w:rsid w:val="00575734"/>
    <w:rsid w:val="00575CCA"/>
    <w:rsid w:val="00576359"/>
    <w:rsid w:val="00577258"/>
    <w:rsid w:val="0057736E"/>
    <w:rsid w:val="00577D8C"/>
    <w:rsid w:val="0058060E"/>
    <w:rsid w:val="0058064C"/>
    <w:rsid w:val="005816F9"/>
    <w:rsid w:val="005827BA"/>
    <w:rsid w:val="00583B3E"/>
    <w:rsid w:val="005842F2"/>
    <w:rsid w:val="005855BB"/>
    <w:rsid w:val="00585F26"/>
    <w:rsid w:val="00586CF0"/>
    <w:rsid w:val="0058796C"/>
    <w:rsid w:val="00587AED"/>
    <w:rsid w:val="00590773"/>
    <w:rsid w:val="00590D55"/>
    <w:rsid w:val="00590DCC"/>
    <w:rsid w:val="00590E9F"/>
    <w:rsid w:val="00591043"/>
    <w:rsid w:val="00591AE5"/>
    <w:rsid w:val="00594617"/>
    <w:rsid w:val="00594B9E"/>
    <w:rsid w:val="00594BEF"/>
    <w:rsid w:val="005979C9"/>
    <w:rsid w:val="005A2002"/>
    <w:rsid w:val="005A30F0"/>
    <w:rsid w:val="005A320F"/>
    <w:rsid w:val="005A37CF"/>
    <w:rsid w:val="005A3EC1"/>
    <w:rsid w:val="005A42F9"/>
    <w:rsid w:val="005A52F5"/>
    <w:rsid w:val="005A571B"/>
    <w:rsid w:val="005A6261"/>
    <w:rsid w:val="005A669F"/>
    <w:rsid w:val="005A7340"/>
    <w:rsid w:val="005A74F3"/>
    <w:rsid w:val="005A7F70"/>
    <w:rsid w:val="005B0D6B"/>
    <w:rsid w:val="005B102C"/>
    <w:rsid w:val="005B1833"/>
    <w:rsid w:val="005B2213"/>
    <w:rsid w:val="005B230E"/>
    <w:rsid w:val="005B30DD"/>
    <w:rsid w:val="005B3509"/>
    <w:rsid w:val="005B4BD3"/>
    <w:rsid w:val="005B59D8"/>
    <w:rsid w:val="005B5A4A"/>
    <w:rsid w:val="005B60E9"/>
    <w:rsid w:val="005B659E"/>
    <w:rsid w:val="005B69CF"/>
    <w:rsid w:val="005B6A26"/>
    <w:rsid w:val="005B6C2B"/>
    <w:rsid w:val="005B6CBA"/>
    <w:rsid w:val="005C0A37"/>
    <w:rsid w:val="005C0ED0"/>
    <w:rsid w:val="005C12C5"/>
    <w:rsid w:val="005C1704"/>
    <w:rsid w:val="005C1BD3"/>
    <w:rsid w:val="005C1BD9"/>
    <w:rsid w:val="005C1D98"/>
    <w:rsid w:val="005C1E36"/>
    <w:rsid w:val="005C2A1E"/>
    <w:rsid w:val="005C2D7D"/>
    <w:rsid w:val="005C30E0"/>
    <w:rsid w:val="005C31F2"/>
    <w:rsid w:val="005C50E2"/>
    <w:rsid w:val="005C5900"/>
    <w:rsid w:val="005C5EA5"/>
    <w:rsid w:val="005C6A02"/>
    <w:rsid w:val="005C6B1F"/>
    <w:rsid w:val="005D1888"/>
    <w:rsid w:val="005D1BF4"/>
    <w:rsid w:val="005D233E"/>
    <w:rsid w:val="005D3145"/>
    <w:rsid w:val="005D3510"/>
    <w:rsid w:val="005D3D4E"/>
    <w:rsid w:val="005D3F4F"/>
    <w:rsid w:val="005D3FB9"/>
    <w:rsid w:val="005D4CBD"/>
    <w:rsid w:val="005D51A2"/>
    <w:rsid w:val="005D52B9"/>
    <w:rsid w:val="005D6387"/>
    <w:rsid w:val="005D67C5"/>
    <w:rsid w:val="005D69FD"/>
    <w:rsid w:val="005D7692"/>
    <w:rsid w:val="005D7DD5"/>
    <w:rsid w:val="005E056B"/>
    <w:rsid w:val="005E073D"/>
    <w:rsid w:val="005E07E8"/>
    <w:rsid w:val="005E0E88"/>
    <w:rsid w:val="005E118E"/>
    <w:rsid w:val="005E1746"/>
    <w:rsid w:val="005E70BD"/>
    <w:rsid w:val="005E732A"/>
    <w:rsid w:val="005E7E49"/>
    <w:rsid w:val="005F120B"/>
    <w:rsid w:val="005F3690"/>
    <w:rsid w:val="005F3D79"/>
    <w:rsid w:val="005F4341"/>
    <w:rsid w:val="005F603B"/>
    <w:rsid w:val="0060243F"/>
    <w:rsid w:val="00602C6D"/>
    <w:rsid w:val="0060507B"/>
    <w:rsid w:val="00605602"/>
    <w:rsid w:val="006065A9"/>
    <w:rsid w:val="00606C4A"/>
    <w:rsid w:val="00606FAF"/>
    <w:rsid w:val="00607529"/>
    <w:rsid w:val="006076AB"/>
    <w:rsid w:val="006100B6"/>
    <w:rsid w:val="00610315"/>
    <w:rsid w:val="00610837"/>
    <w:rsid w:val="00610958"/>
    <w:rsid w:val="00610C7C"/>
    <w:rsid w:val="00610E2E"/>
    <w:rsid w:val="00611A0A"/>
    <w:rsid w:val="0061219B"/>
    <w:rsid w:val="00612B4A"/>
    <w:rsid w:val="00613450"/>
    <w:rsid w:val="006137EC"/>
    <w:rsid w:val="00613D53"/>
    <w:rsid w:val="00614280"/>
    <w:rsid w:val="00614308"/>
    <w:rsid w:val="00614CAE"/>
    <w:rsid w:val="00614FCF"/>
    <w:rsid w:val="0061569E"/>
    <w:rsid w:val="00615915"/>
    <w:rsid w:val="00615990"/>
    <w:rsid w:val="00615C44"/>
    <w:rsid w:val="00615CF5"/>
    <w:rsid w:val="00616163"/>
    <w:rsid w:val="00616486"/>
    <w:rsid w:val="00616488"/>
    <w:rsid w:val="00616607"/>
    <w:rsid w:val="00617004"/>
    <w:rsid w:val="0061751C"/>
    <w:rsid w:val="0062027B"/>
    <w:rsid w:val="0062149E"/>
    <w:rsid w:val="006218EF"/>
    <w:rsid w:val="00623F88"/>
    <w:rsid w:val="00624317"/>
    <w:rsid w:val="00624433"/>
    <w:rsid w:val="006246DA"/>
    <w:rsid w:val="00625DE0"/>
    <w:rsid w:val="00625EFB"/>
    <w:rsid w:val="00627932"/>
    <w:rsid w:val="00627EDE"/>
    <w:rsid w:val="00631D4B"/>
    <w:rsid w:val="00632637"/>
    <w:rsid w:val="00632704"/>
    <w:rsid w:val="0063357A"/>
    <w:rsid w:val="00634394"/>
    <w:rsid w:val="006345C1"/>
    <w:rsid w:val="0063529D"/>
    <w:rsid w:val="006378C1"/>
    <w:rsid w:val="00641B3F"/>
    <w:rsid w:val="00642719"/>
    <w:rsid w:val="00642B83"/>
    <w:rsid w:val="006430DA"/>
    <w:rsid w:val="00643875"/>
    <w:rsid w:val="0064496D"/>
    <w:rsid w:val="006449D8"/>
    <w:rsid w:val="006451FC"/>
    <w:rsid w:val="00645C90"/>
    <w:rsid w:val="006465EF"/>
    <w:rsid w:val="0064751B"/>
    <w:rsid w:val="006476E3"/>
    <w:rsid w:val="00653293"/>
    <w:rsid w:val="00654868"/>
    <w:rsid w:val="00655288"/>
    <w:rsid w:val="006553A4"/>
    <w:rsid w:val="0065702B"/>
    <w:rsid w:val="00657A6C"/>
    <w:rsid w:val="00657E41"/>
    <w:rsid w:val="00660210"/>
    <w:rsid w:val="006612C7"/>
    <w:rsid w:val="0066147B"/>
    <w:rsid w:val="00661552"/>
    <w:rsid w:val="0066206F"/>
    <w:rsid w:val="006620C9"/>
    <w:rsid w:val="006627B7"/>
    <w:rsid w:val="00662E5E"/>
    <w:rsid w:val="006631B5"/>
    <w:rsid w:val="00665253"/>
    <w:rsid w:val="00665BF8"/>
    <w:rsid w:val="0066727F"/>
    <w:rsid w:val="00667F44"/>
    <w:rsid w:val="006707E0"/>
    <w:rsid w:val="00670A88"/>
    <w:rsid w:val="006722D2"/>
    <w:rsid w:val="00672604"/>
    <w:rsid w:val="00672658"/>
    <w:rsid w:val="00672CF2"/>
    <w:rsid w:val="00672E7D"/>
    <w:rsid w:val="00674756"/>
    <w:rsid w:val="00676296"/>
    <w:rsid w:val="00676EE8"/>
    <w:rsid w:val="00677E33"/>
    <w:rsid w:val="0068007B"/>
    <w:rsid w:val="0068011C"/>
    <w:rsid w:val="00680BEF"/>
    <w:rsid w:val="00680E5B"/>
    <w:rsid w:val="006814E7"/>
    <w:rsid w:val="006815C7"/>
    <w:rsid w:val="006817C3"/>
    <w:rsid w:val="0068264C"/>
    <w:rsid w:val="00683BB3"/>
    <w:rsid w:val="00683BC4"/>
    <w:rsid w:val="00683BF2"/>
    <w:rsid w:val="00684230"/>
    <w:rsid w:val="006863D9"/>
    <w:rsid w:val="006864E6"/>
    <w:rsid w:val="006868DC"/>
    <w:rsid w:val="00686E9F"/>
    <w:rsid w:val="0068784B"/>
    <w:rsid w:val="00687ABE"/>
    <w:rsid w:val="00687C26"/>
    <w:rsid w:val="00687D6A"/>
    <w:rsid w:val="00690D03"/>
    <w:rsid w:val="006913A5"/>
    <w:rsid w:val="006918E1"/>
    <w:rsid w:val="006921F3"/>
    <w:rsid w:val="0069296A"/>
    <w:rsid w:val="00692A48"/>
    <w:rsid w:val="00692F7C"/>
    <w:rsid w:val="006932AA"/>
    <w:rsid w:val="0069366E"/>
    <w:rsid w:val="00693CEF"/>
    <w:rsid w:val="00694352"/>
    <w:rsid w:val="006948B2"/>
    <w:rsid w:val="00695193"/>
    <w:rsid w:val="006951D2"/>
    <w:rsid w:val="0069566B"/>
    <w:rsid w:val="00696183"/>
    <w:rsid w:val="0069637C"/>
    <w:rsid w:val="006A2F84"/>
    <w:rsid w:val="006A37FF"/>
    <w:rsid w:val="006A46AB"/>
    <w:rsid w:val="006A4EF7"/>
    <w:rsid w:val="006A5A87"/>
    <w:rsid w:val="006A5B49"/>
    <w:rsid w:val="006A6367"/>
    <w:rsid w:val="006A74D2"/>
    <w:rsid w:val="006B088C"/>
    <w:rsid w:val="006B0C4C"/>
    <w:rsid w:val="006B1266"/>
    <w:rsid w:val="006B16D4"/>
    <w:rsid w:val="006B24AB"/>
    <w:rsid w:val="006B2905"/>
    <w:rsid w:val="006B2F89"/>
    <w:rsid w:val="006B36DC"/>
    <w:rsid w:val="006B426B"/>
    <w:rsid w:val="006B5421"/>
    <w:rsid w:val="006B670C"/>
    <w:rsid w:val="006C1569"/>
    <w:rsid w:val="006C2956"/>
    <w:rsid w:val="006C2AC7"/>
    <w:rsid w:val="006C37FB"/>
    <w:rsid w:val="006C49B7"/>
    <w:rsid w:val="006C4E3C"/>
    <w:rsid w:val="006C4E4D"/>
    <w:rsid w:val="006C535D"/>
    <w:rsid w:val="006C53A0"/>
    <w:rsid w:val="006C6336"/>
    <w:rsid w:val="006C63AF"/>
    <w:rsid w:val="006C6C66"/>
    <w:rsid w:val="006D09EB"/>
    <w:rsid w:val="006D11AF"/>
    <w:rsid w:val="006D4920"/>
    <w:rsid w:val="006D4933"/>
    <w:rsid w:val="006D4D25"/>
    <w:rsid w:val="006D5EE2"/>
    <w:rsid w:val="006D6F9B"/>
    <w:rsid w:val="006D749E"/>
    <w:rsid w:val="006D785F"/>
    <w:rsid w:val="006E0374"/>
    <w:rsid w:val="006E09A4"/>
    <w:rsid w:val="006E1131"/>
    <w:rsid w:val="006E210E"/>
    <w:rsid w:val="006E34C5"/>
    <w:rsid w:val="006E4A84"/>
    <w:rsid w:val="006E4CC4"/>
    <w:rsid w:val="006E7555"/>
    <w:rsid w:val="006F1229"/>
    <w:rsid w:val="006F151B"/>
    <w:rsid w:val="006F2C8A"/>
    <w:rsid w:val="006F36D4"/>
    <w:rsid w:val="006F3B05"/>
    <w:rsid w:val="006F4261"/>
    <w:rsid w:val="006F4449"/>
    <w:rsid w:val="006F4F7D"/>
    <w:rsid w:val="006F5B6C"/>
    <w:rsid w:val="006F661D"/>
    <w:rsid w:val="00700B66"/>
    <w:rsid w:val="007010A7"/>
    <w:rsid w:val="007029CE"/>
    <w:rsid w:val="00702B24"/>
    <w:rsid w:val="0070340B"/>
    <w:rsid w:val="007039C8"/>
    <w:rsid w:val="00706A08"/>
    <w:rsid w:val="0070781F"/>
    <w:rsid w:val="00710543"/>
    <w:rsid w:val="007108E3"/>
    <w:rsid w:val="00711145"/>
    <w:rsid w:val="0071238B"/>
    <w:rsid w:val="007131F3"/>
    <w:rsid w:val="00713453"/>
    <w:rsid w:val="0071375F"/>
    <w:rsid w:val="00714930"/>
    <w:rsid w:val="007155E1"/>
    <w:rsid w:val="00716156"/>
    <w:rsid w:val="0071621D"/>
    <w:rsid w:val="0071645F"/>
    <w:rsid w:val="00717A75"/>
    <w:rsid w:val="00717BD6"/>
    <w:rsid w:val="00717CA7"/>
    <w:rsid w:val="00720BBD"/>
    <w:rsid w:val="007215CF"/>
    <w:rsid w:val="00721D4B"/>
    <w:rsid w:val="0072281C"/>
    <w:rsid w:val="00722BD6"/>
    <w:rsid w:val="00723855"/>
    <w:rsid w:val="00723B6C"/>
    <w:rsid w:val="0072491B"/>
    <w:rsid w:val="007267EE"/>
    <w:rsid w:val="007274DB"/>
    <w:rsid w:val="00727D48"/>
    <w:rsid w:val="0073027C"/>
    <w:rsid w:val="00731A25"/>
    <w:rsid w:val="00732055"/>
    <w:rsid w:val="00732206"/>
    <w:rsid w:val="0073261E"/>
    <w:rsid w:val="007331DA"/>
    <w:rsid w:val="0073410B"/>
    <w:rsid w:val="00734E6F"/>
    <w:rsid w:val="0073562B"/>
    <w:rsid w:val="00735845"/>
    <w:rsid w:val="00737241"/>
    <w:rsid w:val="007408AE"/>
    <w:rsid w:val="00740D89"/>
    <w:rsid w:val="00740E7C"/>
    <w:rsid w:val="007413CC"/>
    <w:rsid w:val="007423DA"/>
    <w:rsid w:val="00742BA3"/>
    <w:rsid w:val="00742F80"/>
    <w:rsid w:val="0074328C"/>
    <w:rsid w:val="00743359"/>
    <w:rsid w:val="007442BB"/>
    <w:rsid w:val="00744ADC"/>
    <w:rsid w:val="00745148"/>
    <w:rsid w:val="007469C6"/>
    <w:rsid w:val="00746F37"/>
    <w:rsid w:val="007474A4"/>
    <w:rsid w:val="00750E41"/>
    <w:rsid w:val="0075244C"/>
    <w:rsid w:val="007527A4"/>
    <w:rsid w:val="00752810"/>
    <w:rsid w:val="007528F4"/>
    <w:rsid w:val="00752CBB"/>
    <w:rsid w:val="00753D22"/>
    <w:rsid w:val="007552E4"/>
    <w:rsid w:val="007554E3"/>
    <w:rsid w:val="00755FB9"/>
    <w:rsid w:val="00756943"/>
    <w:rsid w:val="00756ABA"/>
    <w:rsid w:val="0076015B"/>
    <w:rsid w:val="007604D5"/>
    <w:rsid w:val="00761090"/>
    <w:rsid w:val="0076151A"/>
    <w:rsid w:val="00762D60"/>
    <w:rsid w:val="00763420"/>
    <w:rsid w:val="00763F04"/>
    <w:rsid w:val="00763FCE"/>
    <w:rsid w:val="00764046"/>
    <w:rsid w:val="00764F47"/>
    <w:rsid w:val="0076627A"/>
    <w:rsid w:val="007714F3"/>
    <w:rsid w:val="00771C05"/>
    <w:rsid w:val="00771C40"/>
    <w:rsid w:val="007727E6"/>
    <w:rsid w:val="00777207"/>
    <w:rsid w:val="00780207"/>
    <w:rsid w:val="00780A89"/>
    <w:rsid w:val="0078148A"/>
    <w:rsid w:val="0078229B"/>
    <w:rsid w:val="0078233F"/>
    <w:rsid w:val="00782BD3"/>
    <w:rsid w:val="00782BD5"/>
    <w:rsid w:val="00782C39"/>
    <w:rsid w:val="00783263"/>
    <w:rsid w:val="00783FA7"/>
    <w:rsid w:val="0078421A"/>
    <w:rsid w:val="00784800"/>
    <w:rsid w:val="00784EAB"/>
    <w:rsid w:val="00784F82"/>
    <w:rsid w:val="00785803"/>
    <w:rsid w:val="00785AF0"/>
    <w:rsid w:val="00785FEC"/>
    <w:rsid w:val="00786241"/>
    <w:rsid w:val="007868F9"/>
    <w:rsid w:val="00786A13"/>
    <w:rsid w:val="007878F9"/>
    <w:rsid w:val="00787F36"/>
    <w:rsid w:val="00790142"/>
    <w:rsid w:val="0079121F"/>
    <w:rsid w:val="00791635"/>
    <w:rsid w:val="007919B3"/>
    <w:rsid w:val="00791C18"/>
    <w:rsid w:val="00791DEA"/>
    <w:rsid w:val="007923C1"/>
    <w:rsid w:val="0079333D"/>
    <w:rsid w:val="00794498"/>
    <w:rsid w:val="00794F12"/>
    <w:rsid w:val="00795065"/>
    <w:rsid w:val="0079574D"/>
    <w:rsid w:val="00795C2E"/>
    <w:rsid w:val="00795E3E"/>
    <w:rsid w:val="0079689B"/>
    <w:rsid w:val="007A12E6"/>
    <w:rsid w:val="007A1954"/>
    <w:rsid w:val="007A4EF7"/>
    <w:rsid w:val="007A51BB"/>
    <w:rsid w:val="007A6A78"/>
    <w:rsid w:val="007A7541"/>
    <w:rsid w:val="007A7949"/>
    <w:rsid w:val="007A7BC8"/>
    <w:rsid w:val="007B002B"/>
    <w:rsid w:val="007B1199"/>
    <w:rsid w:val="007B1508"/>
    <w:rsid w:val="007B17D9"/>
    <w:rsid w:val="007B2EF6"/>
    <w:rsid w:val="007B31D4"/>
    <w:rsid w:val="007B3836"/>
    <w:rsid w:val="007B406D"/>
    <w:rsid w:val="007B4B3E"/>
    <w:rsid w:val="007B5892"/>
    <w:rsid w:val="007B59B5"/>
    <w:rsid w:val="007B6189"/>
    <w:rsid w:val="007B7623"/>
    <w:rsid w:val="007B7A02"/>
    <w:rsid w:val="007C0E38"/>
    <w:rsid w:val="007C1BDF"/>
    <w:rsid w:val="007C393C"/>
    <w:rsid w:val="007C3E1E"/>
    <w:rsid w:val="007C4F29"/>
    <w:rsid w:val="007C560F"/>
    <w:rsid w:val="007C63A5"/>
    <w:rsid w:val="007C6647"/>
    <w:rsid w:val="007C6A88"/>
    <w:rsid w:val="007C6D6B"/>
    <w:rsid w:val="007C793B"/>
    <w:rsid w:val="007D062A"/>
    <w:rsid w:val="007D0C2F"/>
    <w:rsid w:val="007D19D0"/>
    <w:rsid w:val="007D2382"/>
    <w:rsid w:val="007D3205"/>
    <w:rsid w:val="007D3477"/>
    <w:rsid w:val="007D3D41"/>
    <w:rsid w:val="007D3E6D"/>
    <w:rsid w:val="007D4F6E"/>
    <w:rsid w:val="007D6A29"/>
    <w:rsid w:val="007D7BC1"/>
    <w:rsid w:val="007E0A22"/>
    <w:rsid w:val="007E0AD2"/>
    <w:rsid w:val="007E0D89"/>
    <w:rsid w:val="007E11DB"/>
    <w:rsid w:val="007E14F2"/>
    <w:rsid w:val="007E2581"/>
    <w:rsid w:val="007E38D2"/>
    <w:rsid w:val="007E4F67"/>
    <w:rsid w:val="007E6E09"/>
    <w:rsid w:val="007F0B92"/>
    <w:rsid w:val="007F1D9C"/>
    <w:rsid w:val="007F2276"/>
    <w:rsid w:val="007F29FE"/>
    <w:rsid w:val="007F3614"/>
    <w:rsid w:val="007F3C6D"/>
    <w:rsid w:val="007F3FAB"/>
    <w:rsid w:val="007F4174"/>
    <w:rsid w:val="007F4B96"/>
    <w:rsid w:val="007F4D99"/>
    <w:rsid w:val="007F5CDE"/>
    <w:rsid w:val="008000D3"/>
    <w:rsid w:val="008015DA"/>
    <w:rsid w:val="00801CDA"/>
    <w:rsid w:val="0080217B"/>
    <w:rsid w:val="00803002"/>
    <w:rsid w:val="00803AD8"/>
    <w:rsid w:val="0080409C"/>
    <w:rsid w:val="00804127"/>
    <w:rsid w:val="00804475"/>
    <w:rsid w:val="0080495D"/>
    <w:rsid w:val="008049DB"/>
    <w:rsid w:val="00807698"/>
    <w:rsid w:val="008077CF"/>
    <w:rsid w:val="0080788D"/>
    <w:rsid w:val="00813E02"/>
    <w:rsid w:val="00814E8C"/>
    <w:rsid w:val="00815C20"/>
    <w:rsid w:val="00815DEF"/>
    <w:rsid w:val="0081655D"/>
    <w:rsid w:val="008204B7"/>
    <w:rsid w:val="00821069"/>
    <w:rsid w:val="0082184B"/>
    <w:rsid w:val="00822374"/>
    <w:rsid w:val="00822B2A"/>
    <w:rsid w:val="00822C3D"/>
    <w:rsid w:val="00822F36"/>
    <w:rsid w:val="008235C0"/>
    <w:rsid w:val="00823CBB"/>
    <w:rsid w:val="0082427E"/>
    <w:rsid w:val="008244B8"/>
    <w:rsid w:val="00824B7D"/>
    <w:rsid w:val="00824CDF"/>
    <w:rsid w:val="00824DC8"/>
    <w:rsid w:val="00824DD8"/>
    <w:rsid w:val="00825443"/>
    <w:rsid w:val="00825BC8"/>
    <w:rsid w:val="00825C85"/>
    <w:rsid w:val="00826474"/>
    <w:rsid w:val="0082653C"/>
    <w:rsid w:val="00826A3E"/>
    <w:rsid w:val="00827144"/>
    <w:rsid w:val="00827A8F"/>
    <w:rsid w:val="00827B98"/>
    <w:rsid w:val="00831DA2"/>
    <w:rsid w:val="0083397F"/>
    <w:rsid w:val="008348FA"/>
    <w:rsid w:val="008355B2"/>
    <w:rsid w:val="00835A85"/>
    <w:rsid w:val="00837A41"/>
    <w:rsid w:val="00840712"/>
    <w:rsid w:val="00840E21"/>
    <w:rsid w:val="00841DF1"/>
    <w:rsid w:val="008439B9"/>
    <w:rsid w:val="00843F38"/>
    <w:rsid w:val="008444A2"/>
    <w:rsid w:val="00845B98"/>
    <w:rsid w:val="00846124"/>
    <w:rsid w:val="00847A1C"/>
    <w:rsid w:val="008500A6"/>
    <w:rsid w:val="00850206"/>
    <w:rsid w:val="00850576"/>
    <w:rsid w:val="0085219C"/>
    <w:rsid w:val="00853CDF"/>
    <w:rsid w:val="00854400"/>
    <w:rsid w:val="00855048"/>
    <w:rsid w:val="0085548E"/>
    <w:rsid w:val="0085631E"/>
    <w:rsid w:val="0085734B"/>
    <w:rsid w:val="00857B1D"/>
    <w:rsid w:val="008606FE"/>
    <w:rsid w:val="00860840"/>
    <w:rsid w:val="00862855"/>
    <w:rsid w:val="00863033"/>
    <w:rsid w:val="008635DB"/>
    <w:rsid w:val="0086397C"/>
    <w:rsid w:val="0086540B"/>
    <w:rsid w:val="008666B1"/>
    <w:rsid w:val="008675E4"/>
    <w:rsid w:val="00867FFD"/>
    <w:rsid w:val="00870786"/>
    <w:rsid w:val="00870A7E"/>
    <w:rsid w:val="008715BA"/>
    <w:rsid w:val="008720D8"/>
    <w:rsid w:val="00872D0F"/>
    <w:rsid w:val="00872D70"/>
    <w:rsid w:val="00872F0B"/>
    <w:rsid w:val="008733F4"/>
    <w:rsid w:val="008741EE"/>
    <w:rsid w:val="00874638"/>
    <w:rsid w:val="00875009"/>
    <w:rsid w:val="00875783"/>
    <w:rsid w:val="00875B6C"/>
    <w:rsid w:val="0088025D"/>
    <w:rsid w:val="008805F3"/>
    <w:rsid w:val="00881763"/>
    <w:rsid w:val="00881AAF"/>
    <w:rsid w:val="00885804"/>
    <w:rsid w:val="0088639F"/>
    <w:rsid w:val="0088668E"/>
    <w:rsid w:val="00887724"/>
    <w:rsid w:val="00887833"/>
    <w:rsid w:val="00890CE7"/>
    <w:rsid w:val="00891239"/>
    <w:rsid w:val="00892326"/>
    <w:rsid w:val="0089232E"/>
    <w:rsid w:val="008923EE"/>
    <w:rsid w:val="00893185"/>
    <w:rsid w:val="00893E05"/>
    <w:rsid w:val="00893F66"/>
    <w:rsid w:val="008946C4"/>
    <w:rsid w:val="00894C83"/>
    <w:rsid w:val="00895BE2"/>
    <w:rsid w:val="008973C4"/>
    <w:rsid w:val="0089775E"/>
    <w:rsid w:val="008A0381"/>
    <w:rsid w:val="008A1E1B"/>
    <w:rsid w:val="008A5137"/>
    <w:rsid w:val="008A571F"/>
    <w:rsid w:val="008A65EC"/>
    <w:rsid w:val="008A6F5A"/>
    <w:rsid w:val="008A6FCF"/>
    <w:rsid w:val="008B20D5"/>
    <w:rsid w:val="008B3318"/>
    <w:rsid w:val="008B3FA6"/>
    <w:rsid w:val="008B4033"/>
    <w:rsid w:val="008B40CB"/>
    <w:rsid w:val="008B50F0"/>
    <w:rsid w:val="008B5A7B"/>
    <w:rsid w:val="008B5C4E"/>
    <w:rsid w:val="008B6C0E"/>
    <w:rsid w:val="008B6EA6"/>
    <w:rsid w:val="008B7717"/>
    <w:rsid w:val="008B7B54"/>
    <w:rsid w:val="008C0F8F"/>
    <w:rsid w:val="008C1189"/>
    <w:rsid w:val="008C13CD"/>
    <w:rsid w:val="008C20C0"/>
    <w:rsid w:val="008C2618"/>
    <w:rsid w:val="008C3135"/>
    <w:rsid w:val="008C3168"/>
    <w:rsid w:val="008C5B24"/>
    <w:rsid w:val="008C5BA7"/>
    <w:rsid w:val="008C6457"/>
    <w:rsid w:val="008C6BB1"/>
    <w:rsid w:val="008C7ECF"/>
    <w:rsid w:val="008D17AD"/>
    <w:rsid w:val="008D215F"/>
    <w:rsid w:val="008D290B"/>
    <w:rsid w:val="008D2DEF"/>
    <w:rsid w:val="008D305E"/>
    <w:rsid w:val="008D4AD5"/>
    <w:rsid w:val="008D526C"/>
    <w:rsid w:val="008D54A7"/>
    <w:rsid w:val="008D6A18"/>
    <w:rsid w:val="008D7C3D"/>
    <w:rsid w:val="008D7DD8"/>
    <w:rsid w:val="008E0756"/>
    <w:rsid w:val="008E093A"/>
    <w:rsid w:val="008E0BB4"/>
    <w:rsid w:val="008E0EF1"/>
    <w:rsid w:val="008E0F89"/>
    <w:rsid w:val="008E212E"/>
    <w:rsid w:val="008E26AA"/>
    <w:rsid w:val="008E3599"/>
    <w:rsid w:val="008E37C2"/>
    <w:rsid w:val="008E48E7"/>
    <w:rsid w:val="008E4FC5"/>
    <w:rsid w:val="008E5446"/>
    <w:rsid w:val="008E734B"/>
    <w:rsid w:val="008E73B6"/>
    <w:rsid w:val="008E7A05"/>
    <w:rsid w:val="008F00DA"/>
    <w:rsid w:val="008F0ABD"/>
    <w:rsid w:val="008F12C8"/>
    <w:rsid w:val="008F30BC"/>
    <w:rsid w:val="008F3E74"/>
    <w:rsid w:val="008F41ED"/>
    <w:rsid w:val="008F5335"/>
    <w:rsid w:val="008F74D6"/>
    <w:rsid w:val="008F78A7"/>
    <w:rsid w:val="009008AF"/>
    <w:rsid w:val="00900B09"/>
    <w:rsid w:val="00901B2D"/>
    <w:rsid w:val="00902A35"/>
    <w:rsid w:val="00902BAE"/>
    <w:rsid w:val="0090333E"/>
    <w:rsid w:val="00904063"/>
    <w:rsid w:val="00904B4D"/>
    <w:rsid w:val="00904EC6"/>
    <w:rsid w:val="00905D6D"/>
    <w:rsid w:val="00907179"/>
    <w:rsid w:val="009125CC"/>
    <w:rsid w:val="009136B0"/>
    <w:rsid w:val="00913F8C"/>
    <w:rsid w:val="009146E8"/>
    <w:rsid w:val="00914786"/>
    <w:rsid w:val="00914D7E"/>
    <w:rsid w:val="00915369"/>
    <w:rsid w:val="00915C5C"/>
    <w:rsid w:val="0091657A"/>
    <w:rsid w:val="00916AC3"/>
    <w:rsid w:val="00917BB5"/>
    <w:rsid w:val="009216DA"/>
    <w:rsid w:val="00922106"/>
    <w:rsid w:val="00922F1C"/>
    <w:rsid w:val="00923633"/>
    <w:rsid w:val="00923964"/>
    <w:rsid w:val="00925063"/>
    <w:rsid w:val="00926060"/>
    <w:rsid w:val="009269F6"/>
    <w:rsid w:val="00926C98"/>
    <w:rsid w:val="00926E60"/>
    <w:rsid w:val="00926FE6"/>
    <w:rsid w:val="0092703D"/>
    <w:rsid w:val="00927794"/>
    <w:rsid w:val="00927957"/>
    <w:rsid w:val="00930184"/>
    <w:rsid w:val="00930362"/>
    <w:rsid w:val="00930FE9"/>
    <w:rsid w:val="00932457"/>
    <w:rsid w:val="009334F7"/>
    <w:rsid w:val="00934002"/>
    <w:rsid w:val="00935B81"/>
    <w:rsid w:val="009377AF"/>
    <w:rsid w:val="00940126"/>
    <w:rsid w:val="00942AE2"/>
    <w:rsid w:val="00942F74"/>
    <w:rsid w:val="009436A1"/>
    <w:rsid w:val="009442B9"/>
    <w:rsid w:val="00944976"/>
    <w:rsid w:val="009456C5"/>
    <w:rsid w:val="009467ED"/>
    <w:rsid w:val="00950D4D"/>
    <w:rsid w:val="0095101E"/>
    <w:rsid w:val="009517D1"/>
    <w:rsid w:val="00951888"/>
    <w:rsid w:val="0095293C"/>
    <w:rsid w:val="00952944"/>
    <w:rsid w:val="00953285"/>
    <w:rsid w:val="009533CE"/>
    <w:rsid w:val="00955399"/>
    <w:rsid w:val="00956034"/>
    <w:rsid w:val="009607AC"/>
    <w:rsid w:val="00961863"/>
    <w:rsid w:val="00961E9F"/>
    <w:rsid w:val="009638BD"/>
    <w:rsid w:val="009646A6"/>
    <w:rsid w:val="00964DE0"/>
    <w:rsid w:val="009652A8"/>
    <w:rsid w:val="00965D52"/>
    <w:rsid w:val="00965E46"/>
    <w:rsid w:val="00971ABA"/>
    <w:rsid w:val="009723B2"/>
    <w:rsid w:val="0097244F"/>
    <w:rsid w:val="009730DD"/>
    <w:rsid w:val="00973B9E"/>
    <w:rsid w:val="0097561E"/>
    <w:rsid w:val="0097613B"/>
    <w:rsid w:val="0097613C"/>
    <w:rsid w:val="009762B0"/>
    <w:rsid w:val="0097740E"/>
    <w:rsid w:val="0098016B"/>
    <w:rsid w:val="00980F0A"/>
    <w:rsid w:val="00981C1D"/>
    <w:rsid w:val="00984490"/>
    <w:rsid w:val="00984A9C"/>
    <w:rsid w:val="00986107"/>
    <w:rsid w:val="009861CA"/>
    <w:rsid w:val="00987054"/>
    <w:rsid w:val="0099001B"/>
    <w:rsid w:val="00990282"/>
    <w:rsid w:val="00993448"/>
    <w:rsid w:val="00993A49"/>
    <w:rsid w:val="00994303"/>
    <w:rsid w:val="009943DD"/>
    <w:rsid w:val="00994A01"/>
    <w:rsid w:val="00994D23"/>
    <w:rsid w:val="00995294"/>
    <w:rsid w:val="0099534B"/>
    <w:rsid w:val="0099682D"/>
    <w:rsid w:val="009A0250"/>
    <w:rsid w:val="009A1C2D"/>
    <w:rsid w:val="009A283B"/>
    <w:rsid w:val="009A3071"/>
    <w:rsid w:val="009A41F0"/>
    <w:rsid w:val="009A56BD"/>
    <w:rsid w:val="009A6B5F"/>
    <w:rsid w:val="009A6C85"/>
    <w:rsid w:val="009A7089"/>
    <w:rsid w:val="009B03D8"/>
    <w:rsid w:val="009B0C78"/>
    <w:rsid w:val="009B0FF7"/>
    <w:rsid w:val="009B11CF"/>
    <w:rsid w:val="009B124E"/>
    <w:rsid w:val="009B151F"/>
    <w:rsid w:val="009B1CE3"/>
    <w:rsid w:val="009B20E5"/>
    <w:rsid w:val="009B31E7"/>
    <w:rsid w:val="009B400F"/>
    <w:rsid w:val="009B5CB0"/>
    <w:rsid w:val="009B5D30"/>
    <w:rsid w:val="009B74CD"/>
    <w:rsid w:val="009B7EF6"/>
    <w:rsid w:val="009C0878"/>
    <w:rsid w:val="009C11A6"/>
    <w:rsid w:val="009C13F8"/>
    <w:rsid w:val="009C4783"/>
    <w:rsid w:val="009C4C26"/>
    <w:rsid w:val="009C4DCF"/>
    <w:rsid w:val="009C504D"/>
    <w:rsid w:val="009C5DC7"/>
    <w:rsid w:val="009C5FEF"/>
    <w:rsid w:val="009C677B"/>
    <w:rsid w:val="009C685A"/>
    <w:rsid w:val="009C76E7"/>
    <w:rsid w:val="009D0141"/>
    <w:rsid w:val="009D0E95"/>
    <w:rsid w:val="009D2E96"/>
    <w:rsid w:val="009D30CB"/>
    <w:rsid w:val="009D34EC"/>
    <w:rsid w:val="009D37B0"/>
    <w:rsid w:val="009D4589"/>
    <w:rsid w:val="009D4FB5"/>
    <w:rsid w:val="009D50E7"/>
    <w:rsid w:val="009D54D4"/>
    <w:rsid w:val="009D5650"/>
    <w:rsid w:val="009D64F3"/>
    <w:rsid w:val="009D6699"/>
    <w:rsid w:val="009D6D78"/>
    <w:rsid w:val="009D73A5"/>
    <w:rsid w:val="009D73B8"/>
    <w:rsid w:val="009D7BC1"/>
    <w:rsid w:val="009E0FCB"/>
    <w:rsid w:val="009E1677"/>
    <w:rsid w:val="009E1A09"/>
    <w:rsid w:val="009E1AD6"/>
    <w:rsid w:val="009E1F3B"/>
    <w:rsid w:val="009E30F5"/>
    <w:rsid w:val="009E430B"/>
    <w:rsid w:val="009E4E32"/>
    <w:rsid w:val="009E5209"/>
    <w:rsid w:val="009E5889"/>
    <w:rsid w:val="009E5B9D"/>
    <w:rsid w:val="009F023B"/>
    <w:rsid w:val="009F0582"/>
    <w:rsid w:val="009F06B3"/>
    <w:rsid w:val="009F0874"/>
    <w:rsid w:val="009F1B5F"/>
    <w:rsid w:val="009F20D3"/>
    <w:rsid w:val="009F5121"/>
    <w:rsid w:val="009F6446"/>
    <w:rsid w:val="009F68A4"/>
    <w:rsid w:val="009F7047"/>
    <w:rsid w:val="00A000CB"/>
    <w:rsid w:val="00A002A4"/>
    <w:rsid w:val="00A00327"/>
    <w:rsid w:val="00A007E8"/>
    <w:rsid w:val="00A00C13"/>
    <w:rsid w:val="00A013A9"/>
    <w:rsid w:val="00A014B2"/>
    <w:rsid w:val="00A0255C"/>
    <w:rsid w:val="00A03929"/>
    <w:rsid w:val="00A0407A"/>
    <w:rsid w:val="00A048A0"/>
    <w:rsid w:val="00A05D0A"/>
    <w:rsid w:val="00A06291"/>
    <w:rsid w:val="00A06B9A"/>
    <w:rsid w:val="00A06DA9"/>
    <w:rsid w:val="00A073A7"/>
    <w:rsid w:val="00A103F4"/>
    <w:rsid w:val="00A10431"/>
    <w:rsid w:val="00A105A1"/>
    <w:rsid w:val="00A10676"/>
    <w:rsid w:val="00A109A1"/>
    <w:rsid w:val="00A10D6E"/>
    <w:rsid w:val="00A1153A"/>
    <w:rsid w:val="00A11654"/>
    <w:rsid w:val="00A12C40"/>
    <w:rsid w:val="00A12E5E"/>
    <w:rsid w:val="00A13469"/>
    <w:rsid w:val="00A13C73"/>
    <w:rsid w:val="00A13EE4"/>
    <w:rsid w:val="00A1691C"/>
    <w:rsid w:val="00A16D17"/>
    <w:rsid w:val="00A17645"/>
    <w:rsid w:val="00A176A2"/>
    <w:rsid w:val="00A2028C"/>
    <w:rsid w:val="00A211BF"/>
    <w:rsid w:val="00A216CF"/>
    <w:rsid w:val="00A222E3"/>
    <w:rsid w:val="00A22ED7"/>
    <w:rsid w:val="00A23354"/>
    <w:rsid w:val="00A24083"/>
    <w:rsid w:val="00A256E0"/>
    <w:rsid w:val="00A25730"/>
    <w:rsid w:val="00A259C0"/>
    <w:rsid w:val="00A25DEC"/>
    <w:rsid w:val="00A2649E"/>
    <w:rsid w:val="00A26CC4"/>
    <w:rsid w:val="00A27180"/>
    <w:rsid w:val="00A27DAC"/>
    <w:rsid w:val="00A27EC1"/>
    <w:rsid w:val="00A303D7"/>
    <w:rsid w:val="00A30511"/>
    <w:rsid w:val="00A3108D"/>
    <w:rsid w:val="00A310BD"/>
    <w:rsid w:val="00A3287E"/>
    <w:rsid w:val="00A33804"/>
    <w:rsid w:val="00A338C6"/>
    <w:rsid w:val="00A3499C"/>
    <w:rsid w:val="00A34F35"/>
    <w:rsid w:val="00A357CA"/>
    <w:rsid w:val="00A35C48"/>
    <w:rsid w:val="00A3644A"/>
    <w:rsid w:val="00A37284"/>
    <w:rsid w:val="00A40C8D"/>
    <w:rsid w:val="00A40CB8"/>
    <w:rsid w:val="00A4122D"/>
    <w:rsid w:val="00A41F3B"/>
    <w:rsid w:val="00A42B27"/>
    <w:rsid w:val="00A4347B"/>
    <w:rsid w:val="00A449C1"/>
    <w:rsid w:val="00A4567C"/>
    <w:rsid w:val="00A46333"/>
    <w:rsid w:val="00A50640"/>
    <w:rsid w:val="00A5095C"/>
    <w:rsid w:val="00A51EE2"/>
    <w:rsid w:val="00A52C6A"/>
    <w:rsid w:val="00A53734"/>
    <w:rsid w:val="00A53A1B"/>
    <w:rsid w:val="00A54020"/>
    <w:rsid w:val="00A546CB"/>
    <w:rsid w:val="00A54A3D"/>
    <w:rsid w:val="00A554E4"/>
    <w:rsid w:val="00A55640"/>
    <w:rsid w:val="00A56417"/>
    <w:rsid w:val="00A5752F"/>
    <w:rsid w:val="00A5785C"/>
    <w:rsid w:val="00A57E50"/>
    <w:rsid w:val="00A57FA6"/>
    <w:rsid w:val="00A61059"/>
    <w:rsid w:val="00A611A0"/>
    <w:rsid w:val="00A612F9"/>
    <w:rsid w:val="00A61D64"/>
    <w:rsid w:val="00A62077"/>
    <w:rsid w:val="00A6330C"/>
    <w:rsid w:val="00A63418"/>
    <w:rsid w:val="00A6367E"/>
    <w:rsid w:val="00A636D8"/>
    <w:rsid w:val="00A64D10"/>
    <w:rsid w:val="00A659CC"/>
    <w:rsid w:val="00A65A92"/>
    <w:rsid w:val="00A65D53"/>
    <w:rsid w:val="00A6755F"/>
    <w:rsid w:val="00A6761C"/>
    <w:rsid w:val="00A701A2"/>
    <w:rsid w:val="00A714A3"/>
    <w:rsid w:val="00A71AC7"/>
    <w:rsid w:val="00A721E4"/>
    <w:rsid w:val="00A7253A"/>
    <w:rsid w:val="00A729F9"/>
    <w:rsid w:val="00A7421E"/>
    <w:rsid w:val="00A748AE"/>
    <w:rsid w:val="00A748B2"/>
    <w:rsid w:val="00A7587B"/>
    <w:rsid w:val="00A759A8"/>
    <w:rsid w:val="00A75B36"/>
    <w:rsid w:val="00A7749A"/>
    <w:rsid w:val="00A80CD6"/>
    <w:rsid w:val="00A81946"/>
    <w:rsid w:val="00A8307D"/>
    <w:rsid w:val="00A83B42"/>
    <w:rsid w:val="00A84E00"/>
    <w:rsid w:val="00A860C6"/>
    <w:rsid w:val="00A861DD"/>
    <w:rsid w:val="00A8692E"/>
    <w:rsid w:val="00A86CD5"/>
    <w:rsid w:val="00A87216"/>
    <w:rsid w:val="00A90684"/>
    <w:rsid w:val="00A90883"/>
    <w:rsid w:val="00A92C2F"/>
    <w:rsid w:val="00A941C8"/>
    <w:rsid w:val="00A94670"/>
    <w:rsid w:val="00A95128"/>
    <w:rsid w:val="00A95C03"/>
    <w:rsid w:val="00A96342"/>
    <w:rsid w:val="00A96B75"/>
    <w:rsid w:val="00A96F3D"/>
    <w:rsid w:val="00A978C8"/>
    <w:rsid w:val="00A97D16"/>
    <w:rsid w:val="00AA1B1A"/>
    <w:rsid w:val="00AA3972"/>
    <w:rsid w:val="00AA3BDB"/>
    <w:rsid w:val="00AA49F6"/>
    <w:rsid w:val="00AA4CE5"/>
    <w:rsid w:val="00AA5E1F"/>
    <w:rsid w:val="00AA61C2"/>
    <w:rsid w:val="00AA6C13"/>
    <w:rsid w:val="00AA7180"/>
    <w:rsid w:val="00AA765A"/>
    <w:rsid w:val="00AB048F"/>
    <w:rsid w:val="00AB147C"/>
    <w:rsid w:val="00AB18B9"/>
    <w:rsid w:val="00AB1BF9"/>
    <w:rsid w:val="00AB2DA7"/>
    <w:rsid w:val="00AB400A"/>
    <w:rsid w:val="00AB5579"/>
    <w:rsid w:val="00AB55AA"/>
    <w:rsid w:val="00AC009A"/>
    <w:rsid w:val="00AC0241"/>
    <w:rsid w:val="00AC0330"/>
    <w:rsid w:val="00AC05B3"/>
    <w:rsid w:val="00AC0A3D"/>
    <w:rsid w:val="00AC10B7"/>
    <w:rsid w:val="00AC11BB"/>
    <w:rsid w:val="00AC1E95"/>
    <w:rsid w:val="00AC440B"/>
    <w:rsid w:val="00AC5D9F"/>
    <w:rsid w:val="00AC76CA"/>
    <w:rsid w:val="00AC7A6F"/>
    <w:rsid w:val="00AC7D85"/>
    <w:rsid w:val="00AC7FE2"/>
    <w:rsid w:val="00AD0EF0"/>
    <w:rsid w:val="00AD37DD"/>
    <w:rsid w:val="00AD3998"/>
    <w:rsid w:val="00AD42A7"/>
    <w:rsid w:val="00AD485E"/>
    <w:rsid w:val="00AD48EA"/>
    <w:rsid w:val="00AD5BF4"/>
    <w:rsid w:val="00AD6206"/>
    <w:rsid w:val="00AD6A5A"/>
    <w:rsid w:val="00AD7081"/>
    <w:rsid w:val="00AD757A"/>
    <w:rsid w:val="00AD7686"/>
    <w:rsid w:val="00AE0524"/>
    <w:rsid w:val="00AE0FCD"/>
    <w:rsid w:val="00AE1096"/>
    <w:rsid w:val="00AE1601"/>
    <w:rsid w:val="00AE1BFD"/>
    <w:rsid w:val="00AE20C3"/>
    <w:rsid w:val="00AE2356"/>
    <w:rsid w:val="00AE2F04"/>
    <w:rsid w:val="00AE39CE"/>
    <w:rsid w:val="00AE417A"/>
    <w:rsid w:val="00AE49BE"/>
    <w:rsid w:val="00AE624F"/>
    <w:rsid w:val="00AE6C84"/>
    <w:rsid w:val="00AF130E"/>
    <w:rsid w:val="00AF1EE4"/>
    <w:rsid w:val="00AF2144"/>
    <w:rsid w:val="00AF27E4"/>
    <w:rsid w:val="00AF4A81"/>
    <w:rsid w:val="00AF4DD6"/>
    <w:rsid w:val="00AF5050"/>
    <w:rsid w:val="00AF5962"/>
    <w:rsid w:val="00AF5F78"/>
    <w:rsid w:val="00AF6720"/>
    <w:rsid w:val="00AF677D"/>
    <w:rsid w:val="00B00098"/>
    <w:rsid w:val="00B00F29"/>
    <w:rsid w:val="00B01330"/>
    <w:rsid w:val="00B01509"/>
    <w:rsid w:val="00B019AA"/>
    <w:rsid w:val="00B0253C"/>
    <w:rsid w:val="00B025CC"/>
    <w:rsid w:val="00B02FA0"/>
    <w:rsid w:val="00B03676"/>
    <w:rsid w:val="00B03863"/>
    <w:rsid w:val="00B05064"/>
    <w:rsid w:val="00B052FE"/>
    <w:rsid w:val="00B05454"/>
    <w:rsid w:val="00B058E5"/>
    <w:rsid w:val="00B06870"/>
    <w:rsid w:val="00B0702F"/>
    <w:rsid w:val="00B10131"/>
    <w:rsid w:val="00B113FF"/>
    <w:rsid w:val="00B12824"/>
    <w:rsid w:val="00B12A38"/>
    <w:rsid w:val="00B13C20"/>
    <w:rsid w:val="00B1443F"/>
    <w:rsid w:val="00B15153"/>
    <w:rsid w:val="00B16A20"/>
    <w:rsid w:val="00B17834"/>
    <w:rsid w:val="00B17C7F"/>
    <w:rsid w:val="00B213A1"/>
    <w:rsid w:val="00B21F85"/>
    <w:rsid w:val="00B22F26"/>
    <w:rsid w:val="00B240AC"/>
    <w:rsid w:val="00B245D6"/>
    <w:rsid w:val="00B24845"/>
    <w:rsid w:val="00B25003"/>
    <w:rsid w:val="00B26792"/>
    <w:rsid w:val="00B27430"/>
    <w:rsid w:val="00B2777D"/>
    <w:rsid w:val="00B279E3"/>
    <w:rsid w:val="00B27AFC"/>
    <w:rsid w:val="00B27C95"/>
    <w:rsid w:val="00B301E1"/>
    <w:rsid w:val="00B302A2"/>
    <w:rsid w:val="00B30C17"/>
    <w:rsid w:val="00B31719"/>
    <w:rsid w:val="00B31C1A"/>
    <w:rsid w:val="00B327C4"/>
    <w:rsid w:val="00B3370C"/>
    <w:rsid w:val="00B346C5"/>
    <w:rsid w:val="00B34A5A"/>
    <w:rsid w:val="00B34DBB"/>
    <w:rsid w:val="00B34E24"/>
    <w:rsid w:val="00B36174"/>
    <w:rsid w:val="00B3783D"/>
    <w:rsid w:val="00B37F70"/>
    <w:rsid w:val="00B40555"/>
    <w:rsid w:val="00B40B47"/>
    <w:rsid w:val="00B42FEA"/>
    <w:rsid w:val="00B435C9"/>
    <w:rsid w:val="00B438BC"/>
    <w:rsid w:val="00B441A6"/>
    <w:rsid w:val="00B44BE5"/>
    <w:rsid w:val="00B456A3"/>
    <w:rsid w:val="00B467E9"/>
    <w:rsid w:val="00B46A84"/>
    <w:rsid w:val="00B50E03"/>
    <w:rsid w:val="00B51E1B"/>
    <w:rsid w:val="00B51E48"/>
    <w:rsid w:val="00B52487"/>
    <w:rsid w:val="00B52655"/>
    <w:rsid w:val="00B53329"/>
    <w:rsid w:val="00B539AC"/>
    <w:rsid w:val="00B53A12"/>
    <w:rsid w:val="00B53DB1"/>
    <w:rsid w:val="00B54C4A"/>
    <w:rsid w:val="00B55462"/>
    <w:rsid w:val="00B55C4E"/>
    <w:rsid w:val="00B56812"/>
    <w:rsid w:val="00B57793"/>
    <w:rsid w:val="00B579B3"/>
    <w:rsid w:val="00B603A6"/>
    <w:rsid w:val="00B60536"/>
    <w:rsid w:val="00B615F4"/>
    <w:rsid w:val="00B61AAA"/>
    <w:rsid w:val="00B633DA"/>
    <w:rsid w:val="00B649E3"/>
    <w:rsid w:val="00B64CF6"/>
    <w:rsid w:val="00B65143"/>
    <w:rsid w:val="00B6530A"/>
    <w:rsid w:val="00B67FD9"/>
    <w:rsid w:val="00B72882"/>
    <w:rsid w:val="00B72D01"/>
    <w:rsid w:val="00B7365B"/>
    <w:rsid w:val="00B75763"/>
    <w:rsid w:val="00B759B6"/>
    <w:rsid w:val="00B75B96"/>
    <w:rsid w:val="00B76A94"/>
    <w:rsid w:val="00B76E46"/>
    <w:rsid w:val="00B776F6"/>
    <w:rsid w:val="00B77881"/>
    <w:rsid w:val="00B8046F"/>
    <w:rsid w:val="00B80A31"/>
    <w:rsid w:val="00B80B2D"/>
    <w:rsid w:val="00B814B5"/>
    <w:rsid w:val="00B829E2"/>
    <w:rsid w:val="00B82B14"/>
    <w:rsid w:val="00B83463"/>
    <w:rsid w:val="00B84455"/>
    <w:rsid w:val="00B84CA0"/>
    <w:rsid w:val="00B852B7"/>
    <w:rsid w:val="00B8574C"/>
    <w:rsid w:val="00B85A21"/>
    <w:rsid w:val="00B85B92"/>
    <w:rsid w:val="00B86178"/>
    <w:rsid w:val="00B861BC"/>
    <w:rsid w:val="00B86644"/>
    <w:rsid w:val="00B86DE9"/>
    <w:rsid w:val="00B875B8"/>
    <w:rsid w:val="00B903EC"/>
    <w:rsid w:val="00B916FC"/>
    <w:rsid w:val="00B91CEA"/>
    <w:rsid w:val="00B92C48"/>
    <w:rsid w:val="00B93CA4"/>
    <w:rsid w:val="00B945FF"/>
    <w:rsid w:val="00B94E27"/>
    <w:rsid w:val="00B95B56"/>
    <w:rsid w:val="00B95C66"/>
    <w:rsid w:val="00B95CBE"/>
    <w:rsid w:val="00B96AAC"/>
    <w:rsid w:val="00B96AD9"/>
    <w:rsid w:val="00B96D79"/>
    <w:rsid w:val="00B9785F"/>
    <w:rsid w:val="00B97925"/>
    <w:rsid w:val="00B9792A"/>
    <w:rsid w:val="00B97FAD"/>
    <w:rsid w:val="00BA000F"/>
    <w:rsid w:val="00BA0D54"/>
    <w:rsid w:val="00BA115A"/>
    <w:rsid w:val="00BA2352"/>
    <w:rsid w:val="00BA2FE3"/>
    <w:rsid w:val="00BA38D6"/>
    <w:rsid w:val="00BA49DD"/>
    <w:rsid w:val="00BA4CF3"/>
    <w:rsid w:val="00BA6804"/>
    <w:rsid w:val="00BA697D"/>
    <w:rsid w:val="00BA7478"/>
    <w:rsid w:val="00BB00C3"/>
    <w:rsid w:val="00BB0E1E"/>
    <w:rsid w:val="00BB111A"/>
    <w:rsid w:val="00BB221D"/>
    <w:rsid w:val="00BB259F"/>
    <w:rsid w:val="00BB2B0D"/>
    <w:rsid w:val="00BB2B4E"/>
    <w:rsid w:val="00BB325F"/>
    <w:rsid w:val="00BB3997"/>
    <w:rsid w:val="00BB3BCA"/>
    <w:rsid w:val="00BB4322"/>
    <w:rsid w:val="00BB432A"/>
    <w:rsid w:val="00BB4D89"/>
    <w:rsid w:val="00BB56A2"/>
    <w:rsid w:val="00BB5ECA"/>
    <w:rsid w:val="00BB62B0"/>
    <w:rsid w:val="00BB63B2"/>
    <w:rsid w:val="00BB68EC"/>
    <w:rsid w:val="00BB6FC5"/>
    <w:rsid w:val="00BB7F21"/>
    <w:rsid w:val="00BC0EA4"/>
    <w:rsid w:val="00BC219A"/>
    <w:rsid w:val="00BC41DD"/>
    <w:rsid w:val="00BC4F7F"/>
    <w:rsid w:val="00BC6674"/>
    <w:rsid w:val="00BC74EE"/>
    <w:rsid w:val="00BC7FDC"/>
    <w:rsid w:val="00BD0408"/>
    <w:rsid w:val="00BD0E86"/>
    <w:rsid w:val="00BD11C0"/>
    <w:rsid w:val="00BD167C"/>
    <w:rsid w:val="00BD27A2"/>
    <w:rsid w:val="00BD36B1"/>
    <w:rsid w:val="00BD560D"/>
    <w:rsid w:val="00BD5CC2"/>
    <w:rsid w:val="00BD642E"/>
    <w:rsid w:val="00BD66F5"/>
    <w:rsid w:val="00BD76F1"/>
    <w:rsid w:val="00BE44DF"/>
    <w:rsid w:val="00BE505D"/>
    <w:rsid w:val="00BE51D7"/>
    <w:rsid w:val="00BE5F3A"/>
    <w:rsid w:val="00BE626C"/>
    <w:rsid w:val="00BE649C"/>
    <w:rsid w:val="00BE6B0F"/>
    <w:rsid w:val="00BF10CB"/>
    <w:rsid w:val="00BF1573"/>
    <w:rsid w:val="00BF170D"/>
    <w:rsid w:val="00BF184D"/>
    <w:rsid w:val="00BF1CD5"/>
    <w:rsid w:val="00BF372D"/>
    <w:rsid w:val="00BF537C"/>
    <w:rsid w:val="00BF5E9E"/>
    <w:rsid w:val="00C0090C"/>
    <w:rsid w:val="00C01D1E"/>
    <w:rsid w:val="00C02179"/>
    <w:rsid w:val="00C0315F"/>
    <w:rsid w:val="00C0320E"/>
    <w:rsid w:val="00C03230"/>
    <w:rsid w:val="00C0370B"/>
    <w:rsid w:val="00C03CF3"/>
    <w:rsid w:val="00C04D4D"/>
    <w:rsid w:val="00C04ED4"/>
    <w:rsid w:val="00C05912"/>
    <w:rsid w:val="00C05EA3"/>
    <w:rsid w:val="00C06B2C"/>
    <w:rsid w:val="00C073BE"/>
    <w:rsid w:val="00C07F16"/>
    <w:rsid w:val="00C10045"/>
    <w:rsid w:val="00C10368"/>
    <w:rsid w:val="00C111F0"/>
    <w:rsid w:val="00C11C4B"/>
    <w:rsid w:val="00C11D77"/>
    <w:rsid w:val="00C12320"/>
    <w:rsid w:val="00C1251B"/>
    <w:rsid w:val="00C12DE4"/>
    <w:rsid w:val="00C13206"/>
    <w:rsid w:val="00C14952"/>
    <w:rsid w:val="00C15CCE"/>
    <w:rsid w:val="00C16CD9"/>
    <w:rsid w:val="00C17617"/>
    <w:rsid w:val="00C17A64"/>
    <w:rsid w:val="00C17FE6"/>
    <w:rsid w:val="00C2166E"/>
    <w:rsid w:val="00C22F78"/>
    <w:rsid w:val="00C22FFB"/>
    <w:rsid w:val="00C23B59"/>
    <w:rsid w:val="00C244EA"/>
    <w:rsid w:val="00C259FA"/>
    <w:rsid w:val="00C25DC5"/>
    <w:rsid w:val="00C26426"/>
    <w:rsid w:val="00C267D8"/>
    <w:rsid w:val="00C273FA"/>
    <w:rsid w:val="00C27451"/>
    <w:rsid w:val="00C27E8E"/>
    <w:rsid w:val="00C30708"/>
    <w:rsid w:val="00C30E42"/>
    <w:rsid w:val="00C317BA"/>
    <w:rsid w:val="00C326E3"/>
    <w:rsid w:val="00C34283"/>
    <w:rsid w:val="00C356A9"/>
    <w:rsid w:val="00C35797"/>
    <w:rsid w:val="00C360EC"/>
    <w:rsid w:val="00C362EE"/>
    <w:rsid w:val="00C3675D"/>
    <w:rsid w:val="00C3682F"/>
    <w:rsid w:val="00C36C35"/>
    <w:rsid w:val="00C374B4"/>
    <w:rsid w:val="00C405E1"/>
    <w:rsid w:val="00C40E25"/>
    <w:rsid w:val="00C42FA3"/>
    <w:rsid w:val="00C43326"/>
    <w:rsid w:val="00C438F1"/>
    <w:rsid w:val="00C43B10"/>
    <w:rsid w:val="00C43B76"/>
    <w:rsid w:val="00C441C5"/>
    <w:rsid w:val="00C44771"/>
    <w:rsid w:val="00C45CD2"/>
    <w:rsid w:val="00C50091"/>
    <w:rsid w:val="00C512A6"/>
    <w:rsid w:val="00C5148A"/>
    <w:rsid w:val="00C5149F"/>
    <w:rsid w:val="00C51750"/>
    <w:rsid w:val="00C521B1"/>
    <w:rsid w:val="00C52572"/>
    <w:rsid w:val="00C527F4"/>
    <w:rsid w:val="00C53233"/>
    <w:rsid w:val="00C5333E"/>
    <w:rsid w:val="00C548DC"/>
    <w:rsid w:val="00C55600"/>
    <w:rsid w:val="00C5649D"/>
    <w:rsid w:val="00C60A15"/>
    <w:rsid w:val="00C62379"/>
    <w:rsid w:val="00C623FA"/>
    <w:rsid w:val="00C625A3"/>
    <w:rsid w:val="00C630CD"/>
    <w:rsid w:val="00C65692"/>
    <w:rsid w:val="00C6626A"/>
    <w:rsid w:val="00C67730"/>
    <w:rsid w:val="00C67CD7"/>
    <w:rsid w:val="00C70398"/>
    <w:rsid w:val="00C70867"/>
    <w:rsid w:val="00C709E3"/>
    <w:rsid w:val="00C70ACA"/>
    <w:rsid w:val="00C71BDA"/>
    <w:rsid w:val="00C73B2E"/>
    <w:rsid w:val="00C7403B"/>
    <w:rsid w:val="00C742BE"/>
    <w:rsid w:val="00C745DE"/>
    <w:rsid w:val="00C74A7A"/>
    <w:rsid w:val="00C754CA"/>
    <w:rsid w:val="00C75A86"/>
    <w:rsid w:val="00C763C9"/>
    <w:rsid w:val="00C76DF9"/>
    <w:rsid w:val="00C76F29"/>
    <w:rsid w:val="00C77325"/>
    <w:rsid w:val="00C775E5"/>
    <w:rsid w:val="00C8007D"/>
    <w:rsid w:val="00C80BD5"/>
    <w:rsid w:val="00C80FE6"/>
    <w:rsid w:val="00C822A9"/>
    <w:rsid w:val="00C825D9"/>
    <w:rsid w:val="00C83E8B"/>
    <w:rsid w:val="00C8636F"/>
    <w:rsid w:val="00C86799"/>
    <w:rsid w:val="00C869FA"/>
    <w:rsid w:val="00C87A21"/>
    <w:rsid w:val="00C87D69"/>
    <w:rsid w:val="00C87FA9"/>
    <w:rsid w:val="00C90490"/>
    <w:rsid w:val="00C90D71"/>
    <w:rsid w:val="00C91C7F"/>
    <w:rsid w:val="00C92592"/>
    <w:rsid w:val="00C9372A"/>
    <w:rsid w:val="00C94888"/>
    <w:rsid w:val="00C94CD3"/>
    <w:rsid w:val="00C97931"/>
    <w:rsid w:val="00C97BD4"/>
    <w:rsid w:val="00CA0916"/>
    <w:rsid w:val="00CA0B21"/>
    <w:rsid w:val="00CA0CEF"/>
    <w:rsid w:val="00CA10BD"/>
    <w:rsid w:val="00CA1678"/>
    <w:rsid w:val="00CA2944"/>
    <w:rsid w:val="00CA2976"/>
    <w:rsid w:val="00CA3717"/>
    <w:rsid w:val="00CA38BD"/>
    <w:rsid w:val="00CA5162"/>
    <w:rsid w:val="00CA5284"/>
    <w:rsid w:val="00CA5E31"/>
    <w:rsid w:val="00CA5EB1"/>
    <w:rsid w:val="00CA6CCD"/>
    <w:rsid w:val="00CA6D9B"/>
    <w:rsid w:val="00CA6E92"/>
    <w:rsid w:val="00CA7C72"/>
    <w:rsid w:val="00CA7D47"/>
    <w:rsid w:val="00CB01E8"/>
    <w:rsid w:val="00CB0F1D"/>
    <w:rsid w:val="00CB20CB"/>
    <w:rsid w:val="00CB2A5B"/>
    <w:rsid w:val="00CB3284"/>
    <w:rsid w:val="00CB351B"/>
    <w:rsid w:val="00CB366C"/>
    <w:rsid w:val="00CB5291"/>
    <w:rsid w:val="00CB52B5"/>
    <w:rsid w:val="00CB6011"/>
    <w:rsid w:val="00CB66DA"/>
    <w:rsid w:val="00CB67D0"/>
    <w:rsid w:val="00CB6A0B"/>
    <w:rsid w:val="00CC066A"/>
    <w:rsid w:val="00CC0715"/>
    <w:rsid w:val="00CC1C66"/>
    <w:rsid w:val="00CC21CB"/>
    <w:rsid w:val="00CC2211"/>
    <w:rsid w:val="00CC2DD3"/>
    <w:rsid w:val="00CC45AE"/>
    <w:rsid w:val="00CC4BAB"/>
    <w:rsid w:val="00CC52AF"/>
    <w:rsid w:val="00CC5479"/>
    <w:rsid w:val="00CC5E63"/>
    <w:rsid w:val="00CC68C2"/>
    <w:rsid w:val="00CC7BDD"/>
    <w:rsid w:val="00CD0A60"/>
    <w:rsid w:val="00CD12B7"/>
    <w:rsid w:val="00CD20F5"/>
    <w:rsid w:val="00CD214E"/>
    <w:rsid w:val="00CD252A"/>
    <w:rsid w:val="00CD3853"/>
    <w:rsid w:val="00CD3A2E"/>
    <w:rsid w:val="00CD3F9E"/>
    <w:rsid w:val="00CD417B"/>
    <w:rsid w:val="00CD59C4"/>
    <w:rsid w:val="00CD6DA2"/>
    <w:rsid w:val="00CD7D23"/>
    <w:rsid w:val="00CE0475"/>
    <w:rsid w:val="00CE13F9"/>
    <w:rsid w:val="00CE153F"/>
    <w:rsid w:val="00CE1596"/>
    <w:rsid w:val="00CE2794"/>
    <w:rsid w:val="00CE2D66"/>
    <w:rsid w:val="00CE2EBA"/>
    <w:rsid w:val="00CE3B48"/>
    <w:rsid w:val="00CE475C"/>
    <w:rsid w:val="00CE53BD"/>
    <w:rsid w:val="00CE5E02"/>
    <w:rsid w:val="00CE6159"/>
    <w:rsid w:val="00CE6160"/>
    <w:rsid w:val="00CE6FD2"/>
    <w:rsid w:val="00CE7B0C"/>
    <w:rsid w:val="00CF00BA"/>
    <w:rsid w:val="00CF14AA"/>
    <w:rsid w:val="00CF19A5"/>
    <w:rsid w:val="00CF1CBB"/>
    <w:rsid w:val="00CF1E32"/>
    <w:rsid w:val="00CF28C7"/>
    <w:rsid w:val="00CF37C3"/>
    <w:rsid w:val="00CF3A71"/>
    <w:rsid w:val="00CF4378"/>
    <w:rsid w:val="00CF5DC1"/>
    <w:rsid w:val="00CF5E31"/>
    <w:rsid w:val="00CF616E"/>
    <w:rsid w:val="00CF6B00"/>
    <w:rsid w:val="00CF6EBD"/>
    <w:rsid w:val="00CF780B"/>
    <w:rsid w:val="00D00603"/>
    <w:rsid w:val="00D00F92"/>
    <w:rsid w:val="00D01013"/>
    <w:rsid w:val="00D01A49"/>
    <w:rsid w:val="00D01B07"/>
    <w:rsid w:val="00D01ED3"/>
    <w:rsid w:val="00D02237"/>
    <w:rsid w:val="00D02686"/>
    <w:rsid w:val="00D02E17"/>
    <w:rsid w:val="00D03099"/>
    <w:rsid w:val="00D034C6"/>
    <w:rsid w:val="00D03968"/>
    <w:rsid w:val="00D043BC"/>
    <w:rsid w:val="00D046A8"/>
    <w:rsid w:val="00D04F14"/>
    <w:rsid w:val="00D04FBF"/>
    <w:rsid w:val="00D050A2"/>
    <w:rsid w:val="00D054FB"/>
    <w:rsid w:val="00D05C5C"/>
    <w:rsid w:val="00D06954"/>
    <w:rsid w:val="00D06D4F"/>
    <w:rsid w:val="00D1257B"/>
    <w:rsid w:val="00D1293D"/>
    <w:rsid w:val="00D12E51"/>
    <w:rsid w:val="00D130B2"/>
    <w:rsid w:val="00D1477B"/>
    <w:rsid w:val="00D1551D"/>
    <w:rsid w:val="00D15B9A"/>
    <w:rsid w:val="00D15C18"/>
    <w:rsid w:val="00D15EE0"/>
    <w:rsid w:val="00D171FE"/>
    <w:rsid w:val="00D17443"/>
    <w:rsid w:val="00D175DA"/>
    <w:rsid w:val="00D20C62"/>
    <w:rsid w:val="00D20EB1"/>
    <w:rsid w:val="00D22AC3"/>
    <w:rsid w:val="00D22AC9"/>
    <w:rsid w:val="00D22F6D"/>
    <w:rsid w:val="00D2301F"/>
    <w:rsid w:val="00D2332B"/>
    <w:rsid w:val="00D2473A"/>
    <w:rsid w:val="00D24D0E"/>
    <w:rsid w:val="00D24D98"/>
    <w:rsid w:val="00D264B8"/>
    <w:rsid w:val="00D26573"/>
    <w:rsid w:val="00D27050"/>
    <w:rsid w:val="00D279D0"/>
    <w:rsid w:val="00D310A4"/>
    <w:rsid w:val="00D311C1"/>
    <w:rsid w:val="00D3146D"/>
    <w:rsid w:val="00D31A89"/>
    <w:rsid w:val="00D33533"/>
    <w:rsid w:val="00D34469"/>
    <w:rsid w:val="00D35817"/>
    <w:rsid w:val="00D36044"/>
    <w:rsid w:val="00D36823"/>
    <w:rsid w:val="00D371EC"/>
    <w:rsid w:val="00D373DF"/>
    <w:rsid w:val="00D3770A"/>
    <w:rsid w:val="00D37C28"/>
    <w:rsid w:val="00D37DC9"/>
    <w:rsid w:val="00D4054B"/>
    <w:rsid w:val="00D40C28"/>
    <w:rsid w:val="00D414E6"/>
    <w:rsid w:val="00D41A29"/>
    <w:rsid w:val="00D4251B"/>
    <w:rsid w:val="00D4293D"/>
    <w:rsid w:val="00D43B86"/>
    <w:rsid w:val="00D43F7E"/>
    <w:rsid w:val="00D4431E"/>
    <w:rsid w:val="00D44882"/>
    <w:rsid w:val="00D458AB"/>
    <w:rsid w:val="00D45DAC"/>
    <w:rsid w:val="00D46368"/>
    <w:rsid w:val="00D46636"/>
    <w:rsid w:val="00D46650"/>
    <w:rsid w:val="00D46BA4"/>
    <w:rsid w:val="00D47200"/>
    <w:rsid w:val="00D47709"/>
    <w:rsid w:val="00D50405"/>
    <w:rsid w:val="00D51510"/>
    <w:rsid w:val="00D52500"/>
    <w:rsid w:val="00D52516"/>
    <w:rsid w:val="00D5341B"/>
    <w:rsid w:val="00D536FB"/>
    <w:rsid w:val="00D53BEE"/>
    <w:rsid w:val="00D53DD1"/>
    <w:rsid w:val="00D548C2"/>
    <w:rsid w:val="00D561D3"/>
    <w:rsid w:val="00D56A67"/>
    <w:rsid w:val="00D57D2C"/>
    <w:rsid w:val="00D57D67"/>
    <w:rsid w:val="00D6341A"/>
    <w:rsid w:val="00D6378E"/>
    <w:rsid w:val="00D64E0C"/>
    <w:rsid w:val="00D64E86"/>
    <w:rsid w:val="00D652C1"/>
    <w:rsid w:val="00D653E9"/>
    <w:rsid w:val="00D65AAC"/>
    <w:rsid w:val="00D65C58"/>
    <w:rsid w:val="00D66339"/>
    <w:rsid w:val="00D66B72"/>
    <w:rsid w:val="00D66E95"/>
    <w:rsid w:val="00D671AB"/>
    <w:rsid w:val="00D672F3"/>
    <w:rsid w:val="00D701DA"/>
    <w:rsid w:val="00D707B0"/>
    <w:rsid w:val="00D715C5"/>
    <w:rsid w:val="00D71969"/>
    <w:rsid w:val="00D71C41"/>
    <w:rsid w:val="00D722AD"/>
    <w:rsid w:val="00D72366"/>
    <w:rsid w:val="00D7257B"/>
    <w:rsid w:val="00D72B2C"/>
    <w:rsid w:val="00D74571"/>
    <w:rsid w:val="00D74873"/>
    <w:rsid w:val="00D757B1"/>
    <w:rsid w:val="00D817BF"/>
    <w:rsid w:val="00D81E51"/>
    <w:rsid w:val="00D828D1"/>
    <w:rsid w:val="00D82D4A"/>
    <w:rsid w:val="00D83D95"/>
    <w:rsid w:val="00D84C6F"/>
    <w:rsid w:val="00D8569B"/>
    <w:rsid w:val="00D870B4"/>
    <w:rsid w:val="00D8726A"/>
    <w:rsid w:val="00D87A5D"/>
    <w:rsid w:val="00D87E4E"/>
    <w:rsid w:val="00D87F88"/>
    <w:rsid w:val="00D87FC4"/>
    <w:rsid w:val="00D90757"/>
    <w:rsid w:val="00D90CB9"/>
    <w:rsid w:val="00D912CF"/>
    <w:rsid w:val="00D91A1C"/>
    <w:rsid w:val="00D91BF8"/>
    <w:rsid w:val="00D93115"/>
    <w:rsid w:val="00D94961"/>
    <w:rsid w:val="00D94B37"/>
    <w:rsid w:val="00D94C83"/>
    <w:rsid w:val="00D94C9F"/>
    <w:rsid w:val="00DA0AAF"/>
    <w:rsid w:val="00DA0DE9"/>
    <w:rsid w:val="00DA1034"/>
    <w:rsid w:val="00DA1BFA"/>
    <w:rsid w:val="00DA1D8B"/>
    <w:rsid w:val="00DA2A59"/>
    <w:rsid w:val="00DA2B3C"/>
    <w:rsid w:val="00DA3AA5"/>
    <w:rsid w:val="00DA4FBA"/>
    <w:rsid w:val="00DA510C"/>
    <w:rsid w:val="00DA5E70"/>
    <w:rsid w:val="00DA6058"/>
    <w:rsid w:val="00DA6164"/>
    <w:rsid w:val="00DA7620"/>
    <w:rsid w:val="00DA7C06"/>
    <w:rsid w:val="00DA7FD0"/>
    <w:rsid w:val="00DB0219"/>
    <w:rsid w:val="00DB04B2"/>
    <w:rsid w:val="00DB0DFD"/>
    <w:rsid w:val="00DB0FEB"/>
    <w:rsid w:val="00DB13AD"/>
    <w:rsid w:val="00DB398E"/>
    <w:rsid w:val="00DB68ED"/>
    <w:rsid w:val="00DB76DA"/>
    <w:rsid w:val="00DB7AE9"/>
    <w:rsid w:val="00DB7F58"/>
    <w:rsid w:val="00DC0BD7"/>
    <w:rsid w:val="00DC0E52"/>
    <w:rsid w:val="00DC23B9"/>
    <w:rsid w:val="00DC2641"/>
    <w:rsid w:val="00DC2F2B"/>
    <w:rsid w:val="00DC3029"/>
    <w:rsid w:val="00DC394E"/>
    <w:rsid w:val="00DC3FEE"/>
    <w:rsid w:val="00DC5849"/>
    <w:rsid w:val="00DC5C84"/>
    <w:rsid w:val="00DC5DFE"/>
    <w:rsid w:val="00DC664E"/>
    <w:rsid w:val="00DC67D8"/>
    <w:rsid w:val="00DC6D42"/>
    <w:rsid w:val="00DC7069"/>
    <w:rsid w:val="00DC7586"/>
    <w:rsid w:val="00DC7729"/>
    <w:rsid w:val="00DD03DE"/>
    <w:rsid w:val="00DD0626"/>
    <w:rsid w:val="00DD23BC"/>
    <w:rsid w:val="00DD291F"/>
    <w:rsid w:val="00DD2F2A"/>
    <w:rsid w:val="00DD30F0"/>
    <w:rsid w:val="00DD41F9"/>
    <w:rsid w:val="00DD4491"/>
    <w:rsid w:val="00DD5E42"/>
    <w:rsid w:val="00DD6498"/>
    <w:rsid w:val="00DD78C2"/>
    <w:rsid w:val="00DE0611"/>
    <w:rsid w:val="00DE0707"/>
    <w:rsid w:val="00DE1CEE"/>
    <w:rsid w:val="00DE3AF9"/>
    <w:rsid w:val="00DE3B01"/>
    <w:rsid w:val="00DE3C1D"/>
    <w:rsid w:val="00DE4D8B"/>
    <w:rsid w:val="00DE5F43"/>
    <w:rsid w:val="00DE6975"/>
    <w:rsid w:val="00DF0624"/>
    <w:rsid w:val="00DF0876"/>
    <w:rsid w:val="00DF0DDD"/>
    <w:rsid w:val="00DF192B"/>
    <w:rsid w:val="00DF1A69"/>
    <w:rsid w:val="00DF20A6"/>
    <w:rsid w:val="00DF3143"/>
    <w:rsid w:val="00DF35CE"/>
    <w:rsid w:val="00DF3926"/>
    <w:rsid w:val="00DF3A67"/>
    <w:rsid w:val="00DF51AC"/>
    <w:rsid w:val="00DF575B"/>
    <w:rsid w:val="00DF58D8"/>
    <w:rsid w:val="00DF5E9A"/>
    <w:rsid w:val="00DF699D"/>
    <w:rsid w:val="00DF731C"/>
    <w:rsid w:val="00DF7809"/>
    <w:rsid w:val="00DF797E"/>
    <w:rsid w:val="00DF7DA4"/>
    <w:rsid w:val="00E00257"/>
    <w:rsid w:val="00E00EE9"/>
    <w:rsid w:val="00E02563"/>
    <w:rsid w:val="00E03297"/>
    <w:rsid w:val="00E04E60"/>
    <w:rsid w:val="00E05EF6"/>
    <w:rsid w:val="00E05F63"/>
    <w:rsid w:val="00E06111"/>
    <w:rsid w:val="00E06BBB"/>
    <w:rsid w:val="00E06F14"/>
    <w:rsid w:val="00E10520"/>
    <w:rsid w:val="00E111BF"/>
    <w:rsid w:val="00E1124E"/>
    <w:rsid w:val="00E119B1"/>
    <w:rsid w:val="00E11D18"/>
    <w:rsid w:val="00E12A7D"/>
    <w:rsid w:val="00E12E55"/>
    <w:rsid w:val="00E14A8E"/>
    <w:rsid w:val="00E14B5E"/>
    <w:rsid w:val="00E14C8E"/>
    <w:rsid w:val="00E1695F"/>
    <w:rsid w:val="00E16BCA"/>
    <w:rsid w:val="00E16E70"/>
    <w:rsid w:val="00E16F45"/>
    <w:rsid w:val="00E17C6F"/>
    <w:rsid w:val="00E17FBF"/>
    <w:rsid w:val="00E208B5"/>
    <w:rsid w:val="00E20CE9"/>
    <w:rsid w:val="00E215E4"/>
    <w:rsid w:val="00E22D18"/>
    <w:rsid w:val="00E23457"/>
    <w:rsid w:val="00E251FA"/>
    <w:rsid w:val="00E2658A"/>
    <w:rsid w:val="00E268EE"/>
    <w:rsid w:val="00E27773"/>
    <w:rsid w:val="00E27862"/>
    <w:rsid w:val="00E27D69"/>
    <w:rsid w:val="00E317D2"/>
    <w:rsid w:val="00E318CD"/>
    <w:rsid w:val="00E319D6"/>
    <w:rsid w:val="00E319EE"/>
    <w:rsid w:val="00E31FA9"/>
    <w:rsid w:val="00E32422"/>
    <w:rsid w:val="00E324C2"/>
    <w:rsid w:val="00E345D0"/>
    <w:rsid w:val="00E347DB"/>
    <w:rsid w:val="00E351F2"/>
    <w:rsid w:val="00E35888"/>
    <w:rsid w:val="00E36265"/>
    <w:rsid w:val="00E4099C"/>
    <w:rsid w:val="00E4100B"/>
    <w:rsid w:val="00E41C04"/>
    <w:rsid w:val="00E43652"/>
    <w:rsid w:val="00E43963"/>
    <w:rsid w:val="00E442CE"/>
    <w:rsid w:val="00E454C8"/>
    <w:rsid w:val="00E4559D"/>
    <w:rsid w:val="00E469B6"/>
    <w:rsid w:val="00E47C90"/>
    <w:rsid w:val="00E47F8E"/>
    <w:rsid w:val="00E50864"/>
    <w:rsid w:val="00E50EA7"/>
    <w:rsid w:val="00E50FEA"/>
    <w:rsid w:val="00E51135"/>
    <w:rsid w:val="00E51F2E"/>
    <w:rsid w:val="00E52BDE"/>
    <w:rsid w:val="00E52E58"/>
    <w:rsid w:val="00E53307"/>
    <w:rsid w:val="00E54226"/>
    <w:rsid w:val="00E548D0"/>
    <w:rsid w:val="00E54CCE"/>
    <w:rsid w:val="00E55071"/>
    <w:rsid w:val="00E550AA"/>
    <w:rsid w:val="00E5538E"/>
    <w:rsid w:val="00E55536"/>
    <w:rsid w:val="00E56444"/>
    <w:rsid w:val="00E56AF6"/>
    <w:rsid w:val="00E57566"/>
    <w:rsid w:val="00E57A2F"/>
    <w:rsid w:val="00E6000E"/>
    <w:rsid w:val="00E610C1"/>
    <w:rsid w:val="00E61579"/>
    <w:rsid w:val="00E61A74"/>
    <w:rsid w:val="00E61C69"/>
    <w:rsid w:val="00E62A5E"/>
    <w:rsid w:val="00E62E76"/>
    <w:rsid w:val="00E62EBB"/>
    <w:rsid w:val="00E65CB9"/>
    <w:rsid w:val="00E65E7A"/>
    <w:rsid w:val="00E67614"/>
    <w:rsid w:val="00E67C94"/>
    <w:rsid w:val="00E7036E"/>
    <w:rsid w:val="00E72586"/>
    <w:rsid w:val="00E72F1E"/>
    <w:rsid w:val="00E736F2"/>
    <w:rsid w:val="00E73CC5"/>
    <w:rsid w:val="00E746DE"/>
    <w:rsid w:val="00E74BBB"/>
    <w:rsid w:val="00E75BAB"/>
    <w:rsid w:val="00E75E48"/>
    <w:rsid w:val="00E76CA6"/>
    <w:rsid w:val="00E80171"/>
    <w:rsid w:val="00E8139E"/>
    <w:rsid w:val="00E81EBB"/>
    <w:rsid w:val="00E8284E"/>
    <w:rsid w:val="00E846E6"/>
    <w:rsid w:val="00E84832"/>
    <w:rsid w:val="00E84BD3"/>
    <w:rsid w:val="00E85004"/>
    <w:rsid w:val="00E85FE0"/>
    <w:rsid w:val="00E874A8"/>
    <w:rsid w:val="00E874D2"/>
    <w:rsid w:val="00E874D3"/>
    <w:rsid w:val="00E876AD"/>
    <w:rsid w:val="00E87AF2"/>
    <w:rsid w:val="00E901BB"/>
    <w:rsid w:val="00E908EB"/>
    <w:rsid w:val="00E90B83"/>
    <w:rsid w:val="00E91B33"/>
    <w:rsid w:val="00E91DE1"/>
    <w:rsid w:val="00E920F7"/>
    <w:rsid w:val="00E9223F"/>
    <w:rsid w:val="00E92DD2"/>
    <w:rsid w:val="00E92EEF"/>
    <w:rsid w:val="00E93012"/>
    <w:rsid w:val="00E9432C"/>
    <w:rsid w:val="00E945E7"/>
    <w:rsid w:val="00E94F3C"/>
    <w:rsid w:val="00E952FE"/>
    <w:rsid w:val="00E95981"/>
    <w:rsid w:val="00E95C42"/>
    <w:rsid w:val="00E963FD"/>
    <w:rsid w:val="00EA0C7D"/>
    <w:rsid w:val="00EA1BA5"/>
    <w:rsid w:val="00EA1D6C"/>
    <w:rsid w:val="00EA59CD"/>
    <w:rsid w:val="00EA6130"/>
    <w:rsid w:val="00EA64ED"/>
    <w:rsid w:val="00EA6C2A"/>
    <w:rsid w:val="00EA6DBF"/>
    <w:rsid w:val="00EA785F"/>
    <w:rsid w:val="00EA7CEF"/>
    <w:rsid w:val="00EB0056"/>
    <w:rsid w:val="00EB036A"/>
    <w:rsid w:val="00EB04C1"/>
    <w:rsid w:val="00EB0CF6"/>
    <w:rsid w:val="00EB107E"/>
    <w:rsid w:val="00EB1590"/>
    <w:rsid w:val="00EB2223"/>
    <w:rsid w:val="00EB41EC"/>
    <w:rsid w:val="00EB590D"/>
    <w:rsid w:val="00EB5CCB"/>
    <w:rsid w:val="00EB6407"/>
    <w:rsid w:val="00EB6D6D"/>
    <w:rsid w:val="00EB6EB0"/>
    <w:rsid w:val="00EB75DC"/>
    <w:rsid w:val="00EB770A"/>
    <w:rsid w:val="00EB7A2B"/>
    <w:rsid w:val="00EC1FA4"/>
    <w:rsid w:val="00EC209D"/>
    <w:rsid w:val="00EC2A42"/>
    <w:rsid w:val="00EC2D8D"/>
    <w:rsid w:val="00EC2EA9"/>
    <w:rsid w:val="00EC300D"/>
    <w:rsid w:val="00EC3460"/>
    <w:rsid w:val="00EC421F"/>
    <w:rsid w:val="00EC4488"/>
    <w:rsid w:val="00EC533F"/>
    <w:rsid w:val="00EC5B7C"/>
    <w:rsid w:val="00EC5E4B"/>
    <w:rsid w:val="00EC67BA"/>
    <w:rsid w:val="00EC7034"/>
    <w:rsid w:val="00ED003D"/>
    <w:rsid w:val="00ED03CC"/>
    <w:rsid w:val="00ED0E5F"/>
    <w:rsid w:val="00ED1654"/>
    <w:rsid w:val="00ED20D1"/>
    <w:rsid w:val="00ED22D6"/>
    <w:rsid w:val="00ED22E1"/>
    <w:rsid w:val="00ED2599"/>
    <w:rsid w:val="00ED288B"/>
    <w:rsid w:val="00ED2981"/>
    <w:rsid w:val="00ED2CA0"/>
    <w:rsid w:val="00ED3126"/>
    <w:rsid w:val="00ED3153"/>
    <w:rsid w:val="00ED3BC2"/>
    <w:rsid w:val="00ED43CE"/>
    <w:rsid w:val="00ED43EA"/>
    <w:rsid w:val="00ED5AA3"/>
    <w:rsid w:val="00ED668C"/>
    <w:rsid w:val="00ED6FF0"/>
    <w:rsid w:val="00ED73C0"/>
    <w:rsid w:val="00ED7952"/>
    <w:rsid w:val="00EE023E"/>
    <w:rsid w:val="00EE1BDE"/>
    <w:rsid w:val="00EE3335"/>
    <w:rsid w:val="00EE3F18"/>
    <w:rsid w:val="00EE4957"/>
    <w:rsid w:val="00EE55BB"/>
    <w:rsid w:val="00EE573D"/>
    <w:rsid w:val="00EE5D98"/>
    <w:rsid w:val="00EE5FEF"/>
    <w:rsid w:val="00EE631E"/>
    <w:rsid w:val="00EF035B"/>
    <w:rsid w:val="00EF0968"/>
    <w:rsid w:val="00EF2301"/>
    <w:rsid w:val="00EF2362"/>
    <w:rsid w:val="00EF2E52"/>
    <w:rsid w:val="00EF35A8"/>
    <w:rsid w:val="00EF4D8F"/>
    <w:rsid w:val="00EF56E4"/>
    <w:rsid w:val="00EF5A8F"/>
    <w:rsid w:val="00EF7D74"/>
    <w:rsid w:val="00F001EA"/>
    <w:rsid w:val="00F00D8F"/>
    <w:rsid w:val="00F0145C"/>
    <w:rsid w:val="00F0186C"/>
    <w:rsid w:val="00F018EA"/>
    <w:rsid w:val="00F01DB2"/>
    <w:rsid w:val="00F0383D"/>
    <w:rsid w:val="00F042BF"/>
    <w:rsid w:val="00F04CA6"/>
    <w:rsid w:val="00F064FC"/>
    <w:rsid w:val="00F071ED"/>
    <w:rsid w:val="00F10C6D"/>
    <w:rsid w:val="00F114D5"/>
    <w:rsid w:val="00F11739"/>
    <w:rsid w:val="00F11E27"/>
    <w:rsid w:val="00F11F31"/>
    <w:rsid w:val="00F12BA5"/>
    <w:rsid w:val="00F13792"/>
    <w:rsid w:val="00F13C8A"/>
    <w:rsid w:val="00F13F89"/>
    <w:rsid w:val="00F14293"/>
    <w:rsid w:val="00F14840"/>
    <w:rsid w:val="00F149ED"/>
    <w:rsid w:val="00F16AFD"/>
    <w:rsid w:val="00F172B5"/>
    <w:rsid w:val="00F177C6"/>
    <w:rsid w:val="00F21428"/>
    <w:rsid w:val="00F218D5"/>
    <w:rsid w:val="00F21A80"/>
    <w:rsid w:val="00F22781"/>
    <w:rsid w:val="00F239F3"/>
    <w:rsid w:val="00F244CC"/>
    <w:rsid w:val="00F258C8"/>
    <w:rsid w:val="00F26680"/>
    <w:rsid w:val="00F2762C"/>
    <w:rsid w:val="00F27FBF"/>
    <w:rsid w:val="00F30216"/>
    <w:rsid w:val="00F318B9"/>
    <w:rsid w:val="00F3272B"/>
    <w:rsid w:val="00F33710"/>
    <w:rsid w:val="00F34129"/>
    <w:rsid w:val="00F3423C"/>
    <w:rsid w:val="00F34675"/>
    <w:rsid w:val="00F3629E"/>
    <w:rsid w:val="00F37A36"/>
    <w:rsid w:val="00F37FB0"/>
    <w:rsid w:val="00F40A74"/>
    <w:rsid w:val="00F41FB8"/>
    <w:rsid w:val="00F42E58"/>
    <w:rsid w:val="00F43205"/>
    <w:rsid w:val="00F44374"/>
    <w:rsid w:val="00F447E6"/>
    <w:rsid w:val="00F45173"/>
    <w:rsid w:val="00F46415"/>
    <w:rsid w:val="00F47BB0"/>
    <w:rsid w:val="00F50D31"/>
    <w:rsid w:val="00F51112"/>
    <w:rsid w:val="00F51954"/>
    <w:rsid w:val="00F5200B"/>
    <w:rsid w:val="00F52C58"/>
    <w:rsid w:val="00F52FCB"/>
    <w:rsid w:val="00F54E69"/>
    <w:rsid w:val="00F550E0"/>
    <w:rsid w:val="00F55E67"/>
    <w:rsid w:val="00F56341"/>
    <w:rsid w:val="00F57239"/>
    <w:rsid w:val="00F574D3"/>
    <w:rsid w:val="00F57D57"/>
    <w:rsid w:val="00F57E51"/>
    <w:rsid w:val="00F57F60"/>
    <w:rsid w:val="00F601D8"/>
    <w:rsid w:val="00F609E0"/>
    <w:rsid w:val="00F610C1"/>
    <w:rsid w:val="00F616C5"/>
    <w:rsid w:val="00F616C9"/>
    <w:rsid w:val="00F62474"/>
    <w:rsid w:val="00F62DC5"/>
    <w:rsid w:val="00F62E81"/>
    <w:rsid w:val="00F63592"/>
    <w:rsid w:val="00F63C1D"/>
    <w:rsid w:val="00F63D28"/>
    <w:rsid w:val="00F65B74"/>
    <w:rsid w:val="00F665D1"/>
    <w:rsid w:val="00F66E98"/>
    <w:rsid w:val="00F702EF"/>
    <w:rsid w:val="00F71A45"/>
    <w:rsid w:val="00F71DF7"/>
    <w:rsid w:val="00F71F16"/>
    <w:rsid w:val="00F72399"/>
    <w:rsid w:val="00F72516"/>
    <w:rsid w:val="00F73ADE"/>
    <w:rsid w:val="00F7520D"/>
    <w:rsid w:val="00F76A02"/>
    <w:rsid w:val="00F76B48"/>
    <w:rsid w:val="00F770D6"/>
    <w:rsid w:val="00F7726B"/>
    <w:rsid w:val="00F77B6F"/>
    <w:rsid w:val="00F80FF8"/>
    <w:rsid w:val="00F810C4"/>
    <w:rsid w:val="00F81157"/>
    <w:rsid w:val="00F8133D"/>
    <w:rsid w:val="00F817A2"/>
    <w:rsid w:val="00F81AC1"/>
    <w:rsid w:val="00F83387"/>
    <w:rsid w:val="00F834D5"/>
    <w:rsid w:val="00F8354B"/>
    <w:rsid w:val="00F8428A"/>
    <w:rsid w:val="00F84D26"/>
    <w:rsid w:val="00F858C1"/>
    <w:rsid w:val="00F8604F"/>
    <w:rsid w:val="00F86DDF"/>
    <w:rsid w:val="00F86E6E"/>
    <w:rsid w:val="00F8768F"/>
    <w:rsid w:val="00F90C01"/>
    <w:rsid w:val="00F918CC"/>
    <w:rsid w:val="00F91C9A"/>
    <w:rsid w:val="00F91D67"/>
    <w:rsid w:val="00F921D2"/>
    <w:rsid w:val="00F9236D"/>
    <w:rsid w:val="00F94583"/>
    <w:rsid w:val="00F94EF3"/>
    <w:rsid w:val="00F9516C"/>
    <w:rsid w:val="00F95239"/>
    <w:rsid w:val="00F95376"/>
    <w:rsid w:val="00F95B04"/>
    <w:rsid w:val="00F9684F"/>
    <w:rsid w:val="00F97A3D"/>
    <w:rsid w:val="00FA016B"/>
    <w:rsid w:val="00FA08BE"/>
    <w:rsid w:val="00FA1F9B"/>
    <w:rsid w:val="00FA25F9"/>
    <w:rsid w:val="00FA28A2"/>
    <w:rsid w:val="00FA36E5"/>
    <w:rsid w:val="00FA4E20"/>
    <w:rsid w:val="00FA4E23"/>
    <w:rsid w:val="00FA4FB4"/>
    <w:rsid w:val="00FA5885"/>
    <w:rsid w:val="00FA5DA4"/>
    <w:rsid w:val="00FA76CB"/>
    <w:rsid w:val="00FB1949"/>
    <w:rsid w:val="00FB213F"/>
    <w:rsid w:val="00FB27B2"/>
    <w:rsid w:val="00FB40BB"/>
    <w:rsid w:val="00FB4193"/>
    <w:rsid w:val="00FB4515"/>
    <w:rsid w:val="00FB5FB3"/>
    <w:rsid w:val="00FB64D3"/>
    <w:rsid w:val="00FB6D68"/>
    <w:rsid w:val="00FC0766"/>
    <w:rsid w:val="00FC0FFD"/>
    <w:rsid w:val="00FC23F0"/>
    <w:rsid w:val="00FC282F"/>
    <w:rsid w:val="00FC28B8"/>
    <w:rsid w:val="00FC3665"/>
    <w:rsid w:val="00FC49DD"/>
    <w:rsid w:val="00FC4A0D"/>
    <w:rsid w:val="00FC4B8F"/>
    <w:rsid w:val="00FC5FC2"/>
    <w:rsid w:val="00FC653D"/>
    <w:rsid w:val="00FC698B"/>
    <w:rsid w:val="00FC69C8"/>
    <w:rsid w:val="00FC737A"/>
    <w:rsid w:val="00FC7667"/>
    <w:rsid w:val="00FC7868"/>
    <w:rsid w:val="00FD0BB5"/>
    <w:rsid w:val="00FD1E39"/>
    <w:rsid w:val="00FD2186"/>
    <w:rsid w:val="00FD2479"/>
    <w:rsid w:val="00FD46E7"/>
    <w:rsid w:val="00FD4C2C"/>
    <w:rsid w:val="00FD6C12"/>
    <w:rsid w:val="00FD7730"/>
    <w:rsid w:val="00FD7B21"/>
    <w:rsid w:val="00FE0371"/>
    <w:rsid w:val="00FE05B2"/>
    <w:rsid w:val="00FE08BE"/>
    <w:rsid w:val="00FE2606"/>
    <w:rsid w:val="00FE3CC1"/>
    <w:rsid w:val="00FE42CF"/>
    <w:rsid w:val="00FE4346"/>
    <w:rsid w:val="00FE48F1"/>
    <w:rsid w:val="00FE4D16"/>
    <w:rsid w:val="00FE50E3"/>
    <w:rsid w:val="00FE5A32"/>
    <w:rsid w:val="00FE5F13"/>
    <w:rsid w:val="00FE6EFA"/>
    <w:rsid w:val="00FE7729"/>
    <w:rsid w:val="00FF0A7B"/>
    <w:rsid w:val="00FF0BFE"/>
    <w:rsid w:val="00FF1451"/>
    <w:rsid w:val="00FF2E08"/>
    <w:rsid w:val="00FF360B"/>
    <w:rsid w:val="00FF3B90"/>
    <w:rsid w:val="00FF475D"/>
    <w:rsid w:val="00FF47BC"/>
    <w:rsid w:val="00FF4B90"/>
    <w:rsid w:val="00FF5C4B"/>
    <w:rsid w:val="00FF63B3"/>
    <w:rsid w:val="00FF67A4"/>
    <w:rsid w:val="00FF7021"/>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o:shapelayout v:ext="edit">
      <o:idmap v:ext="edit" data="1"/>
    </o:shapelayout>
  </w:shapeDefaults>
  <w:decimalSymbol w:val="."/>
  <w:listSeparator w:val=","/>
  <w14:docId w14:val="0359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annotation reference"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75E7E"/>
    <w:rPr>
      <w:rFonts w:eastAsia="Times New Roman"/>
      <w:sz w:val="24"/>
      <w:szCs w:val="24"/>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9"/>
      </w:numPr>
    </w:pPr>
  </w:style>
  <w:style w:type="paragraph" w:styleId="ListParagraph">
    <w:name w:val="List Paragraph"/>
    <w:link w:val="ListParagraphChar"/>
    <w:uiPriority w:val="34"/>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475E7E"/>
    <w:rPr>
      <w:rFonts w:ascii="Calibri" w:eastAsia="Times New Roman" w:hAnsi="Calibri"/>
      <w:b/>
      <w:bCs/>
      <w:caps/>
      <w:sz w:val="20"/>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rsid w:val="00B13C20"/>
    <w:rPr>
      <w:sz w:val="20"/>
      <w:szCs w:val="20"/>
    </w:rPr>
  </w:style>
  <w:style w:type="character" w:customStyle="1" w:styleId="CommentTextChar">
    <w:name w:val="Comment Text Char"/>
    <w:basedOn w:val="DefaultParagraphFont"/>
    <w:link w:val="CommentText"/>
    <w:uiPriority w:val="99"/>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semiHidden/>
    <w:unhideWhenUsed/>
    <w:qFormat/>
    <w:rsid w:val="00C11C4B"/>
    <w:pPr>
      <w:spacing w:after="120"/>
    </w:pPr>
  </w:style>
  <w:style w:type="character" w:customStyle="1" w:styleId="TOC2Char">
    <w:name w:val="TOC 2 Char"/>
    <w:basedOn w:val="DefaultParagraphFont"/>
    <w:link w:val="TOC2"/>
    <w:uiPriority w:val="39"/>
    <w:rsid w:val="00475E7E"/>
    <w:rPr>
      <w:rFonts w:ascii="Calibri" w:eastAsia="Times New Roman" w:hAnsi="Calibri"/>
      <w:caps/>
      <w:sz w:val="20"/>
      <w:szCs w:val="20"/>
    </w:rPr>
  </w:style>
  <w:style w:type="character" w:customStyle="1" w:styleId="BodyTextChar">
    <w:name w:val="Body Text Char"/>
    <w:basedOn w:val="DefaultParagraphFont"/>
    <w:link w:val="BodyText"/>
    <w:uiPriority w:val="99"/>
    <w:semiHidden/>
    <w:rsid w:val="00C11C4B"/>
    <w:rPr>
      <w:rFonts w:eastAsia="Times New Roman"/>
      <w:sz w:val="24"/>
      <w:szCs w:val="24"/>
    </w:rPr>
  </w:style>
  <w:style w:type="paragraph" w:styleId="TOC1">
    <w:name w:val="toc 1"/>
    <w:next w:val="Normal"/>
    <w:link w:val="TOC1Char"/>
    <w:uiPriority w:val="39"/>
    <w:unhideWhenUsed/>
    <w:rsid w:val="00475E7E"/>
    <w:pPr>
      <w:spacing w:before="120" w:after="120"/>
      <w:ind w:left="360" w:hanging="360"/>
    </w:pPr>
    <w:rPr>
      <w:rFonts w:ascii="Calibri" w:eastAsia="Times New Roman" w:hAnsi="Calibri"/>
      <w:b/>
      <w:bCs/>
      <w:caps/>
      <w:sz w:val="20"/>
      <w:szCs w:val="20"/>
    </w:rPr>
  </w:style>
  <w:style w:type="paragraph" w:styleId="TOC2">
    <w:name w:val="toc 2"/>
    <w:next w:val="Normal"/>
    <w:link w:val="TOC2Char"/>
    <w:uiPriority w:val="39"/>
    <w:rsid w:val="00475E7E"/>
    <w:pPr>
      <w:ind w:left="720" w:hanging="360"/>
    </w:pPr>
    <w:rPr>
      <w:rFonts w:ascii="Calibri" w:eastAsia="Times New Roman" w:hAnsi="Calibri"/>
      <w:caps/>
      <w:sz w:val="20"/>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8805F3"/>
    <w:pPr>
      <w:keepNext/>
      <w:keepLines/>
      <w:spacing w:after="120"/>
    </w:pPr>
    <w:rPr>
      <w:rFonts w:ascii="Calibri" w:eastAsia="Times New Roman" w:hAnsi="Calibri" w:cs="Calibri"/>
      <w:b/>
      <w:bCs/>
      <w:i/>
      <w:szCs w:val="24"/>
    </w:rPr>
  </w:style>
  <w:style w:type="table" w:styleId="TableGrid">
    <w:name w:val="Table Grid"/>
    <w:basedOn w:val="TableNormal"/>
    <w:uiPriority w:val="5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E00257"/>
    <w:pPr>
      <w:ind w:left="1080" w:hanging="360"/>
    </w:pPr>
    <w:rPr>
      <w:rFonts w:ascii="Calibri" w:eastAsia="Times New Roman" w:hAnsi="Calibri"/>
      <w:i/>
      <w:iCs/>
      <w:caps/>
      <w:sz w:val="20"/>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qFormat/>
    <w:rsid w:val="00742BA3"/>
    <w:pPr>
      <w:spacing w:after="240"/>
    </w:pPr>
    <w:rPr>
      <w:rFonts w:ascii="Calibri" w:eastAsia="Times New Roman" w:hAnsi="Calibri"/>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qFormat/>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qFormat/>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742BA3"/>
    <w:rPr>
      <w:rFonts w:ascii="Calibri" w:eastAsia="Times New Roman" w:hAnsi="Calibri"/>
      <w:szCs w:val="24"/>
    </w:rPr>
  </w:style>
  <w:style w:type="character" w:customStyle="1" w:styleId="TableTitle-IPRChar">
    <w:name w:val="TableTitle-IPR Char"/>
    <w:basedOn w:val="DefaultParagraphFont"/>
    <w:link w:val="TableTitle-IPR"/>
    <w:rsid w:val="008805F3"/>
    <w:rPr>
      <w:rFonts w:ascii="Calibri" w:eastAsia="Times New Roman" w:hAnsi="Calibri" w:cs="Calibri"/>
      <w:b/>
      <w:bCs/>
      <w:i/>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paragraph" w:customStyle="1" w:styleId="FooterReport-IPR">
    <w:name w:val="FooterReport-IPR"/>
    <w:link w:val="FooterReport-IPRChar"/>
    <w:qFormat/>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0"/>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i/>
      <w:sz w:val="24"/>
      <w:szCs w:val="24"/>
    </w:rPr>
  </w:style>
  <w:style w:type="paragraph" w:customStyle="1" w:styleId="Acknowlegments-IPR">
    <w:name w:val="Acknowlegments-IPR"/>
    <w:link w:val="Acknowlegments-IPRChar"/>
    <w:qFormat/>
    <w:rsid w:val="00F63C1D"/>
    <w:rPr>
      <w:rFonts w:asciiTheme="minorHAnsi" w:eastAsia="Calibri" w:hAnsiTheme="minorHAnsi"/>
      <w:sz w:val="24"/>
      <w:szCs w:val="24"/>
    </w:rPr>
  </w:style>
  <w:style w:type="character" w:customStyle="1" w:styleId="Acknowlegments-IPRChar">
    <w:name w:val="Acknowlegments-IPR Char"/>
    <w:basedOn w:val="DefaultParagraphFont"/>
    <w:link w:val="Acknowlegments-IPR"/>
    <w:rsid w:val="00F63C1D"/>
    <w:rPr>
      <w:rFonts w:asciiTheme="minorHAnsi" w:eastAsia="Calibri" w:hAnsiTheme="minorHAnsi"/>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rsid w:val="00F149ED"/>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F149ED"/>
    <w:rPr>
      <w:rFonts w:ascii="Calibri" w:eastAsia="Times New Roman" w:hAnsi="Calibri"/>
      <w:szCs w:val="24"/>
    </w:rPr>
  </w:style>
  <w:style w:type="paragraph" w:customStyle="1" w:styleId="BodyCenteredNoSpaceAfter-IPR">
    <w:name w:val="BodyCenteredNoSpaceAfter-IPR"/>
    <w:link w:val="BodyCenteredNoSpaceAfter-IPRChar"/>
    <w:qFormat/>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3"/>
      </w:numPr>
    </w:pPr>
  </w:style>
  <w:style w:type="paragraph" w:customStyle="1" w:styleId="TableRedNumbers-IPR">
    <w:name w:val="TableRedNumbers-IPR"/>
    <w:link w:val="TableRedNumbers-IPRChar"/>
    <w:qFormat/>
    <w:rsid w:val="00E17C6F"/>
    <w:pPr>
      <w:numPr>
        <w:numId w:val="9"/>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8"/>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4"/>
      </w:numPr>
    </w:pPr>
  </w:style>
  <w:style w:type="numbering" w:customStyle="1" w:styleId="TableRedBulletsList-IPR">
    <w:name w:val="TableRedBulletsList-IPR"/>
    <w:uiPriority w:val="99"/>
    <w:rsid w:val="00187EDD"/>
    <w:pPr>
      <w:numPr>
        <w:numId w:val="5"/>
      </w:numPr>
    </w:pPr>
  </w:style>
  <w:style w:type="numbering" w:customStyle="1" w:styleId="TableBlackBulletsList-IPR">
    <w:name w:val="TableBlackBulletsList-IPR"/>
    <w:uiPriority w:val="99"/>
    <w:rsid w:val="00CB366C"/>
    <w:pPr>
      <w:numPr>
        <w:numId w:val="6"/>
      </w:numPr>
    </w:pPr>
  </w:style>
  <w:style w:type="numbering" w:customStyle="1" w:styleId="Bullets11ptTNRList">
    <w:name w:val="Bullets11ptTNRList"/>
    <w:uiPriority w:val="99"/>
    <w:rsid w:val="001731A7"/>
    <w:pPr>
      <w:numPr>
        <w:numId w:val="7"/>
      </w:numPr>
    </w:pPr>
  </w:style>
  <w:style w:type="numbering" w:customStyle="1" w:styleId="TableBlackNumbersList-IPR">
    <w:name w:val="TableBlackNumbersList-IPR"/>
    <w:uiPriority w:val="99"/>
    <w:rsid w:val="00411150"/>
    <w:pPr>
      <w:numPr>
        <w:numId w:val="8"/>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0"/>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8"/>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E4559D"/>
    <w:pPr>
      <w:numPr>
        <w:numId w:val="16"/>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1"/>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qFormat/>
    <w:rsid w:val="00E4559D"/>
    <w:pPr>
      <w:numPr>
        <w:numId w:val="17"/>
      </w:numPr>
      <w:spacing w:after="120"/>
    </w:pPr>
    <w:rPr>
      <w:rFonts w:ascii="Calibri" w:hAnsi="Calibri" w:cstheme="minorBidi"/>
      <w:sz w:val="24"/>
    </w:rPr>
  </w:style>
  <w:style w:type="numbering" w:customStyle="1" w:styleId="Numbers12ptCalibriList">
    <w:name w:val="Numbers12ptCalibriList"/>
    <w:uiPriority w:val="99"/>
    <w:rsid w:val="008E0756"/>
    <w:pPr>
      <w:numPr>
        <w:numId w:val="12"/>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2"/>
      </w:numPr>
      <w:spacing w:after="120"/>
    </w:pPr>
    <w:rPr>
      <w:rFonts w:ascii="Calibri" w:hAnsi="Calibri" w:cstheme="minorBidi"/>
    </w:rPr>
  </w:style>
  <w:style w:type="numbering" w:customStyle="1" w:styleId="Bullets11ptCalibriList">
    <w:name w:val="Bullets11ptCalibriList"/>
    <w:uiPriority w:val="99"/>
    <w:rsid w:val="008E0756"/>
    <w:pPr>
      <w:numPr>
        <w:numId w:val="13"/>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qFormat/>
    <w:rsid w:val="00E4559D"/>
    <w:pPr>
      <w:numPr>
        <w:numId w:val="21"/>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4"/>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5"/>
      </w:numPr>
    </w:pPr>
  </w:style>
  <w:style w:type="character" w:customStyle="1" w:styleId="TableofFiguresChar">
    <w:name w:val="Table of Figures Char"/>
    <w:basedOn w:val="DefaultParagraphFont"/>
    <w:link w:val="TableofFigures"/>
    <w:uiPriority w:val="99"/>
    <w:rsid w:val="003F5F2B"/>
    <w:rPr>
      <w:rFonts w:asciiTheme="minorHAnsi" w:eastAsia="Times New Roman" w:hAnsiTheme="minorHAnsi"/>
      <w:smallCaps/>
      <w:sz w:val="20"/>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E00257"/>
    <w:rPr>
      <w:rFonts w:ascii="Calibri" w:eastAsia="Times New Roman" w:hAnsi="Calibri"/>
      <w:i/>
      <w:iCs/>
      <w:caps/>
      <w:sz w:val="20"/>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ind w:left="480" w:hanging="480"/>
    </w:pPr>
    <w:rPr>
      <w:rFonts w:asciiTheme="minorHAnsi" w:eastAsia="Times New Roman" w:hAnsiTheme="minorHAnsi"/>
      <w:smallCaps/>
      <w:sz w:val="20"/>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paragraph" w:customStyle="1" w:styleId="CalibriText-noindent">
    <w:name w:val="CalibriText-no indent"/>
    <w:rsid w:val="00500C20"/>
    <w:pPr>
      <w:keepNext/>
      <w:keepLines/>
      <w:spacing w:after="240"/>
    </w:pPr>
    <w:rPr>
      <w:rFonts w:ascii="Calibri" w:eastAsia="Times New Roman" w:hAnsi="Calibri" w:cs="Calibri"/>
      <w:sz w:val="24"/>
      <w:szCs w:val="24"/>
    </w:rPr>
  </w:style>
  <w:style w:type="paragraph" w:customStyle="1" w:styleId="BulletsRed-IPR">
    <w:name w:val="BulletsRed-IPR"/>
    <w:link w:val="BulletsRed-IPRChar"/>
    <w:qFormat/>
    <w:rsid w:val="00742BA3"/>
    <w:pPr>
      <w:numPr>
        <w:numId w:val="29"/>
      </w:numPr>
      <w:spacing w:after="120" w:line="480" w:lineRule="auto"/>
    </w:pPr>
    <w:rPr>
      <w:rFonts w:ascii="Calibri" w:hAnsi="Calibri"/>
      <w:szCs w:val="24"/>
    </w:rPr>
  </w:style>
  <w:style w:type="character" w:customStyle="1" w:styleId="BulletsRed-IPRChar">
    <w:name w:val="BulletsRed-IPR Char"/>
    <w:basedOn w:val="DefaultParagraphFont"/>
    <w:link w:val="BulletsRed-IPR"/>
    <w:rsid w:val="00742BA3"/>
    <w:rPr>
      <w:rFonts w:ascii="Calibri" w:hAnsi="Calibri"/>
      <w:szCs w:val="24"/>
    </w:rPr>
  </w:style>
  <w:style w:type="paragraph" w:customStyle="1" w:styleId="Instructions">
    <w:name w:val="Instructions"/>
    <w:basedOn w:val="Hdng4Calibri-IPR"/>
    <w:link w:val="InstructionsChar"/>
    <w:qFormat/>
    <w:rsid w:val="00742BA3"/>
    <w:pPr>
      <w:spacing w:line="480" w:lineRule="auto"/>
    </w:pPr>
    <w:rPr>
      <w:rFonts w:ascii="Candara" w:hAnsi="Candara"/>
      <w:sz w:val="22"/>
    </w:rPr>
  </w:style>
  <w:style w:type="paragraph" w:customStyle="1" w:styleId="NewHeading1">
    <w:name w:val="New Heading 1"/>
    <w:basedOn w:val="Hdng2-IPR"/>
    <w:link w:val="NewHeading1Char"/>
    <w:qFormat/>
    <w:rsid w:val="00742BA3"/>
    <w:pPr>
      <w:numPr>
        <w:numId w:val="0"/>
      </w:numPr>
      <w:spacing w:line="480" w:lineRule="auto"/>
      <w:ind w:left="720" w:hanging="720"/>
    </w:pPr>
    <w:rPr>
      <w:rFonts w:ascii="Candara" w:hAnsi="Candara"/>
      <w:caps w:val="0"/>
      <w:color w:val="B32732"/>
      <w:sz w:val="28"/>
    </w:rPr>
  </w:style>
  <w:style w:type="character" w:customStyle="1" w:styleId="InstructionsChar">
    <w:name w:val="Instructions Char"/>
    <w:basedOn w:val="Hdng4Calibri-IPRChar"/>
    <w:link w:val="Instructions"/>
    <w:rsid w:val="00742BA3"/>
    <w:rPr>
      <w:rFonts w:ascii="Candara" w:eastAsia="Times New Roman" w:hAnsi="Candara"/>
      <w:b/>
      <w:sz w:val="24"/>
      <w:szCs w:val="24"/>
    </w:rPr>
  </w:style>
  <w:style w:type="paragraph" w:customStyle="1" w:styleId="NewHeading2">
    <w:name w:val="New Heading 2"/>
    <w:basedOn w:val="Hdng3-IPR"/>
    <w:link w:val="NewHeading2Char"/>
    <w:qFormat/>
    <w:rsid w:val="00D672F3"/>
    <w:pPr>
      <w:spacing w:line="480" w:lineRule="auto"/>
    </w:pPr>
    <w:rPr>
      <w:rFonts w:ascii="Candara" w:hAnsi="Candara"/>
      <w:color w:val="B12732"/>
      <w:sz w:val="28"/>
    </w:rPr>
  </w:style>
  <w:style w:type="character" w:customStyle="1" w:styleId="NewHeading1Char">
    <w:name w:val="New Heading 1 Char"/>
    <w:basedOn w:val="Hdng2-IPRChar"/>
    <w:link w:val="NewHeading1"/>
    <w:rsid w:val="00742BA3"/>
    <w:rPr>
      <w:rFonts w:ascii="Candara" w:eastAsia="Calibri" w:hAnsi="Candara" w:cs="Arial"/>
      <w:b/>
      <w:caps w:val="0"/>
      <w:color w:val="B32732"/>
      <w:sz w:val="28"/>
      <w:szCs w:val="24"/>
    </w:rPr>
  </w:style>
  <w:style w:type="character" w:customStyle="1" w:styleId="NewHeading2Char">
    <w:name w:val="New Heading 2 Char"/>
    <w:basedOn w:val="Hdng3-IPRChar"/>
    <w:link w:val="NewHeading2"/>
    <w:rsid w:val="00D672F3"/>
    <w:rPr>
      <w:rFonts w:ascii="Candara" w:eastAsia="Times New Roman" w:hAnsi="Candara" w:cs="Arial"/>
      <w:b/>
      <w:color w:val="B12732"/>
      <w:sz w:val="28"/>
      <w:szCs w:val="24"/>
    </w:rPr>
  </w:style>
  <w:style w:type="character" w:customStyle="1" w:styleId="NewHeading1Char0">
    <w:name w:val="NewHeading1 Char"/>
    <w:basedOn w:val="DefaultParagraphFont"/>
    <w:link w:val="NewHeading10"/>
    <w:locked/>
    <w:rsid w:val="00D672F3"/>
    <w:rPr>
      <w:rFonts w:ascii="Candara" w:eastAsiaTheme="majorEastAsia" w:hAnsi="Candara" w:cstheme="majorBidi"/>
      <w:b/>
      <w:bCs/>
      <w:color w:val="B12732"/>
      <w:sz w:val="36"/>
      <w:szCs w:val="36"/>
    </w:rPr>
  </w:style>
  <w:style w:type="paragraph" w:customStyle="1" w:styleId="NewHeading10">
    <w:name w:val="NewHeading1"/>
    <w:basedOn w:val="Normal"/>
    <w:link w:val="NewHeading1Char0"/>
    <w:qFormat/>
    <w:rsid w:val="00D672F3"/>
    <w:pPr>
      <w:keepNext/>
      <w:keepLines/>
      <w:pBdr>
        <w:bottom w:val="single" w:sz="12" w:space="1" w:color="6C7066"/>
      </w:pBdr>
      <w:spacing w:after="240"/>
      <w:jc w:val="center"/>
    </w:pPr>
    <w:rPr>
      <w:rFonts w:ascii="Candara" w:eastAsiaTheme="majorEastAsia" w:hAnsi="Candara" w:cstheme="majorBidi"/>
      <w:b/>
      <w:bCs/>
      <w:color w:val="B12732"/>
      <w:sz w:val="36"/>
      <w:szCs w:val="36"/>
    </w:rPr>
  </w:style>
  <w:style w:type="paragraph" w:customStyle="1" w:styleId="Newheading3">
    <w:name w:val="New heading3"/>
    <w:basedOn w:val="Body12ptCalibri-IPR"/>
    <w:link w:val="Newheading3Char"/>
    <w:qFormat/>
    <w:rsid w:val="00D672F3"/>
    <w:pPr>
      <w:spacing w:line="480" w:lineRule="auto"/>
    </w:pPr>
    <w:rPr>
      <w:rFonts w:ascii="Candara" w:hAnsi="Candara"/>
      <w:b/>
      <w:color w:val="B12732"/>
      <w:sz w:val="24"/>
    </w:rPr>
  </w:style>
  <w:style w:type="character" w:customStyle="1" w:styleId="Newheading3Char">
    <w:name w:val="New heading3 Char"/>
    <w:basedOn w:val="Body12ptCalibri-IPRChar"/>
    <w:link w:val="Newheading3"/>
    <w:rsid w:val="00D672F3"/>
    <w:rPr>
      <w:rFonts w:ascii="Candara" w:eastAsia="Times New Roman" w:hAnsi="Candara"/>
      <w:b/>
      <w:color w:val="B12732"/>
      <w:sz w:val="24"/>
      <w:szCs w:val="24"/>
    </w:rPr>
  </w:style>
  <w:style w:type="character" w:styleId="LineNumber">
    <w:name w:val="line number"/>
    <w:basedOn w:val="DefaultParagraphFont"/>
    <w:uiPriority w:val="99"/>
    <w:semiHidden/>
    <w:unhideWhenUsed/>
    <w:rsid w:val="00B27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annotation reference"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75E7E"/>
    <w:rPr>
      <w:rFonts w:eastAsia="Times New Roman"/>
      <w:sz w:val="24"/>
      <w:szCs w:val="24"/>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9"/>
      </w:numPr>
    </w:pPr>
  </w:style>
  <w:style w:type="paragraph" w:styleId="ListParagraph">
    <w:name w:val="List Paragraph"/>
    <w:link w:val="ListParagraphChar"/>
    <w:uiPriority w:val="34"/>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475E7E"/>
    <w:rPr>
      <w:rFonts w:ascii="Calibri" w:eastAsia="Times New Roman" w:hAnsi="Calibri"/>
      <w:b/>
      <w:bCs/>
      <w:caps/>
      <w:sz w:val="20"/>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rsid w:val="00B13C20"/>
    <w:rPr>
      <w:sz w:val="20"/>
      <w:szCs w:val="20"/>
    </w:rPr>
  </w:style>
  <w:style w:type="character" w:customStyle="1" w:styleId="CommentTextChar">
    <w:name w:val="Comment Text Char"/>
    <w:basedOn w:val="DefaultParagraphFont"/>
    <w:link w:val="CommentText"/>
    <w:uiPriority w:val="99"/>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semiHidden/>
    <w:unhideWhenUsed/>
    <w:qFormat/>
    <w:rsid w:val="00C11C4B"/>
    <w:pPr>
      <w:spacing w:after="120"/>
    </w:pPr>
  </w:style>
  <w:style w:type="character" w:customStyle="1" w:styleId="TOC2Char">
    <w:name w:val="TOC 2 Char"/>
    <w:basedOn w:val="DefaultParagraphFont"/>
    <w:link w:val="TOC2"/>
    <w:uiPriority w:val="39"/>
    <w:rsid w:val="00475E7E"/>
    <w:rPr>
      <w:rFonts w:ascii="Calibri" w:eastAsia="Times New Roman" w:hAnsi="Calibri"/>
      <w:caps/>
      <w:sz w:val="20"/>
      <w:szCs w:val="20"/>
    </w:rPr>
  </w:style>
  <w:style w:type="character" w:customStyle="1" w:styleId="BodyTextChar">
    <w:name w:val="Body Text Char"/>
    <w:basedOn w:val="DefaultParagraphFont"/>
    <w:link w:val="BodyText"/>
    <w:uiPriority w:val="99"/>
    <w:semiHidden/>
    <w:rsid w:val="00C11C4B"/>
    <w:rPr>
      <w:rFonts w:eastAsia="Times New Roman"/>
      <w:sz w:val="24"/>
      <w:szCs w:val="24"/>
    </w:rPr>
  </w:style>
  <w:style w:type="paragraph" w:styleId="TOC1">
    <w:name w:val="toc 1"/>
    <w:next w:val="Normal"/>
    <w:link w:val="TOC1Char"/>
    <w:uiPriority w:val="39"/>
    <w:unhideWhenUsed/>
    <w:rsid w:val="00475E7E"/>
    <w:pPr>
      <w:spacing w:before="120" w:after="120"/>
      <w:ind w:left="360" w:hanging="360"/>
    </w:pPr>
    <w:rPr>
      <w:rFonts w:ascii="Calibri" w:eastAsia="Times New Roman" w:hAnsi="Calibri"/>
      <w:b/>
      <w:bCs/>
      <w:caps/>
      <w:sz w:val="20"/>
      <w:szCs w:val="20"/>
    </w:rPr>
  </w:style>
  <w:style w:type="paragraph" w:styleId="TOC2">
    <w:name w:val="toc 2"/>
    <w:next w:val="Normal"/>
    <w:link w:val="TOC2Char"/>
    <w:uiPriority w:val="39"/>
    <w:rsid w:val="00475E7E"/>
    <w:pPr>
      <w:ind w:left="720" w:hanging="360"/>
    </w:pPr>
    <w:rPr>
      <w:rFonts w:ascii="Calibri" w:eastAsia="Times New Roman" w:hAnsi="Calibri"/>
      <w:caps/>
      <w:sz w:val="20"/>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8805F3"/>
    <w:pPr>
      <w:keepNext/>
      <w:keepLines/>
      <w:spacing w:after="120"/>
    </w:pPr>
    <w:rPr>
      <w:rFonts w:ascii="Calibri" w:eastAsia="Times New Roman" w:hAnsi="Calibri" w:cs="Calibri"/>
      <w:b/>
      <w:bCs/>
      <w:i/>
      <w:szCs w:val="24"/>
    </w:rPr>
  </w:style>
  <w:style w:type="table" w:styleId="TableGrid">
    <w:name w:val="Table Grid"/>
    <w:basedOn w:val="TableNormal"/>
    <w:uiPriority w:val="5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E00257"/>
    <w:pPr>
      <w:ind w:left="1080" w:hanging="360"/>
    </w:pPr>
    <w:rPr>
      <w:rFonts w:ascii="Calibri" w:eastAsia="Times New Roman" w:hAnsi="Calibri"/>
      <w:i/>
      <w:iCs/>
      <w:caps/>
      <w:sz w:val="20"/>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qFormat/>
    <w:rsid w:val="00742BA3"/>
    <w:pPr>
      <w:spacing w:after="240"/>
    </w:pPr>
    <w:rPr>
      <w:rFonts w:ascii="Calibri" w:eastAsia="Times New Roman" w:hAnsi="Calibri"/>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qFormat/>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qFormat/>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742BA3"/>
    <w:rPr>
      <w:rFonts w:ascii="Calibri" w:eastAsia="Times New Roman" w:hAnsi="Calibri"/>
      <w:szCs w:val="24"/>
    </w:rPr>
  </w:style>
  <w:style w:type="character" w:customStyle="1" w:styleId="TableTitle-IPRChar">
    <w:name w:val="TableTitle-IPR Char"/>
    <w:basedOn w:val="DefaultParagraphFont"/>
    <w:link w:val="TableTitle-IPR"/>
    <w:rsid w:val="008805F3"/>
    <w:rPr>
      <w:rFonts w:ascii="Calibri" w:eastAsia="Times New Roman" w:hAnsi="Calibri" w:cs="Calibri"/>
      <w:b/>
      <w:bCs/>
      <w:i/>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paragraph" w:customStyle="1" w:styleId="FooterReport-IPR">
    <w:name w:val="FooterReport-IPR"/>
    <w:link w:val="FooterReport-IPRChar"/>
    <w:qFormat/>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0"/>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i/>
      <w:sz w:val="24"/>
      <w:szCs w:val="24"/>
    </w:rPr>
  </w:style>
  <w:style w:type="paragraph" w:customStyle="1" w:styleId="Acknowlegments-IPR">
    <w:name w:val="Acknowlegments-IPR"/>
    <w:link w:val="Acknowlegments-IPRChar"/>
    <w:qFormat/>
    <w:rsid w:val="00F63C1D"/>
    <w:rPr>
      <w:rFonts w:asciiTheme="minorHAnsi" w:eastAsia="Calibri" w:hAnsiTheme="minorHAnsi"/>
      <w:sz w:val="24"/>
      <w:szCs w:val="24"/>
    </w:rPr>
  </w:style>
  <w:style w:type="character" w:customStyle="1" w:styleId="Acknowlegments-IPRChar">
    <w:name w:val="Acknowlegments-IPR Char"/>
    <w:basedOn w:val="DefaultParagraphFont"/>
    <w:link w:val="Acknowlegments-IPR"/>
    <w:rsid w:val="00F63C1D"/>
    <w:rPr>
      <w:rFonts w:asciiTheme="minorHAnsi" w:eastAsia="Calibri" w:hAnsiTheme="minorHAnsi"/>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rsid w:val="00F149ED"/>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F149ED"/>
    <w:rPr>
      <w:rFonts w:ascii="Calibri" w:eastAsia="Times New Roman" w:hAnsi="Calibri"/>
      <w:szCs w:val="24"/>
    </w:rPr>
  </w:style>
  <w:style w:type="paragraph" w:customStyle="1" w:styleId="BodyCenteredNoSpaceAfter-IPR">
    <w:name w:val="BodyCenteredNoSpaceAfter-IPR"/>
    <w:link w:val="BodyCenteredNoSpaceAfter-IPRChar"/>
    <w:qFormat/>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3"/>
      </w:numPr>
    </w:pPr>
  </w:style>
  <w:style w:type="paragraph" w:customStyle="1" w:styleId="TableRedNumbers-IPR">
    <w:name w:val="TableRedNumbers-IPR"/>
    <w:link w:val="TableRedNumbers-IPRChar"/>
    <w:qFormat/>
    <w:rsid w:val="00E17C6F"/>
    <w:pPr>
      <w:numPr>
        <w:numId w:val="9"/>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8"/>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4"/>
      </w:numPr>
    </w:pPr>
  </w:style>
  <w:style w:type="numbering" w:customStyle="1" w:styleId="TableRedBulletsList-IPR">
    <w:name w:val="TableRedBulletsList-IPR"/>
    <w:uiPriority w:val="99"/>
    <w:rsid w:val="00187EDD"/>
    <w:pPr>
      <w:numPr>
        <w:numId w:val="5"/>
      </w:numPr>
    </w:pPr>
  </w:style>
  <w:style w:type="numbering" w:customStyle="1" w:styleId="TableBlackBulletsList-IPR">
    <w:name w:val="TableBlackBulletsList-IPR"/>
    <w:uiPriority w:val="99"/>
    <w:rsid w:val="00CB366C"/>
    <w:pPr>
      <w:numPr>
        <w:numId w:val="6"/>
      </w:numPr>
    </w:pPr>
  </w:style>
  <w:style w:type="numbering" w:customStyle="1" w:styleId="Bullets11ptTNRList">
    <w:name w:val="Bullets11ptTNRList"/>
    <w:uiPriority w:val="99"/>
    <w:rsid w:val="001731A7"/>
    <w:pPr>
      <w:numPr>
        <w:numId w:val="7"/>
      </w:numPr>
    </w:pPr>
  </w:style>
  <w:style w:type="numbering" w:customStyle="1" w:styleId="TableBlackNumbersList-IPR">
    <w:name w:val="TableBlackNumbersList-IPR"/>
    <w:uiPriority w:val="99"/>
    <w:rsid w:val="00411150"/>
    <w:pPr>
      <w:numPr>
        <w:numId w:val="8"/>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0"/>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8"/>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E4559D"/>
    <w:pPr>
      <w:numPr>
        <w:numId w:val="16"/>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1"/>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qFormat/>
    <w:rsid w:val="00E4559D"/>
    <w:pPr>
      <w:numPr>
        <w:numId w:val="17"/>
      </w:numPr>
      <w:spacing w:after="120"/>
    </w:pPr>
    <w:rPr>
      <w:rFonts w:ascii="Calibri" w:hAnsi="Calibri" w:cstheme="minorBidi"/>
      <w:sz w:val="24"/>
    </w:rPr>
  </w:style>
  <w:style w:type="numbering" w:customStyle="1" w:styleId="Numbers12ptCalibriList">
    <w:name w:val="Numbers12ptCalibriList"/>
    <w:uiPriority w:val="99"/>
    <w:rsid w:val="008E0756"/>
    <w:pPr>
      <w:numPr>
        <w:numId w:val="12"/>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2"/>
      </w:numPr>
      <w:spacing w:after="120"/>
    </w:pPr>
    <w:rPr>
      <w:rFonts w:ascii="Calibri" w:hAnsi="Calibri" w:cstheme="minorBidi"/>
    </w:rPr>
  </w:style>
  <w:style w:type="numbering" w:customStyle="1" w:styleId="Bullets11ptCalibriList">
    <w:name w:val="Bullets11ptCalibriList"/>
    <w:uiPriority w:val="99"/>
    <w:rsid w:val="008E0756"/>
    <w:pPr>
      <w:numPr>
        <w:numId w:val="13"/>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qFormat/>
    <w:rsid w:val="00E4559D"/>
    <w:pPr>
      <w:numPr>
        <w:numId w:val="21"/>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4"/>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5"/>
      </w:numPr>
    </w:pPr>
  </w:style>
  <w:style w:type="character" w:customStyle="1" w:styleId="TableofFiguresChar">
    <w:name w:val="Table of Figures Char"/>
    <w:basedOn w:val="DefaultParagraphFont"/>
    <w:link w:val="TableofFigures"/>
    <w:uiPriority w:val="99"/>
    <w:rsid w:val="003F5F2B"/>
    <w:rPr>
      <w:rFonts w:asciiTheme="minorHAnsi" w:eastAsia="Times New Roman" w:hAnsiTheme="minorHAnsi"/>
      <w:smallCaps/>
      <w:sz w:val="20"/>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E00257"/>
    <w:rPr>
      <w:rFonts w:ascii="Calibri" w:eastAsia="Times New Roman" w:hAnsi="Calibri"/>
      <w:i/>
      <w:iCs/>
      <w:caps/>
      <w:sz w:val="20"/>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ind w:left="480" w:hanging="480"/>
    </w:pPr>
    <w:rPr>
      <w:rFonts w:asciiTheme="minorHAnsi" w:eastAsia="Times New Roman" w:hAnsiTheme="minorHAnsi"/>
      <w:smallCaps/>
      <w:sz w:val="20"/>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paragraph" w:customStyle="1" w:styleId="CalibriText-noindent">
    <w:name w:val="CalibriText-no indent"/>
    <w:rsid w:val="00500C20"/>
    <w:pPr>
      <w:keepNext/>
      <w:keepLines/>
      <w:spacing w:after="240"/>
    </w:pPr>
    <w:rPr>
      <w:rFonts w:ascii="Calibri" w:eastAsia="Times New Roman" w:hAnsi="Calibri" w:cs="Calibri"/>
      <w:sz w:val="24"/>
      <w:szCs w:val="24"/>
    </w:rPr>
  </w:style>
  <w:style w:type="paragraph" w:customStyle="1" w:styleId="BulletsRed-IPR">
    <w:name w:val="BulletsRed-IPR"/>
    <w:link w:val="BulletsRed-IPRChar"/>
    <w:qFormat/>
    <w:rsid w:val="00742BA3"/>
    <w:pPr>
      <w:numPr>
        <w:numId w:val="29"/>
      </w:numPr>
      <w:spacing w:after="120" w:line="480" w:lineRule="auto"/>
    </w:pPr>
    <w:rPr>
      <w:rFonts w:ascii="Calibri" w:hAnsi="Calibri"/>
      <w:szCs w:val="24"/>
    </w:rPr>
  </w:style>
  <w:style w:type="character" w:customStyle="1" w:styleId="BulletsRed-IPRChar">
    <w:name w:val="BulletsRed-IPR Char"/>
    <w:basedOn w:val="DefaultParagraphFont"/>
    <w:link w:val="BulletsRed-IPR"/>
    <w:rsid w:val="00742BA3"/>
    <w:rPr>
      <w:rFonts w:ascii="Calibri" w:hAnsi="Calibri"/>
      <w:szCs w:val="24"/>
    </w:rPr>
  </w:style>
  <w:style w:type="paragraph" w:customStyle="1" w:styleId="Instructions">
    <w:name w:val="Instructions"/>
    <w:basedOn w:val="Hdng4Calibri-IPR"/>
    <w:link w:val="InstructionsChar"/>
    <w:qFormat/>
    <w:rsid w:val="00742BA3"/>
    <w:pPr>
      <w:spacing w:line="480" w:lineRule="auto"/>
    </w:pPr>
    <w:rPr>
      <w:rFonts w:ascii="Candara" w:hAnsi="Candara"/>
      <w:sz w:val="22"/>
    </w:rPr>
  </w:style>
  <w:style w:type="paragraph" w:customStyle="1" w:styleId="NewHeading1">
    <w:name w:val="New Heading 1"/>
    <w:basedOn w:val="Hdng2-IPR"/>
    <w:link w:val="NewHeading1Char"/>
    <w:qFormat/>
    <w:rsid w:val="00742BA3"/>
    <w:pPr>
      <w:numPr>
        <w:numId w:val="0"/>
      </w:numPr>
      <w:spacing w:line="480" w:lineRule="auto"/>
      <w:ind w:left="720" w:hanging="720"/>
    </w:pPr>
    <w:rPr>
      <w:rFonts w:ascii="Candara" w:hAnsi="Candara"/>
      <w:caps w:val="0"/>
      <w:color w:val="B32732"/>
      <w:sz w:val="28"/>
    </w:rPr>
  </w:style>
  <w:style w:type="character" w:customStyle="1" w:styleId="InstructionsChar">
    <w:name w:val="Instructions Char"/>
    <w:basedOn w:val="Hdng4Calibri-IPRChar"/>
    <w:link w:val="Instructions"/>
    <w:rsid w:val="00742BA3"/>
    <w:rPr>
      <w:rFonts w:ascii="Candara" w:eastAsia="Times New Roman" w:hAnsi="Candara"/>
      <w:b/>
      <w:sz w:val="24"/>
      <w:szCs w:val="24"/>
    </w:rPr>
  </w:style>
  <w:style w:type="paragraph" w:customStyle="1" w:styleId="NewHeading2">
    <w:name w:val="New Heading 2"/>
    <w:basedOn w:val="Hdng3-IPR"/>
    <w:link w:val="NewHeading2Char"/>
    <w:qFormat/>
    <w:rsid w:val="00D672F3"/>
    <w:pPr>
      <w:spacing w:line="480" w:lineRule="auto"/>
    </w:pPr>
    <w:rPr>
      <w:rFonts w:ascii="Candara" w:hAnsi="Candara"/>
      <w:color w:val="B12732"/>
      <w:sz w:val="28"/>
    </w:rPr>
  </w:style>
  <w:style w:type="character" w:customStyle="1" w:styleId="NewHeading1Char">
    <w:name w:val="New Heading 1 Char"/>
    <w:basedOn w:val="Hdng2-IPRChar"/>
    <w:link w:val="NewHeading1"/>
    <w:rsid w:val="00742BA3"/>
    <w:rPr>
      <w:rFonts w:ascii="Candara" w:eastAsia="Calibri" w:hAnsi="Candara" w:cs="Arial"/>
      <w:b/>
      <w:caps w:val="0"/>
      <w:color w:val="B32732"/>
      <w:sz w:val="28"/>
      <w:szCs w:val="24"/>
    </w:rPr>
  </w:style>
  <w:style w:type="character" w:customStyle="1" w:styleId="NewHeading2Char">
    <w:name w:val="New Heading 2 Char"/>
    <w:basedOn w:val="Hdng3-IPRChar"/>
    <w:link w:val="NewHeading2"/>
    <w:rsid w:val="00D672F3"/>
    <w:rPr>
      <w:rFonts w:ascii="Candara" w:eastAsia="Times New Roman" w:hAnsi="Candara" w:cs="Arial"/>
      <w:b/>
      <w:color w:val="B12732"/>
      <w:sz w:val="28"/>
      <w:szCs w:val="24"/>
    </w:rPr>
  </w:style>
  <w:style w:type="character" w:customStyle="1" w:styleId="NewHeading1Char0">
    <w:name w:val="NewHeading1 Char"/>
    <w:basedOn w:val="DefaultParagraphFont"/>
    <w:link w:val="NewHeading10"/>
    <w:locked/>
    <w:rsid w:val="00D672F3"/>
    <w:rPr>
      <w:rFonts w:ascii="Candara" w:eastAsiaTheme="majorEastAsia" w:hAnsi="Candara" w:cstheme="majorBidi"/>
      <w:b/>
      <w:bCs/>
      <w:color w:val="B12732"/>
      <w:sz w:val="36"/>
      <w:szCs w:val="36"/>
    </w:rPr>
  </w:style>
  <w:style w:type="paragraph" w:customStyle="1" w:styleId="NewHeading10">
    <w:name w:val="NewHeading1"/>
    <w:basedOn w:val="Normal"/>
    <w:link w:val="NewHeading1Char0"/>
    <w:qFormat/>
    <w:rsid w:val="00D672F3"/>
    <w:pPr>
      <w:keepNext/>
      <w:keepLines/>
      <w:pBdr>
        <w:bottom w:val="single" w:sz="12" w:space="1" w:color="6C7066"/>
      </w:pBdr>
      <w:spacing w:after="240"/>
      <w:jc w:val="center"/>
    </w:pPr>
    <w:rPr>
      <w:rFonts w:ascii="Candara" w:eastAsiaTheme="majorEastAsia" w:hAnsi="Candara" w:cstheme="majorBidi"/>
      <w:b/>
      <w:bCs/>
      <w:color w:val="B12732"/>
      <w:sz w:val="36"/>
      <w:szCs w:val="36"/>
    </w:rPr>
  </w:style>
  <w:style w:type="paragraph" w:customStyle="1" w:styleId="Newheading3">
    <w:name w:val="New heading3"/>
    <w:basedOn w:val="Body12ptCalibri-IPR"/>
    <w:link w:val="Newheading3Char"/>
    <w:qFormat/>
    <w:rsid w:val="00D672F3"/>
    <w:pPr>
      <w:spacing w:line="480" w:lineRule="auto"/>
    </w:pPr>
    <w:rPr>
      <w:rFonts w:ascii="Candara" w:hAnsi="Candara"/>
      <w:b/>
      <w:color w:val="B12732"/>
      <w:sz w:val="24"/>
    </w:rPr>
  </w:style>
  <w:style w:type="character" w:customStyle="1" w:styleId="Newheading3Char">
    <w:name w:val="New heading3 Char"/>
    <w:basedOn w:val="Body12ptCalibri-IPRChar"/>
    <w:link w:val="Newheading3"/>
    <w:rsid w:val="00D672F3"/>
    <w:rPr>
      <w:rFonts w:ascii="Candara" w:eastAsia="Times New Roman" w:hAnsi="Candara"/>
      <w:b/>
      <w:color w:val="B12732"/>
      <w:sz w:val="24"/>
      <w:szCs w:val="24"/>
    </w:rPr>
  </w:style>
  <w:style w:type="character" w:styleId="LineNumber">
    <w:name w:val="line number"/>
    <w:basedOn w:val="DefaultParagraphFont"/>
    <w:uiPriority w:val="99"/>
    <w:semiHidden/>
    <w:unhideWhenUsed/>
    <w:rsid w:val="00B27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921">
      <w:bodyDiv w:val="1"/>
      <w:marLeft w:val="0"/>
      <w:marRight w:val="0"/>
      <w:marTop w:val="0"/>
      <w:marBottom w:val="0"/>
      <w:divBdr>
        <w:top w:val="none" w:sz="0" w:space="0" w:color="auto"/>
        <w:left w:val="none" w:sz="0" w:space="0" w:color="auto"/>
        <w:bottom w:val="none" w:sz="0" w:space="0" w:color="auto"/>
        <w:right w:val="none" w:sz="0" w:space="0" w:color="auto"/>
      </w:divBdr>
    </w:div>
    <w:div w:id="128863156">
      <w:bodyDiv w:val="1"/>
      <w:marLeft w:val="0"/>
      <w:marRight w:val="0"/>
      <w:marTop w:val="0"/>
      <w:marBottom w:val="0"/>
      <w:divBdr>
        <w:top w:val="none" w:sz="0" w:space="0" w:color="auto"/>
        <w:left w:val="none" w:sz="0" w:space="0" w:color="auto"/>
        <w:bottom w:val="none" w:sz="0" w:space="0" w:color="auto"/>
        <w:right w:val="none" w:sz="0" w:space="0" w:color="auto"/>
      </w:divBdr>
    </w:div>
    <w:div w:id="155265532">
      <w:bodyDiv w:val="1"/>
      <w:marLeft w:val="0"/>
      <w:marRight w:val="0"/>
      <w:marTop w:val="0"/>
      <w:marBottom w:val="0"/>
      <w:divBdr>
        <w:top w:val="none" w:sz="0" w:space="0" w:color="auto"/>
        <w:left w:val="none" w:sz="0" w:space="0" w:color="auto"/>
        <w:bottom w:val="none" w:sz="0" w:space="0" w:color="auto"/>
        <w:right w:val="none" w:sz="0" w:space="0" w:color="auto"/>
      </w:divBdr>
    </w:div>
    <w:div w:id="175310503">
      <w:bodyDiv w:val="1"/>
      <w:marLeft w:val="0"/>
      <w:marRight w:val="0"/>
      <w:marTop w:val="0"/>
      <w:marBottom w:val="0"/>
      <w:divBdr>
        <w:top w:val="none" w:sz="0" w:space="0" w:color="auto"/>
        <w:left w:val="none" w:sz="0" w:space="0" w:color="auto"/>
        <w:bottom w:val="none" w:sz="0" w:space="0" w:color="auto"/>
        <w:right w:val="none" w:sz="0" w:space="0" w:color="auto"/>
      </w:divBdr>
    </w:div>
    <w:div w:id="376589725">
      <w:bodyDiv w:val="1"/>
      <w:marLeft w:val="0"/>
      <w:marRight w:val="0"/>
      <w:marTop w:val="0"/>
      <w:marBottom w:val="0"/>
      <w:divBdr>
        <w:top w:val="none" w:sz="0" w:space="0" w:color="auto"/>
        <w:left w:val="none" w:sz="0" w:space="0" w:color="auto"/>
        <w:bottom w:val="none" w:sz="0" w:space="0" w:color="auto"/>
        <w:right w:val="none" w:sz="0" w:space="0" w:color="auto"/>
      </w:divBdr>
    </w:div>
    <w:div w:id="431708084">
      <w:bodyDiv w:val="1"/>
      <w:marLeft w:val="0"/>
      <w:marRight w:val="0"/>
      <w:marTop w:val="0"/>
      <w:marBottom w:val="0"/>
      <w:divBdr>
        <w:top w:val="none" w:sz="0" w:space="0" w:color="auto"/>
        <w:left w:val="none" w:sz="0" w:space="0" w:color="auto"/>
        <w:bottom w:val="none" w:sz="0" w:space="0" w:color="auto"/>
        <w:right w:val="none" w:sz="0" w:space="0" w:color="auto"/>
      </w:divBdr>
    </w:div>
    <w:div w:id="506988080">
      <w:bodyDiv w:val="1"/>
      <w:marLeft w:val="0"/>
      <w:marRight w:val="0"/>
      <w:marTop w:val="0"/>
      <w:marBottom w:val="0"/>
      <w:divBdr>
        <w:top w:val="none" w:sz="0" w:space="0" w:color="auto"/>
        <w:left w:val="none" w:sz="0" w:space="0" w:color="auto"/>
        <w:bottom w:val="none" w:sz="0" w:space="0" w:color="auto"/>
        <w:right w:val="none" w:sz="0" w:space="0" w:color="auto"/>
      </w:divBdr>
    </w:div>
    <w:div w:id="543953767">
      <w:bodyDiv w:val="1"/>
      <w:marLeft w:val="0"/>
      <w:marRight w:val="0"/>
      <w:marTop w:val="0"/>
      <w:marBottom w:val="0"/>
      <w:divBdr>
        <w:top w:val="none" w:sz="0" w:space="0" w:color="auto"/>
        <w:left w:val="none" w:sz="0" w:space="0" w:color="auto"/>
        <w:bottom w:val="none" w:sz="0" w:space="0" w:color="auto"/>
        <w:right w:val="none" w:sz="0" w:space="0" w:color="auto"/>
      </w:divBdr>
    </w:div>
    <w:div w:id="548494562">
      <w:bodyDiv w:val="1"/>
      <w:marLeft w:val="0"/>
      <w:marRight w:val="0"/>
      <w:marTop w:val="0"/>
      <w:marBottom w:val="0"/>
      <w:divBdr>
        <w:top w:val="none" w:sz="0" w:space="0" w:color="auto"/>
        <w:left w:val="none" w:sz="0" w:space="0" w:color="auto"/>
        <w:bottom w:val="none" w:sz="0" w:space="0" w:color="auto"/>
        <w:right w:val="none" w:sz="0" w:space="0" w:color="auto"/>
      </w:divBdr>
    </w:div>
    <w:div w:id="702899197">
      <w:bodyDiv w:val="1"/>
      <w:marLeft w:val="0"/>
      <w:marRight w:val="0"/>
      <w:marTop w:val="0"/>
      <w:marBottom w:val="0"/>
      <w:divBdr>
        <w:top w:val="none" w:sz="0" w:space="0" w:color="auto"/>
        <w:left w:val="none" w:sz="0" w:space="0" w:color="auto"/>
        <w:bottom w:val="none" w:sz="0" w:space="0" w:color="auto"/>
        <w:right w:val="none" w:sz="0" w:space="0" w:color="auto"/>
      </w:divBdr>
    </w:div>
    <w:div w:id="705562579">
      <w:bodyDiv w:val="1"/>
      <w:marLeft w:val="0"/>
      <w:marRight w:val="0"/>
      <w:marTop w:val="0"/>
      <w:marBottom w:val="0"/>
      <w:divBdr>
        <w:top w:val="none" w:sz="0" w:space="0" w:color="auto"/>
        <w:left w:val="none" w:sz="0" w:space="0" w:color="auto"/>
        <w:bottom w:val="none" w:sz="0" w:space="0" w:color="auto"/>
        <w:right w:val="none" w:sz="0" w:space="0" w:color="auto"/>
      </w:divBdr>
    </w:div>
    <w:div w:id="708994940">
      <w:bodyDiv w:val="1"/>
      <w:marLeft w:val="0"/>
      <w:marRight w:val="0"/>
      <w:marTop w:val="0"/>
      <w:marBottom w:val="0"/>
      <w:divBdr>
        <w:top w:val="none" w:sz="0" w:space="0" w:color="auto"/>
        <w:left w:val="none" w:sz="0" w:space="0" w:color="auto"/>
        <w:bottom w:val="none" w:sz="0" w:space="0" w:color="auto"/>
        <w:right w:val="none" w:sz="0" w:space="0" w:color="auto"/>
      </w:divBdr>
    </w:div>
    <w:div w:id="754547490">
      <w:bodyDiv w:val="1"/>
      <w:marLeft w:val="0"/>
      <w:marRight w:val="0"/>
      <w:marTop w:val="0"/>
      <w:marBottom w:val="0"/>
      <w:divBdr>
        <w:top w:val="none" w:sz="0" w:space="0" w:color="auto"/>
        <w:left w:val="none" w:sz="0" w:space="0" w:color="auto"/>
        <w:bottom w:val="none" w:sz="0" w:space="0" w:color="auto"/>
        <w:right w:val="none" w:sz="0" w:space="0" w:color="auto"/>
      </w:divBdr>
    </w:div>
    <w:div w:id="918253556">
      <w:bodyDiv w:val="1"/>
      <w:marLeft w:val="0"/>
      <w:marRight w:val="0"/>
      <w:marTop w:val="0"/>
      <w:marBottom w:val="0"/>
      <w:divBdr>
        <w:top w:val="none" w:sz="0" w:space="0" w:color="auto"/>
        <w:left w:val="none" w:sz="0" w:space="0" w:color="auto"/>
        <w:bottom w:val="none" w:sz="0" w:space="0" w:color="auto"/>
        <w:right w:val="none" w:sz="0" w:space="0" w:color="auto"/>
      </w:divBdr>
    </w:div>
    <w:div w:id="929659810">
      <w:bodyDiv w:val="1"/>
      <w:marLeft w:val="0"/>
      <w:marRight w:val="0"/>
      <w:marTop w:val="0"/>
      <w:marBottom w:val="0"/>
      <w:divBdr>
        <w:top w:val="none" w:sz="0" w:space="0" w:color="auto"/>
        <w:left w:val="none" w:sz="0" w:space="0" w:color="auto"/>
        <w:bottom w:val="none" w:sz="0" w:space="0" w:color="auto"/>
        <w:right w:val="none" w:sz="0" w:space="0" w:color="auto"/>
      </w:divBdr>
    </w:div>
    <w:div w:id="955332381">
      <w:bodyDiv w:val="1"/>
      <w:marLeft w:val="0"/>
      <w:marRight w:val="0"/>
      <w:marTop w:val="0"/>
      <w:marBottom w:val="0"/>
      <w:divBdr>
        <w:top w:val="none" w:sz="0" w:space="0" w:color="auto"/>
        <w:left w:val="none" w:sz="0" w:space="0" w:color="auto"/>
        <w:bottom w:val="none" w:sz="0" w:space="0" w:color="auto"/>
        <w:right w:val="none" w:sz="0" w:space="0" w:color="auto"/>
      </w:divBdr>
    </w:div>
    <w:div w:id="1068531000">
      <w:bodyDiv w:val="1"/>
      <w:marLeft w:val="0"/>
      <w:marRight w:val="0"/>
      <w:marTop w:val="0"/>
      <w:marBottom w:val="0"/>
      <w:divBdr>
        <w:top w:val="none" w:sz="0" w:space="0" w:color="auto"/>
        <w:left w:val="none" w:sz="0" w:space="0" w:color="auto"/>
        <w:bottom w:val="none" w:sz="0" w:space="0" w:color="auto"/>
        <w:right w:val="none" w:sz="0" w:space="0" w:color="auto"/>
      </w:divBdr>
    </w:div>
    <w:div w:id="1130397446">
      <w:bodyDiv w:val="1"/>
      <w:marLeft w:val="0"/>
      <w:marRight w:val="0"/>
      <w:marTop w:val="0"/>
      <w:marBottom w:val="0"/>
      <w:divBdr>
        <w:top w:val="none" w:sz="0" w:space="0" w:color="auto"/>
        <w:left w:val="none" w:sz="0" w:space="0" w:color="auto"/>
        <w:bottom w:val="none" w:sz="0" w:space="0" w:color="auto"/>
        <w:right w:val="none" w:sz="0" w:space="0" w:color="auto"/>
      </w:divBdr>
    </w:div>
    <w:div w:id="1157040978">
      <w:bodyDiv w:val="1"/>
      <w:marLeft w:val="0"/>
      <w:marRight w:val="0"/>
      <w:marTop w:val="0"/>
      <w:marBottom w:val="0"/>
      <w:divBdr>
        <w:top w:val="none" w:sz="0" w:space="0" w:color="auto"/>
        <w:left w:val="none" w:sz="0" w:space="0" w:color="auto"/>
        <w:bottom w:val="none" w:sz="0" w:space="0" w:color="auto"/>
        <w:right w:val="none" w:sz="0" w:space="0" w:color="auto"/>
      </w:divBdr>
    </w:div>
    <w:div w:id="1303467654">
      <w:bodyDiv w:val="1"/>
      <w:marLeft w:val="0"/>
      <w:marRight w:val="0"/>
      <w:marTop w:val="0"/>
      <w:marBottom w:val="0"/>
      <w:divBdr>
        <w:top w:val="none" w:sz="0" w:space="0" w:color="auto"/>
        <w:left w:val="none" w:sz="0" w:space="0" w:color="auto"/>
        <w:bottom w:val="none" w:sz="0" w:space="0" w:color="auto"/>
        <w:right w:val="none" w:sz="0" w:space="0" w:color="auto"/>
      </w:divBdr>
    </w:div>
    <w:div w:id="1351761592">
      <w:bodyDiv w:val="1"/>
      <w:marLeft w:val="0"/>
      <w:marRight w:val="0"/>
      <w:marTop w:val="0"/>
      <w:marBottom w:val="0"/>
      <w:divBdr>
        <w:top w:val="none" w:sz="0" w:space="0" w:color="auto"/>
        <w:left w:val="none" w:sz="0" w:space="0" w:color="auto"/>
        <w:bottom w:val="none" w:sz="0" w:space="0" w:color="auto"/>
        <w:right w:val="none" w:sz="0" w:space="0" w:color="auto"/>
      </w:divBdr>
    </w:div>
    <w:div w:id="1378816257">
      <w:bodyDiv w:val="1"/>
      <w:marLeft w:val="0"/>
      <w:marRight w:val="0"/>
      <w:marTop w:val="0"/>
      <w:marBottom w:val="0"/>
      <w:divBdr>
        <w:top w:val="none" w:sz="0" w:space="0" w:color="auto"/>
        <w:left w:val="none" w:sz="0" w:space="0" w:color="auto"/>
        <w:bottom w:val="none" w:sz="0" w:space="0" w:color="auto"/>
        <w:right w:val="none" w:sz="0" w:space="0" w:color="auto"/>
      </w:divBdr>
    </w:div>
    <w:div w:id="1431664227">
      <w:bodyDiv w:val="1"/>
      <w:marLeft w:val="0"/>
      <w:marRight w:val="0"/>
      <w:marTop w:val="0"/>
      <w:marBottom w:val="0"/>
      <w:divBdr>
        <w:top w:val="none" w:sz="0" w:space="0" w:color="auto"/>
        <w:left w:val="none" w:sz="0" w:space="0" w:color="auto"/>
        <w:bottom w:val="none" w:sz="0" w:space="0" w:color="auto"/>
        <w:right w:val="none" w:sz="0" w:space="0" w:color="auto"/>
      </w:divBdr>
    </w:div>
    <w:div w:id="1440107141">
      <w:bodyDiv w:val="1"/>
      <w:marLeft w:val="0"/>
      <w:marRight w:val="0"/>
      <w:marTop w:val="0"/>
      <w:marBottom w:val="0"/>
      <w:divBdr>
        <w:top w:val="none" w:sz="0" w:space="0" w:color="auto"/>
        <w:left w:val="none" w:sz="0" w:space="0" w:color="auto"/>
        <w:bottom w:val="none" w:sz="0" w:space="0" w:color="auto"/>
        <w:right w:val="none" w:sz="0" w:space="0" w:color="auto"/>
      </w:divBdr>
    </w:div>
    <w:div w:id="1460028315">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511026015">
      <w:bodyDiv w:val="1"/>
      <w:marLeft w:val="0"/>
      <w:marRight w:val="0"/>
      <w:marTop w:val="0"/>
      <w:marBottom w:val="0"/>
      <w:divBdr>
        <w:top w:val="none" w:sz="0" w:space="0" w:color="auto"/>
        <w:left w:val="none" w:sz="0" w:space="0" w:color="auto"/>
        <w:bottom w:val="none" w:sz="0" w:space="0" w:color="auto"/>
        <w:right w:val="none" w:sz="0" w:space="0" w:color="auto"/>
      </w:divBdr>
    </w:div>
    <w:div w:id="1521044965">
      <w:bodyDiv w:val="1"/>
      <w:marLeft w:val="0"/>
      <w:marRight w:val="0"/>
      <w:marTop w:val="0"/>
      <w:marBottom w:val="0"/>
      <w:divBdr>
        <w:top w:val="none" w:sz="0" w:space="0" w:color="auto"/>
        <w:left w:val="none" w:sz="0" w:space="0" w:color="auto"/>
        <w:bottom w:val="none" w:sz="0" w:space="0" w:color="auto"/>
        <w:right w:val="none" w:sz="0" w:space="0" w:color="auto"/>
      </w:divBdr>
    </w:div>
    <w:div w:id="1594975503">
      <w:bodyDiv w:val="1"/>
      <w:marLeft w:val="0"/>
      <w:marRight w:val="0"/>
      <w:marTop w:val="0"/>
      <w:marBottom w:val="0"/>
      <w:divBdr>
        <w:top w:val="none" w:sz="0" w:space="0" w:color="auto"/>
        <w:left w:val="none" w:sz="0" w:space="0" w:color="auto"/>
        <w:bottom w:val="none" w:sz="0" w:space="0" w:color="auto"/>
        <w:right w:val="none" w:sz="0" w:space="0" w:color="auto"/>
      </w:divBdr>
    </w:div>
    <w:div w:id="1685859676">
      <w:bodyDiv w:val="1"/>
      <w:marLeft w:val="0"/>
      <w:marRight w:val="0"/>
      <w:marTop w:val="0"/>
      <w:marBottom w:val="0"/>
      <w:divBdr>
        <w:top w:val="none" w:sz="0" w:space="0" w:color="auto"/>
        <w:left w:val="none" w:sz="0" w:space="0" w:color="auto"/>
        <w:bottom w:val="none" w:sz="0" w:space="0" w:color="auto"/>
        <w:right w:val="none" w:sz="0" w:space="0" w:color="auto"/>
      </w:divBdr>
    </w:div>
    <w:div w:id="1691032758">
      <w:bodyDiv w:val="1"/>
      <w:marLeft w:val="0"/>
      <w:marRight w:val="0"/>
      <w:marTop w:val="0"/>
      <w:marBottom w:val="0"/>
      <w:divBdr>
        <w:top w:val="none" w:sz="0" w:space="0" w:color="auto"/>
        <w:left w:val="none" w:sz="0" w:space="0" w:color="auto"/>
        <w:bottom w:val="none" w:sz="0" w:space="0" w:color="auto"/>
        <w:right w:val="none" w:sz="0" w:space="0" w:color="auto"/>
      </w:divBdr>
    </w:div>
    <w:div w:id="1726026723">
      <w:bodyDiv w:val="1"/>
      <w:marLeft w:val="0"/>
      <w:marRight w:val="0"/>
      <w:marTop w:val="0"/>
      <w:marBottom w:val="0"/>
      <w:divBdr>
        <w:top w:val="none" w:sz="0" w:space="0" w:color="auto"/>
        <w:left w:val="none" w:sz="0" w:space="0" w:color="auto"/>
        <w:bottom w:val="none" w:sz="0" w:space="0" w:color="auto"/>
        <w:right w:val="none" w:sz="0" w:space="0" w:color="auto"/>
      </w:divBdr>
    </w:div>
    <w:div w:id="1781340137">
      <w:bodyDiv w:val="1"/>
      <w:marLeft w:val="0"/>
      <w:marRight w:val="0"/>
      <w:marTop w:val="0"/>
      <w:marBottom w:val="0"/>
      <w:divBdr>
        <w:top w:val="none" w:sz="0" w:space="0" w:color="auto"/>
        <w:left w:val="none" w:sz="0" w:space="0" w:color="auto"/>
        <w:bottom w:val="none" w:sz="0" w:space="0" w:color="auto"/>
        <w:right w:val="none" w:sz="0" w:space="0" w:color="auto"/>
      </w:divBdr>
    </w:div>
    <w:div w:id="1875188437">
      <w:bodyDiv w:val="1"/>
      <w:marLeft w:val="0"/>
      <w:marRight w:val="0"/>
      <w:marTop w:val="0"/>
      <w:marBottom w:val="0"/>
      <w:divBdr>
        <w:top w:val="none" w:sz="0" w:space="0" w:color="auto"/>
        <w:left w:val="none" w:sz="0" w:space="0" w:color="auto"/>
        <w:bottom w:val="none" w:sz="0" w:space="0" w:color="auto"/>
        <w:right w:val="none" w:sz="0" w:space="0" w:color="auto"/>
      </w:divBdr>
    </w:div>
    <w:div w:id="1906646582">
      <w:bodyDiv w:val="1"/>
      <w:marLeft w:val="0"/>
      <w:marRight w:val="0"/>
      <w:marTop w:val="0"/>
      <w:marBottom w:val="0"/>
      <w:divBdr>
        <w:top w:val="none" w:sz="0" w:space="0" w:color="auto"/>
        <w:left w:val="none" w:sz="0" w:space="0" w:color="auto"/>
        <w:bottom w:val="none" w:sz="0" w:space="0" w:color="auto"/>
        <w:right w:val="none" w:sz="0" w:space="0" w:color="auto"/>
      </w:divBdr>
    </w:div>
    <w:div w:id="1907714636">
      <w:bodyDiv w:val="1"/>
      <w:marLeft w:val="0"/>
      <w:marRight w:val="0"/>
      <w:marTop w:val="0"/>
      <w:marBottom w:val="0"/>
      <w:divBdr>
        <w:top w:val="none" w:sz="0" w:space="0" w:color="auto"/>
        <w:left w:val="none" w:sz="0" w:space="0" w:color="auto"/>
        <w:bottom w:val="none" w:sz="0" w:space="0" w:color="auto"/>
        <w:right w:val="none" w:sz="0" w:space="0" w:color="auto"/>
      </w:divBdr>
    </w:div>
    <w:div w:id="1938978787">
      <w:bodyDiv w:val="1"/>
      <w:marLeft w:val="0"/>
      <w:marRight w:val="0"/>
      <w:marTop w:val="0"/>
      <w:marBottom w:val="0"/>
      <w:divBdr>
        <w:top w:val="none" w:sz="0" w:space="0" w:color="auto"/>
        <w:left w:val="none" w:sz="0" w:space="0" w:color="auto"/>
        <w:bottom w:val="none" w:sz="0" w:space="0" w:color="auto"/>
        <w:right w:val="none" w:sz="0" w:space="0" w:color="auto"/>
      </w:divBdr>
    </w:div>
    <w:div w:id="1985155915">
      <w:bodyDiv w:val="1"/>
      <w:marLeft w:val="0"/>
      <w:marRight w:val="0"/>
      <w:marTop w:val="0"/>
      <w:marBottom w:val="0"/>
      <w:divBdr>
        <w:top w:val="none" w:sz="0" w:space="0" w:color="auto"/>
        <w:left w:val="none" w:sz="0" w:space="0" w:color="auto"/>
        <w:bottom w:val="none" w:sz="0" w:space="0" w:color="auto"/>
        <w:right w:val="none" w:sz="0" w:space="0" w:color="auto"/>
      </w:divBdr>
    </w:div>
    <w:div w:id="2004963267">
      <w:bodyDiv w:val="1"/>
      <w:marLeft w:val="0"/>
      <w:marRight w:val="0"/>
      <w:marTop w:val="0"/>
      <w:marBottom w:val="0"/>
      <w:divBdr>
        <w:top w:val="none" w:sz="0" w:space="0" w:color="auto"/>
        <w:left w:val="none" w:sz="0" w:space="0" w:color="auto"/>
        <w:bottom w:val="none" w:sz="0" w:space="0" w:color="auto"/>
        <w:right w:val="none" w:sz="0" w:space="0" w:color="auto"/>
      </w:divBdr>
    </w:div>
    <w:div w:id="2069650208">
      <w:bodyDiv w:val="1"/>
      <w:marLeft w:val="0"/>
      <w:marRight w:val="0"/>
      <w:marTop w:val="0"/>
      <w:marBottom w:val="0"/>
      <w:divBdr>
        <w:top w:val="none" w:sz="0" w:space="0" w:color="auto"/>
        <w:left w:val="none" w:sz="0" w:space="0" w:color="auto"/>
        <w:bottom w:val="none" w:sz="0" w:space="0" w:color="auto"/>
        <w:right w:val="none" w:sz="0" w:space="0" w:color="auto"/>
      </w:divBdr>
    </w:div>
    <w:div w:id="20779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B5F2-C2CA-4451-AAD8-7AEDB3F7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4324</Words>
  <Characters>24649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Ayo</dc:creator>
  <cp:lastModifiedBy>SYSTEM</cp:lastModifiedBy>
  <cp:revision>2</cp:revision>
  <cp:lastPrinted>2016-10-27T20:51:00Z</cp:lastPrinted>
  <dcterms:created xsi:type="dcterms:W3CDTF">2017-09-25T17:05:00Z</dcterms:created>
  <dcterms:modified xsi:type="dcterms:W3CDTF">2017-09-25T17:05:00Z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