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rPr>
        <w:id w:val="1232351027"/>
        <w:docPartObj>
          <w:docPartGallery w:val="Cover Pages"/>
          <w:docPartUnique/>
        </w:docPartObj>
      </w:sdtPr>
      <w:sdtEndPr/>
      <w:sdtContent>
        <w:p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052"/>
          </w:tblGrid>
          <w:tr w:rsidR="002F03D6" w:rsidRPr="009A5895" w:rsidTr="00630F27">
            <w:trPr>
              <w:trHeight w:val="684"/>
            </w:trPr>
            <w:tc>
              <w:tcPr>
                <w:tcW w:w="7672" w:type="dxa"/>
                <w:tcMar>
                  <w:top w:w="216" w:type="dxa"/>
                  <w:left w:w="115" w:type="dxa"/>
                  <w:bottom w:w="216" w:type="dxa"/>
                  <w:right w:w="115" w:type="dxa"/>
                </w:tcMar>
              </w:tcPr>
              <w:p w:rsidR="002F03D6" w:rsidRPr="009A5895" w:rsidRDefault="002F03D6" w:rsidP="00A17B6F">
                <w:pPr>
                  <w:pStyle w:val="NoSpacing"/>
                  <w:rPr>
                    <w:color w:val="365F91" w:themeColor="accent1" w:themeShade="BF"/>
                  </w:rPr>
                </w:pPr>
              </w:p>
            </w:tc>
          </w:tr>
          <w:tr w:rsidR="002F03D6" w:rsidRPr="009A5895">
            <w:tc>
              <w:tcPr>
                <w:tcW w:w="7672" w:type="dxa"/>
              </w:tcPr>
              <w:sdt>
                <w:sdtPr>
                  <w:rPr>
                    <w:rFonts w:eastAsia="Calibri"/>
                    <w:b/>
                    <w:sz w:val="24"/>
                    <w:szCs w:val="24"/>
                    <w:u w:val="single"/>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rsidR="002F03D6" w:rsidRPr="009A5895" w:rsidRDefault="00630F27" w:rsidP="00C0273B">
                    <w:pPr>
                      <w:pStyle w:val="NoSpacing"/>
                      <w:spacing w:line="216" w:lineRule="auto"/>
                      <w:rPr>
                        <w:rFonts w:eastAsiaTheme="majorEastAsia" w:cstheme="majorBidi"/>
                        <w:color w:val="4F81BD" w:themeColor="accent1"/>
                      </w:rPr>
                    </w:pPr>
                    <w:r w:rsidRPr="00630F27">
                      <w:rPr>
                        <w:rFonts w:eastAsia="Calibri"/>
                        <w:b/>
                        <w:sz w:val="24"/>
                        <w:szCs w:val="24"/>
                        <w:u w:val="single"/>
                      </w:rPr>
                      <w:t xml:space="preserve">I-Catalyst Program -  </w:t>
                    </w:r>
                    <w:r w:rsidR="00C0273B">
                      <w:rPr>
                        <w:rFonts w:eastAsia="Calibri"/>
                        <w:b/>
                        <w:sz w:val="24"/>
                        <w:szCs w:val="24"/>
                        <w:u w:val="single"/>
                      </w:rPr>
                      <w:t>IIU Design Sprint</w:t>
                    </w:r>
                  </w:p>
                </w:sdtContent>
              </w:sdt>
            </w:tc>
          </w:tr>
          <w:tr w:rsidR="002F03D6" w:rsidRPr="009A5895">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2F03D6" w:rsidRPr="009A5895" w:rsidRDefault="00DF0E32" w:rsidP="00DF0E32">
                    <w:pPr>
                      <w:pStyle w:val="NoSpacing"/>
                      <w:rPr>
                        <w:color w:val="365F91" w:themeColor="accent1" w:themeShade="BF"/>
                      </w:rPr>
                    </w:pPr>
                    <w:proofErr w:type="spellStart"/>
                    <w:r>
                      <w:rPr>
                        <w:color w:val="365F91" w:themeColor="accent1" w:themeShade="BF"/>
                      </w:rPr>
                      <w:t>GenIC</w:t>
                    </w:r>
                    <w:proofErr w:type="spellEnd"/>
                    <w:r>
                      <w:rPr>
                        <w:color w:val="365F91" w:themeColor="accent1" w:themeShade="BF"/>
                      </w:rPr>
                      <w:t xml:space="preserve">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76"/>
          </w:tblGrid>
          <w:tr w:rsidR="002F03D6" w:rsidRPr="009A5895">
            <w:tc>
              <w:tcPr>
                <w:tcW w:w="7221" w:type="dxa"/>
                <w:tcMar>
                  <w:top w:w="216" w:type="dxa"/>
                  <w:left w:w="115" w:type="dxa"/>
                  <w:bottom w:w="216" w:type="dxa"/>
                  <w:right w:w="115" w:type="dxa"/>
                </w:tcMar>
              </w:tcPr>
              <w:p w:rsidR="00A17B6F" w:rsidRDefault="00A17B6F" w:rsidP="00A17B6F">
                <w:pPr>
                  <w:rPr>
                    <w:color w:val="44546A"/>
                  </w:rPr>
                </w:pPr>
                <w:r>
                  <w:rPr>
                    <w:color w:val="44546A"/>
                  </w:rPr>
                  <w:t>Juliana K. Cyril, MPH, PhD</w:t>
                </w:r>
              </w:p>
              <w:p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rsidR="00A17B6F" w:rsidRDefault="00A17B6F" w:rsidP="00A17B6F">
                <w:pPr>
                  <w:rPr>
                    <w:color w:val="44546A"/>
                  </w:rPr>
                </w:pPr>
                <w:r>
                  <w:rPr>
                    <w:color w:val="44546A"/>
                  </w:rPr>
                  <w:t>Office of the Associate Director for Science</w:t>
                </w:r>
              </w:p>
              <w:p w:rsidR="00A17B6F" w:rsidRDefault="00A17B6F" w:rsidP="00A17B6F">
                <w:pPr>
                  <w:rPr>
                    <w:color w:val="44546A"/>
                  </w:rPr>
                </w:pPr>
                <w:r>
                  <w:rPr>
                    <w:color w:val="44546A"/>
                  </w:rPr>
                  <w:t>Centers for Disease Control and Prevention</w:t>
                </w:r>
              </w:p>
              <w:p w:rsidR="00A17B6F" w:rsidRDefault="00A17B6F" w:rsidP="00A17B6F">
                <w:pPr>
                  <w:rPr>
                    <w:color w:val="44546A"/>
                  </w:rPr>
                </w:pPr>
                <w:proofErr w:type="spellStart"/>
                <w:r>
                  <w:rPr>
                    <w:color w:val="44546A"/>
                  </w:rPr>
                  <w:t>Ph</w:t>
                </w:r>
                <w:proofErr w:type="spellEnd"/>
                <w:r>
                  <w:rPr>
                    <w:color w:val="44546A"/>
                  </w:rPr>
                  <w:t>: 404-639-4639</w:t>
                </w:r>
              </w:p>
              <w:p w:rsidR="00A17B6F" w:rsidRDefault="00A17B6F" w:rsidP="00A17B6F">
                <w:pPr>
                  <w:rPr>
                    <w:color w:val="44546A"/>
                  </w:rPr>
                </w:pPr>
                <w:r>
                  <w:rPr>
                    <w:color w:val="44546A"/>
                  </w:rPr>
                  <w:t>Fax: 404-639-4903</w:t>
                </w:r>
              </w:p>
              <w:p w:rsidR="00A17B6F" w:rsidRDefault="00A17B6F" w:rsidP="00A17B6F">
                <w:pPr>
                  <w:rPr>
                    <w:color w:val="44546A"/>
                  </w:rPr>
                </w:pPr>
              </w:p>
              <w:p w:rsidR="00A013EA" w:rsidRDefault="00E55615" w:rsidP="00A17B6F">
                <w:pPr>
                  <w:rPr>
                    <w:color w:val="44546A"/>
                  </w:rPr>
                </w:pPr>
                <w:r w:rsidRPr="00E55615">
                  <w:rPr>
                    <w:color w:val="44546A"/>
                  </w:rPr>
                  <w:t xml:space="preserve">Team Lead – </w:t>
                </w:r>
                <w:r w:rsidR="00C0273B">
                  <w:rPr>
                    <w:color w:val="44546A"/>
                  </w:rPr>
                  <w:t>Mary Peck, CSELS</w:t>
                </w:r>
              </w:p>
              <w:p w:rsidR="00A013EA" w:rsidRDefault="00A013EA" w:rsidP="00A17B6F">
                <w:pPr>
                  <w:rPr>
                    <w:color w:val="44546A"/>
                  </w:rPr>
                </w:pPr>
              </w:p>
              <w:p w:rsidR="00A013EA" w:rsidRDefault="00A013EA" w:rsidP="00A17B6F">
                <w:pPr>
                  <w:rPr>
                    <w:color w:val="44546A"/>
                  </w:rPr>
                </w:pPr>
              </w:p>
              <w:p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05-08T00:00:00Z">
                    <w:dateFormat w:val="M-d-yyyy"/>
                    <w:lid w:val="en-US"/>
                    <w:storeMappedDataAs w:val="dateTime"/>
                    <w:calendar w:val="gregorian"/>
                  </w:date>
                </w:sdtPr>
                <w:sdtEndPr/>
                <w:sdtContent>
                  <w:p w:rsidR="002F03D6" w:rsidRPr="009A5895" w:rsidRDefault="00C0273B">
                    <w:pPr>
                      <w:pStyle w:val="NoSpacing"/>
                      <w:rPr>
                        <w:color w:val="4F81BD" w:themeColor="accent1"/>
                      </w:rPr>
                    </w:pPr>
                    <w:r>
                      <w:rPr>
                        <w:color w:val="4F81BD" w:themeColor="accent1"/>
                      </w:rPr>
                      <w:t>5-8-2017</w:t>
                    </w:r>
                  </w:p>
                </w:sdtContent>
              </w:sdt>
              <w:p w:rsidR="00DF0E32" w:rsidRDefault="007527DE">
                <w:pPr>
                  <w:pStyle w:val="NoSpacing"/>
                  <w:rPr>
                    <w:color w:val="4F81BD" w:themeColor="accent1"/>
                  </w:rPr>
                </w:pPr>
                <w:r>
                  <w:rPr>
                    <w:color w:val="4F81BD" w:themeColor="accent1"/>
                  </w:rPr>
                  <w:t xml:space="preserve">OMB Project Number: </w:t>
                </w:r>
                <w:r w:rsidR="00BC1559">
                  <w:rPr>
                    <w:color w:val="4F81BD" w:themeColor="accent1"/>
                  </w:rPr>
                  <w:t xml:space="preserve">   </w:t>
                </w:r>
                <w:r w:rsidR="00DF0E32">
                  <w:rPr>
                    <w:color w:val="4F81BD" w:themeColor="accent1"/>
                  </w:rPr>
                  <w:t>0920-1158</w:t>
                </w:r>
                <w:r w:rsidR="00BC1559">
                  <w:rPr>
                    <w:color w:val="4F81BD" w:themeColor="accent1"/>
                  </w:rPr>
                  <w:t xml:space="preserve">       </w:t>
                </w:r>
              </w:p>
              <w:p w:rsidR="007527DE" w:rsidRPr="009A5895" w:rsidRDefault="007527DE">
                <w:pPr>
                  <w:pStyle w:val="NoSpacing"/>
                  <w:rPr>
                    <w:color w:val="4F81BD" w:themeColor="accent1"/>
                  </w:rPr>
                </w:pPr>
              </w:p>
            </w:tc>
          </w:tr>
        </w:tbl>
        <w:p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EC5F0F">
              <w:rPr>
                <w:noProof/>
                <w:webHidden/>
              </w:rPr>
              <w:t>3</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EC5F0F">
              <w:rPr>
                <w:noProof/>
                <w:webHidden/>
              </w:rPr>
              <w:t>3</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EC5F0F">
              <w:rPr>
                <w:noProof/>
                <w:webHidden/>
              </w:rPr>
              <w:t>3</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EC5F0F">
              <w:rPr>
                <w:noProof/>
                <w:webHidden/>
              </w:rPr>
              <w:t>3</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EC5F0F">
              <w:rPr>
                <w:noProof/>
                <w:webHidden/>
              </w:rPr>
              <w:t>4</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EC5F0F">
              <w:rPr>
                <w:noProof/>
                <w:webHidden/>
              </w:rPr>
              <w:t>5</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EC5F0F">
              <w:rPr>
                <w:noProof/>
                <w:webHidden/>
              </w:rPr>
              <w:t>5</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EC5F0F">
              <w:rPr>
                <w:noProof/>
                <w:webHidden/>
              </w:rPr>
              <w:t>5</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EC5F0F">
              <w:rPr>
                <w:noProof/>
                <w:webHidden/>
              </w:rPr>
              <w:t>5</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EC5F0F">
              <w:rPr>
                <w:noProof/>
                <w:webHidden/>
              </w:rPr>
              <w:t>5</w:t>
            </w:r>
            <w:r w:rsidR="00BC1559">
              <w:rPr>
                <w:noProof/>
                <w:webHidden/>
              </w:rPr>
              <w:fldChar w:fldCharType="end"/>
            </w:r>
          </w:hyperlink>
        </w:p>
        <w:p w:rsidR="00BC1559" w:rsidRDefault="00FD1AED">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EC5F0F">
              <w:rPr>
                <w:noProof/>
                <w:webHidden/>
              </w:rPr>
              <w:t>5</w:t>
            </w:r>
            <w:r w:rsidR="00BC1559">
              <w:rPr>
                <w:noProof/>
                <w:webHidden/>
              </w:rPr>
              <w:fldChar w:fldCharType="end"/>
            </w:r>
          </w:hyperlink>
        </w:p>
        <w:p w:rsidR="00DC2CD8" w:rsidRPr="009A5895" w:rsidRDefault="00DC2CD8">
          <w:pPr>
            <w:rPr>
              <w:rFonts w:asciiTheme="minorHAnsi" w:hAnsiTheme="minorHAnsi"/>
            </w:rPr>
          </w:pPr>
          <w:r w:rsidRPr="009A5895">
            <w:rPr>
              <w:rFonts w:asciiTheme="minorHAnsi" w:hAnsiTheme="minorHAnsi"/>
              <w:b/>
              <w:bCs/>
              <w:noProof/>
            </w:rPr>
            <w:fldChar w:fldCharType="end"/>
          </w:r>
        </w:p>
      </w:sdtContent>
    </w:sdt>
    <w:p w:rsidR="00DC57CC" w:rsidRPr="009A5895" w:rsidRDefault="00DC57CC">
      <w:pPr>
        <w:rPr>
          <w:rFonts w:asciiTheme="minorHAnsi" w:hAnsiTheme="minorHAnsi"/>
        </w:rPr>
      </w:pPr>
    </w:p>
    <w:p w:rsidR="007D5B5C" w:rsidRPr="009A5895" w:rsidRDefault="007D5B5C">
      <w:pPr>
        <w:rPr>
          <w:rFonts w:asciiTheme="minorHAnsi" w:hAnsiTheme="minorHAnsi"/>
        </w:rPr>
      </w:pPr>
    </w:p>
    <w:p w:rsidR="00AC0988" w:rsidRPr="00DA7300" w:rsidRDefault="00DF0E32" w:rsidP="00AC0988">
      <w:pPr>
        <w:spacing w:line="360" w:lineRule="auto"/>
        <w:rPr>
          <w:rFonts w:asciiTheme="majorHAnsi" w:hAnsiTheme="majorHAnsi"/>
          <w:b/>
        </w:rPr>
      </w:pPr>
      <w:proofErr w:type="spellStart"/>
      <w:r>
        <w:rPr>
          <w:rFonts w:asciiTheme="majorHAnsi" w:hAnsiTheme="majorHAnsi"/>
          <w:b/>
        </w:rPr>
        <w:t>GenIC</w:t>
      </w:r>
      <w:proofErr w:type="spellEnd"/>
      <w:r w:rsidR="00AC0988" w:rsidRPr="00DA7300">
        <w:rPr>
          <w:rFonts w:asciiTheme="majorHAnsi" w:hAnsiTheme="majorHAnsi"/>
          <w:b/>
        </w:rPr>
        <w:t xml:space="preserve"> Package &amp; Attachments</w:t>
      </w:r>
    </w:p>
    <w:p w:rsidR="00AC0988" w:rsidRDefault="00DF0E32" w:rsidP="00AC0988">
      <w:pPr>
        <w:pStyle w:val="ListParagraph"/>
        <w:numPr>
          <w:ilvl w:val="0"/>
          <w:numId w:val="20"/>
        </w:numPr>
      </w:pPr>
      <w:r>
        <w:t>NOA</w:t>
      </w:r>
    </w:p>
    <w:p w:rsidR="00AC0988" w:rsidRDefault="00AC0988" w:rsidP="00DF0E32">
      <w:pPr>
        <w:pStyle w:val="ListParagraph"/>
        <w:numPr>
          <w:ilvl w:val="0"/>
          <w:numId w:val="20"/>
        </w:numPr>
      </w:pPr>
      <w:r>
        <w:t>Supporting Statement A</w:t>
      </w:r>
    </w:p>
    <w:p w:rsidR="00AC0988" w:rsidRDefault="00AC0988" w:rsidP="00AC0988">
      <w:pPr>
        <w:pStyle w:val="ListParagraph"/>
        <w:numPr>
          <w:ilvl w:val="0"/>
          <w:numId w:val="20"/>
        </w:numPr>
      </w:pPr>
      <w:r>
        <w:t>ICR PRA Part II Worksheet</w:t>
      </w:r>
    </w:p>
    <w:p w:rsidR="00AC0988" w:rsidRDefault="00AC0988" w:rsidP="00AC0988">
      <w:pPr>
        <w:pStyle w:val="ListParagraph"/>
        <w:numPr>
          <w:ilvl w:val="0"/>
          <w:numId w:val="20"/>
        </w:numPr>
      </w:pPr>
      <w:r>
        <w:t xml:space="preserve">Att. </w:t>
      </w:r>
      <w:r w:rsidR="00DF0E32">
        <w:t>1</w:t>
      </w:r>
      <w:r>
        <w:t>: I</w:t>
      </w:r>
      <w:r w:rsidR="00DF0E32">
        <w:t>-</w:t>
      </w:r>
      <w:r>
        <w:t xml:space="preserve">Cat Interview Protocol Guide and Questions </w:t>
      </w:r>
    </w:p>
    <w:p w:rsidR="007D5B5C" w:rsidRPr="009A5895" w:rsidRDefault="00821335">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6F62B7AA" wp14:editId="23B75626">
                <wp:simplePos x="0" y="0"/>
                <wp:positionH relativeFrom="margin">
                  <wp:posOffset>-76200</wp:posOffset>
                </wp:positionH>
                <wp:positionV relativeFrom="paragraph">
                  <wp:posOffset>464820</wp:posOffset>
                </wp:positionV>
                <wp:extent cx="6484620" cy="60198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6019800"/>
                        </a:xfrm>
                        <a:prstGeom prst="rect">
                          <a:avLst/>
                        </a:prstGeom>
                        <a:solidFill>
                          <a:srgbClr val="FFFFFF"/>
                        </a:solidFill>
                        <a:ln w="9525">
                          <a:solidFill>
                            <a:srgbClr val="000000"/>
                          </a:solidFill>
                          <a:miter lim="800000"/>
                          <a:headEnd/>
                          <a:tailEnd/>
                        </a:ln>
                      </wps:spPr>
                      <wps:txbx>
                        <w:txbxContent>
                          <w:p w:rsidR="00AC0988" w:rsidRDefault="00AC0988" w:rsidP="00AC0988">
                            <w:pPr>
                              <w:pStyle w:val="ListParagraph"/>
                              <w:jc w:val="both"/>
                              <w:rPr>
                                <w:rFonts w:eastAsia="Times New Roman" w:cs="Segoe UI"/>
                              </w:rPr>
                            </w:pPr>
                          </w:p>
                          <w:p w:rsidR="00476461" w:rsidRPr="00C0273B" w:rsidRDefault="00C0273B" w:rsidP="00C0273B">
                            <w:pPr>
                              <w:pStyle w:val="ListParagraph"/>
                              <w:numPr>
                                <w:ilvl w:val="0"/>
                                <w:numId w:val="21"/>
                              </w:numPr>
                              <w:jc w:val="both"/>
                              <w:rPr>
                                <w:rFonts w:asciiTheme="minorHAnsi" w:eastAsia="Times New Roman" w:hAnsiTheme="minorHAnsi" w:cs="Segoe UI"/>
                              </w:rPr>
                            </w:pPr>
                            <w:r w:rsidRPr="00C0273B">
                              <w:rPr>
                                <w:rFonts w:asciiTheme="minorHAnsi" w:hAnsiTheme="minorHAnsi" w:cs="Segoe UI"/>
                              </w:rPr>
                              <w:t>The Centers for Disease Control and Prevention (CDC)’s Informatics Innovation Unit (IU) advances the field of public health informatics through applied research and innovation. IIU studies, prototypes, and tests new and innovative technology-based tools and resources to maximize their effect on public health. IIU’s resources are available to both CDC and its partners in the public health community.</w:t>
                            </w:r>
                            <w:r>
                              <w:rPr>
                                <w:rFonts w:asciiTheme="minorHAnsi" w:hAnsiTheme="minorHAnsi" w:cs="Segoe UI"/>
                              </w:rPr>
                              <w:t xml:space="preserve"> However, many of IIUs deliverables end up not being used or implemented despite the time and effort spent developing the desired technology solution. IIU wishes to understand if its CDC clients will </w:t>
                            </w:r>
                            <w:r w:rsidR="00EC5F0F">
                              <w:rPr>
                                <w:rFonts w:asciiTheme="minorHAnsi" w:hAnsiTheme="minorHAnsi" w:cs="Segoe UI"/>
                              </w:rPr>
                              <w:t>undergo</w:t>
                            </w:r>
                            <w:r>
                              <w:rPr>
                                <w:rFonts w:asciiTheme="minorHAnsi" w:hAnsiTheme="minorHAnsi" w:cs="Segoe UI"/>
                              </w:rPr>
                              <w:t xml:space="preserve"> a design sprint process to rapidly create usable technology solutions to ensure they are needed.</w:t>
                            </w:r>
                          </w:p>
                          <w:p w:rsidR="00C0273B" w:rsidRPr="00F21FD6" w:rsidRDefault="00C0273B" w:rsidP="00C0273B">
                            <w:pPr>
                              <w:pStyle w:val="ListParagraph"/>
                              <w:jc w:val="both"/>
                              <w:rPr>
                                <w:rFonts w:asciiTheme="minorHAnsi" w:eastAsia="Times New Roman" w:hAnsiTheme="minorHAnsi" w:cs="Segoe UI"/>
                              </w:rPr>
                            </w:pPr>
                          </w:p>
                          <w:p w:rsidR="00AC0988" w:rsidRPr="00F21FD6" w:rsidRDefault="00AC0988"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AC0988" w:rsidRPr="00F21FD6" w:rsidRDefault="00AC0988" w:rsidP="00476461">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rPr>
                              <w:t xml:space="preserve">Populations and customers to be interviewed </w:t>
                            </w:r>
                            <w:r w:rsidR="005064A5">
                              <w:rPr>
                                <w:rFonts w:asciiTheme="minorHAnsi" w:hAnsiTheme="minorHAnsi" w:cs="Helvetica"/>
                              </w:rPr>
                              <w:t xml:space="preserve">include CDC </w:t>
                            </w:r>
                            <w:r w:rsidR="002015E5">
                              <w:rPr>
                                <w:rFonts w:asciiTheme="minorHAnsi" w:hAnsiTheme="minorHAnsi" w:cs="Helvetica"/>
                              </w:rPr>
                              <w:t>staff</w:t>
                            </w:r>
                            <w:r w:rsidR="00982C31">
                              <w:rPr>
                                <w:rFonts w:asciiTheme="minorHAnsi" w:hAnsiTheme="minorHAnsi" w:cs="Helvetica"/>
                              </w:rPr>
                              <w:t>, grantees,</w:t>
                            </w:r>
                            <w:r w:rsidR="002015E5">
                              <w:rPr>
                                <w:rFonts w:asciiTheme="minorHAnsi" w:hAnsiTheme="minorHAnsi" w:cs="Helvetica"/>
                              </w:rPr>
                              <w:t xml:space="preserve"> and the intended </w:t>
                            </w:r>
                            <w:r w:rsidR="00C0273B">
                              <w:rPr>
                                <w:rFonts w:asciiTheme="minorHAnsi" w:hAnsiTheme="minorHAnsi" w:cs="Helvetica"/>
                              </w:rPr>
                              <w:t>technology end users in the general public</w:t>
                            </w:r>
                            <w:r w:rsidR="005064A5">
                              <w:rPr>
                                <w:rFonts w:asciiTheme="minorHAnsi" w:hAnsiTheme="minorHAnsi" w:cs="Helvetica"/>
                              </w:rPr>
                              <w:t xml:space="preserve">. </w:t>
                            </w:r>
                          </w:p>
                          <w:p w:rsidR="0081233C" w:rsidRPr="00F21FD6" w:rsidRDefault="0081233C" w:rsidP="0081233C">
                            <w:pPr>
                              <w:autoSpaceDE w:val="0"/>
                              <w:autoSpaceDN w:val="0"/>
                              <w:adjustRightInd w:val="0"/>
                              <w:jc w:val="both"/>
                              <w:rPr>
                                <w:rFonts w:asciiTheme="minorHAnsi" w:hAnsiTheme="minorHAnsi" w:cs="Helvetica"/>
                              </w:rPr>
                            </w:pPr>
                          </w:p>
                          <w:p w:rsidR="007A1C68" w:rsidRPr="00F21FD6" w:rsidRDefault="00AC0988" w:rsidP="00535B2E">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discussion and decision-making. </w:t>
                            </w:r>
                            <w:r w:rsidR="00800A1B">
                              <w:rPr>
                                <w:rFonts w:asciiTheme="minorHAnsi" w:hAnsiTheme="minorHAnsi" w:cs="CourierStd"/>
                              </w:rPr>
                              <w:t xml:space="preserve">Project hopes </w:t>
                            </w:r>
                            <w:r w:rsidR="0044424C">
                              <w:rPr>
                                <w:rFonts w:asciiTheme="minorHAnsi" w:hAnsiTheme="minorHAnsi" w:cs="CourierStd"/>
                              </w:rPr>
                              <w:t xml:space="preserve">to </w:t>
                            </w:r>
                            <w:r w:rsidR="005064A5">
                              <w:rPr>
                                <w:rFonts w:asciiTheme="minorHAnsi" w:hAnsiTheme="minorHAnsi" w:cs="CourierStd"/>
                              </w:rPr>
                              <w:t xml:space="preserve">understand if </w:t>
                            </w:r>
                            <w:r w:rsidR="002015E5">
                              <w:rPr>
                                <w:rFonts w:asciiTheme="minorHAnsi" w:hAnsiTheme="minorHAnsi" w:cs="CourierStd"/>
                              </w:rPr>
                              <w:t>CDC clients and end users</w:t>
                            </w:r>
                            <w:r w:rsidR="005064A5">
                              <w:rPr>
                                <w:rFonts w:asciiTheme="minorHAnsi" w:hAnsiTheme="minorHAnsi" w:cs="CourierStd"/>
                              </w:rPr>
                              <w:t xml:space="preserve"> </w:t>
                            </w:r>
                            <w:r w:rsidR="00B749C1">
                              <w:rPr>
                                <w:rFonts w:asciiTheme="minorHAnsi" w:hAnsiTheme="minorHAnsi" w:cs="CourierStd"/>
                              </w:rPr>
                              <w:t>want and see</w:t>
                            </w:r>
                            <w:r w:rsidR="005064A5">
                              <w:rPr>
                                <w:rFonts w:asciiTheme="minorHAnsi" w:hAnsiTheme="minorHAnsi" w:cs="CourierStd"/>
                              </w:rPr>
                              <w:t xml:space="preserve"> value in </w:t>
                            </w:r>
                            <w:r w:rsidR="002015E5">
                              <w:rPr>
                                <w:rFonts w:asciiTheme="minorHAnsi" w:hAnsiTheme="minorHAnsi" w:cs="CourierStd"/>
                              </w:rPr>
                              <w:t>engaging in a design sprint to determine if the technology solution is needed</w:t>
                            </w:r>
                            <w:r w:rsidR="00B749C1">
                              <w:rPr>
                                <w:rFonts w:asciiTheme="minorHAnsi" w:hAnsiTheme="minorHAnsi" w:cs="CourierStd"/>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2B7AA" id="_x0000_t202" coordsize="21600,21600" o:spt="202" path="m,l,21600r21600,l21600,xe">
                <v:stroke joinstyle="miter"/>
                <v:path gradientshapeok="t" o:connecttype="rect"/>
              </v:shapetype>
              <v:shape id="Text Box 2" o:spid="_x0000_s1026" type="#_x0000_t202" style="position:absolute;margin-left:-6pt;margin-top:36.6pt;width:510.6pt;height:4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">
                <v:textbox>
                  <w:txbxContent>
                    <w:p w:rsidR="00AC0988" w:rsidRDefault="00AC0988" w:rsidP="00AC0988">
                      <w:pPr>
                        <w:pStyle w:val="ListParagraph"/>
                        <w:jc w:val="both"/>
                        <w:rPr>
                          <w:rFonts w:eastAsia="Times New Roman" w:cs="Segoe UI"/>
                        </w:rPr>
                      </w:pPr>
                    </w:p>
                    <w:p w:rsidR="00476461" w:rsidRPr="00C0273B" w:rsidRDefault="00C0273B" w:rsidP="00C0273B">
                      <w:pPr>
                        <w:pStyle w:val="ListParagraph"/>
                        <w:numPr>
                          <w:ilvl w:val="0"/>
                          <w:numId w:val="21"/>
                        </w:numPr>
                        <w:jc w:val="both"/>
                        <w:rPr>
                          <w:rFonts w:asciiTheme="minorHAnsi" w:eastAsia="Times New Roman" w:hAnsiTheme="minorHAnsi" w:cs="Segoe UI"/>
                        </w:rPr>
                      </w:pPr>
                      <w:r w:rsidRPr="00C0273B">
                        <w:rPr>
                          <w:rFonts w:asciiTheme="minorHAnsi" w:hAnsiTheme="minorHAnsi" w:cs="Segoe UI"/>
                        </w:rPr>
                        <w:t>The Centers for Disease Control and Prevention (CDC)’s Informatics Innovation Unit (IU) advances the field of public health informatics through applied research and innovation. IIU studies, prototypes, and tests new and innovative technology-based tools and resources to maximize their effect on public health. IIU’s resources are available to both CDC and its partners in the public health community.</w:t>
                      </w:r>
                      <w:r>
                        <w:rPr>
                          <w:rFonts w:asciiTheme="minorHAnsi" w:hAnsiTheme="minorHAnsi" w:cs="Segoe UI"/>
                        </w:rPr>
                        <w:t xml:space="preserve"> However, many of IIUs deliverables end up not being used or implemented despite the time and effort spent developing the desired technology solution. IIU wishes to understand if its CDC clients will </w:t>
                      </w:r>
                      <w:r w:rsidR="00EC5F0F">
                        <w:rPr>
                          <w:rFonts w:asciiTheme="minorHAnsi" w:hAnsiTheme="minorHAnsi" w:cs="Segoe UI"/>
                        </w:rPr>
                        <w:t>undergo</w:t>
                      </w:r>
                      <w:r>
                        <w:rPr>
                          <w:rFonts w:asciiTheme="minorHAnsi" w:hAnsiTheme="minorHAnsi" w:cs="Segoe UI"/>
                        </w:rPr>
                        <w:t xml:space="preserve"> a design sprint process to rapidly create usable technology solutions to ensure they are needed.</w:t>
                      </w:r>
                    </w:p>
                    <w:p w:rsidR="00C0273B" w:rsidRPr="00F21FD6" w:rsidRDefault="00C0273B" w:rsidP="00C0273B">
                      <w:pPr>
                        <w:pStyle w:val="ListParagraph"/>
                        <w:jc w:val="both"/>
                        <w:rPr>
                          <w:rFonts w:asciiTheme="minorHAnsi" w:eastAsia="Times New Roman" w:hAnsiTheme="minorHAnsi" w:cs="Segoe UI"/>
                        </w:rPr>
                      </w:pPr>
                    </w:p>
                    <w:p w:rsidR="00AC0988" w:rsidRPr="00F21FD6" w:rsidRDefault="00AC0988"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AC0988" w:rsidRPr="00F21FD6" w:rsidRDefault="00AC0988" w:rsidP="00476461">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rPr>
                        <w:t xml:space="preserve">Populations and customers to be interviewed </w:t>
                      </w:r>
                      <w:r w:rsidR="005064A5">
                        <w:rPr>
                          <w:rFonts w:asciiTheme="minorHAnsi" w:hAnsiTheme="minorHAnsi" w:cs="Helvetica"/>
                        </w:rPr>
                        <w:t xml:space="preserve">include CDC </w:t>
                      </w:r>
                      <w:r w:rsidR="002015E5">
                        <w:rPr>
                          <w:rFonts w:asciiTheme="minorHAnsi" w:hAnsiTheme="minorHAnsi" w:cs="Helvetica"/>
                        </w:rPr>
                        <w:t>staff</w:t>
                      </w:r>
                      <w:r w:rsidR="00982C31">
                        <w:rPr>
                          <w:rFonts w:asciiTheme="minorHAnsi" w:hAnsiTheme="minorHAnsi" w:cs="Helvetica"/>
                        </w:rPr>
                        <w:t>, grantees,</w:t>
                      </w:r>
                      <w:r w:rsidR="002015E5">
                        <w:rPr>
                          <w:rFonts w:asciiTheme="minorHAnsi" w:hAnsiTheme="minorHAnsi" w:cs="Helvetica"/>
                        </w:rPr>
                        <w:t xml:space="preserve"> and the intended </w:t>
                      </w:r>
                      <w:r w:rsidR="00C0273B">
                        <w:rPr>
                          <w:rFonts w:asciiTheme="minorHAnsi" w:hAnsiTheme="minorHAnsi" w:cs="Helvetica"/>
                        </w:rPr>
                        <w:t>technology end users in the general public</w:t>
                      </w:r>
                      <w:r w:rsidR="005064A5">
                        <w:rPr>
                          <w:rFonts w:asciiTheme="minorHAnsi" w:hAnsiTheme="minorHAnsi" w:cs="Helvetica"/>
                        </w:rPr>
                        <w:t xml:space="preserve">. </w:t>
                      </w:r>
                    </w:p>
                    <w:p w:rsidR="0081233C" w:rsidRPr="00F21FD6" w:rsidRDefault="0081233C" w:rsidP="0081233C">
                      <w:pPr>
                        <w:autoSpaceDE w:val="0"/>
                        <w:autoSpaceDN w:val="0"/>
                        <w:adjustRightInd w:val="0"/>
                        <w:jc w:val="both"/>
                        <w:rPr>
                          <w:rFonts w:asciiTheme="minorHAnsi" w:hAnsiTheme="minorHAnsi" w:cs="Helvetica"/>
                        </w:rPr>
                      </w:pPr>
                    </w:p>
                    <w:p w:rsidR="007A1C68" w:rsidRPr="00F21FD6" w:rsidRDefault="00AC0988" w:rsidP="00535B2E">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discussion and decision-making. </w:t>
                      </w:r>
                      <w:r w:rsidR="00800A1B">
                        <w:rPr>
                          <w:rFonts w:asciiTheme="minorHAnsi" w:hAnsiTheme="minorHAnsi" w:cs="CourierStd"/>
                        </w:rPr>
                        <w:t xml:space="preserve">Project hopes </w:t>
                      </w:r>
                      <w:r w:rsidR="0044424C">
                        <w:rPr>
                          <w:rFonts w:asciiTheme="minorHAnsi" w:hAnsiTheme="minorHAnsi" w:cs="CourierStd"/>
                        </w:rPr>
                        <w:t xml:space="preserve">to </w:t>
                      </w:r>
                      <w:r w:rsidR="005064A5">
                        <w:rPr>
                          <w:rFonts w:asciiTheme="minorHAnsi" w:hAnsiTheme="minorHAnsi" w:cs="CourierStd"/>
                        </w:rPr>
                        <w:t xml:space="preserve">understand if </w:t>
                      </w:r>
                      <w:r w:rsidR="002015E5">
                        <w:rPr>
                          <w:rFonts w:asciiTheme="minorHAnsi" w:hAnsiTheme="minorHAnsi" w:cs="CourierStd"/>
                        </w:rPr>
                        <w:t>CDC clients and end users</w:t>
                      </w:r>
                      <w:r w:rsidR="005064A5">
                        <w:rPr>
                          <w:rFonts w:asciiTheme="minorHAnsi" w:hAnsiTheme="minorHAnsi" w:cs="CourierStd"/>
                        </w:rPr>
                        <w:t xml:space="preserve"> </w:t>
                      </w:r>
                      <w:r w:rsidR="00B749C1">
                        <w:rPr>
                          <w:rFonts w:asciiTheme="minorHAnsi" w:hAnsiTheme="minorHAnsi" w:cs="CourierStd"/>
                        </w:rPr>
                        <w:t>want and see</w:t>
                      </w:r>
                      <w:r w:rsidR="005064A5">
                        <w:rPr>
                          <w:rFonts w:asciiTheme="minorHAnsi" w:hAnsiTheme="minorHAnsi" w:cs="CourierStd"/>
                        </w:rPr>
                        <w:t xml:space="preserve"> value in </w:t>
                      </w:r>
                      <w:r w:rsidR="002015E5">
                        <w:rPr>
                          <w:rFonts w:asciiTheme="minorHAnsi" w:hAnsiTheme="minorHAnsi" w:cs="CourierStd"/>
                        </w:rPr>
                        <w:t>engaging in a design sprint to determine if the technology solution is needed</w:t>
                      </w:r>
                      <w:r w:rsidR="00B749C1">
                        <w:rPr>
                          <w:rFonts w:asciiTheme="minorHAnsi" w:hAnsiTheme="minorHAnsi" w:cs="CourierStd"/>
                        </w:rPr>
                        <w:t xml:space="preserve">. </w:t>
                      </w:r>
                    </w:p>
                  </w:txbxContent>
                </v:textbox>
                <w10:wrap type="square" anchorx="margin"/>
              </v:shape>
            </w:pict>
          </mc:Fallback>
        </mc:AlternateContent>
      </w:r>
    </w:p>
    <w:p w:rsidR="00821335" w:rsidRDefault="00821335" w:rsidP="005B2A35">
      <w:pPr>
        <w:pStyle w:val="Heading1"/>
        <w:rPr>
          <w:rFonts w:asciiTheme="minorHAnsi" w:hAnsiTheme="minorHAnsi"/>
          <w:sz w:val="22"/>
          <w:szCs w:val="22"/>
        </w:rPr>
      </w:pPr>
    </w:p>
    <w:p w:rsidR="00821335" w:rsidRDefault="00821335" w:rsidP="005B2A35">
      <w:pPr>
        <w:pStyle w:val="Heading1"/>
        <w:rPr>
          <w:rFonts w:asciiTheme="minorHAnsi" w:hAnsiTheme="minorHAnsi"/>
          <w:sz w:val="22"/>
          <w:szCs w:val="22"/>
        </w:rPr>
      </w:pPr>
    </w:p>
    <w:p w:rsidR="00821335" w:rsidRDefault="00821335" w:rsidP="00821335"/>
    <w:p w:rsidR="00821335" w:rsidRDefault="00821335" w:rsidP="00821335"/>
    <w:p w:rsidR="00821335" w:rsidRDefault="00821335" w:rsidP="00821335"/>
    <w:p w:rsidR="00DF2AA3" w:rsidRDefault="00DF2AA3" w:rsidP="00821335"/>
    <w:p w:rsidR="00DF2AA3" w:rsidRDefault="00DF2AA3" w:rsidP="00821335"/>
    <w:p w:rsidR="00DF2AA3" w:rsidRDefault="00DF2AA3" w:rsidP="00821335"/>
    <w:p w:rsidR="00DF2AA3" w:rsidRDefault="00DF2AA3" w:rsidP="00821335"/>
    <w:p w:rsidR="00DF2AA3" w:rsidRDefault="00DF2AA3" w:rsidP="00821335"/>
    <w:p w:rsidR="00DC2CD8" w:rsidRPr="009A5895" w:rsidRDefault="00DC2CD8" w:rsidP="005B2A35">
      <w:pPr>
        <w:pStyle w:val="Heading1"/>
        <w:rPr>
          <w:rFonts w:asciiTheme="minorHAnsi" w:hAnsiTheme="minorHAnsi"/>
          <w:sz w:val="22"/>
          <w:szCs w:val="22"/>
        </w:rPr>
      </w:pPr>
      <w:bookmarkStart w:id="0" w:name="_Toc466364029"/>
      <w:r w:rsidRPr="009A5895">
        <w:rPr>
          <w:rFonts w:asciiTheme="minorHAnsi" w:hAnsiTheme="minorHAnsi"/>
          <w:sz w:val="22"/>
          <w:szCs w:val="22"/>
        </w:rPr>
        <w:lastRenderedPageBreak/>
        <w:t>A. Justification</w:t>
      </w:r>
      <w:bookmarkEnd w:id="0"/>
      <w:r w:rsidRPr="009A5895">
        <w:rPr>
          <w:rFonts w:asciiTheme="minorHAnsi" w:hAnsiTheme="minorHAnsi"/>
          <w:sz w:val="22"/>
          <w:szCs w:val="22"/>
        </w:rPr>
        <w:t xml:space="preserve"> </w:t>
      </w:r>
    </w:p>
    <w:p w:rsidR="002B470C" w:rsidRPr="009A5895" w:rsidRDefault="002B470C" w:rsidP="005B2A35">
      <w:pPr>
        <w:pStyle w:val="Heading3"/>
        <w:rPr>
          <w:rFonts w:asciiTheme="minorHAnsi" w:hAnsiTheme="minorHAnsi"/>
          <w:sz w:val="22"/>
          <w:szCs w:val="22"/>
        </w:rPr>
      </w:pPr>
      <w:bookmarkStart w:id="1" w:name="_Toc466364030"/>
      <w:r w:rsidRPr="009A5895">
        <w:rPr>
          <w:rFonts w:asciiTheme="minorHAnsi" w:hAnsiTheme="minorHAnsi"/>
          <w:sz w:val="22"/>
          <w:szCs w:val="22"/>
        </w:rPr>
        <w:t>1. Circumstances Making the Collection of Information Necessary</w:t>
      </w:r>
      <w:bookmarkEnd w:id="1"/>
    </w:p>
    <w:p w:rsidR="00ED01F1" w:rsidRDefault="00726232" w:rsidP="00ED01F1">
      <w:pPr>
        <w:jc w:val="both"/>
        <w:rPr>
          <w:rFonts w:asciiTheme="minorHAnsi" w:hAnsiTheme="minorHAnsi"/>
        </w:rPr>
      </w:pPr>
      <w:r w:rsidRPr="00726232">
        <w:rPr>
          <w:rFonts w:asciiTheme="minorHAnsi" w:hAnsiTheme="minorHAnsi"/>
        </w:rPr>
        <w:t>The Office of Technology and Innovation (OTI) in the Office of Associate Director for Science at the Centers for Diseases Control and Prevention, encourages, fosters, and develops innovative science, technologies, processes and policies that support the CDC/ATSDR. Federal scientific agencies, like the CDC, rely on research and scientific findings to help them develop solutions to public health problems which ultimately are disseminated to customers and stakeholders for adoption and use. However, anecdotal and empirical data show that many well-meaning, robust solutions are never used or adopted by the intended customer. This has resulted in a path littered with failed and unused government sponsored outputs.</w:t>
      </w:r>
      <w:r>
        <w:rPr>
          <w:rFonts w:asciiTheme="minorHAnsi" w:hAnsiTheme="minorHAnsi"/>
        </w:rPr>
        <w:t xml:space="preserve"> </w:t>
      </w:r>
      <w:r w:rsidR="00ED01F1" w:rsidRPr="00726232">
        <w:rPr>
          <w:rFonts w:asciiTheme="minorHAnsi" w:hAnsiTheme="minorHAnsi"/>
        </w:rPr>
        <w:t xml:space="preserve">The CDC I-Catalyst program </w:t>
      </w:r>
      <w:r w:rsidR="00ED01F1">
        <w:rPr>
          <w:rFonts w:asciiTheme="minorHAnsi" w:hAnsiTheme="minorHAnsi"/>
        </w:rPr>
        <w:t>guides participants through</w:t>
      </w:r>
      <w:r w:rsidR="00ED01F1" w:rsidRPr="00726232">
        <w:rPr>
          <w:rFonts w:asciiTheme="minorHAnsi" w:hAnsiTheme="minorHAnsi"/>
        </w:rPr>
        <w:t xml:space="preserve"> a “customer discovery” process aimed at helping teams with a new solution </w:t>
      </w:r>
      <w:r w:rsidR="00DF2AA3">
        <w:rPr>
          <w:rFonts w:asciiTheme="minorHAnsi" w:hAnsiTheme="minorHAnsi"/>
        </w:rPr>
        <w:t xml:space="preserve">to </w:t>
      </w:r>
      <w:r w:rsidR="00ED01F1" w:rsidRPr="00726232">
        <w:rPr>
          <w:rFonts w:asciiTheme="minorHAnsi" w:hAnsiTheme="minorHAnsi"/>
        </w:rPr>
        <w:t xml:space="preserve">identify their customers. This </w:t>
      </w:r>
      <w:r w:rsidR="00DF2AA3">
        <w:rPr>
          <w:rFonts w:asciiTheme="minorHAnsi" w:hAnsiTheme="minorHAnsi"/>
        </w:rPr>
        <w:t xml:space="preserve">is </w:t>
      </w:r>
      <w:r w:rsidR="00ED01F1" w:rsidRPr="00726232">
        <w:rPr>
          <w:rFonts w:asciiTheme="minorHAnsi" w:hAnsiTheme="minorHAnsi"/>
        </w:rPr>
        <w:t>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w:t>
      </w:r>
      <w:r w:rsidR="00ED01F1" w:rsidRPr="00ED01F1">
        <w:rPr>
          <w:rFonts w:asciiTheme="minorHAnsi" w:hAnsiTheme="minorHAnsi"/>
        </w:rPr>
        <w:t xml:space="preserve"> </w:t>
      </w:r>
      <w:r w:rsidR="00ED01F1" w:rsidRPr="00B66115">
        <w:rPr>
          <w:rFonts w:asciiTheme="minorHAnsi" w:hAnsiTheme="minorHAnsi"/>
        </w:rPr>
        <w:t xml:space="preserve">Only conversations with potential </w:t>
      </w:r>
      <w:r w:rsidR="00811811">
        <w:rPr>
          <w:rFonts w:asciiTheme="minorHAnsi" w:hAnsiTheme="minorHAnsi"/>
        </w:rPr>
        <w:t>customers (stakeholders)</w:t>
      </w:r>
      <w:r w:rsidR="00ED01F1" w:rsidRPr="00B66115">
        <w:rPr>
          <w:rFonts w:asciiTheme="minorHAnsi" w:hAnsiTheme="minorHAnsi"/>
        </w:rPr>
        <w:t xml:space="preserve"> can provide the facts from which hypotheses are proven or disproven about whether a solution (product, process, etc.) creates value for the intended beneficiaries.</w:t>
      </w:r>
      <w:r w:rsidR="00ED01F1" w:rsidRPr="00342807">
        <w:t xml:space="preserve"> </w:t>
      </w:r>
      <w:r w:rsidR="00ED01F1" w:rsidRPr="006F3E99">
        <w:rPr>
          <w:rFonts w:asciiTheme="minorHAnsi" w:hAnsiTheme="minorHAnsi"/>
        </w:rPr>
        <w:t>It is expected that participants will leave the program with the ability to evaluate and translate their insights into solutions</w:t>
      </w:r>
      <w:r w:rsidR="00ED01F1">
        <w:rPr>
          <w:rFonts w:asciiTheme="minorHAnsi" w:hAnsiTheme="minorHAnsi"/>
        </w:rPr>
        <w:t xml:space="preserve"> that </w:t>
      </w:r>
      <w:r w:rsidR="00ED01F1" w:rsidRPr="00B66115">
        <w:rPr>
          <w:rFonts w:asciiTheme="minorHAnsi" w:hAnsiTheme="minorHAnsi"/>
        </w:rPr>
        <w:t>have high levels of efficacy and user acceptability</w:t>
      </w:r>
      <w:r w:rsidR="00ED01F1" w:rsidRPr="006F3E99">
        <w:rPr>
          <w:rFonts w:asciiTheme="minorHAnsi" w:hAnsiTheme="minorHAnsi"/>
        </w:rPr>
        <w:t>.</w:t>
      </w:r>
      <w:r w:rsidR="00B84964">
        <w:rPr>
          <w:rFonts w:asciiTheme="minorHAnsi" w:hAnsiTheme="minorHAnsi"/>
        </w:rPr>
        <w:t xml:space="preserve"> The information collection is necessary to guide CDC project teams to create usable solutions that are customer centric and meaningful to users, whether it’s adhering to recommendations, policies, protocol or interventions.  </w:t>
      </w:r>
    </w:p>
    <w:p w:rsidR="00ED01F1" w:rsidRDefault="00ED01F1" w:rsidP="00ED01F1">
      <w:pPr>
        <w:jc w:val="both"/>
      </w:pPr>
    </w:p>
    <w:p w:rsidR="00304C7F" w:rsidRPr="00ED01F1" w:rsidRDefault="00ED01F1" w:rsidP="00304C7F">
      <w:pPr>
        <w:jc w:val="both"/>
        <w:rPr>
          <w:rFonts w:asciiTheme="minorHAnsi" w:hAnsiTheme="minorHAnsi"/>
          <w:color w:val="000000"/>
        </w:rPr>
      </w:pPr>
      <w:r w:rsidRPr="00F168DA">
        <w:t xml:space="preserve">This request seeks approval for </w:t>
      </w:r>
      <w:r>
        <w:t xml:space="preserve">a </w:t>
      </w:r>
      <w:proofErr w:type="spellStart"/>
      <w:proofErr w:type="gramStart"/>
      <w:r w:rsidR="00F21FD6">
        <w:t>GenIC</w:t>
      </w:r>
      <w:proofErr w:type="spellEnd"/>
      <w:proofErr w:type="gramEnd"/>
      <w:r w:rsidR="00F21FD6">
        <w:t xml:space="preserve"> approval for sub</w:t>
      </w:r>
      <w:r w:rsidR="00006798">
        <w:t xml:space="preserve">project </w:t>
      </w:r>
      <w:r w:rsidR="0000485E">
        <w:t xml:space="preserve">I-Catalyst </w:t>
      </w:r>
      <w:r w:rsidR="00006798">
        <w:t xml:space="preserve">– </w:t>
      </w:r>
      <w:r w:rsidR="00982C31">
        <w:t>IIU Design Sprint</w:t>
      </w:r>
      <w:r>
        <w:t xml:space="preserve">. </w:t>
      </w:r>
      <w:r w:rsidR="00982C31" w:rsidRPr="00982C31">
        <w:rPr>
          <w:rFonts w:asciiTheme="minorHAnsi" w:eastAsia="Times New Roman" w:hAnsiTheme="minorHAnsi"/>
        </w:rPr>
        <w:t>IIU studies, prototypes, and tests new and innovative technology-based tools and resources to maximize their effect on public health. IIU’s resources are available to both CDC and its partners in the public health community. However, many of IIUs deliverables end up not being used or implemented despite the time and effort spent developing the desired technology solution. IIU wishes to understand if its CDC clients will go through a design sprint process to rapidly create usable technology solutions to ensure they are needed.</w:t>
      </w:r>
      <w:r w:rsidR="00982C31">
        <w:rPr>
          <w:rFonts w:asciiTheme="minorHAnsi" w:eastAsia="Times New Roman" w:hAnsiTheme="minorHAnsi"/>
        </w:rPr>
        <w:t xml:space="preserve"> </w:t>
      </w:r>
      <w:r w:rsidR="000C6919">
        <w:t>The</w:t>
      </w:r>
      <w:r w:rsidR="007A387F">
        <w:t xml:space="preserve"> efforts of </w:t>
      </w:r>
      <w:r w:rsidR="00FD5E1F">
        <w:t xml:space="preserve">CDC activities is authorized under Section 301 of the Public Health Service Act 42 </w:t>
      </w:r>
      <w:r w:rsidR="00B4537B">
        <w:t xml:space="preserve">U.S.C.241. </w:t>
      </w:r>
    </w:p>
    <w:p w:rsidR="00304C7F" w:rsidRPr="00B66115" w:rsidRDefault="00304C7F" w:rsidP="00B66115">
      <w:pPr>
        <w:jc w:val="both"/>
        <w:rPr>
          <w:rFonts w:asciiTheme="minorHAnsi" w:eastAsia="Times New Roman" w:hAnsiTheme="minorHAnsi"/>
        </w:rPr>
      </w:pPr>
    </w:p>
    <w:p w:rsidR="002B470C" w:rsidRPr="009A5895" w:rsidRDefault="002B470C" w:rsidP="005B2A35">
      <w:pPr>
        <w:pStyle w:val="Heading3"/>
        <w:rPr>
          <w:rFonts w:asciiTheme="minorHAnsi" w:hAnsiTheme="minorHAnsi"/>
          <w:sz w:val="22"/>
          <w:szCs w:val="22"/>
        </w:rPr>
      </w:pPr>
      <w:bookmarkStart w:id="2" w:name="_Toc466364031"/>
      <w:r w:rsidRPr="009A5895">
        <w:rPr>
          <w:rFonts w:asciiTheme="minorHAnsi" w:hAnsiTheme="minorHAnsi"/>
          <w:sz w:val="22"/>
          <w:szCs w:val="22"/>
        </w:rPr>
        <w:t>2. Purpose and Use of Information Collection</w:t>
      </w:r>
      <w:bookmarkEnd w:id="2"/>
      <w:r w:rsidRPr="009A5895">
        <w:rPr>
          <w:rFonts w:asciiTheme="minorHAnsi" w:hAnsiTheme="minorHAnsi"/>
          <w:sz w:val="22"/>
          <w:szCs w:val="22"/>
        </w:rPr>
        <w:t xml:space="preserve"> </w:t>
      </w:r>
    </w:p>
    <w:p w:rsidR="00D04958" w:rsidRDefault="00D04958" w:rsidP="00304C7F">
      <w:pPr>
        <w:autoSpaceDE w:val="0"/>
        <w:autoSpaceDN w:val="0"/>
        <w:adjustRightInd w:val="0"/>
        <w:jc w:val="both"/>
        <w:rPr>
          <w:rFonts w:asciiTheme="minorHAnsi" w:eastAsia="Times New Roman" w:hAnsiTheme="minorHAnsi"/>
        </w:rPr>
      </w:pPr>
      <w:r w:rsidRPr="00D04958">
        <w:rPr>
          <w:rFonts w:asciiTheme="minorHAnsi" w:eastAsia="Times New Roman" w:hAnsiTheme="minorHAnsi"/>
        </w:rPr>
        <w:t xml:space="preserve">The Centers for Disease Control and Prevention (CDC)’s Informatics Innovation Unit (IU) advances the field of public health informatics through applied research and innovation. IIU studies, prototypes, and tests new and innovative technology-based tools and resources to maximize their effect on public health. IIU’s resources are available to both CDC and its partners in the public health community. However, many of IIUs deliverables end up not being used or implemented despite the time and effort spent developing the desired technology solution. IIU wishes to understand if its CDC clients will </w:t>
      </w:r>
      <w:r w:rsidR="00775E10">
        <w:rPr>
          <w:rFonts w:asciiTheme="minorHAnsi" w:eastAsia="Times New Roman" w:hAnsiTheme="minorHAnsi"/>
        </w:rPr>
        <w:t>participate in</w:t>
      </w:r>
      <w:r w:rsidRPr="00D04958">
        <w:rPr>
          <w:rFonts w:asciiTheme="minorHAnsi" w:eastAsia="Times New Roman" w:hAnsiTheme="minorHAnsi"/>
        </w:rPr>
        <w:t xml:space="preserve"> a design sprint process to </w:t>
      </w:r>
      <w:r w:rsidR="00B27E61" w:rsidRPr="00B27E61">
        <w:rPr>
          <w:rFonts w:asciiTheme="minorHAnsi" w:eastAsia="Times New Roman" w:hAnsiTheme="minorHAnsi"/>
        </w:rPr>
        <w:t>increas</w:t>
      </w:r>
      <w:r w:rsidR="00B27E61">
        <w:rPr>
          <w:rFonts w:asciiTheme="minorHAnsi" w:eastAsia="Times New Roman" w:hAnsiTheme="minorHAnsi"/>
        </w:rPr>
        <w:t>e</w:t>
      </w:r>
      <w:r w:rsidR="00B27E61" w:rsidRPr="00B27E61">
        <w:rPr>
          <w:rFonts w:asciiTheme="minorHAnsi" w:eastAsia="Times New Roman" w:hAnsiTheme="minorHAnsi"/>
        </w:rPr>
        <w:t xml:space="preserve"> the likelihood of building a useful and needed technology solution</w:t>
      </w:r>
      <w:r w:rsidR="00B27E61">
        <w:rPr>
          <w:rFonts w:asciiTheme="minorHAnsi" w:eastAsia="Times New Roman" w:hAnsiTheme="minorHAnsi"/>
        </w:rPr>
        <w:t>.</w:t>
      </w:r>
    </w:p>
    <w:p w:rsidR="00B27E61" w:rsidRDefault="00B27E61" w:rsidP="00304C7F">
      <w:pPr>
        <w:autoSpaceDE w:val="0"/>
        <w:autoSpaceDN w:val="0"/>
        <w:adjustRightInd w:val="0"/>
        <w:jc w:val="both"/>
        <w:rPr>
          <w:rFonts w:asciiTheme="minorHAnsi" w:eastAsia="Times New Roman" w:hAnsiTheme="minorHAnsi"/>
        </w:rPr>
      </w:pPr>
    </w:p>
    <w:p w:rsidR="00304C7F" w:rsidRDefault="00800A1B" w:rsidP="00304C7F">
      <w:pPr>
        <w:autoSpaceDE w:val="0"/>
        <w:autoSpaceDN w:val="0"/>
        <w:adjustRightInd w:val="0"/>
        <w:jc w:val="both"/>
        <w:rPr>
          <w:rFonts w:asciiTheme="minorHAnsi" w:eastAsia="Times New Roman" w:hAnsiTheme="minorHAnsi"/>
        </w:rPr>
      </w:pPr>
      <w:r>
        <w:rPr>
          <w:rFonts w:asciiTheme="minorHAnsi" w:eastAsia="Times New Roman" w:hAnsiTheme="minorHAnsi"/>
        </w:rPr>
        <w:t>T</w:t>
      </w:r>
      <w:r w:rsidR="0000485E">
        <w:rPr>
          <w:rFonts w:asciiTheme="minorHAnsi" w:eastAsia="Times New Roman" w:hAnsiTheme="minorHAnsi"/>
        </w:rPr>
        <w:t xml:space="preserve">he project hopes to </w:t>
      </w:r>
      <w:r w:rsidR="00EE1012" w:rsidRPr="00A013EA">
        <w:rPr>
          <w:rFonts w:asciiTheme="minorHAnsi" w:eastAsia="Times New Roman" w:hAnsiTheme="minorHAnsi"/>
        </w:rPr>
        <w:t xml:space="preserve">seek input </w:t>
      </w:r>
      <w:r w:rsidR="00D04958">
        <w:rPr>
          <w:rFonts w:asciiTheme="minorHAnsi" w:eastAsia="Times New Roman" w:hAnsiTheme="minorHAnsi"/>
        </w:rPr>
        <w:t xml:space="preserve">from clients and end users </w:t>
      </w:r>
      <w:r>
        <w:rPr>
          <w:rFonts w:asciiTheme="minorHAnsi" w:eastAsia="Times New Roman" w:hAnsiTheme="minorHAnsi"/>
        </w:rPr>
        <w:t>o</w:t>
      </w:r>
      <w:r w:rsidR="00EE1012" w:rsidRPr="00A013EA">
        <w:rPr>
          <w:rFonts w:asciiTheme="minorHAnsi" w:eastAsia="Times New Roman" w:hAnsiTheme="minorHAnsi"/>
        </w:rPr>
        <w:t xml:space="preserve">n </w:t>
      </w:r>
      <w:r w:rsidR="00D04958">
        <w:rPr>
          <w:rFonts w:asciiTheme="minorHAnsi" w:eastAsia="Times New Roman" w:hAnsiTheme="minorHAnsi"/>
        </w:rPr>
        <w:t>a design sprint process</w:t>
      </w:r>
      <w:r w:rsidR="00476461">
        <w:rPr>
          <w:rFonts w:asciiTheme="minorHAnsi" w:eastAsia="Times New Roman" w:hAnsiTheme="minorHAnsi"/>
        </w:rPr>
        <w:t xml:space="preserve"> through</w:t>
      </w:r>
      <w:r w:rsidR="0000485E">
        <w:rPr>
          <w:rFonts w:asciiTheme="minorHAnsi" w:eastAsia="Times New Roman" w:hAnsiTheme="minorHAnsi"/>
        </w:rPr>
        <w:t xml:space="preserve"> I-Catalyst and determine</w:t>
      </w:r>
      <w:r w:rsidR="00EE1012">
        <w:rPr>
          <w:rFonts w:asciiTheme="minorHAnsi" w:eastAsia="Times New Roman" w:hAnsiTheme="minorHAnsi"/>
        </w:rPr>
        <w:t xml:space="preserve"> how </w:t>
      </w:r>
      <w:r w:rsidR="00D04958">
        <w:rPr>
          <w:rFonts w:asciiTheme="minorHAnsi" w:eastAsia="Times New Roman" w:hAnsiTheme="minorHAnsi"/>
        </w:rPr>
        <w:t xml:space="preserve">it can </w:t>
      </w:r>
      <w:r w:rsidR="00EE1012">
        <w:rPr>
          <w:rFonts w:asciiTheme="minorHAnsi" w:eastAsia="Times New Roman" w:hAnsiTheme="minorHAnsi"/>
        </w:rPr>
        <w:t xml:space="preserve">best </w:t>
      </w:r>
      <w:r w:rsidR="00D04958">
        <w:rPr>
          <w:rFonts w:asciiTheme="minorHAnsi" w:eastAsia="Times New Roman" w:hAnsiTheme="minorHAnsi"/>
        </w:rPr>
        <w:t>be used to support the development of technology solutions</w:t>
      </w:r>
      <w:r w:rsidR="0000485E">
        <w:rPr>
          <w:rFonts w:asciiTheme="minorHAnsi" w:eastAsia="Times New Roman" w:hAnsiTheme="minorHAnsi"/>
        </w:rPr>
        <w:t>.</w:t>
      </w:r>
      <w:r w:rsidR="0000485E" w:rsidRPr="0000485E">
        <w:rPr>
          <w:rFonts w:asciiTheme="minorHAnsi" w:eastAsia="Times New Roman" w:hAnsiTheme="minorHAnsi"/>
        </w:rPr>
        <w:t xml:space="preserve"> </w:t>
      </w:r>
      <w:r w:rsidR="00556E61">
        <w:rPr>
          <w:rFonts w:asciiTheme="minorHAnsi" w:eastAsia="Times New Roman" w:hAnsiTheme="minorHAnsi"/>
        </w:rPr>
        <w:t>The information collected</w:t>
      </w:r>
      <w:r w:rsidR="001F1862" w:rsidRPr="001F1862">
        <w:rPr>
          <w:rFonts w:asciiTheme="minorHAnsi" w:eastAsia="Times New Roman" w:hAnsiTheme="minorHAnsi"/>
        </w:rPr>
        <w:t xml:space="preserve"> will be used for internal CDC decision making </w:t>
      </w:r>
      <w:r w:rsidR="00185415">
        <w:rPr>
          <w:rFonts w:asciiTheme="minorHAnsi" w:eastAsia="Times New Roman" w:hAnsiTheme="minorHAnsi"/>
        </w:rPr>
        <w:t xml:space="preserve">purposes </w:t>
      </w:r>
      <w:r w:rsidR="001F1862" w:rsidRPr="001F1862">
        <w:rPr>
          <w:rFonts w:asciiTheme="minorHAnsi" w:eastAsia="Times New Roman" w:hAnsiTheme="minorHAnsi"/>
        </w:rPr>
        <w:t xml:space="preserve">and to provide suggestions for improving </w:t>
      </w:r>
      <w:r w:rsidR="00476461">
        <w:rPr>
          <w:rFonts w:asciiTheme="minorHAnsi" w:eastAsia="Times New Roman" w:hAnsiTheme="minorHAnsi"/>
        </w:rPr>
        <w:t xml:space="preserve">data hub services in support of </w:t>
      </w:r>
      <w:r w:rsidR="001F1862" w:rsidRPr="001F1862">
        <w:rPr>
          <w:rFonts w:asciiTheme="minorHAnsi" w:eastAsia="Times New Roman" w:hAnsiTheme="minorHAnsi"/>
        </w:rPr>
        <w:t xml:space="preserve">development of public health solutions. </w:t>
      </w:r>
      <w:r w:rsidR="00032176">
        <w:rPr>
          <w:rFonts w:asciiTheme="minorHAnsi" w:eastAsia="Times New Roman" w:hAnsiTheme="minorHAnsi"/>
        </w:rPr>
        <w:t>The customer interviews</w:t>
      </w:r>
      <w:r w:rsidR="0051095B">
        <w:rPr>
          <w:rFonts w:asciiTheme="minorHAnsi" w:eastAsia="Times New Roman" w:hAnsiTheme="minorHAnsi"/>
        </w:rPr>
        <w:t xml:space="preserve"> </w:t>
      </w:r>
      <w:r w:rsidR="00D04958">
        <w:rPr>
          <w:rFonts w:asciiTheme="minorHAnsi" w:eastAsia="Times New Roman" w:hAnsiTheme="minorHAnsi"/>
        </w:rPr>
        <w:t>will be conducted with</w:t>
      </w:r>
      <w:r w:rsidR="00EE1012">
        <w:rPr>
          <w:rFonts w:asciiTheme="minorHAnsi" w:eastAsia="Times New Roman" w:hAnsiTheme="minorHAnsi"/>
        </w:rPr>
        <w:t xml:space="preserve"> </w:t>
      </w:r>
      <w:r w:rsidR="00D04958">
        <w:rPr>
          <w:rFonts w:asciiTheme="minorHAnsi" w:eastAsia="Times New Roman" w:hAnsiTheme="minorHAnsi"/>
        </w:rPr>
        <w:t>CDC staff</w:t>
      </w:r>
      <w:r w:rsidR="00476461" w:rsidRPr="00476461">
        <w:rPr>
          <w:rFonts w:asciiTheme="minorHAnsi" w:eastAsia="Times New Roman" w:hAnsiTheme="minorHAnsi"/>
        </w:rPr>
        <w:t xml:space="preserve"> at CDC (epidemiologists, statisticians, </w:t>
      </w:r>
      <w:r w:rsidR="00D04958">
        <w:rPr>
          <w:rFonts w:asciiTheme="minorHAnsi" w:eastAsia="Times New Roman" w:hAnsiTheme="minorHAnsi"/>
        </w:rPr>
        <w:t>health scientists</w:t>
      </w:r>
      <w:r w:rsidR="00476461" w:rsidRPr="00476461">
        <w:rPr>
          <w:rFonts w:asciiTheme="minorHAnsi" w:eastAsia="Times New Roman" w:hAnsiTheme="minorHAnsi"/>
        </w:rPr>
        <w:t xml:space="preserve">) and external partners such as </w:t>
      </w:r>
      <w:r w:rsidR="00D04958">
        <w:rPr>
          <w:rFonts w:asciiTheme="minorHAnsi" w:eastAsia="Times New Roman" w:hAnsiTheme="minorHAnsi"/>
        </w:rPr>
        <w:t>CDC grantees and technology end users in the general public.</w:t>
      </w:r>
      <w:r w:rsidR="00FD1AED">
        <w:rPr>
          <w:rFonts w:asciiTheme="minorHAnsi" w:eastAsia="Times New Roman" w:hAnsiTheme="minorHAnsi"/>
        </w:rPr>
        <w:t xml:space="preserve"> </w:t>
      </w:r>
      <w:r w:rsidR="00FD1AED" w:rsidRPr="00FD1AED">
        <w:rPr>
          <w:rFonts w:asciiTheme="minorHAnsi" w:eastAsia="Times New Roman" w:hAnsiTheme="minorHAnsi"/>
        </w:rPr>
        <w:t xml:space="preserve">IIU works with CDC staff and programs to develop innovative public health technology solutions including: mobile applications, web applications, prototypes, wireframes, and low/high fidelity mock ups. Some of the technology solutions are developed for internal CDC users and others are developed for external users or audiences. As part of their work with CDC staff/programs, IIU asks the CDC client to identify the intended end users (internal or external). If the CDC program identifies an external audience or customer, IIU may ask for descriptions or examples of these users. For example, state and local public health department staff may be an external customer for which a CDC program is trying to improve their surveillance </w:t>
      </w:r>
      <w:r w:rsidR="00FD1AED" w:rsidRPr="00FD1AED">
        <w:rPr>
          <w:rFonts w:asciiTheme="minorHAnsi" w:eastAsia="Times New Roman" w:hAnsiTheme="minorHAnsi"/>
        </w:rPr>
        <w:lastRenderedPageBreak/>
        <w:t>website or mobile application. If the technology solution is intended for an external customer, IIU will identify these respondents with the assistance of the CDC program.</w:t>
      </w:r>
    </w:p>
    <w:p w:rsidR="00304C7F" w:rsidRPr="009A5895" w:rsidRDefault="00304C7F" w:rsidP="00304C7F">
      <w:pPr>
        <w:autoSpaceDE w:val="0"/>
        <w:autoSpaceDN w:val="0"/>
        <w:adjustRightInd w:val="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3" w:name="_Toc466364032"/>
      <w:r w:rsidRPr="009A5895">
        <w:rPr>
          <w:rFonts w:asciiTheme="minorHAnsi" w:hAnsiTheme="minorHAnsi"/>
          <w:sz w:val="22"/>
          <w:szCs w:val="22"/>
        </w:rPr>
        <w:t>3. Use of Improved Information Technology and Burden Reduction</w:t>
      </w:r>
      <w:bookmarkEnd w:id="3"/>
      <w:r w:rsidRPr="009A5895">
        <w:rPr>
          <w:rFonts w:asciiTheme="minorHAnsi" w:hAnsiTheme="minorHAnsi"/>
          <w:sz w:val="22"/>
          <w:szCs w:val="22"/>
        </w:rPr>
        <w:t xml:space="preserve"> </w:t>
      </w:r>
    </w:p>
    <w:p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126315">
        <w:rPr>
          <w:rFonts w:asciiTheme="minorHAnsi" w:hAnsiTheme="minorHAnsi"/>
        </w:rPr>
        <w:t xml:space="preserve">or by virtual video conferencing like Skype for Business or Adobe Connect </w:t>
      </w:r>
      <w:r w:rsidR="00D97262">
        <w:rPr>
          <w:rFonts w:asciiTheme="minorHAnsi" w:hAnsiTheme="minorHAnsi"/>
        </w:rPr>
        <w:t>(</w:t>
      </w:r>
      <w:r w:rsidR="0000485E">
        <w:rPr>
          <w:rFonts w:asciiTheme="minorHAnsi" w:hAnsiTheme="minorHAnsi"/>
        </w:rPr>
        <w:t>Att. 1 – Interview guide</w:t>
      </w:r>
      <w:r w:rsidR="00D97262">
        <w:rPr>
          <w:rFonts w:asciiTheme="minorHAnsi" w:hAnsiTheme="minorHAnsi"/>
        </w:rPr>
        <w:t>)</w:t>
      </w:r>
      <w:r w:rsidR="00FD1AED">
        <w:rPr>
          <w:rFonts w:asciiTheme="minorHAnsi" w:hAnsiTheme="minorHAnsi"/>
        </w:rPr>
        <w:t xml:space="preserve"> with</w:t>
      </w:r>
      <w:r w:rsidRPr="00681832">
        <w:rPr>
          <w:rFonts w:asciiTheme="minorHAnsi" w:hAnsiTheme="minorHAnsi"/>
        </w:rPr>
        <w:t xml:space="preserve"> </w:t>
      </w:r>
      <w:r w:rsidR="00FD1AED" w:rsidRPr="00FD1AED">
        <w:rPr>
          <w:rFonts w:asciiTheme="minorHAnsi" w:hAnsiTheme="minorHAnsi"/>
        </w:rPr>
        <w:t xml:space="preserve">CDC staff, grantees, and technology end users in the general public. As part of their work with CDC staff/programs, IIU asks the CDC client to identify the intended end users (internal or external). If the CDC program identifies an external audience or customer, IIU may ask for descriptions or examples of these users. For example, state and local public health department staff may be an external customer for which a CDC program is trying to improve their surveillance website or mobile application. If the technology solution is intended for an external customer, IIU will identify these respondents with the assistance of the CDC program. </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his wouldn’t be possible if a list of fixed questions were used.  This also is not p</w:t>
      </w:r>
      <w:bookmarkStart w:id="4" w:name="_GoBack"/>
      <w:bookmarkEnd w:id="4"/>
      <w:r w:rsidRPr="00681832">
        <w:rPr>
          <w:rFonts w:asciiTheme="minorHAnsi" w:hAnsiTheme="minorHAnsi"/>
        </w:rPr>
        <w:t xml:space="preserve">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rsidR="00F52FC0" w:rsidRPr="009A5895" w:rsidRDefault="00F52FC0"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5" w:name="_Toc466364033"/>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rsidR="00604F78" w:rsidRPr="00681832" w:rsidRDefault="006D5784" w:rsidP="00C51751">
      <w:pPr>
        <w:jc w:val="both"/>
        <w:rPr>
          <w:rFonts w:asciiTheme="minorHAnsi" w:hAnsiTheme="minorHAnsi"/>
          <w:color w:val="000000"/>
        </w:rPr>
      </w:pPr>
      <w:r>
        <w:rPr>
          <w:rFonts w:asciiTheme="minorHAnsi" w:hAnsiTheme="minorHAnsi"/>
        </w:rPr>
        <w:t>Th</w:t>
      </w:r>
      <w:r w:rsidR="00126315">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Other than proprietary business databases, t</w:t>
      </w:r>
      <w:r w:rsidR="00F52FC0" w:rsidRPr="00F52FC0">
        <w:rPr>
          <w:rFonts w:asciiTheme="minorHAnsi" w:hAnsiTheme="minorHAnsi"/>
        </w:rPr>
        <w:t xml:space="preserve">here is no existing database that can provide the level of detail about the </w:t>
      </w:r>
      <w:r w:rsidR="00F52FC0">
        <w:rPr>
          <w:rFonts w:asciiTheme="minorHAnsi" w:hAnsiTheme="minorHAnsi"/>
        </w:rPr>
        <w:t xml:space="preserve">customer </w:t>
      </w:r>
      <w:r w:rsidR="00F52FC0" w:rsidRPr="00F52FC0">
        <w:rPr>
          <w:rFonts w:asciiTheme="minorHAnsi" w:hAnsiTheme="minorHAnsi"/>
        </w:rPr>
        <w:t>experiences</w:t>
      </w:r>
      <w:r w:rsidR="007554A9">
        <w:rPr>
          <w:rFonts w:asciiTheme="minorHAnsi" w:hAnsiTheme="minorHAnsi"/>
        </w:rPr>
        <w:t>, wants, and needs</w:t>
      </w:r>
      <w:r w:rsidR="00E145E0">
        <w:rPr>
          <w:rFonts w:asciiTheme="minorHAnsi" w:hAnsiTheme="minorHAnsi"/>
        </w:rPr>
        <w:t xml:space="preserve"> necessary for IIU to understand its clients and end users.</w:t>
      </w:r>
    </w:p>
    <w:p w:rsidR="00F52FC0" w:rsidRPr="009A5895" w:rsidRDefault="00F52FC0" w:rsidP="00F52FC0">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6" w:name="_Toc466364034"/>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rsidR="0081264D" w:rsidRDefault="0081264D" w:rsidP="006E7523">
      <w:pPr>
        <w:pStyle w:val="Default"/>
        <w:rPr>
          <w:rFonts w:asciiTheme="minorHAnsi" w:hAnsiTheme="minorHAnsi"/>
          <w:sz w:val="22"/>
          <w:szCs w:val="22"/>
        </w:rPr>
      </w:pPr>
    </w:p>
    <w:p w:rsidR="002B470C" w:rsidRPr="009A5895" w:rsidRDefault="002B470C" w:rsidP="006E7523">
      <w:pPr>
        <w:pStyle w:val="Heading3"/>
        <w:rPr>
          <w:rFonts w:asciiTheme="minorHAnsi" w:hAnsiTheme="minorHAnsi"/>
          <w:sz w:val="22"/>
          <w:szCs w:val="22"/>
        </w:rPr>
      </w:pPr>
      <w:bookmarkStart w:id="7" w:name="_Toc466364035"/>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rsidR="006E7523" w:rsidRPr="009A5895" w:rsidRDefault="006E7523" w:rsidP="006E7523">
      <w:pPr>
        <w:rPr>
          <w:rFonts w:asciiTheme="minorHAnsi" w:hAnsiTheme="minorHAnsi"/>
        </w:rPr>
      </w:pPr>
    </w:p>
    <w:p w:rsidR="002B470C" w:rsidRPr="009A5895" w:rsidRDefault="002B470C" w:rsidP="006E7523">
      <w:pPr>
        <w:pStyle w:val="Heading3"/>
        <w:rPr>
          <w:rFonts w:asciiTheme="minorHAnsi" w:hAnsiTheme="minorHAnsi"/>
          <w:color w:val="auto"/>
          <w:sz w:val="22"/>
          <w:szCs w:val="22"/>
        </w:rPr>
      </w:pPr>
      <w:bookmarkStart w:id="8"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rsidR="006E7523" w:rsidRPr="009A5895" w:rsidRDefault="006E7523" w:rsidP="006E7523">
      <w:pPr>
        <w:rPr>
          <w:rFonts w:asciiTheme="minorHAnsi" w:hAnsiTheme="minorHAnsi"/>
        </w:rPr>
      </w:pPr>
    </w:p>
    <w:p w:rsidR="002B470C" w:rsidRPr="009A5895" w:rsidRDefault="002B470C" w:rsidP="005B2A35">
      <w:pPr>
        <w:pStyle w:val="Heading3"/>
        <w:rPr>
          <w:rFonts w:asciiTheme="minorHAnsi" w:hAnsiTheme="minorHAnsi"/>
          <w:sz w:val="22"/>
          <w:szCs w:val="22"/>
        </w:rPr>
      </w:pPr>
      <w:bookmarkStart w:id="9" w:name="_Toc466364037"/>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rsidR="00502F72" w:rsidRPr="006D5784" w:rsidRDefault="006D5784" w:rsidP="006D5784">
      <w:pPr>
        <w:jc w:val="both"/>
        <w:rPr>
          <w:rFonts w:asciiTheme="minorHAnsi" w:hAnsiTheme="minorHAnsi"/>
        </w:rPr>
      </w:pPr>
      <w:r w:rsidRPr="006D5784">
        <w:rPr>
          <w:rFonts w:asciiTheme="minorHAnsi" w:hAnsiTheme="minorHAnsi"/>
        </w:rPr>
        <w:t>Not Applicable</w:t>
      </w:r>
    </w:p>
    <w:p w:rsidR="00765A29" w:rsidRPr="00D97262" w:rsidRDefault="00765A29" w:rsidP="00765A29">
      <w:pPr>
        <w:pStyle w:val="ListParagraph"/>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0" w:name="_Toc466364038"/>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rsidR="002B470C" w:rsidRPr="009A5895" w:rsidRDefault="002B470C"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1" w:name="_Toc466364039"/>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rsidR="002B470C" w:rsidRDefault="007C3E1C" w:rsidP="006D5784">
      <w:pPr>
        <w:jc w:val="both"/>
        <w:rPr>
          <w:rFonts w:asciiTheme="minorHAnsi" w:hAnsiTheme="minorHAnsi"/>
        </w:rPr>
      </w:pPr>
      <w:r>
        <w:rPr>
          <w:rFonts w:asciiTheme="minorHAnsi" w:hAnsiTheme="minorHAnsi"/>
        </w:rPr>
        <w:t xml:space="preserve">Activities for this request do not involve the collection of Individually Identifiable Information. </w:t>
      </w:r>
    </w:p>
    <w:p w:rsidR="00C845E2" w:rsidRPr="00C845E2" w:rsidRDefault="00C845E2" w:rsidP="00C845E2">
      <w:pPr>
        <w:pStyle w:val="ListParagraph"/>
        <w:ind w:left="144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2" w:name="_Toc466364040"/>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 xml:space="preserve">determined that data /IC is not research involving human subjects and IRB is not required - </w:t>
      </w:r>
      <w:r w:rsidR="0003143E">
        <w:rPr>
          <w:rFonts w:asciiTheme="minorHAnsi" w:hAnsiTheme="minorHAnsi"/>
        </w:rPr>
        <w:t xml:space="preserve">OADS Project </w:t>
      </w:r>
      <w:r w:rsidR="009009E4">
        <w:rPr>
          <w:rFonts w:asciiTheme="minorHAnsi" w:hAnsiTheme="minorHAnsi"/>
        </w:rPr>
        <w:t>Determination</w:t>
      </w:r>
      <w:r w:rsidR="00F83FB1">
        <w:rPr>
          <w:rFonts w:asciiTheme="minorHAnsi" w:hAnsiTheme="minorHAnsi"/>
        </w:rPr>
        <w:t xml:space="preserve"> approv</w:t>
      </w:r>
      <w:r w:rsidR="00930227">
        <w:rPr>
          <w:rFonts w:asciiTheme="minorHAnsi" w:hAnsiTheme="minorHAnsi"/>
        </w:rPr>
        <w:t>al</w:t>
      </w:r>
      <w:r w:rsidR="00F83FB1">
        <w:rPr>
          <w:rFonts w:asciiTheme="minorHAnsi" w:hAnsiTheme="minorHAnsi"/>
        </w:rPr>
        <w:t xml:space="preserve"> (Att. 5)</w:t>
      </w:r>
      <w:r w:rsidR="0003143E">
        <w:rPr>
          <w:rFonts w:asciiTheme="minorHAnsi" w:hAnsiTheme="minorHAnsi"/>
        </w:rPr>
        <w:t xml:space="preserve">.  </w:t>
      </w:r>
    </w:p>
    <w:p w:rsidR="0002094C" w:rsidRPr="009A5895" w:rsidRDefault="0002094C" w:rsidP="0002094C">
      <w:pPr>
        <w:jc w:val="both"/>
        <w:rPr>
          <w:rFonts w:asciiTheme="minorHAnsi" w:hAnsiTheme="minorHAnsi"/>
        </w:rPr>
      </w:pPr>
    </w:p>
    <w:p w:rsidR="00920F4C" w:rsidRPr="009A5895" w:rsidRDefault="002B470C" w:rsidP="005B2A35">
      <w:pPr>
        <w:pStyle w:val="Heading3"/>
        <w:rPr>
          <w:rFonts w:asciiTheme="minorHAnsi" w:hAnsiTheme="minorHAnsi"/>
          <w:sz w:val="22"/>
          <w:szCs w:val="22"/>
        </w:rPr>
      </w:pPr>
      <w:bookmarkStart w:id="13" w:name="_Toc466364041"/>
      <w:r w:rsidRPr="009A5895">
        <w:rPr>
          <w:rFonts w:asciiTheme="minorHAnsi" w:hAnsiTheme="minorHAnsi"/>
          <w:sz w:val="22"/>
          <w:szCs w:val="22"/>
        </w:rPr>
        <w:lastRenderedPageBreak/>
        <w:t>12. Estimates of Annualized Burden Hours and Costs</w:t>
      </w:r>
      <w:bookmarkEnd w:id="13"/>
      <w:r w:rsidRPr="009A5895">
        <w:rPr>
          <w:rFonts w:asciiTheme="minorHAnsi" w:hAnsiTheme="minorHAnsi"/>
          <w:sz w:val="22"/>
          <w:szCs w:val="22"/>
        </w:rPr>
        <w:t xml:space="preserve"> </w:t>
      </w:r>
    </w:p>
    <w:p w:rsidR="00920F4C" w:rsidRPr="009A5895" w:rsidRDefault="00E145E0" w:rsidP="00DC2CD8">
      <w:pPr>
        <w:jc w:val="both"/>
        <w:rPr>
          <w:rFonts w:asciiTheme="minorHAnsi" w:hAnsiTheme="minorHAnsi"/>
        </w:rPr>
      </w:pPr>
      <w:r>
        <w:rPr>
          <w:rFonts w:asciiTheme="minorHAnsi" w:hAnsiTheme="minorHAnsi"/>
        </w:rPr>
        <w:t>The project team</w:t>
      </w:r>
      <w:r w:rsidR="006D5784">
        <w:rPr>
          <w:rFonts w:asciiTheme="minorHAnsi" w:hAnsiTheme="minorHAnsi"/>
        </w:rPr>
        <w:t xml:space="preserve"> will interview </w:t>
      </w:r>
      <w:r>
        <w:rPr>
          <w:rFonts w:asciiTheme="minorHAnsi" w:hAnsiTheme="minorHAnsi"/>
        </w:rPr>
        <w:t>2</w:t>
      </w:r>
      <w:r w:rsidR="006D5784">
        <w:rPr>
          <w:rFonts w:asciiTheme="minorHAnsi" w:hAnsiTheme="minorHAnsi"/>
        </w:rPr>
        <w:t xml:space="preserve">50 respondents for this ICR. The project will interview </w:t>
      </w:r>
      <w:r w:rsidRPr="00E145E0">
        <w:rPr>
          <w:rFonts w:asciiTheme="minorHAnsi" w:hAnsiTheme="minorHAnsi"/>
        </w:rPr>
        <w:t>CDC staff at CDC (epidemiologists, statisticians, health scientists) and external partners such as CDC grantees and technology end users in the general public.</w:t>
      </w:r>
      <w:r w:rsidR="00EE1012">
        <w:rPr>
          <w:rFonts w:asciiTheme="minorHAnsi" w:hAnsiTheme="minorHAnsi"/>
        </w:rPr>
        <w:t xml:space="preserve"> for</w:t>
      </w:r>
      <w:r w:rsidR="006D5784">
        <w:rPr>
          <w:rFonts w:asciiTheme="minorHAnsi" w:hAnsiTheme="minorHAnsi"/>
        </w:rPr>
        <w:t xml:space="preserve"> </w:t>
      </w:r>
      <w:r w:rsidR="00D97262" w:rsidRPr="00D97262">
        <w:rPr>
          <w:rFonts w:asciiTheme="minorHAnsi" w:hAnsiTheme="minorHAnsi"/>
        </w:rPr>
        <w:t xml:space="preserve">an average of 30 minutes and maximum of </w:t>
      </w:r>
      <w:r w:rsidR="006D5784">
        <w:rPr>
          <w:rFonts w:asciiTheme="minorHAnsi" w:hAnsiTheme="minorHAnsi"/>
        </w:rPr>
        <w:t>1</w:t>
      </w:r>
      <w:r w:rsidR="00D97262" w:rsidRPr="00D97262">
        <w:rPr>
          <w:rFonts w:asciiTheme="minorHAnsi" w:hAnsiTheme="minorHAnsi"/>
        </w:rPr>
        <w:t xml:space="preserve"> responses per respondent. </w:t>
      </w:r>
      <w:r w:rsidR="00664B37">
        <w:rPr>
          <w:rFonts w:asciiTheme="minorHAnsi" w:hAnsiTheme="minorHAnsi"/>
        </w:rPr>
        <w:t xml:space="preserve">Annualized burden will be </w:t>
      </w:r>
      <w:r>
        <w:rPr>
          <w:rFonts w:asciiTheme="minorHAnsi" w:hAnsiTheme="minorHAnsi"/>
        </w:rPr>
        <w:t>1</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126315">
        <w:rPr>
          <w:rFonts w:asciiTheme="minorHAnsi" w:hAnsiTheme="minorHAnsi"/>
        </w:rPr>
        <w:t xml:space="preserve">an estimated annualized burden cost of </w:t>
      </w:r>
      <w:r w:rsidR="00CD66EE">
        <w:rPr>
          <w:rFonts w:asciiTheme="minorHAnsi" w:hAnsiTheme="minorHAnsi"/>
        </w:rPr>
        <w:t>$</w:t>
      </w:r>
      <w:r>
        <w:rPr>
          <w:rFonts w:asciiTheme="minorHAnsi" w:hAnsiTheme="minorHAnsi"/>
        </w:rPr>
        <w:t>4</w:t>
      </w:r>
      <w:r w:rsidR="003F68F7">
        <w:rPr>
          <w:rFonts w:asciiTheme="minorHAnsi" w:hAnsiTheme="minorHAnsi"/>
        </w:rPr>
        <w:t>,</w:t>
      </w:r>
      <w:r>
        <w:rPr>
          <w:rFonts w:asciiTheme="minorHAnsi" w:hAnsiTheme="minorHAnsi"/>
        </w:rPr>
        <w:t>840</w:t>
      </w:r>
      <w:r w:rsidR="00CD66EE">
        <w:rPr>
          <w:rFonts w:asciiTheme="minorHAnsi" w:hAnsiTheme="minorHAnsi"/>
        </w:rPr>
        <w:t>.</w:t>
      </w:r>
    </w:p>
    <w:p w:rsidR="00ED67BF" w:rsidRPr="009A5895" w:rsidRDefault="00ED67BF" w:rsidP="00DC2CD8">
      <w:pPr>
        <w:jc w:val="both"/>
        <w:rPr>
          <w:rFonts w:asciiTheme="minorHAnsi" w:hAnsiTheme="minorHAnsi"/>
        </w:rPr>
      </w:pPr>
    </w:p>
    <w:p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rsidTr="00895A47">
        <w:trPr>
          <w:trHeight w:val="710"/>
        </w:trPr>
        <w:tc>
          <w:tcPr>
            <w:tcW w:w="3415"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223"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477"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393"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1446"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r>
      <w:tr w:rsidR="00BB3935" w:rsidRPr="00BB3935" w:rsidTr="007B7C94">
        <w:trPr>
          <w:trHeight w:val="304"/>
        </w:trPr>
        <w:tc>
          <w:tcPr>
            <w:tcW w:w="3415" w:type="dxa"/>
            <w:shd w:val="clear" w:color="auto" w:fill="auto"/>
          </w:tcPr>
          <w:p w:rsidR="0003143E" w:rsidRPr="00BB3935" w:rsidRDefault="00E145E0" w:rsidP="00800A1B">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CDC staff</w:t>
            </w:r>
            <w:r w:rsidR="00476461" w:rsidRPr="00476461">
              <w:rPr>
                <w:rFonts w:asciiTheme="minorHAnsi" w:eastAsia="Calibri" w:hAnsiTheme="minorHAnsi" w:cs="EEAGN D+ Melior"/>
                <w:color w:val="000000"/>
              </w:rPr>
              <w:t xml:space="preserve"> (epidemiologists, </w:t>
            </w:r>
            <w:r w:rsidR="00800A1B">
              <w:rPr>
                <w:rFonts w:asciiTheme="minorHAnsi" w:eastAsia="Calibri" w:hAnsiTheme="minorHAnsi" w:cs="EEAGN D+ Melior"/>
                <w:color w:val="000000"/>
              </w:rPr>
              <w:t>statisticians, Health Scientist)</w:t>
            </w:r>
            <w:r>
              <w:rPr>
                <w:rFonts w:asciiTheme="minorHAnsi" w:eastAsia="Calibri" w:hAnsiTheme="minorHAnsi" w:cs="EEAGN D+ Melior"/>
                <w:color w:val="000000"/>
              </w:rPr>
              <w:t>, grantees, and technology end users</w:t>
            </w:r>
          </w:p>
        </w:tc>
        <w:tc>
          <w:tcPr>
            <w:tcW w:w="1223" w:type="dxa"/>
            <w:shd w:val="clear" w:color="auto" w:fill="auto"/>
          </w:tcPr>
          <w:p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477" w:type="dxa"/>
            <w:shd w:val="clear" w:color="auto" w:fill="auto"/>
          </w:tcPr>
          <w:p w:rsidR="00BB3935" w:rsidRPr="00BB3935" w:rsidRDefault="00E145E0"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250</w:t>
            </w:r>
          </w:p>
        </w:tc>
        <w:tc>
          <w:tcPr>
            <w:tcW w:w="1350" w:type="dxa"/>
            <w:shd w:val="clear" w:color="auto" w:fill="auto"/>
          </w:tcPr>
          <w:p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rsidR="00BB3935" w:rsidRPr="00BB3935" w:rsidRDefault="00E145E0"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125</w:t>
            </w:r>
          </w:p>
        </w:tc>
      </w:tr>
      <w:tr w:rsidR="0076702A" w:rsidRPr="00BB3935" w:rsidTr="007B7C94">
        <w:trPr>
          <w:trHeight w:val="215"/>
        </w:trPr>
        <w:tc>
          <w:tcPr>
            <w:tcW w:w="3415" w:type="dxa"/>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rsidR="0076702A" w:rsidRPr="007B7C94" w:rsidRDefault="00E145E0" w:rsidP="0076702A">
            <w:pPr>
              <w:widowControl w:val="0"/>
              <w:tabs>
                <w:tab w:val="left" w:pos="0"/>
              </w:tabs>
              <w:autoSpaceDE w:val="0"/>
              <w:autoSpaceDN w:val="0"/>
              <w:adjustRightInd w:val="0"/>
              <w:rPr>
                <w:rFonts w:asciiTheme="minorHAnsi" w:eastAsia="Calibri" w:hAnsiTheme="minorHAnsi" w:cs="EEAGN D+ Melior"/>
                <w:b/>
                <w:color w:val="000000"/>
              </w:rPr>
            </w:pPr>
            <w:r>
              <w:rPr>
                <w:rFonts w:asciiTheme="minorHAnsi" w:eastAsia="Calibri" w:hAnsiTheme="minorHAnsi" w:cs="EEAGN D+ Melior"/>
                <w:b/>
                <w:color w:val="000000"/>
              </w:rPr>
              <w:t>125</w:t>
            </w:r>
          </w:p>
        </w:tc>
      </w:tr>
    </w:tbl>
    <w:p w:rsidR="00920F4C" w:rsidRDefault="00920F4C" w:rsidP="00DC2CD8">
      <w:pPr>
        <w:jc w:val="both"/>
        <w:rPr>
          <w:rFonts w:asciiTheme="minorHAnsi" w:hAnsiTheme="minorHAnsi"/>
        </w:rPr>
      </w:pPr>
    </w:p>
    <w:p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0"/>
        <w:gridCol w:w="1260"/>
        <w:gridCol w:w="1350"/>
        <w:gridCol w:w="1260"/>
        <w:gridCol w:w="900"/>
        <w:gridCol w:w="990"/>
        <w:gridCol w:w="1345"/>
      </w:tblGrid>
      <w:tr w:rsidR="0076702A" w:rsidRPr="00BB3935" w:rsidTr="00532103">
        <w:tc>
          <w:tcPr>
            <w:tcW w:w="2155"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81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26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26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90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c>
          <w:tcPr>
            <w:tcW w:w="990" w:type="dxa"/>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Hourly Wage Rate</w:t>
            </w:r>
            <w:r w:rsidR="009E1E51" w:rsidRPr="00895A47">
              <w:rPr>
                <w:rFonts w:asciiTheme="minorHAnsi" w:eastAsia="Calibri" w:hAnsiTheme="minorHAnsi" w:cs="EEAGN D+ Melior"/>
                <w:b/>
                <w:color w:val="000000"/>
                <w:sz w:val="18"/>
              </w:rPr>
              <w:t>*</w:t>
            </w:r>
          </w:p>
        </w:tc>
        <w:tc>
          <w:tcPr>
            <w:tcW w:w="1345" w:type="dxa"/>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Respondent Costs</w:t>
            </w:r>
          </w:p>
        </w:tc>
      </w:tr>
      <w:tr w:rsidR="0076702A" w:rsidRPr="00BB3935" w:rsidTr="00532103">
        <w:tc>
          <w:tcPr>
            <w:tcW w:w="7735" w:type="dxa"/>
            <w:gridSpan w:val="6"/>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rsidTr="00532103">
        <w:trPr>
          <w:trHeight w:val="359"/>
        </w:trPr>
        <w:tc>
          <w:tcPr>
            <w:tcW w:w="2155" w:type="dxa"/>
            <w:shd w:val="clear" w:color="auto" w:fill="auto"/>
          </w:tcPr>
          <w:p w:rsidR="007B7C94" w:rsidRDefault="00E145E0" w:rsidP="007B7C94">
            <w:pPr>
              <w:widowControl w:val="0"/>
              <w:tabs>
                <w:tab w:val="left" w:pos="0"/>
              </w:tabs>
              <w:autoSpaceDE w:val="0"/>
              <w:autoSpaceDN w:val="0"/>
              <w:adjustRightInd w:val="0"/>
              <w:rPr>
                <w:rFonts w:asciiTheme="minorHAnsi" w:eastAsia="Calibri" w:hAnsiTheme="minorHAnsi" w:cs="EEAGN D+ Melior"/>
                <w:color w:val="000000"/>
              </w:rPr>
            </w:pPr>
            <w:r w:rsidRPr="00E145E0">
              <w:rPr>
                <w:rFonts w:asciiTheme="minorHAnsi" w:eastAsia="Calibri" w:hAnsiTheme="minorHAnsi" w:cs="EEAGN D+ Melior"/>
                <w:color w:val="000000"/>
              </w:rPr>
              <w:t>CDC staff (epidemiologists, statisticians, Health Scientist), grantees, and technology end users</w:t>
            </w:r>
          </w:p>
        </w:tc>
        <w:tc>
          <w:tcPr>
            <w:tcW w:w="81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sz w:val="14"/>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260" w:type="dxa"/>
            <w:shd w:val="clear" w:color="auto" w:fill="auto"/>
          </w:tcPr>
          <w:p w:rsidR="007B7C94" w:rsidRDefault="00E145E0"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250</w:t>
            </w:r>
          </w:p>
        </w:tc>
        <w:tc>
          <w:tcPr>
            <w:tcW w:w="135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26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r w:rsidR="00E145E0">
              <w:rPr>
                <w:rFonts w:asciiTheme="minorHAnsi" w:eastAsia="Calibri" w:hAnsiTheme="minorHAnsi" w:cs="EEAGN D+ Melior"/>
                <w:color w:val="000000"/>
              </w:rPr>
              <w:t>0</w:t>
            </w:r>
          </w:p>
        </w:tc>
        <w:tc>
          <w:tcPr>
            <w:tcW w:w="990" w:type="dxa"/>
          </w:tcPr>
          <w:p w:rsidR="00532103" w:rsidRDefault="00532103"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Average </w:t>
            </w:r>
          </w:p>
          <w:p w:rsidR="007B7C94" w:rsidRDefault="00E145E0"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38</w:t>
            </w:r>
            <w:r w:rsidR="00800A1B">
              <w:rPr>
                <w:rFonts w:asciiTheme="minorHAnsi" w:eastAsia="Calibri" w:hAnsiTheme="minorHAnsi" w:cs="EEAGN D+ Melior"/>
                <w:color w:val="000000"/>
              </w:rPr>
              <w:t>.</w:t>
            </w:r>
            <w:r>
              <w:rPr>
                <w:rFonts w:asciiTheme="minorHAnsi" w:eastAsia="Calibri" w:hAnsiTheme="minorHAnsi" w:cs="EEAGN D+ Melior"/>
                <w:color w:val="000000"/>
              </w:rPr>
              <w:t>72</w:t>
            </w:r>
          </w:p>
          <w:p w:rsidR="00800A1B" w:rsidRDefault="00800A1B" w:rsidP="007B7C94">
            <w:pPr>
              <w:widowControl w:val="0"/>
              <w:tabs>
                <w:tab w:val="left" w:pos="0"/>
              </w:tabs>
              <w:autoSpaceDE w:val="0"/>
              <w:autoSpaceDN w:val="0"/>
              <w:adjustRightInd w:val="0"/>
              <w:rPr>
                <w:rFonts w:asciiTheme="minorHAnsi" w:eastAsia="Calibri" w:hAnsiTheme="minorHAnsi" w:cs="EEAGN D+ Melior"/>
                <w:color w:val="000000"/>
              </w:rPr>
            </w:pPr>
          </w:p>
        </w:tc>
        <w:tc>
          <w:tcPr>
            <w:tcW w:w="1345" w:type="dxa"/>
          </w:tcPr>
          <w:p w:rsidR="007B7C94" w:rsidRDefault="00800A1B" w:rsidP="00E145E0">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w:t>
            </w:r>
            <w:r w:rsidR="00E145E0">
              <w:rPr>
                <w:rFonts w:asciiTheme="minorHAnsi" w:eastAsia="Calibri" w:hAnsiTheme="minorHAnsi" w:cs="EEAGN D+ Melior"/>
                <w:color w:val="000000"/>
              </w:rPr>
              <w:t>4840</w:t>
            </w:r>
          </w:p>
        </w:tc>
      </w:tr>
      <w:tr w:rsidR="0076702A" w:rsidRPr="00BB3935" w:rsidTr="00532103">
        <w:trPr>
          <w:trHeight w:val="260"/>
        </w:trPr>
        <w:tc>
          <w:tcPr>
            <w:tcW w:w="215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810" w:type="dxa"/>
            <w:shd w:val="clear" w:color="auto" w:fill="D9D9D9" w:themeFill="background1" w:themeFillShade="D9"/>
          </w:tcPr>
          <w:p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rsidR="0076702A" w:rsidRPr="00B90BE8" w:rsidRDefault="007A1C68" w:rsidP="00E145E0">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E145E0">
              <w:rPr>
                <w:rFonts w:asciiTheme="minorHAnsi" w:eastAsia="Calibri" w:hAnsiTheme="minorHAnsi" w:cs="EEAGN D+ Melior"/>
                <w:b/>
                <w:color w:val="000000"/>
              </w:rPr>
              <w:t>4840</w:t>
            </w:r>
            <w:r w:rsidR="00EC5F0F">
              <w:rPr>
                <w:rFonts w:asciiTheme="minorHAnsi" w:eastAsia="Calibri" w:hAnsiTheme="minorHAnsi" w:cs="EEAGN D+ Melior"/>
                <w:b/>
                <w:color w:val="000000"/>
              </w:rPr>
              <w:t>.00</w:t>
            </w:r>
          </w:p>
        </w:tc>
      </w:tr>
    </w:tbl>
    <w:p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w:t>
      </w:r>
      <w:r>
        <w:rPr>
          <w:rFonts w:asciiTheme="minorHAnsi" w:hAnsiTheme="minorHAnsi"/>
        </w:rPr>
        <w:t xml:space="preserve">from </w:t>
      </w:r>
      <w:hyperlink r:id="rId9" w:history="1">
        <w:r w:rsidRPr="00176B2F">
          <w:rPr>
            <w:rStyle w:val="Hyperlink"/>
            <w:rFonts w:asciiTheme="minorHAnsi" w:hAnsiTheme="minorHAnsi"/>
          </w:rPr>
          <w:t>http://www.bls.gov/home.htm</w:t>
        </w:r>
      </w:hyperlink>
      <w:r>
        <w:rPr>
          <w:rFonts w:asciiTheme="minorHAnsi" w:hAnsiTheme="minorHAnsi"/>
        </w:rPr>
        <w:t xml:space="preserve"> </w:t>
      </w:r>
    </w:p>
    <w:p w:rsidR="009E1E51" w:rsidRDefault="009E1E51"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4" w:name="_Toc466364042"/>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rsidTr="00AD41CC">
        <w:tc>
          <w:tcPr>
            <w:tcW w:w="5035" w:type="dxa"/>
          </w:tcPr>
          <w:p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rsidTr="00AD41CC">
        <w:tc>
          <w:tcPr>
            <w:tcW w:w="5035" w:type="dxa"/>
          </w:tcPr>
          <w:p w:rsidR="00B90BE8" w:rsidRPr="00126315" w:rsidRDefault="002873EC"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CDC Cost:</w:t>
            </w:r>
            <w:r w:rsidR="00B90BE8" w:rsidRPr="00126315">
              <w:rPr>
                <w:rFonts w:asciiTheme="minorHAnsi" w:hAnsiTheme="minorHAnsi"/>
                <w:sz w:val="20"/>
                <w:szCs w:val="22"/>
              </w:rPr>
              <w:t xml:space="preserve"> </w:t>
            </w:r>
            <w:r w:rsidR="00517502" w:rsidRPr="00126315">
              <w:rPr>
                <w:rFonts w:asciiTheme="minorHAnsi" w:hAnsiTheme="minorHAnsi"/>
                <w:sz w:val="20"/>
                <w:szCs w:val="22"/>
              </w:rPr>
              <w:t>Health Scientist</w:t>
            </w:r>
            <w:r w:rsidR="00B90BE8" w:rsidRPr="00126315">
              <w:rPr>
                <w:rFonts w:asciiTheme="minorHAnsi" w:hAnsiTheme="minorHAnsi"/>
                <w:sz w:val="20"/>
                <w:szCs w:val="22"/>
              </w:rPr>
              <w:t xml:space="preserve"> (</w:t>
            </w:r>
            <w:r w:rsidR="00800A1B" w:rsidRPr="00126315">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rsidR="00B90BE8" w:rsidRPr="00126315" w:rsidRDefault="00B90BE8"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800A1B" w:rsidRPr="00126315">
              <w:rPr>
                <w:rFonts w:asciiTheme="minorHAnsi" w:hAnsiTheme="minorHAnsi"/>
                <w:sz w:val="20"/>
                <w:szCs w:val="22"/>
              </w:rPr>
              <w:t>5</w:t>
            </w:r>
            <w:r w:rsidR="00517502" w:rsidRPr="00126315">
              <w:rPr>
                <w:rFonts w:asciiTheme="minorHAnsi" w:hAnsiTheme="minorHAnsi"/>
                <w:sz w:val="20"/>
                <w:szCs w:val="22"/>
              </w:rPr>
              <w:t>,</w:t>
            </w:r>
            <w:r w:rsidR="00532103" w:rsidRPr="00126315">
              <w:rPr>
                <w:rFonts w:asciiTheme="minorHAnsi" w:hAnsiTheme="minorHAnsi"/>
                <w:sz w:val="20"/>
                <w:szCs w:val="22"/>
              </w:rPr>
              <w:t>00</w:t>
            </w:r>
            <w:r w:rsidR="00517502" w:rsidRPr="00126315">
              <w:rPr>
                <w:rFonts w:asciiTheme="minorHAnsi" w:hAnsiTheme="minorHAnsi"/>
                <w:sz w:val="20"/>
                <w:szCs w:val="22"/>
              </w:rPr>
              <w:t>0.00</w:t>
            </w:r>
          </w:p>
        </w:tc>
      </w:tr>
      <w:tr w:rsidR="00B90BE8" w:rsidRPr="00B4537B" w:rsidTr="00532103">
        <w:trPr>
          <w:trHeight w:val="243"/>
        </w:trPr>
        <w:tc>
          <w:tcPr>
            <w:tcW w:w="5035" w:type="dxa"/>
          </w:tcPr>
          <w:p w:rsidR="00B90BE8" w:rsidRPr="00126315"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CDC Cost: </w:t>
            </w:r>
            <w:r w:rsidR="00532103" w:rsidRPr="00126315">
              <w:rPr>
                <w:rFonts w:asciiTheme="minorHAnsi" w:hAnsiTheme="minorHAnsi"/>
                <w:sz w:val="20"/>
                <w:szCs w:val="22"/>
              </w:rPr>
              <w:t>PH Advisor</w:t>
            </w:r>
            <w:r w:rsidR="00517502" w:rsidRPr="00126315">
              <w:rPr>
                <w:rFonts w:asciiTheme="minorHAnsi" w:hAnsiTheme="minorHAnsi"/>
                <w:sz w:val="20"/>
                <w:szCs w:val="22"/>
              </w:rPr>
              <w:t xml:space="preserve"> (</w:t>
            </w:r>
            <w:r w:rsidR="00532103" w:rsidRPr="00126315">
              <w:rPr>
                <w:rFonts w:asciiTheme="minorHAnsi" w:hAnsiTheme="minorHAnsi"/>
                <w:sz w:val="20"/>
                <w:szCs w:val="22"/>
              </w:rPr>
              <w:t>2</w:t>
            </w:r>
            <w:r w:rsidR="00B90BE8" w:rsidRPr="00126315">
              <w:rPr>
                <w:rFonts w:asciiTheme="minorHAnsi" w:hAnsiTheme="minorHAnsi"/>
                <w:sz w:val="20"/>
                <w:szCs w:val="22"/>
              </w:rPr>
              <w:t>% of Time)</w:t>
            </w:r>
          </w:p>
        </w:tc>
        <w:tc>
          <w:tcPr>
            <w:tcW w:w="1350" w:type="dxa"/>
          </w:tcPr>
          <w:p w:rsidR="00B90BE8" w:rsidRPr="00126315" w:rsidRDefault="00B90BE8"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517502" w:rsidRPr="00126315">
              <w:rPr>
                <w:rFonts w:asciiTheme="minorHAnsi" w:hAnsiTheme="minorHAnsi"/>
                <w:sz w:val="20"/>
                <w:szCs w:val="22"/>
              </w:rPr>
              <w:t>3,600.00</w:t>
            </w:r>
          </w:p>
        </w:tc>
      </w:tr>
      <w:tr w:rsidR="00664B37" w:rsidRPr="00B4537B" w:rsidTr="00AD41CC">
        <w:tc>
          <w:tcPr>
            <w:tcW w:w="5035" w:type="dxa"/>
          </w:tcPr>
          <w:p w:rsidR="00664B37" w:rsidRPr="00126315"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Total</w:t>
            </w:r>
          </w:p>
        </w:tc>
        <w:tc>
          <w:tcPr>
            <w:tcW w:w="1350" w:type="dxa"/>
          </w:tcPr>
          <w:p w:rsidR="00664B37" w:rsidRPr="00126315" w:rsidRDefault="00EC5F0F"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Pr>
                <w:rFonts w:asciiTheme="minorHAnsi" w:hAnsiTheme="minorHAnsi"/>
                <w:b/>
                <w:sz w:val="20"/>
                <w:szCs w:val="22"/>
              </w:rPr>
              <w:t xml:space="preserve"> </w:t>
            </w:r>
            <w:r w:rsidR="00800A1B" w:rsidRPr="00126315">
              <w:rPr>
                <w:rFonts w:asciiTheme="minorHAnsi" w:hAnsiTheme="minorHAnsi"/>
                <w:b/>
                <w:sz w:val="20"/>
                <w:szCs w:val="22"/>
              </w:rPr>
              <w:t>$8</w:t>
            </w:r>
            <w:r w:rsidR="00532103" w:rsidRPr="00126315">
              <w:rPr>
                <w:rFonts w:asciiTheme="minorHAnsi" w:hAnsiTheme="minorHAnsi"/>
                <w:b/>
                <w:sz w:val="20"/>
                <w:szCs w:val="22"/>
              </w:rPr>
              <w:t>,600</w:t>
            </w:r>
            <w:r w:rsidR="00517502" w:rsidRPr="00126315">
              <w:rPr>
                <w:rFonts w:asciiTheme="minorHAnsi" w:hAnsiTheme="minorHAnsi"/>
                <w:b/>
                <w:sz w:val="20"/>
                <w:szCs w:val="22"/>
              </w:rPr>
              <w:t>.00</w:t>
            </w:r>
          </w:p>
        </w:tc>
      </w:tr>
    </w:tbl>
    <w:p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rsidR="00920F4C" w:rsidRPr="009A5895" w:rsidRDefault="00920F4C" w:rsidP="005B2A35">
      <w:pPr>
        <w:pStyle w:val="Heading3"/>
        <w:rPr>
          <w:rFonts w:asciiTheme="minorHAnsi" w:hAnsiTheme="minorHAnsi" w:cs="Times New Roman"/>
          <w:sz w:val="22"/>
          <w:szCs w:val="22"/>
        </w:rPr>
      </w:pPr>
    </w:p>
    <w:p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rsidR="00920F4C" w:rsidRDefault="005E2958" w:rsidP="00BC1559">
      <w:r w:rsidRPr="005E2958">
        <w:t xml:space="preserve">The proposed interviews will be conducted </w:t>
      </w:r>
      <w:r w:rsidR="00490A24">
        <w:t xml:space="preserve">within </w:t>
      </w:r>
      <w:r w:rsidR="004A464E">
        <w:t>3-6</w:t>
      </w:r>
      <w:r w:rsidR="00490A24">
        <w:t xml:space="preserve"> months after approval of </w:t>
      </w:r>
      <w:proofErr w:type="spellStart"/>
      <w:r w:rsidR="00490A24">
        <w:t>GenIC</w:t>
      </w:r>
      <w:proofErr w:type="spellEnd"/>
      <w:r w:rsidRPr="005E2958">
        <w:t xml:space="preserve">.  </w:t>
      </w:r>
      <w:r w:rsidR="00635A52">
        <w:t>There is n</w:t>
      </w:r>
      <w:r w:rsidR="00CF5954">
        <w:t xml:space="preserve">o planned publication from this information collection. </w:t>
      </w:r>
      <w:r w:rsidRPr="005E2958">
        <w:t xml:space="preserve">Interim reports </w:t>
      </w:r>
      <w:r w:rsidR="00930227">
        <w:t xml:space="preserve">will be developed, </w:t>
      </w:r>
      <w:r w:rsidRPr="005E2958">
        <w:t>which will incorporate data collected from these sources in 20</w:t>
      </w:r>
      <w:r>
        <w:t>17 and 2018</w:t>
      </w:r>
      <w:r w:rsidRPr="005E2958">
        <w:t>.</w:t>
      </w:r>
    </w:p>
    <w:p w:rsidR="005E2958" w:rsidRPr="005E2958" w:rsidRDefault="005E2958" w:rsidP="005E2958"/>
    <w:p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lastRenderedPageBreak/>
        <w:t>17. Reason(s) Display of OMB Expiration Date is Inappropriate</w:t>
      </w:r>
      <w:bookmarkEnd w:id="18"/>
      <w:r w:rsidRPr="009A5895">
        <w:rPr>
          <w:rFonts w:asciiTheme="minorHAnsi" w:hAnsiTheme="minorHAnsi"/>
          <w:sz w:val="22"/>
          <w:szCs w:val="22"/>
        </w:rPr>
        <w:t xml:space="preserve"> </w:t>
      </w:r>
    </w:p>
    <w:p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rsidR="00B4537B" w:rsidRPr="009A5895" w:rsidRDefault="00B4537B" w:rsidP="00DC31EF">
      <w:pPr>
        <w:rPr>
          <w:rFonts w:asciiTheme="minorHAnsi" w:hAnsiTheme="minorHAnsi"/>
        </w:rPr>
      </w:pPr>
    </w:p>
    <w:p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1A9" w:rsidRDefault="007961A9" w:rsidP="008B5D54">
      <w:r>
        <w:separator/>
      </w:r>
    </w:p>
  </w:endnote>
  <w:endnote w:type="continuationSeparator" w:id="0">
    <w:p w:rsidR="007961A9" w:rsidRDefault="007961A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1A9" w:rsidRDefault="007961A9" w:rsidP="008B5D54">
      <w:r>
        <w:separator/>
      </w:r>
    </w:p>
  </w:footnote>
  <w:footnote w:type="continuationSeparator" w:id="0">
    <w:p w:rsidR="007961A9" w:rsidRDefault="007961A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6"/>
    <w:multiLevelType w:val="singleLevel"/>
    <w:tmpl w:val="00000000"/>
    <w:lvl w:ilvl="0">
      <w:start w:val="1"/>
      <w:numFmt w:val="lowerLetter"/>
      <w:pStyle w:val="Quicka"/>
      <w:lvlText w:val="%1."/>
      <w:lvlJc w:val="left"/>
      <w:pPr>
        <w:tabs>
          <w:tab w:val="num" w:pos="1440"/>
        </w:tabs>
      </w:pPr>
    </w:lvl>
  </w:abstractNum>
  <w:abstractNum w:abstractNumId="2" w15:restartNumberingAfterBreak="0">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51F43"/>
    <w:multiLevelType w:val="hybridMultilevel"/>
    <w:tmpl w:val="597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14BD1"/>
    <w:multiLevelType w:val="hybridMultilevel"/>
    <w:tmpl w:val="B4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0"/>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9"/>
  </w:num>
  <w:num w:numId="11">
    <w:abstractNumId w:val="7"/>
  </w:num>
  <w:num w:numId="12">
    <w:abstractNumId w:val="11"/>
  </w:num>
  <w:num w:numId="13">
    <w:abstractNumId w:val="12"/>
  </w:num>
  <w:num w:numId="14">
    <w:abstractNumId w:val="8"/>
  </w:num>
  <w:num w:numId="15">
    <w:abstractNumId w:val="4"/>
  </w:num>
  <w:num w:numId="16">
    <w:abstractNumId w:val="18"/>
  </w:num>
  <w:num w:numId="17">
    <w:abstractNumId w:val="16"/>
  </w:num>
  <w:num w:numId="18">
    <w:abstractNumId w:val="3"/>
  </w:num>
  <w:num w:numId="19">
    <w:abstractNumId w:val="14"/>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5"/>
  </w:num>
  <w:num w:numId="23">
    <w:abstractNumId w:val="6"/>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5C"/>
    <w:rsid w:val="0000485E"/>
    <w:rsid w:val="00006798"/>
    <w:rsid w:val="00011201"/>
    <w:rsid w:val="0002094C"/>
    <w:rsid w:val="0003143E"/>
    <w:rsid w:val="00032176"/>
    <w:rsid w:val="000419D3"/>
    <w:rsid w:val="00095972"/>
    <w:rsid w:val="000A359E"/>
    <w:rsid w:val="000C6919"/>
    <w:rsid w:val="000F671D"/>
    <w:rsid w:val="0011411D"/>
    <w:rsid w:val="00124901"/>
    <w:rsid w:val="00126315"/>
    <w:rsid w:val="001501D5"/>
    <w:rsid w:val="00181FB0"/>
    <w:rsid w:val="00185415"/>
    <w:rsid w:val="001F1862"/>
    <w:rsid w:val="002015E5"/>
    <w:rsid w:val="00212D0C"/>
    <w:rsid w:val="00212D75"/>
    <w:rsid w:val="00227FD4"/>
    <w:rsid w:val="00233338"/>
    <w:rsid w:val="002773AE"/>
    <w:rsid w:val="002873EC"/>
    <w:rsid w:val="00292050"/>
    <w:rsid w:val="002B470C"/>
    <w:rsid w:val="002C0065"/>
    <w:rsid w:val="002E70A7"/>
    <w:rsid w:val="002F03D6"/>
    <w:rsid w:val="002F256F"/>
    <w:rsid w:val="002F2EBF"/>
    <w:rsid w:val="00304C7F"/>
    <w:rsid w:val="0032181C"/>
    <w:rsid w:val="003252BB"/>
    <w:rsid w:val="00342807"/>
    <w:rsid w:val="00354330"/>
    <w:rsid w:val="00393152"/>
    <w:rsid w:val="003C1CC0"/>
    <w:rsid w:val="003D4FD1"/>
    <w:rsid w:val="003F68F7"/>
    <w:rsid w:val="00421FD7"/>
    <w:rsid w:val="00424A4F"/>
    <w:rsid w:val="0044424C"/>
    <w:rsid w:val="0044512B"/>
    <w:rsid w:val="00476461"/>
    <w:rsid w:val="00490A24"/>
    <w:rsid w:val="004948C5"/>
    <w:rsid w:val="00494E3D"/>
    <w:rsid w:val="00496336"/>
    <w:rsid w:val="004A464E"/>
    <w:rsid w:val="004B3263"/>
    <w:rsid w:val="004D2B63"/>
    <w:rsid w:val="004D6BE6"/>
    <w:rsid w:val="00502F72"/>
    <w:rsid w:val="00503F9F"/>
    <w:rsid w:val="005064A5"/>
    <w:rsid w:val="0051095B"/>
    <w:rsid w:val="00517502"/>
    <w:rsid w:val="00530220"/>
    <w:rsid w:val="00532103"/>
    <w:rsid w:val="00537AEF"/>
    <w:rsid w:val="00550CE9"/>
    <w:rsid w:val="00556E61"/>
    <w:rsid w:val="00563488"/>
    <w:rsid w:val="00566116"/>
    <w:rsid w:val="00576A6E"/>
    <w:rsid w:val="005A1ED3"/>
    <w:rsid w:val="005A355F"/>
    <w:rsid w:val="005B2A35"/>
    <w:rsid w:val="005C68CD"/>
    <w:rsid w:val="005E1A4C"/>
    <w:rsid w:val="005E2958"/>
    <w:rsid w:val="00604F78"/>
    <w:rsid w:val="006174E8"/>
    <w:rsid w:val="00630F27"/>
    <w:rsid w:val="00635A52"/>
    <w:rsid w:val="00636770"/>
    <w:rsid w:val="00664B37"/>
    <w:rsid w:val="00681832"/>
    <w:rsid w:val="00690B97"/>
    <w:rsid w:val="006A01F6"/>
    <w:rsid w:val="006C6578"/>
    <w:rsid w:val="006C74FA"/>
    <w:rsid w:val="006D1DC4"/>
    <w:rsid w:val="006D5784"/>
    <w:rsid w:val="006E3F42"/>
    <w:rsid w:val="006E7523"/>
    <w:rsid w:val="006F3E99"/>
    <w:rsid w:val="007035A9"/>
    <w:rsid w:val="00713E50"/>
    <w:rsid w:val="00726232"/>
    <w:rsid w:val="0074690D"/>
    <w:rsid w:val="007527DE"/>
    <w:rsid w:val="007554A9"/>
    <w:rsid w:val="00765A29"/>
    <w:rsid w:val="0076702A"/>
    <w:rsid w:val="00775E10"/>
    <w:rsid w:val="00777E62"/>
    <w:rsid w:val="00781AD2"/>
    <w:rsid w:val="00782172"/>
    <w:rsid w:val="00782B24"/>
    <w:rsid w:val="00791C1B"/>
    <w:rsid w:val="00795F94"/>
    <w:rsid w:val="007961A9"/>
    <w:rsid w:val="007A1C68"/>
    <w:rsid w:val="007A387F"/>
    <w:rsid w:val="007B4517"/>
    <w:rsid w:val="007B6085"/>
    <w:rsid w:val="007B7C94"/>
    <w:rsid w:val="007C0ACA"/>
    <w:rsid w:val="007C34F9"/>
    <w:rsid w:val="007C3E1C"/>
    <w:rsid w:val="007D5B5C"/>
    <w:rsid w:val="007E1CB9"/>
    <w:rsid w:val="00800A1B"/>
    <w:rsid w:val="00811811"/>
    <w:rsid w:val="0081233C"/>
    <w:rsid w:val="0081264D"/>
    <w:rsid w:val="00821335"/>
    <w:rsid w:val="0084673A"/>
    <w:rsid w:val="00862D9C"/>
    <w:rsid w:val="00874423"/>
    <w:rsid w:val="008935E8"/>
    <w:rsid w:val="00895A47"/>
    <w:rsid w:val="008A7793"/>
    <w:rsid w:val="008B5D54"/>
    <w:rsid w:val="009009E4"/>
    <w:rsid w:val="00910328"/>
    <w:rsid w:val="009171C1"/>
    <w:rsid w:val="00920F4C"/>
    <w:rsid w:val="00930227"/>
    <w:rsid w:val="0093466B"/>
    <w:rsid w:val="00982C31"/>
    <w:rsid w:val="0098525C"/>
    <w:rsid w:val="009A1CBA"/>
    <w:rsid w:val="009A5895"/>
    <w:rsid w:val="009D0A70"/>
    <w:rsid w:val="009E1E51"/>
    <w:rsid w:val="009E763B"/>
    <w:rsid w:val="009F0A0D"/>
    <w:rsid w:val="00A013EA"/>
    <w:rsid w:val="00A17B6F"/>
    <w:rsid w:val="00A2070F"/>
    <w:rsid w:val="00A2193E"/>
    <w:rsid w:val="00A33B57"/>
    <w:rsid w:val="00A54A62"/>
    <w:rsid w:val="00A73F24"/>
    <w:rsid w:val="00AA0D3F"/>
    <w:rsid w:val="00AA1252"/>
    <w:rsid w:val="00AB001E"/>
    <w:rsid w:val="00AC0988"/>
    <w:rsid w:val="00AC50F8"/>
    <w:rsid w:val="00AD41CC"/>
    <w:rsid w:val="00AF26D0"/>
    <w:rsid w:val="00B27E61"/>
    <w:rsid w:val="00B4537B"/>
    <w:rsid w:val="00B55735"/>
    <w:rsid w:val="00B608AC"/>
    <w:rsid w:val="00B66115"/>
    <w:rsid w:val="00B740D4"/>
    <w:rsid w:val="00B749C1"/>
    <w:rsid w:val="00B75614"/>
    <w:rsid w:val="00B84964"/>
    <w:rsid w:val="00B90BE8"/>
    <w:rsid w:val="00B96E35"/>
    <w:rsid w:val="00BB1427"/>
    <w:rsid w:val="00BB3935"/>
    <w:rsid w:val="00BC1559"/>
    <w:rsid w:val="00BE262B"/>
    <w:rsid w:val="00BE2DCA"/>
    <w:rsid w:val="00C0273B"/>
    <w:rsid w:val="00C05BF4"/>
    <w:rsid w:val="00C274A3"/>
    <w:rsid w:val="00C51751"/>
    <w:rsid w:val="00C63994"/>
    <w:rsid w:val="00C733B1"/>
    <w:rsid w:val="00C845E2"/>
    <w:rsid w:val="00C9419F"/>
    <w:rsid w:val="00CA23C8"/>
    <w:rsid w:val="00CD66EE"/>
    <w:rsid w:val="00CF5954"/>
    <w:rsid w:val="00D022A6"/>
    <w:rsid w:val="00D04958"/>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E20D9"/>
    <w:rsid w:val="00DE3087"/>
    <w:rsid w:val="00DE5340"/>
    <w:rsid w:val="00DF0E32"/>
    <w:rsid w:val="00DF2AA3"/>
    <w:rsid w:val="00E145E0"/>
    <w:rsid w:val="00E16F26"/>
    <w:rsid w:val="00E4051A"/>
    <w:rsid w:val="00E53DD3"/>
    <w:rsid w:val="00E55615"/>
    <w:rsid w:val="00E6543B"/>
    <w:rsid w:val="00EB54C7"/>
    <w:rsid w:val="00EC5F0F"/>
    <w:rsid w:val="00ED01F1"/>
    <w:rsid w:val="00ED67BF"/>
    <w:rsid w:val="00EE1012"/>
    <w:rsid w:val="00EE2AF7"/>
    <w:rsid w:val="00EE69C2"/>
    <w:rsid w:val="00F21FD6"/>
    <w:rsid w:val="00F52FC0"/>
    <w:rsid w:val="00F55D7F"/>
    <w:rsid w:val="00F83FB1"/>
    <w:rsid w:val="00F857DE"/>
    <w:rsid w:val="00FA190A"/>
    <w:rsid w:val="00FD1AED"/>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394549457">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s.gov/home.ht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5B9BD5"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2E74B5" w:themeColor="accent1" w:themeShade="BF"/>
              <w:sz w:val="24"/>
              <w:szCs w:val="24"/>
            </w:rPr>
            <w:t>[Document subtitle]</w:t>
          </w:r>
        </w:p>
      </w:docPartBody>
    </w:docPart>
    <w:docPart>
      <w:docPartPr>
        <w:name w:val="2409B089EF5643F6973972B9055846C9"/>
        <w:category>
          <w:name w:val="General"/>
          <w:gallery w:val="placeholder"/>
        </w:category>
        <w:types>
          <w:type w:val="bbPlcHdr"/>
        </w:types>
        <w:behaviors>
          <w:behavior w:val="content"/>
        </w:behaviors>
        <w:guid w:val="{9AB3D45B-3FE3-4E02-9441-E424DC202641}"/>
      </w:docPartPr>
      <w:docPartBody>
        <w:p w:rsidR="006B5C6D" w:rsidRDefault="001352AD" w:rsidP="001352AD">
          <w:pPr>
            <w:pStyle w:val="2409B089EF5643F6973972B9055846C9"/>
          </w:pPr>
          <w:r>
            <w:rPr>
              <w:color w:val="5B9BD5"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AD"/>
    <w:rsid w:val="001352AD"/>
    <w:rsid w:val="004D7127"/>
    <w:rsid w:val="006B5C6D"/>
    <w:rsid w:val="00892411"/>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5504F1-2450-4BE6-BED0-128D8B49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I-Catalyst Program -  IIU Design Sprint</vt:lpstr>
    </vt:vector>
  </TitlesOfParts>
  <Manager/>
  <Company/>
  <LinksUpToDate>false</LinksUpToDate>
  <CharactersWithSpaces>13525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IIU Design Sprint</dc:title>
  <dc:subject>GenIC Submission under OMB #0920-1158</dc:subject>
  <dc:creator/>
  <cp:keywords/>
  <dc:description/>
  <cp:lastModifiedBy/>
  <cp:revision>1</cp:revision>
  <dcterms:created xsi:type="dcterms:W3CDTF">2017-04-26T14:21:00Z</dcterms:created>
  <dcterms:modified xsi:type="dcterms:W3CDTF">2017-05-10T19:32:00Z</dcterms:modified>
</cp:coreProperties>
</file>