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D4" w:rsidRDefault="007166D4"/>
    <w:p w:rsidR="007166D4" w:rsidRDefault="00A27248" w:rsidP="007166D4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>
            <wp:extent cx="7267575" cy="933450"/>
            <wp:effectExtent l="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RDefault="00403FD8" w:rsidP="007166D4"/>
    <w:p w:rsidR="007166D4" w:rsidRPr="00A21C7D" w:rsidRDefault="007166D4" w:rsidP="007166D4">
      <w:r w:rsidRPr="00A21C7D">
        <w:t>DATE:</w:t>
      </w:r>
      <w:r w:rsidRPr="00A21C7D">
        <w:tab/>
      </w:r>
      <w:r w:rsidRPr="00A21C7D">
        <w:tab/>
      </w:r>
      <w:r w:rsidR="00B27267" w:rsidRPr="00F47042">
        <w:t xml:space="preserve">November </w:t>
      </w:r>
      <w:r w:rsidR="005813E6" w:rsidRPr="00F47042">
        <w:t>10</w:t>
      </w:r>
      <w:r w:rsidR="00A27248" w:rsidRPr="00F47042">
        <w:t>, 2016</w:t>
      </w:r>
    </w:p>
    <w:p w:rsidR="00D4642D" w:rsidRPr="00A21C7D" w:rsidRDefault="00D4642D" w:rsidP="007166D4"/>
    <w:p w:rsidR="00A27248" w:rsidRPr="00210935" w:rsidRDefault="00A27248" w:rsidP="00A27248">
      <w:pPr>
        <w:tabs>
          <w:tab w:val="left" w:pos="720"/>
          <w:tab w:val="left" w:pos="1440"/>
        </w:tabs>
      </w:pPr>
      <w:r w:rsidRPr="00210935">
        <w:t>TO:</w:t>
      </w:r>
      <w:r>
        <w:tab/>
      </w:r>
      <w:r>
        <w:tab/>
        <w:t>S</w:t>
      </w:r>
      <w:r w:rsidRPr="00210935">
        <w:t>t</w:t>
      </w:r>
      <w:r>
        <w:t xml:space="preserve">ephanie </w:t>
      </w:r>
      <w:proofErr w:type="spellStart"/>
      <w:r>
        <w:t>Mok</w:t>
      </w:r>
      <w:proofErr w:type="spellEnd"/>
      <w:r>
        <w:t>, OMB</w:t>
      </w:r>
    </w:p>
    <w:p w:rsidR="00A27248" w:rsidRPr="00210935" w:rsidRDefault="00A27248" w:rsidP="00A27248">
      <w:r w:rsidRPr="00210935">
        <w:t>Through:</w:t>
      </w:r>
      <w:r w:rsidRPr="00210935">
        <w:tab/>
      </w:r>
      <w:r>
        <w:t>Darius Taylor</w:t>
      </w:r>
      <w:r w:rsidRPr="00210935">
        <w:t>, DHHS</w:t>
      </w:r>
    </w:p>
    <w:p w:rsidR="00A27248" w:rsidRPr="00210935" w:rsidRDefault="00A27248" w:rsidP="00A27248">
      <w:r w:rsidRPr="00210935">
        <w:tab/>
      </w:r>
      <w:r w:rsidRPr="00210935">
        <w:tab/>
        <w:t xml:space="preserve">Mikia P. Currie, NIH </w:t>
      </w:r>
    </w:p>
    <w:p w:rsidR="00A27248" w:rsidRPr="00210935" w:rsidRDefault="00A27248" w:rsidP="00A27248">
      <w:r w:rsidRPr="00210935">
        <w:tab/>
      </w:r>
      <w:r w:rsidRPr="00210935">
        <w:tab/>
        <w:t>Celia Wolfman, FIC</w:t>
      </w:r>
    </w:p>
    <w:p w:rsidR="00A27248" w:rsidRPr="00210935" w:rsidRDefault="00A27248" w:rsidP="00A27248"/>
    <w:p w:rsidR="00A27248" w:rsidRPr="002B2773" w:rsidRDefault="00A27248" w:rsidP="00A27248">
      <w:r w:rsidRPr="00210935">
        <w:t>FROM:</w:t>
      </w:r>
      <w:r w:rsidRPr="00210935">
        <w:tab/>
      </w:r>
      <w:r>
        <w:t>Mikia Currie</w:t>
      </w:r>
      <w:r w:rsidRPr="002B2773">
        <w:tab/>
      </w:r>
    </w:p>
    <w:p w:rsidR="00A27248" w:rsidRDefault="00A27248" w:rsidP="00A27248">
      <w:r w:rsidRPr="002B2773">
        <w:tab/>
      </w:r>
      <w:r w:rsidRPr="002B2773">
        <w:tab/>
        <w:t>Chief, Project Clearance Branch</w:t>
      </w:r>
    </w:p>
    <w:p w:rsidR="007166D4" w:rsidRPr="00A21C7D" w:rsidRDefault="007166D4" w:rsidP="007166D4"/>
    <w:p w:rsidR="007166D4" w:rsidRPr="00A21C7D" w:rsidRDefault="007166D4" w:rsidP="007166D4">
      <w:pPr>
        <w:ind w:left="1440" w:hanging="1440"/>
      </w:pPr>
      <w:r w:rsidRPr="00A21C7D">
        <w:t>SUBJECT:</w:t>
      </w:r>
      <w:r w:rsidRPr="00A21C7D">
        <w:tab/>
        <w:t>Change Request to</w:t>
      </w:r>
      <w:r w:rsidR="002B6138" w:rsidRPr="00A21C7D">
        <w:t xml:space="preserve"> a C</w:t>
      </w:r>
      <w:r w:rsidR="00FC7934" w:rsidRPr="00A21C7D">
        <w:t>urrently</w:t>
      </w:r>
      <w:r w:rsidRPr="00A21C7D">
        <w:t xml:space="preserve"> Approved Form  </w:t>
      </w:r>
    </w:p>
    <w:p w:rsidR="007166D4" w:rsidRPr="00A21C7D" w:rsidRDefault="007166D4" w:rsidP="007166D4">
      <w:pPr>
        <w:ind w:left="1440"/>
      </w:pPr>
      <w:r w:rsidRPr="00A21C7D">
        <w:t>(OMB # 0925-000</w:t>
      </w:r>
      <w:r w:rsidR="002B4520">
        <w:t>1</w:t>
      </w:r>
      <w:r w:rsidRPr="00A21C7D">
        <w:t xml:space="preserve">, Expiration Date </w:t>
      </w:r>
      <w:r w:rsidR="007C0A4E">
        <w:t>10/31/2018</w:t>
      </w:r>
      <w:r w:rsidRPr="00A21C7D">
        <w:t>)</w:t>
      </w:r>
    </w:p>
    <w:p w:rsidR="007166D4" w:rsidRPr="00A21C7D" w:rsidRDefault="007166D4"/>
    <w:p w:rsidR="00B27267" w:rsidRDefault="00D97A9D" w:rsidP="00284CED">
      <w:r w:rsidRPr="00A21C7D">
        <w:t xml:space="preserve">In </w:t>
      </w:r>
      <w:r w:rsidR="007C0A4E">
        <w:t>October</w:t>
      </w:r>
      <w:r w:rsidRPr="00A21C7D">
        <w:t xml:space="preserve"> 201</w:t>
      </w:r>
      <w:r w:rsidR="007C0A4E">
        <w:t>5</w:t>
      </w:r>
      <w:r w:rsidR="00A27248">
        <w:t>,</w:t>
      </w:r>
      <w:r w:rsidRPr="00A21C7D">
        <w:t xml:space="preserve"> NIH received approval of all pre-award application forms under OMB Collection number 0925-0001, as well as post-award forms in </w:t>
      </w:r>
      <w:r w:rsidR="00467F87">
        <w:t>OMB</w:t>
      </w:r>
      <w:bookmarkStart w:id="0" w:name="_GoBack"/>
      <w:bookmarkEnd w:id="0"/>
      <w:r w:rsidR="00467F87">
        <w:t xml:space="preserve"> </w:t>
      </w:r>
      <w:r w:rsidRPr="00A21C7D">
        <w:t xml:space="preserve">Collection 0925-0002. </w:t>
      </w:r>
      <w:r w:rsidR="00957CB8" w:rsidRPr="00A21C7D">
        <w:t xml:space="preserve">NIH is requesting </w:t>
      </w:r>
      <w:r w:rsidR="007166D4" w:rsidRPr="00A21C7D">
        <w:t>non-substantive c</w:t>
      </w:r>
      <w:r w:rsidR="007757CD" w:rsidRPr="00A21C7D">
        <w:t xml:space="preserve">hanges </w:t>
      </w:r>
      <w:r w:rsidR="007166D4" w:rsidRPr="00A21C7D">
        <w:t xml:space="preserve">to </w:t>
      </w:r>
      <w:r w:rsidR="00B27267">
        <w:t>(1)</w:t>
      </w:r>
      <w:r w:rsidR="003C4003">
        <w:t xml:space="preserve"> form</w:t>
      </w:r>
      <w:r w:rsidR="00B27267">
        <w:t xml:space="preserve"> </w:t>
      </w:r>
      <w:r w:rsidR="003C4003" w:rsidRPr="003C4003">
        <w:t>(9B) approved under 0925-0001 which do not change the approved data collection or anticipated burden hours</w:t>
      </w:r>
      <w:r w:rsidR="003C4003">
        <w:t xml:space="preserve">, (2) and forms </w:t>
      </w:r>
      <w:r w:rsidR="003C4003">
        <w:rPr>
          <w:rStyle w:val="Heading6Char"/>
          <w:rFonts w:ascii="Times New Roman" w:eastAsia="Calibri" w:hAnsi="Times New Roman"/>
          <w:i w:val="0"/>
          <w:color w:val="auto"/>
        </w:rPr>
        <w:t>5N, 5P, 5R, and 6A which do not change the approved data collection or anticipated burden hours.</w:t>
      </w:r>
      <w:r w:rsidR="003C4003">
        <w:t xml:space="preserve">  Lastly, NIH is requesting non-substantive changes to</w:t>
      </w:r>
      <w:r w:rsidR="00B27267">
        <w:t xml:space="preserve"> </w:t>
      </w:r>
      <w:r w:rsidR="00377A1A">
        <w:t>prior approval requests collected</w:t>
      </w:r>
      <w:r w:rsidR="00A27248">
        <w:t xml:space="preserve"> under </w:t>
      </w:r>
      <w:r w:rsidR="002B6138" w:rsidRPr="00A21C7D">
        <w:t>0925-000</w:t>
      </w:r>
      <w:r w:rsidR="002B4520">
        <w:t>1</w:t>
      </w:r>
      <w:r w:rsidR="002B6138" w:rsidRPr="00A21C7D">
        <w:t xml:space="preserve"> </w:t>
      </w:r>
      <w:r w:rsidR="000E1386" w:rsidRPr="00A21C7D">
        <w:t>which do</w:t>
      </w:r>
      <w:r w:rsidR="002F7317" w:rsidRPr="00A21C7D">
        <w:t xml:space="preserve"> not change the approved data collection or anticipated burden hours</w:t>
      </w:r>
      <w:r w:rsidR="00284CED" w:rsidRPr="00A21C7D">
        <w:t xml:space="preserve">. </w:t>
      </w:r>
      <w:r w:rsidR="00403FD8" w:rsidRPr="00607FCB">
        <w:rPr>
          <w:u w:val="single"/>
        </w:rPr>
        <w:t>There is no new data collection being proposed on any of the existing forms</w:t>
      </w:r>
      <w:r w:rsidR="00A20BDE" w:rsidRPr="00607FCB">
        <w:rPr>
          <w:u w:val="single"/>
        </w:rPr>
        <w:t>.</w:t>
      </w:r>
      <w:r w:rsidR="00403FD8">
        <w:t xml:space="preserve"> </w:t>
      </w:r>
    </w:p>
    <w:p w:rsidR="00B27267" w:rsidRDefault="00B27267" w:rsidP="00284CED"/>
    <w:p w:rsidR="00F33FF6" w:rsidRDefault="00F33FF6" w:rsidP="00B27267">
      <w:r>
        <w:t>More information about the description of changes are as follows:</w:t>
      </w:r>
    </w:p>
    <w:p w:rsidR="00F33FF6" w:rsidRDefault="00F33FF6" w:rsidP="00B27267"/>
    <w:p w:rsidR="00F33FF6" w:rsidRDefault="00F33FF6" w:rsidP="00B27267">
      <w:r>
        <w:t>Biosketch instructions have been rewritten for clarity – using shorter sentences, bullet points, and shorter paragraphs. Clarification on which sections apply for which mechanisms have been updated (i.e., fellowship, career, etc.). No policy changes have been made</w:t>
      </w:r>
      <w:r w:rsidR="00CA2BE4">
        <w:t xml:space="preserve"> regarding biosketch instructions</w:t>
      </w:r>
      <w:r>
        <w:t>.</w:t>
      </w:r>
    </w:p>
    <w:p w:rsidR="00F33FF6" w:rsidRDefault="00F33FF6" w:rsidP="00B27267"/>
    <w:p w:rsidR="00B27267" w:rsidRPr="00A21C7D" w:rsidRDefault="006322B2" w:rsidP="00B27267">
      <w:r w:rsidRPr="006322B2">
        <w:t xml:space="preserve">NIH </w:t>
      </w:r>
      <w:r>
        <w:t>has redefined</w:t>
      </w:r>
      <w:r w:rsidRPr="006322B2">
        <w:t xml:space="preserve"> </w:t>
      </w:r>
      <w:r>
        <w:t>the current appendix policy for</w:t>
      </w:r>
      <w:r>
        <w:t xml:space="preserve"> </w:t>
      </w:r>
      <w:r w:rsidR="00F33FF6">
        <w:t>allowable appendix materials</w:t>
      </w:r>
      <w:r>
        <w:t xml:space="preserve">, </w:t>
      </w:r>
      <w:r w:rsidR="00F33FF6">
        <w:t>effective for application due dates on or after January 25, 2017.</w:t>
      </w:r>
      <w:r w:rsidR="00EB175C">
        <w:t xml:space="preserve"> Updated instructions reflect this </w:t>
      </w:r>
      <w:r>
        <w:t>change</w:t>
      </w:r>
      <w:r w:rsidR="00EB175C">
        <w:t xml:space="preserve">. </w:t>
      </w:r>
      <w:r w:rsidR="00F33FF6">
        <w:t xml:space="preserve"> </w:t>
      </w:r>
      <w:r w:rsidR="00B27267" w:rsidRPr="00A21C7D">
        <w:t xml:space="preserve"> </w:t>
      </w:r>
    </w:p>
    <w:p w:rsidR="00B27267" w:rsidRDefault="00B27267" w:rsidP="00284CED"/>
    <w:p w:rsidR="00866CFA" w:rsidRDefault="00377A1A" w:rsidP="00284CED">
      <w:r>
        <w:t xml:space="preserve">The current submission process for prior approval requests is through email or paper submission. NIH </w:t>
      </w:r>
      <w:r w:rsidR="003C4003">
        <w:t>has developed</w:t>
      </w:r>
      <w:r>
        <w:t xml:space="preserve"> an electronic submission option through the eRA Commons for applicants and grantees to submit these requests directly to the appropriate official. Review and approval will happen within this system, </w:t>
      </w:r>
      <w:r w:rsidR="00866CFA">
        <w:t xml:space="preserve">which </w:t>
      </w:r>
      <w:r w:rsidR="003C4003">
        <w:t>is currently optional</w:t>
      </w:r>
      <w:r w:rsidR="00866CFA">
        <w:t xml:space="preserve"> for applicants and grantees. </w:t>
      </w:r>
    </w:p>
    <w:p w:rsidR="00866CFA" w:rsidRDefault="00866CFA" w:rsidP="00284CED"/>
    <w:p w:rsidR="00377A1A" w:rsidRDefault="00B463C7" w:rsidP="00284CED">
      <w:r>
        <w:t>Examples of prior approval requests include</w:t>
      </w:r>
      <w:r w:rsidR="006B66A7">
        <w:t>, but are not limited to,</w:t>
      </w:r>
      <w:r>
        <w:t xml:space="preserve"> the following:</w:t>
      </w:r>
    </w:p>
    <w:p w:rsidR="00B463C7" w:rsidRDefault="00B463C7" w:rsidP="00284CED"/>
    <w:p w:rsidR="00B27267" w:rsidRDefault="00B27267" w:rsidP="005813E6">
      <w:pPr>
        <w:pStyle w:val="ListParagraph"/>
        <w:numPr>
          <w:ilvl w:val="0"/>
          <w:numId w:val="4"/>
        </w:numPr>
      </w:pPr>
      <w:r>
        <w:t>Withdraw an application after it has been submitted</w:t>
      </w:r>
    </w:p>
    <w:p w:rsidR="00B463C7" w:rsidRDefault="00B27267" w:rsidP="005813E6">
      <w:pPr>
        <w:pStyle w:val="ListParagraph"/>
        <w:numPr>
          <w:ilvl w:val="0"/>
          <w:numId w:val="4"/>
        </w:numPr>
      </w:pPr>
      <w:r>
        <w:t xml:space="preserve">Request </w:t>
      </w:r>
      <w:r w:rsidRPr="00B463C7">
        <w:t>direct costs of $500,000 or more in any one year</w:t>
      </w:r>
    </w:p>
    <w:p w:rsidR="00377A1A" w:rsidRDefault="00377A1A" w:rsidP="00284CED"/>
    <w:p w:rsidR="00284CED" w:rsidRPr="00A21C7D" w:rsidRDefault="008324B8" w:rsidP="00284CED">
      <w:r>
        <w:t>S</w:t>
      </w:r>
      <w:r w:rsidR="00DD7E86">
        <w:t>creen shots of how these requests will look in eRA Commons</w:t>
      </w:r>
      <w:r>
        <w:t xml:space="preserve"> are attached separately</w:t>
      </w:r>
      <w:r w:rsidR="00DD7E86">
        <w:t xml:space="preserve">. </w:t>
      </w:r>
      <w:r w:rsidR="00284CED" w:rsidRPr="00A21C7D">
        <w:t xml:space="preserve"> </w:t>
      </w:r>
    </w:p>
    <w:p w:rsidR="006B0997" w:rsidRPr="00A21C7D" w:rsidRDefault="006B0997"/>
    <w:p w:rsidR="003C4003" w:rsidRDefault="003C4003" w:rsidP="003C4003">
      <w:pPr>
        <w:rPr>
          <w:rStyle w:val="Heading6Char"/>
          <w:rFonts w:ascii="Times New Roman" w:eastAsia="Calibri" w:hAnsi="Times New Roman"/>
          <w:b/>
          <w:i w:val="0"/>
          <w:color w:val="auto"/>
        </w:rPr>
      </w:pPr>
    </w:p>
    <w:p w:rsidR="00C6350B" w:rsidRDefault="00A97F38" w:rsidP="003C4003">
      <w:pPr>
        <w:rPr>
          <w:rStyle w:val="Heading6Char"/>
          <w:rFonts w:ascii="Times New Roman" w:eastAsia="Calibri" w:hAnsi="Times New Roman"/>
          <w:b/>
          <w:i w:val="0"/>
          <w:color w:val="auto"/>
        </w:rPr>
      </w:pPr>
      <w:r>
        <w:rPr>
          <w:rStyle w:val="Heading6Char"/>
          <w:rFonts w:ascii="Times New Roman" w:eastAsia="Calibri" w:hAnsi="Times New Roman"/>
          <w:b/>
          <w:i w:val="0"/>
          <w:color w:val="auto"/>
        </w:rPr>
        <w:t xml:space="preserve">Attachment </w:t>
      </w:r>
      <w:r w:rsidR="00F33FF6">
        <w:rPr>
          <w:rStyle w:val="Heading6Char"/>
          <w:rFonts w:ascii="Times New Roman" w:eastAsia="Calibri" w:hAnsi="Times New Roman"/>
          <w:b/>
          <w:i w:val="0"/>
          <w:color w:val="auto"/>
        </w:rPr>
        <w:t>A</w:t>
      </w:r>
      <w:r w:rsidR="00B27267" w:rsidRPr="00A21C7D">
        <w:rPr>
          <w:rStyle w:val="Heading6Char"/>
          <w:rFonts w:ascii="Times New Roman" w:eastAsia="Calibri" w:hAnsi="Times New Roman"/>
          <w:b/>
          <w:i w:val="0"/>
          <w:color w:val="auto"/>
        </w:rPr>
        <w:t xml:space="preserve">: </w:t>
      </w:r>
      <w:r w:rsidR="00C6350B" w:rsidRPr="00F544A8">
        <w:rPr>
          <w:rStyle w:val="Heading6Char"/>
          <w:rFonts w:ascii="Times New Roman" w:eastAsia="Calibri" w:hAnsi="Times New Roman"/>
          <w:i w:val="0"/>
          <w:color w:val="auto"/>
        </w:rPr>
        <w:t>Changes to biosketch instructions, which are currently located in attachment 9B of the 0925-0001 package.</w:t>
      </w:r>
    </w:p>
    <w:p w:rsidR="003C4003" w:rsidRDefault="003C4003" w:rsidP="003C4003">
      <w:pPr>
        <w:rPr>
          <w:rStyle w:val="Heading6Char"/>
          <w:rFonts w:ascii="Times New Roman" w:eastAsia="Calibri" w:hAnsi="Times New Roman"/>
          <w:b/>
          <w:i w:val="0"/>
          <w:color w:val="auto"/>
        </w:rPr>
      </w:pPr>
    </w:p>
    <w:p w:rsidR="00B27267" w:rsidRDefault="00C6350B" w:rsidP="003C4003">
      <w:pPr>
        <w:rPr>
          <w:rStyle w:val="IntenseEmphasis"/>
          <w:b w:val="0"/>
          <w:i w:val="0"/>
          <w:color w:val="auto"/>
        </w:rPr>
      </w:pPr>
      <w:r>
        <w:rPr>
          <w:rStyle w:val="Heading6Char"/>
          <w:rFonts w:ascii="Times New Roman" w:eastAsia="Calibri" w:hAnsi="Times New Roman"/>
          <w:b/>
          <w:i w:val="0"/>
          <w:color w:val="auto"/>
        </w:rPr>
        <w:t xml:space="preserve">Attachment </w:t>
      </w:r>
      <w:r w:rsidR="00F33FF6">
        <w:rPr>
          <w:rStyle w:val="Heading6Char"/>
          <w:rFonts w:ascii="Times New Roman" w:eastAsia="Calibri" w:hAnsi="Times New Roman"/>
          <w:b/>
          <w:i w:val="0"/>
          <w:color w:val="auto"/>
        </w:rPr>
        <w:t>B</w:t>
      </w:r>
      <w:r>
        <w:rPr>
          <w:rStyle w:val="Heading6Char"/>
          <w:rFonts w:ascii="Times New Roman" w:eastAsia="Calibri" w:hAnsi="Times New Roman"/>
          <w:b/>
          <w:i w:val="0"/>
          <w:color w:val="auto"/>
        </w:rPr>
        <w:t xml:space="preserve">: </w:t>
      </w:r>
      <w:r w:rsidR="008F19BB" w:rsidRPr="002B4520">
        <w:rPr>
          <w:rStyle w:val="IntenseEmphasis"/>
          <w:b w:val="0"/>
          <w:i w:val="0"/>
          <w:color w:val="auto"/>
        </w:rPr>
        <w:t>Change</w:t>
      </w:r>
      <w:r w:rsidR="008F19BB">
        <w:rPr>
          <w:rStyle w:val="IntenseEmphasis"/>
          <w:b w:val="0"/>
          <w:i w:val="0"/>
          <w:color w:val="auto"/>
        </w:rPr>
        <w:t xml:space="preserve">s to the appendix instructions, </w:t>
      </w:r>
      <w:r w:rsidR="008F19BB">
        <w:rPr>
          <w:rStyle w:val="Heading6Char"/>
          <w:rFonts w:ascii="Times New Roman" w:eastAsia="Calibri" w:hAnsi="Times New Roman"/>
          <w:i w:val="0"/>
          <w:color w:val="auto"/>
        </w:rPr>
        <w:t>which are currently located in attachments 5N, 5P, 5R, and 6A of the 0925-0001 package.</w:t>
      </w:r>
      <w:r w:rsidR="008F19BB">
        <w:t xml:space="preserve"> </w:t>
      </w:r>
    </w:p>
    <w:p w:rsidR="003C4003" w:rsidRDefault="003C4003" w:rsidP="00B27267">
      <w:pPr>
        <w:rPr>
          <w:rStyle w:val="IntenseEmphasis"/>
          <w:i w:val="0"/>
          <w:color w:val="auto"/>
        </w:rPr>
      </w:pPr>
    </w:p>
    <w:p w:rsidR="00B27267" w:rsidRPr="003C4003" w:rsidRDefault="00B27267" w:rsidP="00B27267">
      <w:pPr>
        <w:rPr>
          <w:rStyle w:val="IntenseEmphasis"/>
          <w:b w:val="0"/>
          <w:i w:val="0"/>
          <w:color w:val="auto"/>
        </w:rPr>
      </w:pPr>
      <w:r w:rsidRPr="00A21C7D">
        <w:rPr>
          <w:rStyle w:val="IntenseEmphasis"/>
          <w:i w:val="0"/>
          <w:color w:val="auto"/>
        </w:rPr>
        <w:t xml:space="preserve">Attachment </w:t>
      </w:r>
      <w:r w:rsidR="00F33FF6">
        <w:rPr>
          <w:rStyle w:val="IntenseEmphasis"/>
          <w:i w:val="0"/>
          <w:color w:val="auto"/>
        </w:rPr>
        <w:t>C</w:t>
      </w:r>
      <w:r w:rsidRPr="00A21C7D">
        <w:rPr>
          <w:rStyle w:val="IntenseEmphasis"/>
          <w:i w:val="0"/>
          <w:color w:val="auto"/>
        </w:rPr>
        <w:t xml:space="preserve">: </w:t>
      </w:r>
      <w:r>
        <w:rPr>
          <w:rStyle w:val="Heading6Char"/>
          <w:rFonts w:ascii="Times New Roman" w:eastAsia="Calibri" w:hAnsi="Times New Roman"/>
          <w:i w:val="0"/>
          <w:color w:val="auto"/>
        </w:rPr>
        <w:t>Screen shots of prior approval requests</w:t>
      </w:r>
      <w:r w:rsidR="00607FCB">
        <w:rPr>
          <w:rStyle w:val="Heading6Char"/>
          <w:rFonts w:ascii="Times New Roman" w:eastAsia="Calibri" w:hAnsi="Times New Roman"/>
          <w:i w:val="0"/>
          <w:color w:val="auto"/>
        </w:rPr>
        <w:t>.</w:t>
      </w:r>
      <w:r w:rsidRPr="00F544A8">
        <w:rPr>
          <w:rStyle w:val="Heading6Char"/>
          <w:rFonts w:ascii="Times New Roman" w:eastAsia="Calibri" w:hAnsi="Times New Roman"/>
          <w:i w:val="0"/>
          <w:color w:val="auto"/>
        </w:rPr>
        <w:t xml:space="preserve"> </w:t>
      </w:r>
    </w:p>
    <w:p w:rsidR="002B4520" w:rsidRPr="00F544A8" w:rsidRDefault="002B4520">
      <w:pPr>
        <w:rPr>
          <w:rStyle w:val="IntenseEmphasis"/>
          <w:b w:val="0"/>
          <w:i w:val="0"/>
          <w:color w:val="auto"/>
        </w:rPr>
      </w:pPr>
    </w:p>
    <w:p w:rsidR="000E1386" w:rsidRDefault="00403FD8" w:rsidP="00037D1C">
      <w:r>
        <w:t>Y</w:t>
      </w:r>
      <w:r w:rsidR="000E1386">
        <w:t>our full consideration is appreciated.</w:t>
      </w:r>
    </w:p>
    <w:p w:rsidR="008F19BB" w:rsidRDefault="008F19BB" w:rsidP="008F19BB">
      <w:pPr>
        <w:rPr>
          <w:rStyle w:val="IntenseEmphasis"/>
          <w:b w:val="0"/>
          <w:i w:val="0"/>
          <w:color w:val="auto"/>
        </w:rPr>
      </w:pPr>
    </w:p>
    <w:p w:rsidR="008F19BB" w:rsidRDefault="008F19BB" w:rsidP="00037D1C"/>
    <w:sectPr w:rsidR="008F19BB" w:rsidSect="00A01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4682"/>
    <w:multiLevelType w:val="hybridMultilevel"/>
    <w:tmpl w:val="60A2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0"/>
    <w:rsid w:val="00013D6F"/>
    <w:rsid w:val="00037D1C"/>
    <w:rsid w:val="00041194"/>
    <w:rsid w:val="000737A6"/>
    <w:rsid w:val="00083344"/>
    <w:rsid w:val="000C1FF2"/>
    <w:rsid w:val="000C5EBA"/>
    <w:rsid w:val="000D7224"/>
    <w:rsid w:val="000E1386"/>
    <w:rsid w:val="00130008"/>
    <w:rsid w:val="001C1FD5"/>
    <w:rsid w:val="001D5037"/>
    <w:rsid w:val="001F26DC"/>
    <w:rsid w:val="00221478"/>
    <w:rsid w:val="00260D02"/>
    <w:rsid w:val="00284CED"/>
    <w:rsid w:val="002919B0"/>
    <w:rsid w:val="002A72E7"/>
    <w:rsid w:val="002B0B1F"/>
    <w:rsid w:val="002B4520"/>
    <w:rsid w:val="002B6138"/>
    <w:rsid w:val="002C483B"/>
    <w:rsid w:val="002F7317"/>
    <w:rsid w:val="003560CC"/>
    <w:rsid w:val="003575B3"/>
    <w:rsid w:val="00361D4D"/>
    <w:rsid w:val="00377A1A"/>
    <w:rsid w:val="003A0492"/>
    <w:rsid w:val="003A5F09"/>
    <w:rsid w:val="003C4003"/>
    <w:rsid w:val="003D0FAC"/>
    <w:rsid w:val="003E2F43"/>
    <w:rsid w:val="00403FD8"/>
    <w:rsid w:val="00443230"/>
    <w:rsid w:val="00453385"/>
    <w:rsid w:val="00467F87"/>
    <w:rsid w:val="004A240A"/>
    <w:rsid w:val="004D14A9"/>
    <w:rsid w:val="004D3D52"/>
    <w:rsid w:val="004D5998"/>
    <w:rsid w:val="004E58D0"/>
    <w:rsid w:val="004F4639"/>
    <w:rsid w:val="00504BE5"/>
    <w:rsid w:val="00534FBA"/>
    <w:rsid w:val="005555FC"/>
    <w:rsid w:val="005813E6"/>
    <w:rsid w:val="005853EB"/>
    <w:rsid w:val="005F1765"/>
    <w:rsid w:val="005F32DE"/>
    <w:rsid w:val="00607FCB"/>
    <w:rsid w:val="0061182F"/>
    <w:rsid w:val="00620789"/>
    <w:rsid w:val="006322B2"/>
    <w:rsid w:val="006468D9"/>
    <w:rsid w:val="006713D9"/>
    <w:rsid w:val="00695A6C"/>
    <w:rsid w:val="006B0997"/>
    <w:rsid w:val="006B37DE"/>
    <w:rsid w:val="006B66A7"/>
    <w:rsid w:val="006C1BCF"/>
    <w:rsid w:val="006D6C5A"/>
    <w:rsid w:val="00703C1D"/>
    <w:rsid w:val="007166D4"/>
    <w:rsid w:val="0072009B"/>
    <w:rsid w:val="00730619"/>
    <w:rsid w:val="007653B1"/>
    <w:rsid w:val="007663E7"/>
    <w:rsid w:val="007757CD"/>
    <w:rsid w:val="0077645D"/>
    <w:rsid w:val="00783864"/>
    <w:rsid w:val="00787EFA"/>
    <w:rsid w:val="007A648A"/>
    <w:rsid w:val="007B5282"/>
    <w:rsid w:val="007C0A4E"/>
    <w:rsid w:val="007E62D9"/>
    <w:rsid w:val="0080373F"/>
    <w:rsid w:val="00807A14"/>
    <w:rsid w:val="008324B8"/>
    <w:rsid w:val="0086571F"/>
    <w:rsid w:val="00866CFA"/>
    <w:rsid w:val="00891C65"/>
    <w:rsid w:val="00893E26"/>
    <w:rsid w:val="00897B9C"/>
    <w:rsid w:val="008C7D71"/>
    <w:rsid w:val="008F0277"/>
    <w:rsid w:val="008F19BB"/>
    <w:rsid w:val="009122FF"/>
    <w:rsid w:val="0092210A"/>
    <w:rsid w:val="00934735"/>
    <w:rsid w:val="009531E4"/>
    <w:rsid w:val="00957CB8"/>
    <w:rsid w:val="00971E72"/>
    <w:rsid w:val="009E128A"/>
    <w:rsid w:val="009F3CD5"/>
    <w:rsid w:val="00A015D5"/>
    <w:rsid w:val="00A1382B"/>
    <w:rsid w:val="00A20BDE"/>
    <w:rsid w:val="00A2178C"/>
    <w:rsid w:val="00A21C7D"/>
    <w:rsid w:val="00A27248"/>
    <w:rsid w:val="00A42006"/>
    <w:rsid w:val="00A63626"/>
    <w:rsid w:val="00A72A09"/>
    <w:rsid w:val="00A74EBA"/>
    <w:rsid w:val="00A95AC0"/>
    <w:rsid w:val="00A97523"/>
    <w:rsid w:val="00A97F38"/>
    <w:rsid w:val="00AB6B22"/>
    <w:rsid w:val="00AC620A"/>
    <w:rsid w:val="00AF085C"/>
    <w:rsid w:val="00B04E8C"/>
    <w:rsid w:val="00B27267"/>
    <w:rsid w:val="00B463C7"/>
    <w:rsid w:val="00B72A1D"/>
    <w:rsid w:val="00BA7483"/>
    <w:rsid w:val="00BB2696"/>
    <w:rsid w:val="00BE295F"/>
    <w:rsid w:val="00C04EEB"/>
    <w:rsid w:val="00C15EE6"/>
    <w:rsid w:val="00C26EAF"/>
    <w:rsid w:val="00C4724F"/>
    <w:rsid w:val="00C51C6A"/>
    <w:rsid w:val="00C6350B"/>
    <w:rsid w:val="00C6551F"/>
    <w:rsid w:val="00C735F3"/>
    <w:rsid w:val="00C8749F"/>
    <w:rsid w:val="00C9376D"/>
    <w:rsid w:val="00CA2BE4"/>
    <w:rsid w:val="00CC3C94"/>
    <w:rsid w:val="00CD5010"/>
    <w:rsid w:val="00CE536C"/>
    <w:rsid w:val="00D075B9"/>
    <w:rsid w:val="00D262C7"/>
    <w:rsid w:val="00D41B04"/>
    <w:rsid w:val="00D445AF"/>
    <w:rsid w:val="00D4642D"/>
    <w:rsid w:val="00D53ED7"/>
    <w:rsid w:val="00D6799D"/>
    <w:rsid w:val="00D82089"/>
    <w:rsid w:val="00D82EFD"/>
    <w:rsid w:val="00D904A4"/>
    <w:rsid w:val="00D97A9D"/>
    <w:rsid w:val="00DA5A9D"/>
    <w:rsid w:val="00DB66F0"/>
    <w:rsid w:val="00DD7E86"/>
    <w:rsid w:val="00E077D6"/>
    <w:rsid w:val="00E15D39"/>
    <w:rsid w:val="00E41C43"/>
    <w:rsid w:val="00E52591"/>
    <w:rsid w:val="00EB175C"/>
    <w:rsid w:val="00EB3B10"/>
    <w:rsid w:val="00EC00FB"/>
    <w:rsid w:val="00F33FF6"/>
    <w:rsid w:val="00F47042"/>
    <w:rsid w:val="00F544A8"/>
    <w:rsid w:val="00F73C41"/>
    <w:rsid w:val="00F97A19"/>
    <w:rsid w:val="00FA100B"/>
    <w:rsid w:val="00FA139F"/>
    <w:rsid w:val="00FB345E"/>
    <w:rsid w:val="00FC793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1EF6-0443-49E9-B366-575982D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A27248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463C7"/>
  </w:style>
  <w:style w:type="table" w:styleId="TableGrid">
    <w:name w:val="Table Grid"/>
    <w:basedOn w:val="TableNormal"/>
    <w:rsid w:val="00B4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AF7A-C0DE-4B52-845F-99C7AD6D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dc:description/>
  <cp:lastModifiedBy>Harris, Stefanie (NIH/OD) [E]</cp:lastModifiedBy>
  <cp:revision>12</cp:revision>
  <cp:lastPrinted>2013-05-24T18:32:00Z</cp:lastPrinted>
  <dcterms:created xsi:type="dcterms:W3CDTF">2016-09-21T20:44:00Z</dcterms:created>
  <dcterms:modified xsi:type="dcterms:W3CDTF">2016-11-10T16:20:00Z</dcterms:modified>
</cp:coreProperties>
</file>